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462779530"/>
        <w:docPartObj>
          <w:docPartGallery w:val="Table of Contents"/>
          <w:docPartUnique/>
        </w:docPartObj>
      </w:sdtPr>
      <w:sdtEndPr>
        <w:rPr>
          <w:b/>
          <w:bCs/>
        </w:rPr>
      </w:sdtEndPr>
      <w:sdtContent>
        <w:p w14:paraId="3CCCDE57" w14:textId="7EC2AF45" w:rsidR="00DF4A28" w:rsidRPr="00627C33" w:rsidRDefault="00DF4A28" w:rsidP="00627C33">
          <w:pPr>
            <w:pStyle w:val="TtulodeTDC"/>
            <w:rPr>
              <w:rFonts w:ascii="Palatino Linotype" w:hAnsi="Palatino Linotype"/>
              <w:color w:val="auto"/>
              <w:sz w:val="22"/>
              <w:szCs w:val="22"/>
            </w:rPr>
          </w:pPr>
          <w:r w:rsidRPr="00627C33">
            <w:rPr>
              <w:rFonts w:ascii="Palatino Linotype" w:hAnsi="Palatino Linotype"/>
              <w:color w:val="auto"/>
              <w:sz w:val="22"/>
              <w:szCs w:val="22"/>
              <w:lang w:val="es-ES"/>
            </w:rPr>
            <w:t>Contenido</w:t>
          </w:r>
        </w:p>
        <w:p w14:paraId="50A50DE2" w14:textId="383AFC2E" w:rsidR="00D92B90" w:rsidRPr="00627C33" w:rsidRDefault="00DF4A28" w:rsidP="00627C33">
          <w:pPr>
            <w:pStyle w:val="TDC1"/>
            <w:tabs>
              <w:tab w:val="right" w:leader="dot" w:pos="9034"/>
            </w:tabs>
            <w:rPr>
              <w:rFonts w:asciiTheme="minorHAnsi" w:eastAsiaTheme="minorEastAsia" w:hAnsiTheme="minorHAnsi" w:cstheme="minorBidi"/>
              <w:noProof/>
            </w:rPr>
          </w:pPr>
          <w:r w:rsidRPr="00627C33">
            <w:rPr>
              <w:b/>
              <w:bCs/>
              <w:lang w:val="es-ES"/>
            </w:rPr>
            <w:fldChar w:fldCharType="begin"/>
          </w:r>
          <w:r w:rsidRPr="00627C33">
            <w:rPr>
              <w:b/>
              <w:bCs/>
              <w:lang w:val="es-ES"/>
            </w:rPr>
            <w:instrText xml:space="preserve"> TOC \o "1-3" \h \z \u </w:instrText>
          </w:r>
          <w:r w:rsidRPr="00627C33">
            <w:rPr>
              <w:b/>
              <w:bCs/>
              <w:lang w:val="es-ES"/>
            </w:rPr>
            <w:fldChar w:fldCharType="separate"/>
          </w:r>
          <w:hyperlink w:anchor="_Toc175125126" w:history="1">
            <w:r w:rsidR="00D92B90" w:rsidRPr="00627C33">
              <w:rPr>
                <w:rStyle w:val="Hipervnculo"/>
                <w:noProof/>
                <w:color w:val="auto"/>
              </w:rPr>
              <w:t>ANTECEDENTES</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_Toc175125126 \h </w:instrText>
            </w:r>
            <w:r w:rsidR="00D92B90" w:rsidRPr="00627C33">
              <w:rPr>
                <w:noProof/>
                <w:webHidden/>
              </w:rPr>
            </w:r>
            <w:r w:rsidR="00D92B90" w:rsidRPr="00627C33">
              <w:rPr>
                <w:noProof/>
                <w:webHidden/>
              </w:rPr>
              <w:fldChar w:fldCharType="separate"/>
            </w:r>
            <w:r w:rsidR="00CF2E25">
              <w:rPr>
                <w:noProof/>
                <w:webHidden/>
              </w:rPr>
              <w:t>1</w:t>
            </w:r>
            <w:r w:rsidR="00D92B90" w:rsidRPr="00627C33">
              <w:rPr>
                <w:noProof/>
                <w:webHidden/>
              </w:rPr>
              <w:fldChar w:fldCharType="end"/>
            </w:r>
          </w:hyperlink>
        </w:p>
        <w:p w14:paraId="6712725D" w14:textId="3F484F45" w:rsidR="00D92B90" w:rsidRPr="00627C33" w:rsidRDefault="001B626E" w:rsidP="00627C33">
          <w:pPr>
            <w:pStyle w:val="TDC2"/>
            <w:tabs>
              <w:tab w:val="right" w:leader="dot" w:pos="9034"/>
            </w:tabs>
            <w:rPr>
              <w:rFonts w:asciiTheme="minorHAnsi" w:eastAsiaTheme="minorEastAsia" w:hAnsiTheme="minorHAnsi" w:cstheme="minorBidi"/>
              <w:noProof/>
            </w:rPr>
          </w:pPr>
          <w:hyperlink w:anchor="_Toc175125127" w:history="1">
            <w:r w:rsidR="00D92B90" w:rsidRPr="00627C33">
              <w:rPr>
                <w:rStyle w:val="Hipervnculo"/>
                <w:noProof/>
                <w:color w:val="auto"/>
              </w:rPr>
              <w:t>DE LA SOLICITUD DE INFORMACIÓN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_Toc175125127 \h </w:instrText>
            </w:r>
            <w:r w:rsidR="00D92B90" w:rsidRPr="00627C33">
              <w:rPr>
                <w:noProof/>
                <w:webHidden/>
              </w:rPr>
            </w:r>
            <w:r w:rsidR="00D92B90" w:rsidRPr="00627C33">
              <w:rPr>
                <w:noProof/>
                <w:webHidden/>
              </w:rPr>
              <w:fldChar w:fldCharType="separate"/>
            </w:r>
            <w:r w:rsidR="00CF2E25">
              <w:rPr>
                <w:noProof/>
                <w:webHidden/>
              </w:rPr>
              <w:t>1</w:t>
            </w:r>
            <w:r w:rsidR="00D92B90" w:rsidRPr="00627C33">
              <w:rPr>
                <w:noProof/>
                <w:webHidden/>
              </w:rPr>
              <w:fldChar w:fldCharType="end"/>
            </w:r>
          </w:hyperlink>
        </w:p>
        <w:p w14:paraId="49BA3CC4" w14:textId="133BD687"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28" w:history="1">
            <w:r w:rsidR="00D92B90" w:rsidRPr="00627C33">
              <w:rPr>
                <w:rStyle w:val="Hipervnculo"/>
                <w:noProof/>
                <w:color w:val="auto"/>
              </w:rPr>
              <w:t>a) Solicitud de información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_Toc175125128 \h </w:instrText>
            </w:r>
            <w:r w:rsidR="00D92B90" w:rsidRPr="00627C33">
              <w:rPr>
                <w:noProof/>
                <w:webHidden/>
              </w:rPr>
            </w:r>
            <w:r w:rsidR="00D92B90" w:rsidRPr="00627C33">
              <w:rPr>
                <w:noProof/>
                <w:webHidden/>
              </w:rPr>
              <w:fldChar w:fldCharType="separate"/>
            </w:r>
            <w:r w:rsidR="00CF2E25">
              <w:rPr>
                <w:noProof/>
                <w:webHidden/>
              </w:rPr>
              <w:t>1</w:t>
            </w:r>
            <w:r w:rsidR="00D92B90" w:rsidRPr="00627C33">
              <w:rPr>
                <w:noProof/>
                <w:webHidden/>
              </w:rPr>
              <w:fldChar w:fldCharType="end"/>
            </w:r>
          </w:hyperlink>
        </w:p>
        <w:p w14:paraId="08BA0306" w14:textId="1AAEBAB0"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29" w:history="1">
            <w:r w:rsidR="00D92B90" w:rsidRPr="00627C33">
              <w:rPr>
                <w:rStyle w:val="Hipervnculo"/>
                <w:noProof/>
                <w:color w:val="auto"/>
              </w:rPr>
              <w:t>b) Turno de la solicitud de información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_Toc175125129 \h </w:instrText>
            </w:r>
            <w:r w:rsidR="00D92B90" w:rsidRPr="00627C33">
              <w:rPr>
                <w:noProof/>
                <w:webHidden/>
              </w:rPr>
            </w:r>
            <w:r w:rsidR="00D92B90" w:rsidRPr="00627C33">
              <w:rPr>
                <w:noProof/>
                <w:webHidden/>
              </w:rPr>
              <w:fldChar w:fldCharType="separate"/>
            </w:r>
            <w:r w:rsidR="00CF2E25">
              <w:rPr>
                <w:noProof/>
                <w:webHidden/>
              </w:rPr>
              <w:t>2</w:t>
            </w:r>
            <w:r w:rsidR="00D92B90" w:rsidRPr="00627C33">
              <w:rPr>
                <w:noProof/>
                <w:webHidden/>
              </w:rPr>
              <w:fldChar w:fldCharType="end"/>
            </w:r>
          </w:hyperlink>
        </w:p>
        <w:p w14:paraId="6312AC28" w14:textId="0D4B975A"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30" w:history="1">
            <w:r w:rsidR="00D92B90" w:rsidRPr="00627C33">
              <w:rPr>
                <w:rStyle w:val="Hipervnculo"/>
                <w:noProof/>
                <w:color w:val="auto"/>
              </w:rPr>
              <w:t>c) Respuesta del Sujeto Obligado</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_Toc175125130 \h </w:instrText>
            </w:r>
            <w:r w:rsidR="00D92B90" w:rsidRPr="00627C33">
              <w:rPr>
                <w:noProof/>
                <w:webHidden/>
              </w:rPr>
            </w:r>
            <w:r w:rsidR="00D92B90" w:rsidRPr="00627C33">
              <w:rPr>
                <w:noProof/>
                <w:webHidden/>
              </w:rPr>
              <w:fldChar w:fldCharType="separate"/>
            </w:r>
            <w:r w:rsidR="00CF2E25">
              <w:rPr>
                <w:noProof/>
                <w:webHidden/>
              </w:rPr>
              <w:t>2</w:t>
            </w:r>
            <w:r w:rsidR="00D92B90" w:rsidRPr="00627C33">
              <w:rPr>
                <w:noProof/>
                <w:webHidden/>
              </w:rPr>
              <w:fldChar w:fldCharType="end"/>
            </w:r>
          </w:hyperlink>
        </w:p>
        <w:p w14:paraId="5E637676" w14:textId="79055637" w:rsidR="00D92B90" w:rsidRPr="00627C33" w:rsidRDefault="001B626E" w:rsidP="00627C33">
          <w:pPr>
            <w:pStyle w:val="TDC2"/>
            <w:tabs>
              <w:tab w:val="right" w:leader="dot" w:pos="9034"/>
            </w:tabs>
            <w:rPr>
              <w:rFonts w:asciiTheme="minorHAnsi" w:eastAsiaTheme="minorEastAsia" w:hAnsiTheme="minorHAnsi" w:cstheme="minorBidi"/>
              <w:noProof/>
            </w:rPr>
          </w:pPr>
          <w:hyperlink w:anchor="_Toc175125131" w:history="1">
            <w:r w:rsidR="00D92B90" w:rsidRPr="00627C33">
              <w:rPr>
                <w:rStyle w:val="Hipervnculo"/>
                <w:noProof/>
                <w:color w:val="auto"/>
              </w:rPr>
              <w:t>DEL RECURSO DE REVISIÓN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_Toc175125131 \h </w:instrText>
            </w:r>
            <w:r w:rsidR="00D92B90" w:rsidRPr="00627C33">
              <w:rPr>
                <w:noProof/>
                <w:webHidden/>
              </w:rPr>
            </w:r>
            <w:r w:rsidR="00D92B90" w:rsidRPr="00627C33">
              <w:rPr>
                <w:noProof/>
                <w:webHidden/>
              </w:rPr>
              <w:fldChar w:fldCharType="separate"/>
            </w:r>
            <w:r w:rsidR="00CF2E25">
              <w:rPr>
                <w:noProof/>
                <w:webHidden/>
              </w:rPr>
              <w:t>4</w:t>
            </w:r>
            <w:r w:rsidR="00D92B90" w:rsidRPr="00627C33">
              <w:rPr>
                <w:noProof/>
                <w:webHidden/>
              </w:rPr>
              <w:fldChar w:fldCharType="end"/>
            </w:r>
          </w:hyperlink>
        </w:p>
        <w:p w14:paraId="28C47758" w14:textId="3BDCBD29"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32" w:history="1">
            <w:r w:rsidR="00D92B90" w:rsidRPr="00627C33">
              <w:rPr>
                <w:rStyle w:val="Hipervnculo"/>
                <w:noProof/>
                <w:color w:val="auto"/>
              </w:rPr>
              <w:t>a) Interposición del Recurso de Revisión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_Toc175125132 \h </w:instrText>
            </w:r>
            <w:r w:rsidR="00D92B90" w:rsidRPr="00627C33">
              <w:rPr>
                <w:noProof/>
                <w:webHidden/>
              </w:rPr>
            </w:r>
            <w:r w:rsidR="00D92B90" w:rsidRPr="00627C33">
              <w:rPr>
                <w:noProof/>
                <w:webHidden/>
              </w:rPr>
              <w:fldChar w:fldCharType="separate"/>
            </w:r>
            <w:r w:rsidR="00CF2E25">
              <w:rPr>
                <w:noProof/>
                <w:webHidden/>
              </w:rPr>
              <w:t>4</w:t>
            </w:r>
            <w:r w:rsidR="00D92B90" w:rsidRPr="00627C33">
              <w:rPr>
                <w:noProof/>
                <w:webHidden/>
              </w:rPr>
              <w:fldChar w:fldCharType="end"/>
            </w:r>
          </w:hyperlink>
        </w:p>
        <w:p w14:paraId="142322B8" w14:textId="4DDB1B07"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33" w:history="1">
            <w:r w:rsidR="00D92B90" w:rsidRPr="00627C33">
              <w:rPr>
                <w:rStyle w:val="Hipervnculo"/>
                <w:noProof/>
                <w:color w:val="auto"/>
              </w:rPr>
              <w:t>b) Turno del Recurso de Revisión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_Toc175125133 \h </w:instrText>
            </w:r>
            <w:r w:rsidR="00D92B90" w:rsidRPr="00627C33">
              <w:rPr>
                <w:noProof/>
                <w:webHidden/>
              </w:rPr>
            </w:r>
            <w:r w:rsidR="00D92B90" w:rsidRPr="00627C33">
              <w:rPr>
                <w:noProof/>
                <w:webHidden/>
              </w:rPr>
              <w:fldChar w:fldCharType="separate"/>
            </w:r>
            <w:r w:rsidR="00CF2E25">
              <w:rPr>
                <w:noProof/>
                <w:webHidden/>
              </w:rPr>
              <w:t>4</w:t>
            </w:r>
            <w:r w:rsidR="00D92B90" w:rsidRPr="00627C33">
              <w:rPr>
                <w:noProof/>
                <w:webHidden/>
              </w:rPr>
              <w:fldChar w:fldCharType="end"/>
            </w:r>
          </w:hyperlink>
        </w:p>
        <w:p w14:paraId="22F7A5B7" w14:textId="13466504"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34" w:history="1">
            <w:r w:rsidR="00D92B90" w:rsidRPr="00627C33">
              <w:rPr>
                <w:rStyle w:val="Hipervnculo"/>
                <w:noProof/>
                <w:color w:val="auto"/>
              </w:rPr>
              <w:t>c) Admisión del Recurso de Revisión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_Toc175125134 \h </w:instrText>
            </w:r>
            <w:r w:rsidR="00D92B90" w:rsidRPr="00627C33">
              <w:rPr>
                <w:noProof/>
                <w:webHidden/>
              </w:rPr>
            </w:r>
            <w:r w:rsidR="00D92B90" w:rsidRPr="00627C33">
              <w:rPr>
                <w:noProof/>
                <w:webHidden/>
              </w:rPr>
              <w:fldChar w:fldCharType="separate"/>
            </w:r>
            <w:r w:rsidR="00CF2E25">
              <w:rPr>
                <w:noProof/>
                <w:webHidden/>
              </w:rPr>
              <w:t>5</w:t>
            </w:r>
            <w:r w:rsidR="00D92B90" w:rsidRPr="00627C33">
              <w:rPr>
                <w:noProof/>
                <w:webHidden/>
              </w:rPr>
              <w:fldChar w:fldCharType="end"/>
            </w:r>
          </w:hyperlink>
        </w:p>
        <w:p w14:paraId="119D3227" w14:textId="26FE8D9D"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35" w:history="1">
            <w:r w:rsidR="00D92B90" w:rsidRPr="00627C33">
              <w:rPr>
                <w:rStyle w:val="Hipervnculo"/>
                <w:noProof/>
                <w:color w:val="auto"/>
              </w:rPr>
              <w:t>d) Informe Justificado del Sujeto Obligado</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_Toc175125135 \h </w:instrText>
            </w:r>
            <w:r w:rsidR="00D92B90" w:rsidRPr="00627C33">
              <w:rPr>
                <w:noProof/>
                <w:webHidden/>
              </w:rPr>
            </w:r>
            <w:r w:rsidR="00D92B90" w:rsidRPr="00627C33">
              <w:rPr>
                <w:noProof/>
                <w:webHidden/>
              </w:rPr>
              <w:fldChar w:fldCharType="separate"/>
            </w:r>
            <w:r w:rsidR="00CF2E25">
              <w:rPr>
                <w:noProof/>
                <w:webHidden/>
              </w:rPr>
              <w:t>5</w:t>
            </w:r>
            <w:r w:rsidR="00D92B90" w:rsidRPr="00627C33">
              <w:rPr>
                <w:noProof/>
                <w:webHidden/>
              </w:rPr>
              <w:fldChar w:fldCharType="end"/>
            </w:r>
          </w:hyperlink>
        </w:p>
        <w:p w14:paraId="5699BF62" w14:textId="7F94C78C"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36" w:history="1">
            <w:r w:rsidR="00D92B90" w:rsidRPr="00627C33">
              <w:rPr>
                <w:rStyle w:val="Hipervnculo"/>
                <w:noProof/>
                <w:color w:val="auto"/>
              </w:rPr>
              <w:t>e) Manifestaciones de la Parte Recurrente</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_Toc175125136 \h </w:instrText>
            </w:r>
            <w:r w:rsidR="00D92B90" w:rsidRPr="00627C33">
              <w:rPr>
                <w:noProof/>
                <w:webHidden/>
              </w:rPr>
            </w:r>
            <w:r w:rsidR="00D92B90" w:rsidRPr="00627C33">
              <w:rPr>
                <w:noProof/>
                <w:webHidden/>
              </w:rPr>
              <w:fldChar w:fldCharType="separate"/>
            </w:r>
            <w:r w:rsidR="00CF2E25">
              <w:rPr>
                <w:noProof/>
                <w:webHidden/>
              </w:rPr>
              <w:t>6</w:t>
            </w:r>
            <w:r w:rsidR="00D92B90" w:rsidRPr="00627C33">
              <w:rPr>
                <w:noProof/>
                <w:webHidden/>
              </w:rPr>
              <w:fldChar w:fldCharType="end"/>
            </w:r>
          </w:hyperlink>
        </w:p>
        <w:p w14:paraId="634FFBCD" w14:textId="1D07AB66"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37" w:history="1">
            <w:r w:rsidR="00D92B90" w:rsidRPr="00627C33">
              <w:rPr>
                <w:rStyle w:val="Hipervnculo"/>
                <w:noProof/>
                <w:color w:val="auto"/>
              </w:rPr>
              <w:t>f) Cierre de instrucción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_Toc175125137 \h </w:instrText>
            </w:r>
            <w:r w:rsidR="00D92B90" w:rsidRPr="00627C33">
              <w:rPr>
                <w:noProof/>
                <w:webHidden/>
              </w:rPr>
            </w:r>
            <w:r w:rsidR="00D92B90" w:rsidRPr="00627C33">
              <w:rPr>
                <w:noProof/>
                <w:webHidden/>
              </w:rPr>
              <w:fldChar w:fldCharType="separate"/>
            </w:r>
            <w:r w:rsidR="00CF2E25">
              <w:rPr>
                <w:noProof/>
                <w:webHidden/>
              </w:rPr>
              <w:t>7</w:t>
            </w:r>
            <w:r w:rsidR="00D92B90" w:rsidRPr="00627C33">
              <w:rPr>
                <w:noProof/>
                <w:webHidden/>
              </w:rPr>
              <w:fldChar w:fldCharType="end"/>
            </w:r>
          </w:hyperlink>
        </w:p>
        <w:p w14:paraId="0E7BC237" w14:textId="1752A39A"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38" w:history="1">
            <w:r w:rsidR="00D92B90" w:rsidRPr="00627C33">
              <w:rPr>
                <w:rStyle w:val="Hipervnculo"/>
                <w:noProof/>
                <w:color w:val="auto"/>
              </w:rPr>
              <w:t>g) Ampliación de plazo para resolver el Recurso de Revisión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_Toc175125138 \h </w:instrText>
            </w:r>
            <w:r w:rsidR="00D92B90" w:rsidRPr="00627C33">
              <w:rPr>
                <w:noProof/>
                <w:webHidden/>
              </w:rPr>
            </w:r>
            <w:r w:rsidR="00D92B90" w:rsidRPr="00627C33">
              <w:rPr>
                <w:noProof/>
                <w:webHidden/>
              </w:rPr>
              <w:fldChar w:fldCharType="separate"/>
            </w:r>
            <w:r w:rsidR="00CF2E25">
              <w:rPr>
                <w:noProof/>
                <w:webHidden/>
              </w:rPr>
              <w:t>7</w:t>
            </w:r>
            <w:r w:rsidR="00D92B90" w:rsidRPr="00627C33">
              <w:rPr>
                <w:noProof/>
                <w:webHidden/>
              </w:rPr>
              <w:fldChar w:fldCharType="end"/>
            </w:r>
          </w:hyperlink>
        </w:p>
        <w:p w14:paraId="3CD66A2F" w14:textId="4B64B9EE" w:rsidR="00D92B90" w:rsidRPr="00627C33" w:rsidRDefault="001B626E" w:rsidP="00627C33">
          <w:pPr>
            <w:pStyle w:val="TDC1"/>
            <w:tabs>
              <w:tab w:val="right" w:leader="dot" w:pos="9034"/>
            </w:tabs>
            <w:rPr>
              <w:rFonts w:asciiTheme="minorHAnsi" w:eastAsiaTheme="minorEastAsia" w:hAnsiTheme="minorHAnsi" w:cstheme="minorBidi"/>
              <w:noProof/>
            </w:rPr>
          </w:pPr>
          <w:hyperlink w:anchor="_Toc175125139" w:history="1">
            <w:r w:rsidR="00D92B90" w:rsidRPr="00627C33">
              <w:rPr>
                <w:rStyle w:val="Hipervnculo"/>
                <w:noProof/>
                <w:color w:val="auto"/>
              </w:rPr>
              <w:t>CONSIDERANDOS</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_Toc175125139 \h </w:instrText>
            </w:r>
            <w:r w:rsidR="00D92B90" w:rsidRPr="00627C33">
              <w:rPr>
                <w:noProof/>
                <w:webHidden/>
              </w:rPr>
            </w:r>
            <w:r w:rsidR="00D92B90" w:rsidRPr="00627C33">
              <w:rPr>
                <w:noProof/>
                <w:webHidden/>
              </w:rPr>
              <w:fldChar w:fldCharType="separate"/>
            </w:r>
            <w:r w:rsidR="00CF2E25">
              <w:rPr>
                <w:noProof/>
                <w:webHidden/>
              </w:rPr>
              <w:t>7</w:t>
            </w:r>
            <w:r w:rsidR="00D92B90" w:rsidRPr="00627C33">
              <w:rPr>
                <w:noProof/>
                <w:webHidden/>
              </w:rPr>
              <w:fldChar w:fldCharType="end"/>
            </w:r>
          </w:hyperlink>
        </w:p>
        <w:p w14:paraId="08B45B61" w14:textId="2FB278A4" w:rsidR="00D92B90" w:rsidRPr="00627C33" w:rsidRDefault="001B626E" w:rsidP="00627C33">
          <w:pPr>
            <w:pStyle w:val="TDC2"/>
            <w:tabs>
              <w:tab w:val="right" w:leader="dot" w:pos="9034"/>
            </w:tabs>
            <w:rPr>
              <w:rFonts w:asciiTheme="minorHAnsi" w:eastAsiaTheme="minorEastAsia" w:hAnsiTheme="minorHAnsi" w:cstheme="minorBidi"/>
              <w:noProof/>
            </w:rPr>
          </w:pPr>
          <w:hyperlink w:anchor="_Toc175125140" w:history="1">
            <w:r w:rsidR="00D92B90" w:rsidRPr="00627C33">
              <w:rPr>
                <w:rStyle w:val="Hipervnculo"/>
                <w:noProof/>
                <w:color w:val="auto"/>
              </w:rPr>
              <w:t>PRIMERO. Procedibilidad</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_Toc175125140 \h </w:instrText>
            </w:r>
            <w:r w:rsidR="00D92B90" w:rsidRPr="00627C33">
              <w:rPr>
                <w:noProof/>
                <w:webHidden/>
              </w:rPr>
            </w:r>
            <w:r w:rsidR="00D92B90" w:rsidRPr="00627C33">
              <w:rPr>
                <w:noProof/>
                <w:webHidden/>
              </w:rPr>
              <w:fldChar w:fldCharType="separate"/>
            </w:r>
            <w:r w:rsidR="00CF2E25">
              <w:rPr>
                <w:noProof/>
                <w:webHidden/>
              </w:rPr>
              <w:t>7</w:t>
            </w:r>
            <w:r w:rsidR="00D92B90" w:rsidRPr="00627C33">
              <w:rPr>
                <w:noProof/>
                <w:webHidden/>
              </w:rPr>
              <w:fldChar w:fldCharType="end"/>
            </w:r>
          </w:hyperlink>
        </w:p>
        <w:p w14:paraId="0A224499" w14:textId="4B20B78F"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41" w:history="1">
            <w:r w:rsidR="00D92B90" w:rsidRPr="00627C33">
              <w:rPr>
                <w:rStyle w:val="Hipervnculo"/>
                <w:noProof/>
                <w:color w:val="auto"/>
              </w:rPr>
              <w:t>a) Competencia del Instituto</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_Toc175125141 \h </w:instrText>
            </w:r>
            <w:r w:rsidR="00D92B90" w:rsidRPr="00627C33">
              <w:rPr>
                <w:noProof/>
                <w:webHidden/>
              </w:rPr>
            </w:r>
            <w:r w:rsidR="00D92B90" w:rsidRPr="00627C33">
              <w:rPr>
                <w:noProof/>
                <w:webHidden/>
              </w:rPr>
              <w:fldChar w:fldCharType="separate"/>
            </w:r>
            <w:r w:rsidR="00CF2E25">
              <w:rPr>
                <w:noProof/>
                <w:webHidden/>
              </w:rPr>
              <w:t>7</w:t>
            </w:r>
            <w:r w:rsidR="00D92B90" w:rsidRPr="00627C33">
              <w:rPr>
                <w:noProof/>
                <w:webHidden/>
              </w:rPr>
              <w:fldChar w:fldCharType="end"/>
            </w:r>
          </w:hyperlink>
        </w:p>
        <w:p w14:paraId="5FAE6970" w14:textId="0E65C7E4"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42" w:history="1">
            <w:r w:rsidR="00D92B90" w:rsidRPr="00627C33">
              <w:rPr>
                <w:rStyle w:val="Hipervnculo"/>
                <w:noProof/>
                <w:color w:val="auto"/>
              </w:rPr>
              <w:t>b) Legitimidad de la parte recurrente</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_Toc175125142 \h </w:instrText>
            </w:r>
            <w:r w:rsidR="00D92B90" w:rsidRPr="00627C33">
              <w:rPr>
                <w:noProof/>
                <w:webHidden/>
              </w:rPr>
            </w:r>
            <w:r w:rsidR="00D92B90" w:rsidRPr="00627C33">
              <w:rPr>
                <w:noProof/>
                <w:webHidden/>
              </w:rPr>
              <w:fldChar w:fldCharType="separate"/>
            </w:r>
            <w:r w:rsidR="00CF2E25">
              <w:rPr>
                <w:noProof/>
                <w:webHidden/>
              </w:rPr>
              <w:t>8</w:t>
            </w:r>
            <w:r w:rsidR="00D92B90" w:rsidRPr="00627C33">
              <w:rPr>
                <w:noProof/>
                <w:webHidden/>
              </w:rPr>
              <w:fldChar w:fldCharType="end"/>
            </w:r>
          </w:hyperlink>
        </w:p>
        <w:p w14:paraId="410FCEF2" w14:textId="4181B39A"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43" w:history="1">
            <w:r w:rsidR="00D92B90" w:rsidRPr="00627C33">
              <w:rPr>
                <w:rStyle w:val="Hipervnculo"/>
                <w:noProof/>
                <w:color w:val="auto"/>
              </w:rPr>
              <w:t>c) Plazo para interponer el recurso</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_Toc175125143 \h </w:instrText>
            </w:r>
            <w:r w:rsidR="00D92B90" w:rsidRPr="00627C33">
              <w:rPr>
                <w:noProof/>
                <w:webHidden/>
              </w:rPr>
            </w:r>
            <w:r w:rsidR="00D92B90" w:rsidRPr="00627C33">
              <w:rPr>
                <w:noProof/>
                <w:webHidden/>
              </w:rPr>
              <w:fldChar w:fldCharType="separate"/>
            </w:r>
            <w:r w:rsidR="00CF2E25">
              <w:rPr>
                <w:noProof/>
                <w:webHidden/>
              </w:rPr>
              <w:t>8</w:t>
            </w:r>
            <w:r w:rsidR="00D92B90" w:rsidRPr="00627C33">
              <w:rPr>
                <w:noProof/>
                <w:webHidden/>
              </w:rPr>
              <w:fldChar w:fldCharType="end"/>
            </w:r>
          </w:hyperlink>
        </w:p>
        <w:p w14:paraId="1682EAEA" w14:textId="022536E7"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44" w:history="1">
            <w:r w:rsidR="00D92B90" w:rsidRPr="00627C33">
              <w:rPr>
                <w:rStyle w:val="Hipervnculo"/>
                <w:rFonts w:eastAsia="Calibri"/>
                <w:noProof/>
                <w:color w:val="auto"/>
                <w:lang w:eastAsia="es-ES_tradnl"/>
              </w:rPr>
              <w:t>d) Causal de procedencia</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_Toc175125144 \h </w:instrText>
            </w:r>
            <w:r w:rsidR="00D92B90" w:rsidRPr="00627C33">
              <w:rPr>
                <w:noProof/>
                <w:webHidden/>
              </w:rPr>
            </w:r>
            <w:r w:rsidR="00D92B90" w:rsidRPr="00627C33">
              <w:rPr>
                <w:noProof/>
                <w:webHidden/>
              </w:rPr>
              <w:fldChar w:fldCharType="separate"/>
            </w:r>
            <w:r w:rsidR="00CF2E25">
              <w:rPr>
                <w:noProof/>
                <w:webHidden/>
              </w:rPr>
              <w:t>9</w:t>
            </w:r>
            <w:r w:rsidR="00D92B90" w:rsidRPr="00627C33">
              <w:rPr>
                <w:noProof/>
                <w:webHidden/>
              </w:rPr>
              <w:fldChar w:fldCharType="end"/>
            </w:r>
          </w:hyperlink>
        </w:p>
        <w:p w14:paraId="377AD40C" w14:textId="38FDFFD1"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45" w:history="1">
            <w:r w:rsidR="00D92B90" w:rsidRPr="00627C33">
              <w:rPr>
                <w:rStyle w:val="Hipervnculo"/>
                <w:noProof/>
                <w:color w:val="auto"/>
              </w:rPr>
              <w:t>e) Requisitos formales para la interposición del recurso</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_Toc175125145 \h </w:instrText>
            </w:r>
            <w:r w:rsidR="00D92B90" w:rsidRPr="00627C33">
              <w:rPr>
                <w:noProof/>
                <w:webHidden/>
              </w:rPr>
            </w:r>
            <w:r w:rsidR="00D92B90" w:rsidRPr="00627C33">
              <w:rPr>
                <w:noProof/>
                <w:webHidden/>
              </w:rPr>
              <w:fldChar w:fldCharType="separate"/>
            </w:r>
            <w:r w:rsidR="00CF2E25">
              <w:rPr>
                <w:noProof/>
                <w:webHidden/>
              </w:rPr>
              <w:t>9</w:t>
            </w:r>
            <w:r w:rsidR="00D92B90" w:rsidRPr="00627C33">
              <w:rPr>
                <w:noProof/>
                <w:webHidden/>
              </w:rPr>
              <w:fldChar w:fldCharType="end"/>
            </w:r>
          </w:hyperlink>
        </w:p>
        <w:p w14:paraId="7E259D4F" w14:textId="678C2C74" w:rsidR="00D92B90" w:rsidRPr="00627C33" w:rsidRDefault="001B626E" w:rsidP="00627C33">
          <w:pPr>
            <w:pStyle w:val="TDC2"/>
            <w:tabs>
              <w:tab w:val="right" w:leader="dot" w:pos="9034"/>
            </w:tabs>
            <w:rPr>
              <w:rFonts w:asciiTheme="minorHAnsi" w:eastAsiaTheme="minorEastAsia" w:hAnsiTheme="minorHAnsi" w:cstheme="minorBidi"/>
              <w:noProof/>
            </w:rPr>
          </w:pPr>
          <w:hyperlink w:anchor="_Toc175125146" w:history="1">
            <w:r w:rsidR="00D92B90" w:rsidRPr="00627C33">
              <w:rPr>
                <w:rStyle w:val="Hipervnculo"/>
                <w:noProof/>
                <w:color w:val="auto"/>
              </w:rPr>
              <w:t>SEGUNDO. Estudio de Fondo</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_Toc175125146 \h </w:instrText>
            </w:r>
            <w:r w:rsidR="00D92B90" w:rsidRPr="00627C33">
              <w:rPr>
                <w:noProof/>
                <w:webHidden/>
              </w:rPr>
            </w:r>
            <w:r w:rsidR="00D92B90" w:rsidRPr="00627C33">
              <w:rPr>
                <w:noProof/>
                <w:webHidden/>
              </w:rPr>
              <w:fldChar w:fldCharType="separate"/>
            </w:r>
            <w:r w:rsidR="00CF2E25">
              <w:rPr>
                <w:noProof/>
                <w:webHidden/>
              </w:rPr>
              <w:t>9</w:t>
            </w:r>
            <w:r w:rsidR="00D92B90" w:rsidRPr="00627C33">
              <w:rPr>
                <w:noProof/>
                <w:webHidden/>
              </w:rPr>
              <w:fldChar w:fldCharType="end"/>
            </w:r>
          </w:hyperlink>
        </w:p>
        <w:p w14:paraId="0410CE72" w14:textId="45422181"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47" w:history="1">
            <w:r w:rsidR="00D92B90" w:rsidRPr="00627C33">
              <w:rPr>
                <w:rStyle w:val="Hipervnculo"/>
                <w:noProof/>
                <w:color w:val="auto"/>
              </w:rPr>
              <w:t>a) Mandato de transparencia y responsabilidad del Sujeto Obligado</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_Toc175125147 \h </w:instrText>
            </w:r>
            <w:r w:rsidR="00D92B90" w:rsidRPr="00627C33">
              <w:rPr>
                <w:noProof/>
                <w:webHidden/>
              </w:rPr>
            </w:r>
            <w:r w:rsidR="00D92B90" w:rsidRPr="00627C33">
              <w:rPr>
                <w:noProof/>
                <w:webHidden/>
              </w:rPr>
              <w:fldChar w:fldCharType="separate"/>
            </w:r>
            <w:r w:rsidR="00CF2E25">
              <w:rPr>
                <w:noProof/>
                <w:webHidden/>
              </w:rPr>
              <w:t>9</w:t>
            </w:r>
            <w:r w:rsidR="00D92B90" w:rsidRPr="00627C33">
              <w:rPr>
                <w:noProof/>
                <w:webHidden/>
              </w:rPr>
              <w:fldChar w:fldCharType="end"/>
            </w:r>
          </w:hyperlink>
        </w:p>
        <w:p w14:paraId="13CCB0E0" w14:textId="4702D9A7"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48" w:history="1">
            <w:r w:rsidR="00D92B90" w:rsidRPr="00627C33">
              <w:rPr>
                <w:rStyle w:val="Hipervnculo"/>
                <w:noProof/>
                <w:color w:val="auto"/>
              </w:rPr>
              <w:t>b) Controversia a resolver</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_Toc175125148 \h </w:instrText>
            </w:r>
            <w:r w:rsidR="00D92B90" w:rsidRPr="00627C33">
              <w:rPr>
                <w:noProof/>
                <w:webHidden/>
              </w:rPr>
            </w:r>
            <w:r w:rsidR="00D92B90" w:rsidRPr="00627C33">
              <w:rPr>
                <w:noProof/>
                <w:webHidden/>
              </w:rPr>
              <w:fldChar w:fldCharType="separate"/>
            </w:r>
            <w:r w:rsidR="00CF2E25">
              <w:rPr>
                <w:noProof/>
                <w:webHidden/>
              </w:rPr>
              <w:t>12</w:t>
            </w:r>
            <w:r w:rsidR="00D92B90" w:rsidRPr="00627C33">
              <w:rPr>
                <w:noProof/>
                <w:webHidden/>
              </w:rPr>
              <w:fldChar w:fldCharType="end"/>
            </w:r>
          </w:hyperlink>
        </w:p>
        <w:p w14:paraId="2EAA4377" w14:textId="547552AD"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49" w:history="1">
            <w:r w:rsidR="00D92B90" w:rsidRPr="00627C33">
              <w:rPr>
                <w:rStyle w:val="Hipervnculo"/>
                <w:noProof/>
                <w:color w:val="auto"/>
              </w:rPr>
              <w:t>c) Estudio de la controversia</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_Toc175125149 \h </w:instrText>
            </w:r>
            <w:r w:rsidR="00D92B90" w:rsidRPr="00627C33">
              <w:rPr>
                <w:noProof/>
                <w:webHidden/>
              </w:rPr>
            </w:r>
            <w:r w:rsidR="00D92B90" w:rsidRPr="00627C33">
              <w:rPr>
                <w:noProof/>
                <w:webHidden/>
              </w:rPr>
              <w:fldChar w:fldCharType="separate"/>
            </w:r>
            <w:r w:rsidR="00CF2E25">
              <w:rPr>
                <w:noProof/>
                <w:webHidden/>
              </w:rPr>
              <w:t>12</w:t>
            </w:r>
            <w:r w:rsidR="00D92B90" w:rsidRPr="00627C33">
              <w:rPr>
                <w:noProof/>
                <w:webHidden/>
              </w:rPr>
              <w:fldChar w:fldCharType="end"/>
            </w:r>
          </w:hyperlink>
        </w:p>
        <w:p w14:paraId="54EAE7A6" w14:textId="76FF806E" w:rsidR="00D92B90" w:rsidRPr="00627C33" w:rsidRDefault="001B626E" w:rsidP="00627C33">
          <w:pPr>
            <w:pStyle w:val="TDC3"/>
            <w:tabs>
              <w:tab w:val="right" w:leader="dot" w:pos="9034"/>
            </w:tabs>
            <w:rPr>
              <w:rFonts w:asciiTheme="minorHAnsi" w:eastAsiaTheme="minorEastAsia" w:hAnsiTheme="minorHAnsi" w:cstheme="minorBidi"/>
              <w:noProof/>
            </w:rPr>
          </w:pPr>
          <w:hyperlink w:anchor="_Toc175125150" w:history="1">
            <w:r w:rsidR="00D92B90" w:rsidRPr="00627C33">
              <w:rPr>
                <w:rStyle w:val="Hipervnculo"/>
                <w:rFonts w:eastAsia="Calibri"/>
                <w:noProof/>
                <w:color w:val="auto"/>
              </w:rPr>
              <w:t xml:space="preserve">d) </w:t>
            </w:r>
            <w:r w:rsidR="00D92B90" w:rsidRPr="00627C33">
              <w:rPr>
                <w:rStyle w:val="Hipervnculo"/>
                <w:noProof/>
                <w:color w:val="auto"/>
              </w:rPr>
              <w:t>Conclusión</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_Toc175125150 \h </w:instrText>
            </w:r>
            <w:r w:rsidR="00D92B90" w:rsidRPr="00627C33">
              <w:rPr>
                <w:noProof/>
                <w:webHidden/>
              </w:rPr>
            </w:r>
            <w:r w:rsidR="00D92B90" w:rsidRPr="00627C33">
              <w:rPr>
                <w:noProof/>
                <w:webHidden/>
              </w:rPr>
              <w:fldChar w:fldCharType="separate"/>
            </w:r>
            <w:r w:rsidR="00CF2E25">
              <w:rPr>
                <w:noProof/>
                <w:webHidden/>
              </w:rPr>
              <w:t>23</w:t>
            </w:r>
            <w:r w:rsidR="00D92B90" w:rsidRPr="00627C33">
              <w:rPr>
                <w:noProof/>
                <w:webHidden/>
              </w:rPr>
              <w:fldChar w:fldCharType="end"/>
            </w:r>
          </w:hyperlink>
        </w:p>
        <w:p w14:paraId="52C5A6B7" w14:textId="4BE78A96" w:rsidR="00D92B90" w:rsidRPr="00627C33" w:rsidRDefault="001B626E" w:rsidP="00627C33">
          <w:pPr>
            <w:pStyle w:val="TDC1"/>
            <w:tabs>
              <w:tab w:val="right" w:leader="dot" w:pos="9034"/>
            </w:tabs>
            <w:rPr>
              <w:rFonts w:asciiTheme="minorHAnsi" w:eastAsiaTheme="minorEastAsia" w:hAnsiTheme="minorHAnsi" w:cstheme="minorBidi"/>
              <w:noProof/>
            </w:rPr>
          </w:pPr>
          <w:hyperlink w:anchor="_Toc175125151" w:history="1">
            <w:r w:rsidR="00D92B90" w:rsidRPr="00627C33">
              <w:rPr>
                <w:rStyle w:val="Hipervnculo"/>
                <w:noProof/>
                <w:color w:val="auto"/>
              </w:rPr>
              <w:t>RESUELVE</w:t>
            </w:r>
            <w:r w:rsidR="00D92B90" w:rsidRPr="00627C33">
              <w:rPr>
                <w:noProof/>
                <w:webHidden/>
              </w:rPr>
              <w:tab/>
            </w:r>
            <w:r w:rsidR="00D92B90" w:rsidRPr="00627C33">
              <w:rPr>
                <w:noProof/>
                <w:webHidden/>
              </w:rPr>
              <w:fldChar w:fldCharType="begin"/>
            </w:r>
            <w:r w:rsidR="00D92B90" w:rsidRPr="00627C33">
              <w:rPr>
                <w:noProof/>
                <w:webHidden/>
              </w:rPr>
              <w:instrText xml:space="preserve"> PAGEREF _Toc175125151 \h </w:instrText>
            </w:r>
            <w:r w:rsidR="00D92B90" w:rsidRPr="00627C33">
              <w:rPr>
                <w:noProof/>
                <w:webHidden/>
              </w:rPr>
            </w:r>
            <w:r w:rsidR="00D92B90" w:rsidRPr="00627C33">
              <w:rPr>
                <w:noProof/>
                <w:webHidden/>
              </w:rPr>
              <w:fldChar w:fldCharType="separate"/>
            </w:r>
            <w:r w:rsidR="00CF2E25">
              <w:rPr>
                <w:noProof/>
                <w:webHidden/>
              </w:rPr>
              <w:t>23</w:t>
            </w:r>
            <w:r w:rsidR="00D92B90" w:rsidRPr="00627C33">
              <w:rPr>
                <w:noProof/>
                <w:webHidden/>
              </w:rPr>
              <w:fldChar w:fldCharType="end"/>
            </w:r>
          </w:hyperlink>
        </w:p>
        <w:p w14:paraId="1A7A89BF" w14:textId="0399AB67" w:rsidR="00DF4A28" w:rsidRPr="00627C33" w:rsidRDefault="00DF4A28" w:rsidP="00627C33">
          <w:r w:rsidRPr="00627C33">
            <w:rPr>
              <w:b/>
              <w:bCs/>
              <w:lang w:val="es-ES"/>
            </w:rPr>
            <w:fldChar w:fldCharType="end"/>
          </w:r>
        </w:p>
      </w:sdtContent>
    </w:sdt>
    <w:p w14:paraId="54A78BE6" w14:textId="77777777" w:rsidR="00E96298" w:rsidRPr="00627C33" w:rsidRDefault="00E96298" w:rsidP="00627C33">
      <w:pPr>
        <w:sectPr w:rsidR="00E96298" w:rsidRPr="00627C3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AAED856" w14:textId="37734BBD" w:rsidR="00E96298" w:rsidRPr="00627C33" w:rsidRDefault="00A20F25" w:rsidP="00627C33">
      <w:pPr>
        <w:rPr>
          <w:b/>
          <w:bCs/>
        </w:rPr>
      </w:pPr>
      <w:r w:rsidRPr="00627C33">
        <w:lastRenderedPageBreak/>
        <w:t xml:space="preserve">Resolución del Pleno del Instituto de Transparencia, Acceso a la Información Pública y Protección de Datos Personales del Estado de México y Municipios, con domicilio en Metepec, Estado de México, </w:t>
      </w:r>
      <w:r w:rsidR="00097970" w:rsidRPr="00627C33">
        <w:rPr>
          <w:b/>
          <w:bCs/>
        </w:rPr>
        <w:t>el</w:t>
      </w:r>
      <w:r w:rsidRPr="00627C33">
        <w:rPr>
          <w:b/>
          <w:bCs/>
        </w:rPr>
        <w:t xml:space="preserve"> </w:t>
      </w:r>
      <w:r w:rsidR="00971354" w:rsidRPr="00627C33">
        <w:rPr>
          <w:b/>
          <w:bCs/>
        </w:rPr>
        <w:t>veinti</w:t>
      </w:r>
      <w:r w:rsidR="007C362B" w:rsidRPr="00627C33">
        <w:rPr>
          <w:b/>
          <w:bCs/>
        </w:rPr>
        <w:t>ocho</w:t>
      </w:r>
      <w:r w:rsidR="00856045" w:rsidRPr="00627C33">
        <w:rPr>
          <w:b/>
          <w:bCs/>
        </w:rPr>
        <w:t xml:space="preserve"> </w:t>
      </w:r>
      <w:r w:rsidR="00E85619" w:rsidRPr="00627C33">
        <w:rPr>
          <w:b/>
          <w:bCs/>
        </w:rPr>
        <w:t xml:space="preserve">de </w:t>
      </w:r>
      <w:r w:rsidR="00FA7F9A" w:rsidRPr="00627C33">
        <w:rPr>
          <w:b/>
          <w:bCs/>
        </w:rPr>
        <w:t>agosto</w:t>
      </w:r>
      <w:r w:rsidR="00E85619" w:rsidRPr="00627C33">
        <w:rPr>
          <w:b/>
          <w:bCs/>
        </w:rPr>
        <w:t xml:space="preserve"> de dos mil veinticuatro. </w:t>
      </w:r>
    </w:p>
    <w:p w14:paraId="60AE36A7" w14:textId="77777777" w:rsidR="00E96298" w:rsidRPr="00627C33" w:rsidRDefault="00E96298" w:rsidP="00627C33"/>
    <w:p w14:paraId="16739596" w14:textId="2171CE2A" w:rsidR="00E96298" w:rsidRPr="00627C33" w:rsidRDefault="00A20F25" w:rsidP="00627C33">
      <w:r w:rsidRPr="00627C33">
        <w:rPr>
          <w:b/>
        </w:rPr>
        <w:t xml:space="preserve">VISTO </w:t>
      </w:r>
      <w:r w:rsidRPr="00627C33">
        <w:t xml:space="preserve">el expediente formado con motivo del Recurso de Revisión </w:t>
      </w:r>
      <w:r w:rsidR="007C362B" w:rsidRPr="00627C33">
        <w:rPr>
          <w:b/>
        </w:rPr>
        <w:t>03567/INFOEM/IP/RR/2024</w:t>
      </w:r>
      <w:r w:rsidR="00E85619" w:rsidRPr="00627C33">
        <w:rPr>
          <w:b/>
        </w:rPr>
        <w:t xml:space="preserve"> </w:t>
      </w:r>
      <w:r w:rsidRPr="00627C33">
        <w:t xml:space="preserve">interpuesto por </w:t>
      </w:r>
      <w:bookmarkStart w:id="2" w:name="_GoBack"/>
      <w:r w:rsidR="001261C8">
        <w:rPr>
          <w:b/>
        </w:rPr>
        <w:t>XXXXXXXXXXX XXXXXXXXX XX XXXXXX XXXXXX</w:t>
      </w:r>
      <w:bookmarkEnd w:id="2"/>
      <w:r w:rsidRPr="00627C33">
        <w:t xml:space="preserve">, a quien en lo subsecuente se le denominará </w:t>
      </w:r>
      <w:r w:rsidRPr="00627C33">
        <w:rPr>
          <w:b/>
        </w:rPr>
        <w:t>LA PARTE RECURRENTE</w:t>
      </w:r>
      <w:r w:rsidRPr="00627C33">
        <w:t>, en contra de la respuesta emitida por</w:t>
      </w:r>
      <w:r w:rsidR="00E85619" w:rsidRPr="00627C33">
        <w:t xml:space="preserve"> </w:t>
      </w:r>
      <w:r w:rsidR="00971354" w:rsidRPr="00627C33">
        <w:t xml:space="preserve">la </w:t>
      </w:r>
      <w:r w:rsidR="007C362B" w:rsidRPr="00627C33">
        <w:rPr>
          <w:b/>
        </w:rPr>
        <w:t>Secretaría de Movilidad</w:t>
      </w:r>
      <w:r w:rsidRPr="00627C33">
        <w:t xml:space="preserve">, en adelante </w:t>
      </w:r>
      <w:r w:rsidRPr="00627C33">
        <w:rPr>
          <w:b/>
        </w:rPr>
        <w:t>EL SUJETO OBLIGADO</w:t>
      </w:r>
      <w:r w:rsidRPr="00627C33">
        <w:t>, se emite la presente Resolución con base en los Antecedentes y Considerandos que se exponen a continuación:</w:t>
      </w:r>
    </w:p>
    <w:p w14:paraId="6B3E6B10" w14:textId="77777777" w:rsidR="00E96298" w:rsidRPr="00627C33" w:rsidRDefault="00E96298" w:rsidP="00627C33"/>
    <w:p w14:paraId="549E4144" w14:textId="77777777" w:rsidR="00E96298" w:rsidRPr="00627C33" w:rsidRDefault="00A20F25" w:rsidP="00627C33">
      <w:pPr>
        <w:pStyle w:val="Ttulo1"/>
      </w:pPr>
      <w:bookmarkStart w:id="3" w:name="_Toc175125126"/>
      <w:r w:rsidRPr="00627C33">
        <w:t>ANTECEDENTES</w:t>
      </w:r>
      <w:bookmarkEnd w:id="3"/>
    </w:p>
    <w:p w14:paraId="563AC2AA" w14:textId="77777777" w:rsidR="00E96298" w:rsidRPr="00627C33" w:rsidRDefault="00E96298" w:rsidP="00627C33"/>
    <w:p w14:paraId="7EDA746D" w14:textId="77777777" w:rsidR="00E96298" w:rsidRPr="00627C33" w:rsidRDefault="00A20F25" w:rsidP="00627C33">
      <w:pPr>
        <w:pStyle w:val="Ttulo2"/>
        <w:jc w:val="left"/>
      </w:pPr>
      <w:bookmarkStart w:id="4" w:name="_Toc175125127"/>
      <w:r w:rsidRPr="00627C33">
        <w:t>DE LA SOLICITUD DE INFORMACIÓN</w:t>
      </w:r>
      <w:bookmarkEnd w:id="4"/>
    </w:p>
    <w:p w14:paraId="1DB182B8" w14:textId="77777777" w:rsidR="00E96298" w:rsidRPr="00627C33" w:rsidRDefault="00E96298" w:rsidP="00627C33"/>
    <w:p w14:paraId="3DF08FE8" w14:textId="77777777" w:rsidR="00E96298" w:rsidRPr="00627C33" w:rsidRDefault="00A20F25" w:rsidP="00627C33">
      <w:pPr>
        <w:pStyle w:val="Ttulo3"/>
      </w:pPr>
      <w:bookmarkStart w:id="5" w:name="_Toc175125128"/>
      <w:r w:rsidRPr="00627C33">
        <w:t>a) Solicitud de información</w:t>
      </w:r>
      <w:bookmarkEnd w:id="5"/>
    </w:p>
    <w:p w14:paraId="2F1B2830" w14:textId="5F2C261B" w:rsidR="00974A64" w:rsidRPr="00627C33" w:rsidRDefault="00974A64" w:rsidP="00627C33">
      <w:pPr>
        <w:tabs>
          <w:tab w:val="left" w:pos="0"/>
        </w:tabs>
      </w:pPr>
      <w:r w:rsidRPr="00627C33">
        <w:t xml:space="preserve">El </w:t>
      </w:r>
      <w:r w:rsidR="007C362B" w:rsidRPr="00627C33">
        <w:rPr>
          <w:b/>
        </w:rPr>
        <w:t>diec</w:t>
      </w:r>
      <w:r w:rsidR="00971354" w:rsidRPr="00627C33">
        <w:rPr>
          <w:b/>
        </w:rPr>
        <w:t>isiete de mayo</w:t>
      </w:r>
      <w:r w:rsidRPr="00627C33">
        <w:rPr>
          <w:b/>
        </w:rPr>
        <w:t xml:space="preserve"> de dos mil veinticuatro</w:t>
      </w:r>
      <w:r w:rsidRPr="00627C33">
        <w:t xml:space="preserve">, </w:t>
      </w:r>
      <w:r w:rsidRPr="00627C33">
        <w:rPr>
          <w:b/>
        </w:rPr>
        <w:t>LA PARTE RECURRENTE</w:t>
      </w:r>
      <w:r w:rsidRPr="00627C33">
        <w:t xml:space="preserve"> presentó una solicitud de acceso a la información pública ante el </w:t>
      </w:r>
      <w:r w:rsidRPr="00627C33">
        <w:rPr>
          <w:b/>
        </w:rPr>
        <w:t>SUJETO OBLIGADO</w:t>
      </w:r>
      <w:r w:rsidRPr="00627C33">
        <w:t>, a través de</w:t>
      </w:r>
      <w:r w:rsidR="00971354" w:rsidRPr="00627C33">
        <w:t xml:space="preserve">l </w:t>
      </w:r>
      <w:r w:rsidRPr="00627C33">
        <w:t>Sistema de Acceso a la Información Mexiquense (SAIMEX). Dicha solicitud quedó registrada con el número de folio</w:t>
      </w:r>
      <w:r w:rsidRPr="00627C33">
        <w:rPr>
          <w:b/>
        </w:rPr>
        <w:t xml:space="preserve"> </w:t>
      </w:r>
      <w:r w:rsidR="007C362B" w:rsidRPr="00627C33">
        <w:rPr>
          <w:b/>
        </w:rPr>
        <w:t>00361/SMOV/IP/2024</w:t>
      </w:r>
      <w:r w:rsidRPr="00627C33">
        <w:rPr>
          <w:b/>
        </w:rPr>
        <w:t>,</w:t>
      </w:r>
      <w:r w:rsidRPr="00627C33">
        <w:t xml:space="preserve"> y en ella se requirió la siguiente información:</w:t>
      </w:r>
    </w:p>
    <w:p w14:paraId="76C9E083" w14:textId="77777777" w:rsidR="00E96298" w:rsidRPr="00627C33" w:rsidRDefault="00E96298" w:rsidP="00627C33">
      <w:pPr>
        <w:tabs>
          <w:tab w:val="left" w:pos="4667"/>
        </w:tabs>
        <w:ind w:left="567" w:right="567"/>
        <w:rPr>
          <w:b/>
        </w:rPr>
      </w:pPr>
    </w:p>
    <w:p w14:paraId="3B3D0C65" w14:textId="1EDED52D" w:rsidR="00E96298" w:rsidRPr="00627C33" w:rsidRDefault="007C362B" w:rsidP="00627C33">
      <w:pPr>
        <w:pStyle w:val="Puesto"/>
        <w:ind w:firstLine="0"/>
        <w:rPr>
          <w:color w:val="auto"/>
        </w:rPr>
      </w:pPr>
      <w:r w:rsidRPr="00627C33">
        <w:rPr>
          <w:color w:val="auto"/>
        </w:rPr>
        <w:t xml:space="preserve">solicito una relacion de las empresas que están autorizadas a prestar el servicio publico sobre la vía viaducto bicentenario en el municipio de Zumpango ya que circulan muchas unidades con diferentes colores las cuales son amarillas rojas verdes donde en ninguna se aprecia su razón social o nombre de la empresa a la que pertenece ya que días anteriores sufrí un accidente en el interior de una de ellas y no pude reclamar mis daños por no saber a que empresa corresponde y en segundo termino tienen toda la facultad de obligar a las empresas que portar su razón social y además donde se existe una cromática que la misma </w:t>
      </w:r>
      <w:r w:rsidRPr="00627C33">
        <w:rPr>
          <w:color w:val="auto"/>
        </w:rPr>
        <w:lastRenderedPageBreak/>
        <w:t>secretaria de movilidad tiene autorizada para esta zona y tal parece que no existe autoridad alguna para que verifique esa parte.</w:t>
      </w:r>
    </w:p>
    <w:p w14:paraId="65A4DBD0" w14:textId="77777777" w:rsidR="007C362B" w:rsidRPr="00627C33" w:rsidRDefault="007C362B" w:rsidP="00627C33">
      <w:pPr>
        <w:tabs>
          <w:tab w:val="left" w:pos="4667"/>
        </w:tabs>
        <w:ind w:left="567" w:right="567"/>
        <w:rPr>
          <w:i/>
        </w:rPr>
      </w:pPr>
    </w:p>
    <w:p w14:paraId="30115576" w14:textId="33DFADC5" w:rsidR="00E96298" w:rsidRPr="00627C33" w:rsidRDefault="00A20F25" w:rsidP="00627C33">
      <w:pPr>
        <w:tabs>
          <w:tab w:val="left" w:pos="4667"/>
        </w:tabs>
        <w:ind w:left="567" w:right="567"/>
      </w:pPr>
      <w:r w:rsidRPr="00627C33">
        <w:rPr>
          <w:b/>
        </w:rPr>
        <w:t>Modalidad de entrega</w:t>
      </w:r>
      <w:r w:rsidRPr="00627C33">
        <w:t xml:space="preserve">: </w:t>
      </w:r>
      <w:r w:rsidR="007C362B" w:rsidRPr="00627C33">
        <w:t>Copias Simples (con costo)</w:t>
      </w:r>
    </w:p>
    <w:p w14:paraId="108AB21D" w14:textId="77777777" w:rsidR="007C362B" w:rsidRPr="00627C33" w:rsidRDefault="007C362B" w:rsidP="00627C33">
      <w:pPr>
        <w:tabs>
          <w:tab w:val="left" w:pos="4667"/>
        </w:tabs>
        <w:ind w:left="567" w:right="567"/>
      </w:pPr>
    </w:p>
    <w:p w14:paraId="7D58338C" w14:textId="77777777" w:rsidR="008769B8" w:rsidRPr="00627C33" w:rsidRDefault="008769B8" w:rsidP="00627C33">
      <w:pPr>
        <w:pStyle w:val="Ttulo3"/>
      </w:pPr>
      <w:bookmarkStart w:id="6" w:name="_Toc174011823"/>
      <w:bookmarkStart w:id="7" w:name="_Toc175125129"/>
      <w:r w:rsidRPr="00627C33">
        <w:t>b) Turno de la solicitud de información</w:t>
      </w:r>
      <w:bookmarkEnd w:id="6"/>
      <w:bookmarkEnd w:id="7"/>
    </w:p>
    <w:p w14:paraId="66FCB148" w14:textId="6038BB1C" w:rsidR="00A607EF" w:rsidRPr="00627C33" w:rsidRDefault="008769B8" w:rsidP="00627C33">
      <w:r w:rsidRPr="00627C33">
        <w:t xml:space="preserve">En cumplimiento al artículo 162 de la Ley de Transparencia y Acceso a la Información Pública del Estado de México y Municipios, el </w:t>
      </w:r>
      <w:r w:rsidRPr="00627C33">
        <w:rPr>
          <w:b/>
          <w:bCs/>
        </w:rPr>
        <w:t>dieci</w:t>
      </w:r>
      <w:r w:rsidRPr="00627C33">
        <w:rPr>
          <w:b/>
        </w:rPr>
        <w:t xml:space="preserve">siete de </w:t>
      </w:r>
      <w:r w:rsidR="007C362B" w:rsidRPr="00627C33">
        <w:rPr>
          <w:b/>
        </w:rPr>
        <w:t>mayo</w:t>
      </w:r>
      <w:r w:rsidRPr="00627C33">
        <w:rPr>
          <w:b/>
        </w:rPr>
        <w:t xml:space="preserve"> de dos mil veinticuatro,</w:t>
      </w:r>
      <w:r w:rsidRPr="00627C33">
        <w:t xml:space="preserve"> la Titular de la Unidad de Transparencia del </w:t>
      </w:r>
      <w:r w:rsidRPr="00627C33">
        <w:rPr>
          <w:b/>
        </w:rPr>
        <w:t>SUJETO OBLIGADO</w:t>
      </w:r>
      <w:r w:rsidRPr="00627C33">
        <w:t xml:space="preserve"> turnó la solicitud de información al servidor público habilitado que estimó pertinente.</w:t>
      </w:r>
    </w:p>
    <w:p w14:paraId="6AFDAD4F" w14:textId="77777777" w:rsidR="00A607EF" w:rsidRPr="00627C33" w:rsidRDefault="00A607EF" w:rsidP="00627C33"/>
    <w:p w14:paraId="7FFEBC56" w14:textId="33DAABC7" w:rsidR="00E96298" w:rsidRPr="00627C33" w:rsidRDefault="00A20F25" w:rsidP="00627C33">
      <w:pPr>
        <w:pStyle w:val="Ttulo3"/>
      </w:pPr>
      <w:bookmarkStart w:id="8" w:name="_Toc175125130"/>
      <w:r w:rsidRPr="00627C33">
        <w:t>c) Respuesta del Sujeto Obligado</w:t>
      </w:r>
      <w:bookmarkEnd w:id="8"/>
    </w:p>
    <w:p w14:paraId="6A8C3270" w14:textId="4A93093B" w:rsidR="00E96298" w:rsidRPr="00627C33" w:rsidRDefault="00A20F25" w:rsidP="00627C33">
      <w:pPr>
        <w:pBdr>
          <w:top w:val="nil"/>
          <w:left w:val="nil"/>
          <w:bottom w:val="nil"/>
          <w:right w:val="nil"/>
          <w:between w:val="nil"/>
        </w:pBdr>
      </w:pPr>
      <w:r w:rsidRPr="00627C33">
        <w:t xml:space="preserve">El </w:t>
      </w:r>
      <w:r w:rsidR="007E420B" w:rsidRPr="00627C33">
        <w:rPr>
          <w:b/>
        </w:rPr>
        <w:t xml:space="preserve">siete de </w:t>
      </w:r>
      <w:r w:rsidR="00971354" w:rsidRPr="00627C33">
        <w:rPr>
          <w:b/>
        </w:rPr>
        <w:t>junio</w:t>
      </w:r>
      <w:r w:rsidR="00E85619" w:rsidRPr="00627C33">
        <w:rPr>
          <w:b/>
        </w:rPr>
        <w:t xml:space="preserve"> de dos mil veinticuatro</w:t>
      </w:r>
      <w:r w:rsidRPr="00627C33">
        <w:t xml:space="preserve">, el Titular de la Unidad de Transparencia del </w:t>
      </w:r>
      <w:r w:rsidRPr="00627C33">
        <w:rPr>
          <w:b/>
        </w:rPr>
        <w:t>SUJETO OBLIGADO</w:t>
      </w:r>
      <w:r w:rsidRPr="00627C33">
        <w:t xml:space="preserve"> notificó la siguiente respuesta a través del SAIMEX:</w:t>
      </w:r>
    </w:p>
    <w:p w14:paraId="1F77F4FD" w14:textId="77777777" w:rsidR="00E96298" w:rsidRPr="00627C33" w:rsidRDefault="00E96298" w:rsidP="00627C33">
      <w:pPr>
        <w:tabs>
          <w:tab w:val="left" w:pos="4667"/>
        </w:tabs>
        <w:ind w:left="567" w:right="567"/>
        <w:rPr>
          <w:b/>
        </w:rPr>
      </w:pPr>
    </w:p>
    <w:p w14:paraId="32C710C9" w14:textId="77777777" w:rsidR="007C362B" w:rsidRPr="00627C33" w:rsidRDefault="007C362B" w:rsidP="00627C33">
      <w:pPr>
        <w:pStyle w:val="Puesto"/>
        <w:ind w:firstLine="0"/>
        <w:rPr>
          <w:color w:val="auto"/>
        </w:rPr>
      </w:pPr>
      <w:r w:rsidRPr="00627C33">
        <w:rPr>
          <w:color w:val="auto"/>
        </w:rPr>
        <w:t>Folio de la solicitud: 00361/SMOV/IP/2024</w:t>
      </w:r>
    </w:p>
    <w:p w14:paraId="73A149F0" w14:textId="77777777" w:rsidR="007C362B" w:rsidRPr="00627C33" w:rsidRDefault="007C362B" w:rsidP="00627C33">
      <w:pPr>
        <w:pStyle w:val="Puesto"/>
        <w:ind w:firstLine="0"/>
        <w:rPr>
          <w:color w:val="auto"/>
        </w:rPr>
      </w:pPr>
    </w:p>
    <w:p w14:paraId="19DBCE42" w14:textId="77777777" w:rsidR="007C362B" w:rsidRPr="00627C33" w:rsidRDefault="007C362B" w:rsidP="00627C33">
      <w:pPr>
        <w:pStyle w:val="Puesto"/>
        <w:ind w:firstLine="0"/>
        <w:rPr>
          <w:color w:val="auto"/>
        </w:rPr>
      </w:pPr>
      <w:r w:rsidRPr="00627C33">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0CA6EA" w14:textId="77777777" w:rsidR="005C25E0" w:rsidRPr="00627C33" w:rsidRDefault="005C25E0" w:rsidP="00627C33">
      <w:pPr>
        <w:pStyle w:val="Puesto"/>
        <w:ind w:firstLine="0"/>
        <w:rPr>
          <w:color w:val="auto"/>
        </w:rPr>
      </w:pPr>
    </w:p>
    <w:p w14:paraId="20846849" w14:textId="77777777" w:rsidR="007C362B" w:rsidRPr="00627C33" w:rsidRDefault="007C362B" w:rsidP="00627C33">
      <w:pPr>
        <w:pStyle w:val="Puesto"/>
        <w:ind w:firstLine="0"/>
        <w:rPr>
          <w:color w:val="auto"/>
        </w:rPr>
      </w:pPr>
      <w:r w:rsidRPr="00627C33">
        <w:rPr>
          <w:color w:val="auto"/>
        </w:rPr>
        <w:t xml:space="preserve">Tlalnepantla de Baz, Estado de México, a 7 de junio de 2024 Lic. Alejandro Hernández Aguilar, Titular de la Unidad de Transparencia P r e s e n t e En atención a la petición presentada ante el Instituto de Transparencia, Acceso a la Información Pública y Protección de Datos Personales del Estado de México (INFOEM) a través del número 00361/SMOV/IP/2024, turnada a esta Dirección a mi cargo, mediante el Sistema de Acceso a la Información Mexiquense, donde se solicita: “solicito una relacion de las empresas que están autorizadas a prestar el servicio publico sobre la vía viaducto bicentenario en el municipio de Zumpango ya que circulan muchas unidades con diferentes colores las cuales son amarillas rojas verdes donde en ninguna se aprecia su razón social o nombre de la empresa a la que pertenece ya que días anteriores sufrí un accidente en el </w:t>
      </w:r>
      <w:r w:rsidRPr="00627C33">
        <w:rPr>
          <w:color w:val="auto"/>
        </w:rPr>
        <w:lastRenderedPageBreak/>
        <w:t>interior de una de ellas y no pude reclamar mis daños por no saber a que empresa corresponde y en segundo término tienen toda la facultad de obligar a las empresas que portar su razón social y además donde se existe una cromática que la misma secretaria de movilidad tiene autorizada para esta zona y tal parece que no existe autoridad alguna para que verifique esa parte” (sic). En este tenor se informa que después de una búsqueda exhaustiva el peticionante de transparencia podrá localizar la información solicitada en los archivos electrónicos que al presente se adjuntan en formato pdf titulados “DERROTEROS ZUMPANGO 693” y “Manual_Parametrico”; en el caso de este último el solicitante además se percatara que existe regulación sobre la cromática de las unidades vehiculares donde se presta el servicio público de transportes. Sin más por el momento, en espera de que la información proporcionada sea de utilidad, quedo de Usted. Cordialmente Diana Ayala Albarrán, Director General de Movilidad Zona II.</w:t>
      </w:r>
    </w:p>
    <w:p w14:paraId="315060E0" w14:textId="77777777" w:rsidR="007C362B" w:rsidRPr="00627C33" w:rsidRDefault="007C362B" w:rsidP="00627C33">
      <w:pPr>
        <w:pStyle w:val="Puesto"/>
        <w:ind w:firstLine="0"/>
        <w:rPr>
          <w:color w:val="auto"/>
        </w:rPr>
      </w:pPr>
    </w:p>
    <w:p w14:paraId="12A175BD" w14:textId="77777777" w:rsidR="007C362B" w:rsidRPr="00627C33" w:rsidRDefault="007C362B" w:rsidP="00627C33">
      <w:pPr>
        <w:pStyle w:val="Puesto"/>
        <w:ind w:firstLine="0"/>
        <w:rPr>
          <w:color w:val="auto"/>
        </w:rPr>
      </w:pPr>
      <w:r w:rsidRPr="00627C33">
        <w:rPr>
          <w:color w:val="auto"/>
        </w:rPr>
        <w:t>ATENTAMENTE</w:t>
      </w:r>
    </w:p>
    <w:p w14:paraId="55242AD4" w14:textId="572E967F" w:rsidR="00E96298" w:rsidRPr="00627C33" w:rsidRDefault="007C362B" w:rsidP="00627C33">
      <w:pPr>
        <w:pStyle w:val="Puesto"/>
        <w:ind w:firstLine="0"/>
        <w:rPr>
          <w:color w:val="auto"/>
        </w:rPr>
      </w:pPr>
      <w:r w:rsidRPr="00627C33">
        <w:rPr>
          <w:color w:val="auto"/>
        </w:rPr>
        <w:t>Lic. Alejandro Hernández Aguilar</w:t>
      </w:r>
    </w:p>
    <w:p w14:paraId="72022E83" w14:textId="77777777" w:rsidR="00971354" w:rsidRPr="00627C33" w:rsidRDefault="00971354" w:rsidP="00627C33">
      <w:pPr>
        <w:ind w:right="-28"/>
      </w:pPr>
    </w:p>
    <w:p w14:paraId="0055A14D" w14:textId="77777777" w:rsidR="007C362B" w:rsidRPr="00627C33" w:rsidRDefault="00A20F25" w:rsidP="00627C33">
      <w:pPr>
        <w:ind w:right="-28"/>
      </w:pPr>
      <w:r w:rsidRPr="00627C33">
        <w:t xml:space="preserve">Asimismo, </w:t>
      </w:r>
      <w:r w:rsidRPr="00627C33">
        <w:rPr>
          <w:b/>
        </w:rPr>
        <w:t xml:space="preserve">EL SUJETO OBLIGADO </w:t>
      </w:r>
      <w:r w:rsidRPr="00627C33">
        <w:t xml:space="preserve">adjuntó a su respuesta </w:t>
      </w:r>
      <w:r w:rsidR="007C362B" w:rsidRPr="00627C33">
        <w:t>los</w:t>
      </w:r>
      <w:r w:rsidRPr="00627C33">
        <w:t xml:space="preserve"> archivo</w:t>
      </w:r>
      <w:r w:rsidR="007C362B" w:rsidRPr="00627C33">
        <w:t>s</w:t>
      </w:r>
      <w:r w:rsidRPr="00627C33">
        <w:t xml:space="preserve"> </w:t>
      </w:r>
      <w:r w:rsidR="00E5483B" w:rsidRPr="00627C33">
        <w:t>electrónico</w:t>
      </w:r>
      <w:r w:rsidR="007C362B" w:rsidRPr="00627C33">
        <w:t>s</w:t>
      </w:r>
      <w:r w:rsidR="00E5483B" w:rsidRPr="00627C33">
        <w:t xml:space="preserve"> denominado</w:t>
      </w:r>
      <w:r w:rsidR="007C362B" w:rsidRPr="00627C33">
        <w:t>s:</w:t>
      </w:r>
    </w:p>
    <w:p w14:paraId="250A2B5A" w14:textId="77777777" w:rsidR="007C362B" w:rsidRPr="00627C33" w:rsidRDefault="007C362B" w:rsidP="00627C33">
      <w:pPr>
        <w:ind w:right="-28"/>
      </w:pPr>
    </w:p>
    <w:p w14:paraId="19545391" w14:textId="77777777" w:rsidR="007C362B" w:rsidRPr="00627C33" w:rsidRDefault="007C362B" w:rsidP="00627C33">
      <w:pPr>
        <w:pStyle w:val="Prrafodelista"/>
        <w:numPr>
          <w:ilvl w:val="0"/>
          <w:numId w:val="34"/>
        </w:numPr>
        <w:ind w:right="-28"/>
        <w:rPr>
          <w:b/>
          <w:i/>
        </w:rPr>
      </w:pPr>
      <w:r w:rsidRPr="00627C33">
        <w:rPr>
          <w:b/>
          <w:i/>
        </w:rPr>
        <w:t>Manual_Parametrico.pdf</w:t>
      </w:r>
    </w:p>
    <w:p w14:paraId="352927B2" w14:textId="5E720EC0" w:rsidR="007C362B" w:rsidRPr="00627C33" w:rsidRDefault="007C362B" w:rsidP="00627C33">
      <w:pPr>
        <w:pStyle w:val="Prrafodelista"/>
        <w:ind w:right="-28"/>
      </w:pPr>
      <w:r w:rsidRPr="00627C33">
        <w:t xml:space="preserve">Archivo constante de 145 páginas, en formato pdf, en el que se contiene la Aplicación por región del Manual Paramédico para elementos de Identificación del Transporte Seguro y Taxi Rosa del Estado de México. </w:t>
      </w:r>
    </w:p>
    <w:p w14:paraId="506A4B0C" w14:textId="77777777" w:rsidR="007C362B" w:rsidRPr="00627C33" w:rsidRDefault="007C362B" w:rsidP="00627C33">
      <w:pPr>
        <w:pStyle w:val="Prrafodelista"/>
        <w:ind w:right="-28"/>
      </w:pPr>
    </w:p>
    <w:p w14:paraId="16855746" w14:textId="53169321" w:rsidR="00E5483B" w:rsidRPr="00627C33" w:rsidRDefault="007C362B" w:rsidP="00627C33">
      <w:pPr>
        <w:pStyle w:val="Prrafodelista"/>
        <w:numPr>
          <w:ilvl w:val="0"/>
          <w:numId w:val="34"/>
        </w:numPr>
        <w:ind w:right="-28"/>
        <w:rPr>
          <w:b/>
          <w:i/>
        </w:rPr>
      </w:pPr>
      <w:r w:rsidRPr="00627C33">
        <w:rPr>
          <w:b/>
          <w:i/>
        </w:rPr>
        <w:t>DERROTEROS ZUMPANGO 693.pdf</w:t>
      </w:r>
    </w:p>
    <w:p w14:paraId="24172E55" w14:textId="2D2E999E" w:rsidR="007C362B" w:rsidRPr="00627C33" w:rsidRDefault="007C362B" w:rsidP="00627C33">
      <w:pPr>
        <w:ind w:left="720" w:right="-28"/>
        <w:rPr>
          <w:i/>
        </w:rPr>
      </w:pPr>
      <w:r w:rsidRPr="00627C33">
        <w:t xml:space="preserve">Archivo constante de 2 páginas, en las que se aprecia una tabla, con los rubros </w:t>
      </w:r>
      <w:r w:rsidRPr="00627C33">
        <w:rPr>
          <w:i/>
        </w:rPr>
        <w:t>municipio de operación, Nombre de la Empresa y No, de oficio de Autorización.</w:t>
      </w:r>
    </w:p>
    <w:p w14:paraId="39300D93" w14:textId="77777777" w:rsidR="007C362B" w:rsidRPr="00627C33" w:rsidRDefault="007C362B" w:rsidP="00627C33">
      <w:pPr>
        <w:ind w:right="-28"/>
      </w:pPr>
    </w:p>
    <w:p w14:paraId="2DF01178" w14:textId="77777777" w:rsidR="00E96298" w:rsidRPr="00627C33" w:rsidRDefault="00A20F25" w:rsidP="00627C33">
      <w:pPr>
        <w:pStyle w:val="Ttulo2"/>
        <w:jc w:val="left"/>
      </w:pPr>
      <w:bookmarkStart w:id="9" w:name="_Toc175125131"/>
      <w:r w:rsidRPr="00627C33">
        <w:lastRenderedPageBreak/>
        <w:t>DEL RECURSO DE REVISIÓN</w:t>
      </w:r>
      <w:bookmarkEnd w:id="9"/>
    </w:p>
    <w:p w14:paraId="01FDFDD7" w14:textId="77777777" w:rsidR="00E96298" w:rsidRPr="00627C33" w:rsidRDefault="00A20F25" w:rsidP="00627C33">
      <w:pPr>
        <w:pStyle w:val="Ttulo3"/>
      </w:pPr>
      <w:bookmarkStart w:id="10" w:name="_Toc175125132"/>
      <w:r w:rsidRPr="00627C33">
        <w:t>a) Interposición del Recurso de Revisión</w:t>
      </w:r>
      <w:bookmarkEnd w:id="10"/>
    </w:p>
    <w:p w14:paraId="07FFD63C" w14:textId="0C369687" w:rsidR="00E96298" w:rsidRPr="00627C33" w:rsidRDefault="00A20F25" w:rsidP="00627C33">
      <w:pPr>
        <w:ind w:right="-28"/>
      </w:pPr>
      <w:r w:rsidRPr="00627C33">
        <w:t xml:space="preserve">El </w:t>
      </w:r>
      <w:bookmarkStart w:id="11" w:name="_Hlk174530172"/>
      <w:r w:rsidR="005C25E0" w:rsidRPr="00627C33">
        <w:rPr>
          <w:b/>
          <w:bCs/>
        </w:rPr>
        <w:t>once</w:t>
      </w:r>
      <w:r w:rsidR="008769B8" w:rsidRPr="00627C33">
        <w:rPr>
          <w:b/>
        </w:rPr>
        <w:t xml:space="preserve"> de junio de dos mil veinticuatro</w:t>
      </w:r>
      <w:bookmarkEnd w:id="11"/>
      <w:r w:rsidR="00D8035C" w:rsidRPr="00627C33">
        <w:rPr>
          <w:b/>
        </w:rPr>
        <w:t xml:space="preserve">, </w:t>
      </w:r>
      <w:r w:rsidRPr="00627C33">
        <w:rPr>
          <w:b/>
        </w:rPr>
        <w:t>LA PARTE RECURRENTE</w:t>
      </w:r>
      <w:r w:rsidRPr="00627C33">
        <w:t xml:space="preserve"> interpuso el recurso de revisión en contra de la respuesta emitida por el </w:t>
      </w:r>
      <w:r w:rsidRPr="00627C33">
        <w:rPr>
          <w:b/>
        </w:rPr>
        <w:t>SUJETO OBLIGADO</w:t>
      </w:r>
      <w:r w:rsidRPr="00627C33">
        <w:t xml:space="preserve">, mismo que fue registrado en el SAIMEX con el número de expediente </w:t>
      </w:r>
      <w:r w:rsidR="007C362B" w:rsidRPr="00627C33">
        <w:rPr>
          <w:b/>
        </w:rPr>
        <w:t>03567/INFOEM/IP/RR/2024</w:t>
      </w:r>
      <w:r w:rsidRPr="00627C33">
        <w:t>, y en el cual manifiesta lo siguiente:</w:t>
      </w:r>
    </w:p>
    <w:p w14:paraId="7CCA66F4" w14:textId="77777777" w:rsidR="00E96298" w:rsidRPr="00627C33" w:rsidRDefault="00E96298" w:rsidP="00627C33">
      <w:pPr>
        <w:tabs>
          <w:tab w:val="left" w:pos="4667"/>
        </w:tabs>
        <w:ind w:right="539"/>
      </w:pPr>
    </w:p>
    <w:p w14:paraId="6476C83A" w14:textId="77777777" w:rsidR="00297ECB" w:rsidRPr="00627C33" w:rsidRDefault="00A20F25" w:rsidP="00627C33">
      <w:pPr>
        <w:tabs>
          <w:tab w:val="left" w:pos="4667"/>
        </w:tabs>
        <w:ind w:left="567" w:right="539"/>
        <w:rPr>
          <w:b/>
        </w:rPr>
      </w:pPr>
      <w:r w:rsidRPr="00627C33">
        <w:rPr>
          <w:b/>
        </w:rPr>
        <w:t>ACTO IMPUGNADO</w:t>
      </w:r>
    </w:p>
    <w:p w14:paraId="689321BC" w14:textId="121FEB59" w:rsidR="008769B8" w:rsidRPr="00627C33" w:rsidRDefault="005C25E0" w:rsidP="00627C33">
      <w:pPr>
        <w:pStyle w:val="Puesto"/>
        <w:ind w:firstLine="0"/>
        <w:rPr>
          <w:color w:val="auto"/>
        </w:rPr>
      </w:pPr>
      <w:r w:rsidRPr="00627C33">
        <w:rPr>
          <w:color w:val="auto"/>
        </w:rPr>
        <w:t>LA CONTESTACION QUE ME REALIZO la mi solicitud no es la requerida yo solicite que empresas están autorizadas para prestar el servicio sobre la avenida bicentenario del municipio de Zumpango dado el caso que las empresas que dan el servicio no tienen una cromática como la que enviaron en la respuesta que me dan para tal efecto envió fotos de algunas unidades que prestan el servicio del circuito bicentenario donde demuestro que por ningún lado se ve la razón social reiterando que las autorizaciones que me enviaron en mi contestación carecen de la descripción informativa del recorrido que tienen autorizadas dichas empresas</w:t>
      </w:r>
    </w:p>
    <w:p w14:paraId="6D945DDE" w14:textId="77777777" w:rsidR="005C25E0" w:rsidRPr="00627C33" w:rsidRDefault="005C25E0" w:rsidP="00627C33">
      <w:pPr>
        <w:tabs>
          <w:tab w:val="left" w:pos="4667"/>
        </w:tabs>
        <w:ind w:left="567" w:right="539"/>
        <w:rPr>
          <w:i/>
        </w:rPr>
      </w:pPr>
    </w:p>
    <w:p w14:paraId="07B0DF0F" w14:textId="77777777" w:rsidR="00E96298" w:rsidRPr="00627C33" w:rsidRDefault="00A20F25" w:rsidP="00627C33">
      <w:pPr>
        <w:tabs>
          <w:tab w:val="left" w:pos="4667"/>
        </w:tabs>
        <w:ind w:left="567" w:right="539"/>
        <w:rPr>
          <w:b/>
        </w:rPr>
      </w:pPr>
      <w:r w:rsidRPr="00627C33">
        <w:rPr>
          <w:b/>
        </w:rPr>
        <w:t>RAZONES O MOTIVOS DE LA INCONFORMIDAD</w:t>
      </w:r>
      <w:r w:rsidRPr="00627C33">
        <w:rPr>
          <w:b/>
        </w:rPr>
        <w:tab/>
      </w:r>
    </w:p>
    <w:p w14:paraId="27069708" w14:textId="4246D957" w:rsidR="00E96298" w:rsidRPr="00627C33" w:rsidRDefault="005C25E0" w:rsidP="00627C33">
      <w:pPr>
        <w:pStyle w:val="Puesto"/>
        <w:ind w:firstLine="0"/>
        <w:rPr>
          <w:bCs/>
          <w:color w:val="auto"/>
        </w:rPr>
      </w:pPr>
      <w:r w:rsidRPr="00627C33">
        <w:rPr>
          <w:bCs/>
          <w:color w:val="auto"/>
        </w:rPr>
        <w:t xml:space="preserve">me envían las cromáticas autorizadas en todo el estado y un listado de las autorizaciones que cuenta </w:t>
      </w:r>
      <w:r w:rsidRPr="00627C33">
        <w:rPr>
          <w:color w:val="auto"/>
        </w:rPr>
        <w:t>cada</w:t>
      </w:r>
      <w:r w:rsidRPr="00627C33">
        <w:rPr>
          <w:bCs/>
          <w:color w:val="auto"/>
        </w:rPr>
        <w:t xml:space="preserve"> empresa pero no indica que tramos origen destino u algo que pueda identificar que empresas están autorizadas para la prestación de servicio en esa avenida</w:t>
      </w:r>
      <w:r w:rsidR="007E420B" w:rsidRPr="00627C33">
        <w:rPr>
          <w:bCs/>
          <w:color w:val="auto"/>
        </w:rPr>
        <w:t>.</w:t>
      </w:r>
    </w:p>
    <w:p w14:paraId="2E3CDCCD" w14:textId="4879B738" w:rsidR="007E420B" w:rsidRPr="00627C33" w:rsidRDefault="007E420B" w:rsidP="00627C33">
      <w:pPr>
        <w:tabs>
          <w:tab w:val="left" w:pos="4667"/>
        </w:tabs>
        <w:ind w:right="567"/>
        <w:rPr>
          <w:b/>
        </w:rPr>
      </w:pPr>
    </w:p>
    <w:p w14:paraId="0780F4D7" w14:textId="5BE03F5A" w:rsidR="00976619" w:rsidRPr="00627C33" w:rsidRDefault="00976619" w:rsidP="00627C33">
      <w:pPr>
        <w:tabs>
          <w:tab w:val="left" w:pos="4667"/>
        </w:tabs>
        <w:ind w:right="567"/>
      </w:pPr>
      <w:r w:rsidRPr="00627C33">
        <w:t xml:space="preserve">Cabe resaltar que el particular adjuntó al medio de impugnación el archivo denominado </w:t>
      </w:r>
      <w:r w:rsidRPr="00627C33">
        <w:rPr>
          <w:i/>
        </w:rPr>
        <w:t xml:space="preserve">imagen de una de las unidades que prrestan el servicio en circuito bicentenario en zumpango.pdf </w:t>
      </w:r>
      <w:r w:rsidRPr="00627C33">
        <w:t>en el que se aprecia una imagen de la carretera P° Bicentenario.</w:t>
      </w:r>
    </w:p>
    <w:p w14:paraId="68ECA060" w14:textId="77777777" w:rsidR="00976619" w:rsidRPr="00627C33" w:rsidRDefault="00976619" w:rsidP="00627C33">
      <w:pPr>
        <w:tabs>
          <w:tab w:val="left" w:pos="4667"/>
        </w:tabs>
        <w:ind w:right="567"/>
        <w:rPr>
          <w:b/>
        </w:rPr>
      </w:pPr>
    </w:p>
    <w:p w14:paraId="42DCC92D" w14:textId="77777777" w:rsidR="00E96298" w:rsidRPr="00627C33" w:rsidRDefault="00A20F25" w:rsidP="00627C33">
      <w:pPr>
        <w:pStyle w:val="Ttulo3"/>
      </w:pPr>
      <w:bookmarkStart w:id="12" w:name="_Toc175125133"/>
      <w:r w:rsidRPr="00627C33">
        <w:t>b) Turno del Recurso de Revisión</w:t>
      </w:r>
      <w:bookmarkEnd w:id="12"/>
    </w:p>
    <w:p w14:paraId="2B1E90D3" w14:textId="4FF26398" w:rsidR="00E96298" w:rsidRPr="00627C33" w:rsidRDefault="00A20F25" w:rsidP="00627C33">
      <w:r w:rsidRPr="00627C33">
        <w:t>Con fundamento en el artículo 185, fracción I de la Ley de Transparencia y Acceso a la Información Pública del Estado de México y Municipios, el</w:t>
      </w:r>
      <w:r w:rsidRPr="00627C33">
        <w:rPr>
          <w:b/>
        </w:rPr>
        <w:t xml:space="preserve"> </w:t>
      </w:r>
      <w:r w:rsidR="005C25E0" w:rsidRPr="00627C33">
        <w:rPr>
          <w:b/>
        </w:rPr>
        <w:t>once</w:t>
      </w:r>
      <w:r w:rsidR="008769B8" w:rsidRPr="00627C33">
        <w:rPr>
          <w:b/>
        </w:rPr>
        <w:t xml:space="preserve"> de junio de dos mil </w:t>
      </w:r>
      <w:r w:rsidR="008769B8" w:rsidRPr="00627C33">
        <w:rPr>
          <w:b/>
        </w:rPr>
        <w:lastRenderedPageBreak/>
        <w:t>veinticuatro</w:t>
      </w:r>
      <w:r w:rsidR="00D8035C" w:rsidRPr="00627C33">
        <w:rPr>
          <w:b/>
        </w:rPr>
        <w:t xml:space="preserve">, </w:t>
      </w:r>
      <w:r w:rsidRPr="00627C33">
        <w:t xml:space="preserve">se turnó el recurso de revisión a través del SAIMEX a la </w:t>
      </w:r>
      <w:r w:rsidRPr="00627C33">
        <w:rPr>
          <w:b/>
        </w:rPr>
        <w:t>Comisionada Sharon Cristina Morales Martínez</w:t>
      </w:r>
      <w:r w:rsidRPr="00627C33">
        <w:t xml:space="preserve">, a efecto de decretar su admisión o desechamiento. </w:t>
      </w:r>
    </w:p>
    <w:p w14:paraId="1A9E08B9" w14:textId="77777777" w:rsidR="007E420B" w:rsidRPr="00627C33" w:rsidRDefault="007E420B" w:rsidP="00627C33"/>
    <w:p w14:paraId="6E582799" w14:textId="77777777" w:rsidR="00E96298" w:rsidRPr="00627C33" w:rsidRDefault="00A20F25" w:rsidP="00627C33">
      <w:pPr>
        <w:pStyle w:val="Ttulo3"/>
      </w:pPr>
      <w:bookmarkStart w:id="13" w:name="_Toc175125134"/>
      <w:r w:rsidRPr="00627C33">
        <w:t>c) Admisión del Recurso de Revisión</w:t>
      </w:r>
      <w:bookmarkEnd w:id="13"/>
    </w:p>
    <w:p w14:paraId="46F41C15" w14:textId="19352D62" w:rsidR="00E96298" w:rsidRPr="00627C33" w:rsidRDefault="00A20F25" w:rsidP="00627C33">
      <w:r w:rsidRPr="00627C33">
        <w:t xml:space="preserve">El </w:t>
      </w:r>
      <w:r w:rsidR="005C25E0" w:rsidRPr="00627C33">
        <w:rPr>
          <w:b/>
          <w:bCs/>
        </w:rPr>
        <w:t>catorce</w:t>
      </w:r>
      <w:r w:rsidR="008769B8" w:rsidRPr="00627C33">
        <w:rPr>
          <w:b/>
          <w:bCs/>
        </w:rPr>
        <w:t xml:space="preserve"> </w:t>
      </w:r>
      <w:r w:rsidR="008769B8" w:rsidRPr="00627C33">
        <w:rPr>
          <w:b/>
        </w:rPr>
        <w:t>de junio de dos mil veinticuatro</w:t>
      </w:r>
      <w:r w:rsidR="00D8035C" w:rsidRPr="00627C33">
        <w:rPr>
          <w:b/>
        </w:rPr>
        <w:t xml:space="preserve">, </w:t>
      </w:r>
      <w:r w:rsidRPr="00627C33">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E62314" w14:textId="77777777" w:rsidR="00E96298" w:rsidRPr="00627C33" w:rsidRDefault="00E96298" w:rsidP="00627C33"/>
    <w:p w14:paraId="6A310D93" w14:textId="6D9D7548" w:rsidR="00E96298" w:rsidRPr="00627C33" w:rsidRDefault="00A20F25" w:rsidP="00627C33">
      <w:pPr>
        <w:pStyle w:val="Ttulo3"/>
      </w:pPr>
      <w:bookmarkStart w:id="14" w:name="_Toc175125135"/>
      <w:r w:rsidRPr="00627C33">
        <w:t>d) Informe Justificado del Sujeto Obligado</w:t>
      </w:r>
      <w:bookmarkEnd w:id="14"/>
    </w:p>
    <w:p w14:paraId="41FCA688" w14:textId="75C2863D" w:rsidR="009C1F36" w:rsidRPr="00627C33" w:rsidRDefault="009C1F36" w:rsidP="00627C33">
      <w:pPr>
        <w:rPr>
          <w:iCs/>
        </w:rPr>
      </w:pPr>
      <w:r w:rsidRPr="00627C33">
        <w:t xml:space="preserve">El </w:t>
      </w:r>
      <w:r w:rsidRPr="00627C33">
        <w:rPr>
          <w:b/>
          <w:bCs/>
        </w:rPr>
        <w:t xml:space="preserve">veinticinco de junio </w:t>
      </w:r>
      <w:r w:rsidRPr="00627C33">
        <w:rPr>
          <w:rFonts w:cs="Tahoma"/>
          <w:b/>
          <w:bCs/>
        </w:rPr>
        <w:t>de dos mil veinticuatro</w:t>
      </w:r>
      <w:r w:rsidRPr="00627C33">
        <w:rPr>
          <w:b/>
        </w:rPr>
        <w:t xml:space="preserve"> EL SUJETO OBLIGADO</w:t>
      </w:r>
      <w:r w:rsidRPr="00627C33">
        <w:t xml:space="preserve"> rindió su informe justificado a través del SAIMEX, </w:t>
      </w:r>
      <w:r w:rsidRPr="00627C33">
        <w:rPr>
          <w:iCs/>
        </w:rPr>
        <w:t>que contienen lo siguiente:</w:t>
      </w:r>
    </w:p>
    <w:p w14:paraId="148D84E7" w14:textId="77777777" w:rsidR="009C1F36" w:rsidRPr="00627C33" w:rsidRDefault="009C1F36" w:rsidP="00627C33">
      <w:pPr>
        <w:rPr>
          <w:iCs/>
        </w:rPr>
      </w:pPr>
    </w:p>
    <w:p w14:paraId="08166CEC" w14:textId="5801BC14" w:rsidR="009C1F36" w:rsidRPr="00627C33" w:rsidRDefault="009C1F36" w:rsidP="00627C33">
      <w:pPr>
        <w:pStyle w:val="Prrafodelista"/>
        <w:numPr>
          <w:ilvl w:val="0"/>
          <w:numId w:val="34"/>
        </w:numPr>
        <w:rPr>
          <w:b/>
          <w:i/>
          <w:iCs/>
        </w:rPr>
      </w:pPr>
      <w:r w:rsidRPr="00627C33">
        <w:rPr>
          <w:b/>
          <w:i/>
          <w:iCs/>
        </w:rPr>
        <w:t>OFICIO ZONA II.pdf</w:t>
      </w:r>
    </w:p>
    <w:p w14:paraId="3DBDDE07" w14:textId="016134FC" w:rsidR="009C1F36" w:rsidRPr="00627C33" w:rsidRDefault="009C1F36" w:rsidP="00627C33">
      <w:pPr>
        <w:ind w:left="720"/>
        <w:rPr>
          <w:iCs/>
        </w:rPr>
      </w:pPr>
      <w:r w:rsidRPr="00627C33">
        <w:rPr>
          <w:iCs/>
        </w:rPr>
        <w:t>Archivo que contiene el oficio número 22001002000000T/554/2024, de fecha 24 de junio de 2024, dirigido al Titular de la Unidad de Transparencia y Coordinador de Control Técnico, suscrito por la Directora General de Movilidad Zona II, en el que le informa:</w:t>
      </w:r>
    </w:p>
    <w:p w14:paraId="5B8A8323" w14:textId="77777777" w:rsidR="009C1F36" w:rsidRPr="00627C33" w:rsidRDefault="009C1F36" w:rsidP="00627C33">
      <w:pPr>
        <w:ind w:left="567"/>
        <w:rPr>
          <w:i/>
          <w:iCs/>
        </w:rPr>
      </w:pPr>
    </w:p>
    <w:p w14:paraId="6DC9A264" w14:textId="77777777" w:rsidR="009C1F36" w:rsidRPr="00627C33" w:rsidRDefault="009C1F36" w:rsidP="00627C33">
      <w:pPr>
        <w:pStyle w:val="Puesto"/>
        <w:ind w:firstLine="0"/>
        <w:rPr>
          <w:color w:val="auto"/>
        </w:rPr>
      </w:pPr>
      <w:r w:rsidRPr="00627C33">
        <w:rPr>
          <w:color w:val="auto"/>
        </w:rPr>
        <w:t>“Que después de revisar el archivo digital que obra en esta unidad administrativa, sólo se cuenta con el registro de autorización de derroteros sobre la vialidad Viaducto Bicentenario a favor de las denominadas:</w:t>
      </w:r>
    </w:p>
    <w:p w14:paraId="1E04576C" w14:textId="5DBE5897" w:rsidR="009C1F36" w:rsidRPr="00627C33" w:rsidRDefault="009C1F36" w:rsidP="00627C33">
      <w:pPr>
        <w:pStyle w:val="Puesto"/>
        <w:ind w:firstLine="0"/>
        <w:rPr>
          <w:b/>
          <w:color w:val="auto"/>
        </w:rPr>
      </w:pPr>
      <w:r w:rsidRPr="00627C33">
        <w:rPr>
          <w:b/>
          <w:color w:val="auto"/>
        </w:rPr>
        <w:t>AUTOTRANSPORTES MEXICO ZUMPANGO CUEVAS TLAPANALOYA, S.A. DE C.V y</w:t>
      </w:r>
    </w:p>
    <w:p w14:paraId="466B2E44" w14:textId="79B32976" w:rsidR="009C1F36" w:rsidRPr="00627C33" w:rsidRDefault="009C1F36" w:rsidP="00627C33">
      <w:pPr>
        <w:pStyle w:val="Puesto"/>
        <w:ind w:firstLine="0"/>
        <w:rPr>
          <w:b/>
          <w:color w:val="auto"/>
        </w:rPr>
      </w:pPr>
      <w:r w:rsidRPr="00627C33">
        <w:rPr>
          <w:b/>
          <w:color w:val="auto"/>
        </w:rPr>
        <w:t>TRANSPORTES MEXICO ZUMPANGO TIANGUISTONGO, S.A. DE C.V.”</w:t>
      </w:r>
    </w:p>
    <w:p w14:paraId="694A9D82" w14:textId="77777777" w:rsidR="001E17DC" w:rsidRPr="00627C33" w:rsidRDefault="001E17DC" w:rsidP="00627C33">
      <w:pPr>
        <w:ind w:left="567"/>
        <w:rPr>
          <w:b/>
          <w:i/>
          <w:iCs/>
        </w:rPr>
      </w:pPr>
    </w:p>
    <w:p w14:paraId="01A28EE5" w14:textId="10438181" w:rsidR="009C1F36" w:rsidRPr="00627C33" w:rsidRDefault="009C1F36" w:rsidP="00627C33">
      <w:pPr>
        <w:pStyle w:val="Prrafodelista"/>
        <w:numPr>
          <w:ilvl w:val="0"/>
          <w:numId w:val="34"/>
        </w:numPr>
        <w:rPr>
          <w:b/>
          <w:i/>
          <w:iCs/>
        </w:rPr>
      </w:pPr>
      <w:r w:rsidRPr="00627C33">
        <w:rPr>
          <w:b/>
          <w:i/>
          <w:iCs/>
        </w:rPr>
        <w:t>Informe Justificado 3567.pdf</w:t>
      </w:r>
    </w:p>
    <w:p w14:paraId="5A51A44C" w14:textId="4BE58AEF" w:rsidR="009C1F36" w:rsidRPr="00627C33" w:rsidRDefault="00976619" w:rsidP="00627C33">
      <w:pPr>
        <w:pStyle w:val="Prrafodelista"/>
        <w:rPr>
          <w:iCs/>
        </w:rPr>
      </w:pPr>
      <w:r w:rsidRPr="00627C33">
        <w:rPr>
          <w:iCs/>
        </w:rPr>
        <w:lastRenderedPageBreak/>
        <w:t>Archivo constante de 3 páginas, en las que se aprecia el informe justificado, rendido por el Titular de la Unidad de Transparencia y Coordinador de Control Técnico, en el que le informa, que con la finalidad de atender el presente ocurso, el Servidor Público Habilitado de la Dirección General de Movilidad Zona II, como área competente para responder el requerimiento de información.</w:t>
      </w:r>
    </w:p>
    <w:p w14:paraId="559CF652" w14:textId="77777777" w:rsidR="009C1F36" w:rsidRPr="00627C33" w:rsidRDefault="009C1F36" w:rsidP="00627C33">
      <w:pPr>
        <w:rPr>
          <w:iCs/>
        </w:rPr>
      </w:pPr>
    </w:p>
    <w:p w14:paraId="1507B402" w14:textId="0BF9D538" w:rsidR="009C1F36" w:rsidRPr="00627C33" w:rsidRDefault="009C1F36" w:rsidP="00627C33">
      <w:r w:rsidRPr="00627C33">
        <w:t xml:space="preserve">Esta información fue puesta a la vista de </w:t>
      </w:r>
      <w:r w:rsidRPr="00627C33">
        <w:rPr>
          <w:b/>
        </w:rPr>
        <w:t xml:space="preserve">LA PARTE RECURRENTE </w:t>
      </w:r>
      <w:r w:rsidRPr="00627C33">
        <w:t xml:space="preserve">el </w:t>
      </w:r>
      <w:r w:rsidRPr="00627C33">
        <w:rPr>
          <w:rFonts w:cs="Tahoma"/>
          <w:b/>
          <w:bCs/>
        </w:rPr>
        <w:t>diecinueve de julio de dos mil veinticuatro</w:t>
      </w:r>
      <w:r w:rsidRPr="00627C33">
        <w:rPr>
          <w:rFonts w:cs="Tahoma"/>
        </w:rPr>
        <w:t xml:space="preserve"> </w:t>
      </w:r>
      <w:r w:rsidRPr="00627C33">
        <w:t>para que, en un plazo de tres días hábiles, manifestara lo que a su derecho conviniera, de conformidad con lo establecido en el artículo 185, fracción III de la Ley de Transparencia y Acceso a la Información Pública del Estado de México y Municipios.</w:t>
      </w:r>
    </w:p>
    <w:p w14:paraId="48C183D9" w14:textId="77777777" w:rsidR="005C25E0" w:rsidRPr="00627C33" w:rsidRDefault="005C25E0" w:rsidP="00627C33"/>
    <w:p w14:paraId="29DE7BDE" w14:textId="131F1861" w:rsidR="00E96298" w:rsidRPr="00627C33" w:rsidRDefault="00D8035C" w:rsidP="00627C33">
      <w:pPr>
        <w:pStyle w:val="Ttulo3"/>
      </w:pPr>
      <w:bookmarkStart w:id="15" w:name="_Toc175125136"/>
      <w:r w:rsidRPr="00627C33">
        <w:t>e</w:t>
      </w:r>
      <w:r w:rsidR="00A20F25" w:rsidRPr="00627C33">
        <w:t>) Manifestaciones de la Parte Recurrente</w:t>
      </w:r>
      <w:bookmarkEnd w:id="15"/>
    </w:p>
    <w:p w14:paraId="5C70288B" w14:textId="3A311599" w:rsidR="009C1F36" w:rsidRPr="00627C33" w:rsidRDefault="009C1F36" w:rsidP="00627C33">
      <w:pPr>
        <w:rPr>
          <w:rFonts w:cs="Tahoma"/>
          <w:bCs/>
          <w:szCs w:val="24"/>
        </w:rPr>
      </w:pPr>
      <w:r w:rsidRPr="00627C33">
        <w:rPr>
          <w:rFonts w:cs="Tahoma"/>
          <w:b/>
          <w:szCs w:val="24"/>
        </w:rPr>
        <w:t xml:space="preserve">LA PARTE RECURRENTE </w:t>
      </w:r>
      <w:r w:rsidRPr="00627C33">
        <w:rPr>
          <w:rFonts w:cs="Tahoma"/>
          <w:bCs/>
          <w:szCs w:val="24"/>
        </w:rPr>
        <w:t xml:space="preserve">remitió sus manifestaciones a través del SAIMEX el </w:t>
      </w:r>
      <w:r w:rsidRPr="00627C33">
        <w:rPr>
          <w:rFonts w:cs="Tahoma"/>
          <w:b/>
          <w:szCs w:val="24"/>
        </w:rPr>
        <w:t xml:space="preserve">dieciocho de junio de dos mil veinticuatro, </w:t>
      </w:r>
      <w:r w:rsidRPr="00627C33">
        <w:rPr>
          <w:rFonts w:cs="Tahoma"/>
          <w:bCs/>
          <w:szCs w:val="24"/>
        </w:rPr>
        <w:t>en los archivos electrónicos siguientes:</w:t>
      </w:r>
    </w:p>
    <w:p w14:paraId="563F16A6" w14:textId="77777777" w:rsidR="00A03269" w:rsidRPr="00627C33" w:rsidRDefault="00A03269" w:rsidP="00627C33"/>
    <w:p w14:paraId="400FC971" w14:textId="6F9CBCAC" w:rsidR="00976619" w:rsidRPr="00627C33" w:rsidRDefault="00976619" w:rsidP="00627C33">
      <w:pPr>
        <w:pStyle w:val="Prrafodelista"/>
        <w:numPr>
          <w:ilvl w:val="0"/>
          <w:numId w:val="40"/>
        </w:numPr>
        <w:rPr>
          <w:b/>
          <w:i/>
        </w:rPr>
      </w:pPr>
      <w:r w:rsidRPr="00627C33">
        <w:rPr>
          <w:b/>
          <w:i/>
        </w:rPr>
        <w:t>imagen de una de las unidades que prrestan el servicio en circuito bicentenario en zumpango.pdf</w:t>
      </w:r>
    </w:p>
    <w:p w14:paraId="10B19B6F" w14:textId="2724D839" w:rsidR="00976619" w:rsidRPr="00627C33" w:rsidRDefault="00976619" w:rsidP="00627C33">
      <w:pPr>
        <w:pStyle w:val="Prrafodelista"/>
        <w:ind w:left="1080"/>
      </w:pPr>
      <w:r w:rsidRPr="00627C33">
        <w:t>Correspondiente a la imagen adjunta a su medio de impugnación, previamente descrita.</w:t>
      </w:r>
    </w:p>
    <w:p w14:paraId="6AFEF277" w14:textId="77777777" w:rsidR="00976619" w:rsidRPr="00627C33" w:rsidRDefault="00976619" w:rsidP="00627C33">
      <w:pPr>
        <w:rPr>
          <w:b/>
          <w:i/>
        </w:rPr>
      </w:pPr>
    </w:p>
    <w:p w14:paraId="51A8B34B" w14:textId="63EAAC66" w:rsidR="00976619" w:rsidRPr="00627C33" w:rsidRDefault="00976619" w:rsidP="00627C33">
      <w:pPr>
        <w:pStyle w:val="Prrafodelista"/>
        <w:numPr>
          <w:ilvl w:val="0"/>
          <w:numId w:val="40"/>
        </w:numPr>
        <w:rPr>
          <w:b/>
          <w:i/>
        </w:rPr>
      </w:pPr>
      <w:r w:rsidRPr="00627C33">
        <w:rPr>
          <w:b/>
          <w:i/>
        </w:rPr>
        <w:t>otra de las unidades que prestan el servicio en circuito bicentenario zumpango.pdf</w:t>
      </w:r>
    </w:p>
    <w:p w14:paraId="281AD195" w14:textId="5095A787" w:rsidR="005C25E0" w:rsidRPr="00627C33" w:rsidRDefault="00976619" w:rsidP="00627C33">
      <w:pPr>
        <w:ind w:left="1080"/>
      </w:pPr>
      <w:r w:rsidRPr="00627C33">
        <w:t>Archivo constante de una página, en la que se aprecia una imagen de la carretera P° Bicentenario.</w:t>
      </w:r>
    </w:p>
    <w:p w14:paraId="1848CFC5" w14:textId="77777777" w:rsidR="00976619" w:rsidRPr="00627C33" w:rsidRDefault="00976619" w:rsidP="00627C33">
      <w:pPr>
        <w:ind w:left="1080"/>
      </w:pPr>
    </w:p>
    <w:p w14:paraId="3CE4BD64" w14:textId="52212BFA" w:rsidR="00976619" w:rsidRPr="00627C33" w:rsidRDefault="00976619" w:rsidP="00627C33">
      <w:pPr>
        <w:pStyle w:val="Prrafodelista"/>
        <w:numPr>
          <w:ilvl w:val="0"/>
          <w:numId w:val="40"/>
        </w:numPr>
        <w:rPr>
          <w:b/>
          <w:i/>
        </w:rPr>
      </w:pPr>
      <w:r w:rsidRPr="00627C33">
        <w:rPr>
          <w:b/>
          <w:i/>
        </w:rPr>
        <w:t>tercera fotografia de unidades que prestan el servicio en circuito bicentenario zumpango.pdf</w:t>
      </w:r>
    </w:p>
    <w:p w14:paraId="1FF9F601" w14:textId="54C0FBB1" w:rsidR="00976619" w:rsidRPr="00627C33" w:rsidRDefault="00976619" w:rsidP="00627C33">
      <w:pPr>
        <w:pStyle w:val="Prrafodelista"/>
        <w:ind w:left="1080"/>
      </w:pPr>
      <w:r w:rsidRPr="00627C33">
        <w:lastRenderedPageBreak/>
        <w:t>Archivo constante de una página, en la que se aprecia una imagen de la carretera.</w:t>
      </w:r>
    </w:p>
    <w:p w14:paraId="27E717D3" w14:textId="77777777" w:rsidR="005C25E0" w:rsidRPr="00627C33" w:rsidRDefault="005C25E0" w:rsidP="00627C33">
      <w:pPr>
        <w:ind w:left="720"/>
      </w:pPr>
    </w:p>
    <w:p w14:paraId="16AC3E7D" w14:textId="335833DE" w:rsidR="001F5C57" w:rsidRPr="00627C33" w:rsidRDefault="002B3C53" w:rsidP="00627C33">
      <w:pPr>
        <w:pStyle w:val="Ttulo3"/>
      </w:pPr>
      <w:bookmarkStart w:id="16" w:name="_Toc175125137"/>
      <w:r w:rsidRPr="00627C33">
        <w:t>f</w:t>
      </w:r>
      <w:r w:rsidR="00A03269" w:rsidRPr="00627C33">
        <w:t xml:space="preserve">) </w:t>
      </w:r>
      <w:r w:rsidR="001F5C57" w:rsidRPr="00627C33">
        <w:t>Cierre de instrucción</w:t>
      </w:r>
      <w:bookmarkEnd w:id="16"/>
    </w:p>
    <w:p w14:paraId="1BAB4F5B" w14:textId="541DF09B" w:rsidR="00E96298" w:rsidRPr="00627C33" w:rsidRDefault="00A20F25" w:rsidP="00627C33">
      <w:bookmarkStart w:id="17" w:name="_3o7alnk" w:colFirst="0" w:colLast="0"/>
      <w:bookmarkEnd w:id="17"/>
      <w:r w:rsidRPr="00627C33">
        <w:t xml:space="preserve">Al no existir diligencias pendientes por desahogar, el </w:t>
      </w:r>
      <w:r w:rsidR="001F5C57" w:rsidRPr="00627C33">
        <w:rPr>
          <w:b/>
        </w:rPr>
        <w:t>catorce</w:t>
      </w:r>
      <w:r w:rsidR="00C01915" w:rsidRPr="00627C33">
        <w:rPr>
          <w:b/>
        </w:rPr>
        <w:t xml:space="preserve"> </w:t>
      </w:r>
      <w:r w:rsidR="007065B3" w:rsidRPr="00627C33">
        <w:rPr>
          <w:b/>
        </w:rPr>
        <w:t>de agosto</w:t>
      </w:r>
      <w:r w:rsidR="00D8035C" w:rsidRPr="00627C33">
        <w:rPr>
          <w:b/>
        </w:rPr>
        <w:t xml:space="preserve"> de dos mil veinticuatro</w:t>
      </w:r>
      <w:r w:rsidR="00D8035C" w:rsidRPr="00627C33">
        <w:t xml:space="preserve"> </w:t>
      </w:r>
      <w:r w:rsidRPr="00627C33">
        <w:t xml:space="preserve">la </w:t>
      </w:r>
      <w:r w:rsidRPr="00627C33">
        <w:rPr>
          <w:b/>
        </w:rPr>
        <w:t xml:space="preserve">Comisionada Sharon Cristina Morales Martínez </w:t>
      </w:r>
      <w:r w:rsidRPr="00627C3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1E9EE58" w14:textId="5717BF33" w:rsidR="001F5C57" w:rsidRPr="00627C33" w:rsidRDefault="001F5C57" w:rsidP="00627C33"/>
    <w:p w14:paraId="6961085E" w14:textId="7ED3F13C" w:rsidR="001F5C57" w:rsidRPr="00627C33" w:rsidRDefault="001F5C57" w:rsidP="00627C33">
      <w:pPr>
        <w:pStyle w:val="Ttulo3"/>
      </w:pPr>
      <w:bookmarkStart w:id="18" w:name="_Toc175125138"/>
      <w:r w:rsidRPr="00627C33">
        <w:t>g) Ampliación de plazo para resolver el Recurso de Revisión</w:t>
      </w:r>
      <w:bookmarkEnd w:id="18"/>
    </w:p>
    <w:p w14:paraId="4A8AE5A0" w14:textId="1742BB57" w:rsidR="001F5C57" w:rsidRPr="00627C33" w:rsidRDefault="001F5C57" w:rsidP="00627C33">
      <w:pPr>
        <w:tabs>
          <w:tab w:val="left" w:pos="3261"/>
        </w:tabs>
      </w:pPr>
      <w:r w:rsidRPr="00627C33">
        <w:t xml:space="preserve">Con fundamento en lo dispuesto en el artículo 181, párrafo tercero, de la Ley de Transparencia y Acceso a la Información Pública del Estado de México y Municipios, el </w:t>
      </w:r>
      <w:r w:rsidR="00F107D5" w:rsidRPr="00627C33">
        <w:rPr>
          <w:b/>
        </w:rPr>
        <w:t>catorce</w:t>
      </w:r>
      <w:r w:rsidRPr="00627C33">
        <w:rPr>
          <w:b/>
        </w:rPr>
        <w:t xml:space="preserve"> de agosto de dos mil veinticuatro,</w:t>
      </w:r>
      <w:r w:rsidRPr="00627C33">
        <w:t xml:space="preserve"> se acordó ampliar por un periodo razonable el plazo para resolver el presente Recurso de Revisión; acuerdo que fue notificado a las partes a través del SAIMEX.</w:t>
      </w:r>
    </w:p>
    <w:p w14:paraId="4D97FF0B" w14:textId="77777777" w:rsidR="001F5C57" w:rsidRPr="00627C33" w:rsidRDefault="001F5C57" w:rsidP="00627C33">
      <w:pPr>
        <w:tabs>
          <w:tab w:val="left" w:pos="3261"/>
        </w:tabs>
      </w:pPr>
    </w:p>
    <w:p w14:paraId="04DC89CF" w14:textId="77777777" w:rsidR="00E96298" w:rsidRPr="00627C33" w:rsidRDefault="00A20F25" w:rsidP="00627C33">
      <w:pPr>
        <w:pStyle w:val="Ttulo1"/>
      </w:pPr>
      <w:bookmarkStart w:id="19" w:name="_Toc175125139"/>
      <w:r w:rsidRPr="00627C33">
        <w:t>CONSIDERANDOS</w:t>
      </w:r>
      <w:bookmarkEnd w:id="19"/>
    </w:p>
    <w:p w14:paraId="1B9F87F1" w14:textId="77777777" w:rsidR="00E96298" w:rsidRPr="00627C33" w:rsidRDefault="00E96298" w:rsidP="00627C33">
      <w:pPr>
        <w:jc w:val="center"/>
        <w:rPr>
          <w:b/>
        </w:rPr>
      </w:pPr>
    </w:p>
    <w:p w14:paraId="522EF5CD" w14:textId="77777777" w:rsidR="00E96298" w:rsidRPr="00627C33" w:rsidRDefault="00A20F25" w:rsidP="00627C33">
      <w:pPr>
        <w:pStyle w:val="Ttulo2"/>
      </w:pPr>
      <w:bookmarkStart w:id="20" w:name="_Toc175125140"/>
      <w:r w:rsidRPr="00627C33">
        <w:t>PRIMERO. Procedibilidad</w:t>
      </w:r>
      <w:bookmarkEnd w:id="20"/>
    </w:p>
    <w:p w14:paraId="6E989DB9" w14:textId="77777777" w:rsidR="00E96298" w:rsidRPr="00627C33" w:rsidRDefault="00A20F25" w:rsidP="00627C33">
      <w:pPr>
        <w:pStyle w:val="Ttulo3"/>
      </w:pPr>
      <w:bookmarkStart w:id="21" w:name="_Toc175125141"/>
      <w:r w:rsidRPr="00627C33">
        <w:t>a) Competencia del Instituto</w:t>
      </w:r>
      <w:bookmarkEnd w:id="21"/>
    </w:p>
    <w:p w14:paraId="6FE7C3C1" w14:textId="5955DB35" w:rsidR="00E96298" w:rsidRPr="00627C33" w:rsidRDefault="00A20F25" w:rsidP="00627C33">
      <w:r w:rsidRPr="00627C33">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627C33">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4DC591" w14:textId="77777777" w:rsidR="00E96298" w:rsidRPr="00627C33" w:rsidRDefault="00E96298" w:rsidP="00627C33"/>
    <w:p w14:paraId="27A1084B" w14:textId="77777777" w:rsidR="00E96298" w:rsidRPr="00627C33" w:rsidRDefault="00A20F25" w:rsidP="00627C33">
      <w:pPr>
        <w:pStyle w:val="Ttulo3"/>
      </w:pPr>
      <w:bookmarkStart w:id="22" w:name="_Toc175125142"/>
      <w:r w:rsidRPr="00627C33">
        <w:t>b) Legitimidad de la parte recurrente</w:t>
      </w:r>
      <w:bookmarkEnd w:id="22"/>
    </w:p>
    <w:p w14:paraId="67C7FD0F" w14:textId="77777777" w:rsidR="00E96298" w:rsidRPr="00627C33" w:rsidRDefault="00A20F25" w:rsidP="00627C33">
      <w:r w:rsidRPr="00627C33">
        <w:t>El recurso de revisión fue interpuesto por parte legítima, ya que se presentó por la misma persona que formuló la solicitud de acceso a la Información Pública,</w:t>
      </w:r>
      <w:r w:rsidRPr="00627C33">
        <w:rPr>
          <w:b/>
        </w:rPr>
        <w:t xml:space="preserve"> </w:t>
      </w:r>
      <w:r w:rsidRPr="00627C33">
        <w:t>debido a que los datos de acceso</w:t>
      </w:r>
      <w:r w:rsidRPr="00627C33">
        <w:rPr>
          <w:b/>
        </w:rPr>
        <w:t xml:space="preserve"> </w:t>
      </w:r>
      <w:r w:rsidRPr="00627C33">
        <w:t>SAIMEX son personales e irrepetibles.</w:t>
      </w:r>
    </w:p>
    <w:p w14:paraId="5C2C6457" w14:textId="77777777" w:rsidR="00651AC6" w:rsidRPr="00627C33" w:rsidRDefault="00651AC6" w:rsidP="00627C33"/>
    <w:p w14:paraId="172BE81A" w14:textId="77777777" w:rsidR="00E96298" w:rsidRPr="00627C33" w:rsidRDefault="00A20F25" w:rsidP="00627C33">
      <w:pPr>
        <w:pStyle w:val="Ttulo3"/>
      </w:pPr>
      <w:bookmarkStart w:id="23" w:name="_Toc175125143"/>
      <w:r w:rsidRPr="00627C33">
        <w:t>c) Plazo para interponer el recurso</w:t>
      </w:r>
      <w:bookmarkEnd w:id="23"/>
    </w:p>
    <w:p w14:paraId="0A73F1B5" w14:textId="1BCBFE03" w:rsidR="00E96298" w:rsidRPr="00627C33" w:rsidRDefault="00A20F25" w:rsidP="00627C33">
      <w:bookmarkStart w:id="24" w:name="_23ckvvd" w:colFirst="0" w:colLast="0"/>
      <w:bookmarkEnd w:id="24"/>
      <w:r w:rsidRPr="00627C33">
        <w:rPr>
          <w:b/>
        </w:rPr>
        <w:t>EL SUJETO OBLIGADO</w:t>
      </w:r>
      <w:r w:rsidRPr="00627C33">
        <w:t xml:space="preserve"> notificó la respuesta a la solicitud de acceso a la Información Pública el </w:t>
      </w:r>
      <w:r w:rsidR="007065B3" w:rsidRPr="00627C33">
        <w:rPr>
          <w:b/>
        </w:rPr>
        <w:t xml:space="preserve">siete de </w:t>
      </w:r>
      <w:r w:rsidR="00A607EF" w:rsidRPr="00627C33">
        <w:rPr>
          <w:b/>
        </w:rPr>
        <w:t>junio</w:t>
      </w:r>
      <w:r w:rsidR="00D8035C" w:rsidRPr="00627C33">
        <w:rPr>
          <w:b/>
        </w:rPr>
        <w:t xml:space="preserve"> de dos mil veinticuatro</w:t>
      </w:r>
      <w:r w:rsidR="00D8035C" w:rsidRPr="00627C33">
        <w:t xml:space="preserve"> </w:t>
      </w:r>
      <w:r w:rsidRPr="00627C33">
        <w:t xml:space="preserve">y el recurso que nos ocupa se interpuso el </w:t>
      </w:r>
      <w:r w:rsidR="007A7454" w:rsidRPr="00627C33">
        <w:rPr>
          <w:b/>
        </w:rPr>
        <w:t>once</w:t>
      </w:r>
      <w:r w:rsidR="00A607EF" w:rsidRPr="00627C33">
        <w:rPr>
          <w:b/>
        </w:rPr>
        <w:t xml:space="preserve"> de junio</w:t>
      </w:r>
      <w:r w:rsidR="007065B3" w:rsidRPr="00627C33">
        <w:rPr>
          <w:b/>
        </w:rPr>
        <w:t xml:space="preserve"> </w:t>
      </w:r>
      <w:r w:rsidR="00D8035C" w:rsidRPr="00627C33">
        <w:rPr>
          <w:b/>
        </w:rPr>
        <w:t>de dos mil veinticuatro</w:t>
      </w:r>
      <w:r w:rsidRPr="00627C33">
        <w:t xml:space="preserve">; por lo tanto, éste se encuentra dentro del margen temporal previsto en el artículo 178 de la Ley de Transparencia y Acceso a la Información Pública del Estado de México y Municipios, el cual transcurrió del </w:t>
      </w:r>
      <w:r w:rsidR="00A607EF" w:rsidRPr="00627C33">
        <w:rPr>
          <w:b/>
          <w:bCs/>
        </w:rPr>
        <w:t>d</w:t>
      </w:r>
      <w:r w:rsidR="007A7454" w:rsidRPr="00627C33">
        <w:rPr>
          <w:b/>
          <w:bCs/>
        </w:rPr>
        <w:t>iez al veintiocho</w:t>
      </w:r>
      <w:r w:rsidR="00A607EF" w:rsidRPr="00627C33">
        <w:rPr>
          <w:b/>
        </w:rPr>
        <w:t xml:space="preserve"> de junio d</w:t>
      </w:r>
      <w:r w:rsidR="00D8035C" w:rsidRPr="00627C33">
        <w:rPr>
          <w:b/>
        </w:rPr>
        <w:t>e dos mil veinticuatro</w:t>
      </w:r>
      <w:r w:rsidRPr="00627C33">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D0C7271" w14:textId="77777777" w:rsidR="00E96298" w:rsidRPr="00627C33" w:rsidRDefault="00E96298" w:rsidP="00627C33"/>
    <w:p w14:paraId="6C9FA8AF" w14:textId="77777777" w:rsidR="00297ECB" w:rsidRPr="00627C33" w:rsidRDefault="00297ECB" w:rsidP="00627C33">
      <w:pPr>
        <w:pStyle w:val="Ttulo3"/>
        <w:rPr>
          <w:rFonts w:eastAsia="Calibri"/>
          <w:lang w:eastAsia="es-ES_tradnl"/>
        </w:rPr>
      </w:pPr>
      <w:bookmarkStart w:id="25" w:name="_Toc171374753"/>
      <w:bookmarkStart w:id="26" w:name="_Toc175125144"/>
      <w:r w:rsidRPr="00627C33">
        <w:rPr>
          <w:rFonts w:eastAsia="Calibri"/>
          <w:lang w:eastAsia="es-ES_tradnl"/>
        </w:rPr>
        <w:lastRenderedPageBreak/>
        <w:t>d) Causal de procedencia</w:t>
      </w:r>
      <w:bookmarkEnd w:id="25"/>
      <w:bookmarkEnd w:id="26"/>
    </w:p>
    <w:p w14:paraId="67732DA1" w14:textId="45B30A8E" w:rsidR="00E96298" w:rsidRPr="00627C33" w:rsidRDefault="00A20F25" w:rsidP="00627C33">
      <w:r w:rsidRPr="00627C33">
        <w:t xml:space="preserve">Resulta procedente la interposición del recurso de revisión, ya que se actualiza la causal de procedencia señalada en el artículo 179, fracción </w:t>
      </w:r>
      <w:r w:rsidR="000261B0" w:rsidRPr="00627C33">
        <w:t>V</w:t>
      </w:r>
      <w:r w:rsidR="00ED57D3" w:rsidRPr="00627C33">
        <w:t>I</w:t>
      </w:r>
      <w:r w:rsidRPr="00627C33">
        <w:t xml:space="preserve"> de la Ley de Transparencia y Acceso a la Información Pública del Estado de México y Municipios.</w:t>
      </w:r>
    </w:p>
    <w:p w14:paraId="48AA5607" w14:textId="77777777" w:rsidR="00E96298" w:rsidRPr="00627C33" w:rsidRDefault="00E96298" w:rsidP="00627C33"/>
    <w:p w14:paraId="49B315FF" w14:textId="77777777" w:rsidR="00E96298" w:rsidRPr="00627C33" w:rsidRDefault="00A20F25" w:rsidP="00627C33">
      <w:pPr>
        <w:pStyle w:val="Ttulo3"/>
      </w:pPr>
      <w:bookmarkStart w:id="27" w:name="_Toc175125145"/>
      <w:r w:rsidRPr="00627C33">
        <w:t>e) Requisitos formales para la interposición del recurso</w:t>
      </w:r>
      <w:bookmarkEnd w:id="27"/>
    </w:p>
    <w:p w14:paraId="46A301C0" w14:textId="77777777" w:rsidR="007A7454" w:rsidRPr="00627C33" w:rsidRDefault="007A7454" w:rsidP="00627C33">
      <w:pPr>
        <w:rPr>
          <w:rFonts w:cs="Arial"/>
        </w:rPr>
      </w:pPr>
      <w:r w:rsidRPr="00627C33">
        <w:rPr>
          <w:rFonts w:cs="Arial"/>
          <w:b/>
          <w:bCs/>
        </w:rPr>
        <w:t xml:space="preserve">LA PARTE RECURRENTE </w:t>
      </w:r>
      <w:r w:rsidRPr="00627C33">
        <w:rPr>
          <w:rFonts w:cs="Arial"/>
        </w:rPr>
        <w:t>acreditó todos y cada uno de los elementos formales exigidos por el artículo 180 de la misma normatividad.</w:t>
      </w:r>
    </w:p>
    <w:p w14:paraId="1E87685E" w14:textId="77777777" w:rsidR="00E96298" w:rsidRPr="00627C33" w:rsidRDefault="00E96298" w:rsidP="00627C33"/>
    <w:p w14:paraId="0A230445" w14:textId="77777777" w:rsidR="00E96298" w:rsidRPr="00627C33" w:rsidRDefault="00A20F25" w:rsidP="00627C33">
      <w:pPr>
        <w:pStyle w:val="Ttulo2"/>
      </w:pPr>
      <w:bookmarkStart w:id="28" w:name="_Toc175125146"/>
      <w:r w:rsidRPr="00627C33">
        <w:t>SEGUNDO. Estudio de Fondo</w:t>
      </w:r>
      <w:bookmarkEnd w:id="28"/>
    </w:p>
    <w:p w14:paraId="7C679312" w14:textId="77777777" w:rsidR="00E96298" w:rsidRPr="00627C33" w:rsidRDefault="00A20F25" w:rsidP="00627C33">
      <w:pPr>
        <w:pStyle w:val="Ttulo3"/>
      </w:pPr>
      <w:bookmarkStart w:id="29" w:name="_Toc175125147"/>
      <w:r w:rsidRPr="00627C33">
        <w:t>a) Mandato de transparencia y responsabilidad del Sujeto Obligado</w:t>
      </w:r>
      <w:bookmarkEnd w:id="29"/>
    </w:p>
    <w:p w14:paraId="2C8208BC" w14:textId="77777777" w:rsidR="00E96298" w:rsidRPr="00627C33" w:rsidRDefault="00A20F25" w:rsidP="00627C33">
      <w:r w:rsidRPr="00627C3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95DD0E" w14:textId="77777777" w:rsidR="00E96298" w:rsidRPr="00627C33" w:rsidRDefault="00E96298" w:rsidP="00627C33"/>
    <w:p w14:paraId="774E23DF" w14:textId="77777777" w:rsidR="00E96298" w:rsidRPr="00627C33" w:rsidRDefault="00A20F25" w:rsidP="00627C33">
      <w:pPr>
        <w:spacing w:line="240" w:lineRule="auto"/>
        <w:ind w:left="567" w:right="539"/>
        <w:rPr>
          <w:b/>
          <w:i/>
        </w:rPr>
      </w:pPr>
      <w:r w:rsidRPr="00627C33">
        <w:rPr>
          <w:b/>
          <w:i/>
        </w:rPr>
        <w:t>Constitución Política de los Estados Unidos Mexicanos</w:t>
      </w:r>
    </w:p>
    <w:p w14:paraId="0BC30E49" w14:textId="77777777" w:rsidR="00E96298" w:rsidRPr="00627C33" w:rsidRDefault="00A20F25" w:rsidP="00627C33">
      <w:pPr>
        <w:spacing w:line="240" w:lineRule="auto"/>
        <w:ind w:left="567" w:right="539"/>
        <w:rPr>
          <w:b/>
          <w:i/>
        </w:rPr>
      </w:pPr>
      <w:r w:rsidRPr="00627C33">
        <w:rPr>
          <w:b/>
          <w:i/>
        </w:rPr>
        <w:t>“Artículo 6.</w:t>
      </w:r>
    </w:p>
    <w:p w14:paraId="5507CC21" w14:textId="77777777" w:rsidR="00E96298" w:rsidRPr="00627C33" w:rsidRDefault="00A20F25" w:rsidP="00627C33">
      <w:pPr>
        <w:spacing w:line="240" w:lineRule="auto"/>
        <w:ind w:left="567" w:right="539"/>
        <w:rPr>
          <w:i/>
        </w:rPr>
      </w:pPr>
      <w:r w:rsidRPr="00627C33">
        <w:rPr>
          <w:i/>
        </w:rPr>
        <w:t>(…)</w:t>
      </w:r>
    </w:p>
    <w:p w14:paraId="272EDE03" w14:textId="77777777" w:rsidR="00E96298" w:rsidRPr="00627C33" w:rsidRDefault="00A20F25" w:rsidP="00627C33">
      <w:pPr>
        <w:spacing w:line="240" w:lineRule="auto"/>
        <w:ind w:left="567" w:right="539"/>
        <w:rPr>
          <w:i/>
        </w:rPr>
      </w:pPr>
      <w:r w:rsidRPr="00627C33">
        <w:rPr>
          <w:i/>
        </w:rPr>
        <w:t>Para efectos de lo dispuesto en el presente artículo se observará lo siguiente:</w:t>
      </w:r>
    </w:p>
    <w:p w14:paraId="4C07F2A1" w14:textId="77777777" w:rsidR="00E96298" w:rsidRPr="00627C33" w:rsidRDefault="00A20F25" w:rsidP="00627C33">
      <w:pPr>
        <w:spacing w:line="240" w:lineRule="auto"/>
        <w:ind w:left="567" w:right="539"/>
        <w:rPr>
          <w:b/>
          <w:i/>
        </w:rPr>
      </w:pPr>
      <w:r w:rsidRPr="00627C33">
        <w:rPr>
          <w:b/>
          <w:i/>
        </w:rPr>
        <w:t>A</w:t>
      </w:r>
      <w:r w:rsidRPr="00627C33">
        <w:rPr>
          <w:i/>
        </w:rPr>
        <w:t xml:space="preserve">. </w:t>
      </w:r>
      <w:r w:rsidRPr="00627C33">
        <w:rPr>
          <w:b/>
          <w:i/>
        </w:rPr>
        <w:t>Para el ejercicio del derecho de acceso a la información</w:t>
      </w:r>
      <w:r w:rsidRPr="00627C33">
        <w:rPr>
          <w:i/>
        </w:rPr>
        <w:t xml:space="preserve">, la Federación y </w:t>
      </w:r>
      <w:r w:rsidRPr="00627C33">
        <w:rPr>
          <w:b/>
          <w:i/>
        </w:rPr>
        <w:t>las entidades federativas, en el ámbito de sus respectivas competencias, se regirán por los siguientes principios y bases:</w:t>
      </w:r>
    </w:p>
    <w:p w14:paraId="67F3E6A6" w14:textId="77777777" w:rsidR="00E96298" w:rsidRPr="00627C33" w:rsidRDefault="00A20F25" w:rsidP="00627C33">
      <w:pPr>
        <w:spacing w:line="240" w:lineRule="auto"/>
        <w:ind w:left="567" w:right="539"/>
        <w:rPr>
          <w:i/>
        </w:rPr>
      </w:pPr>
      <w:r w:rsidRPr="00627C33">
        <w:rPr>
          <w:b/>
          <w:i/>
        </w:rPr>
        <w:t xml:space="preserve">I. </w:t>
      </w:r>
      <w:r w:rsidRPr="00627C33">
        <w:rPr>
          <w:b/>
          <w:i/>
        </w:rPr>
        <w:tab/>
        <w:t>Toda la información en posesión de cualquier</w:t>
      </w:r>
      <w:r w:rsidRPr="00627C33">
        <w:rPr>
          <w:i/>
        </w:rPr>
        <w:t xml:space="preserve"> </w:t>
      </w:r>
      <w:r w:rsidRPr="00627C33">
        <w:rPr>
          <w:b/>
          <w:i/>
        </w:rPr>
        <w:t>autoridad</w:t>
      </w:r>
      <w:r w:rsidRPr="00627C3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27C33">
        <w:rPr>
          <w:b/>
          <w:i/>
        </w:rPr>
        <w:t>municipal</w:t>
      </w:r>
      <w:r w:rsidRPr="00627C33">
        <w:rPr>
          <w:i/>
        </w:rPr>
        <w:t xml:space="preserve">, </w:t>
      </w:r>
      <w:r w:rsidRPr="00627C33">
        <w:rPr>
          <w:b/>
          <w:i/>
        </w:rPr>
        <w:t>es pública</w:t>
      </w:r>
      <w:r w:rsidRPr="00627C33">
        <w:rPr>
          <w:i/>
        </w:rPr>
        <w:t xml:space="preserve"> y sólo podrá ser reservada temporalmente por razones de interés público y seguridad nacional, en los términos que fijen las leyes. </w:t>
      </w:r>
      <w:r w:rsidRPr="00627C33">
        <w:rPr>
          <w:b/>
          <w:i/>
        </w:rPr>
        <w:t xml:space="preserve">En la interpretación de este derecho deberá prevalecer el principio de máxima publicidad. Los sujetos obligados deberán documentar todo acto que derive del </w:t>
      </w:r>
      <w:r w:rsidRPr="00627C33">
        <w:rPr>
          <w:b/>
          <w:i/>
        </w:rPr>
        <w:lastRenderedPageBreak/>
        <w:t>ejercicio de sus facultades, competencias o funciones</w:t>
      </w:r>
      <w:r w:rsidRPr="00627C33">
        <w:rPr>
          <w:i/>
        </w:rPr>
        <w:t>, la ley determinará los supuestos específicos bajo los cuales procederá la declaración de inexistencia de la información.”</w:t>
      </w:r>
    </w:p>
    <w:p w14:paraId="12E4582E" w14:textId="77777777" w:rsidR="00E96298" w:rsidRPr="00627C33" w:rsidRDefault="00E96298" w:rsidP="00627C33">
      <w:pPr>
        <w:spacing w:line="240" w:lineRule="auto"/>
        <w:ind w:left="567" w:right="539"/>
        <w:rPr>
          <w:b/>
          <w:i/>
        </w:rPr>
      </w:pPr>
    </w:p>
    <w:p w14:paraId="5D17A970" w14:textId="77777777" w:rsidR="00E96298" w:rsidRPr="00627C33" w:rsidRDefault="00A20F25" w:rsidP="00627C33">
      <w:pPr>
        <w:spacing w:line="240" w:lineRule="auto"/>
        <w:ind w:left="567" w:right="539"/>
        <w:rPr>
          <w:b/>
          <w:i/>
        </w:rPr>
      </w:pPr>
      <w:r w:rsidRPr="00627C33">
        <w:rPr>
          <w:b/>
          <w:i/>
        </w:rPr>
        <w:t>Constitución Política del Estado Libre y Soberano de México</w:t>
      </w:r>
    </w:p>
    <w:p w14:paraId="6FCC0786" w14:textId="77777777" w:rsidR="00E96298" w:rsidRPr="00627C33" w:rsidRDefault="00A20F25" w:rsidP="00627C33">
      <w:pPr>
        <w:spacing w:line="240" w:lineRule="auto"/>
        <w:ind w:left="567" w:right="539"/>
        <w:rPr>
          <w:i/>
        </w:rPr>
      </w:pPr>
      <w:r w:rsidRPr="00627C33">
        <w:rPr>
          <w:b/>
          <w:i/>
        </w:rPr>
        <w:t>“Artículo 5</w:t>
      </w:r>
      <w:r w:rsidRPr="00627C33">
        <w:rPr>
          <w:i/>
        </w:rPr>
        <w:t xml:space="preserve">.- </w:t>
      </w:r>
    </w:p>
    <w:p w14:paraId="014997B8" w14:textId="77777777" w:rsidR="00E96298" w:rsidRPr="00627C33" w:rsidRDefault="00A20F25" w:rsidP="00627C33">
      <w:pPr>
        <w:spacing w:line="240" w:lineRule="auto"/>
        <w:ind w:left="567" w:right="539"/>
        <w:rPr>
          <w:i/>
        </w:rPr>
      </w:pPr>
      <w:r w:rsidRPr="00627C33">
        <w:rPr>
          <w:i/>
        </w:rPr>
        <w:t>(…)</w:t>
      </w:r>
    </w:p>
    <w:p w14:paraId="7F4E2104" w14:textId="77777777" w:rsidR="00E96298" w:rsidRPr="00627C33" w:rsidRDefault="00A20F25" w:rsidP="00627C33">
      <w:pPr>
        <w:spacing w:line="240" w:lineRule="auto"/>
        <w:ind w:left="567" w:right="539"/>
        <w:rPr>
          <w:i/>
        </w:rPr>
      </w:pPr>
      <w:r w:rsidRPr="00627C33">
        <w:rPr>
          <w:b/>
          <w:i/>
        </w:rPr>
        <w:t>El derecho a la información será garantizado por el Estado. La ley establecerá las previsiones que permitan asegurar la protección, el respeto y la difusión de este derecho</w:t>
      </w:r>
      <w:r w:rsidRPr="00627C33">
        <w:rPr>
          <w:i/>
        </w:rPr>
        <w:t>.</w:t>
      </w:r>
    </w:p>
    <w:p w14:paraId="735598FA" w14:textId="77777777" w:rsidR="00E96298" w:rsidRPr="00627C33" w:rsidRDefault="00A20F25" w:rsidP="00627C33">
      <w:pPr>
        <w:spacing w:line="240" w:lineRule="auto"/>
        <w:ind w:left="567" w:right="539"/>
        <w:rPr>
          <w:i/>
        </w:rPr>
      </w:pPr>
      <w:r w:rsidRPr="00627C3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DAA43C" w14:textId="77777777" w:rsidR="00E96298" w:rsidRPr="00627C33" w:rsidRDefault="00A20F25" w:rsidP="00627C33">
      <w:pPr>
        <w:spacing w:line="240" w:lineRule="auto"/>
        <w:ind w:left="567" w:right="539"/>
        <w:rPr>
          <w:i/>
        </w:rPr>
      </w:pPr>
      <w:r w:rsidRPr="00627C33">
        <w:rPr>
          <w:b/>
          <w:i/>
        </w:rPr>
        <w:t>Este derecho se regirá por los principios y bases siguientes</w:t>
      </w:r>
      <w:r w:rsidRPr="00627C33">
        <w:rPr>
          <w:i/>
        </w:rPr>
        <w:t>:</w:t>
      </w:r>
    </w:p>
    <w:p w14:paraId="1FDB5D8D" w14:textId="77777777" w:rsidR="00E96298" w:rsidRPr="00627C33" w:rsidRDefault="00A20F25" w:rsidP="00627C33">
      <w:pPr>
        <w:spacing w:line="240" w:lineRule="auto"/>
        <w:ind w:left="567" w:right="539"/>
        <w:rPr>
          <w:i/>
        </w:rPr>
      </w:pPr>
      <w:r w:rsidRPr="00627C33">
        <w:rPr>
          <w:b/>
          <w:i/>
        </w:rPr>
        <w:t>I. Toda la información en posesión de cualquier autoridad, entidad, órgano y organismos de los</w:t>
      </w:r>
      <w:r w:rsidRPr="00627C33">
        <w:rPr>
          <w:i/>
        </w:rPr>
        <w:t xml:space="preserve"> Poderes Ejecutivo, Legislativo y Judicial, órganos autónomos, partidos políticos, fideicomisos y fondos públicos estatales y </w:t>
      </w:r>
      <w:r w:rsidRPr="00627C33">
        <w:rPr>
          <w:b/>
          <w:i/>
        </w:rPr>
        <w:t>municipales</w:t>
      </w:r>
      <w:r w:rsidRPr="00627C3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27C33">
        <w:rPr>
          <w:b/>
          <w:i/>
        </w:rPr>
        <w:t>es pública</w:t>
      </w:r>
      <w:r w:rsidRPr="00627C33">
        <w:rPr>
          <w:i/>
        </w:rPr>
        <w:t xml:space="preserve"> y sólo podrá ser reservada temporalmente por razones previstas en la Constitución Política de los Estados Unidos Mexicanos de interés público y seguridad, en los términos que fijen las leyes. </w:t>
      </w:r>
      <w:r w:rsidRPr="00627C33">
        <w:rPr>
          <w:b/>
          <w:i/>
        </w:rPr>
        <w:t>En la interpretación de este derecho deberá prevalecer el principio de máxima publicidad</w:t>
      </w:r>
      <w:r w:rsidRPr="00627C33">
        <w:rPr>
          <w:i/>
        </w:rPr>
        <w:t xml:space="preserve">. </w:t>
      </w:r>
      <w:r w:rsidRPr="00627C33">
        <w:rPr>
          <w:b/>
          <w:i/>
        </w:rPr>
        <w:t>Los sujetos obligados deberán documentar todo acto que derive del ejercicio de sus facultades, competencias o funciones</w:t>
      </w:r>
      <w:r w:rsidRPr="00627C33">
        <w:rPr>
          <w:i/>
        </w:rPr>
        <w:t>, la ley determinará los supuestos específicos bajo los cuales procederá la declaración de inexistencia de la información.”</w:t>
      </w:r>
    </w:p>
    <w:p w14:paraId="3DA0B633" w14:textId="77777777" w:rsidR="00E96298" w:rsidRPr="00627C33" w:rsidRDefault="00E96298" w:rsidP="00627C33">
      <w:pPr>
        <w:rPr>
          <w:b/>
          <w:i/>
        </w:rPr>
      </w:pPr>
    </w:p>
    <w:p w14:paraId="597AA369" w14:textId="77777777" w:rsidR="00E96298" w:rsidRPr="00627C33" w:rsidRDefault="00A20F25" w:rsidP="00627C33">
      <w:pPr>
        <w:rPr>
          <w:i/>
        </w:rPr>
      </w:pPr>
      <w:r w:rsidRPr="00627C3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27C33">
        <w:rPr>
          <w:i/>
        </w:rPr>
        <w:t>por los principios de simplicidad, rapidez, gratuidad del procedimiento, auxilio y orientación a los particulares.</w:t>
      </w:r>
    </w:p>
    <w:p w14:paraId="50DBC7AA" w14:textId="77777777" w:rsidR="00E96298" w:rsidRPr="00627C33" w:rsidRDefault="00E96298" w:rsidP="00627C33">
      <w:pPr>
        <w:rPr>
          <w:i/>
        </w:rPr>
      </w:pPr>
    </w:p>
    <w:p w14:paraId="1A879A67" w14:textId="77777777" w:rsidR="00E96298" w:rsidRPr="00627C33" w:rsidRDefault="00A20F25" w:rsidP="00627C33">
      <w:pPr>
        <w:rPr>
          <w:i/>
        </w:rPr>
      </w:pPr>
      <w:r w:rsidRPr="00627C33">
        <w:t xml:space="preserve">Por su parte, el artículo 4 de la Ley de Transparencia y Acceso a la Información Pública del Estado de México y Municipios refiere que toda la información generada, obtenida, adquirida, </w:t>
      </w:r>
      <w:r w:rsidRPr="00627C33">
        <w:lastRenderedPageBreak/>
        <w:t>transformada, administrada o en posesión de los sujetos obligados es pública y accesible de manera permanente a cualquier persona, privilegiando el principio de máxima publicidad.</w:t>
      </w:r>
    </w:p>
    <w:p w14:paraId="5F3B2C7F" w14:textId="77777777" w:rsidR="00E96298" w:rsidRPr="00627C33" w:rsidRDefault="00E96298" w:rsidP="00627C33"/>
    <w:p w14:paraId="7C26DE1F" w14:textId="77777777" w:rsidR="00E96298" w:rsidRPr="00627C33" w:rsidRDefault="00A20F25" w:rsidP="00627C33">
      <w:r w:rsidRPr="00627C3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A24513B" w14:textId="77777777" w:rsidR="00E96298" w:rsidRPr="00627C33" w:rsidRDefault="00E96298" w:rsidP="00627C33"/>
    <w:p w14:paraId="5E4D3BF1" w14:textId="77777777" w:rsidR="00E96298" w:rsidRPr="00627C33" w:rsidRDefault="00A20F25" w:rsidP="00627C33">
      <w:r w:rsidRPr="00627C3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40181F6" w14:textId="77777777" w:rsidR="00E96298" w:rsidRPr="00627C33" w:rsidRDefault="00E96298" w:rsidP="00627C33"/>
    <w:p w14:paraId="58E3AC68" w14:textId="77777777" w:rsidR="00E96298" w:rsidRPr="00627C33" w:rsidRDefault="00A20F25" w:rsidP="00627C33">
      <w:r w:rsidRPr="00627C3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59FD28" w14:textId="77777777" w:rsidR="00E96298" w:rsidRPr="00627C33" w:rsidRDefault="00E96298" w:rsidP="00627C33"/>
    <w:p w14:paraId="6451A62B" w14:textId="77777777" w:rsidR="00E96298" w:rsidRPr="00627C33" w:rsidRDefault="00A20F25" w:rsidP="00627C33">
      <w:bookmarkStart w:id="30" w:name="_ihv636" w:colFirst="0" w:colLast="0"/>
      <w:bookmarkEnd w:id="30"/>
      <w:r w:rsidRPr="00627C33">
        <w:t xml:space="preserve">Con base en lo anterior, se considera que </w:t>
      </w:r>
      <w:r w:rsidRPr="00627C33">
        <w:rPr>
          <w:b/>
        </w:rPr>
        <w:t>EL</w:t>
      </w:r>
      <w:r w:rsidRPr="00627C33">
        <w:t xml:space="preserve"> </w:t>
      </w:r>
      <w:r w:rsidRPr="00627C33">
        <w:rPr>
          <w:b/>
        </w:rPr>
        <w:t>SUJETO OBLIGADO</w:t>
      </w:r>
      <w:r w:rsidRPr="00627C33">
        <w:t xml:space="preserve"> se encontraba compelido a atender la solicitud de acceso a la información realizada por </w:t>
      </w:r>
      <w:r w:rsidRPr="00627C33">
        <w:rPr>
          <w:b/>
        </w:rPr>
        <w:t>LA PARTE RECURRENTE</w:t>
      </w:r>
      <w:r w:rsidRPr="00627C33">
        <w:t>.</w:t>
      </w:r>
    </w:p>
    <w:p w14:paraId="38D15D27" w14:textId="77777777" w:rsidR="00E96298" w:rsidRPr="00627C33" w:rsidRDefault="00A20F25" w:rsidP="00627C33">
      <w:pPr>
        <w:pStyle w:val="Ttulo3"/>
      </w:pPr>
      <w:bookmarkStart w:id="31" w:name="_Toc175125148"/>
      <w:r w:rsidRPr="00627C33">
        <w:lastRenderedPageBreak/>
        <w:t>b) Controversia a resolver</w:t>
      </w:r>
      <w:bookmarkEnd w:id="31"/>
    </w:p>
    <w:p w14:paraId="7871F6E4" w14:textId="7CB174B2" w:rsidR="00C35312" w:rsidRPr="00627C33" w:rsidRDefault="00A20F25" w:rsidP="00627C33">
      <w:r w:rsidRPr="00627C33">
        <w:t xml:space="preserve">Con el objeto de ilustrar la controversia planteada, resulta conveniente precisar que, una vez realizado el estudio de las constancias que integran el expediente en que se actúa, se desprende que </w:t>
      </w:r>
      <w:r w:rsidRPr="00627C33">
        <w:rPr>
          <w:b/>
        </w:rPr>
        <w:t>LA PARTE RECURRENTE</w:t>
      </w:r>
      <w:r w:rsidRPr="00627C33">
        <w:t xml:space="preserve"> solicitó</w:t>
      </w:r>
      <w:r w:rsidR="00E878F3" w:rsidRPr="00627C33">
        <w:t>:</w:t>
      </w:r>
    </w:p>
    <w:p w14:paraId="3ED6C1E2" w14:textId="77777777" w:rsidR="00E878F3" w:rsidRPr="00627C33" w:rsidRDefault="00E878F3" w:rsidP="00627C33"/>
    <w:p w14:paraId="540C448D" w14:textId="77777777" w:rsidR="00E878F3" w:rsidRPr="00627C33" w:rsidRDefault="00E878F3" w:rsidP="00627C33">
      <w:pPr>
        <w:pStyle w:val="Prrafodelista"/>
        <w:numPr>
          <w:ilvl w:val="0"/>
          <w:numId w:val="35"/>
        </w:numPr>
      </w:pPr>
      <w:r w:rsidRPr="00627C33">
        <w:t>Relación de las empresas que están autorizadas a prestar el servicio público sobre la vía viaducto bicentenario en el municipio de Zumpango.</w:t>
      </w:r>
    </w:p>
    <w:p w14:paraId="2B5937AE" w14:textId="3F2DE655" w:rsidR="007065B3" w:rsidRPr="00627C33" w:rsidRDefault="00A20F25" w:rsidP="00627C33">
      <w:pPr>
        <w:spacing w:before="240" w:after="240"/>
        <w:ind w:right="49"/>
      </w:pPr>
      <w:r w:rsidRPr="00627C33">
        <w:t xml:space="preserve">En respuesta, </w:t>
      </w:r>
      <w:r w:rsidRPr="00627C33">
        <w:rPr>
          <w:b/>
        </w:rPr>
        <w:t>EL SUJETO OBLIGADO</w:t>
      </w:r>
      <w:r w:rsidR="007A4FD9" w:rsidRPr="00627C33">
        <w:rPr>
          <w:b/>
        </w:rPr>
        <w:t xml:space="preserve"> </w:t>
      </w:r>
      <w:r w:rsidR="007A4FD9" w:rsidRPr="00627C33">
        <w:rPr>
          <w:bCs/>
        </w:rPr>
        <w:t xml:space="preserve">manifestó que </w:t>
      </w:r>
      <w:r w:rsidR="00797BD8" w:rsidRPr="00627C33">
        <w:t>podrá localizar la información solicitada en los archivos electrónicos que al presente se adjuntan en formato pdf titulados “DERROTEROS ZUMPANGO 693” y “Manual_Parametrico”; en el caso de este último el solicitante además se percatará que existe regulación sobre la cromática de las unidades vehiculares donde se presta el servicio público de transportes.</w:t>
      </w:r>
    </w:p>
    <w:p w14:paraId="5209F0AF" w14:textId="75034AAB" w:rsidR="001C0B08" w:rsidRPr="00627C33" w:rsidRDefault="001C0B08" w:rsidP="00627C33">
      <w:pPr>
        <w:spacing w:before="240" w:after="240"/>
        <w:ind w:right="49"/>
      </w:pPr>
      <w:r w:rsidRPr="00627C33">
        <w:t xml:space="preserve">Respuesta de la que </w:t>
      </w:r>
      <w:r w:rsidRPr="00627C33">
        <w:rPr>
          <w:b/>
          <w:bCs/>
        </w:rPr>
        <w:t xml:space="preserve">LA PARTE RECURRENTE </w:t>
      </w:r>
      <w:r w:rsidRPr="00627C33">
        <w:t xml:space="preserve">se inconformó a doliéndose </w:t>
      </w:r>
      <w:r w:rsidR="00797BD8" w:rsidRPr="00627C33">
        <w:t xml:space="preserve">de que le envían </w:t>
      </w:r>
      <w:r w:rsidR="00FF1229" w:rsidRPr="00627C33">
        <w:t>las cromáticas autorizadas en todo el estado y un listado de las autorizaciones pero no lo que solicitó.</w:t>
      </w:r>
    </w:p>
    <w:p w14:paraId="2F16614D" w14:textId="2703E2D8" w:rsidR="001470CA" w:rsidRPr="00627C33" w:rsidRDefault="001470CA" w:rsidP="00627C33">
      <w:pPr>
        <w:tabs>
          <w:tab w:val="left" w:pos="4962"/>
        </w:tabs>
        <w:rPr>
          <w:lang w:val="es-ES"/>
        </w:rPr>
      </w:pPr>
      <w:r w:rsidRPr="00627C33">
        <w:rPr>
          <w:lang w:val="es-ES"/>
        </w:rPr>
        <w:t xml:space="preserve">Abierta la etapa de instrucción, </w:t>
      </w:r>
      <w:r w:rsidRPr="00627C33">
        <w:rPr>
          <w:b/>
          <w:lang w:val="es-ES"/>
        </w:rPr>
        <w:t>EL SUJETO OBLIGADO</w:t>
      </w:r>
      <w:r w:rsidRPr="00627C33">
        <w:rPr>
          <w:lang w:val="es-ES"/>
        </w:rPr>
        <w:t xml:space="preserve"> rindió su Informe Justificado, en el que el Servidor Público Habilitado, </w:t>
      </w:r>
      <w:r w:rsidR="00025762" w:rsidRPr="00627C33">
        <w:rPr>
          <w:lang w:val="es-ES"/>
        </w:rPr>
        <w:t>remitió el nombre de los registro</w:t>
      </w:r>
      <w:r w:rsidR="001E17DC" w:rsidRPr="00627C33">
        <w:rPr>
          <w:lang w:val="es-ES"/>
        </w:rPr>
        <w:t>s</w:t>
      </w:r>
      <w:r w:rsidR="00025762" w:rsidRPr="00627C33">
        <w:rPr>
          <w:lang w:val="es-ES"/>
        </w:rPr>
        <w:t xml:space="preserve"> de autorización de derroteros sobre la vialidad Viaducto Bicentenario.</w:t>
      </w:r>
      <w:r w:rsidR="001E17DC" w:rsidRPr="00627C33">
        <w:rPr>
          <w:lang w:val="es-ES"/>
        </w:rPr>
        <w:t xml:space="preserve"> </w:t>
      </w:r>
    </w:p>
    <w:p w14:paraId="1A5487F2" w14:textId="77777777" w:rsidR="00FF1229" w:rsidRPr="00627C33" w:rsidRDefault="00FF1229" w:rsidP="00627C33">
      <w:pPr>
        <w:tabs>
          <w:tab w:val="left" w:pos="4962"/>
        </w:tabs>
      </w:pPr>
    </w:p>
    <w:p w14:paraId="696EE762" w14:textId="63C77EEC" w:rsidR="00E96298" w:rsidRPr="00627C33" w:rsidRDefault="00FC69FB" w:rsidP="00627C33">
      <w:pPr>
        <w:tabs>
          <w:tab w:val="left" w:pos="4962"/>
        </w:tabs>
        <w:rPr>
          <w:b/>
        </w:rPr>
      </w:pPr>
      <w:r w:rsidRPr="00627C33">
        <w:t>P</w:t>
      </w:r>
      <w:r w:rsidR="00A20F25" w:rsidRPr="00627C33">
        <w:t xml:space="preserve">or lo cual, el estudio se centrará en determinar </w:t>
      </w:r>
      <w:r w:rsidR="006F281D" w:rsidRPr="00627C33">
        <w:t>s</w:t>
      </w:r>
      <w:r w:rsidR="00A20F25" w:rsidRPr="00627C33">
        <w:t xml:space="preserve">i la </w:t>
      </w:r>
      <w:r w:rsidR="00F41AA7" w:rsidRPr="00627C33">
        <w:t>información entregada colma</w:t>
      </w:r>
      <w:r w:rsidR="00A20F25" w:rsidRPr="00627C33">
        <w:t xml:space="preserve"> lo solicitado por </w:t>
      </w:r>
      <w:r w:rsidR="008E3985" w:rsidRPr="00627C33">
        <w:rPr>
          <w:b/>
        </w:rPr>
        <w:t xml:space="preserve">LA PARTE RECURRENTE. </w:t>
      </w:r>
    </w:p>
    <w:p w14:paraId="5EAF9A5A" w14:textId="77777777" w:rsidR="00E96298" w:rsidRPr="00627C33" w:rsidRDefault="00E96298" w:rsidP="00627C33"/>
    <w:p w14:paraId="11C16349" w14:textId="77777777" w:rsidR="00E96298" w:rsidRPr="00627C33" w:rsidRDefault="00A20F25" w:rsidP="00627C33">
      <w:pPr>
        <w:pStyle w:val="Ttulo3"/>
      </w:pPr>
      <w:bookmarkStart w:id="32" w:name="_Toc175125149"/>
      <w:r w:rsidRPr="00627C33">
        <w:t>c) Estudio de la controversia</w:t>
      </w:r>
      <w:bookmarkEnd w:id="32"/>
    </w:p>
    <w:p w14:paraId="4E56C852" w14:textId="77777777" w:rsidR="00EE62D3" w:rsidRPr="00627C33" w:rsidRDefault="00EE62D3" w:rsidP="00627C33">
      <w:pPr>
        <w:pStyle w:val="Prrafodelista"/>
        <w:widowControl w:val="0"/>
        <w:autoSpaceDE w:val="0"/>
        <w:autoSpaceDN w:val="0"/>
        <w:adjustRightInd w:val="0"/>
        <w:ind w:left="0"/>
        <w:rPr>
          <w:rFonts w:eastAsia="Arial Unicode MS" w:cs="Arial"/>
        </w:rPr>
      </w:pPr>
      <w:bookmarkStart w:id="33" w:name="_Toc165304079"/>
      <w:bookmarkStart w:id="34" w:name="_Toc170837737"/>
      <w:r w:rsidRPr="00627C33">
        <w:rPr>
          <w:rFonts w:eastAsia="Arial Unicode MS" w:cs="Arial"/>
        </w:rPr>
        <w:t xml:space="preserve">Este Órgano Colegiado advierte que en el caso se actualiza la causal de sobreseimiento </w:t>
      </w:r>
      <w:r w:rsidRPr="00627C33">
        <w:rPr>
          <w:rFonts w:eastAsia="Arial Unicode MS" w:cs="Arial"/>
        </w:rPr>
        <w:lastRenderedPageBreak/>
        <w:t xml:space="preserve">prevista en la fracción III del artículo 192 de la Ley de Transparencia y Acceso a la Información Pública del Estado de México y Municipios, que a la letra dice: </w:t>
      </w:r>
    </w:p>
    <w:p w14:paraId="724FD7D7" w14:textId="77777777" w:rsidR="00EE62D3" w:rsidRPr="00627C33" w:rsidRDefault="00EE62D3" w:rsidP="00627C33">
      <w:pPr>
        <w:rPr>
          <w:rFonts w:eastAsia="Arial Unicode MS" w:cs="Arial"/>
        </w:rPr>
      </w:pPr>
    </w:p>
    <w:p w14:paraId="7C183C14" w14:textId="77777777" w:rsidR="00EE62D3" w:rsidRPr="00627C33" w:rsidRDefault="00EE62D3" w:rsidP="00627C33">
      <w:pPr>
        <w:pStyle w:val="Puesto"/>
        <w:ind w:firstLine="0"/>
        <w:rPr>
          <w:color w:val="auto"/>
        </w:rPr>
      </w:pPr>
      <w:r w:rsidRPr="00627C33">
        <w:rPr>
          <w:color w:val="auto"/>
        </w:rPr>
        <w:t>“</w:t>
      </w:r>
      <w:r w:rsidRPr="00627C33">
        <w:rPr>
          <w:b/>
          <w:color w:val="auto"/>
        </w:rPr>
        <w:t xml:space="preserve">Artículo 192. </w:t>
      </w:r>
      <w:r w:rsidRPr="00627C33">
        <w:rPr>
          <w:color w:val="auto"/>
        </w:rPr>
        <w:t>El recurso será sobreseído, en todo o en parte, cuando una vez admitido, se actualicen alguno de los siguientes supuestos:</w:t>
      </w:r>
    </w:p>
    <w:p w14:paraId="48C5B789" w14:textId="77777777" w:rsidR="00EE62D3" w:rsidRPr="00627C33" w:rsidRDefault="00EE62D3" w:rsidP="00627C33">
      <w:pPr>
        <w:pStyle w:val="Puesto"/>
        <w:ind w:firstLine="0"/>
        <w:rPr>
          <w:color w:val="auto"/>
        </w:rPr>
      </w:pPr>
      <w:r w:rsidRPr="00627C33">
        <w:rPr>
          <w:color w:val="auto"/>
        </w:rPr>
        <w:t>(…)</w:t>
      </w:r>
    </w:p>
    <w:p w14:paraId="641EEEBD" w14:textId="77777777" w:rsidR="00EE62D3" w:rsidRPr="00627C33" w:rsidRDefault="00EE62D3" w:rsidP="00627C33">
      <w:pPr>
        <w:pStyle w:val="Puesto"/>
        <w:ind w:firstLine="0"/>
        <w:rPr>
          <w:b/>
          <w:color w:val="auto"/>
        </w:rPr>
      </w:pPr>
      <w:r w:rsidRPr="00627C33">
        <w:rPr>
          <w:b/>
          <w:color w:val="auto"/>
        </w:rPr>
        <w:t>III. El sujeto obligado responsable del acto lo modifique o revoque de tal manera que el recurso de revisión quede sin materia;</w:t>
      </w:r>
    </w:p>
    <w:p w14:paraId="11B9BF0D" w14:textId="77777777" w:rsidR="00EE62D3" w:rsidRPr="00627C33" w:rsidRDefault="00EE62D3" w:rsidP="00627C33">
      <w:pPr>
        <w:pStyle w:val="Puesto"/>
        <w:ind w:firstLine="0"/>
        <w:rPr>
          <w:color w:val="auto"/>
        </w:rPr>
      </w:pPr>
      <w:r w:rsidRPr="00627C33">
        <w:rPr>
          <w:color w:val="auto"/>
        </w:rPr>
        <w:t xml:space="preserve">(Énfasis añadido)” </w:t>
      </w:r>
    </w:p>
    <w:p w14:paraId="1DE308E7" w14:textId="77777777" w:rsidR="00EE62D3" w:rsidRPr="00627C33" w:rsidRDefault="00EE62D3" w:rsidP="00627C33">
      <w:pPr>
        <w:rPr>
          <w:rFonts w:cs="Arial"/>
        </w:rPr>
      </w:pPr>
    </w:p>
    <w:p w14:paraId="29D93BB8" w14:textId="77777777" w:rsidR="00EE62D3" w:rsidRPr="00627C33" w:rsidRDefault="00EE62D3" w:rsidP="00627C33">
      <w:pPr>
        <w:rPr>
          <w:rFonts w:cs="Arial"/>
        </w:rPr>
      </w:pPr>
      <w:r w:rsidRPr="00627C33">
        <w:rPr>
          <w:rFonts w:cs="Arial"/>
        </w:rPr>
        <w:t xml:space="preserve">Luego, conforme a la transcripción que antecede, resulta conveniente desglosar los elementos de la disposición enunciada; de tal manera que, el sobreseimiento del Recurso de Revisión se suscita cuando </w:t>
      </w:r>
      <w:r w:rsidRPr="00627C33">
        <w:rPr>
          <w:rFonts w:cs="Arial"/>
          <w:b/>
        </w:rPr>
        <w:t>EL SUJETO OBLIGADO</w:t>
      </w:r>
      <w:r w:rsidRPr="00627C33">
        <w:rPr>
          <w:rFonts w:cs="Arial"/>
        </w:rPr>
        <w:t xml:space="preserve"> modifique o revoque el acto impugnado, quedando éste sin efecto o materia, los elementos a considerar son: </w:t>
      </w:r>
    </w:p>
    <w:p w14:paraId="0DD4C55C" w14:textId="77777777" w:rsidR="00EE62D3" w:rsidRPr="00627C33" w:rsidRDefault="00EE62D3" w:rsidP="00627C33">
      <w:pPr>
        <w:rPr>
          <w:rFonts w:cs="Arial"/>
        </w:rPr>
      </w:pPr>
    </w:p>
    <w:p w14:paraId="36A400C9" w14:textId="77777777" w:rsidR="00EE62D3" w:rsidRPr="00627C33" w:rsidRDefault="00EE62D3" w:rsidP="00627C33">
      <w:pPr>
        <w:rPr>
          <w:rFonts w:cs="Arial"/>
        </w:rPr>
      </w:pPr>
      <w:r w:rsidRPr="00627C33">
        <w:rPr>
          <w:rFonts w:cs="Arial"/>
        </w:rPr>
        <w:t xml:space="preserve">1.- El sujeto obligado responsable, </w:t>
      </w:r>
    </w:p>
    <w:p w14:paraId="4CBEF8DC" w14:textId="77777777" w:rsidR="00EE62D3" w:rsidRPr="00627C33" w:rsidRDefault="00EE62D3" w:rsidP="00627C33">
      <w:pPr>
        <w:rPr>
          <w:rFonts w:cs="Arial"/>
        </w:rPr>
      </w:pPr>
      <w:r w:rsidRPr="00627C33">
        <w:rPr>
          <w:rFonts w:cs="Arial"/>
        </w:rPr>
        <w:t xml:space="preserve">2.- Acto, </w:t>
      </w:r>
    </w:p>
    <w:p w14:paraId="555DE198" w14:textId="77777777" w:rsidR="00EE62D3" w:rsidRPr="00627C33" w:rsidRDefault="00EE62D3" w:rsidP="00627C33">
      <w:pPr>
        <w:rPr>
          <w:rFonts w:cs="Arial"/>
        </w:rPr>
      </w:pPr>
      <w:r w:rsidRPr="00627C33">
        <w:rPr>
          <w:rFonts w:cs="Arial"/>
        </w:rPr>
        <w:t>3.- Que se modifique o revoque, y</w:t>
      </w:r>
    </w:p>
    <w:p w14:paraId="0DA45D9D" w14:textId="77777777" w:rsidR="00EE62D3" w:rsidRPr="00627C33" w:rsidRDefault="00EE62D3" w:rsidP="00627C33">
      <w:pPr>
        <w:rPr>
          <w:rFonts w:cs="Arial"/>
        </w:rPr>
      </w:pPr>
      <w:r w:rsidRPr="00627C33">
        <w:rPr>
          <w:rFonts w:cs="Arial"/>
        </w:rPr>
        <w:t>4.- De tal manera que el medio de impugnación quede sin efecto o materia.</w:t>
      </w:r>
    </w:p>
    <w:p w14:paraId="75A7F7E5" w14:textId="77777777" w:rsidR="00EE62D3" w:rsidRPr="00627C33" w:rsidRDefault="00EE62D3" w:rsidP="00627C33">
      <w:pPr>
        <w:rPr>
          <w:rFonts w:cs="Arial"/>
        </w:rPr>
      </w:pPr>
    </w:p>
    <w:p w14:paraId="47DDFE4F" w14:textId="34E49823" w:rsidR="00EE62D3" w:rsidRPr="00627C33" w:rsidRDefault="00EE62D3" w:rsidP="00627C33">
      <w:pPr>
        <w:rPr>
          <w:rFonts w:cs="Arial"/>
          <w:b/>
        </w:rPr>
      </w:pPr>
      <w:r w:rsidRPr="00627C33">
        <w:rPr>
          <w:rFonts w:cs="Arial"/>
        </w:rPr>
        <w:t xml:space="preserve">El primer elemento normativo, se actualiza ya que </w:t>
      </w:r>
      <w:r w:rsidRPr="00627C33">
        <w:rPr>
          <w:rFonts w:cs="Arial"/>
          <w:b/>
        </w:rPr>
        <w:t>EL SUJETO OBLIGADO</w:t>
      </w:r>
      <w:r w:rsidRPr="00627C33">
        <w:rPr>
          <w:rFonts w:cs="Arial"/>
        </w:rPr>
        <w:t xml:space="preserve"> responsable, es </w:t>
      </w:r>
      <w:r w:rsidR="00A42595" w:rsidRPr="00627C33">
        <w:rPr>
          <w:rFonts w:cs="Arial"/>
        </w:rPr>
        <w:t xml:space="preserve">la </w:t>
      </w:r>
      <w:r w:rsidR="00A42595" w:rsidRPr="00627C33">
        <w:rPr>
          <w:rFonts w:cs="Arial"/>
          <w:b/>
        </w:rPr>
        <w:t>Secretaría de Movilidad</w:t>
      </w:r>
      <w:r w:rsidRPr="00627C33">
        <w:rPr>
          <w:rFonts w:cs="Arial"/>
          <w:b/>
        </w:rPr>
        <w:t>.</w:t>
      </w:r>
    </w:p>
    <w:p w14:paraId="2A71E8C1" w14:textId="77777777" w:rsidR="00EE62D3" w:rsidRPr="00627C33" w:rsidRDefault="00EE62D3" w:rsidP="00627C33">
      <w:pPr>
        <w:rPr>
          <w:rFonts w:cs="Arial"/>
        </w:rPr>
      </w:pPr>
    </w:p>
    <w:p w14:paraId="6EFAF599" w14:textId="77777777" w:rsidR="00EE62D3" w:rsidRPr="00627C33" w:rsidRDefault="00EE62D3" w:rsidP="00627C33">
      <w:pPr>
        <w:rPr>
          <w:rFonts w:cs="Arial"/>
        </w:rPr>
      </w:pPr>
      <w:r w:rsidRPr="00627C33">
        <w:rPr>
          <w:rFonts w:cs="Arial"/>
        </w:rPr>
        <w:t xml:space="preserve">Cabe destacar que, de la respuesta otorgada por </w:t>
      </w:r>
      <w:r w:rsidRPr="00627C33">
        <w:rPr>
          <w:rFonts w:cs="Arial"/>
          <w:b/>
        </w:rPr>
        <w:t>EL SUJETO OBLIGADO</w:t>
      </w:r>
      <w:r w:rsidRPr="00627C33">
        <w:rPr>
          <w:rFonts w:cs="Arial"/>
        </w:rPr>
        <w:t xml:space="preserve">, se desprende el elemento normativo en estudio, el cual se considera como “acto” las respuestas emitidas por los Sujetos Obligados, porque precisamente la evidencia notoria y específica del actuar del </w:t>
      </w:r>
      <w:r w:rsidRPr="00627C33">
        <w:rPr>
          <w:rFonts w:cs="Arial"/>
          <w:b/>
        </w:rPr>
        <w:t>SUJETO OBLIGADO</w:t>
      </w:r>
      <w:r w:rsidRPr="00627C33">
        <w:rPr>
          <w:rFonts w:cs="Arial"/>
        </w:rPr>
        <w:t xml:space="preserve"> se observa a través de sus actos que necesariamente ejecuta y ejerce al realizar sus atribuciones legalmente conferidas, ello con relación al artículo 143 de la </w:t>
      </w:r>
      <w:r w:rsidRPr="00627C33">
        <w:rPr>
          <w:rFonts w:cs="Arial"/>
        </w:rPr>
        <w:lastRenderedPageBreak/>
        <w:t xml:space="preserve">Constitución Política del Estado Libre y Soberano de México, pues las autoridades sólo están facultadas para llevar a cabo lo que expresamente les faculta la Ley; así como, otros ordenamientos jurídicos. </w:t>
      </w:r>
    </w:p>
    <w:p w14:paraId="2CACE558" w14:textId="77777777" w:rsidR="00EE62D3" w:rsidRPr="00627C33" w:rsidRDefault="00EE62D3" w:rsidP="00627C33">
      <w:pPr>
        <w:rPr>
          <w:rFonts w:cs="Arial"/>
        </w:rPr>
      </w:pPr>
    </w:p>
    <w:p w14:paraId="7FE7370F" w14:textId="77777777" w:rsidR="00EE62D3" w:rsidRPr="00627C33" w:rsidRDefault="00EE62D3" w:rsidP="00627C33">
      <w:pPr>
        <w:rPr>
          <w:rFonts w:cs="Arial"/>
        </w:rPr>
      </w:pPr>
      <w:r w:rsidRPr="00627C33">
        <w:rPr>
          <w:rFonts w:cs="Arial"/>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64382F56" w14:textId="77777777" w:rsidR="00EE62D3" w:rsidRPr="00627C33" w:rsidRDefault="00EE62D3" w:rsidP="00627C33">
      <w:pPr>
        <w:rPr>
          <w:rFonts w:cs="Arial"/>
        </w:rPr>
      </w:pPr>
    </w:p>
    <w:p w14:paraId="5A7CDDDE" w14:textId="77777777" w:rsidR="00EE62D3" w:rsidRPr="00627C33" w:rsidRDefault="00EE62D3" w:rsidP="00627C33">
      <w:pPr>
        <w:pStyle w:val="Puesto"/>
        <w:ind w:firstLine="0"/>
        <w:rPr>
          <w:color w:val="auto"/>
        </w:rPr>
      </w:pPr>
      <w:r w:rsidRPr="00627C33">
        <w:rPr>
          <w:b/>
          <w:color w:val="auto"/>
        </w:rPr>
        <w:t>“Artículo 53</w:t>
      </w:r>
      <w:r w:rsidRPr="00627C33">
        <w:rPr>
          <w:color w:val="auto"/>
        </w:rPr>
        <w:t xml:space="preserve">. Las Unidades de Transparencia tendrán las siguientes funciones: </w:t>
      </w:r>
    </w:p>
    <w:p w14:paraId="03586F82" w14:textId="77777777" w:rsidR="00EE62D3" w:rsidRPr="00627C33" w:rsidRDefault="00EE62D3" w:rsidP="00627C33">
      <w:pPr>
        <w:pStyle w:val="Puesto"/>
        <w:ind w:firstLine="0"/>
        <w:rPr>
          <w:color w:val="auto"/>
        </w:rPr>
      </w:pPr>
      <w:r w:rsidRPr="00627C33">
        <w:rPr>
          <w:color w:val="auto"/>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72BA8A3E" w14:textId="77777777" w:rsidR="00EE62D3" w:rsidRPr="00627C33" w:rsidRDefault="00EE62D3" w:rsidP="00627C33">
      <w:pPr>
        <w:pStyle w:val="Puesto"/>
        <w:ind w:firstLine="0"/>
        <w:rPr>
          <w:color w:val="auto"/>
        </w:rPr>
      </w:pPr>
      <w:r w:rsidRPr="00627C33">
        <w:rPr>
          <w:color w:val="auto"/>
        </w:rPr>
        <w:t xml:space="preserve">II. Recibir, tramitar y dar respuesta a las solicitudes de acceso a la información; </w:t>
      </w:r>
    </w:p>
    <w:p w14:paraId="79565951" w14:textId="77777777" w:rsidR="00EE62D3" w:rsidRPr="00627C33" w:rsidRDefault="00EE62D3" w:rsidP="00627C33">
      <w:pPr>
        <w:pStyle w:val="Puesto"/>
        <w:ind w:firstLine="0"/>
        <w:rPr>
          <w:color w:val="auto"/>
        </w:rPr>
      </w:pPr>
      <w:r w:rsidRPr="00627C33">
        <w:rPr>
          <w:color w:val="auto"/>
        </w:rPr>
        <w:t xml:space="preserve">III. Auxiliar a los particulares en la elaboración de solicitudes de acceso a la información y, en su caso, orientarlos sobre los sujetos obligados competentes conforme a la normatividad aplicable; </w:t>
      </w:r>
    </w:p>
    <w:p w14:paraId="00AD6EBE" w14:textId="77777777" w:rsidR="00EE62D3" w:rsidRPr="00627C33" w:rsidRDefault="00EE62D3" w:rsidP="00627C33">
      <w:pPr>
        <w:pStyle w:val="Puesto"/>
        <w:ind w:firstLine="0"/>
        <w:rPr>
          <w:color w:val="auto"/>
        </w:rPr>
      </w:pPr>
      <w:r w:rsidRPr="00627C33">
        <w:rPr>
          <w:color w:val="auto"/>
        </w:rPr>
        <w:t xml:space="preserve">IV. Realizar, con efectividad, los trámites internos necesarios para la atención de las solicitudes de acceso a la información; </w:t>
      </w:r>
    </w:p>
    <w:p w14:paraId="187E1B4F" w14:textId="77777777" w:rsidR="00EE62D3" w:rsidRPr="00627C33" w:rsidRDefault="00EE62D3" w:rsidP="00627C33">
      <w:pPr>
        <w:pStyle w:val="Puesto"/>
        <w:ind w:firstLine="0"/>
        <w:rPr>
          <w:color w:val="auto"/>
        </w:rPr>
      </w:pPr>
      <w:r w:rsidRPr="00627C33">
        <w:rPr>
          <w:color w:val="auto"/>
        </w:rPr>
        <w:t xml:space="preserve">V. Entregar, en su caso, a los particulares la información solicitada; </w:t>
      </w:r>
    </w:p>
    <w:p w14:paraId="38EA6697" w14:textId="77777777" w:rsidR="00EE62D3" w:rsidRPr="00627C33" w:rsidRDefault="00EE62D3" w:rsidP="00627C33">
      <w:pPr>
        <w:pStyle w:val="Puesto"/>
        <w:ind w:firstLine="0"/>
        <w:rPr>
          <w:color w:val="auto"/>
        </w:rPr>
      </w:pPr>
      <w:r w:rsidRPr="00627C33">
        <w:rPr>
          <w:color w:val="auto"/>
        </w:rPr>
        <w:t xml:space="preserve">VI. Efectuar las notificaciones a los solicitantes; </w:t>
      </w:r>
    </w:p>
    <w:p w14:paraId="136E7960" w14:textId="77777777" w:rsidR="00EE62D3" w:rsidRPr="00627C33" w:rsidRDefault="00EE62D3" w:rsidP="00627C33">
      <w:pPr>
        <w:pStyle w:val="Puesto"/>
        <w:ind w:firstLine="0"/>
        <w:rPr>
          <w:color w:val="auto"/>
        </w:rPr>
      </w:pPr>
      <w:r w:rsidRPr="00627C33">
        <w:rPr>
          <w:color w:val="auto"/>
        </w:rPr>
        <w:t xml:space="preserve">VII. Proponer al Comité de Transparencia, los procedimientos internos que aseguren la mayor eficiencia en la gestión de las solicitudes de acceso a la información, conforme a la normatividad aplicable; </w:t>
      </w:r>
    </w:p>
    <w:p w14:paraId="103310D3" w14:textId="77777777" w:rsidR="00EE62D3" w:rsidRPr="00627C33" w:rsidRDefault="00EE62D3" w:rsidP="00627C33">
      <w:pPr>
        <w:pStyle w:val="Puesto"/>
        <w:ind w:firstLine="0"/>
        <w:rPr>
          <w:color w:val="auto"/>
        </w:rPr>
      </w:pPr>
      <w:r w:rsidRPr="00627C33">
        <w:rPr>
          <w:color w:val="auto"/>
        </w:rPr>
        <w:t xml:space="preserve">VIII. Proponer a quien preside el Comité de Transparencia, personal habilitado que sea necesario para recibir y dar trámite a las solicitudes de acceso a la información; </w:t>
      </w:r>
    </w:p>
    <w:p w14:paraId="121923EE" w14:textId="77777777" w:rsidR="00EE62D3" w:rsidRPr="00627C33" w:rsidRDefault="00EE62D3" w:rsidP="00627C33">
      <w:pPr>
        <w:pStyle w:val="Puesto"/>
        <w:ind w:firstLine="0"/>
        <w:rPr>
          <w:color w:val="auto"/>
        </w:rPr>
      </w:pPr>
      <w:r w:rsidRPr="00627C33">
        <w:rPr>
          <w:color w:val="auto"/>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9841A8E" w14:textId="77777777" w:rsidR="00EE62D3" w:rsidRPr="00627C33" w:rsidRDefault="00EE62D3" w:rsidP="00627C33">
      <w:pPr>
        <w:pStyle w:val="Puesto"/>
        <w:ind w:firstLine="0"/>
        <w:rPr>
          <w:color w:val="auto"/>
        </w:rPr>
      </w:pPr>
      <w:r w:rsidRPr="00627C33">
        <w:rPr>
          <w:color w:val="auto"/>
        </w:rPr>
        <w:t xml:space="preserve">X. Presentar ante el Comité, el proyecto de clasificación de información; </w:t>
      </w:r>
    </w:p>
    <w:p w14:paraId="0BFBA32A" w14:textId="77777777" w:rsidR="00EE62D3" w:rsidRPr="00627C33" w:rsidRDefault="00EE62D3" w:rsidP="00627C33">
      <w:pPr>
        <w:pStyle w:val="Puesto"/>
        <w:ind w:firstLine="0"/>
        <w:rPr>
          <w:color w:val="auto"/>
        </w:rPr>
      </w:pPr>
      <w:r w:rsidRPr="00627C33">
        <w:rPr>
          <w:color w:val="auto"/>
        </w:rPr>
        <w:t xml:space="preserve">XI. Promover e implementar políticas de transparencia proactiva procurando su accesibilidad; </w:t>
      </w:r>
    </w:p>
    <w:p w14:paraId="4FAF331C" w14:textId="77777777" w:rsidR="00EE62D3" w:rsidRPr="00627C33" w:rsidRDefault="00EE62D3" w:rsidP="00627C33">
      <w:pPr>
        <w:pStyle w:val="Puesto"/>
        <w:ind w:firstLine="0"/>
        <w:rPr>
          <w:color w:val="auto"/>
        </w:rPr>
      </w:pPr>
      <w:r w:rsidRPr="00627C33">
        <w:rPr>
          <w:color w:val="auto"/>
        </w:rPr>
        <w:lastRenderedPageBreak/>
        <w:t xml:space="preserve">XII. Fomentar la transparencia y accesibilidad al interior del sujeto obligado; </w:t>
      </w:r>
    </w:p>
    <w:p w14:paraId="0F48A380" w14:textId="77777777" w:rsidR="00EE62D3" w:rsidRPr="00627C33" w:rsidRDefault="00EE62D3" w:rsidP="00627C33">
      <w:pPr>
        <w:pStyle w:val="Puesto"/>
        <w:ind w:firstLine="0"/>
        <w:rPr>
          <w:color w:val="auto"/>
        </w:rPr>
      </w:pPr>
      <w:r w:rsidRPr="00627C33">
        <w:rPr>
          <w:color w:val="auto"/>
        </w:rPr>
        <w:t xml:space="preserve">XIII. Hacer del conocimiento de la instancia competente la probable responsabilidad por el incumplimiento de las obligaciones previstas en la presente Ley; y </w:t>
      </w:r>
    </w:p>
    <w:p w14:paraId="70B50F4F" w14:textId="77777777" w:rsidR="00EE62D3" w:rsidRPr="00627C33" w:rsidRDefault="00EE62D3" w:rsidP="00627C33">
      <w:pPr>
        <w:pStyle w:val="Puesto"/>
        <w:ind w:firstLine="0"/>
        <w:rPr>
          <w:color w:val="auto"/>
        </w:rPr>
      </w:pPr>
      <w:r w:rsidRPr="00627C33">
        <w:rPr>
          <w:color w:val="auto"/>
        </w:rPr>
        <w:t>XIV. Las demás que resulten necesarias para facilitar el acceso a la información y aquellas que se desprenden de la presente Ley y demás disposiciones jurídicas aplicables.</w:t>
      </w:r>
      <w:r w:rsidRPr="00627C33">
        <w:rPr>
          <w:b/>
          <w:color w:val="auto"/>
        </w:rPr>
        <w:t>”</w:t>
      </w:r>
    </w:p>
    <w:p w14:paraId="6D19312C" w14:textId="77777777" w:rsidR="00EE62D3" w:rsidRPr="00627C33" w:rsidRDefault="00EE62D3" w:rsidP="00627C33">
      <w:pPr>
        <w:rPr>
          <w:rFonts w:cs="Arial"/>
        </w:rPr>
      </w:pPr>
    </w:p>
    <w:p w14:paraId="7A805F57" w14:textId="77777777" w:rsidR="00EE62D3" w:rsidRPr="00627C33" w:rsidRDefault="00EE62D3" w:rsidP="00627C33">
      <w:pPr>
        <w:rPr>
          <w:rFonts w:cs="Arial"/>
        </w:rPr>
      </w:pPr>
      <w:r w:rsidRPr="00627C33">
        <w:rPr>
          <w:rFonts w:cs="Arial"/>
        </w:rPr>
        <w:t xml:space="preserve">Es decir, la impugnación del </w:t>
      </w:r>
      <w:r w:rsidRPr="00627C33">
        <w:rPr>
          <w:rFonts w:cs="Arial"/>
          <w:b/>
        </w:rPr>
        <w:t>RECURRENTE</w:t>
      </w:r>
      <w:r w:rsidRPr="00627C33">
        <w:rPr>
          <w:rFonts w:cs="Arial"/>
        </w:rPr>
        <w:t xml:space="preserve"> debe ser sobre la emisión de un “Acto” contenido en la misma Ley o la omisión de éste, lo que en el presente caso se actualiza con la respuesta dada por </w:t>
      </w:r>
      <w:r w:rsidRPr="00627C33">
        <w:rPr>
          <w:rFonts w:cs="Arial"/>
          <w:b/>
        </w:rPr>
        <w:t>EL SUJETO OBLIGADO</w:t>
      </w:r>
      <w:r w:rsidRPr="00627C33">
        <w:rPr>
          <w:rFonts w:cs="Arial"/>
        </w:rPr>
        <w:t>.</w:t>
      </w:r>
    </w:p>
    <w:p w14:paraId="29D67E46" w14:textId="77777777" w:rsidR="00EE62D3" w:rsidRPr="00627C33" w:rsidRDefault="00EE62D3" w:rsidP="00627C33">
      <w:pPr>
        <w:rPr>
          <w:rFonts w:cs="Arial"/>
        </w:rPr>
      </w:pPr>
    </w:p>
    <w:p w14:paraId="24B70C0A" w14:textId="77777777" w:rsidR="00EE62D3" w:rsidRPr="00627C33" w:rsidRDefault="00EE62D3" w:rsidP="00627C33">
      <w:pPr>
        <w:rPr>
          <w:rFonts w:cs="Arial"/>
        </w:rPr>
      </w:pPr>
      <w:r w:rsidRPr="00627C33">
        <w:rPr>
          <w:rFonts w:cs="Arial"/>
        </w:rPr>
        <w:t xml:space="preserve">Ahora bien, por cuanto hace al tercer elemento normativo, es en esencia una condicional, consistente en que la Dependencia o Entidad responsable del acto o resolución impugnada </w:t>
      </w:r>
      <w:r w:rsidRPr="00627C33">
        <w:rPr>
          <w:rFonts w:cs="Arial"/>
          <w:b/>
        </w:rPr>
        <w:t>la modifique o revoque</w:t>
      </w:r>
      <w:r w:rsidRPr="00627C33">
        <w:rPr>
          <w:rFonts w:cs="Arial"/>
        </w:rPr>
        <w:t>; en cuanto hace a la modificación, ocurre cuando quien emitió su respuesta (acto o resolución), con posterioridad cambia la información proporcionada en un principio, cuyos resultados no dejan sin efectos la respuesta dada, sino que tiene por objeto añadir, suprimir, o sustituir datos, lo cual puede ser de forma parcial.</w:t>
      </w:r>
    </w:p>
    <w:p w14:paraId="1D558F7C" w14:textId="77777777" w:rsidR="00EE62D3" w:rsidRPr="00627C33" w:rsidRDefault="00EE62D3" w:rsidP="00627C33">
      <w:pPr>
        <w:rPr>
          <w:rFonts w:cs="Arial"/>
        </w:rPr>
      </w:pPr>
    </w:p>
    <w:p w14:paraId="766E5632" w14:textId="77777777" w:rsidR="00EE62D3" w:rsidRPr="00627C33" w:rsidRDefault="00EE62D3" w:rsidP="00627C33">
      <w:pPr>
        <w:rPr>
          <w:rFonts w:cs="Arial"/>
        </w:rPr>
      </w:pPr>
      <w:r w:rsidRPr="00627C33">
        <w:rPr>
          <w:rFonts w:cs="Arial"/>
        </w:rPr>
        <w:t>Por cuanto hace a la revocación, a diferencia de la modificación, ocurre cuando la Dependencia o Entidad Responsable (</w:t>
      </w:r>
      <w:r w:rsidRPr="00627C33">
        <w:rPr>
          <w:rFonts w:cs="Arial"/>
          <w:b/>
        </w:rPr>
        <w:t>SUJETO OBLIGADO</w:t>
      </w:r>
      <w:r w:rsidRPr="00627C33">
        <w:rPr>
          <w:rFonts w:cs="Arial"/>
        </w:rPr>
        <w:t>), del acto o resolución impugnada, suprime, elimina o cancela la totalidad de su respuesta y emite otra en su lugar dejando sin efecto lo que en un principio respondió.</w:t>
      </w:r>
    </w:p>
    <w:p w14:paraId="01EDA751" w14:textId="77777777" w:rsidR="00EE62D3" w:rsidRPr="00627C33" w:rsidRDefault="00EE62D3" w:rsidP="00627C33">
      <w:pPr>
        <w:rPr>
          <w:rFonts w:cs="Arial"/>
        </w:rPr>
      </w:pPr>
    </w:p>
    <w:p w14:paraId="15387850" w14:textId="77777777" w:rsidR="00EE62D3" w:rsidRPr="00627C33" w:rsidRDefault="00EE62D3" w:rsidP="00627C33">
      <w:pPr>
        <w:rPr>
          <w:rFonts w:cs="Arial"/>
        </w:rPr>
      </w:pPr>
      <w:r w:rsidRPr="00627C33">
        <w:rPr>
          <w:rFonts w:cs="Arial"/>
        </w:rPr>
        <w:t>En ese tenor, un acto impugnado queda sin efectos, cuando aun existiendo jurídicamente (esto es, que no se ha modificado, ni revocado) ya no genera ninguna consecuencia legal.</w:t>
      </w:r>
    </w:p>
    <w:p w14:paraId="326C5D26" w14:textId="77777777" w:rsidR="00EE62D3" w:rsidRPr="00627C33" w:rsidRDefault="00EE62D3" w:rsidP="00627C33">
      <w:pPr>
        <w:ind w:firstLine="567"/>
        <w:rPr>
          <w:rFonts w:cs="Arial"/>
        </w:rPr>
      </w:pPr>
    </w:p>
    <w:p w14:paraId="023E3B3F" w14:textId="77777777" w:rsidR="00EE62D3" w:rsidRPr="00627C33" w:rsidRDefault="00EE62D3" w:rsidP="00627C33">
      <w:pPr>
        <w:rPr>
          <w:rFonts w:cs="Arial"/>
        </w:rPr>
      </w:pPr>
      <w:r w:rsidRPr="00627C33">
        <w:rPr>
          <w:rFonts w:cs="Arial"/>
        </w:rPr>
        <w:t xml:space="preserve">En tanto que, un acto impugnado queda sin materia, cuando ha sido satisfecha la pretensión de lo solicitado por la parte </w:t>
      </w:r>
      <w:r w:rsidRPr="00627C33">
        <w:rPr>
          <w:rFonts w:cs="Arial"/>
          <w:b/>
        </w:rPr>
        <w:t xml:space="preserve">RECURRENTE </w:t>
      </w:r>
      <w:r w:rsidRPr="00627C33">
        <w:rPr>
          <w:rFonts w:cs="Arial"/>
        </w:rPr>
        <w:t xml:space="preserve">de manera que </w:t>
      </w:r>
      <w:r w:rsidRPr="00627C33">
        <w:rPr>
          <w:rFonts w:cs="Arial"/>
          <w:b/>
        </w:rPr>
        <w:t xml:space="preserve">EL SUJETO OBLIGADO </w:t>
      </w:r>
      <w:r w:rsidRPr="00627C33">
        <w:rPr>
          <w:rFonts w:cs="Arial"/>
        </w:rPr>
        <w:t xml:space="preserve">entrega </w:t>
      </w:r>
      <w:r w:rsidRPr="00627C33">
        <w:rPr>
          <w:rFonts w:cs="Arial"/>
        </w:rPr>
        <w:lastRenderedPageBreak/>
        <w:t xml:space="preserve">una respuesta que para el caso fue posterior; es decir, en Informe Justificado, mediante el cual concede o adiciona información a la proporcionada.   </w:t>
      </w:r>
    </w:p>
    <w:p w14:paraId="28739B75" w14:textId="77777777" w:rsidR="00EE62D3" w:rsidRPr="00627C33" w:rsidRDefault="00EE62D3" w:rsidP="00627C33">
      <w:pPr>
        <w:rPr>
          <w:rFonts w:cs="Arial"/>
        </w:rPr>
      </w:pPr>
    </w:p>
    <w:p w14:paraId="761F9A7D" w14:textId="77777777" w:rsidR="00EE62D3" w:rsidRPr="00627C33" w:rsidRDefault="00EE62D3" w:rsidP="00627C33">
      <w:pPr>
        <w:rPr>
          <w:rFonts w:cs="Arial"/>
        </w:rPr>
      </w:pPr>
      <w:r w:rsidRPr="00627C33">
        <w:rPr>
          <w:rFonts w:cs="Arial"/>
        </w:rPr>
        <w:t xml:space="preserve">Bajo esas consideraciones, se afirma que en el Recurso de Revisión sujeto a estudio se actualiza la hipótesis jurídica citada en el cuarto elemento; toda vez que, quedó probado que, </w:t>
      </w:r>
      <w:r w:rsidRPr="00627C33">
        <w:rPr>
          <w:rFonts w:cs="Arial"/>
          <w:b/>
        </w:rPr>
        <w:t>EL SUJETO OBLIGADO</w:t>
      </w:r>
      <w:r w:rsidRPr="00627C33">
        <w:rPr>
          <w:rFonts w:cs="Arial"/>
        </w:rPr>
        <w:t xml:space="preserve"> mediante un acto posterior a su respuesta, como lo fue el Informe Justificado, remitió información con lo cual, dejó sin materia el presente recurso. </w:t>
      </w:r>
    </w:p>
    <w:p w14:paraId="3576AD17" w14:textId="77777777" w:rsidR="00EE62D3" w:rsidRPr="00627C33" w:rsidRDefault="00EE62D3" w:rsidP="00627C33">
      <w:pPr>
        <w:rPr>
          <w:rFonts w:cs="Arial"/>
        </w:rPr>
      </w:pPr>
    </w:p>
    <w:p w14:paraId="24DB129D" w14:textId="7A21B8A3" w:rsidR="00EE62D3" w:rsidRPr="00627C33" w:rsidRDefault="00EE62D3" w:rsidP="00627C33">
      <w:r w:rsidRPr="00627C33">
        <w:rPr>
          <w:rFonts w:cs="Arial"/>
        </w:rPr>
        <w:t>Atento a ello, es conveniente recordar que el particular en ejercicio del ejercicio del derecho de acceso a la información solicitó</w:t>
      </w:r>
      <w:r w:rsidRPr="00627C33">
        <w:t xml:space="preserve"> </w:t>
      </w:r>
      <w:r w:rsidR="00A42595" w:rsidRPr="00627C33">
        <w:t>la relación de las empresas que están autorizadas a prestar el servicio público sobre la vía viaducto bicentenario en el municipio de Zumpango.</w:t>
      </w:r>
    </w:p>
    <w:p w14:paraId="11CC534B" w14:textId="381CF98C" w:rsidR="00EE62D3" w:rsidRPr="00627C33" w:rsidRDefault="00EE62D3" w:rsidP="00627C33">
      <w:pPr>
        <w:spacing w:before="240" w:after="240"/>
        <w:ind w:right="49"/>
      </w:pPr>
      <w:r w:rsidRPr="00627C33">
        <w:t xml:space="preserve">Al respecto </w:t>
      </w:r>
      <w:r w:rsidRPr="00627C33">
        <w:rPr>
          <w:b/>
        </w:rPr>
        <w:t>EL SUJETO OBLIGADO</w:t>
      </w:r>
      <w:r w:rsidRPr="00627C33">
        <w:t xml:space="preserve"> mediante respuesta medularmente hizo del </w:t>
      </w:r>
      <w:r w:rsidRPr="00627C33">
        <w:rPr>
          <w:rFonts w:cs="Arial"/>
          <w:lang w:val="es-ES_tradnl"/>
        </w:rPr>
        <w:t xml:space="preserve">conocimiento </w:t>
      </w:r>
      <w:r w:rsidR="00A42595" w:rsidRPr="00627C33">
        <w:rPr>
          <w:rFonts w:cs="Arial"/>
          <w:lang w:val="es-ES_tradnl"/>
        </w:rPr>
        <w:t xml:space="preserve">el listado de </w:t>
      </w:r>
      <w:r w:rsidR="00BD4958" w:rsidRPr="00627C33">
        <w:rPr>
          <w:rFonts w:cs="Arial"/>
          <w:lang w:val="es-ES_tradnl"/>
        </w:rPr>
        <w:t xml:space="preserve">las empresas que cuentan con autorización dentro de la zona de Zumpango, </w:t>
      </w:r>
      <w:r w:rsidR="00A42595" w:rsidRPr="00627C33">
        <w:t xml:space="preserve">pero no </w:t>
      </w:r>
      <w:r w:rsidR="001E17DC" w:rsidRPr="00627C33">
        <w:t xml:space="preserve">de manera específica de </w:t>
      </w:r>
      <w:r w:rsidR="00A42595" w:rsidRPr="00627C33">
        <w:t>la calle de viaducto Bicentenario</w:t>
      </w:r>
      <w:r w:rsidR="001E17DC" w:rsidRPr="00627C33">
        <w:t>, el cual es del interés del particular</w:t>
      </w:r>
      <w:r w:rsidR="00A42595" w:rsidRPr="00627C33">
        <w:t xml:space="preserve">. </w:t>
      </w:r>
    </w:p>
    <w:p w14:paraId="66A42701" w14:textId="7AEABD11" w:rsidR="00EE62D3" w:rsidRPr="00627C33" w:rsidRDefault="00EE62D3" w:rsidP="00627C33">
      <w:r w:rsidRPr="00627C33">
        <w:t>Ante tal respuesta, el particular interpuso el Recurso de Revisión materia del presente asunto, adoleciéndose medularmente porque no se le hizo entre</w:t>
      </w:r>
      <w:r w:rsidR="00A42595" w:rsidRPr="00627C33">
        <w:t>ga de la información solicitada.</w:t>
      </w:r>
      <w:r w:rsidR="001E17DC" w:rsidRPr="00627C33">
        <w:t xml:space="preserve"> </w:t>
      </w:r>
    </w:p>
    <w:p w14:paraId="42794B7F" w14:textId="4A9E50AB" w:rsidR="00EE62D3" w:rsidRPr="00627C33" w:rsidRDefault="00EE62D3" w:rsidP="00627C33"/>
    <w:p w14:paraId="725C5C99" w14:textId="76343997" w:rsidR="00F11D6E" w:rsidRPr="00627C33" w:rsidRDefault="00BD4958" w:rsidP="00627C33">
      <w:pPr>
        <w:spacing w:before="240" w:after="240"/>
        <w:contextualSpacing/>
      </w:pPr>
      <w:r w:rsidRPr="00627C33">
        <w:t xml:space="preserve">Al respecto, debe señalarse que </w:t>
      </w:r>
      <w:r w:rsidR="00F11D6E" w:rsidRPr="00627C33">
        <w:t>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C5952BD" w14:textId="77777777" w:rsidR="00F11D6E" w:rsidRPr="00627C33" w:rsidRDefault="00F11D6E" w:rsidP="00627C33">
      <w:pPr>
        <w:pStyle w:val="Puesto"/>
        <w:ind w:firstLine="0"/>
        <w:rPr>
          <w:color w:val="auto"/>
        </w:rPr>
      </w:pPr>
      <w:r w:rsidRPr="00627C33">
        <w:rPr>
          <w:color w:val="auto"/>
        </w:rPr>
        <w:lastRenderedPageBreak/>
        <w:t>“</w:t>
      </w:r>
      <w:r w:rsidRPr="00627C33">
        <w:rPr>
          <w:b/>
          <w:color w:val="auto"/>
        </w:rPr>
        <w:t>Artículo 12.-</w:t>
      </w:r>
      <w:r w:rsidRPr="00627C33">
        <w:rPr>
          <w:color w:val="auto"/>
        </w:rPr>
        <w:t xml:space="preserve"> Quienes generen, recopilen, administren, manejen, procesen, archiven o conserven información pública serán responsables de la misma en los términos de las disposiciones jurídicas aplicables. </w:t>
      </w:r>
    </w:p>
    <w:p w14:paraId="69C811EC" w14:textId="77777777" w:rsidR="00F11D6E" w:rsidRPr="00627C33" w:rsidRDefault="00F11D6E" w:rsidP="00627C33">
      <w:pPr>
        <w:pStyle w:val="Puesto"/>
        <w:ind w:firstLine="0"/>
        <w:rPr>
          <w:color w:val="auto"/>
        </w:rPr>
      </w:pPr>
    </w:p>
    <w:p w14:paraId="3B646ED7" w14:textId="77777777" w:rsidR="00F11D6E" w:rsidRPr="00627C33" w:rsidRDefault="00F11D6E" w:rsidP="00627C33">
      <w:pPr>
        <w:pStyle w:val="Puesto"/>
        <w:ind w:firstLine="0"/>
        <w:rPr>
          <w:color w:val="auto"/>
        </w:rPr>
      </w:pPr>
      <w:r w:rsidRPr="00627C33">
        <w:rPr>
          <w:b/>
          <w:color w:val="auto"/>
        </w:rPr>
        <w:t>Los sujetos obligados sólo proporcionarán la información pública que se les requiera y que obre en sus archivos y en el estado en que ésta se encuentre</w:t>
      </w:r>
      <w:r w:rsidRPr="00627C33">
        <w:rPr>
          <w:color w:val="auto"/>
        </w:rPr>
        <w:t xml:space="preserve">. </w:t>
      </w:r>
      <w:r w:rsidRPr="00627C33">
        <w:rPr>
          <w:b/>
          <w:color w:val="auto"/>
        </w:rPr>
        <w:t>La obligación de proporcionar información no comprende el procesamiento de la misma, ni el presentarla conforme al interés del solicitante; no estarán obligados a generarla, resumirla, efectuar cálculos o practicar investigaciones.” (Sic)</w:t>
      </w:r>
    </w:p>
    <w:p w14:paraId="16FCFB5C" w14:textId="77777777" w:rsidR="00F11D6E" w:rsidRPr="00627C33" w:rsidRDefault="00F11D6E" w:rsidP="00627C33">
      <w:pPr>
        <w:spacing w:before="240" w:after="240"/>
        <w:contextualSpacing/>
      </w:pPr>
    </w:p>
    <w:p w14:paraId="0243B651" w14:textId="77777777" w:rsidR="00F11D6E" w:rsidRPr="00627C33" w:rsidRDefault="00F11D6E" w:rsidP="00627C33">
      <w:pPr>
        <w:spacing w:before="240" w:after="240"/>
        <w:contextualSpacing/>
      </w:pPr>
      <w:r w:rsidRPr="00627C33">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627C33">
        <w:rPr>
          <w:strike/>
        </w:rPr>
        <w:t xml:space="preserve"> </w:t>
      </w:r>
    </w:p>
    <w:p w14:paraId="7AB5F63F" w14:textId="77777777" w:rsidR="00F11D6E" w:rsidRPr="00627C33" w:rsidRDefault="00F11D6E" w:rsidP="00627C33">
      <w:pPr>
        <w:spacing w:before="240" w:after="240"/>
        <w:contextualSpacing/>
      </w:pPr>
    </w:p>
    <w:p w14:paraId="31B4D144" w14:textId="6BE682C1" w:rsidR="00F11D6E" w:rsidRPr="00627C33" w:rsidRDefault="00F11D6E" w:rsidP="00627C33">
      <w:pPr>
        <w:spacing w:before="240" w:after="240"/>
        <w:ind w:right="49"/>
        <w:contextualSpacing/>
      </w:pPr>
      <w:r w:rsidRPr="00627C33">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53321C0" w14:textId="111AE807" w:rsidR="00F11D6E" w:rsidRPr="00627C33" w:rsidRDefault="00F11D6E" w:rsidP="00627C33">
      <w:pPr>
        <w:spacing w:before="240" w:after="240"/>
        <w:ind w:right="49"/>
        <w:contextualSpacing/>
      </w:pPr>
    </w:p>
    <w:p w14:paraId="5FDA181F" w14:textId="77777777" w:rsidR="00B154FA" w:rsidRPr="00627C33" w:rsidRDefault="00B154FA" w:rsidP="00627C33">
      <w:pPr>
        <w:spacing w:before="240" w:after="240"/>
        <w:contextualSpacing/>
      </w:pPr>
      <w:r w:rsidRPr="00627C33">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w:t>
      </w:r>
      <w:r w:rsidRPr="00627C33">
        <w:lastRenderedPageBreak/>
        <w:t xml:space="preserve">de los Sujetos Obligados; los que, podrán estar en cualquier medio, sea escrito, impreso, sonoro, visual, electrónico, informático u holográfico de conformidad con el artículo 3, fracción XI de la Ley de la materia, el cual señala lo siguiente: </w:t>
      </w:r>
    </w:p>
    <w:p w14:paraId="4CDC4197" w14:textId="77777777" w:rsidR="00B154FA" w:rsidRPr="00627C33" w:rsidRDefault="00B154FA" w:rsidP="00627C33">
      <w:pPr>
        <w:pStyle w:val="Puesto"/>
        <w:ind w:firstLine="0"/>
        <w:rPr>
          <w:color w:val="auto"/>
        </w:rPr>
      </w:pPr>
      <w:r w:rsidRPr="00627C33">
        <w:rPr>
          <w:color w:val="auto"/>
        </w:rPr>
        <w:t>“</w:t>
      </w:r>
      <w:r w:rsidRPr="00627C33">
        <w:rPr>
          <w:b/>
          <w:color w:val="auto"/>
        </w:rPr>
        <w:t xml:space="preserve">Artículo 3. </w:t>
      </w:r>
      <w:r w:rsidRPr="00627C33">
        <w:rPr>
          <w:color w:val="auto"/>
        </w:rPr>
        <w:t>Para los efectos de la presente Ley se entenderá por:</w:t>
      </w:r>
    </w:p>
    <w:p w14:paraId="38CD2003" w14:textId="77777777" w:rsidR="00B154FA" w:rsidRPr="00627C33" w:rsidRDefault="00B154FA" w:rsidP="00627C33">
      <w:pPr>
        <w:pStyle w:val="Puesto"/>
        <w:ind w:firstLine="0"/>
        <w:rPr>
          <w:color w:val="auto"/>
        </w:rPr>
      </w:pPr>
      <w:r w:rsidRPr="00627C33">
        <w:rPr>
          <w:color w:val="auto"/>
        </w:rPr>
        <w:t>…</w:t>
      </w:r>
    </w:p>
    <w:p w14:paraId="3051EAFB" w14:textId="77777777" w:rsidR="00B154FA" w:rsidRPr="00627C33" w:rsidRDefault="00B154FA" w:rsidP="00627C33">
      <w:pPr>
        <w:pStyle w:val="Puesto"/>
        <w:ind w:firstLine="0"/>
        <w:rPr>
          <w:color w:val="auto"/>
        </w:rPr>
      </w:pPr>
      <w:r w:rsidRPr="00627C33">
        <w:rPr>
          <w:b/>
          <w:color w:val="auto"/>
        </w:rPr>
        <w:t>XI. Documento:</w:t>
      </w:r>
      <w:r w:rsidRPr="00627C33">
        <w:rPr>
          <w:color w:val="auto"/>
        </w:rPr>
        <w:t xml:space="preserve"> Los expedientes, reportes, estudios, actas</w:t>
      </w:r>
      <w:r w:rsidRPr="00627C33">
        <w:rPr>
          <w:b/>
          <w:color w:val="auto"/>
        </w:rPr>
        <w:t>,</w:t>
      </w:r>
      <w:r w:rsidRPr="00627C33">
        <w:rPr>
          <w:color w:val="auto"/>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1B07B7F" w14:textId="77777777" w:rsidR="00B154FA" w:rsidRPr="00627C33" w:rsidRDefault="00B154FA" w:rsidP="00627C33">
      <w:pPr>
        <w:spacing w:before="240" w:after="240"/>
        <w:ind w:left="851" w:right="899"/>
        <w:contextualSpacing/>
      </w:pPr>
    </w:p>
    <w:p w14:paraId="7A7E8895" w14:textId="77777777" w:rsidR="00B154FA" w:rsidRPr="00627C33" w:rsidRDefault="00B154FA" w:rsidP="00627C33">
      <w:pPr>
        <w:spacing w:before="240" w:after="240"/>
        <w:contextualSpacing/>
      </w:pPr>
      <w:r w:rsidRPr="00627C33">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34AA6FA" w14:textId="77777777" w:rsidR="00B154FA" w:rsidRPr="00627C33" w:rsidRDefault="00B154FA" w:rsidP="00627C33">
      <w:pPr>
        <w:pStyle w:val="Puesto"/>
        <w:ind w:firstLine="0"/>
        <w:rPr>
          <w:b/>
          <w:color w:val="auto"/>
        </w:rPr>
      </w:pPr>
      <w:r w:rsidRPr="00627C33">
        <w:rPr>
          <w:color w:val="auto"/>
        </w:rPr>
        <w:t>“</w:t>
      </w:r>
      <w:r w:rsidRPr="00627C33">
        <w:rPr>
          <w:b/>
          <w:color w:val="auto"/>
        </w:rPr>
        <w:t>CRITERIO 0002-11</w:t>
      </w:r>
    </w:p>
    <w:p w14:paraId="41F49F8F" w14:textId="77777777" w:rsidR="00B154FA" w:rsidRPr="00627C33" w:rsidRDefault="00B154FA" w:rsidP="00627C33">
      <w:pPr>
        <w:pStyle w:val="Puesto"/>
        <w:ind w:firstLine="0"/>
        <w:rPr>
          <w:color w:val="auto"/>
        </w:rPr>
      </w:pPr>
      <w:r w:rsidRPr="00627C33">
        <w:rPr>
          <w:b/>
          <w:color w:val="auto"/>
        </w:rPr>
        <w:t>INFORMACIÓN PÚBLICA, CONCEPTO DE, EN MATERIA DE TRANSPARENCIA. INTERPRETACIÓN SISTEMÁTICA DE LOS ARTÍCULOS 2°, FRACCIÓN V, XV, Y XVI, 3°, 4°, 11 Y 41.</w:t>
      </w:r>
      <w:r w:rsidRPr="00627C33">
        <w:rPr>
          <w:color w:val="auto"/>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09A0983" w14:textId="77777777" w:rsidR="00B154FA" w:rsidRPr="00627C33" w:rsidRDefault="00B154FA" w:rsidP="00627C33">
      <w:pPr>
        <w:pStyle w:val="Puesto"/>
        <w:ind w:firstLine="0"/>
        <w:rPr>
          <w:color w:val="auto"/>
        </w:rPr>
      </w:pPr>
      <w:r w:rsidRPr="00627C33">
        <w:rPr>
          <w:color w:val="auto"/>
        </w:rPr>
        <w:t>En consecuencia el acceso a la información se refiere a que se cumplan cualquiera de los siguientes tres supuestos:</w:t>
      </w:r>
    </w:p>
    <w:p w14:paraId="106BDB42" w14:textId="77777777" w:rsidR="00B154FA" w:rsidRPr="00627C33" w:rsidRDefault="00B154FA" w:rsidP="00627C33">
      <w:pPr>
        <w:pStyle w:val="Puesto"/>
        <w:ind w:firstLine="0"/>
        <w:rPr>
          <w:color w:val="auto"/>
        </w:rPr>
      </w:pPr>
      <w:r w:rsidRPr="00627C33">
        <w:rPr>
          <w:color w:val="auto"/>
        </w:rPr>
        <w:t>1) Que se trate de información registrada en cualquier soporte documental, que en ejercicio de las atribuciones conferidas, sea generada por los Sujetos Obligados;</w:t>
      </w:r>
    </w:p>
    <w:p w14:paraId="14C71F56" w14:textId="77777777" w:rsidR="00B154FA" w:rsidRPr="00627C33" w:rsidRDefault="00B154FA" w:rsidP="00627C33">
      <w:pPr>
        <w:pStyle w:val="Puesto"/>
        <w:ind w:firstLine="0"/>
        <w:rPr>
          <w:color w:val="auto"/>
        </w:rPr>
      </w:pPr>
      <w:r w:rsidRPr="00627C33">
        <w:rPr>
          <w:color w:val="auto"/>
        </w:rPr>
        <w:lastRenderedPageBreak/>
        <w:t>2) Que se trate de información registrada en cualquier soporte documental, que en ejercicio de las atribuciones conferidas, sea administrada por los Sujetos Obligados, y</w:t>
      </w:r>
    </w:p>
    <w:p w14:paraId="3609EE19" w14:textId="77777777" w:rsidR="00B154FA" w:rsidRPr="00627C33" w:rsidRDefault="00B154FA" w:rsidP="00627C33">
      <w:pPr>
        <w:pStyle w:val="Puesto"/>
        <w:ind w:firstLine="0"/>
        <w:rPr>
          <w:color w:val="auto"/>
        </w:rPr>
      </w:pPr>
      <w:r w:rsidRPr="00627C33">
        <w:rPr>
          <w:color w:val="auto"/>
        </w:rPr>
        <w:t xml:space="preserve">3) Que se trate de información registrada en cualquier soporte documental, que en ejercicio de las atribuciones conferidas, se encuentre en posesión de los Sujetos Obligados.” </w:t>
      </w:r>
    </w:p>
    <w:p w14:paraId="36001657" w14:textId="77777777" w:rsidR="00B154FA" w:rsidRPr="00627C33" w:rsidRDefault="00B154FA" w:rsidP="00627C33">
      <w:pPr>
        <w:spacing w:before="240" w:after="240" w:line="276" w:lineRule="auto"/>
        <w:ind w:left="851" w:right="902"/>
        <w:contextualSpacing/>
      </w:pPr>
    </w:p>
    <w:p w14:paraId="3C65D89A" w14:textId="4448BA1F" w:rsidR="00B154FA" w:rsidRPr="00627C33" w:rsidRDefault="00B154FA" w:rsidP="00627C33">
      <w:pPr>
        <w:spacing w:before="240" w:after="240"/>
        <w:contextualSpacing/>
      </w:pPr>
      <w:r w:rsidRPr="00627C33">
        <w:t xml:space="preserve">De ahí que </w:t>
      </w:r>
      <w:r w:rsidRPr="00627C33">
        <w:rPr>
          <w:b/>
        </w:rPr>
        <w:t>EL SUJETO OBLIGADO</w:t>
      </w:r>
      <w:r w:rsidRPr="00627C33">
        <w:t xml:space="preserve"> cuenta con el deber de satisfacer las solicitudes de acceso a la información que le sean formuladas y entregar la información pública que obre en sus archivos pudiendo ser de manera electrónica.</w:t>
      </w:r>
    </w:p>
    <w:p w14:paraId="3267F6A6" w14:textId="596E0D81" w:rsidR="00B154FA" w:rsidRPr="00627C33" w:rsidRDefault="00B154FA" w:rsidP="00627C33">
      <w:pPr>
        <w:spacing w:before="240" w:after="240"/>
        <w:contextualSpacing/>
      </w:pPr>
    </w:p>
    <w:p w14:paraId="6E08E77A" w14:textId="173E18C3" w:rsidR="00B154FA" w:rsidRPr="00627C33" w:rsidRDefault="00B154FA" w:rsidP="00627C33">
      <w:pPr>
        <w:spacing w:before="240" w:after="240"/>
        <w:contextualSpacing/>
      </w:pPr>
      <w:r w:rsidRPr="00627C33">
        <w:t xml:space="preserve">Luego entonces, </w:t>
      </w:r>
      <w:r w:rsidRPr="00627C33">
        <w:rPr>
          <w:b/>
          <w:bCs/>
        </w:rPr>
        <w:t xml:space="preserve">EL SUJETO OBLIGADO </w:t>
      </w:r>
      <w:r w:rsidRPr="00627C33">
        <w:t xml:space="preserve">en respuesta proporcionó el listado de todas las empresas en el municipio de Zumpango, pero </w:t>
      </w:r>
      <w:r w:rsidR="00DD1327" w:rsidRPr="00627C33">
        <w:t xml:space="preserve">no </w:t>
      </w:r>
      <w:r w:rsidRPr="00627C33">
        <w:t>de forma específica en la ubicación referida por el particular.</w:t>
      </w:r>
    </w:p>
    <w:p w14:paraId="3FAEDDC2" w14:textId="327E2D26" w:rsidR="00B154FA" w:rsidRPr="00627C33" w:rsidRDefault="00B154FA" w:rsidP="00627C33">
      <w:pPr>
        <w:spacing w:before="240" w:after="240"/>
        <w:contextualSpacing/>
      </w:pPr>
    </w:p>
    <w:p w14:paraId="79C53382" w14:textId="1FF251E9" w:rsidR="001E17DC" w:rsidRPr="00627C33" w:rsidRDefault="00B154FA" w:rsidP="00627C33">
      <w:pPr>
        <w:spacing w:before="240" w:after="240"/>
        <w:contextualSpacing/>
        <w:rPr>
          <w:b/>
          <w:i/>
          <w:iCs/>
        </w:rPr>
      </w:pPr>
      <w:r w:rsidRPr="00627C33">
        <w:t>Y es mediante el Informe Justificado</w:t>
      </w:r>
      <w:r w:rsidR="003F3483" w:rsidRPr="00627C33">
        <w:t xml:space="preserve"> bajo el principio de máxima publicidad </w:t>
      </w:r>
      <w:r w:rsidRPr="00627C33">
        <w:t xml:space="preserve">que </w:t>
      </w:r>
      <w:r w:rsidR="00EE62D3" w:rsidRPr="00627C33">
        <w:rPr>
          <w:rFonts w:cs="Arial"/>
          <w:b/>
        </w:rPr>
        <w:t xml:space="preserve">EL SUJETO OBLIGADO </w:t>
      </w:r>
      <w:r w:rsidR="00EE62D3" w:rsidRPr="00627C33">
        <w:t>adjuntó</w:t>
      </w:r>
      <w:r w:rsidRPr="00627C33">
        <w:t xml:space="preserve"> el</w:t>
      </w:r>
      <w:r w:rsidR="00EE62D3" w:rsidRPr="00627C33">
        <w:t xml:space="preserve"> oficio </w:t>
      </w:r>
      <w:r w:rsidR="00EE62D3" w:rsidRPr="00627C33">
        <w:rPr>
          <w:rFonts w:cs="Arial"/>
        </w:rPr>
        <w:t xml:space="preserve">número </w:t>
      </w:r>
      <w:r w:rsidR="001E17DC" w:rsidRPr="00627C33">
        <w:rPr>
          <w:iCs/>
        </w:rPr>
        <w:t xml:space="preserve">22001002000000T/554/2024, de fecha 24 de junio de 2024, suscrito por la Directora General de Movilidad Zona II, en el que le informó que después de revisar el archivo digital que obra en esta unidad administrativa, sólo se cuenta con el registro de autorización de derroteros sobre la vialidad Viaducto Bicentenario a favor de las denominadas </w:t>
      </w:r>
      <w:r w:rsidR="001E17DC" w:rsidRPr="00627C33">
        <w:rPr>
          <w:b/>
          <w:iCs/>
        </w:rPr>
        <w:t xml:space="preserve">AUTOTRANSPORTES MEXICO ZUMPANGO CUEVAS TLAPANALOYA, S.A. DE C.V </w:t>
      </w:r>
      <w:r w:rsidR="001E17DC" w:rsidRPr="00627C33">
        <w:rPr>
          <w:bCs/>
          <w:iCs/>
        </w:rPr>
        <w:t>y</w:t>
      </w:r>
      <w:r w:rsidR="001E17DC" w:rsidRPr="00627C33">
        <w:rPr>
          <w:b/>
          <w:iCs/>
        </w:rPr>
        <w:t xml:space="preserve"> TRANSPORTES MEXICO ZUMPANGO TIANGUISTONGO, S.A. DE C.V.</w:t>
      </w:r>
    </w:p>
    <w:p w14:paraId="61DF0210" w14:textId="04543D68" w:rsidR="001E17DC" w:rsidRPr="00627C33" w:rsidRDefault="001E17DC" w:rsidP="00627C33">
      <w:pPr>
        <w:rPr>
          <w:iCs/>
        </w:rPr>
      </w:pPr>
    </w:p>
    <w:p w14:paraId="2EC46EBD" w14:textId="6C50E402" w:rsidR="00B154FA" w:rsidRPr="00627C33" w:rsidRDefault="00B154FA" w:rsidP="00627C33">
      <w:pPr>
        <w:rPr>
          <w:iCs/>
        </w:rPr>
      </w:pPr>
      <w:r w:rsidRPr="00627C33">
        <w:rPr>
          <w:iCs/>
        </w:rPr>
        <w:t>Siendo en ese momento, en el que se dio atención al requerimiento del particular sobre la zona referida, es decir, sobre la vialidad Viaducto Bicentenario, indicando el nombre preciso de las empresas de autotransportes que tienen la autorización de brindar el servicio público en la zona multicitada.</w:t>
      </w:r>
    </w:p>
    <w:p w14:paraId="76481EAE" w14:textId="47CDE016" w:rsidR="00B154FA" w:rsidRPr="00627C33" w:rsidRDefault="00B154FA" w:rsidP="00627C33">
      <w:pPr>
        <w:rPr>
          <w:iCs/>
        </w:rPr>
      </w:pPr>
    </w:p>
    <w:p w14:paraId="401A94F8" w14:textId="2B0665F0" w:rsidR="00B154FA" w:rsidRPr="00627C33" w:rsidRDefault="00B154FA" w:rsidP="00627C33">
      <w:pPr>
        <w:rPr>
          <w:iCs/>
        </w:rPr>
      </w:pPr>
      <w:r w:rsidRPr="00627C33">
        <w:rPr>
          <w:iCs/>
        </w:rPr>
        <w:lastRenderedPageBreak/>
        <w:t>Ello es así porque, de la revisión a la respuesta proporcionada no se puede saber con exactitud que empresas de autotransportes brindan el servicio sobre la vía viaducto bicentenario en el municipio de Zumpango.</w:t>
      </w:r>
    </w:p>
    <w:p w14:paraId="2CAD18F1" w14:textId="430A72FE" w:rsidR="00B154FA" w:rsidRPr="00627C33" w:rsidRDefault="00B154FA" w:rsidP="00627C33">
      <w:pPr>
        <w:rPr>
          <w:iCs/>
        </w:rPr>
      </w:pPr>
    </w:p>
    <w:p w14:paraId="65A2BB02" w14:textId="2F818001" w:rsidR="00EE62D3" w:rsidRPr="00627C33" w:rsidRDefault="00EE62D3" w:rsidP="00627C33">
      <w:pPr>
        <w:pStyle w:val="Prrafodelista"/>
        <w:widowControl w:val="0"/>
        <w:autoSpaceDE w:val="0"/>
        <w:autoSpaceDN w:val="0"/>
        <w:adjustRightInd w:val="0"/>
        <w:ind w:left="0"/>
        <w:rPr>
          <w:rFonts w:cs="Arial"/>
        </w:rPr>
      </w:pPr>
      <w:r w:rsidRPr="00627C33">
        <w:rPr>
          <w:rFonts w:cs="Arial"/>
        </w:rPr>
        <w:t xml:space="preserve">Derivado de lo anterior, es necesario precisar que la </w:t>
      </w:r>
      <w:r w:rsidR="00291DFC" w:rsidRPr="00627C33">
        <w:rPr>
          <w:rFonts w:cs="Arial"/>
        </w:rPr>
        <w:t>información</w:t>
      </w:r>
      <w:r w:rsidRPr="00627C33">
        <w:rPr>
          <w:rFonts w:cs="Arial"/>
        </w:rPr>
        <w:t xml:space="preserve"> fue proporcionada por el servidor público habilitado, es decir, por</w:t>
      </w:r>
      <w:r w:rsidR="00D609FA" w:rsidRPr="00627C33">
        <w:rPr>
          <w:rFonts w:cs="Arial"/>
        </w:rPr>
        <w:t xml:space="preserve"> la</w:t>
      </w:r>
      <w:r w:rsidRPr="00627C33">
        <w:rPr>
          <w:rFonts w:cs="Arial"/>
        </w:rPr>
        <w:t xml:space="preserve"> </w:t>
      </w:r>
      <w:r w:rsidR="001E17DC" w:rsidRPr="00627C33">
        <w:rPr>
          <w:iCs/>
        </w:rPr>
        <w:t>Directora General de Movilidad Zona II</w:t>
      </w:r>
      <w:r w:rsidRPr="00627C33">
        <w:rPr>
          <w:rFonts w:cs="Arial"/>
        </w:rPr>
        <w:t xml:space="preserve">, la cual conforme al Reglamento </w:t>
      </w:r>
      <w:r w:rsidR="0040141B" w:rsidRPr="00627C33">
        <w:rPr>
          <w:rFonts w:cs="Arial"/>
        </w:rPr>
        <w:t>Interior</w:t>
      </w:r>
      <w:r w:rsidR="00D609FA" w:rsidRPr="00627C33">
        <w:rPr>
          <w:rStyle w:val="Refdenotaalpie"/>
          <w:rFonts w:cs="Arial"/>
        </w:rPr>
        <w:footnoteReference w:id="1"/>
      </w:r>
      <w:r w:rsidR="00D609FA" w:rsidRPr="00627C33">
        <w:rPr>
          <w:rFonts w:cs="Arial"/>
        </w:rPr>
        <w:t xml:space="preserve"> y el Manual de Organización</w:t>
      </w:r>
      <w:r w:rsidR="00D609FA" w:rsidRPr="00627C33">
        <w:rPr>
          <w:rStyle w:val="Refdenotaalpie"/>
          <w:rFonts w:cs="Arial"/>
        </w:rPr>
        <w:footnoteReference w:id="2"/>
      </w:r>
      <w:r w:rsidR="0040141B" w:rsidRPr="00627C33">
        <w:rPr>
          <w:rFonts w:cs="Arial"/>
        </w:rPr>
        <w:t xml:space="preserve"> del </w:t>
      </w:r>
      <w:r w:rsidR="0040141B" w:rsidRPr="00627C33">
        <w:rPr>
          <w:rFonts w:cs="Arial"/>
          <w:b/>
          <w:bCs/>
        </w:rPr>
        <w:t>SUJETO OBLIGADO</w:t>
      </w:r>
      <w:r w:rsidRPr="00627C33">
        <w:rPr>
          <w:rFonts w:cs="Arial"/>
        </w:rPr>
        <w:t xml:space="preserve">, tiene a su cargo el despacho de los siguientes asuntos: </w:t>
      </w:r>
    </w:p>
    <w:p w14:paraId="16187BB6" w14:textId="77777777" w:rsidR="00B154FA" w:rsidRPr="00627C33" w:rsidRDefault="00B154FA" w:rsidP="00627C33">
      <w:pPr>
        <w:pStyle w:val="Prrafodelista"/>
        <w:widowControl w:val="0"/>
        <w:autoSpaceDE w:val="0"/>
        <w:autoSpaceDN w:val="0"/>
        <w:adjustRightInd w:val="0"/>
        <w:ind w:left="0"/>
        <w:rPr>
          <w:rFonts w:cs="Arial"/>
        </w:rPr>
      </w:pPr>
    </w:p>
    <w:p w14:paraId="502F7E22" w14:textId="40BC76A1" w:rsidR="00D609FA" w:rsidRPr="00627C33" w:rsidRDefault="00D609FA" w:rsidP="00627C33">
      <w:pPr>
        <w:pStyle w:val="Puesto"/>
        <w:ind w:right="539" w:firstLine="0"/>
        <w:jc w:val="center"/>
        <w:rPr>
          <w:color w:val="auto"/>
        </w:rPr>
      </w:pPr>
      <w:r w:rsidRPr="00627C33">
        <w:rPr>
          <w:b/>
          <w:bCs/>
          <w:color w:val="auto"/>
        </w:rPr>
        <w:t>Reglamento Interior</w:t>
      </w:r>
    </w:p>
    <w:p w14:paraId="5C656400" w14:textId="77777777" w:rsidR="00D609FA" w:rsidRPr="00627C33" w:rsidRDefault="00D609FA" w:rsidP="00627C33">
      <w:pPr>
        <w:pStyle w:val="Puesto"/>
        <w:ind w:right="539" w:firstLine="0"/>
        <w:rPr>
          <w:color w:val="auto"/>
        </w:rPr>
      </w:pPr>
    </w:p>
    <w:p w14:paraId="650CB805" w14:textId="01795995" w:rsidR="00EE62D3" w:rsidRPr="00627C33" w:rsidRDefault="00D609FA" w:rsidP="00627C33">
      <w:pPr>
        <w:pStyle w:val="Puesto"/>
        <w:ind w:right="539" w:firstLine="0"/>
        <w:rPr>
          <w:color w:val="auto"/>
        </w:rPr>
      </w:pPr>
      <w:r w:rsidRPr="00627C33">
        <w:rPr>
          <w:color w:val="auto"/>
        </w:rPr>
        <w:t>“</w:t>
      </w:r>
      <w:r w:rsidR="0040141B" w:rsidRPr="00627C33">
        <w:rPr>
          <w:b/>
          <w:bCs/>
          <w:color w:val="auto"/>
        </w:rPr>
        <w:t>Artículo 13.</w:t>
      </w:r>
      <w:r w:rsidR="0040141B" w:rsidRPr="00627C33">
        <w:rPr>
          <w:color w:val="auto"/>
        </w:rPr>
        <w:t xml:space="preserve"> Las Direcciones Generales de Movilidad tendrán bajo su adscripción Delegaciones Regionales, con atribuciones en los municipios siguientes:</w:t>
      </w:r>
    </w:p>
    <w:p w14:paraId="0E845547" w14:textId="1604E807" w:rsidR="0040141B" w:rsidRPr="00627C33" w:rsidRDefault="0040141B" w:rsidP="00627C33">
      <w:pPr>
        <w:pStyle w:val="Puesto"/>
        <w:ind w:right="539" w:firstLine="0"/>
        <w:rPr>
          <w:b/>
          <w:color w:val="auto"/>
          <w:lang w:val="es-ES"/>
        </w:rPr>
      </w:pPr>
      <w:r w:rsidRPr="00627C33">
        <w:rPr>
          <w:b/>
          <w:color w:val="auto"/>
          <w:lang w:val="es-ES"/>
        </w:rPr>
        <w:tab/>
        <w:t>…</w:t>
      </w:r>
    </w:p>
    <w:p w14:paraId="5546041F" w14:textId="7A92EC7D" w:rsidR="0040141B" w:rsidRPr="00627C33" w:rsidRDefault="0040141B" w:rsidP="00627C33">
      <w:pPr>
        <w:pStyle w:val="Puesto"/>
        <w:ind w:right="539" w:firstLine="0"/>
        <w:rPr>
          <w:color w:val="auto"/>
        </w:rPr>
      </w:pPr>
      <w:r w:rsidRPr="00627C33">
        <w:rPr>
          <w:color w:val="auto"/>
        </w:rPr>
        <w:t>II. Dirección General de Movilidad Zona II:</w:t>
      </w:r>
    </w:p>
    <w:p w14:paraId="71876C5F" w14:textId="01DA807A" w:rsidR="0040141B" w:rsidRPr="00627C33" w:rsidRDefault="0040141B" w:rsidP="00627C33">
      <w:pPr>
        <w:pStyle w:val="Puesto"/>
        <w:ind w:right="539" w:firstLine="0"/>
        <w:rPr>
          <w:color w:val="auto"/>
        </w:rPr>
      </w:pPr>
      <w:r w:rsidRPr="00627C33">
        <w:rPr>
          <w:color w:val="auto"/>
        </w:rPr>
        <w:t>…</w:t>
      </w:r>
    </w:p>
    <w:p w14:paraId="367F77E7" w14:textId="38BA2E5D" w:rsidR="0040141B" w:rsidRPr="00627C33" w:rsidRDefault="0040141B" w:rsidP="00627C33">
      <w:pPr>
        <w:pStyle w:val="Puesto"/>
        <w:ind w:right="539" w:firstLine="0"/>
        <w:rPr>
          <w:color w:val="auto"/>
        </w:rPr>
      </w:pPr>
      <w:r w:rsidRPr="00627C33">
        <w:rPr>
          <w:color w:val="auto"/>
        </w:rPr>
        <w:t xml:space="preserve">c. Delegación Regional Zumpango: Apaxco, Hueypoxtla, Jaltenco, Nextlalpan, Tequixquiac, Tonanitla y </w:t>
      </w:r>
      <w:r w:rsidRPr="00627C33">
        <w:rPr>
          <w:b/>
          <w:bCs/>
          <w:color w:val="auto"/>
        </w:rPr>
        <w:t>Zumpango</w:t>
      </w:r>
      <w:r w:rsidRPr="00627C33">
        <w:rPr>
          <w:color w:val="auto"/>
        </w:rPr>
        <w:t>;</w:t>
      </w:r>
    </w:p>
    <w:p w14:paraId="599181DF" w14:textId="7D847352" w:rsidR="00D609FA" w:rsidRPr="00627C33" w:rsidRDefault="00D609FA" w:rsidP="00627C33">
      <w:pPr>
        <w:pStyle w:val="Puesto"/>
        <w:ind w:right="539" w:firstLine="0"/>
        <w:rPr>
          <w:color w:val="auto"/>
        </w:rPr>
      </w:pPr>
    </w:p>
    <w:p w14:paraId="5D490381" w14:textId="1FC0D5DB" w:rsidR="00D609FA" w:rsidRPr="00627C33" w:rsidRDefault="00D609FA" w:rsidP="00627C33">
      <w:pPr>
        <w:pStyle w:val="Puesto"/>
        <w:ind w:right="539" w:firstLine="0"/>
        <w:jc w:val="center"/>
        <w:rPr>
          <w:b/>
          <w:bCs/>
          <w:color w:val="auto"/>
        </w:rPr>
      </w:pPr>
      <w:r w:rsidRPr="00627C33">
        <w:rPr>
          <w:b/>
          <w:bCs/>
          <w:color w:val="auto"/>
        </w:rPr>
        <w:t>Manual de Organización</w:t>
      </w:r>
    </w:p>
    <w:p w14:paraId="43D905F4" w14:textId="0BD9045E" w:rsidR="00D609FA" w:rsidRPr="00627C33" w:rsidRDefault="00D609FA" w:rsidP="00627C33">
      <w:pPr>
        <w:pStyle w:val="Puesto"/>
        <w:ind w:right="539" w:firstLine="0"/>
        <w:rPr>
          <w:b/>
          <w:bCs/>
          <w:color w:val="auto"/>
        </w:rPr>
      </w:pPr>
    </w:p>
    <w:p w14:paraId="4045402C" w14:textId="191FCD3E" w:rsidR="00D609FA" w:rsidRPr="00627C33" w:rsidRDefault="00D609FA" w:rsidP="00627C33">
      <w:pPr>
        <w:pStyle w:val="Puesto"/>
        <w:ind w:right="539" w:firstLine="0"/>
        <w:rPr>
          <w:b/>
          <w:bCs/>
          <w:color w:val="auto"/>
        </w:rPr>
      </w:pPr>
      <w:r w:rsidRPr="00627C33">
        <w:rPr>
          <w:b/>
          <w:bCs/>
          <w:color w:val="auto"/>
        </w:rPr>
        <w:t xml:space="preserve">22001002000000T DIRECCIÓN GENERAL DE MOVILIDAD ZONA II </w:t>
      </w:r>
    </w:p>
    <w:p w14:paraId="74117353" w14:textId="77777777" w:rsidR="00D609FA" w:rsidRPr="00627C33" w:rsidRDefault="00D609FA" w:rsidP="00627C33">
      <w:pPr>
        <w:rPr>
          <w:b/>
          <w:bCs/>
        </w:rPr>
      </w:pPr>
    </w:p>
    <w:p w14:paraId="29824A42" w14:textId="77777777" w:rsidR="00D609FA" w:rsidRPr="00627C33" w:rsidRDefault="00D609FA" w:rsidP="00627C33">
      <w:pPr>
        <w:pStyle w:val="Puesto"/>
        <w:ind w:right="539" w:firstLine="0"/>
        <w:rPr>
          <w:color w:val="auto"/>
        </w:rPr>
      </w:pPr>
      <w:r w:rsidRPr="00627C33">
        <w:rPr>
          <w:b/>
          <w:bCs/>
          <w:color w:val="auto"/>
        </w:rPr>
        <w:t xml:space="preserve">OBJETIVO: </w:t>
      </w:r>
      <w:r w:rsidRPr="00627C33">
        <w:rPr>
          <w:color w:val="auto"/>
        </w:rPr>
        <w:t xml:space="preserve">Promover, regular y coordinar programas de estudios de ingeniería de tránsito en la infraestructura vial, para el desarrollo integral de movilidad eficiente y segura que garanticen la accesibilidad a las personas, así como generar políticas de desarrollo del servicio público de transporte, a través de la planeación, coordinación y aplicación de sus sistemas integrales de transporte, autorizar la realización de visitas de inspección y verificación que permitan supervisar la puntual observancia y cumplimiento de los lineamientos legales y obligaciones a cargo de las y los concesionarios y permisionarios del servicio público de transporte y sus servicios conexos en la región de su competencia. </w:t>
      </w:r>
    </w:p>
    <w:p w14:paraId="1F89383B" w14:textId="5C823302" w:rsidR="00D609FA" w:rsidRPr="00627C33" w:rsidRDefault="00D609FA" w:rsidP="00627C33">
      <w:pPr>
        <w:pStyle w:val="Puesto"/>
        <w:ind w:right="539" w:firstLine="0"/>
        <w:rPr>
          <w:b/>
          <w:bCs/>
          <w:color w:val="auto"/>
        </w:rPr>
      </w:pPr>
      <w:r w:rsidRPr="00627C33">
        <w:rPr>
          <w:b/>
          <w:bCs/>
          <w:color w:val="auto"/>
        </w:rPr>
        <w:lastRenderedPageBreak/>
        <w:t>FUNCIONES:</w:t>
      </w:r>
    </w:p>
    <w:p w14:paraId="4EDE3872" w14:textId="45CE9129" w:rsidR="00D609FA" w:rsidRPr="00627C33" w:rsidRDefault="00D609FA" w:rsidP="00627C33">
      <w:pPr>
        <w:pStyle w:val="Puesto"/>
        <w:ind w:right="539" w:firstLine="0"/>
        <w:rPr>
          <w:color w:val="auto"/>
        </w:rPr>
      </w:pPr>
      <w:r w:rsidRPr="00627C33">
        <w:rPr>
          <w:color w:val="auto"/>
        </w:rPr>
        <w:t>…</w:t>
      </w:r>
    </w:p>
    <w:p w14:paraId="6F0773F5" w14:textId="0BF87B36" w:rsidR="00D609FA" w:rsidRPr="00627C33" w:rsidRDefault="00D609FA" w:rsidP="00627C33">
      <w:pPr>
        <w:pStyle w:val="Puesto"/>
        <w:ind w:right="539" w:firstLine="0"/>
        <w:rPr>
          <w:color w:val="auto"/>
        </w:rPr>
      </w:pPr>
      <w:r w:rsidRPr="00627C33">
        <w:rPr>
          <w:color w:val="auto"/>
        </w:rPr>
        <w:t xml:space="preserve">-Resolver y determinar la modificación de los elementos de las </w:t>
      </w:r>
      <w:r w:rsidRPr="00627C33">
        <w:rPr>
          <w:b/>
          <w:bCs/>
          <w:color w:val="auto"/>
          <w:u w:val="single"/>
        </w:rPr>
        <w:t>concesiones, permisos y autorizaciones, del servicio público de transporte,</w:t>
      </w:r>
      <w:r w:rsidRPr="00627C33">
        <w:rPr>
          <w:color w:val="auto"/>
        </w:rPr>
        <w:t xml:space="preserve"> conforme a las disposiciones legales aplicables, previo acuerdo con la o el titular de la Subsecretaría de Movilidad. </w:t>
      </w:r>
    </w:p>
    <w:p w14:paraId="20A3BEC4" w14:textId="32E41489" w:rsidR="00D609FA" w:rsidRPr="00627C33" w:rsidRDefault="00D609FA" w:rsidP="00627C33">
      <w:pPr>
        <w:pStyle w:val="Puesto"/>
        <w:ind w:right="539" w:firstLine="0"/>
        <w:rPr>
          <w:color w:val="auto"/>
        </w:rPr>
      </w:pPr>
      <w:r w:rsidRPr="00627C33">
        <w:rPr>
          <w:color w:val="auto"/>
        </w:rPr>
        <w:t>-</w:t>
      </w:r>
      <w:r w:rsidRPr="00627C33">
        <w:rPr>
          <w:b/>
          <w:bCs/>
          <w:color w:val="auto"/>
        </w:rPr>
        <w:t>Dictaminar respecto de la creación, modificación, enlace o cancelación de alargamientos, derroteros,</w:t>
      </w:r>
      <w:r w:rsidRPr="00627C33">
        <w:rPr>
          <w:color w:val="auto"/>
        </w:rPr>
        <w:t xml:space="preserve"> enlaces, enrolamiento, bases, paraderos, frecuencias y horarios, previo acuerdo de la o del titular de la Subsecretaría de Movilidad.</w:t>
      </w:r>
    </w:p>
    <w:p w14:paraId="72F4A681" w14:textId="44A48028" w:rsidR="00D609FA" w:rsidRPr="00627C33" w:rsidRDefault="00D609FA" w:rsidP="00627C33">
      <w:pPr>
        <w:ind w:left="567"/>
      </w:pPr>
      <w:r w:rsidRPr="00627C33">
        <w:t>…”</w:t>
      </w:r>
    </w:p>
    <w:p w14:paraId="58EB4A38" w14:textId="77777777" w:rsidR="00D609FA" w:rsidRPr="00627C33" w:rsidRDefault="00D609FA" w:rsidP="00627C33"/>
    <w:p w14:paraId="1AB64122" w14:textId="03BC5790" w:rsidR="00EE62D3" w:rsidRPr="00627C33" w:rsidRDefault="00EE62D3" w:rsidP="00627C33">
      <w:pPr>
        <w:pStyle w:val="Prrafodelista"/>
        <w:widowControl w:val="0"/>
        <w:autoSpaceDE w:val="0"/>
        <w:autoSpaceDN w:val="0"/>
        <w:adjustRightInd w:val="0"/>
        <w:ind w:left="0"/>
        <w:rPr>
          <w:rFonts w:cs="Arial"/>
        </w:rPr>
      </w:pPr>
      <w:r w:rsidRPr="00627C33">
        <w:rPr>
          <w:rFonts w:cs="Arial"/>
        </w:rPr>
        <w:t>De lo anterior, podemos advertir que l</w:t>
      </w:r>
      <w:r w:rsidR="00D609FA" w:rsidRPr="00627C33">
        <w:rPr>
          <w:rFonts w:cs="Arial"/>
        </w:rPr>
        <w:t>a</w:t>
      </w:r>
      <w:r w:rsidRPr="00627C33">
        <w:rPr>
          <w:rFonts w:cs="Arial"/>
        </w:rPr>
        <w:t xml:space="preserve"> </w:t>
      </w:r>
      <w:r w:rsidR="00D609FA" w:rsidRPr="00627C33">
        <w:rPr>
          <w:rFonts w:cs="Arial"/>
        </w:rPr>
        <w:t xml:space="preserve">Dirección General de Movilidad Zona II </w:t>
      </w:r>
      <w:r w:rsidRPr="00627C33">
        <w:rPr>
          <w:rFonts w:cs="Arial"/>
        </w:rPr>
        <w:t xml:space="preserve">le corresponde </w:t>
      </w:r>
      <w:r w:rsidR="00BD4958" w:rsidRPr="00627C33">
        <w:rPr>
          <w:rFonts w:cs="Arial"/>
        </w:rPr>
        <w:t>resolver</w:t>
      </w:r>
      <w:r w:rsidR="00D609FA" w:rsidRPr="00627C33">
        <w:rPr>
          <w:lang w:val="es-ES"/>
        </w:rPr>
        <w:t xml:space="preserve"> y determinar la modificación de los elementos de las concesiones, permisos y autorizaciones, del servicio público de transporte</w:t>
      </w:r>
      <w:r w:rsidR="00BD4958" w:rsidRPr="00627C33">
        <w:rPr>
          <w:lang w:val="es-ES"/>
        </w:rPr>
        <w:t>, así como dictaminar respecto de la creación modificación, enlace o cancelación de derroteros en la zona ámbito de su competencia, en este caso en Zumpango.</w:t>
      </w:r>
    </w:p>
    <w:p w14:paraId="5CED7676" w14:textId="77777777" w:rsidR="00EE62D3" w:rsidRPr="00627C33" w:rsidRDefault="00EE62D3" w:rsidP="00627C33">
      <w:pPr>
        <w:pStyle w:val="Prrafodelista"/>
        <w:widowControl w:val="0"/>
        <w:autoSpaceDE w:val="0"/>
        <w:autoSpaceDN w:val="0"/>
        <w:adjustRightInd w:val="0"/>
        <w:ind w:left="0"/>
        <w:rPr>
          <w:rFonts w:cs="Arial"/>
        </w:rPr>
      </w:pPr>
    </w:p>
    <w:p w14:paraId="1CE68727" w14:textId="45ACCF64" w:rsidR="00EE62D3" w:rsidRPr="00627C33" w:rsidRDefault="00EE62D3" w:rsidP="00627C33">
      <w:pPr>
        <w:rPr>
          <w:rFonts w:cs="Arial"/>
        </w:rPr>
      </w:pPr>
      <w:r w:rsidRPr="00627C33">
        <w:t xml:space="preserve">Atento a ello, resulta evidente que </w:t>
      </w:r>
      <w:r w:rsidRPr="00627C33">
        <w:rPr>
          <w:rFonts w:cs="Arial"/>
        </w:rPr>
        <w:t>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627C33">
        <w:rPr>
          <w:rFonts w:cs="Arial"/>
          <w:b/>
        </w:rPr>
        <w:t xml:space="preserve"> </w:t>
      </w:r>
      <w:r w:rsidR="00D609FA" w:rsidRPr="00627C33">
        <w:rPr>
          <w:rFonts w:cs="Arial"/>
          <w:b/>
        </w:rPr>
        <w:t xml:space="preserve">al precisar en </w:t>
      </w:r>
      <w:r w:rsidRPr="00627C33">
        <w:rPr>
          <w:rFonts w:cs="Arial"/>
          <w:b/>
        </w:rPr>
        <w:t>el Informe Justificado</w:t>
      </w:r>
      <w:r w:rsidRPr="00627C33">
        <w:rPr>
          <w:rFonts w:cs="Arial"/>
        </w:rPr>
        <w:t xml:space="preserve">, </w:t>
      </w:r>
      <w:r w:rsidR="00D609FA" w:rsidRPr="00627C33">
        <w:rPr>
          <w:rFonts w:cs="Arial"/>
        </w:rPr>
        <w:t>el nombre de las empresas que están autorizadas a prestar el servicio público sobre la vía viaducto bicentenario en el municipio de Zumpango.</w:t>
      </w:r>
    </w:p>
    <w:p w14:paraId="52DBA76D" w14:textId="77777777" w:rsidR="00EE62D3" w:rsidRPr="00627C33" w:rsidRDefault="00EE62D3" w:rsidP="00627C33">
      <w:pPr>
        <w:pStyle w:val="Prrafodelista"/>
        <w:widowControl w:val="0"/>
        <w:autoSpaceDE w:val="0"/>
        <w:autoSpaceDN w:val="0"/>
        <w:adjustRightInd w:val="0"/>
        <w:ind w:left="0"/>
        <w:rPr>
          <w:rFonts w:cs="Arial"/>
        </w:rPr>
      </w:pPr>
    </w:p>
    <w:p w14:paraId="73CD4610" w14:textId="77777777" w:rsidR="00EE62D3" w:rsidRPr="00627C33" w:rsidRDefault="00EE62D3" w:rsidP="00627C33">
      <w:pPr>
        <w:rPr>
          <w:rFonts w:cs="Arial"/>
          <w:szCs w:val="28"/>
          <w:lang w:val="es-ES"/>
        </w:rPr>
      </w:pPr>
      <w:r w:rsidRPr="00627C33">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627C33">
        <w:rPr>
          <w:rFonts w:cs="Arial"/>
          <w:b/>
          <w:szCs w:val="28"/>
          <w:lang w:val="es-ES"/>
        </w:rPr>
        <w:t xml:space="preserve">EL SUJETO OBLIGADO </w:t>
      </w:r>
      <w:r w:rsidRPr="00627C33">
        <w:rPr>
          <w:rFonts w:cs="Arial"/>
          <w:szCs w:val="28"/>
          <w:lang w:val="es-ES"/>
        </w:rPr>
        <w:t xml:space="preserve">la respuesta en el Recurso de Revisión quedó sin materia. </w:t>
      </w:r>
    </w:p>
    <w:p w14:paraId="2505C52E" w14:textId="1F132EFE" w:rsidR="00EE62D3" w:rsidRDefault="00EE62D3" w:rsidP="00627C33">
      <w:pPr>
        <w:rPr>
          <w:rFonts w:cs="Arial"/>
        </w:rPr>
      </w:pPr>
    </w:p>
    <w:p w14:paraId="3DFE76E7" w14:textId="77777777" w:rsidR="00627C33" w:rsidRPr="00627C33" w:rsidRDefault="00627C33" w:rsidP="00627C33">
      <w:pPr>
        <w:rPr>
          <w:rFonts w:cs="Arial"/>
        </w:rPr>
      </w:pPr>
    </w:p>
    <w:p w14:paraId="696A48CE" w14:textId="77777777" w:rsidR="00EE62D3" w:rsidRPr="00627C33" w:rsidRDefault="00EE62D3" w:rsidP="00627C33">
      <w:pPr>
        <w:widowControl w:val="0"/>
        <w:autoSpaceDE w:val="0"/>
        <w:autoSpaceDN w:val="0"/>
        <w:adjustRightInd w:val="0"/>
        <w:rPr>
          <w:rFonts w:eastAsia="Calibri" w:cs="Arial"/>
        </w:rPr>
      </w:pPr>
      <w:r w:rsidRPr="00627C33">
        <w:lastRenderedPageBreak/>
        <w:t xml:space="preserve">En consecuencia, se </w:t>
      </w:r>
      <w:r w:rsidRPr="00627C33">
        <w:rPr>
          <w:rFonts w:cs="Arial"/>
          <w:lang w:val="es-ES_tradnl"/>
        </w:rPr>
        <w:t xml:space="preserve">determina </w:t>
      </w:r>
      <w:r w:rsidRPr="00627C33">
        <w:rPr>
          <w:rFonts w:cs="Arial"/>
          <w:b/>
          <w:lang w:val="es-ES_tradnl"/>
        </w:rPr>
        <w:t>SOBRESEER</w:t>
      </w:r>
      <w:r w:rsidRPr="00627C33">
        <w:rPr>
          <w:rFonts w:cs="Arial"/>
          <w:lang w:val="es-ES_tradnl"/>
        </w:rPr>
        <w:t xml:space="preserve"> el presente Recurso de Revisión, en </w:t>
      </w:r>
      <w:r w:rsidRPr="00627C33">
        <w:rPr>
          <w:bCs/>
        </w:rPr>
        <w:t>términos</w:t>
      </w:r>
      <w:r w:rsidRPr="00627C33">
        <w:rPr>
          <w:rFonts w:cs="Arial"/>
          <w:lang w:val="es-ES_tradnl"/>
        </w:rPr>
        <w:t xml:space="preserve"> del artículo 186, fracción I, de la </w:t>
      </w:r>
      <w:r w:rsidRPr="00627C33">
        <w:rPr>
          <w:rFonts w:eastAsia="Calibri" w:cs="Arial"/>
        </w:rPr>
        <w:t>Ley de Transparencia y Acceso a la Información Pública del Estado de México y Municipios:</w:t>
      </w:r>
    </w:p>
    <w:p w14:paraId="2D77F189" w14:textId="77777777" w:rsidR="00EE62D3" w:rsidRPr="00627C33" w:rsidRDefault="00EE62D3" w:rsidP="00627C33">
      <w:pPr>
        <w:widowControl w:val="0"/>
        <w:autoSpaceDE w:val="0"/>
        <w:autoSpaceDN w:val="0"/>
        <w:adjustRightInd w:val="0"/>
        <w:rPr>
          <w:rFonts w:eastAsia="Calibri" w:cs="Arial"/>
        </w:rPr>
      </w:pPr>
    </w:p>
    <w:p w14:paraId="6D79E16B" w14:textId="77777777" w:rsidR="00EE62D3" w:rsidRPr="00627C33" w:rsidRDefault="00EE62D3" w:rsidP="00627C33">
      <w:pPr>
        <w:pStyle w:val="Puesto"/>
        <w:ind w:firstLine="0"/>
        <w:rPr>
          <w:color w:val="auto"/>
        </w:rPr>
      </w:pPr>
      <w:r w:rsidRPr="00627C33">
        <w:rPr>
          <w:color w:val="auto"/>
        </w:rPr>
        <w:t>“</w:t>
      </w:r>
      <w:r w:rsidRPr="00627C33">
        <w:rPr>
          <w:b/>
          <w:color w:val="auto"/>
        </w:rPr>
        <w:t>Artículo 186. Las resoluciones del Instituto podrán</w:t>
      </w:r>
      <w:r w:rsidRPr="00627C33">
        <w:rPr>
          <w:color w:val="auto"/>
        </w:rPr>
        <w:t xml:space="preserve">: </w:t>
      </w:r>
    </w:p>
    <w:p w14:paraId="77C9BF1A" w14:textId="77777777" w:rsidR="00EE62D3" w:rsidRPr="00627C33" w:rsidRDefault="00EE62D3" w:rsidP="00627C33">
      <w:pPr>
        <w:pStyle w:val="Puesto"/>
        <w:ind w:firstLine="0"/>
        <w:rPr>
          <w:color w:val="auto"/>
        </w:rPr>
      </w:pPr>
      <w:r w:rsidRPr="00627C33">
        <w:rPr>
          <w:color w:val="auto"/>
        </w:rPr>
        <w:t xml:space="preserve">I. Desechar o </w:t>
      </w:r>
      <w:r w:rsidRPr="00627C33">
        <w:rPr>
          <w:b/>
          <w:color w:val="auto"/>
        </w:rPr>
        <w:t>sobreseer el recurso</w:t>
      </w:r>
      <w:r w:rsidRPr="00627C33">
        <w:rPr>
          <w:color w:val="auto"/>
        </w:rPr>
        <w:t xml:space="preserve">;” </w:t>
      </w:r>
    </w:p>
    <w:p w14:paraId="11B544C1" w14:textId="77777777" w:rsidR="00EE62D3" w:rsidRPr="00627C33" w:rsidRDefault="00EE62D3" w:rsidP="00627C33">
      <w:pPr>
        <w:pStyle w:val="Puesto"/>
        <w:ind w:firstLine="0"/>
        <w:rPr>
          <w:color w:val="auto"/>
        </w:rPr>
      </w:pPr>
      <w:r w:rsidRPr="00627C33">
        <w:rPr>
          <w:color w:val="auto"/>
        </w:rPr>
        <w:t>(Énfasis añadido)</w:t>
      </w:r>
    </w:p>
    <w:p w14:paraId="721B60C6" w14:textId="77777777" w:rsidR="00EE62D3" w:rsidRPr="00627C33" w:rsidRDefault="00EE62D3" w:rsidP="00627C33">
      <w:pPr>
        <w:tabs>
          <w:tab w:val="left" w:pos="851"/>
        </w:tabs>
        <w:ind w:right="901"/>
        <w:rPr>
          <w:rFonts w:cs="Arial"/>
        </w:rPr>
      </w:pPr>
    </w:p>
    <w:p w14:paraId="1F5C82C5" w14:textId="77777777" w:rsidR="00EE62D3" w:rsidRPr="00627C33" w:rsidRDefault="00EE62D3" w:rsidP="00627C33">
      <w:pPr>
        <w:rPr>
          <w:rFonts w:eastAsiaTheme="minorEastAsia" w:cstheme="minorBidi"/>
          <w:lang w:val="es-ES_tradnl"/>
        </w:rPr>
      </w:pPr>
      <w:r w:rsidRPr="00627C33">
        <w:rPr>
          <w:rFonts w:eastAsiaTheme="minorEastAsia" w:cstheme="minorBidi"/>
          <w:lang w:val="es-ES_tradnl"/>
        </w:rPr>
        <w:t xml:space="preserve">Finalmente, no se omite referir que respecto a los pronunciamientos referidos por </w:t>
      </w:r>
      <w:r w:rsidRPr="00627C33">
        <w:rPr>
          <w:rFonts w:eastAsiaTheme="minorEastAsia" w:cstheme="minorBidi"/>
          <w:b/>
          <w:lang w:val="es-ES_tradnl"/>
        </w:rPr>
        <w:t>EL SUJETO OBLIGADO</w:t>
      </w:r>
      <w:r w:rsidRPr="00627C33">
        <w:rPr>
          <w:rFonts w:eastAsiaTheme="minorEastAsia" w:cstheme="minorBidi"/>
          <w:lang w:val="es-ES_tradnl"/>
        </w:rPr>
        <w:t>, este Órgano Garante no se encuentra facultado para pronunciarse acerca de la veracidad de la información.</w:t>
      </w:r>
    </w:p>
    <w:p w14:paraId="3B117657" w14:textId="77777777" w:rsidR="00EE62D3" w:rsidRPr="00627C33" w:rsidRDefault="00EE62D3" w:rsidP="00627C33">
      <w:pPr>
        <w:rPr>
          <w:rFonts w:eastAsiaTheme="minorEastAsia" w:cs="Arial"/>
          <w:sz w:val="20"/>
          <w:szCs w:val="20"/>
          <w:lang w:val="es-ES_tradnl"/>
        </w:rPr>
      </w:pPr>
    </w:p>
    <w:p w14:paraId="27F5B8FB" w14:textId="77777777" w:rsidR="00EE62D3" w:rsidRPr="00627C33" w:rsidRDefault="00EE62D3" w:rsidP="00627C33">
      <w:pPr>
        <w:rPr>
          <w:rFonts w:eastAsiaTheme="minorEastAsia" w:cs="Arial"/>
          <w:lang w:val="es-ES_tradnl"/>
        </w:rPr>
      </w:pPr>
      <w:r w:rsidRPr="00627C33">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18C632B4" w14:textId="77777777" w:rsidR="00EE62D3" w:rsidRPr="00627C33" w:rsidRDefault="00EE62D3" w:rsidP="00627C33">
      <w:pPr>
        <w:rPr>
          <w:rFonts w:eastAsiaTheme="minorEastAsia" w:cs="Arial"/>
          <w:sz w:val="20"/>
          <w:szCs w:val="20"/>
          <w:lang w:val="es-ES_tradnl"/>
        </w:rPr>
      </w:pPr>
    </w:p>
    <w:p w14:paraId="0693DBBE" w14:textId="77777777" w:rsidR="00EE62D3" w:rsidRPr="00627C33" w:rsidRDefault="00EE62D3" w:rsidP="00627C33">
      <w:pPr>
        <w:pStyle w:val="Puesto"/>
        <w:ind w:firstLine="0"/>
        <w:rPr>
          <w:color w:val="auto"/>
          <w:lang w:val="es-ES_tradnl"/>
        </w:rPr>
      </w:pPr>
      <w:r w:rsidRPr="00627C33">
        <w:rPr>
          <w:color w:val="auto"/>
          <w:lang w:val="es-ES_tradnl"/>
        </w:rPr>
        <w:t>“</w:t>
      </w:r>
      <w:r w:rsidRPr="00627C33">
        <w:rPr>
          <w:b/>
          <w:color w:val="auto"/>
          <w:lang w:val="es-ES_tradnl"/>
        </w:rPr>
        <w:t xml:space="preserve">El Instituto Federal de Acceso a la Información y Protección de Datos no cuenta con facultades para pronunciarse respecto de la veracidad de los documentos proporcionados por los sujetos obligados. </w:t>
      </w:r>
      <w:r w:rsidRPr="00627C33">
        <w:rPr>
          <w:color w:val="auto"/>
          <w:lang w:val="es-ES_tradnl"/>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7161ABE9" w14:textId="77777777" w:rsidR="00EE62D3" w:rsidRPr="00627C33" w:rsidRDefault="00EE62D3" w:rsidP="00627C33"/>
    <w:p w14:paraId="4B0D0A12" w14:textId="77777777" w:rsidR="00EE62D3" w:rsidRPr="00627C33" w:rsidRDefault="00EE62D3" w:rsidP="00627C33">
      <w:pPr>
        <w:pStyle w:val="Ttulo3"/>
      </w:pPr>
      <w:bookmarkStart w:id="35" w:name="_Toc174011844"/>
      <w:bookmarkStart w:id="36" w:name="_Toc175125150"/>
      <w:r w:rsidRPr="00627C33">
        <w:rPr>
          <w:rFonts w:eastAsia="Calibri"/>
        </w:rPr>
        <w:lastRenderedPageBreak/>
        <w:t xml:space="preserve">d) </w:t>
      </w:r>
      <w:bookmarkEnd w:id="33"/>
      <w:r w:rsidRPr="00627C33">
        <w:t>Conclusión</w:t>
      </w:r>
      <w:bookmarkEnd w:id="34"/>
      <w:bookmarkEnd w:id="35"/>
      <w:bookmarkEnd w:id="36"/>
    </w:p>
    <w:p w14:paraId="4E483B44" w14:textId="77777777" w:rsidR="00EE62D3" w:rsidRPr="00627C33" w:rsidRDefault="00EE62D3" w:rsidP="00627C33">
      <w:pPr>
        <w:widowControl w:val="0"/>
        <w:tabs>
          <w:tab w:val="left" w:pos="1701"/>
          <w:tab w:val="left" w:pos="1843"/>
        </w:tabs>
        <w:autoSpaceDE w:val="0"/>
        <w:autoSpaceDN w:val="0"/>
        <w:adjustRightInd w:val="0"/>
        <w:rPr>
          <w:rFonts w:cs="Arial"/>
        </w:rPr>
      </w:pPr>
      <w:r w:rsidRPr="00627C33">
        <w:rPr>
          <w:rFonts w:cs="Arial"/>
        </w:rPr>
        <w:t xml:space="preserve">En conclusión y con base en lo anteriormente expuesto, se determina </w:t>
      </w:r>
      <w:r w:rsidRPr="00627C33">
        <w:rPr>
          <w:rFonts w:cs="Arial"/>
          <w:b/>
        </w:rPr>
        <w:t xml:space="preserve">SOBRESEER </w:t>
      </w:r>
      <w:r w:rsidRPr="00627C33">
        <w:rPr>
          <w:rFonts w:cs="Arial"/>
        </w:rPr>
        <w:t xml:space="preserve">el presente Recurso de Revisión en términos de lo establecido en el punto que antecede. </w:t>
      </w:r>
    </w:p>
    <w:p w14:paraId="44167AAB" w14:textId="77777777" w:rsidR="00EE62D3" w:rsidRPr="00627C33" w:rsidRDefault="00EE62D3" w:rsidP="00627C33">
      <w:pPr>
        <w:ind w:right="-93"/>
        <w:rPr>
          <w:rFonts w:eastAsia="Calibri" w:cs="Tahoma"/>
          <w:bCs/>
          <w:lang w:eastAsia="en-US"/>
        </w:rPr>
      </w:pPr>
    </w:p>
    <w:p w14:paraId="2D6CB93B" w14:textId="77777777" w:rsidR="00EE62D3" w:rsidRPr="00627C33" w:rsidRDefault="00EE62D3" w:rsidP="00627C33">
      <w:pPr>
        <w:ind w:right="-93"/>
        <w:rPr>
          <w:rFonts w:cs="Tahoma"/>
          <w:bCs/>
        </w:rPr>
      </w:pPr>
      <w:bookmarkStart w:id="37" w:name="_Hlk165381027"/>
      <w:r w:rsidRPr="00627C33">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7"/>
    <w:p w14:paraId="3F0ACE5F" w14:textId="77777777" w:rsidR="00EE62D3" w:rsidRPr="00627C33" w:rsidRDefault="00EE62D3" w:rsidP="00627C33"/>
    <w:p w14:paraId="1C9BE65C" w14:textId="77777777" w:rsidR="00EE62D3" w:rsidRPr="00627C33" w:rsidRDefault="00EE62D3" w:rsidP="00627C33">
      <w:pPr>
        <w:pStyle w:val="Ttulo1"/>
      </w:pPr>
      <w:bookmarkStart w:id="38" w:name="_Toc170837738"/>
      <w:bookmarkStart w:id="39" w:name="_Toc174011845"/>
      <w:bookmarkStart w:id="40" w:name="_Toc175125151"/>
      <w:r w:rsidRPr="00627C33">
        <w:t>RESUELVE</w:t>
      </w:r>
      <w:bookmarkEnd w:id="38"/>
      <w:bookmarkEnd w:id="39"/>
      <w:bookmarkEnd w:id="40"/>
    </w:p>
    <w:p w14:paraId="23E114B7" w14:textId="77777777" w:rsidR="00EE62D3" w:rsidRPr="00627C33" w:rsidRDefault="00EE62D3" w:rsidP="00627C33">
      <w:pPr>
        <w:widowControl w:val="0"/>
        <w:rPr>
          <w:b/>
          <w:bCs/>
        </w:rPr>
      </w:pPr>
    </w:p>
    <w:p w14:paraId="0CE47A4A" w14:textId="20B7E05F" w:rsidR="00EE62D3" w:rsidRPr="00627C33" w:rsidRDefault="00EE62D3" w:rsidP="00627C33">
      <w:pPr>
        <w:widowControl w:val="0"/>
        <w:rPr>
          <w:rFonts w:cs="Arial"/>
          <w:b/>
        </w:rPr>
      </w:pPr>
      <w:r w:rsidRPr="00627C33">
        <w:rPr>
          <w:b/>
          <w:bCs/>
        </w:rPr>
        <w:t>PRIMERO</w:t>
      </w:r>
      <w:r w:rsidRPr="00627C33">
        <w:t xml:space="preserve">. </w:t>
      </w:r>
      <w:r w:rsidRPr="00627C33">
        <w:rPr>
          <w:rFonts w:cs="Arial"/>
        </w:rPr>
        <w:t xml:space="preserve">Se </w:t>
      </w:r>
      <w:r w:rsidRPr="00627C33">
        <w:rPr>
          <w:rFonts w:cs="Arial"/>
          <w:b/>
        </w:rPr>
        <w:t>SOBRESEE</w:t>
      </w:r>
      <w:r w:rsidRPr="00627C33">
        <w:rPr>
          <w:rFonts w:cs="Arial"/>
        </w:rPr>
        <w:t xml:space="preserve"> el Recurso de Revisión número </w:t>
      </w:r>
      <w:r w:rsidRPr="00627C33">
        <w:rPr>
          <w:rFonts w:cs="Arial"/>
          <w:b/>
        </w:rPr>
        <w:t>03567/INFOEM/IP/RR/2024</w:t>
      </w:r>
      <w:r w:rsidRPr="00627C33">
        <w:rPr>
          <w:b/>
        </w:rPr>
        <w:t xml:space="preserve"> </w:t>
      </w:r>
      <w:r w:rsidRPr="00627C33">
        <w:rPr>
          <w:rFonts w:cs="Arial"/>
          <w:lang w:val="es-ES"/>
        </w:rPr>
        <w:t xml:space="preserve">por actualizarse la causal establecida en la fracción III del artículo 192 de la </w:t>
      </w:r>
      <w:r w:rsidRPr="00627C33">
        <w:rPr>
          <w:lang w:eastAsia="es-ES_tradnl"/>
        </w:rPr>
        <w:t>Ley de Transparencia y Acceso a la Información Pública del Estado de México y Municipios</w:t>
      </w:r>
      <w:r w:rsidRPr="00627C33">
        <w:rPr>
          <w:rFonts w:cs="Arial"/>
          <w:lang w:val="es-ES"/>
        </w:rPr>
        <w:t xml:space="preserve">, ya que al </w:t>
      </w:r>
      <w:r w:rsidRPr="00627C33">
        <w:rPr>
          <w:rFonts w:cs="Arial"/>
          <w:b/>
          <w:lang w:val="es-ES"/>
        </w:rPr>
        <w:t>modificar el Sujeto Obligado la respuesta, el Recurso de Revisión quedó sin materia</w:t>
      </w:r>
      <w:r w:rsidRPr="00627C33">
        <w:rPr>
          <w:rFonts w:cs="Arial"/>
          <w:lang w:val="es-ES"/>
        </w:rPr>
        <w:t xml:space="preserve">, en términos del Considerando </w:t>
      </w:r>
      <w:r w:rsidRPr="00627C33">
        <w:rPr>
          <w:rFonts w:cs="Arial"/>
          <w:b/>
          <w:lang w:val="es-ES"/>
        </w:rPr>
        <w:t>SEGUNDO</w:t>
      </w:r>
      <w:r w:rsidRPr="00627C33">
        <w:rPr>
          <w:rFonts w:cs="Arial"/>
          <w:lang w:val="es-ES"/>
        </w:rPr>
        <w:t xml:space="preserve"> de la presente resolución.</w:t>
      </w:r>
    </w:p>
    <w:p w14:paraId="34341923" w14:textId="77777777" w:rsidR="00EE62D3" w:rsidRPr="00627C33" w:rsidRDefault="00EE62D3" w:rsidP="00627C33">
      <w:pPr>
        <w:widowControl w:val="0"/>
      </w:pPr>
    </w:p>
    <w:p w14:paraId="4DB52CA7" w14:textId="77777777" w:rsidR="00EE62D3" w:rsidRPr="00627C33" w:rsidRDefault="00EE62D3" w:rsidP="00627C33">
      <w:pPr>
        <w:widowControl w:val="0"/>
      </w:pPr>
      <w:r w:rsidRPr="00627C33">
        <w:rPr>
          <w:b/>
          <w:bCs/>
        </w:rPr>
        <w:t>SEGUNDO</w:t>
      </w:r>
      <w:r w:rsidRPr="00627C33">
        <w:t xml:space="preserve">. Notifíquese vía Sistema de Acceso a la Información Mexiquense </w:t>
      </w:r>
      <w:r w:rsidRPr="00627C33">
        <w:rPr>
          <w:b/>
          <w:bCs/>
        </w:rPr>
        <w:t>SAIMEX</w:t>
      </w:r>
      <w:r w:rsidRPr="00627C33">
        <w:t xml:space="preserve"> a la Titular de la Unidad de Transparencia del </w:t>
      </w:r>
      <w:r w:rsidRPr="00627C33">
        <w:rPr>
          <w:b/>
          <w:bCs/>
        </w:rPr>
        <w:t>SUJETO</w:t>
      </w:r>
      <w:r w:rsidRPr="00627C33">
        <w:t xml:space="preserve"> </w:t>
      </w:r>
      <w:r w:rsidRPr="00627C33">
        <w:rPr>
          <w:b/>
          <w:bCs/>
        </w:rPr>
        <w:t>OBLIGADO</w:t>
      </w:r>
      <w:r w:rsidRPr="00627C33">
        <w:t xml:space="preserve"> para su conocimiento. </w:t>
      </w:r>
    </w:p>
    <w:p w14:paraId="3A7EF3CF" w14:textId="77777777" w:rsidR="00EE62D3" w:rsidRPr="00627C33" w:rsidRDefault="00EE62D3" w:rsidP="00627C33">
      <w:pPr>
        <w:widowControl w:val="0"/>
      </w:pPr>
    </w:p>
    <w:p w14:paraId="335C30AE" w14:textId="42AF78C1" w:rsidR="00EE62D3" w:rsidRPr="00627C33" w:rsidRDefault="00EE62D3" w:rsidP="00627C33">
      <w:pPr>
        <w:widowControl w:val="0"/>
      </w:pPr>
      <w:r w:rsidRPr="00627C33">
        <w:rPr>
          <w:b/>
          <w:bCs/>
        </w:rPr>
        <w:t>TERCERO</w:t>
      </w:r>
      <w:r w:rsidRPr="00627C33">
        <w:t xml:space="preserve">. Notifíquese a </w:t>
      </w:r>
      <w:r w:rsidRPr="00627C33">
        <w:rPr>
          <w:b/>
          <w:iCs/>
        </w:rPr>
        <w:t>LA PARTE RECURRENTE</w:t>
      </w:r>
      <w:r w:rsidR="00BD4958" w:rsidRPr="00627C33">
        <w:rPr>
          <w:b/>
          <w:bCs/>
          <w:iCs/>
        </w:rPr>
        <w:t xml:space="preserve"> </w:t>
      </w:r>
      <w:r w:rsidRPr="00627C33">
        <w:t xml:space="preserve">la presente resolución vía Sistema de Acceso a la Información Mexiquense </w:t>
      </w:r>
      <w:r w:rsidRPr="00627C33">
        <w:rPr>
          <w:b/>
        </w:rPr>
        <w:t>SAIMEX</w:t>
      </w:r>
      <w:r w:rsidRPr="00627C33">
        <w:t xml:space="preserve"> 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6FC88932" w14:textId="372FB4A5" w:rsidR="00EE62D3" w:rsidRPr="00627C33" w:rsidRDefault="00EE62D3" w:rsidP="00627C33">
      <w:r w:rsidRPr="00627C33">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627C33">
        <w:t>S</w:t>
      </w:r>
      <w:r w:rsidRPr="00627C33">
        <w:t>ESIÓN ORDINARIA, CELEBRADA EL VEINTIOCHO DE AGOSTO DE DOS MIL VEINTICUATRO, ANTE EL SECRETARIO TÉCNICO DEL PLENO, ALEXIS TAPIA RAMÍREZ.</w:t>
      </w:r>
    </w:p>
    <w:p w14:paraId="7B4446A9" w14:textId="78446620" w:rsidR="00627C33" w:rsidRDefault="00EE62D3" w:rsidP="00627C33">
      <w:pPr>
        <w:rPr>
          <w:sz w:val="18"/>
          <w:szCs w:val="14"/>
        </w:rPr>
      </w:pPr>
      <w:r w:rsidRPr="00627C33">
        <w:rPr>
          <w:sz w:val="18"/>
          <w:szCs w:val="14"/>
        </w:rPr>
        <w:t>SCMM/AGZ/DEMF/PAG</w:t>
      </w:r>
    </w:p>
    <w:p w14:paraId="730EBF13" w14:textId="77777777" w:rsidR="00627C33" w:rsidRDefault="00627C33">
      <w:pPr>
        <w:rPr>
          <w:sz w:val="18"/>
          <w:szCs w:val="14"/>
        </w:rPr>
      </w:pPr>
      <w:r>
        <w:rPr>
          <w:sz w:val="18"/>
          <w:szCs w:val="14"/>
        </w:rPr>
        <w:br w:type="page"/>
      </w:r>
    </w:p>
    <w:p w14:paraId="64ADBD4F" w14:textId="77777777" w:rsidR="00EE62D3" w:rsidRPr="00627C33" w:rsidRDefault="00EE62D3" w:rsidP="00627C33">
      <w:pPr>
        <w:rPr>
          <w:sz w:val="18"/>
          <w:szCs w:val="14"/>
        </w:rPr>
      </w:pPr>
    </w:p>
    <w:p w14:paraId="0557B935" w14:textId="77777777" w:rsidR="00EE62D3" w:rsidRPr="00627C33" w:rsidRDefault="00EE62D3" w:rsidP="00627C33">
      <w:pPr>
        <w:ind w:right="-93"/>
        <w:rPr>
          <w:rFonts w:eastAsia="Calibri" w:cs="Tahoma"/>
          <w:bCs/>
          <w:lang w:eastAsia="en-US"/>
        </w:rPr>
      </w:pPr>
    </w:p>
    <w:p w14:paraId="1168EAD1" w14:textId="77777777" w:rsidR="00EE62D3" w:rsidRPr="00627C33" w:rsidRDefault="00EE62D3" w:rsidP="00627C33">
      <w:pPr>
        <w:ind w:right="-93"/>
        <w:rPr>
          <w:rFonts w:eastAsia="Calibri" w:cs="Tahoma"/>
          <w:lang w:val="es-ES"/>
        </w:rPr>
      </w:pPr>
    </w:p>
    <w:p w14:paraId="01050F20" w14:textId="77777777" w:rsidR="00EE62D3" w:rsidRPr="00627C33" w:rsidRDefault="00EE62D3" w:rsidP="00627C33">
      <w:pPr>
        <w:ind w:right="-93"/>
        <w:rPr>
          <w:rFonts w:eastAsia="Calibri" w:cs="Tahoma"/>
          <w:bCs/>
          <w:lang w:val="es-ES" w:eastAsia="en-US"/>
        </w:rPr>
      </w:pPr>
    </w:p>
    <w:p w14:paraId="3A21DEC5" w14:textId="77777777" w:rsidR="00EE62D3" w:rsidRPr="00627C33" w:rsidRDefault="00EE62D3" w:rsidP="00627C33">
      <w:pPr>
        <w:ind w:right="-93"/>
        <w:rPr>
          <w:rFonts w:eastAsia="Calibri" w:cs="Tahoma"/>
          <w:bCs/>
          <w:lang w:val="es-ES_tradnl" w:eastAsia="en-US"/>
        </w:rPr>
      </w:pPr>
    </w:p>
    <w:p w14:paraId="406C027C" w14:textId="77777777" w:rsidR="00EE62D3" w:rsidRPr="00627C33" w:rsidRDefault="00EE62D3" w:rsidP="00627C33">
      <w:pPr>
        <w:ind w:right="-93"/>
        <w:rPr>
          <w:rFonts w:eastAsia="Calibri" w:cs="Tahoma"/>
          <w:bCs/>
          <w:lang w:val="es-ES_tradnl" w:eastAsia="en-US"/>
        </w:rPr>
      </w:pPr>
    </w:p>
    <w:p w14:paraId="0AA828F7" w14:textId="77777777" w:rsidR="00EE62D3" w:rsidRPr="00627C33" w:rsidRDefault="00EE62D3" w:rsidP="00627C33">
      <w:pPr>
        <w:ind w:right="-93"/>
        <w:rPr>
          <w:rFonts w:eastAsia="Calibri" w:cs="Tahoma"/>
          <w:bCs/>
          <w:lang w:val="es-ES_tradnl" w:eastAsia="en-US"/>
        </w:rPr>
      </w:pPr>
    </w:p>
    <w:p w14:paraId="70383E01" w14:textId="77777777" w:rsidR="00EE62D3" w:rsidRPr="00627C33" w:rsidRDefault="00EE62D3" w:rsidP="00627C33">
      <w:pPr>
        <w:ind w:right="-93"/>
        <w:rPr>
          <w:rFonts w:eastAsia="Calibri" w:cs="Tahoma"/>
          <w:bCs/>
          <w:lang w:val="es-ES_tradnl" w:eastAsia="en-US"/>
        </w:rPr>
      </w:pPr>
    </w:p>
    <w:p w14:paraId="1103B7C2" w14:textId="77777777" w:rsidR="00E96298" w:rsidRPr="00627C33" w:rsidRDefault="00E96298" w:rsidP="00627C33">
      <w:pPr>
        <w:pBdr>
          <w:top w:val="nil"/>
          <w:left w:val="nil"/>
          <w:bottom w:val="nil"/>
          <w:right w:val="nil"/>
          <w:between w:val="nil"/>
        </w:pBdr>
      </w:pPr>
    </w:p>
    <w:sectPr w:rsidR="00E96298" w:rsidRPr="00627C33">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E47DB" w14:textId="77777777" w:rsidR="001B626E" w:rsidRDefault="001B626E">
      <w:pPr>
        <w:spacing w:line="240" w:lineRule="auto"/>
      </w:pPr>
      <w:r>
        <w:separator/>
      </w:r>
    </w:p>
  </w:endnote>
  <w:endnote w:type="continuationSeparator" w:id="0">
    <w:p w14:paraId="6DEDD13D" w14:textId="77777777" w:rsidR="001B626E" w:rsidRDefault="001B6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swiss"/>
    <w:pitch w:val="variable"/>
    <w:sig w:usb0="00000003" w:usb1="0200E0A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0FF5" w14:textId="77777777" w:rsidR="00976619" w:rsidRDefault="00976619">
    <w:pPr>
      <w:tabs>
        <w:tab w:val="center" w:pos="4550"/>
        <w:tab w:val="left" w:pos="5818"/>
      </w:tabs>
      <w:ind w:right="260"/>
      <w:jc w:val="right"/>
      <w:rPr>
        <w:color w:val="071320"/>
        <w:sz w:val="24"/>
        <w:szCs w:val="24"/>
      </w:rPr>
    </w:pPr>
  </w:p>
  <w:p w14:paraId="5D0FFEBF" w14:textId="77777777" w:rsidR="00976619" w:rsidRDefault="0097661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4208" w14:textId="77777777" w:rsidR="00976619" w:rsidRDefault="0097661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261C8">
      <w:rPr>
        <w:noProof/>
        <w:color w:val="0A1D30"/>
        <w:sz w:val="24"/>
        <w:szCs w:val="24"/>
      </w:rPr>
      <w:t>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261C8">
      <w:rPr>
        <w:noProof/>
        <w:color w:val="0A1D30"/>
        <w:sz w:val="24"/>
        <w:szCs w:val="24"/>
      </w:rPr>
      <w:t>27</w:t>
    </w:r>
    <w:r>
      <w:rPr>
        <w:color w:val="0A1D30"/>
        <w:sz w:val="24"/>
        <w:szCs w:val="24"/>
      </w:rPr>
      <w:fldChar w:fldCharType="end"/>
    </w:r>
  </w:p>
  <w:p w14:paraId="2EBBF104" w14:textId="77777777" w:rsidR="00976619" w:rsidRDefault="0097661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895CF" w14:textId="77777777" w:rsidR="001B626E" w:rsidRDefault="001B626E">
      <w:pPr>
        <w:spacing w:line="240" w:lineRule="auto"/>
      </w:pPr>
      <w:r>
        <w:separator/>
      </w:r>
    </w:p>
  </w:footnote>
  <w:footnote w:type="continuationSeparator" w:id="0">
    <w:p w14:paraId="6F72FF75" w14:textId="77777777" w:rsidR="001B626E" w:rsidRDefault="001B626E">
      <w:pPr>
        <w:spacing w:line="240" w:lineRule="auto"/>
      </w:pPr>
      <w:r>
        <w:continuationSeparator/>
      </w:r>
    </w:p>
  </w:footnote>
  <w:footnote w:id="1">
    <w:p w14:paraId="7CB8DDC1" w14:textId="1750838A" w:rsidR="00D609FA" w:rsidRDefault="00D609FA">
      <w:pPr>
        <w:pStyle w:val="Textonotapie"/>
      </w:pPr>
      <w:r>
        <w:rPr>
          <w:rStyle w:val="Refdenotaalpie"/>
        </w:rPr>
        <w:footnoteRef/>
      </w:r>
      <w:r>
        <w:t xml:space="preserve"> </w:t>
      </w:r>
      <w:hyperlink r:id="rId1" w:history="1">
        <w:r>
          <w:rPr>
            <w:rStyle w:val="Hipervnculo"/>
          </w:rPr>
          <w:t>rglvig156.pdf (edomex.gob.mx)</w:t>
        </w:r>
      </w:hyperlink>
    </w:p>
  </w:footnote>
  <w:footnote w:id="2">
    <w:p w14:paraId="5FB06C80" w14:textId="73068051" w:rsidR="00D609FA" w:rsidRDefault="00D609FA">
      <w:pPr>
        <w:pStyle w:val="Textonotapie"/>
      </w:pPr>
      <w:r>
        <w:rPr>
          <w:rStyle w:val="Refdenotaalpie"/>
        </w:rPr>
        <w:footnoteRef/>
      </w:r>
      <w:r>
        <w:t xml:space="preserve"> </w:t>
      </w:r>
      <w:hyperlink r:id="rId2" w:history="1">
        <w:r>
          <w:rPr>
            <w:rStyle w:val="Hipervnculo"/>
          </w:rPr>
          <w:t>jul081c.pdf (edomex.gob.mx)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A9E1" w14:textId="77777777" w:rsidR="00976619" w:rsidRDefault="00976619">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76619" w14:paraId="03BF5E6B" w14:textId="77777777">
      <w:trPr>
        <w:trHeight w:val="144"/>
        <w:jc w:val="right"/>
      </w:trPr>
      <w:tc>
        <w:tcPr>
          <w:tcW w:w="2727" w:type="dxa"/>
        </w:tcPr>
        <w:p w14:paraId="2B00CC8B" w14:textId="77777777" w:rsidR="00976619" w:rsidRDefault="00976619">
          <w:pPr>
            <w:tabs>
              <w:tab w:val="right" w:pos="8838"/>
            </w:tabs>
            <w:ind w:left="-74" w:right="-105"/>
            <w:rPr>
              <w:b/>
            </w:rPr>
          </w:pPr>
          <w:r>
            <w:rPr>
              <w:b/>
            </w:rPr>
            <w:t>Recurso de Revisión:</w:t>
          </w:r>
        </w:p>
      </w:tc>
      <w:tc>
        <w:tcPr>
          <w:tcW w:w="3402" w:type="dxa"/>
        </w:tcPr>
        <w:p w14:paraId="58B3C5FD" w14:textId="09D11F3A" w:rsidR="00976619" w:rsidRDefault="00976619" w:rsidP="00FA7F9A">
          <w:pPr>
            <w:tabs>
              <w:tab w:val="right" w:pos="8838"/>
            </w:tabs>
            <w:ind w:left="-74" w:right="-105"/>
          </w:pPr>
          <w:r w:rsidRPr="007C362B">
            <w:t>03567/INFOEM/IP/RR/2024</w:t>
          </w:r>
        </w:p>
      </w:tc>
    </w:tr>
    <w:tr w:rsidR="00976619" w14:paraId="66D44D81" w14:textId="77777777">
      <w:trPr>
        <w:trHeight w:val="283"/>
        <w:jc w:val="right"/>
      </w:trPr>
      <w:tc>
        <w:tcPr>
          <w:tcW w:w="2727" w:type="dxa"/>
        </w:tcPr>
        <w:p w14:paraId="5F95EABD" w14:textId="77777777" w:rsidR="00976619" w:rsidRDefault="00976619">
          <w:pPr>
            <w:tabs>
              <w:tab w:val="right" w:pos="8838"/>
            </w:tabs>
            <w:ind w:left="-74" w:right="-105"/>
            <w:rPr>
              <w:b/>
            </w:rPr>
          </w:pPr>
          <w:r>
            <w:rPr>
              <w:b/>
            </w:rPr>
            <w:t>Sujeto Obligado:</w:t>
          </w:r>
        </w:p>
      </w:tc>
      <w:tc>
        <w:tcPr>
          <w:tcW w:w="3402" w:type="dxa"/>
        </w:tcPr>
        <w:p w14:paraId="155B3386" w14:textId="5A92693A" w:rsidR="00976619" w:rsidRDefault="00976619">
          <w:pPr>
            <w:tabs>
              <w:tab w:val="left" w:pos="2834"/>
              <w:tab w:val="right" w:pos="8838"/>
            </w:tabs>
            <w:ind w:left="-108" w:right="-105"/>
          </w:pPr>
          <w:r w:rsidRPr="007C362B">
            <w:t>Secretaría de Movilidad</w:t>
          </w:r>
        </w:p>
      </w:tc>
    </w:tr>
    <w:tr w:rsidR="00976619" w14:paraId="0B932300" w14:textId="77777777">
      <w:trPr>
        <w:trHeight w:val="283"/>
        <w:jc w:val="right"/>
      </w:trPr>
      <w:tc>
        <w:tcPr>
          <w:tcW w:w="2727" w:type="dxa"/>
        </w:tcPr>
        <w:p w14:paraId="79AE460C" w14:textId="0603F971" w:rsidR="00976619" w:rsidRDefault="00976619" w:rsidP="00AF79B8">
          <w:pPr>
            <w:tabs>
              <w:tab w:val="right" w:pos="8838"/>
            </w:tabs>
            <w:ind w:left="-74" w:right="-105"/>
            <w:rPr>
              <w:b/>
            </w:rPr>
          </w:pPr>
          <w:r>
            <w:rPr>
              <w:b/>
            </w:rPr>
            <w:t>Comisionada Ponente:</w:t>
          </w:r>
        </w:p>
      </w:tc>
      <w:tc>
        <w:tcPr>
          <w:tcW w:w="3402" w:type="dxa"/>
        </w:tcPr>
        <w:p w14:paraId="2DC221B0" w14:textId="77777777" w:rsidR="00976619" w:rsidRDefault="00976619">
          <w:pPr>
            <w:tabs>
              <w:tab w:val="right" w:pos="8838"/>
            </w:tabs>
            <w:ind w:left="-108" w:right="-105"/>
          </w:pPr>
          <w:r>
            <w:t>Sharon Cristina Morales Martínez</w:t>
          </w:r>
        </w:p>
      </w:tc>
    </w:tr>
  </w:tbl>
  <w:p w14:paraId="26B2641C" w14:textId="77777777" w:rsidR="00976619" w:rsidRDefault="00976619">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C18BA9A" wp14:editId="0BBB907F">
          <wp:simplePos x="0" y="0"/>
          <wp:positionH relativeFrom="margin">
            <wp:posOffset>-995044</wp:posOffset>
          </wp:positionH>
          <wp:positionV relativeFrom="margin">
            <wp:posOffset>-1782444</wp:posOffset>
          </wp:positionV>
          <wp:extent cx="8426450" cy="109728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E8E8" w14:textId="77777777" w:rsidR="00976619" w:rsidRDefault="00976619">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976619" w14:paraId="559F43E1" w14:textId="77777777">
      <w:trPr>
        <w:trHeight w:val="1435"/>
      </w:trPr>
      <w:tc>
        <w:tcPr>
          <w:tcW w:w="283" w:type="dxa"/>
          <w:shd w:val="clear" w:color="auto" w:fill="auto"/>
        </w:tcPr>
        <w:p w14:paraId="1540C109" w14:textId="77777777" w:rsidR="00976619" w:rsidRDefault="00976619">
          <w:pPr>
            <w:tabs>
              <w:tab w:val="right" w:pos="4273"/>
            </w:tabs>
            <w:rPr>
              <w:rFonts w:ascii="Garamond" w:eastAsia="Garamond" w:hAnsi="Garamond" w:cs="Garamond"/>
            </w:rPr>
          </w:pPr>
        </w:p>
      </w:tc>
      <w:tc>
        <w:tcPr>
          <w:tcW w:w="6379" w:type="dxa"/>
          <w:shd w:val="clear" w:color="auto" w:fill="auto"/>
        </w:tcPr>
        <w:p w14:paraId="703A24F2" w14:textId="77777777" w:rsidR="00976619" w:rsidRDefault="00976619">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76619" w14:paraId="5A53444C" w14:textId="77777777">
            <w:trPr>
              <w:trHeight w:val="144"/>
            </w:trPr>
            <w:tc>
              <w:tcPr>
                <w:tcW w:w="2727" w:type="dxa"/>
              </w:tcPr>
              <w:p w14:paraId="01A85E57" w14:textId="77777777" w:rsidR="00976619" w:rsidRDefault="00976619">
                <w:pPr>
                  <w:tabs>
                    <w:tab w:val="right" w:pos="8838"/>
                  </w:tabs>
                  <w:ind w:left="-74" w:right="-105"/>
                  <w:rPr>
                    <w:b/>
                  </w:rPr>
                </w:pPr>
                <w:bookmarkStart w:id="0" w:name="_32hioqz" w:colFirst="0" w:colLast="0"/>
                <w:bookmarkEnd w:id="0"/>
                <w:r>
                  <w:rPr>
                    <w:b/>
                  </w:rPr>
                  <w:t>Recurso de Revisión:</w:t>
                </w:r>
              </w:p>
            </w:tc>
            <w:tc>
              <w:tcPr>
                <w:tcW w:w="3402" w:type="dxa"/>
              </w:tcPr>
              <w:p w14:paraId="3337DDFD" w14:textId="258F1E6B" w:rsidR="00976619" w:rsidRDefault="00976619" w:rsidP="00FA7F9A">
                <w:pPr>
                  <w:tabs>
                    <w:tab w:val="right" w:pos="8838"/>
                  </w:tabs>
                  <w:ind w:left="-74" w:right="-105"/>
                </w:pPr>
                <w:r w:rsidRPr="007C362B">
                  <w:t>03567/INFOEM/IP/RR/2024</w:t>
                </w:r>
              </w:p>
            </w:tc>
            <w:tc>
              <w:tcPr>
                <w:tcW w:w="3402" w:type="dxa"/>
              </w:tcPr>
              <w:p w14:paraId="014BF71A" w14:textId="77777777" w:rsidR="00976619" w:rsidRDefault="00976619">
                <w:pPr>
                  <w:tabs>
                    <w:tab w:val="right" w:pos="8838"/>
                  </w:tabs>
                  <w:ind w:left="-74" w:right="-105"/>
                </w:pPr>
              </w:p>
            </w:tc>
          </w:tr>
          <w:tr w:rsidR="00976619" w14:paraId="31D8DC27" w14:textId="77777777">
            <w:trPr>
              <w:trHeight w:val="144"/>
            </w:trPr>
            <w:tc>
              <w:tcPr>
                <w:tcW w:w="2727" w:type="dxa"/>
              </w:tcPr>
              <w:p w14:paraId="4770015F" w14:textId="77777777" w:rsidR="00976619" w:rsidRDefault="00976619">
                <w:pPr>
                  <w:tabs>
                    <w:tab w:val="right" w:pos="8838"/>
                  </w:tabs>
                  <w:ind w:left="-74" w:right="-105"/>
                  <w:rPr>
                    <w:b/>
                  </w:rPr>
                </w:pPr>
                <w:bookmarkStart w:id="1" w:name="_1hmsyys" w:colFirst="0" w:colLast="0"/>
                <w:bookmarkEnd w:id="1"/>
                <w:r>
                  <w:rPr>
                    <w:b/>
                  </w:rPr>
                  <w:t>Recurrente:</w:t>
                </w:r>
              </w:p>
            </w:tc>
            <w:tc>
              <w:tcPr>
                <w:tcW w:w="3402" w:type="dxa"/>
              </w:tcPr>
              <w:p w14:paraId="2EF17A78" w14:textId="45798C02" w:rsidR="00976619" w:rsidRDefault="001261C8">
                <w:pPr>
                  <w:tabs>
                    <w:tab w:val="left" w:pos="3122"/>
                    <w:tab w:val="right" w:pos="8838"/>
                  </w:tabs>
                  <w:ind w:left="-105" w:right="-105"/>
                </w:pPr>
                <w:r>
                  <w:t>XXXXXXXXXXX XXXXXXXXX XX XXXXXX XXXXXX</w:t>
                </w:r>
              </w:p>
            </w:tc>
            <w:tc>
              <w:tcPr>
                <w:tcW w:w="3402" w:type="dxa"/>
              </w:tcPr>
              <w:p w14:paraId="00F42916" w14:textId="77777777" w:rsidR="00976619" w:rsidRDefault="00976619">
                <w:pPr>
                  <w:tabs>
                    <w:tab w:val="left" w:pos="3122"/>
                    <w:tab w:val="right" w:pos="8838"/>
                  </w:tabs>
                  <w:ind w:left="-105" w:right="-105"/>
                </w:pPr>
              </w:p>
            </w:tc>
          </w:tr>
          <w:tr w:rsidR="00976619" w14:paraId="60CCC8FD" w14:textId="77777777">
            <w:trPr>
              <w:trHeight w:val="283"/>
            </w:trPr>
            <w:tc>
              <w:tcPr>
                <w:tcW w:w="2727" w:type="dxa"/>
              </w:tcPr>
              <w:p w14:paraId="67828F9F" w14:textId="77777777" w:rsidR="00976619" w:rsidRDefault="00976619">
                <w:pPr>
                  <w:tabs>
                    <w:tab w:val="right" w:pos="8838"/>
                  </w:tabs>
                  <w:ind w:left="-74" w:right="-105"/>
                  <w:rPr>
                    <w:b/>
                  </w:rPr>
                </w:pPr>
                <w:r>
                  <w:rPr>
                    <w:b/>
                  </w:rPr>
                  <w:t>Sujeto Obligado:</w:t>
                </w:r>
              </w:p>
            </w:tc>
            <w:tc>
              <w:tcPr>
                <w:tcW w:w="3402" w:type="dxa"/>
              </w:tcPr>
              <w:p w14:paraId="16CCA8BC" w14:textId="778D5185" w:rsidR="00976619" w:rsidRDefault="00976619">
                <w:pPr>
                  <w:tabs>
                    <w:tab w:val="left" w:pos="2834"/>
                    <w:tab w:val="right" w:pos="8838"/>
                  </w:tabs>
                  <w:ind w:left="-108" w:right="-105"/>
                </w:pPr>
                <w:r w:rsidRPr="007C362B">
                  <w:t>Secretaría de Movilidad</w:t>
                </w:r>
              </w:p>
            </w:tc>
            <w:tc>
              <w:tcPr>
                <w:tcW w:w="3402" w:type="dxa"/>
              </w:tcPr>
              <w:p w14:paraId="4471E78C" w14:textId="77777777" w:rsidR="00976619" w:rsidRDefault="00976619">
                <w:pPr>
                  <w:tabs>
                    <w:tab w:val="left" w:pos="2834"/>
                    <w:tab w:val="right" w:pos="8838"/>
                  </w:tabs>
                  <w:ind w:left="-108" w:right="-105"/>
                </w:pPr>
              </w:p>
            </w:tc>
          </w:tr>
          <w:tr w:rsidR="00976619" w14:paraId="56662697" w14:textId="77777777">
            <w:trPr>
              <w:trHeight w:val="283"/>
            </w:trPr>
            <w:tc>
              <w:tcPr>
                <w:tcW w:w="2727" w:type="dxa"/>
              </w:tcPr>
              <w:p w14:paraId="2B4777AA" w14:textId="2BF467AD" w:rsidR="00976619" w:rsidRDefault="00976619" w:rsidP="00AF79B8">
                <w:pPr>
                  <w:tabs>
                    <w:tab w:val="right" w:pos="8838"/>
                  </w:tabs>
                  <w:ind w:left="-74" w:right="-105"/>
                  <w:rPr>
                    <w:b/>
                  </w:rPr>
                </w:pPr>
                <w:r>
                  <w:rPr>
                    <w:b/>
                  </w:rPr>
                  <w:t>Comisionada Ponente:</w:t>
                </w:r>
              </w:p>
            </w:tc>
            <w:tc>
              <w:tcPr>
                <w:tcW w:w="3402" w:type="dxa"/>
              </w:tcPr>
              <w:p w14:paraId="6FC681DB" w14:textId="77777777" w:rsidR="00976619" w:rsidRDefault="00976619">
                <w:pPr>
                  <w:tabs>
                    <w:tab w:val="right" w:pos="8838"/>
                  </w:tabs>
                  <w:ind w:left="-108" w:right="-105"/>
                </w:pPr>
                <w:r>
                  <w:t>Sharon Cristina Morales Martínez</w:t>
                </w:r>
              </w:p>
            </w:tc>
            <w:tc>
              <w:tcPr>
                <w:tcW w:w="3402" w:type="dxa"/>
              </w:tcPr>
              <w:p w14:paraId="2D70AB3E" w14:textId="77777777" w:rsidR="00976619" w:rsidRDefault="00976619">
                <w:pPr>
                  <w:tabs>
                    <w:tab w:val="right" w:pos="8838"/>
                  </w:tabs>
                  <w:ind w:left="-108" w:right="-105"/>
                </w:pPr>
              </w:p>
            </w:tc>
          </w:tr>
        </w:tbl>
        <w:p w14:paraId="27E34A1F" w14:textId="77777777" w:rsidR="00976619" w:rsidRDefault="00976619">
          <w:pPr>
            <w:tabs>
              <w:tab w:val="right" w:pos="8838"/>
            </w:tabs>
            <w:ind w:left="-28"/>
            <w:rPr>
              <w:rFonts w:ascii="Arial" w:eastAsia="Arial" w:hAnsi="Arial" w:cs="Arial"/>
              <w:b/>
            </w:rPr>
          </w:pPr>
        </w:p>
      </w:tc>
    </w:tr>
  </w:tbl>
  <w:p w14:paraId="59FBE68E" w14:textId="77777777" w:rsidR="00976619" w:rsidRDefault="001B626E">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5A3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5F6A04"/>
    <w:multiLevelType w:val="hybridMultilevel"/>
    <w:tmpl w:val="3D4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0710C"/>
    <w:multiLevelType w:val="hybridMultilevel"/>
    <w:tmpl w:val="52305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AAA3ED9"/>
    <w:multiLevelType w:val="hybridMultilevel"/>
    <w:tmpl w:val="56A2F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642CD9"/>
    <w:multiLevelType w:val="multilevel"/>
    <w:tmpl w:val="6AB04CC6"/>
    <w:lvl w:ilvl="0">
      <w:start w:val="1"/>
      <w:numFmt w:val="decimal"/>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855B3"/>
    <w:multiLevelType w:val="multilevel"/>
    <w:tmpl w:val="F788ACA8"/>
    <w:lvl w:ilvl="0">
      <w:start w:val="1"/>
      <w:numFmt w:val="bullet"/>
      <w:lvlText w:val="-"/>
      <w:lvlJc w:val="left"/>
      <w:pPr>
        <w:ind w:left="720" w:hanging="360"/>
      </w:pPr>
      <w:rPr>
        <w:rFonts w:ascii="Microsoft Himalaya" w:hAnsi="Microsoft Himalay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F296FF4"/>
    <w:multiLevelType w:val="hybridMultilevel"/>
    <w:tmpl w:val="6818F5E4"/>
    <w:lvl w:ilvl="0" w:tplc="9184DE08">
      <w:start w:val="5"/>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00D2416"/>
    <w:multiLevelType w:val="multilevel"/>
    <w:tmpl w:val="52E214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5F52F7F"/>
    <w:multiLevelType w:val="hybridMultilevel"/>
    <w:tmpl w:val="BE1A5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BE1175"/>
    <w:multiLevelType w:val="multilevel"/>
    <w:tmpl w:val="EF34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9E5DF1"/>
    <w:multiLevelType w:val="hybridMultilevel"/>
    <w:tmpl w:val="6BBED7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A70247"/>
    <w:multiLevelType w:val="hybridMultilevel"/>
    <w:tmpl w:val="1BA00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76956CA"/>
    <w:multiLevelType w:val="hybridMultilevel"/>
    <w:tmpl w:val="9F1A16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873162"/>
    <w:multiLevelType w:val="hybridMultilevel"/>
    <w:tmpl w:val="8F9846E0"/>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680314"/>
    <w:multiLevelType w:val="hybridMultilevel"/>
    <w:tmpl w:val="06C8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2C1BA3"/>
    <w:multiLevelType w:val="multilevel"/>
    <w:tmpl w:val="E5F6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4"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46034F"/>
    <w:multiLevelType w:val="hybridMultilevel"/>
    <w:tmpl w:val="501A8FD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5D0F5A04"/>
    <w:multiLevelType w:val="hybridMultilevel"/>
    <w:tmpl w:val="761CB56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15:restartNumberingAfterBreak="0">
    <w:nsid w:val="5D294919"/>
    <w:multiLevelType w:val="hybridMultilevel"/>
    <w:tmpl w:val="1218A2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A002CE"/>
    <w:multiLevelType w:val="hybridMultilevel"/>
    <w:tmpl w:val="AFA259D8"/>
    <w:lvl w:ilvl="0" w:tplc="9184DE08">
      <w:start w:val="5"/>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2D5EFE"/>
    <w:multiLevelType w:val="hybridMultilevel"/>
    <w:tmpl w:val="98E640E6"/>
    <w:lvl w:ilvl="0" w:tplc="637AB740">
      <w:start w:val="1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0D509A3"/>
    <w:multiLevelType w:val="hybridMultilevel"/>
    <w:tmpl w:val="CC5429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AF0365"/>
    <w:multiLevelType w:val="hybridMultilevel"/>
    <w:tmpl w:val="DC90F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296239"/>
    <w:multiLevelType w:val="multilevel"/>
    <w:tmpl w:val="D6E0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24EF0"/>
    <w:multiLevelType w:val="hybridMultilevel"/>
    <w:tmpl w:val="1A689174"/>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B1028B"/>
    <w:multiLevelType w:val="hybridMultilevel"/>
    <w:tmpl w:val="67C09DE4"/>
    <w:lvl w:ilvl="0" w:tplc="8B443E64">
      <w:start w:val="1"/>
      <w:numFmt w:val="bullet"/>
      <w:lvlText w:val="-"/>
      <w:lvlJc w:val="left"/>
      <w:pPr>
        <w:ind w:left="1080" w:hanging="360"/>
      </w:pPr>
      <w:rPr>
        <w:rFonts w:ascii="Microsoft Himalaya" w:hAnsi="Microsoft Himalay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5"/>
  </w:num>
  <w:num w:numId="4">
    <w:abstractNumId w:val="34"/>
  </w:num>
  <w:num w:numId="5">
    <w:abstractNumId w:val="26"/>
  </w:num>
  <w:num w:numId="6">
    <w:abstractNumId w:val="33"/>
  </w:num>
  <w:num w:numId="7">
    <w:abstractNumId w:val="20"/>
  </w:num>
  <w:num w:numId="8">
    <w:abstractNumId w:val="36"/>
  </w:num>
  <w:num w:numId="9">
    <w:abstractNumId w:val="16"/>
  </w:num>
  <w:num w:numId="10">
    <w:abstractNumId w:val="37"/>
  </w:num>
  <w:num w:numId="11">
    <w:abstractNumId w:val="27"/>
  </w:num>
  <w:num w:numId="12">
    <w:abstractNumId w:val="38"/>
  </w:num>
  <w:num w:numId="13">
    <w:abstractNumId w:val="8"/>
  </w:num>
  <w:num w:numId="14">
    <w:abstractNumId w:val="0"/>
  </w:num>
  <w:num w:numId="15">
    <w:abstractNumId w:val="39"/>
  </w:num>
  <w:num w:numId="16">
    <w:abstractNumId w:val="6"/>
  </w:num>
  <w:num w:numId="17">
    <w:abstractNumId w:val="15"/>
  </w:num>
  <w:num w:numId="18">
    <w:abstractNumId w:val="18"/>
  </w:num>
  <w:num w:numId="19">
    <w:abstractNumId w:val="7"/>
  </w:num>
  <w:num w:numId="20">
    <w:abstractNumId w:val="3"/>
  </w:num>
  <w:num w:numId="21">
    <w:abstractNumId w:val="2"/>
  </w:num>
  <w:num w:numId="22">
    <w:abstractNumId w:val="17"/>
  </w:num>
  <w:num w:numId="23">
    <w:abstractNumId w:val="1"/>
  </w:num>
  <w:num w:numId="24">
    <w:abstractNumId w:val="12"/>
  </w:num>
  <w:num w:numId="25">
    <w:abstractNumId w:val="11"/>
  </w:num>
  <w:num w:numId="26">
    <w:abstractNumId w:val="30"/>
  </w:num>
  <w:num w:numId="27">
    <w:abstractNumId w:val="24"/>
  </w:num>
  <w:num w:numId="28">
    <w:abstractNumId w:val="9"/>
  </w:num>
  <w:num w:numId="29">
    <w:abstractNumId w:val="13"/>
  </w:num>
  <w:num w:numId="30">
    <w:abstractNumId w:val="23"/>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4"/>
  </w:num>
  <w:num w:numId="35">
    <w:abstractNumId w:val="28"/>
  </w:num>
  <w:num w:numId="36">
    <w:abstractNumId w:val="22"/>
  </w:num>
  <w:num w:numId="37">
    <w:abstractNumId w:val="14"/>
  </w:num>
  <w:num w:numId="38">
    <w:abstractNumId w:val="10"/>
  </w:num>
  <w:num w:numId="39">
    <w:abstractNumId w:val="2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8"/>
    <w:rsid w:val="00004ED3"/>
    <w:rsid w:val="000161D3"/>
    <w:rsid w:val="00017A5C"/>
    <w:rsid w:val="000248B5"/>
    <w:rsid w:val="00025762"/>
    <w:rsid w:val="000261B0"/>
    <w:rsid w:val="00030C46"/>
    <w:rsid w:val="00040906"/>
    <w:rsid w:val="000415CB"/>
    <w:rsid w:val="000451AD"/>
    <w:rsid w:val="0004733B"/>
    <w:rsid w:val="000500EA"/>
    <w:rsid w:val="00062489"/>
    <w:rsid w:val="00072AB8"/>
    <w:rsid w:val="0009287B"/>
    <w:rsid w:val="00097798"/>
    <w:rsid w:val="00097970"/>
    <w:rsid w:val="000A65A5"/>
    <w:rsid w:val="000D5264"/>
    <w:rsid w:val="000F1570"/>
    <w:rsid w:val="00114E58"/>
    <w:rsid w:val="001246EC"/>
    <w:rsid w:val="001261C8"/>
    <w:rsid w:val="0012777C"/>
    <w:rsid w:val="0013000A"/>
    <w:rsid w:val="00144B2B"/>
    <w:rsid w:val="001470CA"/>
    <w:rsid w:val="00172072"/>
    <w:rsid w:val="00177F3B"/>
    <w:rsid w:val="001979BD"/>
    <w:rsid w:val="001B008F"/>
    <w:rsid w:val="001B626E"/>
    <w:rsid w:val="001C0B08"/>
    <w:rsid w:val="001C5F04"/>
    <w:rsid w:val="001D0E89"/>
    <w:rsid w:val="001D73BB"/>
    <w:rsid w:val="001E17DC"/>
    <w:rsid w:val="001F1C4D"/>
    <w:rsid w:val="001F5399"/>
    <w:rsid w:val="001F5C57"/>
    <w:rsid w:val="00201147"/>
    <w:rsid w:val="002021A5"/>
    <w:rsid w:val="002148D7"/>
    <w:rsid w:val="00223C15"/>
    <w:rsid w:val="002244B9"/>
    <w:rsid w:val="00225637"/>
    <w:rsid w:val="002275FF"/>
    <w:rsid w:val="002328FA"/>
    <w:rsid w:val="002340CB"/>
    <w:rsid w:val="00250042"/>
    <w:rsid w:val="00260F42"/>
    <w:rsid w:val="00261B7A"/>
    <w:rsid w:val="00270219"/>
    <w:rsid w:val="002726EC"/>
    <w:rsid w:val="002733AF"/>
    <w:rsid w:val="002738F8"/>
    <w:rsid w:val="0028736C"/>
    <w:rsid w:val="00291DFC"/>
    <w:rsid w:val="00294C51"/>
    <w:rsid w:val="00297ECB"/>
    <w:rsid w:val="002A2E38"/>
    <w:rsid w:val="002B094E"/>
    <w:rsid w:val="002B3C53"/>
    <w:rsid w:val="002C10AB"/>
    <w:rsid w:val="002C340C"/>
    <w:rsid w:val="00326F65"/>
    <w:rsid w:val="00337347"/>
    <w:rsid w:val="003546B8"/>
    <w:rsid w:val="00376D68"/>
    <w:rsid w:val="00384E62"/>
    <w:rsid w:val="00395C68"/>
    <w:rsid w:val="003A667F"/>
    <w:rsid w:val="003C1DC2"/>
    <w:rsid w:val="003D1E58"/>
    <w:rsid w:val="003D3F03"/>
    <w:rsid w:val="003E3B66"/>
    <w:rsid w:val="003F3483"/>
    <w:rsid w:val="0040141B"/>
    <w:rsid w:val="00403683"/>
    <w:rsid w:val="00407765"/>
    <w:rsid w:val="00407C05"/>
    <w:rsid w:val="004137F3"/>
    <w:rsid w:val="00415725"/>
    <w:rsid w:val="00427DFD"/>
    <w:rsid w:val="00432313"/>
    <w:rsid w:val="00452367"/>
    <w:rsid w:val="00473504"/>
    <w:rsid w:val="00491F08"/>
    <w:rsid w:val="004A113F"/>
    <w:rsid w:val="004B06BA"/>
    <w:rsid w:val="004B2355"/>
    <w:rsid w:val="004B25CF"/>
    <w:rsid w:val="004B3549"/>
    <w:rsid w:val="004C10A5"/>
    <w:rsid w:val="004D4B83"/>
    <w:rsid w:val="004D6EEB"/>
    <w:rsid w:val="004E690E"/>
    <w:rsid w:val="004F36D0"/>
    <w:rsid w:val="00516301"/>
    <w:rsid w:val="00516EC0"/>
    <w:rsid w:val="00522227"/>
    <w:rsid w:val="00533430"/>
    <w:rsid w:val="00552EF8"/>
    <w:rsid w:val="00554C6A"/>
    <w:rsid w:val="00574FFB"/>
    <w:rsid w:val="00576F9C"/>
    <w:rsid w:val="00593C66"/>
    <w:rsid w:val="005B4148"/>
    <w:rsid w:val="005C25E0"/>
    <w:rsid w:val="005C36EF"/>
    <w:rsid w:val="005C7E69"/>
    <w:rsid w:val="005D46D2"/>
    <w:rsid w:val="005D733D"/>
    <w:rsid w:val="005F1F82"/>
    <w:rsid w:val="006064E3"/>
    <w:rsid w:val="00611ED2"/>
    <w:rsid w:val="00613C12"/>
    <w:rsid w:val="0062420B"/>
    <w:rsid w:val="00627C33"/>
    <w:rsid w:val="00633528"/>
    <w:rsid w:val="00636FC9"/>
    <w:rsid w:val="006445C5"/>
    <w:rsid w:val="00650247"/>
    <w:rsid w:val="00651AC6"/>
    <w:rsid w:val="00657A03"/>
    <w:rsid w:val="00676A61"/>
    <w:rsid w:val="00676F15"/>
    <w:rsid w:val="006A6D23"/>
    <w:rsid w:val="006B367F"/>
    <w:rsid w:val="006B5143"/>
    <w:rsid w:val="006C0BF5"/>
    <w:rsid w:val="006C3F6A"/>
    <w:rsid w:val="006D655F"/>
    <w:rsid w:val="006E4A3C"/>
    <w:rsid w:val="006E723E"/>
    <w:rsid w:val="006F281D"/>
    <w:rsid w:val="007065B3"/>
    <w:rsid w:val="007317C3"/>
    <w:rsid w:val="00743879"/>
    <w:rsid w:val="00744B5D"/>
    <w:rsid w:val="00755D1D"/>
    <w:rsid w:val="007569E7"/>
    <w:rsid w:val="0076584E"/>
    <w:rsid w:val="0076631E"/>
    <w:rsid w:val="00772232"/>
    <w:rsid w:val="00777546"/>
    <w:rsid w:val="00777F6E"/>
    <w:rsid w:val="007914B7"/>
    <w:rsid w:val="0079512E"/>
    <w:rsid w:val="00797BD8"/>
    <w:rsid w:val="007A2C77"/>
    <w:rsid w:val="007A4808"/>
    <w:rsid w:val="007A4FD9"/>
    <w:rsid w:val="007A7454"/>
    <w:rsid w:val="007B0C53"/>
    <w:rsid w:val="007C0E10"/>
    <w:rsid w:val="007C362B"/>
    <w:rsid w:val="007C7B9E"/>
    <w:rsid w:val="007D59DF"/>
    <w:rsid w:val="007E1668"/>
    <w:rsid w:val="007E420B"/>
    <w:rsid w:val="007F1A2B"/>
    <w:rsid w:val="007F5353"/>
    <w:rsid w:val="00807F58"/>
    <w:rsid w:val="00812D27"/>
    <w:rsid w:val="00815FA8"/>
    <w:rsid w:val="00823AA0"/>
    <w:rsid w:val="00841E36"/>
    <w:rsid w:val="00842748"/>
    <w:rsid w:val="00856045"/>
    <w:rsid w:val="008769B8"/>
    <w:rsid w:val="00877C3B"/>
    <w:rsid w:val="00884327"/>
    <w:rsid w:val="008C3FE8"/>
    <w:rsid w:val="008C63CE"/>
    <w:rsid w:val="008D3EBC"/>
    <w:rsid w:val="008D7D72"/>
    <w:rsid w:val="008E228E"/>
    <w:rsid w:val="008E3985"/>
    <w:rsid w:val="008E4F5D"/>
    <w:rsid w:val="008E7576"/>
    <w:rsid w:val="008E7754"/>
    <w:rsid w:val="008F1D21"/>
    <w:rsid w:val="00901E63"/>
    <w:rsid w:val="00902763"/>
    <w:rsid w:val="009120C8"/>
    <w:rsid w:val="00920308"/>
    <w:rsid w:val="009322F1"/>
    <w:rsid w:val="00942974"/>
    <w:rsid w:val="00943F60"/>
    <w:rsid w:val="009522B8"/>
    <w:rsid w:val="00963547"/>
    <w:rsid w:val="00966F3F"/>
    <w:rsid w:val="00971354"/>
    <w:rsid w:val="00974A64"/>
    <w:rsid w:val="00976619"/>
    <w:rsid w:val="00983406"/>
    <w:rsid w:val="00983694"/>
    <w:rsid w:val="009861D2"/>
    <w:rsid w:val="0099117A"/>
    <w:rsid w:val="00991C51"/>
    <w:rsid w:val="009B28CC"/>
    <w:rsid w:val="009B590D"/>
    <w:rsid w:val="009C1F36"/>
    <w:rsid w:val="009C5FA2"/>
    <w:rsid w:val="009F10E2"/>
    <w:rsid w:val="00A03269"/>
    <w:rsid w:val="00A1148B"/>
    <w:rsid w:val="00A15106"/>
    <w:rsid w:val="00A20F25"/>
    <w:rsid w:val="00A23F93"/>
    <w:rsid w:val="00A41BC8"/>
    <w:rsid w:val="00A42595"/>
    <w:rsid w:val="00A43BD8"/>
    <w:rsid w:val="00A52E21"/>
    <w:rsid w:val="00A607EF"/>
    <w:rsid w:val="00A631F2"/>
    <w:rsid w:val="00A75F6F"/>
    <w:rsid w:val="00A82A0E"/>
    <w:rsid w:val="00AC6AB5"/>
    <w:rsid w:val="00AC7137"/>
    <w:rsid w:val="00AD053C"/>
    <w:rsid w:val="00AF64BE"/>
    <w:rsid w:val="00AF79B8"/>
    <w:rsid w:val="00B03C06"/>
    <w:rsid w:val="00B077D4"/>
    <w:rsid w:val="00B128D8"/>
    <w:rsid w:val="00B13BD7"/>
    <w:rsid w:val="00B154FA"/>
    <w:rsid w:val="00B216A0"/>
    <w:rsid w:val="00B3082F"/>
    <w:rsid w:val="00B448AA"/>
    <w:rsid w:val="00B5355D"/>
    <w:rsid w:val="00B64C79"/>
    <w:rsid w:val="00B6701C"/>
    <w:rsid w:val="00BD0BF6"/>
    <w:rsid w:val="00BD4958"/>
    <w:rsid w:val="00BD758D"/>
    <w:rsid w:val="00BE2125"/>
    <w:rsid w:val="00BE61F7"/>
    <w:rsid w:val="00C01915"/>
    <w:rsid w:val="00C16872"/>
    <w:rsid w:val="00C273FE"/>
    <w:rsid w:val="00C3128B"/>
    <w:rsid w:val="00C35312"/>
    <w:rsid w:val="00C767CA"/>
    <w:rsid w:val="00C84445"/>
    <w:rsid w:val="00C85F02"/>
    <w:rsid w:val="00CA5CF5"/>
    <w:rsid w:val="00CC188C"/>
    <w:rsid w:val="00CC2A3D"/>
    <w:rsid w:val="00CC3C41"/>
    <w:rsid w:val="00CC7B90"/>
    <w:rsid w:val="00CD2ACF"/>
    <w:rsid w:val="00CE08B4"/>
    <w:rsid w:val="00CF2E25"/>
    <w:rsid w:val="00CF4613"/>
    <w:rsid w:val="00CF767E"/>
    <w:rsid w:val="00D02EA4"/>
    <w:rsid w:val="00D03523"/>
    <w:rsid w:val="00D052BB"/>
    <w:rsid w:val="00D07E30"/>
    <w:rsid w:val="00D1639F"/>
    <w:rsid w:val="00D20DE5"/>
    <w:rsid w:val="00D260FC"/>
    <w:rsid w:val="00D47D53"/>
    <w:rsid w:val="00D52923"/>
    <w:rsid w:val="00D56EF4"/>
    <w:rsid w:val="00D609FA"/>
    <w:rsid w:val="00D649F4"/>
    <w:rsid w:val="00D67326"/>
    <w:rsid w:val="00D67C94"/>
    <w:rsid w:val="00D8035C"/>
    <w:rsid w:val="00D86F9D"/>
    <w:rsid w:val="00D909B9"/>
    <w:rsid w:val="00D92B90"/>
    <w:rsid w:val="00DA686E"/>
    <w:rsid w:val="00DB29AE"/>
    <w:rsid w:val="00DC2D9E"/>
    <w:rsid w:val="00DD1327"/>
    <w:rsid w:val="00DD307D"/>
    <w:rsid w:val="00DD46D7"/>
    <w:rsid w:val="00DF41F7"/>
    <w:rsid w:val="00DF4A28"/>
    <w:rsid w:val="00DF72C3"/>
    <w:rsid w:val="00E15D84"/>
    <w:rsid w:val="00E16B0E"/>
    <w:rsid w:val="00E415B4"/>
    <w:rsid w:val="00E435CE"/>
    <w:rsid w:val="00E50955"/>
    <w:rsid w:val="00E545F9"/>
    <w:rsid w:val="00E5483B"/>
    <w:rsid w:val="00E82252"/>
    <w:rsid w:val="00E85619"/>
    <w:rsid w:val="00E86E26"/>
    <w:rsid w:val="00E878F3"/>
    <w:rsid w:val="00E94CBD"/>
    <w:rsid w:val="00E96298"/>
    <w:rsid w:val="00EB2C82"/>
    <w:rsid w:val="00EC4E00"/>
    <w:rsid w:val="00ED3402"/>
    <w:rsid w:val="00ED57D3"/>
    <w:rsid w:val="00EE399B"/>
    <w:rsid w:val="00EE4092"/>
    <w:rsid w:val="00EE62D3"/>
    <w:rsid w:val="00F00C51"/>
    <w:rsid w:val="00F107D5"/>
    <w:rsid w:val="00F11476"/>
    <w:rsid w:val="00F11D6E"/>
    <w:rsid w:val="00F313E0"/>
    <w:rsid w:val="00F41AA7"/>
    <w:rsid w:val="00F46B95"/>
    <w:rsid w:val="00F53F95"/>
    <w:rsid w:val="00F63C3C"/>
    <w:rsid w:val="00F65562"/>
    <w:rsid w:val="00F93150"/>
    <w:rsid w:val="00FA1515"/>
    <w:rsid w:val="00FA7F9A"/>
    <w:rsid w:val="00FC69FB"/>
    <w:rsid w:val="00FD7BD8"/>
    <w:rsid w:val="00FE3821"/>
    <w:rsid w:val="00FF1229"/>
    <w:rsid w:val="00FF3AF9"/>
    <w:rsid w:val="00FF6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D7387"/>
  <w15:docId w15:val="{68CEA821-F852-483E-8ECC-FA8EDB7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56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5619"/>
  </w:style>
  <w:style w:type="paragraph" w:styleId="Piedepgina">
    <w:name w:val="footer"/>
    <w:basedOn w:val="Normal"/>
    <w:link w:val="PiedepginaCar"/>
    <w:uiPriority w:val="99"/>
    <w:unhideWhenUsed/>
    <w:rsid w:val="00E8561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561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5619"/>
    <w:pPr>
      <w:ind w:left="720"/>
      <w:contextualSpacing/>
    </w:pPr>
  </w:style>
  <w:style w:type="character" w:styleId="Hipervnculo">
    <w:name w:val="Hyperlink"/>
    <w:basedOn w:val="Fuentedeprrafopredeter"/>
    <w:uiPriority w:val="99"/>
    <w:unhideWhenUsed/>
    <w:rsid w:val="001D0E8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2E2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2E21"/>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A52E21"/>
    <w:rPr>
      <w:vertAlign w:val="superscript"/>
    </w:rPr>
  </w:style>
  <w:style w:type="paragraph" w:styleId="NormalWeb">
    <w:name w:val="Normal (Web)"/>
    <w:basedOn w:val="Normal"/>
    <w:uiPriority w:val="99"/>
    <w:unhideWhenUsed/>
    <w:rsid w:val="00636FC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36FC9"/>
    <w:rPr>
      <w:b/>
      <w:bCs/>
    </w:rPr>
  </w:style>
  <w:style w:type="character" w:customStyle="1" w:styleId="PuestoCar">
    <w:name w:val="Puesto Car"/>
    <w:aliases w:val="Cita textual Car"/>
    <w:basedOn w:val="Fuentedeprrafopredeter"/>
    <w:link w:val="Puesto"/>
    <w:uiPriority w:val="10"/>
    <w:rsid w:val="00004ED3"/>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04ED3"/>
  </w:style>
  <w:style w:type="paragraph" w:styleId="TtulodeTDC">
    <w:name w:val="TOC Heading"/>
    <w:basedOn w:val="Ttulo1"/>
    <w:next w:val="Normal"/>
    <w:uiPriority w:val="39"/>
    <w:unhideWhenUsed/>
    <w:qFormat/>
    <w:rsid w:val="00DF4A2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F4A28"/>
    <w:pPr>
      <w:spacing w:after="100"/>
    </w:pPr>
  </w:style>
  <w:style w:type="paragraph" w:styleId="TDC2">
    <w:name w:val="toc 2"/>
    <w:basedOn w:val="Normal"/>
    <w:next w:val="Normal"/>
    <w:autoRedefine/>
    <w:uiPriority w:val="39"/>
    <w:unhideWhenUsed/>
    <w:rsid w:val="00DF4A28"/>
    <w:pPr>
      <w:spacing w:after="100"/>
      <w:ind w:left="220"/>
    </w:pPr>
  </w:style>
  <w:style w:type="paragraph" w:styleId="TDC3">
    <w:name w:val="toc 3"/>
    <w:basedOn w:val="Normal"/>
    <w:next w:val="Normal"/>
    <w:autoRedefine/>
    <w:uiPriority w:val="39"/>
    <w:unhideWhenUsed/>
    <w:rsid w:val="00DF4A28"/>
    <w:pPr>
      <w:spacing w:after="100"/>
      <w:ind w:left="440"/>
    </w:pPr>
  </w:style>
  <w:style w:type="table" w:styleId="Tablaconcuadrcula">
    <w:name w:val="Table Grid"/>
    <w:basedOn w:val="Tablanormal"/>
    <w:uiPriority w:val="39"/>
    <w:rsid w:val="001C5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1752">
      <w:bodyDiv w:val="1"/>
      <w:marLeft w:val="0"/>
      <w:marRight w:val="0"/>
      <w:marTop w:val="0"/>
      <w:marBottom w:val="0"/>
      <w:divBdr>
        <w:top w:val="none" w:sz="0" w:space="0" w:color="auto"/>
        <w:left w:val="none" w:sz="0" w:space="0" w:color="auto"/>
        <w:bottom w:val="none" w:sz="0" w:space="0" w:color="auto"/>
        <w:right w:val="none" w:sz="0" w:space="0" w:color="auto"/>
      </w:divBdr>
    </w:div>
    <w:div w:id="159732076">
      <w:bodyDiv w:val="1"/>
      <w:marLeft w:val="0"/>
      <w:marRight w:val="0"/>
      <w:marTop w:val="0"/>
      <w:marBottom w:val="0"/>
      <w:divBdr>
        <w:top w:val="none" w:sz="0" w:space="0" w:color="auto"/>
        <w:left w:val="none" w:sz="0" w:space="0" w:color="auto"/>
        <w:bottom w:val="none" w:sz="0" w:space="0" w:color="auto"/>
        <w:right w:val="none" w:sz="0" w:space="0" w:color="auto"/>
      </w:divBdr>
    </w:div>
    <w:div w:id="182204786">
      <w:bodyDiv w:val="1"/>
      <w:marLeft w:val="0"/>
      <w:marRight w:val="0"/>
      <w:marTop w:val="0"/>
      <w:marBottom w:val="0"/>
      <w:divBdr>
        <w:top w:val="none" w:sz="0" w:space="0" w:color="auto"/>
        <w:left w:val="none" w:sz="0" w:space="0" w:color="auto"/>
        <w:bottom w:val="none" w:sz="0" w:space="0" w:color="auto"/>
        <w:right w:val="none" w:sz="0" w:space="0" w:color="auto"/>
      </w:divBdr>
    </w:div>
    <w:div w:id="196356920">
      <w:bodyDiv w:val="1"/>
      <w:marLeft w:val="0"/>
      <w:marRight w:val="0"/>
      <w:marTop w:val="0"/>
      <w:marBottom w:val="0"/>
      <w:divBdr>
        <w:top w:val="none" w:sz="0" w:space="0" w:color="auto"/>
        <w:left w:val="none" w:sz="0" w:space="0" w:color="auto"/>
        <w:bottom w:val="none" w:sz="0" w:space="0" w:color="auto"/>
        <w:right w:val="none" w:sz="0" w:space="0" w:color="auto"/>
      </w:divBdr>
    </w:div>
    <w:div w:id="240339079">
      <w:bodyDiv w:val="1"/>
      <w:marLeft w:val="0"/>
      <w:marRight w:val="0"/>
      <w:marTop w:val="0"/>
      <w:marBottom w:val="0"/>
      <w:divBdr>
        <w:top w:val="none" w:sz="0" w:space="0" w:color="auto"/>
        <w:left w:val="none" w:sz="0" w:space="0" w:color="auto"/>
        <w:bottom w:val="none" w:sz="0" w:space="0" w:color="auto"/>
        <w:right w:val="none" w:sz="0" w:space="0" w:color="auto"/>
      </w:divBdr>
    </w:div>
    <w:div w:id="251815303">
      <w:bodyDiv w:val="1"/>
      <w:marLeft w:val="0"/>
      <w:marRight w:val="0"/>
      <w:marTop w:val="0"/>
      <w:marBottom w:val="0"/>
      <w:divBdr>
        <w:top w:val="none" w:sz="0" w:space="0" w:color="auto"/>
        <w:left w:val="none" w:sz="0" w:space="0" w:color="auto"/>
        <w:bottom w:val="none" w:sz="0" w:space="0" w:color="auto"/>
        <w:right w:val="none" w:sz="0" w:space="0" w:color="auto"/>
      </w:divBdr>
    </w:div>
    <w:div w:id="291985059">
      <w:bodyDiv w:val="1"/>
      <w:marLeft w:val="0"/>
      <w:marRight w:val="0"/>
      <w:marTop w:val="0"/>
      <w:marBottom w:val="0"/>
      <w:divBdr>
        <w:top w:val="none" w:sz="0" w:space="0" w:color="auto"/>
        <w:left w:val="none" w:sz="0" w:space="0" w:color="auto"/>
        <w:bottom w:val="none" w:sz="0" w:space="0" w:color="auto"/>
        <w:right w:val="none" w:sz="0" w:space="0" w:color="auto"/>
      </w:divBdr>
      <w:divsChild>
        <w:div w:id="14961751">
          <w:marLeft w:val="0"/>
          <w:marRight w:val="0"/>
          <w:marTop w:val="0"/>
          <w:marBottom w:val="0"/>
          <w:divBdr>
            <w:top w:val="none" w:sz="0" w:space="0" w:color="auto"/>
            <w:left w:val="none" w:sz="0" w:space="0" w:color="auto"/>
            <w:bottom w:val="none" w:sz="0" w:space="0" w:color="auto"/>
            <w:right w:val="none" w:sz="0" w:space="0" w:color="auto"/>
          </w:divBdr>
        </w:div>
      </w:divsChild>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407113720">
      <w:bodyDiv w:val="1"/>
      <w:marLeft w:val="0"/>
      <w:marRight w:val="0"/>
      <w:marTop w:val="0"/>
      <w:marBottom w:val="0"/>
      <w:divBdr>
        <w:top w:val="none" w:sz="0" w:space="0" w:color="auto"/>
        <w:left w:val="none" w:sz="0" w:space="0" w:color="auto"/>
        <w:bottom w:val="none" w:sz="0" w:space="0" w:color="auto"/>
        <w:right w:val="none" w:sz="0" w:space="0" w:color="auto"/>
      </w:divBdr>
    </w:div>
    <w:div w:id="444428933">
      <w:bodyDiv w:val="1"/>
      <w:marLeft w:val="0"/>
      <w:marRight w:val="0"/>
      <w:marTop w:val="0"/>
      <w:marBottom w:val="0"/>
      <w:divBdr>
        <w:top w:val="none" w:sz="0" w:space="0" w:color="auto"/>
        <w:left w:val="none" w:sz="0" w:space="0" w:color="auto"/>
        <w:bottom w:val="none" w:sz="0" w:space="0" w:color="auto"/>
        <w:right w:val="none" w:sz="0" w:space="0" w:color="auto"/>
      </w:divBdr>
    </w:div>
    <w:div w:id="469372030">
      <w:bodyDiv w:val="1"/>
      <w:marLeft w:val="0"/>
      <w:marRight w:val="0"/>
      <w:marTop w:val="0"/>
      <w:marBottom w:val="0"/>
      <w:divBdr>
        <w:top w:val="none" w:sz="0" w:space="0" w:color="auto"/>
        <w:left w:val="none" w:sz="0" w:space="0" w:color="auto"/>
        <w:bottom w:val="none" w:sz="0" w:space="0" w:color="auto"/>
        <w:right w:val="none" w:sz="0" w:space="0" w:color="auto"/>
      </w:divBdr>
    </w:div>
    <w:div w:id="520825519">
      <w:bodyDiv w:val="1"/>
      <w:marLeft w:val="0"/>
      <w:marRight w:val="0"/>
      <w:marTop w:val="0"/>
      <w:marBottom w:val="0"/>
      <w:divBdr>
        <w:top w:val="none" w:sz="0" w:space="0" w:color="auto"/>
        <w:left w:val="none" w:sz="0" w:space="0" w:color="auto"/>
        <w:bottom w:val="none" w:sz="0" w:space="0" w:color="auto"/>
        <w:right w:val="none" w:sz="0" w:space="0" w:color="auto"/>
      </w:divBdr>
    </w:div>
    <w:div w:id="597371905">
      <w:bodyDiv w:val="1"/>
      <w:marLeft w:val="0"/>
      <w:marRight w:val="0"/>
      <w:marTop w:val="0"/>
      <w:marBottom w:val="0"/>
      <w:divBdr>
        <w:top w:val="none" w:sz="0" w:space="0" w:color="auto"/>
        <w:left w:val="none" w:sz="0" w:space="0" w:color="auto"/>
        <w:bottom w:val="none" w:sz="0" w:space="0" w:color="auto"/>
        <w:right w:val="none" w:sz="0" w:space="0" w:color="auto"/>
      </w:divBdr>
      <w:divsChild>
        <w:div w:id="1437366231">
          <w:marLeft w:val="0"/>
          <w:marRight w:val="0"/>
          <w:marTop w:val="0"/>
          <w:marBottom w:val="0"/>
          <w:divBdr>
            <w:top w:val="none" w:sz="0" w:space="0" w:color="auto"/>
            <w:left w:val="none" w:sz="0" w:space="0" w:color="auto"/>
            <w:bottom w:val="none" w:sz="0" w:space="0" w:color="auto"/>
            <w:right w:val="none" w:sz="0" w:space="0" w:color="auto"/>
          </w:divBdr>
        </w:div>
      </w:divsChild>
    </w:div>
    <w:div w:id="633608451">
      <w:bodyDiv w:val="1"/>
      <w:marLeft w:val="0"/>
      <w:marRight w:val="0"/>
      <w:marTop w:val="0"/>
      <w:marBottom w:val="0"/>
      <w:divBdr>
        <w:top w:val="none" w:sz="0" w:space="0" w:color="auto"/>
        <w:left w:val="none" w:sz="0" w:space="0" w:color="auto"/>
        <w:bottom w:val="none" w:sz="0" w:space="0" w:color="auto"/>
        <w:right w:val="none" w:sz="0" w:space="0" w:color="auto"/>
      </w:divBdr>
    </w:div>
    <w:div w:id="725638944">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836118166">
      <w:bodyDiv w:val="1"/>
      <w:marLeft w:val="0"/>
      <w:marRight w:val="0"/>
      <w:marTop w:val="0"/>
      <w:marBottom w:val="0"/>
      <w:divBdr>
        <w:top w:val="none" w:sz="0" w:space="0" w:color="auto"/>
        <w:left w:val="none" w:sz="0" w:space="0" w:color="auto"/>
        <w:bottom w:val="none" w:sz="0" w:space="0" w:color="auto"/>
        <w:right w:val="none" w:sz="0" w:space="0" w:color="auto"/>
      </w:divBdr>
      <w:divsChild>
        <w:div w:id="937374299">
          <w:marLeft w:val="0"/>
          <w:marRight w:val="0"/>
          <w:marTop w:val="0"/>
          <w:marBottom w:val="0"/>
          <w:divBdr>
            <w:top w:val="none" w:sz="0" w:space="0" w:color="auto"/>
            <w:left w:val="none" w:sz="0" w:space="0" w:color="auto"/>
            <w:bottom w:val="none" w:sz="0" w:space="0" w:color="auto"/>
            <w:right w:val="none" w:sz="0" w:space="0" w:color="auto"/>
          </w:divBdr>
        </w:div>
      </w:divsChild>
    </w:div>
    <w:div w:id="872890081">
      <w:bodyDiv w:val="1"/>
      <w:marLeft w:val="0"/>
      <w:marRight w:val="0"/>
      <w:marTop w:val="0"/>
      <w:marBottom w:val="0"/>
      <w:divBdr>
        <w:top w:val="none" w:sz="0" w:space="0" w:color="auto"/>
        <w:left w:val="none" w:sz="0" w:space="0" w:color="auto"/>
        <w:bottom w:val="none" w:sz="0" w:space="0" w:color="auto"/>
        <w:right w:val="none" w:sz="0" w:space="0" w:color="auto"/>
      </w:divBdr>
    </w:div>
    <w:div w:id="882253985">
      <w:bodyDiv w:val="1"/>
      <w:marLeft w:val="0"/>
      <w:marRight w:val="0"/>
      <w:marTop w:val="0"/>
      <w:marBottom w:val="0"/>
      <w:divBdr>
        <w:top w:val="none" w:sz="0" w:space="0" w:color="auto"/>
        <w:left w:val="none" w:sz="0" w:space="0" w:color="auto"/>
        <w:bottom w:val="none" w:sz="0" w:space="0" w:color="auto"/>
        <w:right w:val="none" w:sz="0" w:space="0" w:color="auto"/>
      </w:divBdr>
    </w:div>
    <w:div w:id="973563108">
      <w:bodyDiv w:val="1"/>
      <w:marLeft w:val="0"/>
      <w:marRight w:val="0"/>
      <w:marTop w:val="0"/>
      <w:marBottom w:val="0"/>
      <w:divBdr>
        <w:top w:val="none" w:sz="0" w:space="0" w:color="auto"/>
        <w:left w:val="none" w:sz="0" w:space="0" w:color="auto"/>
        <w:bottom w:val="none" w:sz="0" w:space="0" w:color="auto"/>
        <w:right w:val="none" w:sz="0" w:space="0" w:color="auto"/>
      </w:divBdr>
    </w:div>
    <w:div w:id="1061975998">
      <w:bodyDiv w:val="1"/>
      <w:marLeft w:val="0"/>
      <w:marRight w:val="0"/>
      <w:marTop w:val="0"/>
      <w:marBottom w:val="0"/>
      <w:divBdr>
        <w:top w:val="none" w:sz="0" w:space="0" w:color="auto"/>
        <w:left w:val="none" w:sz="0" w:space="0" w:color="auto"/>
        <w:bottom w:val="none" w:sz="0" w:space="0" w:color="auto"/>
        <w:right w:val="none" w:sz="0" w:space="0" w:color="auto"/>
      </w:divBdr>
    </w:div>
    <w:div w:id="1120076923">
      <w:bodyDiv w:val="1"/>
      <w:marLeft w:val="0"/>
      <w:marRight w:val="0"/>
      <w:marTop w:val="0"/>
      <w:marBottom w:val="0"/>
      <w:divBdr>
        <w:top w:val="none" w:sz="0" w:space="0" w:color="auto"/>
        <w:left w:val="none" w:sz="0" w:space="0" w:color="auto"/>
        <w:bottom w:val="none" w:sz="0" w:space="0" w:color="auto"/>
        <w:right w:val="none" w:sz="0" w:space="0" w:color="auto"/>
      </w:divBdr>
    </w:div>
    <w:div w:id="1406338989">
      <w:bodyDiv w:val="1"/>
      <w:marLeft w:val="0"/>
      <w:marRight w:val="0"/>
      <w:marTop w:val="0"/>
      <w:marBottom w:val="0"/>
      <w:divBdr>
        <w:top w:val="none" w:sz="0" w:space="0" w:color="auto"/>
        <w:left w:val="none" w:sz="0" w:space="0" w:color="auto"/>
        <w:bottom w:val="none" w:sz="0" w:space="0" w:color="auto"/>
        <w:right w:val="none" w:sz="0" w:space="0" w:color="auto"/>
      </w:divBdr>
    </w:div>
    <w:div w:id="1523939045">
      <w:bodyDiv w:val="1"/>
      <w:marLeft w:val="0"/>
      <w:marRight w:val="0"/>
      <w:marTop w:val="0"/>
      <w:marBottom w:val="0"/>
      <w:divBdr>
        <w:top w:val="none" w:sz="0" w:space="0" w:color="auto"/>
        <w:left w:val="none" w:sz="0" w:space="0" w:color="auto"/>
        <w:bottom w:val="none" w:sz="0" w:space="0" w:color="auto"/>
        <w:right w:val="none" w:sz="0" w:space="0" w:color="auto"/>
      </w:divBdr>
    </w:div>
    <w:div w:id="1623730420">
      <w:bodyDiv w:val="1"/>
      <w:marLeft w:val="0"/>
      <w:marRight w:val="0"/>
      <w:marTop w:val="0"/>
      <w:marBottom w:val="0"/>
      <w:divBdr>
        <w:top w:val="none" w:sz="0" w:space="0" w:color="auto"/>
        <w:left w:val="none" w:sz="0" w:space="0" w:color="auto"/>
        <w:bottom w:val="none" w:sz="0" w:space="0" w:color="auto"/>
        <w:right w:val="none" w:sz="0" w:space="0" w:color="auto"/>
      </w:divBdr>
    </w:div>
    <w:div w:id="1638488787">
      <w:bodyDiv w:val="1"/>
      <w:marLeft w:val="0"/>
      <w:marRight w:val="0"/>
      <w:marTop w:val="0"/>
      <w:marBottom w:val="0"/>
      <w:divBdr>
        <w:top w:val="none" w:sz="0" w:space="0" w:color="auto"/>
        <w:left w:val="none" w:sz="0" w:space="0" w:color="auto"/>
        <w:bottom w:val="none" w:sz="0" w:space="0" w:color="auto"/>
        <w:right w:val="none" w:sz="0" w:space="0" w:color="auto"/>
      </w:divBdr>
    </w:div>
    <w:div w:id="1897280955">
      <w:bodyDiv w:val="1"/>
      <w:marLeft w:val="0"/>
      <w:marRight w:val="0"/>
      <w:marTop w:val="0"/>
      <w:marBottom w:val="0"/>
      <w:divBdr>
        <w:top w:val="none" w:sz="0" w:space="0" w:color="auto"/>
        <w:left w:val="none" w:sz="0" w:space="0" w:color="auto"/>
        <w:bottom w:val="none" w:sz="0" w:space="0" w:color="auto"/>
        <w:right w:val="none" w:sz="0" w:space="0" w:color="auto"/>
      </w:divBdr>
    </w:div>
    <w:div w:id="1899439458">
      <w:bodyDiv w:val="1"/>
      <w:marLeft w:val="0"/>
      <w:marRight w:val="0"/>
      <w:marTop w:val="0"/>
      <w:marBottom w:val="0"/>
      <w:divBdr>
        <w:top w:val="none" w:sz="0" w:space="0" w:color="auto"/>
        <w:left w:val="none" w:sz="0" w:space="0" w:color="auto"/>
        <w:bottom w:val="none" w:sz="0" w:space="0" w:color="auto"/>
        <w:right w:val="none" w:sz="0" w:space="0" w:color="auto"/>
      </w:divBdr>
    </w:div>
    <w:div w:id="1905949762">
      <w:bodyDiv w:val="1"/>
      <w:marLeft w:val="0"/>
      <w:marRight w:val="0"/>
      <w:marTop w:val="0"/>
      <w:marBottom w:val="0"/>
      <w:divBdr>
        <w:top w:val="none" w:sz="0" w:space="0" w:color="auto"/>
        <w:left w:val="none" w:sz="0" w:space="0" w:color="auto"/>
        <w:bottom w:val="none" w:sz="0" w:space="0" w:color="auto"/>
        <w:right w:val="none" w:sz="0" w:space="0" w:color="auto"/>
      </w:divBdr>
    </w:div>
    <w:div w:id="1980726480">
      <w:bodyDiv w:val="1"/>
      <w:marLeft w:val="0"/>
      <w:marRight w:val="0"/>
      <w:marTop w:val="0"/>
      <w:marBottom w:val="0"/>
      <w:divBdr>
        <w:top w:val="none" w:sz="0" w:space="0" w:color="auto"/>
        <w:left w:val="none" w:sz="0" w:space="0" w:color="auto"/>
        <w:bottom w:val="none" w:sz="0" w:space="0" w:color="auto"/>
        <w:right w:val="none" w:sz="0" w:space="0" w:color="auto"/>
      </w:divBdr>
    </w:div>
    <w:div w:id="199494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egislacion.edomex.gob.mx/sites/legislacion.edomex.gob.mx/files/files/pdf/gct/2022/julio/jul081/jul081c.pdf" TargetMode="External"/><Relationship Id="rId1" Type="http://schemas.openxmlformats.org/officeDocument/2006/relationships/hyperlink" Target="https://legislacion.edomex.gob.mx/sites/legislacion.edomex.gob.mx/files/files/pdf/rgl/vig/rglvig1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3B04-EC22-49A0-9917-28310216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6693</Words>
  <Characters>36817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B-204la</dc:creator>
  <cp:lastModifiedBy>INFOEM381</cp:lastModifiedBy>
  <cp:revision>5</cp:revision>
  <cp:lastPrinted>2024-08-30T01:30:00Z</cp:lastPrinted>
  <dcterms:created xsi:type="dcterms:W3CDTF">2024-08-22T18:58:00Z</dcterms:created>
  <dcterms:modified xsi:type="dcterms:W3CDTF">2024-09-23T22:20:00Z</dcterms:modified>
</cp:coreProperties>
</file>