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E5690F" w:rsidRDefault="00AE3DA7" w:rsidP="00E5690F">
          <w:pPr>
            <w:pStyle w:val="TtulodeTDC"/>
            <w:spacing w:before="0" w:line="240" w:lineRule="auto"/>
            <w:rPr>
              <w:rFonts w:ascii="Palatino Linotype" w:hAnsi="Palatino Linotype"/>
              <w:color w:val="auto"/>
              <w:sz w:val="24"/>
              <w:szCs w:val="24"/>
              <w:lang w:val="es-ES"/>
            </w:rPr>
          </w:pPr>
          <w:r w:rsidRPr="00E5690F">
            <w:rPr>
              <w:rFonts w:ascii="Palatino Linotype" w:hAnsi="Palatino Linotype"/>
              <w:color w:val="auto"/>
              <w:sz w:val="24"/>
              <w:szCs w:val="24"/>
              <w:lang w:val="es-ES"/>
            </w:rPr>
            <w:t>Contenido</w:t>
          </w:r>
        </w:p>
        <w:p w14:paraId="3EB312A7" w14:textId="77777777" w:rsidR="00AA6EA9" w:rsidRPr="00E5690F" w:rsidRDefault="00AA6EA9" w:rsidP="00E5690F">
          <w:pPr>
            <w:spacing w:line="240" w:lineRule="auto"/>
            <w:rPr>
              <w:sz w:val="16"/>
              <w:szCs w:val="16"/>
              <w:lang w:val="es-ES" w:eastAsia="es-MX"/>
            </w:rPr>
          </w:pPr>
        </w:p>
        <w:p w14:paraId="27AD77FD" w14:textId="3F059642" w:rsidR="00F52E60" w:rsidRDefault="00AE3DA7">
          <w:pPr>
            <w:pStyle w:val="TDC1"/>
            <w:tabs>
              <w:tab w:val="right" w:leader="dot" w:pos="9034"/>
            </w:tabs>
            <w:rPr>
              <w:rFonts w:asciiTheme="minorHAnsi" w:eastAsiaTheme="minorEastAsia" w:hAnsiTheme="minorHAnsi" w:cstheme="minorBidi"/>
              <w:noProof/>
              <w:szCs w:val="22"/>
              <w:lang w:eastAsia="es-MX"/>
            </w:rPr>
          </w:pPr>
          <w:r w:rsidRPr="00E5690F">
            <w:rPr>
              <w:sz w:val="16"/>
              <w:szCs w:val="16"/>
            </w:rPr>
            <w:fldChar w:fldCharType="begin"/>
          </w:r>
          <w:r w:rsidRPr="00E5690F">
            <w:rPr>
              <w:sz w:val="16"/>
              <w:szCs w:val="16"/>
            </w:rPr>
            <w:instrText xml:space="preserve"> TOC \o "1-3" \h \z \u </w:instrText>
          </w:r>
          <w:r w:rsidRPr="00E5690F">
            <w:rPr>
              <w:sz w:val="16"/>
              <w:szCs w:val="16"/>
            </w:rPr>
            <w:fldChar w:fldCharType="separate"/>
          </w:r>
          <w:hyperlink w:anchor="_Toc184813865" w:history="1">
            <w:r w:rsidR="00F52E60" w:rsidRPr="00DC7EE7">
              <w:rPr>
                <w:rStyle w:val="Hipervnculo"/>
                <w:noProof/>
              </w:rPr>
              <w:t>ANTECEDENTES</w:t>
            </w:r>
            <w:r w:rsidR="00F52E60">
              <w:rPr>
                <w:noProof/>
                <w:webHidden/>
              </w:rPr>
              <w:tab/>
            </w:r>
            <w:r w:rsidR="00F52E60">
              <w:rPr>
                <w:noProof/>
                <w:webHidden/>
              </w:rPr>
              <w:fldChar w:fldCharType="begin"/>
            </w:r>
            <w:r w:rsidR="00F52E60">
              <w:rPr>
                <w:noProof/>
                <w:webHidden/>
              </w:rPr>
              <w:instrText xml:space="preserve"> PAGEREF _Toc184813865 \h </w:instrText>
            </w:r>
            <w:r w:rsidR="00F52E60">
              <w:rPr>
                <w:noProof/>
                <w:webHidden/>
              </w:rPr>
            </w:r>
            <w:r w:rsidR="00F52E60">
              <w:rPr>
                <w:noProof/>
                <w:webHidden/>
              </w:rPr>
              <w:fldChar w:fldCharType="separate"/>
            </w:r>
            <w:r w:rsidR="00D46D69">
              <w:rPr>
                <w:noProof/>
                <w:webHidden/>
              </w:rPr>
              <w:t>1</w:t>
            </w:r>
            <w:r w:rsidR="00F52E60">
              <w:rPr>
                <w:noProof/>
                <w:webHidden/>
              </w:rPr>
              <w:fldChar w:fldCharType="end"/>
            </w:r>
          </w:hyperlink>
        </w:p>
        <w:p w14:paraId="44E0E5DF" w14:textId="78B42E5F" w:rsidR="00F52E60" w:rsidRDefault="00CB1B74">
          <w:pPr>
            <w:pStyle w:val="TDC2"/>
            <w:rPr>
              <w:rFonts w:asciiTheme="minorHAnsi" w:eastAsiaTheme="minorEastAsia" w:hAnsiTheme="minorHAnsi" w:cstheme="minorBidi"/>
              <w:noProof/>
              <w:szCs w:val="22"/>
              <w:lang w:eastAsia="es-MX"/>
            </w:rPr>
          </w:pPr>
          <w:hyperlink w:anchor="_Toc184813866" w:history="1">
            <w:r w:rsidR="00F52E60" w:rsidRPr="00DC7EE7">
              <w:rPr>
                <w:rStyle w:val="Hipervnculo"/>
                <w:noProof/>
              </w:rPr>
              <w:t>DE LA SOLICITUD DE INFORMACIÓN</w:t>
            </w:r>
            <w:r w:rsidR="00F52E60">
              <w:rPr>
                <w:noProof/>
                <w:webHidden/>
              </w:rPr>
              <w:tab/>
            </w:r>
            <w:r w:rsidR="00F52E60">
              <w:rPr>
                <w:noProof/>
                <w:webHidden/>
              </w:rPr>
              <w:fldChar w:fldCharType="begin"/>
            </w:r>
            <w:r w:rsidR="00F52E60">
              <w:rPr>
                <w:noProof/>
                <w:webHidden/>
              </w:rPr>
              <w:instrText xml:space="preserve"> PAGEREF _Toc184813866 \h </w:instrText>
            </w:r>
            <w:r w:rsidR="00F52E60">
              <w:rPr>
                <w:noProof/>
                <w:webHidden/>
              </w:rPr>
            </w:r>
            <w:r w:rsidR="00F52E60">
              <w:rPr>
                <w:noProof/>
                <w:webHidden/>
              </w:rPr>
              <w:fldChar w:fldCharType="separate"/>
            </w:r>
            <w:r w:rsidR="00D46D69">
              <w:rPr>
                <w:noProof/>
                <w:webHidden/>
              </w:rPr>
              <w:t>1</w:t>
            </w:r>
            <w:r w:rsidR="00F52E60">
              <w:rPr>
                <w:noProof/>
                <w:webHidden/>
              </w:rPr>
              <w:fldChar w:fldCharType="end"/>
            </w:r>
          </w:hyperlink>
        </w:p>
        <w:p w14:paraId="02DF885D" w14:textId="60343139" w:rsidR="00F52E60" w:rsidRDefault="00CB1B74">
          <w:pPr>
            <w:pStyle w:val="TDC3"/>
            <w:rPr>
              <w:rFonts w:asciiTheme="minorHAnsi" w:eastAsiaTheme="minorEastAsia" w:hAnsiTheme="minorHAnsi" w:cstheme="minorBidi"/>
              <w:noProof/>
              <w:szCs w:val="22"/>
              <w:lang w:eastAsia="es-MX"/>
            </w:rPr>
          </w:pPr>
          <w:hyperlink w:anchor="_Toc184813867" w:history="1">
            <w:r w:rsidR="00F52E60" w:rsidRPr="00DC7EE7">
              <w:rPr>
                <w:rStyle w:val="Hipervnculo"/>
                <w:noProof/>
              </w:rPr>
              <w:t>a) Solicitud de información</w:t>
            </w:r>
            <w:r w:rsidR="00F52E60">
              <w:rPr>
                <w:noProof/>
                <w:webHidden/>
              </w:rPr>
              <w:tab/>
            </w:r>
            <w:r w:rsidR="00F52E60">
              <w:rPr>
                <w:noProof/>
                <w:webHidden/>
              </w:rPr>
              <w:fldChar w:fldCharType="begin"/>
            </w:r>
            <w:r w:rsidR="00F52E60">
              <w:rPr>
                <w:noProof/>
                <w:webHidden/>
              </w:rPr>
              <w:instrText xml:space="preserve"> PAGEREF _Toc184813867 \h </w:instrText>
            </w:r>
            <w:r w:rsidR="00F52E60">
              <w:rPr>
                <w:noProof/>
                <w:webHidden/>
              </w:rPr>
            </w:r>
            <w:r w:rsidR="00F52E60">
              <w:rPr>
                <w:noProof/>
                <w:webHidden/>
              </w:rPr>
              <w:fldChar w:fldCharType="separate"/>
            </w:r>
            <w:r w:rsidR="00D46D69">
              <w:rPr>
                <w:noProof/>
                <w:webHidden/>
              </w:rPr>
              <w:t>1</w:t>
            </w:r>
            <w:r w:rsidR="00F52E60">
              <w:rPr>
                <w:noProof/>
                <w:webHidden/>
              </w:rPr>
              <w:fldChar w:fldCharType="end"/>
            </w:r>
          </w:hyperlink>
        </w:p>
        <w:p w14:paraId="547EFDEC" w14:textId="19C2CDB3" w:rsidR="00F52E60" w:rsidRDefault="00CB1B74">
          <w:pPr>
            <w:pStyle w:val="TDC3"/>
            <w:rPr>
              <w:rFonts w:asciiTheme="minorHAnsi" w:eastAsiaTheme="minorEastAsia" w:hAnsiTheme="minorHAnsi" w:cstheme="minorBidi"/>
              <w:noProof/>
              <w:szCs w:val="22"/>
              <w:lang w:eastAsia="es-MX"/>
            </w:rPr>
          </w:pPr>
          <w:hyperlink w:anchor="_Toc184813868" w:history="1">
            <w:r w:rsidR="00F52E60" w:rsidRPr="00DC7EE7">
              <w:rPr>
                <w:rStyle w:val="Hipervnculo"/>
                <w:noProof/>
                <w:lang w:val="es-ES"/>
              </w:rPr>
              <w:t xml:space="preserve">b) Respuesta </w:t>
            </w:r>
            <w:r w:rsidR="00F52E60" w:rsidRPr="00DC7EE7">
              <w:rPr>
                <w:rStyle w:val="Hipervnculo"/>
                <w:rFonts w:eastAsia="Calibri"/>
                <w:noProof/>
                <w:lang w:eastAsia="en-US"/>
              </w:rPr>
              <w:t>del Sujeto Obligado</w:t>
            </w:r>
            <w:r w:rsidR="00F52E60">
              <w:rPr>
                <w:noProof/>
                <w:webHidden/>
              </w:rPr>
              <w:tab/>
            </w:r>
            <w:r w:rsidR="00F52E60">
              <w:rPr>
                <w:noProof/>
                <w:webHidden/>
              </w:rPr>
              <w:fldChar w:fldCharType="begin"/>
            </w:r>
            <w:r w:rsidR="00F52E60">
              <w:rPr>
                <w:noProof/>
                <w:webHidden/>
              </w:rPr>
              <w:instrText xml:space="preserve"> PAGEREF _Toc184813868 \h </w:instrText>
            </w:r>
            <w:r w:rsidR="00F52E60">
              <w:rPr>
                <w:noProof/>
                <w:webHidden/>
              </w:rPr>
            </w:r>
            <w:r w:rsidR="00F52E60">
              <w:rPr>
                <w:noProof/>
                <w:webHidden/>
              </w:rPr>
              <w:fldChar w:fldCharType="separate"/>
            </w:r>
            <w:r w:rsidR="00D46D69">
              <w:rPr>
                <w:noProof/>
                <w:webHidden/>
              </w:rPr>
              <w:t>2</w:t>
            </w:r>
            <w:r w:rsidR="00F52E60">
              <w:rPr>
                <w:noProof/>
                <w:webHidden/>
              </w:rPr>
              <w:fldChar w:fldCharType="end"/>
            </w:r>
          </w:hyperlink>
        </w:p>
        <w:p w14:paraId="26E03209" w14:textId="62480417" w:rsidR="00F52E60" w:rsidRDefault="00CB1B74">
          <w:pPr>
            <w:pStyle w:val="TDC2"/>
            <w:rPr>
              <w:rFonts w:asciiTheme="minorHAnsi" w:eastAsiaTheme="minorEastAsia" w:hAnsiTheme="minorHAnsi" w:cstheme="minorBidi"/>
              <w:noProof/>
              <w:szCs w:val="22"/>
              <w:lang w:eastAsia="es-MX"/>
            </w:rPr>
          </w:pPr>
          <w:hyperlink w:anchor="_Toc184813869" w:history="1">
            <w:r w:rsidR="00F52E60" w:rsidRPr="00DC7EE7">
              <w:rPr>
                <w:rStyle w:val="Hipervnculo"/>
                <w:noProof/>
              </w:rPr>
              <w:t>DEL RECURSO DE REVISIÓN</w:t>
            </w:r>
            <w:r w:rsidR="00F52E60">
              <w:rPr>
                <w:noProof/>
                <w:webHidden/>
              </w:rPr>
              <w:tab/>
            </w:r>
            <w:r w:rsidR="00F52E60">
              <w:rPr>
                <w:noProof/>
                <w:webHidden/>
              </w:rPr>
              <w:fldChar w:fldCharType="begin"/>
            </w:r>
            <w:r w:rsidR="00F52E60">
              <w:rPr>
                <w:noProof/>
                <w:webHidden/>
              </w:rPr>
              <w:instrText xml:space="preserve"> PAGEREF _Toc184813869 \h </w:instrText>
            </w:r>
            <w:r w:rsidR="00F52E60">
              <w:rPr>
                <w:noProof/>
                <w:webHidden/>
              </w:rPr>
            </w:r>
            <w:r w:rsidR="00F52E60">
              <w:rPr>
                <w:noProof/>
                <w:webHidden/>
              </w:rPr>
              <w:fldChar w:fldCharType="separate"/>
            </w:r>
            <w:r w:rsidR="00D46D69">
              <w:rPr>
                <w:noProof/>
                <w:webHidden/>
              </w:rPr>
              <w:t>3</w:t>
            </w:r>
            <w:r w:rsidR="00F52E60">
              <w:rPr>
                <w:noProof/>
                <w:webHidden/>
              </w:rPr>
              <w:fldChar w:fldCharType="end"/>
            </w:r>
          </w:hyperlink>
        </w:p>
        <w:p w14:paraId="01EC51F3" w14:textId="3C15B0B0" w:rsidR="00F52E60" w:rsidRDefault="00CB1B74">
          <w:pPr>
            <w:pStyle w:val="TDC3"/>
            <w:rPr>
              <w:rFonts w:asciiTheme="minorHAnsi" w:eastAsiaTheme="minorEastAsia" w:hAnsiTheme="minorHAnsi" w:cstheme="minorBidi"/>
              <w:noProof/>
              <w:szCs w:val="22"/>
              <w:lang w:eastAsia="es-MX"/>
            </w:rPr>
          </w:pPr>
          <w:hyperlink w:anchor="_Toc184813870" w:history="1">
            <w:r w:rsidR="00F52E60" w:rsidRPr="00DC7EE7">
              <w:rPr>
                <w:rStyle w:val="Hipervnculo"/>
                <w:noProof/>
              </w:rPr>
              <w:t>a) Interposición del Recurso de Revisión</w:t>
            </w:r>
            <w:r w:rsidR="00F52E60">
              <w:rPr>
                <w:noProof/>
                <w:webHidden/>
              </w:rPr>
              <w:tab/>
            </w:r>
            <w:r w:rsidR="00F52E60">
              <w:rPr>
                <w:noProof/>
                <w:webHidden/>
              </w:rPr>
              <w:fldChar w:fldCharType="begin"/>
            </w:r>
            <w:r w:rsidR="00F52E60">
              <w:rPr>
                <w:noProof/>
                <w:webHidden/>
              </w:rPr>
              <w:instrText xml:space="preserve"> PAGEREF _Toc184813870 \h </w:instrText>
            </w:r>
            <w:r w:rsidR="00F52E60">
              <w:rPr>
                <w:noProof/>
                <w:webHidden/>
              </w:rPr>
            </w:r>
            <w:r w:rsidR="00F52E60">
              <w:rPr>
                <w:noProof/>
                <w:webHidden/>
              </w:rPr>
              <w:fldChar w:fldCharType="separate"/>
            </w:r>
            <w:r w:rsidR="00D46D69">
              <w:rPr>
                <w:noProof/>
                <w:webHidden/>
              </w:rPr>
              <w:t>3</w:t>
            </w:r>
            <w:r w:rsidR="00F52E60">
              <w:rPr>
                <w:noProof/>
                <w:webHidden/>
              </w:rPr>
              <w:fldChar w:fldCharType="end"/>
            </w:r>
          </w:hyperlink>
        </w:p>
        <w:p w14:paraId="6210801D" w14:textId="41B2AF45" w:rsidR="00F52E60" w:rsidRDefault="00CB1B74">
          <w:pPr>
            <w:pStyle w:val="TDC3"/>
            <w:rPr>
              <w:rFonts w:asciiTheme="minorHAnsi" w:eastAsiaTheme="minorEastAsia" w:hAnsiTheme="minorHAnsi" w:cstheme="minorBidi"/>
              <w:noProof/>
              <w:szCs w:val="22"/>
              <w:lang w:eastAsia="es-MX"/>
            </w:rPr>
          </w:pPr>
          <w:hyperlink w:anchor="_Toc184813871" w:history="1">
            <w:r w:rsidR="00F52E60" w:rsidRPr="00DC7EE7">
              <w:rPr>
                <w:rStyle w:val="Hipervnculo"/>
                <w:noProof/>
              </w:rPr>
              <w:t>b) Turno del Recurso de Revisión</w:t>
            </w:r>
            <w:r w:rsidR="00F52E60">
              <w:rPr>
                <w:noProof/>
                <w:webHidden/>
              </w:rPr>
              <w:tab/>
            </w:r>
            <w:r w:rsidR="00F52E60">
              <w:rPr>
                <w:noProof/>
                <w:webHidden/>
              </w:rPr>
              <w:fldChar w:fldCharType="begin"/>
            </w:r>
            <w:r w:rsidR="00F52E60">
              <w:rPr>
                <w:noProof/>
                <w:webHidden/>
              </w:rPr>
              <w:instrText xml:space="preserve"> PAGEREF _Toc184813871 \h </w:instrText>
            </w:r>
            <w:r w:rsidR="00F52E60">
              <w:rPr>
                <w:noProof/>
                <w:webHidden/>
              </w:rPr>
            </w:r>
            <w:r w:rsidR="00F52E60">
              <w:rPr>
                <w:noProof/>
                <w:webHidden/>
              </w:rPr>
              <w:fldChar w:fldCharType="separate"/>
            </w:r>
            <w:r w:rsidR="00D46D69">
              <w:rPr>
                <w:noProof/>
                <w:webHidden/>
              </w:rPr>
              <w:t>4</w:t>
            </w:r>
            <w:r w:rsidR="00F52E60">
              <w:rPr>
                <w:noProof/>
                <w:webHidden/>
              </w:rPr>
              <w:fldChar w:fldCharType="end"/>
            </w:r>
          </w:hyperlink>
        </w:p>
        <w:p w14:paraId="2E0FB227" w14:textId="3DA43521" w:rsidR="00F52E60" w:rsidRDefault="00CB1B74">
          <w:pPr>
            <w:pStyle w:val="TDC3"/>
            <w:rPr>
              <w:rFonts w:asciiTheme="minorHAnsi" w:eastAsiaTheme="minorEastAsia" w:hAnsiTheme="minorHAnsi" w:cstheme="minorBidi"/>
              <w:noProof/>
              <w:szCs w:val="22"/>
              <w:lang w:eastAsia="es-MX"/>
            </w:rPr>
          </w:pPr>
          <w:hyperlink w:anchor="_Toc184813872" w:history="1">
            <w:r w:rsidR="00F52E60" w:rsidRPr="00DC7EE7">
              <w:rPr>
                <w:rStyle w:val="Hipervnculo"/>
                <w:noProof/>
              </w:rPr>
              <w:t>c) Admisión del Recurso de Revisión</w:t>
            </w:r>
            <w:r w:rsidR="00F52E60">
              <w:rPr>
                <w:noProof/>
                <w:webHidden/>
              </w:rPr>
              <w:tab/>
            </w:r>
            <w:r w:rsidR="00F52E60">
              <w:rPr>
                <w:noProof/>
                <w:webHidden/>
              </w:rPr>
              <w:fldChar w:fldCharType="begin"/>
            </w:r>
            <w:r w:rsidR="00F52E60">
              <w:rPr>
                <w:noProof/>
                <w:webHidden/>
              </w:rPr>
              <w:instrText xml:space="preserve"> PAGEREF _Toc184813872 \h </w:instrText>
            </w:r>
            <w:r w:rsidR="00F52E60">
              <w:rPr>
                <w:noProof/>
                <w:webHidden/>
              </w:rPr>
            </w:r>
            <w:r w:rsidR="00F52E60">
              <w:rPr>
                <w:noProof/>
                <w:webHidden/>
              </w:rPr>
              <w:fldChar w:fldCharType="separate"/>
            </w:r>
            <w:r w:rsidR="00D46D69">
              <w:rPr>
                <w:noProof/>
                <w:webHidden/>
              </w:rPr>
              <w:t>4</w:t>
            </w:r>
            <w:r w:rsidR="00F52E60">
              <w:rPr>
                <w:noProof/>
                <w:webHidden/>
              </w:rPr>
              <w:fldChar w:fldCharType="end"/>
            </w:r>
          </w:hyperlink>
        </w:p>
        <w:p w14:paraId="2B3255F0" w14:textId="1C991C40" w:rsidR="00F52E60" w:rsidRDefault="00CB1B74">
          <w:pPr>
            <w:pStyle w:val="TDC3"/>
            <w:rPr>
              <w:rFonts w:asciiTheme="minorHAnsi" w:eastAsiaTheme="minorEastAsia" w:hAnsiTheme="minorHAnsi" w:cstheme="minorBidi"/>
              <w:noProof/>
              <w:szCs w:val="22"/>
              <w:lang w:eastAsia="es-MX"/>
            </w:rPr>
          </w:pPr>
          <w:hyperlink w:anchor="_Toc184813873" w:history="1">
            <w:r w:rsidR="00F52E60" w:rsidRPr="00DC7EE7">
              <w:rPr>
                <w:rStyle w:val="Hipervnculo"/>
                <w:noProof/>
              </w:rPr>
              <w:t>d) Informe Justificado del Sujeto Obligado</w:t>
            </w:r>
            <w:r w:rsidR="00F52E60">
              <w:rPr>
                <w:noProof/>
                <w:webHidden/>
              </w:rPr>
              <w:tab/>
            </w:r>
            <w:r w:rsidR="00F52E60">
              <w:rPr>
                <w:noProof/>
                <w:webHidden/>
              </w:rPr>
              <w:fldChar w:fldCharType="begin"/>
            </w:r>
            <w:r w:rsidR="00F52E60">
              <w:rPr>
                <w:noProof/>
                <w:webHidden/>
              </w:rPr>
              <w:instrText xml:space="preserve"> PAGEREF _Toc184813873 \h </w:instrText>
            </w:r>
            <w:r w:rsidR="00F52E60">
              <w:rPr>
                <w:noProof/>
                <w:webHidden/>
              </w:rPr>
            </w:r>
            <w:r w:rsidR="00F52E60">
              <w:rPr>
                <w:noProof/>
                <w:webHidden/>
              </w:rPr>
              <w:fldChar w:fldCharType="separate"/>
            </w:r>
            <w:r w:rsidR="00D46D69">
              <w:rPr>
                <w:noProof/>
                <w:webHidden/>
              </w:rPr>
              <w:t>4</w:t>
            </w:r>
            <w:r w:rsidR="00F52E60">
              <w:rPr>
                <w:noProof/>
                <w:webHidden/>
              </w:rPr>
              <w:fldChar w:fldCharType="end"/>
            </w:r>
          </w:hyperlink>
        </w:p>
        <w:p w14:paraId="4517B4E0" w14:textId="3E27C21A" w:rsidR="00F52E60" w:rsidRDefault="00CB1B74">
          <w:pPr>
            <w:pStyle w:val="TDC3"/>
            <w:rPr>
              <w:rFonts w:asciiTheme="minorHAnsi" w:eastAsiaTheme="minorEastAsia" w:hAnsiTheme="minorHAnsi" w:cstheme="minorBidi"/>
              <w:noProof/>
              <w:szCs w:val="22"/>
              <w:lang w:eastAsia="es-MX"/>
            </w:rPr>
          </w:pPr>
          <w:hyperlink w:anchor="_Toc184813874" w:history="1">
            <w:r w:rsidR="00F52E60" w:rsidRPr="00DC7EE7">
              <w:rPr>
                <w:rStyle w:val="Hipervnculo"/>
                <w:rFonts w:eastAsia="Calibri"/>
                <w:bCs/>
                <w:noProof/>
                <w:lang w:eastAsia="en-US"/>
              </w:rPr>
              <w:t>e)</w:t>
            </w:r>
            <w:r w:rsidR="00F52E60" w:rsidRPr="00DC7EE7">
              <w:rPr>
                <w:rStyle w:val="Hipervnculo"/>
                <w:noProof/>
              </w:rPr>
              <w:t xml:space="preserve"> </w:t>
            </w:r>
            <w:r w:rsidR="00F52E60" w:rsidRPr="00DC7EE7">
              <w:rPr>
                <w:rStyle w:val="Hipervnculo"/>
                <w:noProof/>
                <w:lang w:val="es-ES"/>
              </w:rPr>
              <w:t>Manifestaciones de la Parte Recurrente</w:t>
            </w:r>
            <w:r w:rsidR="00F52E60">
              <w:rPr>
                <w:noProof/>
                <w:webHidden/>
              </w:rPr>
              <w:tab/>
            </w:r>
            <w:r w:rsidR="00F52E60">
              <w:rPr>
                <w:noProof/>
                <w:webHidden/>
              </w:rPr>
              <w:fldChar w:fldCharType="begin"/>
            </w:r>
            <w:r w:rsidR="00F52E60">
              <w:rPr>
                <w:noProof/>
                <w:webHidden/>
              </w:rPr>
              <w:instrText xml:space="preserve"> PAGEREF _Toc184813874 \h </w:instrText>
            </w:r>
            <w:r w:rsidR="00F52E60">
              <w:rPr>
                <w:noProof/>
                <w:webHidden/>
              </w:rPr>
            </w:r>
            <w:r w:rsidR="00F52E60">
              <w:rPr>
                <w:noProof/>
                <w:webHidden/>
              </w:rPr>
              <w:fldChar w:fldCharType="separate"/>
            </w:r>
            <w:r w:rsidR="00D46D69">
              <w:rPr>
                <w:noProof/>
                <w:webHidden/>
              </w:rPr>
              <w:t>5</w:t>
            </w:r>
            <w:r w:rsidR="00F52E60">
              <w:rPr>
                <w:noProof/>
                <w:webHidden/>
              </w:rPr>
              <w:fldChar w:fldCharType="end"/>
            </w:r>
          </w:hyperlink>
        </w:p>
        <w:p w14:paraId="3982C34D" w14:textId="023D7E3C" w:rsidR="00F52E60" w:rsidRDefault="00CB1B74">
          <w:pPr>
            <w:pStyle w:val="TDC3"/>
            <w:rPr>
              <w:rFonts w:asciiTheme="minorHAnsi" w:eastAsiaTheme="minorEastAsia" w:hAnsiTheme="minorHAnsi" w:cstheme="minorBidi"/>
              <w:noProof/>
              <w:szCs w:val="22"/>
              <w:lang w:eastAsia="es-MX"/>
            </w:rPr>
          </w:pPr>
          <w:hyperlink w:anchor="_Toc184813875" w:history="1">
            <w:r w:rsidR="00F52E60" w:rsidRPr="00DC7EE7">
              <w:rPr>
                <w:rStyle w:val="Hipervnculo"/>
                <w:noProof/>
              </w:rPr>
              <w:t>f) Cierre de instrucción</w:t>
            </w:r>
            <w:r w:rsidR="00F52E60">
              <w:rPr>
                <w:noProof/>
                <w:webHidden/>
              </w:rPr>
              <w:tab/>
            </w:r>
            <w:r w:rsidR="00F52E60">
              <w:rPr>
                <w:noProof/>
                <w:webHidden/>
              </w:rPr>
              <w:fldChar w:fldCharType="begin"/>
            </w:r>
            <w:r w:rsidR="00F52E60">
              <w:rPr>
                <w:noProof/>
                <w:webHidden/>
              </w:rPr>
              <w:instrText xml:space="preserve"> PAGEREF _Toc184813875 \h </w:instrText>
            </w:r>
            <w:r w:rsidR="00F52E60">
              <w:rPr>
                <w:noProof/>
                <w:webHidden/>
              </w:rPr>
            </w:r>
            <w:r w:rsidR="00F52E60">
              <w:rPr>
                <w:noProof/>
                <w:webHidden/>
              </w:rPr>
              <w:fldChar w:fldCharType="separate"/>
            </w:r>
            <w:r w:rsidR="00D46D69">
              <w:rPr>
                <w:noProof/>
                <w:webHidden/>
              </w:rPr>
              <w:t>5</w:t>
            </w:r>
            <w:r w:rsidR="00F52E60">
              <w:rPr>
                <w:noProof/>
                <w:webHidden/>
              </w:rPr>
              <w:fldChar w:fldCharType="end"/>
            </w:r>
          </w:hyperlink>
        </w:p>
        <w:p w14:paraId="688B3737" w14:textId="242FFB94" w:rsidR="00F52E60" w:rsidRDefault="00CB1B74">
          <w:pPr>
            <w:pStyle w:val="TDC1"/>
            <w:tabs>
              <w:tab w:val="right" w:leader="dot" w:pos="9034"/>
            </w:tabs>
            <w:rPr>
              <w:rFonts w:asciiTheme="minorHAnsi" w:eastAsiaTheme="minorEastAsia" w:hAnsiTheme="minorHAnsi" w:cstheme="minorBidi"/>
              <w:noProof/>
              <w:szCs w:val="22"/>
              <w:lang w:eastAsia="es-MX"/>
            </w:rPr>
          </w:pPr>
          <w:hyperlink w:anchor="_Toc184813876" w:history="1">
            <w:r w:rsidR="00F52E60" w:rsidRPr="00DC7EE7">
              <w:rPr>
                <w:rStyle w:val="Hipervnculo"/>
                <w:rFonts w:eastAsiaTheme="minorHAnsi"/>
                <w:noProof/>
                <w:lang w:eastAsia="en-US"/>
              </w:rPr>
              <w:t>CONSIDERANDOS</w:t>
            </w:r>
            <w:r w:rsidR="00F52E60">
              <w:rPr>
                <w:noProof/>
                <w:webHidden/>
              </w:rPr>
              <w:tab/>
            </w:r>
            <w:r w:rsidR="00F52E60">
              <w:rPr>
                <w:noProof/>
                <w:webHidden/>
              </w:rPr>
              <w:fldChar w:fldCharType="begin"/>
            </w:r>
            <w:r w:rsidR="00F52E60">
              <w:rPr>
                <w:noProof/>
                <w:webHidden/>
              </w:rPr>
              <w:instrText xml:space="preserve"> PAGEREF _Toc184813876 \h </w:instrText>
            </w:r>
            <w:r w:rsidR="00F52E60">
              <w:rPr>
                <w:noProof/>
                <w:webHidden/>
              </w:rPr>
            </w:r>
            <w:r w:rsidR="00F52E60">
              <w:rPr>
                <w:noProof/>
                <w:webHidden/>
              </w:rPr>
              <w:fldChar w:fldCharType="separate"/>
            </w:r>
            <w:r w:rsidR="00D46D69">
              <w:rPr>
                <w:noProof/>
                <w:webHidden/>
              </w:rPr>
              <w:t>6</w:t>
            </w:r>
            <w:r w:rsidR="00F52E60">
              <w:rPr>
                <w:noProof/>
                <w:webHidden/>
              </w:rPr>
              <w:fldChar w:fldCharType="end"/>
            </w:r>
          </w:hyperlink>
        </w:p>
        <w:p w14:paraId="3FD21571" w14:textId="3C017459" w:rsidR="00F52E60" w:rsidRDefault="00CB1B74">
          <w:pPr>
            <w:pStyle w:val="TDC2"/>
            <w:rPr>
              <w:rFonts w:asciiTheme="minorHAnsi" w:eastAsiaTheme="minorEastAsia" w:hAnsiTheme="minorHAnsi" w:cstheme="minorBidi"/>
              <w:noProof/>
              <w:szCs w:val="22"/>
              <w:lang w:eastAsia="es-MX"/>
            </w:rPr>
          </w:pPr>
          <w:hyperlink w:anchor="_Toc184813877" w:history="1">
            <w:r w:rsidR="00F52E60" w:rsidRPr="00DC7EE7">
              <w:rPr>
                <w:rStyle w:val="Hipervnculo"/>
                <w:rFonts w:eastAsia="Batang"/>
                <w:noProof/>
              </w:rPr>
              <w:t>PRIMERO. Procedibilidad</w:t>
            </w:r>
            <w:r w:rsidR="00F52E60">
              <w:rPr>
                <w:noProof/>
                <w:webHidden/>
              </w:rPr>
              <w:tab/>
            </w:r>
            <w:r w:rsidR="00F52E60">
              <w:rPr>
                <w:noProof/>
                <w:webHidden/>
              </w:rPr>
              <w:fldChar w:fldCharType="begin"/>
            </w:r>
            <w:r w:rsidR="00F52E60">
              <w:rPr>
                <w:noProof/>
                <w:webHidden/>
              </w:rPr>
              <w:instrText xml:space="preserve"> PAGEREF _Toc184813877 \h </w:instrText>
            </w:r>
            <w:r w:rsidR="00F52E60">
              <w:rPr>
                <w:noProof/>
                <w:webHidden/>
              </w:rPr>
            </w:r>
            <w:r w:rsidR="00F52E60">
              <w:rPr>
                <w:noProof/>
                <w:webHidden/>
              </w:rPr>
              <w:fldChar w:fldCharType="separate"/>
            </w:r>
            <w:r w:rsidR="00D46D69">
              <w:rPr>
                <w:noProof/>
                <w:webHidden/>
              </w:rPr>
              <w:t>6</w:t>
            </w:r>
            <w:r w:rsidR="00F52E60">
              <w:rPr>
                <w:noProof/>
                <w:webHidden/>
              </w:rPr>
              <w:fldChar w:fldCharType="end"/>
            </w:r>
          </w:hyperlink>
        </w:p>
        <w:p w14:paraId="798D6F6E" w14:textId="6A9A0EE2" w:rsidR="00F52E60" w:rsidRDefault="00CB1B74">
          <w:pPr>
            <w:pStyle w:val="TDC3"/>
            <w:rPr>
              <w:rFonts w:asciiTheme="minorHAnsi" w:eastAsiaTheme="minorEastAsia" w:hAnsiTheme="minorHAnsi" w:cstheme="minorBidi"/>
              <w:noProof/>
              <w:szCs w:val="22"/>
              <w:lang w:eastAsia="es-MX"/>
            </w:rPr>
          </w:pPr>
          <w:hyperlink w:anchor="_Toc184813878" w:history="1">
            <w:r w:rsidR="00F52E60" w:rsidRPr="00DC7EE7">
              <w:rPr>
                <w:rStyle w:val="Hipervnculo"/>
                <w:noProof/>
              </w:rPr>
              <w:t>a) Competencia del Instituto</w:t>
            </w:r>
            <w:r w:rsidR="00F52E60">
              <w:rPr>
                <w:noProof/>
                <w:webHidden/>
              </w:rPr>
              <w:tab/>
            </w:r>
            <w:r w:rsidR="00F52E60">
              <w:rPr>
                <w:noProof/>
                <w:webHidden/>
              </w:rPr>
              <w:fldChar w:fldCharType="begin"/>
            </w:r>
            <w:r w:rsidR="00F52E60">
              <w:rPr>
                <w:noProof/>
                <w:webHidden/>
              </w:rPr>
              <w:instrText xml:space="preserve"> PAGEREF _Toc184813878 \h </w:instrText>
            </w:r>
            <w:r w:rsidR="00F52E60">
              <w:rPr>
                <w:noProof/>
                <w:webHidden/>
              </w:rPr>
            </w:r>
            <w:r w:rsidR="00F52E60">
              <w:rPr>
                <w:noProof/>
                <w:webHidden/>
              </w:rPr>
              <w:fldChar w:fldCharType="separate"/>
            </w:r>
            <w:r w:rsidR="00D46D69">
              <w:rPr>
                <w:noProof/>
                <w:webHidden/>
              </w:rPr>
              <w:t>6</w:t>
            </w:r>
            <w:r w:rsidR="00F52E60">
              <w:rPr>
                <w:noProof/>
                <w:webHidden/>
              </w:rPr>
              <w:fldChar w:fldCharType="end"/>
            </w:r>
          </w:hyperlink>
        </w:p>
        <w:p w14:paraId="41F8D7EE" w14:textId="15B58060" w:rsidR="00F52E60" w:rsidRDefault="00CB1B74">
          <w:pPr>
            <w:pStyle w:val="TDC3"/>
            <w:rPr>
              <w:rFonts w:asciiTheme="minorHAnsi" w:eastAsiaTheme="minorEastAsia" w:hAnsiTheme="minorHAnsi" w:cstheme="minorBidi"/>
              <w:noProof/>
              <w:szCs w:val="22"/>
              <w:lang w:eastAsia="es-MX"/>
            </w:rPr>
          </w:pPr>
          <w:hyperlink w:anchor="_Toc184813879" w:history="1">
            <w:r w:rsidR="00F52E60" w:rsidRPr="00DC7EE7">
              <w:rPr>
                <w:rStyle w:val="Hipervnculo"/>
                <w:noProof/>
              </w:rPr>
              <w:t>b) Legitimidad de la parte recurrente</w:t>
            </w:r>
            <w:r w:rsidR="00F52E60">
              <w:rPr>
                <w:noProof/>
                <w:webHidden/>
              </w:rPr>
              <w:tab/>
            </w:r>
            <w:r w:rsidR="00F52E60">
              <w:rPr>
                <w:noProof/>
                <w:webHidden/>
              </w:rPr>
              <w:fldChar w:fldCharType="begin"/>
            </w:r>
            <w:r w:rsidR="00F52E60">
              <w:rPr>
                <w:noProof/>
                <w:webHidden/>
              </w:rPr>
              <w:instrText xml:space="preserve"> PAGEREF _Toc184813879 \h </w:instrText>
            </w:r>
            <w:r w:rsidR="00F52E60">
              <w:rPr>
                <w:noProof/>
                <w:webHidden/>
              </w:rPr>
            </w:r>
            <w:r w:rsidR="00F52E60">
              <w:rPr>
                <w:noProof/>
                <w:webHidden/>
              </w:rPr>
              <w:fldChar w:fldCharType="separate"/>
            </w:r>
            <w:r w:rsidR="00D46D69">
              <w:rPr>
                <w:noProof/>
                <w:webHidden/>
              </w:rPr>
              <w:t>6</w:t>
            </w:r>
            <w:r w:rsidR="00F52E60">
              <w:rPr>
                <w:noProof/>
                <w:webHidden/>
              </w:rPr>
              <w:fldChar w:fldCharType="end"/>
            </w:r>
          </w:hyperlink>
        </w:p>
        <w:p w14:paraId="0280A0CD" w14:textId="3D7C9F00" w:rsidR="00F52E60" w:rsidRDefault="00CB1B74">
          <w:pPr>
            <w:pStyle w:val="TDC3"/>
            <w:rPr>
              <w:rFonts w:asciiTheme="minorHAnsi" w:eastAsiaTheme="minorEastAsia" w:hAnsiTheme="minorHAnsi" w:cstheme="minorBidi"/>
              <w:noProof/>
              <w:szCs w:val="22"/>
              <w:lang w:eastAsia="es-MX"/>
            </w:rPr>
          </w:pPr>
          <w:hyperlink w:anchor="_Toc184813880" w:history="1">
            <w:r w:rsidR="00F52E60" w:rsidRPr="00DC7EE7">
              <w:rPr>
                <w:rStyle w:val="Hipervnculo"/>
                <w:rFonts w:eastAsia="Calibri"/>
                <w:noProof/>
                <w:lang w:eastAsia="es-ES_tradnl"/>
              </w:rPr>
              <w:t>c) Plazo para interponer el recurso</w:t>
            </w:r>
            <w:r w:rsidR="00F52E60">
              <w:rPr>
                <w:noProof/>
                <w:webHidden/>
              </w:rPr>
              <w:tab/>
            </w:r>
            <w:r w:rsidR="00F52E60">
              <w:rPr>
                <w:noProof/>
                <w:webHidden/>
              </w:rPr>
              <w:fldChar w:fldCharType="begin"/>
            </w:r>
            <w:r w:rsidR="00F52E60">
              <w:rPr>
                <w:noProof/>
                <w:webHidden/>
              </w:rPr>
              <w:instrText xml:space="preserve"> PAGEREF _Toc184813880 \h </w:instrText>
            </w:r>
            <w:r w:rsidR="00F52E60">
              <w:rPr>
                <w:noProof/>
                <w:webHidden/>
              </w:rPr>
            </w:r>
            <w:r w:rsidR="00F52E60">
              <w:rPr>
                <w:noProof/>
                <w:webHidden/>
              </w:rPr>
              <w:fldChar w:fldCharType="separate"/>
            </w:r>
            <w:r w:rsidR="00D46D69">
              <w:rPr>
                <w:noProof/>
                <w:webHidden/>
              </w:rPr>
              <w:t>7</w:t>
            </w:r>
            <w:r w:rsidR="00F52E60">
              <w:rPr>
                <w:noProof/>
                <w:webHidden/>
              </w:rPr>
              <w:fldChar w:fldCharType="end"/>
            </w:r>
          </w:hyperlink>
        </w:p>
        <w:p w14:paraId="1BA59C0F" w14:textId="5B96753B" w:rsidR="00F52E60" w:rsidRDefault="00CB1B74">
          <w:pPr>
            <w:pStyle w:val="TDC3"/>
            <w:rPr>
              <w:rFonts w:asciiTheme="minorHAnsi" w:eastAsiaTheme="minorEastAsia" w:hAnsiTheme="minorHAnsi" w:cstheme="minorBidi"/>
              <w:noProof/>
              <w:szCs w:val="22"/>
              <w:lang w:eastAsia="es-MX"/>
            </w:rPr>
          </w:pPr>
          <w:hyperlink w:anchor="_Toc184813881" w:history="1">
            <w:r w:rsidR="00F52E60" w:rsidRPr="00DC7EE7">
              <w:rPr>
                <w:rStyle w:val="Hipervnculo"/>
                <w:rFonts w:eastAsia="Calibri"/>
                <w:noProof/>
                <w:lang w:eastAsia="es-ES_tradnl"/>
              </w:rPr>
              <w:t>d) Causal de procedencia.</w:t>
            </w:r>
            <w:r w:rsidR="00F52E60">
              <w:rPr>
                <w:noProof/>
                <w:webHidden/>
              </w:rPr>
              <w:tab/>
            </w:r>
            <w:r w:rsidR="00F52E60">
              <w:rPr>
                <w:noProof/>
                <w:webHidden/>
              </w:rPr>
              <w:fldChar w:fldCharType="begin"/>
            </w:r>
            <w:r w:rsidR="00F52E60">
              <w:rPr>
                <w:noProof/>
                <w:webHidden/>
              </w:rPr>
              <w:instrText xml:space="preserve"> PAGEREF _Toc184813881 \h </w:instrText>
            </w:r>
            <w:r w:rsidR="00F52E60">
              <w:rPr>
                <w:noProof/>
                <w:webHidden/>
              </w:rPr>
            </w:r>
            <w:r w:rsidR="00F52E60">
              <w:rPr>
                <w:noProof/>
                <w:webHidden/>
              </w:rPr>
              <w:fldChar w:fldCharType="separate"/>
            </w:r>
            <w:r w:rsidR="00D46D69">
              <w:rPr>
                <w:noProof/>
                <w:webHidden/>
              </w:rPr>
              <w:t>7</w:t>
            </w:r>
            <w:r w:rsidR="00F52E60">
              <w:rPr>
                <w:noProof/>
                <w:webHidden/>
              </w:rPr>
              <w:fldChar w:fldCharType="end"/>
            </w:r>
          </w:hyperlink>
        </w:p>
        <w:p w14:paraId="3B60BF26" w14:textId="3AA87423" w:rsidR="00F52E60" w:rsidRDefault="00CB1B74">
          <w:pPr>
            <w:pStyle w:val="TDC3"/>
            <w:rPr>
              <w:rFonts w:asciiTheme="minorHAnsi" w:eastAsiaTheme="minorEastAsia" w:hAnsiTheme="minorHAnsi" w:cstheme="minorBidi"/>
              <w:noProof/>
              <w:szCs w:val="22"/>
              <w:lang w:eastAsia="es-MX"/>
            </w:rPr>
          </w:pPr>
          <w:hyperlink w:anchor="_Toc184813882" w:history="1">
            <w:r w:rsidR="00F52E60" w:rsidRPr="00DC7EE7">
              <w:rPr>
                <w:rStyle w:val="Hipervnculo"/>
                <w:noProof/>
              </w:rPr>
              <w:t>e) Requisitos formales para la interposición del recurso</w:t>
            </w:r>
            <w:r w:rsidR="00F52E60">
              <w:rPr>
                <w:noProof/>
                <w:webHidden/>
              </w:rPr>
              <w:tab/>
            </w:r>
            <w:r w:rsidR="00F52E60">
              <w:rPr>
                <w:noProof/>
                <w:webHidden/>
              </w:rPr>
              <w:fldChar w:fldCharType="begin"/>
            </w:r>
            <w:r w:rsidR="00F52E60">
              <w:rPr>
                <w:noProof/>
                <w:webHidden/>
              </w:rPr>
              <w:instrText xml:space="preserve"> PAGEREF _Toc184813882 \h </w:instrText>
            </w:r>
            <w:r w:rsidR="00F52E60">
              <w:rPr>
                <w:noProof/>
                <w:webHidden/>
              </w:rPr>
            </w:r>
            <w:r w:rsidR="00F52E60">
              <w:rPr>
                <w:noProof/>
                <w:webHidden/>
              </w:rPr>
              <w:fldChar w:fldCharType="separate"/>
            </w:r>
            <w:r w:rsidR="00D46D69">
              <w:rPr>
                <w:noProof/>
                <w:webHidden/>
              </w:rPr>
              <w:t>7</w:t>
            </w:r>
            <w:r w:rsidR="00F52E60">
              <w:rPr>
                <w:noProof/>
                <w:webHidden/>
              </w:rPr>
              <w:fldChar w:fldCharType="end"/>
            </w:r>
          </w:hyperlink>
        </w:p>
        <w:p w14:paraId="0991DB2A" w14:textId="2D64F99C" w:rsidR="00F52E60" w:rsidRDefault="00CB1B74">
          <w:pPr>
            <w:pStyle w:val="TDC2"/>
            <w:rPr>
              <w:rFonts w:asciiTheme="minorHAnsi" w:eastAsiaTheme="minorEastAsia" w:hAnsiTheme="minorHAnsi" w:cstheme="minorBidi"/>
              <w:noProof/>
              <w:szCs w:val="22"/>
              <w:lang w:eastAsia="es-MX"/>
            </w:rPr>
          </w:pPr>
          <w:hyperlink w:anchor="_Toc184813883" w:history="1">
            <w:r w:rsidR="00F52E60" w:rsidRPr="00DC7EE7">
              <w:rPr>
                <w:rStyle w:val="Hipervnculo"/>
                <w:noProof/>
              </w:rPr>
              <w:t>SEGUNDO. Estudio de Fondo</w:t>
            </w:r>
            <w:r w:rsidR="00F52E60">
              <w:rPr>
                <w:noProof/>
                <w:webHidden/>
              </w:rPr>
              <w:tab/>
            </w:r>
            <w:r w:rsidR="00F52E60">
              <w:rPr>
                <w:noProof/>
                <w:webHidden/>
              </w:rPr>
              <w:fldChar w:fldCharType="begin"/>
            </w:r>
            <w:r w:rsidR="00F52E60">
              <w:rPr>
                <w:noProof/>
                <w:webHidden/>
              </w:rPr>
              <w:instrText xml:space="preserve"> PAGEREF _Toc184813883 \h </w:instrText>
            </w:r>
            <w:r w:rsidR="00F52E60">
              <w:rPr>
                <w:noProof/>
                <w:webHidden/>
              </w:rPr>
            </w:r>
            <w:r w:rsidR="00F52E60">
              <w:rPr>
                <w:noProof/>
                <w:webHidden/>
              </w:rPr>
              <w:fldChar w:fldCharType="separate"/>
            </w:r>
            <w:r w:rsidR="00D46D69">
              <w:rPr>
                <w:noProof/>
                <w:webHidden/>
              </w:rPr>
              <w:t>7</w:t>
            </w:r>
            <w:r w:rsidR="00F52E60">
              <w:rPr>
                <w:noProof/>
                <w:webHidden/>
              </w:rPr>
              <w:fldChar w:fldCharType="end"/>
            </w:r>
          </w:hyperlink>
        </w:p>
        <w:p w14:paraId="3B91A33D" w14:textId="1F04893D" w:rsidR="00F52E60" w:rsidRDefault="00CB1B74">
          <w:pPr>
            <w:pStyle w:val="TDC3"/>
            <w:rPr>
              <w:rFonts w:asciiTheme="minorHAnsi" w:eastAsiaTheme="minorEastAsia" w:hAnsiTheme="minorHAnsi" w:cstheme="minorBidi"/>
              <w:noProof/>
              <w:szCs w:val="22"/>
              <w:lang w:eastAsia="es-MX"/>
            </w:rPr>
          </w:pPr>
          <w:hyperlink w:anchor="_Toc184813884" w:history="1">
            <w:r w:rsidR="00F52E60" w:rsidRPr="00DC7EE7">
              <w:rPr>
                <w:rStyle w:val="Hipervnculo"/>
                <w:noProof/>
              </w:rPr>
              <w:t>a) Mandato de transparencia y responsabilidad del Sujeto Obligado</w:t>
            </w:r>
            <w:r w:rsidR="00F52E60">
              <w:rPr>
                <w:noProof/>
                <w:webHidden/>
              </w:rPr>
              <w:tab/>
            </w:r>
            <w:r w:rsidR="00F52E60">
              <w:rPr>
                <w:noProof/>
                <w:webHidden/>
              </w:rPr>
              <w:fldChar w:fldCharType="begin"/>
            </w:r>
            <w:r w:rsidR="00F52E60">
              <w:rPr>
                <w:noProof/>
                <w:webHidden/>
              </w:rPr>
              <w:instrText xml:space="preserve"> PAGEREF _Toc184813884 \h </w:instrText>
            </w:r>
            <w:r w:rsidR="00F52E60">
              <w:rPr>
                <w:noProof/>
                <w:webHidden/>
              </w:rPr>
            </w:r>
            <w:r w:rsidR="00F52E60">
              <w:rPr>
                <w:noProof/>
                <w:webHidden/>
              </w:rPr>
              <w:fldChar w:fldCharType="separate"/>
            </w:r>
            <w:r w:rsidR="00D46D69">
              <w:rPr>
                <w:noProof/>
                <w:webHidden/>
              </w:rPr>
              <w:t>7</w:t>
            </w:r>
            <w:r w:rsidR="00F52E60">
              <w:rPr>
                <w:noProof/>
                <w:webHidden/>
              </w:rPr>
              <w:fldChar w:fldCharType="end"/>
            </w:r>
          </w:hyperlink>
        </w:p>
        <w:p w14:paraId="5D3031DA" w14:textId="1268DA33" w:rsidR="00F52E60" w:rsidRDefault="00CB1B74">
          <w:pPr>
            <w:pStyle w:val="TDC3"/>
            <w:rPr>
              <w:rFonts w:asciiTheme="minorHAnsi" w:eastAsiaTheme="minorEastAsia" w:hAnsiTheme="minorHAnsi" w:cstheme="minorBidi"/>
              <w:noProof/>
              <w:szCs w:val="22"/>
              <w:lang w:eastAsia="es-MX"/>
            </w:rPr>
          </w:pPr>
          <w:hyperlink w:anchor="_Toc184813885" w:history="1">
            <w:r w:rsidR="00F52E60" w:rsidRPr="00DC7EE7">
              <w:rPr>
                <w:rStyle w:val="Hipervnculo"/>
                <w:rFonts w:eastAsia="Calibri"/>
                <w:noProof/>
                <w:lang w:eastAsia="es-ES_tradnl"/>
              </w:rPr>
              <w:t>b) Controversia a resolver</w:t>
            </w:r>
            <w:r w:rsidR="00F52E60">
              <w:rPr>
                <w:noProof/>
                <w:webHidden/>
              </w:rPr>
              <w:tab/>
            </w:r>
            <w:r w:rsidR="00F52E60">
              <w:rPr>
                <w:noProof/>
                <w:webHidden/>
              </w:rPr>
              <w:fldChar w:fldCharType="begin"/>
            </w:r>
            <w:r w:rsidR="00F52E60">
              <w:rPr>
                <w:noProof/>
                <w:webHidden/>
              </w:rPr>
              <w:instrText xml:space="preserve"> PAGEREF _Toc184813885 \h </w:instrText>
            </w:r>
            <w:r w:rsidR="00F52E60">
              <w:rPr>
                <w:noProof/>
                <w:webHidden/>
              </w:rPr>
            </w:r>
            <w:r w:rsidR="00F52E60">
              <w:rPr>
                <w:noProof/>
                <w:webHidden/>
              </w:rPr>
              <w:fldChar w:fldCharType="separate"/>
            </w:r>
            <w:r w:rsidR="00D46D69">
              <w:rPr>
                <w:noProof/>
                <w:webHidden/>
              </w:rPr>
              <w:t>10</w:t>
            </w:r>
            <w:r w:rsidR="00F52E60">
              <w:rPr>
                <w:noProof/>
                <w:webHidden/>
              </w:rPr>
              <w:fldChar w:fldCharType="end"/>
            </w:r>
          </w:hyperlink>
        </w:p>
        <w:p w14:paraId="1CF5581B" w14:textId="2BF782AE" w:rsidR="00F52E60" w:rsidRDefault="00CB1B74">
          <w:pPr>
            <w:pStyle w:val="TDC3"/>
            <w:rPr>
              <w:rFonts w:asciiTheme="minorHAnsi" w:eastAsiaTheme="minorEastAsia" w:hAnsiTheme="minorHAnsi" w:cstheme="minorBidi"/>
              <w:noProof/>
              <w:szCs w:val="22"/>
              <w:lang w:eastAsia="es-MX"/>
            </w:rPr>
          </w:pPr>
          <w:hyperlink w:anchor="_Toc184813886" w:history="1">
            <w:r w:rsidR="00F52E60" w:rsidRPr="00DC7EE7">
              <w:rPr>
                <w:rStyle w:val="Hipervnculo"/>
                <w:noProof/>
              </w:rPr>
              <w:t>c) Estudio de la controversia</w:t>
            </w:r>
            <w:r w:rsidR="00F52E60">
              <w:rPr>
                <w:noProof/>
                <w:webHidden/>
              </w:rPr>
              <w:tab/>
            </w:r>
            <w:r w:rsidR="00F52E60">
              <w:rPr>
                <w:noProof/>
                <w:webHidden/>
              </w:rPr>
              <w:fldChar w:fldCharType="begin"/>
            </w:r>
            <w:r w:rsidR="00F52E60">
              <w:rPr>
                <w:noProof/>
                <w:webHidden/>
              </w:rPr>
              <w:instrText xml:space="preserve"> PAGEREF _Toc184813886 \h </w:instrText>
            </w:r>
            <w:r w:rsidR="00F52E60">
              <w:rPr>
                <w:noProof/>
                <w:webHidden/>
              </w:rPr>
            </w:r>
            <w:r w:rsidR="00F52E60">
              <w:rPr>
                <w:noProof/>
                <w:webHidden/>
              </w:rPr>
              <w:fldChar w:fldCharType="separate"/>
            </w:r>
            <w:r w:rsidR="00D46D69">
              <w:rPr>
                <w:noProof/>
                <w:webHidden/>
              </w:rPr>
              <w:t>11</w:t>
            </w:r>
            <w:r w:rsidR="00F52E60">
              <w:rPr>
                <w:noProof/>
                <w:webHidden/>
              </w:rPr>
              <w:fldChar w:fldCharType="end"/>
            </w:r>
          </w:hyperlink>
        </w:p>
        <w:p w14:paraId="0B41CA78" w14:textId="2928144D" w:rsidR="00F52E60" w:rsidRDefault="00CB1B74">
          <w:pPr>
            <w:pStyle w:val="TDC3"/>
            <w:rPr>
              <w:rFonts w:asciiTheme="minorHAnsi" w:eastAsiaTheme="minorEastAsia" w:hAnsiTheme="minorHAnsi" w:cstheme="minorBidi"/>
              <w:noProof/>
              <w:szCs w:val="22"/>
              <w:lang w:eastAsia="es-MX"/>
            </w:rPr>
          </w:pPr>
          <w:hyperlink w:anchor="_Toc184813887" w:history="1">
            <w:r w:rsidR="00F52E60" w:rsidRPr="00DC7EE7">
              <w:rPr>
                <w:rStyle w:val="Hipervnculo"/>
                <w:noProof/>
              </w:rPr>
              <w:t>d) Conclusión</w:t>
            </w:r>
            <w:r w:rsidR="00F52E60">
              <w:rPr>
                <w:noProof/>
                <w:webHidden/>
              </w:rPr>
              <w:tab/>
            </w:r>
            <w:r w:rsidR="00F52E60">
              <w:rPr>
                <w:noProof/>
                <w:webHidden/>
              </w:rPr>
              <w:fldChar w:fldCharType="begin"/>
            </w:r>
            <w:r w:rsidR="00F52E60">
              <w:rPr>
                <w:noProof/>
                <w:webHidden/>
              </w:rPr>
              <w:instrText xml:space="preserve"> PAGEREF _Toc184813887 \h </w:instrText>
            </w:r>
            <w:r w:rsidR="00F52E60">
              <w:rPr>
                <w:noProof/>
                <w:webHidden/>
              </w:rPr>
            </w:r>
            <w:r w:rsidR="00F52E60">
              <w:rPr>
                <w:noProof/>
                <w:webHidden/>
              </w:rPr>
              <w:fldChar w:fldCharType="separate"/>
            </w:r>
            <w:r w:rsidR="00D46D69">
              <w:rPr>
                <w:noProof/>
                <w:webHidden/>
              </w:rPr>
              <w:t>21</w:t>
            </w:r>
            <w:r w:rsidR="00F52E60">
              <w:rPr>
                <w:noProof/>
                <w:webHidden/>
              </w:rPr>
              <w:fldChar w:fldCharType="end"/>
            </w:r>
          </w:hyperlink>
        </w:p>
        <w:p w14:paraId="76011C15" w14:textId="6B8EFF16" w:rsidR="00F52E60" w:rsidRDefault="00CB1B74">
          <w:pPr>
            <w:pStyle w:val="TDC1"/>
            <w:tabs>
              <w:tab w:val="right" w:leader="dot" w:pos="9034"/>
            </w:tabs>
            <w:rPr>
              <w:rFonts w:asciiTheme="minorHAnsi" w:eastAsiaTheme="minorEastAsia" w:hAnsiTheme="minorHAnsi" w:cstheme="minorBidi"/>
              <w:noProof/>
              <w:szCs w:val="22"/>
              <w:lang w:eastAsia="es-MX"/>
            </w:rPr>
          </w:pPr>
          <w:hyperlink w:anchor="_Toc184813888" w:history="1">
            <w:r w:rsidR="00F52E60" w:rsidRPr="00DC7EE7">
              <w:rPr>
                <w:rStyle w:val="Hipervnculo"/>
                <w:noProof/>
              </w:rPr>
              <w:t>RESUELVE</w:t>
            </w:r>
            <w:r w:rsidR="00F52E60">
              <w:rPr>
                <w:noProof/>
                <w:webHidden/>
              </w:rPr>
              <w:tab/>
            </w:r>
            <w:r w:rsidR="00F52E60">
              <w:rPr>
                <w:noProof/>
                <w:webHidden/>
              </w:rPr>
              <w:fldChar w:fldCharType="begin"/>
            </w:r>
            <w:r w:rsidR="00F52E60">
              <w:rPr>
                <w:noProof/>
                <w:webHidden/>
              </w:rPr>
              <w:instrText xml:space="preserve"> PAGEREF _Toc184813888 \h </w:instrText>
            </w:r>
            <w:r w:rsidR="00F52E60">
              <w:rPr>
                <w:noProof/>
                <w:webHidden/>
              </w:rPr>
            </w:r>
            <w:r w:rsidR="00F52E60">
              <w:rPr>
                <w:noProof/>
                <w:webHidden/>
              </w:rPr>
              <w:fldChar w:fldCharType="separate"/>
            </w:r>
            <w:r w:rsidR="00D46D69">
              <w:rPr>
                <w:noProof/>
                <w:webHidden/>
              </w:rPr>
              <w:t>21</w:t>
            </w:r>
            <w:r w:rsidR="00F52E60">
              <w:rPr>
                <w:noProof/>
                <w:webHidden/>
              </w:rPr>
              <w:fldChar w:fldCharType="end"/>
            </w:r>
          </w:hyperlink>
        </w:p>
        <w:p w14:paraId="0C82FD7A" w14:textId="6E1B4831" w:rsidR="009B2945" w:rsidRPr="00E5690F" w:rsidRDefault="00AE3DA7" w:rsidP="00E5690F">
          <w:pPr>
            <w:spacing w:line="240" w:lineRule="auto"/>
            <w:rPr>
              <w:b/>
              <w:bCs/>
              <w:lang w:val="es-ES"/>
            </w:rPr>
          </w:pPr>
          <w:r w:rsidRPr="00E5690F">
            <w:rPr>
              <w:b/>
              <w:bCs/>
              <w:sz w:val="16"/>
              <w:szCs w:val="16"/>
              <w:lang w:val="es-ES"/>
            </w:rPr>
            <w:fldChar w:fldCharType="end"/>
          </w:r>
        </w:p>
      </w:sdtContent>
    </w:sdt>
    <w:p w14:paraId="603A07E2" w14:textId="77777777" w:rsidR="00646436" w:rsidRPr="00E5690F" w:rsidRDefault="00646436" w:rsidP="00E5690F">
      <w:pPr>
        <w:rPr>
          <w:rFonts w:cs="Tahoma"/>
          <w:szCs w:val="22"/>
        </w:rPr>
        <w:sectPr w:rsidR="00646436" w:rsidRPr="00E5690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14CF531" w:rsidR="00775BFC" w:rsidRPr="00E5690F" w:rsidRDefault="00775BFC" w:rsidP="00E5690F">
      <w:pPr>
        <w:rPr>
          <w:b/>
        </w:rPr>
      </w:pPr>
      <w:r w:rsidRPr="00E5690F">
        <w:lastRenderedPageBreak/>
        <w:t xml:space="preserve">Resolución del Pleno del Instituto de Transparencia, Acceso a la Información Pública y Protección de Datos Personales del Estado de México y Municipios, con domicilio en Metepec, Estado de México, de </w:t>
      </w:r>
      <w:r w:rsidR="00D532A6" w:rsidRPr="00E5690F">
        <w:rPr>
          <w:b/>
        </w:rPr>
        <w:t xml:space="preserve">once de diciembre </w:t>
      </w:r>
      <w:r w:rsidR="00E85A73" w:rsidRPr="00E5690F">
        <w:rPr>
          <w:b/>
        </w:rPr>
        <w:t>de dos mil veinticuatro</w:t>
      </w:r>
      <w:r w:rsidR="004D2924" w:rsidRPr="00E5690F">
        <w:rPr>
          <w:b/>
        </w:rPr>
        <w:t>.</w:t>
      </w:r>
    </w:p>
    <w:p w14:paraId="0AF3AAC4" w14:textId="77777777" w:rsidR="00775BFC" w:rsidRPr="00E5690F" w:rsidRDefault="00775BFC" w:rsidP="00E5690F"/>
    <w:p w14:paraId="40EAE038" w14:textId="54413D64" w:rsidR="00775BFC" w:rsidRPr="00E5690F" w:rsidRDefault="00775BFC" w:rsidP="00E5690F">
      <w:r w:rsidRPr="00E5690F">
        <w:rPr>
          <w:b/>
        </w:rPr>
        <w:t xml:space="preserve">VISTO </w:t>
      </w:r>
      <w:r w:rsidRPr="00E5690F">
        <w:t xml:space="preserve">el expediente formado con motivo del Recurso de Revisión </w:t>
      </w:r>
      <w:r w:rsidR="00D532A6" w:rsidRPr="00E5690F">
        <w:rPr>
          <w:rFonts w:eastAsia="Calibri"/>
          <w:b/>
          <w:lang w:eastAsia="en-US"/>
        </w:rPr>
        <w:t>07172/INFOEM/IP/RR/2024</w:t>
      </w:r>
      <w:r w:rsidR="00E85A73" w:rsidRPr="00E5690F">
        <w:rPr>
          <w:rFonts w:eastAsia="Calibri"/>
          <w:b/>
          <w:lang w:eastAsia="en-US"/>
        </w:rPr>
        <w:t xml:space="preserve"> </w:t>
      </w:r>
      <w:r w:rsidRPr="00E5690F">
        <w:t xml:space="preserve">interpuesto </w:t>
      </w:r>
      <w:r w:rsidR="00A91BC5" w:rsidRPr="00E5690F">
        <w:t xml:space="preserve">por </w:t>
      </w:r>
      <w:r w:rsidR="00004858">
        <w:rPr>
          <w:b/>
        </w:rPr>
        <w:t xml:space="preserve">XXXXXX </w:t>
      </w:r>
      <w:proofErr w:type="spellStart"/>
      <w:r w:rsidR="00004858">
        <w:rPr>
          <w:b/>
        </w:rPr>
        <w:t>XXXXXX</w:t>
      </w:r>
      <w:proofErr w:type="spellEnd"/>
      <w:r w:rsidR="00004858">
        <w:rPr>
          <w:b/>
        </w:rPr>
        <w:t xml:space="preserve"> XXXXXXXX</w:t>
      </w:r>
      <w:r w:rsidRPr="00E5690F">
        <w:t xml:space="preserve">, a quien en lo subsecuente se le denominará </w:t>
      </w:r>
      <w:r w:rsidRPr="00E5690F">
        <w:rPr>
          <w:b/>
          <w:bCs/>
        </w:rPr>
        <w:t>LA PARTE RECURRENTE</w:t>
      </w:r>
      <w:r w:rsidRPr="00E5690F">
        <w:t>, en contra de la respuesta emitida por</w:t>
      </w:r>
      <w:r w:rsidR="00D532A6" w:rsidRPr="00E5690F">
        <w:t xml:space="preserve"> el</w:t>
      </w:r>
      <w:r w:rsidRPr="00E5690F">
        <w:t xml:space="preserve"> </w:t>
      </w:r>
      <w:r w:rsidR="00D532A6" w:rsidRPr="00E5690F">
        <w:rPr>
          <w:b/>
          <w:bCs/>
        </w:rPr>
        <w:t>Sindicato Único de Trabajadores de Los Poderes, Municipios E Instituciones Descentralizadas del Estado de México</w:t>
      </w:r>
      <w:r w:rsidRPr="00E5690F">
        <w:t xml:space="preserve">, en adelante </w:t>
      </w:r>
      <w:r w:rsidRPr="00E5690F">
        <w:rPr>
          <w:b/>
          <w:bCs/>
        </w:rPr>
        <w:t>EL SUJETO OBLIGADO</w:t>
      </w:r>
      <w:r w:rsidRPr="00E5690F">
        <w:rPr>
          <w:rFonts w:eastAsia="Calibri"/>
          <w:lang w:eastAsia="en-US"/>
        </w:rPr>
        <w:t xml:space="preserve">, </w:t>
      </w:r>
      <w:r w:rsidRPr="00E5690F">
        <w:t>se emite la presente Resolución con base en los Antecedentes y Considerandos que se exponen a continuación:</w:t>
      </w:r>
    </w:p>
    <w:p w14:paraId="2116968C" w14:textId="77777777" w:rsidR="00775BFC" w:rsidRPr="00E5690F" w:rsidRDefault="00775BFC" w:rsidP="00E5690F"/>
    <w:p w14:paraId="5A444FB6" w14:textId="639D3567" w:rsidR="00664420" w:rsidRPr="00E5690F" w:rsidRDefault="00664420" w:rsidP="00E5690F">
      <w:pPr>
        <w:pStyle w:val="Ttulo1"/>
      </w:pPr>
      <w:bookmarkStart w:id="2" w:name="_Toc184813865"/>
      <w:r w:rsidRPr="00E5690F">
        <w:t>ANTECEDENTES</w:t>
      </w:r>
      <w:bookmarkEnd w:id="2"/>
    </w:p>
    <w:p w14:paraId="5CB5034E" w14:textId="77777777" w:rsidR="00AC2DB8" w:rsidRPr="00E5690F" w:rsidRDefault="00AC2DB8" w:rsidP="00E5690F"/>
    <w:p w14:paraId="09B2D38F" w14:textId="6E49D146" w:rsidR="00664420" w:rsidRPr="00E5690F" w:rsidRDefault="00E37A3F" w:rsidP="00E5690F">
      <w:pPr>
        <w:pStyle w:val="Ttulo2"/>
      </w:pPr>
      <w:bookmarkStart w:id="3" w:name="_Toc184813866"/>
      <w:r w:rsidRPr="00E5690F">
        <w:t>DE LA SOLICITUD DE INFORMACIÓN</w:t>
      </w:r>
      <w:bookmarkEnd w:id="3"/>
    </w:p>
    <w:p w14:paraId="2C6AD1A5" w14:textId="0405B3CD" w:rsidR="00664420" w:rsidRPr="00E5690F" w:rsidRDefault="00E37A3F" w:rsidP="00E5690F">
      <w:pPr>
        <w:pStyle w:val="Ttulo3"/>
      </w:pPr>
      <w:bookmarkStart w:id="4" w:name="_Toc184813867"/>
      <w:r w:rsidRPr="00E5690F">
        <w:t xml:space="preserve">a) </w:t>
      </w:r>
      <w:r w:rsidR="006B10B0" w:rsidRPr="00E5690F">
        <w:t>S</w:t>
      </w:r>
      <w:r w:rsidR="00664420" w:rsidRPr="00E5690F">
        <w:t xml:space="preserve">olicitud de </w:t>
      </w:r>
      <w:r w:rsidR="006B10B0" w:rsidRPr="00E5690F">
        <w:t>i</w:t>
      </w:r>
      <w:r w:rsidR="00664420" w:rsidRPr="00E5690F">
        <w:t>nformación</w:t>
      </w:r>
      <w:bookmarkEnd w:id="4"/>
    </w:p>
    <w:p w14:paraId="06DCD29D" w14:textId="097056E8" w:rsidR="009A2D78" w:rsidRPr="00E5690F" w:rsidRDefault="006B10B0" w:rsidP="00E5690F">
      <w:pPr>
        <w:pStyle w:val="Prrafodelista"/>
        <w:tabs>
          <w:tab w:val="left" w:pos="0"/>
        </w:tabs>
        <w:ind w:left="0"/>
        <w:contextualSpacing w:val="0"/>
        <w:rPr>
          <w:rFonts w:cs="Tahoma"/>
        </w:rPr>
      </w:pPr>
      <w:r w:rsidRPr="00E5690F">
        <w:rPr>
          <w:rFonts w:cs="Tahoma"/>
        </w:rPr>
        <w:t>El</w:t>
      </w:r>
      <w:r w:rsidR="00664420" w:rsidRPr="00E5690F">
        <w:rPr>
          <w:rFonts w:cs="Tahoma"/>
        </w:rPr>
        <w:t xml:space="preserve"> </w:t>
      </w:r>
      <w:r w:rsidR="00D532A6" w:rsidRPr="00E5690F">
        <w:rPr>
          <w:rFonts w:cs="Tahoma"/>
          <w:b/>
          <w:bCs/>
        </w:rPr>
        <w:t>veintiocho de octubre</w:t>
      </w:r>
      <w:r w:rsidR="00E85A73" w:rsidRPr="00E5690F">
        <w:rPr>
          <w:rFonts w:cs="Tahoma"/>
          <w:b/>
          <w:bCs/>
        </w:rPr>
        <w:t xml:space="preserve"> de dos mil veinticuatro</w:t>
      </w:r>
      <w:r w:rsidR="00664420" w:rsidRPr="00E5690F">
        <w:rPr>
          <w:rFonts w:cs="Tahoma"/>
        </w:rPr>
        <w:t xml:space="preserve">, </w:t>
      </w:r>
      <w:r w:rsidRPr="00E5690F">
        <w:rPr>
          <w:b/>
          <w:bCs/>
        </w:rPr>
        <w:t>LA PARTE RECURRENTE</w:t>
      </w:r>
      <w:r w:rsidR="00664420" w:rsidRPr="00E5690F">
        <w:rPr>
          <w:rFonts w:cs="Tahoma"/>
        </w:rPr>
        <w:t xml:space="preserve"> presentó una solicitud de acceso a la información pública </w:t>
      </w:r>
      <w:r w:rsidR="001F3515" w:rsidRPr="00E5690F">
        <w:rPr>
          <w:rFonts w:cs="Tahoma"/>
        </w:rPr>
        <w:t xml:space="preserve">ante el </w:t>
      </w:r>
      <w:r w:rsidR="001F3515" w:rsidRPr="00E5690F">
        <w:rPr>
          <w:rFonts w:cs="Tahoma"/>
          <w:b/>
          <w:bCs/>
        </w:rPr>
        <w:t>SUJETO OBLIGADO</w:t>
      </w:r>
      <w:r w:rsidR="001F3515" w:rsidRPr="00E5690F">
        <w:rPr>
          <w:rFonts w:cs="Tahoma"/>
        </w:rPr>
        <w:t xml:space="preserve">, </w:t>
      </w:r>
      <w:r w:rsidR="00E85A73" w:rsidRPr="00E5690F">
        <w:rPr>
          <w:rFonts w:cs="Tahoma"/>
        </w:rPr>
        <w:t xml:space="preserve">a través </w:t>
      </w:r>
      <w:r w:rsidRPr="00E5690F">
        <w:rPr>
          <w:rFonts w:cs="Tahoma"/>
        </w:rPr>
        <w:t>de</w:t>
      </w:r>
      <w:r w:rsidR="009565E8" w:rsidRPr="00E5690F">
        <w:rPr>
          <w:rFonts w:cs="Tahoma"/>
        </w:rPr>
        <w:t>l</w:t>
      </w:r>
      <w:r w:rsidRPr="00E5690F">
        <w:rPr>
          <w:rFonts w:cs="Tahoma"/>
        </w:rPr>
        <w:t xml:space="preserve"> Sistema de Acceso a la Información Mexiquense</w:t>
      </w:r>
      <w:r w:rsidR="009A2D78" w:rsidRPr="00E5690F">
        <w:rPr>
          <w:rFonts w:cs="Tahoma"/>
        </w:rPr>
        <w:t xml:space="preserve"> (</w:t>
      </w:r>
      <w:r w:rsidRPr="00E5690F">
        <w:rPr>
          <w:rFonts w:cs="Tahoma"/>
          <w:b/>
        </w:rPr>
        <w:t>SAIMEX</w:t>
      </w:r>
      <w:r w:rsidR="009A2D78" w:rsidRPr="00E5690F">
        <w:rPr>
          <w:rFonts w:cs="Tahoma"/>
        </w:rPr>
        <w:t>). Dicha solicitud quedó</w:t>
      </w:r>
      <w:r w:rsidRPr="00E5690F">
        <w:rPr>
          <w:rFonts w:cs="Tahoma"/>
        </w:rPr>
        <w:t xml:space="preserve"> registrada c</w:t>
      </w:r>
      <w:r w:rsidR="00664420" w:rsidRPr="00E5690F">
        <w:rPr>
          <w:rFonts w:cs="Tahoma"/>
        </w:rPr>
        <w:t>on el número de folio</w:t>
      </w:r>
      <w:r w:rsidR="00664420" w:rsidRPr="00E5690F">
        <w:rPr>
          <w:rFonts w:cs="Tahoma"/>
          <w:b/>
          <w:bCs/>
        </w:rPr>
        <w:t xml:space="preserve"> </w:t>
      </w:r>
      <w:r w:rsidR="00D532A6" w:rsidRPr="00E5690F">
        <w:rPr>
          <w:rFonts w:cs="Tahoma"/>
          <w:b/>
          <w:bCs/>
        </w:rPr>
        <w:t>00186/SUTEYM/IP/2024</w:t>
      </w:r>
      <w:r w:rsidR="00307D18" w:rsidRPr="00E5690F">
        <w:rPr>
          <w:rFonts w:cs="Tahoma"/>
          <w:b/>
          <w:bCs/>
        </w:rPr>
        <w:t xml:space="preserve"> </w:t>
      </w:r>
      <w:r w:rsidR="002A3601" w:rsidRPr="00E5690F">
        <w:rPr>
          <w:rFonts w:cs="Tahoma"/>
        </w:rPr>
        <w:t xml:space="preserve"> y en ella </w:t>
      </w:r>
      <w:r w:rsidR="009A2D78" w:rsidRPr="00E5690F">
        <w:rPr>
          <w:rFonts w:cs="Tahoma"/>
        </w:rPr>
        <w:t>se requirió la siguiente información:</w:t>
      </w:r>
    </w:p>
    <w:p w14:paraId="0459D6AC" w14:textId="77777777" w:rsidR="00664420" w:rsidRPr="00E5690F" w:rsidRDefault="00664420" w:rsidP="00E5690F">
      <w:pPr>
        <w:tabs>
          <w:tab w:val="left" w:pos="4667"/>
        </w:tabs>
        <w:ind w:left="567" w:right="567"/>
        <w:rPr>
          <w:rFonts w:cs="Tahoma"/>
          <w:b/>
          <w:bCs/>
        </w:rPr>
      </w:pPr>
    </w:p>
    <w:p w14:paraId="179FB369" w14:textId="4C3EF27A" w:rsidR="00664420" w:rsidRPr="00E5690F" w:rsidRDefault="009565E8" w:rsidP="00E5690F">
      <w:pPr>
        <w:pStyle w:val="Puesto"/>
      </w:pPr>
      <w:r w:rsidRPr="00E5690F">
        <w:t>“</w:t>
      </w:r>
      <w:r w:rsidR="00D532A6" w:rsidRPr="00E5690F">
        <w:t xml:space="preserve">Requiero del Secretario General y del Presidente de la Comisión de Vigilancia, un informe en el que se funde y motive </w:t>
      </w:r>
      <w:proofErr w:type="spellStart"/>
      <w:r w:rsidR="00D532A6" w:rsidRPr="00E5690F">
        <w:t>el porque</w:t>
      </w:r>
      <w:proofErr w:type="spellEnd"/>
      <w:r w:rsidR="00D532A6" w:rsidRPr="00E5690F">
        <w:t xml:space="preserve"> el Secretario de Finanzas suple al Secretario General de la Sección Toluca, siendo que este no cuenta con las atribuciones establecidas en el </w:t>
      </w:r>
      <w:r w:rsidR="00D532A6" w:rsidRPr="00E5690F">
        <w:lastRenderedPageBreak/>
        <w:t xml:space="preserve">estatuto interno de la organización sindical. Ello en razón de que el secretario de finanzas </w:t>
      </w:r>
      <w:bookmarkStart w:id="5" w:name="_GoBack"/>
      <w:r w:rsidR="00D532A6" w:rsidRPr="00E5690F">
        <w:t xml:space="preserve">Alejandro Jiménez </w:t>
      </w:r>
      <w:bookmarkEnd w:id="5"/>
      <w:r w:rsidR="00D532A6" w:rsidRPr="00E5690F">
        <w:t>se ha presentado ante la autoridad municipal como Secretario General exigiendo negociar nuevas plazas sindicales.</w:t>
      </w:r>
      <w:r w:rsidRPr="00E5690F">
        <w:t>”</w:t>
      </w:r>
    </w:p>
    <w:p w14:paraId="64B27DE3" w14:textId="77777777" w:rsidR="00664420" w:rsidRPr="00E5690F" w:rsidRDefault="00664420" w:rsidP="00E5690F">
      <w:pPr>
        <w:tabs>
          <w:tab w:val="left" w:pos="4667"/>
        </w:tabs>
        <w:ind w:left="567" w:right="567"/>
        <w:rPr>
          <w:rFonts w:cs="Tahoma"/>
          <w:bCs/>
          <w:i/>
          <w:szCs w:val="22"/>
        </w:rPr>
      </w:pPr>
    </w:p>
    <w:p w14:paraId="0BD6321D" w14:textId="0EC6F607" w:rsidR="00664420" w:rsidRPr="00E5690F" w:rsidRDefault="009A2D78" w:rsidP="00E5690F">
      <w:pPr>
        <w:tabs>
          <w:tab w:val="left" w:pos="4667"/>
        </w:tabs>
        <w:ind w:left="567" w:right="567"/>
        <w:rPr>
          <w:rFonts w:cs="Tahoma"/>
          <w:b/>
          <w:bCs/>
          <w:szCs w:val="22"/>
        </w:rPr>
      </w:pPr>
      <w:r w:rsidRPr="00E5690F">
        <w:rPr>
          <w:rFonts w:cs="Tahoma"/>
          <w:b/>
          <w:bCs/>
          <w:szCs w:val="22"/>
        </w:rPr>
        <w:t>Modalidad de entrega</w:t>
      </w:r>
      <w:r w:rsidRPr="00E5690F">
        <w:rPr>
          <w:rFonts w:cs="Tahoma"/>
          <w:bCs/>
          <w:szCs w:val="22"/>
        </w:rPr>
        <w:t xml:space="preserve">: </w:t>
      </w:r>
      <w:r w:rsidR="004D2924" w:rsidRPr="00E5690F">
        <w:rPr>
          <w:rFonts w:cs="Tahoma"/>
          <w:bCs/>
          <w:szCs w:val="22"/>
        </w:rPr>
        <w:t xml:space="preserve">Vía </w:t>
      </w:r>
      <w:r w:rsidR="004D2924" w:rsidRPr="00E5690F">
        <w:rPr>
          <w:rFonts w:cs="Tahoma"/>
          <w:b/>
          <w:bCs/>
          <w:szCs w:val="22"/>
        </w:rPr>
        <w:t xml:space="preserve">SAIMEX. </w:t>
      </w:r>
    </w:p>
    <w:p w14:paraId="4F0D4859" w14:textId="77777777" w:rsidR="00BF467D" w:rsidRPr="00E5690F" w:rsidRDefault="00BF467D" w:rsidP="00E5690F">
      <w:pPr>
        <w:rPr>
          <w:lang w:val="es-ES"/>
        </w:rPr>
      </w:pPr>
    </w:p>
    <w:p w14:paraId="3212BA4D" w14:textId="5BABE7A0" w:rsidR="00664420" w:rsidRPr="00E5690F" w:rsidRDefault="00E07D18" w:rsidP="00E5690F">
      <w:pPr>
        <w:pStyle w:val="Ttulo3"/>
        <w:rPr>
          <w:rFonts w:eastAsia="Calibri"/>
          <w:lang w:eastAsia="en-US"/>
        </w:rPr>
      </w:pPr>
      <w:bookmarkStart w:id="6" w:name="_Toc184813868"/>
      <w:r w:rsidRPr="00E5690F">
        <w:rPr>
          <w:lang w:val="es-ES"/>
        </w:rPr>
        <w:t>b</w:t>
      </w:r>
      <w:r w:rsidR="00E37A3F" w:rsidRPr="00E5690F">
        <w:rPr>
          <w:lang w:val="es-ES"/>
        </w:rPr>
        <w:t xml:space="preserve">) </w:t>
      </w:r>
      <w:r w:rsidR="00664420" w:rsidRPr="00E5690F">
        <w:rPr>
          <w:lang w:val="es-ES"/>
        </w:rPr>
        <w:t xml:space="preserve">Respuesta </w:t>
      </w:r>
      <w:r w:rsidR="00664420" w:rsidRPr="00E5690F">
        <w:rPr>
          <w:rFonts w:eastAsia="Calibri"/>
          <w:lang w:eastAsia="en-US"/>
        </w:rPr>
        <w:t>del Sujeto Obligado</w:t>
      </w:r>
      <w:bookmarkEnd w:id="6"/>
    </w:p>
    <w:p w14:paraId="79199CC1" w14:textId="6E02827E" w:rsidR="00664420" w:rsidRPr="00E5690F" w:rsidRDefault="00664420" w:rsidP="00E5690F">
      <w:pPr>
        <w:pStyle w:val="Sinespaciado"/>
        <w:spacing w:line="360" w:lineRule="auto"/>
        <w:rPr>
          <w:lang w:val="es-ES"/>
        </w:rPr>
      </w:pPr>
      <w:r w:rsidRPr="00E5690F">
        <w:rPr>
          <w:lang w:val="es-ES"/>
        </w:rPr>
        <w:t xml:space="preserve">El </w:t>
      </w:r>
      <w:r w:rsidR="00E07D18" w:rsidRPr="00E5690F">
        <w:rPr>
          <w:b/>
          <w:bCs/>
          <w:lang w:val="es-ES"/>
        </w:rPr>
        <w:t>seis de noviembre</w:t>
      </w:r>
      <w:r w:rsidR="00773AD0" w:rsidRPr="00E5690F">
        <w:rPr>
          <w:b/>
          <w:bCs/>
          <w:lang w:val="es-ES"/>
        </w:rPr>
        <w:t xml:space="preserve"> de dos mil veinticuatro</w:t>
      </w:r>
      <w:r w:rsidRPr="00E5690F">
        <w:rPr>
          <w:lang w:val="es-ES"/>
        </w:rPr>
        <w:t xml:space="preserve"> </w:t>
      </w:r>
      <w:r w:rsidR="00F07EE6" w:rsidRPr="00E5690F">
        <w:rPr>
          <w:lang w:val="es-ES"/>
        </w:rPr>
        <w:t xml:space="preserve">el Titular de la Unidad de Transparencia del </w:t>
      </w:r>
      <w:r w:rsidR="00F07EE6" w:rsidRPr="00E5690F">
        <w:rPr>
          <w:b/>
          <w:lang w:val="es-ES"/>
        </w:rPr>
        <w:t>SUJETO OBLIGADO</w:t>
      </w:r>
      <w:r w:rsidR="00F07EE6" w:rsidRPr="00E5690F">
        <w:rPr>
          <w:lang w:val="es-ES"/>
        </w:rPr>
        <w:t xml:space="preserve"> notificó la siguiente respuesta a través del </w:t>
      </w:r>
      <w:r w:rsidRPr="00E5690F">
        <w:rPr>
          <w:lang w:val="es-ES"/>
        </w:rPr>
        <w:t>SAIMEX</w:t>
      </w:r>
      <w:r w:rsidR="00F07EE6" w:rsidRPr="00E5690F">
        <w:rPr>
          <w:lang w:val="es-ES"/>
        </w:rPr>
        <w:t>:</w:t>
      </w:r>
    </w:p>
    <w:p w14:paraId="669F7EFD" w14:textId="77777777" w:rsidR="00664420" w:rsidRPr="00E5690F" w:rsidRDefault="00664420" w:rsidP="00E5690F">
      <w:pPr>
        <w:tabs>
          <w:tab w:val="left" w:pos="4667"/>
        </w:tabs>
        <w:ind w:left="567" w:right="567"/>
        <w:rPr>
          <w:rFonts w:cs="Tahoma"/>
          <w:b/>
          <w:bCs/>
        </w:rPr>
      </w:pPr>
    </w:p>
    <w:p w14:paraId="3C8485B8" w14:textId="77777777" w:rsidR="00E07D18" w:rsidRPr="00E5690F" w:rsidRDefault="00E07D18" w:rsidP="00E5690F">
      <w:pPr>
        <w:pStyle w:val="Puesto"/>
      </w:pPr>
      <w:r w:rsidRPr="00E5690F">
        <w:t>Por este medio me permito dar respuesta a su solicitud de información número 00186/SUTEYM/IP/2024 de fecha 28 de octubre del 2024, con fundamento en los artículos 1, 2, 3 fracción XLIV, 4, 12, 16, 23 fracción IX, 24 fracción XI y último párrafo, 50, 51, y 53 fracciones II, IV, V y VI de la Ley de Transparencia y Acceso a la Información Pública del Estado de México y Municipios.</w:t>
      </w:r>
    </w:p>
    <w:p w14:paraId="430ABA89" w14:textId="77777777" w:rsidR="00E07D18" w:rsidRPr="00E5690F" w:rsidRDefault="00E07D18" w:rsidP="00E5690F">
      <w:pPr>
        <w:pStyle w:val="Puesto"/>
      </w:pPr>
      <w:r w:rsidRPr="00E5690F">
        <w:t>ATENTAMENTE</w:t>
      </w:r>
    </w:p>
    <w:p w14:paraId="5D11024C" w14:textId="0DA2F9AE" w:rsidR="00664420" w:rsidRPr="00E5690F" w:rsidRDefault="00E07D18" w:rsidP="00E5690F">
      <w:pPr>
        <w:pStyle w:val="Puesto"/>
      </w:pPr>
      <w:r w:rsidRPr="00E5690F">
        <w:t>L.A.E. JORGE ARMANDO CERDA CUENCA</w:t>
      </w:r>
    </w:p>
    <w:p w14:paraId="7FE019C6" w14:textId="77777777" w:rsidR="00475248" w:rsidRPr="00E5690F" w:rsidRDefault="00475248" w:rsidP="00E5690F">
      <w:pPr>
        <w:autoSpaceDE w:val="0"/>
        <w:autoSpaceDN w:val="0"/>
        <w:adjustRightInd w:val="0"/>
        <w:ind w:right="-28"/>
        <w:rPr>
          <w:rFonts w:cs="Tahoma"/>
          <w:bCs/>
          <w:szCs w:val="22"/>
        </w:rPr>
      </w:pPr>
    </w:p>
    <w:p w14:paraId="70920289" w14:textId="6F844C3A" w:rsidR="00664420" w:rsidRPr="00E5690F" w:rsidRDefault="00F07EE6" w:rsidP="00E5690F">
      <w:pPr>
        <w:autoSpaceDE w:val="0"/>
        <w:autoSpaceDN w:val="0"/>
        <w:adjustRightInd w:val="0"/>
        <w:ind w:right="-28"/>
        <w:rPr>
          <w:rFonts w:cs="Tahoma"/>
          <w:bCs/>
          <w:szCs w:val="22"/>
          <w:lang w:val="es-ES"/>
        </w:rPr>
      </w:pPr>
      <w:r w:rsidRPr="00E5690F">
        <w:rPr>
          <w:rFonts w:cs="Tahoma"/>
          <w:bCs/>
          <w:szCs w:val="22"/>
          <w:lang w:val="es-ES"/>
        </w:rPr>
        <w:t xml:space="preserve">Asimismo, </w:t>
      </w:r>
      <w:r w:rsidRPr="00E5690F">
        <w:rPr>
          <w:rFonts w:cs="Tahoma"/>
          <w:b/>
          <w:szCs w:val="22"/>
          <w:lang w:val="es-ES"/>
        </w:rPr>
        <w:t xml:space="preserve">EL SUJETO OBLIGADO </w:t>
      </w:r>
      <w:r w:rsidRPr="00E5690F">
        <w:rPr>
          <w:rFonts w:cs="Tahoma"/>
          <w:bCs/>
          <w:szCs w:val="22"/>
          <w:lang w:val="es-ES"/>
        </w:rPr>
        <w:t xml:space="preserve">adjuntó a su respuesta </w:t>
      </w:r>
      <w:r w:rsidR="00A91BC5" w:rsidRPr="00E5690F">
        <w:rPr>
          <w:rFonts w:cs="Tahoma"/>
          <w:bCs/>
          <w:szCs w:val="22"/>
          <w:lang w:val="es-ES"/>
        </w:rPr>
        <w:t>los documentos</w:t>
      </w:r>
      <w:r w:rsidRPr="00E5690F">
        <w:rPr>
          <w:rFonts w:cs="Tahoma"/>
          <w:bCs/>
          <w:szCs w:val="22"/>
          <w:lang w:val="es-ES"/>
        </w:rPr>
        <w:t xml:space="preserve"> que se describen a continuación</w:t>
      </w:r>
      <w:r w:rsidR="00664420" w:rsidRPr="00E5690F">
        <w:rPr>
          <w:rFonts w:cs="Tahoma"/>
          <w:bCs/>
          <w:szCs w:val="22"/>
          <w:lang w:val="es-ES"/>
        </w:rPr>
        <w:t>:</w:t>
      </w:r>
    </w:p>
    <w:p w14:paraId="2C78354F" w14:textId="77777777" w:rsidR="00664420" w:rsidRPr="00E5690F" w:rsidRDefault="00664420" w:rsidP="00E5690F">
      <w:pPr>
        <w:autoSpaceDE w:val="0"/>
        <w:autoSpaceDN w:val="0"/>
        <w:adjustRightInd w:val="0"/>
        <w:ind w:right="-28"/>
        <w:rPr>
          <w:rFonts w:cs="Tahoma"/>
          <w:bCs/>
          <w:szCs w:val="22"/>
          <w:lang w:val="es-ES"/>
        </w:rPr>
      </w:pPr>
    </w:p>
    <w:p w14:paraId="18890BFD" w14:textId="4065FCF1" w:rsidR="00DE1133" w:rsidRPr="00E5690F" w:rsidRDefault="00E07D18" w:rsidP="00E5690F">
      <w:pPr>
        <w:pStyle w:val="Prrafodelista"/>
        <w:numPr>
          <w:ilvl w:val="0"/>
          <w:numId w:val="16"/>
        </w:numPr>
        <w:autoSpaceDE w:val="0"/>
        <w:autoSpaceDN w:val="0"/>
        <w:adjustRightInd w:val="0"/>
        <w:ind w:right="-28"/>
        <w:rPr>
          <w:rFonts w:cs="Tahoma"/>
          <w:b/>
          <w:bCs/>
          <w:szCs w:val="22"/>
          <w:lang w:val="es-ES"/>
        </w:rPr>
      </w:pPr>
      <w:r w:rsidRPr="00E5690F">
        <w:rPr>
          <w:rFonts w:cs="Tahoma"/>
          <w:b/>
          <w:bCs/>
          <w:szCs w:val="22"/>
          <w:lang w:val="es-ES"/>
        </w:rPr>
        <w:t>RESPUESTA 186.pdf</w:t>
      </w:r>
      <w:r w:rsidR="00475248" w:rsidRPr="00E5690F">
        <w:rPr>
          <w:rFonts w:cs="Tahoma"/>
          <w:b/>
          <w:bCs/>
          <w:szCs w:val="22"/>
          <w:lang w:val="es-ES"/>
        </w:rPr>
        <w:t xml:space="preserve">: </w:t>
      </w:r>
      <w:r w:rsidRPr="00E5690F">
        <w:rPr>
          <w:rFonts w:cs="Tahoma"/>
          <w:bCs/>
          <w:szCs w:val="22"/>
          <w:lang w:val="es-ES"/>
        </w:rPr>
        <w:t xml:space="preserve">Documento signado por el Titular de la Unidad de Transparencia, en donde medularmente expresa que, con base a la información proporcionada por el Secretario General Seccional del Municipio de Toluca, se adjunta la respuesta a la solicitud de información. Por otro lado se refiere que, la Secretaría General y la Subsecretaría no genera información referente a informes de actividades </w:t>
      </w:r>
      <w:r w:rsidRPr="00E5690F">
        <w:rPr>
          <w:rFonts w:cs="Tahoma"/>
          <w:bCs/>
          <w:szCs w:val="22"/>
          <w:lang w:val="es-ES"/>
        </w:rPr>
        <w:lastRenderedPageBreak/>
        <w:t xml:space="preserve">de los integrantes de los Comités Ejecutivos Seccionales, por lo que con base a lo establecido en el numeral 12 de la Ley de Transparencia Local, no se encuentran obligado a efectuar prácticas, investigaciones conforme a la solicitud planteada. </w:t>
      </w:r>
    </w:p>
    <w:p w14:paraId="1F46F51F" w14:textId="487243A3" w:rsidR="00E07D18" w:rsidRPr="00E5690F" w:rsidRDefault="00E07D18" w:rsidP="00E5690F">
      <w:pPr>
        <w:pStyle w:val="Prrafodelista"/>
        <w:numPr>
          <w:ilvl w:val="0"/>
          <w:numId w:val="16"/>
        </w:numPr>
        <w:autoSpaceDE w:val="0"/>
        <w:autoSpaceDN w:val="0"/>
        <w:adjustRightInd w:val="0"/>
        <w:ind w:right="-28"/>
        <w:rPr>
          <w:rFonts w:cs="Tahoma"/>
          <w:b/>
          <w:bCs/>
          <w:szCs w:val="22"/>
          <w:lang w:val="es-ES"/>
        </w:rPr>
      </w:pPr>
      <w:r w:rsidRPr="00E5690F">
        <w:rPr>
          <w:rFonts w:cs="Tahoma"/>
          <w:b/>
          <w:bCs/>
          <w:szCs w:val="22"/>
          <w:lang w:val="es-ES"/>
        </w:rPr>
        <w:t xml:space="preserve">RESPUESTA_SECCION_TOLUCA.pdf: </w:t>
      </w:r>
      <w:r w:rsidRPr="00E5690F">
        <w:rPr>
          <w:rFonts w:cs="Tahoma"/>
          <w:bCs/>
          <w:szCs w:val="22"/>
          <w:lang w:val="es-ES"/>
        </w:rPr>
        <w:t xml:space="preserve">Oficio signado por el Secretario General quien menciona que, el ciudadano que ostenta el cargo de Secretario de Finanzas del Comité Ejecutivo Seccional Toluca, siempre se ha dirigido con principios, motivo por el cual se le ha otorgado el apoyo en el seguimiento de algunos temas generales y hasta el momento no se ha defraudado la confianza brindada, ni se encuentra como suplente y mucho menos exigir en nombre del servidor público, plazas sindicales o alguna otra petición. </w:t>
      </w:r>
    </w:p>
    <w:p w14:paraId="54B4A917" w14:textId="77777777" w:rsidR="008252A0" w:rsidRPr="00E5690F" w:rsidRDefault="008252A0" w:rsidP="00E5690F">
      <w:pPr>
        <w:autoSpaceDE w:val="0"/>
        <w:autoSpaceDN w:val="0"/>
        <w:adjustRightInd w:val="0"/>
        <w:ind w:right="-28"/>
        <w:rPr>
          <w:rFonts w:cs="Tahoma"/>
          <w:bCs/>
          <w:szCs w:val="22"/>
          <w:lang w:val="es-ES"/>
        </w:rPr>
      </w:pPr>
    </w:p>
    <w:p w14:paraId="0B17CD08" w14:textId="42277D6B" w:rsidR="00664420" w:rsidRPr="00E5690F" w:rsidRDefault="00E37A3F" w:rsidP="00E5690F">
      <w:pPr>
        <w:pStyle w:val="Ttulo2"/>
        <w:jc w:val="left"/>
      </w:pPr>
      <w:bookmarkStart w:id="7" w:name="_Toc184813869"/>
      <w:r w:rsidRPr="00E5690F">
        <w:t>DEL RECURSO DE REVISIÓN</w:t>
      </w:r>
      <w:bookmarkEnd w:id="7"/>
    </w:p>
    <w:p w14:paraId="2B216813" w14:textId="61ADBB2B" w:rsidR="00664420" w:rsidRPr="00E5690F" w:rsidRDefault="006E25BC" w:rsidP="00E5690F">
      <w:pPr>
        <w:pStyle w:val="Ttulo3"/>
      </w:pPr>
      <w:bookmarkStart w:id="8" w:name="_Toc184813870"/>
      <w:r w:rsidRPr="00E5690F">
        <w:rPr>
          <w:szCs w:val="32"/>
        </w:rPr>
        <w:t>a)</w:t>
      </w:r>
      <w:r w:rsidRPr="00E5690F">
        <w:t xml:space="preserve"> </w:t>
      </w:r>
      <w:r w:rsidR="00664420" w:rsidRPr="00E5690F">
        <w:t>Interposición del Recurso de Revisión</w:t>
      </w:r>
      <w:bookmarkEnd w:id="8"/>
    </w:p>
    <w:p w14:paraId="6279C622" w14:textId="623DBA6C" w:rsidR="00664420" w:rsidRPr="00E5690F" w:rsidRDefault="00664420" w:rsidP="00E5690F">
      <w:pPr>
        <w:autoSpaceDE w:val="0"/>
        <w:autoSpaceDN w:val="0"/>
        <w:adjustRightInd w:val="0"/>
        <w:ind w:right="-28"/>
        <w:rPr>
          <w:rFonts w:cs="Tahoma"/>
          <w:szCs w:val="22"/>
        </w:rPr>
      </w:pPr>
      <w:r w:rsidRPr="00E5690F">
        <w:rPr>
          <w:rFonts w:cs="Tahoma"/>
          <w:szCs w:val="22"/>
        </w:rPr>
        <w:t xml:space="preserve">El </w:t>
      </w:r>
      <w:r w:rsidR="00E07D18" w:rsidRPr="00E5690F">
        <w:rPr>
          <w:rFonts w:cs="Tahoma"/>
          <w:b/>
          <w:bCs/>
          <w:szCs w:val="22"/>
        </w:rPr>
        <w:t>doce de noviembre</w:t>
      </w:r>
      <w:r w:rsidR="000C47C5" w:rsidRPr="00E5690F">
        <w:rPr>
          <w:rFonts w:cs="Tahoma"/>
          <w:b/>
          <w:bCs/>
          <w:szCs w:val="22"/>
        </w:rPr>
        <w:t xml:space="preserve"> de dos mil veinticuatro</w:t>
      </w:r>
      <w:r w:rsidRPr="00E5690F">
        <w:rPr>
          <w:rFonts w:cs="Tahoma"/>
          <w:szCs w:val="22"/>
        </w:rPr>
        <w:t xml:space="preserve"> </w:t>
      </w:r>
      <w:r w:rsidR="00F75D23" w:rsidRPr="00E5690F">
        <w:rPr>
          <w:rFonts w:cs="Tahoma"/>
          <w:b/>
          <w:bCs/>
          <w:szCs w:val="22"/>
        </w:rPr>
        <w:t>LA PARTE RECURRENTE</w:t>
      </w:r>
      <w:r w:rsidR="00F75D23" w:rsidRPr="00E5690F">
        <w:rPr>
          <w:rFonts w:cs="Tahoma"/>
          <w:szCs w:val="22"/>
        </w:rPr>
        <w:t xml:space="preserve"> interpuso el recurso de revisión en contra de la respuesta emitida por el </w:t>
      </w:r>
      <w:r w:rsidR="00F75D23" w:rsidRPr="00E5690F">
        <w:rPr>
          <w:rFonts w:cs="Tahoma"/>
          <w:b/>
          <w:bCs/>
          <w:szCs w:val="22"/>
        </w:rPr>
        <w:t>SUJETO OBLIGADO</w:t>
      </w:r>
      <w:r w:rsidR="00953430" w:rsidRPr="00E5690F">
        <w:rPr>
          <w:rFonts w:cs="Tahoma"/>
          <w:szCs w:val="22"/>
        </w:rPr>
        <w:t xml:space="preserve">, mismo que fue registrado en el SAIMEX con el número de expediente </w:t>
      </w:r>
      <w:r w:rsidR="00E07D18" w:rsidRPr="00E5690F">
        <w:rPr>
          <w:rFonts w:cs="Tahoma"/>
          <w:b/>
          <w:bCs/>
          <w:szCs w:val="22"/>
        </w:rPr>
        <w:t>07172/INFOEM/IP/RR/2024</w:t>
      </w:r>
      <w:r w:rsidR="00953430" w:rsidRPr="00E5690F">
        <w:rPr>
          <w:rFonts w:cs="Tahoma"/>
          <w:szCs w:val="22"/>
        </w:rPr>
        <w:t>, y en el cual manifiesta lo siguiente</w:t>
      </w:r>
      <w:r w:rsidRPr="00E5690F">
        <w:rPr>
          <w:rFonts w:cs="Tahoma"/>
          <w:szCs w:val="22"/>
        </w:rPr>
        <w:t>:</w:t>
      </w:r>
    </w:p>
    <w:p w14:paraId="74B30008" w14:textId="77777777" w:rsidR="00664420" w:rsidRPr="00E5690F" w:rsidRDefault="00664420" w:rsidP="00E5690F">
      <w:pPr>
        <w:tabs>
          <w:tab w:val="left" w:pos="4667"/>
        </w:tabs>
        <w:ind w:right="539"/>
        <w:rPr>
          <w:rFonts w:cs="Tahoma"/>
          <w:szCs w:val="22"/>
        </w:rPr>
      </w:pPr>
    </w:p>
    <w:p w14:paraId="12153283" w14:textId="30EEB748" w:rsidR="00664420" w:rsidRPr="00E5690F" w:rsidRDefault="00664420" w:rsidP="00E5690F">
      <w:pPr>
        <w:tabs>
          <w:tab w:val="left" w:pos="4667"/>
        </w:tabs>
        <w:ind w:left="567" w:right="539"/>
        <w:rPr>
          <w:rFonts w:cs="Tahoma"/>
          <w:b/>
          <w:iCs/>
        </w:rPr>
      </w:pPr>
      <w:r w:rsidRPr="00E5690F">
        <w:rPr>
          <w:rFonts w:cs="Tahoma"/>
          <w:b/>
          <w:iCs/>
        </w:rPr>
        <w:t>ACTO IMPUGNADO</w:t>
      </w:r>
      <w:r w:rsidRPr="00E5690F">
        <w:rPr>
          <w:rFonts w:cs="Tahoma"/>
          <w:b/>
          <w:iCs/>
        </w:rPr>
        <w:tab/>
      </w:r>
    </w:p>
    <w:p w14:paraId="523F8BF4" w14:textId="13C20E12" w:rsidR="00664420" w:rsidRPr="00E5690F" w:rsidRDefault="00E82927" w:rsidP="00E5690F">
      <w:pPr>
        <w:pStyle w:val="Puesto"/>
      </w:pPr>
      <w:r w:rsidRPr="00E5690F">
        <w:t>“</w:t>
      </w:r>
      <w:r w:rsidR="00E07D18" w:rsidRPr="00E5690F">
        <w:t>No sé me otorga la información solicitada.</w:t>
      </w:r>
      <w:r w:rsidRPr="00E5690F">
        <w:t>”</w:t>
      </w:r>
    </w:p>
    <w:p w14:paraId="24A64C18" w14:textId="77777777" w:rsidR="00E82927" w:rsidRPr="00E5690F" w:rsidRDefault="00E82927" w:rsidP="00E5690F">
      <w:pPr>
        <w:tabs>
          <w:tab w:val="left" w:pos="4667"/>
        </w:tabs>
        <w:ind w:right="539"/>
        <w:rPr>
          <w:rFonts w:cs="Tahoma"/>
          <w:b/>
          <w:iCs/>
        </w:rPr>
      </w:pPr>
    </w:p>
    <w:p w14:paraId="41AC2642" w14:textId="1AC1E859" w:rsidR="00E82927" w:rsidRPr="00E5690F" w:rsidRDefault="00E82927" w:rsidP="00E5690F">
      <w:pPr>
        <w:tabs>
          <w:tab w:val="left" w:pos="4667"/>
        </w:tabs>
        <w:ind w:left="567" w:right="539"/>
        <w:rPr>
          <w:rFonts w:cs="Tahoma"/>
          <w:b/>
          <w:iCs/>
        </w:rPr>
      </w:pPr>
      <w:r w:rsidRPr="00E5690F">
        <w:rPr>
          <w:rFonts w:cs="Tahoma"/>
          <w:b/>
          <w:iCs/>
        </w:rPr>
        <w:t>RAZONES O MOTIVOS DE LA INCONFORMIDAD</w:t>
      </w:r>
      <w:r w:rsidRPr="00E5690F">
        <w:rPr>
          <w:rFonts w:cs="Tahoma"/>
          <w:b/>
          <w:iCs/>
        </w:rPr>
        <w:tab/>
      </w:r>
    </w:p>
    <w:p w14:paraId="1B2A5283" w14:textId="20430051" w:rsidR="00E82927" w:rsidRPr="00E5690F" w:rsidRDefault="00E82927" w:rsidP="00E5690F">
      <w:pPr>
        <w:pStyle w:val="Puesto"/>
      </w:pPr>
      <w:r w:rsidRPr="00E5690F">
        <w:t>“</w:t>
      </w:r>
      <w:r w:rsidR="00E07D18" w:rsidRPr="00E5690F">
        <w:t xml:space="preserve">En primer momento, el suscrito solicito un informe fundado y motivado por el secretario general de </w:t>
      </w:r>
      <w:proofErr w:type="spellStart"/>
      <w:r w:rsidR="00E07D18" w:rsidRPr="00E5690F">
        <w:t>suteym</w:t>
      </w:r>
      <w:proofErr w:type="spellEnd"/>
      <w:r w:rsidR="00E07D18" w:rsidRPr="00E5690F">
        <w:t xml:space="preserve"> y el presidente de la comisión de vigilancia e investigación, lo cual no </w:t>
      </w:r>
      <w:r w:rsidR="00E07D18" w:rsidRPr="00E5690F">
        <w:lastRenderedPageBreak/>
        <w:t xml:space="preserve">fue cumplido pues la respuesta solo se basa en una simple manifestación del secretario general de la sección Toluca, cosa que no fue solicitada. Aunado a ellos, es a </w:t>
      </w:r>
      <w:proofErr w:type="gramStart"/>
      <w:r w:rsidR="00E07D18" w:rsidRPr="00E5690F">
        <w:t>todas luces notorio</w:t>
      </w:r>
      <w:proofErr w:type="gramEnd"/>
      <w:r w:rsidR="00E07D18" w:rsidRPr="00E5690F">
        <w:t xml:space="preserve"> que en efecto el secretario de finanzas Alejandro Jiménez realiza actos de "suplencia" del secretario general de la sección, sin embargo, no se funda ni motiva tal determinación. Por otra parte, el informante solo refiere que el secretario se desempeña con ciertos valores, lo cual tampoco fue solicitado, pues se requiere el sustento legal para que el Secretario de finanzas pueda ejercer dichas funciones de secretario general en suplencia</w:t>
      </w:r>
      <w:proofErr w:type="gramStart"/>
      <w:r w:rsidR="00E07D18" w:rsidRPr="00E5690F">
        <w:t>.</w:t>
      </w:r>
      <w:r w:rsidR="00F11C00" w:rsidRPr="00E5690F">
        <w:t>.</w:t>
      </w:r>
      <w:r w:rsidRPr="00E5690F">
        <w:t>”</w:t>
      </w:r>
      <w:proofErr w:type="gramEnd"/>
    </w:p>
    <w:p w14:paraId="27436410" w14:textId="77777777" w:rsidR="000C47C5" w:rsidRPr="00E5690F" w:rsidRDefault="000C47C5" w:rsidP="00E5690F">
      <w:pPr>
        <w:tabs>
          <w:tab w:val="left" w:pos="4667"/>
        </w:tabs>
        <w:ind w:right="567"/>
        <w:rPr>
          <w:rFonts w:cs="Tahoma"/>
          <w:b/>
          <w:bCs/>
        </w:rPr>
      </w:pPr>
    </w:p>
    <w:p w14:paraId="6804DEF1" w14:textId="3C4F6CB5" w:rsidR="00664420" w:rsidRPr="00E5690F" w:rsidRDefault="006E25BC" w:rsidP="00E5690F">
      <w:pPr>
        <w:pStyle w:val="Ttulo3"/>
      </w:pPr>
      <w:bookmarkStart w:id="9" w:name="_Toc184813871"/>
      <w:r w:rsidRPr="00E5690F">
        <w:t>b</w:t>
      </w:r>
      <w:r w:rsidR="00664420" w:rsidRPr="00E5690F">
        <w:t>) Turno del Recurso de Revisión</w:t>
      </w:r>
      <w:bookmarkEnd w:id="9"/>
    </w:p>
    <w:p w14:paraId="1173671B" w14:textId="7FE655CD" w:rsidR="00C72DAA" w:rsidRPr="00E5690F" w:rsidRDefault="00C72DAA" w:rsidP="00E5690F">
      <w:r w:rsidRPr="00E5690F">
        <w:t>Con fundamento en el artículo 185, fracción I de la Ley de Transparencia y Acceso a la Información Pública del Estado de México y Municipios, el</w:t>
      </w:r>
      <w:r w:rsidRPr="00E5690F">
        <w:rPr>
          <w:b/>
          <w:bCs/>
        </w:rPr>
        <w:t xml:space="preserve"> </w:t>
      </w:r>
      <w:r w:rsidR="006F725E" w:rsidRPr="00E5690F">
        <w:rPr>
          <w:rFonts w:eastAsia="Palatino Linotype" w:cs="Palatino Linotype"/>
          <w:b/>
        </w:rPr>
        <w:t>doce de noviembre</w:t>
      </w:r>
      <w:r w:rsidR="002A3D44" w:rsidRPr="00E5690F">
        <w:rPr>
          <w:rFonts w:eastAsia="Palatino Linotype" w:cs="Palatino Linotype"/>
          <w:b/>
        </w:rPr>
        <w:t xml:space="preserve"> de dos mil veinticuatro</w:t>
      </w:r>
      <w:r w:rsidRPr="00E5690F">
        <w:t xml:space="preserve"> se turnó el recurso de revisión a través del</w:t>
      </w:r>
      <w:r w:rsidRPr="00E5690F">
        <w:rPr>
          <w:rFonts w:eastAsia="Arial Unicode MS"/>
        </w:rPr>
        <w:t xml:space="preserve"> </w:t>
      </w:r>
      <w:r w:rsidRPr="00E5690F">
        <w:rPr>
          <w:rFonts w:eastAsia="Arial Unicode MS"/>
          <w:bCs/>
        </w:rPr>
        <w:t>SAIMEX</w:t>
      </w:r>
      <w:r w:rsidRPr="00E5690F">
        <w:t xml:space="preserve"> a la </w:t>
      </w:r>
      <w:r w:rsidRPr="00E5690F">
        <w:rPr>
          <w:b/>
        </w:rPr>
        <w:t>Comisionada Sharon Cristina Morales Martínez</w:t>
      </w:r>
      <w:r w:rsidRPr="00E5690F">
        <w:rPr>
          <w:bCs/>
        </w:rPr>
        <w:t xml:space="preserve">, </w:t>
      </w:r>
      <w:r w:rsidRPr="00E5690F">
        <w:t xml:space="preserve">a efecto de decretar su admisión o </w:t>
      </w:r>
      <w:proofErr w:type="spellStart"/>
      <w:r w:rsidRPr="00E5690F">
        <w:t>desechamiento</w:t>
      </w:r>
      <w:proofErr w:type="spellEnd"/>
      <w:r w:rsidRPr="00E5690F">
        <w:t xml:space="preserve">. </w:t>
      </w:r>
    </w:p>
    <w:p w14:paraId="18F305CB" w14:textId="77777777" w:rsidR="00664420" w:rsidRPr="00E5690F" w:rsidRDefault="00664420" w:rsidP="00E5690F">
      <w:pPr>
        <w:rPr>
          <w:rFonts w:eastAsia="Batang" w:cs="Tahoma"/>
          <w:bCs/>
          <w:szCs w:val="22"/>
        </w:rPr>
      </w:pPr>
    </w:p>
    <w:p w14:paraId="3E31EC2D" w14:textId="295256A1" w:rsidR="00664420" w:rsidRPr="00E5690F" w:rsidRDefault="006E25BC" w:rsidP="00E5690F">
      <w:pPr>
        <w:pStyle w:val="Ttulo3"/>
      </w:pPr>
      <w:bookmarkStart w:id="10" w:name="_Toc184813872"/>
      <w:r w:rsidRPr="00E5690F">
        <w:t>c</w:t>
      </w:r>
      <w:r w:rsidR="00664420" w:rsidRPr="00E5690F">
        <w:t>) Admisión del Recurso de Revisión</w:t>
      </w:r>
      <w:bookmarkEnd w:id="10"/>
    </w:p>
    <w:p w14:paraId="240447D5" w14:textId="5602458C" w:rsidR="000E09C4" w:rsidRPr="00E5690F" w:rsidRDefault="000E09C4" w:rsidP="00E5690F">
      <w:pPr>
        <w:rPr>
          <w:rFonts w:cs="Arial"/>
        </w:rPr>
      </w:pPr>
      <w:r w:rsidRPr="00E5690F">
        <w:rPr>
          <w:rFonts w:cs="Arial"/>
        </w:rPr>
        <w:t xml:space="preserve">El </w:t>
      </w:r>
      <w:r w:rsidR="006F725E" w:rsidRPr="00E5690F">
        <w:rPr>
          <w:rFonts w:eastAsia="Palatino Linotype" w:cs="Palatino Linotype"/>
          <w:b/>
        </w:rPr>
        <w:t>quince de noviembre</w:t>
      </w:r>
      <w:r w:rsidR="002A3D44" w:rsidRPr="00E5690F">
        <w:rPr>
          <w:rFonts w:eastAsia="Palatino Linotype" w:cs="Palatino Linotype"/>
          <w:b/>
        </w:rPr>
        <w:t xml:space="preserve"> de dos mil veinticuatro</w:t>
      </w:r>
      <w:r w:rsidRPr="00E5690F">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E5690F">
        <w:rPr>
          <w:rFonts w:cs="Arial"/>
        </w:rPr>
        <w:t>, fracción II</w:t>
      </w:r>
      <w:r w:rsidRPr="00E5690F">
        <w:rPr>
          <w:rFonts w:cs="Arial"/>
        </w:rPr>
        <w:t xml:space="preserve"> de la Ley de Transparencia y Acceso a la Información Pública del Estado de México y Municipios.</w:t>
      </w:r>
    </w:p>
    <w:p w14:paraId="09B589C5" w14:textId="77777777" w:rsidR="00664420" w:rsidRPr="00E5690F" w:rsidRDefault="00664420" w:rsidP="00E5690F">
      <w:pPr>
        <w:rPr>
          <w:rFonts w:cs="Tahoma"/>
          <w:b/>
          <w:szCs w:val="22"/>
        </w:rPr>
      </w:pPr>
    </w:p>
    <w:p w14:paraId="3B820F58" w14:textId="31B2FA39" w:rsidR="00865CF4" w:rsidRPr="00E5690F" w:rsidRDefault="002A3D44" w:rsidP="00E5690F">
      <w:pPr>
        <w:pStyle w:val="Ttulo3"/>
      </w:pPr>
      <w:bookmarkStart w:id="11" w:name="_Toc184813873"/>
      <w:r w:rsidRPr="00E5690F">
        <w:t>d</w:t>
      </w:r>
      <w:r w:rsidR="00664420" w:rsidRPr="00E5690F">
        <w:t xml:space="preserve">) </w:t>
      </w:r>
      <w:r w:rsidR="00865CF4" w:rsidRPr="00E5690F">
        <w:t>Informe Justificado del Sujeto Obligado</w:t>
      </w:r>
      <w:bookmarkEnd w:id="11"/>
    </w:p>
    <w:p w14:paraId="42935E17" w14:textId="1E434ABB" w:rsidR="006F725E" w:rsidRPr="00E5690F" w:rsidRDefault="006F725E" w:rsidP="00E5690F">
      <w:pPr>
        <w:rPr>
          <w:rFonts w:eastAsia="Calibri" w:cs="Tahoma"/>
          <w:szCs w:val="22"/>
          <w:lang w:eastAsia="en-US"/>
        </w:rPr>
      </w:pPr>
      <w:r w:rsidRPr="00E5690F">
        <w:rPr>
          <w:rFonts w:cs="Tahoma"/>
          <w:bCs/>
          <w:szCs w:val="24"/>
        </w:rPr>
        <w:t xml:space="preserve">El </w:t>
      </w:r>
      <w:r w:rsidRPr="00E5690F">
        <w:rPr>
          <w:rFonts w:cs="Tahoma"/>
          <w:b/>
          <w:szCs w:val="24"/>
        </w:rPr>
        <w:t>veinte de noviembre de dos mil veinticuatro EL SUJETO OBLIGADO</w:t>
      </w:r>
      <w:r w:rsidRPr="00E5690F">
        <w:rPr>
          <w:rFonts w:cs="Tahoma"/>
          <w:bCs/>
          <w:szCs w:val="24"/>
        </w:rPr>
        <w:t xml:space="preserve"> rindió su informe justificado a través del SAIMEX, </w:t>
      </w:r>
      <w:r w:rsidRPr="00E5690F">
        <w:rPr>
          <w:rFonts w:eastAsia="Calibri" w:cs="Tahoma"/>
          <w:szCs w:val="22"/>
          <w:lang w:eastAsia="en-US"/>
        </w:rPr>
        <w:t>en el cual expresó lo siguiente:</w:t>
      </w:r>
    </w:p>
    <w:p w14:paraId="2A8D6CBA" w14:textId="77777777" w:rsidR="006F725E" w:rsidRPr="00E5690F" w:rsidRDefault="006F725E" w:rsidP="00E5690F">
      <w:pPr>
        <w:rPr>
          <w:rFonts w:eastAsia="Calibri" w:cs="Tahoma"/>
          <w:szCs w:val="22"/>
          <w:lang w:eastAsia="en-US"/>
        </w:rPr>
      </w:pPr>
    </w:p>
    <w:p w14:paraId="73386FEF" w14:textId="4E0F9D3C" w:rsidR="00BA1782" w:rsidRPr="00E5690F" w:rsidRDefault="006F725E" w:rsidP="00E5690F">
      <w:pPr>
        <w:pStyle w:val="Prrafodelista"/>
        <w:numPr>
          <w:ilvl w:val="0"/>
          <w:numId w:val="25"/>
        </w:numPr>
        <w:rPr>
          <w:rFonts w:eastAsia="Calibri" w:cs="Tahoma"/>
          <w:b/>
          <w:szCs w:val="22"/>
          <w:lang w:eastAsia="en-US"/>
        </w:rPr>
      </w:pPr>
      <w:r w:rsidRPr="00E5690F">
        <w:rPr>
          <w:rFonts w:eastAsia="Calibri" w:cs="Tahoma"/>
          <w:b/>
          <w:szCs w:val="22"/>
          <w:lang w:eastAsia="en-US"/>
        </w:rPr>
        <w:lastRenderedPageBreak/>
        <w:t xml:space="preserve">INFORME DE JUSTIFICACION 186.pdf: </w:t>
      </w:r>
      <w:r w:rsidRPr="00E5690F">
        <w:rPr>
          <w:rFonts w:eastAsia="Calibri" w:cs="Tahoma"/>
          <w:szCs w:val="22"/>
          <w:lang w:eastAsia="en-US"/>
        </w:rPr>
        <w:t>Documento digital que consiste en el informe justificado en donde medularmente se confirma la respuesta primigenia.</w:t>
      </w:r>
    </w:p>
    <w:p w14:paraId="480FE2E2" w14:textId="004D1265" w:rsidR="006F725E" w:rsidRPr="00E5690F" w:rsidRDefault="006F725E" w:rsidP="00E5690F">
      <w:pPr>
        <w:pStyle w:val="Prrafodelista"/>
        <w:numPr>
          <w:ilvl w:val="0"/>
          <w:numId w:val="25"/>
        </w:numPr>
        <w:rPr>
          <w:rFonts w:eastAsia="Calibri" w:cs="Tahoma"/>
          <w:b/>
          <w:szCs w:val="22"/>
          <w:lang w:eastAsia="en-US"/>
        </w:rPr>
      </w:pPr>
      <w:r w:rsidRPr="00E5690F">
        <w:rPr>
          <w:rFonts w:eastAsia="Calibri" w:cs="Tahoma"/>
          <w:b/>
          <w:szCs w:val="22"/>
          <w:lang w:eastAsia="en-US"/>
        </w:rPr>
        <w:t xml:space="preserve">SOLICITUD 186.pdf: </w:t>
      </w:r>
      <w:r w:rsidRPr="00E5690F">
        <w:rPr>
          <w:rFonts w:eastAsia="Calibri" w:cs="Tahoma"/>
          <w:szCs w:val="22"/>
          <w:lang w:eastAsia="en-US"/>
        </w:rPr>
        <w:t>Documento que consiste en el acuse de la solicitud de información número 00186/SUTEYM/IP/2024.</w:t>
      </w:r>
    </w:p>
    <w:p w14:paraId="27C75DEC" w14:textId="4808FAFB" w:rsidR="006F725E" w:rsidRPr="00E5690F" w:rsidRDefault="006F725E" w:rsidP="00E5690F">
      <w:pPr>
        <w:pStyle w:val="Prrafodelista"/>
        <w:numPr>
          <w:ilvl w:val="0"/>
          <w:numId w:val="25"/>
        </w:numPr>
        <w:rPr>
          <w:rFonts w:eastAsia="Calibri" w:cs="Tahoma"/>
          <w:b/>
          <w:szCs w:val="22"/>
          <w:lang w:eastAsia="en-US"/>
        </w:rPr>
      </w:pPr>
      <w:r w:rsidRPr="00E5690F">
        <w:rPr>
          <w:rFonts w:eastAsia="Calibri" w:cs="Tahoma"/>
          <w:b/>
          <w:szCs w:val="22"/>
          <w:lang w:eastAsia="en-US"/>
        </w:rPr>
        <w:t xml:space="preserve">ESTATUTO SINDICATO ÚNICO DE TRABAJADORES DE LOS PODERES 2023.docx: </w:t>
      </w:r>
      <w:r w:rsidRPr="00E5690F">
        <w:rPr>
          <w:rFonts w:eastAsia="Calibri" w:cs="Tahoma"/>
          <w:szCs w:val="22"/>
          <w:lang w:eastAsia="en-US"/>
        </w:rPr>
        <w:t>Consiste en el Estatuto Interno del SUTEYM.</w:t>
      </w:r>
    </w:p>
    <w:p w14:paraId="24F87764" w14:textId="77777777" w:rsidR="00664420" w:rsidRPr="00E5690F" w:rsidRDefault="00664420" w:rsidP="00E5690F">
      <w:pPr>
        <w:rPr>
          <w:rFonts w:cs="Tahoma"/>
          <w:bCs/>
          <w:szCs w:val="24"/>
        </w:rPr>
      </w:pPr>
    </w:p>
    <w:p w14:paraId="1F631C0A" w14:textId="7193ECC6" w:rsidR="004D2924" w:rsidRPr="00E5690F" w:rsidRDefault="004D2924" w:rsidP="00E5690F">
      <w:pPr>
        <w:pStyle w:val="Ttulo3"/>
        <w:rPr>
          <w:lang w:val="es-ES"/>
        </w:rPr>
      </w:pPr>
      <w:bookmarkStart w:id="12" w:name="_Toc165402867"/>
      <w:bookmarkStart w:id="13" w:name="_Toc184813874"/>
      <w:r w:rsidRPr="00E5690F">
        <w:rPr>
          <w:rFonts w:eastAsia="Calibri"/>
          <w:bCs/>
          <w:lang w:eastAsia="en-US"/>
        </w:rPr>
        <w:t>e)</w:t>
      </w:r>
      <w:r w:rsidRPr="00E5690F">
        <w:t xml:space="preserve"> </w:t>
      </w:r>
      <w:r w:rsidRPr="00E5690F">
        <w:rPr>
          <w:lang w:val="es-ES"/>
        </w:rPr>
        <w:t>Manifestaciones de la Parte Recurrente</w:t>
      </w:r>
      <w:bookmarkEnd w:id="12"/>
      <w:bookmarkEnd w:id="13"/>
    </w:p>
    <w:p w14:paraId="6923684C" w14:textId="2CE889B8" w:rsidR="00664420" w:rsidRPr="00E5690F" w:rsidRDefault="00551383" w:rsidP="00E5690F">
      <w:pPr>
        <w:rPr>
          <w:rFonts w:cs="Tahoma"/>
          <w:szCs w:val="24"/>
        </w:rPr>
      </w:pPr>
      <w:r w:rsidRPr="00E5690F">
        <w:rPr>
          <w:rFonts w:cs="Tahoma"/>
          <w:b/>
          <w:szCs w:val="24"/>
        </w:rPr>
        <w:t>LA PARTE RECURRENTE</w:t>
      </w:r>
      <w:r w:rsidRPr="00E5690F">
        <w:rPr>
          <w:rFonts w:cs="Tahoma"/>
          <w:szCs w:val="24"/>
        </w:rPr>
        <w:t xml:space="preserve"> no realizó manifestación alguna dentro del término legalmente concedido para tal efecto, ni presentó pruebas o alegatos.</w:t>
      </w:r>
    </w:p>
    <w:p w14:paraId="6FF82205" w14:textId="77777777" w:rsidR="00551383" w:rsidRPr="00E5690F" w:rsidRDefault="00551383" w:rsidP="00E5690F">
      <w:pPr>
        <w:rPr>
          <w:rFonts w:eastAsia="Arial Unicode MS" w:cs="Arial"/>
        </w:rPr>
      </w:pPr>
    </w:p>
    <w:p w14:paraId="0E651988" w14:textId="234783EB" w:rsidR="00664420" w:rsidRPr="00E5690F" w:rsidRDefault="00AA1429" w:rsidP="00E5690F">
      <w:pPr>
        <w:pStyle w:val="Ttulo3"/>
      </w:pPr>
      <w:bookmarkStart w:id="14" w:name="_Toc184813875"/>
      <w:r w:rsidRPr="00E5690F">
        <w:t>f</w:t>
      </w:r>
      <w:r w:rsidR="00664420" w:rsidRPr="00E5690F">
        <w:t>) Cierre de instrucción</w:t>
      </w:r>
      <w:bookmarkEnd w:id="14"/>
    </w:p>
    <w:p w14:paraId="79AF95DC" w14:textId="2A4DE705" w:rsidR="00664420" w:rsidRPr="00E5690F" w:rsidRDefault="00BF091A" w:rsidP="00E5690F">
      <w:pPr>
        <w:rPr>
          <w:rFonts w:cs="Tahoma"/>
          <w:szCs w:val="22"/>
        </w:rPr>
      </w:pPr>
      <w:r w:rsidRPr="00E5690F">
        <w:rPr>
          <w:rFonts w:cs="Tahoma"/>
          <w:szCs w:val="22"/>
        </w:rPr>
        <w:t>Al no existir diligencias pendientes por desahogar</w:t>
      </w:r>
      <w:r w:rsidRPr="00E5690F">
        <w:rPr>
          <w:rFonts w:cs="Arial"/>
        </w:rPr>
        <w:t xml:space="preserve">, el </w:t>
      </w:r>
      <w:r w:rsidR="004E3AFC" w:rsidRPr="00E5690F">
        <w:rPr>
          <w:rFonts w:cs="Arial"/>
          <w:b/>
        </w:rPr>
        <w:t>diez</w:t>
      </w:r>
      <w:r w:rsidR="006F725E" w:rsidRPr="00E5690F">
        <w:rPr>
          <w:rFonts w:cs="Arial"/>
          <w:b/>
        </w:rPr>
        <w:t xml:space="preserve"> de diciembre</w:t>
      </w:r>
      <w:r w:rsidR="006B498E" w:rsidRPr="00E5690F">
        <w:rPr>
          <w:rFonts w:cs="Arial"/>
          <w:b/>
        </w:rPr>
        <w:t xml:space="preserve"> de dos mil veinticuatro</w:t>
      </w:r>
      <w:r w:rsidRPr="00E5690F">
        <w:rPr>
          <w:rFonts w:cs="Arial"/>
        </w:rPr>
        <w:t xml:space="preserve"> la </w:t>
      </w:r>
      <w:r w:rsidRPr="00E5690F">
        <w:rPr>
          <w:rFonts w:cs="Arial"/>
          <w:b/>
          <w:bCs/>
        </w:rPr>
        <w:t xml:space="preserve">Comisionada </w:t>
      </w:r>
      <w:r w:rsidRPr="00E5690F">
        <w:rPr>
          <w:b/>
        </w:rPr>
        <w:t xml:space="preserve">Sharon Cristina Morales Martínez </w:t>
      </w:r>
      <w:r w:rsidRPr="00E5690F">
        <w:rPr>
          <w:rFonts w:cs="Arial"/>
        </w:rPr>
        <w:t>acordó el cierre de instrucción</w:t>
      </w:r>
      <w:r w:rsidR="0011350D" w:rsidRPr="00E5690F">
        <w:rPr>
          <w:rFonts w:cs="Arial"/>
        </w:rPr>
        <w:t xml:space="preserve"> y</w:t>
      </w:r>
      <w:r w:rsidRPr="00E5690F">
        <w:rPr>
          <w:rFonts w:cs="Arial"/>
        </w:rPr>
        <w:t xml:space="preserve"> </w:t>
      </w:r>
      <w:r w:rsidR="0011350D" w:rsidRPr="00E5690F">
        <w:rPr>
          <w:rFonts w:cs="Arial"/>
        </w:rPr>
        <w:t xml:space="preserve">la </w:t>
      </w:r>
      <w:r w:rsidRPr="00E5690F">
        <w:rPr>
          <w:rFonts w:cs="Arial"/>
        </w:rPr>
        <w:t>remisión del expediente a efecto de ser resuelto, de conformidad con lo establecido en el artículo 185 fracciones VI y VIII de la Ley de Transparencia y Acceso a la Información Pública del Estado de México y Municipios</w:t>
      </w:r>
      <w:r w:rsidRPr="00E5690F">
        <w:t>.</w:t>
      </w:r>
      <w:r w:rsidR="0011350D" w:rsidRPr="00E5690F">
        <w:t xml:space="preserve"> Dicho acuerdo </w:t>
      </w:r>
      <w:r w:rsidR="00664420" w:rsidRPr="00E5690F">
        <w:rPr>
          <w:rFonts w:cs="Tahoma"/>
          <w:szCs w:val="22"/>
        </w:rPr>
        <w:t xml:space="preserve">fue notificado a las partes el mismo día a través del </w:t>
      </w:r>
      <w:r w:rsidR="00664420" w:rsidRPr="00E5690F">
        <w:rPr>
          <w:rFonts w:cs="Tahoma"/>
          <w:szCs w:val="22"/>
          <w:lang w:val="es-ES"/>
        </w:rPr>
        <w:t>SAIMEX</w:t>
      </w:r>
      <w:r w:rsidR="00664420" w:rsidRPr="00E5690F">
        <w:rPr>
          <w:rFonts w:cs="Tahoma"/>
          <w:szCs w:val="22"/>
        </w:rPr>
        <w:t>.</w:t>
      </w:r>
    </w:p>
    <w:p w14:paraId="09A46F4E" w14:textId="06746C39" w:rsidR="00E5690F" w:rsidRPr="00E5690F" w:rsidRDefault="00E5690F" w:rsidP="00E5690F">
      <w:pPr>
        <w:rPr>
          <w:rFonts w:cs="Tahoma"/>
          <w:szCs w:val="22"/>
        </w:rPr>
      </w:pPr>
    </w:p>
    <w:p w14:paraId="3B686F78" w14:textId="484BF98A" w:rsidR="00E5690F" w:rsidRPr="00E5690F" w:rsidRDefault="00E5690F" w:rsidP="00E5690F">
      <w:pPr>
        <w:rPr>
          <w:rFonts w:cs="Tahoma"/>
          <w:szCs w:val="22"/>
        </w:rPr>
      </w:pPr>
    </w:p>
    <w:p w14:paraId="25B0F63B" w14:textId="117F45AE" w:rsidR="00E5690F" w:rsidRPr="00E5690F" w:rsidRDefault="00E5690F" w:rsidP="00E5690F">
      <w:pPr>
        <w:rPr>
          <w:rFonts w:cs="Tahoma"/>
          <w:szCs w:val="22"/>
        </w:rPr>
      </w:pPr>
    </w:p>
    <w:p w14:paraId="5AA0D463" w14:textId="77777777" w:rsidR="00E5690F" w:rsidRPr="00E5690F" w:rsidRDefault="00E5690F" w:rsidP="00E5690F">
      <w:pPr>
        <w:rPr>
          <w:rFonts w:cs="Tahoma"/>
          <w:szCs w:val="22"/>
        </w:rPr>
      </w:pPr>
    </w:p>
    <w:p w14:paraId="741683E3" w14:textId="77777777" w:rsidR="0011350D" w:rsidRPr="00E5690F" w:rsidRDefault="0011350D" w:rsidP="00E5690F">
      <w:pPr>
        <w:rPr>
          <w:rFonts w:cs="Tahoma"/>
          <w:szCs w:val="22"/>
        </w:rPr>
      </w:pPr>
    </w:p>
    <w:p w14:paraId="7A9629DE" w14:textId="77777777" w:rsidR="00664420" w:rsidRPr="00E5690F" w:rsidRDefault="00664420" w:rsidP="00E5690F">
      <w:pPr>
        <w:pStyle w:val="Ttulo1"/>
        <w:rPr>
          <w:rFonts w:eastAsiaTheme="minorHAnsi"/>
          <w:lang w:eastAsia="en-US"/>
        </w:rPr>
      </w:pPr>
      <w:bookmarkStart w:id="15" w:name="_Toc184813876"/>
      <w:r w:rsidRPr="00E5690F">
        <w:rPr>
          <w:rFonts w:eastAsiaTheme="minorHAnsi"/>
          <w:lang w:eastAsia="en-US"/>
        </w:rPr>
        <w:lastRenderedPageBreak/>
        <w:t>CONSIDERANDOS</w:t>
      </w:r>
      <w:bookmarkEnd w:id="15"/>
    </w:p>
    <w:p w14:paraId="6DD1243B" w14:textId="77777777" w:rsidR="00664420" w:rsidRPr="00E5690F" w:rsidRDefault="00664420" w:rsidP="00E5690F">
      <w:pPr>
        <w:contextualSpacing/>
        <w:jc w:val="center"/>
        <w:rPr>
          <w:rFonts w:eastAsiaTheme="minorHAnsi" w:cs="Tahoma"/>
          <w:b/>
          <w:szCs w:val="22"/>
          <w:lang w:eastAsia="en-US"/>
        </w:rPr>
      </w:pPr>
    </w:p>
    <w:p w14:paraId="0B67CB92" w14:textId="2E307D3B" w:rsidR="00664420" w:rsidRPr="00E5690F" w:rsidRDefault="00664420" w:rsidP="00E5690F">
      <w:pPr>
        <w:pStyle w:val="Ttulo2"/>
        <w:rPr>
          <w:rFonts w:eastAsia="Batang"/>
        </w:rPr>
      </w:pPr>
      <w:bookmarkStart w:id="16" w:name="_Toc184813877"/>
      <w:r w:rsidRPr="00E5690F">
        <w:rPr>
          <w:rFonts w:eastAsia="Batang"/>
        </w:rPr>
        <w:t xml:space="preserve">PRIMERO. </w:t>
      </w:r>
      <w:proofErr w:type="spellStart"/>
      <w:r w:rsidR="00BA55A8" w:rsidRPr="00E5690F">
        <w:rPr>
          <w:rFonts w:eastAsia="Batang"/>
        </w:rPr>
        <w:t>Procedibilidad</w:t>
      </w:r>
      <w:bookmarkEnd w:id="16"/>
      <w:proofErr w:type="spellEnd"/>
    </w:p>
    <w:p w14:paraId="39C52BC1" w14:textId="56FCC20D" w:rsidR="00BA55A8" w:rsidRPr="00E5690F" w:rsidRDefault="00BA55A8" w:rsidP="00E5690F">
      <w:pPr>
        <w:pStyle w:val="Ttulo3"/>
      </w:pPr>
      <w:bookmarkStart w:id="17" w:name="_Toc184813878"/>
      <w:r w:rsidRPr="00E5690F">
        <w:t>a) Competencia</w:t>
      </w:r>
      <w:r w:rsidR="00150C49" w:rsidRPr="00E5690F">
        <w:t xml:space="preserve"> del Instituto</w:t>
      </w:r>
      <w:bookmarkEnd w:id="17"/>
    </w:p>
    <w:p w14:paraId="56E64942" w14:textId="6572EDF7" w:rsidR="0011350D" w:rsidRPr="00E5690F" w:rsidRDefault="0011350D" w:rsidP="00E5690F">
      <w:pPr>
        <w:rPr>
          <w:rFonts w:cs="Arial"/>
        </w:rPr>
      </w:pPr>
      <w:r w:rsidRPr="00E5690F">
        <w:t xml:space="preserve">Este Instituto de Transparencia, Acceso a la Información Pública y Protección de Datos Personales del Estado de México y Municipios es competente para conocer y resolver </w:t>
      </w:r>
      <w:r w:rsidR="005F65B7" w:rsidRPr="00E5690F">
        <w:t xml:space="preserve">el </w:t>
      </w:r>
      <w:r w:rsidRPr="00E5690F">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E5690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E5690F" w:rsidRDefault="00DB1C09" w:rsidP="00E5690F">
      <w:pPr>
        <w:rPr>
          <w:rFonts w:cs="Arial"/>
        </w:rPr>
      </w:pPr>
    </w:p>
    <w:p w14:paraId="517A2DD6" w14:textId="4169BE4D" w:rsidR="00664420" w:rsidRPr="00E5690F" w:rsidRDefault="00BA55A8" w:rsidP="00E5690F">
      <w:pPr>
        <w:pStyle w:val="Ttulo3"/>
      </w:pPr>
      <w:bookmarkStart w:id="18" w:name="_Toc184813879"/>
      <w:r w:rsidRPr="00E5690F">
        <w:t>b)</w:t>
      </w:r>
      <w:r w:rsidR="00664420" w:rsidRPr="00E5690F">
        <w:t xml:space="preserve"> </w:t>
      </w:r>
      <w:r w:rsidR="00D91CB4" w:rsidRPr="00E5690F">
        <w:t>Legitimidad</w:t>
      </w:r>
      <w:r w:rsidRPr="00E5690F">
        <w:t xml:space="preserve"> de la parte recurrente</w:t>
      </w:r>
      <w:bookmarkEnd w:id="18"/>
    </w:p>
    <w:p w14:paraId="26FEA382" w14:textId="0B06695C" w:rsidR="00D91CB4" w:rsidRPr="00E5690F" w:rsidRDefault="00D91CB4" w:rsidP="00E5690F">
      <w:pPr>
        <w:rPr>
          <w:rFonts w:cs="Arial"/>
          <w:bCs/>
        </w:rPr>
      </w:pPr>
      <w:r w:rsidRPr="00E5690F">
        <w:rPr>
          <w:rFonts w:cs="Arial"/>
          <w:bCs/>
        </w:rPr>
        <w:t>El recurso de revisión fue interpuesto por parte legítima, ya que se presentó por la misma persona que formuló la solicitud de acceso a la Información Pública,</w:t>
      </w:r>
      <w:r w:rsidRPr="00E5690F">
        <w:rPr>
          <w:rFonts w:cs="Arial"/>
          <w:b/>
          <w:bCs/>
        </w:rPr>
        <w:t xml:space="preserve"> </w:t>
      </w:r>
      <w:r w:rsidRPr="00E5690F">
        <w:rPr>
          <w:rFonts w:cs="Arial"/>
        </w:rPr>
        <w:t>debido a que los datos de acceso</w:t>
      </w:r>
      <w:r w:rsidRPr="00E5690F">
        <w:rPr>
          <w:rFonts w:cs="Arial"/>
          <w:b/>
          <w:bCs/>
        </w:rPr>
        <w:t xml:space="preserve"> </w:t>
      </w:r>
      <w:r w:rsidRPr="00E5690F">
        <w:rPr>
          <w:rFonts w:cs="Arial"/>
        </w:rPr>
        <w:t>SAIMEX</w:t>
      </w:r>
      <w:r w:rsidRPr="00E5690F">
        <w:rPr>
          <w:rFonts w:eastAsia="Calibri" w:cs="Arial"/>
          <w:lang w:eastAsia="en-US"/>
        </w:rPr>
        <w:t xml:space="preserve"> son personales e irrepetibles.</w:t>
      </w:r>
    </w:p>
    <w:p w14:paraId="2C367810" w14:textId="77777777" w:rsidR="00D91CB4" w:rsidRPr="00E5690F" w:rsidRDefault="00D91CB4" w:rsidP="00E5690F"/>
    <w:p w14:paraId="496490FC" w14:textId="1A5F3FDB" w:rsidR="00D91CB4" w:rsidRPr="00E5690F" w:rsidRDefault="00BA55A8" w:rsidP="00E5690F">
      <w:pPr>
        <w:pStyle w:val="Ttulo3"/>
        <w:rPr>
          <w:rFonts w:eastAsia="Calibri"/>
          <w:lang w:eastAsia="es-ES_tradnl"/>
        </w:rPr>
      </w:pPr>
      <w:bookmarkStart w:id="19" w:name="_Toc184813880"/>
      <w:r w:rsidRPr="00E5690F">
        <w:rPr>
          <w:rFonts w:eastAsia="Calibri"/>
          <w:lang w:eastAsia="es-ES_tradnl"/>
        </w:rPr>
        <w:lastRenderedPageBreak/>
        <w:t>c)</w:t>
      </w:r>
      <w:r w:rsidR="00664420" w:rsidRPr="00E5690F">
        <w:rPr>
          <w:rFonts w:eastAsia="Calibri"/>
          <w:lang w:eastAsia="es-ES_tradnl"/>
        </w:rPr>
        <w:t xml:space="preserve"> </w:t>
      </w:r>
      <w:r w:rsidR="00D91CB4" w:rsidRPr="00E5690F">
        <w:rPr>
          <w:rFonts w:eastAsia="Calibri"/>
          <w:lang w:eastAsia="es-ES_tradnl"/>
        </w:rPr>
        <w:t>Plazo para interponer el recurso</w:t>
      </w:r>
      <w:bookmarkEnd w:id="19"/>
    </w:p>
    <w:p w14:paraId="106D37EE" w14:textId="79A18123" w:rsidR="00D91CB4" w:rsidRPr="00E5690F" w:rsidRDefault="00D91CB4" w:rsidP="00E5690F">
      <w:pPr>
        <w:rPr>
          <w:rFonts w:eastAsiaTheme="minorEastAsia" w:cs="Arial"/>
          <w:lang w:val="es-ES_tradnl"/>
        </w:rPr>
      </w:pPr>
      <w:r w:rsidRPr="00E5690F">
        <w:rPr>
          <w:rFonts w:cs="Arial"/>
          <w:b/>
        </w:rPr>
        <w:t>EL SUJETO OBLIGADO</w:t>
      </w:r>
      <w:r w:rsidRPr="00E5690F">
        <w:rPr>
          <w:rFonts w:cs="Arial"/>
        </w:rPr>
        <w:t xml:space="preserve"> notificó la respuesta a la solicitud de acceso a la Información Pública el </w:t>
      </w:r>
      <w:r w:rsidR="00671FC7" w:rsidRPr="00E5690F">
        <w:rPr>
          <w:rFonts w:eastAsia="Palatino Linotype" w:cs="Palatino Linotype"/>
          <w:b/>
        </w:rPr>
        <w:t>seis de noviembre</w:t>
      </w:r>
      <w:r w:rsidR="006B498E" w:rsidRPr="00E5690F">
        <w:rPr>
          <w:rFonts w:eastAsia="Palatino Linotype" w:cs="Palatino Linotype"/>
          <w:b/>
        </w:rPr>
        <w:t xml:space="preserve"> de dos mil veinticuatro</w:t>
      </w:r>
      <w:r w:rsidRPr="00E5690F">
        <w:rPr>
          <w:rFonts w:cs="Arial"/>
        </w:rPr>
        <w:t xml:space="preserve"> </w:t>
      </w:r>
      <w:r w:rsidR="00A53315" w:rsidRPr="00E5690F">
        <w:rPr>
          <w:rFonts w:cs="Arial"/>
        </w:rPr>
        <w:t xml:space="preserve">y el recurso </w:t>
      </w:r>
      <w:r w:rsidR="00A53315" w:rsidRPr="00E5690F">
        <w:rPr>
          <w:rFonts w:eastAsia="Palatino Linotype" w:cs="Palatino Linotype"/>
        </w:rPr>
        <w:t xml:space="preserve">que nos ocupa se interpuso el </w:t>
      </w:r>
      <w:r w:rsidR="00671FC7" w:rsidRPr="00E5690F">
        <w:rPr>
          <w:rFonts w:eastAsia="Palatino Linotype" w:cs="Palatino Linotype"/>
          <w:b/>
        </w:rPr>
        <w:t>doce de noviembre</w:t>
      </w:r>
      <w:r w:rsidR="006B498E" w:rsidRPr="00E5690F">
        <w:rPr>
          <w:rFonts w:eastAsia="Palatino Linotype" w:cs="Palatino Linotype"/>
          <w:b/>
        </w:rPr>
        <w:t xml:space="preserve"> de dos mil veinticuatro</w:t>
      </w:r>
      <w:r w:rsidR="00A53315" w:rsidRPr="00E5690F">
        <w:rPr>
          <w:rFonts w:eastAsia="Palatino Linotype" w:cs="Palatino Linotype"/>
          <w:bCs/>
        </w:rPr>
        <w:t>;</w:t>
      </w:r>
      <w:r w:rsidR="00A53315" w:rsidRPr="00E5690F">
        <w:rPr>
          <w:rFonts w:eastAsia="Palatino Linotype" w:cs="Palatino Linotype"/>
        </w:rPr>
        <w:t xml:space="preserve"> por lo tanto, éste se encuentra dentro del margen temporal previsto en el artículo 178 de la </w:t>
      </w:r>
      <w:r w:rsidR="00A53315" w:rsidRPr="00E5690F">
        <w:rPr>
          <w:rFonts w:cs="Arial"/>
        </w:rPr>
        <w:t>Ley de Transparencia y Acceso a la Información Pública del Estado de México y Municipios</w:t>
      </w:r>
      <w:r w:rsidR="00CB7E9A" w:rsidRPr="00E5690F">
        <w:rPr>
          <w:rFonts w:eastAsiaTheme="minorEastAsia" w:cs="Arial"/>
          <w:lang w:val="es-ES_tradnl"/>
        </w:rPr>
        <w:t>.</w:t>
      </w:r>
    </w:p>
    <w:p w14:paraId="49076992" w14:textId="77777777" w:rsidR="00D91CB4" w:rsidRPr="00E5690F" w:rsidRDefault="00D91CB4" w:rsidP="00E5690F">
      <w:pPr>
        <w:rPr>
          <w:rFonts w:eastAsia="Palatino Linotype" w:cs="Palatino Linotype"/>
        </w:rPr>
      </w:pPr>
    </w:p>
    <w:p w14:paraId="46C0EB3A" w14:textId="6A82E2BB" w:rsidR="00A53315" w:rsidRPr="00E5690F" w:rsidRDefault="00BA55A8" w:rsidP="00E5690F">
      <w:pPr>
        <w:pStyle w:val="Ttulo3"/>
        <w:rPr>
          <w:rFonts w:eastAsia="Calibri"/>
          <w:lang w:eastAsia="es-ES_tradnl"/>
        </w:rPr>
      </w:pPr>
      <w:bookmarkStart w:id="20" w:name="_Toc184813881"/>
      <w:r w:rsidRPr="00E5690F">
        <w:rPr>
          <w:rFonts w:eastAsia="Calibri"/>
          <w:lang w:eastAsia="es-ES_tradnl"/>
        </w:rPr>
        <w:t>d)</w:t>
      </w:r>
      <w:r w:rsidR="00D91CB4" w:rsidRPr="00E5690F">
        <w:rPr>
          <w:rFonts w:eastAsia="Calibri"/>
          <w:lang w:eastAsia="es-ES_tradnl"/>
        </w:rPr>
        <w:t xml:space="preserve"> </w:t>
      </w:r>
      <w:r w:rsidR="00987005" w:rsidRPr="00E5690F">
        <w:rPr>
          <w:rFonts w:eastAsia="Calibri"/>
          <w:lang w:eastAsia="es-ES_tradnl"/>
        </w:rPr>
        <w:t>Causal de procedencia.</w:t>
      </w:r>
      <w:bookmarkEnd w:id="20"/>
    </w:p>
    <w:p w14:paraId="190404A6" w14:textId="08B496FF" w:rsidR="00BA55A8" w:rsidRPr="00E5690F" w:rsidRDefault="00BA55A8" w:rsidP="00E5690F">
      <w:r w:rsidRPr="00E5690F">
        <w:rPr>
          <w:rFonts w:cs="Arial"/>
        </w:rPr>
        <w:t xml:space="preserve">Resulta procedente la interposición del recurso de revisión, ya que </w:t>
      </w:r>
      <w:r w:rsidRPr="00E5690F">
        <w:rPr>
          <w:rFonts w:eastAsia="Calibri" w:cs="Tahoma"/>
          <w:szCs w:val="22"/>
          <w:lang w:eastAsia="es-MX"/>
        </w:rPr>
        <w:t xml:space="preserve">se actualiza la causal de procedencia señalada en el artículo 179, fracción </w:t>
      </w:r>
      <w:r w:rsidR="000448F1" w:rsidRPr="00E5690F">
        <w:rPr>
          <w:rFonts w:eastAsia="Calibri" w:cs="Tahoma"/>
          <w:szCs w:val="22"/>
          <w:lang w:eastAsia="es-MX"/>
        </w:rPr>
        <w:t>VI</w:t>
      </w:r>
      <w:r w:rsidRPr="00E5690F">
        <w:rPr>
          <w:rFonts w:cs="Arial"/>
        </w:rPr>
        <w:t xml:space="preserve"> de la </w:t>
      </w:r>
      <w:r w:rsidRPr="00E5690F">
        <w:t>Ley de Transparencia y Acceso a la Información Pública del Estado de México y Municipios.</w:t>
      </w:r>
    </w:p>
    <w:p w14:paraId="0EFF7141" w14:textId="77777777" w:rsidR="00362A11" w:rsidRPr="00E5690F" w:rsidRDefault="00362A11" w:rsidP="00E5690F"/>
    <w:p w14:paraId="2284D7EB" w14:textId="3EE1D036" w:rsidR="00BA55A8" w:rsidRPr="00E5690F" w:rsidRDefault="00362A11" w:rsidP="00E5690F">
      <w:pPr>
        <w:pStyle w:val="Ttulo3"/>
      </w:pPr>
      <w:bookmarkStart w:id="21" w:name="_Toc184813882"/>
      <w:r w:rsidRPr="00E5690F">
        <w:t>e) Requisitos formales para la interposición del recurso</w:t>
      </w:r>
      <w:bookmarkEnd w:id="21"/>
    </w:p>
    <w:p w14:paraId="6390674A" w14:textId="78A894DD" w:rsidR="00BA55A8" w:rsidRPr="00E5690F" w:rsidRDefault="00BA55A8" w:rsidP="00E5690F">
      <w:pPr>
        <w:rPr>
          <w:rFonts w:cs="Arial"/>
        </w:rPr>
      </w:pPr>
      <w:r w:rsidRPr="00E5690F">
        <w:rPr>
          <w:rFonts w:cs="Arial"/>
          <w:b/>
          <w:bCs/>
        </w:rPr>
        <w:t xml:space="preserve">LA PARTE RECURRENTE </w:t>
      </w:r>
      <w:r w:rsidRPr="00E5690F">
        <w:rPr>
          <w:rFonts w:cs="Arial"/>
        </w:rPr>
        <w:t>acreditó todos y cada uno de los elementos formales exigidos por el artículo 180 de la misma normatividad.</w:t>
      </w:r>
    </w:p>
    <w:p w14:paraId="3A121826" w14:textId="77777777" w:rsidR="00C461EC" w:rsidRPr="00E5690F" w:rsidRDefault="00C461EC" w:rsidP="00E5690F">
      <w:pPr>
        <w:rPr>
          <w:bCs/>
          <w:lang w:val="es-ES_tradnl"/>
        </w:rPr>
      </w:pPr>
    </w:p>
    <w:p w14:paraId="457548E9" w14:textId="3F7AF03B" w:rsidR="00C71CEF" w:rsidRPr="00E5690F" w:rsidRDefault="00C71CEF" w:rsidP="00E5690F">
      <w:pPr>
        <w:pStyle w:val="Ttulo2"/>
      </w:pPr>
      <w:bookmarkStart w:id="22" w:name="_Toc184813883"/>
      <w:r w:rsidRPr="00E5690F">
        <w:t>SEGUNDO. Estudio de Fondo</w:t>
      </w:r>
      <w:bookmarkEnd w:id="22"/>
    </w:p>
    <w:p w14:paraId="2A308F59" w14:textId="0FF373F0" w:rsidR="00C049E2" w:rsidRPr="00E5690F" w:rsidRDefault="00C71CEF" w:rsidP="00E5690F">
      <w:pPr>
        <w:pStyle w:val="Ttulo3"/>
      </w:pPr>
      <w:bookmarkStart w:id="23" w:name="_Toc184813884"/>
      <w:r w:rsidRPr="00E5690F">
        <w:t>a</w:t>
      </w:r>
      <w:r w:rsidR="00C049E2" w:rsidRPr="00E5690F">
        <w:t>) Mandato de transparencia y responsabilidad del Sujeto Obligado</w:t>
      </w:r>
      <w:bookmarkEnd w:id="23"/>
    </w:p>
    <w:p w14:paraId="6901A889" w14:textId="59EEDAE1" w:rsidR="00C049E2" w:rsidRPr="00E5690F" w:rsidRDefault="00C049E2" w:rsidP="00E5690F">
      <w:pPr>
        <w:rPr>
          <w:rFonts w:eastAsia="Palatino Linotype"/>
        </w:rPr>
      </w:pPr>
      <w:r w:rsidRPr="00E5690F">
        <w:rPr>
          <w:rFonts w:eastAsia="Palatino Linotype"/>
        </w:rPr>
        <w:t xml:space="preserve">El </w:t>
      </w:r>
      <w:r w:rsidR="00717E59" w:rsidRPr="00E5690F">
        <w:rPr>
          <w:rFonts w:eastAsia="Palatino Linotype"/>
        </w:rPr>
        <w:t>d</w:t>
      </w:r>
      <w:r w:rsidRPr="00E5690F">
        <w:rPr>
          <w:rFonts w:eastAsia="Palatino Linotype"/>
        </w:rPr>
        <w:t xml:space="preserve">erecho de </w:t>
      </w:r>
      <w:r w:rsidR="00717E59" w:rsidRPr="00E5690F">
        <w:rPr>
          <w:rFonts w:eastAsia="Palatino Linotype"/>
        </w:rPr>
        <w:t>a</w:t>
      </w:r>
      <w:r w:rsidRPr="00E5690F">
        <w:rPr>
          <w:rFonts w:eastAsia="Palatino Linotype"/>
        </w:rPr>
        <w:t xml:space="preserve">cceso a la </w:t>
      </w:r>
      <w:r w:rsidR="00717E59" w:rsidRPr="00E5690F">
        <w:rPr>
          <w:rFonts w:eastAsia="Palatino Linotype"/>
        </w:rPr>
        <w:t>i</w:t>
      </w:r>
      <w:r w:rsidRPr="00E5690F">
        <w:rPr>
          <w:rFonts w:eastAsia="Palatino Linotype"/>
        </w:rPr>
        <w:t xml:space="preserve">nformación </w:t>
      </w:r>
      <w:r w:rsidR="00717E59" w:rsidRPr="00E5690F">
        <w:rPr>
          <w:rFonts w:eastAsia="Palatino Linotype"/>
        </w:rPr>
        <w:t>p</w:t>
      </w:r>
      <w:r w:rsidRPr="00E5690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E5690F">
        <w:rPr>
          <w:rFonts w:eastAsia="Palatino Linotype"/>
        </w:rPr>
        <w:t>:</w:t>
      </w:r>
    </w:p>
    <w:p w14:paraId="7FAB8D32" w14:textId="77777777" w:rsidR="00C049E2" w:rsidRPr="00E5690F" w:rsidRDefault="00C049E2" w:rsidP="00E5690F">
      <w:pPr>
        <w:rPr>
          <w:rFonts w:eastAsia="Palatino Linotype"/>
        </w:rPr>
      </w:pPr>
    </w:p>
    <w:p w14:paraId="05320813" w14:textId="77777777" w:rsidR="00C049E2" w:rsidRPr="00E5690F" w:rsidRDefault="00C049E2" w:rsidP="00E5690F">
      <w:pPr>
        <w:spacing w:line="240" w:lineRule="auto"/>
        <w:ind w:left="567" w:right="539"/>
        <w:rPr>
          <w:rFonts w:eastAsia="Palatino Linotype"/>
          <w:b/>
          <w:i/>
        </w:rPr>
      </w:pPr>
      <w:r w:rsidRPr="00E5690F">
        <w:rPr>
          <w:rFonts w:eastAsia="Palatino Linotype"/>
          <w:b/>
          <w:i/>
        </w:rPr>
        <w:lastRenderedPageBreak/>
        <w:t>Constitución Política de los Estados Unidos Mexicanos</w:t>
      </w:r>
    </w:p>
    <w:p w14:paraId="6B6C67B6" w14:textId="77777777" w:rsidR="00C049E2" w:rsidRPr="00E5690F" w:rsidRDefault="00C049E2" w:rsidP="00E5690F">
      <w:pPr>
        <w:spacing w:line="240" w:lineRule="auto"/>
        <w:ind w:left="567" w:right="539"/>
        <w:rPr>
          <w:rFonts w:eastAsia="Palatino Linotype"/>
          <w:b/>
          <w:i/>
        </w:rPr>
      </w:pPr>
      <w:r w:rsidRPr="00E5690F">
        <w:rPr>
          <w:rFonts w:eastAsia="Palatino Linotype"/>
          <w:b/>
          <w:i/>
        </w:rPr>
        <w:t>“Artículo 6.</w:t>
      </w:r>
    </w:p>
    <w:p w14:paraId="38D3B4C4" w14:textId="77777777" w:rsidR="00C049E2" w:rsidRPr="00E5690F" w:rsidRDefault="00C049E2" w:rsidP="00E5690F">
      <w:pPr>
        <w:spacing w:line="240" w:lineRule="auto"/>
        <w:ind w:left="567" w:right="539"/>
        <w:rPr>
          <w:rFonts w:eastAsia="Palatino Linotype"/>
          <w:i/>
        </w:rPr>
      </w:pPr>
      <w:r w:rsidRPr="00E5690F">
        <w:rPr>
          <w:rFonts w:eastAsia="Palatino Linotype"/>
          <w:i/>
        </w:rPr>
        <w:t>(…)</w:t>
      </w:r>
    </w:p>
    <w:p w14:paraId="2CCAA297" w14:textId="6602827B" w:rsidR="00C049E2" w:rsidRPr="00E5690F" w:rsidRDefault="00C049E2" w:rsidP="00E5690F">
      <w:pPr>
        <w:spacing w:line="240" w:lineRule="auto"/>
        <w:ind w:left="567" w:right="539"/>
        <w:rPr>
          <w:rFonts w:eastAsia="Palatino Linotype"/>
          <w:i/>
        </w:rPr>
      </w:pPr>
      <w:r w:rsidRPr="00E5690F">
        <w:rPr>
          <w:rFonts w:eastAsia="Palatino Linotype"/>
          <w:i/>
        </w:rPr>
        <w:t>Para efectos de lo dispuesto en el presente artículo se observará lo siguiente:</w:t>
      </w:r>
    </w:p>
    <w:p w14:paraId="74CC3718" w14:textId="77777777" w:rsidR="00C049E2" w:rsidRPr="00E5690F" w:rsidRDefault="00C049E2" w:rsidP="00E5690F">
      <w:pPr>
        <w:spacing w:line="240" w:lineRule="auto"/>
        <w:ind w:left="567" w:right="539"/>
        <w:rPr>
          <w:rFonts w:eastAsia="Palatino Linotype"/>
          <w:b/>
          <w:i/>
        </w:rPr>
      </w:pPr>
      <w:r w:rsidRPr="00E5690F">
        <w:rPr>
          <w:rFonts w:eastAsia="Palatino Linotype"/>
          <w:b/>
          <w:i/>
        </w:rPr>
        <w:t>A</w:t>
      </w:r>
      <w:r w:rsidRPr="00E5690F">
        <w:rPr>
          <w:rFonts w:eastAsia="Palatino Linotype"/>
          <w:i/>
        </w:rPr>
        <w:t xml:space="preserve">. </w:t>
      </w:r>
      <w:r w:rsidRPr="00E5690F">
        <w:rPr>
          <w:rFonts w:eastAsia="Palatino Linotype"/>
          <w:b/>
          <w:i/>
        </w:rPr>
        <w:t>Para el ejercicio del derecho de acceso a la información</w:t>
      </w:r>
      <w:r w:rsidRPr="00E5690F">
        <w:rPr>
          <w:rFonts w:eastAsia="Palatino Linotype"/>
          <w:i/>
        </w:rPr>
        <w:t xml:space="preserve">, la Federación y </w:t>
      </w:r>
      <w:r w:rsidRPr="00E5690F">
        <w:rPr>
          <w:rFonts w:eastAsia="Palatino Linotype"/>
          <w:b/>
          <w:i/>
        </w:rPr>
        <w:t>las entidades federativas, en el ámbito de sus respectivas competencias, se regirán por los siguientes principios y bases:</w:t>
      </w:r>
    </w:p>
    <w:p w14:paraId="596A956B" w14:textId="77777777" w:rsidR="00C049E2" w:rsidRPr="00E5690F" w:rsidRDefault="00C049E2" w:rsidP="00E5690F">
      <w:pPr>
        <w:spacing w:line="240" w:lineRule="auto"/>
        <w:ind w:left="567" w:right="539"/>
        <w:rPr>
          <w:rFonts w:eastAsia="Palatino Linotype"/>
          <w:i/>
        </w:rPr>
      </w:pPr>
      <w:r w:rsidRPr="00E5690F">
        <w:rPr>
          <w:rFonts w:eastAsia="Palatino Linotype"/>
          <w:b/>
          <w:i/>
        </w:rPr>
        <w:t xml:space="preserve">I. </w:t>
      </w:r>
      <w:r w:rsidRPr="00E5690F">
        <w:rPr>
          <w:rFonts w:eastAsia="Palatino Linotype"/>
          <w:b/>
          <w:i/>
        </w:rPr>
        <w:tab/>
        <w:t>Toda la información en posesión de cualquier</w:t>
      </w:r>
      <w:r w:rsidRPr="00E5690F">
        <w:rPr>
          <w:rFonts w:eastAsia="Palatino Linotype"/>
          <w:i/>
        </w:rPr>
        <w:t xml:space="preserve"> </w:t>
      </w:r>
      <w:r w:rsidRPr="00E5690F">
        <w:rPr>
          <w:rFonts w:eastAsia="Palatino Linotype"/>
          <w:b/>
          <w:i/>
        </w:rPr>
        <w:t>autoridad</w:t>
      </w:r>
      <w:r w:rsidRPr="00E5690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5690F">
        <w:rPr>
          <w:rFonts w:eastAsia="Palatino Linotype"/>
          <w:b/>
          <w:i/>
        </w:rPr>
        <w:t>municipal</w:t>
      </w:r>
      <w:r w:rsidRPr="00E5690F">
        <w:rPr>
          <w:rFonts w:eastAsia="Palatino Linotype"/>
          <w:i/>
        </w:rPr>
        <w:t xml:space="preserve">, </w:t>
      </w:r>
      <w:r w:rsidRPr="00E5690F">
        <w:rPr>
          <w:rFonts w:eastAsia="Palatino Linotype"/>
          <w:b/>
          <w:i/>
        </w:rPr>
        <w:t>es pública</w:t>
      </w:r>
      <w:r w:rsidRPr="00E5690F">
        <w:rPr>
          <w:rFonts w:eastAsia="Palatino Linotype"/>
          <w:i/>
        </w:rPr>
        <w:t xml:space="preserve"> y sólo podrá ser reservada temporalmente por razones de interés público y seguridad nacional, en los términos que fijen las leyes. </w:t>
      </w:r>
      <w:r w:rsidRPr="00E5690F">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E5690F">
        <w:rPr>
          <w:rFonts w:eastAsia="Palatino Linotype"/>
          <w:i/>
        </w:rPr>
        <w:t>, la ley determinará los supuestos específicos bajo los cuales procederá la declaración de inexistencia de la información.”</w:t>
      </w:r>
    </w:p>
    <w:p w14:paraId="68F313E4" w14:textId="77777777" w:rsidR="00C049E2" w:rsidRPr="00E5690F" w:rsidRDefault="00C049E2" w:rsidP="00E5690F">
      <w:pPr>
        <w:spacing w:line="240" w:lineRule="auto"/>
        <w:ind w:left="567" w:right="539"/>
        <w:rPr>
          <w:rFonts w:eastAsia="Palatino Linotype"/>
          <w:b/>
          <w:i/>
        </w:rPr>
      </w:pPr>
    </w:p>
    <w:p w14:paraId="504F12DB" w14:textId="77777777" w:rsidR="00C049E2" w:rsidRPr="00E5690F" w:rsidRDefault="00C049E2" w:rsidP="00E5690F">
      <w:pPr>
        <w:spacing w:line="240" w:lineRule="auto"/>
        <w:ind w:left="567" w:right="539"/>
        <w:rPr>
          <w:rFonts w:eastAsia="Palatino Linotype"/>
          <w:b/>
          <w:i/>
        </w:rPr>
      </w:pPr>
      <w:r w:rsidRPr="00E5690F">
        <w:rPr>
          <w:rFonts w:eastAsia="Palatino Linotype"/>
          <w:b/>
          <w:i/>
        </w:rPr>
        <w:t>Constitución Política del Estado Libre y Soberano de México</w:t>
      </w:r>
    </w:p>
    <w:p w14:paraId="04932D29" w14:textId="77777777" w:rsidR="00C049E2" w:rsidRPr="00E5690F" w:rsidRDefault="00C049E2" w:rsidP="00E5690F">
      <w:pPr>
        <w:spacing w:line="240" w:lineRule="auto"/>
        <w:ind w:left="567" w:right="539"/>
        <w:rPr>
          <w:rFonts w:eastAsia="Palatino Linotype"/>
          <w:i/>
        </w:rPr>
      </w:pPr>
      <w:r w:rsidRPr="00E5690F">
        <w:rPr>
          <w:rFonts w:eastAsia="Palatino Linotype"/>
          <w:b/>
          <w:i/>
        </w:rPr>
        <w:t>“Artículo 5</w:t>
      </w:r>
      <w:r w:rsidRPr="00E5690F">
        <w:rPr>
          <w:rFonts w:eastAsia="Palatino Linotype"/>
          <w:i/>
        </w:rPr>
        <w:t xml:space="preserve">.- </w:t>
      </w:r>
    </w:p>
    <w:p w14:paraId="1D3829F4" w14:textId="77777777" w:rsidR="00C049E2" w:rsidRPr="00E5690F" w:rsidRDefault="00C049E2" w:rsidP="00E5690F">
      <w:pPr>
        <w:spacing w:line="240" w:lineRule="auto"/>
        <w:ind w:left="567" w:right="539"/>
        <w:rPr>
          <w:rFonts w:eastAsia="Palatino Linotype"/>
          <w:i/>
        </w:rPr>
      </w:pPr>
      <w:r w:rsidRPr="00E5690F">
        <w:rPr>
          <w:rFonts w:eastAsia="Palatino Linotype"/>
          <w:i/>
        </w:rPr>
        <w:t>(…)</w:t>
      </w:r>
    </w:p>
    <w:p w14:paraId="0EAE47FD" w14:textId="77777777" w:rsidR="00C049E2" w:rsidRPr="00E5690F" w:rsidRDefault="00C049E2" w:rsidP="00E5690F">
      <w:pPr>
        <w:spacing w:line="240" w:lineRule="auto"/>
        <w:ind w:left="567" w:right="539"/>
        <w:rPr>
          <w:rFonts w:eastAsia="Palatino Linotype"/>
          <w:i/>
        </w:rPr>
      </w:pPr>
      <w:r w:rsidRPr="00E5690F">
        <w:rPr>
          <w:rFonts w:eastAsia="Palatino Linotype"/>
          <w:b/>
          <w:i/>
        </w:rPr>
        <w:t>El derecho a la información será garantizado por el Estado. La ley establecerá las previsiones que permitan asegurar la protección, el respeto y la difusión de este derecho</w:t>
      </w:r>
      <w:r w:rsidRPr="00E5690F">
        <w:rPr>
          <w:rFonts w:eastAsia="Palatino Linotype"/>
          <w:i/>
        </w:rPr>
        <w:t>.</w:t>
      </w:r>
    </w:p>
    <w:p w14:paraId="4F0C804A" w14:textId="77777777" w:rsidR="00C049E2" w:rsidRPr="00E5690F" w:rsidRDefault="00C049E2" w:rsidP="00E5690F">
      <w:pPr>
        <w:spacing w:line="240" w:lineRule="auto"/>
        <w:ind w:left="567" w:right="539"/>
        <w:rPr>
          <w:rFonts w:eastAsia="Palatino Linotype"/>
          <w:i/>
        </w:rPr>
      </w:pPr>
      <w:r w:rsidRPr="00E5690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E5690F" w:rsidRDefault="00C049E2" w:rsidP="00E5690F">
      <w:pPr>
        <w:spacing w:line="240" w:lineRule="auto"/>
        <w:ind w:left="567" w:right="539"/>
        <w:rPr>
          <w:rFonts w:eastAsia="Palatino Linotype"/>
          <w:i/>
        </w:rPr>
      </w:pPr>
      <w:r w:rsidRPr="00E5690F">
        <w:rPr>
          <w:rFonts w:eastAsia="Palatino Linotype"/>
          <w:b/>
          <w:i/>
        </w:rPr>
        <w:t>Este derecho se regirá por los principios y bases siguientes</w:t>
      </w:r>
      <w:r w:rsidRPr="00E5690F">
        <w:rPr>
          <w:rFonts w:eastAsia="Palatino Linotype"/>
          <w:i/>
        </w:rPr>
        <w:t>:</w:t>
      </w:r>
    </w:p>
    <w:p w14:paraId="4A3E8CBA" w14:textId="77777777" w:rsidR="00C049E2" w:rsidRPr="00E5690F" w:rsidRDefault="00C049E2" w:rsidP="00E5690F">
      <w:pPr>
        <w:spacing w:line="240" w:lineRule="auto"/>
        <w:ind w:left="567" w:right="539"/>
        <w:rPr>
          <w:rFonts w:eastAsia="Palatino Linotype"/>
          <w:i/>
        </w:rPr>
      </w:pPr>
      <w:r w:rsidRPr="00E5690F">
        <w:rPr>
          <w:rFonts w:eastAsia="Palatino Linotype"/>
          <w:b/>
          <w:i/>
        </w:rPr>
        <w:t>I. Toda la información en posesión de cualquier autoridad, entidad, órgano y organismos de los</w:t>
      </w:r>
      <w:r w:rsidRPr="00E5690F">
        <w:rPr>
          <w:rFonts w:eastAsia="Palatino Linotype"/>
          <w:i/>
        </w:rPr>
        <w:t xml:space="preserve"> Poderes Ejecutivo, Legislativo y Judicial, órganos autónomos, partidos políticos, fideicomisos y fondos públicos estatales y </w:t>
      </w:r>
      <w:r w:rsidRPr="00E5690F">
        <w:rPr>
          <w:rFonts w:eastAsia="Palatino Linotype"/>
          <w:b/>
          <w:i/>
        </w:rPr>
        <w:t>municipales</w:t>
      </w:r>
      <w:r w:rsidRPr="00E5690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5690F">
        <w:rPr>
          <w:rFonts w:eastAsia="Palatino Linotype"/>
          <w:b/>
          <w:i/>
        </w:rPr>
        <w:t>es pública</w:t>
      </w:r>
      <w:r w:rsidRPr="00E5690F">
        <w:rPr>
          <w:rFonts w:eastAsia="Palatino Linotype"/>
          <w:i/>
        </w:rPr>
        <w:t xml:space="preserve"> y sólo podrá ser </w:t>
      </w:r>
      <w:r w:rsidRPr="00E5690F">
        <w:rPr>
          <w:rFonts w:eastAsia="Palatino Linotype"/>
          <w:i/>
        </w:rPr>
        <w:lastRenderedPageBreak/>
        <w:t xml:space="preserve">reservada temporalmente por razones previstas en la Constitución Política de los Estados Unidos Mexicanos de interés público y seguridad, en los términos que fijen las leyes. </w:t>
      </w:r>
      <w:r w:rsidRPr="00E5690F">
        <w:rPr>
          <w:rFonts w:eastAsia="Palatino Linotype"/>
          <w:b/>
          <w:i/>
        </w:rPr>
        <w:t>En la interpretación de este derecho deberá prevalecer el principio de máxima publicidad</w:t>
      </w:r>
      <w:r w:rsidRPr="00E5690F">
        <w:rPr>
          <w:rFonts w:eastAsia="Palatino Linotype"/>
          <w:i/>
        </w:rPr>
        <w:t xml:space="preserve">. </w:t>
      </w:r>
      <w:r w:rsidRPr="00E5690F">
        <w:rPr>
          <w:rFonts w:eastAsia="Palatino Linotype"/>
          <w:b/>
          <w:i/>
        </w:rPr>
        <w:t>Los sujetos obligados deberán documentar todo acto que derive del ejercicio de sus facultades, competencias o funciones</w:t>
      </w:r>
      <w:r w:rsidRPr="00E5690F">
        <w:rPr>
          <w:rFonts w:eastAsia="Palatino Linotype"/>
          <w:i/>
        </w:rPr>
        <w:t>, la ley determinará los supuestos específicos bajo los cuales procederá la declaración de inexistencia de la información.”</w:t>
      </w:r>
    </w:p>
    <w:p w14:paraId="5CA98E37" w14:textId="77777777" w:rsidR="00C049E2" w:rsidRPr="00E5690F" w:rsidRDefault="00C049E2" w:rsidP="00E5690F">
      <w:pPr>
        <w:rPr>
          <w:rFonts w:eastAsia="Palatino Linotype"/>
          <w:b/>
          <w:i/>
        </w:rPr>
      </w:pPr>
    </w:p>
    <w:p w14:paraId="6FC1BB3B" w14:textId="3BF4A33D" w:rsidR="00C049E2" w:rsidRPr="00E5690F" w:rsidRDefault="00717E59" w:rsidP="00E5690F">
      <w:pPr>
        <w:rPr>
          <w:rFonts w:eastAsia="Palatino Linotype"/>
          <w:i/>
        </w:rPr>
      </w:pPr>
      <w:r w:rsidRPr="00E5690F">
        <w:rPr>
          <w:rFonts w:eastAsia="Palatino Linotype"/>
        </w:rPr>
        <w:t xml:space="preserve">Asimismo, </w:t>
      </w:r>
      <w:r w:rsidR="00C049E2" w:rsidRPr="00E5690F">
        <w:rPr>
          <w:rFonts w:eastAsia="Palatino Linotype"/>
        </w:rPr>
        <w:t>el artículo 150 de la Ley de Transparencia y Acceso a la Información Pública del Estado de México y Municipios</w:t>
      </w:r>
      <w:r w:rsidR="00057B2D" w:rsidRPr="00E5690F">
        <w:rPr>
          <w:rFonts w:eastAsia="Palatino Linotype"/>
        </w:rPr>
        <w:t xml:space="preserve"> </w:t>
      </w:r>
      <w:r w:rsidR="00E9335C" w:rsidRPr="00E5690F">
        <w:rPr>
          <w:rFonts w:eastAsia="Palatino Linotype"/>
        </w:rPr>
        <w:t xml:space="preserve">indica </w:t>
      </w:r>
      <w:r w:rsidR="00057B2D" w:rsidRPr="00E5690F">
        <w:rPr>
          <w:rFonts w:eastAsia="Palatino Linotype"/>
        </w:rPr>
        <w:t>que</w:t>
      </w:r>
      <w:r w:rsidR="00C049E2" w:rsidRPr="00E5690F">
        <w:rPr>
          <w:rFonts w:eastAsia="Palatino Linotype"/>
        </w:rPr>
        <w:t xml:space="preserve"> la solicitud es la garantía primaria del Derecho de Acceso a la Información, además, establece que se regirá </w:t>
      </w:r>
      <w:r w:rsidR="00C049E2" w:rsidRPr="00E5690F">
        <w:rPr>
          <w:rFonts w:eastAsia="Palatino Linotype"/>
          <w:i/>
        </w:rPr>
        <w:t>por los principios de simplicidad, rapidez</w:t>
      </w:r>
      <w:r w:rsidR="005F65B7" w:rsidRPr="00E5690F">
        <w:rPr>
          <w:rFonts w:eastAsia="Palatino Linotype"/>
          <w:i/>
        </w:rPr>
        <w:t>,</w:t>
      </w:r>
      <w:r w:rsidR="00C049E2" w:rsidRPr="00E5690F">
        <w:rPr>
          <w:rFonts w:eastAsia="Palatino Linotype"/>
          <w:i/>
        </w:rPr>
        <w:t xml:space="preserve"> gratuidad del procedimiento, auxilio y orientación a los particulare</w:t>
      </w:r>
      <w:r w:rsidR="001A58B3" w:rsidRPr="00E5690F">
        <w:rPr>
          <w:rFonts w:eastAsia="Palatino Linotype"/>
          <w:i/>
        </w:rPr>
        <w:t>s.</w:t>
      </w:r>
    </w:p>
    <w:p w14:paraId="033466A6" w14:textId="77777777" w:rsidR="001A58B3" w:rsidRPr="00E5690F" w:rsidRDefault="001A58B3" w:rsidP="00E5690F">
      <w:pPr>
        <w:rPr>
          <w:rFonts w:eastAsia="Palatino Linotype"/>
          <w:i/>
        </w:rPr>
      </w:pPr>
    </w:p>
    <w:p w14:paraId="04ADA10B" w14:textId="574A944A" w:rsidR="001A58B3" w:rsidRPr="00E5690F" w:rsidRDefault="00233F17" w:rsidP="00E5690F">
      <w:pPr>
        <w:rPr>
          <w:rFonts w:eastAsia="Palatino Linotype" w:cs="Palatino Linotype"/>
          <w:i/>
          <w:szCs w:val="22"/>
        </w:rPr>
      </w:pPr>
      <w:r w:rsidRPr="00E5690F">
        <w:rPr>
          <w:rFonts w:eastAsia="Palatino Linotype" w:cs="Palatino Linotype"/>
        </w:rPr>
        <w:t xml:space="preserve">Por su parte, el artículo 4 de </w:t>
      </w:r>
      <w:r w:rsidR="001A58B3" w:rsidRPr="00E5690F">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E5690F">
        <w:rPr>
          <w:rFonts w:eastAsia="Palatino Linotype" w:cs="Palatino Linotype"/>
        </w:rPr>
        <w:t>.</w:t>
      </w:r>
    </w:p>
    <w:p w14:paraId="1407DBB8" w14:textId="77777777" w:rsidR="001A58B3" w:rsidRPr="00E5690F" w:rsidRDefault="001A58B3" w:rsidP="00E5690F">
      <w:pPr>
        <w:rPr>
          <w:rFonts w:eastAsia="Palatino Linotype" w:cs="Palatino Linotype"/>
        </w:rPr>
      </w:pPr>
    </w:p>
    <w:p w14:paraId="7552AA79" w14:textId="5C52E4A4" w:rsidR="001A58B3" w:rsidRPr="00E5690F" w:rsidRDefault="001A58B3" w:rsidP="00E5690F">
      <w:pPr>
        <w:rPr>
          <w:rFonts w:eastAsia="Palatino Linotype" w:cs="Palatino Linotype"/>
        </w:rPr>
      </w:pPr>
      <w:r w:rsidRPr="00E5690F">
        <w:rPr>
          <w:rFonts w:eastAsia="Palatino Linotype" w:cs="Palatino Linotype"/>
        </w:rPr>
        <w:t xml:space="preserve">Esto es, que los Sujetos Obligados </w:t>
      </w:r>
      <w:r w:rsidR="00FA5957" w:rsidRPr="00E5690F">
        <w:rPr>
          <w:rFonts w:eastAsia="Palatino Linotype" w:cs="Palatino Linotype"/>
        </w:rPr>
        <w:t>deben</w:t>
      </w:r>
      <w:r w:rsidRPr="00E5690F">
        <w:rPr>
          <w:rFonts w:eastAsia="Palatino Linotype" w:cs="Palatino Linotype"/>
        </w:rPr>
        <w:t xml:space="preserve"> atender las solicitudes de acceso a la información pública que se les </w:t>
      </w:r>
      <w:r w:rsidR="00FA5957" w:rsidRPr="00E5690F">
        <w:rPr>
          <w:rFonts w:eastAsia="Palatino Linotype" w:cs="Palatino Linotype"/>
        </w:rPr>
        <w:t>sean realizadas,</w:t>
      </w:r>
      <w:r w:rsidRPr="00E5690F">
        <w:rPr>
          <w:rFonts w:eastAsia="Palatino Linotype" w:cs="Palatino Linotype"/>
        </w:rPr>
        <w:t xml:space="preserve"> y proporcionar la información pública que obre en su poder</w:t>
      </w:r>
      <w:r w:rsidR="00FA5957" w:rsidRPr="00E5690F">
        <w:rPr>
          <w:rFonts w:eastAsia="Palatino Linotype" w:cs="Palatino Linotype"/>
        </w:rPr>
        <w:t>,</w:t>
      </w:r>
      <w:r w:rsidRPr="00E5690F">
        <w:rPr>
          <w:rFonts w:eastAsia="Palatino Linotype" w:cs="Palatino Linotype"/>
        </w:rPr>
        <w:t xml:space="preserve"> conforme </w:t>
      </w:r>
      <w:r w:rsidR="00FA5957" w:rsidRPr="00E5690F">
        <w:rPr>
          <w:rFonts w:eastAsia="Palatino Linotype" w:cs="Palatino Linotype"/>
        </w:rPr>
        <w:t>a</w:t>
      </w:r>
      <w:r w:rsidRPr="00E5690F">
        <w:rPr>
          <w:rFonts w:eastAsia="Palatino Linotype" w:cs="Palatino Linotype"/>
        </w:rPr>
        <w:t xml:space="preserve">l estado </w:t>
      </w:r>
      <w:r w:rsidR="00FA5957" w:rsidRPr="00E5690F">
        <w:rPr>
          <w:rFonts w:eastAsia="Palatino Linotype" w:cs="Palatino Linotype"/>
        </w:rPr>
        <w:t xml:space="preserve">en </w:t>
      </w:r>
      <w:r w:rsidRPr="00E5690F">
        <w:rPr>
          <w:rFonts w:eastAsia="Palatino Linotype" w:cs="Palatino Linotype"/>
        </w:rPr>
        <w:t>que se encuentr</w:t>
      </w:r>
      <w:r w:rsidR="00FA5957" w:rsidRPr="00E5690F">
        <w:rPr>
          <w:rFonts w:eastAsia="Palatino Linotype" w:cs="Palatino Linotype"/>
        </w:rPr>
        <w:t>e, sin que sea necesario</w:t>
      </w:r>
      <w:r w:rsidRPr="00E5690F">
        <w:rPr>
          <w:rFonts w:eastAsia="Palatino Linotype" w:cs="Palatino Linotype"/>
        </w:rPr>
        <w:t xml:space="preserve"> </w:t>
      </w:r>
      <w:r w:rsidR="00FA5957" w:rsidRPr="00E5690F">
        <w:rPr>
          <w:rFonts w:eastAsia="Palatino Linotype" w:cs="Palatino Linotype"/>
        </w:rPr>
        <w:t>procesar</w:t>
      </w:r>
      <w:r w:rsidRPr="00E5690F">
        <w:rPr>
          <w:rFonts w:eastAsia="Palatino Linotype" w:cs="Palatino Linotype"/>
        </w:rPr>
        <w:t xml:space="preserve"> la misma, ni presentarla conforme al interés del solicitante; </w:t>
      </w:r>
      <w:r w:rsidR="00FA5957" w:rsidRPr="00E5690F">
        <w:rPr>
          <w:rFonts w:eastAsia="Palatino Linotype" w:cs="Palatino Linotype"/>
        </w:rPr>
        <w:t>tal y como</w:t>
      </w:r>
      <w:r w:rsidRPr="00E5690F">
        <w:rPr>
          <w:rFonts w:eastAsia="Palatino Linotype" w:cs="Palatino Linotype"/>
        </w:rPr>
        <w:t xml:space="preserve"> lo establece el artículo 12 de la Ley de Transparencia y Acceso a la Información Pública del Estado de México y Municipios</w:t>
      </w:r>
      <w:r w:rsidR="00970EB3" w:rsidRPr="00E5690F">
        <w:rPr>
          <w:rFonts w:eastAsia="Palatino Linotype" w:cs="Palatino Linotype"/>
        </w:rPr>
        <w:t>.</w:t>
      </w:r>
    </w:p>
    <w:p w14:paraId="73245195" w14:textId="77777777" w:rsidR="00970EB3" w:rsidRPr="00E5690F" w:rsidRDefault="00970EB3" w:rsidP="00E5690F">
      <w:pPr>
        <w:rPr>
          <w:rFonts w:eastAsia="Palatino Linotype" w:cs="Palatino Linotype"/>
        </w:rPr>
      </w:pPr>
    </w:p>
    <w:p w14:paraId="7F62D4DF" w14:textId="775730E1" w:rsidR="001A58B3" w:rsidRPr="00E5690F" w:rsidRDefault="001A58B3" w:rsidP="00E5690F">
      <w:pPr>
        <w:rPr>
          <w:rFonts w:eastAsia="Palatino Linotype" w:cs="Palatino Linotype"/>
        </w:rPr>
      </w:pPr>
      <w:r w:rsidRPr="00E5690F">
        <w:rPr>
          <w:rFonts w:eastAsia="Palatino Linotype" w:cs="Palatino Linotype"/>
        </w:rPr>
        <w:t>Es decir, que todo sujeto obligado que genere, recopile, administre, procese, archive, posea o conserven, son responsables de la misma</w:t>
      </w:r>
      <w:r w:rsidR="00970EB3" w:rsidRPr="00E5690F">
        <w:rPr>
          <w:rFonts w:eastAsia="Palatino Linotype" w:cs="Palatino Linotype"/>
        </w:rPr>
        <w:t>,</w:t>
      </w:r>
      <w:r w:rsidRPr="00E5690F">
        <w:rPr>
          <w:rFonts w:eastAsia="Palatino Linotype" w:cs="Palatino Linotype"/>
        </w:rPr>
        <w:t xml:space="preserve"> teniendo a su vez la obligación de proporcionar la </w:t>
      </w:r>
      <w:r w:rsidRPr="00E5690F">
        <w:rPr>
          <w:rFonts w:eastAsia="Palatino Linotype" w:cs="Palatino Linotype"/>
        </w:rPr>
        <w:lastRenderedPageBreak/>
        <w:t xml:space="preserve">información que se les requiera sin necesidad de resumirla, efectuar procedimientos para obtenerla, calcular </w:t>
      </w:r>
      <w:r w:rsidR="00970EB3" w:rsidRPr="00E5690F">
        <w:rPr>
          <w:rFonts w:eastAsia="Palatino Linotype" w:cs="Palatino Linotype"/>
        </w:rPr>
        <w:t>o</w:t>
      </w:r>
      <w:r w:rsidRPr="00E5690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E5690F" w:rsidRDefault="001A58B3" w:rsidP="00E5690F">
      <w:pPr>
        <w:rPr>
          <w:rFonts w:eastAsia="Palatino Linotype" w:cs="Palatino Linotype"/>
        </w:rPr>
      </w:pPr>
    </w:p>
    <w:p w14:paraId="04E42DFE" w14:textId="573F1198" w:rsidR="001A58B3" w:rsidRPr="00E5690F" w:rsidRDefault="001A58B3" w:rsidP="00E5690F">
      <w:pPr>
        <w:rPr>
          <w:rFonts w:eastAsia="Palatino Linotype" w:cs="Palatino Linotype"/>
        </w:rPr>
      </w:pPr>
      <w:r w:rsidRPr="00E5690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E5690F">
        <w:rPr>
          <w:rFonts w:eastAsia="Palatino Linotype" w:cs="Palatino Linotype"/>
        </w:rPr>
        <w:t>, s</w:t>
      </w:r>
      <w:r w:rsidRPr="00E5690F">
        <w:rPr>
          <w:rFonts w:eastAsia="Palatino Linotype" w:cs="Palatino Linotype"/>
        </w:rPr>
        <w:t xml:space="preserve">iempre y cuando no se trate de información reservada o </w:t>
      </w:r>
      <w:r w:rsidR="00331F35" w:rsidRPr="00E5690F">
        <w:rPr>
          <w:rFonts w:eastAsia="Palatino Linotype" w:cs="Palatino Linotype"/>
        </w:rPr>
        <w:t>confidencial.</w:t>
      </w:r>
    </w:p>
    <w:p w14:paraId="40C5219F" w14:textId="77777777" w:rsidR="001A58B3" w:rsidRPr="00E5690F" w:rsidRDefault="001A58B3" w:rsidP="00E5690F">
      <w:pPr>
        <w:rPr>
          <w:rFonts w:eastAsia="Palatino Linotype" w:cs="Palatino Linotype"/>
        </w:rPr>
      </w:pPr>
    </w:p>
    <w:p w14:paraId="2E629608" w14:textId="01727E15" w:rsidR="00C049E2" w:rsidRPr="00E5690F" w:rsidRDefault="006067C7" w:rsidP="00E5690F">
      <w:pPr>
        <w:rPr>
          <w:rFonts w:eastAsia="Palatino Linotype"/>
        </w:rPr>
      </w:pPr>
      <w:bookmarkStart w:id="24" w:name="_heading=h.2s8eyo1" w:colFirst="0" w:colLast="0"/>
      <w:bookmarkEnd w:id="24"/>
      <w:r w:rsidRPr="00E5690F">
        <w:rPr>
          <w:rFonts w:eastAsia="Palatino Linotype"/>
        </w:rPr>
        <w:t>Con base en lo anterior</w:t>
      </w:r>
      <w:r w:rsidR="00B22A80" w:rsidRPr="00E5690F">
        <w:rPr>
          <w:rFonts w:eastAsia="Palatino Linotype"/>
        </w:rPr>
        <w:t>, se considera que</w:t>
      </w:r>
      <w:r w:rsidR="00C049E2" w:rsidRPr="00E5690F">
        <w:rPr>
          <w:rFonts w:eastAsia="Palatino Linotype"/>
        </w:rPr>
        <w:t xml:space="preserve"> </w:t>
      </w:r>
      <w:r w:rsidR="00B22A80" w:rsidRPr="00E5690F">
        <w:rPr>
          <w:rFonts w:eastAsia="Palatino Linotype"/>
          <w:b/>
          <w:bCs/>
        </w:rPr>
        <w:t>EL</w:t>
      </w:r>
      <w:r w:rsidR="00C049E2" w:rsidRPr="00E5690F">
        <w:rPr>
          <w:rFonts w:eastAsia="Palatino Linotype"/>
        </w:rPr>
        <w:t xml:space="preserve"> </w:t>
      </w:r>
      <w:r w:rsidR="00C049E2" w:rsidRPr="00E5690F">
        <w:rPr>
          <w:rFonts w:eastAsia="Palatino Linotype"/>
          <w:b/>
        </w:rPr>
        <w:t>SUJETO OBLIGADO</w:t>
      </w:r>
      <w:r w:rsidR="00C049E2" w:rsidRPr="00E5690F">
        <w:rPr>
          <w:rFonts w:eastAsia="Palatino Linotype"/>
        </w:rPr>
        <w:t xml:space="preserve"> </w:t>
      </w:r>
      <w:r w:rsidR="00B22A80" w:rsidRPr="00E5690F">
        <w:rPr>
          <w:rFonts w:eastAsia="Palatino Linotype"/>
        </w:rPr>
        <w:t xml:space="preserve">se </w:t>
      </w:r>
      <w:r w:rsidR="00717E59" w:rsidRPr="00E5690F">
        <w:rPr>
          <w:rFonts w:eastAsia="Palatino Linotype"/>
        </w:rPr>
        <w:t>encontraba</w:t>
      </w:r>
      <w:r w:rsidR="00B22A80" w:rsidRPr="00E5690F">
        <w:rPr>
          <w:rFonts w:eastAsia="Palatino Linotype"/>
        </w:rPr>
        <w:t xml:space="preserve"> compelido a</w:t>
      </w:r>
      <w:r w:rsidR="00C049E2" w:rsidRPr="00E5690F">
        <w:rPr>
          <w:rFonts w:eastAsia="Palatino Linotype"/>
        </w:rPr>
        <w:t xml:space="preserve"> atender la solicitud de acceso a la información </w:t>
      </w:r>
      <w:r w:rsidR="00B22A80" w:rsidRPr="00E5690F">
        <w:rPr>
          <w:rFonts w:eastAsia="Palatino Linotype"/>
        </w:rPr>
        <w:t xml:space="preserve">realizada por </w:t>
      </w:r>
      <w:r w:rsidR="00B22A80" w:rsidRPr="00E5690F">
        <w:rPr>
          <w:rFonts w:eastAsia="Palatino Linotype"/>
          <w:b/>
          <w:bCs/>
        </w:rPr>
        <w:t>LA PARTE RECURRENTE</w:t>
      </w:r>
      <w:r w:rsidR="00331F35" w:rsidRPr="00E5690F">
        <w:rPr>
          <w:rFonts w:eastAsia="Palatino Linotype"/>
        </w:rPr>
        <w:t>.</w:t>
      </w:r>
    </w:p>
    <w:p w14:paraId="1611F147" w14:textId="77777777" w:rsidR="00BD5A7C" w:rsidRPr="00E5690F" w:rsidRDefault="00BD5A7C" w:rsidP="00E5690F">
      <w:pPr>
        <w:rPr>
          <w:rFonts w:eastAsia="Palatino Linotype"/>
        </w:rPr>
      </w:pPr>
    </w:p>
    <w:p w14:paraId="51A0E8B4" w14:textId="676DCA47" w:rsidR="00664420" w:rsidRPr="00E5690F" w:rsidRDefault="00C71CEF" w:rsidP="00E5690F">
      <w:pPr>
        <w:pStyle w:val="Ttulo3"/>
        <w:rPr>
          <w:rFonts w:eastAsia="Calibri"/>
          <w:lang w:eastAsia="es-ES_tradnl"/>
        </w:rPr>
      </w:pPr>
      <w:bookmarkStart w:id="25" w:name="_Toc184813885"/>
      <w:r w:rsidRPr="00E5690F">
        <w:rPr>
          <w:rFonts w:eastAsia="Calibri"/>
          <w:lang w:eastAsia="es-ES_tradnl"/>
        </w:rPr>
        <w:t>b)</w:t>
      </w:r>
      <w:r w:rsidR="00A53315" w:rsidRPr="00E5690F">
        <w:rPr>
          <w:rFonts w:eastAsia="Calibri"/>
          <w:lang w:eastAsia="es-ES_tradnl"/>
        </w:rPr>
        <w:t xml:space="preserve"> </w:t>
      </w:r>
      <w:r w:rsidR="00A21A20" w:rsidRPr="00E5690F">
        <w:rPr>
          <w:rFonts w:eastAsia="Calibri"/>
          <w:lang w:eastAsia="es-ES_tradnl"/>
        </w:rPr>
        <w:t>Controversia a resolver</w:t>
      </w:r>
      <w:bookmarkEnd w:id="25"/>
    </w:p>
    <w:p w14:paraId="5DAE2A65" w14:textId="559A996F" w:rsidR="00664420" w:rsidRPr="00E5690F" w:rsidRDefault="00664420" w:rsidP="00E5690F">
      <w:pPr>
        <w:rPr>
          <w:rFonts w:eastAsia="Calibri"/>
          <w:lang w:eastAsia="es-ES_tradnl"/>
        </w:rPr>
      </w:pPr>
      <w:r w:rsidRPr="00E5690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E5690F">
        <w:rPr>
          <w:rFonts w:eastAsia="Calibri"/>
          <w:b/>
          <w:bCs/>
          <w:lang w:eastAsia="es-ES_tradnl"/>
        </w:rPr>
        <w:t>LA PARTE RECURRENTE</w:t>
      </w:r>
      <w:r w:rsidRPr="00E5690F">
        <w:rPr>
          <w:rFonts w:eastAsia="Calibri"/>
          <w:lang w:eastAsia="es-ES_tradnl"/>
        </w:rPr>
        <w:t xml:space="preserve"> </w:t>
      </w:r>
      <w:r w:rsidR="008F42C0" w:rsidRPr="00E5690F">
        <w:rPr>
          <w:rFonts w:eastAsia="Calibri"/>
          <w:lang w:eastAsia="es-ES_tradnl"/>
        </w:rPr>
        <w:t>a través de la solicitud de información, presentó los siguientes cuestionamientos</w:t>
      </w:r>
      <w:r w:rsidRPr="00E5690F">
        <w:rPr>
          <w:rFonts w:eastAsia="Calibri"/>
          <w:lang w:eastAsia="es-ES_tradnl"/>
        </w:rPr>
        <w:t>:</w:t>
      </w:r>
    </w:p>
    <w:p w14:paraId="10D9D722" w14:textId="77777777" w:rsidR="000448F1" w:rsidRPr="00E5690F" w:rsidRDefault="000448F1" w:rsidP="00E5690F">
      <w:pPr>
        <w:rPr>
          <w:rFonts w:eastAsia="Calibri"/>
          <w:lang w:eastAsia="es-ES_tradnl"/>
        </w:rPr>
      </w:pPr>
    </w:p>
    <w:p w14:paraId="1642B4B2" w14:textId="3B50A46D" w:rsidR="008F42C0" w:rsidRPr="00E5690F" w:rsidRDefault="00BF0FB0" w:rsidP="00E5690F">
      <w:pPr>
        <w:pStyle w:val="Prrafodelista"/>
        <w:numPr>
          <w:ilvl w:val="0"/>
          <w:numId w:val="24"/>
        </w:numPr>
        <w:rPr>
          <w:rFonts w:eastAsia="Calibri"/>
          <w:lang w:eastAsia="es-ES_tradnl"/>
        </w:rPr>
      </w:pPr>
      <w:r w:rsidRPr="00E5690F">
        <w:rPr>
          <w:rFonts w:eastAsia="Calibri"/>
          <w:lang w:eastAsia="es-ES_tradnl"/>
        </w:rPr>
        <w:lastRenderedPageBreak/>
        <w:t>Informe en el que se funde y motive el por qué el Secretario de Finanzas suple al Secretario General de la Sección de Toluca.</w:t>
      </w:r>
    </w:p>
    <w:p w14:paraId="7D9D559B" w14:textId="77777777" w:rsidR="00664420" w:rsidRPr="00E5690F" w:rsidRDefault="00664420" w:rsidP="00E5690F">
      <w:pPr>
        <w:tabs>
          <w:tab w:val="left" w:pos="4962"/>
        </w:tabs>
        <w:contextualSpacing/>
        <w:rPr>
          <w:rFonts w:eastAsia="Calibri" w:cs="Tahoma"/>
          <w:iCs/>
          <w:szCs w:val="22"/>
          <w:lang w:eastAsia="es-ES_tradnl"/>
        </w:rPr>
      </w:pPr>
    </w:p>
    <w:p w14:paraId="5504AF2F" w14:textId="014A628B" w:rsidR="00BD6882" w:rsidRPr="00E5690F" w:rsidRDefault="00664420" w:rsidP="00E5690F">
      <w:pPr>
        <w:tabs>
          <w:tab w:val="left" w:pos="4962"/>
        </w:tabs>
        <w:contextualSpacing/>
        <w:rPr>
          <w:rFonts w:eastAsiaTheme="minorHAnsi" w:cs="Tahoma"/>
          <w:bCs/>
          <w:iCs/>
          <w:szCs w:val="22"/>
          <w:lang w:eastAsia="en-US"/>
        </w:rPr>
      </w:pPr>
      <w:r w:rsidRPr="00E5690F">
        <w:rPr>
          <w:rFonts w:eastAsiaTheme="minorHAnsi" w:cs="Tahoma"/>
          <w:bCs/>
          <w:iCs/>
          <w:szCs w:val="22"/>
          <w:lang w:eastAsia="en-US"/>
        </w:rPr>
        <w:t xml:space="preserve">En respuesta, </w:t>
      </w:r>
      <w:r w:rsidR="005D5A50" w:rsidRPr="00E5690F">
        <w:rPr>
          <w:rFonts w:eastAsiaTheme="minorHAnsi" w:cs="Tahoma"/>
          <w:b/>
          <w:iCs/>
          <w:szCs w:val="22"/>
          <w:lang w:eastAsia="en-US"/>
        </w:rPr>
        <w:t>EL SUJETO OBLIGADO</w:t>
      </w:r>
      <w:r w:rsidRPr="00E5690F">
        <w:rPr>
          <w:rFonts w:eastAsiaTheme="minorHAnsi" w:cs="Tahoma"/>
          <w:bCs/>
          <w:iCs/>
          <w:szCs w:val="22"/>
          <w:lang w:eastAsia="en-US"/>
        </w:rPr>
        <w:t xml:space="preserve"> </w:t>
      </w:r>
      <w:r w:rsidR="008F42C0" w:rsidRPr="00E5690F">
        <w:rPr>
          <w:rFonts w:eastAsiaTheme="minorHAnsi" w:cs="Tahoma"/>
          <w:bCs/>
          <w:iCs/>
          <w:szCs w:val="22"/>
          <w:lang w:eastAsia="en-US"/>
        </w:rPr>
        <w:t>adj</w:t>
      </w:r>
      <w:r w:rsidR="00BF0FB0" w:rsidRPr="00E5690F">
        <w:rPr>
          <w:rFonts w:eastAsiaTheme="minorHAnsi" w:cs="Tahoma"/>
          <w:bCs/>
          <w:iCs/>
          <w:szCs w:val="22"/>
          <w:lang w:eastAsia="en-US"/>
        </w:rPr>
        <w:t>untó la respuesta emitida por el</w:t>
      </w:r>
      <w:r w:rsidR="008F42C0" w:rsidRPr="00E5690F">
        <w:rPr>
          <w:rFonts w:eastAsiaTheme="minorHAnsi" w:cs="Tahoma"/>
          <w:bCs/>
          <w:iCs/>
          <w:szCs w:val="22"/>
          <w:lang w:eastAsia="en-US"/>
        </w:rPr>
        <w:t xml:space="preserve"> </w:t>
      </w:r>
      <w:r w:rsidR="00BF0FB0" w:rsidRPr="00E5690F">
        <w:rPr>
          <w:rFonts w:cs="Tahoma"/>
          <w:bCs/>
          <w:szCs w:val="22"/>
          <w:lang w:val="es-ES"/>
        </w:rPr>
        <w:t>Secretario General quien menciona que, el ciudadano que ostenta el cargo de Secretario de Finanzas del Comité Ejecutivo Seccional Toluca, siempre se ha dirigido con principios, motivo por el cual se le ha otorgado el apoyo en el seguimiento de algunos temas generales y hasta el momento no se ha defraudado la confianza brindada, ni se encuentra como suplente y mucho menos exigir en nombre del servidor público, plazas sindicales o alguna otra petición.</w:t>
      </w:r>
    </w:p>
    <w:p w14:paraId="303D6F27" w14:textId="2FC186FA" w:rsidR="00595228" w:rsidRPr="00E5690F" w:rsidRDefault="00BD6882" w:rsidP="00E5690F">
      <w:pPr>
        <w:tabs>
          <w:tab w:val="left" w:pos="4962"/>
        </w:tabs>
        <w:contextualSpacing/>
        <w:rPr>
          <w:rFonts w:eastAsiaTheme="minorHAnsi" w:cs="Tahoma"/>
          <w:bCs/>
          <w:iCs/>
          <w:szCs w:val="22"/>
          <w:lang w:eastAsia="en-US"/>
        </w:rPr>
      </w:pPr>
      <w:r w:rsidRPr="00E5690F">
        <w:rPr>
          <w:rFonts w:eastAsiaTheme="minorHAnsi" w:cs="Tahoma"/>
          <w:bCs/>
          <w:iCs/>
          <w:szCs w:val="22"/>
          <w:lang w:eastAsia="en-US"/>
        </w:rPr>
        <w:t xml:space="preserve"> </w:t>
      </w:r>
    </w:p>
    <w:p w14:paraId="31DD81D7" w14:textId="2BF1C2CD" w:rsidR="00664420" w:rsidRPr="00E5690F" w:rsidRDefault="00CF7586" w:rsidP="00E5690F">
      <w:pPr>
        <w:tabs>
          <w:tab w:val="left" w:pos="4962"/>
        </w:tabs>
        <w:contextualSpacing/>
        <w:rPr>
          <w:rFonts w:eastAsiaTheme="minorHAnsi" w:cs="Tahoma"/>
          <w:bCs/>
          <w:iCs/>
          <w:szCs w:val="22"/>
          <w:lang w:eastAsia="en-US"/>
        </w:rPr>
      </w:pPr>
      <w:r w:rsidRPr="00E5690F">
        <w:rPr>
          <w:rFonts w:eastAsiaTheme="minorHAnsi" w:cs="Tahoma"/>
          <w:bCs/>
          <w:iCs/>
          <w:szCs w:val="22"/>
          <w:lang w:eastAsia="en-US"/>
        </w:rPr>
        <w:t xml:space="preserve">Ahora bien, en la interposición del presente recurso </w:t>
      </w:r>
      <w:r w:rsidRPr="00E5690F">
        <w:rPr>
          <w:rFonts w:eastAsiaTheme="minorHAnsi" w:cs="Tahoma"/>
          <w:b/>
          <w:iCs/>
          <w:szCs w:val="22"/>
          <w:lang w:eastAsia="en-US"/>
        </w:rPr>
        <w:t>LA PARTE RECURRENTE</w:t>
      </w:r>
      <w:r w:rsidR="00081B94" w:rsidRPr="00E5690F">
        <w:rPr>
          <w:rFonts w:eastAsiaTheme="minorHAnsi" w:cs="Tahoma"/>
          <w:bCs/>
          <w:iCs/>
          <w:szCs w:val="22"/>
          <w:lang w:eastAsia="en-US"/>
        </w:rPr>
        <w:t xml:space="preserve"> se inconformó </w:t>
      </w:r>
      <w:r w:rsidR="000448F1" w:rsidRPr="00E5690F">
        <w:rPr>
          <w:rFonts w:eastAsiaTheme="minorHAnsi" w:cs="Tahoma"/>
          <w:bCs/>
          <w:iCs/>
          <w:szCs w:val="22"/>
          <w:lang w:eastAsia="en-US"/>
        </w:rPr>
        <w:t xml:space="preserve">sobre la respuesta proporcionada haciendo mención que lo entregado no corresponde a lo solicitado, por ende el estudio del presente fallo versara en el sentido de dilucidar si la información remitida colma con las pretensiones de </w:t>
      </w:r>
      <w:r w:rsidR="000448F1" w:rsidRPr="00E5690F">
        <w:rPr>
          <w:rFonts w:eastAsiaTheme="minorHAnsi" w:cs="Tahoma"/>
          <w:b/>
          <w:bCs/>
          <w:iCs/>
          <w:szCs w:val="22"/>
          <w:lang w:eastAsia="en-US"/>
        </w:rPr>
        <w:t>LA PARTE RECURRENTE</w:t>
      </w:r>
      <w:r w:rsidR="004E1875" w:rsidRPr="00E5690F">
        <w:rPr>
          <w:rFonts w:eastAsiaTheme="minorHAnsi" w:cs="Tahoma"/>
          <w:bCs/>
          <w:iCs/>
          <w:szCs w:val="22"/>
          <w:lang w:eastAsia="en-US"/>
        </w:rPr>
        <w:t>.</w:t>
      </w:r>
    </w:p>
    <w:p w14:paraId="69916E4B" w14:textId="77777777" w:rsidR="004E1875" w:rsidRPr="00E5690F" w:rsidRDefault="004E1875" w:rsidP="00E5690F">
      <w:pPr>
        <w:tabs>
          <w:tab w:val="left" w:pos="4962"/>
        </w:tabs>
        <w:contextualSpacing/>
        <w:rPr>
          <w:rFonts w:eastAsiaTheme="minorHAnsi" w:cs="Tahoma"/>
          <w:bCs/>
          <w:iCs/>
          <w:szCs w:val="22"/>
          <w:lang w:eastAsia="en-US"/>
        </w:rPr>
      </w:pPr>
    </w:p>
    <w:p w14:paraId="0B412391" w14:textId="340F013E" w:rsidR="004E1875" w:rsidRPr="00E5690F" w:rsidRDefault="00A21A20" w:rsidP="00E5690F">
      <w:pPr>
        <w:pStyle w:val="Ttulo3"/>
      </w:pPr>
      <w:bookmarkStart w:id="26" w:name="_Toc184813886"/>
      <w:r w:rsidRPr="00E5690F">
        <w:t>c)</w:t>
      </w:r>
      <w:r w:rsidR="00664420" w:rsidRPr="00E5690F">
        <w:t xml:space="preserve"> </w:t>
      </w:r>
      <w:r w:rsidRPr="00E5690F">
        <w:t>Estudio de la controversia</w:t>
      </w:r>
      <w:bookmarkEnd w:id="26"/>
    </w:p>
    <w:p w14:paraId="3F8320E2" w14:textId="72847866" w:rsidR="00197DFC" w:rsidRPr="00E5690F" w:rsidRDefault="00704239" w:rsidP="00E5690F">
      <w:pPr>
        <w:pStyle w:val="Prrafodelista"/>
        <w:widowControl w:val="0"/>
        <w:autoSpaceDE w:val="0"/>
        <w:autoSpaceDN w:val="0"/>
        <w:adjustRightInd w:val="0"/>
        <w:ind w:left="0"/>
      </w:pPr>
      <w:r w:rsidRPr="00E5690F">
        <w:t xml:space="preserve">En primera instancia es de señalar que la pretensión de </w:t>
      </w:r>
      <w:r w:rsidRPr="00E5690F">
        <w:rPr>
          <w:b/>
        </w:rPr>
        <w:t>LA PARTE RECURRENTE</w:t>
      </w:r>
      <w:r w:rsidRPr="00E5690F">
        <w:t xml:space="preserve"> es obtener un pronunciamiento específico respecto a una situación en particular, </w:t>
      </w:r>
      <w:r w:rsidR="00BF0FB0" w:rsidRPr="00E5690F">
        <w:t xml:space="preserve">es decir pretende que la autoridad genere un documento precisando </w:t>
      </w:r>
      <w:r w:rsidR="004E3AFC" w:rsidRPr="00E5690F">
        <w:t>por qué</w:t>
      </w:r>
      <w:r w:rsidR="00BF0FB0" w:rsidRPr="00E5690F">
        <w:t xml:space="preserve"> un suceso, </w:t>
      </w:r>
      <w:r w:rsidRPr="00E5690F">
        <w:t xml:space="preserve">por la cual nos lleva a recordar que el artículo 12 de la Ley de Transparencia y Acceso a la Información Pública del Estado de México y Municipios, establece que </w:t>
      </w:r>
      <w:r w:rsidRPr="00E5690F">
        <w:rPr>
          <w:b/>
        </w:rPr>
        <w:t>LOS SUJETOS OBLIGADOS</w:t>
      </w:r>
      <w:r w:rsidRPr="00E5690F">
        <w:t xml:space="preserve"> únicamente están constreñidos a entregar los documentos que obren en sus archivos en el estado en que estos se encuentren, lo que no comprende entregar la información conforme al interés del </w:t>
      </w:r>
      <w:r w:rsidRPr="00E5690F">
        <w:lastRenderedPageBreak/>
        <w:t>solicitante.</w:t>
      </w:r>
    </w:p>
    <w:p w14:paraId="5551E457" w14:textId="77777777" w:rsidR="00704239" w:rsidRPr="00E5690F" w:rsidRDefault="00704239" w:rsidP="00E5690F">
      <w:pPr>
        <w:pStyle w:val="Prrafodelista"/>
        <w:widowControl w:val="0"/>
        <w:autoSpaceDE w:val="0"/>
        <w:autoSpaceDN w:val="0"/>
        <w:adjustRightInd w:val="0"/>
        <w:ind w:left="0"/>
      </w:pPr>
    </w:p>
    <w:p w14:paraId="5603AF0B" w14:textId="1C2F91A9" w:rsidR="00704239" w:rsidRPr="00E5690F" w:rsidRDefault="00704239" w:rsidP="00E5690F">
      <w:pPr>
        <w:pStyle w:val="Prrafodelista"/>
        <w:widowControl w:val="0"/>
        <w:autoSpaceDE w:val="0"/>
        <w:autoSpaceDN w:val="0"/>
        <w:adjustRightInd w:val="0"/>
        <w:ind w:left="0"/>
      </w:pPr>
      <w:r w:rsidRPr="00E5690F">
        <w:t>Robustece lo anterior, el Criterio 03/17 emitido por el Instituto Nacional de Transparencia, Acceso a la Información y Protección de Datos Personales, el cual establece lo siguiente:</w:t>
      </w:r>
    </w:p>
    <w:p w14:paraId="0BA5E297" w14:textId="77777777" w:rsidR="008F42C0" w:rsidRPr="00E5690F" w:rsidRDefault="008F42C0" w:rsidP="00E5690F">
      <w:pPr>
        <w:pStyle w:val="Prrafodelista"/>
        <w:widowControl w:val="0"/>
        <w:autoSpaceDE w:val="0"/>
        <w:autoSpaceDN w:val="0"/>
        <w:adjustRightInd w:val="0"/>
        <w:ind w:left="0"/>
      </w:pPr>
    </w:p>
    <w:p w14:paraId="75F2748C" w14:textId="0B8D4B18" w:rsidR="008F42C0" w:rsidRPr="00E5690F" w:rsidRDefault="00704239" w:rsidP="00E5690F">
      <w:pPr>
        <w:pStyle w:val="Prrafodelista"/>
        <w:widowControl w:val="0"/>
        <w:autoSpaceDE w:val="0"/>
        <w:autoSpaceDN w:val="0"/>
        <w:adjustRightInd w:val="0"/>
        <w:spacing w:line="240" w:lineRule="auto"/>
        <w:ind w:left="851" w:right="822"/>
        <w:rPr>
          <w:i/>
        </w:rPr>
      </w:pPr>
      <w:r w:rsidRPr="00E5690F">
        <w:rPr>
          <w:b/>
          <w:i/>
        </w:rPr>
        <w:t>No existe obligación de elaborar documentos ad hoc para atender las solicitudes de acceso a la informació</w:t>
      </w:r>
      <w:r w:rsidRPr="00E5690F">
        <w:rPr>
          <w:i/>
        </w:rPr>
        <w:t>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7EBAC0A" w14:textId="77777777" w:rsidR="008F42C0" w:rsidRPr="00E5690F" w:rsidRDefault="008F42C0" w:rsidP="00E5690F">
      <w:pPr>
        <w:pStyle w:val="Prrafodelista"/>
        <w:widowControl w:val="0"/>
        <w:autoSpaceDE w:val="0"/>
        <w:autoSpaceDN w:val="0"/>
        <w:adjustRightInd w:val="0"/>
        <w:ind w:left="0"/>
      </w:pPr>
    </w:p>
    <w:p w14:paraId="12B6D3D9" w14:textId="27530332" w:rsidR="00704239" w:rsidRPr="00E5690F" w:rsidRDefault="00704239" w:rsidP="00E5690F">
      <w:pPr>
        <w:pStyle w:val="Prrafodelista"/>
        <w:widowControl w:val="0"/>
        <w:autoSpaceDE w:val="0"/>
        <w:autoSpaceDN w:val="0"/>
        <w:adjustRightInd w:val="0"/>
        <w:ind w:left="0"/>
      </w:pPr>
      <w:r w:rsidRPr="00E5690F">
        <w:t xml:space="preserve">Por otro lado, es importante mencionar que el requerimiento de </w:t>
      </w:r>
      <w:r w:rsidRPr="00E5690F">
        <w:rPr>
          <w:b/>
        </w:rPr>
        <w:t>LA PARTE RECURRENTE</w:t>
      </w:r>
      <w:r w:rsidRPr="00E5690F">
        <w:t xml:space="preserve"> es tendiente a obligar a la autoridad a que actúe en el sentido de contestar lo solicitado, lo cual no es factible atenderse vía acceso a la información pública, toda vez, que la atención a dichos requerimientos no se pueden colmar con documentos que obren en los archivos del </w:t>
      </w:r>
      <w:r w:rsidRPr="00E5690F">
        <w:rPr>
          <w:b/>
        </w:rPr>
        <w:t>SUJETO OBLIGADO</w:t>
      </w:r>
      <w:r w:rsidRPr="00E5690F">
        <w:t xml:space="preserve">, ya que no se encontró fuente obligacional que establezca que dicha autoridad deba generar, poseer o administrar un documento en el que conste el pronunciamiento solicitado por </w:t>
      </w:r>
      <w:r w:rsidRPr="00E5690F">
        <w:rPr>
          <w:b/>
        </w:rPr>
        <w:t>LA PARTE RECURRENTE</w:t>
      </w:r>
      <w:r w:rsidR="00BF0FB0" w:rsidRPr="00E5690F">
        <w:rPr>
          <w:b/>
        </w:rPr>
        <w:t xml:space="preserve"> </w:t>
      </w:r>
      <w:r w:rsidR="00BF0FB0" w:rsidRPr="00E5690F">
        <w:t>así como el fundamento requerido</w:t>
      </w:r>
      <w:r w:rsidRPr="00E5690F">
        <w:t>.</w:t>
      </w:r>
    </w:p>
    <w:p w14:paraId="6BE99015" w14:textId="77777777" w:rsidR="00704239" w:rsidRPr="00E5690F" w:rsidRDefault="00704239" w:rsidP="00E5690F">
      <w:pPr>
        <w:pStyle w:val="Prrafodelista"/>
        <w:widowControl w:val="0"/>
        <w:autoSpaceDE w:val="0"/>
        <w:autoSpaceDN w:val="0"/>
        <w:adjustRightInd w:val="0"/>
        <w:ind w:left="0"/>
      </w:pPr>
    </w:p>
    <w:p w14:paraId="7A495589" w14:textId="16419C6A" w:rsidR="00704239" w:rsidRPr="00E5690F" w:rsidRDefault="00704239" w:rsidP="00E5690F">
      <w:pPr>
        <w:pStyle w:val="Prrafodelista"/>
        <w:widowControl w:val="0"/>
        <w:autoSpaceDE w:val="0"/>
        <w:autoSpaceDN w:val="0"/>
        <w:adjustRightInd w:val="0"/>
        <w:ind w:left="0"/>
      </w:pPr>
      <w:r w:rsidRPr="00E5690F">
        <w:t xml:space="preserve">Es por lo anterior que se advierte que la solicitud no constituye un derecho de acceso a la información y por lo tanto, no es atendible mediante una solicitud de acceso a la información </w:t>
      </w:r>
      <w:r w:rsidRPr="00E5690F">
        <w:lastRenderedPageBreak/>
        <w:t>pública, ya que se tratan de una petición de</w:t>
      </w:r>
      <w:r w:rsidRPr="00E5690F">
        <w:rPr>
          <w:b/>
        </w:rPr>
        <w:t xml:space="preserve"> LA PARTE RECURRENTE</w:t>
      </w:r>
      <w:r w:rsidRPr="00E5690F">
        <w:t>, situación que conlleva a afirmar que se está en presencia del ejercicio del derecho a la libre expresión y en todo caso a un derecho de petición.</w:t>
      </w:r>
    </w:p>
    <w:p w14:paraId="6E1A4BB9" w14:textId="77777777" w:rsidR="00704239" w:rsidRPr="00E5690F" w:rsidRDefault="00704239" w:rsidP="00E5690F">
      <w:pPr>
        <w:pStyle w:val="Prrafodelista"/>
        <w:widowControl w:val="0"/>
        <w:autoSpaceDE w:val="0"/>
        <w:autoSpaceDN w:val="0"/>
        <w:adjustRightInd w:val="0"/>
        <w:ind w:left="0"/>
      </w:pPr>
    </w:p>
    <w:p w14:paraId="530BF917" w14:textId="2ABDC5A9" w:rsidR="00704239" w:rsidRPr="00E5690F" w:rsidRDefault="00704239" w:rsidP="00E5690F">
      <w:pPr>
        <w:rPr>
          <w:rFonts w:eastAsia="Palatino Linotype"/>
        </w:rPr>
      </w:pPr>
      <w:r w:rsidRPr="00E5690F">
        <w:t>Así las cosas, M</w:t>
      </w:r>
      <w:r w:rsidRPr="00E5690F">
        <w:rPr>
          <w:rFonts w:eastAsia="Palatino Linotype"/>
        </w:rPr>
        <w:t xml:space="preserve">iguel Carbonell en su libro “Los derechos fundamentales” refiere que el </w:t>
      </w:r>
      <w:r w:rsidRPr="00E5690F">
        <w:rPr>
          <w:rFonts w:eastAsia="Palatino Linotype"/>
          <w:u w:val="single"/>
        </w:rPr>
        <w:t>derecho de petición se ha entendido de dos distintitas maneras</w:t>
      </w:r>
      <w:r w:rsidRPr="00E5690F">
        <w:rPr>
          <w:rFonts w:eastAsia="Palatino Linotype"/>
        </w:rPr>
        <w:t xml:space="preserve">, a saber: como un derecho fundamental de participación política ya que </w:t>
      </w:r>
      <w:r w:rsidRPr="00E5690F">
        <w:rPr>
          <w:rFonts w:eastAsia="Palatino Linotype"/>
          <w:u w:val="single"/>
        </w:rPr>
        <w:t xml:space="preserve">permite a los particulares trasladar a las autoridades sus </w:t>
      </w:r>
      <w:r w:rsidRPr="00E5690F">
        <w:rPr>
          <w:rFonts w:eastAsia="Palatino Linotype"/>
          <w:b/>
          <w:u w:val="single"/>
        </w:rPr>
        <w:t>inquietudes, quejas</w:t>
      </w:r>
      <w:r w:rsidRPr="00E5690F">
        <w:rPr>
          <w:rFonts w:eastAsia="Palatino Linotype"/>
          <w:u w:val="single"/>
        </w:rPr>
        <w:t>, sugerencias</w:t>
      </w:r>
      <w:r w:rsidRPr="00E5690F">
        <w:rPr>
          <w:rFonts w:eastAsia="Palatino Linotype"/>
        </w:rPr>
        <w:t xml:space="preserve"> y requerimientos en cualquier materia o asunto; y como una </w:t>
      </w:r>
      <w:r w:rsidRPr="00E5690F">
        <w:rPr>
          <w:rFonts w:eastAsia="Palatino Linotype"/>
          <w:b/>
        </w:rPr>
        <w:t>forma específica de la libertad de expresión</w:t>
      </w:r>
      <w:r w:rsidRPr="00E5690F">
        <w:rPr>
          <w:rFonts w:eastAsia="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E5690F">
        <w:rPr>
          <w:rFonts w:eastAsia="Palatino Linotype"/>
          <w:vertAlign w:val="superscript"/>
        </w:rPr>
        <w:footnoteReference w:id="1"/>
      </w:r>
    </w:p>
    <w:p w14:paraId="0D5FB835" w14:textId="77777777" w:rsidR="00704239" w:rsidRPr="00E5690F" w:rsidRDefault="00704239" w:rsidP="00E5690F">
      <w:pPr>
        <w:spacing w:before="240" w:after="240"/>
        <w:contextualSpacing/>
        <w:rPr>
          <w:rFonts w:eastAsia="Palatino Linotype" w:cs="Palatino Linotype"/>
        </w:rPr>
      </w:pPr>
    </w:p>
    <w:p w14:paraId="2C2A7C5B" w14:textId="77777777" w:rsidR="00704239" w:rsidRPr="00E5690F" w:rsidRDefault="00704239" w:rsidP="00E5690F">
      <w:pPr>
        <w:rPr>
          <w:rFonts w:eastAsia="Palatino Linotype"/>
        </w:rPr>
      </w:pPr>
      <w:r w:rsidRPr="00E5690F">
        <w:rPr>
          <w:rFonts w:eastAsia="Palatino Linotype"/>
        </w:rPr>
        <w:t xml:space="preserve">Por otro lado, el autor anteriormente citado, indica que el </w:t>
      </w:r>
      <w:r w:rsidRPr="00E5690F">
        <w:rPr>
          <w:rFonts w:eastAsia="Palatino Linotype"/>
          <w:b/>
        </w:rPr>
        <w:t>derecho de acceso a la información pública</w:t>
      </w:r>
      <w:r w:rsidRPr="00E5690F">
        <w:rPr>
          <w:rFonts w:eastAsia="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74F18440" w14:textId="77777777" w:rsidR="00704239" w:rsidRPr="00E5690F" w:rsidRDefault="00704239" w:rsidP="00E5690F">
      <w:pPr>
        <w:spacing w:before="240" w:after="240"/>
        <w:ind w:right="99"/>
        <w:contextualSpacing/>
        <w:rPr>
          <w:rFonts w:eastAsia="Palatino Linotype" w:cs="Palatino Linotype"/>
        </w:rPr>
      </w:pPr>
    </w:p>
    <w:p w14:paraId="706B793E" w14:textId="77777777" w:rsidR="00704239" w:rsidRPr="00E5690F" w:rsidRDefault="00704239" w:rsidP="00E5690F">
      <w:pPr>
        <w:spacing w:before="240" w:after="240"/>
        <w:ind w:right="99"/>
        <w:contextualSpacing/>
        <w:rPr>
          <w:rFonts w:eastAsia="Palatino Linotype" w:cs="Palatino Linotype"/>
        </w:rPr>
      </w:pPr>
      <w:r w:rsidRPr="00E5690F">
        <w:rPr>
          <w:rFonts w:eastAsia="Palatino Linotype" w:cs="Palatino Linotype"/>
        </w:rPr>
        <w:lastRenderedPageBreak/>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E5690F">
        <w:rPr>
          <w:rFonts w:eastAsia="Palatino Linotype" w:cs="Palatino Linotype"/>
          <w:vertAlign w:val="superscript"/>
        </w:rPr>
        <w:footnoteReference w:id="2"/>
      </w:r>
    </w:p>
    <w:p w14:paraId="6617323D" w14:textId="77777777" w:rsidR="00704239" w:rsidRPr="00E5690F" w:rsidRDefault="00704239" w:rsidP="00E5690F">
      <w:pPr>
        <w:spacing w:before="240" w:after="240"/>
        <w:ind w:right="99"/>
        <w:contextualSpacing/>
        <w:rPr>
          <w:rFonts w:eastAsia="Palatino Linotype" w:cs="Palatino Linotype"/>
        </w:rPr>
      </w:pPr>
    </w:p>
    <w:p w14:paraId="6928A7C4" w14:textId="77777777" w:rsidR="00704239" w:rsidRPr="00E5690F" w:rsidRDefault="00704239" w:rsidP="00E5690F">
      <w:pPr>
        <w:spacing w:before="240" w:after="240"/>
        <w:ind w:right="99"/>
        <w:contextualSpacing/>
        <w:rPr>
          <w:rFonts w:eastAsia="Palatino Linotype" w:cs="Palatino Linotype"/>
        </w:rPr>
      </w:pPr>
      <w:r w:rsidRPr="00E5690F">
        <w:rPr>
          <w:rFonts w:eastAsia="Palatino Linotype" w:cs="Palatino Linotype"/>
        </w:rPr>
        <w:t xml:space="preserve">De lo anterior se puede concluir que la distinción entre el </w:t>
      </w:r>
      <w:r w:rsidRPr="00E5690F">
        <w:rPr>
          <w:rFonts w:eastAsia="Palatino Linotype" w:cs="Palatino Linotype"/>
          <w:b/>
        </w:rPr>
        <w:t>derecho de petición</w:t>
      </w:r>
      <w:r w:rsidRPr="00E5690F">
        <w:rPr>
          <w:rFonts w:eastAsia="Palatino Linotype" w:cs="Palatino Linotype"/>
        </w:rPr>
        <w:t xml:space="preserve"> y el derecho de acceso a la información descansa, principalmente, en que </w:t>
      </w:r>
      <w:r w:rsidRPr="00E5690F">
        <w:rPr>
          <w:rFonts w:eastAsia="Palatino Linotype" w:cs="Palatino Linotype"/>
          <w:u w:val="single"/>
        </w:rPr>
        <w:t xml:space="preserve">la pretensión del peticionario consiste generalmente en obligar a la autoridad responsable a que actúe </w:t>
      </w:r>
      <w:r w:rsidRPr="00E5690F">
        <w:rPr>
          <w:rFonts w:eastAsia="Palatino Linotype" w:cs="Palatino Linotype"/>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D0E14C6" w14:textId="77777777" w:rsidR="00704239" w:rsidRPr="00E5690F" w:rsidRDefault="00704239" w:rsidP="00E5690F">
      <w:pPr>
        <w:spacing w:before="240" w:after="240"/>
        <w:ind w:right="99"/>
        <w:contextualSpacing/>
        <w:rPr>
          <w:rFonts w:eastAsia="Palatino Linotype" w:cs="Palatino Linotype"/>
        </w:rPr>
      </w:pPr>
    </w:p>
    <w:p w14:paraId="01D7E169" w14:textId="57B8F14E" w:rsidR="00704239" w:rsidRPr="00E5690F" w:rsidRDefault="00704239" w:rsidP="00E5690F">
      <w:pPr>
        <w:spacing w:before="240" w:after="240"/>
        <w:ind w:right="99"/>
        <w:contextualSpacing/>
        <w:rPr>
          <w:rFonts w:eastAsia="Palatino Linotype" w:cs="Palatino Linotype"/>
        </w:rPr>
      </w:pPr>
      <w:r w:rsidRPr="00E5690F">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E5690F">
        <w:rPr>
          <w:rFonts w:eastAsia="Palatino Linotype" w:cs="Palatino Linotype"/>
          <w:b/>
          <w:u w:val="single"/>
        </w:rPr>
        <w:t>interrogantes, inquietudes, quejas y manifestaciones</w:t>
      </w:r>
      <w:r w:rsidRPr="00E5690F">
        <w:rPr>
          <w:rFonts w:eastAsia="Palatino Linotype" w:cs="Palatino Linotype"/>
        </w:rPr>
        <w:t xml:space="preserve"> resultan estar encaminadas a ser satisfechas en ejercicio del derecho de petición.</w:t>
      </w:r>
    </w:p>
    <w:p w14:paraId="503FEF28" w14:textId="77777777" w:rsidR="00704239" w:rsidRPr="00E5690F" w:rsidRDefault="00704239" w:rsidP="00E5690F">
      <w:pPr>
        <w:spacing w:before="240" w:after="240"/>
        <w:ind w:right="99"/>
        <w:contextualSpacing/>
        <w:rPr>
          <w:rFonts w:eastAsia="Palatino Linotype" w:cs="Palatino Linotype"/>
        </w:rPr>
      </w:pPr>
    </w:p>
    <w:p w14:paraId="3FC6BBDB" w14:textId="4C172848" w:rsidR="00704239" w:rsidRPr="00E5690F" w:rsidRDefault="00704239" w:rsidP="00E5690F">
      <w:pPr>
        <w:spacing w:before="240" w:after="240"/>
        <w:ind w:right="99"/>
        <w:contextualSpacing/>
        <w:rPr>
          <w:rFonts w:eastAsia="Palatino Linotype" w:cs="Palatino Linotype"/>
        </w:rPr>
      </w:pPr>
      <w:r w:rsidRPr="00E5690F">
        <w:lastRenderedPageBreak/>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IV del artículo 191 del ordenamiento legal en cita, los que se transcriben a continuación, para un mejor entendimiento:</w:t>
      </w:r>
    </w:p>
    <w:p w14:paraId="0F80CB8F" w14:textId="77777777"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 xml:space="preserve">“Artículo 191. El recurso será desechado por improcedente cuando: </w:t>
      </w:r>
    </w:p>
    <w:p w14:paraId="3F9DF94D" w14:textId="6A832357"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 xml:space="preserve">(…) </w:t>
      </w:r>
    </w:p>
    <w:p w14:paraId="6ED09BA0" w14:textId="77777777"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b/>
          <w:i/>
        </w:rPr>
        <w:t>VI. Se trate de una consulta, o trámite en específico</w:t>
      </w:r>
      <w:r w:rsidRPr="00E5690F">
        <w:rPr>
          <w:i/>
        </w:rPr>
        <w:t xml:space="preserve">; </w:t>
      </w:r>
    </w:p>
    <w:p w14:paraId="1C3EFFE3" w14:textId="5F239E1D"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 xml:space="preserve">(…) </w:t>
      </w:r>
    </w:p>
    <w:p w14:paraId="5BA94783" w14:textId="37EB7371"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Artículo 192. El recurso será sobreseído, en todo o en parte, cuando una vez admitido, se actualicen alguno de los siguientes supuestos:</w:t>
      </w:r>
    </w:p>
    <w:p w14:paraId="2EAA6465" w14:textId="21BE1BDD"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 xml:space="preserve">(…) </w:t>
      </w:r>
    </w:p>
    <w:p w14:paraId="74759885" w14:textId="59DA5480" w:rsidR="00704239" w:rsidRPr="00E5690F" w:rsidRDefault="00704239" w:rsidP="00E5690F">
      <w:pPr>
        <w:pStyle w:val="Prrafodelista"/>
        <w:widowControl w:val="0"/>
        <w:autoSpaceDE w:val="0"/>
        <w:autoSpaceDN w:val="0"/>
        <w:adjustRightInd w:val="0"/>
        <w:spacing w:line="240" w:lineRule="auto"/>
        <w:ind w:left="851" w:right="822"/>
      </w:pPr>
      <w:r w:rsidRPr="00E5690F">
        <w:rPr>
          <w:b/>
          <w:i/>
        </w:rPr>
        <w:t>IV. Admitido el recurso de revisión, aparezca alguna causal de improcedencia en los términos de la presente Ley.</w:t>
      </w:r>
      <w:r w:rsidRPr="00E5690F">
        <w:rPr>
          <w:i/>
        </w:rPr>
        <w:t xml:space="preserve"> “</w:t>
      </w:r>
    </w:p>
    <w:p w14:paraId="7D3BA52F" w14:textId="77777777" w:rsidR="00704239" w:rsidRPr="00E5690F" w:rsidRDefault="00704239" w:rsidP="00E5690F">
      <w:pPr>
        <w:pStyle w:val="Prrafodelista"/>
        <w:widowControl w:val="0"/>
        <w:autoSpaceDE w:val="0"/>
        <w:autoSpaceDN w:val="0"/>
        <w:adjustRightInd w:val="0"/>
        <w:ind w:left="0"/>
      </w:pPr>
    </w:p>
    <w:p w14:paraId="743CFD2C" w14:textId="3A27952B" w:rsidR="00704239" w:rsidRPr="00E5690F" w:rsidRDefault="00704239" w:rsidP="00E5690F">
      <w:pPr>
        <w:pStyle w:val="Prrafodelista"/>
        <w:widowControl w:val="0"/>
        <w:autoSpaceDE w:val="0"/>
        <w:autoSpaceDN w:val="0"/>
        <w:adjustRightInd w:val="0"/>
        <w:ind w:left="0"/>
      </w:pPr>
      <w:r w:rsidRPr="00E5690F">
        <w:t>Siendo el sobreseimiento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B92638C" w14:textId="77777777" w:rsidR="00704239" w:rsidRPr="00E5690F" w:rsidRDefault="00704239" w:rsidP="00E5690F">
      <w:pPr>
        <w:pStyle w:val="Prrafodelista"/>
        <w:widowControl w:val="0"/>
        <w:autoSpaceDE w:val="0"/>
        <w:autoSpaceDN w:val="0"/>
        <w:adjustRightInd w:val="0"/>
        <w:ind w:left="0"/>
      </w:pPr>
    </w:p>
    <w:p w14:paraId="0432BB80" w14:textId="77777777" w:rsidR="00704239" w:rsidRPr="00E5690F" w:rsidRDefault="00704239" w:rsidP="00E5690F">
      <w:pPr>
        <w:pStyle w:val="Puesto"/>
        <w:rPr>
          <w:b/>
        </w:rPr>
      </w:pPr>
      <w:r w:rsidRPr="00E5690F">
        <w:t>“</w:t>
      </w:r>
      <w:r w:rsidRPr="00E5690F">
        <w:rPr>
          <w:b/>
        </w:rPr>
        <w:t xml:space="preserve">SOBRESEIMIENTO, NO PERMITE ENTRAR AL ESTUDIO DE LAS CUESTIONES DE FONDO </w:t>
      </w:r>
    </w:p>
    <w:p w14:paraId="5A01ABED" w14:textId="294FCCDB" w:rsidR="00704239" w:rsidRPr="00E5690F" w:rsidRDefault="00704239" w:rsidP="00E5690F">
      <w:pPr>
        <w:pStyle w:val="Puesto"/>
      </w:pPr>
      <w:r w:rsidRPr="00E5690F">
        <w:lastRenderedPageBreak/>
        <w:t>Localización: 213609. II.2o.183 K. Tribunales Colegiados de Circuito. Octava Época. Semanario Judicial de la Federación. Tomo XIII, Febrero de 1994, Pág. 420 Cuerpo de tesis: No causa agravio la sentencia que no se ocupa de los razonamientos tendientes a demostrar la inconstitucionalidad de los actos reclamados de las autoridades responsables, que constituyen el problema de fondo, si se decreta el sobreseimiento del juicio.”</w:t>
      </w:r>
    </w:p>
    <w:p w14:paraId="7F81E65D" w14:textId="77777777" w:rsidR="00704239" w:rsidRPr="00E5690F" w:rsidRDefault="00704239" w:rsidP="00E5690F">
      <w:pPr>
        <w:pStyle w:val="Prrafodelista"/>
        <w:widowControl w:val="0"/>
        <w:autoSpaceDE w:val="0"/>
        <w:autoSpaceDN w:val="0"/>
        <w:adjustRightInd w:val="0"/>
        <w:ind w:left="0"/>
      </w:pPr>
    </w:p>
    <w:p w14:paraId="7572BF9A" w14:textId="16743AEA" w:rsidR="00704239" w:rsidRPr="00E5690F" w:rsidRDefault="00704239" w:rsidP="00E5690F">
      <w:pPr>
        <w:pStyle w:val="Prrafodelista"/>
        <w:widowControl w:val="0"/>
        <w:autoSpaceDE w:val="0"/>
        <w:autoSpaceDN w:val="0"/>
        <w:adjustRightInd w:val="0"/>
        <w:ind w:left="0"/>
      </w:pPr>
      <w:r w:rsidRPr="00E5690F">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404EC71" w14:textId="77777777" w:rsidR="00704239" w:rsidRPr="00E5690F" w:rsidRDefault="00704239" w:rsidP="00E5690F">
      <w:pPr>
        <w:pStyle w:val="Prrafodelista"/>
        <w:widowControl w:val="0"/>
        <w:autoSpaceDE w:val="0"/>
        <w:autoSpaceDN w:val="0"/>
        <w:adjustRightInd w:val="0"/>
        <w:ind w:left="0"/>
      </w:pPr>
    </w:p>
    <w:p w14:paraId="4BEF5ED3" w14:textId="017D4B2D" w:rsidR="00704239" w:rsidRPr="00E5690F" w:rsidRDefault="00704239" w:rsidP="00E5690F">
      <w:pPr>
        <w:pStyle w:val="Prrafodelista"/>
        <w:widowControl w:val="0"/>
        <w:autoSpaceDE w:val="0"/>
        <w:autoSpaceDN w:val="0"/>
        <w:adjustRightInd w:val="0"/>
        <w:spacing w:line="240" w:lineRule="auto"/>
        <w:ind w:left="851" w:right="822"/>
        <w:rPr>
          <w:i/>
        </w:rPr>
      </w:pPr>
      <w:r w:rsidRPr="00E5690F">
        <w:rPr>
          <w:i/>
        </w:rPr>
        <w:t>“</w:t>
      </w:r>
      <w:r w:rsidRPr="00E5690F">
        <w:rPr>
          <w:b/>
          <w:i/>
        </w:rPr>
        <w:t>DESECHAMIENTO O SOBRESEIMIENTO EN EL JUICIO DE AMPARO. NO IMPLICA DENEGACIÓN DE JUSTICIA NI GENERA INSEGURIDAD JURÍDICA</w:t>
      </w:r>
      <w:r w:rsidRPr="00E5690F">
        <w:rPr>
          <w:i/>
        </w:rPr>
        <w:t xml:space="preserve">”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E5690F">
        <w:rPr>
          <w:i/>
        </w:rPr>
        <w:t>promovente</w:t>
      </w:r>
      <w:proofErr w:type="spellEnd"/>
      <w:r w:rsidRPr="00E5690F">
        <w:rPr>
          <w:i/>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14:paraId="4E2D732D" w14:textId="77777777" w:rsidR="00704239" w:rsidRPr="00E5690F" w:rsidRDefault="00704239" w:rsidP="00E5690F">
      <w:pPr>
        <w:pStyle w:val="Prrafodelista"/>
        <w:widowControl w:val="0"/>
        <w:autoSpaceDE w:val="0"/>
        <w:autoSpaceDN w:val="0"/>
        <w:adjustRightInd w:val="0"/>
        <w:ind w:left="0"/>
      </w:pPr>
    </w:p>
    <w:p w14:paraId="7A483047" w14:textId="4440C8F9" w:rsidR="009A381F" w:rsidRPr="00E5690F" w:rsidRDefault="00B96270" w:rsidP="00E5690F">
      <w:pPr>
        <w:pStyle w:val="Prrafodelista"/>
        <w:widowControl w:val="0"/>
        <w:autoSpaceDE w:val="0"/>
        <w:autoSpaceDN w:val="0"/>
        <w:adjustRightInd w:val="0"/>
        <w:ind w:left="0"/>
        <w:rPr>
          <w:rFonts w:eastAsia="Palatino Linotype" w:cs="Palatino Linotype"/>
          <w:szCs w:val="24"/>
        </w:rPr>
      </w:pPr>
      <w:r w:rsidRPr="00E5690F">
        <w:t>Asimismo,</w:t>
      </w:r>
      <w:r w:rsidR="009A381F" w:rsidRPr="00E5690F">
        <w:t xml:space="preserve"> no pasa desapercibido de este Órgano Garante que, respecto de la información solicitada, </w:t>
      </w:r>
      <w:r w:rsidR="007964C6" w:rsidRPr="00E5690F">
        <w:rPr>
          <w:rFonts w:eastAsia="Palatino Linotype" w:cs="Palatino Linotype"/>
          <w:szCs w:val="24"/>
        </w:rPr>
        <w:t xml:space="preserve">resulta necesario traer a colación la Jurisprudencia número PC.I.A. J/2 A (10a.), publicada en el Semanario Judicial de la Federación y su Gaceta, en el Libro 21, Tomo II, en </w:t>
      </w:r>
      <w:r w:rsidR="007964C6" w:rsidRPr="00E5690F">
        <w:rPr>
          <w:rFonts w:eastAsia="Palatino Linotype" w:cs="Palatino Linotype"/>
          <w:szCs w:val="24"/>
        </w:rPr>
        <w:lastRenderedPageBreak/>
        <w:t>agosto de dos mil quince, que establece lo siguiente:</w:t>
      </w:r>
    </w:p>
    <w:p w14:paraId="3DDAD95B" w14:textId="77777777" w:rsidR="007964C6" w:rsidRPr="00E5690F" w:rsidRDefault="007964C6" w:rsidP="00E5690F">
      <w:pPr>
        <w:pStyle w:val="Prrafodelista"/>
        <w:widowControl w:val="0"/>
        <w:autoSpaceDE w:val="0"/>
        <w:autoSpaceDN w:val="0"/>
        <w:adjustRightInd w:val="0"/>
        <w:ind w:left="0"/>
        <w:rPr>
          <w:rFonts w:eastAsia="Palatino Linotype" w:cs="Palatino Linotype"/>
          <w:szCs w:val="24"/>
        </w:rPr>
      </w:pPr>
    </w:p>
    <w:p w14:paraId="0FD13D5F" w14:textId="6E23AD88" w:rsidR="007964C6" w:rsidRPr="00E5690F" w:rsidRDefault="007964C6" w:rsidP="00E5690F">
      <w:pPr>
        <w:pStyle w:val="Prrafodelista"/>
        <w:widowControl w:val="0"/>
        <w:autoSpaceDE w:val="0"/>
        <w:autoSpaceDN w:val="0"/>
        <w:adjustRightInd w:val="0"/>
        <w:spacing w:line="240" w:lineRule="auto"/>
        <w:ind w:left="567" w:right="539"/>
      </w:pPr>
      <w:r w:rsidRPr="00E5690F">
        <w:rPr>
          <w:rFonts w:eastAsia="Palatino Linotype" w:cs="Palatino Linotype"/>
          <w:b/>
          <w:i/>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sidRPr="00E5690F">
        <w:rPr>
          <w:rFonts w:eastAsia="Palatino Linotype" w:cs="Palatino Linotype"/>
          <w:i/>
        </w:rPr>
        <w:t xml:space="preserve">Petróleos Mexicanos y sus organismos subsidiarios (Pemex-Exploración y Producción; Pemex-Refinación; Pemex-Gas y Petroquímica Básica; y Pemex-Petroquímica), constituyen entidades que, conforme a la Ley Federal de Transparencia y 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sidRPr="00E5690F">
        <w:rPr>
          <w:rFonts w:eastAsia="Palatino Linotype" w:cs="Palatino Linotype"/>
          <w:b/>
          <w:i/>
        </w:rPr>
        <w:t>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actividades, o a las cuotas que sus trabajadores afiliados le aportan para el logro de los intereses gremiales.”</w:t>
      </w:r>
    </w:p>
    <w:p w14:paraId="46B4E7EE" w14:textId="77777777" w:rsidR="009A381F" w:rsidRPr="00E5690F" w:rsidRDefault="009A381F" w:rsidP="00E5690F">
      <w:pPr>
        <w:pStyle w:val="Prrafodelista"/>
        <w:widowControl w:val="0"/>
        <w:autoSpaceDE w:val="0"/>
        <w:autoSpaceDN w:val="0"/>
        <w:adjustRightInd w:val="0"/>
        <w:ind w:left="0"/>
      </w:pPr>
    </w:p>
    <w:p w14:paraId="2F0B5E69" w14:textId="066DF094" w:rsidR="007964C6" w:rsidRPr="00E5690F" w:rsidRDefault="007964C6" w:rsidP="00E5690F">
      <w:pPr>
        <w:pStyle w:val="Prrafodelista"/>
        <w:widowControl w:val="0"/>
        <w:autoSpaceDE w:val="0"/>
        <w:autoSpaceDN w:val="0"/>
        <w:adjustRightInd w:val="0"/>
        <w:ind w:left="0"/>
        <w:rPr>
          <w:rFonts w:eastAsia="Palatino Linotype" w:cs="Palatino Linotype"/>
          <w:b/>
          <w:szCs w:val="24"/>
        </w:rPr>
      </w:pPr>
      <w:r w:rsidRPr="00E5690F">
        <w:rPr>
          <w:rFonts w:eastAsia="Palatino Linotype" w:cs="Palatino Linotype"/>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sidRPr="00E5690F">
        <w:rPr>
          <w:rFonts w:eastAsia="Palatino Linotype" w:cs="Palatino Linotype"/>
          <w:b/>
          <w:szCs w:val="24"/>
        </w:rPr>
        <w:t xml:space="preserve">no será de </w:t>
      </w:r>
      <w:r w:rsidRPr="00E5690F">
        <w:rPr>
          <w:rFonts w:eastAsia="Palatino Linotype" w:cs="Palatino Linotype"/>
          <w:b/>
          <w:szCs w:val="24"/>
        </w:rPr>
        <w:lastRenderedPageBreak/>
        <w:t>escrutinio</w:t>
      </w:r>
      <w:r w:rsidRPr="00E5690F">
        <w:rPr>
          <w:rFonts w:eastAsia="Palatino Linotype" w:cs="Palatino Linotype"/>
          <w:szCs w:val="24"/>
        </w:rPr>
        <w:t>, aquella que refiera</w:t>
      </w:r>
      <w:r w:rsidRPr="00E5690F">
        <w:rPr>
          <w:rFonts w:eastAsia="Palatino Linotype" w:cs="Palatino Linotype"/>
          <w:b/>
          <w:szCs w:val="24"/>
        </w:rPr>
        <w:t xml:space="preserve"> </w:t>
      </w:r>
      <w:r w:rsidRPr="00E5690F">
        <w:rPr>
          <w:rFonts w:eastAsia="Palatino Linotype" w:cs="Palatino Linotype"/>
          <w:b/>
          <w:szCs w:val="24"/>
          <w:u w:val="single"/>
        </w:rPr>
        <w:t>datos propios del sindicato o de sus agremiados</w:t>
      </w:r>
      <w:r w:rsidRPr="00E5690F">
        <w:rPr>
          <w:rFonts w:eastAsia="Palatino Linotype" w:cs="Palatino Linotype"/>
          <w:b/>
          <w:szCs w:val="24"/>
        </w:rPr>
        <w:t>, cuya difusión pudiera afectar su libertad sindical y privacidad, como persona jurídica de derecho social, así como de aquella que refiera a su administración y actividades sindicales.</w:t>
      </w:r>
    </w:p>
    <w:p w14:paraId="53CB90E3" w14:textId="77777777" w:rsidR="007964C6" w:rsidRPr="00E5690F" w:rsidRDefault="007964C6" w:rsidP="00E5690F">
      <w:pPr>
        <w:pStyle w:val="Prrafodelista"/>
        <w:widowControl w:val="0"/>
        <w:autoSpaceDE w:val="0"/>
        <w:autoSpaceDN w:val="0"/>
        <w:adjustRightInd w:val="0"/>
        <w:ind w:left="0"/>
        <w:rPr>
          <w:rFonts w:eastAsia="Palatino Linotype" w:cs="Palatino Linotype"/>
          <w:b/>
          <w:szCs w:val="24"/>
        </w:rPr>
      </w:pPr>
    </w:p>
    <w:p w14:paraId="43822B4F" w14:textId="2A428B17" w:rsidR="007964C6" w:rsidRPr="00E5690F" w:rsidRDefault="007964C6" w:rsidP="00E5690F">
      <w:pPr>
        <w:pStyle w:val="Prrafodelista"/>
        <w:widowControl w:val="0"/>
        <w:autoSpaceDE w:val="0"/>
        <w:autoSpaceDN w:val="0"/>
        <w:adjustRightInd w:val="0"/>
        <w:ind w:left="0"/>
        <w:rPr>
          <w:rFonts w:eastAsia="Palatino Linotype" w:cs="Palatino Linotype"/>
          <w:b/>
          <w:szCs w:val="24"/>
        </w:rPr>
      </w:pPr>
      <w:r w:rsidRPr="00E5690F">
        <w:rPr>
          <w:rFonts w:eastAsia="Palatino Linotype" w:cs="Palatino Linotype"/>
          <w:szCs w:val="24"/>
        </w:rPr>
        <w:t xml:space="preserve">Así, se puede concluir que la única información de los sindicatos que es materia de acceso a información pública, es aquella que documente </w:t>
      </w:r>
      <w:r w:rsidRPr="00E5690F">
        <w:rPr>
          <w:rFonts w:eastAsia="Palatino Linotype" w:cs="Palatino Linotype"/>
          <w:b/>
          <w:szCs w:val="24"/>
        </w:rPr>
        <w:t>la recepción, uso y ejercicio de recursos públicos o bien, la realización de actos en su calidad de autoridades y no la que provenga de capital privado y se destine a su vida interna.</w:t>
      </w:r>
    </w:p>
    <w:p w14:paraId="55DEB77D" w14:textId="77777777" w:rsidR="007964C6" w:rsidRPr="00E5690F" w:rsidRDefault="007964C6" w:rsidP="00E5690F">
      <w:pPr>
        <w:pStyle w:val="Prrafodelista"/>
        <w:widowControl w:val="0"/>
        <w:autoSpaceDE w:val="0"/>
        <w:autoSpaceDN w:val="0"/>
        <w:adjustRightInd w:val="0"/>
        <w:ind w:left="0"/>
        <w:rPr>
          <w:rFonts w:eastAsia="Palatino Linotype" w:cs="Palatino Linotype"/>
          <w:b/>
          <w:szCs w:val="24"/>
        </w:rPr>
      </w:pPr>
    </w:p>
    <w:p w14:paraId="5C3210D9" w14:textId="3EFC0E79" w:rsidR="007964C6" w:rsidRPr="00E5690F" w:rsidRDefault="007964C6" w:rsidP="00E5690F">
      <w:pPr>
        <w:pStyle w:val="Prrafodelista"/>
        <w:widowControl w:val="0"/>
        <w:autoSpaceDE w:val="0"/>
        <w:autoSpaceDN w:val="0"/>
        <w:adjustRightInd w:val="0"/>
        <w:ind w:left="0"/>
        <w:rPr>
          <w:rFonts w:eastAsia="Palatino Linotype" w:cs="Palatino Linotype"/>
          <w:szCs w:val="24"/>
        </w:rPr>
      </w:pPr>
      <w:r w:rsidRPr="00E5690F">
        <w:rPr>
          <w:rFonts w:eastAsia="Palatino Linotype" w:cs="Palatino Linotype"/>
          <w:szCs w:val="24"/>
        </w:rPr>
        <w:t xml:space="preserve">En ese contexto, si bien constitucionalmente, se le otorga la calidad de sujetos obligados a los </w:t>
      </w:r>
      <w:r w:rsidRPr="00E5690F">
        <w:rPr>
          <w:rFonts w:eastAsia="Palatino Linotype" w:cs="Palatino Linotype"/>
          <w:b/>
          <w:szCs w:val="24"/>
        </w:rPr>
        <w:t xml:space="preserve">sindicatos que reciben y ejercen recursos públicos o realizan actos de autoridad, </w:t>
      </w:r>
      <w:r w:rsidRPr="00E5690F">
        <w:rPr>
          <w:rFonts w:eastAsia="Palatino Linotype" w:cs="Palatino Linotype"/>
          <w:szCs w:val="24"/>
        </w:rPr>
        <w:t>como el</w:t>
      </w:r>
      <w:r w:rsidRPr="00E5690F">
        <w:rPr>
          <w:b/>
          <w:bCs/>
          <w:szCs w:val="24"/>
        </w:rPr>
        <w:t xml:space="preserve"> Sindicato Único de Trabajadores de Los Poderes, Municipios E Instituciones Descentralizadas del Estado de México</w:t>
      </w:r>
      <w:r w:rsidRPr="00E5690F">
        <w:rPr>
          <w:rFonts w:eastAsia="Palatino Linotype" w:cs="Palatino Linotype"/>
          <w:szCs w:val="24"/>
        </w:rPr>
        <w:t>, también lo es que, en atención a la naturaleza jurídica de este tipo de entes, dichas disposiciones deben interpretarse de manera armónica con lo establecido en el Convenio 87 de la Organización Internacional del Trabajo, mismo que es de observancia obligatoria para el Estado Mexicano.</w:t>
      </w:r>
    </w:p>
    <w:p w14:paraId="66C40DE6" w14:textId="77777777" w:rsidR="007964C6" w:rsidRPr="00E5690F" w:rsidRDefault="007964C6" w:rsidP="00E5690F">
      <w:pPr>
        <w:pStyle w:val="Prrafodelista"/>
        <w:widowControl w:val="0"/>
        <w:autoSpaceDE w:val="0"/>
        <w:autoSpaceDN w:val="0"/>
        <w:adjustRightInd w:val="0"/>
        <w:ind w:left="0"/>
        <w:rPr>
          <w:rFonts w:eastAsia="Palatino Linotype" w:cs="Palatino Linotype"/>
          <w:szCs w:val="24"/>
        </w:rPr>
      </w:pPr>
    </w:p>
    <w:p w14:paraId="64CFC135" w14:textId="77777777" w:rsidR="007964C6" w:rsidRPr="00E5690F" w:rsidRDefault="007964C6" w:rsidP="00E5690F">
      <w:pPr>
        <w:rPr>
          <w:rFonts w:eastAsia="Palatino Linotype" w:cs="Palatino Linotype"/>
          <w:szCs w:val="24"/>
        </w:rPr>
      </w:pPr>
      <w:r w:rsidRPr="00E5690F">
        <w:rPr>
          <w:rFonts w:eastAsia="Palatino Linotype" w:cs="Palatino Linotype"/>
          <w:szCs w:val="24"/>
        </w:rPr>
        <w:t xml:space="preserve">Al respecto, según Delgado, Eduardo (2016), “Transparencia Sindical en la Ley Federal del Trabajo y en la Ley General de Transparencia y Acceso a la Información Pública” (consultada en la liga electrónica </w:t>
      </w:r>
      <w:hyperlink r:id="rId14">
        <w:r w:rsidRPr="00E5690F">
          <w:rPr>
            <w:rFonts w:eastAsia="Palatino Linotype" w:cs="Palatino Linotype"/>
            <w:szCs w:val="24"/>
            <w:u w:val="single"/>
          </w:rPr>
          <w:t>http://www.scielo.org.mx/pdf/rlds/n23/1870-4670-rlds-23-00179.pdf</w:t>
        </w:r>
      </w:hyperlink>
      <w:r w:rsidRPr="00E5690F">
        <w:rPr>
          <w:rFonts w:eastAsia="Palatino Linotype" w:cs="Palatino Linotype"/>
          <w:szCs w:val="24"/>
        </w:rPr>
        <w:t>), los sindicatos cuentan con dos tipos de tipos de transparencia, conforme a lo siguiente:</w:t>
      </w:r>
    </w:p>
    <w:p w14:paraId="7D9D548C" w14:textId="77777777" w:rsidR="007964C6" w:rsidRPr="00E5690F" w:rsidRDefault="007964C6" w:rsidP="00E5690F">
      <w:pPr>
        <w:rPr>
          <w:rFonts w:eastAsia="Palatino Linotype" w:cs="Palatino Linotype"/>
          <w:szCs w:val="24"/>
        </w:rPr>
      </w:pPr>
    </w:p>
    <w:p w14:paraId="1133F1C3" w14:textId="77777777" w:rsidR="007964C6" w:rsidRPr="00E5690F" w:rsidRDefault="007964C6" w:rsidP="00E5690F">
      <w:pPr>
        <w:numPr>
          <w:ilvl w:val="0"/>
          <w:numId w:val="26"/>
        </w:numPr>
        <w:pBdr>
          <w:top w:val="nil"/>
          <w:left w:val="nil"/>
          <w:bottom w:val="nil"/>
          <w:right w:val="nil"/>
          <w:between w:val="nil"/>
        </w:pBdr>
        <w:rPr>
          <w:rFonts w:eastAsia="Palatino Linotype" w:cs="Palatino Linotype"/>
          <w:szCs w:val="24"/>
        </w:rPr>
      </w:pPr>
      <w:r w:rsidRPr="00E5690F">
        <w:rPr>
          <w:rFonts w:eastAsia="Palatino Linotype" w:cs="Palatino Linotype"/>
          <w:b/>
          <w:szCs w:val="24"/>
        </w:rPr>
        <w:lastRenderedPageBreak/>
        <w:t xml:space="preserve">Externa: </w:t>
      </w:r>
      <w:r w:rsidRPr="00E5690F">
        <w:rPr>
          <w:rFonts w:eastAsia="Palatino Linotype" w:cs="Palatino Linotype"/>
          <w:szCs w:val="24"/>
        </w:rPr>
        <w:t>Corresponde aquella información dirigida al público, en general, sin necesidad de ser afiliado al sindicato, la cual se conforma de dos formas:</w:t>
      </w:r>
    </w:p>
    <w:p w14:paraId="10CE81B6" w14:textId="77777777" w:rsidR="007964C6" w:rsidRPr="00E5690F" w:rsidRDefault="007964C6" w:rsidP="00E5690F">
      <w:pPr>
        <w:pBdr>
          <w:top w:val="nil"/>
          <w:left w:val="nil"/>
          <w:bottom w:val="nil"/>
          <w:right w:val="nil"/>
          <w:between w:val="nil"/>
        </w:pBdr>
        <w:spacing w:line="276" w:lineRule="auto"/>
        <w:ind w:left="720"/>
        <w:rPr>
          <w:rFonts w:eastAsia="Palatino Linotype" w:cs="Palatino Linotype"/>
          <w:szCs w:val="24"/>
        </w:rPr>
      </w:pPr>
    </w:p>
    <w:p w14:paraId="5D52DB9D" w14:textId="77777777" w:rsidR="007964C6" w:rsidRPr="00E5690F" w:rsidRDefault="007964C6" w:rsidP="00E5690F">
      <w:pPr>
        <w:numPr>
          <w:ilvl w:val="0"/>
          <w:numId w:val="27"/>
        </w:numPr>
        <w:pBdr>
          <w:top w:val="nil"/>
          <w:left w:val="nil"/>
          <w:bottom w:val="nil"/>
          <w:right w:val="nil"/>
          <w:between w:val="nil"/>
        </w:pBdr>
        <w:rPr>
          <w:rFonts w:eastAsia="Palatino Linotype" w:cs="Palatino Linotype"/>
          <w:b/>
          <w:szCs w:val="24"/>
        </w:rPr>
      </w:pPr>
      <w:r w:rsidRPr="00E5690F">
        <w:rPr>
          <w:rFonts w:eastAsia="Palatino Linotype" w:cs="Palatino Linotype"/>
          <w:b/>
          <w:szCs w:val="24"/>
        </w:rPr>
        <w:t xml:space="preserve">La establecida en la Ley Federal de Trabajo: </w:t>
      </w:r>
      <w:r w:rsidRPr="00E5690F">
        <w:rPr>
          <w:rFonts w:eastAsia="Palatino Linotype" w:cs="Palatino Linotype"/>
          <w:szCs w:val="24"/>
        </w:rPr>
        <w:t>Que corresponde a la información que dé cuenta del correcto registro sindical ante las autoridades laborales, así como la información sobre dichos registros, entre la cual, se encuentra la siguiente:</w:t>
      </w:r>
    </w:p>
    <w:p w14:paraId="4EBFEE3A" w14:textId="77777777" w:rsidR="007964C6" w:rsidRPr="00E5690F" w:rsidRDefault="007964C6" w:rsidP="00E5690F">
      <w:pPr>
        <w:pBdr>
          <w:top w:val="nil"/>
          <w:left w:val="nil"/>
          <w:bottom w:val="nil"/>
          <w:right w:val="nil"/>
          <w:between w:val="nil"/>
        </w:pBdr>
        <w:ind w:left="1440"/>
        <w:rPr>
          <w:rFonts w:eastAsia="Palatino Linotype" w:cs="Palatino Linotype"/>
          <w:b/>
          <w:szCs w:val="24"/>
        </w:rPr>
      </w:pPr>
    </w:p>
    <w:p w14:paraId="3422F8E5" w14:textId="77777777" w:rsidR="007964C6" w:rsidRPr="00E5690F" w:rsidRDefault="007964C6" w:rsidP="00E5690F">
      <w:pPr>
        <w:numPr>
          <w:ilvl w:val="0"/>
          <w:numId w:val="28"/>
        </w:numPr>
        <w:pBdr>
          <w:top w:val="nil"/>
          <w:left w:val="nil"/>
          <w:bottom w:val="nil"/>
          <w:right w:val="nil"/>
          <w:between w:val="nil"/>
        </w:pBdr>
        <w:rPr>
          <w:rFonts w:eastAsia="Palatino Linotype" w:cs="Palatino Linotype"/>
          <w:b/>
          <w:szCs w:val="24"/>
        </w:rPr>
      </w:pPr>
      <w:r w:rsidRPr="00E5690F">
        <w:rPr>
          <w:rFonts w:eastAsia="Palatino Linotype" w:cs="Palatino Linotype"/>
          <w:szCs w:val="24"/>
        </w:rPr>
        <w:t>La versión pública de los expedientes de registros sindicales; así como de los Estatutos.</w:t>
      </w:r>
    </w:p>
    <w:p w14:paraId="3CB32A28" w14:textId="77777777" w:rsidR="007964C6" w:rsidRPr="00E5690F" w:rsidRDefault="007964C6" w:rsidP="00E5690F">
      <w:pPr>
        <w:numPr>
          <w:ilvl w:val="0"/>
          <w:numId w:val="28"/>
        </w:numPr>
        <w:pBdr>
          <w:top w:val="nil"/>
          <w:left w:val="nil"/>
          <w:bottom w:val="nil"/>
          <w:right w:val="nil"/>
          <w:between w:val="nil"/>
        </w:pBdr>
        <w:rPr>
          <w:rFonts w:eastAsia="Palatino Linotype" w:cs="Palatino Linotype"/>
          <w:b/>
          <w:szCs w:val="24"/>
        </w:rPr>
      </w:pPr>
      <w:r w:rsidRPr="00E5690F">
        <w:rPr>
          <w:rFonts w:eastAsia="Palatino Linotype" w:cs="Palatino Linotype"/>
          <w:szCs w:val="24"/>
        </w:rPr>
        <w:t>Información del gremio, como lo es su domicilio, número de registro, nombre, integrantes del Comité Ejecutivo, fecha de vigencia del Comité Ejecutivo, número de socios, central obrera a la que pertenecen.</w:t>
      </w:r>
    </w:p>
    <w:p w14:paraId="40650684" w14:textId="77777777" w:rsidR="007964C6" w:rsidRPr="00E5690F" w:rsidRDefault="007964C6" w:rsidP="00E5690F">
      <w:pPr>
        <w:pBdr>
          <w:top w:val="nil"/>
          <w:left w:val="nil"/>
          <w:bottom w:val="nil"/>
          <w:right w:val="nil"/>
          <w:between w:val="nil"/>
        </w:pBdr>
        <w:ind w:left="1440"/>
        <w:rPr>
          <w:rFonts w:eastAsia="Palatino Linotype" w:cs="Palatino Linotype"/>
          <w:b/>
          <w:szCs w:val="24"/>
        </w:rPr>
      </w:pPr>
    </w:p>
    <w:p w14:paraId="7EB7C274" w14:textId="77777777" w:rsidR="007964C6" w:rsidRPr="00E5690F" w:rsidRDefault="007964C6" w:rsidP="00E5690F">
      <w:pPr>
        <w:numPr>
          <w:ilvl w:val="0"/>
          <w:numId w:val="27"/>
        </w:numPr>
        <w:pBdr>
          <w:top w:val="nil"/>
          <w:left w:val="nil"/>
          <w:bottom w:val="nil"/>
          <w:right w:val="nil"/>
          <w:between w:val="nil"/>
        </w:pBdr>
        <w:rPr>
          <w:rFonts w:eastAsia="Palatino Linotype" w:cs="Palatino Linotype"/>
          <w:b/>
          <w:szCs w:val="24"/>
        </w:rPr>
      </w:pPr>
      <w:r w:rsidRPr="00E5690F">
        <w:rPr>
          <w:rFonts w:eastAsia="Palatino Linotype" w:cs="Palatino Linotype"/>
          <w:b/>
          <w:szCs w:val="24"/>
        </w:rPr>
        <w:t xml:space="preserve">La establecida en la Ley General de Transparencia y Acceso a la Información Pública: </w:t>
      </w:r>
      <w:r w:rsidRPr="00E5690F">
        <w:rPr>
          <w:rFonts w:eastAsia="Palatino Linotype" w:cs="Palatino Linotype"/>
          <w:szCs w:val="24"/>
        </w:rPr>
        <w:t>Las obligaciones de transparencia, establecidas en el artículo 78 y 79 de dicho ordenamiento jurídico, así como, de aquella que dé cuenta de la recepción y ejercicio de recursos públicos o bien, de actos de autoridad.</w:t>
      </w:r>
    </w:p>
    <w:p w14:paraId="6AABC770" w14:textId="77777777" w:rsidR="007964C6" w:rsidRPr="00E5690F" w:rsidRDefault="007964C6" w:rsidP="00E5690F">
      <w:pPr>
        <w:rPr>
          <w:rFonts w:eastAsia="Palatino Linotype" w:cs="Palatino Linotype"/>
          <w:szCs w:val="24"/>
        </w:rPr>
      </w:pPr>
    </w:p>
    <w:p w14:paraId="5B0EF1B9" w14:textId="77777777" w:rsidR="007964C6" w:rsidRPr="00E5690F" w:rsidRDefault="007964C6" w:rsidP="00E5690F">
      <w:pPr>
        <w:numPr>
          <w:ilvl w:val="0"/>
          <w:numId w:val="26"/>
        </w:numPr>
        <w:pBdr>
          <w:top w:val="nil"/>
          <w:left w:val="nil"/>
          <w:bottom w:val="nil"/>
          <w:right w:val="nil"/>
          <w:between w:val="nil"/>
        </w:pBdr>
        <w:rPr>
          <w:rFonts w:eastAsia="Palatino Linotype" w:cs="Palatino Linotype"/>
          <w:szCs w:val="24"/>
        </w:rPr>
      </w:pPr>
      <w:r w:rsidRPr="00E5690F">
        <w:rPr>
          <w:rFonts w:eastAsia="Palatino Linotype" w:cs="Palatino Linotype"/>
          <w:b/>
          <w:szCs w:val="24"/>
        </w:rPr>
        <w:t xml:space="preserve">Interna: </w:t>
      </w:r>
      <w:r w:rsidRPr="00E5690F">
        <w:rPr>
          <w:rFonts w:eastAsia="Palatino Linotype" w:cs="Palatino Linotype"/>
          <w:szCs w:val="24"/>
        </w:rPr>
        <w:t xml:space="preserve">Es la transparencia que el sindicato debe de rendir a sus afiliados, esto es, respecto a los ingresos por cuotas sindicales y los bienes que conforme el patrimonio del gremio, así como el destino que se le brinda a estos, </w:t>
      </w:r>
      <w:r w:rsidRPr="00E5690F">
        <w:rPr>
          <w:rFonts w:eastAsia="Palatino Linotype" w:cs="Palatino Linotype"/>
          <w:b/>
          <w:szCs w:val="24"/>
        </w:rPr>
        <w:t>así como, de la administración de la persona jurídico colectiva de derecho social</w:t>
      </w:r>
    </w:p>
    <w:p w14:paraId="675C1E78" w14:textId="77777777" w:rsidR="007964C6" w:rsidRPr="00E5690F" w:rsidRDefault="007964C6" w:rsidP="00E5690F">
      <w:pPr>
        <w:rPr>
          <w:rFonts w:eastAsia="Palatino Linotype" w:cs="Palatino Linotype"/>
          <w:szCs w:val="24"/>
        </w:rPr>
      </w:pPr>
    </w:p>
    <w:p w14:paraId="5409E0BF" w14:textId="77777777" w:rsidR="007964C6" w:rsidRPr="00E5690F" w:rsidRDefault="007964C6" w:rsidP="00E5690F">
      <w:pPr>
        <w:spacing w:line="276" w:lineRule="auto"/>
        <w:rPr>
          <w:rFonts w:eastAsia="Palatino Linotype" w:cs="Palatino Linotype"/>
          <w:szCs w:val="24"/>
        </w:rPr>
      </w:pPr>
      <w:r w:rsidRPr="00E5690F">
        <w:rPr>
          <w:rFonts w:eastAsia="Palatino Linotype" w:cs="Palatino Linotype"/>
          <w:szCs w:val="24"/>
        </w:rPr>
        <w:lastRenderedPageBreak/>
        <w:t>Por lo anterior, se puede concluir que hay dos tipos de transparencia sindical:</w:t>
      </w:r>
    </w:p>
    <w:p w14:paraId="4BDB3702" w14:textId="77777777" w:rsidR="00F0460B" w:rsidRPr="00E5690F" w:rsidRDefault="00F0460B" w:rsidP="00E5690F">
      <w:pPr>
        <w:spacing w:line="276" w:lineRule="auto"/>
        <w:rPr>
          <w:rFonts w:eastAsia="Palatino Linotype" w:cs="Palatino Linotype"/>
          <w:szCs w:val="24"/>
        </w:rPr>
      </w:pPr>
    </w:p>
    <w:p w14:paraId="19FFE298" w14:textId="77777777" w:rsidR="007964C6" w:rsidRPr="00E5690F" w:rsidRDefault="007964C6" w:rsidP="00E5690F">
      <w:pPr>
        <w:numPr>
          <w:ilvl w:val="0"/>
          <w:numId w:val="29"/>
        </w:numPr>
        <w:rPr>
          <w:rFonts w:eastAsia="Palatino Linotype" w:cs="Palatino Linotype"/>
          <w:b/>
          <w:szCs w:val="24"/>
        </w:rPr>
      </w:pPr>
      <w:r w:rsidRPr="00E5690F">
        <w:rPr>
          <w:rFonts w:eastAsia="Palatino Linotype" w:cs="Palatino Linotype"/>
          <w:b/>
          <w:szCs w:val="24"/>
        </w:rPr>
        <w:t>Externa:</w:t>
      </w:r>
      <w:r w:rsidRPr="00E5690F">
        <w:rPr>
          <w:rFonts w:eastAsia="Palatino Linotype" w:cs="Palatino Linotype"/>
          <w:szCs w:val="24"/>
        </w:rPr>
        <w:t xml:space="preserve"> aquella que esté sujeta a las Leyes de Transparencia y por lo tanto es de escrutinio público; esto es, la recepción y ejercicio de recursos públicos, la realización de actos de autoridad o las obligaciones de transparencia establecidas en la normatividad aplicable.</w:t>
      </w:r>
    </w:p>
    <w:p w14:paraId="08A4A795" w14:textId="77777777" w:rsidR="007964C6" w:rsidRPr="00E5690F" w:rsidRDefault="007964C6" w:rsidP="00E5690F">
      <w:pPr>
        <w:ind w:left="720"/>
        <w:rPr>
          <w:rFonts w:eastAsia="Palatino Linotype" w:cs="Palatino Linotype"/>
          <w:b/>
          <w:szCs w:val="24"/>
        </w:rPr>
      </w:pPr>
      <w:r w:rsidRPr="00E5690F">
        <w:rPr>
          <w:rFonts w:eastAsia="Palatino Linotype" w:cs="Palatino Linotype"/>
          <w:szCs w:val="24"/>
        </w:rPr>
        <w:t xml:space="preserve"> </w:t>
      </w:r>
    </w:p>
    <w:p w14:paraId="2FBDA1BF" w14:textId="77777777" w:rsidR="007964C6" w:rsidRPr="00E5690F" w:rsidRDefault="007964C6" w:rsidP="00E5690F">
      <w:pPr>
        <w:numPr>
          <w:ilvl w:val="0"/>
          <w:numId w:val="29"/>
        </w:numPr>
        <w:rPr>
          <w:rFonts w:eastAsia="Palatino Linotype" w:cs="Palatino Linotype"/>
          <w:b/>
          <w:szCs w:val="24"/>
        </w:rPr>
      </w:pPr>
      <w:r w:rsidRPr="00E5690F">
        <w:rPr>
          <w:rFonts w:eastAsia="Palatino Linotype" w:cs="Palatino Linotype"/>
          <w:b/>
          <w:szCs w:val="24"/>
        </w:rPr>
        <w:t xml:space="preserve">Interna: </w:t>
      </w:r>
      <w:r w:rsidRPr="00E5690F">
        <w:rPr>
          <w:rFonts w:eastAsia="Palatino Linotype" w:cs="Palatino Linotype"/>
          <w:szCs w:val="24"/>
        </w:rPr>
        <w:t xml:space="preserve">corresponde a aquella información que el Sindicato debe rendir únicamente a sus agremiados; por ejemplo, el ingreso y ejercicio de los recursos obtenidos de cuotas sindicales, bienes de su patrimonio, incluso la entrada y salida de afiliados </w:t>
      </w:r>
      <w:r w:rsidRPr="00E5690F">
        <w:rPr>
          <w:rFonts w:eastAsia="Palatino Linotype" w:cs="Palatino Linotype"/>
          <w:b/>
          <w:szCs w:val="24"/>
        </w:rPr>
        <w:t>o bien la administración del mismo.</w:t>
      </w:r>
    </w:p>
    <w:p w14:paraId="18F2F315" w14:textId="77777777" w:rsidR="007964C6" w:rsidRPr="00E5690F" w:rsidRDefault="007964C6" w:rsidP="00E5690F">
      <w:pPr>
        <w:rPr>
          <w:rFonts w:eastAsia="Palatino Linotype" w:cs="Palatino Linotype"/>
          <w:szCs w:val="24"/>
        </w:rPr>
      </w:pPr>
    </w:p>
    <w:p w14:paraId="3B64262D" w14:textId="77777777" w:rsidR="007964C6" w:rsidRPr="00E5690F" w:rsidRDefault="007964C6" w:rsidP="00E5690F">
      <w:pPr>
        <w:rPr>
          <w:rFonts w:eastAsia="Palatino Linotype" w:cs="Palatino Linotype"/>
          <w:szCs w:val="24"/>
          <w:u w:val="single"/>
        </w:rPr>
      </w:pPr>
      <w:r w:rsidRPr="00E5690F">
        <w:rPr>
          <w:rFonts w:eastAsia="Palatino Linotype" w:cs="Palatino Linotype"/>
          <w:szCs w:val="24"/>
        </w:rPr>
        <w:t xml:space="preserve">Por lo tanto, la única información que es susceptible a escrutinio público, es aquella que corresponde a la </w:t>
      </w:r>
      <w:r w:rsidRPr="00E5690F">
        <w:rPr>
          <w:rFonts w:eastAsia="Palatino Linotype" w:cs="Palatino Linotype"/>
          <w:b/>
          <w:szCs w:val="24"/>
        </w:rPr>
        <w:t>transparencia sindical externa</w:t>
      </w:r>
      <w:r w:rsidRPr="00E5690F">
        <w:rPr>
          <w:rFonts w:eastAsia="Palatino Linotype" w:cs="Palatino Linotype"/>
          <w:szCs w:val="24"/>
        </w:rPr>
        <w:t xml:space="preserve">; así, para determinar si la información que obra en los archivos de los Sindicatos, está sujeta a transparencia, </w:t>
      </w:r>
      <w:r w:rsidRPr="00E5690F">
        <w:rPr>
          <w:rFonts w:eastAsia="Palatino Linotype" w:cs="Palatino Linotype"/>
          <w:b/>
          <w:szCs w:val="24"/>
        </w:rPr>
        <w:t>primero</w:t>
      </w:r>
      <w:r w:rsidRPr="00E5690F">
        <w:rPr>
          <w:rFonts w:eastAsia="Palatino Linotype" w:cs="Palatino Linotype"/>
          <w:szCs w:val="24"/>
        </w:rPr>
        <w:t xml:space="preserve"> </w:t>
      </w:r>
      <w:r w:rsidRPr="00E5690F">
        <w:rPr>
          <w:rFonts w:eastAsia="Palatino Linotype" w:cs="Palatino Linotype"/>
          <w:b/>
          <w:szCs w:val="24"/>
        </w:rPr>
        <w:t>se deberá analizar la naturaleza de la misma</w:t>
      </w:r>
      <w:r w:rsidRPr="00E5690F">
        <w:rPr>
          <w:rFonts w:eastAsia="Palatino Linotype" w:cs="Palatino Linotype"/>
          <w:szCs w:val="24"/>
        </w:rPr>
        <w:t xml:space="preserve">, con la finalidad de garantizar el derecho de acceso a la información, </w:t>
      </w:r>
      <w:r w:rsidRPr="00E5690F">
        <w:rPr>
          <w:rFonts w:eastAsia="Palatino Linotype" w:cs="Palatino Linotype"/>
          <w:szCs w:val="24"/>
          <w:u w:val="single"/>
        </w:rPr>
        <w:t>sin que ello implique trastocar la libertad y autonomía sindical.</w:t>
      </w:r>
    </w:p>
    <w:p w14:paraId="0C195302" w14:textId="77777777" w:rsidR="007964C6" w:rsidRPr="00E5690F" w:rsidRDefault="007964C6" w:rsidP="00E5690F">
      <w:pPr>
        <w:rPr>
          <w:rFonts w:eastAsia="Palatino Linotype" w:cs="Palatino Linotype"/>
          <w:szCs w:val="24"/>
        </w:rPr>
      </w:pPr>
    </w:p>
    <w:p w14:paraId="25327A9E" w14:textId="33DA26D0" w:rsidR="009A381F" w:rsidRPr="00E5690F" w:rsidRDefault="007964C6" w:rsidP="00E5690F">
      <w:pPr>
        <w:pStyle w:val="Prrafodelista"/>
        <w:widowControl w:val="0"/>
        <w:autoSpaceDE w:val="0"/>
        <w:autoSpaceDN w:val="0"/>
        <w:adjustRightInd w:val="0"/>
        <w:ind w:left="0"/>
      </w:pPr>
      <w:r w:rsidRPr="00E5690F">
        <w:rPr>
          <w:rFonts w:eastAsia="Palatino Linotype" w:cs="Palatino Linotype"/>
          <w:szCs w:val="24"/>
        </w:rPr>
        <w:t xml:space="preserve">Es decir, aquella documentación que obra en los archivos de los sindicatos y que esté relacionada con su vida, organización interna o recursos privados, </w:t>
      </w:r>
      <w:r w:rsidRPr="00E5690F">
        <w:rPr>
          <w:rFonts w:eastAsia="Palatino Linotype" w:cs="Palatino Linotype"/>
          <w:b/>
          <w:szCs w:val="24"/>
        </w:rPr>
        <w:t xml:space="preserve">no deberá estar sujeta al escrutinio público, pues implicaría una intromisión y vulneración a su derecho de vida sindical; </w:t>
      </w:r>
      <w:r w:rsidRPr="00E5690F">
        <w:rPr>
          <w:rFonts w:eastAsia="Palatino Linotype" w:cs="Palatino Linotype"/>
          <w:szCs w:val="24"/>
        </w:rPr>
        <w:t xml:space="preserve">por lo cual, cuando la información se relacione con el uso o ejercicio de recursos públicos o actos de autoridad, como pudiera ser la participación de un afiliado, en representación del sindicato, en una comisión mixta, deberá ser proporcionada, al ser materia </w:t>
      </w:r>
      <w:r w:rsidRPr="00E5690F">
        <w:rPr>
          <w:rFonts w:eastAsia="Palatino Linotype" w:cs="Palatino Linotype"/>
          <w:szCs w:val="24"/>
        </w:rPr>
        <w:lastRenderedPageBreak/>
        <w:t>de las Leyes de transparencia y favorecer la rendición de cuentas; en efecto, la publicidad de este tipo de información contribuye a la democratización del Estado de México, por un lado y por el otro, garantiza plenamente el derecho a la libertad sindical.</w:t>
      </w:r>
    </w:p>
    <w:p w14:paraId="36782A37" w14:textId="2241F330" w:rsidR="00197DFC" w:rsidRPr="00E5690F" w:rsidRDefault="002F4871" w:rsidP="00E5690F">
      <w:pPr>
        <w:pStyle w:val="Ttulo3"/>
      </w:pPr>
      <w:bookmarkStart w:id="27" w:name="_Toc184813887"/>
      <w:r w:rsidRPr="00E5690F">
        <w:t>d</w:t>
      </w:r>
      <w:r w:rsidR="00BD5A7C" w:rsidRPr="00E5690F">
        <w:t>) Conclusión</w:t>
      </w:r>
      <w:bookmarkStart w:id="28" w:name="_Hlk165381027"/>
      <w:bookmarkEnd w:id="27"/>
    </w:p>
    <w:p w14:paraId="3AF84C8F" w14:textId="711D77CC" w:rsidR="00197DFC" w:rsidRPr="00E5690F" w:rsidRDefault="00197DFC" w:rsidP="00E5690F">
      <w:pPr>
        <w:ind w:right="-93"/>
        <w:rPr>
          <w:rFonts w:cs="Tahoma"/>
          <w:bCs/>
          <w:szCs w:val="22"/>
        </w:rPr>
      </w:pPr>
      <w:r w:rsidRPr="00E5690F">
        <w:rPr>
          <w:rFonts w:eastAsia="Palatino Linotype" w:cs="Palatino Linotype"/>
        </w:rPr>
        <w:t>Bajo ese teno</w:t>
      </w:r>
      <w:r w:rsidR="00C04A71" w:rsidRPr="00E5690F">
        <w:rPr>
          <w:rFonts w:eastAsia="Palatino Linotype" w:cs="Palatino Linotype"/>
        </w:rPr>
        <w:t>r y en términos del artículo 192 fracción IV, en relación con la fracción VI del numeral 191 de la Ley de Transparencia Local,</w:t>
      </w:r>
      <w:r w:rsidRPr="00E5690F">
        <w:rPr>
          <w:rFonts w:eastAsia="Palatino Linotype" w:cs="Palatino Linotype"/>
        </w:rPr>
        <w:t xml:space="preserve"> este Pleno determina el </w:t>
      </w:r>
      <w:r w:rsidRPr="00E5690F">
        <w:rPr>
          <w:rFonts w:eastAsia="Palatino Linotype" w:cs="Palatino Linotype"/>
          <w:b/>
        </w:rPr>
        <w:t xml:space="preserve">SOBRESEIMIENTO </w:t>
      </w:r>
      <w:r w:rsidRPr="00E5690F">
        <w:rPr>
          <w:rFonts w:eastAsia="Palatino Linotype" w:cs="Palatino Linotype"/>
        </w:rPr>
        <w:t>d</w:t>
      </w:r>
      <w:r w:rsidR="00C04A71" w:rsidRPr="00E5690F">
        <w:rPr>
          <w:rFonts w:eastAsia="Palatino Linotype" w:cs="Palatino Linotype"/>
        </w:rPr>
        <w:t>el presente Recurso de Revisión</w:t>
      </w:r>
      <w:r w:rsidRPr="00E5690F">
        <w:rPr>
          <w:rFonts w:eastAsia="Palatino Linotype" w:cs="Palatino Linotype"/>
        </w:rPr>
        <w:t>.</w:t>
      </w:r>
    </w:p>
    <w:p w14:paraId="5D857A77" w14:textId="77777777" w:rsidR="00197DFC" w:rsidRPr="00E5690F" w:rsidRDefault="00197DFC" w:rsidP="00E5690F">
      <w:pPr>
        <w:ind w:right="-93"/>
        <w:rPr>
          <w:rFonts w:cs="Tahoma"/>
          <w:bCs/>
          <w:szCs w:val="22"/>
        </w:rPr>
      </w:pPr>
    </w:p>
    <w:p w14:paraId="6C4C444E" w14:textId="4B0AB0D1" w:rsidR="00BD5A7C" w:rsidRPr="00E5690F" w:rsidRDefault="00BD5A7C" w:rsidP="00E5690F">
      <w:pPr>
        <w:ind w:right="-93"/>
        <w:rPr>
          <w:rFonts w:cs="Tahoma"/>
          <w:bCs/>
          <w:szCs w:val="22"/>
        </w:rPr>
      </w:pPr>
      <w:r w:rsidRPr="00E5690F">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28"/>
    <w:p w14:paraId="7C13D1A0" w14:textId="77777777" w:rsidR="00BD5A7C" w:rsidRPr="00E5690F" w:rsidRDefault="00BD5A7C" w:rsidP="00E5690F"/>
    <w:p w14:paraId="5C396097" w14:textId="684A0E4F" w:rsidR="00664420" w:rsidRPr="00E5690F" w:rsidRDefault="00664420" w:rsidP="00E5690F">
      <w:pPr>
        <w:pStyle w:val="Ttulo1"/>
      </w:pPr>
      <w:bookmarkStart w:id="29" w:name="_Toc184813888"/>
      <w:r w:rsidRPr="00E5690F">
        <w:t>RESUELVE</w:t>
      </w:r>
      <w:bookmarkEnd w:id="29"/>
    </w:p>
    <w:p w14:paraId="203B7093" w14:textId="77777777" w:rsidR="00664420" w:rsidRPr="00E5690F" w:rsidRDefault="00664420" w:rsidP="00E5690F">
      <w:pPr>
        <w:ind w:right="113"/>
        <w:rPr>
          <w:rFonts w:cs="Arial"/>
          <w:b/>
          <w:szCs w:val="22"/>
        </w:rPr>
      </w:pPr>
    </w:p>
    <w:p w14:paraId="32AF54BF" w14:textId="1ECF66A6" w:rsidR="008F0175" w:rsidRPr="00E5690F" w:rsidRDefault="008F0175" w:rsidP="00E5690F">
      <w:pPr>
        <w:rPr>
          <w:lang w:val="es-ES"/>
        </w:rPr>
      </w:pPr>
      <w:r w:rsidRPr="00E5690F">
        <w:rPr>
          <w:b/>
          <w:sz w:val="24"/>
        </w:rPr>
        <w:t>PRIMERO</w:t>
      </w:r>
      <w:r w:rsidRPr="00E5690F">
        <w:rPr>
          <w:b/>
          <w:sz w:val="28"/>
        </w:rPr>
        <w:t xml:space="preserve">. </w:t>
      </w:r>
      <w:r w:rsidRPr="00E5690F">
        <w:t xml:space="preserve">Se </w:t>
      </w:r>
      <w:r w:rsidRPr="00E5690F">
        <w:rPr>
          <w:b/>
        </w:rPr>
        <w:t>SOBRESEE</w:t>
      </w:r>
      <w:r w:rsidRPr="00E5690F">
        <w:t xml:space="preserve"> el Recurso de Revisión número </w:t>
      </w:r>
      <w:r w:rsidRPr="00E5690F">
        <w:rPr>
          <w:rFonts w:eastAsia="Palatino Linotype" w:cs="Palatino Linotype"/>
          <w:b/>
        </w:rPr>
        <w:t xml:space="preserve">07172/INFOEM/IP/RR/2024 </w:t>
      </w:r>
      <w:r w:rsidRPr="00E5690F">
        <w:rPr>
          <w:lang w:val="es-ES"/>
        </w:rPr>
        <w:t xml:space="preserve">porque una vez admitido se actualizó la causal establecida en el artículo 192 fracción IV, </w:t>
      </w:r>
      <w:r w:rsidRPr="00E5690F">
        <w:t>por</w:t>
      </w:r>
      <w:r w:rsidRPr="00E5690F">
        <w:rPr>
          <w:lang w:val="es-ES"/>
        </w:rPr>
        <w:t xml:space="preserve"> ser improcedente en términos de la </w:t>
      </w:r>
      <w:r w:rsidRPr="00E5690F">
        <w:rPr>
          <w:lang w:eastAsia="es-ES_tradnl"/>
        </w:rPr>
        <w:t>Ley de Transparencia y Acceso a la Información Pública del Estado de México y Municipios</w:t>
      </w:r>
      <w:r w:rsidRPr="00E5690F">
        <w:rPr>
          <w:lang w:val="es-ES"/>
        </w:rPr>
        <w:t xml:space="preserve">, en términos del Considerando </w:t>
      </w:r>
      <w:r w:rsidRPr="00E5690F">
        <w:rPr>
          <w:b/>
          <w:lang w:val="es-ES"/>
        </w:rPr>
        <w:t>SEGUNDO</w:t>
      </w:r>
      <w:r w:rsidRPr="00E5690F">
        <w:rPr>
          <w:lang w:val="es-ES"/>
        </w:rPr>
        <w:t xml:space="preserve"> de la presente resolución.</w:t>
      </w:r>
    </w:p>
    <w:p w14:paraId="0B53003A" w14:textId="77777777" w:rsidR="008F0175" w:rsidRPr="00E5690F" w:rsidRDefault="008F0175" w:rsidP="00E5690F">
      <w:pPr>
        <w:widowControl w:val="0"/>
        <w:autoSpaceDE w:val="0"/>
        <w:autoSpaceDN w:val="0"/>
        <w:adjustRightInd w:val="0"/>
        <w:rPr>
          <w:rFonts w:cs="Arial"/>
          <w:szCs w:val="28"/>
        </w:rPr>
      </w:pPr>
    </w:p>
    <w:p w14:paraId="0A3C6693" w14:textId="77777777" w:rsidR="008F0175" w:rsidRPr="00E5690F" w:rsidRDefault="008F0175" w:rsidP="00E5690F">
      <w:pPr>
        <w:ind w:right="-93"/>
      </w:pPr>
      <w:r w:rsidRPr="00E5690F">
        <w:rPr>
          <w:rFonts w:eastAsia="Calibri" w:cs="Tahoma"/>
          <w:b/>
          <w:bCs/>
          <w:szCs w:val="22"/>
          <w:lang w:eastAsia="en-US"/>
        </w:rPr>
        <w:lastRenderedPageBreak/>
        <w:t>SEGUNDO.</w:t>
      </w:r>
      <w:r w:rsidRPr="00E5690F">
        <w:rPr>
          <w:rFonts w:eastAsia="Calibri" w:cs="Tahoma"/>
          <w:szCs w:val="22"/>
          <w:lang w:eastAsia="es-MX"/>
        </w:rPr>
        <w:t xml:space="preserve"> </w:t>
      </w:r>
      <w:r w:rsidRPr="00E5690F">
        <w:t>Notifíquese la presente resolución mediante Sistema de Acceso a la Información Mexiquense (</w:t>
      </w:r>
      <w:r w:rsidRPr="00E5690F">
        <w:rPr>
          <w:b/>
        </w:rPr>
        <w:t>SAIMEX</w:t>
      </w:r>
      <w:r w:rsidRPr="00E5690F">
        <w:t xml:space="preserve">), al Titular de la Unidad de Transparencia del </w:t>
      </w:r>
      <w:r w:rsidRPr="00E5690F">
        <w:rPr>
          <w:b/>
          <w:bCs/>
        </w:rPr>
        <w:t>SUJETO OBLIGADO</w:t>
      </w:r>
      <w:r w:rsidRPr="00E5690F">
        <w:t>, para su conocimiento.</w:t>
      </w:r>
    </w:p>
    <w:p w14:paraId="4A37BD0A" w14:textId="77777777" w:rsidR="008F0175" w:rsidRPr="00E5690F" w:rsidRDefault="008F0175" w:rsidP="00E5690F">
      <w:pPr>
        <w:ind w:right="-93"/>
      </w:pPr>
    </w:p>
    <w:p w14:paraId="575C05D8" w14:textId="77777777" w:rsidR="008F0175" w:rsidRPr="00E5690F" w:rsidRDefault="008F0175" w:rsidP="00E5690F">
      <w:r w:rsidRPr="00E5690F">
        <w:rPr>
          <w:b/>
          <w:bCs/>
        </w:rPr>
        <w:t>TERCERO.</w:t>
      </w:r>
      <w:r w:rsidRPr="00E5690F">
        <w:t xml:space="preserve"> Notifíquese a </w:t>
      </w:r>
      <w:r w:rsidRPr="00E5690F">
        <w:rPr>
          <w:b/>
          <w:bCs/>
        </w:rPr>
        <w:t>LA PARTE RECURRENTE</w:t>
      </w:r>
      <w:r w:rsidRPr="00E5690F">
        <w:t xml:space="preserve"> la presente resolución vía Sistema de Acceso a la Información Mexiquense (</w:t>
      </w:r>
      <w:r w:rsidRPr="00E5690F">
        <w:rPr>
          <w:b/>
        </w:rPr>
        <w:t>SAIMEX</w:t>
      </w:r>
      <w:r w:rsidRPr="00E5690F">
        <w:t>).</w:t>
      </w:r>
    </w:p>
    <w:p w14:paraId="005907D0" w14:textId="77777777" w:rsidR="008F0175" w:rsidRPr="00E5690F" w:rsidRDefault="008F0175" w:rsidP="00E5690F"/>
    <w:p w14:paraId="728D6FF4" w14:textId="77777777" w:rsidR="008F0175" w:rsidRPr="00E5690F" w:rsidRDefault="008F0175" w:rsidP="00E5690F">
      <w:r w:rsidRPr="00E5690F">
        <w:rPr>
          <w:b/>
          <w:bCs/>
        </w:rPr>
        <w:t>CUARTO</w:t>
      </w:r>
      <w:r w:rsidRPr="00E5690F">
        <w:t xml:space="preserve">. Hágase del conocimiento a </w:t>
      </w:r>
      <w:r w:rsidRPr="00E5690F">
        <w:rPr>
          <w:b/>
          <w:bCs/>
        </w:rPr>
        <w:t>LA PARTE RECURRENTE</w:t>
      </w:r>
      <w:r w:rsidRPr="00E5690F">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BC8564F" w14:textId="77777777" w:rsidR="00FC3CE0" w:rsidRPr="00E5690F" w:rsidRDefault="00FC3CE0" w:rsidP="00E5690F">
      <w:pPr>
        <w:ind w:right="113"/>
        <w:rPr>
          <w:rFonts w:cs="Arial"/>
          <w:b/>
          <w:szCs w:val="22"/>
        </w:rPr>
      </w:pPr>
    </w:p>
    <w:p w14:paraId="719A5C63" w14:textId="3977A1FB" w:rsidR="00664420" w:rsidRPr="00E5690F" w:rsidRDefault="00664420" w:rsidP="00E5690F">
      <w:pPr>
        <w:rPr>
          <w:rFonts w:eastAsia="Palatino Linotype" w:cs="Palatino Linotype"/>
          <w:szCs w:val="22"/>
        </w:rPr>
      </w:pPr>
      <w:r w:rsidRPr="00E5690F">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F0FB0" w:rsidRPr="00E5690F">
        <w:rPr>
          <w:rFonts w:eastAsia="Palatino Linotype" w:cs="Palatino Linotype"/>
          <w:szCs w:val="22"/>
        </w:rPr>
        <w:t>CUADRA</w:t>
      </w:r>
      <w:r w:rsidR="002A7339" w:rsidRPr="00E5690F">
        <w:rPr>
          <w:rFonts w:eastAsia="Palatino Linotype" w:cs="Palatino Linotype"/>
          <w:szCs w:val="22"/>
        </w:rPr>
        <w:t>GÉSIMA</w:t>
      </w:r>
      <w:r w:rsidR="001E196B" w:rsidRPr="00E5690F">
        <w:rPr>
          <w:rFonts w:eastAsia="Palatino Linotype" w:cs="Palatino Linotype"/>
          <w:szCs w:val="22"/>
        </w:rPr>
        <w:t xml:space="preserve"> </w:t>
      </w:r>
      <w:r w:rsidR="00BF0FB0" w:rsidRPr="00E5690F">
        <w:rPr>
          <w:rFonts w:eastAsia="Palatino Linotype" w:cs="Palatino Linotype"/>
          <w:szCs w:val="22"/>
        </w:rPr>
        <w:t>TERCERA</w:t>
      </w:r>
      <w:r w:rsidR="000D5439" w:rsidRPr="00E5690F">
        <w:rPr>
          <w:rFonts w:eastAsia="Palatino Linotype" w:cs="Palatino Linotype"/>
          <w:szCs w:val="22"/>
        </w:rPr>
        <w:t xml:space="preserve"> </w:t>
      </w:r>
      <w:r w:rsidRPr="00E5690F">
        <w:rPr>
          <w:rFonts w:eastAsia="Palatino Linotype" w:cs="Palatino Linotype"/>
          <w:szCs w:val="22"/>
        </w:rPr>
        <w:t xml:space="preserve">SESIÓN ORDINARIA, CELEBRADA EL </w:t>
      </w:r>
      <w:r w:rsidR="00BF0FB0" w:rsidRPr="00E5690F">
        <w:rPr>
          <w:rFonts w:eastAsia="Palatino Linotype" w:cs="Palatino Linotype"/>
          <w:szCs w:val="22"/>
        </w:rPr>
        <w:t>ONCE DE DICIEMBRE</w:t>
      </w:r>
      <w:r w:rsidR="00197DFC" w:rsidRPr="00E5690F">
        <w:rPr>
          <w:rFonts w:eastAsia="Palatino Linotype" w:cs="Palatino Linotype"/>
          <w:szCs w:val="22"/>
        </w:rPr>
        <w:t xml:space="preserve"> </w:t>
      </w:r>
      <w:r w:rsidR="001E196B" w:rsidRPr="00E5690F">
        <w:rPr>
          <w:rFonts w:eastAsia="Palatino Linotype" w:cs="Palatino Linotype"/>
          <w:szCs w:val="22"/>
        </w:rPr>
        <w:t>DE DOS MIL VEINTICUATRO</w:t>
      </w:r>
      <w:r w:rsidRPr="00E5690F">
        <w:rPr>
          <w:rFonts w:eastAsia="Palatino Linotype" w:cs="Palatino Linotype"/>
          <w:szCs w:val="22"/>
        </w:rPr>
        <w:t>, ANTE EL SECRETARIO TÉCNICO DEL PLENO, ALEXIS TAPIA RAMÍREZ.</w:t>
      </w:r>
    </w:p>
    <w:p w14:paraId="49D72DA3" w14:textId="30BDE11B" w:rsidR="00664420" w:rsidRPr="00E5690F" w:rsidRDefault="001E196B" w:rsidP="00E5690F">
      <w:pPr>
        <w:ind w:right="-93"/>
        <w:rPr>
          <w:rFonts w:eastAsia="Calibri" w:cs="Tahoma"/>
          <w:bCs/>
          <w:szCs w:val="22"/>
          <w:lang w:eastAsia="en-US"/>
        </w:rPr>
      </w:pPr>
      <w:r w:rsidRPr="00E5690F">
        <w:rPr>
          <w:rFonts w:eastAsia="Palatino Linotype" w:cs="Palatino Linotype"/>
          <w:sz w:val="20"/>
        </w:rPr>
        <w:t>SCMM/AGZ/DEMF/CDFE</w:t>
      </w:r>
      <w:r w:rsidRPr="00E5690F">
        <w:br w:type="page"/>
      </w:r>
    </w:p>
    <w:p w14:paraId="5EFEA0CD" w14:textId="77777777" w:rsidR="00664420" w:rsidRPr="00E5690F" w:rsidRDefault="00664420" w:rsidP="00E5690F">
      <w:pPr>
        <w:ind w:right="-93"/>
        <w:rPr>
          <w:rFonts w:eastAsia="Calibri" w:cs="Tahoma"/>
          <w:szCs w:val="22"/>
          <w:lang w:val="es-ES"/>
        </w:rPr>
      </w:pPr>
    </w:p>
    <w:p w14:paraId="72D18B28" w14:textId="77777777" w:rsidR="00664420" w:rsidRPr="00E5690F" w:rsidRDefault="00664420" w:rsidP="00E5690F">
      <w:pPr>
        <w:ind w:right="-93"/>
        <w:rPr>
          <w:rFonts w:eastAsia="Calibri" w:cs="Tahoma"/>
          <w:bCs/>
          <w:szCs w:val="22"/>
          <w:lang w:val="es-ES_tradnl" w:eastAsia="en-US"/>
        </w:rPr>
      </w:pPr>
    </w:p>
    <w:p w14:paraId="6BD461DC" w14:textId="77777777" w:rsidR="00664420" w:rsidRPr="00E5690F" w:rsidRDefault="00664420" w:rsidP="00E5690F">
      <w:pPr>
        <w:tabs>
          <w:tab w:val="center" w:pos="4568"/>
        </w:tabs>
        <w:ind w:right="-93"/>
        <w:rPr>
          <w:rFonts w:eastAsia="Calibri" w:cs="Tahoma"/>
          <w:bCs/>
          <w:szCs w:val="22"/>
          <w:lang w:eastAsia="en-US"/>
        </w:rPr>
      </w:pPr>
    </w:p>
    <w:p w14:paraId="4DBB1727" w14:textId="77777777" w:rsidR="00664420" w:rsidRPr="00E5690F" w:rsidRDefault="00664420" w:rsidP="00E5690F">
      <w:pPr>
        <w:tabs>
          <w:tab w:val="center" w:pos="4568"/>
        </w:tabs>
        <w:ind w:right="-93"/>
        <w:rPr>
          <w:rFonts w:eastAsia="Calibri" w:cs="Tahoma"/>
          <w:bCs/>
          <w:szCs w:val="22"/>
          <w:lang w:eastAsia="en-US"/>
        </w:rPr>
      </w:pPr>
    </w:p>
    <w:p w14:paraId="1D74121B" w14:textId="77777777" w:rsidR="00664420" w:rsidRPr="00E5690F" w:rsidRDefault="00664420" w:rsidP="00E5690F">
      <w:pPr>
        <w:tabs>
          <w:tab w:val="center" w:pos="4568"/>
        </w:tabs>
        <w:ind w:right="-93"/>
        <w:rPr>
          <w:rFonts w:eastAsia="Calibri" w:cs="Tahoma"/>
          <w:bCs/>
          <w:szCs w:val="22"/>
          <w:lang w:eastAsia="en-US"/>
        </w:rPr>
      </w:pPr>
    </w:p>
    <w:p w14:paraId="08E74E9C" w14:textId="77777777" w:rsidR="00664420" w:rsidRPr="00E5690F" w:rsidRDefault="00664420" w:rsidP="00E5690F">
      <w:pPr>
        <w:tabs>
          <w:tab w:val="center" w:pos="4568"/>
        </w:tabs>
        <w:ind w:right="-93"/>
        <w:rPr>
          <w:rFonts w:eastAsia="Calibri" w:cs="Tahoma"/>
          <w:bCs/>
          <w:szCs w:val="22"/>
          <w:lang w:eastAsia="en-US"/>
        </w:rPr>
      </w:pPr>
    </w:p>
    <w:p w14:paraId="2CBF5E03" w14:textId="77777777" w:rsidR="00664420" w:rsidRPr="00E5690F" w:rsidRDefault="00664420" w:rsidP="00E5690F">
      <w:pPr>
        <w:tabs>
          <w:tab w:val="center" w:pos="4568"/>
        </w:tabs>
        <w:ind w:right="-93"/>
        <w:rPr>
          <w:rFonts w:eastAsia="Calibri" w:cs="Tahoma"/>
          <w:bCs/>
          <w:szCs w:val="22"/>
          <w:lang w:eastAsia="en-US"/>
        </w:rPr>
      </w:pPr>
    </w:p>
    <w:p w14:paraId="44865A6D" w14:textId="77777777" w:rsidR="00664420" w:rsidRPr="00E5690F" w:rsidRDefault="00664420" w:rsidP="00E5690F">
      <w:pPr>
        <w:tabs>
          <w:tab w:val="center" w:pos="4568"/>
        </w:tabs>
        <w:ind w:right="-93"/>
        <w:rPr>
          <w:rFonts w:eastAsia="Calibri" w:cs="Tahoma"/>
          <w:bCs/>
          <w:szCs w:val="22"/>
          <w:lang w:eastAsia="en-US"/>
        </w:rPr>
      </w:pPr>
    </w:p>
    <w:p w14:paraId="7147F06B" w14:textId="77777777" w:rsidR="00664420" w:rsidRPr="00E5690F" w:rsidRDefault="00664420" w:rsidP="00E5690F">
      <w:pPr>
        <w:tabs>
          <w:tab w:val="center" w:pos="4568"/>
        </w:tabs>
        <w:ind w:right="-93"/>
        <w:rPr>
          <w:rFonts w:eastAsia="Calibri" w:cs="Tahoma"/>
          <w:bCs/>
          <w:szCs w:val="22"/>
          <w:lang w:eastAsia="en-US"/>
        </w:rPr>
      </w:pPr>
    </w:p>
    <w:p w14:paraId="6FDF3D7E" w14:textId="77777777" w:rsidR="00664420" w:rsidRPr="00E5690F" w:rsidRDefault="00664420" w:rsidP="00E5690F">
      <w:pPr>
        <w:tabs>
          <w:tab w:val="center" w:pos="4568"/>
        </w:tabs>
        <w:ind w:right="-93"/>
        <w:rPr>
          <w:rFonts w:eastAsia="Calibri" w:cs="Tahoma"/>
          <w:bCs/>
          <w:szCs w:val="22"/>
          <w:lang w:eastAsia="en-US"/>
        </w:rPr>
      </w:pPr>
    </w:p>
    <w:p w14:paraId="6246F818" w14:textId="77777777" w:rsidR="00664420" w:rsidRPr="00E5690F" w:rsidRDefault="00664420" w:rsidP="00E5690F">
      <w:pPr>
        <w:tabs>
          <w:tab w:val="center" w:pos="4568"/>
        </w:tabs>
        <w:ind w:right="-93"/>
        <w:rPr>
          <w:rFonts w:eastAsia="Calibri" w:cs="Tahoma"/>
          <w:bCs/>
          <w:szCs w:val="22"/>
          <w:lang w:eastAsia="en-US"/>
        </w:rPr>
      </w:pPr>
    </w:p>
    <w:p w14:paraId="57A88B28" w14:textId="77777777" w:rsidR="00664420" w:rsidRPr="00E5690F" w:rsidRDefault="00664420" w:rsidP="00E5690F">
      <w:pPr>
        <w:tabs>
          <w:tab w:val="center" w:pos="4568"/>
        </w:tabs>
        <w:ind w:right="-93"/>
        <w:rPr>
          <w:rFonts w:eastAsia="Calibri" w:cs="Tahoma"/>
          <w:bCs/>
          <w:szCs w:val="22"/>
          <w:lang w:eastAsia="en-US"/>
        </w:rPr>
      </w:pPr>
    </w:p>
    <w:p w14:paraId="77EF6095" w14:textId="77777777" w:rsidR="00664420" w:rsidRPr="00E5690F" w:rsidRDefault="00664420" w:rsidP="00E5690F">
      <w:pPr>
        <w:tabs>
          <w:tab w:val="center" w:pos="4568"/>
        </w:tabs>
        <w:ind w:right="-93"/>
        <w:rPr>
          <w:rFonts w:eastAsia="Calibri" w:cs="Tahoma"/>
          <w:bCs/>
          <w:szCs w:val="22"/>
          <w:lang w:eastAsia="en-US"/>
        </w:rPr>
      </w:pPr>
    </w:p>
    <w:p w14:paraId="35593947" w14:textId="77777777" w:rsidR="00664420" w:rsidRPr="00E5690F" w:rsidRDefault="00664420" w:rsidP="00E5690F">
      <w:pPr>
        <w:tabs>
          <w:tab w:val="center" w:pos="4568"/>
        </w:tabs>
        <w:ind w:right="-93"/>
        <w:rPr>
          <w:rFonts w:eastAsia="Calibri" w:cs="Tahoma"/>
          <w:bCs/>
          <w:szCs w:val="22"/>
          <w:lang w:eastAsia="en-US"/>
        </w:rPr>
      </w:pPr>
    </w:p>
    <w:p w14:paraId="3AF72A17" w14:textId="77777777" w:rsidR="00664420" w:rsidRPr="00E5690F" w:rsidRDefault="00664420" w:rsidP="00E5690F">
      <w:pPr>
        <w:tabs>
          <w:tab w:val="center" w:pos="4568"/>
        </w:tabs>
        <w:ind w:right="-93"/>
        <w:rPr>
          <w:rFonts w:eastAsia="Calibri" w:cs="Tahoma"/>
          <w:bCs/>
          <w:szCs w:val="22"/>
          <w:lang w:eastAsia="en-US"/>
        </w:rPr>
      </w:pPr>
    </w:p>
    <w:p w14:paraId="37169144" w14:textId="77777777" w:rsidR="00664420" w:rsidRPr="00E5690F" w:rsidRDefault="00664420" w:rsidP="00E5690F">
      <w:pPr>
        <w:tabs>
          <w:tab w:val="center" w:pos="4568"/>
        </w:tabs>
        <w:ind w:right="-93"/>
        <w:rPr>
          <w:rFonts w:eastAsia="Calibri" w:cs="Tahoma"/>
          <w:bCs/>
          <w:szCs w:val="22"/>
          <w:lang w:eastAsia="en-US"/>
        </w:rPr>
      </w:pPr>
    </w:p>
    <w:p w14:paraId="77CFC088" w14:textId="77777777" w:rsidR="00664420" w:rsidRPr="00E5690F" w:rsidRDefault="00664420" w:rsidP="00E5690F">
      <w:pPr>
        <w:tabs>
          <w:tab w:val="center" w:pos="4568"/>
        </w:tabs>
        <w:ind w:right="-93"/>
        <w:rPr>
          <w:rFonts w:eastAsia="Calibri" w:cs="Tahoma"/>
          <w:bCs/>
          <w:szCs w:val="22"/>
          <w:lang w:eastAsia="en-US"/>
        </w:rPr>
      </w:pPr>
    </w:p>
    <w:p w14:paraId="781A11A5" w14:textId="77777777" w:rsidR="00664420" w:rsidRPr="00E5690F" w:rsidRDefault="00664420" w:rsidP="00E5690F">
      <w:pPr>
        <w:tabs>
          <w:tab w:val="center" w:pos="4568"/>
        </w:tabs>
        <w:ind w:right="-93"/>
        <w:rPr>
          <w:rFonts w:eastAsia="Calibri" w:cs="Tahoma"/>
          <w:bCs/>
          <w:szCs w:val="22"/>
          <w:lang w:eastAsia="en-US"/>
        </w:rPr>
      </w:pPr>
    </w:p>
    <w:p w14:paraId="5B4ADFF3" w14:textId="77777777" w:rsidR="00A131AC" w:rsidRPr="00E5690F" w:rsidRDefault="00A131AC" w:rsidP="00E5690F"/>
    <w:sectPr w:rsidR="00A131AC" w:rsidRPr="00E5690F"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38308" w14:textId="77777777" w:rsidR="00CB1B74" w:rsidRDefault="00CB1B74" w:rsidP="00664420">
      <w:pPr>
        <w:spacing w:line="240" w:lineRule="auto"/>
      </w:pPr>
      <w:r>
        <w:separator/>
      </w:r>
    </w:p>
  </w:endnote>
  <w:endnote w:type="continuationSeparator" w:id="0">
    <w:p w14:paraId="328D62A1" w14:textId="77777777" w:rsidR="00CB1B74" w:rsidRDefault="00CB1B7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07D18" w:rsidRDefault="00E07D18">
    <w:pPr>
      <w:tabs>
        <w:tab w:val="center" w:pos="4550"/>
        <w:tab w:val="left" w:pos="5818"/>
      </w:tabs>
      <w:ind w:right="260"/>
      <w:jc w:val="right"/>
      <w:rPr>
        <w:color w:val="071320" w:themeColor="text2" w:themeShade="80"/>
        <w:sz w:val="24"/>
        <w:szCs w:val="24"/>
      </w:rPr>
    </w:pPr>
  </w:p>
  <w:p w14:paraId="1BCA7F23" w14:textId="77777777" w:rsidR="00E07D18" w:rsidRDefault="00E07D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E54D39E" w:rsidR="00E07D18" w:rsidRDefault="00E07D1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004858" w:rsidRPr="00004858">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004858" w:rsidRPr="00004858">
      <w:rPr>
        <w:noProof/>
        <w:color w:val="0A1D30" w:themeColor="text2" w:themeShade="BF"/>
        <w:sz w:val="24"/>
        <w:szCs w:val="24"/>
        <w:lang w:val="es-ES"/>
      </w:rPr>
      <w:t>25</w:t>
    </w:r>
    <w:r>
      <w:rPr>
        <w:color w:val="0A1D30" w:themeColor="text2" w:themeShade="BF"/>
        <w:sz w:val="24"/>
        <w:szCs w:val="24"/>
      </w:rPr>
      <w:fldChar w:fldCharType="end"/>
    </w:r>
  </w:p>
  <w:p w14:paraId="310E15C0" w14:textId="77777777" w:rsidR="00E07D18" w:rsidRDefault="00E07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E1C4" w14:textId="77777777" w:rsidR="00CB1B74" w:rsidRDefault="00CB1B74" w:rsidP="00664420">
      <w:pPr>
        <w:spacing w:line="240" w:lineRule="auto"/>
      </w:pPr>
      <w:r>
        <w:separator/>
      </w:r>
    </w:p>
  </w:footnote>
  <w:footnote w:type="continuationSeparator" w:id="0">
    <w:p w14:paraId="085B14E5" w14:textId="77777777" w:rsidR="00CB1B74" w:rsidRDefault="00CB1B74" w:rsidP="00664420">
      <w:pPr>
        <w:spacing w:line="240" w:lineRule="auto"/>
      </w:pPr>
      <w:r>
        <w:continuationSeparator/>
      </w:r>
    </w:p>
  </w:footnote>
  <w:footnote w:id="1">
    <w:p w14:paraId="72680D55" w14:textId="77777777" w:rsidR="00E07D18" w:rsidRDefault="00E07D18" w:rsidP="00704239">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1CD45869" w14:textId="77777777" w:rsidR="00E07D18" w:rsidRDefault="00E07D18" w:rsidP="00704239">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w:t>
      </w:r>
      <w:proofErr w:type="spellStart"/>
      <w:r>
        <w:rPr>
          <w:rFonts w:eastAsia="Palatino Linotype" w:cs="Palatino Linotype"/>
          <w:color w:val="000000"/>
          <w:sz w:val="16"/>
          <w:szCs w:val="16"/>
        </w:rPr>
        <w:t>VILLANUEVA</w:t>
      </w:r>
      <w:proofErr w:type="spellEnd"/>
      <w:r>
        <w:rPr>
          <w:rFonts w:eastAsia="Palatino Linotype" w:cs="Palatino Linotype"/>
          <w:color w:val="000000"/>
          <w:sz w:val="16"/>
          <w:szCs w:val="16"/>
        </w:rPr>
        <w:t xml:space="preserve"> Ernesto, Derecho de la Información, Ed, Porrúa S.A., México. 2006, pág.270.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07D18" w:rsidRPr="00330DA7" w14:paraId="070A4B18" w14:textId="77777777" w:rsidTr="003F35FD">
      <w:trPr>
        <w:trHeight w:val="144"/>
        <w:jc w:val="right"/>
      </w:trPr>
      <w:tc>
        <w:tcPr>
          <w:tcW w:w="2727" w:type="dxa"/>
        </w:tcPr>
        <w:p w14:paraId="62B7493A" w14:textId="77777777" w:rsidR="00E07D18" w:rsidRPr="00330DA7" w:rsidRDefault="00E07D1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989C3A" w:rsidR="00E07D18" w:rsidRPr="00A90C72" w:rsidRDefault="00E07D18" w:rsidP="003F35FD">
          <w:pPr>
            <w:tabs>
              <w:tab w:val="right" w:pos="8838"/>
            </w:tabs>
            <w:ind w:left="-74" w:right="-105"/>
            <w:rPr>
              <w:rFonts w:eastAsia="Calibri" w:cs="Tahoma"/>
              <w:szCs w:val="22"/>
              <w:lang w:eastAsia="en-US"/>
            </w:rPr>
          </w:pPr>
          <w:r w:rsidRPr="00D532A6">
            <w:rPr>
              <w:rFonts w:eastAsia="Calibri" w:cs="Tahoma"/>
              <w:szCs w:val="22"/>
              <w:lang w:eastAsia="en-US"/>
            </w:rPr>
            <w:t>07172/INFOEM/IP/RR/2024</w:t>
          </w:r>
        </w:p>
      </w:tc>
    </w:tr>
    <w:tr w:rsidR="00E07D18" w:rsidRPr="00330DA7" w14:paraId="4521E058" w14:textId="77777777" w:rsidTr="003F35FD">
      <w:trPr>
        <w:trHeight w:val="283"/>
        <w:jc w:val="right"/>
      </w:trPr>
      <w:tc>
        <w:tcPr>
          <w:tcW w:w="2727" w:type="dxa"/>
        </w:tcPr>
        <w:p w14:paraId="0B68C086" w14:textId="77777777" w:rsidR="00E07D18" w:rsidRPr="00330DA7" w:rsidRDefault="00E07D1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EB3015B" w:rsidR="00E07D18" w:rsidRPr="00952DD0" w:rsidRDefault="00E07D18" w:rsidP="003F35FD">
          <w:pPr>
            <w:tabs>
              <w:tab w:val="left" w:pos="2834"/>
              <w:tab w:val="right" w:pos="8838"/>
            </w:tabs>
            <w:ind w:left="-108" w:right="-105"/>
            <w:rPr>
              <w:rFonts w:eastAsia="Calibri" w:cs="Tahoma"/>
              <w:szCs w:val="22"/>
              <w:lang w:eastAsia="en-US"/>
            </w:rPr>
          </w:pPr>
          <w:r w:rsidRPr="00D532A6">
            <w:rPr>
              <w:rFonts w:eastAsia="Calibri" w:cs="Tahoma"/>
              <w:szCs w:val="22"/>
              <w:lang w:eastAsia="en-US"/>
            </w:rPr>
            <w:t>Sindicato Único de Trabajadores de Los Poderes, Municipios E Instituciones Descentralizadas del Estado de México</w:t>
          </w:r>
        </w:p>
      </w:tc>
    </w:tr>
    <w:tr w:rsidR="00E07D18" w:rsidRPr="00330DA7" w14:paraId="6331D9B6" w14:textId="77777777" w:rsidTr="003F35FD">
      <w:trPr>
        <w:trHeight w:val="283"/>
        <w:jc w:val="right"/>
      </w:trPr>
      <w:tc>
        <w:tcPr>
          <w:tcW w:w="2727" w:type="dxa"/>
        </w:tcPr>
        <w:p w14:paraId="3FA86BAE" w14:textId="4D08C655" w:rsidR="00E07D18" w:rsidRPr="00330DA7" w:rsidRDefault="00E07D18"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E07D18" w:rsidRPr="00EA66FC" w:rsidRDefault="00E07D1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07D18" w:rsidRPr="00443C6B" w:rsidRDefault="00E07D1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B82C609">
          <wp:simplePos x="0" y="0"/>
          <wp:positionH relativeFrom="page">
            <wp:align>left</wp:align>
          </wp:positionH>
          <wp:positionV relativeFrom="margin">
            <wp:posOffset>-2039620</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07D18" w:rsidRPr="00330DA7" w14:paraId="29CFF901" w14:textId="77777777" w:rsidTr="00E85A73">
      <w:trPr>
        <w:trHeight w:val="1435"/>
      </w:trPr>
      <w:tc>
        <w:tcPr>
          <w:tcW w:w="283" w:type="dxa"/>
          <w:shd w:val="clear" w:color="auto" w:fill="auto"/>
        </w:tcPr>
        <w:p w14:paraId="046B9F8F" w14:textId="77777777" w:rsidR="00E07D18" w:rsidRPr="00330DA7" w:rsidRDefault="00E07D18"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07D18" w:rsidRPr="00330DA7" w14:paraId="04F272D2" w14:textId="77777777" w:rsidTr="00E85A73">
            <w:trPr>
              <w:trHeight w:val="144"/>
            </w:trPr>
            <w:tc>
              <w:tcPr>
                <w:tcW w:w="2727" w:type="dxa"/>
              </w:tcPr>
              <w:p w14:paraId="2FD4DBF6" w14:textId="77777777" w:rsidR="00E07D18" w:rsidRPr="00330DA7" w:rsidRDefault="00E07D18"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4A9D2D7A" w:rsidR="00E07D18" w:rsidRPr="00A90C72" w:rsidRDefault="00E07D18" w:rsidP="00E85A73">
                <w:pPr>
                  <w:tabs>
                    <w:tab w:val="right" w:pos="8838"/>
                  </w:tabs>
                  <w:ind w:left="-74" w:right="-105"/>
                  <w:rPr>
                    <w:rFonts w:eastAsia="Calibri" w:cs="Tahoma"/>
                    <w:szCs w:val="22"/>
                    <w:lang w:eastAsia="en-US"/>
                  </w:rPr>
                </w:pPr>
                <w:r w:rsidRPr="00D532A6">
                  <w:rPr>
                    <w:rFonts w:eastAsia="Calibri" w:cs="Tahoma"/>
                    <w:szCs w:val="22"/>
                    <w:lang w:eastAsia="en-US"/>
                  </w:rPr>
                  <w:t>07172/INFOEM/IP/RR/2024</w:t>
                </w:r>
              </w:p>
            </w:tc>
            <w:tc>
              <w:tcPr>
                <w:tcW w:w="3402" w:type="dxa"/>
              </w:tcPr>
              <w:p w14:paraId="71DEA1CF" w14:textId="77777777" w:rsidR="00E07D18" w:rsidRDefault="00E07D18" w:rsidP="00E85A73">
                <w:pPr>
                  <w:tabs>
                    <w:tab w:val="right" w:pos="8838"/>
                  </w:tabs>
                  <w:ind w:left="-74" w:right="-105"/>
                  <w:rPr>
                    <w:rFonts w:eastAsia="Calibri" w:cs="Tahoma"/>
                    <w:szCs w:val="22"/>
                    <w:lang w:eastAsia="en-US"/>
                  </w:rPr>
                </w:pPr>
              </w:p>
            </w:tc>
          </w:tr>
          <w:tr w:rsidR="00E07D18" w:rsidRPr="00330DA7" w14:paraId="05C58951" w14:textId="77777777" w:rsidTr="00E85A73">
            <w:trPr>
              <w:trHeight w:val="144"/>
            </w:trPr>
            <w:tc>
              <w:tcPr>
                <w:tcW w:w="2727" w:type="dxa"/>
              </w:tcPr>
              <w:p w14:paraId="642B9610" w14:textId="77777777" w:rsidR="00E07D18" w:rsidRPr="00330DA7" w:rsidRDefault="00E07D18"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FE76D3" w:rsidR="00E07D18" w:rsidRPr="005F19B1" w:rsidRDefault="00004858"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XXXXXXXX</w:t>
                </w:r>
              </w:p>
            </w:tc>
            <w:tc>
              <w:tcPr>
                <w:tcW w:w="3402" w:type="dxa"/>
              </w:tcPr>
              <w:p w14:paraId="73F47F53" w14:textId="77777777" w:rsidR="00E07D18" w:rsidRPr="005F19B1" w:rsidRDefault="00E07D18" w:rsidP="00E85A73">
                <w:pPr>
                  <w:tabs>
                    <w:tab w:val="left" w:pos="3122"/>
                    <w:tab w:val="right" w:pos="8838"/>
                  </w:tabs>
                  <w:ind w:left="-105" w:right="-105"/>
                  <w:rPr>
                    <w:rFonts w:eastAsia="Calibri" w:cs="Tahoma"/>
                    <w:szCs w:val="22"/>
                    <w:lang w:eastAsia="en-US"/>
                  </w:rPr>
                </w:pPr>
              </w:p>
            </w:tc>
          </w:tr>
          <w:bookmarkEnd w:id="1"/>
          <w:tr w:rsidR="00E07D18" w:rsidRPr="00330DA7" w14:paraId="00E6CDC1" w14:textId="77777777" w:rsidTr="00E85A73">
            <w:trPr>
              <w:trHeight w:val="283"/>
            </w:trPr>
            <w:tc>
              <w:tcPr>
                <w:tcW w:w="2727" w:type="dxa"/>
              </w:tcPr>
              <w:p w14:paraId="0631AD24" w14:textId="77777777" w:rsidR="00E07D18" w:rsidRPr="00330DA7" w:rsidRDefault="00E07D18"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BD21C5B" w:rsidR="00E07D18" w:rsidRPr="00952DD0" w:rsidRDefault="00E07D18" w:rsidP="00E85A73">
                <w:pPr>
                  <w:tabs>
                    <w:tab w:val="left" w:pos="2834"/>
                    <w:tab w:val="right" w:pos="8838"/>
                  </w:tabs>
                  <w:ind w:left="-108" w:right="-105"/>
                  <w:rPr>
                    <w:rFonts w:eastAsia="Calibri" w:cs="Tahoma"/>
                    <w:szCs w:val="22"/>
                    <w:lang w:eastAsia="en-US"/>
                  </w:rPr>
                </w:pPr>
                <w:r w:rsidRPr="00D532A6">
                  <w:rPr>
                    <w:rFonts w:eastAsia="Calibri" w:cs="Tahoma"/>
                    <w:szCs w:val="22"/>
                    <w:lang w:eastAsia="en-US"/>
                  </w:rPr>
                  <w:t>Sindicato Único de Trabajadores de Los Poderes, Municipios E Instituciones Descentralizadas del Estado de México</w:t>
                </w:r>
              </w:p>
            </w:tc>
            <w:tc>
              <w:tcPr>
                <w:tcW w:w="3402" w:type="dxa"/>
              </w:tcPr>
              <w:p w14:paraId="3A7DA319" w14:textId="77777777" w:rsidR="00E07D18" w:rsidRPr="00A90C72" w:rsidRDefault="00E07D18" w:rsidP="00E85A73">
                <w:pPr>
                  <w:tabs>
                    <w:tab w:val="left" w:pos="2834"/>
                    <w:tab w:val="right" w:pos="8838"/>
                  </w:tabs>
                  <w:ind w:left="-108" w:right="-105"/>
                  <w:rPr>
                    <w:rFonts w:eastAsia="Calibri" w:cs="Tahoma"/>
                    <w:szCs w:val="22"/>
                    <w:lang w:eastAsia="en-US"/>
                  </w:rPr>
                </w:pPr>
              </w:p>
            </w:tc>
          </w:tr>
          <w:tr w:rsidR="00E07D18" w:rsidRPr="00330DA7" w14:paraId="0F6CD8D2" w14:textId="77777777" w:rsidTr="00E85A73">
            <w:trPr>
              <w:trHeight w:val="283"/>
            </w:trPr>
            <w:tc>
              <w:tcPr>
                <w:tcW w:w="2727" w:type="dxa"/>
              </w:tcPr>
              <w:p w14:paraId="31700628" w14:textId="6134F782" w:rsidR="00E07D18" w:rsidRPr="00330DA7" w:rsidRDefault="00E07D18"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E07D18" w:rsidRPr="00EA66FC" w:rsidRDefault="00E07D18"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07D18" w:rsidRPr="00330DA7" w:rsidRDefault="00E07D18" w:rsidP="00E85A73">
                <w:pPr>
                  <w:tabs>
                    <w:tab w:val="right" w:pos="8838"/>
                  </w:tabs>
                  <w:ind w:left="-108" w:right="-105"/>
                  <w:rPr>
                    <w:rFonts w:eastAsia="Calibri" w:cs="Tahoma"/>
                    <w:szCs w:val="22"/>
                    <w:lang w:eastAsia="en-US"/>
                  </w:rPr>
                </w:pPr>
              </w:p>
            </w:tc>
          </w:tr>
        </w:tbl>
        <w:p w14:paraId="5DC6AC61" w14:textId="77777777" w:rsidR="00E07D18" w:rsidRPr="00330DA7" w:rsidRDefault="00E07D18" w:rsidP="00E85A73">
          <w:pPr>
            <w:tabs>
              <w:tab w:val="right" w:pos="8838"/>
            </w:tabs>
            <w:ind w:left="-28"/>
            <w:rPr>
              <w:rFonts w:ascii="Arial" w:eastAsia="Calibri" w:hAnsi="Arial" w:cs="Arial"/>
              <w:b/>
              <w:szCs w:val="22"/>
              <w:lang w:eastAsia="en-US"/>
            </w:rPr>
          </w:pPr>
        </w:p>
      </w:tc>
    </w:tr>
  </w:tbl>
  <w:p w14:paraId="2A906731" w14:textId="77777777" w:rsidR="00E07D18" w:rsidRPr="00765661" w:rsidRDefault="00CB1B74"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94.8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66F"/>
    <w:multiLevelType w:val="multilevel"/>
    <w:tmpl w:val="523C304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9A3549"/>
    <w:multiLevelType w:val="multilevel"/>
    <w:tmpl w:val="C1D49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A63D7F"/>
    <w:multiLevelType w:val="multilevel"/>
    <w:tmpl w:val="F5045D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A00234"/>
    <w:multiLevelType w:val="hybridMultilevel"/>
    <w:tmpl w:val="716A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3" w15:restartNumberingAfterBreak="0">
    <w:nsid w:val="2B9C3DAB"/>
    <w:multiLevelType w:val="hybridMultilevel"/>
    <w:tmpl w:val="14DA3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0A51941"/>
    <w:multiLevelType w:val="multilevel"/>
    <w:tmpl w:val="0A80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494FE4"/>
    <w:multiLevelType w:val="hybridMultilevel"/>
    <w:tmpl w:val="6F28E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26"/>
  </w:num>
  <w:num w:numId="4">
    <w:abstractNumId w:val="9"/>
  </w:num>
  <w:num w:numId="5">
    <w:abstractNumId w:val="5"/>
  </w:num>
  <w:num w:numId="6">
    <w:abstractNumId w:val="27"/>
  </w:num>
  <w:num w:numId="7">
    <w:abstractNumId w:val="18"/>
  </w:num>
  <w:num w:numId="8">
    <w:abstractNumId w:val="7"/>
  </w:num>
  <w:num w:numId="9">
    <w:abstractNumId w:val="17"/>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1"/>
  </w:num>
  <w:num w:numId="13">
    <w:abstractNumId w:val="2"/>
  </w:num>
  <w:num w:numId="14">
    <w:abstractNumId w:val="6"/>
  </w:num>
  <w:num w:numId="15">
    <w:abstractNumId w:val="19"/>
  </w:num>
  <w:num w:numId="16">
    <w:abstractNumId w:val="23"/>
  </w:num>
  <w:num w:numId="17">
    <w:abstractNumId w:val="14"/>
  </w:num>
  <w:num w:numId="18">
    <w:abstractNumId w:val="24"/>
  </w:num>
  <w:num w:numId="19">
    <w:abstractNumId w:val="4"/>
  </w:num>
  <w:num w:numId="20">
    <w:abstractNumId w:val="20"/>
  </w:num>
  <w:num w:numId="21">
    <w:abstractNumId w:val="25"/>
  </w:num>
  <w:num w:numId="22">
    <w:abstractNumId w:val="15"/>
  </w:num>
  <w:num w:numId="23">
    <w:abstractNumId w:val="1"/>
  </w:num>
  <w:num w:numId="24">
    <w:abstractNumId w:val="13"/>
  </w:num>
  <w:num w:numId="25">
    <w:abstractNumId w:val="10"/>
  </w:num>
  <w:num w:numId="26">
    <w:abstractNumId w:val="3"/>
  </w:num>
  <w:num w:numId="27">
    <w:abstractNumId w:val="8"/>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858"/>
    <w:rsid w:val="0000629A"/>
    <w:rsid w:val="000318BC"/>
    <w:rsid w:val="000448F1"/>
    <w:rsid w:val="00057B2D"/>
    <w:rsid w:val="00074B52"/>
    <w:rsid w:val="00080071"/>
    <w:rsid w:val="00081B94"/>
    <w:rsid w:val="000A666D"/>
    <w:rsid w:val="000C47C5"/>
    <w:rsid w:val="000D0D67"/>
    <w:rsid w:val="000D5439"/>
    <w:rsid w:val="000E09C4"/>
    <w:rsid w:val="0011350D"/>
    <w:rsid w:val="00135EF3"/>
    <w:rsid w:val="00141876"/>
    <w:rsid w:val="0014207B"/>
    <w:rsid w:val="00150C49"/>
    <w:rsid w:val="00156FD8"/>
    <w:rsid w:val="00165FE9"/>
    <w:rsid w:val="00193090"/>
    <w:rsid w:val="00193F73"/>
    <w:rsid w:val="00197DFC"/>
    <w:rsid w:val="001A58B3"/>
    <w:rsid w:val="001C7688"/>
    <w:rsid w:val="001D19F2"/>
    <w:rsid w:val="001D2957"/>
    <w:rsid w:val="001E196B"/>
    <w:rsid w:val="001F3515"/>
    <w:rsid w:val="001F6646"/>
    <w:rsid w:val="002031D5"/>
    <w:rsid w:val="00233005"/>
    <w:rsid w:val="00233F17"/>
    <w:rsid w:val="002347F3"/>
    <w:rsid w:val="002778F0"/>
    <w:rsid w:val="002A3601"/>
    <w:rsid w:val="002A3D44"/>
    <w:rsid w:val="002A7339"/>
    <w:rsid w:val="002B3956"/>
    <w:rsid w:val="002B7C6F"/>
    <w:rsid w:val="002C22A3"/>
    <w:rsid w:val="002C53EE"/>
    <w:rsid w:val="002D111C"/>
    <w:rsid w:val="002F4871"/>
    <w:rsid w:val="00302476"/>
    <w:rsid w:val="00304E8E"/>
    <w:rsid w:val="00307D18"/>
    <w:rsid w:val="00325871"/>
    <w:rsid w:val="00331F35"/>
    <w:rsid w:val="0033375C"/>
    <w:rsid w:val="00335CDF"/>
    <w:rsid w:val="00362A11"/>
    <w:rsid w:val="00366345"/>
    <w:rsid w:val="0038133E"/>
    <w:rsid w:val="00396412"/>
    <w:rsid w:val="003A40C1"/>
    <w:rsid w:val="003B5D3E"/>
    <w:rsid w:val="003E2BA6"/>
    <w:rsid w:val="003F35FD"/>
    <w:rsid w:val="0040367B"/>
    <w:rsid w:val="0041385B"/>
    <w:rsid w:val="00422F8B"/>
    <w:rsid w:val="00441BFA"/>
    <w:rsid w:val="00454FBD"/>
    <w:rsid w:val="0046619F"/>
    <w:rsid w:val="00475248"/>
    <w:rsid w:val="004A131B"/>
    <w:rsid w:val="004A5973"/>
    <w:rsid w:val="004C04EC"/>
    <w:rsid w:val="004D2924"/>
    <w:rsid w:val="004D7CD8"/>
    <w:rsid w:val="004E1875"/>
    <w:rsid w:val="004E3AFC"/>
    <w:rsid w:val="004E5068"/>
    <w:rsid w:val="004E50F8"/>
    <w:rsid w:val="004F7A00"/>
    <w:rsid w:val="00523F48"/>
    <w:rsid w:val="005365FA"/>
    <w:rsid w:val="00536E63"/>
    <w:rsid w:val="00551383"/>
    <w:rsid w:val="005723CB"/>
    <w:rsid w:val="00575400"/>
    <w:rsid w:val="00587141"/>
    <w:rsid w:val="00595228"/>
    <w:rsid w:val="005A3789"/>
    <w:rsid w:val="005B18AF"/>
    <w:rsid w:val="005B5153"/>
    <w:rsid w:val="005C3DBB"/>
    <w:rsid w:val="005D5A50"/>
    <w:rsid w:val="005F5301"/>
    <w:rsid w:val="005F65B7"/>
    <w:rsid w:val="006067C7"/>
    <w:rsid w:val="006159AD"/>
    <w:rsid w:val="0064167D"/>
    <w:rsid w:val="00646436"/>
    <w:rsid w:val="00664420"/>
    <w:rsid w:val="00664DAC"/>
    <w:rsid w:val="00671FC7"/>
    <w:rsid w:val="006A646A"/>
    <w:rsid w:val="006B0482"/>
    <w:rsid w:val="006B10B0"/>
    <w:rsid w:val="006B498E"/>
    <w:rsid w:val="006C3A73"/>
    <w:rsid w:val="006E220B"/>
    <w:rsid w:val="006E25BC"/>
    <w:rsid w:val="006E6BBC"/>
    <w:rsid w:val="006F725E"/>
    <w:rsid w:val="006F7768"/>
    <w:rsid w:val="00704239"/>
    <w:rsid w:val="007048A3"/>
    <w:rsid w:val="00705CAF"/>
    <w:rsid w:val="00717E59"/>
    <w:rsid w:val="00727D22"/>
    <w:rsid w:val="00761B67"/>
    <w:rsid w:val="00773AD0"/>
    <w:rsid w:val="00775BFC"/>
    <w:rsid w:val="007964C6"/>
    <w:rsid w:val="007A094A"/>
    <w:rsid w:val="007A3459"/>
    <w:rsid w:val="007B6074"/>
    <w:rsid w:val="007D1C55"/>
    <w:rsid w:val="007D317F"/>
    <w:rsid w:val="007F5D06"/>
    <w:rsid w:val="00803187"/>
    <w:rsid w:val="00805A6E"/>
    <w:rsid w:val="008252A0"/>
    <w:rsid w:val="008307AD"/>
    <w:rsid w:val="00865CF4"/>
    <w:rsid w:val="00876DBC"/>
    <w:rsid w:val="0088440B"/>
    <w:rsid w:val="008A6003"/>
    <w:rsid w:val="008A6F88"/>
    <w:rsid w:val="008B1E16"/>
    <w:rsid w:val="008B534F"/>
    <w:rsid w:val="008B7FE7"/>
    <w:rsid w:val="008E1316"/>
    <w:rsid w:val="008E6902"/>
    <w:rsid w:val="008F0175"/>
    <w:rsid w:val="008F42C0"/>
    <w:rsid w:val="00910FD2"/>
    <w:rsid w:val="00913C89"/>
    <w:rsid w:val="009260E7"/>
    <w:rsid w:val="00931437"/>
    <w:rsid w:val="00932610"/>
    <w:rsid w:val="00933717"/>
    <w:rsid w:val="00953430"/>
    <w:rsid w:val="009565E8"/>
    <w:rsid w:val="00970EB3"/>
    <w:rsid w:val="00982F40"/>
    <w:rsid w:val="00987005"/>
    <w:rsid w:val="009A2D78"/>
    <w:rsid w:val="009A381F"/>
    <w:rsid w:val="009A7C10"/>
    <w:rsid w:val="009B23DF"/>
    <w:rsid w:val="009B2945"/>
    <w:rsid w:val="009D4604"/>
    <w:rsid w:val="009E2DEE"/>
    <w:rsid w:val="009F489A"/>
    <w:rsid w:val="009F695E"/>
    <w:rsid w:val="009F797C"/>
    <w:rsid w:val="00A131AC"/>
    <w:rsid w:val="00A16D85"/>
    <w:rsid w:val="00A21A20"/>
    <w:rsid w:val="00A36A99"/>
    <w:rsid w:val="00A53315"/>
    <w:rsid w:val="00A65B54"/>
    <w:rsid w:val="00A70EF0"/>
    <w:rsid w:val="00A73F3B"/>
    <w:rsid w:val="00A91BC5"/>
    <w:rsid w:val="00A9208D"/>
    <w:rsid w:val="00AA1429"/>
    <w:rsid w:val="00AA6EA9"/>
    <w:rsid w:val="00AC2DB8"/>
    <w:rsid w:val="00AC3CA0"/>
    <w:rsid w:val="00AC4FA2"/>
    <w:rsid w:val="00AE3DA7"/>
    <w:rsid w:val="00AF03C4"/>
    <w:rsid w:val="00B22A80"/>
    <w:rsid w:val="00B56B55"/>
    <w:rsid w:val="00B653A1"/>
    <w:rsid w:val="00B854B7"/>
    <w:rsid w:val="00B96270"/>
    <w:rsid w:val="00BA1782"/>
    <w:rsid w:val="00BA55A8"/>
    <w:rsid w:val="00BB2ABF"/>
    <w:rsid w:val="00BB64F4"/>
    <w:rsid w:val="00BD0187"/>
    <w:rsid w:val="00BD1158"/>
    <w:rsid w:val="00BD3F4F"/>
    <w:rsid w:val="00BD5A7C"/>
    <w:rsid w:val="00BD6882"/>
    <w:rsid w:val="00BE7A1B"/>
    <w:rsid w:val="00BF0221"/>
    <w:rsid w:val="00BF091A"/>
    <w:rsid w:val="00BF0FB0"/>
    <w:rsid w:val="00BF467D"/>
    <w:rsid w:val="00BF4EAD"/>
    <w:rsid w:val="00C049E2"/>
    <w:rsid w:val="00C04A71"/>
    <w:rsid w:val="00C06130"/>
    <w:rsid w:val="00C36795"/>
    <w:rsid w:val="00C461EC"/>
    <w:rsid w:val="00C507D4"/>
    <w:rsid w:val="00C71CEF"/>
    <w:rsid w:val="00C72DAA"/>
    <w:rsid w:val="00C80B14"/>
    <w:rsid w:val="00C92CB3"/>
    <w:rsid w:val="00CB1B74"/>
    <w:rsid w:val="00CB7E9A"/>
    <w:rsid w:val="00CD0B92"/>
    <w:rsid w:val="00CE29D3"/>
    <w:rsid w:val="00CE74A5"/>
    <w:rsid w:val="00CE7C2B"/>
    <w:rsid w:val="00CF130E"/>
    <w:rsid w:val="00CF2D8B"/>
    <w:rsid w:val="00CF6C4F"/>
    <w:rsid w:val="00CF7586"/>
    <w:rsid w:val="00D036D3"/>
    <w:rsid w:val="00D06D65"/>
    <w:rsid w:val="00D172FE"/>
    <w:rsid w:val="00D2790D"/>
    <w:rsid w:val="00D37D7E"/>
    <w:rsid w:val="00D46D69"/>
    <w:rsid w:val="00D51ECD"/>
    <w:rsid w:val="00D532A6"/>
    <w:rsid w:val="00D6170E"/>
    <w:rsid w:val="00D7225D"/>
    <w:rsid w:val="00D740A1"/>
    <w:rsid w:val="00D91CB4"/>
    <w:rsid w:val="00DA11A0"/>
    <w:rsid w:val="00DB1C09"/>
    <w:rsid w:val="00DB3207"/>
    <w:rsid w:val="00DE1133"/>
    <w:rsid w:val="00E07D18"/>
    <w:rsid w:val="00E16BF5"/>
    <w:rsid w:val="00E37138"/>
    <w:rsid w:val="00E37A3F"/>
    <w:rsid w:val="00E37D3C"/>
    <w:rsid w:val="00E5690F"/>
    <w:rsid w:val="00E62E6A"/>
    <w:rsid w:val="00E73984"/>
    <w:rsid w:val="00E82927"/>
    <w:rsid w:val="00E83EF5"/>
    <w:rsid w:val="00E85A73"/>
    <w:rsid w:val="00E9335C"/>
    <w:rsid w:val="00EB1019"/>
    <w:rsid w:val="00EB319A"/>
    <w:rsid w:val="00EB35D7"/>
    <w:rsid w:val="00ED1C1E"/>
    <w:rsid w:val="00ED58AB"/>
    <w:rsid w:val="00EE2AF2"/>
    <w:rsid w:val="00F0460B"/>
    <w:rsid w:val="00F07EE6"/>
    <w:rsid w:val="00F11C00"/>
    <w:rsid w:val="00F141D2"/>
    <w:rsid w:val="00F15127"/>
    <w:rsid w:val="00F33CC8"/>
    <w:rsid w:val="00F4481C"/>
    <w:rsid w:val="00F45E99"/>
    <w:rsid w:val="00F52E60"/>
    <w:rsid w:val="00F566BD"/>
    <w:rsid w:val="00F655F1"/>
    <w:rsid w:val="00F75D23"/>
    <w:rsid w:val="00F952FF"/>
    <w:rsid w:val="00FA5957"/>
    <w:rsid w:val="00FC3CE0"/>
    <w:rsid w:val="00FC4385"/>
    <w:rsid w:val="00FC62FC"/>
    <w:rsid w:val="00FD06A8"/>
    <w:rsid w:val="00FE24AC"/>
    <w:rsid w:val="00FF3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872">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55595166">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12032708">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854616707">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10527265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654677775">
      <w:bodyDiv w:val="1"/>
      <w:marLeft w:val="0"/>
      <w:marRight w:val="0"/>
      <w:marTop w:val="0"/>
      <w:marBottom w:val="0"/>
      <w:divBdr>
        <w:top w:val="none" w:sz="0" w:space="0" w:color="auto"/>
        <w:left w:val="none" w:sz="0" w:space="0" w:color="auto"/>
        <w:bottom w:val="none" w:sz="0" w:space="0" w:color="auto"/>
        <w:right w:val="none" w:sz="0" w:space="0" w:color="auto"/>
      </w:divBdr>
    </w:div>
    <w:div w:id="1846820295">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71612058">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lo.org.mx/pdf/rlds/n23/1870-4670-rlds-23-0017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0DA237-A3BA-4A81-BC29-AC0D823A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5668</Words>
  <Characters>31178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2024-12-13T20:03:00Z</cp:lastPrinted>
  <dcterms:created xsi:type="dcterms:W3CDTF">2024-12-09T21:27:00Z</dcterms:created>
  <dcterms:modified xsi:type="dcterms:W3CDTF">2025-01-22T20:07:00Z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