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50" w:rsidRDefault="00600250">
      <w:pPr>
        <w:widowControl w:val="0"/>
        <w:pBdr>
          <w:top w:val="nil"/>
          <w:left w:val="nil"/>
          <w:bottom w:val="nil"/>
          <w:right w:val="nil"/>
          <w:between w:val="nil"/>
        </w:pBdr>
        <w:spacing w:line="276" w:lineRule="auto"/>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rsidR="00600250" w:rsidRDefault="00600250">
      <w:pPr>
        <w:spacing w:line="360" w:lineRule="auto"/>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D0D0D"/>
          <w:sz w:val="22"/>
          <w:szCs w:val="22"/>
        </w:rPr>
        <w:t xml:space="preserve">VISTO </w:t>
      </w:r>
      <w:r>
        <w:rPr>
          <w:rFonts w:ascii="Palatino Linotype" w:eastAsia="Palatino Linotype" w:hAnsi="Palatino Linotype" w:cs="Palatino Linotype"/>
          <w:color w:val="0D0D0D"/>
          <w:sz w:val="22"/>
          <w:szCs w:val="22"/>
        </w:rPr>
        <w:t xml:space="preserve">el expediente conformado con motivo del Recurso de Revisión </w:t>
      </w:r>
      <w:r w:rsidRPr="0055240B">
        <w:rPr>
          <w:rFonts w:ascii="Palatino Linotype" w:eastAsia="Palatino Linotype" w:hAnsi="Palatino Linotype" w:cs="Palatino Linotype"/>
          <w:b/>
          <w:color w:val="0D0D0D"/>
          <w:sz w:val="22"/>
          <w:szCs w:val="22"/>
        </w:rPr>
        <w:t>05901/INFOEM/IP/RR/2024</w:t>
      </w:r>
      <w:r>
        <w:rPr>
          <w:rFonts w:ascii="Palatino Linotype" w:eastAsia="Palatino Linotype" w:hAnsi="Palatino Linotype" w:cs="Palatino Linotype"/>
          <w:color w:val="0D0D0D"/>
          <w:sz w:val="22"/>
          <w:szCs w:val="22"/>
        </w:rPr>
        <w:t xml:space="preserve">, interpuestos por </w:t>
      </w:r>
      <w:r w:rsidR="008146BB" w:rsidRPr="008146BB">
        <w:rPr>
          <w:rFonts w:ascii="Palatino Linotype" w:eastAsia="Palatino Linotype" w:hAnsi="Palatino Linotype" w:cs="Palatino Linotype"/>
          <w:b/>
          <w:color w:val="0D0D0D"/>
          <w:sz w:val="22"/>
          <w:szCs w:val="22"/>
          <w:highlight w:val="black"/>
        </w:rPr>
        <w:t>XXXXXXXXXXXXXXXXXXXXX</w:t>
      </w:r>
      <w:r>
        <w:rPr>
          <w:rFonts w:ascii="Palatino Linotype" w:eastAsia="Palatino Linotype" w:hAnsi="Palatino Linotype" w:cs="Palatino Linotype"/>
          <w:color w:val="0D0D0D"/>
          <w:sz w:val="22"/>
          <w:szCs w:val="22"/>
        </w:rPr>
        <w:t xml:space="preserve">, en lo sucesivo, la Recurrente o Particular, en contra de la respuesta del Sujeto Obligado, </w:t>
      </w:r>
      <w:r w:rsidRPr="0055240B">
        <w:rPr>
          <w:rFonts w:ascii="Palatino Linotype" w:eastAsia="Palatino Linotype" w:hAnsi="Palatino Linotype" w:cs="Palatino Linotype"/>
          <w:b/>
          <w:color w:val="0D0D0D"/>
          <w:sz w:val="22"/>
          <w:szCs w:val="22"/>
        </w:rPr>
        <w:t>Ayuntamiento de Naucalpan de Juárez</w:t>
      </w:r>
      <w:r>
        <w:rPr>
          <w:rFonts w:ascii="Palatino Linotype" w:eastAsia="Palatino Linotype" w:hAnsi="Palatino Linotype" w:cs="Palatino Linotype"/>
          <w:color w:val="0D0D0D"/>
          <w:sz w:val="22"/>
          <w:szCs w:val="22"/>
        </w:rPr>
        <w:t>, a la solicitud de acceso a la información pública 00642/NAUCALPA/IP/2024, se emite la presente Resolución, con base en los Antecedentes y C</w:t>
      </w:r>
      <w:r>
        <w:rPr>
          <w:rFonts w:ascii="Palatino Linotype" w:eastAsia="Palatino Linotype" w:hAnsi="Palatino Linotype" w:cs="Palatino Linotype"/>
          <w:sz w:val="22"/>
          <w:szCs w:val="22"/>
        </w:rPr>
        <w:t>onsiderandos que a continuación se exponen:</w:t>
      </w:r>
    </w:p>
    <w:p w:rsidR="00600250" w:rsidRDefault="00600250">
      <w:pPr>
        <w:spacing w:line="360" w:lineRule="auto"/>
        <w:rPr>
          <w:rFonts w:ascii="Palatino Linotype" w:eastAsia="Palatino Linotype" w:hAnsi="Palatino Linotype" w:cs="Palatino Linotype"/>
          <w:sz w:val="22"/>
          <w:szCs w:val="22"/>
        </w:rPr>
      </w:pPr>
    </w:p>
    <w:p w:rsidR="00600250" w:rsidRDefault="00472F92">
      <w:pPr>
        <w:tabs>
          <w:tab w:val="center" w:pos="4522"/>
          <w:tab w:val="left" w:pos="7245"/>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rsidR="00600250" w:rsidRDefault="0060025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600250" w:rsidRDefault="00B16851">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 Presentación de la solicitud de inform</w:t>
      </w:r>
      <w:r w:rsidR="00472F92">
        <w:rPr>
          <w:rFonts w:ascii="Palatino Linotype" w:eastAsia="Palatino Linotype" w:hAnsi="Palatino Linotype" w:cs="Palatino Linotype"/>
          <w:b/>
          <w:color w:val="000000"/>
          <w:sz w:val="22"/>
          <w:szCs w:val="22"/>
        </w:rPr>
        <w:t>ación</w:t>
      </w:r>
    </w:p>
    <w:p w:rsidR="00600250" w:rsidRDefault="0060025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600250" w:rsidRDefault="00B16851">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color w:val="000000"/>
          <w:sz w:val="22"/>
          <w:szCs w:val="22"/>
        </w:rPr>
        <w:t>Con fecha treinta de agosto de dos mil veinticuatro, el Particular presentó una solicitud de acceso a la información pública, a través del Sistema de Acceso a la Información Mexiquense (SAIMEX), ante el Ayuntamiento de Naucalpan de Juárez</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en los siguientes términos:</w:t>
      </w:r>
    </w:p>
    <w:p w:rsidR="00600250" w:rsidRDefault="0060025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600250" w:rsidRDefault="00B16851">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rsidR="00600250" w:rsidRDefault="00B16851">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SE ME PROPORCIONE COPIA SIMPLE DEL TITULO Y CEDULA PROFESIONAL DEL LIC. MAURICIO ELIZONDO VARELA, TITULAR DEL Departamento de Planeación de Desarrollo y Bienestar, ADSCITO A LA DIRECCION GENERAL DE DESARROLLO SOCIAL.” (Sic)</w:t>
      </w:r>
    </w:p>
    <w:p w:rsidR="00600250" w:rsidRDefault="00600250">
      <w:pPr>
        <w:tabs>
          <w:tab w:val="left" w:pos="4667"/>
        </w:tabs>
        <w:spacing w:line="360" w:lineRule="auto"/>
        <w:ind w:left="567" w:right="567"/>
        <w:jc w:val="both"/>
        <w:rPr>
          <w:rFonts w:ascii="Palatino Linotype" w:eastAsia="Palatino Linotype" w:hAnsi="Palatino Linotype" w:cs="Palatino Linotype"/>
          <w:i/>
          <w:sz w:val="22"/>
          <w:szCs w:val="22"/>
        </w:rPr>
      </w:pPr>
    </w:p>
    <w:p w:rsidR="00600250" w:rsidRDefault="00600250">
      <w:pPr>
        <w:tabs>
          <w:tab w:val="left" w:pos="4667"/>
        </w:tabs>
        <w:spacing w:line="360" w:lineRule="auto"/>
        <w:ind w:left="567" w:right="567"/>
        <w:jc w:val="both"/>
        <w:rPr>
          <w:rFonts w:ascii="Palatino Linotype" w:eastAsia="Palatino Linotype" w:hAnsi="Palatino Linotype" w:cs="Palatino Linotype"/>
          <w:i/>
          <w:sz w:val="22"/>
          <w:szCs w:val="22"/>
        </w:rPr>
      </w:pPr>
    </w:p>
    <w:p w:rsidR="00600250" w:rsidRDefault="00B16851">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“MODALIDAD DE ENTREGA</w:t>
      </w:r>
    </w:p>
    <w:p w:rsidR="00600250" w:rsidRDefault="00B16851">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 través del SAIMEX”</w:t>
      </w:r>
    </w:p>
    <w:p w:rsidR="00600250" w:rsidRDefault="00600250">
      <w:pPr>
        <w:tabs>
          <w:tab w:val="left" w:pos="4667"/>
        </w:tabs>
        <w:spacing w:line="360" w:lineRule="auto"/>
        <w:ind w:right="567"/>
        <w:jc w:val="both"/>
        <w:rPr>
          <w:rFonts w:ascii="Palatino Linotype" w:eastAsia="Palatino Linotype" w:hAnsi="Palatino Linotype" w:cs="Palatino Linotype"/>
          <w:b/>
          <w:sz w:val="22"/>
          <w:szCs w:val="22"/>
        </w:rPr>
      </w:pPr>
    </w:p>
    <w:p w:rsidR="00600250" w:rsidRDefault="00B16851">
      <w:pPr>
        <w:tabs>
          <w:tab w:val="left" w:pos="4667"/>
        </w:tabs>
        <w:spacing w:line="360" w:lineRule="auto"/>
        <w:ind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w:t>
      </w:r>
      <w:r w:rsidR="00472F92">
        <w:rPr>
          <w:rFonts w:ascii="Palatino Linotype" w:eastAsia="Palatino Linotype" w:hAnsi="Palatino Linotype" w:cs="Palatino Linotype"/>
          <w:b/>
          <w:sz w:val="22"/>
          <w:szCs w:val="22"/>
        </w:rPr>
        <w:t>. Respuesta del Sujeto Obligado</w:t>
      </w:r>
    </w:p>
    <w:p w:rsidR="00600250" w:rsidRDefault="0060025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600250" w:rsidRDefault="00B16851">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 fecha veintitrés de septiembre de dos mil veinticuatro, el Ayuntamiento de Naucalpan de Juárez, notificó al Solicitante, mediante el Sistema de Acceso a la Información Mexiquense (SAIMEX), la respuesta a la solicitud de acceso a la información, por medio del oficio sin número de la misma fecha de recepción, suscrito por el Subdirector de Recursos Humanos  en los siguientes términos: </w:t>
      </w:r>
    </w:p>
    <w:p w:rsidR="00600250" w:rsidRDefault="0060025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600250" w:rsidRDefault="00B16851">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600250" w:rsidRDefault="00B16851">
      <w:pPr>
        <w:tabs>
          <w:tab w:val="left" w:pos="5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SEGUNDO.</w:t>
      </w:r>
      <w:r>
        <w:rPr>
          <w:rFonts w:ascii="Palatino Linotype" w:eastAsia="Palatino Linotype" w:hAnsi="Palatino Linotype" w:cs="Palatino Linotype"/>
          <w:i/>
        </w:rPr>
        <w:t xml:space="preserve"> Después de realizar una búsqueda exhaustiva y razonable, dentro de los archivos físicos y electrónicos de la Subdirección de Recursos Humanos, del Ayuntamiento de Naucalpan de Juárez; identificamos que, la expresión que atiende a la solicitud es la: </w:t>
      </w:r>
      <w:r>
        <w:rPr>
          <w:rFonts w:ascii="Palatino Linotype" w:eastAsia="Palatino Linotype" w:hAnsi="Palatino Linotype" w:cs="Palatino Linotype"/>
          <w:b/>
          <w:i/>
        </w:rPr>
        <w:t>"Constancia de Estudios"</w:t>
      </w:r>
      <w:r>
        <w:rPr>
          <w:rFonts w:ascii="Palatino Linotype" w:eastAsia="Palatino Linotype" w:hAnsi="Palatino Linotype" w:cs="Palatino Linotype"/>
          <w:i/>
        </w:rPr>
        <w:t xml:space="preserve">, misma que se adjunta al presente documento en su versión pública, autorizada en la </w:t>
      </w:r>
      <w:r>
        <w:rPr>
          <w:rFonts w:ascii="Palatino Linotype" w:eastAsia="Palatino Linotype" w:hAnsi="Palatino Linotype" w:cs="Palatino Linotype"/>
          <w:b/>
          <w:i/>
        </w:rPr>
        <w:t>DECIMA OCTAVA ORDINARIA</w:t>
      </w:r>
      <w:r>
        <w:rPr>
          <w:rFonts w:ascii="Palatino Linotype" w:eastAsia="Palatino Linotype" w:hAnsi="Palatino Linotype" w:cs="Palatino Linotype"/>
          <w:i/>
        </w:rPr>
        <w:t xml:space="preserve">, del </w:t>
      </w:r>
      <w:proofErr w:type="spellStart"/>
      <w:r>
        <w:rPr>
          <w:rFonts w:ascii="Palatino Linotype" w:eastAsia="Palatino Linotype" w:hAnsi="Palatino Linotype" w:cs="Palatino Linotype"/>
          <w:i/>
        </w:rPr>
        <w:t>Comite</w:t>
      </w:r>
      <w:proofErr w:type="spellEnd"/>
      <w:r>
        <w:rPr>
          <w:rFonts w:ascii="Palatino Linotype" w:eastAsia="Palatino Linotype" w:hAnsi="Palatino Linotype" w:cs="Palatino Linotype"/>
          <w:i/>
        </w:rPr>
        <w:t xml:space="preserve"> de Transparencia, bajo el número de acuerdo </w:t>
      </w:r>
      <w:r>
        <w:rPr>
          <w:rFonts w:ascii="Palatino Linotype" w:eastAsia="Palatino Linotype" w:hAnsi="Palatino Linotype" w:cs="Palatino Linotype"/>
          <w:b/>
          <w:i/>
        </w:rPr>
        <w:t>CT/NAU/ACTA-ORD-0018/2024/0124</w:t>
      </w:r>
      <w:r>
        <w:rPr>
          <w:rFonts w:ascii="Palatino Linotype" w:eastAsia="Palatino Linotype" w:hAnsi="Palatino Linotype" w:cs="Palatino Linotype"/>
          <w:i/>
        </w:rPr>
        <w:t xml:space="preserve">, celebrada el </w:t>
      </w:r>
      <w:r>
        <w:rPr>
          <w:rFonts w:ascii="Palatino Linotype" w:eastAsia="Palatino Linotype" w:hAnsi="Palatino Linotype" w:cs="Palatino Linotype"/>
          <w:b/>
          <w:i/>
        </w:rPr>
        <w:t>20/09/2024.</w:t>
      </w:r>
    </w:p>
    <w:p w:rsidR="00600250" w:rsidRDefault="00B16851">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rsidR="00600250" w:rsidRDefault="00600250">
      <w:pPr>
        <w:tabs>
          <w:tab w:val="left" w:pos="567"/>
        </w:tabs>
        <w:spacing w:line="360" w:lineRule="auto"/>
        <w:ind w:right="567"/>
        <w:jc w:val="both"/>
        <w:rPr>
          <w:rFonts w:ascii="Palatino Linotype" w:eastAsia="Palatino Linotype" w:hAnsi="Palatino Linotype" w:cs="Palatino Linotype"/>
          <w:i/>
        </w:rPr>
      </w:pPr>
    </w:p>
    <w:p w:rsidR="00600250" w:rsidRDefault="00B16851">
      <w:pPr>
        <w:tabs>
          <w:tab w:val="left" w:pos="567"/>
        </w:tabs>
        <w:spacing w:line="360" w:lineRule="auto"/>
        <w:ind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mismo, el Sujeto Obligado adjuntó la digitalización del Comprobante de estudios de Mauricio Elizondo Varela, en versión púbica en el que clasificó número de cuenta, número de asignaturas acreditadas, créditos acumulados, equivalencia en porcentaje, número de semestres y promedios.  </w:t>
      </w:r>
    </w:p>
    <w:p w:rsidR="00600250" w:rsidRDefault="00600250">
      <w:pPr>
        <w:tabs>
          <w:tab w:val="left" w:pos="567"/>
        </w:tabs>
        <w:spacing w:line="360" w:lineRule="auto"/>
        <w:ind w:right="567"/>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w:t>
      </w:r>
      <w:r w:rsidR="00472F92">
        <w:rPr>
          <w:rFonts w:ascii="Palatino Linotype" w:eastAsia="Palatino Linotype" w:hAnsi="Palatino Linotype" w:cs="Palatino Linotype"/>
          <w:b/>
          <w:sz w:val="22"/>
          <w:szCs w:val="22"/>
        </w:rPr>
        <w:t>osición del Recurso de Revisión</w:t>
      </w:r>
    </w:p>
    <w:p w:rsidR="00600250" w:rsidRDefault="00600250">
      <w:pPr>
        <w:spacing w:line="360" w:lineRule="auto"/>
        <w:jc w:val="both"/>
        <w:rPr>
          <w:rFonts w:ascii="Palatino Linotype" w:eastAsia="Palatino Linotype" w:hAnsi="Palatino Linotype" w:cs="Palatino Linotype"/>
          <w:b/>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veintisiete de septiembre de dos mil veinticuatro, se recibió en este Instituto, a través del Sistema de Acceso a la Información Mexiquense (SAIMEX), el Recurso de Revisión interpuesto por la parte Recurrente, en contra de la respuesta del Sujeto Obligado, en los siguientes términos:</w:t>
      </w:r>
    </w:p>
    <w:p w:rsidR="00600250" w:rsidRDefault="00600250">
      <w:pPr>
        <w:widowControl w:val="0"/>
        <w:spacing w:line="360" w:lineRule="auto"/>
        <w:jc w:val="both"/>
        <w:rPr>
          <w:rFonts w:ascii="Palatino Linotype" w:eastAsia="Palatino Linotype" w:hAnsi="Palatino Linotype" w:cs="Palatino Linotype"/>
          <w:sz w:val="22"/>
          <w:szCs w:val="22"/>
        </w:rPr>
      </w:pPr>
    </w:p>
    <w:p w:rsidR="00600250" w:rsidRDefault="00B16851">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“ACTO IMPUGNADO</w:t>
      </w:r>
    </w:p>
    <w:p w:rsidR="00600250" w:rsidRDefault="00B16851">
      <w:pPr>
        <w:spacing w:line="360" w:lineRule="auto"/>
        <w:ind w:left="567" w:right="567"/>
        <w:jc w:val="both"/>
        <w:rPr>
          <w:rFonts w:ascii="Palatino Linotype" w:eastAsia="Palatino Linotype" w:hAnsi="Palatino Linotype" w:cs="Palatino Linotype"/>
          <w:i/>
        </w:rPr>
      </w:pPr>
      <w:bookmarkStart w:id="1" w:name="_heading=h.30j0zll" w:colFirst="0" w:colLast="0"/>
      <w:bookmarkEnd w:id="1"/>
      <w:r>
        <w:rPr>
          <w:rFonts w:ascii="Palatino Linotype" w:eastAsia="Palatino Linotype" w:hAnsi="Palatino Linotype" w:cs="Palatino Linotype"/>
          <w:i/>
        </w:rPr>
        <w:t>LA RESPUESTA REACIDA A MI SOLICITUD, YA QUE PEDI EL TITULO OCEDULA DEL LIC. MAURICIO ELIZONDO VARELA, Y SOLO SE ME PROPORCIONO UNA CONSTANCIA DE ESTUDIOS, LA CUAL CARECE DE TODA VALIDEZ, PARA LOS EFECTOS DE QUE DICHO SERVIDOR PUBLICO ANTEPONGA A LOS DOCUMENTOS QUE FIRMA EL "LIC" YA QUE CARECE DE TITULO, POR LO QUE SE SOLICITA QUE SE BAJE DEL DIRECTORIO DEL MUNICIPIO, SE TILDE EL "LIC" Y SE LE SANCIONE POR HABER FALSEADO EN DICHA SITUACION.” (Sic.)</w:t>
      </w:r>
    </w:p>
    <w:p w:rsidR="00600250" w:rsidRDefault="00600250">
      <w:pPr>
        <w:spacing w:line="360" w:lineRule="auto"/>
        <w:ind w:right="567"/>
        <w:jc w:val="both"/>
        <w:rPr>
          <w:rFonts w:ascii="Palatino Linotype" w:eastAsia="Palatino Linotype" w:hAnsi="Palatino Linotype" w:cs="Palatino Linotype"/>
          <w:i/>
        </w:rPr>
      </w:pPr>
    </w:p>
    <w:p w:rsidR="00600250" w:rsidRDefault="00B16851">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600250" w:rsidRDefault="00B16851">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LA RESPUESTA REACIDA A MI SOLICITUD, YA QUE PEDI EL TITULO OCEDULA DEL LIC. MAURICIO ELIZONDO VARELA, Y SOLO SE ME PROPORCIONO UNA CONSTANCIA DE ESTUDIOS, LA CUAL CARECE DE TODA VALIDEZ, PARA LOS EFECTOS DE QUE DICHO SERVIDOR PUBLICO ANTEPONGA A LOS DOCUMENTOS QUE FIRMA EL "LIC" YA QUE CARECE DE TITULO, POR LO QUE SE SOLICITA QUE SE BAJE DEL DIRECTORIO DEL MUNICIPIO, SE TILDE EL "LIC" Y SE LE SANCIONE POR HABER FALSEADO EN DICHA SITUACION.” (Sic) </w:t>
      </w:r>
    </w:p>
    <w:p w:rsidR="00600250" w:rsidRDefault="00600250">
      <w:pPr>
        <w:spacing w:line="360" w:lineRule="auto"/>
        <w:ind w:left="567" w:right="567"/>
        <w:jc w:val="both"/>
        <w:rPr>
          <w:rFonts w:ascii="Palatino Linotype" w:eastAsia="Palatino Linotype" w:hAnsi="Palatino Linotype" w:cs="Palatino Linotype"/>
          <w:i/>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mismo adjuntó la digitalización de las documentales descritas en el Antecedente II. </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IV. Trámite del Recurso </w:t>
      </w:r>
      <w:r w:rsidR="00472F92">
        <w:rPr>
          <w:rFonts w:ascii="Palatino Linotype" w:eastAsia="Palatino Linotype" w:hAnsi="Palatino Linotype" w:cs="Palatino Linotype"/>
          <w:b/>
          <w:sz w:val="22"/>
          <w:szCs w:val="22"/>
        </w:rPr>
        <w:t>de Revisión ante este Instituto</w:t>
      </w:r>
    </w:p>
    <w:p w:rsidR="00600250" w:rsidRDefault="00600250">
      <w:pPr>
        <w:spacing w:line="360" w:lineRule="auto"/>
        <w:jc w:val="both"/>
        <w:rPr>
          <w:rFonts w:ascii="Palatino Linotype" w:eastAsia="Palatino Linotype" w:hAnsi="Palatino Linotype" w:cs="Palatino Linotype"/>
          <w:b/>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a) Turno del Recurso de Revisión. </w:t>
      </w:r>
      <w:r>
        <w:rPr>
          <w:rFonts w:ascii="Palatino Linotype" w:eastAsia="Palatino Linotype" w:hAnsi="Palatino Linotype" w:cs="Palatino Linotype"/>
          <w:sz w:val="22"/>
          <w:szCs w:val="22"/>
        </w:rPr>
        <w:t xml:space="preserve">El veintisiete de septiembre de dos mil veinticuatro, el Sistema de Acceso a la Información Mexiquense (SAIMEX), asignó el número de expediente </w:t>
      </w:r>
      <w:r>
        <w:rPr>
          <w:rFonts w:ascii="Palatino Linotype" w:eastAsia="Palatino Linotype" w:hAnsi="Palatino Linotype" w:cs="Palatino Linotype"/>
          <w:b/>
          <w:sz w:val="22"/>
          <w:szCs w:val="22"/>
        </w:rPr>
        <w:t xml:space="preserve"> 05901/INFOEM/IP/RR/2024</w:t>
      </w:r>
      <w:r>
        <w:rPr>
          <w:rFonts w:ascii="Palatino Linotype" w:eastAsia="Palatino Linotype" w:hAnsi="Palatino Linotype" w:cs="Palatino Linotype"/>
          <w:sz w:val="22"/>
          <w:szCs w:val="22"/>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 los Recursos de Revisión. </w:t>
      </w:r>
      <w:r>
        <w:rPr>
          <w:rFonts w:ascii="Palatino Linotype" w:eastAsia="Palatino Linotype" w:hAnsi="Palatino Linotype" w:cs="Palatino Linotype"/>
          <w:sz w:val="22"/>
          <w:szCs w:val="22"/>
        </w:rPr>
        <w:t>El tres de octubre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catorce del mismo mes y año, a través del Sistema de Acceso a la Información Mexiquense (SAIMEX), en el que se les otorgó un plazo de siete días hábiles posteriores a la misma, para que manifestaran lo que a su derecho conviniera y formularan alegatos.</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c) </w:t>
      </w:r>
      <w:r>
        <w:rPr>
          <w:rFonts w:ascii="Palatino Linotype" w:eastAsia="Palatino Linotype" w:hAnsi="Palatino Linotype" w:cs="Palatino Linotype"/>
          <w:b/>
          <w:color w:val="000000"/>
          <w:sz w:val="22"/>
          <w:szCs w:val="22"/>
        </w:rPr>
        <w:t xml:space="preserve">Informe Justificado o Manifestaciones. </w:t>
      </w:r>
      <w:r>
        <w:rPr>
          <w:rFonts w:ascii="Palatino Linotype" w:eastAsia="Palatino Linotype" w:hAnsi="Palatino Linotype" w:cs="Palatino Linotype"/>
          <w:color w:val="000000"/>
          <w:sz w:val="22"/>
          <w:szCs w:val="22"/>
        </w:rPr>
        <w:t>Las partes fueron omisas en emitir manifestaciones o alegatos.</w:t>
      </w:r>
    </w:p>
    <w:p w:rsidR="00600250" w:rsidRDefault="00600250">
      <w:pPr>
        <w:spacing w:line="360" w:lineRule="auto"/>
        <w:jc w:val="both"/>
        <w:rPr>
          <w:rFonts w:ascii="Palatino Linotype" w:eastAsia="Palatino Linotype" w:hAnsi="Palatino Linotype" w:cs="Palatino Linotype"/>
          <w:b/>
          <w:sz w:val="22"/>
          <w:szCs w:val="22"/>
        </w:rPr>
      </w:pPr>
    </w:p>
    <w:p w:rsidR="00600250" w:rsidRDefault="00B16851">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 Cierre de instrucción.</w:t>
      </w:r>
      <w:r>
        <w:rPr>
          <w:rFonts w:ascii="Palatino Linotype" w:eastAsia="Palatino Linotype" w:hAnsi="Palatino Linotype" w:cs="Palatino Linotype"/>
          <w:sz w:val="22"/>
          <w:szCs w:val="22"/>
        </w:rPr>
        <w:t xml:space="preserve"> El quince agosto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catorce del mismo mes y año, a través del Sistema de Acceso a la Información Mexiquense (SAIMEX).</w:t>
      </w:r>
    </w:p>
    <w:p w:rsidR="00600250" w:rsidRDefault="00600250">
      <w:pPr>
        <w:spacing w:line="360" w:lineRule="auto"/>
        <w:jc w:val="both"/>
        <w:rPr>
          <w:rFonts w:ascii="Palatino Linotype" w:eastAsia="Palatino Linotype" w:hAnsi="Palatino Linotype" w:cs="Palatino Linotype"/>
          <w:b/>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En razón de que fue debidamente sustanciado el expediente electrónico y no existe diligencia pendiente de desahogo, se emite la resolución que conforme a Derecho proceda, de acuerdo a los siguientes: </w:t>
      </w:r>
    </w:p>
    <w:p w:rsidR="00600250" w:rsidRDefault="00600250">
      <w:pPr>
        <w:spacing w:line="360" w:lineRule="auto"/>
        <w:jc w:val="center"/>
        <w:rPr>
          <w:rFonts w:ascii="Palatino Linotype" w:eastAsia="Palatino Linotype" w:hAnsi="Palatino Linotype" w:cs="Palatino Linotype"/>
          <w:b/>
          <w:sz w:val="22"/>
          <w:szCs w:val="22"/>
        </w:rPr>
      </w:pPr>
    </w:p>
    <w:p w:rsidR="00600250" w:rsidRDefault="00472F92">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rsidR="00600250" w:rsidRDefault="00600250">
      <w:pPr>
        <w:spacing w:line="360" w:lineRule="auto"/>
        <w:jc w:val="both"/>
        <w:rPr>
          <w:rFonts w:ascii="Palatino Linotype" w:eastAsia="Palatino Linotype" w:hAnsi="Palatino Linotype" w:cs="Palatino Linotype"/>
          <w:b/>
          <w:color w:val="000000"/>
          <w:sz w:val="22"/>
          <w:szCs w:val="22"/>
        </w:rPr>
      </w:pPr>
    </w:p>
    <w:p w:rsidR="00600250" w:rsidRDefault="00B16851">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w:t>
      </w:r>
      <w:r w:rsidR="00472F92">
        <w:rPr>
          <w:rFonts w:ascii="Palatino Linotype" w:eastAsia="Palatino Linotype" w:hAnsi="Palatino Linotype" w:cs="Palatino Linotype"/>
          <w:b/>
          <w:sz w:val="22"/>
          <w:szCs w:val="22"/>
        </w:rPr>
        <w:t>etencia</w:t>
      </w:r>
    </w:p>
    <w:p w:rsidR="00600250" w:rsidRDefault="00600250">
      <w:pPr>
        <w:spacing w:line="360" w:lineRule="auto"/>
        <w:jc w:val="both"/>
        <w:rPr>
          <w:rFonts w:ascii="Palatino Linotype" w:eastAsia="Palatino Linotype" w:hAnsi="Palatino Linotype" w:cs="Palatino Linotype"/>
          <w:b/>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00250" w:rsidRDefault="00600250">
      <w:pPr>
        <w:spacing w:line="360" w:lineRule="auto"/>
        <w:jc w:val="both"/>
        <w:rPr>
          <w:rFonts w:ascii="Palatino Linotype" w:eastAsia="Palatino Linotype" w:hAnsi="Palatino Linotype" w:cs="Palatino Linotype"/>
          <w:sz w:val="22"/>
          <w:szCs w:val="22"/>
          <w:highlight w:val="white"/>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Causales de</w:t>
      </w:r>
      <w:r w:rsidR="00472F92">
        <w:rPr>
          <w:rFonts w:ascii="Palatino Linotype" w:eastAsia="Palatino Linotype" w:hAnsi="Palatino Linotype" w:cs="Palatino Linotype"/>
          <w:b/>
          <w:sz w:val="22"/>
          <w:szCs w:val="22"/>
        </w:rPr>
        <w:t xml:space="preserve"> improcedencia y sobreseimiento</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Pr>
          <w:rFonts w:ascii="Palatino Linotype" w:eastAsia="Palatino Linotype" w:hAnsi="Palatino Linotype" w:cs="Palatino Linotype"/>
          <w:i/>
          <w:sz w:val="22"/>
          <w:szCs w:val="22"/>
        </w:rPr>
        <w:t>litis</w:t>
      </w:r>
      <w:proofErr w:type="spellEnd"/>
      <w:r>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improcedencia</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J. 163/2005 (Semanario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el presente caso, </w:t>
      </w:r>
      <w:r>
        <w:rPr>
          <w:rFonts w:ascii="Palatino Linotype" w:eastAsia="Palatino Linotype" w:hAnsi="Palatino Linotype" w:cs="Palatino Linotype"/>
          <w:b/>
          <w:color w:val="000000"/>
          <w:sz w:val="22"/>
          <w:szCs w:val="22"/>
        </w:rPr>
        <w:t>no se actualiza alguna de las causales de improcedencia</w:t>
      </w:r>
      <w:r>
        <w:rPr>
          <w:rFonts w:ascii="Palatino Linotype" w:eastAsia="Palatino Linotype" w:hAnsi="Palatino Linotype" w:cs="Palatino Linotype"/>
          <w:color w:val="000000"/>
          <w:sz w:val="22"/>
          <w:szCs w:val="22"/>
        </w:rPr>
        <w:t xml:space="preserve">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se actualiza la causal de procedencia del Recurso de Revisión señalada en el artículo 179, fracción VI, de la Ley en cita, </w:t>
      </w:r>
      <w:r>
        <w:rPr>
          <w:rFonts w:ascii="Palatino Linotype" w:eastAsia="Palatino Linotype" w:hAnsi="Palatino Linotype" w:cs="Palatino Linotype"/>
          <w:color w:val="000000"/>
          <w:sz w:val="22"/>
          <w:szCs w:val="22"/>
        </w:rPr>
        <w:t xml:space="preserve">pues el Recurrente se </w:t>
      </w:r>
      <w:r w:rsidR="00472F92">
        <w:rPr>
          <w:rFonts w:ascii="Palatino Linotype" w:eastAsia="Palatino Linotype" w:hAnsi="Palatino Linotype" w:cs="Palatino Linotype"/>
          <w:color w:val="000000"/>
          <w:sz w:val="22"/>
          <w:szCs w:val="22"/>
        </w:rPr>
        <w:t xml:space="preserve">inconformó </w:t>
      </w:r>
      <w:r w:rsidR="00472F92">
        <w:rPr>
          <w:rFonts w:ascii="Palatino Linotype" w:eastAsia="Palatino Linotype" w:hAnsi="Palatino Linotype" w:cs="Palatino Linotype"/>
          <w:sz w:val="22"/>
          <w:szCs w:val="22"/>
        </w:rPr>
        <w:t>con</w:t>
      </w:r>
      <w:r>
        <w:rPr>
          <w:rFonts w:ascii="Palatino Linotype" w:eastAsia="Palatino Linotype" w:hAnsi="Palatino Linotype" w:cs="Palatino Linotype"/>
          <w:sz w:val="22"/>
          <w:szCs w:val="22"/>
        </w:rPr>
        <w:t xml:space="preserve"> la entrega de información que no corresponde con lo solicitado.     </w:t>
      </w:r>
    </w:p>
    <w:p w:rsidR="00600250" w:rsidRDefault="00600250">
      <w:pPr>
        <w:spacing w:line="360" w:lineRule="auto"/>
        <w:jc w:val="both"/>
        <w:rPr>
          <w:rFonts w:ascii="Palatino Linotype" w:eastAsia="Palatino Linotype" w:hAnsi="Palatino Linotype" w:cs="Palatino Linotype"/>
          <w:sz w:val="22"/>
          <w:szCs w:val="22"/>
        </w:rPr>
      </w:pPr>
    </w:p>
    <w:p w:rsidR="00600250" w:rsidRDefault="00472F92">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Causales de sobreseimiento</w:t>
      </w:r>
    </w:p>
    <w:p w:rsidR="00600250" w:rsidRDefault="00600250">
      <w:pPr>
        <w:spacing w:line="360" w:lineRule="auto"/>
        <w:jc w:val="both"/>
        <w:rPr>
          <w:rFonts w:ascii="Palatino Linotype" w:eastAsia="Palatino Linotype" w:hAnsi="Palatino Linotype" w:cs="Palatino Linotype"/>
          <w:color w:val="0D0D0D"/>
          <w:sz w:val="22"/>
          <w:szCs w:val="22"/>
        </w:rPr>
      </w:pPr>
    </w:p>
    <w:p w:rsidR="00600250" w:rsidRDefault="00B16851">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lastRenderedPageBreak/>
        <w:t>Por ser de previo y especial pronunciamiento, este Instituto analiza si se actualiza alguna causal de sobreseimiento.</w:t>
      </w:r>
    </w:p>
    <w:p w:rsidR="00472F92" w:rsidRDefault="00472F92">
      <w:pPr>
        <w:spacing w:line="360" w:lineRule="auto"/>
        <w:jc w:val="both"/>
        <w:rPr>
          <w:rFonts w:ascii="Palatino Linotype" w:eastAsia="Palatino Linotype" w:hAnsi="Palatino Linotype" w:cs="Palatino Linotype"/>
          <w:color w:val="0D0D0D"/>
          <w:sz w:val="22"/>
          <w:szCs w:val="22"/>
        </w:rPr>
      </w:pPr>
    </w:p>
    <w:p w:rsidR="00600250" w:rsidRDefault="00B16851">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rsidR="00600250" w:rsidRDefault="00600250">
      <w:pPr>
        <w:spacing w:line="360" w:lineRule="auto"/>
        <w:jc w:val="both"/>
        <w:rPr>
          <w:rFonts w:ascii="Palatino Linotype" w:eastAsia="Palatino Linotype" w:hAnsi="Palatino Linotype" w:cs="Palatino Linotype"/>
          <w:color w:val="0D0D0D"/>
          <w:sz w:val="22"/>
          <w:szCs w:val="22"/>
        </w:rPr>
      </w:pPr>
    </w:p>
    <w:p w:rsidR="00600250" w:rsidRDefault="00B16851">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tales motivos, se considera procedente entrar al fondo del presente asunto.</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w:t>
      </w:r>
      <w:r w:rsidR="00472F92">
        <w:rPr>
          <w:rFonts w:ascii="Palatino Linotype" w:eastAsia="Palatino Linotype" w:hAnsi="Palatino Linotype" w:cs="Palatino Linotype"/>
          <w:b/>
          <w:sz w:val="22"/>
          <w:szCs w:val="22"/>
        </w:rPr>
        <w:t>terminación de la Controversia</w:t>
      </w:r>
    </w:p>
    <w:p w:rsidR="00600250" w:rsidRDefault="00600250">
      <w:pPr>
        <w:tabs>
          <w:tab w:val="left" w:pos="4962"/>
        </w:tabs>
        <w:spacing w:line="360" w:lineRule="auto"/>
        <w:jc w:val="both"/>
        <w:rPr>
          <w:rFonts w:ascii="Palatino Linotype" w:eastAsia="Palatino Linotype" w:hAnsi="Palatino Linotype" w:cs="Palatino Linotype"/>
          <w:b/>
          <w:sz w:val="22"/>
          <w:szCs w:val="22"/>
        </w:rPr>
      </w:pPr>
    </w:p>
    <w:p w:rsidR="00600250" w:rsidRDefault="00B1685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22"/>
          <w:szCs w:val="22"/>
        </w:rPr>
        <w:t xml:space="preserve">Con el objetivo de ilustrar la controversia planteada, resulta conveniente precisar, que una vez realizado el estudio de las constancias que integran el expediente en el que se actúa, se desprende que el Particular requirió copia simple del título y cédula profesional del Titular del Departamento de Planeación de Desarrollo y Bienestar, adscrito a la Dirección General de Desarrollo Social.  </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En respuesta, el Subdirector de Recursos Humanos proporcionó precisó que la expresión documental que daba cuenta de lo solicitado era la Constancia de Estudios, misma que proporcionó en versión pública; ante dicha situación, la parte Recurrente se inconformó de la respuesta que no corresponde con lo solicitado, al señalar que pidió el título o cédula del </w:t>
      </w:r>
      <w:r w:rsidR="00443C72">
        <w:rPr>
          <w:rFonts w:ascii="Palatino Linotype" w:eastAsia="Palatino Linotype" w:hAnsi="Palatino Linotype" w:cs="Palatino Linotype"/>
          <w:sz w:val="22"/>
          <w:szCs w:val="22"/>
        </w:rPr>
        <w:lastRenderedPageBreak/>
        <w:t>servidor</w:t>
      </w:r>
      <w:r>
        <w:rPr>
          <w:rFonts w:ascii="Palatino Linotype" w:eastAsia="Palatino Linotype" w:hAnsi="Palatino Linotype" w:cs="Palatino Linotype"/>
          <w:sz w:val="22"/>
          <w:szCs w:val="22"/>
        </w:rPr>
        <w:t xml:space="preserve"> público y no una Constancia de Estudios</w:t>
      </w:r>
      <w:r>
        <w:rPr>
          <w:rFonts w:ascii="Palatino Linotype" w:eastAsia="Palatino Linotype" w:hAnsi="Palatino Linotype" w:cs="Palatino Linotype"/>
          <w:color w:val="000000"/>
          <w:sz w:val="22"/>
          <w:szCs w:val="22"/>
        </w:rPr>
        <w:t>, lo cual actualiza el supuesto previsto en el artículo 179, fracción VI, de la Ley de Transparencia y Acceso a la Información Pública del Estado de México y Municipios</w:t>
      </w:r>
      <w:r>
        <w:rPr>
          <w:rFonts w:ascii="Palatino Linotype" w:eastAsia="Palatino Linotype" w:hAnsi="Palatino Linotype" w:cs="Palatino Linotype"/>
          <w:color w:val="000000"/>
          <w:sz w:val="22"/>
          <w:szCs w:val="22"/>
          <w:highlight w:val="white"/>
        </w:rPr>
        <w:t>. Así</w:t>
      </w:r>
      <w:r>
        <w:rPr>
          <w:rFonts w:ascii="Palatino Linotype" w:eastAsia="Palatino Linotype" w:hAnsi="Palatino Linotype" w:cs="Palatino Linotype"/>
          <w:color w:val="000000"/>
          <w:sz w:val="22"/>
          <w:szCs w:val="22"/>
        </w:rPr>
        <w:t xml:space="preserve">, una vez admitido y notificado el Recurso de Revisión a las partes, estas fueron omisas en manifestarse.  </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otra parte, a través </w:t>
      </w:r>
      <w:r w:rsidR="00443C72">
        <w:rPr>
          <w:rFonts w:ascii="Palatino Linotype" w:eastAsia="Palatino Linotype" w:hAnsi="Palatino Linotype" w:cs="Palatino Linotype"/>
          <w:sz w:val="22"/>
          <w:szCs w:val="22"/>
        </w:rPr>
        <w:t>de los</w:t>
      </w:r>
      <w:r>
        <w:rPr>
          <w:rFonts w:ascii="Palatino Linotype" w:eastAsia="Palatino Linotype" w:hAnsi="Palatino Linotype" w:cs="Palatino Linotype"/>
          <w:sz w:val="22"/>
          <w:szCs w:val="22"/>
        </w:rPr>
        <w:t xml:space="preserve"> Recursos de Revisión, el Particular realizó las siguientes manifestaciones: </w:t>
      </w:r>
      <w:r>
        <w:rPr>
          <w:rFonts w:ascii="Palatino Linotype" w:eastAsia="Palatino Linotype" w:hAnsi="Palatino Linotype" w:cs="Palatino Linotype"/>
          <w:i/>
          <w:sz w:val="22"/>
          <w:szCs w:val="22"/>
        </w:rPr>
        <w:t>“… LA CUAL CARECE DE TODA VALIDEZ, PARA LOS EFECTOS DE QUE DICHO SERVIDOR PUBLICO ANTEPONGA A LOS DOCUMENTOS QUE FIRMA EL "LIC" YA QUE CARECE DE TITULO, POR LO QUE SE SOLICITA QUE SE BAJE DEL DIRECTORIO DEL MUNICIPIO, SE TILDE EL "LIC" Y SE LE SANCIONE POR HABER FALSEADO EN DICHA SITUACION”</w:t>
      </w:r>
      <w:r>
        <w:rPr>
          <w:rFonts w:ascii="Palatino Linotype" w:eastAsia="Palatino Linotype" w:hAnsi="Palatino Linotype" w:cs="Palatino Linotype"/>
          <w:sz w:val="22"/>
          <w:szCs w:val="22"/>
        </w:rPr>
        <w:t xml:space="preserve">; las cuales únicamente contienen afirmaciones sobre apreciaciones subjetivas carentes de sustento, al no presentar, ni aportar elementos que apoyen la localización de la información requerida, ya que refieren a pronunciamientos a la forma de actuar del Sujeto Obligado, mismas que no corresponden a una solicitud de acceso y por lo tanto, las mismas devienen de </w:t>
      </w:r>
      <w:r>
        <w:rPr>
          <w:rFonts w:ascii="Palatino Linotype" w:eastAsia="Palatino Linotype" w:hAnsi="Palatino Linotype" w:cs="Palatino Linotype"/>
          <w:b/>
          <w:sz w:val="22"/>
          <w:szCs w:val="22"/>
        </w:rPr>
        <w:t>IMPROCEDENTES</w:t>
      </w:r>
      <w:r>
        <w:rPr>
          <w:rFonts w:ascii="Palatino Linotype" w:eastAsia="Palatino Linotype" w:hAnsi="Palatino Linotype" w:cs="Palatino Linotype"/>
          <w:sz w:val="22"/>
          <w:szCs w:val="22"/>
        </w:rPr>
        <w:t>; por lo que deben desestimarse para todos los efectos a que haya lugar.</w:t>
      </w:r>
    </w:p>
    <w:p w:rsidR="00600250" w:rsidRDefault="00600250">
      <w:pPr>
        <w:spacing w:line="360" w:lineRule="auto"/>
        <w:jc w:val="both"/>
        <w:rPr>
          <w:rFonts w:ascii="Palatino Linotype" w:eastAsia="Palatino Linotype" w:hAnsi="Palatino Linotype" w:cs="Palatino Linotype"/>
          <w:sz w:val="22"/>
          <w:szCs w:val="22"/>
          <w:highlight w:val="white"/>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la respuesta proporcionada por el Sujeto Obligado y el escrito </w:t>
      </w:r>
      <w:proofErr w:type="spellStart"/>
      <w:r>
        <w:rPr>
          <w:rFonts w:ascii="Palatino Linotype" w:eastAsia="Palatino Linotype" w:hAnsi="Palatino Linotype" w:cs="Palatino Linotype"/>
          <w:sz w:val="22"/>
          <w:szCs w:val="22"/>
        </w:rPr>
        <w:t>recursal</w:t>
      </w:r>
      <w:proofErr w:type="spellEnd"/>
      <w:r>
        <w:rPr>
          <w:rFonts w:ascii="Palatino Linotype" w:eastAsia="Palatino Linotype" w:hAnsi="Palatino Linotype" w:cs="Palatino Linotype"/>
          <w:sz w:val="22"/>
          <w:szCs w:val="22"/>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CUARTO. Marco normativo aplicable en materia de transparencia y </w:t>
      </w:r>
      <w:r w:rsidR="00472F92">
        <w:rPr>
          <w:rFonts w:ascii="Palatino Linotype" w:eastAsia="Palatino Linotype" w:hAnsi="Palatino Linotype" w:cs="Palatino Linotype"/>
          <w:b/>
          <w:sz w:val="22"/>
          <w:szCs w:val="22"/>
        </w:rPr>
        <w:t>acceso a la información pública</w:t>
      </w:r>
    </w:p>
    <w:p w:rsidR="00600250" w:rsidRDefault="00600250">
      <w:pPr>
        <w:spacing w:line="360" w:lineRule="auto"/>
        <w:jc w:val="both"/>
        <w:rPr>
          <w:rFonts w:ascii="Palatino Linotype" w:eastAsia="Palatino Linotype" w:hAnsi="Palatino Linotype" w:cs="Palatino Linotype"/>
          <w:b/>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00250" w:rsidRDefault="00600250">
      <w:pPr>
        <w:spacing w:line="360" w:lineRule="auto"/>
        <w:jc w:val="both"/>
        <w:rPr>
          <w:rFonts w:ascii="Palatino Linotype" w:eastAsia="Palatino Linotype" w:hAnsi="Palatino Linotype" w:cs="Palatino Linotype"/>
          <w:sz w:val="22"/>
          <w:szCs w:val="22"/>
        </w:rPr>
      </w:pPr>
    </w:p>
    <w:p w:rsidR="00600250" w:rsidRDefault="00472F9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Expuestas las posturas de las partes, se procede al análisis del agravio hecho valer por el ahora Recurrente, referente a la entrega de información que no corresponde con lo solicitado; sin embargo, para realizar dicha acción, en principio es necesario contextualizar la solicitud de información referente al título y cédula profesional. </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relación al título y cédula profesional, resulta conveniente señalar lo establecido por el artículo 47 de la Ley del Trabajo de los Servidores Públicos del Estado y Municipios, refiere que para ingresar al servicio público se requiere, entre otras cosas, cumplir con los requisitos que se e establezcan para los diferentes puestos, como es el nivel académico.</w:t>
      </w:r>
    </w:p>
    <w:p w:rsidR="00600250" w:rsidRDefault="00600250">
      <w:pPr>
        <w:spacing w:line="360" w:lineRule="auto"/>
        <w:ind w:right="-28"/>
        <w:jc w:val="both"/>
        <w:rPr>
          <w:rFonts w:ascii="Palatino Linotype" w:eastAsia="Palatino Linotype" w:hAnsi="Palatino Linotype" w:cs="Palatino Linotype"/>
          <w:sz w:val="22"/>
          <w:szCs w:val="22"/>
          <w:highlight w:val="white"/>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contexto, el Título profesional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Además, es de señalar que la cédula profesional, es aquella expresión documental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el veintidós de septiembre de dos mil veinte, a las quince horas, en la liga </w:t>
      </w:r>
      <w:hyperlink r:id="rId8">
        <w:r>
          <w:rPr>
            <w:rFonts w:ascii="Palatino Linotype" w:eastAsia="Palatino Linotype" w:hAnsi="Palatino Linotype" w:cs="Palatino Linotype"/>
            <w:color w:val="0563C1"/>
            <w:sz w:val="22"/>
            <w:szCs w:val="22"/>
            <w:u w:val="single"/>
          </w:rPr>
          <w:t>http://consultatucedula.mx/</w:t>
        </w:r>
      </w:hyperlink>
      <w:r>
        <w:rPr>
          <w:rFonts w:ascii="Palatino Linotype" w:eastAsia="Palatino Linotype" w:hAnsi="Palatino Linotype" w:cs="Palatino Linotype"/>
          <w:color w:val="000000"/>
          <w:sz w:val="22"/>
          <w:szCs w:val="22"/>
        </w:rPr>
        <w:t>).</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que </w:t>
      </w:r>
      <w:r w:rsidR="00443C72">
        <w:rPr>
          <w:rFonts w:ascii="Palatino Linotype" w:eastAsia="Palatino Linotype" w:hAnsi="Palatino Linotype" w:cs="Palatino Linotype"/>
          <w:color w:val="000000"/>
          <w:sz w:val="22"/>
          <w:szCs w:val="22"/>
        </w:rPr>
        <w:t>dicho</w:t>
      </w:r>
      <w:r>
        <w:rPr>
          <w:rFonts w:ascii="Palatino Linotype" w:eastAsia="Palatino Linotype" w:hAnsi="Palatino Linotype" w:cs="Palatino Linotype"/>
          <w:color w:val="000000"/>
          <w:sz w:val="22"/>
          <w:szCs w:val="22"/>
        </w:rPr>
        <w:t xml:space="preserve"> documento, es aquel que adquiere toda persona a quien legalmente se le haya expedido título profesional o grado académico equivalente, con efectos de patente, previo registro de dicho título o grado la cual es otorgada por la Dirección General de Profesiones de la Secretaría de Educación Pública, ya que dicha autoridad tiene atribuciones para expedir la cédula correspondiente para el ejercicio profesional y para su identidad en todas sus actividades profesionales, lo anterior toma sustento en los artículos 3° y 23, fracción IV, de la Ley Reglamentaria del Artículo 5° Constitucional, Relativo al Ejercicio de las Profesiones en la Ciudad de México.</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los documentos que dan cuenta de la preparación académica, sirven como medios de identificación, para que a su titular lo relacionen con el nivel de estudios con que cuenta, tales como el título y cédula profesional, independientemente de que estos sean o no medios de identificación oficiales. </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ese orden de ideas, debe tenerse presente que la naturaleza del título o cédula profesional, consiste en la de ser documentos de identificación para que a sus titulares, los acrediten como profesionales o expertos en algún área de estudio o conocimiento frente a terceros; por lo que, proporcionar dicha información abona a la transparencia y a la </w:t>
      </w:r>
      <w:r>
        <w:rPr>
          <w:rFonts w:ascii="Palatino Linotype" w:eastAsia="Palatino Linotype" w:hAnsi="Palatino Linotype" w:cs="Palatino Linotype"/>
          <w:color w:val="000000"/>
          <w:sz w:val="22"/>
          <w:szCs w:val="22"/>
        </w:rPr>
        <w:lastRenderedPageBreak/>
        <w:t>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este Instituto localizó en el sistema de Información Pública de Oficio Mexiquense  del Ayuntamiento de Naucalpan de Juárez, en la fracción VII “El directorio de todos los servidores públicos”, que la persona referida en la solicitud de información se encuentra adscrito al Sujeto Obligado, tal como se muestra a continuación: </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noProof/>
          <w:color w:val="000000"/>
          <w:sz w:val="22"/>
          <w:szCs w:val="22"/>
          <w:lang w:eastAsia="es-MX"/>
        </w:rPr>
        <w:drawing>
          <wp:inline distT="0" distB="0" distL="0" distR="0">
            <wp:extent cx="5248313" cy="2009790"/>
            <wp:effectExtent l="0" t="0" r="0" b="0"/>
            <wp:docPr id="15858534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248313" cy="2009790"/>
                    </a:xfrm>
                    <a:prstGeom prst="rect">
                      <a:avLst/>
                    </a:prstGeom>
                    <a:ln/>
                  </pic:spPr>
                </pic:pic>
              </a:graphicData>
            </a:graphic>
          </wp:inline>
        </w:drawing>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Conforme a lo anterior, se logra advertir que la pretensión del ahora Recurrente, es obtener el título y cédula profesional del Jefe de Departamento de Planeación Desarrollo y Bienestar, al treinta de agosto de dos mil veinticuatro. </w:t>
      </w:r>
    </w:p>
    <w:p w:rsidR="00600250" w:rsidRDefault="00600250">
      <w:pPr>
        <w:tabs>
          <w:tab w:val="left" w:pos="4962"/>
        </w:tabs>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de las constancias que obran en el expediente electrónico, se logra advertir que el Sujeto Obligado turno la solicitud de información a la Subdirección de Recursos Humanos; por lo que, resulta necesario hacer referencia </w:t>
      </w:r>
      <w:r>
        <w:rPr>
          <w:rFonts w:ascii="Palatino Linotype" w:eastAsia="Palatino Linotype" w:hAnsi="Palatino Linotype" w:cs="Palatino Linotype"/>
          <w:b/>
          <w:sz w:val="22"/>
          <w:szCs w:val="22"/>
        </w:rPr>
        <w:t>al procedimiento de búsqueda que deben seguir los Sujetos Obligados para localizar la información</w:t>
      </w:r>
      <w:r>
        <w:rPr>
          <w:rFonts w:ascii="Palatino Linotype" w:eastAsia="Palatino Linotype" w:hAnsi="Palatino Linotype" w:cs="Palatino Linotype"/>
          <w:sz w:val="22"/>
          <w:szCs w:val="22"/>
        </w:rPr>
        <w:t xml:space="preserve">, el cual se encuentra </w:t>
      </w:r>
      <w:r>
        <w:rPr>
          <w:rFonts w:ascii="Palatino Linotype" w:eastAsia="Palatino Linotype" w:hAnsi="Palatino Linotype" w:cs="Palatino Linotype"/>
          <w:sz w:val="22"/>
          <w:szCs w:val="22"/>
        </w:rPr>
        <w:lastRenderedPageBreak/>
        <w:t>previsto en los artículos 160 y 162 de la Ley de Transparencia y Acceso a la Información Pública del Estado de México y Municipios, mismo que es el siguiente:</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600250" w:rsidRDefault="00600250">
      <w:pPr>
        <w:spacing w:line="360" w:lineRule="auto"/>
        <w:ind w:left="720"/>
        <w:jc w:val="both"/>
        <w:rPr>
          <w:rFonts w:ascii="Palatino Linotype" w:eastAsia="Palatino Linotype" w:hAnsi="Palatino Linotype" w:cs="Palatino Linotype"/>
          <w:sz w:val="22"/>
          <w:szCs w:val="22"/>
        </w:rPr>
      </w:pPr>
    </w:p>
    <w:p w:rsidR="00600250" w:rsidRDefault="00B16851">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a efecto de verificar que el Sujeto Obligado realizó el procedimiento de búsqueda antes descrito es necesario traer a coalición los artículos 18, fracción VI, 46 y 46 del Reglamento Orgánico de la Administración Pública Municipal de Naucalpan de Juárez, con relación al Manual de Organización de la Dirección General de Administración, que precisan que el Sujeto Obligado para el ejercicio de sus atribuciones contará con una </w:t>
      </w:r>
      <w:r>
        <w:rPr>
          <w:rFonts w:ascii="Palatino Linotype" w:eastAsia="Palatino Linotype" w:hAnsi="Palatino Linotype" w:cs="Palatino Linotype"/>
          <w:b/>
          <w:sz w:val="22"/>
          <w:szCs w:val="22"/>
        </w:rPr>
        <w:t>Dirección General de Administración</w:t>
      </w:r>
      <w:r>
        <w:rPr>
          <w:rFonts w:ascii="Palatino Linotype" w:eastAsia="Palatino Linotype" w:hAnsi="Palatino Linotype" w:cs="Palatino Linotype"/>
          <w:sz w:val="22"/>
          <w:szCs w:val="22"/>
        </w:rPr>
        <w:t xml:space="preserve"> encargada de os recursos humanos, técnicos y administrativos del Sujeto Obligado, además de la selección, contratación y capacitación del personal, quien para el ejercicio de sus funciones y atribuciones se auxiliará de la Subdirección de Recursos Humanos, encargada de la integración de los expedientes laborales de los servidores públicos. </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 tal circunstancia, se considera que el Sujeto Obligado turno la solicitud de información a el área con competencia, para conocer de lo peticionado, a saber, la Subdirección de Recursos Humanos, encargadas de la integración de los expedientes de personal, por lo que, se considera que el Sujeto Obligado atendió lo establecido en el artículo 162 de la Ley de Transparencia y Acceso a la Información Pública del Estado de México y Municipios.</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dicha dependencia precisó que la expresión documental que daba cuenta de lo solicitado era la Constancia de Estudios, situación que </w:t>
      </w:r>
      <w:r>
        <w:rPr>
          <w:rFonts w:ascii="Palatino Linotype" w:eastAsia="Palatino Linotype" w:hAnsi="Palatino Linotype" w:cs="Palatino Linotype"/>
          <w:b/>
          <w:sz w:val="22"/>
          <w:szCs w:val="22"/>
        </w:rPr>
        <w:t>resulta incongruente</w:t>
      </w:r>
      <w:r>
        <w:rPr>
          <w:rFonts w:ascii="Palatino Linotype" w:eastAsia="Palatino Linotype" w:hAnsi="Palatino Linotype" w:cs="Palatino Linotype"/>
          <w:sz w:val="22"/>
          <w:szCs w:val="22"/>
        </w:rPr>
        <w:t xml:space="preserve">, pues si bien proporcionó información relacionada con lo solicitado, no corresponde con el título y cédula profesional. </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S</w:t>
      </w:r>
      <w:r>
        <w:rPr>
          <w:rFonts w:ascii="Palatino Linotype" w:eastAsia="Palatino Linotype" w:hAnsi="Palatino Linotype" w:cs="Palatino Linotype"/>
          <w:color w:val="000000"/>
          <w:sz w:val="22"/>
          <w:szCs w:val="22"/>
        </w:rPr>
        <w:t xml:space="preserve">obre el tema el </w:t>
      </w:r>
      <w:r>
        <w:rPr>
          <w:rFonts w:ascii="Palatino Linotype" w:eastAsia="Palatino Linotype" w:hAnsi="Palatino Linotype" w:cs="Palatino Linotype"/>
          <w:sz w:val="22"/>
          <w:szCs w:val="22"/>
        </w:rPr>
        <w:t xml:space="preserve">artículo 1.8, fracción IX, del Código Administrativo del Estado de México, establece que para que un acto administrativo tenga validez, deberá guardar congruencia con lo solicitado; asimismo, resulta necesario traer por analogía, el Criterio de Interpretación, de la Segunda Época, con número de registro SO/002/2017, emitido por el Instituto Nacional de Transparencia, Acceso a la Información y Protección de Datos Personales, que señala </w:t>
      </w:r>
      <w:r>
        <w:rPr>
          <w:rFonts w:ascii="Palatino Linotype" w:eastAsia="Palatino Linotype" w:hAnsi="Palatino Linotype" w:cs="Palatino Linotype"/>
          <w:color w:val="000000"/>
          <w:sz w:val="22"/>
          <w:szCs w:val="22"/>
        </w:rPr>
        <w:t xml:space="preserve">que todo acto administrativo debe apegarse al </w:t>
      </w:r>
      <w:r>
        <w:rPr>
          <w:rFonts w:ascii="Palatino Linotype" w:eastAsia="Palatino Linotype" w:hAnsi="Palatino Linotype" w:cs="Palatino Linotype"/>
          <w:b/>
          <w:color w:val="000000"/>
          <w:sz w:val="22"/>
          <w:szCs w:val="22"/>
        </w:rPr>
        <w:t xml:space="preserve">Principio de Congruencia, </w:t>
      </w:r>
      <w:r>
        <w:rPr>
          <w:rFonts w:ascii="Palatino Linotype" w:eastAsia="Palatino Linotype" w:hAnsi="Palatino Linotype" w:cs="Palatino Linotype"/>
          <w:color w:val="000000"/>
          <w:sz w:val="22"/>
          <w:szCs w:val="22"/>
        </w:rPr>
        <w:t>el cual</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implica que exista concordancia entre el requerimiento formulado y la respuesta entregada.</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expuesto, se considera que las respuestas emitidas por la Subdirección de Recursos Humanos no dan cuenta de lo solicitado, situación que da como resultado que el agravió sea </w:t>
      </w:r>
      <w:r>
        <w:rPr>
          <w:rFonts w:ascii="Palatino Linotype" w:eastAsia="Palatino Linotype" w:hAnsi="Palatino Linotype" w:cs="Palatino Linotype"/>
          <w:b/>
          <w:sz w:val="22"/>
          <w:szCs w:val="22"/>
        </w:rPr>
        <w:t xml:space="preserve">FUNDADO; </w:t>
      </w:r>
      <w:r>
        <w:rPr>
          <w:rFonts w:ascii="Palatino Linotype" w:eastAsia="Palatino Linotype" w:hAnsi="Palatino Linotype" w:cs="Palatino Linotype"/>
          <w:sz w:val="22"/>
          <w:szCs w:val="22"/>
        </w:rPr>
        <w:t>lo cual guarda relevancia, pues el área competente no señaló que si contaba o no con dichas documentales, es decir, si el servidor público contaba con título y cédula profesional.</w:t>
      </w:r>
    </w:p>
    <w:p w:rsidR="00600250" w:rsidRDefault="00600250">
      <w:pPr>
        <w:spacing w:line="360" w:lineRule="auto"/>
        <w:ind w:right="-28"/>
        <w:jc w:val="both"/>
        <w:rPr>
          <w:rFonts w:ascii="Palatino Linotype" w:eastAsia="Palatino Linotype" w:hAnsi="Palatino Linotype" w:cs="Palatino Linotype"/>
          <w:sz w:val="22"/>
          <w:szCs w:val="22"/>
        </w:rPr>
      </w:pPr>
    </w:p>
    <w:p w:rsidR="00600250" w:rsidRDefault="00B16851">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Situación que toma relevancia, con la ficha curricular del servidor público referido que este Instituto localizó en la fracción XXI “Información curricular y sanciones administrativas”, en el sistema de Información Pública de Oficio Mexiquense (</w:t>
      </w:r>
      <w:proofErr w:type="spellStart"/>
      <w:r>
        <w:rPr>
          <w:rFonts w:ascii="Palatino Linotype" w:eastAsia="Palatino Linotype" w:hAnsi="Palatino Linotype" w:cs="Palatino Linotype"/>
          <w:sz w:val="22"/>
          <w:szCs w:val="22"/>
        </w:rPr>
        <w:t>Ipomex</w:t>
      </w:r>
      <w:proofErr w:type="spellEnd"/>
      <w:r>
        <w:rPr>
          <w:rFonts w:ascii="Palatino Linotype" w:eastAsia="Palatino Linotype" w:hAnsi="Palatino Linotype" w:cs="Palatino Linotype"/>
          <w:sz w:val="22"/>
          <w:szCs w:val="22"/>
        </w:rPr>
        <w:t xml:space="preserve">), del cual se logra vislumbrar advertir su grado académico tal como se muestra a continuación: </w:t>
      </w:r>
    </w:p>
    <w:p w:rsidR="00600250" w:rsidRDefault="00600250">
      <w:pPr>
        <w:spacing w:line="360" w:lineRule="auto"/>
        <w:ind w:right="-28"/>
        <w:jc w:val="both"/>
        <w:rPr>
          <w:rFonts w:ascii="Palatino Linotype" w:eastAsia="Palatino Linotype" w:hAnsi="Palatino Linotype" w:cs="Palatino Linotype"/>
          <w:sz w:val="22"/>
          <w:szCs w:val="22"/>
        </w:rPr>
      </w:pPr>
    </w:p>
    <w:p w:rsidR="00600250" w:rsidRDefault="00B16851">
      <w:pPr>
        <w:spacing w:line="360" w:lineRule="auto"/>
        <w:ind w:right="-28"/>
        <w:jc w:val="center"/>
        <w:rPr>
          <w:rFonts w:ascii="Palatino Linotype" w:eastAsia="Palatino Linotype" w:hAnsi="Palatino Linotype" w:cs="Palatino Linotype"/>
          <w:i/>
          <w:sz w:val="22"/>
          <w:szCs w:val="22"/>
        </w:rPr>
      </w:pPr>
      <w:r>
        <w:rPr>
          <w:rFonts w:ascii="Palatino Linotype" w:eastAsia="Palatino Linotype" w:hAnsi="Palatino Linotype" w:cs="Palatino Linotype"/>
          <w:noProof/>
          <w:sz w:val="22"/>
          <w:szCs w:val="22"/>
          <w:lang w:eastAsia="es-MX"/>
        </w:rPr>
        <w:drawing>
          <wp:inline distT="0" distB="0" distL="0" distR="0">
            <wp:extent cx="3321404" cy="1830609"/>
            <wp:effectExtent l="0" t="0" r="0" b="0"/>
            <wp:docPr id="15858534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6279" t="28738" r="12254" b="11865"/>
                    <a:stretch>
                      <a:fillRect/>
                    </a:stretch>
                  </pic:blipFill>
                  <pic:spPr>
                    <a:xfrm>
                      <a:off x="0" y="0"/>
                      <a:ext cx="3321404" cy="1830609"/>
                    </a:xfrm>
                    <a:prstGeom prst="rect">
                      <a:avLst/>
                    </a:prstGeom>
                    <a:ln/>
                  </pic:spPr>
                </pic:pic>
              </a:graphicData>
            </a:graphic>
          </wp:inline>
        </w:drawing>
      </w:r>
      <w:r>
        <w:rPr>
          <w:noProof/>
          <w:lang w:eastAsia="es-MX"/>
        </w:rPr>
        <mc:AlternateContent>
          <mc:Choice Requires="wpg">
            <w:drawing>
              <wp:anchor distT="0" distB="0" distL="114300" distR="114300" simplePos="0" relativeHeight="251658240" behindDoc="0" locked="0" layoutInCell="1" hidden="0" allowOverlap="1">
                <wp:simplePos x="0" y="0"/>
                <wp:positionH relativeFrom="column">
                  <wp:posOffset>901700</wp:posOffset>
                </wp:positionH>
                <wp:positionV relativeFrom="paragraph">
                  <wp:posOffset>3073400</wp:posOffset>
                </wp:positionV>
                <wp:extent cx="1999879" cy="236393"/>
                <wp:effectExtent l="0" t="0" r="0" b="0"/>
                <wp:wrapNone/>
                <wp:docPr id="1585853445" name="Rectángulo 1585853445"/>
                <wp:cNvGraphicFramePr/>
                <a:graphic xmlns:a="http://schemas.openxmlformats.org/drawingml/2006/main">
                  <a:graphicData uri="http://schemas.microsoft.com/office/word/2010/wordprocessingShape">
                    <wps:wsp>
                      <wps:cNvSpPr/>
                      <wps:spPr>
                        <a:xfrm>
                          <a:off x="4360348" y="3676091"/>
                          <a:ext cx="1971304" cy="207818"/>
                        </a:xfrm>
                        <a:prstGeom prst="rect">
                          <a:avLst/>
                        </a:prstGeom>
                        <a:noFill/>
                        <a:ln w="28575" cap="flat" cmpd="sng">
                          <a:solidFill>
                            <a:schemeClr val="dk1"/>
                          </a:solidFill>
                          <a:prstDash val="solid"/>
                          <a:miter lim="800000"/>
                          <a:headEnd type="none" w="sm" len="sm"/>
                          <a:tailEnd type="none" w="sm" len="sm"/>
                        </a:ln>
                      </wps:spPr>
                      <wps:txbx>
                        <w:txbxContent>
                          <w:p w:rsidR="00600250" w:rsidRDefault="0060025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901700</wp:posOffset>
                </wp:positionH>
                <wp:positionV relativeFrom="paragraph">
                  <wp:posOffset>3073400</wp:posOffset>
                </wp:positionV>
                <wp:extent cx="1999879" cy="236393"/>
                <wp:effectExtent b="0" l="0" r="0" t="0"/>
                <wp:wrapNone/>
                <wp:docPr id="158585344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999879" cy="236393"/>
                        </a:xfrm>
                        <a:prstGeom prst="rect"/>
                        <a:ln/>
                      </pic:spPr>
                    </pic:pic>
                  </a:graphicData>
                </a:graphic>
              </wp:anchor>
            </w:drawing>
          </mc:Fallback>
        </mc:AlternateContent>
      </w: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Inclusive se localizó, el Acta de la Segunda Sesión Ordinaria del Comité Interno de Mejora Regulatoria de la Dirección General de Desarrollo Social, en la cual se logra advertir que el servidor público firma con la calidad de Licenciado, tal como se muestra a continuación:</w:t>
      </w:r>
    </w:p>
    <w:p w:rsidR="00600250" w:rsidRDefault="00600250">
      <w:pPr>
        <w:tabs>
          <w:tab w:val="left" w:pos="4962"/>
        </w:tabs>
        <w:spacing w:line="360" w:lineRule="auto"/>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extent cx="5612130" cy="455295"/>
            <wp:effectExtent l="0" t="0" r="0" b="0"/>
            <wp:docPr id="15858534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2130" cy="455295"/>
                    </a:xfrm>
                    <a:prstGeom prst="rect">
                      <a:avLst/>
                    </a:prstGeom>
                    <a:ln/>
                  </pic:spPr>
                </pic:pic>
              </a:graphicData>
            </a:graphic>
          </wp:inline>
        </w:drawing>
      </w:r>
    </w:p>
    <w:p w:rsidR="00600250" w:rsidRDefault="00600250">
      <w:pPr>
        <w:tabs>
          <w:tab w:val="left" w:pos="4962"/>
        </w:tabs>
        <w:spacing w:line="360" w:lineRule="auto"/>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extent cx="2543530" cy="1076475"/>
            <wp:effectExtent l="0" t="0" r="0" b="0"/>
            <wp:docPr id="15858534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543530" cy="1076475"/>
                    </a:xfrm>
                    <a:prstGeom prst="rect">
                      <a:avLst/>
                    </a:prstGeom>
                    <a:ln/>
                  </pic:spPr>
                </pic:pic>
              </a:graphicData>
            </a:graphic>
          </wp:inline>
        </w:drawing>
      </w:r>
    </w:p>
    <w:p w:rsidR="00600250" w:rsidRDefault="00600250">
      <w:pPr>
        <w:tabs>
          <w:tab w:val="left" w:pos="4962"/>
        </w:tabs>
        <w:spacing w:line="360" w:lineRule="auto"/>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Conforme a las documentales publicadas por el propio Sujeto Obligado, se puede vislumbrar que el servidor público se ostenta como Licenciado en Derecho, es decir, que cuenta con ese grado académico.</w:t>
      </w:r>
    </w:p>
    <w:p w:rsidR="00600250" w:rsidRDefault="00600250">
      <w:pPr>
        <w:tabs>
          <w:tab w:val="left" w:pos="4962"/>
        </w:tabs>
        <w:spacing w:line="360" w:lineRule="auto"/>
        <w:jc w:val="both"/>
        <w:rPr>
          <w:rFonts w:ascii="Palatino Linotype" w:eastAsia="Palatino Linotype" w:hAnsi="Palatino Linotype" w:cs="Palatino Linotype"/>
          <w:sz w:val="22"/>
          <w:szCs w:val="22"/>
        </w:rPr>
      </w:pPr>
    </w:p>
    <w:p w:rsidR="00600250" w:rsidRDefault="00B16851">
      <w:pPr>
        <w:tabs>
          <w:tab w:val="left" w:pos="453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conforme al Manual de Procedimientos </w:t>
      </w:r>
      <w:r w:rsidR="00443C72">
        <w:rPr>
          <w:rFonts w:ascii="Palatino Linotype" w:eastAsia="Palatino Linotype" w:hAnsi="Palatino Linotype" w:cs="Palatino Linotype"/>
          <w:sz w:val="22"/>
          <w:szCs w:val="22"/>
        </w:rPr>
        <w:t>de</w:t>
      </w:r>
      <w:r>
        <w:rPr>
          <w:rFonts w:ascii="Palatino Linotype" w:eastAsia="Palatino Linotype" w:hAnsi="Palatino Linotype" w:cs="Palatino Linotype"/>
          <w:sz w:val="22"/>
          <w:szCs w:val="22"/>
        </w:rPr>
        <w:t xml:space="preserve"> la Dirección General de Administración, se logra vislumbrar que para el registro de movimientos de alta el Departamento de Nómina, deberá revisar los documentos entregados, entre los cuales se encuentra el </w:t>
      </w:r>
      <w:r>
        <w:rPr>
          <w:rFonts w:ascii="Palatino Linotype" w:eastAsia="Palatino Linotype" w:hAnsi="Palatino Linotype" w:cs="Palatino Linotype"/>
          <w:i/>
          <w:sz w:val="22"/>
          <w:szCs w:val="22"/>
        </w:rPr>
        <w:t xml:space="preserve">Currículum Vitae </w:t>
      </w:r>
      <w:r>
        <w:rPr>
          <w:rFonts w:ascii="Palatino Linotype" w:eastAsia="Palatino Linotype" w:hAnsi="Palatino Linotype" w:cs="Palatino Linotype"/>
          <w:sz w:val="22"/>
          <w:szCs w:val="22"/>
        </w:rPr>
        <w:t>y el Comprobante de estudios máximos; por lo que, si el servidor público se acredito ante el Ayuntamiento, como Licenciado en Derecho, debe de contar en su expediente laboral, el Título Profesional o la Cédula, pues son los únicas documentales con las que se puede acreditar dicho grado académico.</w:t>
      </w:r>
    </w:p>
    <w:p w:rsidR="00600250" w:rsidRDefault="00600250">
      <w:pPr>
        <w:tabs>
          <w:tab w:val="left" w:pos="4962"/>
        </w:tabs>
        <w:spacing w:line="360" w:lineRule="auto"/>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se advierte que el Ayuntamiento de Naucalpan de Juárez deberá realizar una búsqueda exhaustiva y razonable, en todos los archivos de las unidades administrativas competentes entre las cuales no podrá omitir a la Subdirección de Recursos Humanos, a efecto de que proporcionen el título y cédula profesional del Jefe de Departamento de Planeación Desarrollo y Bienestar al treinta de agosto de dos mil veinticuatro. </w:t>
      </w:r>
    </w:p>
    <w:p w:rsidR="00600250" w:rsidRDefault="00600250">
      <w:pPr>
        <w:tabs>
          <w:tab w:val="left" w:pos="4962"/>
        </w:tabs>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D0D0D"/>
          <w:sz w:val="22"/>
          <w:szCs w:val="22"/>
        </w:rPr>
        <w:t>D</w:t>
      </w:r>
      <w:r>
        <w:rPr>
          <w:rFonts w:ascii="Palatino Linotype" w:eastAsia="Palatino Linotype" w:hAnsi="Palatino Linotype" w:cs="Palatino Linotype"/>
          <w:color w:val="000000"/>
          <w:sz w:val="22"/>
          <w:szCs w:val="22"/>
        </w:rPr>
        <w:t xml:space="preserve">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w:t>
      </w:r>
      <w:r>
        <w:rPr>
          <w:rFonts w:ascii="Palatino Linotype" w:eastAsia="Palatino Linotype" w:hAnsi="Palatino Linotype" w:cs="Palatino Linotype"/>
          <w:sz w:val="22"/>
          <w:szCs w:val="22"/>
        </w:rPr>
        <w:t>misma, ni presentarla conforme al interés del Solicitante.</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sz w:val="22"/>
          <w:szCs w:val="22"/>
        </w:rPr>
        <w:lastRenderedPageBreak/>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xml:space="preserve"> lo cual, toma sustento en el artículo 160 de la Ley de Transparencia y Acceso a la Información Pública del Estado de México y Municipios.</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el título cédula profesional del Servidor Público Referido, al treinta de agosto de dos mil veinticuatro. </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para el caso de que, no obre en sus archivos la Cédula Profesional al no haber obligación normativa, deberá hacerlo del conocimiento de la persona Recurrente, de manera clara y precisa, en términos del artículo 19, párrafo segundo de la Ley de Transparencia y Acceso a la Información Pública del Estado de México y Municipios. </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no pasa desapercibido que los documentos pudieran contar con diversos datos, entre los cuales se encuentra la Clave Única de Registro de Población (CURP), la fotografía y firma del servidor público en el comprobante de estudios, por lo que se procede a su análisis:</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numPr>
          <w:ilvl w:val="0"/>
          <w:numId w:val="2"/>
        </w:num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Clave Única de Registro de Población (CURP)</w:t>
      </w:r>
    </w:p>
    <w:p w:rsidR="00600250" w:rsidRDefault="00600250">
      <w:pPr>
        <w:tabs>
          <w:tab w:val="left" w:pos="4962"/>
        </w:tabs>
        <w:spacing w:line="360" w:lineRule="auto"/>
        <w:jc w:val="both"/>
        <w:rPr>
          <w:rFonts w:ascii="Palatino Linotype" w:eastAsia="Palatino Linotype" w:hAnsi="Palatino Linotype" w:cs="Palatino Linotype"/>
          <w:color w:val="000000"/>
          <w:sz w:val="22"/>
          <w:szCs w:val="22"/>
        </w:rPr>
      </w:pPr>
    </w:p>
    <w:p w:rsidR="00600250" w:rsidRDefault="00B16851">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w:t>
      </w:r>
      <w:r>
        <w:rPr>
          <w:rFonts w:ascii="Palatino Linotype" w:eastAsia="Palatino Linotype" w:hAnsi="Palatino Linotype" w:cs="Palatino Linotype"/>
          <w:color w:val="000000"/>
          <w:sz w:val="22"/>
          <w:szCs w:val="22"/>
        </w:rPr>
        <w:lastRenderedPageBreak/>
        <w:t>Gobernación el registro y acreditación de la identidad de todas las personas residentes en el país y de los nacionales que residan en el extranjero.</w:t>
      </w:r>
    </w:p>
    <w:p w:rsidR="00600250" w:rsidRDefault="00600250">
      <w:pPr>
        <w:tabs>
          <w:tab w:val="left" w:pos="4962"/>
        </w:tabs>
        <w:spacing w:line="360" w:lineRule="auto"/>
        <w:jc w:val="both"/>
        <w:rPr>
          <w:rFonts w:ascii="Palatino Linotype" w:eastAsia="Palatino Linotype" w:hAnsi="Palatino Linotype" w:cs="Palatino Linotype"/>
          <w:color w:val="000000"/>
          <w:sz w:val="22"/>
          <w:szCs w:val="22"/>
        </w:rPr>
      </w:pPr>
    </w:p>
    <w:p w:rsidR="00600250" w:rsidRDefault="00B16851">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600250" w:rsidRDefault="00600250">
      <w:pPr>
        <w:tabs>
          <w:tab w:val="left" w:pos="4962"/>
        </w:tabs>
        <w:spacing w:line="360" w:lineRule="auto"/>
        <w:jc w:val="both"/>
        <w:rPr>
          <w:rFonts w:ascii="Palatino Linotype" w:eastAsia="Palatino Linotype" w:hAnsi="Palatino Linotype" w:cs="Palatino Linotype"/>
          <w:color w:val="000000"/>
          <w:sz w:val="22"/>
          <w:szCs w:val="22"/>
        </w:rPr>
      </w:pPr>
    </w:p>
    <w:p w:rsidR="00600250" w:rsidRDefault="00B16851">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orden de ideas, la Secretaría de Gobernación en las direcciones https://consultas.curp.gob.mx/CurpSP/html/informacionecurpPS.html y https://www.gob.mx/segob/renapo/acciones-y-programas/clave-unica-de-registro-de-</w:t>
      </w:r>
    </w:p>
    <w:p w:rsidR="00600250" w:rsidRDefault="00B16851">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poblacion-curp-142226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Pr>
          <w:rFonts w:ascii="Palatino Linotype" w:eastAsia="Palatino Linotype" w:hAnsi="Palatino Linotype" w:cs="Palatino Linotype"/>
          <w:b/>
          <w:color w:val="000000"/>
          <w:sz w:val="22"/>
          <w:szCs w:val="22"/>
        </w:rPr>
        <w:t>se generan a partir de los datos contenidos en el documento probatorio de la identidad del interesado</w:t>
      </w:r>
      <w:r>
        <w:rPr>
          <w:rFonts w:ascii="Palatino Linotype" w:eastAsia="Palatino Linotype" w:hAnsi="Palatino Linotype" w:cs="Palatino Linotype"/>
          <w:color w:val="000000"/>
          <w:sz w:val="22"/>
          <w:szCs w:val="22"/>
        </w:rPr>
        <w:t xml:space="preserve"> (acta de nacimiento, carta de naturalización o documento migratorio) de la siguiente forma:</w:t>
      </w:r>
    </w:p>
    <w:p w:rsidR="00600250" w:rsidRDefault="00600250">
      <w:pPr>
        <w:tabs>
          <w:tab w:val="left" w:pos="4962"/>
        </w:tabs>
        <w:spacing w:line="360" w:lineRule="auto"/>
        <w:jc w:val="both"/>
        <w:rPr>
          <w:rFonts w:ascii="Palatino Linotype" w:eastAsia="Palatino Linotype" w:hAnsi="Palatino Linotype" w:cs="Palatino Linotype"/>
          <w:color w:val="000000"/>
          <w:sz w:val="22"/>
          <w:szCs w:val="22"/>
        </w:rPr>
      </w:pPr>
    </w:p>
    <w:p w:rsidR="00600250" w:rsidRDefault="00B16851">
      <w:pPr>
        <w:numPr>
          <w:ilvl w:val="0"/>
          <w:numId w:val="1"/>
        </w:num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primero y segundo apellidos, así como al nombre de pila;</w:t>
      </w:r>
    </w:p>
    <w:p w:rsidR="00600250" w:rsidRDefault="00B16851">
      <w:pPr>
        <w:numPr>
          <w:ilvl w:val="0"/>
          <w:numId w:val="1"/>
        </w:num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fecha de nacimiento;</w:t>
      </w:r>
    </w:p>
    <w:p w:rsidR="00600250" w:rsidRDefault="00B16851">
      <w:pPr>
        <w:numPr>
          <w:ilvl w:val="0"/>
          <w:numId w:val="1"/>
        </w:num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sexo, y</w:t>
      </w:r>
    </w:p>
    <w:p w:rsidR="00600250" w:rsidRDefault="00B16851">
      <w:pPr>
        <w:numPr>
          <w:ilvl w:val="0"/>
          <w:numId w:val="1"/>
        </w:num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entidad federativa de nacimiento.</w:t>
      </w:r>
    </w:p>
    <w:p w:rsidR="00600250" w:rsidRDefault="00600250">
      <w:pPr>
        <w:tabs>
          <w:tab w:val="left" w:pos="4962"/>
        </w:tabs>
        <w:spacing w:line="360" w:lineRule="auto"/>
        <w:jc w:val="both"/>
        <w:rPr>
          <w:rFonts w:ascii="Palatino Linotype" w:eastAsia="Palatino Linotype" w:hAnsi="Palatino Linotype" w:cs="Palatino Linotype"/>
          <w:color w:val="000000"/>
          <w:sz w:val="22"/>
          <w:szCs w:val="22"/>
        </w:rPr>
      </w:pPr>
    </w:p>
    <w:p w:rsidR="00600250" w:rsidRDefault="00B16851">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Los dos últimos elementos de la Clave Única de Registro de Población evitan la duplicidad de la Clave y garantizan su correcta integración.</w:t>
      </w:r>
    </w:p>
    <w:p w:rsidR="00600250" w:rsidRDefault="00600250">
      <w:pPr>
        <w:tabs>
          <w:tab w:val="left" w:pos="4962"/>
        </w:tabs>
        <w:spacing w:line="360" w:lineRule="auto"/>
        <w:jc w:val="both"/>
        <w:rPr>
          <w:rFonts w:ascii="Palatino Linotype" w:eastAsia="Palatino Linotype" w:hAnsi="Palatino Linotype" w:cs="Palatino Linotype"/>
          <w:color w:val="000000"/>
          <w:sz w:val="22"/>
          <w:szCs w:val="22"/>
        </w:rPr>
      </w:pPr>
    </w:p>
    <w:p w:rsidR="00600250" w:rsidRDefault="00B16851">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600250" w:rsidRDefault="00600250">
      <w:pPr>
        <w:tabs>
          <w:tab w:val="left" w:pos="4962"/>
        </w:tabs>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Situación que se robustece, con el Criterio de Interpretación, de la Segunda Época, con número de registro SO/018/2017, emitido por el Instituto Nacional de Transparencia, Acceso a la Información y Protección de Datos Personales, que establece lo siguiente:</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“Clave Única de Registro de Población (CURP). </w:t>
      </w:r>
      <w:r>
        <w:rPr>
          <w:rFonts w:ascii="Palatino Linotype" w:eastAsia="Palatino Linotype" w:hAnsi="Palatino Linotype" w:cs="Palatino Linotype"/>
          <w:i/>
          <w:color w:val="00000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55240B" w:rsidRDefault="0055240B">
      <w:pPr>
        <w:spacing w:line="360" w:lineRule="auto"/>
        <w:ind w:left="567" w:right="567"/>
        <w:jc w:val="both"/>
        <w:rPr>
          <w:rFonts w:ascii="Palatino Linotype" w:eastAsia="Palatino Linotype" w:hAnsi="Palatino Linotype" w:cs="Palatino Linotype"/>
          <w:i/>
          <w:color w:val="000000"/>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acuerdo con lo anterior, resulta procedente la clasificación de </w:t>
      </w:r>
      <w:r>
        <w:rPr>
          <w:rFonts w:ascii="Palatino Linotype" w:eastAsia="Palatino Linotype" w:hAnsi="Palatino Linotype" w:cs="Palatino Linotype"/>
          <w:b/>
          <w:color w:val="000000"/>
          <w:sz w:val="22"/>
          <w:szCs w:val="22"/>
        </w:rPr>
        <w:t>la Clave Única de Registro de Población</w:t>
      </w:r>
      <w:r>
        <w:rPr>
          <w:rFonts w:ascii="Palatino Linotype" w:eastAsia="Palatino Linotype" w:hAnsi="Palatino Linotype" w:cs="Palatino Linotype"/>
          <w:color w:val="000000"/>
          <w:sz w:val="22"/>
          <w:szCs w:val="22"/>
        </w:rPr>
        <w:t xml:space="preserve">, por tratarse de un dato personal confidencial, en términos del artículo 143, fracción I, de la Ley de Transparencia y Acceso a la Información Pública del Estado de México y Municipios. </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numPr>
          <w:ilvl w:val="0"/>
          <w:numId w:val="2"/>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Firma de servidores públicos en documentos comprobatorios de estudios.</w:t>
      </w:r>
    </w:p>
    <w:p w:rsidR="00600250" w:rsidRDefault="00600250">
      <w:pPr>
        <w:spacing w:line="360" w:lineRule="auto"/>
        <w:ind w:left="720"/>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rsidR="00600250" w:rsidRDefault="00B16851">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La publicidad de dichos datos, se robustece, con el </w:t>
      </w:r>
      <w:r>
        <w:rPr>
          <w:rFonts w:ascii="Palatino Linotype" w:eastAsia="Palatino Linotype" w:hAnsi="Palatino Linotype" w:cs="Palatino Linotype"/>
          <w:color w:val="000000"/>
          <w:sz w:val="22"/>
          <w:szCs w:val="22"/>
        </w:rPr>
        <w:t>Criterio de Interpretación, de la Segunda Época, con clave de control SO/002/2019, emitido por el Instituto Nacional de Transparencia, Acceso a la Información y Protección de Datos Personales, que establece lo siguiente:</w:t>
      </w:r>
    </w:p>
    <w:p w:rsidR="00600250" w:rsidRDefault="00B16851">
      <w:pPr>
        <w:shd w:val="clear" w:color="auto" w:fill="FFFFFF"/>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w:t>
      </w:r>
    </w:p>
    <w:p w:rsidR="00600250" w:rsidRDefault="00B16851">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b/>
          <w:i/>
        </w:rPr>
        <w:t>“Firma y rúbrica de servidores públicos.</w:t>
      </w:r>
      <w:r>
        <w:rPr>
          <w:rFonts w:ascii="Palatino Linotype" w:eastAsia="Palatino Linotype" w:hAnsi="Palatino Linotype" w:cs="Palatino Linotype"/>
          <w:i/>
        </w:rPr>
        <w:t> Si bien la firma y la rúbrica son datos personales confidenciales, cuando un servidor público emite un acto como autoridad, en ejercicio de las funciones que tiene conferidas, la firma o rúbrica mediante la cual se valida dicho acto es pública.”</w:t>
      </w: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rsidR="00600250" w:rsidRDefault="00600250">
      <w:pPr>
        <w:widowControl w:val="0"/>
        <w:spacing w:line="360" w:lineRule="auto"/>
        <w:jc w:val="both"/>
        <w:rPr>
          <w:rFonts w:ascii="Palatino Linotype" w:eastAsia="Palatino Linotype" w:hAnsi="Palatino Linotype" w:cs="Palatino Linotype"/>
          <w:color w:val="000000"/>
          <w:sz w:val="22"/>
          <w:szCs w:val="22"/>
        </w:rPr>
      </w:pPr>
    </w:p>
    <w:p w:rsidR="00600250" w:rsidRDefault="00B16851">
      <w:pPr>
        <w:numPr>
          <w:ilvl w:val="0"/>
          <w:numId w:val="2"/>
        </w:num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Fotografía</w:t>
      </w:r>
    </w:p>
    <w:p w:rsidR="00600250" w:rsidRDefault="00600250">
      <w:pPr>
        <w:spacing w:line="360" w:lineRule="auto"/>
        <w:ind w:right="-93"/>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600250" w:rsidRDefault="00600250">
      <w:pPr>
        <w:tabs>
          <w:tab w:val="left" w:pos="4962"/>
        </w:tabs>
        <w:spacing w:line="360" w:lineRule="auto"/>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600250" w:rsidRDefault="00600250">
      <w:pPr>
        <w:tabs>
          <w:tab w:val="left" w:pos="4962"/>
        </w:tabs>
        <w:spacing w:line="360" w:lineRule="auto"/>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600250" w:rsidRDefault="00600250">
      <w:pPr>
        <w:tabs>
          <w:tab w:val="left" w:pos="4962"/>
        </w:tabs>
        <w:spacing w:line="360" w:lineRule="auto"/>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resultan aplicables por analogía, los Criterios de Interpretación, con clave de control SO/015/2017 y SO/001/2013, del Instituto Nacional de Transparencia y Acceso a </w:t>
      </w:r>
      <w:r>
        <w:rPr>
          <w:rFonts w:ascii="Palatino Linotype" w:eastAsia="Palatino Linotype" w:hAnsi="Palatino Linotype" w:cs="Palatino Linotype"/>
          <w:sz w:val="22"/>
          <w:szCs w:val="22"/>
        </w:rPr>
        <w:lastRenderedPageBreak/>
        <w:t>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600250" w:rsidRDefault="00600250">
      <w:pPr>
        <w:tabs>
          <w:tab w:val="left" w:pos="4962"/>
        </w:tabs>
        <w:spacing w:line="360" w:lineRule="auto"/>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600250" w:rsidRDefault="00600250">
      <w:pPr>
        <w:tabs>
          <w:tab w:val="left" w:pos="4962"/>
        </w:tabs>
        <w:spacing w:line="360" w:lineRule="auto"/>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600250" w:rsidRDefault="00600250">
      <w:pPr>
        <w:tabs>
          <w:tab w:val="left" w:pos="4962"/>
        </w:tabs>
        <w:spacing w:line="360" w:lineRule="auto"/>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rsidR="00600250" w:rsidRDefault="00600250">
      <w:pPr>
        <w:tabs>
          <w:tab w:val="left" w:pos="4962"/>
        </w:tabs>
        <w:spacing w:line="360" w:lineRule="auto"/>
        <w:jc w:val="both"/>
        <w:rPr>
          <w:rFonts w:ascii="Palatino Linotype" w:eastAsia="Palatino Linotype" w:hAnsi="Palatino Linotype" w:cs="Palatino Linotype"/>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el Sujeto Obligado deberá elaborar la versión pública respectiva, tomando en consideración los datos analizados en la presente resolución;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Además, deberá clasificar aquellos ya mencionados en párrafos anteriores, 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600250" w:rsidRDefault="00600250">
      <w:pPr>
        <w:spacing w:line="360" w:lineRule="auto"/>
        <w:jc w:val="both"/>
        <w:rPr>
          <w:rFonts w:ascii="Palatino Linotype" w:eastAsia="Palatino Linotype" w:hAnsi="Palatino Linotype" w:cs="Palatino Linotype"/>
          <w:b/>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Finalmente, se la hace del conocimiento al Particular que el Recurso de Revisión no es la vía para interponer denuncias en contra de los Servidores Públicos y la presente resolución no tiene por objetivo investigar y determinar si el Sujeto Obligado actuó con negligencia o mala fe, por lo que se dejan a salvo los derechos del Particular, para que dé así requerirlo, presente la queja o denuncia, ante la autoridad competente. </w:t>
      </w:r>
    </w:p>
    <w:p w:rsidR="00600250" w:rsidRDefault="00600250">
      <w:pPr>
        <w:spacing w:line="360" w:lineRule="auto"/>
        <w:jc w:val="both"/>
        <w:rPr>
          <w:rFonts w:ascii="Palatino Linotype" w:eastAsia="Palatino Linotype" w:hAnsi="Palatino Linotype" w:cs="Palatino Linotype"/>
          <w:b/>
          <w:sz w:val="22"/>
          <w:szCs w:val="22"/>
        </w:rPr>
      </w:pPr>
    </w:p>
    <w:p w:rsidR="00600250" w:rsidRDefault="00472F92">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rsidR="00600250" w:rsidRDefault="00600250">
      <w:pPr>
        <w:spacing w:line="360" w:lineRule="auto"/>
        <w:jc w:val="both"/>
        <w:rPr>
          <w:rFonts w:ascii="Palatino Linotype" w:eastAsia="Palatino Linotype" w:hAnsi="Palatino Linotype" w:cs="Palatino Linotype"/>
          <w:b/>
          <w:sz w:val="22"/>
          <w:szCs w:val="22"/>
        </w:rPr>
      </w:pPr>
    </w:p>
    <w:p w:rsidR="00600250" w:rsidRDefault="00B16851">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color w:val="000000"/>
          <w:sz w:val="22"/>
          <w:szCs w:val="22"/>
        </w:rPr>
        <w:lastRenderedPageBreak/>
        <w:t>RE</w:t>
      </w:r>
      <w:r>
        <w:rPr>
          <w:rFonts w:ascii="Palatino Linotype" w:eastAsia="Palatino Linotype" w:hAnsi="Palatino Linotype" w:cs="Palatino Linotype"/>
          <w:b/>
          <w:sz w:val="22"/>
          <w:szCs w:val="22"/>
        </w:rPr>
        <w:t>V</w:t>
      </w:r>
      <w:r>
        <w:rPr>
          <w:rFonts w:ascii="Palatino Linotype" w:eastAsia="Palatino Linotype" w:hAnsi="Palatino Linotype" w:cs="Palatino Linotype"/>
          <w:b/>
          <w:color w:val="000000"/>
          <w:sz w:val="22"/>
          <w:szCs w:val="22"/>
        </w:rPr>
        <w:t xml:space="preserve">OCAR </w:t>
      </w:r>
      <w:r>
        <w:rPr>
          <w:rFonts w:ascii="Palatino Linotype" w:eastAsia="Palatino Linotype" w:hAnsi="Palatino Linotype" w:cs="Palatino Linotype"/>
          <w:color w:val="000000"/>
          <w:sz w:val="22"/>
          <w:szCs w:val="22"/>
        </w:rPr>
        <w:t xml:space="preserve">la respuesta otorgada por el Ayuntamiento de Naucalpan de Juárez, a efecto de que, previa búsqueda exhaustiva y razonable en todas las áreas competentes, entregue, a través del Sistema de Acceso a la Información Mexiquense (SAIMEX), en su caso, en versión pública, el Título y Cédula Profesional del Jefe de Departamento de Planeación Desarrollo y Bienestar. </w:t>
      </w:r>
    </w:p>
    <w:p w:rsidR="00600250" w:rsidRDefault="00600250">
      <w:pPr>
        <w:widowControl w:val="0"/>
        <w:spacing w:line="360" w:lineRule="auto"/>
        <w:jc w:val="both"/>
        <w:rPr>
          <w:rFonts w:ascii="Palatino Linotype" w:eastAsia="Palatino Linotype" w:hAnsi="Palatino Linotype" w:cs="Palatino Linotype"/>
          <w:color w:val="000000"/>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de ser necesario, deberá proporcionar el Acuerdo de Clasificación donde el Comité de Transparencia, confirme la eliminación de los datos o información clasificada, en la versión pública; para el caso, de no contar con título y/o cédula profesional por no ser requisito indispensable para desempeñar su cargo, deberá hacerlo del conocimiento, de manera clara y precisa.</w:t>
      </w:r>
    </w:p>
    <w:p w:rsidR="00600250" w:rsidRDefault="00600250">
      <w:pPr>
        <w:tabs>
          <w:tab w:val="left" w:pos="4962"/>
        </w:tabs>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Términos de la Resolución p</w:t>
      </w:r>
      <w:r w:rsidR="00472F92">
        <w:rPr>
          <w:rFonts w:ascii="Palatino Linotype" w:eastAsia="Palatino Linotype" w:hAnsi="Palatino Linotype" w:cs="Palatino Linotype"/>
          <w:b/>
          <w:color w:val="000000"/>
          <w:sz w:val="22"/>
          <w:szCs w:val="22"/>
        </w:rPr>
        <w:t>ara conocimiento del Particular</w:t>
      </w:r>
    </w:p>
    <w:p w:rsidR="00600250" w:rsidRDefault="00600250">
      <w:pPr>
        <w:spacing w:line="360" w:lineRule="auto"/>
        <w:jc w:val="both"/>
        <w:rPr>
          <w:rFonts w:ascii="Palatino Linotype" w:eastAsia="Palatino Linotype" w:hAnsi="Palatino Linotype" w:cs="Palatino Linotype"/>
          <w:b/>
          <w:color w:val="000000"/>
          <w:sz w:val="22"/>
          <w:szCs w:val="22"/>
        </w:rPr>
      </w:pPr>
    </w:p>
    <w:p w:rsidR="00600250" w:rsidRDefault="00B16851">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le hace del conocimiento al Particular, que, en el presente caso, se le concede la razón, pues el Sujetó Obligado, entregó la información que no corresponde con lo solicitado, por lo que, para dar por atendido el requerimiento de información, deberá entregarle el título y cédula profesional del Servidor Público de su interés. </w:t>
      </w:r>
    </w:p>
    <w:p w:rsidR="00600250" w:rsidRDefault="00600250">
      <w:pPr>
        <w:widowControl w:val="0"/>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600250" w:rsidRDefault="00600250">
      <w:pPr>
        <w:spacing w:line="360" w:lineRule="auto"/>
        <w:jc w:val="both"/>
        <w:rPr>
          <w:rFonts w:ascii="Palatino Linotype" w:eastAsia="Palatino Linotype" w:hAnsi="Palatino Linotype" w:cs="Palatino Linotype"/>
          <w:b/>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R E S U E L V E</w:t>
      </w:r>
    </w:p>
    <w:p w:rsidR="00600250" w:rsidRDefault="00600250">
      <w:pPr>
        <w:spacing w:line="360" w:lineRule="auto"/>
        <w:jc w:val="center"/>
        <w:rPr>
          <w:rFonts w:ascii="Palatino Linotype" w:eastAsia="Palatino Linotype" w:hAnsi="Palatino Linotype" w:cs="Palatino Linotype"/>
          <w:b/>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PRIMERO.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REVOCA</w:t>
      </w:r>
      <w:r>
        <w:rPr>
          <w:rFonts w:ascii="Palatino Linotype" w:eastAsia="Palatino Linotype" w:hAnsi="Palatino Linotype" w:cs="Palatino Linotype"/>
          <w:color w:val="000000"/>
          <w:sz w:val="22"/>
          <w:szCs w:val="22"/>
        </w:rPr>
        <w:t xml:space="preserve"> la respuesta entregada por el Ayuntamiento de Naucalpan de Juárez a la solicitud de información 00642/NAUCALPA/IP/2024</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 xml:space="preserve">por resultar </w:t>
      </w:r>
      <w:r>
        <w:rPr>
          <w:rFonts w:ascii="Palatino Linotype" w:eastAsia="Palatino Linotype" w:hAnsi="Palatino Linotype" w:cs="Palatino Linotype"/>
          <w:b/>
          <w:color w:val="000000"/>
          <w:sz w:val="22"/>
          <w:szCs w:val="22"/>
        </w:rPr>
        <w:t>FUNDADAS</w:t>
      </w:r>
      <w:r>
        <w:rPr>
          <w:rFonts w:ascii="Palatino Linotype" w:eastAsia="Palatino Linotype" w:hAnsi="Palatino Linotype" w:cs="Palatino Linotype"/>
          <w:color w:val="000000"/>
          <w:sz w:val="22"/>
          <w:szCs w:val="22"/>
        </w:rPr>
        <w:t xml:space="preserve"> las razones o motivos de inconformidad hechos valer por el Particular, en términos de los considerandos </w:t>
      </w:r>
      <w:r>
        <w:rPr>
          <w:rFonts w:ascii="Palatino Linotype" w:eastAsia="Palatino Linotype" w:hAnsi="Palatino Linotype" w:cs="Palatino Linotype"/>
          <w:b/>
          <w:color w:val="000000"/>
          <w:sz w:val="22"/>
          <w:szCs w:val="22"/>
        </w:rPr>
        <w:t xml:space="preserve">QUINTO </w:t>
      </w:r>
      <w:r>
        <w:rPr>
          <w:rFonts w:ascii="Palatino Linotype" w:eastAsia="Palatino Linotype" w:hAnsi="Palatino Linotype" w:cs="Palatino Linotype"/>
          <w:color w:val="000000"/>
          <w:sz w:val="22"/>
          <w:szCs w:val="22"/>
        </w:rPr>
        <w:t xml:space="preserve">y </w:t>
      </w:r>
      <w:r>
        <w:rPr>
          <w:rFonts w:ascii="Palatino Linotype" w:eastAsia="Palatino Linotype" w:hAnsi="Palatino Linotype" w:cs="Palatino Linotype"/>
          <w:b/>
          <w:color w:val="000000"/>
          <w:sz w:val="22"/>
          <w:szCs w:val="22"/>
        </w:rPr>
        <w:t>SEXTO</w:t>
      </w:r>
      <w:r>
        <w:rPr>
          <w:rFonts w:ascii="Palatino Linotype" w:eastAsia="Palatino Linotype" w:hAnsi="Palatino Linotype" w:cs="Palatino Linotype"/>
          <w:color w:val="000000"/>
          <w:sz w:val="22"/>
          <w:szCs w:val="22"/>
        </w:rPr>
        <w:t xml:space="preserve"> de la presente Resolución.</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SEGUNDO.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 xml:space="preserve">ORDENA </w:t>
      </w:r>
      <w:r>
        <w:rPr>
          <w:rFonts w:ascii="Palatino Linotype" w:eastAsia="Palatino Linotype" w:hAnsi="Palatino Linotype" w:cs="Palatino Linotype"/>
          <w:color w:val="000000"/>
          <w:sz w:val="22"/>
          <w:szCs w:val="22"/>
        </w:rPr>
        <w:t>al Ente Recurrido, a efecto de que, previa búsqueda exhaustiva y razonable en las unidades administrativas competentes, entregue, a través del Sistema de Acceso a la Información Mexiquense (SAIMEX), en su caso, en versión pública, al treinta de agosto de dos mil veinticuatro, lo siguiente:</w:t>
      </w:r>
    </w:p>
    <w:p w:rsidR="00600250" w:rsidRDefault="00600250">
      <w:pPr>
        <w:widowControl w:val="0"/>
        <w:spacing w:line="360" w:lineRule="auto"/>
        <w:jc w:val="both"/>
        <w:rPr>
          <w:rFonts w:ascii="Palatino Linotype" w:eastAsia="Palatino Linotype" w:hAnsi="Palatino Linotype" w:cs="Palatino Linotype"/>
          <w:color w:val="000000"/>
          <w:sz w:val="22"/>
          <w:szCs w:val="22"/>
        </w:rPr>
      </w:pPr>
    </w:p>
    <w:p w:rsidR="00600250" w:rsidRDefault="00B16851">
      <w:pPr>
        <w:widowControl w:val="0"/>
        <w:numPr>
          <w:ilvl w:val="0"/>
          <w:numId w:val="4"/>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Título y Cédula Profesional del Jefe de Departamento de Planeación Desarrollo y Bienestar, referido en la solicitud de información.</w:t>
      </w:r>
    </w:p>
    <w:p w:rsidR="00600250" w:rsidRDefault="00600250">
      <w:pPr>
        <w:widowControl w:val="0"/>
        <w:spacing w:line="360" w:lineRule="auto"/>
        <w:jc w:val="both"/>
        <w:rPr>
          <w:rFonts w:ascii="Palatino Linotype" w:eastAsia="Palatino Linotype" w:hAnsi="Palatino Linotype" w:cs="Palatino Linotype"/>
          <w:color w:val="000000"/>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de ser necesario,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 </w:t>
      </w:r>
    </w:p>
    <w:p w:rsidR="00600250" w:rsidRDefault="00600250">
      <w:pPr>
        <w:tabs>
          <w:tab w:val="left" w:pos="4962"/>
        </w:tabs>
        <w:spacing w:line="360" w:lineRule="auto"/>
        <w:jc w:val="both"/>
        <w:rPr>
          <w:rFonts w:ascii="Palatino Linotype" w:eastAsia="Palatino Linotype" w:hAnsi="Palatino Linotype" w:cs="Palatino Linotype"/>
          <w:sz w:val="22"/>
          <w:szCs w:val="22"/>
        </w:rPr>
      </w:pPr>
    </w:p>
    <w:p w:rsidR="00600250" w:rsidRDefault="00B16851">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el </w:t>
      </w:r>
      <w:proofErr w:type="spellStart"/>
      <w:r>
        <w:rPr>
          <w:rFonts w:ascii="Palatino Linotype" w:eastAsia="Palatino Linotype" w:hAnsi="Palatino Linotype" w:cs="Palatino Linotype"/>
          <w:sz w:val="22"/>
          <w:szCs w:val="22"/>
        </w:rPr>
        <w:t>el</w:t>
      </w:r>
      <w:proofErr w:type="spellEnd"/>
      <w:r>
        <w:rPr>
          <w:rFonts w:ascii="Palatino Linotype" w:eastAsia="Palatino Linotype" w:hAnsi="Palatino Linotype" w:cs="Palatino Linotype"/>
          <w:sz w:val="22"/>
          <w:szCs w:val="22"/>
        </w:rPr>
        <w:t xml:space="preserve"> caso, de que no cuente con la cédula profesional al no ser proporcionada por el servidor público, deberá hacerlo del conocimiento de la parte Recurrente, de manera clara y precisa.</w:t>
      </w:r>
    </w:p>
    <w:p w:rsidR="00600250" w:rsidRDefault="00600250">
      <w:pPr>
        <w:spacing w:line="360" w:lineRule="auto"/>
        <w:jc w:val="both"/>
        <w:rPr>
          <w:rFonts w:ascii="Palatino Linotype" w:eastAsia="Palatino Linotype" w:hAnsi="Palatino Linotype" w:cs="Palatino Linotype"/>
          <w:sz w:val="22"/>
          <w:szCs w:val="22"/>
        </w:rPr>
      </w:pPr>
    </w:p>
    <w:p w:rsidR="00600250" w:rsidRDefault="00B16851">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 xml:space="preserve">TERCERO. NOTIFÍQUESE POR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600250" w:rsidRDefault="00600250">
      <w:pPr>
        <w:spacing w:line="360" w:lineRule="auto"/>
        <w:ind w:right="-28"/>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conformidad con el artículo 198 de la Ley de la materia, de considerarlo procedente, el Sujeto Obligado de manera fundada y motivada, podrá solicitar una ampliación de plazo para el cumplimiento de la presente resolución.</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 POR SAIMEX</w:t>
      </w:r>
      <w:r>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600250" w:rsidRDefault="00600250">
      <w:pPr>
        <w:spacing w:line="360" w:lineRule="auto"/>
        <w:jc w:val="both"/>
        <w:rPr>
          <w:rFonts w:ascii="Palatino Linotype" w:eastAsia="Palatino Linotype" w:hAnsi="Palatino Linotype" w:cs="Palatino Linotype"/>
          <w:color w:val="000000"/>
          <w:sz w:val="22"/>
          <w:szCs w:val="22"/>
        </w:rPr>
      </w:pPr>
    </w:p>
    <w:p w:rsidR="00600250" w:rsidRDefault="00B16851">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w:t>
      </w:r>
      <w:r>
        <w:rPr>
          <w:rFonts w:ascii="Palatino Linotype" w:eastAsia="Palatino Linotype" w:hAnsi="Palatino Linotype" w:cs="Palatino Linotype"/>
          <w:b/>
          <w:sz w:val="22"/>
          <w:szCs w:val="22"/>
        </w:rPr>
        <w:t>POR 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CON VOTO PARTICULAR CONCURRENTE, SHARON CRISTINA MORALES MARTÍNEZ, LUIS GUSTAVO PARRA NORIEGA CON VOTO PARTICULAR CONCURRENTE Y GUADALUPE RAMÍREZ PEÑA, EN LA TRIGÉSIMA OCTAVA </w:t>
      </w:r>
      <w:r>
        <w:rPr>
          <w:rFonts w:ascii="Palatino Linotype" w:eastAsia="Palatino Linotype" w:hAnsi="Palatino Linotype" w:cs="Palatino Linotype"/>
          <w:sz w:val="22"/>
          <w:szCs w:val="22"/>
        </w:rPr>
        <w:lastRenderedPageBreak/>
        <w:t>SESIÓN ORDINARIA, CELEBRADA EL SEIS DE NOVIEMBRE DE DOS MIL VEINTICUATRO, ANTE EL SECRETARIO TÉCNICO DEL PLENO, ALEXIS TAPIA RAMÍREZ.</w:t>
      </w:r>
    </w:p>
    <w:p w:rsidR="00600250" w:rsidRDefault="00600250">
      <w:pPr>
        <w:spacing w:line="360" w:lineRule="auto"/>
        <w:jc w:val="both"/>
        <w:rPr>
          <w:rFonts w:ascii="Palatino Linotype" w:eastAsia="Palatino Linotype" w:hAnsi="Palatino Linotype" w:cs="Palatino Linotype"/>
          <w:sz w:val="22"/>
          <w:szCs w:val="22"/>
        </w:rPr>
      </w:pPr>
    </w:p>
    <w:p w:rsidR="00600250" w:rsidRDefault="00600250">
      <w:pPr>
        <w:spacing w:line="360" w:lineRule="auto"/>
        <w:jc w:val="both"/>
        <w:rPr>
          <w:rFonts w:ascii="Palatino Linotype" w:eastAsia="Palatino Linotype" w:hAnsi="Palatino Linotype" w:cs="Palatino Linotype"/>
          <w:sz w:val="22"/>
          <w:szCs w:val="22"/>
        </w:rPr>
      </w:pPr>
    </w:p>
    <w:p w:rsidR="00600250" w:rsidRDefault="00600250">
      <w:pPr>
        <w:spacing w:line="360" w:lineRule="auto"/>
        <w:jc w:val="both"/>
        <w:rPr>
          <w:rFonts w:ascii="Palatino Linotype" w:eastAsia="Palatino Linotype" w:hAnsi="Palatino Linotype" w:cs="Palatino Linotype"/>
          <w:sz w:val="22"/>
          <w:szCs w:val="22"/>
        </w:rPr>
      </w:pPr>
    </w:p>
    <w:p w:rsidR="00600250" w:rsidRDefault="00600250">
      <w:pPr>
        <w:spacing w:line="360" w:lineRule="auto"/>
        <w:jc w:val="both"/>
        <w:rPr>
          <w:rFonts w:ascii="Palatino Linotype" w:eastAsia="Palatino Linotype" w:hAnsi="Palatino Linotype" w:cs="Palatino Linotype"/>
          <w:sz w:val="22"/>
          <w:szCs w:val="22"/>
        </w:rPr>
      </w:pPr>
    </w:p>
    <w:p w:rsidR="00600250" w:rsidRDefault="00600250">
      <w:pPr>
        <w:spacing w:line="360" w:lineRule="auto"/>
        <w:jc w:val="both"/>
        <w:rPr>
          <w:rFonts w:ascii="Palatino Linotype" w:eastAsia="Palatino Linotype" w:hAnsi="Palatino Linotype" w:cs="Palatino Linotype"/>
          <w:sz w:val="22"/>
          <w:szCs w:val="22"/>
        </w:rPr>
      </w:pPr>
    </w:p>
    <w:p w:rsidR="00600250" w:rsidRDefault="0060025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p>
    <w:p w:rsidR="00320FD0" w:rsidRDefault="00320FD0">
      <w:pPr>
        <w:spacing w:line="360" w:lineRule="auto"/>
        <w:jc w:val="both"/>
        <w:rPr>
          <w:rFonts w:ascii="Palatino Linotype" w:eastAsia="Palatino Linotype" w:hAnsi="Palatino Linotype" w:cs="Palatino Linotype"/>
          <w:sz w:val="22"/>
          <w:szCs w:val="22"/>
        </w:rPr>
      </w:pPr>
      <w:bookmarkStart w:id="2" w:name="_GoBack"/>
      <w:bookmarkEnd w:id="2"/>
    </w:p>
    <w:sectPr w:rsidR="00320FD0">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2BA" w:rsidRDefault="00A732BA">
      <w:r>
        <w:separator/>
      </w:r>
    </w:p>
  </w:endnote>
  <w:endnote w:type="continuationSeparator" w:id="0">
    <w:p w:rsidR="00A732BA" w:rsidRDefault="00A7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50" w:rsidRDefault="00B16851">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1E77FC">
      <w:rPr>
        <w:rFonts w:ascii="Palatino Linotype" w:eastAsia="Palatino Linotype" w:hAnsi="Palatino Linotype" w:cs="Palatino Linotype"/>
        <w:b/>
        <w:noProof/>
        <w:color w:val="000000"/>
        <w:sz w:val="22"/>
        <w:szCs w:val="22"/>
      </w:rPr>
      <w:t>28</w:t>
    </w:r>
    <w:r>
      <w:rPr>
        <w:rFonts w:ascii="Palatino Linotype" w:eastAsia="Palatino Linotype" w:hAnsi="Palatino Linotype" w:cs="Palatino Linotype"/>
        <w:b/>
        <w:color w:val="000000"/>
        <w:sz w:val="22"/>
        <w:szCs w:val="22"/>
      </w:rPr>
      <w:fldChar w:fldCharType="end"/>
    </w:r>
  </w:p>
  <w:p w:rsidR="00600250" w:rsidRDefault="0060025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50" w:rsidRDefault="00B16851">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443C72">
      <w:rPr>
        <w:rFonts w:ascii="Palatino Linotype" w:eastAsia="Palatino Linotype" w:hAnsi="Palatino Linotype" w:cs="Palatino Linotype"/>
        <w:b/>
        <w:noProof/>
        <w:color w:val="000000"/>
        <w:sz w:val="22"/>
        <w:szCs w:val="22"/>
      </w:rPr>
      <w:t>27</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443C72">
      <w:rPr>
        <w:rFonts w:ascii="Palatino Linotype" w:eastAsia="Palatino Linotype" w:hAnsi="Palatino Linotype" w:cs="Palatino Linotype"/>
        <w:b/>
        <w:noProof/>
        <w:color w:val="000000"/>
        <w:sz w:val="22"/>
        <w:szCs w:val="22"/>
      </w:rPr>
      <w:t>27</w:t>
    </w:r>
    <w:r>
      <w:rPr>
        <w:rFonts w:ascii="Palatino Linotype" w:eastAsia="Palatino Linotype" w:hAnsi="Palatino Linotype" w:cs="Palatino Linotype"/>
        <w:b/>
        <w:color w:val="000000"/>
        <w:sz w:val="22"/>
        <w:szCs w:val="22"/>
      </w:rPr>
      <w:fldChar w:fldCharType="end"/>
    </w:r>
  </w:p>
  <w:p w:rsidR="00600250" w:rsidRDefault="0060025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50" w:rsidRDefault="00B1685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443C72">
      <w:rPr>
        <w:rFonts w:ascii="Palatino Linotype" w:eastAsia="Palatino Linotype" w:hAnsi="Palatino Linotype" w:cs="Palatino Linotype"/>
        <w:b/>
        <w:noProof/>
        <w:color w:val="000000"/>
        <w:sz w:val="22"/>
        <w:szCs w:val="22"/>
      </w:rPr>
      <w:t>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443C72">
      <w:rPr>
        <w:rFonts w:ascii="Palatino Linotype" w:eastAsia="Palatino Linotype" w:hAnsi="Palatino Linotype" w:cs="Palatino Linotype"/>
        <w:b/>
        <w:noProof/>
        <w:color w:val="000000"/>
        <w:sz w:val="22"/>
        <w:szCs w:val="22"/>
      </w:rPr>
      <w:t>28</w:t>
    </w:r>
    <w:r>
      <w:rPr>
        <w:rFonts w:ascii="Palatino Linotype" w:eastAsia="Palatino Linotype" w:hAnsi="Palatino Linotype" w:cs="Palatino Linotype"/>
        <w:b/>
        <w:color w:val="000000"/>
        <w:sz w:val="22"/>
        <w:szCs w:val="22"/>
      </w:rPr>
      <w:fldChar w:fldCharType="end"/>
    </w:r>
  </w:p>
  <w:p w:rsidR="00600250" w:rsidRDefault="0060025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2BA" w:rsidRDefault="00A732BA">
      <w:r>
        <w:separator/>
      </w:r>
    </w:p>
  </w:footnote>
  <w:footnote w:type="continuationSeparator" w:id="0">
    <w:p w:rsidR="00A732BA" w:rsidRDefault="00A73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50" w:rsidRDefault="00600250">
    <w:pPr>
      <w:widowControl w:val="0"/>
      <w:pBdr>
        <w:top w:val="nil"/>
        <w:left w:val="nil"/>
        <w:bottom w:val="nil"/>
        <w:right w:val="nil"/>
        <w:between w:val="nil"/>
      </w:pBdr>
      <w:spacing w:line="276" w:lineRule="auto"/>
      <w:rPr>
        <w:rFonts w:ascii="Palatino Linotype" w:eastAsia="Palatino Linotype" w:hAnsi="Palatino Linotype" w:cs="Palatino Linotype"/>
        <w:sz w:val="22"/>
        <w:szCs w:val="22"/>
      </w:rPr>
    </w:pPr>
  </w:p>
  <w:tbl>
    <w:tblPr>
      <w:tblStyle w:val="a"/>
      <w:tblW w:w="9705" w:type="dxa"/>
      <w:tblInd w:w="0" w:type="dxa"/>
      <w:tblLayout w:type="fixed"/>
      <w:tblLook w:val="0400" w:firstRow="0" w:lastRow="0" w:firstColumn="0" w:lastColumn="0" w:noHBand="0" w:noVBand="1"/>
    </w:tblPr>
    <w:tblGrid>
      <w:gridCol w:w="2972"/>
      <w:gridCol w:w="6733"/>
    </w:tblGrid>
    <w:tr w:rsidR="00600250">
      <w:trPr>
        <w:trHeight w:val="1435"/>
      </w:trPr>
      <w:tc>
        <w:tcPr>
          <w:tcW w:w="0" w:type="auto"/>
        </w:tcPr>
        <w:p w:rsidR="00600250" w:rsidRDefault="00600250">
          <w:pPr>
            <w:tabs>
              <w:tab w:val="right" w:pos="4273"/>
            </w:tabs>
            <w:spacing w:line="256" w:lineRule="auto"/>
            <w:rPr>
              <w:rFonts w:ascii="Garamond" w:eastAsia="Garamond" w:hAnsi="Garamond" w:cs="Garamond"/>
              <w:sz w:val="22"/>
              <w:szCs w:val="22"/>
            </w:rPr>
          </w:pPr>
        </w:p>
      </w:tc>
      <w:tc>
        <w:tcPr>
          <w:tcW w:w="0" w:type="auto"/>
        </w:tcPr>
        <w:p w:rsidR="00600250" w:rsidRDefault="00600250">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0"/>
            <w:tblW w:w="5535" w:type="dxa"/>
            <w:tblInd w:w="322" w:type="dxa"/>
            <w:tblBorders>
              <w:top w:val="nil"/>
              <w:left w:val="nil"/>
              <w:bottom w:val="nil"/>
              <w:right w:val="nil"/>
              <w:insideH w:val="nil"/>
              <w:insideV w:val="nil"/>
            </w:tblBorders>
            <w:tblLayout w:type="fixed"/>
            <w:tblLook w:val="0400" w:firstRow="0" w:lastRow="0" w:firstColumn="0" w:lastColumn="0" w:noHBand="0" w:noVBand="1"/>
          </w:tblPr>
          <w:tblGrid>
            <w:gridCol w:w="2447"/>
            <w:gridCol w:w="3088"/>
          </w:tblGrid>
          <w:tr w:rsidR="00600250">
            <w:trPr>
              <w:trHeight w:val="144"/>
            </w:trPr>
            <w:tc>
              <w:tcPr>
                <w:tcW w:w="0" w:type="auto"/>
              </w:tcPr>
              <w:p w:rsidR="00600250" w:rsidRDefault="00B16851">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0" w:type="auto"/>
              </w:tcPr>
              <w:p w:rsidR="00600250" w:rsidRDefault="00B1685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02946/INFOEM/IP/RR/2021</w:t>
                </w:r>
              </w:p>
            </w:tc>
          </w:tr>
          <w:tr w:rsidR="00600250">
            <w:trPr>
              <w:trHeight w:val="283"/>
            </w:trPr>
            <w:tc>
              <w:tcPr>
                <w:tcW w:w="0" w:type="auto"/>
              </w:tcPr>
              <w:p w:rsidR="00600250" w:rsidRDefault="00B1685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0" w:type="auto"/>
              </w:tcPr>
              <w:p w:rsidR="00600250" w:rsidRDefault="00B16851">
                <w:pPr>
                  <w:tabs>
                    <w:tab w:val="left" w:pos="2834"/>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San Antonio la Isla</w:t>
                </w:r>
              </w:p>
            </w:tc>
          </w:tr>
          <w:tr w:rsidR="00600250">
            <w:trPr>
              <w:trHeight w:val="283"/>
            </w:trPr>
            <w:tc>
              <w:tcPr>
                <w:tcW w:w="0" w:type="auto"/>
              </w:tcPr>
              <w:p w:rsidR="00600250" w:rsidRDefault="00B1685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0" w:type="auto"/>
              </w:tcPr>
              <w:p w:rsidR="00600250" w:rsidRDefault="00B1685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600250" w:rsidRDefault="00600250">
                <w:pPr>
                  <w:tabs>
                    <w:tab w:val="right" w:pos="8838"/>
                  </w:tabs>
                  <w:ind w:left="-74" w:right="-105"/>
                  <w:jc w:val="both"/>
                  <w:rPr>
                    <w:rFonts w:ascii="Palatino Linotype" w:eastAsia="Palatino Linotype" w:hAnsi="Palatino Linotype" w:cs="Palatino Linotype"/>
                    <w:b/>
                    <w:sz w:val="22"/>
                    <w:szCs w:val="22"/>
                  </w:rPr>
                </w:pPr>
              </w:p>
            </w:tc>
          </w:tr>
        </w:tbl>
        <w:p w:rsidR="00600250" w:rsidRDefault="00600250">
          <w:pPr>
            <w:tabs>
              <w:tab w:val="right" w:pos="8838"/>
            </w:tabs>
            <w:spacing w:line="256" w:lineRule="auto"/>
            <w:ind w:left="-28"/>
            <w:jc w:val="both"/>
            <w:rPr>
              <w:rFonts w:ascii="Arial" w:eastAsia="Arial" w:hAnsi="Arial" w:cs="Arial"/>
              <w:b/>
              <w:sz w:val="22"/>
              <w:szCs w:val="22"/>
            </w:rPr>
          </w:pPr>
        </w:p>
      </w:tc>
    </w:tr>
  </w:tbl>
  <w:p w:rsidR="00600250" w:rsidRDefault="00B16851">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7728" behindDoc="1" locked="0" layoutInCell="1" hidden="0" allowOverlap="1">
          <wp:simplePos x="0" y="0"/>
          <wp:positionH relativeFrom="margin">
            <wp:posOffset>-1381124</wp:posOffset>
          </wp:positionH>
          <wp:positionV relativeFrom="margin">
            <wp:posOffset>-1611629</wp:posOffset>
          </wp:positionV>
          <wp:extent cx="5612130" cy="7308215"/>
          <wp:effectExtent l="0" t="0" r="0" b="0"/>
          <wp:wrapNone/>
          <wp:docPr id="158585344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5612130" cy="73082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50" w:rsidRDefault="00600250">
    <w:pPr>
      <w:widowControl w:val="0"/>
      <w:pBdr>
        <w:top w:val="nil"/>
        <w:left w:val="nil"/>
        <w:bottom w:val="nil"/>
        <w:right w:val="nil"/>
        <w:between w:val="nil"/>
      </w:pBdr>
      <w:spacing w:line="276" w:lineRule="auto"/>
      <w:rPr>
        <w:color w:val="000000"/>
      </w:rPr>
    </w:pPr>
  </w:p>
  <w:tbl>
    <w:tblPr>
      <w:tblStyle w:val="a1"/>
      <w:tblW w:w="9705" w:type="dxa"/>
      <w:tblInd w:w="0" w:type="dxa"/>
      <w:tblLayout w:type="fixed"/>
      <w:tblLook w:val="0400" w:firstRow="0" w:lastRow="0" w:firstColumn="0" w:lastColumn="0" w:noHBand="0" w:noVBand="1"/>
    </w:tblPr>
    <w:tblGrid>
      <w:gridCol w:w="2972"/>
      <w:gridCol w:w="6733"/>
    </w:tblGrid>
    <w:tr w:rsidR="00600250">
      <w:trPr>
        <w:trHeight w:val="1435"/>
      </w:trPr>
      <w:tc>
        <w:tcPr>
          <w:tcW w:w="2972" w:type="dxa"/>
        </w:tcPr>
        <w:p w:rsidR="00600250" w:rsidRDefault="00600250">
          <w:pPr>
            <w:tabs>
              <w:tab w:val="right" w:pos="4273"/>
            </w:tabs>
            <w:spacing w:line="256" w:lineRule="auto"/>
            <w:rPr>
              <w:rFonts w:ascii="Garamond" w:eastAsia="Garamond" w:hAnsi="Garamond" w:cs="Garamond"/>
              <w:sz w:val="22"/>
              <w:szCs w:val="22"/>
            </w:rPr>
          </w:pPr>
        </w:p>
      </w:tc>
      <w:tc>
        <w:tcPr>
          <w:tcW w:w="6733" w:type="dxa"/>
        </w:tcPr>
        <w:p w:rsidR="00600250" w:rsidRDefault="00600250">
          <w:pPr>
            <w:rPr>
              <w:sz w:val="28"/>
              <w:szCs w:val="28"/>
            </w:rPr>
          </w:pPr>
        </w:p>
        <w:tbl>
          <w:tblPr>
            <w:tblStyle w:val="a2"/>
            <w:tblW w:w="5670" w:type="dxa"/>
            <w:tblInd w:w="37" w:type="dxa"/>
            <w:tblBorders>
              <w:top w:val="nil"/>
              <w:left w:val="nil"/>
              <w:bottom w:val="nil"/>
              <w:right w:val="nil"/>
              <w:insideH w:val="nil"/>
              <w:insideV w:val="nil"/>
            </w:tblBorders>
            <w:tblLayout w:type="fixed"/>
            <w:tblLook w:val="0400" w:firstRow="0" w:lastRow="0" w:firstColumn="0" w:lastColumn="0" w:noHBand="0" w:noVBand="1"/>
          </w:tblPr>
          <w:tblGrid>
            <w:gridCol w:w="2419"/>
            <w:gridCol w:w="3251"/>
          </w:tblGrid>
          <w:tr w:rsidR="00600250">
            <w:trPr>
              <w:trHeight w:val="168"/>
            </w:trPr>
            <w:tc>
              <w:tcPr>
                <w:tcW w:w="2419" w:type="dxa"/>
              </w:tcPr>
              <w:p w:rsidR="00600250" w:rsidRDefault="00B16851">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51" w:type="dxa"/>
              </w:tcPr>
              <w:p w:rsidR="00600250" w:rsidRDefault="00B1685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05901/INFOEM/IP/RR/2024</w:t>
                </w:r>
              </w:p>
            </w:tc>
          </w:tr>
          <w:tr w:rsidR="00600250">
            <w:trPr>
              <w:trHeight w:val="331"/>
            </w:trPr>
            <w:tc>
              <w:tcPr>
                <w:tcW w:w="2419" w:type="dxa"/>
              </w:tcPr>
              <w:p w:rsidR="00600250" w:rsidRDefault="00B1685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51" w:type="dxa"/>
              </w:tcPr>
              <w:p w:rsidR="00600250" w:rsidRDefault="00B16851">
                <w:pPr>
                  <w:tabs>
                    <w:tab w:val="left" w:pos="2834"/>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Naucalpan de Juárez</w:t>
                </w:r>
              </w:p>
            </w:tc>
          </w:tr>
          <w:tr w:rsidR="00600250">
            <w:trPr>
              <w:trHeight w:val="331"/>
            </w:trPr>
            <w:tc>
              <w:tcPr>
                <w:tcW w:w="2419" w:type="dxa"/>
              </w:tcPr>
              <w:p w:rsidR="00600250" w:rsidRDefault="00B1685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251" w:type="dxa"/>
              </w:tcPr>
              <w:p w:rsidR="00600250" w:rsidRDefault="00B1685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600250" w:rsidRDefault="00600250">
          <w:pPr>
            <w:tabs>
              <w:tab w:val="right" w:pos="8838"/>
            </w:tabs>
            <w:spacing w:line="256" w:lineRule="auto"/>
            <w:ind w:left="-28"/>
            <w:jc w:val="both"/>
            <w:rPr>
              <w:rFonts w:ascii="Arial" w:eastAsia="Arial" w:hAnsi="Arial" w:cs="Arial"/>
              <w:b/>
              <w:sz w:val="22"/>
              <w:szCs w:val="22"/>
            </w:rPr>
          </w:pPr>
        </w:p>
      </w:tc>
    </w:tr>
  </w:tbl>
  <w:p w:rsidR="00600250" w:rsidRDefault="00B16851">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6704" behindDoc="1" locked="0" layoutInCell="1" hidden="0" allowOverlap="1">
          <wp:simplePos x="0" y="0"/>
          <wp:positionH relativeFrom="page">
            <wp:align>right</wp:align>
          </wp:positionH>
          <wp:positionV relativeFrom="margin">
            <wp:posOffset>-1503044</wp:posOffset>
          </wp:positionV>
          <wp:extent cx="7835900" cy="10203815"/>
          <wp:effectExtent l="0" t="0" r="0" b="0"/>
          <wp:wrapNone/>
          <wp:docPr id="158585344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835900" cy="1020381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250" w:rsidRDefault="00600250">
    <w:pPr>
      <w:widowControl w:val="0"/>
      <w:pBdr>
        <w:top w:val="nil"/>
        <w:left w:val="nil"/>
        <w:bottom w:val="nil"/>
        <w:right w:val="nil"/>
        <w:between w:val="nil"/>
      </w:pBdr>
      <w:spacing w:line="276" w:lineRule="auto"/>
      <w:rPr>
        <w:color w:val="000000"/>
      </w:rPr>
    </w:pPr>
  </w:p>
  <w:tbl>
    <w:tblPr>
      <w:tblStyle w:val="a3"/>
      <w:tblW w:w="9639" w:type="dxa"/>
      <w:tblInd w:w="0" w:type="dxa"/>
      <w:tblLayout w:type="fixed"/>
      <w:tblLook w:val="0400" w:firstRow="0" w:lastRow="0" w:firstColumn="0" w:lastColumn="0" w:noHBand="0" w:noVBand="1"/>
    </w:tblPr>
    <w:tblGrid>
      <w:gridCol w:w="2552"/>
      <w:gridCol w:w="7087"/>
    </w:tblGrid>
    <w:tr w:rsidR="00600250">
      <w:trPr>
        <w:trHeight w:val="1435"/>
      </w:trPr>
      <w:tc>
        <w:tcPr>
          <w:tcW w:w="2552" w:type="dxa"/>
        </w:tcPr>
        <w:p w:rsidR="00600250" w:rsidRDefault="00600250">
          <w:pPr>
            <w:tabs>
              <w:tab w:val="right" w:pos="4273"/>
            </w:tabs>
            <w:spacing w:line="256" w:lineRule="auto"/>
            <w:rPr>
              <w:rFonts w:ascii="Garamond" w:eastAsia="Garamond" w:hAnsi="Garamond" w:cs="Garamond"/>
              <w:sz w:val="22"/>
              <w:szCs w:val="22"/>
            </w:rPr>
          </w:pPr>
        </w:p>
      </w:tc>
      <w:tc>
        <w:tcPr>
          <w:tcW w:w="7087" w:type="dxa"/>
        </w:tcPr>
        <w:p w:rsidR="00600250" w:rsidRDefault="00600250"/>
        <w:tbl>
          <w:tblPr>
            <w:tblStyle w:val="a4"/>
            <w:tblW w:w="6095" w:type="dxa"/>
            <w:tblInd w:w="606" w:type="dxa"/>
            <w:tblBorders>
              <w:top w:val="nil"/>
              <w:left w:val="nil"/>
              <w:bottom w:val="nil"/>
              <w:right w:val="nil"/>
              <w:insideH w:val="nil"/>
              <w:insideV w:val="nil"/>
            </w:tblBorders>
            <w:tblLayout w:type="fixed"/>
            <w:tblLook w:val="0400" w:firstRow="0" w:lastRow="0" w:firstColumn="0" w:lastColumn="0" w:noHBand="0" w:noVBand="1"/>
          </w:tblPr>
          <w:tblGrid>
            <w:gridCol w:w="2447"/>
            <w:gridCol w:w="3648"/>
          </w:tblGrid>
          <w:tr w:rsidR="00600250">
            <w:trPr>
              <w:trHeight w:val="144"/>
            </w:trPr>
            <w:tc>
              <w:tcPr>
                <w:tcW w:w="2447" w:type="dxa"/>
              </w:tcPr>
              <w:p w:rsidR="00600250" w:rsidRDefault="00B16851">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49" w:type="dxa"/>
              </w:tcPr>
              <w:p w:rsidR="00600250" w:rsidRDefault="00B1685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05901/INFOEM/IP/RR/2024</w:t>
                </w:r>
              </w:p>
            </w:tc>
          </w:tr>
          <w:tr w:rsidR="00600250">
            <w:trPr>
              <w:trHeight w:val="144"/>
            </w:trPr>
            <w:tc>
              <w:tcPr>
                <w:tcW w:w="2447" w:type="dxa"/>
              </w:tcPr>
              <w:p w:rsidR="00600250" w:rsidRDefault="00B1685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49" w:type="dxa"/>
              </w:tcPr>
              <w:p w:rsidR="00600250" w:rsidRDefault="008146BB">
                <w:pPr>
                  <w:tabs>
                    <w:tab w:val="left" w:pos="3122"/>
                    <w:tab w:val="right" w:pos="8838"/>
                  </w:tabs>
                  <w:ind w:left="-74" w:right="-105"/>
                  <w:jc w:val="both"/>
                  <w:rPr>
                    <w:rFonts w:ascii="Palatino Linotype" w:eastAsia="Palatino Linotype" w:hAnsi="Palatino Linotype" w:cs="Palatino Linotype"/>
                    <w:sz w:val="22"/>
                    <w:szCs w:val="22"/>
                  </w:rPr>
                </w:pPr>
                <w:r w:rsidRPr="008146BB">
                  <w:rPr>
                    <w:rFonts w:ascii="Palatino Linotype" w:eastAsia="Palatino Linotype" w:hAnsi="Palatino Linotype" w:cs="Palatino Linotype"/>
                    <w:sz w:val="22"/>
                    <w:szCs w:val="22"/>
                    <w:highlight w:val="black"/>
                  </w:rPr>
                  <w:t>XXXXXXXXXXXXXXXXXXXXXXXX</w:t>
                </w:r>
              </w:p>
            </w:tc>
          </w:tr>
          <w:tr w:rsidR="00600250">
            <w:trPr>
              <w:trHeight w:val="283"/>
            </w:trPr>
            <w:tc>
              <w:tcPr>
                <w:tcW w:w="2447" w:type="dxa"/>
              </w:tcPr>
              <w:p w:rsidR="00600250" w:rsidRDefault="00B1685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49" w:type="dxa"/>
              </w:tcPr>
              <w:p w:rsidR="00600250" w:rsidRDefault="00B16851">
                <w:pPr>
                  <w:tabs>
                    <w:tab w:val="left" w:pos="3111"/>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Naucalpan de Juárez</w:t>
                </w:r>
              </w:p>
            </w:tc>
          </w:tr>
          <w:tr w:rsidR="00600250">
            <w:trPr>
              <w:trHeight w:val="283"/>
            </w:trPr>
            <w:tc>
              <w:tcPr>
                <w:tcW w:w="2447" w:type="dxa"/>
              </w:tcPr>
              <w:p w:rsidR="00600250" w:rsidRDefault="00B1685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49" w:type="dxa"/>
              </w:tcPr>
              <w:p w:rsidR="00600250" w:rsidRDefault="00B1685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600250" w:rsidRDefault="00600250">
                <w:pPr>
                  <w:tabs>
                    <w:tab w:val="right" w:pos="8838"/>
                  </w:tabs>
                  <w:ind w:left="-74" w:right="-105"/>
                  <w:jc w:val="both"/>
                  <w:rPr>
                    <w:rFonts w:ascii="Palatino Linotype" w:eastAsia="Palatino Linotype" w:hAnsi="Palatino Linotype" w:cs="Palatino Linotype"/>
                    <w:b/>
                    <w:sz w:val="22"/>
                    <w:szCs w:val="22"/>
                  </w:rPr>
                </w:pPr>
              </w:p>
            </w:tc>
          </w:tr>
        </w:tbl>
        <w:p w:rsidR="00600250" w:rsidRDefault="00600250">
          <w:pPr>
            <w:tabs>
              <w:tab w:val="right" w:pos="8838"/>
            </w:tabs>
            <w:spacing w:line="256" w:lineRule="auto"/>
            <w:ind w:left="-28"/>
            <w:jc w:val="both"/>
            <w:rPr>
              <w:rFonts w:ascii="Arial" w:eastAsia="Arial" w:hAnsi="Arial" w:cs="Arial"/>
              <w:b/>
              <w:sz w:val="22"/>
              <w:szCs w:val="22"/>
            </w:rPr>
          </w:pPr>
        </w:p>
      </w:tc>
    </w:tr>
  </w:tbl>
  <w:p w:rsidR="00600250" w:rsidRDefault="00A732BA">
    <w:pPr>
      <w:pBdr>
        <w:top w:val="nil"/>
        <w:left w:val="nil"/>
        <w:bottom w:val="nil"/>
        <w:right w:val="nil"/>
        <w:between w:val="nil"/>
      </w:pBdr>
      <w:tabs>
        <w:tab w:val="center" w:pos="4419"/>
        <w:tab w:val="right" w:pos="8838"/>
      </w:tabs>
      <w:rPr>
        <w:color w:val="000000"/>
      </w:rPr>
    </w:pPr>
    <w:r>
      <w:rPr>
        <w:rFonts w:ascii="Garamond" w:eastAsia="Garamond" w:hAnsi="Garamond" w:cs="Garamond"/>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06.5pt;margin-top:-136.35pt;width:663.5pt;height:12in;z-index:-251657728;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1569"/>
    <w:multiLevelType w:val="multilevel"/>
    <w:tmpl w:val="3208B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1E2F8D"/>
    <w:multiLevelType w:val="multilevel"/>
    <w:tmpl w:val="DCDEC7A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BE083E"/>
    <w:multiLevelType w:val="multilevel"/>
    <w:tmpl w:val="AE90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BD4B10"/>
    <w:multiLevelType w:val="multilevel"/>
    <w:tmpl w:val="DD3A8E1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50"/>
    <w:rsid w:val="001E77FC"/>
    <w:rsid w:val="00320FD0"/>
    <w:rsid w:val="00443C72"/>
    <w:rsid w:val="00472F92"/>
    <w:rsid w:val="0055240B"/>
    <w:rsid w:val="00600250"/>
    <w:rsid w:val="008146BB"/>
    <w:rsid w:val="00A732BA"/>
    <w:rsid w:val="00B16851"/>
    <w:rsid w:val="00B448C6"/>
    <w:rsid w:val="00B9505A"/>
    <w:rsid w:val="00E22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2D7D9B7-4672-4430-95C0-C265E52F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92"/>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aliases w:val="Hipervínculo1,Hipervínculo11,Hipervínculo12,Hipervínculo13,Hipervínculo14,Hipervínculo15"/>
    <w:basedOn w:val="Fuentedeprrafopredeter"/>
    <w:uiPriority w:val="99"/>
    <w:unhideWhenUsed/>
    <w:qFormat/>
    <w:rsid w:val="00836192"/>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836192"/>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6192"/>
    <w:pPr>
      <w:ind w:left="720"/>
      <w:contextualSpacing/>
    </w:pPr>
    <w:rPr>
      <w:rFonts w:ascii="Century Gothic" w:hAnsi="Century Gothic"/>
      <w:sz w:val="22"/>
      <w:szCs w:val="24"/>
    </w:rPr>
  </w:style>
  <w:style w:type="table" w:styleId="Tablaconcuadrcula">
    <w:name w:val="Table Grid"/>
    <w:basedOn w:val="Tablanormal"/>
    <w:uiPriority w:val="39"/>
    <w:rsid w:val="00836192"/>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36192"/>
    <w:pPr>
      <w:tabs>
        <w:tab w:val="center" w:pos="4419"/>
        <w:tab w:val="right" w:pos="8838"/>
      </w:tabs>
    </w:pPr>
  </w:style>
  <w:style w:type="character" w:customStyle="1" w:styleId="EncabezadoCar">
    <w:name w:val="Encabezado Car"/>
    <w:basedOn w:val="Fuentedeprrafopredeter"/>
    <w:link w:val="Encabezado"/>
    <w:uiPriority w:val="99"/>
    <w:rsid w:val="0083619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836192"/>
    <w:pPr>
      <w:tabs>
        <w:tab w:val="center" w:pos="4419"/>
        <w:tab w:val="right" w:pos="8838"/>
      </w:tabs>
    </w:pPr>
  </w:style>
  <w:style w:type="character" w:customStyle="1" w:styleId="PiedepginaCar">
    <w:name w:val="Pie de página Car"/>
    <w:basedOn w:val="Fuentedeprrafopredeter"/>
    <w:link w:val="Piedepgina"/>
    <w:uiPriority w:val="99"/>
    <w:rsid w:val="00836192"/>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836192"/>
    <w:pPr>
      <w:spacing w:after="160" w:line="259" w:lineRule="auto"/>
      <w:jc w:val="both"/>
    </w:pPr>
    <w:rPr>
      <w:rFonts w:eastAsiaTheme="minorHAnsi"/>
      <w:color w:val="000000" w:themeColor="text1"/>
      <w:sz w:val="24"/>
      <w:szCs w:val="24"/>
      <w:lang w:eastAsia="en-US"/>
    </w:rPr>
  </w:style>
  <w:style w:type="character" w:styleId="Hipervnculovisitado">
    <w:name w:val="FollowedHyperlink"/>
    <w:basedOn w:val="Fuentedeprrafopredeter"/>
    <w:uiPriority w:val="99"/>
    <w:semiHidden/>
    <w:unhideWhenUsed/>
    <w:rsid w:val="00504814"/>
    <w:rPr>
      <w:color w:val="954F72" w:themeColor="followedHyperlink"/>
      <w:u w:val="single"/>
    </w:rPr>
  </w:style>
  <w:style w:type="character" w:customStyle="1" w:styleId="Mencinsinresolver1">
    <w:name w:val="Mención sin resolver1"/>
    <w:basedOn w:val="Fuentedeprrafopredeter"/>
    <w:uiPriority w:val="99"/>
    <w:semiHidden/>
    <w:unhideWhenUsed/>
    <w:rsid w:val="00410D13"/>
    <w:rPr>
      <w:color w:val="605E5C"/>
      <w:shd w:val="clear" w:color="auto" w:fill="E1DFDD"/>
    </w:rPr>
  </w:style>
  <w:style w:type="character" w:customStyle="1" w:styleId="Mencinsinresolver2">
    <w:name w:val="Mención sin resolver2"/>
    <w:basedOn w:val="Fuentedeprrafopredeter"/>
    <w:uiPriority w:val="99"/>
    <w:semiHidden/>
    <w:unhideWhenUsed/>
    <w:rsid w:val="00F12928"/>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onsultatucedula.mx/"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KZ0ZI6coOEOCZJf6yuxl3cmS1Q==">CgMxLjAyCGguZ2pkZ3hzMgloLjMwajB6bGw4AHIhMUIwZUxfQkNBYk9FSWxaTXVtRmpkdnVPa2NBM0FMR1dt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6324</Words>
  <Characters>34784</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INFOEM415</cp:lastModifiedBy>
  <cp:revision>5</cp:revision>
  <cp:lastPrinted>2024-10-25T17:33:00Z</cp:lastPrinted>
  <dcterms:created xsi:type="dcterms:W3CDTF">2024-10-25T17:33:00Z</dcterms:created>
  <dcterms:modified xsi:type="dcterms:W3CDTF">2025-02-07T19:44:00Z</dcterms:modified>
</cp:coreProperties>
</file>