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228D1264" w:rsidR="00E93FC1" w:rsidRPr="004F6572" w:rsidRDefault="00E93FC1" w:rsidP="00730D0C">
      <w:pPr>
        <w:tabs>
          <w:tab w:val="left" w:pos="0"/>
        </w:tabs>
        <w:spacing w:before="240" w:after="240" w:line="360" w:lineRule="auto"/>
        <w:jc w:val="both"/>
        <w:rPr>
          <w:rFonts w:ascii="Palatino Linotype" w:hAnsi="Palatino Linotype"/>
        </w:rPr>
      </w:pPr>
      <w:r w:rsidRPr="004F657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4F6572">
        <w:rPr>
          <w:rFonts w:ascii="Palatino Linotype" w:hAnsi="Palatino Linotype"/>
        </w:rPr>
        <w:t xml:space="preserve">de fecha </w:t>
      </w:r>
      <w:r w:rsidR="007C21CA" w:rsidRPr="004F6572">
        <w:rPr>
          <w:rFonts w:ascii="Palatino Linotype" w:hAnsi="Palatino Linotype"/>
        </w:rPr>
        <w:t>veintiuno</w:t>
      </w:r>
      <w:r w:rsidR="004F6572" w:rsidRPr="004F6572">
        <w:rPr>
          <w:rFonts w:ascii="Palatino Linotype" w:hAnsi="Palatino Linotype"/>
        </w:rPr>
        <w:t xml:space="preserve"> (21)</w:t>
      </w:r>
      <w:r w:rsidR="007C21CA" w:rsidRPr="004F6572">
        <w:rPr>
          <w:rFonts w:ascii="Palatino Linotype" w:hAnsi="Palatino Linotype"/>
        </w:rPr>
        <w:t xml:space="preserve"> d</w:t>
      </w:r>
      <w:r w:rsidR="00161B44" w:rsidRPr="004F6572">
        <w:rPr>
          <w:rFonts w:ascii="Palatino Linotype" w:hAnsi="Palatino Linotype"/>
        </w:rPr>
        <w:t>e febrero</w:t>
      </w:r>
      <w:r w:rsidR="00A460B8" w:rsidRPr="004F6572">
        <w:rPr>
          <w:rFonts w:ascii="Palatino Linotype" w:hAnsi="Palatino Linotype"/>
        </w:rPr>
        <w:t xml:space="preserve"> de dos mil veinticuatro.</w:t>
      </w:r>
      <w:r w:rsidR="004F050E" w:rsidRPr="004F6572">
        <w:rPr>
          <w:rFonts w:ascii="Palatino Linotype" w:hAnsi="Palatino Linotype"/>
        </w:rPr>
        <w:t xml:space="preserve"> </w:t>
      </w:r>
    </w:p>
    <w:p w14:paraId="2157DA54" w14:textId="0273A098" w:rsidR="00E93FC1" w:rsidRPr="004F6572" w:rsidRDefault="00E93FC1" w:rsidP="00730D0C">
      <w:pPr>
        <w:spacing w:before="240" w:after="240" w:line="360" w:lineRule="auto"/>
        <w:jc w:val="both"/>
        <w:rPr>
          <w:rFonts w:ascii="Palatino Linotype" w:hAnsi="Palatino Linotype"/>
        </w:rPr>
      </w:pPr>
      <w:r w:rsidRPr="004F6572">
        <w:rPr>
          <w:rFonts w:ascii="Palatino Linotype" w:hAnsi="Palatino Linotype"/>
          <w:b/>
        </w:rPr>
        <w:t>VISTO</w:t>
      </w:r>
      <w:r w:rsidRPr="004F6572">
        <w:rPr>
          <w:rFonts w:ascii="Palatino Linotype" w:hAnsi="Palatino Linotype"/>
        </w:rPr>
        <w:t xml:space="preserve"> </w:t>
      </w:r>
      <w:r w:rsidR="00686B08" w:rsidRPr="004F6572">
        <w:rPr>
          <w:rFonts w:ascii="Palatino Linotype" w:hAnsi="Palatino Linotype"/>
        </w:rPr>
        <w:t>el</w:t>
      </w:r>
      <w:r w:rsidRPr="004F6572">
        <w:rPr>
          <w:rFonts w:ascii="Palatino Linotype" w:hAnsi="Palatino Linotype"/>
        </w:rPr>
        <w:t xml:space="preserve"> expediente electrónico formado con motivo de</w:t>
      </w:r>
      <w:r w:rsidR="00686B08" w:rsidRPr="004F6572">
        <w:rPr>
          <w:rFonts w:ascii="Palatino Linotype" w:hAnsi="Palatino Linotype"/>
        </w:rPr>
        <w:t>l</w:t>
      </w:r>
      <w:r w:rsidRPr="004F6572">
        <w:rPr>
          <w:rFonts w:ascii="Palatino Linotype" w:hAnsi="Palatino Linotype"/>
        </w:rPr>
        <w:t xml:space="preserve"> recurso de revisión </w:t>
      </w:r>
      <w:r w:rsidR="007C21CA" w:rsidRPr="004F6572">
        <w:rPr>
          <w:rFonts w:ascii="Palatino Linotype" w:hAnsi="Palatino Linotype" w:cs="Arial"/>
          <w:b/>
          <w:bCs/>
        </w:rPr>
        <w:t>15478</w:t>
      </w:r>
      <w:r w:rsidRPr="004F6572">
        <w:rPr>
          <w:rFonts w:ascii="Palatino Linotype" w:hAnsi="Palatino Linotype" w:cs="Arial"/>
          <w:b/>
          <w:bCs/>
        </w:rPr>
        <w:t>/INFOEM/IP/RR/202</w:t>
      </w:r>
      <w:r w:rsidR="00161B44" w:rsidRPr="004F6572">
        <w:rPr>
          <w:rFonts w:ascii="Palatino Linotype" w:hAnsi="Palatino Linotype" w:cs="Arial"/>
          <w:b/>
          <w:bCs/>
        </w:rPr>
        <w:t>2</w:t>
      </w:r>
      <w:r w:rsidR="004F6572" w:rsidRPr="004F6572">
        <w:rPr>
          <w:rFonts w:ascii="Palatino Linotype" w:hAnsi="Palatino Linotype" w:cs="Arial"/>
          <w:b/>
          <w:bCs/>
        </w:rPr>
        <w:t>,</w:t>
      </w:r>
      <w:r w:rsidR="00686B08" w:rsidRPr="004F6572">
        <w:rPr>
          <w:rFonts w:ascii="Palatino Linotype" w:hAnsi="Palatino Linotype" w:cs="Arial"/>
          <w:b/>
          <w:bCs/>
        </w:rPr>
        <w:t xml:space="preserve"> </w:t>
      </w:r>
      <w:r w:rsidRPr="004F6572">
        <w:rPr>
          <w:rFonts w:ascii="Palatino Linotype" w:hAnsi="Palatino Linotype"/>
        </w:rPr>
        <w:t>promovido</w:t>
      </w:r>
      <w:r w:rsidR="00686B08" w:rsidRPr="004F6572">
        <w:rPr>
          <w:rFonts w:ascii="Palatino Linotype" w:hAnsi="Palatino Linotype"/>
        </w:rPr>
        <w:t xml:space="preserve"> </w:t>
      </w:r>
      <w:r w:rsidR="00ED613E" w:rsidRPr="004F6572">
        <w:rPr>
          <w:rFonts w:ascii="Palatino Linotype" w:hAnsi="Palatino Linotype"/>
        </w:rPr>
        <w:t>por</w:t>
      </w:r>
      <w:r w:rsidR="00ED613E" w:rsidRPr="004F6572">
        <w:rPr>
          <w:rFonts w:ascii="Palatino Linotype" w:hAnsi="Palatino Linotype"/>
          <w:bCs/>
        </w:rPr>
        <w:t xml:space="preserve"> </w:t>
      </w:r>
      <w:r w:rsidR="007C21CA" w:rsidRPr="004F6572">
        <w:rPr>
          <w:rFonts w:ascii="Palatino Linotype" w:eastAsia="Calibri" w:hAnsi="Palatino Linotype" w:cs="Tahoma"/>
          <w:b/>
          <w:bCs/>
          <w:lang w:val="es-ES" w:eastAsia="en-US"/>
        </w:rPr>
        <w:t>un</w:t>
      </w:r>
      <w:r w:rsidR="004F6572" w:rsidRPr="004F6572">
        <w:rPr>
          <w:rFonts w:ascii="Palatino Linotype" w:eastAsia="Calibri" w:hAnsi="Palatino Linotype" w:cs="Tahoma"/>
          <w:b/>
          <w:bCs/>
          <w:lang w:val="es-ES" w:eastAsia="en-US"/>
        </w:rPr>
        <w:t>a persona que no proporcionó datos para ser identificado,</w:t>
      </w:r>
      <w:r w:rsidR="004F6572" w:rsidRPr="004F6572">
        <w:rPr>
          <w:rFonts w:ascii="Palatino Linotype" w:eastAsia="Calibri" w:hAnsi="Palatino Linotype" w:cs="Tahoma"/>
          <w:bCs/>
          <w:lang w:val="es-ES" w:eastAsia="en-US"/>
        </w:rPr>
        <w:t xml:space="preserve"> por lo que en adelante se denominará </w:t>
      </w:r>
      <w:r w:rsidR="00FB7BDC" w:rsidRPr="004F6572">
        <w:rPr>
          <w:rFonts w:ascii="Palatino Linotype" w:hAnsi="Palatino Linotype"/>
        </w:rPr>
        <w:t xml:space="preserve"> </w:t>
      </w:r>
      <w:r w:rsidRPr="004F6572">
        <w:rPr>
          <w:rFonts w:ascii="Palatino Linotype" w:hAnsi="Palatino Linotype"/>
          <w:b/>
        </w:rPr>
        <w:t>RECURRENTE</w:t>
      </w:r>
      <w:r w:rsidRPr="004F6572">
        <w:rPr>
          <w:rFonts w:ascii="Palatino Linotype" w:hAnsi="Palatino Linotype"/>
        </w:rPr>
        <w:t>, en contra de</w:t>
      </w:r>
      <w:r w:rsidR="00686B08" w:rsidRPr="004F6572">
        <w:rPr>
          <w:rFonts w:ascii="Palatino Linotype" w:hAnsi="Palatino Linotype"/>
        </w:rPr>
        <w:t xml:space="preserve"> la</w:t>
      </w:r>
      <w:r w:rsidRPr="004F6572">
        <w:rPr>
          <w:rFonts w:ascii="Palatino Linotype" w:hAnsi="Palatino Linotype" w:cs="Arial"/>
        </w:rPr>
        <w:t xml:space="preserve"> respuesta de</w:t>
      </w:r>
      <w:r w:rsidR="00A460B8" w:rsidRPr="004F6572">
        <w:rPr>
          <w:rFonts w:ascii="Palatino Linotype" w:hAnsi="Palatino Linotype" w:cs="Arial"/>
        </w:rPr>
        <w:t xml:space="preserve">l </w:t>
      </w:r>
      <w:r w:rsidR="00161B44" w:rsidRPr="004F6572">
        <w:rPr>
          <w:rFonts w:ascii="Palatino Linotype" w:eastAsia="Calibri" w:hAnsi="Palatino Linotype" w:cs="Tahoma"/>
          <w:b/>
          <w:lang w:eastAsia="en-US"/>
        </w:rPr>
        <w:t xml:space="preserve">Ayuntamiento de </w:t>
      </w:r>
      <w:r w:rsidR="007C21CA" w:rsidRPr="004F6572">
        <w:rPr>
          <w:rFonts w:ascii="Palatino Linotype" w:eastAsia="Calibri" w:hAnsi="Palatino Linotype" w:cs="Tahoma"/>
          <w:b/>
          <w:lang w:eastAsia="en-US"/>
        </w:rPr>
        <w:t>Texcoco</w:t>
      </w:r>
      <w:r w:rsidRPr="004F6572">
        <w:rPr>
          <w:rFonts w:ascii="Palatino Linotype" w:hAnsi="Palatino Linotype" w:cs="Arial"/>
          <w:b/>
        </w:rPr>
        <w:t xml:space="preserve">, </w:t>
      </w:r>
      <w:r w:rsidRPr="004F6572">
        <w:rPr>
          <w:rFonts w:ascii="Palatino Linotype" w:hAnsi="Palatino Linotype"/>
        </w:rPr>
        <w:t>en lo sucesivo el</w:t>
      </w:r>
      <w:r w:rsidRPr="004F6572">
        <w:rPr>
          <w:rFonts w:ascii="Palatino Linotype" w:hAnsi="Palatino Linotype"/>
          <w:b/>
        </w:rPr>
        <w:t xml:space="preserve"> SUJETO OBLIGADO, </w:t>
      </w:r>
      <w:r w:rsidRPr="004F6572">
        <w:rPr>
          <w:rFonts w:ascii="Palatino Linotype" w:hAnsi="Palatino Linotype"/>
        </w:rPr>
        <w:t>se procede a dictar la presente resolució</w:t>
      </w:r>
      <w:r w:rsidR="004F050E" w:rsidRPr="004F6572">
        <w:rPr>
          <w:rFonts w:ascii="Palatino Linotype" w:hAnsi="Palatino Linotype"/>
        </w:rPr>
        <w:t>n, con base en los siguientes:</w:t>
      </w:r>
    </w:p>
    <w:p w14:paraId="425F8129" w14:textId="77777777" w:rsidR="00E93FC1" w:rsidRPr="004F6572"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4F6572">
        <w:rPr>
          <w:rFonts w:ascii="Palatino Linotype" w:hAnsi="Palatino Linotype"/>
          <w:b/>
          <w:lang w:eastAsia="en-US"/>
        </w:rPr>
        <w:t>ANTECEDENTES</w:t>
      </w:r>
      <w:bookmarkEnd w:id="0"/>
      <w:bookmarkEnd w:id="1"/>
      <w:bookmarkEnd w:id="2"/>
      <w:bookmarkEnd w:id="3"/>
    </w:p>
    <w:p w14:paraId="64EAE805" w14:textId="1A07C8A2" w:rsidR="00E93FC1" w:rsidRPr="004F6572"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4F6572">
        <w:rPr>
          <w:rFonts w:ascii="Palatino Linotype" w:eastAsia="Calibri" w:hAnsi="Palatino Linotype" w:cs="Arial"/>
          <w:lang w:val="es-ES"/>
        </w:rPr>
        <w:t xml:space="preserve">El </w:t>
      </w:r>
      <w:r w:rsidR="007C21CA" w:rsidRPr="004F6572">
        <w:rPr>
          <w:rFonts w:ascii="Palatino Linotype" w:eastAsia="Calibri" w:hAnsi="Palatino Linotype" w:cs="Arial"/>
          <w:lang w:val="es-ES"/>
        </w:rPr>
        <w:t>treinta y uno de agosto</w:t>
      </w:r>
      <w:r w:rsidR="002F0945" w:rsidRPr="004F6572">
        <w:rPr>
          <w:rFonts w:ascii="Palatino Linotype" w:eastAsia="Calibri" w:hAnsi="Palatino Linotype" w:cs="Arial"/>
          <w:lang w:val="es-ES"/>
        </w:rPr>
        <w:t xml:space="preserve"> de dos mil veintidós</w:t>
      </w:r>
      <w:r w:rsidR="00E93FC1" w:rsidRPr="004F6572">
        <w:rPr>
          <w:rFonts w:ascii="Palatino Linotype" w:eastAsia="Calibri" w:hAnsi="Palatino Linotype" w:cs="Arial"/>
          <w:lang w:val="es-ES"/>
        </w:rPr>
        <w:t>,</w:t>
      </w:r>
      <w:r w:rsidR="00E93FC1" w:rsidRPr="004F6572">
        <w:rPr>
          <w:rFonts w:ascii="Palatino Linotype" w:eastAsia="Calibri" w:hAnsi="Palatino Linotype"/>
          <w:lang w:val="es-ES"/>
        </w:rPr>
        <w:t xml:space="preserve"> </w:t>
      </w:r>
      <w:r w:rsidR="00BC1008" w:rsidRPr="004F6572">
        <w:rPr>
          <w:rFonts w:ascii="Palatino Linotype" w:hAnsi="Palatino Linotype"/>
        </w:rPr>
        <w:t>la</w:t>
      </w:r>
      <w:r w:rsidR="00E93FC1" w:rsidRPr="004F6572">
        <w:rPr>
          <w:rFonts w:ascii="Palatino Linotype" w:hAnsi="Palatino Linotype"/>
          <w:b/>
        </w:rPr>
        <w:t xml:space="preserve"> </w:t>
      </w:r>
      <w:r w:rsidR="00D11F51" w:rsidRPr="004F6572">
        <w:rPr>
          <w:rFonts w:ascii="Palatino Linotype" w:hAnsi="Palatino Linotype"/>
          <w:b/>
          <w:bCs/>
        </w:rPr>
        <w:t>RECURRENTE</w:t>
      </w:r>
      <w:r w:rsidR="00E93FC1" w:rsidRPr="004F6572">
        <w:rPr>
          <w:rFonts w:ascii="Palatino Linotype" w:hAnsi="Palatino Linotype"/>
          <w:b/>
          <w:bCs/>
        </w:rPr>
        <w:t xml:space="preserve"> </w:t>
      </w:r>
      <w:r w:rsidR="00E93FC1" w:rsidRPr="004F6572">
        <w:rPr>
          <w:rFonts w:ascii="Palatino Linotype" w:hAnsi="Palatino Linotype"/>
        </w:rPr>
        <w:t>presentó</w:t>
      </w:r>
      <w:r w:rsidR="00E93FC1" w:rsidRPr="004F6572">
        <w:rPr>
          <w:rFonts w:ascii="Palatino Linotype" w:hAnsi="Palatino Linotype"/>
          <w:b/>
        </w:rPr>
        <w:t xml:space="preserve"> </w:t>
      </w:r>
      <w:r w:rsidR="00E93FC1" w:rsidRPr="004F6572">
        <w:rPr>
          <w:rFonts w:ascii="Palatino Linotype" w:eastAsia="Calibri" w:hAnsi="Palatino Linotype" w:cs="Arial"/>
          <w:lang w:val="es-ES"/>
        </w:rPr>
        <w:t xml:space="preserve">ante el </w:t>
      </w:r>
      <w:r w:rsidR="00E93FC1" w:rsidRPr="004F6572">
        <w:rPr>
          <w:rFonts w:ascii="Palatino Linotype" w:eastAsia="Calibri" w:hAnsi="Palatino Linotype" w:cs="Arial"/>
          <w:b/>
          <w:lang w:val="es-ES"/>
        </w:rPr>
        <w:t>SUJETO OBLIGADO,</w:t>
      </w:r>
      <w:r w:rsidR="00E93FC1" w:rsidRPr="004F6572">
        <w:rPr>
          <w:rFonts w:ascii="Palatino Linotype" w:eastAsia="Calibri" w:hAnsi="Palatino Linotype" w:cs="Arial"/>
        </w:rPr>
        <w:t xml:space="preserve"> </w:t>
      </w:r>
      <w:r w:rsidRPr="004F6572">
        <w:rPr>
          <w:rFonts w:ascii="Palatino Linotype" w:eastAsia="Calibri" w:hAnsi="Palatino Linotype" w:cs="Arial"/>
        </w:rPr>
        <w:t xml:space="preserve">a través de la </w:t>
      </w:r>
      <w:r w:rsidR="007A3D32" w:rsidRPr="004F6572">
        <w:rPr>
          <w:rFonts w:ascii="Palatino Linotype" w:eastAsia="Calibri" w:hAnsi="Palatino Linotype" w:cs="Arial"/>
        </w:rPr>
        <w:t>Plataforma digital Sistema de Acceso a la Información Mexiquense (SAIMEX),</w:t>
      </w:r>
      <w:r w:rsidR="00E93FC1" w:rsidRPr="004F6572">
        <w:rPr>
          <w:rFonts w:ascii="Palatino Linotype" w:eastAsia="Calibri" w:hAnsi="Palatino Linotype" w:cs="Arial"/>
          <w:lang w:val="es-ES"/>
        </w:rPr>
        <w:t xml:space="preserve"> la solicitud de información pública registrad</w:t>
      </w:r>
      <w:r w:rsidR="00686B08" w:rsidRPr="004F6572">
        <w:rPr>
          <w:rFonts w:ascii="Palatino Linotype" w:eastAsia="Calibri" w:hAnsi="Palatino Linotype" w:cs="Arial"/>
          <w:lang w:val="es-ES"/>
        </w:rPr>
        <w:t>a</w:t>
      </w:r>
      <w:r w:rsidR="00E93FC1" w:rsidRPr="004F6572">
        <w:rPr>
          <w:rFonts w:ascii="Palatino Linotype" w:eastAsia="Calibri" w:hAnsi="Palatino Linotype" w:cs="Arial"/>
          <w:lang w:val="es-ES"/>
        </w:rPr>
        <w:t xml:space="preserve"> con </w:t>
      </w:r>
      <w:r w:rsidR="00686B08" w:rsidRPr="004F6572">
        <w:rPr>
          <w:rFonts w:ascii="Palatino Linotype" w:eastAsia="Calibri" w:hAnsi="Palatino Linotype" w:cs="Arial"/>
          <w:lang w:val="es-ES"/>
        </w:rPr>
        <w:t>el</w:t>
      </w:r>
      <w:r w:rsidR="00E93FC1" w:rsidRPr="004F6572">
        <w:rPr>
          <w:rFonts w:ascii="Palatino Linotype" w:eastAsia="Calibri" w:hAnsi="Palatino Linotype" w:cs="Arial"/>
          <w:lang w:val="es-ES"/>
        </w:rPr>
        <w:t xml:space="preserve"> número </w:t>
      </w:r>
      <w:r w:rsidR="00731106" w:rsidRPr="004F6572">
        <w:rPr>
          <w:rFonts w:ascii="Palatino Linotype" w:hAnsi="Palatino Linotype"/>
          <w:b/>
          <w:bCs/>
        </w:rPr>
        <w:t>0</w:t>
      </w:r>
      <w:r w:rsidR="00052206" w:rsidRPr="004F6572">
        <w:rPr>
          <w:rFonts w:ascii="Palatino Linotype" w:hAnsi="Palatino Linotype"/>
          <w:b/>
          <w:bCs/>
        </w:rPr>
        <w:t>0</w:t>
      </w:r>
      <w:r w:rsidR="007C21CA" w:rsidRPr="004F6572">
        <w:rPr>
          <w:rFonts w:ascii="Palatino Linotype" w:hAnsi="Palatino Linotype"/>
          <w:b/>
          <w:bCs/>
        </w:rPr>
        <w:t>347</w:t>
      </w:r>
      <w:r w:rsidR="001846CB" w:rsidRPr="004F6572">
        <w:rPr>
          <w:rFonts w:ascii="Palatino Linotype" w:hAnsi="Palatino Linotype"/>
          <w:b/>
          <w:bCs/>
        </w:rPr>
        <w:t>/</w:t>
      </w:r>
      <w:r w:rsidR="007C21CA" w:rsidRPr="004F6572">
        <w:rPr>
          <w:rFonts w:ascii="Palatino Linotype" w:hAnsi="Palatino Linotype"/>
          <w:b/>
          <w:bCs/>
        </w:rPr>
        <w:t>TEXCOCO</w:t>
      </w:r>
      <w:r w:rsidR="001846CB" w:rsidRPr="004F6572">
        <w:rPr>
          <w:rFonts w:ascii="Palatino Linotype" w:hAnsi="Palatino Linotype"/>
          <w:b/>
          <w:bCs/>
        </w:rPr>
        <w:t>/IP/202</w:t>
      </w:r>
      <w:r w:rsidR="002F0945" w:rsidRPr="004F6572">
        <w:rPr>
          <w:rFonts w:ascii="Palatino Linotype" w:hAnsi="Palatino Linotype"/>
          <w:b/>
          <w:bCs/>
        </w:rPr>
        <w:t>2</w:t>
      </w:r>
      <w:r w:rsidR="00731106" w:rsidRPr="004F6572">
        <w:rPr>
          <w:rFonts w:ascii="Palatino Linotype" w:hAnsi="Palatino Linotype"/>
          <w:b/>
          <w:bCs/>
        </w:rPr>
        <w:t>,</w:t>
      </w:r>
      <w:r w:rsidR="00686B08" w:rsidRPr="004F6572">
        <w:rPr>
          <w:rFonts w:ascii="Palatino Linotype" w:eastAsia="Calibri" w:hAnsi="Palatino Linotype" w:cs="Arial"/>
          <w:lang w:val="es-ES"/>
        </w:rPr>
        <w:t xml:space="preserve"> </w:t>
      </w:r>
      <w:r w:rsidR="004F6572">
        <w:rPr>
          <w:rFonts w:ascii="Palatino Linotype" w:eastAsia="Calibri" w:hAnsi="Palatino Linotype" w:cs="Arial"/>
          <w:lang w:val="es-ES"/>
        </w:rPr>
        <w:t>en la que</w:t>
      </w:r>
      <w:r w:rsidR="00E93FC1" w:rsidRPr="004F6572">
        <w:rPr>
          <w:rFonts w:ascii="Palatino Linotype" w:eastAsia="Calibri" w:hAnsi="Palatino Linotype" w:cs="Arial"/>
          <w:lang w:val="es-ES"/>
        </w:rPr>
        <w:t xml:space="preserve"> se solicitó:</w:t>
      </w:r>
    </w:p>
    <w:p w14:paraId="45234F90" w14:textId="77777777" w:rsidR="001846CB" w:rsidRPr="004F6572" w:rsidRDefault="001846CB" w:rsidP="0047361F">
      <w:pPr>
        <w:ind w:right="539"/>
        <w:jc w:val="both"/>
        <w:rPr>
          <w:rFonts w:ascii="Palatino Linotype" w:eastAsia="Calibri" w:hAnsi="Palatino Linotype" w:cs="Arial"/>
        </w:rPr>
      </w:pPr>
    </w:p>
    <w:p w14:paraId="50328B31" w14:textId="0006AB65" w:rsidR="000E3DDC" w:rsidRPr="004F6572" w:rsidRDefault="00686B08" w:rsidP="007C21CA">
      <w:pPr>
        <w:ind w:left="567" w:right="539"/>
        <w:jc w:val="both"/>
        <w:rPr>
          <w:rFonts w:ascii="Palatino Linotype" w:hAnsi="Palatino Linotype"/>
          <w:i/>
          <w:iCs/>
          <w:color w:val="000000"/>
        </w:rPr>
      </w:pPr>
      <w:r w:rsidRPr="004F6572">
        <w:rPr>
          <w:rFonts w:ascii="Palatino Linotype" w:hAnsi="Palatino Linotype"/>
          <w:i/>
          <w:iCs/>
          <w:color w:val="000000"/>
        </w:rPr>
        <w:t>“</w:t>
      </w:r>
      <w:proofErr w:type="spellStart"/>
      <w:r w:rsidR="007C21CA" w:rsidRPr="004F6572">
        <w:rPr>
          <w:rFonts w:ascii="Palatino Linotype" w:hAnsi="Palatino Linotype"/>
          <w:i/>
          <w:color w:val="000000"/>
        </w:rPr>
        <w:t>solicto</w:t>
      </w:r>
      <w:proofErr w:type="spellEnd"/>
      <w:r w:rsidR="007C21CA" w:rsidRPr="004F6572">
        <w:rPr>
          <w:rFonts w:ascii="Palatino Linotype" w:hAnsi="Palatino Linotype"/>
          <w:i/>
          <w:color w:val="000000"/>
        </w:rPr>
        <w:t xml:space="preserve"> saber </w:t>
      </w:r>
      <w:proofErr w:type="spellStart"/>
      <w:r w:rsidR="007C21CA" w:rsidRPr="004F6572">
        <w:rPr>
          <w:rFonts w:ascii="Palatino Linotype" w:hAnsi="Palatino Linotype"/>
          <w:i/>
          <w:color w:val="000000"/>
        </w:rPr>
        <w:t>cuanto</w:t>
      </w:r>
      <w:proofErr w:type="spellEnd"/>
      <w:r w:rsidR="007C21CA" w:rsidRPr="004F6572">
        <w:rPr>
          <w:rFonts w:ascii="Palatino Linotype" w:hAnsi="Palatino Linotype"/>
          <w:i/>
          <w:color w:val="000000"/>
        </w:rPr>
        <w:t xml:space="preserve"> gasta el ayuntamiento de </w:t>
      </w:r>
      <w:proofErr w:type="spellStart"/>
      <w:r w:rsidR="007C21CA" w:rsidRPr="004F6572">
        <w:rPr>
          <w:rFonts w:ascii="Palatino Linotype" w:hAnsi="Palatino Linotype"/>
          <w:i/>
          <w:color w:val="000000"/>
        </w:rPr>
        <w:t>texcoco</w:t>
      </w:r>
      <w:proofErr w:type="spellEnd"/>
      <w:r w:rsidR="007C21CA" w:rsidRPr="004F6572">
        <w:rPr>
          <w:rFonts w:ascii="Palatino Linotype" w:hAnsi="Palatino Linotype"/>
          <w:i/>
          <w:color w:val="000000"/>
        </w:rPr>
        <w:t xml:space="preserve"> en combustible, </w:t>
      </w:r>
      <w:proofErr w:type="spellStart"/>
      <w:r w:rsidR="007C21CA" w:rsidRPr="004F6572">
        <w:rPr>
          <w:rFonts w:ascii="Palatino Linotype" w:hAnsi="Palatino Linotype"/>
          <w:i/>
          <w:color w:val="000000"/>
        </w:rPr>
        <w:t>asi</w:t>
      </w:r>
      <w:proofErr w:type="spellEnd"/>
      <w:r w:rsidR="007C21CA" w:rsidRPr="004F6572">
        <w:rPr>
          <w:rFonts w:ascii="Palatino Linotype" w:hAnsi="Palatino Linotype"/>
          <w:i/>
          <w:color w:val="000000"/>
        </w:rPr>
        <w:t xml:space="preserve"> como sus </w:t>
      </w:r>
      <w:proofErr w:type="spellStart"/>
      <w:r w:rsidR="007C21CA" w:rsidRPr="004F6572">
        <w:rPr>
          <w:rFonts w:ascii="Palatino Linotype" w:hAnsi="Palatino Linotype"/>
          <w:i/>
          <w:color w:val="000000"/>
        </w:rPr>
        <w:t>bitacoras</w:t>
      </w:r>
      <w:proofErr w:type="spellEnd"/>
      <w:r w:rsidRPr="004F6572">
        <w:rPr>
          <w:rFonts w:ascii="Palatino Linotype" w:hAnsi="Palatino Linotype"/>
          <w:i/>
          <w:iCs/>
          <w:color w:val="000000"/>
        </w:rPr>
        <w:t>” (Sic)</w:t>
      </w:r>
    </w:p>
    <w:p w14:paraId="287A8F47" w14:textId="77777777" w:rsidR="000E3DDC" w:rsidRPr="004F6572" w:rsidRDefault="000E3DDC" w:rsidP="00686B08">
      <w:pPr>
        <w:ind w:right="539"/>
        <w:jc w:val="both"/>
        <w:rPr>
          <w:rFonts w:ascii="Palatino Linotype" w:hAnsi="Palatino Linotype"/>
        </w:rPr>
      </w:pPr>
    </w:p>
    <w:p w14:paraId="73BE9FBE" w14:textId="0ACD7D11" w:rsidR="00954B71" w:rsidRPr="004F6572"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4F6572">
        <w:rPr>
          <w:rFonts w:ascii="Palatino Linotype" w:hAnsi="Palatino Linotype" w:cs="Arial"/>
          <w:sz w:val="24"/>
        </w:rPr>
        <w:t xml:space="preserve">Se hace constar que se señaló como modalidad de entrega de la información a través </w:t>
      </w:r>
      <w:r w:rsidR="00E919FF" w:rsidRPr="004F6572">
        <w:rPr>
          <w:rFonts w:ascii="Palatino Linotype" w:hAnsi="Palatino Linotype" w:cs="Arial"/>
          <w:sz w:val="24"/>
        </w:rPr>
        <w:t xml:space="preserve">del Sistema de Acceso a la Información Mexiquense </w:t>
      </w:r>
      <w:r w:rsidR="00E919FF" w:rsidRPr="004F6572">
        <w:rPr>
          <w:rFonts w:ascii="Palatino Linotype" w:hAnsi="Palatino Linotype" w:cs="Arial"/>
          <w:b/>
          <w:bCs/>
          <w:sz w:val="24"/>
        </w:rPr>
        <w:t>(SAIMEX).</w:t>
      </w:r>
    </w:p>
    <w:p w14:paraId="4494F69E" w14:textId="77777777" w:rsidR="00FB7BDC" w:rsidRPr="004F6572" w:rsidRDefault="00FB7BDC" w:rsidP="00FB7BDC">
      <w:pPr>
        <w:rPr>
          <w:rFonts w:ascii="Palatino Linotype" w:eastAsia="Calibri" w:hAnsi="Palatino Linotype" w:cs="Arial"/>
          <w:lang w:val="es-AR"/>
        </w:rPr>
      </w:pPr>
    </w:p>
    <w:p w14:paraId="366DC071" w14:textId="21CF1583" w:rsidR="00161B44" w:rsidRPr="004F6572" w:rsidRDefault="00161B44" w:rsidP="00161B44">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4F6572">
        <w:rPr>
          <w:rFonts w:ascii="Palatino Linotype" w:hAnsi="Palatino Linotype" w:cs="Arial"/>
          <w:lang w:val="es-ES"/>
        </w:rPr>
        <w:t xml:space="preserve">El </w:t>
      </w:r>
      <w:r w:rsidR="007C21CA" w:rsidRPr="004F6572">
        <w:rPr>
          <w:rFonts w:ascii="Palatino Linotype" w:hAnsi="Palatino Linotype" w:cs="Arial"/>
          <w:lang w:val="es-ES"/>
        </w:rPr>
        <w:t>veintidós de septiembre</w:t>
      </w:r>
      <w:r w:rsidRPr="004F6572">
        <w:rPr>
          <w:rFonts w:ascii="Palatino Linotype" w:hAnsi="Palatino Linotype" w:cs="Arial"/>
          <w:lang w:val="es-ES"/>
        </w:rPr>
        <w:t xml:space="preserve"> de dos mil veintidós, el</w:t>
      </w:r>
      <w:r w:rsidRPr="004F6572">
        <w:rPr>
          <w:rFonts w:ascii="Palatino Linotype" w:hAnsi="Palatino Linotype" w:cs="Arial"/>
          <w:b/>
          <w:lang w:val="es-ES"/>
        </w:rPr>
        <w:t xml:space="preserve"> SUJETO OBLIGADO </w:t>
      </w:r>
      <w:r w:rsidRPr="004F6572">
        <w:rPr>
          <w:rFonts w:ascii="Palatino Linotype" w:hAnsi="Palatino Linotype" w:cs="Arial"/>
          <w:lang w:val="es-ES"/>
        </w:rPr>
        <w:t>notificó una prórroga para dar respuesta a la solicitud de información, en los siguientes términos:</w:t>
      </w:r>
    </w:p>
    <w:p w14:paraId="33113F51" w14:textId="77777777" w:rsidR="007C21CA" w:rsidRPr="004F6572" w:rsidRDefault="00161B44" w:rsidP="00161B44">
      <w:pPr>
        <w:spacing w:before="240" w:after="240"/>
        <w:ind w:left="567" w:right="539"/>
        <w:contextualSpacing/>
        <w:jc w:val="both"/>
        <w:rPr>
          <w:rFonts w:ascii="Palatino Linotype" w:hAnsi="Palatino Linotype"/>
          <w:i/>
          <w:color w:val="000000"/>
          <w:sz w:val="22"/>
        </w:rPr>
      </w:pPr>
      <w:r w:rsidRPr="004F6572">
        <w:rPr>
          <w:rFonts w:ascii="Palatino Linotype" w:hAnsi="Palatino Linotype" w:cs="Arial"/>
          <w:b/>
          <w:i/>
          <w:sz w:val="22"/>
          <w:lang w:val="es-ES"/>
        </w:rPr>
        <w:lastRenderedPageBreak/>
        <w:t>“</w:t>
      </w:r>
      <w:r w:rsidR="007C21CA" w:rsidRPr="004F6572">
        <w:rPr>
          <w:rFonts w:ascii="Palatino Linotype" w:hAnsi="Palatino Linotype"/>
          <w:i/>
          <w:color w:val="000000"/>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9D0B44" w14:textId="77777777" w:rsidR="007C21CA" w:rsidRPr="004F6572" w:rsidRDefault="007C21CA" w:rsidP="00161B44">
      <w:pPr>
        <w:spacing w:before="240" w:after="240"/>
        <w:ind w:left="567" w:right="539"/>
        <w:contextualSpacing/>
        <w:jc w:val="both"/>
        <w:rPr>
          <w:rFonts w:ascii="Palatino Linotype" w:hAnsi="Palatino Linotype"/>
          <w:i/>
          <w:sz w:val="22"/>
        </w:rPr>
      </w:pPr>
    </w:p>
    <w:p w14:paraId="1AF4A514" w14:textId="712EF007" w:rsidR="00161B44" w:rsidRPr="004F6572" w:rsidRDefault="007C21CA" w:rsidP="007C21CA">
      <w:pPr>
        <w:spacing w:before="240" w:after="240"/>
        <w:ind w:left="567" w:right="539"/>
        <w:contextualSpacing/>
        <w:jc w:val="both"/>
        <w:rPr>
          <w:rFonts w:ascii="Palatino Linotype" w:hAnsi="Palatino Linotype"/>
          <w:i/>
          <w:color w:val="000000"/>
          <w:sz w:val="22"/>
        </w:rPr>
      </w:pPr>
      <w:r w:rsidRPr="004F6572">
        <w:rPr>
          <w:rFonts w:ascii="Palatino Linotype" w:hAnsi="Palatino Linotype"/>
          <w:i/>
          <w:color w:val="000000"/>
          <w:sz w:val="22"/>
        </w:rPr>
        <w:t xml:space="preserve">En espera de que se </w:t>
      </w:r>
      <w:proofErr w:type="spellStart"/>
      <w:r w:rsidRPr="004F6572">
        <w:rPr>
          <w:rFonts w:ascii="Palatino Linotype" w:hAnsi="Palatino Linotype"/>
          <w:i/>
          <w:color w:val="000000"/>
          <w:sz w:val="22"/>
        </w:rPr>
        <w:t>de</w:t>
      </w:r>
      <w:proofErr w:type="spellEnd"/>
      <w:r w:rsidRPr="004F6572">
        <w:rPr>
          <w:rFonts w:ascii="Palatino Linotype" w:hAnsi="Palatino Linotype"/>
          <w:i/>
          <w:color w:val="000000"/>
          <w:sz w:val="22"/>
        </w:rPr>
        <w:t xml:space="preserve"> respuesta a la solicitud.</w:t>
      </w:r>
      <w:r w:rsidR="00161B44" w:rsidRPr="004F6572">
        <w:rPr>
          <w:rFonts w:ascii="Palatino Linotype" w:hAnsi="Palatino Linotype"/>
          <w:i/>
          <w:sz w:val="22"/>
        </w:rPr>
        <w:t>” (Sic)</w:t>
      </w:r>
    </w:p>
    <w:p w14:paraId="579B8182" w14:textId="77777777" w:rsidR="007C21CA" w:rsidRPr="004F6572" w:rsidRDefault="007C21CA" w:rsidP="007C21CA">
      <w:pPr>
        <w:spacing w:line="360" w:lineRule="auto"/>
        <w:ind w:right="539"/>
        <w:jc w:val="both"/>
        <w:rPr>
          <w:rFonts w:ascii="Palatino Linotype" w:eastAsia="Calibri" w:hAnsi="Palatino Linotype" w:cs="Arial"/>
          <w:lang w:val="es-AR"/>
        </w:rPr>
      </w:pPr>
    </w:p>
    <w:p w14:paraId="2B0DFF38" w14:textId="573F8AE4" w:rsidR="00E93FC1" w:rsidRPr="004F6572"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4F6572">
        <w:rPr>
          <w:rFonts w:ascii="Palatino Linotype" w:eastAsia="Calibri" w:hAnsi="Palatino Linotype" w:cs="Arial"/>
          <w:lang w:val="es-AR"/>
        </w:rPr>
        <w:t>El</w:t>
      </w:r>
      <w:r w:rsidR="00E50E5B" w:rsidRPr="004F6572">
        <w:rPr>
          <w:rFonts w:ascii="Palatino Linotype" w:hAnsi="Palatino Linotype" w:cs="Arial"/>
          <w:lang w:val="es-ES"/>
        </w:rPr>
        <w:t xml:space="preserve"> </w:t>
      </w:r>
      <w:r w:rsidR="007C21CA" w:rsidRPr="004F6572">
        <w:rPr>
          <w:rFonts w:ascii="Palatino Linotype" w:hAnsi="Palatino Linotype" w:cs="Arial"/>
          <w:lang w:val="es-ES"/>
        </w:rPr>
        <w:t>cuatro de octubre</w:t>
      </w:r>
      <w:r w:rsidR="00826820" w:rsidRPr="004F6572">
        <w:rPr>
          <w:rFonts w:ascii="Palatino Linotype" w:hAnsi="Palatino Linotype" w:cs="Arial"/>
          <w:lang w:val="es-ES"/>
        </w:rPr>
        <w:t xml:space="preserve"> de dos mil veintidós</w:t>
      </w:r>
      <w:r w:rsidRPr="004F6572">
        <w:rPr>
          <w:rFonts w:ascii="Palatino Linotype" w:hAnsi="Palatino Linotype" w:cs="Arial"/>
          <w:lang w:val="es-ES"/>
        </w:rPr>
        <w:t xml:space="preserve">, el </w:t>
      </w:r>
      <w:r w:rsidRPr="004F6572">
        <w:rPr>
          <w:rFonts w:ascii="Palatino Linotype" w:hAnsi="Palatino Linotype" w:cs="Arial"/>
          <w:b/>
          <w:lang w:val="es-ES"/>
        </w:rPr>
        <w:t xml:space="preserve">SUJETO OBLIGADO </w:t>
      </w:r>
      <w:bookmarkStart w:id="4" w:name="_Toc472500652"/>
      <w:bookmarkStart w:id="5" w:name="_Toc472427085"/>
      <w:bookmarkStart w:id="6" w:name="_Toc462307683"/>
      <w:r w:rsidRPr="004F6572">
        <w:rPr>
          <w:rFonts w:ascii="Palatino Linotype" w:hAnsi="Palatino Linotype" w:cs="Arial"/>
          <w:lang w:val="es-ES"/>
        </w:rPr>
        <w:t>dio respuesta a la solicitud</w:t>
      </w:r>
      <w:r w:rsidR="00E970B8" w:rsidRPr="004F6572">
        <w:rPr>
          <w:rFonts w:ascii="Palatino Linotype" w:hAnsi="Palatino Linotype" w:cs="Arial"/>
          <w:lang w:val="es-ES"/>
        </w:rPr>
        <w:t xml:space="preserve"> de información</w:t>
      </w:r>
      <w:r w:rsidR="00D11F51" w:rsidRPr="004F6572">
        <w:rPr>
          <w:rFonts w:ascii="Palatino Linotype" w:hAnsi="Palatino Linotype" w:cs="Arial"/>
          <w:lang w:val="es-ES"/>
        </w:rPr>
        <w:t xml:space="preserve">, </w:t>
      </w:r>
      <w:r w:rsidRPr="004F6572">
        <w:rPr>
          <w:rFonts w:ascii="Palatino Linotype" w:hAnsi="Palatino Linotype" w:cs="Arial"/>
          <w:lang w:val="es-ES"/>
        </w:rPr>
        <w:t>en l</w:t>
      </w:r>
      <w:r w:rsidR="00954B71" w:rsidRPr="004F6572">
        <w:rPr>
          <w:rFonts w:ascii="Palatino Linotype" w:hAnsi="Palatino Linotype" w:cs="Arial"/>
          <w:lang w:val="es-ES"/>
        </w:rPr>
        <w:t>os</w:t>
      </w:r>
      <w:r w:rsidRPr="004F6572">
        <w:rPr>
          <w:rFonts w:ascii="Palatino Linotype" w:hAnsi="Palatino Linotype" w:cs="Arial"/>
          <w:lang w:val="es-ES"/>
        </w:rPr>
        <w:t xml:space="preserve"> siguiente</w:t>
      </w:r>
      <w:r w:rsidR="00954B71" w:rsidRPr="004F6572">
        <w:rPr>
          <w:rFonts w:ascii="Palatino Linotype" w:hAnsi="Palatino Linotype" w:cs="Arial"/>
          <w:lang w:val="es-ES"/>
        </w:rPr>
        <w:t>s términos</w:t>
      </w:r>
      <w:r w:rsidRPr="004F6572">
        <w:rPr>
          <w:rFonts w:ascii="Palatino Linotype" w:hAnsi="Palatino Linotype" w:cs="Arial"/>
          <w:lang w:val="es-ES"/>
        </w:rPr>
        <w:t>:</w:t>
      </w:r>
    </w:p>
    <w:p w14:paraId="00A0DF01" w14:textId="7387D7FD" w:rsidR="00CB7E79" w:rsidRPr="004F6572" w:rsidRDefault="00052206" w:rsidP="007C21CA">
      <w:pPr>
        <w:ind w:left="567" w:right="539"/>
        <w:jc w:val="both"/>
        <w:rPr>
          <w:rFonts w:ascii="Palatino Linotype" w:hAnsi="Palatino Linotype"/>
          <w:i/>
          <w:iCs/>
          <w:color w:val="000000"/>
          <w:sz w:val="22"/>
        </w:rPr>
      </w:pPr>
      <w:r w:rsidRPr="004F6572">
        <w:rPr>
          <w:rFonts w:ascii="Palatino Linotype" w:hAnsi="Palatino Linotype"/>
          <w:i/>
          <w:iCs/>
          <w:color w:val="000000"/>
          <w:sz w:val="22"/>
        </w:rPr>
        <w:t>“</w:t>
      </w:r>
      <w:r w:rsidR="00D11F51" w:rsidRPr="004F6572">
        <w:rPr>
          <w:rFonts w:ascii="Palatino Linotype" w:hAnsi="Palatino Linotype"/>
          <w:i/>
          <w:iCs/>
          <w:color w:val="000000"/>
          <w:sz w:val="22"/>
        </w:rPr>
        <w:t>…</w:t>
      </w:r>
      <w:r w:rsidR="007C21CA" w:rsidRPr="004F6572">
        <w:rPr>
          <w:rFonts w:ascii="Palatino Linotype" w:hAnsi="Palatino Linotype"/>
          <w:i/>
          <w:color w:val="000000"/>
          <w:sz w:val="22"/>
        </w:rPr>
        <w:t>Con la intensión de atender a cabalidad, se adjunta información en relación a su atenta solicitud…</w:t>
      </w:r>
      <w:r w:rsidR="00686B08" w:rsidRPr="004F6572">
        <w:rPr>
          <w:rFonts w:ascii="Palatino Linotype" w:hAnsi="Palatino Linotype"/>
          <w:i/>
          <w:iCs/>
          <w:color w:val="000000"/>
          <w:sz w:val="22"/>
        </w:rPr>
        <w:t>” (Sic)</w:t>
      </w:r>
    </w:p>
    <w:p w14:paraId="4D8FED6E" w14:textId="77777777" w:rsidR="00686B08" w:rsidRPr="004F6572" w:rsidRDefault="00686B08" w:rsidP="00052206">
      <w:pPr>
        <w:ind w:right="539"/>
        <w:jc w:val="both"/>
        <w:rPr>
          <w:rFonts w:ascii="Palatino Linotype" w:hAnsi="Palatino Linotype"/>
          <w:iCs/>
          <w:color w:val="000000"/>
          <w:sz w:val="22"/>
        </w:rPr>
      </w:pPr>
    </w:p>
    <w:p w14:paraId="7D3CF292" w14:textId="239CC143" w:rsidR="007C21CA" w:rsidRPr="004F6572" w:rsidRDefault="007C21CA" w:rsidP="00052206">
      <w:pPr>
        <w:ind w:right="539"/>
        <w:jc w:val="both"/>
        <w:rPr>
          <w:rFonts w:ascii="Palatino Linotype" w:hAnsi="Palatino Linotype"/>
          <w:iCs/>
          <w:color w:val="000000"/>
          <w:sz w:val="22"/>
        </w:rPr>
      </w:pPr>
      <w:r w:rsidRPr="004F6572">
        <w:rPr>
          <w:rFonts w:ascii="Palatino Linotype" w:hAnsi="Palatino Linotype"/>
          <w:iCs/>
          <w:color w:val="000000"/>
          <w:sz w:val="22"/>
        </w:rPr>
        <w:t>Archivos electrónicos adjuntos:</w:t>
      </w:r>
    </w:p>
    <w:p w14:paraId="4FAEFCC2" w14:textId="77777777" w:rsidR="007C21CA" w:rsidRPr="004F6572" w:rsidRDefault="007C21CA" w:rsidP="00052206">
      <w:pPr>
        <w:ind w:right="539"/>
        <w:jc w:val="both"/>
        <w:rPr>
          <w:rFonts w:ascii="Palatino Linotype" w:hAnsi="Palatino Linotype"/>
          <w:i/>
          <w:iCs/>
          <w:color w:val="000000"/>
          <w:sz w:val="22"/>
        </w:rPr>
      </w:pPr>
    </w:p>
    <w:p w14:paraId="72129F47" w14:textId="52D3FBBE" w:rsidR="007C21CA" w:rsidRPr="004F6572" w:rsidRDefault="00274A15" w:rsidP="007C21CA">
      <w:pPr>
        <w:ind w:left="567" w:right="539"/>
        <w:jc w:val="both"/>
        <w:rPr>
          <w:rFonts w:ascii="Palatino Linotype" w:hAnsi="Palatino Linotype"/>
          <w:sz w:val="22"/>
        </w:rPr>
      </w:pPr>
      <w:hyperlink r:id="rId8" w:tgtFrame="_blank" w:history="1">
        <w:r w:rsidR="007C21CA" w:rsidRPr="004F6572">
          <w:rPr>
            <w:rStyle w:val="Hipervnculo"/>
            <w:rFonts w:ascii="Palatino Linotype" w:eastAsiaTheme="majorEastAsia" w:hAnsi="Palatino Linotype" w:cs="Arial"/>
            <w:b/>
            <w:bCs/>
            <w:color w:val="auto"/>
            <w:sz w:val="22"/>
            <w:u w:val="none"/>
          </w:rPr>
          <w:t>SOLICITUD 347-2022_0001.pdf</w:t>
        </w:r>
      </w:hyperlink>
      <w:r w:rsidR="007C21CA" w:rsidRPr="004F6572">
        <w:rPr>
          <w:rFonts w:ascii="Palatino Linotype" w:hAnsi="Palatino Linotype"/>
          <w:b/>
          <w:sz w:val="22"/>
        </w:rPr>
        <w:t>:</w:t>
      </w:r>
      <w:r w:rsidR="007C21CA" w:rsidRPr="004F6572">
        <w:rPr>
          <w:rFonts w:ascii="Palatino Linotype" w:hAnsi="Palatino Linotype"/>
          <w:sz w:val="22"/>
        </w:rPr>
        <w:t xml:space="preserve"> Oficio suscrito por el Titular de la Unidad de Transparencia, por medio del cual, refirió que la solicitud de información se turnó a la </w:t>
      </w:r>
      <w:r w:rsidR="007C21CA" w:rsidRPr="004F6572">
        <w:rPr>
          <w:rFonts w:ascii="Palatino Linotype" w:hAnsi="Palatino Linotype"/>
          <w:b/>
          <w:sz w:val="22"/>
        </w:rPr>
        <w:t>Dirección General de Administración</w:t>
      </w:r>
      <w:r w:rsidR="007C21CA" w:rsidRPr="004F6572">
        <w:rPr>
          <w:rFonts w:ascii="Palatino Linotype" w:hAnsi="Palatino Linotype"/>
          <w:sz w:val="22"/>
        </w:rPr>
        <w:t xml:space="preserve">, unidad administrativa que refirió hacer </w:t>
      </w:r>
      <w:r w:rsidR="007C21CA" w:rsidRPr="004F6572">
        <w:rPr>
          <w:rFonts w:ascii="Palatino Linotype" w:hAnsi="Palatino Linotype"/>
          <w:b/>
          <w:sz w:val="22"/>
        </w:rPr>
        <w:t>entrega de las facturas y bitácoras que dan cuenta de que a la</w:t>
      </w:r>
      <w:r w:rsidR="00047CFD" w:rsidRPr="004F6572">
        <w:rPr>
          <w:rFonts w:ascii="Palatino Linotype" w:hAnsi="Palatino Linotype"/>
          <w:b/>
          <w:sz w:val="22"/>
        </w:rPr>
        <w:t xml:space="preserve"> semana hay un gasto aproximado, </w:t>
      </w:r>
      <w:r w:rsidR="007C21CA" w:rsidRPr="004F6572">
        <w:rPr>
          <w:rFonts w:ascii="Palatino Linotype" w:hAnsi="Palatino Linotype"/>
          <w:b/>
          <w:sz w:val="22"/>
        </w:rPr>
        <w:t>por concepto de consumo de combustible de las diferentes áreas del Ayuntamiento de Texcoco</w:t>
      </w:r>
      <w:r w:rsidR="00047CFD" w:rsidRPr="004F6572">
        <w:rPr>
          <w:rFonts w:ascii="Palatino Linotype" w:hAnsi="Palatino Linotype"/>
          <w:b/>
          <w:sz w:val="22"/>
        </w:rPr>
        <w:t>, por la cantidad de $263,500.00 pesos.</w:t>
      </w:r>
      <w:r w:rsidR="007C21CA" w:rsidRPr="004F6572">
        <w:rPr>
          <w:rFonts w:ascii="Palatino Linotype" w:hAnsi="Palatino Linotype"/>
          <w:b/>
          <w:sz w:val="22"/>
        </w:rPr>
        <w:t xml:space="preserve"> </w:t>
      </w:r>
    </w:p>
    <w:p w14:paraId="2632D92E" w14:textId="33CDB086" w:rsidR="007C21CA" w:rsidRPr="004F6572" w:rsidRDefault="007C21CA" w:rsidP="007C21CA">
      <w:pPr>
        <w:ind w:left="567" w:right="539"/>
        <w:jc w:val="both"/>
        <w:rPr>
          <w:rFonts w:ascii="Palatino Linotype" w:hAnsi="Palatino Linotype"/>
          <w:sz w:val="22"/>
        </w:rPr>
      </w:pPr>
      <w:r w:rsidRPr="004F6572">
        <w:rPr>
          <w:rFonts w:ascii="Palatino Linotype" w:hAnsi="Palatino Linotype" w:cs="Arial"/>
          <w:b/>
          <w:bCs/>
          <w:sz w:val="22"/>
        </w:rPr>
        <w:br/>
      </w:r>
      <w:hyperlink r:id="rId9" w:tgtFrame="_blank" w:history="1">
        <w:r w:rsidRPr="004F6572">
          <w:rPr>
            <w:rStyle w:val="Hipervnculo"/>
            <w:rFonts w:ascii="Palatino Linotype" w:eastAsiaTheme="majorEastAsia" w:hAnsi="Palatino Linotype" w:cs="Arial"/>
            <w:b/>
            <w:bCs/>
            <w:color w:val="auto"/>
            <w:sz w:val="22"/>
            <w:u w:val="none"/>
          </w:rPr>
          <w:t>ANEXO 347 FACTURAS Y BITACORAS_0001.pdf</w:t>
        </w:r>
      </w:hyperlink>
      <w:r w:rsidRPr="004F6572">
        <w:rPr>
          <w:rFonts w:ascii="Palatino Linotype" w:hAnsi="Palatino Linotype"/>
          <w:b/>
          <w:sz w:val="22"/>
        </w:rPr>
        <w:t>:</w:t>
      </w:r>
      <w:r w:rsidR="00047CFD" w:rsidRPr="004F6572">
        <w:rPr>
          <w:rFonts w:ascii="Palatino Linotype" w:hAnsi="Palatino Linotype"/>
          <w:b/>
          <w:sz w:val="22"/>
        </w:rPr>
        <w:t xml:space="preserve"> </w:t>
      </w:r>
      <w:r w:rsidR="00047CFD" w:rsidRPr="004F6572">
        <w:rPr>
          <w:rFonts w:ascii="Palatino Linotype" w:hAnsi="Palatino Linotype"/>
          <w:sz w:val="22"/>
        </w:rPr>
        <w:t xml:space="preserve">Documento de 109 páginas, consistente en la </w:t>
      </w:r>
      <w:r w:rsidR="00047CFD" w:rsidRPr="004F6572">
        <w:rPr>
          <w:rFonts w:ascii="Palatino Linotype" w:hAnsi="Palatino Linotype"/>
          <w:b/>
          <w:sz w:val="22"/>
        </w:rPr>
        <w:t>copia digitalizada de diversas facturas y bitácoras de combustible, en versión pública.</w:t>
      </w:r>
    </w:p>
    <w:p w14:paraId="69313DDD" w14:textId="77777777" w:rsidR="007C21CA" w:rsidRPr="004F6572" w:rsidRDefault="007C21CA" w:rsidP="007C21CA">
      <w:pPr>
        <w:ind w:right="539"/>
        <w:jc w:val="both"/>
        <w:rPr>
          <w:rFonts w:ascii="Palatino Linotype" w:hAnsi="Palatino Linotype"/>
          <w:b/>
          <w:iCs/>
          <w:sz w:val="22"/>
        </w:rPr>
      </w:pPr>
    </w:p>
    <w:p w14:paraId="61B6C78E" w14:textId="1A087762" w:rsidR="00E93FC1" w:rsidRPr="004F6572" w:rsidRDefault="00047CFD"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4F6572">
        <w:rPr>
          <w:rFonts w:ascii="Palatino Linotype" w:hAnsi="Palatino Linotype" w:cs="Arial"/>
          <w:sz w:val="24"/>
          <w:lang w:val="es-ES"/>
        </w:rPr>
        <w:t xml:space="preserve">El diez de octubre </w:t>
      </w:r>
      <w:r w:rsidR="00826820" w:rsidRPr="004F6572">
        <w:rPr>
          <w:rFonts w:ascii="Palatino Linotype" w:hAnsi="Palatino Linotype" w:cs="Arial"/>
          <w:sz w:val="24"/>
          <w:lang w:val="es-ES"/>
        </w:rPr>
        <w:t>de dos mil veintidós</w:t>
      </w:r>
      <w:r w:rsidR="00E93FC1" w:rsidRPr="004F6572">
        <w:rPr>
          <w:rFonts w:ascii="Palatino Linotype" w:hAnsi="Palatino Linotype" w:cs="Arial"/>
          <w:b/>
          <w:sz w:val="24"/>
          <w:lang w:val="es-ES"/>
        </w:rPr>
        <w:t>,</w:t>
      </w:r>
      <w:r w:rsidR="00BC1008" w:rsidRPr="004F6572">
        <w:rPr>
          <w:rFonts w:ascii="Palatino Linotype" w:hAnsi="Palatino Linotype" w:cs="Arial"/>
          <w:sz w:val="24"/>
          <w:lang w:val="es-ES"/>
        </w:rPr>
        <w:t xml:space="preserve"> </w:t>
      </w:r>
      <w:r w:rsidR="00E93FC1" w:rsidRPr="004F6572">
        <w:rPr>
          <w:rFonts w:ascii="Palatino Linotype" w:hAnsi="Palatino Linotype" w:cs="Arial"/>
          <w:sz w:val="24"/>
          <w:lang w:val="es-ES"/>
        </w:rPr>
        <w:t>l</w:t>
      </w:r>
      <w:r w:rsidR="00BC1008" w:rsidRPr="004F6572">
        <w:rPr>
          <w:rFonts w:ascii="Palatino Linotype" w:hAnsi="Palatino Linotype" w:cs="Arial"/>
          <w:sz w:val="24"/>
          <w:lang w:val="es-ES"/>
        </w:rPr>
        <w:t>a</w:t>
      </w:r>
      <w:r w:rsidR="00E93FC1" w:rsidRPr="004F6572">
        <w:rPr>
          <w:rFonts w:ascii="Palatino Linotype" w:hAnsi="Palatino Linotype" w:cs="Arial"/>
          <w:sz w:val="24"/>
          <w:lang w:val="es-ES"/>
        </w:rPr>
        <w:t xml:space="preserve"> </w:t>
      </w:r>
      <w:r w:rsidR="003C3850" w:rsidRPr="004F6572">
        <w:rPr>
          <w:rFonts w:ascii="Palatino Linotype" w:hAnsi="Palatino Linotype" w:cs="Arial"/>
          <w:b/>
          <w:bCs/>
          <w:sz w:val="24"/>
          <w:lang w:val="es-ES"/>
        </w:rPr>
        <w:t xml:space="preserve">RECURRENTE </w:t>
      </w:r>
      <w:r w:rsidR="00E93FC1" w:rsidRPr="004F6572">
        <w:rPr>
          <w:rFonts w:ascii="Palatino Linotype" w:hAnsi="Palatino Linotype" w:cs="Arial"/>
          <w:sz w:val="24"/>
          <w:lang w:val="es-ES"/>
        </w:rPr>
        <w:t xml:space="preserve">interpuso </w:t>
      </w:r>
      <w:r w:rsidR="00686B08" w:rsidRPr="004F6572">
        <w:rPr>
          <w:rFonts w:ascii="Palatino Linotype" w:hAnsi="Palatino Linotype" w:cs="Arial"/>
          <w:sz w:val="24"/>
          <w:lang w:val="es-ES"/>
        </w:rPr>
        <w:t xml:space="preserve">el </w:t>
      </w:r>
      <w:r w:rsidR="00E93FC1" w:rsidRPr="004F6572">
        <w:rPr>
          <w:rFonts w:ascii="Palatino Linotype" w:hAnsi="Palatino Linotype" w:cs="Arial"/>
          <w:sz w:val="24"/>
          <w:lang w:val="es-ES"/>
        </w:rPr>
        <w:t>recurso de revisión</w:t>
      </w:r>
      <w:r w:rsidRPr="004F6572">
        <w:rPr>
          <w:rFonts w:ascii="Palatino Linotype" w:hAnsi="Palatino Linotype" w:cs="Arial"/>
          <w:sz w:val="24"/>
          <w:lang w:val="es-ES"/>
        </w:rPr>
        <w:t xml:space="preserve"> </w:t>
      </w:r>
      <w:r w:rsidRPr="004F6572">
        <w:rPr>
          <w:rFonts w:ascii="Palatino Linotype" w:eastAsia="Calibri" w:hAnsi="Palatino Linotype" w:cs="Tahoma"/>
          <w:b/>
          <w:bCs/>
          <w:sz w:val="24"/>
          <w:lang w:eastAsia="en-US"/>
        </w:rPr>
        <w:t>15478/INFOEM/IP/RR/2022</w:t>
      </w:r>
      <w:r w:rsidR="00E93FC1" w:rsidRPr="004F6572">
        <w:rPr>
          <w:rFonts w:ascii="Palatino Linotype" w:hAnsi="Palatino Linotype" w:cs="Arial"/>
          <w:sz w:val="24"/>
          <w:lang w:val="es-ES"/>
        </w:rPr>
        <w:t>, señalando como:</w:t>
      </w:r>
    </w:p>
    <w:bookmarkEnd w:id="4"/>
    <w:bookmarkEnd w:id="5"/>
    <w:bookmarkEnd w:id="6"/>
    <w:p w14:paraId="039FB3E9" w14:textId="77777777" w:rsidR="00343CA0" w:rsidRPr="004F6572" w:rsidRDefault="00E93FC1" w:rsidP="00ED613E">
      <w:pPr>
        <w:ind w:left="567" w:right="539"/>
        <w:jc w:val="both"/>
        <w:rPr>
          <w:rFonts w:ascii="Palatino Linotype" w:eastAsia="Calibri" w:hAnsi="Palatino Linotype" w:cs="Arial"/>
          <w:i/>
          <w:sz w:val="22"/>
          <w:lang w:val="es-ES"/>
        </w:rPr>
      </w:pPr>
      <w:r w:rsidRPr="004F6572">
        <w:rPr>
          <w:rFonts w:ascii="Palatino Linotype" w:eastAsia="Calibri" w:hAnsi="Palatino Linotype" w:cs="Arial"/>
          <w:b/>
          <w:sz w:val="22"/>
          <w:lang w:val="es-ES"/>
        </w:rPr>
        <w:t>Acto impugnado:</w:t>
      </w:r>
      <w:r w:rsidRPr="004F6572">
        <w:rPr>
          <w:rFonts w:ascii="Palatino Linotype" w:eastAsia="Calibri" w:hAnsi="Palatino Linotype" w:cs="Arial"/>
          <w:i/>
          <w:sz w:val="22"/>
          <w:lang w:val="es-ES"/>
        </w:rPr>
        <w:t xml:space="preserve"> </w:t>
      </w:r>
    </w:p>
    <w:p w14:paraId="14C55AA6" w14:textId="6D96342B" w:rsidR="00E93FC1" w:rsidRPr="004F6572" w:rsidRDefault="00E93FC1" w:rsidP="00ED613E">
      <w:pPr>
        <w:ind w:left="567" w:right="539"/>
        <w:jc w:val="both"/>
        <w:rPr>
          <w:rFonts w:ascii="Palatino Linotype" w:hAnsi="Palatino Linotype"/>
          <w:i/>
          <w:sz w:val="22"/>
        </w:rPr>
      </w:pPr>
      <w:r w:rsidRPr="004F6572">
        <w:rPr>
          <w:rFonts w:ascii="Palatino Linotype" w:eastAsia="Calibri" w:hAnsi="Palatino Linotype" w:cs="Arial"/>
          <w:i/>
          <w:iCs/>
          <w:sz w:val="22"/>
          <w:lang w:val="es-ES"/>
        </w:rPr>
        <w:t>“</w:t>
      </w:r>
      <w:r w:rsidR="00047CFD" w:rsidRPr="004F6572">
        <w:rPr>
          <w:rFonts w:ascii="Palatino Linotype" w:hAnsi="Palatino Linotype"/>
          <w:i/>
          <w:color w:val="000000"/>
          <w:sz w:val="22"/>
        </w:rPr>
        <w:t>la respuesta</w:t>
      </w:r>
      <w:r w:rsidR="00A95951" w:rsidRPr="004F6572">
        <w:rPr>
          <w:rFonts w:ascii="Palatino Linotype" w:hAnsi="Palatino Linotype"/>
          <w:i/>
          <w:iCs/>
          <w:color w:val="000000"/>
          <w:sz w:val="22"/>
        </w:rPr>
        <w:t>” (Sic)</w:t>
      </w:r>
    </w:p>
    <w:p w14:paraId="6F27AF4B" w14:textId="77777777" w:rsidR="00A95951" w:rsidRPr="004F6572" w:rsidRDefault="00A95951" w:rsidP="00ED613E">
      <w:pPr>
        <w:ind w:left="567" w:right="539"/>
        <w:jc w:val="both"/>
        <w:rPr>
          <w:rFonts w:ascii="Palatino Linotype" w:hAnsi="Palatino Linotype"/>
          <w:i/>
          <w:sz w:val="22"/>
        </w:rPr>
      </w:pPr>
    </w:p>
    <w:p w14:paraId="366CE518" w14:textId="77777777" w:rsidR="00826820" w:rsidRPr="004F6572" w:rsidRDefault="00E93FC1" w:rsidP="00ED613E">
      <w:pPr>
        <w:ind w:left="567" w:right="539"/>
        <w:jc w:val="both"/>
        <w:rPr>
          <w:rFonts w:ascii="Palatino Linotype" w:eastAsia="MS Mincho" w:hAnsi="Palatino Linotype"/>
          <w:i/>
          <w:sz w:val="22"/>
        </w:rPr>
      </w:pPr>
      <w:r w:rsidRPr="004F6572">
        <w:rPr>
          <w:rFonts w:ascii="Palatino Linotype" w:eastAsia="MS Gothic" w:hAnsi="Palatino Linotype"/>
          <w:b/>
          <w:sz w:val="22"/>
          <w:lang w:val="es-ES"/>
        </w:rPr>
        <w:t>Razones o Motivos de inconformidad</w:t>
      </w:r>
      <w:r w:rsidRPr="004F6572">
        <w:rPr>
          <w:rFonts w:ascii="Palatino Linotype" w:eastAsia="MS Mincho" w:hAnsi="Palatino Linotype"/>
          <w:i/>
          <w:sz w:val="22"/>
        </w:rPr>
        <w:t xml:space="preserve">: </w:t>
      </w:r>
    </w:p>
    <w:p w14:paraId="2CA779C5" w14:textId="42A5C05E" w:rsidR="005F1134" w:rsidRPr="004F6572" w:rsidRDefault="00343CA0" w:rsidP="00343CA0">
      <w:pPr>
        <w:ind w:left="567" w:right="539"/>
        <w:jc w:val="both"/>
        <w:rPr>
          <w:rFonts w:ascii="Palatino Linotype" w:hAnsi="Palatino Linotype"/>
          <w:i/>
          <w:sz w:val="22"/>
        </w:rPr>
      </w:pPr>
      <w:r w:rsidRPr="004F6572">
        <w:rPr>
          <w:rFonts w:ascii="Palatino Linotype" w:eastAsia="MS Mincho" w:hAnsi="Palatino Linotype"/>
          <w:i/>
          <w:sz w:val="22"/>
        </w:rPr>
        <w:t>“</w:t>
      </w:r>
      <w:r w:rsidR="00047CFD" w:rsidRPr="004F6572">
        <w:rPr>
          <w:rFonts w:ascii="Palatino Linotype" w:hAnsi="Palatino Linotype"/>
          <w:i/>
          <w:color w:val="000000"/>
          <w:sz w:val="22"/>
        </w:rPr>
        <w:t xml:space="preserve">faltan </w:t>
      </w:r>
      <w:proofErr w:type="spellStart"/>
      <w:r w:rsidR="00047CFD" w:rsidRPr="004F6572">
        <w:rPr>
          <w:rFonts w:ascii="Palatino Linotype" w:hAnsi="Palatino Linotype"/>
          <w:i/>
          <w:color w:val="000000"/>
          <w:sz w:val="22"/>
        </w:rPr>
        <w:t>bitcoras</w:t>
      </w:r>
      <w:proofErr w:type="spellEnd"/>
      <w:r w:rsidRPr="004F6572">
        <w:rPr>
          <w:rFonts w:ascii="Palatino Linotype" w:hAnsi="Palatino Linotype"/>
          <w:i/>
          <w:color w:val="000000"/>
          <w:sz w:val="22"/>
        </w:rPr>
        <w:t>” (Sic)</w:t>
      </w:r>
    </w:p>
    <w:p w14:paraId="4FC94033" w14:textId="77777777" w:rsidR="00734B74" w:rsidRPr="004F6572" w:rsidRDefault="00734B74" w:rsidP="00734B74">
      <w:pPr>
        <w:spacing w:before="240" w:after="240" w:line="360" w:lineRule="auto"/>
        <w:contextualSpacing/>
        <w:jc w:val="both"/>
        <w:rPr>
          <w:rFonts w:ascii="Palatino Linotype" w:eastAsia="MS Mincho" w:hAnsi="Palatino Linotype"/>
          <w:iCs/>
          <w:color w:val="000000"/>
        </w:rPr>
      </w:pPr>
    </w:p>
    <w:p w14:paraId="2C882EF3" w14:textId="497F7265" w:rsidR="009747C6" w:rsidRPr="004F6572"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4F6572">
        <w:rPr>
          <w:rFonts w:ascii="Palatino Linotype" w:eastAsia="MS Mincho" w:hAnsi="Palatino Linotype"/>
          <w:iCs/>
          <w:color w:val="000000"/>
        </w:rPr>
        <w:lastRenderedPageBreak/>
        <w:t xml:space="preserve">La </w:t>
      </w:r>
      <w:r w:rsidRPr="004F6572">
        <w:rPr>
          <w:rFonts w:ascii="Palatino Linotype" w:eastAsia="Calibri" w:hAnsi="Palatino Linotype" w:cs="Arial"/>
          <w:iCs/>
          <w:lang w:val="es-ES"/>
        </w:rPr>
        <w:t>Comisionada</w:t>
      </w:r>
      <w:r w:rsidRPr="004F6572">
        <w:rPr>
          <w:rFonts w:ascii="Palatino Linotype" w:eastAsia="Calibri" w:hAnsi="Palatino Linotype" w:cs="Arial"/>
          <w:lang w:val="es-ES"/>
        </w:rPr>
        <w:t xml:space="preserve"> Ponente, con fundamento en lo dispuesto por el artículo 185 fracción II de la ley de la materia, a través de</w:t>
      </w:r>
      <w:r w:rsidR="00686B08" w:rsidRPr="004F6572">
        <w:rPr>
          <w:rFonts w:ascii="Palatino Linotype" w:eastAsia="Calibri" w:hAnsi="Palatino Linotype" w:cs="Arial"/>
          <w:lang w:val="es-ES"/>
        </w:rPr>
        <w:t>l</w:t>
      </w:r>
      <w:r w:rsidRPr="004F6572">
        <w:rPr>
          <w:rFonts w:ascii="Palatino Linotype" w:eastAsia="Calibri" w:hAnsi="Palatino Linotype" w:cs="Arial"/>
          <w:lang w:val="es-ES"/>
        </w:rPr>
        <w:t xml:space="preserve"> acuerdo</w:t>
      </w:r>
      <w:r w:rsidR="00686B08" w:rsidRPr="004F6572">
        <w:rPr>
          <w:rFonts w:ascii="Palatino Linotype" w:eastAsia="Calibri" w:hAnsi="Palatino Linotype" w:cs="Arial"/>
          <w:lang w:val="es-ES"/>
        </w:rPr>
        <w:t xml:space="preserve"> </w:t>
      </w:r>
      <w:r w:rsidRPr="004F6572">
        <w:rPr>
          <w:rFonts w:ascii="Palatino Linotype" w:eastAsia="Calibri" w:hAnsi="Palatino Linotype" w:cs="Arial"/>
          <w:lang w:val="es-ES"/>
        </w:rPr>
        <w:t xml:space="preserve">de admisión del </w:t>
      </w:r>
      <w:r w:rsidR="00047CFD" w:rsidRPr="004F6572">
        <w:rPr>
          <w:rFonts w:ascii="Palatino Linotype" w:eastAsia="Calibri" w:hAnsi="Palatino Linotype" w:cs="Arial"/>
          <w:lang w:val="es-ES"/>
        </w:rPr>
        <w:t>once de octubre</w:t>
      </w:r>
      <w:r w:rsidR="00826820" w:rsidRPr="004F6572">
        <w:rPr>
          <w:rFonts w:ascii="Palatino Linotype" w:eastAsia="Calibri" w:hAnsi="Palatino Linotype" w:cs="Arial"/>
          <w:lang w:val="es-ES"/>
        </w:rPr>
        <w:t xml:space="preserve"> de dos mil veintidós</w:t>
      </w:r>
      <w:r w:rsidRPr="004F6572">
        <w:rPr>
          <w:rFonts w:ascii="Palatino Linotype" w:eastAsia="Calibri" w:hAnsi="Palatino Linotype" w:cs="Arial"/>
          <w:lang w:val="es-ES"/>
        </w:rPr>
        <w:t xml:space="preserve">, puso a disposición de las partes </w:t>
      </w:r>
      <w:r w:rsidR="00686B08" w:rsidRPr="004F6572">
        <w:rPr>
          <w:rFonts w:ascii="Palatino Linotype" w:eastAsia="Calibri" w:hAnsi="Palatino Linotype" w:cs="Arial"/>
          <w:lang w:val="es-ES"/>
        </w:rPr>
        <w:t xml:space="preserve">el </w:t>
      </w:r>
      <w:r w:rsidRPr="004F6572">
        <w:rPr>
          <w:rFonts w:ascii="Palatino Linotype" w:eastAsia="Calibri" w:hAnsi="Palatino Linotype" w:cs="Arial"/>
          <w:lang w:val="es-ES"/>
        </w:rPr>
        <w:t xml:space="preserve"> expediente</w:t>
      </w:r>
      <w:r w:rsidR="00686B08" w:rsidRPr="004F6572">
        <w:rPr>
          <w:rFonts w:ascii="Palatino Linotype" w:eastAsia="Calibri" w:hAnsi="Palatino Linotype" w:cs="Arial"/>
          <w:lang w:val="es-ES"/>
        </w:rPr>
        <w:t xml:space="preserve"> </w:t>
      </w:r>
      <w:r w:rsidRPr="004F6572">
        <w:rPr>
          <w:rFonts w:ascii="Palatino Linotype" w:eastAsia="Calibri" w:hAnsi="Palatino Linotype" w:cs="Arial"/>
          <w:lang w:val="es-ES"/>
        </w:rPr>
        <w:t xml:space="preserve">electrónicos </w:t>
      </w:r>
      <w:r w:rsidRPr="004F6572">
        <w:rPr>
          <w:rFonts w:ascii="Palatino Linotype" w:eastAsia="Calibri" w:hAnsi="Palatino Linotype" w:cs="Arial"/>
        </w:rPr>
        <w:t xml:space="preserve">vía </w:t>
      </w:r>
      <w:r w:rsidRPr="004F6572">
        <w:rPr>
          <w:rFonts w:ascii="Palatino Linotype" w:eastAsia="Calibri" w:hAnsi="Palatino Linotype" w:cs="Arial"/>
          <w:lang w:val="es-ES"/>
        </w:rPr>
        <w:t xml:space="preserve">Sistema de Acceso a la Información Mexiquense </w:t>
      </w:r>
      <w:r w:rsidRPr="004F6572">
        <w:rPr>
          <w:rFonts w:ascii="Palatino Linotype" w:eastAsia="Calibri" w:hAnsi="Palatino Linotype" w:cs="Arial"/>
          <w:b/>
          <w:lang w:val="es-ES"/>
        </w:rPr>
        <w:t xml:space="preserve">SAIMEX </w:t>
      </w:r>
      <w:r w:rsidRPr="004F6572">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4F6572">
        <w:rPr>
          <w:rFonts w:ascii="Palatino Linotype" w:eastAsia="Calibri" w:hAnsi="Palatino Linotype" w:cs="Arial"/>
          <w:b/>
          <w:lang w:val="es-ES"/>
        </w:rPr>
        <w:t>SUJETO OBLIGADO</w:t>
      </w:r>
      <w:r w:rsidRPr="004F6572">
        <w:rPr>
          <w:rFonts w:ascii="Palatino Linotype" w:eastAsia="Calibri" w:hAnsi="Palatino Linotype" w:cs="Arial"/>
          <w:lang w:val="es-ES"/>
        </w:rPr>
        <w:t xml:space="preserve"> presentara </w:t>
      </w:r>
      <w:r w:rsidR="00686B08" w:rsidRPr="004F6572">
        <w:rPr>
          <w:rFonts w:ascii="Palatino Linotype" w:eastAsia="Calibri" w:hAnsi="Palatino Linotype" w:cs="Arial"/>
          <w:lang w:val="es-ES"/>
        </w:rPr>
        <w:t>el</w:t>
      </w:r>
      <w:r w:rsidRPr="004F6572">
        <w:rPr>
          <w:rFonts w:ascii="Palatino Linotype" w:eastAsia="Calibri" w:hAnsi="Palatino Linotype" w:cs="Arial"/>
          <w:lang w:val="es-ES"/>
        </w:rPr>
        <w:t xml:space="preserve"> Informe Justificado</w:t>
      </w:r>
      <w:r w:rsidR="00686B08" w:rsidRPr="004F6572">
        <w:rPr>
          <w:rFonts w:ascii="Palatino Linotype" w:eastAsia="Calibri" w:hAnsi="Palatino Linotype" w:cs="Arial"/>
          <w:lang w:val="es-ES"/>
        </w:rPr>
        <w:t xml:space="preserve"> </w:t>
      </w:r>
      <w:r w:rsidRPr="004F6572">
        <w:rPr>
          <w:rFonts w:ascii="Palatino Linotype" w:eastAsia="Calibri" w:hAnsi="Palatino Linotype" w:cs="Arial"/>
          <w:lang w:val="es-ES"/>
        </w:rPr>
        <w:t>procedente</w:t>
      </w:r>
      <w:r w:rsidR="00686B08" w:rsidRPr="004F6572">
        <w:rPr>
          <w:rFonts w:ascii="Palatino Linotype" w:eastAsia="Calibri" w:hAnsi="Palatino Linotype" w:cs="Arial"/>
          <w:lang w:val="es-ES"/>
        </w:rPr>
        <w:t>.</w:t>
      </w:r>
    </w:p>
    <w:p w14:paraId="29D611BB" w14:textId="77777777" w:rsidR="001532BF" w:rsidRPr="004F6572" w:rsidRDefault="001532BF" w:rsidP="001532BF">
      <w:pPr>
        <w:spacing w:before="240" w:after="240" w:line="360" w:lineRule="auto"/>
        <w:contextualSpacing/>
        <w:jc w:val="both"/>
        <w:rPr>
          <w:rFonts w:ascii="Palatino Linotype" w:eastAsia="MS Mincho" w:hAnsi="Palatino Linotype"/>
          <w:i/>
          <w:color w:val="000000"/>
        </w:rPr>
      </w:pPr>
    </w:p>
    <w:p w14:paraId="1694BC46" w14:textId="04C394F7" w:rsidR="00826820" w:rsidRPr="004F6572" w:rsidRDefault="001532BF" w:rsidP="00343CA0">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MS Mincho" w:hAnsi="Palatino Linotype"/>
          <w:iCs/>
          <w:color w:val="000000"/>
        </w:rPr>
        <w:t>El</w:t>
      </w:r>
      <w:r w:rsidR="000E3DDC" w:rsidRPr="004F6572">
        <w:rPr>
          <w:rFonts w:ascii="Palatino Linotype" w:eastAsia="MS Mincho" w:hAnsi="Palatino Linotype"/>
          <w:iCs/>
          <w:color w:val="000000"/>
        </w:rPr>
        <w:t xml:space="preserve"> </w:t>
      </w:r>
      <w:r w:rsidR="00047CFD" w:rsidRPr="004F6572">
        <w:rPr>
          <w:rFonts w:ascii="Palatino Linotype" w:eastAsia="MS Mincho" w:hAnsi="Palatino Linotype"/>
          <w:iCs/>
          <w:color w:val="000000"/>
        </w:rPr>
        <w:t>siete de noviembre</w:t>
      </w:r>
      <w:r w:rsidR="00826820" w:rsidRPr="004F6572">
        <w:rPr>
          <w:rFonts w:ascii="Palatino Linotype" w:eastAsia="MS Mincho" w:hAnsi="Palatino Linotype"/>
          <w:iCs/>
          <w:color w:val="000000"/>
        </w:rPr>
        <w:t xml:space="preserve"> de dos mil veintidós, el </w:t>
      </w:r>
      <w:r w:rsidRPr="004F6572">
        <w:rPr>
          <w:rFonts w:ascii="Palatino Linotype" w:eastAsiaTheme="minorEastAsia" w:hAnsi="Palatino Linotype"/>
          <w:b/>
          <w:bCs/>
          <w:iCs/>
          <w:lang w:val="es-ES_tradnl" w:eastAsia="es-ES"/>
        </w:rPr>
        <w:t>SUJETO OBLIGADO</w:t>
      </w:r>
      <w:r w:rsidR="00CD1847" w:rsidRPr="004F6572">
        <w:rPr>
          <w:rFonts w:ascii="Palatino Linotype" w:eastAsiaTheme="minorEastAsia" w:hAnsi="Palatino Linotype"/>
          <w:b/>
          <w:bCs/>
          <w:iCs/>
          <w:lang w:val="es-ES_tradnl" w:eastAsia="es-ES"/>
        </w:rPr>
        <w:t xml:space="preserve"> </w:t>
      </w:r>
      <w:r w:rsidRPr="004F6572">
        <w:rPr>
          <w:rFonts w:ascii="Palatino Linotype" w:eastAsiaTheme="minorEastAsia" w:hAnsi="Palatino Linotype"/>
          <w:iCs/>
          <w:lang w:val="es-ES_tradnl" w:eastAsia="es-ES"/>
        </w:rPr>
        <w:t xml:space="preserve">rindió </w:t>
      </w:r>
      <w:r w:rsidR="00C82FE5" w:rsidRPr="004F6572">
        <w:rPr>
          <w:rFonts w:ascii="Palatino Linotype" w:eastAsiaTheme="minorEastAsia" w:hAnsi="Palatino Linotype"/>
          <w:iCs/>
          <w:lang w:val="es-ES_tradnl" w:eastAsia="es-ES"/>
        </w:rPr>
        <w:t>el</w:t>
      </w:r>
      <w:r w:rsidR="00D92924" w:rsidRPr="004F6572">
        <w:rPr>
          <w:rFonts w:ascii="Palatino Linotype" w:eastAsiaTheme="minorEastAsia" w:hAnsi="Palatino Linotype"/>
          <w:iCs/>
          <w:lang w:val="es-ES_tradnl" w:eastAsia="es-ES"/>
        </w:rPr>
        <w:t xml:space="preserve"> </w:t>
      </w:r>
      <w:r w:rsidRPr="004F6572">
        <w:rPr>
          <w:rFonts w:ascii="Palatino Linotype" w:eastAsiaTheme="minorEastAsia" w:hAnsi="Palatino Linotype"/>
          <w:iCs/>
          <w:lang w:val="es-ES_tradnl" w:eastAsia="es-ES"/>
        </w:rPr>
        <w:t>informe justificado</w:t>
      </w:r>
      <w:r w:rsidR="00047CFD" w:rsidRPr="004F6572">
        <w:rPr>
          <w:rFonts w:ascii="Palatino Linotype" w:eastAsiaTheme="minorEastAsia" w:hAnsi="Palatino Linotype"/>
          <w:iCs/>
          <w:lang w:val="es-ES_tradnl" w:eastAsia="es-ES"/>
        </w:rPr>
        <w:t xml:space="preserve"> correspondiente,</w:t>
      </w:r>
      <w:r w:rsidR="00C82FE5" w:rsidRPr="004F6572">
        <w:rPr>
          <w:rFonts w:ascii="Palatino Linotype" w:eastAsiaTheme="minorEastAsia" w:hAnsi="Palatino Linotype"/>
          <w:iCs/>
          <w:lang w:val="es-ES_tradnl" w:eastAsia="es-ES"/>
        </w:rPr>
        <w:t xml:space="preserve"> </w:t>
      </w:r>
      <w:r w:rsidR="00826820" w:rsidRPr="004F6572">
        <w:rPr>
          <w:rFonts w:ascii="Palatino Linotype" w:eastAsiaTheme="minorEastAsia" w:hAnsi="Palatino Linotype"/>
          <w:iCs/>
          <w:lang w:val="es-ES_tradnl" w:eastAsia="es-ES"/>
        </w:rPr>
        <w:t>por</w:t>
      </w:r>
      <w:r w:rsidR="00343CA0" w:rsidRPr="004F6572">
        <w:rPr>
          <w:rFonts w:ascii="Palatino Linotype" w:eastAsiaTheme="minorEastAsia" w:hAnsi="Palatino Linotype"/>
          <w:iCs/>
          <w:lang w:val="es-ES_tradnl" w:eastAsia="es-ES"/>
        </w:rPr>
        <w:t xml:space="preserve"> medio de los siguientes archivos electrónicos:</w:t>
      </w:r>
    </w:p>
    <w:p w14:paraId="5E366DB8" w14:textId="241B879E" w:rsidR="00047CFD" w:rsidRPr="004F6572" w:rsidRDefault="00274A15" w:rsidP="00C254C4">
      <w:pPr>
        <w:spacing w:before="240" w:after="240"/>
        <w:ind w:left="567" w:right="539"/>
        <w:contextualSpacing/>
        <w:jc w:val="both"/>
        <w:rPr>
          <w:rFonts w:ascii="Palatino Linotype" w:hAnsi="Palatino Linotype"/>
          <w:b/>
          <w:sz w:val="22"/>
        </w:rPr>
      </w:pPr>
      <w:hyperlink r:id="rId10" w:history="1">
        <w:r w:rsidR="00047CFD" w:rsidRPr="004F6572">
          <w:rPr>
            <w:rStyle w:val="Hipervnculo"/>
            <w:rFonts w:ascii="Palatino Linotype" w:eastAsiaTheme="majorEastAsia" w:hAnsi="Palatino Linotype" w:cs="Arial"/>
            <w:b/>
            <w:bCs/>
            <w:color w:val="auto"/>
            <w:sz w:val="22"/>
            <w:u w:val="none"/>
          </w:rPr>
          <w:t>BITACORAS GASOLINA.pdf</w:t>
        </w:r>
      </w:hyperlink>
      <w:r w:rsidR="00047CFD" w:rsidRPr="004F6572">
        <w:rPr>
          <w:rFonts w:ascii="Palatino Linotype" w:hAnsi="Palatino Linotype"/>
          <w:b/>
          <w:sz w:val="22"/>
        </w:rPr>
        <w:t xml:space="preserve">: </w:t>
      </w:r>
      <w:r w:rsidR="00047CFD" w:rsidRPr="004F6572">
        <w:rPr>
          <w:rFonts w:ascii="Palatino Linotype" w:hAnsi="Palatino Linotype"/>
          <w:sz w:val="22"/>
        </w:rPr>
        <w:t xml:space="preserve">Documento de 106 páginas, consistente en la </w:t>
      </w:r>
      <w:r w:rsidR="00047CFD" w:rsidRPr="004F6572">
        <w:rPr>
          <w:rFonts w:ascii="Palatino Linotype" w:hAnsi="Palatino Linotype"/>
          <w:b/>
          <w:sz w:val="22"/>
        </w:rPr>
        <w:t>copia digitalizada de diversas facturas y bitácoras de combustible, en versión pública.</w:t>
      </w:r>
    </w:p>
    <w:p w14:paraId="4F2E7038" w14:textId="77777777" w:rsidR="00047CFD" w:rsidRPr="004F6572" w:rsidRDefault="00047CFD" w:rsidP="00C254C4">
      <w:pPr>
        <w:spacing w:before="240" w:after="240"/>
        <w:ind w:right="539"/>
        <w:contextualSpacing/>
        <w:jc w:val="both"/>
        <w:rPr>
          <w:rFonts w:ascii="Palatino Linotype" w:hAnsi="Palatino Linotype"/>
          <w:b/>
          <w:sz w:val="22"/>
        </w:rPr>
      </w:pPr>
    </w:p>
    <w:p w14:paraId="5888CCB6" w14:textId="142D2A91" w:rsidR="00047CFD" w:rsidRPr="004F6572" w:rsidRDefault="00274A15" w:rsidP="00C254C4">
      <w:pPr>
        <w:spacing w:before="240" w:after="240"/>
        <w:ind w:left="567" w:right="539"/>
        <w:contextualSpacing/>
        <w:jc w:val="both"/>
        <w:rPr>
          <w:rFonts w:ascii="Palatino Linotype" w:eastAsiaTheme="minorEastAsia" w:hAnsi="Palatino Linotype"/>
          <w:iCs/>
          <w:sz w:val="22"/>
          <w:lang w:eastAsia="es-ES"/>
        </w:rPr>
      </w:pPr>
      <w:hyperlink r:id="rId11" w:history="1">
        <w:r w:rsidR="00047CFD" w:rsidRPr="004F6572">
          <w:rPr>
            <w:rStyle w:val="Hipervnculo"/>
            <w:rFonts w:ascii="Palatino Linotype" w:eastAsiaTheme="majorEastAsia" w:hAnsi="Palatino Linotype" w:cs="Arial"/>
            <w:b/>
            <w:bCs/>
            <w:color w:val="auto"/>
            <w:sz w:val="22"/>
            <w:u w:val="none"/>
          </w:rPr>
          <w:t>RECURSO REVISIÓN 15478-2022.pdf</w:t>
        </w:r>
      </w:hyperlink>
      <w:r w:rsidR="00047CFD" w:rsidRPr="004F6572">
        <w:rPr>
          <w:rFonts w:ascii="Palatino Linotype" w:hAnsi="Palatino Linotype"/>
          <w:b/>
          <w:sz w:val="22"/>
        </w:rPr>
        <w:t xml:space="preserve">: </w:t>
      </w:r>
      <w:r w:rsidR="00047CFD" w:rsidRPr="004F6572">
        <w:rPr>
          <w:rFonts w:ascii="Palatino Linotype" w:hAnsi="Palatino Linotype"/>
          <w:sz w:val="22"/>
        </w:rPr>
        <w:t>Oficio suscrito por el Titular de la Unidad de Transparencia, por medio del cual, informó que la</w:t>
      </w:r>
      <w:r w:rsidR="00047CFD" w:rsidRPr="004F6572">
        <w:rPr>
          <w:rFonts w:ascii="Palatino Linotype" w:hAnsi="Palatino Linotype"/>
          <w:b/>
          <w:sz w:val="22"/>
        </w:rPr>
        <w:t xml:space="preserve"> Dirección General de Administración del Ayuntamiento de Texcoco</w:t>
      </w:r>
      <w:r w:rsidR="00C254C4" w:rsidRPr="004F6572">
        <w:rPr>
          <w:rFonts w:ascii="Palatino Linotype" w:hAnsi="Palatino Linotype"/>
          <w:b/>
          <w:sz w:val="22"/>
        </w:rPr>
        <w:t xml:space="preserve"> remitió en formato PDF las bitácoras de consumo de gasolina.</w:t>
      </w:r>
    </w:p>
    <w:p w14:paraId="0F05DA60" w14:textId="77777777" w:rsidR="00826820" w:rsidRPr="004F6572" w:rsidRDefault="00826820" w:rsidP="00A76CD6">
      <w:pPr>
        <w:rPr>
          <w:rFonts w:ascii="Palatino Linotype" w:eastAsiaTheme="minorEastAsia" w:hAnsi="Palatino Linotype"/>
          <w:iCs/>
          <w:lang w:val="es-ES_tradnl" w:eastAsia="es-ES"/>
        </w:rPr>
      </w:pPr>
    </w:p>
    <w:p w14:paraId="14EED4FA" w14:textId="77777777" w:rsidR="00A76CD6" w:rsidRPr="004F6572" w:rsidRDefault="00A76CD6" w:rsidP="00464CEB">
      <w:pPr>
        <w:rPr>
          <w:rFonts w:ascii="Palatino Linotype" w:eastAsia="MS Mincho" w:hAnsi="Palatino Linotype"/>
          <w:b/>
        </w:rPr>
      </w:pPr>
    </w:p>
    <w:p w14:paraId="6F023D4B" w14:textId="04FDDAB7"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MS Mincho" w:hAnsi="Palatino Linotype"/>
        </w:rPr>
        <w:t xml:space="preserve">El </w:t>
      </w:r>
      <w:r w:rsidR="00C254C4" w:rsidRPr="004F6572">
        <w:rPr>
          <w:rFonts w:ascii="Palatino Linotype" w:eastAsia="MS Mincho" w:hAnsi="Palatino Linotype"/>
        </w:rPr>
        <w:t>doce de diciembre</w:t>
      </w:r>
      <w:r w:rsidR="00464CEB" w:rsidRPr="004F6572">
        <w:rPr>
          <w:rFonts w:ascii="Palatino Linotype" w:eastAsia="MS Mincho" w:hAnsi="Palatino Linotype"/>
        </w:rPr>
        <w:t xml:space="preserve"> de dos mil </w:t>
      </w:r>
      <w:r w:rsidR="00F23885" w:rsidRPr="004F6572">
        <w:rPr>
          <w:rFonts w:ascii="Palatino Linotype" w:eastAsia="MS Mincho" w:hAnsi="Palatino Linotype"/>
        </w:rPr>
        <w:t>veinti</w:t>
      </w:r>
      <w:r w:rsidR="00C254C4" w:rsidRPr="004F6572">
        <w:rPr>
          <w:rFonts w:ascii="Palatino Linotype" w:eastAsia="MS Mincho" w:hAnsi="Palatino Linotype"/>
        </w:rPr>
        <w:t>dós</w:t>
      </w:r>
      <w:r w:rsidRPr="004F6572">
        <w:rPr>
          <w:rFonts w:ascii="Palatino Linotype" w:eastAsia="MS Mincho" w:hAnsi="Palatino Linotype"/>
        </w:rPr>
        <w:t xml:space="preserve">, </w:t>
      </w:r>
      <w:r w:rsidRPr="004F6572">
        <w:rPr>
          <w:rFonts w:ascii="Palatino Linotype" w:hAnsi="Palatino Linotype" w:cs="Arial"/>
          <w:color w:val="000000" w:themeColor="text1"/>
        </w:rPr>
        <w:t xml:space="preserve">se notificó el acuerdo de ampliación de plazo, </w:t>
      </w:r>
      <w:r w:rsidRPr="004F6572">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4F6572">
        <w:rPr>
          <w:rFonts w:ascii="Palatino Linotype" w:hAnsi="Palatino Linotype" w:cs="Arial"/>
          <w:bCs/>
          <w:color w:val="000000" w:themeColor="text1"/>
          <w:lang w:val="es-ES"/>
        </w:rPr>
        <w:t>.</w:t>
      </w:r>
    </w:p>
    <w:p w14:paraId="525BD2A2" w14:textId="77777777" w:rsidR="00C254C4" w:rsidRPr="004F6572" w:rsidRDefault="00C254C4" w:rsidP="00C254C4">
      <w:pPr>
        <w:spacing w:before="240" w:after="240" w:line="360" w:lineRule="auto"/>
        <w:contextualSpacing/>
        <w:jc w:val="both"/>
        <w:rPr>
          <w:rFonts w:ascii="Palatino Linotype" w:eastAsiaTheme="minorEastAsia" w:hAnsi="Palatino Linotype"/>
          <w:iCs/>
          <w:lang w:eastAsia="es-ES"/>
        </w:rPr>
      </w:pPr>
    </w:p>
    <w:p w14:paraId="0919FECD" w14:textId="77777777"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color w:val="000000" w:themeColor="text1"/>
          <w:lang w:val="es-ES"/>
        </w:rPr>
        <w:t xml:space="preserve">Este </w:t>
      </w:r>
      <w:r w:rsidRPr="004F6572">
        <w:rPr>
          <w:rFonts w:ascii="Palatino Linotype" w:eastAsia="Calibri" w:hAnsi="Palatino Linotype" w:cs="Arial"/>
        </w:rPr>
        <w:t xml:space="preserve">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w:t>
      </w:r>
      <w:r w:rsidRPr="004F6572">
        <w:rPr>
          <w:rFonts w:ascii="Palatino Linotype" w:eastAsia="Calibri" w:hAnsi="Palatino Linotype" w:cs="Arial"/>
        </w:rPr>
        <w:lastRenderedPageBreak/>
        <w:t>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4F6572" w:rsidRDefault="00A76CD6" w:rsidP="00A76CD6">
      <w:pPr>
        <w:rPr>
          <w:rFonts w:ascii="Palatino Linotype" w:hAnsi="Palatino Linotype"/>
        </w:rPr>
      </w:pPr>
    </w:p>
    <w:p w14:paraId="52478A18" w14:textId="77777777"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4F6572" w:rsidRDefault="00A76CD6" w:rsidP="00A76CD6">
      <w:pPr>
        <w:rPr>
          <w:rFonts w:ascii="Palatino Linotype" w:eastAsia="Calibri" w:hAnsi="Palatino Linotype" w:cs="Arial"/>
          <w:color w:val="000000" w:themeColor="text1"/>
        </w:rPr>
      </w:pPr>
    </w:p>
    <w:p w14:paraId="6428A111" w14:textId="5188F802"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color w:val="000000" w:themeColor="text1"/>
        </w:rPr>
        <w:t xml:space="preserve">Así, </w:t>
      </w:r>
      <w:r w:rsidRPr="004F6572">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667C68" w14:textId="77777777" w:rsidR="000B48C3" w:rsidRPr="004F6572" w:rsidRDefault="000B48C3" w:rsidP="000B48C3">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t xml:space="preserve">En </w:t>
      </w:r>
      <w:r w:rsidRPr="004F6572">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4F6572"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4F6572"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t xml:space="preserve">Por </w:t>
      </w:r>
      <w:r w:rsidRPr="004F6572">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4F6572"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4F6572">
        <w:rPr>
          <w:rFonts w:ascii="Palatino Linotype" w:eastAsia="Calibri" w:hAnsi="Palatino Linotype" w:cs="Arial"/>
          <w:b/>
          <w:bCs/>
        </w:rPr>
        <w:lastRenderedPageBreak/>
        <w:t>Complejidad del Asunto:</w:t>
      </w:r>
      <w:r w:rsidRPr="004F6572">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4F6572"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4F6572">
        <w:rPr>
          <w:rFonts w:ascii="Palatino Linotype" w:eastAsia="Calibri" w:hAnsi="Palatino Linotype" w:cs="Arial"/>
          <w:b/>
          <w:bCs/>
        </w:rPr>
        <w:t>Actividad Procesal del interesado:</w:t>
      </w:r>
      <w:r w:rsidRPr="004F6572">
        <w:rPr>
          <w:rFonts w:ascii="Palatino Linotype" w:eastAsia="Calibri" w:hAnsi="Palatino Linotype" w:cs="Arial"/>
        </w:rPr>
        <w:t xml:space="preserve"> Acciones u omisiones del interesado.</w:t>
      </w:r>
    </w:p>
    <w:p w14:paraId="4053D9B6" w14:textId="77777777" w:rsidR="00F365CD" w:rsidRPr="004F6572"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4F6572">
        <w:rPr>
          <w:rFonts w:ascii="Palatino Linotype" w:eastAsia="Calibri" w:hAnsi="Palatino Linotype" w:cs="Arial"/>
          <w:b/>
          <w:bCs/>
        </w:rPr>
        <w:t>Conducta de la Autoridad:</w:t>
      </w:r>
      <w:r w:rsidRPr="004F6572">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4F6572"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4F6572">
        <w:rPr>
          <w:rFonts w:ascii="Palatino Linotype" w:eastAsia="Calibri" w:hAnsi="Palatino Linotype" w:cs="Arial"/>
          <w:b/>
          <w:bCs/>
        </w:rPr>
        <w:t xml:space="preserve">La afectación generada en la situación jurídica de la persona involucrada en el proceso: </w:t>
      </w:r>
      <w:r w:rsidRPr="004F6572">
        <w:rPr>
          <w:rFonts w:ascii="Palatino Linotype" w:eastAsia="Calibri" w:hAnsi="Palatino Linotype" w:cs="Arial"/>
        </w:rPr>
        <w:t>Violación a sus derechos humanos.</w:t>
      </w:r>
    </w:p>
    <w:p w14:paraId="351E06D7" w14:textId="77777777" w:rsidR="00A76CD6" w:rsidRPr="004F6572" w:rsidRDefault="00A76CD6" w:rsidP="00A76CD6">
      <w:pPr>
        <w:rPr>
          <w:rFonts w:ascii="Palatino Linotype" w:eastAsia="Calibri" w:hAnsi="Palatino Linotype" w:cs="Arial"/>
          <w:color w:val="000000" w:themeColor="text1"/>
          <w:sz w:val="22"/>
        </w:rPr>
      </w:pPr>
    </w:p>
    <w:p w14:paraId="7924C92A" w14:textId="77777777" w:rsidR="00F365CD" w:rsidRPr="004F6572"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color w:val="000000" w:themeColor="text1"/>
        </w:rPr>
        <w:t xml:space="preserve">De </w:t>
      </w:r>
      <w:r w:rsidRPr="004F6572">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4F6572"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02767AB1" w:rsidR="00F365CD" w:rsidRPr="004F6572"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t xml:space="preserve">Argumento </w:t>
      </w:r>
      <w:r w:rsidRPr="004F6572">
        <w:rPr>
          <w:rFonts w:ascii="Palatino Linotype" w:hAnsi="Palatino Linotype"/>
        </w:rPr>
        <w:t xml:space="preserve">que encuentra sustento en la jurisprudencia P./J. 32/92 emitida por el Pleno de la Suprema Corte de Justicia de la Nación de rubro </w:t>
      </w:r>
      <w:r w:rsidRPr="004F657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F6572">
        <w:rPr>
          <w:rStyle w:val="Refdenotaalpie"/>
          <w:rFonts w:ascii="Palatino Linotype" w:hAnsi="Palatino Linotype"/>
          <w:i/>
        </w:rPr>
        <w:footnoteReference w:id="1"/>
      </w:r>
      <w:r w:rsidRPr="004F6572">
        <w:rPr>
          <w:rFonts w:ascii="Palatino Linotype" w:hAnsi="Palatino Linotype"/>
        </w:rPr>
        <w:t>, visible en la Gaceta del Seminario Judicial de la Federación con el registro digital 205635.</w:t>
      </w:r>
    </w:p>
    <w:p w14:paraId="188B312E" w14:textId="77777777" w:rsidR="00F365CD" w:rsidRPr="004F6572"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lastRenderedPageBreak/>
        <w:t xml:space="preserve">Razones </w:t>
      </w:r>
      <w:r w:rsidRPr="004F6572">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4F6572" w:rsidRDefault="00F365CD" w:rsidP="00F365CD">
      <w:pPr>
        <w:rPr>
          <w:rFonts w:ascii="Palatino Linotype" w:eastAsia="Calibri" w:hAnsi="Palatino Linotype" w:cs="Arial"/>
        </w:rPr>
      </w:pPr>
    </w:p>
    <w:p w14:paraId="7793E82E" w14:textId="77777777" w:rsidR="00F365CD" w:rsidRPr="004F6572"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t xml:space="preserve">Por </w:t>
      </w:r>
      <w:r w:rsidRPr="004F6572">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4F6572" w:rsidRDefault="00F365CD" w:rsidP="00F365CD">
      <w:pPr>
        <w:rPr>
          <w:rFonts w:ascii="Palatino Linotype" w:eastAsia="Calibri" w:hAnsi="Palatino Linotype" w:cs="Arial"/>
        </w:rPr>
      </w:pPr>
    </w:p>
    <w:p w14:paraId="3F0CE1ED" w14:textId="003F1444" w:rsidR="00A76CD6" w:rsidRPr="004F6572"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4F6572">
        <w:rPr>
          <w:rFonts w:ascii="Palatino Linotype" w:eastAsia="Calibri" w:hAnsi="Palatino Linotype" w:cs="Arial"/>
        </w:rPr>
        <w:t xml:space="preserve">Al </w:t>
      </w:r>
      <w:r w:rsidRPr="004F6572">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4F6572" w:rsidRDefault="00A76CD6" w:rsidP="00A76CD6">
      <w:pPr>
        <w:pStyle w:val="Prrafodelista"/>
        <w:ind w:left="567" w:right="567"/>
        <w:jc w:val="both"/>
        <w:rPr>
          <w:rFonts w:ascii="Palatino Linotype" w:hAnsi="Palatino Linotype"/>
          <w:i/>
        </w:rPr>
      </w:pPr>
      <w:r w:rsidRPr="004F6572">
        <w:rPr>
          <w:rFonts w:ascii="Palatino Linotype" w:hAnsi="Palatino Linotype"/>
          <w:b/>
          <w:i/>
        </w:rPr>
        <w:lastRenderedPageBreak/>
        <w:t>PLAZO RAZONABLE PARA RESOLVER. DIMENSIÓN Y EFECTOS DE ESTE CONCEPTO CUANDO SE ADUCE EXCESIVA CARGA DE TRABAJO.</w:t>
      </w:r>
      <w:r w:rsidRPr="004F6572">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4F6572">
        <w:rPr>
          <w:rStyle w:val="Refdenotaalpie"/>
          <w:rFonts w:ascii="Palatino Linotype" w:hAnsi="Palatino Linotype"/>
          <w:i/>
        </w:rPr>
        <w:footnoteReference w:id="2"/>
      </w:r>
    </w:p>
    <w:p w14:paraId="6C2DC89E" w14:textId="77777777" w:rsidR="00A76CD6" w:rsidRPr="004F6572" w:rsidRDefault="00A76CD6" w:rsidP="00A76CD6">
      <w:pPr>
        <w:pStyle w:val="Prrafodelista"/>
        <w:ind w:left="567" w:right="567"/>
        <w:jc w:val="both"/>
        <w:rPr>
          <w:rFonts w:ascii="Palatino Linotype" w:hAnsi="Palatino Linotype"/>
          <w:i/>
        </w:rPr>
      </w:pPr>
    </w:p>
    <w:p w14:paraId="33765394" w14:textId="77777777" w:rsidR="00A76CD6" w:rsidRPr="004F6572" w:rsidRDefault="00A76CD6" w:rsidP="00A76CD6">
      <w:pPr>
        <w:pStyle w:val="Prrafodelista"/>
        <w:ind w:left="567" w:right="567"/>
        <w:jc w:val="both"/>
        <w:rPr>
          <w:rFonts w:ascii="Palatino Linotype" w:hAnsi="Palatino Linotype"/>
          <w:i/>
        </w:rPr>
      </w:pPr>
      <w:r w:rsidRPr="004F6572">
        <w:rPr>
          <w:rFonts w:ascii="Palatino Linotype" w:hAnsi="Palatino Linotype"/>
          <w:b/>
          <w:i/>
        </w:rPr>
        <w:t>PLAZO RAZONABLE PARA RESOLVER. CONCEPTO Y ELEMENTOS QUE LO INTEGRAN A LA LUZ DEL DERECHO INTERNACIONAL DE LOS DERECHOS HUMANOS.</w:t>
      </w:r>
      <w:r w:rsidRPr="004F6572">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w:t>
      </w:r>
      <w:r w:rsidRPr="004F6572">
        <w:rPr>
          <w:rFonts w:ascii="Palatino Linotype" w:hAnsi="Palatino Linotype"/>
          <w:i/>
        </w:rPr>
        <w:lastRenderedPageBreak/>
        <w:t>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4F6572">
        <w:rPr>
          <w:rStyle w:val="Refdenotaalpie"/>
          <w:rFonts w:ascii="Palatino Linotype" w:hAnsi="Palatino Linotype"/>
          <w:i/>
        </w:rPr>
        <w:footnoteReference w:id="3"/>
      </w:r>
    </w:p>
    <w:p w14:paraId="5D712A1C" w14:textId="77777777" w:rsidR="00A76CD6" w:rsidRPr="004F6572" w:rsidRDefault="00A76CD6" w:rsidP="00A76CD6">
      <w:pPr>
        <w:ind w:right="567"/>
        <w:jc w:val="both"/>
        <w:rPr>
          <w:rFonts w:ascii="Palatino Linotype" w:hAnsi="Palatino Linotype"/>
          <w:i/>
        </w:rPr>
      </w:pPr>
    </w:p>
    <w:p w14:paraId="0C5F99B2" w14:textId="596949BD" w:rsidR="00A76CD6" w:rsidRPr="004F6572"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4F6572">
        <w:rPr>
          <w:rFonts w:ascii="Palatino Linotype" w:eastAsia="Calibri" w:hAnsi="Palatino Linotype" w:cs="Arial"/>
          <w:color w:val="000000" w:themeColor="text1"/>
        </w:rPr>
        <w:t xml:space="preserve">Por </w:t>
      </w:r>
      <w:r w:rsidRPr="004F6572">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4F6572" w:rsidRDefault="00A76CD6" w:rsidP="00A76CD6">
      <w:pPr>
        <w:spacing w:before="240" w:after="240" w:line="360" w:lineRule="auto"/>
        <w:contextualSpacing/>
        <w:jc w:val="both"/>
        <w:rPr>
          <w:rFonts w:ascii="Palatino Linotype" w:eastAsia="MS Mincho" w:hAnsi="Palatino Linotype"/>
          <w:b/>
        </w:rPr>
      </w:pPr>
    </w:p>
    <w:p w14:paraId="308F70EB" w14:textId="06E5F139" w:rsidR="00E05643" w:rsidRPr="004F6572" w:rsidRDefault="00E93FC1" w:rsidP="00E05643">
      <w:pPr>
        <w:numPr>
          <w:ilvl w:val="0"/>
          <w:numId w:val="1"/>
        </w:numPr>
        <w:spacing w:before="240" w:after="240" w:line="360" w:lineRule="auto"/>
        <w:ind w:left="0" w:firstLine="0"/>
        <w:contextualSpacing/>
        <w:jc w:val="both"/>
        <w:rPr>
          <w:rFonts w:ascii="Palatino Linotype" w:eastAsia="MS Mincho" w:hAnsi="Palatino Linotype"/>
          <w:b/>
        </w:rPr>
      </w:pPr>
      <w:r w:rsidRPr="004F6572">
        <w:rPr>
          <w:rFonts w:ascii="Palatino Linotype" w:eastAsia="MS Mincho" w:hAnsi="Palatino Linotype"/>
        </w:rPr>
        <w:t>La Comisionada Ponente decretó e</w:t>
      </w:r>
      <w:r w:rsidR="007B0BCA" w:rsidRPr="004F6572">
        <w:rPr>
          <w:rFonts w:ascii="Palatino Linotype" w:eastAsia="MS Mincho" w:hAnsi="Palatino Linotype"/>
        </w:rPr>
        <w:t xml:space="preserve">l </w:t>
      </w:r>
      <w:r w:rsidRPr="004F6572">
        <w:rPr>
          <w:rFonts w:ascii="Palatino Linotype" w:eastAsia="MS Mincho" w:hAnsi="Palatino Linotype"/>
        </w:rPr>
        <w:t>cierre de instrucción</w:t>
      </w:r>
      <w:r w:rsidRPr="004F6572">
        <w:rPr>
          <w:rFonts w:ascii="Palatino Linotype" w:eastAsia="MS Mincho" w:hAnsi="Palatino Linotype" w:cs="Arial"/>
        </w:rPr>
        <w:t xml:space="preserve"> </w:t>
      </w:r>
      <w:r w:rsidRPr="004F6572">
        <w:rPr>
          <w:rFonts w:ascii="Palatino Linotype" w:eastAsia="MS Mincho" w:hAnsi="Palatino Linotype"/>
        </w:rPr>
        <w:t xml:space="preserve">mediante acuerdo del </w:t>
      </w:r>
      <w:r w:rsidR="00C254C4" w:rsidRPr="004F6572">
        <w:rPr>
          <w:rFonts w:ascii="Palatino Linotype" w:eastAsia="MS Mincho" w:hAnsi="Palatino Linotype"/>
        </w:rPr>
        <w:t>veintiuno</w:t>
      </w:r>
      <w:r w:rsidR="00E05643" w:rsidRPr="004F6572">
        <w:rPr>
          <w:rFonts w:ascii="Palatino Linotype" w:eastAsia="MS Mincho" w:hAnsi="Palatino Linotype"/>
        </w:rPr>
        <w:t xml:space="preserve"> de febrero</w:t>
      </w:r>
      <w:r w:rsidR="00A76CD6" w:rsidRPr="004F6572">
        <w:rPr>
          <w:rFonts w:ascii="Palatino Linotype" w:eastAsia="MS Mincho" w:hAnsi="Palatino Linotype"/>
        </w:rPr>
        <w:t xml:space="preserve"> de dos mil veinticuatro</w:t>
      </w:r>
      <w:r w:rsidRPr="004F6572">
        <w:rPr>
          <w:rFonts w:ascii="Palatino Linotype" w:eastAsia="MS Mincho" w:hAnsi="Palatino Linotype"/>
        </w:rPr>
        <w:t>,</w:t>
      </w:r>
      <w:r w:rsidR="007353A8" w:rsidRPr="004F6572">
        <w:rPr>
          <w:rFonts w:ascii="Palatino Linotype" w:eastAsia="MS Mincho" w:hAnsi="Palatino Linotype"/>
        </w:rPr>
        <w:t xml:space="preserve"> </w:t>
      </w:r>
      <w:r w:rsidR="00D92924" w:rsidRPr="004F6572">
        <w:rPr>
          <w:rFonts w:ascii="Palatino Linotype" w:eastAsia="MS Mincho" w:hAnsi="Palatino Linotype"/>
        </w:rPr>
        <w:t xml:space="preserve">por lo que, ordenó turnar el </w:t>
      </w:r>
      <w:r w:rsidRPr="004F6572">
        <w:rPr>
          <w:rFonts w:ascii="Palatino Linotype" w:eastAsia="MS Mincho" w:hAnsi="Palatino Linotype" w:cs="Arial"/>
        </w:rPr>
        <w:t>expediente a resolución, misma que a continuación se pronuncia.</w:t>
      </w:r>
      <w:r w:rsidR="003630BC" w:rsidRPr="004F6572">
        <w:rPr>
          <w:rFonts w:ascii="Palatino Linotype" w:eastAsia="MS Mincho" w:hAnsi="Palatino Linotype" w:cs="Arial"/>
        </w:rPr>
        <w:t>------------------------------------------</w:t>
      </w:r>
    </w:p>
    <w:p w14:paraId="0232015D" w14:textId="77777777" w:rsidR="00E05643" w:rsidRPr="004F6572" w:rsidRDefault="00E05643" w:rsidP="00E05643">
      <w:pPr>
        <w:spacing w:before="240" w:after="240" w:line="360" w:lineRule="auto"/>
        <w:contextualSpacing/>
        <w:jc w:val="both"/>
        <w:rPr>
          <w:rFonts w:ascii="Palatino Linotype" w:eastAsia="MS Mincho" w:hAnsi="Palatino Linotype"/>
          <w:b/>
        </w:rPr>
      </w:pPr>
    </w:p>
    <w:p w14:paraId="361C700F" w14:textId="77777777" w:rsidR="00E05643" w:rsidRPr="004F6572" w:rsidRDefault="00E05643" w:rsidP="000B48C3">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4F6572">
        <w:rPr>
          <w:rFonts w:ascii="Palatino Linotype" w:eastAsia="MS Gothic" w:hAnsi="Palatino Linotype"/>
          <w:b/>
          <w:lang w:eastAsia="en-US"/>
        </w:rPr>
        <w:lastRenderedPageBreak/>
        <w:t>CONSIDERANDO</w:t>
      </w:r>
      <w:bookmarkEnd w:id="7"/>
      <w:bookmarkEnd w:id="8"/>
      <w:bookmarkEnd w:id="9"/>
    </w:p>
    <w:p w14:paraId="36A6BFE4" w14:textId="3E0EB551" w:rsidR="00E05643" w:rsidRPr="004F6572" w:rsidRDefault="00E05643" w:rsidP="00F33F8D">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4F6572">
        <w:rPr>
          <w:rFonts w:ascii="Palatino Linotype" w:eastAsia="MS Gothic" w:hAnsi="Palatino Linotype"/>
          <w:b/>
          <w:lang w:eastAsia="en-US"/>
        </w:rPr>
        <w:t>PRIMERO. De la competencia</w:t>
      </w:r>
      <w:bookmarkEnd w:id="10"/>
      <w:bookmarkEnd w:id="11"/>
      <w:r w:rsidRPr="004F6572">
        <w:rPr>
          <w:rFonts w:ascii="Palatino Linotype" w:eastAsia="MS Gothic" w:hAnsi="Palatino Linotype"/>
          <w:b/>
          <w:lang w:eastAsia="en-US"/>
        </w:rPr>
        <w:t>.</w:t>
      </w:r>
      <w:bookmarkEnd w:id="12"/>
    </w:p>
    <w:p w14:paraId="5F01A3EC" w14:textId="09EBA437" w:rsidR="003630BC" w:rsidRPr="004F6572" w:rsidRDefault="00E93FC1" w:rsidP="00E05643">
      <w:pPr>
        <w:numPr>
          <w:ilvl w:val="0"/>
          <w:numId w:val="1"/>
        </w:numPr>
        <w:spacing w:before="240" w:after="240" w:line="360" w:lineRule="auto"/>
        <w:ind w:left="0" w:firstLine="0"/>
        <w:contextualSpacing/>
        <w:jc w:val="both"/>
        <w:rPr>
          <w:rFonts w:ascii="Palatino Linotype" w:eastAsia="MS Mincho" w:hAnsi="Palatino Linotype"/>
          <w:b/>
        </w:rPr>
      </w:pPr>
      <w:r w:rsidRPr="004F6572">
        <w:rPr>
          <w:rFonts w:ascii="Palatino Linotype" w:eastAsia="Calibri" w:hAnsi="Palatino Linotype"/>
          <w:lang w:val="es-ES"/>
        </w:rPr>
        <w:t xml:space="preserve">Este </w:t>
      </w:r>
      <w:bookmarkStart w:id="13" w:name="_Toc491791304"/>
      <w:bookmarkStart w:id="14" w:name="_Toc528153790"/>
      <w:bookmarkStart w:id="15" w:name="_Toc94119613"/>
      <w:r w:rsidR="003630BC" w:rsidRPr="004F6572">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A2CAF91" w14:textId="77777777" w:rsidR="00E05643" w:rsidRPr="004F6572" w:rsidRDefault="00E05643" w:rsidP="00E05643">
      <w:pPr>
        <w:spacing w:before="240" w:after="240" w:line="360" w:lineRule="auto"/>
        <w:contextualSpacing/>
        <w:jc w:val="both"/>
        <w:rPr>
          <w:rFonts w:ascii="Palatino Linotype" w:eastAsia="MS Mincho" w:hAnsi="Palatino Linotype"/>
          <w:b/>
        </w:rPr>
      </w:pPr>
    </w:p>
    <w:p w14:paraId="6CCB6BDD" w14:textId="2530DFAD" w:rsidR="00E93FC1" w:rsidRPr="004F6572" w:rsidRDefault="00E93FC1" w:rsidP="003630BC">
      <w:pPr>
        <w:keepNext/>
        <w:keepLines/>
        <w:spacing w:before="240" w:after="240" w:line="360" w:lineRule="auto"/>
        <w:jc w:val="both"/>
        <w:outlineLvl w:val="1"/>
        <w:rPr>
          <w:rFonts w:ascii="Palatino Linotype" w:eastAsia="MS Gothic" w:hAnsi="Palatino Linotype"/>
          <w:b/>
          <w:lang w:eastAsia="en-US"/>
        </w:rPr>
      </w:pPr>
      <w:r w:rsidRPr="004F6572">
        <w:rPr>
          <w:rFonts w:ascii="Palatino Linotype" w:eastAsia="MS Gothic" w:hAnsi="Palatino Linotype"/>
          <w:b/>
          <w:lang w:eastAsia="en-US"/>
        </w:rPr>
        <w:t>SEGUNDO. De la oportunidad y procedencia.</w:t>
      </w:r>
      <w:bookmarkEnd w:id="13"/>
      <w:bookmarkEnd w:id="14"/>
      <w:bookmarkEnd w:id="15"/>
    </w:p>
    <w:p w14:paraId="3CDD33CF" w14:textId="16B550C5" w:rsidR="00F33F8D" w:rsidRPr="004F6572" w:rsidRDefault="00E93FC1"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Calibri" w:hAnsi="Palatino Linotype" w:cs="Arial"/>
          <w:lang w:val="es-ES_tradnl" w:eastAsia="es-ES"/>
        </w:rPr>
        <w:t xml:space="preserve">El medio de impugnación fue presentado a través del </w:t>
      </w:r>
      <w:r w:rsidRPr="004F6572">
        <w:rPr>
          <w:rFonts w:ascii="Palatino Linotype" w:eastAsia="Calibri" w:hAnsi="Palatino Linotype" w:cs="Arial"/>
          <w:b/>
          <w:lang w:val="es-ES_tradnl" w:eastAsia="es-ES"/>
        </w:rPr>
        <w:t>SAIMEX,</w:t>
      </w:r>
      <w:r w:rsidRPr="004F6572">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4F6572">
        <w:rPr>
          <w:rFonts w:ascii="Palatino Linotype" w:eastAsia="Calibri" w:hAnsi="Palatino Linotype" w:cs="Arial"/>
          <w:b/>
          <w:lang w:val="es-ES_tradnl" w:eastAsia="es-ES"/>
        </w:rPr>
        <w:t>SUJETO OBLIGADO</w:t>
      </w:r>
      <w:r w:rsidRPr="004F6572">
        <w:rPr>
          <w:rFonts w:ascii="Palatino Linotype" w:eastAsia="Calibri" w:hAnsi="Palatino Linotype" w:cs="Arial"/>
          <w:lang w:val="es-ES_tradnl" w:eastAsia="es-ES"/>
        </w:rPr>
        <w:t xml:space="preserve"> entregó respuesta</w:t>
      </w:r>
      <w:r w:rsidR="007B0BCA" w:rsidRPr="004F6572">
        <w:rPr>
          <w:rFonts w:ascii="Palatino Linotype" w:eastAsia="Calibri" w:hAnsi="Palatino Linotype" w:cs="Arial"/>
          <w:lang w:val="es-ES_tradnl" w:eastAsia="es-ES"/>
        </w:rPr>
        <w:t>s</w:t>
      </w:r>
      <w:r w:rsidRPr="004F6572">
        <w:rPr>
          <w:rFonts w:ascii="Palatino Linotype" w:eastAsia="Calibri" w:hAnsi="Palatino Linotype" w:cs="Arial"/>
          <w:lang w:val="es-ES_tradnl" w:eastAsia="es-ES"/>
        </w:rPr>
        <w:t xml:space="preserve"> el </w:t>
      </w:r>
      <w:r w:rsidR="00C254C4" w:rsidRPr="004F6572">
        <w:rPr>
          <w:rFonts w:ascii="Palatino Linotype" w:eastAsia="Calibri" w:hAnsi="Palatino Linotype" w:cs="Arial"/>
          <w:lang w:val="es-ES_tradnl" w:eastAsia="es-ES"/>
        </w:rPr>
        <w:t>cuatro de octubre</w:t>
      </w:r>
      <w:r w:rsidR="00CC65AB" w:rsidRPr="004F6572">
        <w:rPr>
          <w:rFonts w:ascii="Palatino Linotype" w:eastAsia="Calibri" w:hAnsi="Palatino Linotype" w:cs="Arial"/>
          <w:lang w:val="es-ES_tradnl" w:eastAsia="es-ES"/>
        </w:rPr>
        <w:t xml:space="preserve"> de dos mil veintidós</w:t>
      </w:r>
      <w:r w:rsidRPr="004F6572">
        <w:rPr>
          <w:rFonts w:ascii="Palatino Linotype" w:eastAsia="Calibri" w:hAnsi="Palatino Linotype" w:cs="Arial"/>
          <w:lang w:val="es-ES_tradnl" w:eastAsia="es-ES"/>
        </w:rPr>
        <w:t xml:space="preserve">, </w:t>
      </w:r>
      <w:r w:rsidRPr="004F6572">
        <w:rPr>
          <w:rFonts w:ascii="Palatino Linotype" w:eastAsiaTheme="minorEastAsia" w:hAnsi="Palatino Linotype" w:cs="Arial"/>
          <w:lang w:val="es-ES_tradnl" w:eastAsia="es-ES"/>
        </w:rPr>
        <w:t>de tal forma que el plazo para interponer el recurso transcurrió del</w:t>
      </w:r>
      <w:r w:rsidR="000F14F6" w:rsidRPr="004F6572">
        <w:rPr>
          <w:rFonts w:ascii="Palatino Linotype" w:eastAsiaTheme="minorEastAsia" w:hAnsi="Palatino Linotype" w:cs="Arial"/>
          <w:lang w:val="es-ES_tradnl" w:eastAsia="es-ES"/>
        </w:rPr>
        <w:t xml:space="preserve"> </w:t>
      </w:r>
      <w:r w:rsidR="00C254C4" w:rsidRPr="004F6572">
        <w:rPr>
          <w:rFonts w:ascii="Palatino Linotype" w:eastAsiaTheme="minorEastAsia" w:hAnsi="Palatino Linotype" w:cs="Arial"/>
          <w:lang w:val="es-ES_tradnl" w:eastAsia="es-ES"/>
        </w:rPr>
        <w:t>cinco al veinticinco de octubre</w:t>
      </w:r>
      <w:r w:rsidR="00E05643" w:rsidRPr="004F6572">
        <w:rPr>
          <w:rFonts w:ascii="Palatino Linotype" w:eastAsiaTheme="minorEastAsia" w:hAnsi="Palatino Linotype" w:cs="Arial"/>
          <w:lang w:val="es-ES_tradnl" w:eastAsia="es-ES"/>
        </w:rPr>
        <w:t xml:space="preserve"> </w:t>
      </w:r>
      <w:r w:rsidR="00CC65AB" w:rsidRPr="004F6572">
        <w:rPr>
          <w:rFonts w:ascii="Palatino Linotype" w:eastAsiaTheme="minorEastAsia" w:hAnsi="Palatino Linotype" w:cs="Arial"/>
          <w:lang w:val="es-ES_tradnl" w:eastAsia="es-ES"/>
        </w:rPr>
        <w:t>de dos mil veintidós</w:t>
      </w:r>
      <w:r w:rsidR="00BC1008" w:rsidRPr="004F6572">
        <w:rPr>
          <w:rFonts w:ascii="Palatino Linotype" w:eastAsiaTheme="minorEastAsia" w:hAnsi="Palatino Linotype" w:cs="Arial"/>
          <w:lang w:val="es-ES_tradnl" w:eastAsia="es-ES"/>
        </w:rPr>
        <w:t>; en consecuencia, si la</w:t>
      </w:r>
      <w:r w:rsidRPr="004F6572">
        <w:rPr>
          <w:rFonts w:ascii="Palatino Linotype" w:eastAsiaTheme="minorEastAsia" w:hAnsi="Palatino Linotype" w:cs="Arial"/>
          <w:lang w:val="es-ES_tradnl" w:eastAsia="es-ES"/>
        </w:rPr>
        <w:t xml:space="preserve"> </w:t>
      </w:r>
      <w:r w:rsidR="00D11F51" w:rsidRPr="004F6572">
        <w:rPr>
          <w:rFonts w:ascii="Palatino Linotype" w:eastAsiaTheme="minorEastAsia" w:hAnsi="Palatino Linotype" w:cs="Arial"/>
          <w:b/>
          <w:bCs/>
          <w:lang w:val="es-ES_tradnl" w:eastAsia="es-ES"/>
        </w:rPr>
        <w:t>RECURRENTE</w:t>
      </w:r>
      <w:r w:rsidRPr="004F6572">
        <w:rPr>
          <w:rFonts w:ascii="Palatino Linotype" w:eastAsiaTheme="minorEastAsia" w:hAnsi="Palatino Linotype" w:cs="Arial"/>
          <w:lang w:val="es-ES_tradnl" w:eastAsia="es-ES"/>
        </w:rPr>
        <w:t xml:space="preserve"> presentó su inconformidad el </w:t>
      </w:r>
      <w:r w:rsidR="00C254C4" w:rsidRPr="004F6572">
        <w:rPr>
          <w:rFonts w:ascii="Palatino Linotype" w:eastAsiaTheme="minorEastAsia" w:hAnsi="Palatino Linotype" w:cs="Arial"/>
          <w:lang w:val="es-ES_tradnl" w:eastAsia="es-ES"/>
        </w:rPr>
        <w:t>diez de octubre</w:t>
      </w:r>
      <w:r w:rsidR="00CC65AB" w:rsidRPr="004F6572">
        <w:rPr>
          <w:rFonts w:ascii="Palatino Linotype" w:eastAsiaTheme="minorEastAsia" w:hAnsi="Palatino Linotype" w:cs="Arial"/>
          <w:lang w:val="es-ES_tradnl" w:eastAsia="es-ES"/>
        </w:rPr>
        <w:t xml:space="preserve"> de dos mil veintidós</w:t>
      </w:r>
      <w:r w:rsidRPr="004F6572">
        <w:rPr>
          <w:rFonts w:ascii="Palatino Linotype" w:eastAsiaTheme="minorEastAsia" w:hAnsi="Palatino Linotype" w:cs="Arial"/>
          <w:lang w:val="es-ES_tradnl" w:eastAsia="es-ES"/>
        </w:rPr>
        <w:t xml:space="preserve">, se encuentra dentro de los márgenes temporales </w:t>
      </w:r>
      <w:r w:rsidRPr="004F6572">
        <w:rPr>
          <w:rFonts w:ascii="Palatino Linotype" w:eastAsiaTheme="minorEastAsia" w:hAnsi="Palatino Linotype" w:cs="Arial"/>
          <w:lang w:val="es-ES_tradnl" w:eastAsia="es-ES"/>
        </w:rPr>
        <w:lastRenderedPageBreak/>
        <w:t xml:space="preserve">previstos en el artículo 178 de la </w:t>
      </w:r>
      <w:r w:rsidRPr="004F6572">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4F6572">
        <w:rPr>
          <w:rFonts w:ascii="Palatino Linotype" w:eastAsiaTheme="minorEastAsia" w:hAnsi="Palatino Linotype" w:cs="Arial"/>
          <w:lang w:val="es-ES_tradnl" w:eastAsia="es-ES"/>
        </w:rPr>
        <w:t>vigente.</w:t>
      </w:r>
    </w:p>
    <w:p w14:paraId="235DD471" w14:textId="77777777" w:rsidR="00F33F8D" w:rsidRPr="004F6572" w:rsidRDefault="00F33F8D" w:rsidP="00F33F8D">
      <w:pPr>
        <w:spacing w:before="240" w:after="240" w:line="360" w:lineRule="auto"/>
        <w:ind w:right="48"/>
        <w:contextualSpacing/>
        <w:jc w:val="both"/>
        <w:rPr>
          <w:rFonts w:ascii="Palatino Linotype" w:eastAsiaTheme="minorEastAsia" w:hAnsi="Palatino Linotype"/>
          <w:lang w:val="es-ES_tradnl" w:eastAsia="es-ES"/>
        </w:rPr>
      </w:pPr>
    </w:p>
    <w:p w14:paraId="35B02788" w14:textId="0D196C56" w:rsidR="00E93FC1" w:rsidRPr="004F6572" w:rsidRDefault="00E93FC1"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575816F" w14:textId="77777777" w:rsidR="001648DD" w:rsidRPr="004F6572" w:rsidRDefault="001648DD" w:rsidP="001648DD">
      <w:pPr>
        <w:rPr>
          <w:rFonts w:ascii="Palatino Linotype" w:eastAsiaTheme="minorEastAsia" w:hAnsi="Palatino Linotype"/>
          <w:lang w:val="es-ES_tradnl" w:eastAsia="es-ES"/>
        </w:rPr>
      </w:pPr>
    </w:p>
    <w:p w14:paraId="717B31F2" w14:textId="31194AD4" w:rsidR="001648DD" w:rsidRPr="004F6572" w:rsidRDefault="001648DD" w:rsidP="001648DD">
      <w:pPr>
        <w:keepNext/>
        <w:keepLines/>
        <w:spacing w:before="240" w:after="240" w:line="360" w:lineRule="auto"/>
        <w:ind w:right="48"/>
        <w:outlineLvl w:val="0"/>
        <w:rPr>
          <w:rFonts w:ascii="Palatino Linotype" w:eastAsia="MS Gothic" w:hAnsi="Palatino Linotype"/>
          <w:b/>
        </w:rPr>
      </w:pPr>
      <w:r w:rsidRPr="004F6572">
        <w:rPr>
          <w:rFonts w:ascii="Palatino Linotype" w:eastAsia="MS Mincho" w:hAnsi="Palatino Linotype" w:cstheme="majorBidi"/>
          <w:b/>
          <w:lang w:val="es-ES_tradnl" w:eastAsia="es-ES"/>
        </w:rPr>
        <w:t>TERCERO. Planteamiento de la Litis</w:t>
      </w:r>
      <w:r w:rsidRPr="004F6572">
        <w:rPr>
          <w:rFonts w:ascii="Palatino Linotype" w:eastAsia="MS Gothic" w:hAnsi="Palatino Linotype"/>
          <w:b/>
        </w:rPr>
        <w:t>.</w:t>
      </w:r>
    </w:p>
    <w:p w14:paraId="76F52410" w14:textId="4A9FC0FE" w:rsidR="001648DD" w:rsidRPr="004F6572" w:rsidRDefault="00BC1008"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lang w:val="es-ES_tradnl" w:eastAsia="es-ES"/>
        </w:rPr>
        <w:t>La</w:t>
      </w:r>
      <w:r w:rsidR="001648DD" w:rsidRPr="004F6572">
        <w:rPr>
          <w:rFonts w:ascii="Palatino Linotype" w:eastAsiaTheme="minorEastAsia" w:hAnsi="Palatino Linotype"/>
          <w:lang w:val="es-ES_tradnl" w:eastAsia="es-ES"/>
        </w:rPr>
        <w:t xml:space="preserve"> </w:t>
      </w:r>
      <w:r w:rsidR="001648DD" w:rsidRPr="004F6572">
        <w:rPr>
          <w:rFonts w:ascii="Palatino Linotype" w:eastAsiaTheme="minorEastAsia" w:hAnsi="Palatino Linotype"/>
          <w:b/>
          <w:lang w:val="es-ES_tradnl" w:eastAsia="es-ES"/>
        </w:rPr>
        <w:t>RECURRENTE</w:t>
      </w:r>
      <w:r w:rsidR="001648DD" w:rsidRPr="004F6572">
        <w:rPr>
          <w:rFonts w:ascii="Palatino Linotype" w:eastAsiaTheme="minorEastAsia" w:hAnsi="Palatino Linotype"/>
          <w:lang w:val="es-ES_tradnl" w:eastAsia="es-ES"/>
        </w:rPr>
        <w:t xml:space="preserve"> solicitó </w:t>
      </w:r>
      <w:r w:rsidR="00C254C4" w:rsidRPr="004F6572">
        <w:rPr>
          <w:rFonts w:ascii="Palatino Linotype" w:hAnsi="Palatino Linotype"/>
          <w:color w:val="000000"/>
        </w:rPr>
        <w:t>conocer cuánto gasta el Ayuntamiento de Texcoco en combustible, así como, las bitácoras correspondientes.</w:t>
      </w:r>
    </w:p>
    <w:p w14:paraId="43F3D050" w14:textId="77777777" w:rsidR="001648DD" w:rsidRPr="004F6572" w:rsidRDefault="001648DD" w:rsidP="001648DD">
      <w:pPr>
        <w:spacing w:before="240" w:after="240" w:line="360" w:lineRule="auto"/>
        <w:ind w:right="48"/>
        <w:contextualSpacing/>
        <w:jc w:val="both"/>
        <w:rPr>
          <w:rFonts w:ascii="Palatino Linotype" w:eastAsiaTheme="minorEastAsia" w:hAnsi="Palatino Linotype"/>
          <w:lang w:val="es-ES_tradnl" w:eastAsia="es-ES"/>
        </w:rPr>
      </w:pPr>
    </w:p>
    <w:p w14:paraId="3DF4FEC2" w14:textId="01F30E42" w:rsidR="00C254C4" w:rsidRPr="004F6572" w:rsidRDefault="001648DD" w:rsidP="00C254C4">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lang w:val="es-ES_tradnl" w:eastAsia="es-ES"/>
        </w:rPr>
        <w:t xml:space="preserve">En respuesta, </w:t>
      </w:r>
      <w:r w:rsidRPr="004F6572">
        <w:rPr>
          <w:rFonts w:ascii="Palatino Linotype" w:hAnsi="Palatino Linotype"/>
          <w:iCs/>
          <w:color w:val="000000"/>
        </w:rPr>
        <w:t xml:space="preserve">el </w:t>
      </w:r>
      <w:r w:rsidRPr="004F6572">
        <w:rPr>
          <w:rFonts w:ascii="Palatino Linotype" w:hAnsi="Palatino Linotype"/>
          <w:b/>
          <w:bCs/>
          <w:iCs/>
          <w:color w:val="000000"/>
        </w:rPr>
        <w:t>SUJETO OBLIGADO</w:t>
      </w:r>
      <w:r w:rsidRPr="004F6572">
        <w:rPr>
          <w:rFonts w:ascii="Palatino Linotype" w:hAnsi="Palatino Linotype"/>
          <w:iCs/>
          <w:color w:val="000000"/>
        </w:rPr>
        <w:t xml:space="preserve"> por medio d</w:t>
      </w:r>
      <w:r w:rsidRPr="004F6572">
        <w:rPr>
          <w:rFonts w:ascii="Palatino Linotype" w:hAnsi="Palatino Linotype"/>
        </w:rPr>
        <w:t>e</w:t>
      </w:r>
      <w:r w:rsidR="00C254C4" w:rsidRPr="004F6572">
        <w:rPr>
          <w:rFonts w:ascii="Palatino Linotype" w:hAnsi="Palatino Linotype"/>
        </w:rPr>
        <w:t xml:space="preserve"> Director General de Administración, hizo entrega de diversas facturas y bitácoras de combustible; asimismo, informó que a la semana hay un gasto aproximado de $263,500.00 pesos, por concepto de consumo de combustible de las diferentes áreas del Ayuntamiento de Texcoco.</w:t>
      </w:r>
    </w:p>
    <w:p w14:paraId="7935DDDC" w14:textId="77777777" w:rsidR="00C254C4" w:rsidRPr="004F6572" w:rsidRDefault="00C254C4" w:rsidP="00C254C4">
      <w:pPr>
        <w:spacing w:before="240" w:after="240" w:line="360" w:lineRule="auto"/>
        <w:ind w:right="48"/>
        <w:contextualSpacing/>
        <w:jc w:val="both"/>
        <w:rPr>
          <w:rFonts w:ascii="Palatino Linotype" w:eastAsiaTheme="minorEastAsia" w:hAnsi="Palatino Linotype"/>
          <w:lang w:val="es-ES_tradnl" w:eastAsia="es-ES"/>
        </w:rPr>
      </w:pPr>
    </w:p>
    <w:p w14:paraId="0C778889" w14:textId="63D01337" w:rsidR="001648DD" w:rsidRPr="004F6572"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lang w:val="es-ES_tradnl" w:eastAsia="es-ES"/>
        </w:rPr>
        <w:t xml:space="preserve">Posteriormente, </w:t>
      </w:r>
      <w:r w:rsidRPr="004F6572">
        <w:rPr>
          <w:rFonts w:ascii="Palatino Linotype" w:hAnsi="Palatino Linotype"/>
        </w:rPr>
        <w:t>l</w:t>
      </w:r>
      <w:r w:rsidR="00BC1008" w:rsidRPr="004F6572">
        <w:rPr>
          <w:rFonts w:ascii="Palatino Linotype" w:hAnsi="Palatino Linotype"/>
        </w:rPr>
        <w:t>a</w:t>
      </w:r>
      <w:r w:rsidRPr="004F6572">
        <w:rPr>
          <w:rFonts w:ascii="Palatino Linotype" w:hAnsi="Palatino Linotype"/>
        </w:rPr>
        <w:t xml:space="preserve"> </w:t>
      </w:r>
      <w:r w:rsidRPr="004F6572">
        <w:rPr>
          <w:rFonts w:ascii="Palatino Linotype" w:hAnsi="Palatino Linotype"/>
          <w:b/>
          <w:bCs/>
        </w:rPr>
        <w:t xml:space="preserve">RECURRENTE </w:t>
      </w:r>
      <w:r w:rsidRPr="004F6572">
        <w:rPr>
          <w:rFonts w:ascii="Palatino Linotype" w:hAnsi="Palatino Linotype"/>
        </w:rPr>
        <w:t>interpuso recurso de revisión mediante el cual refirió como motivos de inconformidad</w:t>
      </w:r>
      <w:r w:rsidR="009D14A2" w:rsidRPr="004F6572">
        <w:rPr>
          <w:rFonts w:ascii="Palatino Linotype" w:hAnsi="Palatino Linotype"/>
        </w:rPr>
        <w:t>,</w:t>
      </w:r>
      <w:r w:rsidRPr="004F6572">
        <w:rPr>
          <w:rFonts w:ascii="Palatino Linotype" w:hAnsi="Palatino Linotype"/>
        </w:rPr>
        <w:t xml:space="preserve"> </w:t>
      </w:r>
      <w:r w:rsidR="009D14A2" w:rsidRPr="004F6572">
        <w:rPr>
          <w:rFonts w:ascii="Palatino Linotype" w:hAnsi="Palatino Linotype"/>
          <w:b/>
        </w:rPr>
        <w:t>que faltaron las bitácoras de combustible requeridas.</w:t>
      </w:r>
    </w:p>
    <w:p w14:paraId="1C892042" w14:textId="77777777" w:rsidR="001648DD" w:rsidRPr="004F6572" w:rsidRDefault="001648DD" w:rsidP="001648DD">
      <w:pPr>
        <w:rPr>
          <w:rFonts w:ascii="Palatino Linotype" w:eastAsiaTheme="minorEastAsia" w:hAnsi="Palatino Linotype"/>
          <w:lang w:val="es-ES_tradnl" w:eastAsia="es-ES"/>
        </w:rPr>
      </w:pPr>
    </w:p>
    <w:p w14:paraId="3EAF08C3" w14:textId="680F98AC" w:rsidR="009D14A2" w:rsidRPr="004F6572" w:rsidRDefault="001648DD" w:rsidP="009D14A2">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lang w:val="es-ES_tradnl" w:eastAsia="es-ES"/>
        </w:rPr>
        <w:lastRenderedPageBreak/>
        <w:t xml:space="preserve">Así, </w:t>
      </w:r>
      <w:r w:rsidRPr="004F6572">
        <w:rPr>
          <w:rFonts w:ascii="Palatino Linotype" w:eastAsia="MS Gothic" w:hAnsi="Palatino Linotype"/>
        </w:rPr>
        <w:t xml:space="preserve">mediante informe justificado, el </w:t>
      </w:r>
      <w:r w:rsidRPr="004F6572">
        <w:rPr>
          <w:rFonts w:ascii="Palatino Linotype" w:eastAsia="MS Gothic" w:hAnsi="Palatino Linotype"/>
          <w:b/>
        </w:rPr>
        <w:t>SUJETO OBLIGADO</w:t>
      </w:r>
      <w:r w:rsidRPr="004F6572">
        <w:rPr>
          <w:rFonts w:ascii="Palatino Linotype" w:eastAsia="MS Gothic" w:hAnsi="Palatino Linotype"/>
        </w:rPr>
        <w:t xml:space="preserve"> por medio de </w:t>
      </w:r>
      <w:r w:rsidR="009D14A2" w:rsidRPr="004F6572">
        <w:rPr>
          <w:rFonts w:ascii="Palatino Linotype" w:eastAsiaTheme="minorEastAsia" w:hAnsi="Palatino Linotype"/>
          <w:iCs/>
          <w:lang w:eastAsia="es-ES"/>
        </w:rPr>
        <w:t xml:space="preserve">la Dirección General de Administración, hizo entrega de </w:t>
      </w:r>
      <w:r w:rsidR="009D14A2" w:rsidRPr="004F6572">
        <w:rPr>
          <w:rFonts w:ascii="Palatino Linotype" w:hAnsi="Palatino Linotype"/>
        </w:rPr>
        <w:t>documento de 106 páginas, consistente en la copia digitalizada de diversas facturas y bitácoras de combustible, en versión pública.</w:t>
      </w:r>
    </w:p>
    <w:p w14:paraId="7D358199" w14:textId="77777777" w:rsidR="001648DD" w:rsidRPr="004F6572" w:rsidRDefault="001648DD" w:rsidP="009D14A2">
      <w:pPr>
        <w:rPr>
          <w:rFonts w:ascii="Palatino Linotype" w:eastAsiaTheme="minorEastAsia" w:hAnsi="Palatino Linotype"/>
          <w:lang w:val="es-ES_tradnl" w:eastAsia="es-ES"/>
        </w:rPr>
      </w:pPr>
    </w:p>
    <w:p w14:paraId="56D67AE5" w14:textId="4F17CCE2" w:rsidR="001648DD" w:rsidRPr="004F6572"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4F6572">
        <w:rPr>
          <w:rFonts w:ascii="Palatino Linotype" w:eastAsia="MS Gothic" w:hAnsi="Palatino Linotype"/>
        </w:rPr>
        <w:t xml:space="preserve">En consecuencia, la Litis a resolver en este recurso, se circunscribe a determinar si la respuesta colma con lo solicitado o si se actualizan las causales de procedencia previstas </w:t>
      </w:r>
      <w:r w:rsidRPr="004F6572">
        <w:rPr>
          <w:rFonts w:ascii="Palatino Linotype" w:hAnsi="Palatino Linotype"/>
        </w:rPr>
        <w:t>en el artículo 179, fracción</w:t>
      </w:r>
      <w:r w:rsidR="009D14A2" w:rsidRPr="004F6572">
        <w:rPr>
          <w:rFonts w:ascii="Palatino Linotype" w:hAnsi="Palatino Linotype"/>
        </w:rPr>
        <w:t xml:space="preserve"> V</w:t>
      </w:r>
      <w:r w:rsidRPr="004F6572">
        <w:rPr>
          <w:rFonts w:ascii="Palatino Linotype" w:hAnsi="Palatino Linotype"/>
        </w:rPr>
        <w:t xml:space="preserve"> de la Ley de Transparencia y Acceso a la Información Pública del Estado de México y Municipios; que establece </w:t>
      </w:r>
      <w:r w:rsidRPr="004F6572">
        <w:rPr>
          <w:rFonts w:ascii="Palatino Linotype" w:hAnsi="Palatino Linotype"/>
          <w:b/>
        </w:rPr>
        <w:t xml:space="preserve">la </w:t>
      </w:r>
      <w:r w:rsidR="009D14A2" w:rsidRPr="004F6572">
        <w:rPr>
          <w:rFonts w:ascii="Palatino Linotype" w:hAnsi="Palatino Linotype"/>
          <w:b/>
        </w:rPr>
        <w:t>entrega de información incompleta.</w:t>
      </w:r>
    </w:p>
    <w:p w14:paraId="41E94E32" w14:textId="77777777" w:rsidR="00897584" w:rsidRPr="004F6572" w:rsidRDefault="00897584" w:rsidP="00897584">
      <w:pPr>
        <w:spacing w:before="240" w:after="240" w:line="360" w:lineRule="auto"/>
        <w:ind w:right="49"/>
        <w:contextualSpacing/>
        <w:jc w:val="both"/>
        <w:rPr>
          <w:rFonts w:ascii="Palatino Linotype" w:eastAsia="Calibri" w:hAnsi="Palatino Linotype" w:cs="Arial"/>
          <w:b/>
        </w:rPr>
      </w:pPr>
    </w:p>
    <w:p w14:paraId="2E699A13" w14:textId="0E50CB22" w:rsidR="00E93FC1" w:rsidRPr="004F6572" w:rsidRDefault="001648DD" w:rsidP="009C09D4">
      <w:pPr>
        <w:keepNext/>
        <w:keepLines/>
        <w:spacing w:before="240" w:after="240" w:line="360" w:lineRule="auto"/>
        <w:ind w:right="48"/>
        <w:outlineLvl w:val="0"/>
        <w:rPr>
          <w:rFonts w:ascii="Palatino Linotype" w:eastAsia="MS Gothic" w:hAnsi="Palatino Linotype"/>
          <w:b/>
          <w:lang w:val="es-ES_tradnl"/>
        </w:rPr>
      </w:pPr>
      <w:bookmarkStart w:id="16" w:name="_Toc65713731"/>
      <w:bookmarkStart w:id="17" w:name="_Toc94119614"/>
      <w:r w:rsidRPr="004F6572">
        <w:rPr>
          <w:rFonts w:ascii="Palatino Linotype" w:eastAsia="MS Mincho" w:hAnsi="Palatino Linotype" w:cstheme="majorBidi"/>
          <w:b/>
          <w:lang w:val="es-ES_tradnl" w:eastAsia="es-ES"/>
        </w:rPr>
        <w:t>CUARTO</w:t>
      </w:r>
      <w:r w:rsidR="00E93FC1" w:rsidRPr="004F6572">
        <w:rPr>
          <w:rFonts w:ascii="Palatino Linotype" w:eastAsia="MS Mincho" w:hAnsi="Palatino Linotype" w:cstheme="majorBidi"/>
          <w:b/>
          <w:lang w:val="es-ES_tradnl" w:eastAsia="es-ES"/>
        </w:rPr>
        <w:t xml:space="preserve">. </w:t>
      </w:r>
      <w:bookmarkEnd w:id="16"/>
      <w:bookmarkEnd w:id="17"/>
      <w:r w:rsidRPr="004F6572">
        <w:rPr>
          <w:rFonts w:ascii="Palatino Linotype" w:eastAsia="MS Gothic" w:hAnsi="Palatino Linotype"/>
          <w:b/>
          <w:lang w:val="es-ES_tradnl"/>
        </w:rPr>
        <w:t>Del estudio y resolución del recurso de revisión.</w:t>
      </w:r>
    </w:p>
    <w:p w14:paraId="411565D5" w14:textId="25D5B7FC" w:rsidR="001648DD" w:rsidRPr="004F6572" w:rsidRDefault="001648DD" w:rsidP="001648DD">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18" w:name="_Toc498528948"/>
      <w:bookmarkStart w:id="19" w:name="_Toc71234379"/>
      <w:bookmarkStart w:id="20" w:name="_Toc71239557"/>
      <w:bookmarkStart w:id="21" w:name="_Toc80812776"/>
      <w:bookmarkStart w:id="22" w:name="_Toc83301639"/>
      <w:bookmarkStart w:id="23" w:name="_Toc94119616"/>
      <w:r w:rsidRPr="004F6572">
        <w:rPr>
          <w:rFonts w:ascii="Palatino Linotype" w:eastAsia="MS Gothic" w:hAnsi="Palatino Linotype"/>
          <w:b/>
          <w:color w:val="auto"/>
          <w:sz w:val="24"/>
          <w:szCs w:val="24"/>
          <w:lang w:val="es-ES_tradnl" w:eastAsia="es-ES"/>
        </w:rPr>
        <w:t>De</w:t>
      </w:r>
      <w:bookmarkEnd w:id="18"/>
      <w:r w:rsidRPr="004F6572">
        <w:rPr>
          <w:rFonts w:ascii="Palatino Linotype" w:eastAsia="MS Gothic" w:hAnsi="Palatino Linotype"/>
          <w:b/>
          <w:color w:val="auto"/>
          <w:sz w:val="24"/>
          <w:szCs w:val="24"/>
          <w:lang w:val="es-ES_tradnl" w:eastAsia="es-ES"/>
        </w:rPr>
        <w:t>l derecho de acceso a la información.</w:t>
      </w:r>
      <w:bookmarkEnd w:id="19"/>
      <w:bookmarkEnd w:id="20"/>
      <w:bookmarkEnd w:id="21"/>
      <w:bookmarkEnd w:id="22"/>
      <w:bookmarkEnd w:id="23"/>
    </w:p>
    <w:p w14:paraId="2B5C61BA" w14:textId="77777777" w:rsidR="001648DD" w:rsidRPr="004F6572" w:rsidRDefault="001648DD" w:rsidP="001648D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Mincho" w:hAnsi="Palatino Linotype" w:cs="Arial"/>
          <w:iCs/>
          <w:sz w:val="24"/>
          <w:lang w:val="es-ES_tradnl" w:eastAsia="es-ES"/>
        </w:rPr>
        <w:t xml:space="preserve">El </w:t>
      </w:r>
      <w:r w:rsidRPr="004F6572">
        <w:rPr>
          <w:rFonts w:ascii="Palatino Linotype" w:hAnsi="Palatino Linotype" w:cs="Arial"/>
          <w:color w:val="000000"/>
          <w:sz w:val="24"/>
          <w:lang w:val="es-ES_tradnl"/>
        </w:rPr>
        <w:t>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4F6572">
        <w:rPr>
          <w:rFonts w:ascii="Palatino Linotype" w:hAnsi="Palatino Linotype" w:cs="Arial"/>
          <w:color w:val="000000"/>
          <w:sz w:val="24"/>
          <w:lang w:val="es-ES_tradnl" w:eastAsia="es-ES"/>
        </w:rPr>
        <w:t xml:space="preserve">. </w:t>
      </w:r>
    </w:p>
    <w:p w14:paraId="121DF43D" w14:textId="77777777" w:rsidR="001648DD" w:rsidRPr="004F6572" w:rsidRDefault="001648DD" w:rsidP="001648DD">
      <w:pPr>
        <w:pStyle w:val="Prrafodelista"/>
        <w:spacing w:before="240" w:after="240" w:line="360" w:lineRule="auto"/>
        <w:ind w:left="0" w:right="48"/>
        <w:jc w:val="both"/>
        <w:rPr>
          <w:rFonts w:ascii="Palatino Linotype" w:eastAsia="MS Gothic" w:hAnsi="Palatino Linotype"/>
          <w:sz w:val="24"/>
        </w:rPr>
      </w:pPr>
    </w:p>
    <w:p w14:paraId="222F8F92"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hAnsi="Palatino Linotype"/>
          <w:lang w:val="es-ES_tradnl" w:eastAsia="es-ES"/>
        </w:rPr>
        <w:t xml:space="preserve">Definiendo el Derecho de Acceso a la Información Pública como: </w:t>
      </w:r>
      <w:r w:rsidRPr="004F6572">
        <w:rPr>
          <w:rFonts w:ascii="Palatino Linotype" w:eastAsiaTheme="minorEastAsia" w:hAnsi="Palatino Linotype"/>
          <w:i/>
          <w:color w:val="000000"/>
          <w:lang w:val="es-ES_tradnl" w:eastAsia="es-ES"/>
        </w:rPr>
        <w:t>La igualdad de oportunidades para recibir, buscar e impartir información</w:t>
      </w:r>
      <w:r w:rsidRPr="004F6572">
        <w:rPr>
          <w:rFonts w:ascii="Palatino Linotype" w:eastAsiaTheme="minorEastAsia" w:hAnsi="Palatino Linotype"/>
          <w:i/>
          <w:vertAlign w:val="superscript"/>
          <w:lang w:val="es-ES_tradnl" w:eastAsia="es-ES"/>
        </w:rPr>
        <w:footnoteReference w:id="4"/>
      </w:r>
      <w:r w:rsidRPr="004F6572">
        <w:rPr>
          <w:rFonts w:ascii="Palatino Linotype" w:eastAsiaTheme="minorEastAsia" w:hAnsi="Palatino Linotype"/>
          <w:i/>
          <w:color w:val="000000"/>
          <w:lang w:val="es-ES_tradnl" w:eastAsia="es-ES"/>
        </w:rPr>
        <w:t xml:space="preserve">en posesión de cualquier autoridad, entidad, órgano y organismo de los poderes Ejecutivo, Legislativo y Judicial, órganos </w:t>
      </w:r>
      <w:r w:rsidRPr="004F6572">
        <w:rPr>
          <w:rFonts w:ascii="Palatino Linotype" w:eastAsiaTheme="minorEastAsia" w:hAnsi="Palatino Linotype"/>
          <w:i/>
          <w:color w:val="000000"/>
          <w:lang w:val="es-ES_tradnl" w:eastAsia="es-ES"/>
        </w:rPr>
        <w:lastRenderedPageBreak/>
        <w:t>autónomos, partidos políticos, fideicomisos y fondos públicos, así como de cualquier persona física, moral o sindicato que reciba y ejerza recursos públicos o realice actos de autoridad en el ámbito federal, estatal y municipal,</w:t>
      </w:r>
      <w:r w:rsidRPr="004F6572">
        <w:rPr>
          <w:rFonts w:ascii="Palatino Linotype" w:eastAsiaTheme="minorEastAsia" w:hAnsi="Palatino Linotype"/>
          <w:i/>
          <w:vertAlign w:val="superscript"/>
          <w:lang w:val="es-ES_tradnl" w:eastAsia="es-ES"/>
        </w:rPr>
        <w:footnoteReference w:id="5"/>
      </w:r>
      <w:r w:rsidRPr="004F6572">
        <w:rPr>
          <w:rFonts w:ascii="Palatino Linotype" w:eastAsiaTheme="minorEastAsia" w:hAnsi="Palatino Linotype"/>
          <w:color w:val="000000"/>
          <w:lang w:val="es-ES_tradnl" w:eastAsia="es-ES"/>
        </w:rPr>
        <w:t>que se constituye como una herramienta fundamental para ejercer</w:t>
      </w:r>
      <w:r w:rsidRPr="004F6572">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4F6572">
        <w:rPr>
          <w:rFonts w:ascii="Palatino Linotype" w:eastAsiaTheme="minorEastAsia" w:hAnsi="Palatino Linotype"/>
          <w:i/>
          <w:vertAlign w:val="superscript"/>
          <w:lang w:val="es-ES_tradnl" w:eastAsia="es-ES"/>
        </w:rPr>
        <w:footnoteReference w:id="6"/>
      </w:r>
      <w:r w:rsidRPr="004F6572">
        <w:rPr>
          <w:rFonts w:ascii="Palatino Linotype" w:eastAsiaTheme="minorEastAsia" w:hAnsi="Palatino Linotype"/>
          <w:color w:val="000000"/>
          <w:lang w:val="es-ES_tradnl" w:eastAsia="es-ES"/>
        </w:rPr>
        <w:t>fomentando</w:t>
      </w:r>
      <w:r w:rsidRPr="004F6572">
        <w:rPr>
          <w:rFonts w:ascii="Palatino Linotype" w:eastAsiaTheme="minorEastAsia" w:hAnsi="Palatino Linotype"/>
          <w:i/>
          <w:color w:val="000000"/>
          <w:lang w:val="es-ES_tradnl" w:eastAsia="es-ES"/>
        </w:rPr>
        <w:t xml:space="preserve"> la transparencia de las actividades estatales y </w:t>
      </w:r>
      <w:r w:rsidRPr="004F6572">
        <w:rPr>
          <w:rFonts w:ascii="Palatino Linotype" w:eastAsiaTheme="minorEastAsia" w:hAnsi="Palatino Linotype"/>
          <w:color w:val="000000"/>
          <w:lang w:val="es-ES_tradnl" w:eastAsia="es-ES"/>
        </w:rPr>
        <w:t>promoviendo</w:t>
      </w:r>
      <w:r w:rsidRPr="004F6572">
        <w:rPr>
          <w:rFonts w:ascii="Palatino Linotype" w:eastAsiaTheme="minorEastAsia" w:hAnsi="Palatino Linotype"/>
          <w:i/>
          <w:color w:val="000000"/>
          <w:lang w:val="es-ES_tradnl" w:eastAsia="es-ES"/>
        </w:rPr>
        <w:t xml:space="preserve"> la responsabilidad de los funcionarios sobre su gestión pública,</w:t>
      </w:r>
      <w:r w:rsidRPr="004F6572">
        <w:rPr>
          <w:rFonts w:ascii="Palatino Linotype" w:eastAsiaTheme="minorEastAsia" w:hAnsi="Palatino Linotype"/>
          <w:i/>
          <w:vertAlign w:val="superscript"/>
          <w:lang w:val="es-ES_tradnl" w:eastAsia="es-ES"/>
        </w:rPr>
        <w:footnoteReference w:id="7"/>
      </w:r>
      <w:r w:rsidRPr="004F6572">
        <w:rPr>
          <w:rFonts w:ascii="Palatino Linotype" w:eastAsiaTheme="minorEastAsia" w:hAnsi="Palatino Linotype"/>
          <w:color w:val="000000"/>
          <w:lang w:val="es-ES_tradnl" w:eastAsia="es-ES"/>
        </w:rPr>
        <w:t>que permite</w:t>
      </w:r>
      <w:r w:rsidRPr="004F6572">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15A38B7D" w14:textId="77777777" w:rsidR="001648DD" w:rsidRPr="004F6572"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3E2AFDC5"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hAnsi="Palatino Linotype"/>
          <w:lang w:val="es-ES_tradnl" w:eastAsia="es-ES"/>
        </w:rPr>
        <w:t>En México, además de los derechos, están reconocidas las garantías para su protección, en ese sentido el párrafo tercero de artículo primero de la Constitución Política de los Estados Unidos Mexicanos dispone lo siguiente:</w:t>
      </w:r>
    </w:p>
    <w:p w14:paraId="14D69BEE" w14:textId="77777777" w:rsidR="001648DD" w:rsidRPr="004F6572" w:rsidRDefault="001648DD" w:rsidP="001648DD">
      <w:pPr>
        <w:spacing w:before="240" w:after="240"/>
        <w:ind w:left="567" w:right="567"/>
        <w:contextualSpacing/>
        <w:jc w:val="both"/>
        <w:rPr>
          <w:rFonts w:ascii="Palatino Linotype" w:hAnsi="Palatino Linotype"/>
          <w:i/>
          <w:sz w:val="22"/>
          <w:lang w:val="es-ES_tradnl" w:eastAsia="es-ES"/>
        </w:rPr>
      </w:pPr>
      <w:r w:rsidRPr="004F6572">
        <w:rPr>
          <w:rFonts w:ascii="Palatino Linotype" w:hAnsi="Palatino Linotype"/>
          <w:i/>
          <w:sz w:val="22"/>
          <w:lang w:val="es-ES_tradnl" w:eastAsia="es-ES"/>
        </w:rPr>
        <w:t>“</w:t>
      </w:r>
      <w:r w:rsidRPr="004F6572">
        <w:rPr>
          <w:rFonts w:ascii="Palatino Linotype" w:hAnsi="Palatino Linotype"/>
          <w:b/>
          <w:i/>
          <w:sz w:val="22"/>
          <w:lang w:val="es-ES_tradnl" w:eastAsia="es-ES"/>
        </w:rPr>
        <w:t>Artículo 1.-</w:t>
      </w:r>
      <w:r w:rsidRPr="004F6572">
        <w:rPr>
          <w:rFonts w:ascii="Palatino Linotype" w:hAnsi="Palatino Linotype"/>
          <w:i/>
          <w:sz w:val="22"/>
          <w:lang w:val="es-ES_tradnl" w:eastAsia="es-ES"/>
        </w:rPr>
        <w:t xml:space="preserve"> </w:t>
      </w:r>
    </w:p>
    <w:p w14:paraId="0828A406" w14:textId="77777777" w:rsidR="001648DD" w:rsidRPr="004F6572" w:rsidRDefault="001648DD" w:rsidP="001648DD">
      <w:pPr>
        <w:spacing w:before="240" w:after="240"/>
        <w:ind w:left="567" w:right="567"/>
        <w:contextualSpacing/>
        <w:jc w:val="both"/>
        <w:rPr>
          <w:rFonts w:ascii="Palatino Linotype" w:hAnsi="Palatino Linotype"/>
          <w:i/>
          <w:sz w:val="22"/>
          <w:lang w:val="es-ES_tradnl" w:eastAsia="es-ES"/>
        </w:rPr>
      </w:pPr>
      <w:r w:rsidRPr="004F6572">
        <w:rPr>
          <w:rFonts w:ascii="Palatino Linotype" w:hAnsi="Palatino Linotype"/>
          <w:i/>
          <w:sz w:val="22"/>
          <w:lang w:val="es-ES_tradnl" w:eastAsia="es-ES"/>
        </w:rPr>
        <w:t>(…)</w:t>
      </w:r>
    </w:p>
    <w:p w14:paraId="1A293440" w14:textId="77777777" w:rsidR="001648DD" w:rsidRPr="004F6572" w:rsidRDefault="001648DD" w:rsidP="001648DD">
      <w:pPr>
        <w:spacing w:before="240" w:after="240"/>
        <w:ind w:left="567" w:right="567"/>
        <w:contextualSpacing/>
        <w:jc w:val="both"/>
        <w:rPr>
          <w:rFonts w:ascii="Palatino Linotype" w:hAnsi="Palatino Linotype"/>
          <w:i/>
          <w:sz w:val="22"/>
        </w:rPr>
      </w:pPr>
      <w:r w:rsidRPr="004F6572">
        <w:rPr>
          <w:rFonts w:ascii="Palatino Linotype" w:hAnsi="Palatino Linotype"/>
          <w:i/>
          <w:sz w:val="22"/>
          <w:lang w:val="es-ES_tradnl" w:eastAsia="es-ES"/>
        </w:rPr>
        <w:t>Todas las</w:t>
      </w:r>
      <w:r w:rsidRPr="004F6572">
        <w:rPr>
          <w:rFonts w:ascii="Palatino Linotype" w:hAnsi="Palatino Linotype"/>
          <w:sz w:val="22"/>
          <w:lang w:val="es-ES_tradnl" w:eastAsia="es-ES"/>
        </w:rPr>
        <w:t xml:space="preserve"> </w:t>
      </w:r>
      <w:r w:rsidRPr="004F6572">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9C64C53" w14:textId="77777777" w:rsidR="001648DD" w:rsidRPr="004F6572" w:rsidRDefault="001648DD" w:rsidP="001648DD">
      <w:pPr>
        <w:spacing w:before="240" w:after="240"/>
        <w:ind w:left="567" w:right="567"/>
        <w:contextualSpacing/>
        <w:jc w:val="both"/>
        <w:rPr>
          <w:rFonts w:ascii="Palatino Linotype" w:hAnsi="Palatino Linotype"/>
          <w:sz w:val="22"/>
          <w:lang w:val="es-ES_tradnl" w:eastAsia="es-ES"/>
        </w:rPr>
      </w:pPr>
      <w:r w:rsidRPr="004F6572">
        <w:rPr>
          <w:rFonts w:ascii="Palatino Linotype" w:hAnsi="Palatino Linotype"/>
          <w:i/>
          <w:sz w:val="22"/>
        </w:rPr>
        <w:t>(…)</w:t>
      </w:r>
      <w:r w:rsidRPr="004F6572">
        <w:rPr>
          <w:rFonts w:ascii="Palatino Linotype" w:hAnsi="Palatino Linotype"/>
          <w:sz w:val="22"/>
          <w:lang w:val="es-ES_tradnl" w:eastAsia="es-ES"/>
        </w:rPr>
        <w:t>”.</w:t>
      </w:r>
    </w:p>
    <w:p w14:paraId="076AD42A" w14:textId="77777777" w:rsidR="001648DD" w:rsidRPr="004F6572" w:rsidRDefault="001648DD" w:rsidP="001648DD">
      <w:pPr>
        <w:spacing w:before="240" w:after="240"/>
        <w:ind w:right="567"/>
        <w:contextualSpacing/>
        <w:jc w:val="both"/>
        <w:rPr>
          <w:rFonts w:ascii="Palatino Linotype" w:hAnsi="Palatino Linotype"/>
          <w:b/>
          <w:lang w:val="es-ES_tradnl" w:eastAsia="es-ES"/>
        </w:rPr>
      </w:pPr>
    </w:p>
    <w:p w14:paraId="2859F1BA"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hAnsi="Palatino Linotype"/>
          <w:lang w:val="es-ES_tradnl" w:eastAsia="es-ES"/>
        </w:rPr>
        <w:t xml:space="preserve">Por lo anterior, se deduce que el Derecho de Acceso a la Información Pública es un Derecho Humano de Fuente Internacional y Constitucionalmente reconocido. </w:t>
      </w:r>
      <w:r w:rsidRPr="004F6572">
        <w:rPr>
          <w:rFonts w:ascii="Palatino Linotype" w:hAnsi="Palatino Linotype"/>
          <w:lang w:val="es-ES_tradnl" w:eastAsia="es-ES"/>
        </w:rPr>
        <w:lastRenderedPageBreak/>
        <w:t>Además del derecho, también se reconocen garantías para su protección, lo que vincula con el mandato del párrafo tercero del mismo artículo.</w:t>
      </w:r>
    </w:p>
    <w:p w14:paraId="1D9B3554" w14:textId="77777777" w:rsidR="001648DD" w:rsidRPr="004F6572"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6659994D"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lang w:val="es-ES_tradnl" w:eastAsia="es-ES"/>
        </w:rPr>
        <w:t xml:space="preserve">Así, conforme a la Constitución Política de las Estado Unidos Mexicanos </w:t>
      </w:r>
      <w:r w:rsidRPr="004F6572">
        <w:rPr>
          <w:rFonts w:ascii="Palatino Linotype" w:eastAsia="Calibri" w:hAnsi="Palatino Linotype"/>
          <w:lang w:val="es-ES_tradnl" w:eastAsia="es-ES"/>
        </w:rPr>
        <w:t>y la Constitución Política del Estado Libre y Soberano de México respectivamente</w:t>
      </w:r>
      <w:r w:rsidRPr="004F6572">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DCB356C" w14:textId="77777777" w:rsidR="001648DD" w:rsidRPr="004F6572"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4F6572">
        <w:rPr>
          <w:rFonts w:ascii="Palatino Linotype" w:eastAsiaTheme="minorEastAsia" w:hAnsi="Palatino Linotype" w:cs="Arial"/>
          <w:b/>
          <w:bCs/>
          <w:i/>
          <w:sz w:val="22"/>
          <w:lang w:val="es-ES_tradnl" w:eastAsia="es-ES"/>
        </w:rPr>
        <w:t>Constitución Política de los Estados Unidos Mexicanos</w:t>
      </w:r>
    </w:p>
    <w:p w14:paraId="37CD394A" w14:textId="77777777" w:rsidR="001648DD" w:rsidRPr="004F6572"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4F6572">
        <w:rPr>
          <w:rFonts w:ascii="Palatino Linotype" w:eastAsiaTheme="minorEastAsia" w:hAnsi="Palatino Linotype" w:cs="Arial"/>
          <w:b/>
          <w:bCs/>
          <w:i/>
          <w:sz w:val="22"/>
          <w:lang w:val="es-ES_tradnl" w:eastAsia="es-ES"/>
        </w:rPr>
        <w:t>“Artículo 6.</w:t>
      </w:r>
    </w:p>
    <w:p w14:paraId="571BA98B"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Cs/>
          <w:i/>
          <w:sz w:val="22"/>
          <w:lang w:val="es-ES_tradnl" w:eastAsia="es-ES"/>
        </w:rPr>
        <w:t>(…)</w:t>
      </w:r>
    </w:p>
    <w:p w14:paraId="5B441548"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Cs/>
          <w:i/>
          <w:sz w:val="22"/>
          <w:lang w:val="es-ES_tradnl" w:eastAsia="es-ES"/>
        </w:rPr>
        <w:t>Para efectos de lo dispuesto en el presente artículo se observará lo siguiente:</w:t>
      </w:r>
    </w:p>
    <w:p w14:paraId="5DF1588D" w14:textId="77777777" w:rsidR="001648DD" w:rsidRPr="004F6572"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4F6572">
        <w:rPr>
          <w:rFonts w:ascii="Palatino Linotype" w:eastAsiaTheme="minorEastAsia" w:hAnsi="Palatino Linotype" w:cs="Arial"/>
          <w:b/>
          <w:bCs/>
          <w:i/>
          <w:sz w:val="22"/>
          <w:lang w:val="es-ES_tradnl" w:eastAsia="es-ES"/>
        </w:rPr>
        <w:t>A</w:t>
      </w:r>
      <w:r w:rsidRPr="004F6572">
        <w:rPr>
          <w:rFonts w:ascii="Palatino Linotype" w:eastAsiaTheme="minorEastAsia" w:hAnsi="Palatino Linotype" w:cs="Arial"/>
          <w:bCs/>
          <w:i/>
          <w:sz w:val="22"/>
          <w:lang w:val="es-ES_tradnl" w:eastAsia="es-ES"/>
        </w:rPr>
        <w:t xml:space="preserve">. </w:t>
      </w:r>
      <w:r w:rsidRPr="004F6572">
        <w:rPr>
          <w:rFonts w:ascii="Palatino Linotype" w:eastAsiaTheme="minorEastAsia" w:hAnsi="Palatino Linotype" w:cs="Arial"/>
          <w:b/>
          <w:bCs/>
          <w:i/>
          <w:sz w:val="22"/>
          <w:lang w:val="es-ES_tradnl" w:eastAsia="es-ES"/>
        </w:rPr>
        <w:t>Para el ejercicio del derecho de acceso a la información</w:t>
      </w:r>
      <w:r w:rsidRPr="004F6572">
        <w:rPr>
          <w:rFonts w:ascii="Palatino Linotype" w:eastAsiaTheme="minorEastAsia" w:hAnsi="Palatino Linotype" w:cs="Arial"/>
          <w:bCs/>
          <w:i/>
          <w:sz w:val="22"/>
          <w:lang w:val="es-ES_tradnl" w:eastAsia="es-ES"/>
        </w:rPr>
        <w:t xml:space="preserve">, la Federación y </w:t>
      </w:r>
      <w:r w:rsidRPr="004F6572">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0EDEFA8F"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
          <w:bCs/>
          <w:i/>
          <w:sz w:val="22"/>
          <w:lang w:val="es-ES_tradnl" w:eastAsia="es-ES"/>
        </w:rPr>
        <w:t xml:space="preserve">I. </w:t>
      </w:r>
      <w:r w:rsidRPr="004F6572">
        <w:rPr>
          <w:rFonts w:ascii="Palatino Linotype" w:eastAsiaTheme="minorEastAsia" w:hAnsi="Palatino Linotype" w:cs="Arial"/>
          <w:b/>
          <w:bCs/>
          <w:i/>
          <w:sz w:val="22"/>
          <w:lang w:val="es-ES_tradnl" w:eastAsia="es-ES"/>
        </w:rPr>
        <w:tab/>
        <w:t>Toda la información en posesión de cualquier</w:t>
      </w:r>
      <w:r w:rsidRPr="004F6572">
        <w:rPr>
          <w:rFonts w:ascii="Palatino Linotype" w:eastAsiaTheme="minorEastAsia" w:hAnsi="Palatino Linotype" w:cs="Arial"/>
          <w:bCs/>
          <w:i/>
          <w:sz w:val="22"/>
          <w:lang w:val="es-ES_tradnl" w:eastAsia="es-ES"/>
        </w:rPr>
        <w:t xml:space="preserve"> </w:t>
      </w:r>
      <w:r w:rsidRPr="004F6572">
        <w:rPr>
          <w:rFonts w:ascii="Palatino Linotype" w:eastAsiaTheme="minorEastAsia" w:hAnsi="Palatino Linotype" w:cs="Arial"/>
          <w:b/>
          <w:bCs/>
          <w:i/>
          <w:sz w:val="22"/>
          <w:lang w:val="es-ES_tradnl" w:eastAsia="es-ES"/>
        </w:rPr>
        <w:t>autoridad</w:t>
      </w:r>
      <w:r w:rsidRPr="004F6572">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F6572">
        <w:rPr>
          <w:rFonts w:ascii="Palatino Linotype" w:eastAsiaTheme="minorEastAsia" w:hAnsi="Palatino Linotype" w:cs="Arial"/>
          <w:b/>
          <w:bCs/>
          <w:i/>
          <w:sz w:val="22"/>
          <w:lang w:val="es-ES_tradnl" w:eastAsia="es-ES"/>
        </w:rPr>
        <w:t>municipal</w:t>
      </w:r>
      <w:r w:rsidRPr="004F6572">
        <w:rPr>
          <w:rFonts w:ascii="Palatino Linotype" w:eastAsiaTheme="minorEastAsia" w:hAnsi="Palatino Linotype" w:cs="Arial"/>
          <w:bCs/>
          <w:i/>
          <w:sz w:val="22"/>
          <w:lang w:val="es-ES_tradnl" w:eastAsia="es-ES"/>
        </w:rPr>
        <w:t xml:space="preserve">, </w:t>
      </w:r>
      <w:r w:rsidRPr="004F6572">
        <w:rPr>
          <w:rFonts w:ascii="Palatino Linotype" w:eastAsiaTheme="minorEastAsia" w:hAnsi="Palatino Linotype" w:cs="Arial"/>
          <w:b/>
          <w:bCs/>
          <w:i/>
          <w:sz w:val="22"/>
          <w:lang w:val="es-ES_tradnl" w:eastAsia="es-ES"/>
        </w:rPr>
        <w:t>es pública</w:t>
      </w:r>
      <w:r w:rsidRPr="004F6572">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4F6572">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4F6572">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1B3EF18E" w14:textId="77777777" w:rsidR="001648DD" w:rsidRPr="004F6572" w:rsidRDefault="001648DD" w:rsidP="001648DD">
      <w:pPr>
        <w:pStyle w:val="Prrafodelista"/>
        <w:tabs>
          <w:tab w:val="left" w:pos="567"/>
        </w:tabs>
        <w:spacing w:before="240" w:after="240"/>
        <w:ind w:left="567" w:right="567"/>
        <w:jc w:val="both"/>
        <w:rPr>
          <w:rFonts w:ascii="Palatino Linotype" w:hAnsi="Palatino Linotype" w:cs="Arial"/>
          <w:b/>
          <w:bCs/>
          <w:i/>
        </w:rPr>
      </w:pPr>
    </w:p>
    <w:p w14:paraId="58C59180" w14:textId="77777777" w:rsidR="001648DD" w:rsidRPr="004F6572"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4F6572">
        <w:rPr>
          <w:rFonts w:ascii="Palatino Linotype" w:eastAsiaTheme="minorEastAsia" w:hAnsi="Palatino Linotype" w:cs="Arial"/>
          <w:b/>
          <w:bCs/>
          <w:i/>
          <w:sz w:val="22"/>
          <w:lang w:val="es-ES_tradnl" w:eastAsia="es-ES"/>
        </w:rPr>
        <w:t>Constitución Política del Estado Libre y Soberano de México</w:t>
      </w:r>
    </w:p>
    <w:p w14:paraId="2E6BCF31"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
          <w:bCs/>
          <w:i/>
          <w:sz w:val="22"/>
          <w:lang w:val="es-ES_tradnl" w:eastAsia="es-ES"/>
        </w:rPr>
        <w:lastRenderedPageBreak/>
        <w:t>“Artículo 5</w:t>
      </w:r>
      <w:r w:rsidRPr="004F6572">
        <w:rPr>
          <w:rFonts w:ascii="Palatino Linotype" w:eastAsiaTheme="minorEastAsia" w:hAnsi="Palatino Linotype" w:cs="Arial"/>
          <w:bCs/>
          <w:i/>
          <w:sz w:val="22"/>
          <w:lang w:val="es-ES_tradnl" w:eastAsia="es-ES"/>
        </w:rPr>
        <w:t xml:space="preserve">.- </w:t>
      </w:r>
    </w:p>
    <w:p w14:paraId="78F84FA8"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Cs/>
          <w:i/>
          <w:sz w:val="22"/>
          <w:lang w:val="es-ES_tradnl" w:eastAsia="es-ES"/>
        </w:rPr>
        <w:t>(…)</w:t>
      </w:r>
    </w:p>
    <w:p w14:paraId="6914DD76"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4F6572">
        <w:rPr>
          <w:rFonts w:ascii="Palatino Linotype" w:eastAsiaTheme="minorEastAsia" w:hAnsi="Palatino Linotype" w:cs="Arial"/>
          <w:bCs/>
          <w:i/>
          <w:sz w:val="22"/>
          <w:lang w:val="es-ES_tradnl" w:eastAsia="es-ES"/>
        </w:rPr>
        <w:t>.</w:t>
      </w:r>
    </w:p>
    <w:p w14:paraId="6080D467"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96159C5"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
          <w:bCs/>
          <w:i/>
          <w:sz w:val="22"/>
          <w:lang w:val="es-ES_tradnl" w:eastAsia="es-ES"/>
        </w:rPr>
        <w:t>Este derecho se regirá por los principios y bases siguientes</w:t>
      </w:r>
      <w:r w:rsidRPr="004F6572">
        <w:rPr>
          <w:rFonts w:ascii="Palatino Linotype" w:eastAsiaTheme="minorEastAsia" w:hAnsi="Palatino Linotype" w:cs="Arial"/>
          <w:bCs/>
          <w:i/>
          <w:sz w:val="22"/>
          <w:lang w:val="es-ES_tradnl" w:eastAsia="es-ES"/>
        </w:rPr>
        <w:t>:</w:t>
      </w:r>
    </w:p>
    <w:p w14:paraId="36BDB90D" w14:textId="77777777" w:rsidR="001648DD" w:rsidRPr="004F6572"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4F6572">
        <w:rPr>
          <w:rFonts w:ascii="Palatino Linotype" w:eastAsiaTheme="minorEastAsia" w:hAnsi="Palatino Linotype" w:cs="Arial"/>
          <w:b/>
          <w:bCs/>
          <w:i/>
          <w:sz w:val="22"/>
          <w:lang w:val="es-ES_tradnl" w:eastAsia="es-ES"/>
        </w:rPr>
        <w:t>I. Toda la información en posesión de cualquier autoridad, entidad, órgano y organismos de los</w:t>
      </w:r>
      <w:r w:rsidRPr="004F6572">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4F6572">
        <w:rPr>
          <w:rFonts w:ascii="Palatino Linotype" w:eastAsiaTheme="minorEastAsia" w:hAnsi="Palatino Linotype" w:cs="Arial"/>
          <w:b/>
          <w:bCs/>
          <w:i/>
          <w:sz w:val="22"/>
          <w:lang w:val="es-ES_tradnl" w:eastAsia="es-ES"/>
        </w:rPr>
        <w:t>municipales</w:t>
      </w:r>
      <w:r w:rsidRPr="004F6572">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F6572">
        <w:rPr>
          <w:rFonts w:ascii="Palatino Linotype" w:eastAsiaTheme="minorEastAsia" w:hAnsi="Palatino Linotype" w:cs="Arial"/>
          <w:b/>
          <w:bCs/>
          <w:i/>
          <w:sz w:val="22"/>
          <w:lang w:val="es-ES_tradnl" w:eastAsia="es-ES"/>
        </w:rPr>
        <w:t>es pública</w:t>
      </w:r>
      <w:r w:rsidRPr="004F6572">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4F6572">
        <w:rPr>
          <w:rFonts w:ascii="Palatino Linotype" w:eastAsiaTheme="minorEastAsia" w:hAnsi="Palatino Linotype" w:cs="Arial"/>
          <w:b/>
          <w:bCs/>
          <w:i/>
          <w:sz w:val="22"/>
          <w:lang w:val="es-ES_tradnl" w:eastAsia="es-ES"/>
        </w:rPr>
        <w:t>En la interpretación de este derecho deberá prevalecer el principio de máxima publicidad</w:t>
      </w:r>
      <w:r w:rsidRPr="004F6572">
        <w:rPr>
          <w:rFonts w:ascii="Palatino Linotype" w:eastAsiaTheme="minorEastAsia" w:hAnsi="Palatino Linotype" w:cs="Arial"/>
          <w:bCs/>
          <w:i/>
          <w:sz w:val="22"/>
          <w:lang w:val="es-ES_tradnl" w:eastAsia="es-ES"/>
        </w:rPr>
        <w:t xml:space="preserve">. </w:t>
      </w:r>
      <w:r w:rsidRPr="004F6572">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4F6572">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27710370" w14:textId="77777777" w:rsidR="001648DD" w:rsidRPr="004F6572" w:rsidRDefault="001648DD" w:rsidP="001648DD">
      <w:pPr>
        <w:tabs>
          <w:tab w:val="left" w:pos="567"/>
        </w:tabs>
        <w:spacing w:before="240" w:after="240"/>
        <w:ind w:right="567"/>
        <w:jc w:val="both"/>
        <w:rPr>
          <w:rFonts w:ascii="Palatino Linotype" w:hAnsi="Palatino Linotype" w:cs="Arial"/>
          <w:b/>
          <w:bCs/>
          <w:i/>
        </w:rPr>
      </w:pPr>
    </w:p>
    <w:p w14:paraId="359D9FC1"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4F6572">
        <w:rPr>
          <w:rFonts w:ascii="Palatino Linotype" w:eastAsiaTheme="minorEastAsia" w:hAnsi="Palatino Linotype" w:cs="Arial"/>
          <w:i/>
          <w:lang w:val="es-ES_tradnl" w:eastAsia="es-ES"/>
        </w:rPr>
        <w:t>por los principios de simplicidad, rapidez gratuidad del procedimiento, auxilio y orientación a los particulares</w:t>
      </w:r>
      <w:r w:rsidRPr="004F6572">
        <w:rPr>
          <w:rFonts w:ascii="Palatino Linotype" w:eastAsiaTheme="minorEastAsia" w:hAnsi="Palatino Linotype" w:cs="Arial"/>
          <w:lang w:val="es-ES_tradnl" w:eastAsia="es-ES"/>
        </w:rPr>
        <w:t>, contemplando el derecho de las personas con discapacidad y hablantes de lengua indígena.</w:t>
      </w:r>
    </w:p>
    <w:p w14:paraId="7B066E33" w14:textId="77777777" w:rsidR="001648DD" w:rsidRPr="004F6572"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40BE987B" w14:textId="77777777" w:rsidR="001648DD" w:rsidRPr="004F6572"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cs="Arial"/>
          <w:lang w:val="es-ES_tradnl" w:eastAsia="es-ES"/>
        </w:rPr>
        <w:lastRenderedPageBreak/>
        <w:t xml:space="preserve">El Derecho de Acceso a la Información se garantiza y respeta oportunamente, y según lo que dispone la Ley, las </w:t>
      </w:r>
      <w:r w:rsidRPr="004F6572">
        <w:rPr>
          <w:rFonts w:ascii="Palatino Linotype" w:eastAsiaTheme="minorEastAsia" w:hAnsi="Palatino Linotype" w:cs="Arial"/>
          <w:i/>
          <w:lang w:val="es-ES_tradnl" w:eastAsia="es-ES"/>
        </w:rPr>
        <w:t>solicitudes de acceso a la información</w:t>
      </w:r>
      <w:r w:rsidRPr="004F6572">
        <w:rPr>
          <w:rFonts w:ascii="Palatino Linotype" w:eastAsiaTheme="minorEastAsia" w:hAnsi="Palatino Linotype" w:cs="Arial"/>
          <w:lang w:val="es-ES_tradnl" w:eastAsia="es-ES"/>
        </w:rPr>
        <w:t>.</w:t>
      </w:r>
    </w:p>
    <w:p w14:paraId="6AEC8D8F" w14:textId="77777777" w:rsidR="001648DD" w:rsidRPr="004F6572"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12F161E3" w14:textId="77777777" w:rsidR="001648DD" w:rsidRPr="004F6572" w:rsidRDefault="001648DD" w:rsidP="001648DD">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4F6572">
        <w:rPr>
          <w:rFonts w:ascii="Palatino Linotype" w:eastAsiaTheme="minorEastAsia" w:hAnsi="Palatino Linotype" w:cs="Arial"/>
          <w:lang w:val="es-ES_tradnl" w:eastAsia="es-ES"/>
        </w:rPr>
        <w:t xml:space="preserve">Así entonces, se procede analizar, en primer lugar, si el </w:t>
      </w:r>
      <w:r w:rsidRPr="004F6572">
        <w:rPr>
          <w:rFonts w:ascii="Palatino Linotype" w:eastAsiaTheme="minorEastAsia" w:hAnsi="Palatino Linotype" w:cs="Arial"/>
          <w:b/>
          <w:bCs/>
          <w:lang w:val="es-ES_tradnl" w:eastAsia="es-ES"/>
        </w:rPr>
        <w:t>SUJETO OBLIGADO</w:t>
      </w:r>
      <w:r w:rsidRPr="004F6572">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24" w:name="_Toc80812777"/>
      <w:bookmarkStart w:id="25" w:name="_Toc83301641"/>
      <w:bookmarkStart w:id="26" w:name="_Toc94119617"/>
    </w:p>
    <w:p w14:paraId="5FEDF6C5" w14:textId="77777777" w:rsidR="001648DD" w:rsidRPr="004F6572" w:rsidRDefault="001648DD" w:rsidP="001648DD">
      <w:pPr>
        <w:pStyle w:val="Prrafodelista"/>
        <w:rPr>
          <w:rFonts w:ascii="Palatino Linotype" w:hAnsi="Palatino Linotype"/>
          <w:b/>
          <w:sz w:val="24"/>
        </w:rPr>
      </w:pPr>
    </w:p>
    <w:p w14:paraId="6CF06EA6" w14:textId="5145056D" w:rsidR="001648DD" w:rsidRPr="004F6572" w:rsidRDefault="001648DD" w:rsidP="001648DD">
      <w:pPr>
        <w:spacing w:line="360" w:lineRule="auto"/>
        <w:ind w:left="567" w:right="49"/>
        <w:contextualSpacing/>
        <w:jc w:val="both"/>
        <w:rPr>
          <w:rFonts w:ascii="Palatino Linotype" w:eastAsiaTheme="minorEastAsia" w:hAnsi="Palatino Linotype"/>
          <w:lang w:val="es-ES_tradnl" w:eastAsia="es-ES"/>
        </w:rPr>
      </w:pPr>
      <w:r w:rsidRPr="004F6572">
        <w:rPr>
          <w:rFonts w:ascii="Palatino Linotype" w:hAnsi="Palatino Linotype"/>
          <w:b/>
        </w:rPr>
        <w:t>II. De la información solicitada</w:t>
      </w:r>
      <w:bookmarkEnd w:id="24"/>
      <w:bookmarkEnd w:id="25"/>
      <w:r w:rsidRPr="004F6572">
        <w:rPr>
          <w:rFonts w:ascii="Palatino Linotype" w:hAnsi="Palatino Linotype"/>
          <w:b/>
        </w:rPr>
        <w:t xml:space="preserve"> y la respuesta del SUJETO OBLIGADO</w:t>
      </w:r>
      <w:bookmarkEnd w:id="26"/>
    </w:p>
    <w:p w14:paraId="3849EDF6" w14:textId="77777777" w:rsidR="001648DD" w:rsidRPr="004F6572" w:rsidRDefault="001648DD" w:rsidP="001648DD">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4F6572">
        <w:rPr>
          <w:rFonts w:ascii="Palatino Linotype" w:eastAsia="MS Mincho" w:hAnsi="Palatino Linotype" w:cs="Arial"/>
          <w:iCs/>
          <w:sz w:val="24"/>
          <w:lang w:val="es-ES_tradnl" w:eastAsia="es-ES"/>
        </w:rPr>
        <w:t xml:space="preserve">Derivado </w:t>
      </w:r>
      <w:r w:rsidRPr="004F6572">
        <w:rPr>
          <w:rFonts w:ascii="Palatino Linotype" w:eastAsia="Calibri" w:hAnsi="Palatino Linotype" w:cs="Arial"/>
          <w:sz w:val="24"/>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73AC62C" w14:textId="77777777" w:rsidR="001648DD" w:rsidRPr="004F6572" w:rsidRDefault="001648DD" w:rsidP="001648DD">
      <w:pPr>
        <w:pStyle w:val="Prrafodelista"/>
        <w:spacing w:before="240" w:after="240" w:line="360" w:lineRule="auto"/>
        <w:ind w:left="0"/>
        <w:jc w:val="both"/>
        <w:rPr>
          <w:rFonts w:ascii="Palatino Linotype" w:eastAsia="Calibri" w:hAnsi="Palatino Linotype" w:cs="Arial"/>
          <w:sz w:val="24"/>
        </w:rPr>
      </w:pPr>
    </w:p>
    <w:p w14:paraId="17CF6C7B" w14:textId="7CB16EFD" w:rsidR="00CD1847" w:rsidRPr="004F6572" w:rsidRDefault="00BC1008" w:rsidP="001648DD">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4F6572">
        <w:rPr>
          <w:rFonts w:ascii="Palatino Linotype" w:eastAsia="Calibri" w:hAnsi="Palatino Linotype" w:cs="Arial"/>
          <w:sz w:val="24"/>
        </w:rPr>
        <w:t xml:space="preserve">Así, debemos recapitular que </w:t>
      </w:r>
      <w:r w:rsidR="001648DD" w:rsidRPr="004F6572">
        <w:rPr>
          <w:rFonts w:ascii="Palatino Linotype" w:eastAsia="Calibri" w:hAnsi="Palatino Linotype" w:cs="Arial"/>
          <w:sz w:val="24"/>
        </w:rPr>
        <w:t>l</w:t>
      </w:r>
      <w:r w:rsidRPr="004F6572">
        <w:rPr>
          <w:rFonts w:ascii="Palatino Linotype" w:eastAsia="Calibri" w:hAnsi="Palatino Linotype" w:cs="Arial"/>
          <w:sz w:val="24"/>
        </w:rPr>
        <w:t>a</w:t>
      </w:r>
      <w:r w:rsidR="001648DD" w:rsidRPr="004F6572">
        <w:rPr>
          <w:rFonts w:ascii="Palatino Linotype" w:eastAsia="Calibri" w:hAnsi="Palatino Linotype" w:cs="Arial"/>
          <w:sz w:val="24"/>
        </w:rPr>
        <w:t xml:space="preserve"> </w:t>
      </w:r>
      <w:r w:rsidR="001648DD" w:rsidRPr="004F6572">
        <w:rPr>
          <w:rFonts w:ascii="Palatino Linotype" w:eastAsia="Calibri" w:hAnsi="Palatino Linotype" w:cs="Arial"/>
          <w:b/>
          <w:bCs/>
          <w:sz w:val="24"/>
        </w:rPr>
        <w:t>RECURRENTE</w:t>
      </w:r>
      <w:r w:rsidR="001648DD" w:rsidRPr="004F6572">
        <w:rPr>
          <w:rFonts w:ascii="Palatino Linotype" w:eastAsia="Calibri" w:hAnsi="Palatino Linotype" w:cs="Arial"/>
          <w:sz w:val="24"/>
        </w:rPr>
        <w:t xml:space="preserve"> solicitó</w:t>
      </w:r>
      <w:r w:rsidR="001648DD" w:rsidRPr="004F6572">
        <w:rPr>
          <w:rFonts w:ascii="Palatino Linotype" w:hAnsi="Palatino Linotype"/>
          <w:sz w:val="24"/>
        </w:rPr>
        <w:t xml:space="preserve"> </w:t>
      </w:r>
      <w:r w:rsidR="009D14A2" w:rsidRPr="004F6572">
        <w:rPr>
          <w:rFonts w:ascii="Palatino Linotype" w:hAnsi="Palatino Linotype"/>
          <w:sz w:val="24"/>
        </w:rPr>
        <w:t>conocer cuánto gasta el Ayuntamiento de Texcoco en combustible, así como, las bitácoras correspondientes.</w:t>
      </w:r>
    </w:p>
    <w:p w14:paraId="6F7AF308" w14:textId="77777777" w:rsidR="00CD1847" w:rsidRPr="004F6572" w:rsidRDefault="00CD1847" w:rsidP="00CD1847">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11AF201A" w14:textId="2804F67F" w:rsidR="008866EB" w:rsidRPr="004F6572" w:rsidRDefault="00E93FC1" w:rsidP="009D14A2">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F6572">
        <w:rPr>
          <w:rFonts w:ascii="Palatino Linotype" w:hAnsi="Palatino Linotype"/>
          <w:iCs/>
          <w:color w:val="000000"/>
          <w:sz w:val="24"/>
        </w:rPr>
        <w:t>En respuest</w:t>
      </w:r>
      <w:r w:rsidR="00655E90" w:rsidRPr="004F6572">
        <w:rPr>
          <w:rFonts w:ascii="Palatino Linotype" w:hAnsi="Palatino Linotype"/>
          <w:iCs/>
          <w:color w:val="000000"/>
          <w:sz w:val="24"/>
        </w:rPr>
        <w:t xml:space="preserve">a, el </w:t>
      </w:r>
      <w:r w:rsidR="00655E90" w:rsidRPr="004F6572">
        <w:rPr>
          <w:rFonts w:ascii="Palatino Linotype" w:hAnsi="Palatino Linotype"/>
          <w:b/>
          <w:bCs/>
          <w:iCs/>
          <w:color w:val="000000"/>
          <w:sz w:val="24"/>
        </w:rPr>
        <w:t>SUJETO OBLIGADO</w:t>
      </w:r>
      <w:r w:rsidR="00655E90" w:rsidRPr="004F6572">
        <w:rPr>
          <w:rFonts w:ascii="Palatino Linotype" w:hAnsi="Palatino Linotype"/>
          <w:iCs/>
          <w:color w:val="000000"/>
          <w:sz w:val="24"/>
        </w:rPr>
        <w:t xml:space="preserve"> </w:t>
      </w:r>
      <w:r w:rsidR="009D14A2" w:rsidRPr="004F6572">
        <w:rPr>
          <w:rFonts w:ascii="Palatino Linotype" w:hAnsi="Palatino Linotype"/>
          <w:iCs/>
          <w:sz w:val="24"/>
        </w:rPr>
        <w:t>por medio d</w:t>
      </w:r>
      <w:r w:rsidR="009D14A2" w:rsidRPr="004F6572">
        <w:rPr>
          <w:rFonts w:ascii="Palatino Linotype" w:hAnsi="Palatino Linotype"/>
          <w:sz w:val="24"/>
        </w:rPr>
        <w:t xml:space="preserve">e Director General de Administración, hizo entrega de diversas facturas y bitácoras de combustible; asimismo, informó que a la semana hay un gasto aproximado de $263,500.00 pesos, </w:t>
      </w:r>
      <w:r w:rsidR="009D14A2" w:rsidRPr="004F6572">
        <w:rPr>
          <w:rFonts w:ascii="Palatino Linotype" w:hAnsi="Palatino Linotype"/>
          <w:sz w:val="24"/>
        </w:rPr>
        <w:lastRenderedPageBreak/>
        <w:t>por concepto de consumo de combustible de las diferentes áreas del Ayuntamiento de Texcoco.</w:t>
      </w:r>
    </w:p>
    <w:p w14:paraId="61712CCB" w14:textId="77777777" w:rsidR="009D14A2" w:rsidRPr="004F6572" w:rsidRDefault="009D14A2" w:rsidP="009D14A2">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3ADE302D" w:rsidR="005C049D" w:rsidRPr="004F6572" w:rsidRDefault="001648DD"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4F6572">
        <w:rPr>
          <w:rFonts w:ascii="Palatino Linotype" w:hAnsi="Palatino Linotype"/>
          <w:sz w:val="24"/>
        </w:rPr>
        <w:t>Posteriormente</w:t>
      </w:r>
      <w:r w:rsidR="00BC1008" w:rsidRPr="004F6572">
        <w:rPr>
          <w:rFonts w:ascii="Palatino Linotype" w:hAnsi="Palatino Linotype"/>
          <w:sz w:val="24"/>
        </w:rPr>
        <w:t xml:space="preserve">, </w:t>
      </w:r>
      <w:r w:rsidR="00E93FC1" w:rsidRPr="004F6572">
        <w:rPr>
          <w:rFonts w:ascii="Palatino Linotype" w:hAnsi="Palatino Linotype"/>
          <w:sz w:val="24"/>
        </w:rPr>
        <w:t>l</w:t>
      </w:r>
      <w:r w:rsidR="00BC1008" w:rsidRPr="004F6572">
        <w:rPr>
          <w:rFonts w:ascii="Palatino Linotype" w:hAnsi="Palatino Linotype"/>
          <w:sz w:val="24"/>
        </w:rPr>
        <w:t>a</w:t>
      </w:r>
      <w:r w:rsidR="00E93FC1" w:rsidRPr="004F6572">
        <w:rPr>
          <w:rFonts w:ascii="Palatino Linotype" w:hAnsi="Palatino Linotype"/>
          <w:sz w:val="24"/>
        </w:rPr>
        <w:t xml:space="preserve"> </w:t>
      </w:r>
      <w:r w:rsidR="00D11F51" w:rsidRPr="004F6572">
        <w:rPr>
          <w:rFonts w:ascii="Palatino Linotype" w:hAnsi="Palatino Linotype"/>
          <w:b/>
          <w:bCs/>
          <w:sz w:val="24"/>
        </w:rPr>
        <w:t xml:space="preserve">RECURRENTE </w:t>
      </w:r>
      <w:r w:rsidR="00E93FC1" w:rsidRPr="004F6572">
        <w:rPr>
          <w:rFonts w:ascii="Palatino Linotype" w:hAnsi="Palatino Linotype"/>
          <w:sz w:val="24"/>
        </w:rPr>
        <w:t>interpuso recurso de revisión</w:t>
      </w:r>
      <w:r w:rsidR="00D5736F" w:rsidRPr="004F6572">
        <w:rPr>
          <w:rFonts w:ascii="Palatino Linotype" w:hAnsi="Palatino Linotype"/>
          <w:sz w:val="24"/>
        </w:rPr>
        <w:t xml:space="preserve"> mediante el cua</w:t>
      </w:r>
      <w:r w:rsidR="00F91816" w:rsidRPr="004F6572">
        <w:rPr>
          <w:rFonts w:ascii="Palatino Linotype" w:hAnsi="Palatino Linotype"/>
          <w:sz w:val="24"/>
        </w:rPr>
        <w:t>l</w:t>
      </w:r>
      <w:r w:rsidR="00E93FC1" w:rsidRPr="004F6572">
        <w:rPr>
          <w:rFonts w:ascii="Palatino Linotype" w:hAnsi="Palatino Linotype"/>
          <w:sz w:val="24"/>
        </w:rPr>
        <w:t xml:space="preserve"> </w:t>
      </w:r>
      <w:r w:rsidR="00600060" w:rsidRPr="004F6572">
        <w:rPr>
          <w:rFonts w:ascii="Palatino Linotype" w:hAnsi="Palatino Linotype"/>
          <w:sz w:val="24"/>
        </w:rPr>
        <w:t xml:space="preserve">refirió </w:t>
      </w:r>
      <w:r w:rsidR="00D12AD2" w:rsidRPr="004F6572">
        <w:rPr>
          <w:rFonts w:ascii="Palatino Linotype" w:hAnsi="Palatino Linotype"/>
          <w:sz w:val="24"/>
        </w:rPr>
        <w:t>como</w:t>
      </w:r>
      <w:r w:rsidR="00E93FC1" w:rsidRPr="004F6572">
        <w:rPr>
          <w:rFonts w:ascii="Palatino Linotype" w:hAnsi="Palatino Linotype"/>
          <w:sz w:val="24"/>
        </w:rPr>
        <w:t xml:space="preserve"> motivos de inconformidad</w:t>
      </w:r>
      <w:r w:rsidR="009D14A2" w:rsidRPr="004F6572">
        <w:rPr>
          <w:rFonts w:ascii="Palatino Linotype" w:hAnsi="Palatino Linotype"/>
          <w:sz w:val="24"/>
        </w:rPr>
        <w:t xml:space="preserve">, </w:t>
      </w:r>
      <w:r w:rsidR="009D14A2" w:rsidRPr="004F6572">
        <w:rPr>
          <w:rFonts w:ascii="Palatino Linotype" w:hAnsi="Palatino Linotype"/>
          <w:b/>
          <w:sz w:val="24"/>
        </w:rPr>
        <w:t>que faltaron las bitácoras de combustible requeridas.</w:t>
      </w:r>
    </w:p>
    <w:p w14:paraId="6CB378E3" w14:textId="77777777" w:rsidR="00A567BA" w:rsidRPr="004F6572"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7DA2B130" w14:textId="224E4E9B" w:rsidR="009D14A2" w:rsidRPr="004F6572" w:rsidRDefault="001648DD" w:rsidP="009D14A2">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t>En consecuencia</w:t>
      </w:r>
      <w:r w:rsidR="00F33F8D" w:rsidRPr="004F6572">
        <w:rPr>
          <w:rFonts w:ascii="Palatino Linotype" w:eastAsia="MS Gothic" w:hAnsi="Palatino Linotype"/>
          <w:sz w:val="24"/>
        </w:rPr>
        <w:t>, m</w:t>
      </w:r>
      <w:r w:rsidR="00600060" w:rsidRPr="004F6572">
        <w:rPr>
          <w:rFonts w:ascii="Palatino Linotype" w:eastAsia="MS Gothic" w:hAnsi="Palatino Linotype"/>
          <w:sz w:val="24"/>
        </w:rPr>
        <w:t xml:space="preserve">ediante informe justificado, el </w:t>
      </w:r>
      <w:r w:rsidR="00600060" w:rsidRPr="004F6572">
        <w:rPr>
          <w:rFonts w:ascii="Palatino Linotype" w:eastAsia="MS Gothic" w:hAnsi="Palatino Linotype"/>
          <w:b/>
          <w:sz w:val="24"/>
        </w:rPr>
        <w:t>SUJETO OBLIGADO</w:t>
      </w:r>
      <w:r w:rsidR="00600060" w:rsidRPr="004F6572">
        <w:rPr>
          <w:rFonts w:ascii="Palatino Linotype" w:eastAsia="MS Gothic" w:hAnsi="Palatino Linotype"/>
          <w:sz w:val="24"/>
        </w:rPr>
        <w:t xml:space="preserve"> </w:t>
      </w:r>
      <w:r w:rsidR="009D14A2" w:rsidRPr="004F6572">
        <w:rPr>
          <w:rFonts w:ascii="Palatino Linotype" w:eastAsia="MS Gothic" w:hAnsi="Palatino Linotype"/>
          <w:sz w:val="24"/>
        </w:rPr>
        <w:t xml:space="preserve"> por medio de </w:t>
      </w:r>
      <w:r w:rsidR="009D14A2" w:rsidRPr="004F6572">
        <w:rPr>
          <w:rFonts w:ascii="Palatino Linotype" w:eastAsiaTheme="minorEastAsia" w:hAnsi="Palatino Linotype"/>
          <w:iCs/>
          <w:sz w:val="24"/>
        </w:rPr>
        <w:t xml:space="preserve">la Dirección General de Administración, hizo entrega de </w:t>
      </w:r>
      <w:r w:rsidR="009D14A2" w:rsidRPr="004F6572">
        <w:rPr>
          <w:rFonts w:ascii="Palatino Linotype" w:hAnsi="Palatino Linotype"/>
          <w:sz w:val="24"/>
        </w:rPr>
        <w:t>documento de 106 páginas, consistente en la copia digitalizada de diversas facturas y bitácoras de combustible en versión pública.</w:t>
      </w:r>
    </w:p>
    <w:p w14:paraId="07437FB2" w14:textId="77777777" w:rsidR="009D14A2" w:rsidRPr="004F6572" w:rsidRDefault="009D14A2" w:rsidP="009D14A2">
      <w:pPr>
        <w:pStyle w:val="Prrafodelista"/>
        <w:rPr>
          <w:rFonts w:ascii="Palatino Linotype" w:eastAsia="MS Gothic" w:hAnsi="Palatino Linotype"/>
          <w:sz w:val="24"/>
        </w:rPr>
      </w:pPr>
    </w:p>
    <w:p w14:paraId="37D6D014" w14:textId="1148A07F"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t xml:space="preserve">Precisado lo anterior, </w:t>
      </w:r>
      <w:r w:rsidRPr="004F6572">
        <w:rPr>
          <w:rFonts w:ascii="Palatino Linotype" w:eastAsia="MS Mincho" w:hAnsi="Palatino Linotype" w:cs="Arial"/>
          <w:bCs/>
          <w:sz w:val="24"/>
          <w:lang w:val="es-ES_tradnl" w:eastAsia="es-ES"/>
        </w:rPr>
        <w:t xml:space="preserve">resulta necesario señalar que, </w:t>
      </w:r>
      <w:r w:rsidRPr="004F6572">
        <w:rPr>
          <w:rFonts w:ascii="Palatino Linotype" w:eastAsia="MS Gothic" w:hAnsi="Palatino Linotype" w:cstheme="majorBidi"/>
          <w:sz w:val="24"/>
        </w:rPr>
        <w:t xml:space="preserve">el </w:t>
      </w:r>
      <w:r w:rsidRPr="004F6572">
        <w:rPr>
          <w:rFonts w:ascii="Palatino Linotype" w:eastAsia="MS Gothic" w:hAnsi="Palatino Linotype" w:cstheme="majorBidi"/>
          <w:b/>
          <w:bCs/>
          <w:sz w:val="24"/>
        </w:rPr>
        <w:t>RECURRENTE</w:t>
      </w:r>
      <w:r w:rsidRPr="004F6572">
        <w:rPr>
          <w:rFonts w:ascii="Palatino Linotype" w:eastAsia="MS Gothic" w:hAnsi="Palatino Linotype" w:cstheme="majorBidi"/>
          <w:b/>
          <w:sz w:val="24"/>
        </w:rPr>
        <w:t xml:space="preserve"> </w:t>
      </w:r>
      <w:r w:rsidRPr="004F6572">
        <w:rPr>
          <w:rFonts w:ascii="Palatino Linotype" w:eastAsia="MS Gothic" w:hAnsi="Palatino Linotype" w:cstheme="majorBidi"/>
          <w:sz w:val="24"/>
        </w:rPr>
        <w:t xml:space="preserve">no se inconformó por la totalidad de la respuesta. Bajo ese tenor, se tiene que la parte de la respuesta que no fue impugnada debe declararse como consentida, toda vez que, </w:t>
      </w:r>
      <w:r w:rsidRPr="004F6572">
        <w:rPr>
          <w:rFonts w:ascii="Palatino Linotype" w:eastAsia="Palatino Linotype" w:hAnsi="Palatino Linotype" w:cs="Palatino Linotype"/>
          <w:color w:val="000000"/>
          <w:sz w:val="24"/>
        </w:rPr>
        <w:t xml:space="preserve">al no haber realizado manifestaciones de inconformidad al respecto, se infiere que la información proporcionada por el </w:t>
      </w:r>
      <w:r w:rsidRPr="004F6572">
        <w:rPr>
          <w:rFonts w:ascii="Palatino Linotype" w:eastAsia="Palatino Linotype" w:hAnsi="Palatino Linotype" w:cs="Palatino Linotype"/>
          <w:b/>
          <w:color w:val="000000"/>
          <w:sz w:val="24"/>
        </w:rPr>
        <w:t>SUJETO OBLIGADO</w:t>
      </w:r>
      <w:r w:rsidRPr="004F6572">
        <w:rPr>
          <w:rFonts w:ascii="Palatino Linotype" w:eastAsia="Palatino Linotype" w:hAnsi="Palatino Linotype" w:cs="Palatino Linotype"/>
          <w:color w:val="000000"/>
          <w:sz w:val="24"/>
        </w:rPr>
        <w:t xml:space="preserve"> satisface este punto de la solicitud presentada.</w:t>
      </w:r>
    </w:p>
    <w:p w14:paraId="46F968CE" w14:textId="77777777" w:rsidR="00017A3A" w:rsidRPr="004F6572" w:rsidRDefault="00017A3A" w:rsidP="00017A3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93682FF" w14:textId="77777777"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Calibri" w:hAnsi="Palatino Linotype" w:cs="Arial"/>
          <w:color w:val="000000" w:themeColor="text1"/>
          <w:sz w:val="24"/>
          <w:lang w:val="es-ES"/>
        </w:rPr>
        <w:t xml:space="preserve">Lo </w:t>
      </w:r>
      <w:r w:rsidRPr="004F6572">
        <w:rPr>
          <w:rFonts w:ascii="Palatino Linotype" w:eastAsia="Palatino Linotype" w:hAnsi="Palatino Linotype" w:cs="Palatino Linotype"/>
          <w:color w:val="000000"/>
          <w:sz w:val="24"/>
        </w:rPr>
        <w:t xml:space="preserve">anterior es así, debido a que cuando un Recurrente impugna la respuesta del </w:t>
      </w:r>
      <w:r w:rsidRPr="004F6572">
        <w:rPr>
          <w:rFonts w:ascii="Palatino Linotype" w:eastAsia="Palatino Linotype" w:hAnsi="Palatino Linotype" w:cs="Palatino Linotype"/>
          <w:b/>
          <w:color w:val="000000"/>
          <w:sz w:val="24"/>
        </w:rPr>
        <w:t>SUJETO OBLIGADO</w:t>
      </w:r>
      <w:r w:rsidRPr="004F6572">
        <w:rPr>
          <w:rFonts w:ascii="Palatino Linotype" w:eastAsia="Palatino Linotype" w:hAnsi="Palatino Linotype" w:cs="Palatino Linotype"/>
          <w:color w:val="000000"/>
          <w:sz w:val="24"/>
        </w:rPr>
        <w:t xml:space="preserve">,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w:t>
      </w:r>
      <w:r w:rsidRPr="004F6572">
        <w:rPr>
          <w:rFonts w:ascii="Palatino Linotype" w:eastAsia="Palatino Linotype" w:hAnsi="Palatino Linotype" w:cs="Palatino Linotype"/>
          <w:color w:val="000000"/>
          <w:sz w:val="24"/>
        </w:rPr>
        <w:lastRenderedPageBreak/>
        <w:t>Jurisprudencial Número 3ª./J.7/91, Publicada en el Semanario Judicial de la Federación y su Gaceta bajo el número de registro 174,177, que establece lo siguiente:</w:t>
      </w:r>
    </w:p>
    <w:p w14:paraId="6B392050" w14:textId="77777777" w:rsidR="00017A3A" w:rsidRPr="004F6572" w:rsidRDefault="00017A3A" w:rsidP="00017A3A">
      <w:pPr>
        <w:pStyle w:val="Prrafodelista"/>
        <w:ind w:left="567" w:right="565"/>
        <w:jc w:val="both"/>
        <w:rPr>
          <w:rFonts w:ascii="Palatino Linotype" w:eastAsia="Palatino Linotype" w:hAnsi="Palatino Linotype" w:cs="Palatino Linotype"/>
          <w:i/>
          <w:color w:val="000000"/>
        </w:rPr>
      </w:pPr>
      <w:r w:rsidRPr="004F6572">
        <w:rPr>
          <w:rFonts w:ascii="Palatino Linotype" w:eastAsia="Palatino Linotype" w:hAnsi="Palatino Linotype" w:cs="Palatino Linotype"/>
          <w:b/>
          <w:i/>
          <w:color w:val="000000"/>
        </w:rPr>
        <w:t xml:space="preserve">“REVISIÓN EN AMPARO. LOS RESOLUTIVOS NO COMBATIDOS DEBEN DECLARARSE FIRMES. </w:t>
      </w:r>
      <w:r w:rsidRPr="004F6572">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9999D45" w14:textId="77777777" w:rsidR="00017A3A" w:rsidRPr="004F6572" w:rsidRDefault="00017A3A" w:rsidP="00017A3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5330B73" w14:textId="77777777"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Calibri" w:hAnsi="Palatino Linotype" w:cs="Arial"/>
          <w:color w:val="000000" w:themeColor="text1"/>
          <w:sz w:val="24"/>
          <w:lang w:val="es-ES"/>
        </w:rPr>
        <w:t xml:space="preserve">Consecuentemente, </w:t>
      </w:r>
      <w:r w:rsidRPr="004F6572">
        <w:rPr>
          <w:rFonts w:ascii="Palatino Linotype" w:eastAsia="Palatino Linotype" w:hAnsi="Palatino Linotype" w:cs="Palatino Linotype"/>
          <w:color w:val="000000"/>
          <w:sz w:val="24"/>
        </w:rPr>
        <w:t>se reitera que la parte de la solicitud que no fue impugnada debe declararse consentida por el Recurrente, debido a que no se realizaron manifestaciones de inconformidad, por</w:t>
      </w:r>
      <w:r w:rsidRPr="004F6572">
        <w:rPr>
          <w:rFonts w:ascii="Palatino Linotype" w:eastAsia="Palatino Linotype" w:hAnsi="Palatino Linotype" w:cs="Palatino Linotype"/>
          <w:bCs/>
          <w:color w:val="000000"/>
          <w:sz w:val="24"/>
        </w:rPr>
        <w:t xml:space="preserve"> lo que no pueden producirse efectos jurídicos tendentes a revocar, confirmar o modificar el acto reclamado ya que se infiere un consentimiento del Recurrente</w:t>
      </w:r>
      <w:r w:rsidRPr="004F6572">
        <w:rPr>
          <w:rFonts w:ascii="Palatino Linotype" w:eastAsia="Palatino Linotype" w:hAnsi="Palatino Linotype" w:cs="Palatino Linotype"/>
          <w:b/>
          <w:color w:val="000000"/>
          <w:sz w:val="24"/>
        </w:rPr>
        <w:t xml:space="preserve"> </w:t>
      </w:r>
      <w:r w:rsidRPr="004F6572">
        <w:rPr>
          <w:rFonts w:ascii="Palatino Linotype" w:eastAsia="Palatino Linotype" w:hAnsi="Palatino Linotype" w:cs="Palatino Linotype"/>
          <w:color w:val="000000"/>
          <w:sz w:val="24"/>
        </w:rPr>
        <w:t>ante la falta de impugnación eficaz.</w:t>
      </w:r>
    </w:p>
    <w:p w14:paraId="724B1B22" w14:textId="77777777" w:rsidR="00017A3A" w:rsidRPr="004F6572" w:rsidRDefault="00017A3A" w:rsidP="00017A3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65CD7D2" w14:textId="77777777"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Calibri" w:hAnsi="Palatino Linotype" w:cs="Arial"/>
          <w:color w:val="000000" w:themeColor="text1"/>
          <w:sz w:val="24"/>
          <w:lang w:val="es-ES"/>
        </w:rPr>
        <w:t xml:space="preserve">Sirve </w:t>
      </w:r>
      <w:r w:rsidRPr="004F6572">
        <w:rPr>
          <w:rFonts w:ascii="Palatino Linotype" w:eastAsia="Palatino Linotype" w:hAnsi="Palatino Linotype" w:cs="Palatino Linotype"/>
          <w:color w:val="000000"/>
          <w:sz w:val="24"/>
        </w:rPr>
        <w:t>de sustento a lo anterior por analogía la tesis jurisprudencial número VI.3o.C. J/60, publicada en el Semanario Judicial de la Federación y su Gaceta bajo el número de registro 176,608 que a la letra dice:</w:t>
      </w:r>
    </w:p>
    <w:p w14:paraId="069B50B0" w14:textId="27968AEE" w:rsidR="00017A3A" w:rsidRDefault="00017A3A" w:rsidP="00017A3A">
      <w:pPr>
        <w:pStyle w:val="Prrafodelista"/>
        <w:ind w:left="567" w:right="539"/>
        <w:jc w:val="both"/>
        <w:rPr>
          <w:rFonts w:ascii="Palatino Linotype" w:eastAsia="Palatino Linotype" w:hAnsi="Palatino Linotype" w:cs="Palatino Linotype"/>
          <w:i/>
          <w:color w:val="000000"/>
        </w:rPr>
      </w:pPr>
      <w:r w:rsidRPr="004F6572">
        <w:rPr>
          <w:rFonts w:ascii="Palatino Linotype" w:eastAsia="Palatino Linotype" w:hAnsi="Palatino Linotype" w:cs="Palatino Linotype"/>
          <w:b/>
          <w:i/>
          <w:smallCaps/>
          <w:color w:val="000000"/>
        </w:rPr>
        <w:t xml:space="preserve">ACTOS CONSENTIDOS. SON LOS QUE NO SE IMPUGNAN MEDIANTE EL RECURSO IDÓNEO. </w:t>
      </w:r>
      <w:r w:rsidRPr="004F6572">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7A8C073" w14:textId="77777777" w:rsidR="004F6572" w:rsidRPr="004F6572" w:rsidRDefault="004F6572" w:rsidP="00017A3A">
      <w:pPr>
        <w:pStyle w:val="Prrafodelista"/>
        <w:ind w:left="567" w:right="539"/>
        <w:jc w:val="both"/>
        <w:rPr>
          <w:rFonts w:ascii="Palatino Linotype" w:eastAsia="Palatino Linotype" w:hAnsi="Palatino Linotype" w:cs="Palatino Linotype"/>
          <w:i/>
          <w:color w:val="000000"/>
        </w:rPr>
      </w:pPr>
    </w:p>
    <w:p w14:paraId="0F732058" w14:textId="77777777"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Calibri" w:hAnsi="Palatino Linotype" w:cs="Arial"/>
          <w:color w:val="000000" w:themeColor="text1"/>
          <w:sz w:val="24"/>
          <w:lang w:val="es-ES"/>
        </w:rPr>
        <w:t xml:space="preserve">Para </w:t>
      </w:r>
      <w:r w:rsidRPr="004F6572">
        <w:rPr>
          <w:rFonts w:ascii="Palatino Linotype" w:eastAsia="Palatino Linotype" w:hAnsi="Palatino Linotype" w:cs="Palatino Linotype"/>
          <w:sz w:val="24"/>
        </w:rPr>
        <w:t>mayor abundamiento, también resulta aplicable el criterio 01/20 emitido por el Instituto Nacional de Transparencia, Acceso a la Información Pública y Protección de Datos Personales, que a la letra estipula lo siguiente:</w:t>
      </w:r>
    </w:p>
    <w:p w14:paraId="4EAC907B" w14:textId="77777777" w:rsidR="00017A3A" w:rsidRPr="004F6572" w:rsidRDefault="00017A3A" w:rsidP="00017A3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D2FA795" w14:textId="77777777" w:rsidR="00017A3A" w:rsidRPr="004F6572" w:rsidRDefault="00017A3A" w:rsidP="00017A3A">
      <w:pPr>
        <w:pStyle w:val="Prrafodelista"/>
        <w:ind w:left="567" w:right="539"/>
        <w:jc w:val="both"/>
        <w:rPr>
          <w:rFonts w:ascii="Palatino Linotype" w:eastAsia="Palatino Linotype" w:hAnsi="Palatino Linotype" w:cs="Palatino Linotype"/>
          <w:i/>
        </w:rPr>
      </w:pPr>
      <w:r w:rsidRPr="004F6572">
        <w:rPr>
          <w:rFonts w:ascii="Palatino Linotype" w:eastAsia="Palatino Linotype" w:hAnsi="Palatino Linotype" w:cs="Palatino Linotype"/>
          <w:b/>
          <w:i/>
        </w:rPr>
        <w:lastRenderedPageBreak/>
        <w:t>Actos consentidos tácitamente. Improcedencia de su análisis.</w:t>
      </w:r>
      <w:r w:rsidRPr="004F6572">
        <w:rPr>
          <w:rFonts w:ascii="Palatino Linotype" w:eastAsia="Palatino Linotype" w:hAnsi="Palatino Linotype" w:cs="Palatino Linotype"/>
          <w:i/>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83CE45C" w14:textId="77777777" w:rsidR="00017A3A" w:rsidRPr="004F6572" w:rsidRDefault="00017A3A" w:rsidP="00017A3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1AE319E" w14:textId="5A4D0637" w:rsidR="009D14A2"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b/>
          <w:sz w:val="24"/>
        </w:rPr>
      </w:pPr>
      <w:r w:rsidRPr="004F6572">
        <w:rPr>
          <w:rFonts w:ascii="Palatino Linotype" w:eastAsia="Calibri" w:hAnsi="Palatino Linotype" w:cs="Arial"/>
          <w:color w:val="000000" w:themeColor="text1"/>
          <w:sz w:val="24"/>
          <w:lang w:val="es-ES"/>
        </w:rPr>
        <w:t xml:space="preserve">De </w:t>
      </w:r>
      <w:r w:rsidRPr="004F6572">
        <w:rPr>
          <w:rFonts w:ascii="Palatino Linotype" w:eastAsia="Palatino Linotype" w:hAnsi="Palatino Linotype" w:cs="Palatino Linotype"/>
          <w:sz w:val="24"/>
        </w:rPr>
        <w:t xml:space="preserve">lo anteriormente referido, y a efecto de garantizar el efectivo ejercicio del derecho de acceso a la información pública que asiste al </w:t>
      </w:r>
      <w:r w:rsidRPr="004F6572">
        <w:rPr>
          <w:rFonts w:ascii="Palatino Linotype" w:eastAsia="Palatino Linotype" w:hAnsi="Palatino Linotype" w:cs="Palatino Linotype"/>
          <w:b/>
          <w:sz w:val="24"/>
        </w:rPr>
        <w:t>RECURRENTE</w:t>
      </w:r>
      <w:r w:rsidRPr="004F6572">
        <w:rPr>
          <w:rFonts w:ascii="Palatino Linotype" w:eastAsia="Palatino Linotype" w:hAnsi="Palatino Linotype" w:cs="Palatino Linotype"/>
          <w:sz w:val="24"/>
        </w:rPr>
        <w:t xml:space="preserve">, resulta conveniente precisar que el presente análisis versará únicamente sobre: </w:t>
      </w:r>
      <w:r w:rsidRPr="004F6572">
        <w:rPr>
          <w:rFonts w:ascii="Palatino Linotype" w:eastAsia="Palatino Linotype" w:hAnsi="Palatino Linotype" w:cs="Palatino Linotype"/>
          <w:b/>
          <w:sz w:val="24"/>
        </w:rPr>
        <w:t>las bitácoras de combustible.</w:t>
      </w:r>
    </w:p>
    <w:p w14:paraId="032EBFDA" w14:textId="77777777" w:rsidR="00017A3A" w:rsidRPr="004F6572" w:rsidRDefault="00017A3A" w:rsidP="00017A3A">
      <w:pPr>
        <w:pStyle w:val="Prrafodelista"/>
        <w:spacing w:before="240" w:after="240" w:line="360" w:lineRule="auto"/>
        <w:ind w:left="0" w:right="48"/>
        <w:jc w:val="both"/>
        <w:rPr>
          <w:rFonts w:ascii="Palatino Linotype" w:eastAsia="MS Gothic" w:hAnsi="Palatino Linotype"/>
          <w:sz w:val="24"/>
        </w:rPr>
      </w:pPr>
    </w:p>
    <w:p w14:paraId="4AE1732E" w14:textId="77707548"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Mincho" w:hAnsi="Palatino Linotype" w:cs="Arial"/>
          <w:bCs/>
          <w:sz w:val="24"/>
          <w:lang w:val="es-ES_tradnl" w:eastAsia="es-ES"/>
        </w:rPr>
        <w:t xml:space="preserve">Ahora bien, es necesario señalar que, </w:t>
      </w:r>
      <w:r w:rsidRPr="004F6572">
        <w:rPr>
          <w:rFonts w:ascii="Palatino Linotype" w:hAnsi="Palatino Linotype"/>
          <w:color w:val="222222"/>
          <w:sz w:val="24"/>
        </w:rPr>
        <w:t xml:space="preserve">se obvia el análisis de la competencia por parte del </w:t>
      </w:r>
      <w:r w:rsidRPr="004F6572">
        <w:rPr>
          <w:rFonts w:ascii="Palatino Linotype" w:hAnsi="Palatino Linotype"/>
          <w:b/>
          <w:bCs/>
          <w:color w:val="222222"/>
          <w:sz w:val="24"/>
        </w:rPr>
        <w:t>SUJETO OBLIGADO</w:t>
      </w:r>
      <w:r w:rsidRPr="004F6572">
        <w:rPr>
          <w:rFonts w:ascii="Palatino Linotype" w:hAnsi="Palatino Linotype"/>
          <w:color w:val="222222"/>
          <w:sz w:val="24"/>
        </w:rPr>
        <w:t>, para generar, administrar o poseer la información solicitada, dado que éste ha asumido la misma, por medio de los documentos remitidos tanto en respuesta como en informe justificado.</w:t>
      </w:r>
    </w:p>
    <w:p w14:paraId="289A6A10" w14:textId="77777777" w:rsidR="00017A3A" w:rsidRPr="004F6572" w:rsidRDefault="00017A3A" w:rsidP="00017A3A">
      <w:pPr>
        <w:pStyle w:val="Prrafodelista"/>
        <w:spacing w:before="240" w:after="240" w:line="360" w:lineRule="auto"/>
        <w:ind w:left="0" w:right="48"/>
        <w:jc w:val="both"/>
        <w:rPr>
          <w:rFonts w:ascii="Palatino Linotype" w:eastAsia="MS Gothic" w:hAnsi="Palatino Linotype"/>
          <w:sz w:val="24"/>
        </w:rPr>
      </w:pPr>
    </w:p>
    <w:p w14:paraId="0BBFC467" w14:textId="77777777"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MS Gothic" w:hAnsi="Palatino Linotype"/>
          <w:sz w:val="24"/>
        </w:rPr>
        <w:t xml:space="preserve">En este sentido, </w:t>
      </w:r>
      <w:r w:rsidRPr="004F6572">
        <w:rPr>
          <w:rFonts w:ascii="Palatino Linotype" w:hAnsi="Palatino Linotype"/>
          <w:color w:val="222222"/>
          <w:sz w:val="24"/>
        </w:rPr>
        <w:t xml:space="preserve">el hecho de que </w:t>
      </w:r>
      <w:r w:rsidRPr="004F6572">
        <w:rPr>
          <w:rFonts w:ascii="Palatino Linotype" w:hAnsi="Palatino Linotype"/>
          <w:b/>
          <w:bCs/>
          <w:color w:val="222222"/>
          <w:sz w:val="24"/>
        </w:rPr>
        <w:t>EL SUJETO OBLIGADO</w:t>
      </w:r>
      <w:r w:rsidRPr="004F6572">
        <w:rPr>
          <w:rFonts w:ascii="Palatino Linotype" w:hAnsi="Palatino Linotype"/>
          <w:color w:val="222222"/>
          <w:sz w:val="24"/>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7D425019" w14:textId="77777777" w:rsidR="00017A3A" w:rsidRPr="004F6572" w:rsidRDefault="00017A3A" w:rsidP="00017A3A">
      <w:pPr>
        <w:shd w:val="clear" w:color="auto" w:fill="FFFFFF"/>
        <w:ind w:left="567" w:right="822"/>
        <w:jc w:val="both"/>
        <w:rPr>
          <w:rFonts w:ascii="Palatino Linotype" w:hAnsi="Palatino Linotype"/>
          <w:i/>
          <w:iCs/>
          <w:color w:val="222222"/>
          <w:sz w:val="22"/>
        </w:rPr>
      </w:pPr>
      <w:r w:rsidRPr="004F6572">
        <w:rPr>
          <w:rFonts w:ascii="Palatino Linotype" w:hAnsi="Palatino Linotype"/>
          <w:i/>
          <w:iCs/>
          <w:color w:val="222222"/>
          <w:sz w:val="22"/>
        </w:rPr>
        <w:t>“</w:t>
      </w:r>
      <w:r w:rsidRPr="004F6572">
        <w:rPr>
          <w:rFonts w:ascii="Palatino Linotype" w:hAnsi="Palatino Linotype"/>
          <w:b/>
          <w:bCs/>
          <w:i/>
          <w:iCs/>
          <w:color w:val="222222"/>
          <w:sz w:val="22"/>
        </w:rPr>
        <w:t>Artículo 12.</w:t>
      </w:r>
      <w:r w:rsidRPr="004F6572">
        <w:rPr>
          <w:rFonts w:ascii="Palatino Linotype" w:hAnsi="Palatino Linotype"/>
          <w:i/>
          <w:iCs/>
          <w:color w:val="222222"/>
          <w:sz w:val="22"/>
        </w:rPr>
        <w:t> Quienes generen, recopilen, administren, manejen, procesen, archiven o conserven información pública serán responsables de la misma en los términos de las disposiciones jurídicas aplicables.</w:t>
      </w:r>
    </w:p>
    <w:p w14:paraId="6B6E4C44" w14:textId="77777777" w:rsidR="00017A3A" w:rsidRPr="004F6572" w:rsidRDefault="00017A3A" w:rsidP="00017A3A">
      <w:pPr>
        <w:shd w:val="clear" w:color="auto" w:fill="FFFFFF"/>
        <w:ind w:left="567" w:right="822"/>
        <w:jc w:val="both"/>
        <w:rPr>
          <w:rFonts w:ascii="Palatino Linotype" w:hAnsi="Palatino Linotype"/>
          <w:i/>
          <w:iCs/>
          <w:color w:val="222222"/>
          <w:sz w:val="22"/>
        </w:rPr>
      </w:pPr>
    </w:p>
    <w:p w14:paraId="11E2F099" w14:textId="5D5CCD2E" w:rsidR="00017A3A" w:rsidRPr="004F6572" w:rsidRDefault="00017A3A" w:rsidP="00017A3A">
      <w:pPr>
        <w:shd w:val="clear" w:color="auto" w:fill="FFFFFF"/>
        <w:ind w:left="567" w:right="822"/>
        <w:jc w:val="both"/>
        <w:rPr>
          <w:rFonts w:ascii="Palatino Linotype" w:hAnsi="Palatino Linotype"/>
          <w:i/>
          <w:iCs/>
          <w:color w:val="222222"/>
          <w:sz w:val="22"/>
        </w:rPr>
      </w:pPr>
      <w:r w:rsidRPr="004F6572">
        <w:rPr>
          <w:rFonts w:ascii="Palatino Linotype" w:hAnsi="Palatino Linotype"/>
          <w:i/>
          <w:iCs/>
          <w:color w:val="222222"/>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0CB8DA9" w14:textId="2B765EF3"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lastRenderedPageBreak/>
        <w:t xml:space="preserve">No obstante a lo anterior, es conveniente </w:t>
      </w:r>
      <w:r w:rsidR="00FF2D21" w:rsidRPr="004F6572">
        <w:rPr>
          <w:rFonts w:ascii="Palatino Linotype" w:eastAsia="MS Gothic" w:hAnsi="Palatino Linotype"/>
          <w:sz w:val="24"/>
        </w:rPr>
        <w:t>precisar</w:t>
      </w:r>
      <w:r w:rsidRPr="004F6572">
        <w:rPr>
          <w:rFonts w:ascii="Palatino Linotype" w:eastAsia="MS Gothic" w:hAnsi="Palatino Linotype"/>
          <w:sz w:val="24"/>
        </w:rPr>
        <w:t xml:space="preserve"> que, </w:t>
      </w:r>
      <w:r w:rsidRPr="004F6572">
        <w:rPr>
          <w:rFonts w:ascii="Palatino Linotype" w:hAnsi="Palatino Linotype" w:cs="Arial"/>
          <w:color w:val="000000" w:themeColor="text1"/>
          <w:sz w:val="24"/>
        </w:rPr>
        <w:t xml:space="preserve">el Manual </w:t>
      </w:r>
      <w:r w:rsidRPr="004F6572">
        <w:rPr>
          <w:rFonts w:ascii="Palatino Linotype" w:hAnsi="Palatino Linotype"/>
          <w:sz w:val="24"/>
        </w:rPr>
        <w:t>para la Planeación, Programación y Presupuesto de Egresos Municipal, establece el “Clasificador por Objeto de Gasto”, el cual, permite una clasificación de las erogaciones, consistente con criterios contables que permiten un adecuado registro de las operaciones además de que constituye un elemento del sistema general de cuentas donde cada componente destaca aspectos del presupuesto y suministra información que atiende a diferentes necesidades, lo cual, permite el vínculo con la contabilidad.</w:t>
      </w:r>
    </w:p>
    <w:p w14:paraId="1D56146B" w14:textId="77777777" w:rsidR="00017A3A" w:rsidRPr="004F6572" w:rsidRDefault="00017A3A" w:rsidP="00017A3A">
      <w:pPr>
        <w:pStyle w:val="Prrafodelista"/>
        <w:spacing w:before="240" w:after="240" w:line="360" w:lineRule="auto"/>
        <w:ind w:left="0" w:right="48"/>
        <w:jc w:val="both"/>
        <w:rPr>
          <w:rFonts w:ascii="Palatino Linotype" w:eastAsia="MS Gothic" w:hAnsi="Palatino Linotype"/>
          <w:sz w:val="24"/>
        </w:rPr>
      </w:pPr>
    </w:p>
    <w:p w14:paraId="3C4CDB69" w14:textId="7C066B7A"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hAnsi="Palatino Linotype"/>
          <w:sz w:val="24"/>
        </w:rPr>
        <w:t xml:space="preserve">De acuerdo al nivel de desagregación del “Clasificador por Objeto del Gasto Estatal y Municipal”, se encuentra el capítulo de gasto </w:t>
      </w:r>
      <w:r w:rsidRPr="004F6572">
        <w:rPr>
          <w:rFonts w:ascii="Palatino Linotype" w:hAnsi="Palatino Linotype"/>
          <w:b/>
          <w:bCs/>
          <w:sz w:val="24"/>
        </w:rPr>
        <w:t xml:space="preserve">2000 MATERIALES Y SUMINISTROS </w:t>
      </w:r>
      <w:r w:rsidRPr="004F6572">
        <w:rPr>
          <w:rFonts w:ascii="Palatino Linotype" w:hAnsi="Palatino Linotype"/>
          <w:sz w:val="24"/>
        </w:rPr>
        <w:t>el cual agrupa las asignaciones destinadas a la adquisición de toda clase de insumos y suministros requeridos para la prestación de bienes y servicios públicos y para el desempeño de las actividades administrativas.</w:t>
      </w:r>
    </w:p>
    <w:p w14:paraId="6B8A311F" w14:textId="77777777" w:rsidR="00017A3A" w:rsidRPr="004F6572" w:rsidRDefault="00017A3A" w:rsidP="00017A3A">
      <w:pPr>
        <w:pStyle w:val="Prrafodelista"/>
        <w:rPr>
          <w:rFonts w:ascii="Palatino Linotype" w:hAnsi="Palatino Linotype" w:cs="Arial"/>
          <w:color w:val="000000" w:themeColor="text1"/>
          <w:sz w:val="24"/>
        </w:rPr>
      </w:pPr>
    </w:p>
    <w:p w14:paraId="2F8B5445" w14:textId="77777777" w:rsidR="00017A3A" w:rsidRPr="004F6572" w:rsidRDefault="00017A3A" w:rsidP="00017A3A">
      <w:pPr>
        <w:pStyle w:val="Prrafodelista"/>
        <w:numPr>
          <w:ilvl w:val="0"/>
          <w:numId w:val="1"/>
        </w:numPr>
        <w:tabs>
          <w:tab w:val="left" w:pos="426"/>
        </w:tabs>
        <w:spacing w:line="360" w:lineRule="auto"/>
        <w:ind w:right="49"/>
        <w:jc w:val="both"/>
        <w:rPr>
          <w:rFonts w:ascii="Palatino Linotype" w:hAnsi="Palatino Linotype" w:cs="Arial"/>
          <w:color w:val="000000" w:themeColor="text1"/>
          <w:sz w:val="24"/>
        </w:rPr>
      </w:pPr>
      <w:r w:rsidRPr="004F6572">
        <w:rPr>
          <w:rFonts w:ascii="Palatino Linotype" w:hAnsi="Palatino Linotype" w:cs="Arial"/>
          <w:color w:val="000000" w:themeColor="text1"/>
          <w:sz w:val="24"/>
        </w:rPr>
        <w:t xml:space="preserve">Dentro </w:t>
      </w:r>
      <w:r w:rsidRPr="004F6572">
        <w:rPr>
          <w:rFonts w:ascii="Palatino Linotype" w:hAnsi="Palatino Linotype"/>
          <w:sz w:val="24"/>
        </w:rPr>
        <w:t>de dicho capítulo se encuentran los siguientes conceptos y partidas:</w:t>
      </w:r>
    </w:p>
    <w:p w14:paraId="3EC3955F" w14:textId="77777777" w:rsidR="00017A3A" w:rsidRPr="004F6572" w:rsidRDefault="00017A3A" w:rsidP="00017A3A">
      <w:pPr>
        <w:pStyle w:val="Prrafodelista"/>
        <w:tabs>
          <w:tab w:val="left" w:pos="426"/>
        </w:tabs>
        <w:ind w:left="567" w:right="616"/>
        <w:jc w:val="both"/>
        <w:rPr>
          <w:rFonts w:ascii="Palatino Linotype" w:hAnsi="Palatino Linotype"/>
        </w:rPr>
      </w:pPr>
      <w:r w:rsidRPr="004F6572">
        <w:rPr>
          <w:rFonts w:ascii="Palatino Linotype" w:hAnsi="Palatino Linotype"/>
          <w:b/>
          <w:bCs/>
        </w:rPr>
        <w:t>2600 COMBUSTIBLES, LUBRICANTES Y ADITIVOS</w:t>
      </w:r>
      <w:r w:rsidRPr="004F6572">
        <w:rPr>
          <w:rFonts w:ascii="Palatino Linotype" w:hAnsi="Palatino Linotype"/>
        </w:rPr>
        <w:t xml:space="preserve">. </w:t>
      </w:r>
    </w:p>
    <w:p w14:paraId="70462E35" w14:textId="77777777" w:rsidR="00017A3A" w:rsidRPr="004F6572" w:rsidRDefault="00017A3A" w:rsidP="00017A3A">
      <w:pPr>
        <w:pStyle w:val="Prrafodelista"/>
        <w:tabs>
          <w:tab w:val="left" w:pos="426"/>
        </w:tabs>
        <w:ind w:left="567" w:right="616"/>
        <w:jc w:val="both"/>
        <w:rPr>
          <w:rFonts w:ascii="Palatino Linotype" w:hAnsi="Palatino Linotype"/>
        </w:rPr>
      </w:pPr>
      <w:r w:rsidRPr="004F6572">
        <w:rPr>
          <w:rFonts w:ascii="Palatino Linotype" w:hAnsi="Palatino Linotype"/>
        </w:rPr>
        <w:t xml:space="preserve">Asignaciones destinadas a la adquisición de combustibles, lubricantes y aditivos de todo tipo, necesarios para el funcionamiento de vehículos de transporte terrestres, aéreos, marítimos, lacustres y fluviales; así como de maquinaria y equipo. </w:t>
      </w:r>
    </w:p>
    <w:p w14:paraId="4F679925" w14:textId="77777777" w:rsidR="00017A3A" w:rsidRPr="004F6572" w:rsidRDefault="00017A3A" w:rsidP="00017A3A">
      <w:pPr>
        <w:pStyle w:val="Prrafodelista"/>
        <w:tabs>
          <w:tab w:val="left" w:pos="426"/>
        </w:tabs>
        <w:ind w:left="567" w:right="616"/>
        <w:jc w:val="both"/>
        <w:rPr>
          <w:rFonts w:ascii="Palatino Linotype" w:hAnsi="Palatino Linotype"/>
        </w:rPr>
      </w:pPr>
    </w:p>
    <w:p w14:paraId="546AFDE0" w14:textId="77777777" w:rsidR="00017A3A" w:rsidRPr="004F6572" w:rsidRDefault="00017A3A" w:rsidP="00017A3A">
      <w:pPr>
        <w:pStyle w:val="Prrafodelista"/>
        <w:tabs>
          <w:tab w:val="left" w:pos="426"/>
        </w:tabs>
        <w:ind w:left="567" w:right="616"/>
        <w:jc w:val="both"/>
        <w:rPr>
          <w:rFonts w:ascii="Palatino Linotype" w:hAnsi="Palatino Linotype"/>
        </w:rPr>
      </w:pPr>
      <w:r w:rsidRPr="004F6572">
        <w:rPr>
          <w:rFonts w:ascii="Palatino Linotype" w:hAnsi="Palatino Linotype"/>
          <w:b/>
          <w:bCs/>
        </w:rPr>
        <w:t>2610</w:t>
      </w:r>
      <w:r w:rsidRPr="004F6572">
        <w:rPr>
          <w:rFonts w:ascii="Palatino Linotype" w:hAnsi="Palatino Linotype"/>
        </w:rPr>
        <w:t xml:space="preserve"> Combustibles, lubricantes y aditivos. Asignaciones destinadas a la adquisición de productos derivados del petróleo (como gasolina, </w:t>
      </w:r>
      <w:proofErr w:type="spellStart"/>
      <w:r w:rsidRPr="004F6572">
        <w:rPr>
          <w:rFonts w:ascii="Palatino Linotype" w:hAnsi="Palatino Linotype"/>
        </w:rPr>
        <w:t>diesel</w:t>
      </w:r>
      <w:proofErr w:type="spellEnd"/>
      <w:r w:rsidRPr="004F6572">
        <w:rPr>
          <w:rFonts w:ascii="Palatino Linotype" w:hAnsi="Palatino Linotype"/>
        </w:rPr>
        <w:t xml:space="preserve">, leña, etc.), aceites y grasas lubricantes para el uso en equipo de transporte e industrial y regeneración de aceite usado. Incluye el etanol y el biogás, entre otros. Excluye el petróleo crudo y gas natural, así como los combustibles utilizados como materia prima. </w:t>
      </w:r>
    </w:p>
    <w:p w14:paraId="279A679F" w14:textId="77777777" w:rsidR="00017A3A" w:rsidRPr="004F6572" w:rsidRDefault="00017A3A" w:rsidP="00017A3A">
      <w:pPr>
        <w:pStyle w:val="Prrafodelista"/>
        <w:tabs>
          <w:tab w:val="left" w:pos="426"/>
        </w:tabs>
        <w:ind w:left="567" w:right="616"/>
        <w:jc w:val="both"/>
        <w:rPr>
          <w:rFonts w:ascii="Palatino Linotype" w:hAnsi="Palatino Linotype"/>
        </w:rPr>
      </w:pPr>
    </w:p>
    <w:p w14:paraId="69861228" w14:textId="77777777" w:rsidR="00017A3A" w:rsidRPr="004F6572" w:rsidRDefault="00017A3A" w:rsidP="00017A3A">
      <w:pPr>
        <w:pStyle w:val="Prrafodelista"/>
        <w:tabs>
          <w:tab w:val="left" w:pos="426"/>
        </w:tabs>
        <w:ind w:left="567" w:right="616"/>
        <w:jc w:val="both"/>
        <w:rPr>
          <w:rFonts w:ascii="Palatino Linotype" w:hAnsi="Palatino Linotype" w:cs="Arial"/>
          <w:color w:val="000000" w:themeColor="text1"/>
        </w:rPr>
      </w:pPr>
      <w:r w:rsidRPr="004F6572">
        <w:rPr>
          <w:rFonts w:ascii="Palatino Linotype" w:hAnsi="Palatino Linotype"/>
          <w:b/>
          <w:bCs/>
        </w:rPr>
        <w:t>2611</w:t>
      </w:r>
      <w:r w:rsidRPr="004F6572">
        <w:rPr>
          <w:rFonts w:ascii="Palatino Linotype" w:hAnsi="Palatino Linotype"/>
        </w:rPr>
        <w:t xml:space="preserve"> Combustibles, lubricantes y aditivos. Asignaciones destinadas a la adquisición de toda clase de combustibles, en estado líquido o gaseoso, crudos o refinados, así como de lubricantes y aditivos, requeridos para el funcionamiento </w:t>
      </w:r>
      <w:r w:rsidRPr="004F6572">
        <w:rPr>
          <w:rFonts w:ascii="Palatino Linotype" w:hAnsi="Palatino Linotype"/>
        </w:rPr>
        <w:lastRenderedPageBreak/>
        <w:t>de vehículos y equipos de transporte terrestre, aéreo o lacustre, así como, para maquinaria, equipo de producción, Plantas de emergencia, servicios administrativos y elaboración de alimentos</w:t>
      </w:r>
    </w:p>
    <w:p w14:paraId="577368BD" w14:textId="77777777" w:rsidR="00017A3A" w:rsidRPr="004F6572" w:rsidRDefault="00017A3A" w:rsidP="00017A3A">
      <w:pPr>
        <w:pStyle w:val="Prrafodelista"/>
        <w:tabs>
          <w:tab w:val="left" w:pos="426"/>
        </w:tabs>
        <w:spacing w:line="360" w:lineRule="auto"/>
        <w:ind w:left="0" w:right="49"/>
        <w:jc w:val="both"/>
        <w:rPr>
          <w:rFonts w:ascii="Palatino Linotype" w:hAnsi="Palatino Linotype" w:cs="Arial"/>
          <w:color w:val="000000" w:themeColor="text1"/>
          <w:sz w:val="24"/>
          <w:highlight w:val="yellow"/>
        </w:rPr>
      </w:pPr>
    </w:p>
    <w:p w14:paraId="0185FD32" w14:textId="77777777" w:rsidR="00017A3A" w:rsidRPr="004F6572" w:rsidRDefault="00017A3A" w:rsidP="00017A3A">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 w:val="24"/>
        </w:rPr>
      </w:pPr>
      <w:r w:rsidRPr="004F6572">
        <w:rPr>
          <w:rFonts w:ascii="Palatino Linotype" w:hAnsi="Palatino Linotype" w:cs="Arial"/>
          <w:color w:val="000000" w:themeColor="text1"/>
          <w:sz w:val="24"/>
        </w:rPr>
        <w:t xml:space="preserve">Por </w:t>
      </w:r>
      <w:r w:rsidRPr="004F6572">
        <w:rPr>
          <w:rFonts w:ascii="Palatino Linotype" w:hAnsi="Palatino Linotype"/>
          <w:sz w:val="24"/>
        </w:rPr>
        <w:t>otro lado, el Manual Único de Contabilidad Gubernamental para las Dependencias y Entidades Públicas del Gobierno y Municipios del Estado de México tiene como objetivo el proporcionar a las entidades de la administración pública Estatal y Municipal, los elementos necesarios que les permitan contabilizar sus operaciones al establecer los criterios en materia de contabilidad gubernamental; el instrumento básico para su operación es el Catálogo de Cuentas, el cual agrupa un conjunto de conceptos homogéneos, cuya ordenación facilita distinguir y formar agrupaciones generales y de orden particular; mientras que el Instructivo para el manejo de las cuentas, describe, en forma detallada, los distintos conceptos de cargo y abono por los que cada cuenta deberá ser afectada, indicando el número respectivo, su denominación, clasificación y naturaleza, así como la representatividad de su saldo; de igual manera, la Guía Contabilizadora contiene la descripción detallada de las principales operaciones, además de mencionar los documentos fuente que respaldan cada operación, señalando su periodicidad durante un ejercicio e incluye las cuentas a afectar, tanto contable como presupuestalmente.</w:t>
      </w:r>
    </w:p>
    <w:p w14:paraId="0C4F152C" w14:textId="77777777" w:rsidR="00017A3A" w:rsidRPr="004F6572" w:rsidRDefault="00017A3A" w:rsidP="00017A3A">
      <w:pPr>
        <w:pStyle w:val="Prrafodelista"/>
        <w:tabs>
          <w:tab w:val="left" w:pos="426"/>
        </w:tabs>
        <w:spacing w:line="360" w:lineRule="auto"/>
        <w:ind w:left="0" w:right="49"/>
        <w:jc w:val="both"/>
        <w:rPr>
          <w:rFonts w:ascii="Palatino Linotype" w:hAnsi="Palatino Linotype" w:cs="Arial"/>
          <w:color w:val="000000" w:themeColor="text1"/>
          <w:sz w:val="24"/>
        </w:rPr>
      </w:pPr>
    </w:p>
    <w:p w14:paraId="50EC00B1" w14:textId="77777777" w:rsidR="00017A3A" w:rsidRPr="004F6572" w:rsidRDefault="00017A3A" w:rsidP="00017A3A">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 w:val="24"/>
        </w:rPr>
      </w:pPr>
      <w:r w:rsidRPr="004F6572">
        <w:rPr>
          <w:rFonts w:ascii="Palatino Linotype" w:hAnsi="Palatino Linotype" w:cs="Arial"/>
          <w:color w:val="000000" w:themeColor="text1"/>
          <w:sz w:val="24"/>
        </w:rPr>
        <w:t xml:space="preserve">Es </w:t>
      </w:r>
      <w:r w:rsidRPr="004F6572">
        <w:rPr>
          <w:rFonts w:ascii="Palatino Linotype" w:hAnsi="Palatino Linotype"/>
          <w:sz w:val="24"/>
        </w:rPr>
        <w:t>así, como el Clasificador por objeto de gasto de los años requeridos, establece la partida y el concepto del tema que nos ocupa, de la siguiente manera:</w:t>
      </w:r>
    </w:p>
    <w:p w14:paraId="08E36520" w14:textId="77777777" w:rsidR="00017A3A" w:rsidRPr="004F6572" w:rsidRDefault="00017A3A" w:rsidP="00017A3A">
      <w:pPr>
        <w:pStyle w:val="Prrafodelista"/>
        <w:tabs>
          <w:tab w:val="left" w:pos="426"/>
        </w:tabs>
        <w:spacing w:line="360" w:lineRule="auto"/>
        <w:ind w:left="0" w:right="49"/>
        <w:jc w:val="both"/>
        <w:rPr>
          <w:rFonts w:ascii="Palatino Linotype" w:hAnsi="Palatino Linotype" w:cs="Arial"/>
          <w:color w:val="000000" w:themeColor="text1"/>
          <w:sz w:val="24"/>
          <w:highlight w:val="yellow"/>
        </w:rPr>
      </w:pPr>
    </w:p>
    <w:p w14:paraId="16AB3E1D" w14:textId="77777777" w:rsidR="00017A3A" w:rsidRPr="004F6572" w:rsidRDefault="00017A3A" w:rsidP="00017A3A">
      <w:pPr>
        <w:pStyle w:val="Prrafodelista"/>
        <w:tabs>
          <w:tab w:val="left" w:pos="426"/>
        </w:tabs>
        <w:spacing w:line="360" w:lineRule="auto"/>
        <w:ind w:left="0" w:right="49"/>
        <w:jc w:val="both"/>
        <w:rPr>
          <w:rFonts w:ascii="Palatino Linotype" w:hAnsi="Palatino Linotype" w:cs="Arial"/>
          <w:color w:val="000000" w:themeColor="text1"/>
          <w:sz w:val="24"/>
          <w:highlight w:val="yellow"/>
        </w:rPr>
      </w:pPr>
      <w:r w:rsidRPr="004F6572">
        <w:rPr>
          <w:rFonts w:ascii="Palatino Linotype" w:hAnsi="Palatino Linotype" w:cs="Arial"/>
          <w:noProof/>
          <w:color w:val="000000" w:themeColor="text1"/>
          <w:sz w:val="24"/>
          <w:highlight w:val="yellow"/>
        </w:rPr>
        <w:lastRenderedPageBreak/>
        <w:drawing>
          <wp:inline distT="0" distB="0" distL="0" distR="0" wp14:anchorId="1FB22338" wp14:editId="0FFDD75D">
            <wp:extent cx="5612130" cy="2172773"/>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2"/>
                    <a:srcRect t="2820"/>
                    <a:stretch/>
                  </pic:blipFill>
                  <pic:spPr bwMode="auto">
                    <a:xfrm>
                      <a:off x="0" y="0"/>
                      <a:ext cx="5612130" cy="2172773"/>
                    </a:xfrm>
                    <a:prstGeom prst="rect">
                      <a:avLst/>
                    </a:prstGeom>
                    <a:ln>
                      <a:noFill/>
                    </a:ln>
                    <a:extLst>
                      <a:ext uri="{53640926-AAD7-44D8-BBD7-CCE9431645EC}">
                        <a14:shadowObscured xmlns:a14="http://schemas.microsoft.com/office/drawing/2010/main"/>
                      </a:ext>
                    </a:extLst>
                  </pic:spPr>
                </pic:pic>
              </a:graphicData>
            </a:graphic>
          </wp:inline>
        </w:drawing>
      </w:r>
    </w:p>
    <w:p w14:paraId="427AAEEF" w14:textId="77777777" w:rsidR="00017A3A" w:rsidRPr="004F6572" w:rsidRDefault="00017A3A" w:rsidP="00017A3A">
      <w:pPr>
        <w:pStyle w:val="Prrafodelista"/>
        <w:tabs>
          <w:tab w:val="left" w:pos="426"/>
        </w:tabs>
        <w:spacing w:line="360" w:lineRule="auto"/>
        <w:ind w:left="0" w:right="49"/>
        <w:jc w:val="both"/>
        <w:rPr>
          <w:rFonts w:ascii="Palatino Linotype" w:hAnsi="Palatino Linotype" w:cs="Arial"/>
          <w:color w:val="000000" w:themeColor="text1"/>
          <w:sz w:val="24"/>
        </w:rPr>
      </w:pPr>
    </w:p>
    <w:p w14:paraId="7795DCD7" w14:textId="77777777" w:rsidR="00017A3A" w:rsidRPr="004F6572" w:rsidRDefault="00017A3A" w:rsidP="00017A3A">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 w:val="24"/>
        </w:rPr>
      </w:pPr>
      <w:r w:rsidRPr="004F6572">
        <w:rPr>
          <w:rFonts w:ascii="Palatino Linotype" w:hAnsi="Palatino Linotype" w:cs="Arial"/>
          <w:color w:val="000000" w:themeColor="text1"/>
          <w:sz w:val="24"/>
        </w:rPr>
        <w:t xml:space="preserve">Por </w:t>
      </w:r>
      <w:r w:rsidRPr="004F6572">
        <w:rPr>
          <w:rFonts w:ascii="Palatino Linotype" w:hAnsi="Palatino Linotype"/>
          <w:sz w:val="24"/>
        </w:rPr>
        <w:t>su parte, los Lineamientos de Control Financiero y Administrativo para las Entidades Fiscalizables Municipales del Estado de México, en sus artículos 1 y 28 señalan, al respecto lo siguiente:</w:t>
      </w:r>
    </w:p>
    <w:p w14:paraId="3F8C5473" w14:textId="0DF505FF" w:rsidR="00017A3A" w:rsidRPr="004F6572" w:rsidRDefault="00017A3A" w:rsidP="00017A3A">
      <w:pPr>
        <w:tabs>
          <w:tab w:val="left" w:pos="426"/>
        </w:tabs>
        <w:ind w:left="567" w:right="616"/>
        <w:jc w:val="both"/>
        <w:rPr>
          <w:rFonts w:ascii="Palatino Linotype" w:hAnsi="Palatino Linotype"/>
          <w:i/>
          <w:iCs/>
          <w:sz w:val="22"/>
        </w:rPr>
      </w:pPr>
      <w:r w:rsidRPr="004F6572">
        <w:rPr>
          <w:rFonts w:ascii="Palatino Linotype" w:hAnsi="Palatino Linotype"/>
          <w:i/>
          <w:iCs/>
          <w:sz w:val="22"/>
        </w:rPr>
        <w:t>“</w:t>
      </w:r>
      <w:r w:rsidRPr="004F6572">
        <w:rPr>
          <w:rFonts w:ascii="Palatino Linotype" w:hAnsi="Palatino Linotype"/>
          <w:b/>
          <w:bCs/>
          <w:i/>
          <w:iCs/>
          <w:sz w:val="22"/>
        </w:rPr>
        <w:t>Artículo 1.</w:t>
      </w:r>
      <w:r w:rsidRPr="004F6572">
        <w:rPr>
          <w:rFonts w:ascii="Palatino Linotype" w:hAnsi="Palatino Linotype"/>
          <w:i/>
          <w:iCs/>
          <w:sz w:val="22"/>
        </w:rPr>
        <w:t xml:space="preserve"> Los presentes Lineamientos tendrán por objeto establecer las normas en materia de control financiero que comprende la obtención, administración y aplicación de los recursos públicos, obligatorias para los servidores públicos de los municipios, organismos públicos descentralizados y fideicomisos públicos de carácter municipal en el ámbito de sus respectivas competencias. </w:t>
      </w:r>
    </w:p>
    <w:p w14:paraId="1892C65D" w14:textId="102F9F0A" w:rsidR="00017A3A" w:rsidRPr="004F6572" w:rsidRDefault="00017A3A" w:rsidP="00017A3A">
      <w:pPr>
        <w:tabs>
          <w:tab w:val="left" w:pos="426"/>
        </w:tabs>
        <w:ind w:left="567" w:right="616"/>
        <w:jc w:val="both"/>
        <w:rPr>
          <w:rFonts w:ascii="Palatino Linotype" w:hAnsi="Palatino Linotype"/>
          <w:i/>
          <w:iCs/>
          <w:sz w:val="22"/>
        </w:rPr>
      </w:pPr>
      <w:r w:rsidRPr="004F6572">
        <w:rPr>
          <w:rFonts w:ascii="Palatino Linotype" w:hAnsi="Palatino Linotype"/>
          <w:i/>
          <w:iCs/>
          <w:sz w:val="22"/>
        </w:rPr>
        <w:t xml:space="preserve">(…) </w:t>
      </w:r>
    </w:p>
    <w:p w14:paraId="0BF3C66E" w14:textId="77777777" w:rsidR="00017A3A" w:rsidRPr="004F6572" w:rsidRDefault="00017A3A" w:rsidP="00017A3A">
      <w:pPr>
        <w:tabs>
          <w:tab w:val="left" w:pos="426"/>
        </w:tabs>
        <w:ind w:left="567" w:right="616"/>
        <w:jc w:val="both"/>
        <w:rPr>
          <w:rFonts w:ascii="Palatino Linotype" w:hAnsi="Palatino Linotype"/>
          <w:i/>
          <w:iCs/>
          <w:sz w:val="22"/>
        </w:rPr>
      </w:pPr>
    </w:p>
    <w:p w14:paraId="51D0A857" w14:textId="77777777" w:rsidR="00017A3A" w:rsidRPr="004F6572" w:rsidRDefault="00017A3A" w:rsidP="00017A3A">
      <w:pPr>
        <w:tabs>
          <w:tab w:val="left" w:pos="426"/>
        </w:tabs>
        <w:ind w:left="567" w:right="616"/>
        <w:jc w:val="both"/>
        <w:rPr>
          <w:rFonts w:ascii="Palatino Linotype" w:hAnsi="Palatino Linotype"/>
          <w:i/>
          <w:iCs/>
          <w:sz w:val="22"/>
        </w:rPr>
      </w:pPr>
      <w:r w:rsidRPr="004F6572">
        <w:rPr>
          <w:rFonts w:ascii="Palatino Linotype" w:hAnsi="Palatino Linotype"/>
          <w:b/>
          <w:bCs/>
          <w:i/>
          <w:iCs/>
          <w:sz w:val="22"/>
        </w:rPr>
        <w:t>Artículo 28.</w:t>
      </w:r>
      <w:r w:rsidRPr="004F6572">
        <w:rPr>
          <w:rFonts w:ascii="Palatino Linotype" w:hAnsi="Palatino Linotype"/>
          <w:i/>
          <w:iCs/>
          <w:sz w:val="22"/>
        </w:rPr>
        <w:t xml:space="preserve"> Los servidores públicos municipales responsables de llevar el control del consumo de los combustibles y lubricantes de cada uno de los vehículos y maquinaria de la entidad fiscalizable municipal, por medio de los vales de gasolina o por los consumos foráneos que realicen fuera del municipio, deben llevar una bitácora de acuerdo al Anexo 3.”</w:t>
      </w:r>
    </w:p>
    <w:p w14:paraId="4CD6E12E" w14:textId="77777777" w:rsidR="00017A3A" w:rsidRPr="004F6572" w:rsidRDefault="00017A3A" w:rsidP="00017A3A">
      <w:pPr>
        <w:tabs>
          <w:tab w:val="left" w:pos="426"/>
        </w:tabs>
        <w:ind w:left="567" w:right="616"/>
        <w:jc w:val="both"/>
        <w:rPr>
          <w:rFonts w:ascii="Palatino Linotype" w:hAnsi="Palatino Linotype" w:cs="Arial"/>
          <w:i/>
          <w:iCs/>
          <w:color w:val="000000" w:themeColor="text1"/>
          <w:sz w:val="22"/>
          <w:highlight w:val="yellow"/>
        </w:rPr>
      </w:pPr>
    </w:p>
    <w:p w14:paraId="36C5E85D" w14:textId="221025AE" w:rsidR="00017A3A" w:rsidRPr="004F6572" w:rsidRDefault="00017A3A" w:rsidP="00017A3A">
      <w:pPr>
        <w:tabs>
          <w:tab w:val="left" w:pos="426"/>
        </w:tabs>
        <w:spacing w:line="360" w:lineRule="auto"/>
        <w:ind w:right="49"/>
        <w:jc w:val="both"/>
        <w:rPr>
          <w:rFonts w:ascii="Palatino Linotype" w:hAnsi="Palatino Linotype" w:cs="Arial"/>
          <w:color w:val="000000" w:themeColor="text1"/>
        </w:rPr>
      </w:pPr>
      <w:r w:rsidRPr="004F6572">
        <w:rPr>
          <w:rFonts w:ascii="Palatino Linotype" w:hAnsi="Palatino Linotype" w:cs="Arial"/>
          <w:noProof/>
          <w:color w:val="000000" w:themeColor="text1"/>
        </w:rPr>
        <w:lastRenderedPageBreak/>
        <w:drawing>
          <wp:inline distT="0" distB="0" distL="0" distR="0" wp14:anchorId="183BD138" wp14:editId="49D6214B">
            <wp:extent cx="5612130" cy="340550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stretch>
                      <a:fillRect/>
                    </a:stretch>
                  </pic:blipFill>
                  <pic:spPr>
                    <a:xfrm>
                      <a:off x="0" y="0"/>
                      <a:ext cx="5612130" cy="3405505"/>
                    </a:xfrm>
                    <a:prstGeom prst="rect">
                      <a:avLst/>
                    </a:prstGeom>
                  </pic:spPr>
                </pic:pic>
              </a:graphicData>
            </a:graphic>
          </wp:inline>
        </w:drawing>
      </w:r>
    </w:p>
    <w:p w14:paraId="66ACA4F9" w14:textId="616FF90C" w:rsidR="00017A3A" w:rsidRPr="004F6572" w:rsidRDefault="00017A3A" w:rsidP="00017A3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hAnsi="Palatino Linotype" w:cs="Arial"/>
          <w:color w:val="000000" w:themeColor="text1"/>
          <w:sz w:val="24"/>
        </w:rPr>
        <w:t xml:space="preserve">Por </w:t>
      </w:r>
      <w:r w:rsidRPr="004F6572">
        <w:rPr>
          <w:rFonts w:ascii="Palatino Linotype" w:hAnsi="Palatino Linotype"/>
          <w:sz w:val="24"/>
        </w:rPr>
        <w:t xml:space="preserve">lo tanto, el </w:t>
      </w:r>
      <w:r w:rsidRPr="004F6572">
        <w:rPr>
          <w:rFonts w:ascii="Palatino Linotype" w:hAnsi="Palatino Linotype"/>
          <w:b/>
          <w:bCs/>
          <w:sz w:val="24"/>
        </w:rPr>
        <w:t>SUJETO OBLIGADO</w:t>
      </w:r>
      <w:r w:rsidRPr="004F6572">
        <w:rPr>
          <w:rFonts w:ascii="Palatino Linotype" w:hAnsi="Palatino Linotype"/>
          <w:sz w:val="24"/>
        </w:rPr>
        <w:t xml:space="preserve"> está constreñido de llevar un control sobre el consumo de los combustibles de cada uno de los vehículos y maquinaria por medio de bitácoras de gasolina o diésel, dentro de los cuales se incluye el kilometraje de los vehículos, de ahí que, debe generar, poseer y administrar una bitácora conforme al formato señalado en el anexo 3 de los referidos lineamientos, mismo que deberá ser llenado según corresponda, con la finalidad de que el Sujeto Obligado pueda proporcionar información financiera, presupuestaria, programática y económica para consolidarla y presentarla en la Cuenta Pública del Gobierno y Organismos Auxiliares del Estado de México, así como la Cuenta Pública Municipal y, como resultado, forma parte del presupuesto de egresos del </w:t>
      </w:r>
      <w:r w:rsidRPr="004F6572">
        <w:rPr>
          <w:rFonts w:ascii="Palatino Linotype" w:hAnsi="Palatino Linotype"/>
          <w:b/>
          <w:bCs/>
          <w:sz w:val="24"/>
        </w:rPr>
        <w:t>SUJETO OBLIGADO.</w:t>
      </w:r>
    </w:p>
    <w:p w14:paraId="0841D873" w14:textId="77777777" w:rsidR="00017A3A" w:rsidRPr="004F6572" w:rsidRDefault="00017A3A" w:rsidP="00017A3A">
      <w:pPr>
        <w:pStyle w:val="Prrafodelista"/>
        <w:spacing w:before="240" w:after="240" w:line="360" w:lineRule="auto"/>
        <w:ind w:left="0" w:right="48"/>
        <w:jc w:val="both"/>
        <w:rPr>
          <w:rFonts w:ascii="Palatino Linotype" w:eastAsia="MS Gothic" w:hAnsi="Palatino Linotype"/>
          <w:sz w:val="24"/>
        </w:rPr>
      </w:pPr>
    </w:p>
    <w:p w14:paraId="0E3A04A0" w14:textId="34715238" w:rsidR="006D635D" w:rsidRPr="004F6572" w:rsidRDefault="00FF2D21" w:rsidP="006D635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t xml:space="preserve">Precisado lo anterior, se advierte que, si bien el </w:t>
      </w:r>
      <w:r w:rsidRPr="004F6572">
        <w:rPr>
          <w:rFonts w:ascii="Palatino Linotype" w:eastAsia="MS Gothic" w:hAnsi="Palatino Linotype"/>
          <w:b/>
          <w:sz w:val="24"/>
        </w:rPr>
        <w:t>SUJETO OBLIGADO</w:t>
      </w:r>
      <w:r w:rsidRPr="004F6572">
        <w:rPr>
          <w:rFonts w:ascii="Palatino Linotype" w:eastAsia="MS Gothic" w:hAnsi="Palatino Linotype"/>
          <w:sz w:val="24"/>
        </w:rPr>
        <w:t xml:space="preserve"> de conformidad con </w:t>
      </w:r>
      <w:r w:rsidR="00765571" w:rsidRPr="004F6572">
        <w:rPr>
          <w:rFonts w:ascii="Palatino Linotype" w:eastAsia="MS Gothic" w:hAnsi="Palatino Linotype"/>
          <w:sz w:val="24"/>
        </w:rPr>
        <w:t xml:space="preserve">sus </w:t>
      </w:r>
      <w:r w:rsidRPr="004F6572">
        <w:rPr>
          <w:rFonts w:ascii="Palatino Linotype" w:eastAsia="MS Gothic" w:hAnsi="Palatino Linotype"/>
          <w:sz w:val="24"/>
        </w:rPr>
        <w:t>funciones y atribuciones, hizo entrega d</w:t>
      </w:r>
      <w:r w:rsidR="00765571" w:rsidRPr="004F6572">
        <w:rPr>
          <w:rFonts w:ascii="Palatino Linotype" w:eastAsia="MS Gothic" w:hAnsi="Palatino Linotype"/>
          <w:sz w:val="24"/>
        </w:rPr>
        <w:t xml:space="preserve">e las bitácoras de </w:t>
      </w:r>
      <w:r w:rsidR="00765571" w:rsidRPr="004F6572">
        <w:rPr>
          <w:rFonts w:ascii="Palatino Linotype" w:eastAsia="MS Gothic" w:hAnsi="Palatino Linotype"/>
          <w:sz w:val="24"/>
        </w:rPr>
        <w:lastRenderedPageBreak/>
        <w:t>combustible</w:t>
      </w:r>
      <w:r w:rsidRPr="004F6572">
        <w:rPr>
          <w:rFonts w:ascii="Palatino Linotype" w:eastAsia="MS Gothic" w:hAnsi="Palatino Linotype"/>
          <w:sz w:val="24"/>
        </w:rPr>
        <w:t xml:space="preserve">, estas se encuentran en una </w:t>
      </w:r>
      <w:r w:rsidRPr="004F6572">
        <w:rPr>
          <w:rFonts w:ascii="Palatino Linotype" w:eastAsia="MS Gothic" w:hAnsi="Palatino Linotype"/>
          <w:b/>
          <w:sz w:val="24"/>
        </w:rPr>
        <w:t>versión pública incorrecta y excesiva</w:t>
      </w:r>
      <w:r w:rsidR="006D635D" w:rsidRPr="004F6572">
        <w:rPr>
          <w:rFonts w:ascii="Palatino Linotype" w:eastAsia="MS Gothic" w:hAnsi="Palatino Linotype"/>
          <w:sz w:val="24"/>
        </w:rPr>
        <w:t xml:space="preserve">, toda vez que, </w:t>
      </w:r>
      <w:r w:rsidRPr="004F6572">
        <w:rPr>
          <w:rFonts w:ascii="Palatino Linotype" w:eastAsia="MS Gothic" w:hAnsi="Palatino Linotype"/>
          <w:sz w:val="24"/>
        </w:rPr>
        <w:t>se testaron datos de carácter público</w:t>
      </w:r>
      <w:r w:rsidR="00765571" w:rsidRPr="004F6572">
        <w:rPr>
          <w:rFonts w:ascii="Palatino Linotype" w:eastAsia="MS Gothic" w:hAnsi="Palatino Linotype"/>
          <w:sz w:val="24"/>
        </w:rPr>
        <w:t>, que de manera enunciativa más no limitativas, son los siguientes</w:t>
      </w:r>
      <w:r w:rsidRPr="004F6572">
        <w:rPr>
          <w:rFonts w:ascii="Palatino Linotype" w:eastAsia="MS Gothic" w:hAnsi="Palatino Linotype"/>
          <w:sz w:val="24"/>
        </w:rPr>
        <w:t xml:space="preserve">: </w:t>
      </w:r>
      <w:r w:rsidRPr="004F6572">
        <w:rPr>
          <w:rFonts w:ascii="Palatino Linotype" w:eastAsia="MS Gothic" w:hAnsi="Palatino Linotype"/>
          <w:b/>
          <w:sz w:val="24"/>
        </w:rPr>
        <w:t>unidad</w:t>
      </w:r>
      <w:r w:rsidR="00765571" w:rsidRPr="004F6572">
        <w:rPr>
          <w:rFonts w:ascii="Palatino Linotype" w:eastAsia="MS Gothic" w:hAnsi="Palatino Linotype"/>
          <w:b/>
          <w:sz w:val="24"/>
        </w:rPr>
        <w:t>, placas, serie, marca y modelo de los vehículos.</w:t>
      </w:r>
      <w:r w:rsidR="006D635D" w:rsidRPr="004F6572">
        <w:rPr>
          <w:rFonts w:ascii="Palatino Linotype" w:eastAsia="MS Gothic" w:hAnsi="Palatino Linotype"/>
          <w:b/>
          <w:sz w:val="24"/>
        </w:rPr>
        <w:t xml:space="preserve"> Asimismo, se testó información que no es identificable.</w:t>
      </w:r>
    </w:p>
    <w:p w14:paraId="6C76EB58" w14:textId="0C3ADFB1" w:rsidR="00FF2D21" w:rsidRPr="004F6572" w:rsidRDefault="00FF2D21" w:rsidP="006D635D">
      <w:pPr>
        <w:pStyle w:val="Prrafodelista"/>
        <w:spacing w:before="240" w:after="240" w:line="360" w:lineRule="auto"/>
        <w:ind w:left="0" w:right="48"/>
        <w:jc w:val="both"/>
        <w:rPr>
          <w:rFonts w:ascii="Palatino Linotype" w:eastAsia="MS Gothic" w:hAnsi="Palatino Linotype"/>
          <w:sz w:val="24"/>
        </w:rPr>
      </w:pPr>
    </w:p>
    <w:p w14:paraId="1FE6B4E7" w14:textId="00AC6B6B" w:rsidR="00FF2D21" w:rsidRPr="004F6572" w:rsidRDefault="00FF2D21" w:rsidP="00EA4E1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t xml:space="preserve">Aunado a lo anterior, se precisa que, </w:t>
      </w:r>
      <w:r w:rsidRPr="004F6572">
        <w:rPr>
          <w:rFonts w:ascii="Palatino Linotype" w:eastAsia="MS Mincho" w:hAnsi="Palatino Linotype" w:cs="Arial"/>
          <w:bCs/>
          <w:sz w:val="24"/>
          <w:lang w:val="es-ES_tradnl" w:eastAsia="es-ES"/>
        </w:rPr>
        <w:t>el</w:t>
      </w:r>
      <w:r w:rsidRPr="004F6572">
        <w:rPr>
          <w:rFonts w:ascii="Palatino Linotype" w:eastAsia="MS Mincho" w:hAnsi="Palatino Linotype" w:cs="Arial"/>
          <w:b/>
          <w:bCs/>
          <w:sz w:val="24"/>
          <w:lang w:val="es-ES_tradnl" w:eastAsia="es-ES"/>
        </w:rPr>
        <w:t xml:space="preserve"> SUJETO OBLIGADO </w:t>
      </w:r>
      <w:r w:rsidRPr="004F6572">
        <w:rPr>
          <w:rFonts w:ascii="Palatino Linotype" w:eastAsia="MS Mincho" w:hAnsi="Palatino Linotype" w:cs="Arial"/>
          <w:bCs/>
          <w:sz w:val="24"/>
          <w:lang w:val="es-ES_tradnl" w:eastAsia="es-ES"/>
        </w:rPr>
        <w:t>no proporcionó el Acuerdo de Comité del Transparencia, por medio del cual, se propuso y aprobó la versión pública de los documentos remitidos tanto en respuesta como en informe justificado.</w:t>
      </w:r>
    </w:p>
    <w:p w14:paraId="70B6C31A" w14:textId="77777777" w:rsidR="00FF2D21" w:rsidRPr="004F6572" w:rsidRDefault="00FF2D21" w:rsidP="00FF2D21">
      <w:pPr>
        <w:pStyle w:val="Prrafodelista"/>
        <w:spacing w:before="240" w:after="240" w:line="360" w:lineRule="auto"/>
        <w:ind w:left="0" w:right="48"/>
        <w:jc w:val="both"/>
        <w:rPr>
          <w:rFonts w:ascii="Palatino Linotype" w:eastAsia="MS Gothic" w:hAnsi="Palatino Linotype"/>
          <w:sz w:val="24"/>
        </w:rPr>
      </w:pPr>
    </w:p>
    <w:p w14:paraId="4785ED87" w14:textId="66EFCF68"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4F6572">
        <w:rPr>
          <w:rFonts w:ascii="Palatino Linotype" w:eastAsia="MS Gothic" w:hAnsi="Palatino Linotype"/>
          <w:sz w:val="24"/>
        </w:rPr>
        <w:t>En este caso</w:t>
      </w:r>
      <w:r w:rsidR="00694788" w:rsidRPr="004F6572">
        <w:rPr>
          <w:rFonts w:ascii="Palatino Linotype" w:eastAsia="MS Gothic" w:hAnsi="Palatino Linotype"/>
          <w:sz w:val="24"/>
        </w:rPr>
        <w:t>,</w:t>
      </w:r>
      <w:r w:rsidRPr="004F6572">
        <w:rPr>
          <w:rFonts w:ascii="Palatino Linotype" w:eastAsia="MS Gothic" w:hAnsi="Palatino Linotype"/>
          <w:sz w:val="24"/>
        </w:rPr>
        <w:t xml:space="preserve"> es importante señalar que la clasificación total o parcial de la información requerida mediante solicitud de acceso a la información pública, constituye una restricción al derecho humano de acceso a la información. </w:t>
      </w:r>
    </w:p>
    <w:p w14:paraId="77F62599" w14:textId="77777777" w:rsidR="00FF2D21" w:rsidRPr="004F6572" w:rsidRDefault="00FF2D21" w:rsidP="00FF2D21">
      <w:pPr>
        <w:pStyle w:val="Prrafodelista"/>
        <w:rPr>
          <w:rFonts w:ascii="Palatino Linotype" w:eastAsia="MS Gothic" w:hAnsi="Palatino Linotype"/>
          <w:sz w:val="24"/>
        </w:rPr>
      </w:pPr>
    </w:p>
    <w:p w14:paraId="390D671A"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5239287C"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5D3074B" w14:textId="6C1B4FC1"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Al respecto, los Lineamientos Generales en Materia de Clasificación y Desclasif</w:t>
      </w:r>
      <w:r w:rsidR="00694788" w:rsidRPr="004F6572">
        <w:rPr>
          <w:rFonts w:ascii="Palatino Linotype" w:eastAsia="MS Gothic" w:hAnsi="Palatino Linotype"/>
          <w:sz w:val="24"/>
        </w:rPr>
        <w:t>icación de la Información, así como para la Elaboración de Versiones P</w:t>
      </w:r>
      <w:r w:rsidRPr="004F6572">
        <w:rPr>
          <w:rFonts w:ascii="Palatino Linotype" w:eastAsia="MS Gothic" w:hAnsi="Palatino Linotype"/>
          <w:sz w:val="24"/>
        </w:rPr>
        <w:t>úblicas, por cuanto hace a la clasificación de la información, señalan lo siguiente:</w:t>
      </w:r>
    </w:p>
    <w:p w14:paraId="1157923D"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w:t>
      </w:r>
      <w:r w:rsidRPr="004F6572">
        <w:rPr>
          <w:rFonts w:ascii="Palatino Linotype" w:hAnsi="Palatino Linotype" w:cs="Arial"/>
          <w:b/>
          <w:i/>
        </w:rPr>
        <w:t>Quincuagésimo.</w:t>
      </w:r>
      <w:r w:rsidRPr="004F6572">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791E24F"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p>
    <w:p w14:paraId="62A3DAB9"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b/>
          <w:i/>
        </w:rPr>
        <w:t>Quincuagésimo primero.</w:t>
      </w:r>
      <w:r w:rsidRPr="004F6572">
        <w:rPr>
          <w:rFonts w:ascii="Palatino Linotype" w:hAnsi="Palatino Linotype" w:cs="Arial"/>
          <w:i/>
        </w:rPr>
        <w:t xml:space="preserve"> La leyenda en los documentos clasificados indicará:</w:t>
      </w:r>
    </w:p>
    <w:p w14:paraId="430AC5DF"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lastRenderedPageBreak/>
        <w:t>I. La fecha de sesión del Comité de Transparencia en donde se confirmó la clasificación, en su caso;</w:t>
      </w:r>
    </w:p>
    <w:p w14:paraId="0F55CD9D"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II. El nombre del área;</w:t>
      </w:r>
    </w:p>
    <w:p w14:paraId="69BDAC17"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III. La palabra reservado o confidencial;</w:t>
      </w:r>
    </w:p>
    <w:p w14:paraId="2C7FE711"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IV. Las partes o secciones reservadas o confidenciales, en su caso;</w:t>
      </w:r>
    </w:p>
    <w:p w14:paraId="41D0428E"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V. El fundamento legal;</w:t>
      </w:r>
    </w:p>
    <w:p w14:paraId="6D961115"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VI. El periodo de reserva, y</w:t>
      </w:r>
    </w:p>
    <w:p w14:paraId="311A481E" w14:textId="77777777" w:rsidR="00FF2D21" w:rsidRPr="004F6572" w:rsidRDefault="00FF2D21" w:rsidP="00FF2D21">
      <w:pPr>
        <w:pStyle w:val="Prrafodelista"/>
        <w:tabs>
          <w:tab w:val="left" w:pos="142"/>
          <w:tab w:val="left" w:pos="284"/>
        </w:tabs>
        <w:ind w:left="567" w:right="539"/>
        <w:jc w:val="both"/>
        <w:rPr>
          <w:rFonts w:ascii="Palatino Linotype" w:hAnsi="Palatino Linotype" w:cs="Arial"/>
          <w:i/>
        </w:rPr>
      </w:pPr>
      <w:r w:rsidRPr="004F6572">
        <w:rPr>
          <w:rFonts w:ascii="Palatino Linotype" w:hAnsi="Palatino Linotype" w:cs="Arial"/>
          <w:i/>
        </w:rPr>
        <w:t>VII. La rúbrica del titular del área.”</w:t>
      </w:r>
    </w:p>
    <w:p w14:paraId="584D798B"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F3CB0C0"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 xml:space="preserve">Así, una vez hecho lo anterior, </w:t>
      </w:r>
      <w:r w:rsidRPr="004F6572">
        <w:rPr>
          <w:rFonts w:ascii="Palatino Linotype" w:eastAsia="MS Gothic" w:hAnsi="Palatino Linotype"/>
          <w:b/>
          <w:sz w:val="24"/>
        </w:rPr>
        <w:t>se remite la información al Titular de la Unidad de Transparencia, con el acuerdo de clasificación correspondiente, para que sea sometido al conocimiento del Comité de Transparencia.</w:t>
      </w:r>
    </w:p>
    <w:p w14:paraId="465574C4"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576D53D3" w14:textId="77777777" w:rsidR="00FF2D21" w:rsidRPr="004F6572" w:rsidRDefault="00FF2D21" w:rsidP="00FF2D21">
      <w:pPr>
        <w:pStyle w:val="Prrafodelista"/>
        <w:tabs>
          <w:tab w:val="left" w:pos="142"/>
          <w:tab w:val="left" w:pos="284"/>
          <w:tab w:val="left" w:pos="426"/>
        </w:tabs>
        <w:spacing w:line="360" w:lineRule="auto"/>
        <w:ind w:left="567"/>
        <w:jc w:val="both"/>
        <w:outlineLvl w:val="2"/>
        <w:rPr>
          <w:rFonts w:ascii="Palatino Linotype" w:hAnsi="Palatino Linotype" w:cs="Arial"/>
          <w:b/>
          <w:sz w:val="24"/>
        </w:rPr>
      </w:pPr>
      <w:bookmarkStart w:id="27" w:name="_Toc51863317"/>
      <w:bookmarkStart w:id="28" w:name="_Toc52444651"/>
      <w:bookmarkStart w:id="29" w:name="_Toc57154370"/>
      <w:bookmarkStart w:id="30" w:name="_Toc65170176"/>
      <w:r w:rsidRPr="004F6572">
        <w:rPr>
          <w:rFonts w:ascii="Palatino Linotype" w:hAnsi="Palatino Linotype" w:cs="Arial"/>
          <w:b/>
          <w:sz w:val="24"/>
        </w:rPr>
        <w:t>La intervención del Comité de Transparencia.</w:t>
      </w:r>
      <w:bookmarkEnd w:id="27"/>
      <w:bookmarkEnd w:id="28"/>
      <w:bookmarkEnd w:id="29"/>
      <w:bookmarkEnd w:id="30"/>
    </w:p>
    <w:p w14:paraId="254F10CC" w14:textId="745932EE" w:rsidR="00694788" w:rsidRPr="004F6572" w:rsidRDefault="00FF2D21" w:rsidP="00694788">
      <w:pPr>
        <w:pStyle w:val="Prrafodelista"/>
        <w:numPr>
          <w:ilvl w:val="0"/>
          <w:numId w:val="44"/>
        </w:numPr>
        <w:tabs>
          <w:tab w:val="left" w:pos="142"/>
          <w:tab w:val="left" w:pos="284"/>
          <w:tab w:val="left" w:pos="426"/>
        </w:tabs>
        <w:spacing w:line="360" w:lineRule="auto"/>
        <w:jc w:val="both"/>
        <w:rPr>
          <w:rFonts w:ascii="Palatino Linotype" w:hAnsi="Palatino Linotype" w:cs="Arial"/>
          <w:b/>
          <w:sz w:val="24"/>
        </w:rPr>
      </w:pPr>
      <w:r w:rsidRPr="004F6572">
        <w:rPr>
          <w:rFonts w:ascii="Palatino Linotype" w:hAnsi="Palatino Linotype" w:cs="Arial"/>
          <w:b/>
          <w:sz w:val="24"/>
        </w:rPr>
        <w:t>Formalidades para emitir el Acuerdo de Clasificación.</w:t>
      </w:r>
    </w:p>
    <w:p w14:paraId="1A671BE1" w14:textId="76BAB008"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4F6572">
        <w:rPr>
          <w:rFonts w:ascii="Palatino Linotype" w:eastAsia="MS Gothic" w:hAnsi="Palatino Linotype"/>
          <w:b/>
          <w:sz w:val="24"/>
          <w:u w:val="single"/>
        </w:rPr>
        <w:t>confirmar, modificar o revocar</w:t>
      </w:r>
      <w:r w:rsidRPr="004F6572">
        <w:rPr>
          <w:rFonts w:ascii="Palatino Linotype" w:eastAsia="MS Gothic" w:hAnsi="Palatino Linotype"/>
          <w:sz w:val="24"/>
        </w:rPr>
        <w:t xml:space="preserve"> la clasificación de la información que ha hecho el titular del área que administra la información. Por lo tanto, el Comité </w:t>
      </w:r>
      <w:r w:rsidRPr="004F6572">
        <w:rPr>
          <w:rFonts w:ascii="Palatino Linotype" w:eastAsia="MS Gothic" w:hAnsi="Palatino Linotype"/>
          <w:b/>
          <w:sz w:val="24"/>
          <w:u w:val="single"/>
        </w:rPr>
        <w:t>no aprueba</w:t>
      </w:r>
      <w:r w:rsidRPr="004F6572">
        <w:rPr>
          <w:rFonts w:ascii="Palatino Linotype" w:eastAsia="MS Gothic" w:hAnsi="Palatino Linotype"/>
          <w:sz w:val="24"/>
        </w:rPr>
        <w:t xml:space="preserve"> la clasificación, sino que revisa lo que ha hecho el titular del área y confirma, modifica o revoca la decisión a través de un acuerdo.</w:t>
      </w:r>
    </w:p>
    <w:p w14:paraId="5FEBCE32" w14:textId="77777777" w:rsidR="004F6572" w:rsidRPr="004F6572" w:rsidRDefault="004F6572" w:rsidP="004F657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0A5374C"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 xml:space="preserve">Evidentemente, esta decisión implica una restricción a un derecho humano, por lo tanto, puede generar un agravio al Particular y, en consecuencia, es necesario que </w:t>
      </w:r>
      <w:r w:rsidRPr="004F6572">
        <w:rPr>
          <w:rFonts w:ascii="Palatino Linotype" w:eastAsia="MS Gothic" w:hAnsi="Palatino Linotype"/>
          <w:b/>
          <w:sz w:val="24"/>
          <w:u w:val="single"/>
        </w:rPr>
        <w:t>el acto reúna con los requisitos elementales</w:t>
      </w:r>
      <w:r w:rsidRPr="004F6572">
        <w:rPr>
          <w:rFonts w:ascii="Palatino Linotype" w:eastAsia="MS Gothic" w:hAnsi="Palatino Linotype"/>
          <w:sz w:val="24"/>
        </w:rPr>
        <w:t xml:space="preserve">, entre ellos, que la autoridad que va a </w:t>
      </w:r>
      <w:r w:rsidRPr="004F6572">
        <w:rPr>
          <w:rFonts w:ascii="Palatino Linotype" w:eastAsia="MS Gothic" w:hAnsi="Palatino Linotype"/>
          <w:sz w:val="24"/>
        </w:rPr>
        <w:lastRenderedPageBreak/>
        <w:t>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5D4706B2"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8D8BB54"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D972A3A"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5F655EB" w14:textId="31872C5A" w:rsidR="00FF2D21" w:rsidRPr="004F6572" w:rsidRDefault="00FF2D21" w:rsidP="006D635D">
      <w:pPr>
        <w:pStyle w:val="Prrafodelista"/>
        <w:tabs>
          <w:tab w:val="left" w:pos="142"/>
          <w:tab w:val="left" w:pos="284"/>
          <w:tab w:val="left" w:pos="426"/>
        </w:tabs>
        <w:spacing w:line="360" w:lineRule="auto"/>
        <w:ind w:left="567"/>
        <w:jc w:val="both"/>
        <w:rPr>
          <w:rFonts w:ascii="Palatino Linotype" w:hAnsi="Palatino Linotype" w:cs="Arial"/>
          <w:b/>
          <w:sz w:val="24"/>
        </w:rPr>
      </w:pPr>
      <w:r w:rsidRPr="004F6572">
        <w:rPr>
          <w:rFonts w:ascii="Palatino Linotype" w:hAnsi="Palatino Linotype" w:cs="Arial"/>
          <w:b/>
          <w:sz w:val="24"/>
        </w:rPr>
        <w:t>b) Requisitos de fondo del Acuerdo de Clasificación.</w:t>
      </w:r>
    </w:p>
    <w:p w14:paraId="464AF07D"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 xml:space="preserve">Como se ha señalado antes, al hacer el juicio de subsunción o encaje entre el supuesto de hecho y la hipótesis jurídica, se debe acreditar la estricta correspondencia entre un elemento y otro. </w:t>
      </w:r>
    </w:p>
    <w:p w14:paraId="43F8B643"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77513CA"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4F6572">
        <w:rPr>
          <w:rFonts w:ascii="Palatino Linotype" w:eastAsia="MS Gothic" w:hAnsi="Palatino Linotype"/>
          <w:sz w:val="24"/>
        </w:rPr>
        <w:t xml:space="preserve">Ahora, en esta parte del procedimiento, que se desahoga en sede del Comité de Transparencia, la ley nos aporta mayores luces para cumplir con dicha acreditación. </w:t>
      </w:r>
      <w:r w:rsidRPr="004F6572">
        <w:rPr>
          <w:rFonts w:ascii="Palatino Linotype" w:eastAsia="MS Gothic" w:hAnsi="Palatino Linotype"/>
          <w:sz w:val="24"/>
        </w:rPr>
        <w:lastRenderedPageBreak/>
        <w:t>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184F1FE"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4446D4D"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4F6572">
        <w:rPr>
          <w:rFonts w:ascii="Palatino Linotype" w:eastAsia="MS Gothic" w:hAnsi="Palatino Linotype"/>
          <w:sz w:val="24"/>
        </w:rPr>
        <w:t xml:space="preserve">De lo anterior, se desprende que, </w:t>
      </w:r>
      <w:r w:rsidRPr="004F6572">
        <w:rPr>
          <w:rFonts w:ascii="Palatino Linotype" w:eastAsia="MS Gothic" w:hAnsi="Palatino Linotype"/>
          <w:b/>
          <w:sz w:val="24"/>
          <w:u w:val="single"/>
        </w:rPr>
        <w:t>para una correcta clasificación total o parcial, esto es determinar los datos que se suprimen en las versiones públicas</w:t>
      </w:r>
      <w:r w:rsidRPr="004F6572">
        <w:rPr>
          <w:rFonts w:ascii="Palatino Linotype" w:eastAsia="MS Gothic" w:hAnsi="Palatino Linotype"/>
          <w:sz w:val="24"/>
        </w:rPr>
        <w:t xml:space="preserve">, </w:t>
      </w:r>
      <w:r w:rsidRPr="004F6572">
        <w:rPr>
          <w:rFonts w:ascii="Palatino Linotype" w:eastAsia="MS Gothic" w:hAnsi="Palatino Linotype"/>
          <w:b/>
          <w:sz w:val="24"/>
          <w:u w:val="single"/>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021D626"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3D214BF8"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4F6572">
        <w:rPr>
          <w:rFonts w:ascii="Palatino Linotype" w:hAnsi="Palatino Linotype" w:cs="Arial"/>
          <w:sz w:val="24"/>
        </w:rPr>
        <w:t>Por su parte, el intérprete judicial del país ha establecido una jurisprudencia respecto a qué debe entenderse por fundamentación y motivación, en los siguientes términos:</w:t>
      </w:r>
    </w:p>
    <w:p w14:paraId="6DF80308" w14:textId="77777777" w:rsidR="00FF2D21" w:rsidRPr="004F6572" w:rsidRDefault="00FF2D21" w:rsidP="00FF2D21">
      <w:pPr>
        <w:pStyle w:val="Prrafodelista"/>
        <w:spacing w:before="240" w:after="240"/>
        <w:ind w:left="567" w:right="539"/>
        <w:jc w:val="both"/>
        <w:rPr>
          <w:rFonts w:ascii="Palatino Linotype" w:eastAsia="MS Mincho" w:hAnsi="Palatino Linotype" w:cs="Arial"/>
          <w:b/>
          <w:bCs/>
          <w:u w:val="single"/>
          <w:lang w:val="es-ES_tradnl" w:eastAsia="es-ES"/>
        </w:rPr>
      </w:pPr>
      <w:r w:rsidRPr="004F6572">
        <w:rPr>
          <w:rFonts w:ascii="Palatino Linotype" w:hAnsi="Palatino Linotype" w:cs="Arial"/>
          <w:b/>
          <w:i/>
          <w:color w:val="000000"/>
        </w:rPr>
        <w:t>FUNDAMENTACIÓN Y MOTIVACIÓN.</w:t>
      </w:r>
      <w:r w:rsidRPr="004F6572">
        <w:rPr>
          <w:rFonts w:ascii="Palatino Linotype" w:hAnsi="Palatino Linotype" w:cs="Arial"/>
          <w:i/>
          <w:color w:val="000000"/>
        </w:rPr>
        <w:t xml:space="preserve"> “La </w:t>
      </w:r>
      <w:r w:rsidRPr="004F6572">
        <w:rPr>
          <w:rFonts w:ascii="Palatino Linotype" w:hAnsi="Palatino Linotype" w:cs="Arial"/>
          <w:i/>
          <w:color w:val="000000"/>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F6572">
        <w:rPr>
          <w:rFonts w:ascii="Palatino Linotype" w:hAnsi="Palatino Linotype" w:cs="Arial"/>
          <w:i/>
          <w:color w:val="000000"/>
        </w:rPr>
        <w:t>.”</w:t>
      </w:r>
    </w:p>
    <w:p w14:paraId="5E994A1B" w14:textId="77777777" w:rsidR="00FF2D21" w:rsidRPr="004F6572" w:rsidRDefault="00FF2D21" w:rsidP="00FF2D21">
      <w:pPr>
        <w:ind w:left="567" w:right="539"/>
        <w:contextualSpacing/>
        <w:jc w:val="both"/>
        <w:rPr>
          <w:rFonts w:ascii="Palatino Linotype" w:hAnsi="Palatino Linotype" w:cs="Arial"/>
          <w:i/>
          <w:color w:val="000000"/>
          <w:sz w:val="22"/>
        </w:rPr>
      </w:pPr>
    </w:p>
    <w:p w14:paraId="39BCE5EB"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t>SEGUNDO TRIBUNAL COLEGIADO DEL SEXTO CIRCUITO.</w:t>
      </w:r>
    </w:p>
    <w:p w14:paraId="1ECD48BB"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14:paraId="446BF80A"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t>Revisión fiscal 103/88. Instituto Mexicano del Seguro Social. 18 de octubre de 1988. Unanimidad de votos. Ponente: Arnoldo Nájera Virgen. Secretario: Alejandro Esponda Rincón.</w:t>
      </w:r>
    </w:p>
    <w:p w14:paraId="7D1763C2"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lastRenderedPageBreak/>
        <w:t>Amparo en revisión 333/88. Adilia Romero. 26 de octubre de 1988. Unanimidad de votos. Ponente: Arnoldo Nájera Virgen. Secretario: Enrique Crispín Campos Ramírez.</w:t>
      </w:r>
    </w:p>
    <w:p w14:paraId="055AF84D"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t>Amparo en revisión 597/95. Emilio Maurer Bretón. 15 de noviembre de 1995. Unanimidad de votos. Ponente: Clementina Ramírez Moguel Goyzueta. Secretario: Gonzalo Carrera Molina.</w:t>
      </w:r>
    </w:p>
    <w:p w14:paraId="0DF447F7" w14:textId="77777777" w:rsidR="00FF2D21" w:rsidRPr="004F6572" w:rsidRDefault="00FF2D21" w:rsidP="00FF2D21">
      <w:pPr>
        <w:ind w:left="567" w:right="539"/>
        <w:contextualSpacing/>
        <w:jc w:val="both"/>
        <w:rPr>
          <w:rFonts w:ascii="Palatino Linotype" w:hAnsi="Palatino Linotype" w:cs="Arial"/>
          <w:i/>
          <w:color w:val="000000"/>
          <w:sz w:val="22"/>
        </w:rPr>
      </w:pPr>
      <w:r w:rsidRPr="004F6572">
        <w:rPr>
          <w:rFonts w:ascii="Palatino Linotype" w:hAnsi="Palatino Linotype" w:cs="Arial"/>
          <w:i/>
          <w:color w:val="000000"/>
          <w:sz w:val="22"/>
        </w:rPr>
        <w:t xml:space="preserve">Amparo directo 7/96. Pedro Vicente López Miro. 21 de febrero de 1996. Unanimidad de votos. Ponente: María Eugenia Estela Martínez Cardiel. Secretario: Enrique </w:t>
      </w:r>
      <w:proofErr w:type="spellStart"/>
      <w:r w:rsidRPr="004F6572">
        <w:rPr>
          <w:rFonts w:ascii="Palatino Linotype" w:hAnsi="Palatino Linotype" w:cs="Arial"/>
          <w:i/>
          <w:color w:val="000000"/>
          <w:sz w:val="22"/>
        </w:rPr>
        <w:t>Baigts</w:t>
      </w:r>
      <w:proofErr w:type="spellEnd"/>
      <w:r w:rsidRPr="004F6572">
        <w:rPr>
          <w:rFonts w:ascii="Palatino Linotype" w:hAnsi="Palatino Linotype" w:cs="Arial"/>
          <w:i/>
          <w:color w:val="000000"/>
          <w:sz w:val="22"/>
        </w:rPr>
        <w:t xml:space="preserve"> Muñoz.</w:t>
      </w:r>
    </w:p>
    <w:p w14:paraId="6F7985BA" w14:textId="77777777" w:rsidR="00FF2D21" w:rsidRPr="004F6572" w:rsidRDefault="00FF2D21" w:rsidP="00FF2D21">
      <w:pPr>
        <w:ind w:right="539"/>
        <w:contextualSpacing/>
        <w:jc w:val="both"/>
        <w:rPr>
          <w:rFonts w:ascii="Palatino Linotype" w:hAnsi="Palatino Linotype" w:cs="Arial"/>
          <w:i/>
          <w:color w:val="000000"/>
        </w:rPr>
      </w:pPr>
    </w:p>
    <w:p w14:paraId="240C16D9"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4F6572">
        <w:rPr>
          <w:rFonts w:ascii="Palatino Linotype" w:eastAsia="MS Gothic" w:hAnsi="Palatino Linotype"/>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3001A1D" w14:textId="77777777" w:rsidR="00694788" w:rsidRPr="004F6572" w:rsidRDefault="00694788" w:rsidP="00694788">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7ED55A6B"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4F6572">
        <w:rPr>
          <w:rFonts w:ascii="Palatino Linotype" w:eastAsia="MS Gothic" w:hAnsi="Palatino Linotype"/>
          <w:sz w:val="24"/>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59FAC809"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04D8E334" w14:textId="77777777" w:rsidR="00FF2D21" w:rsidRPr="004F6572" w:rsidRDefault="00FF2D21" w:rsidP="00FF2D2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4F6572">
        <w:rPr>
          <w:rFonts w:ascii="Palatino Linotype" w:eastAsia="MS Gothic" w:hAnsi="Palatino Linotype"/>
          <w:sz w:val="24"/>
        </w:rPr>
        <w:t>De este modo, la persona que se sienta afectada pueda impugnar la decisión, permitiéndole una real y auténtica defensa.</w:t>
      </w:r>
      <w:r w:rsidRPr="004F6572">
        <w:rPr>
          <w:rFonts w:ascii="Palatino Linotype" w:hAnsi="Palatino Linotype" w:cs="Arial"/>
          <w:color w:val="000000" w:themeColor="text1"/>
          <w:sz w:val="24"/>
          <w:lang w:val="es-US"/>
        </w:rPr>
        <w:t xml:space="preserve"> </w:t>
      </w:r>
      <w:r w:rsidRPr="004F6572">
        <w:rPr>
          <w:rFonts w:ascii="Palatino Linotype" w:eastAsia="MS Gothic" w:hAnsi="Palatino Linotype"/>
          <w:sz w:val="24"/>
        </w:rPr>
        <w:t>En ese mismo sentido, el numeral trigésimo tercero fracción V de los Lineamientos Generales, precisa que para motivar la clasificación se deben acreditar las circunstancias de tiempo, modo y lugar.</w:t>
      </w:r>
    </w:p>
    <w:p w14:paraId="4B79CE94" w14:textId="77777777" w:rsidR="00765571" w:rsidRPr="004F6572" w:rsidRDefault="00765571" w:rsidP="00765571">
      <w:pPr>
        <w:pStyle w:val="Prrafodelista"/>
        <w:rPr>
          <w:rFonts w:ascii="Palatino Linotype" w:eastAsia="MS Mincho" w:hAnsi="Palatino Linotype" w:cs="Arial"/>
          <w:b/>
          <w:bCs/>
          <w:sz w:val="24"/>
          <w:u w:val="single"/>
          <w:lang w:val="es-ES_tradnl" w:eastAsia="es-ES"/>
        </w:rPr>
      </w:pPr>
    </w:p>
    <w:p w14:paraId="09AF5893" w14:textId="1A81075F" w:rsidR="00765571" w:rsidRPr="004F6572" w:rsidRDefault="006D635D" w:rsidP="006D635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MS Mincho" w:hAnsi="Palatino Linotype" w:cs="Arial"/>
          <w:bCs/>
          <w:sz w:val="24"/>
          <w:lang w:val="es-ES_tradnl" w:eastAsia="es-ES"/>
        </w:rPr>
        <w:t>Ahora bien</w:t>
      </w:r>
      <w:r w:rsidR="00765571" w:rsidRPr="004F6572">
        <w:rPr>
          <w:rFonts w:ascii="Palatino Linotype" w:eastAsia="MS Mincho" w:hAnsi="Palatino Linotype" w:cs="Arial"/>
          <w:bCs/>
          <w:sz w:val="24"/>
          <w:lang w:val="es-ES_tradnl" w:eastAsia="es-ES"/>
        </w:rPr>
        <w:t xml:space="preserve">, es necesario precisar que, el </w:t>
      </w:r>
      <w:r w:rsidR="00765571" w:rsidRPr="004F6572">
        <w:rPr>
          <w:rFonts w:ascii="Palatino Linotype" w:eastAsia="MS Mincho" w:hAnsi="Palatino Linotype" w:cs="Arial"/>
          <w:b/>
          <w:bCs/>
          <w:sz w:val="24"/>
          <w:lang w:val="es-ES_tradnl" w:eastAsia="es-ES"/>
        </w:rPr>
        <w:t>RECURRENTE</w:t>
      </w:r>
      <w:r w:rsidR="00765571" w:rsidRPr="004F6572">
        <w:rPr>
          <w:rFonts w:ascii="Palatino Linotype" w:eastAsia="MS Mincho" w:hAnsi="Palatino Linotype" w:cs="Arial"/>
          <w:bCs/>
          <w:sz w:val="24"/>
          <w:lang w:val="es-ES_tradnl" w:eastAsia="es-ES"/>
        </w:rPr>
        <w:t xml:space="preserve"> al momento de realizar la solicitud de información no señaló temporalidad</w:t>
      </w:r>
      <w:r w:rsidRPr="004F6572">
        <w:rPr>
          <w:rFonts w:ascii="Palatino Linotype" w:eastAsia="MS Mincho" w:hAnsi="Palatino Linotype" w:cs="Arial"/>
          <w:bCs/>
          <w:sz w:val="24"/>
          <w:lang w:val="es-ES_tradnl" w:eastAsia="es-ES"/>
        </w:rPr>
        <w:t xml:space="preserve"> deseada</w:t>
      </w:r>
      <w:r w:rsidR="00765571" w:rsidRPr="004F6572">
        <w:rPr>
          <w:rFonts w:ascii="Palatino Linotype" w:eastAsia="MS Mincho" w:hAnsi="Palatino Linotype" w:cs="Arial"/>
          <w:bCs/>
          <w:sz w:val="24"/>
          <w:lang w:val="es-ES_tradnl" w:eastAsia="es-ES"/>
        </w:rPr>
        <w:t xml:space="preserve">, en este sentido, resulta aplicable el Criterio 3/19 del Instituto Nacional de Transparencia, Acceso a la Información Y Protección de Datos Personales, el cual refiere lo siguiente: </w:t>
      </w:r>
      <w:r w:rsidRPr="004F6572">
        <w:rPr>
          <w:rFonts w:ascii="Palatino Linotype" w:eastAsia="MS Mincho" w:hAnsi="Palatino Linotype" w:cs="Arial"/>
          <w:bCs/>
          <w:i/>
          <w:sz w:val="24"/>
          <w:lang w:val="es-ES_tradnl" w:eastAsia="es-ES"/>
        </w:rPr>
        <w:t>“</w:t>
      </w:r>
      <w:r w:rsidRPr="004F6572">
        <w:rPr>
          <w:rFonts w:ascii="Palatino Linotype" w:hAnsi="Palatino Linotype"/>
          <w:i/>
          <w:sz w:val="24"/>
        </w:rPr>
        <w:t xml:space="preserve">Periodo de búsqueda de la información. Cuando la persona solicitante no señale el periodo respecto del </w:t>
      </w:r>
      <w:r w:rsidRPr="004F6572">
        <w:rPr>
          <w:rFonts w:ascii="Palatino Linotype" w:hAnsi="Palatino Linotype"/>
          <w:i/>
          <w:sz w:val="24"/>
        </w:rPr>
        <w:lastRenderedPageBreak/>
        <w:t xml:space="preserve">cual requiere la información se considerará que el requerimiento </w:t>
      </w:r>
      <w:r w:rsidRPr="004F6572">
        <w:rPr>
          <w:rFonts w:ascii="Palatino Linotype" w:hAnsi="Palatino Linotype"/>
          <w:b/>
          <w:i/>
          <w:sz w:val="24"/>
        </w:rPr>
        <w:t xml:space="preserve">se refiere al año inmediato anterior, </w:t>
      </w:r>
      <w:r w:rsidRPr="004F6572">
        <w:rPr>
          <w:rFonts w:ascii="Palatino Linotype" w:hAnsi="Palatino Linotype"/>
          <w:i/>
          <w:sz w:val="24"/>
        </w:rPr>
        <w:t>contado a partir de la fecha de recepción de la solicitud.”</w:t>
      </w:r>
    </w:p>
    <w:p w14:paraId="25DD390C" w14:textId="77777777" w:rsidR="00FF2D21" w:rsidRPr="004F6572" w:rsidRDefault="00FF2D21" w:rsidP="00FF2D21">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1B3C65E2" w14:textId="123C7330" w:rsidR="00EB70AD" w:rsidRPr="004F6572" w:rsidRDefault="006D635D" w:rsidP="00694788">
      <w:pPr>
        <w:pStyle w:val="Prrafodelista"/>
        <w:numPr>
          <w:ilvl w:val="0"/>
          <w:numId w:val="1"/>
        </w:numPr>
        <w:spacing w:before="240" w:after="240" w:line="360" w:lineRule="auto"/>
        <w:ind w:left="0" w:right="48" w:firstLine="0"/>
        <w:jc w:val="both"/>
        <w:rPr>
          <w:rFonts w:ascii="Palatino Linotype" w:eastAsia="MS Gothic" w:hAnsi="Palatino Linotype"/>
          <w:b/>
          <w:sz w:val="24"/>
        </w:rPr>
      </w:pPr>
      <w:r w:rsidRPr="004F6572">
        <w:rPr>
          <w:rFonts w:ascii="Palatino Linotype" w:hAnsi="Palatino Linotype"/>
          <w:color w:val="000000" w:themeColor="text1"/>
          <w:sz w:val="24"/>
        </w:rPr>
        <w:t>En consecuencia</w:t>
      </w:r>
      <w:r w:rsidR="00FF2D21" w:rsidRPr="004F6572">
        <w:rPr>
          <w:rFonts w:ascii="Palatino Linotype" w:hAnsi="Palatino Linotype"/>
          <w:color w:val="000000" w:themeColor="text1"/>
          <w:sz w:val="24"/>
        </w:rPr>
        <w:t xml:space="preserve">, analizadas las constancias que forman el expediente electrónico, </w:t>
      </w:r>
      <w:r w:rsidR="00694788" w:rsidRPr="004F6572">
        <w:rPr>
          <w:rFonts w:ascii="Palatino Linotype" w:eastAsia="MS Mincho" w:hAnsi="Palatino Linotype" w:cstheme="majorBidi"/>
          <w:sz w:val="24"/>
          <w:lang w:val="es-ES"/>
        </w:rPr>
        <w:t>este Órgano Garante</w:t>
      </w:r>
      <w:r w:rsidR="00FF2D21" w:rsidRPr="004F6572">
        <w:rPr>
          <w:rFonts w:ascii="Palatino Linotype" w:eastAsia="MS Mincho" w:hAnsi="Palatino Linotype" w:cstheme="majorBidi"/>
          <w:bCs/>
          <w:sz w:val="24"/>
          <w:lang w:val="es-ES"/>
        </w:rPr>
        <w:t xml:space="preserve"> </w:t>
      </w:r>
      <w:r w:rsidR="00694788" w:rsidRPr="004F6572">
        <w:rPr>
          <w:rFonts w:ascii="Palatino Linotype" w:eastAsia="MS Mincho" w:hAnsi="Palatino Linotype" w:cstheme="majorBidi"/>
          <w:bCs/>
          <w:sz w:val="24"/>
          <w:lang w:val="es-ES"/>
        </w:rPr>
        <w:t>determina</w:t>
      </w:r>
      <w:r w:rsidR="00FF2D21" w:rsidRPr="004F6572">
        <w:rPr>
          <w:rFonts w:ascii="Palatino Linotype" w:eastAsia="MS Mincho" w:hAnsi="Palatino Linotype" w:cstheme="majorBidi"/>
          <w:bCs/>
          <w:sz w:val="24"/>
          <w:lang w:val="es-ES"/>
        </w:rPr>
        <w:t xml:space="preserve"> que la información remitida en respuesta es incompleta</w:t>
      </w:r>
      <w:r w:rsidR="00FF2D21" w:rsidRPr="004F6572">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FF2D21" w:rsidRPr="004F6572">
        <w:rPr>
          <w:rFonts w:ascii="Palatino Linotype" w:eastAsia="MS Mincho" w:hAnsi="Palatino Linotype" w:cstheme="majorBidi"/>
          <w:b/>
          <w:sz w:val="24"/>
          <w:lang w:val="es-ES"/>
        </w:rPr>
        <w:t>MODIFICA</w:t>
      </w:r>
      <w:r w:rsidR="00FF2D21" w:rsidRPr="004F6572">
        <w:rPr>
          <w:rFonts w:ascii="Palatino Linotype" w:eastAsia="MS Mincho" w:hAnsi="Palatino Linotype" w:cstheme="majorBidi"/>
          <w:sz w:val="24"/>
          <w:lang w:val="es-ES"/>
        </w:rPr>
        <w:t xml:space="preserve"> la respuesta del </w:t>
      </w:r>
      <w:r w:rsidR="00FF2D21" w:rsidRPr="004F6572">
        <w:rPr>
          <w:rFonts w:ascii="Palatino Linotype" w:eastAsia="MS Mincho" w:hAnsi="Palatino Linotype" w:cstheme="majorBidi"/>
          <w:b/>
          <w:sz w:val="24"/>
          <w:lang w:val="es-ES"/>
        </w:rPr>
        <w:t>SUJETO OBLIGADO</w:t>
      </w:r>
      <w:r w:rsidR="00FF2D21" w:rsidRPr="004F6572">
        <w:rPr>
          <w:rFonts w:ascii="Palatino Linotype" w:eastAsia="MS Mincho" w:hAnsi="Palatino Linotype" w:cstheme="majorBidi"/>
          <w:sz w:val="24"/>
          <w:lang w:val="es-ES"/>
        </w:rPr>
        <w:t xml:space="preserve"> y se ordena la entrega, </w:t>
      </w:r>
      <w:r w:rsidR="00694788" w:rsidRPr="004F6572">
        <w:rPr>
          <w:rFonts w:ascii="Palatino Linotype" w:eastAsia="MS Mincho" w:hAnsi="Palatino Linotype" w:cstheme="majorBidi"/>
          <w:b/>
          <w:sz w:val="24"/>
          <w:lang w:val="es-ES"/>
        </w:rPr>
        <w:t>de ser procedente en versión pública</w:t>
      </w:r>
      <w:r w:rsidR="00FF2D21" w:rsidRPr="004F6572">
        <w:rPr>
          <w:rFonts w:ascii="Palatino Linotype" w:eastAsia="MS Mincho" w:hAnsi="Palatino Linotype" w:cstheme="majorBidi"/>
          <w:b/>
          <w:sz w:val="24"/>
          <w:lang w:val="es-ES"/>
        </w:rPr>
        <w:t xml:space="preserve">, </w:t>
      </w:r>
      <w:r w:rsidR="00694788" w:rsidRPr="004F6572">
        <w:rPr>
          <w:rFonts w:ascii="Palatino Linotype" w:eastAsia="MS Mincho" w:hAnsi="Palatino Linotype" w:cstheme="majorBidi"/>
          <w:b/>
          <w:sz w:val="24"/>
          <w:lang w:val="es-ES"/>
        </w:rPr>
        <w:t>las bitácoras de combustible del treinta y uno de agosto de dos mil veintiuno al treinta y uno de agosto de dos mil veintidós.</w:t>
      </w:r>
    </w:p>
    <w:p w14:paraId="39F549A8" w14:textId="77777777" w:rsidR="005E70E1" w:rsidRPr="004F6572" w:rsidRDefault="005E70E1" w:rsidP="00EF4D12">
      <w:pPr>
        <w:pStyle w:val="Prrafodelista"/>
        <w:spacing w:before="240" w:after="240" w:line="360" w:lineRule="auto"/>
        <w:ind w:left="0" w:right="48"/>
        <w:jc w:val="both"/>
        <w:rPr>
          <w:rFonts w:ascii="Palatino Linotype" w:eastAsia="MS Gothic" w:hAnsi="Palatino Linotype"/>
          <w:sz w:val="24"/>
        </w:rPr>
      </w:pPr>
    </w:p>
    <w:p w14:paraId="2AE80C7F" w14:textId="77777777" w:rsidR="005E70E1" w:rsidRPr="004F6572" w:rsidRDefault="005E70E1" w:rsidP="005E70E1">
      <w:pPr>
        <w:pStyle w:val="Prrafodelista"/>
        <w:spacing w:before="240" w:after="240" w:line="360" w:lineRule="auto"/>
        <w:ind w:left="0" w:right="48"/>
        <w:jc w:val="both"/>
        <w:rPr>
          <w:rFonts w:ascii="Palatino Linotype" w:eastAsia="Calibri" w:hAnsi="Palatino Linotype"/>
          <w:b/>
          <w:sz w:val="24"/>
          <w:lang w:eastAsia="en-US"/>
        </w:rPr>
      </w:pPr>
      <w:r w:rsidRPr="004F6572">
        <w:rPr>
          <w:rFonts w:ascii="Palatino Linotype" w:eastAsia="MS Mincho" w:hAnsi="Palatino Linotype" w:cs="Arial"/>
          <w:b/>
          <w:bCs/>
          <w:sz w:val="24"/>
          <w:lang w:val="es-ES_tradnl" w:eastAsia="es-ES"/>
        </w:rPr>
        <w:t xml:space="preserve">QUINTO. </w:t>
      </w:r>
      <w:r w:rsidRPr="004F6572">
        <w:rPr>
          <w:rFonts w:ascii="Palatino Linotype" w:eastAsia="Calibri" w:hAnsi="Palatino Linotype"/>
          <w:b/>
          <w:sz w:val="24"/>
          <w:lang w:eastAsia="en-US"/>
        </w:rPr>
        <w:t>VERSIÓN PÚBLICA.</w:t>
      </w:r>
    </w:p>
    <w:p w14:paraId="58106D3E" w14:textId="35E097EC" w:rsidR="005E70E1" w:rsidRPr="004F6572" w:rsidRDefault="005E70E1" w:rsidP="005E70E1">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4F6572">
        <w:rPr>
          <w:rFonts w:ascii="Palatino Linotype" w:eastAsia="MS Gothic" w:hAnsi="Palatino Linotype"/>
          <w:b/>
          <w:color w:val="000000"/>
          <w:lang w:eastAsia="es-ES_tradnl"/>
        </w:rPr>
        <w:t>Nociones generales.</w:t>
      </w:r>
      <w:bookmarkEnd w:id="31"/>
      <w:bookmarkEnd w:id="32"/>
      <w:bookmarkEnd w:id="33"/>
      <w:bookmarkEnd w:id="34"/>
      <w:bookmarkEnd w:id="35"/>
      <w:r w:rsidRPr="004F6572">
        <w:rPr>
          <w:rFonts w:ascii="Palatino Linotype" w:eastAsia="MS Gothic" w:hAnsi="Palatino Linotype"/>
          <w:b/>
          <w:color w:val="000000"/>
          <w:lang w:eastAsia="es-ES_tradnl"/>
        </w:rPr>
        <w:t xml:space="preserve"> </w:t>
      </w:r>
    </w:p>
    <w:p w14:paraId="7D8F7361" w14:textId="42D4F2EA" w:rsidR="005E70E1" w:rsidRPr="004F6572" w:rsidRDefault="005E70E1" w:rsidP="005E70E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hAnsi="Palatino Linotype" w:cs="Arial"/>
          <w:sz w:val="24"/>
        </w:rPr>
        <w:t xml:space="preserve">Debe </w:t>
      </w:r>
      <w:r w:rsidRPr="004F6572">
        <w:rPr>
          <w:rFonts w:ascii="Palatino Linotype" w:eastAsia="MS Mincho" w:hAnsi="Palatino Linotype" w:cs="Arial"/>
          <w:color w:val="000000"/>
          <w:sz w:val="24"/>
        </w:rPr>
        <w:t>destacarse que, debido a la naturaleza de la información solicitada</w:t>
      </w:r>
      <w:r w:rsidRPr="004F6572">
        <w:rPr>
          <w:rFonts w:ascii="Palatino Linotype" w:eastAsia="MS Mincho" w:hAnsi="Palatino Linotype" w:cs="Arial"/>
          <w:b/>
          <w:color w:val="000000"/>
          <w:sz w:val="24"/>
        </w:rPr>
        <w:t xml:space="preserve">, </w:t>
      </w:r>
      <w:r w:rsidRPr="004F6572">
        <w:rPr>
          <w:rFonts w:ascii="Palatino Linotype" w:eastAsia="MS Mincho" w:hAnsi="Palatino Linotype" w:cs="Arial"/>
          <w:color w:val="000000"/>
          <w:sz w:val="24"/>
        </w:rPr>
        <w:t>pudiera</w:t>
      </w:r>
      <w:r w:rsidR="00694788" w:rsidRPr="004F6572">
        <w:rPr>
          <w:rFonts w:ascii="Palatino Linotype" w:eastAsia="MS Mincho" w:hAnsi="Palatino Linotype" w:cs="Arial"/>
          <w:color w:val="000000"/>
          <w:sz w:val="24"/>
        </w:rPr>
        <w:t>n</w:t>
      </w:r>
      <w:r w:rsidRPr="004F6572">
        <w:rPr>
          <w:rFonts w:ascii="Palatino Linotype" w:eastAsia="MS Mincho" w:hAnsi="Palatino Linotype" w:cs="Arial"/>
          <w:color w:val="000000"/>
          <w:sz w:val="24"/>
        </w:rPr>
        <w:t xml:space="preserve"> obrar datos personales susceptibles de protegerse, el </w:t>
      </w:r>
      <w:r w:rsidRPr="004F6572">
        <w:rPr>
          <w:rFonts w:ascii="Palatino Linotype" w:eastAsia="MS Mincho" w:hAnsi="Palatino Linotype" w:cs="Arial"/>
          <w:b/>
          <w:bCs/>
          <w:color w:val="000000"/>
          <w:sz w:val="24"/>
        </w:rPr>
        <w:t xml:space="preserve">SUJETO OBLIGADO </w:t>
      </w:r>
      <w:r w:rsidRPr="004F6572">
        <w:rPr>
          <w:rFonts w:ascii="Palatino Linotype" w:eastAsia="MS Mincho" w:hAnsi="Palatino Linotype" w:cs="Arial"/>
          <w:color w:val="000000"/>
          <w:sz w:val="24"/>
        </w:rPr>
        <w:t xml:space="preserve">deberá de hacer la adecuada versión pública, protegiendo los datos que no son susceptibles de ser proporcionados. </w:t>
      </w:r>
    </w:p>
    <w:p w14:paraId="034A48F4" w14:textId="77777777" w:rsidR="005E70E1" w:rsidRPr="004F6572" w:rsidRDefault="005E70E1" w:rsidP="005E70E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3DD5DBB" w14:textId="77777777" w:rsidR="005E70E1" w:rsidRPr="004F6572" w:rsidRDefault="005E70E1" w:rsidP="005E70E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4F6572">
        <w:rPr>
          <w:rFonts w:ascii="Palatino Linotype" w:eastAsia="MS Mincho" w:hAnsi="Palatino Linotype" w:cs="Arial"/>
          <w:color w:val="000000"/>
          <w:sz w:val="24"/>
        </w:rPr>
        <w:t xml:space="preserve">No pasa desapercibido para este Órgano Garante que los </w:t>
      </w:r>
      <w:r w:rsidRPr="004F6572">
        <w:rPr>
          <w:rFonts w:ascii="Palatino Linotype" w:eastAsia="MS Mincho" w:hAnsi="Palatino Linotype" w:cs="Arial"/>
          <w:bCs/>
          <w:color w:val="000000"/>
          <w:sz w:val="24"/>
        </w:rPr>
        <w:t>Sujetos Obligados</w:t>
      </w:r>
      <w:r w:rsidRPr="004F6572">
        <w:rPr>
          <w:rFonts w:ascii="Palatino Linotype" w:eastAsia="MS Mincho" w:hAnsi="Palatino Linotype" w:cs="Arial"/>
          <w:b/>
          <w:bCs/>
          <w:color w:val="000000"/>
          <w:sz w:val="24"/>
        </w:rPr>
        <w:t xml:space="preserve"> </w:t>
      </w:r>
      <w:r w:rsidRPr="004F6572">
        <w:rPr>
          <w:rFonts w:ascii="Palatino Linotype" w:eastAsia="MS Mincho" w:hAnsi="Palatino Linotype" w:cs="Arial"/>
          <w:color w:val="000000"/>
          <w:sz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w:t>
      </w:r>
      <w:r w:rsidRPr="004F6572">
        <w:rPr>
          <w:rFonts w:ascii="Palatino Linotype" w:eastAsia="MS Mincho" w:hAnsi="Palatino Linotype" w:cs="Arial"/>
          <w:color w:val="000000"/>
          <w:sz w:val="24"/>
        </w:rPr>
        <w:lastRenderedPageBreak/>
        <w:t>información, se deben seguir una serie de pasos y procedimientos, por lo que es menester reiterar los mismos:</w:t>
      </w:r>
    </w:p>
    <w:p w14:paraId="6E61A567" w14:textId="77777777" w:rsidR="005E70E1" w:rsidRPr="004F6572" w:rsidRDefault="005E70E1" w:rsidP="005E70E1">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5E70E1" w:rsidRPr="004F6572" w14:paraId="7357D8E8" w14:textId="77777777" w:rsidTr="005E7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313426D" w14:textId="77777777" w:rsidR="005E70E1" w:rsidRPr="004F6572" w:rsidRDefault="005E70E1" w:rsidP="005E70E1">
            <w:pPr>
              <w:rPr>
                <w:rFonts w:ascii="Palatino Linotype" w:eastAsia="Cambria" w:hAnsi="Palatino Linotype"/>
                <w:bCs w:val="0"/>
                <w:sz w:val="20"/>
              </w:rPr>
            </w:pPr>
            <w:r w:rsidRPr="004F6572">
              <w:rPr>
                <w:rFonts w:ascii="Palatino Linotype" w:eastAsia="Cambria" w:hAnsi="Palatino Linotype"/>
                <w:bCs w:val="0"/>
                <w:sz w:val="20"/>
              </w:rPr>
              <w:t>a) Requisitos previos.</w:t>
            </w:r>
          </w:p>
        </w:tc>
        <w:tc>
          <w:tcPr>
            <w:tcW w:w="6990" w:type="dxa"/>
            <w:hideMark/>
          </w:tcPr>
          <w:p w14:paraId="04E8198E" w14:textId="77777777" w:rsidR="005E70E1" w:rsidRPr="004F6572"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4F6572">
              <w:rPr>
                <w:rFonts w:ascii="Palatino Linotype" w:eastAsia="Cambria"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7291AC6" w14:textId="77777777" w:rsidR="005E70E1" w:rsidRPr="004F6572"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4F6572">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5EF514FD" w14:textId="77777777" w:rsidR="005E70E1" w:rsidRPr="004F6572"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4F6572">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7B331FCC" w14:textId="77777777" w:rsidR="005E70E1" w:rsidRPr="004F6572" w:rsidRDefault="005E70E1" w:rsidP="005E70E1">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4F6572">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4F6572">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4F6572">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5E70E1" w:rsidRPr="004F6572" w14:paraId="0FCCE327" w14:textId="77777777" w:rsidTr="005E7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C29299B" w14:textId="77777777" w:rsidR="005E70E1" w:rsidRPr="004F6572" w:rsidRDefault="005E70E1" w:rsidP="005E70E1">
            <w:pPr>
              <w:rPr>
                <w:rFonts w:ascii="Palatino Linotype" w:eastAsia="Cambria" w:hAnsi="Palatino Linotype"/>
                <w:bCs w:val="0"/>
                <w:sz w:val="20"/>
              </w:rPr>
            </w:pPr>
            <w:r w:rsidRPr="004F6572">
              <w:rPr>
                <w:rFonts w:ascii="Palatino Linotype" w:eastAsia="Cambria" w:hAnsi="Palatino Linotype"/>
                <w:bCs w:val="0"/>
                <w:sz w:val="20"/>
              </w:rPr>
              <w:t>b) Supuestos de clasificación.</w:t>
            </w:r>
          </w:p>
        </w:tc>
        <w:tc>
          <w:tcPr>
            <w:tcW w:w="6990" w:type="dxa"/>
            <w:hideMark/>
          </w:tcPr>
          <w:p w14:paraId="222DD363"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1339A8"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397C0D1" w14:textId="77777777" w:rsidR="005E70E1" w:rsidRPr="004F6572" w:rsidRDefault="005E70E1" w:rsidP="005E70E1">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4F6572">
              <w:rPr>
                <w:rFonts w:ascii="Palatino Linotype" w:eastAsia="Cambria" w:hAnsi="Palatino Linotype" w:cs="Arial"/>
                <w:color w:val="000000"/>
                <w:sz w:val="20"/>
              </w:rPr>
              <w:t xml:space="preserve">El </w:t>
            </w:r>
            <w:r w:rsidRPr="004F6572">
              <w:rPr>
                <w:rFonts w:ascii="Palatino Linotype" w:eastAsia="Cambria" w:hAnsi="Palatino Linotype" w:cs="Arial"/>
                <w:b/>
                <w:color w:val="000000"/>
                <w:sz w:val="20"/>
              </w:rPr>
              <w:t>Sujeto Obligado</w:t>
            </w:r>
            <w:r w:rsidRPr="004F6572">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E70E1" w:rsidRPr="004F6572" w14:paraId="787E1B37" w14:textId="77777777" w:rsidTr="005E70E1">
        <w:tc>
          <w:tcPr>
            <w:cnfStyle w:val="001000000000" w:firstRow="0" w:lastRow="0" w:firstColumn="1" w:lastColumn="0" w:oddVBand="0" w:evenVBand="0" w:oddHBand="0" w:evenHBand="0" w:firstRowFirstColumn="0" w:firstRowLastColumn="0" w:lastRowFirstColumn="0" w:lastRowLastColumn="0"/>
            <w:tcW w:w="1838" w:type="dxa"/>
            <w:hideMark/>
          </w:tcPr>
          <w:p w14:paraId="4232FEBF" w14:textId="77777777" w:rsidR="005E70E1" w:rsidRPr="004F6572" w:rsidRDefault="005E70E1" w:rsidP="005E70E1">
            <w:pPr>
              <w:rPr>
                <w:rFonts w:ascii="Palatino Linotype" w:eastAsia="Cambria" w:hAnsi="Palatino Linotype"/>
                <w:bCs w:val="0"/>
                <w:sz w:val="20"/>
              </w:rPr>
            </w:pPr>
            <w:r w:rsidRPr="004F6572">
              <w:rPr>
                <w:rFonts w:ascii="Palatino Linotype" w:eastAsia="Cambria" w:hAnsi="Palatino Linotype"/>
                <w:bCs w:val="0"/>
                <w:sz w:val="20"/>
              </w:rPr>
              <w:t>c) Formalidades para emitir el acuerdo de clasificación.</w:t>
            </w:r>
          </w:p>
        </w:tc>
        <w:tc>
          <w:tcPr>
            <w:tcW w:w="6990" w:type="dxa"/>
            <w:hideMark/>
          </w:tcPr>
          <w:p w14:paraId="3963CC57" w14:textId="77777777" w:rsidR="005E70E1" w:rsidRPr="004F6572"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4A2EF1C" w14:textId="77777777" w:rsidR="005E70E1" w:rsidRPr="004F6572"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Es necesario que </w:t>
            </w:r>
            <w:r w:rsidRPr="004F6572">
              <w:rPr>
                <w:rFonts w:ascii="Palatino Linotype" w:eastAsia="Cambria" w:hAnsi="Palatino Linotype" w:cs="Arial"/>
                <w:b/>
                <w:color w:val="000000"/>
                <w:sz w:val="20"/>
                <w:u w:val="single"/>
              </w:rPr>
              <w:t>el acto reúna con los requisitos elementales</w:t>
            </w:r>
            <w:r w:rsidRPr="004F6572">
              <w:rPr>
                <w:rFonts w:ascii="Palatino Linotype" w:eastAsia="Cambria" w:hAnsi="Palatino Linotype" w:cs="Arial"/>
                <w:color w:val="000000"/>
                <w:sz w:val="20"/>
              </w:rPr>
              <w:t>, entre ellos, que la autoridad que va a emitir el acto de autoridad sea la legalmente facultada para ello.</w:t>
            </w:r>
          </w:p>
          <w:p w14:paraId="39BBE648" w14:textId="77777777" w:rsidR="005E70E1" w:rsidRPr="004F6572" w:rsidRDefault="005E70E1" w:rsidP="005E70E1">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4F6572">
              <w:rPr>
                <w:rFonts w:ascii="Palatino Linotype" w:eastAsia="Cambria" w:hAnsi="Palatino Linotype" w:cs="Arial"/>
                <w:color w:val="000000"/>
                <w:sz w:val="20"/>
              </w:rPr>
              <w:t xml:space="preserve">La decisión de aprobar, modificar o revocar la clasificación deberá de asentarse en un documento que registre la determinación a la que se llegue después de un análisis minucioso a partir de lo propuesto por el Titular del I. </w:t>
            </w:r>
            <w:r w:rsidRPr="004F6572">
              <w:rPr>
                <w:rFonts w:ascii="Palatino Linotype" w:eastAsia="Cambria" w:hAnsi="Palatino Linotype" w:cs="Arial"/>
                <w:color w:val="000000"/>
                <w:sz w:val="20"/>
              </w:rPr>
              <w:lastRenderedPageBreak/>
              <w:t>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E70E1" w:rsidRPr="004F6572" w14:paraId="0758AA4E" w14:textId="77777777" w:rsidTr="005E7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8E6FCA0" w14:textId="77777777" w:rsidR="005E70E1" w:rsidRPr="004F6572" w:rsidRDefault="005E70E1" w:rsidP="005E70E1">
            <w:pPr>
              <w:rPr>
                <w:rFonts w:ascii="Palatino Linotype" w:eastAsia="Cambria" w:hAnsi="Palatino Linotype"/>
                <w:b w:val="0"/>
                <w:sz w:val="20"/>
              </w:rPr>
            </w:pPr>
          </w:p>
          <w:p w14:paraId="70765279" w14:textId="77777777" w:rsidR="005E70E1" w:rsidRPr="004F6572" w:rsidRDefault="005E70E1" w:rsidP="005E70E1">
            <w:pPr>
              <w:jc w:val="both"/>
              <w:rPr>
                <w:rFonts w:ascii="Palatino Linotype" w:eastAsia="Cambria" w:hAnsi="Palatino Linotype"/>
                <w:bCs w:val="0"/>
                <w:sz w:val="20"/>
              </w:rPr>
            </w:pPr>
            <w:r w:rsidRPr="004F6572">
              <w:rPr>
                <w:rFonts w:ascii="Palatino Linotype" w:eastAsia="Cambria" w:hAnsi="Palatino Linotype" w:cs="Arial"/>
                <w:bCs w:val="0"/>
                <w:color w:val="000000"/>
                <w:sz w:val="20"/>
              </w:rPr>
              <w:t xml:space="preserve">d) Requisitos de fondo del acuerdo de clasificación. </w:t>
            </w:r>
          </w:p>
        </w:tc>
        <w:tc>
          <w:tcPr>
            <w:tcW w:w="6990" w:type="dxa"/>
            <w:hideMark/>
          </w:tcPr>
          <w:p w14:paraId="0646EFAF"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F6572">
              <w:rPr>
                <w:rFonts w:ascii="Palatino Linotype" w:eastAsia="Cambria" w:hAnsi="Palatino Linotype" w:cs="Arial"/>
                <w:b/>
                <w:color w:val="000000"/>
                <w:sz w:val="20"/>
              </w:rPr>
              <w:t>Sujetos Obligados</w:t>
            </w:r>
            <w:r w:rsidRPr="004F6572">
              <w:rPr>
                <w:rFonts w:ascii="Palatino Linotype" w:eastAsia="Cambria" w:hAnsi="Palatino Linotype" w:cs="Arial"/>
                <w:color w:val="000000"/>
                <w:sz w:val="20"/>
              </w:rPr>
              <w:t xml:space="preserve">, por lo que deberán fundar y motivar debidamente la clasificación. </w:t>
            </w:r>
          </w:p>
          <w:p w14:paraId="6A65CCA3"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De lo anterior, se desprende que para una correcta </w:t>
            </w:r>
            <w:r w:rsidRPr="004F6572">
              <w:rPr>
                <w:rFonts w:ascii="Palatino Linotype" w:eastAsia="Cambria" w:hAnsi="Palatino Linotype" w:cs="Arial"/>
                <w:b/>
                <w:color w:val="000000"/>
                <w:sz w:val="20"/>
              </w:rPr>
              <w:t>clasificación total o parcial</w:t>
            </w:r>
            <w:r w:rsidRPr="004F6572">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E686EAB"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76A6DB6"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78FFC5EA" w14:textId="77777777" w:rsidR="005E70E1" w:rsidRPr="004F6572"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Ahora bien, </w:t>
            </w:r>
            <w:r w:rsidRPr="004F6572">
              <w:rPr>
                <w:rFonts w:ascii="Palatino Linotype" w:eastAsia="Cambria" w:hAnsi="Palatino Linotype" w:cs="Arial"/>
                <w:b/>
                <w:color w:val="000000"/>
                <w:sz w:val="20"/>
                <w:u w:val="single"/>
              </w:rPr>
              <w:t>para cada caso además de fundar y motivar</w:t>
            </w:r>
            <w:r w:rsidRPr="004F6572">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4F6572">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E70E1" w:rsidRPr="004F6572" w14:paraId="268FAE0B" w14:textId="77777777" w:rsidTr="005E70E1">
        <w:tc>
          <w:tcPr>
            <w:cnfStyle w:val="001000000000" w:firstRow="0" w:lastRow="0" w:firstColumn="1" w:lastColumn="0" w:oddVBand="0" w:evenVBand="0" w:oddHBand="0" w:evenHBand="0" w:firstRowFirstColumn="0" w:firstRowLastColumn="0" w:lastRowFirstColumn="0" w:lastRowLastColumn="0"/>
            <w:tcW w:w="1838" w:type="dxa"/>
          </w:tcPr>
          <w:p w14:paraId="6F8A3565" w14:textId="77777777" w:rsidR="005E70E1" w:rsidRPr="004F6572" w:rsidRDefault="005E70E1" w:rsidP="005E70E1">
            <w:pPr>
              <w:ind w:right="49"/>
              <w:jc w:val="both"/>
              <w:rPr>
                <w:rFonts w:ascii="Palatino Linotype" w:eastAsia="Cambria" w:hAnsi="Palatino Linotype" w:cs="Arial"/>
                <w:bCs w:val="0"/>
                <w:sz w:val="20"/>
              </w:rPr>
            </w:pPr>
            <w:r w:rsidRPr="004F6572">
              <w:rPr>
                <w:rFonts w:ascii="Palatino Linotype" w:eastAsia="MS Gothic" w:hAnsi="Palatino Linotype"/>
                <w:b w:val="0"/>
                <w:sz w:val="20"/>
              </w:rPr>
              <w:t>e</w:t>
            </w:r>
            <w:r w:rsidRPr="004F6572">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242F5356" w14:textId="77777777" w:rsidR="005E70E1" w:rsidRPr="004F6572"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69CD698" w14:textId="77777777" w:rsidR="005E70E1" w:rsidRPr="004F6572"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4F6572">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9E16295" w14:textId="77777777" w:rsidR="005E70E1" w:rsidRPr="004F6572" w:rsidRDefault="005E70E1" w:rsidP="005E70E1">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4F6572">
              <w:rPr>
                <w:rFonts w:ascii="Palatino Linotype" w:eastAsia="Cambria" w:hAnsi="Palatino Linotype" w:cs="Arial"/>
                <w:color w:val="000000"/>
                <w:sz w:val="20"/>
              </w:rPr>
              <w:t xml:space="preserve">Pero si la información que se pretende clasificar como confidencial no se encuentra en los supuestos de los artículos señalados y es posible, se deberá consultar al titular de los datos si permite o no el acceso. De no ser posible, </w:t>
            </w:r>
            <w:r w:rsidRPr="004F6572">
              <w:rPr>
                <w:rFonts w:ascii="Palatino Linotype" w:eastAsia="Cambria" w:hAnsi="Palatino Linotype" w:cs="Arial"/>
                <w:color w:val="000000"/>
                <w:sz w:val="20"/>
              </w:rPr>
              <w:lastRenderedPageBreak/>
              <w:t>la realización de la consulta, procede, fundando y motivando, la clasificación.</w:t>
            </w:r>
          </w:p>
        </w:tc>
      </w:tr>
    </w:tbl>
    <w:p w14:paraId="7114B382" w14:textId="77777777" w:rsidR="005E70E1" w:rsidRPr="004F6572" w:rsidRDefault="005E70E1" w:rsidP="005E70E1">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4B01170" w14:textId="50596881" w:rsidR="005E70E1" w:rsidRPr="004F6572" w:rsidRDefault="005E70E1" w:rsidP="005E70E1">
      <w:pPr>
        <w:pStyle w:val="Prrafodelista"/>
        <w:numPr>
          <w:ilvl w:val="0"/>
          <w:numId w:val="1"/>
        </w:numPr>
        <w:spacing w:line="360" w:lineRule="auto"/>
        <w:ind w:left="0" w:firstLine="0"/>
        <w:jc w:val="both"/>
        <w:rPr>
          <w:rFonts w:ascii="Palatino Linotype" w:hAnsi="Palatino Linotype" w:cs="Arial"/>
          <w:sz w:val="24"/>
        </w:rPr>
      </w:pPr>
      <w:r w:rsidRPr="004F6572">
        <w:rPr>
          <w:rFonts w:ascii="Palatino Linotype" w:hAnsi="Palatino Linotype" w:cs="Arial"/>
          <w:sz w:val="24"/>
        </w:rPr>
        <w:t xml:space="preserve">Si </w:t>
      </w:r>
      <w:r w:rsidRPr="004F6572">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E5C0963" w14:textId="17163929" w:rsidR="006F0638" w:rsidRPr="004F6572"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4F6572">
        <w:rPr>
          <w:rFonts w:ascii="Palatino Linotype" w:hAnsi="Palatino Linotype"/>
          <w:sz w:val="24"/>
          <w:lang w:val="es-ES"/>
        </w:rPr>
        <w:t xml:space="preserve">Por lo anteriormente expuesto y fundado, este </w:t>
      </w:r>
      <w:r w:rsidRPr="004F6572">
        <w:rPr>
          <w:rFonts w:ascii="Palatino Linotype" w:hAnsi="Palatino Linotype"/>
          <w:b/>
          <w:bCs/>
          <w:sz w:val="24"/>
          <w:lang w:val="es-ES"/>
        </w:rPr>
        <w:t>ÓRGANO GARANTE</w:t>
      </w:r>
      <w:r w:rsidRPr="004F6572">
        <w:rPr>
          <w:rFonts w:ascii="Palatino Linotype" w:hAnsi="Palatino Linotype"/>
          <w:sz w:val="24"/>
          <w:lang w:val="es-ES"/>
        </w:rPr>
        <w:t xml:space="preserve"> emite los siguientes:</w:t>
      </w:r>
    </w:p>
    <w:p w14:paraId="38A6F867" w14:textId="77777777" w:rsidR="00E93FC1" w:rsidRPr="004F6572"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4F6572">
        <w:rPr>
          <w:rFonts w:ascii="Palatino Linotype" w:eastAsiaTheme="majorEastAsia" w:hAnsi="Palatino Linotype" w:cstheme="majorBidi"/>
          <w:b/>
          <w:color w:val="000000" w:themeColor="text1"/>
          <w:lang w:eastAsia="en-US"/>
        </w:rPr>
        <w:t>R E S O L U T I V O S</w:t>
      </w:r>
      <w:bookmarkEnd w:id="36"/>
      <w:bookmarkEnd w:id="37"/>
    </w:p>
    <w:p w14:paraId="2C4521B1" w14:textId="145BF8C2" w:rsidR="005E70E1" w:rsidRPr="004F6572" w:rsidRDefault="005E70E1" w:rsidP="005E70E1">
      <w:pPr>
        <w:spacing w:before="240" w:after="240" w:line="360" w:lineRule="auto"/>
        <w:ind w:right="48"/>
        <w:jc w:val="both"/>
        <w:rPr>
          <w:rFonts w:ascii="Palatino Linotype" w:hAnsi="Palatino Linotype" w:cs="Arial"/>
          <w:bCs/>
          <w:lang w:eastAsia="es-ES"/>
        </w:rPr>
      </w:pPr>
      <w:r w:rsidRPr="004F6572">
        <w:rPr>
          <w:rFonts w:ascii="Palatino Linotype" w:hAnsi="Palatino Linotype" w:cs="Arial"/>
          <w:b/>
          <w:lang w:eastAsia="es-ES"/>
        </w:rPr>
        <w:t xml:space="preserve">PRIMERO. </w:t>
      </w:r>
      <w:r w:rsidRPr="004F6572">
        <w:rPr>
          <w:rFonts w:ascii="Palatino Linotype" w:hAnsi="Palatino Linotype" w:cs="Arial"/>
          <w:lang w:eastAsia="es-ES"/>
        </w:rPr>
        <w:t>Resultan fundadas las</w:t>
      </w:r>
      <w:r w:rsidRPr="004F6572">
        <w:rPr>
          <w:rFonts w:ascii="Palatino Linotype" w:hAnsi="Palatino Linotype" w:cs="Arial"/>
          <w:b/>
          <w:lang w:eastAsia="es-ES"/>
        </w:rPr>
        <w:t xml:space="preserve"> </w:t>
      </w:r>
      <w:r w:rsidRPr="004F6572">
        <w:rPr>
          <w:rFonts w:ascii="Palatino Linotype" w:hAnsi="Palatino Linotype" w:cs="Arial"/>
          <w:lang w:val="es-ES" w:eastAsia="es-ES"/>
        </w:rPr>
        <w:t xml:space="preserve">razones o motivos de inconformidad hechos valer </w:t>
      </w:r>
      <w:r w:rsidRPr="004F6572">
        <w:rPr>
          <w:rFonts w:ascii="Palatino Linotype" w:eastAsia="Calibri" w:hAnsi="Palatino Linotype" w:cs="Arial"/>
          <w:lang w:val="es-ES" w:eastAsia="es-ES"/>
        </w:rPr>
        <w:t xml:space="preserve">en el recurso de revisión </w:t>
      </w:r>
      <w:r w:rsidR="006D635D" w:rsidRPr="004F6572">
        <w:rPr>
          <w:rFonts w:ascii="Palatino Linotype" w:eastAsia="MS Mincho" w:hAnsi="Palatino Linotype" w:cstheme="majorBidi"/>
          <w:b/>
          <w:bCs/>
          <w:lang w:val="es-ES"/>
        </w:rPr>
        <w:t>15478</w:t>
      </w:r>
      <w:r w:rsidRPr="004F6572">
        <w:rPr>
          <w:rFonts w:ascii="Palatino Linotype" w:eastAsia="MS Mincho" w:hAnsi="Palatino Linotype" w:cstheme="majorBidi"/>
          <w:b/>
          <w:bCs/>
          <w:lang w:val="es-ES"/>
        </w:rPr>
        <w:t>/INFOEM/IP/RR/2022</w:t>
      </w:r>
      <w:r w:rsidRPr="004F6572">
        <w:rPr>
          <w:rFonts w:ascii="Palatino Linotype" w:hAnsi="Palatino Linotype" w:cs="Arial"/>
          <w:b/>
          <w:bCs/>
          <w:lang w:eastAsia="es-ES"/>
        </w:rPr>
        <w:t xml:space="preserve">, </w:t>
      </w:r>
      <w:r w:rsidRPr="004F6572">
        <w:rPr>
          <w:rFonts w:ascii="Palatino Linotype" w:hAnsi="Palatino Linotype" w:cs="Arial"/>
          <w:bCs/>
          <w:lang w:eastAsia="es-ES"/>
        </w:rPr>
        <w:t xml:space="preserve">en términos del </w:t>
      </w:r>
      <w:r w:rsidR="004F6572">
        <w:rPr>
          <w:rFonts w:ascii="Palatino Linotype" w:hAnsi="Palatino Linotype" w:cs="Arial"/>
          <w:b/>
          <w:bCs/>
          <w:lang w:eastAsia="es-ES"/>
        </w:rPr>
        <w:t>c</w:t>
      </w:r>
      <w:r w:rsidRPr="004F6572">
        <w:rPr>
          <w:rFonts w:ascii="Palatino Linotype" w:hAnsi="Palatino Linotype" w:cs="Arial"/>
          <w:b/>
          <w:bCs/>
          <w:lang w:eastAsia="es-ES"/>
        </w:rPr>
        <w:t>onsiderando</w:t>
      </w:r>
      <w:r w:rsidRPr="004F6572">
        <w:rPr>
          <w:rFonts w:ascii="Palatino Linotype" w:hAnsi="Palatino Linotype" w:cs="Arial"/>
          <w:bCs/>
          <w:lang w:eastAsia="es-ES"/>
        </w:rPr>
        <w:t xml:space="preserve"> </w:t>
      </w:r>
      <w:r w:rsidRPr="004F6572">
        <w:rPr>
          <w:rFonts w:ascii="Palatino Linotype" w:hAnsi="Palatino Linotype" w:cs="Arial"/>
          <w:b/>
          <w:bCs/>
          <w:lang w:eastAsia="es-ES"/>
        </w:rPr>
        <w:t xml:space="preserve">CUARTO </w:t>
      </w:r>
      <w:r w:rsidRPr="004F6572">
        <w:rPr>
          <w:rFonts w:ascii="Palatino Linotype" w:hAnsi="Palatino Linotype" w:cs="Arial"/>
          <w:bCs/>
          <w:lang w:eastAsia="es-ES"/>
        </w:rPr>
        <w:t>de la presente resolución.</w:t>
      </w:r>
    </w:p>
    <w:p w14:paraId="732A429D" w14:textId="77777777" w:rsidR="005E70E1" w:rsidRPr="004F6572" w:rsidRDefault="005E70E1" w:rsidP="005E70E1">
      <w:pPr>
        <w:spacing w:before="240" w:after="240" w:line="360" w:lineRule="auto"/>
        <w:ind w:right="48"/>
        <w:jc w:val="both"/>
        <w:rPr>
          <w:rFonts w:ascii="Palatino Linotype" w:hAnsi="Palatino Linotype" w:cs="Arial"/>
          <w:bCs/>
          <w:lang w:eastAsia="es-ES"/>
        </w:rPr>
      </w:pPr>
    </w:p>
    <w:p w14:paraId="4A9B8F51" w14:textId="4CD603D2" w:rsidR="006D635D" w:rsidRPr="004F6572" w:rsidRDefault="005E70E1" w:rsidP="005E70E1">
      <w:pPr>
        <w:spacing w:before="240" w:after="240" w:line="360" w:lineRule="auto"/>
        <w:ind w:right="48"/>
        <w:jc w:val="both"/>
        <w:rPr>
          <w:rFonts w:ascii="Palatino Linotype" w:hAnsi="Palatino Linotype" w:cs="Arial"/>
          <w:b/>
          <w:lang w:val="es-ES" w:eastAsia="es-ES"/>
        </w:rPr>
      </w:pPr>
      <w:bookmarkStart w:id="38" w:name="_Toc477891768"/>
      <w:bookmarkStart w:id="39" w:name="_Toc477891858"/>
      <w:bookmarkStart w:id="40" w:name="_Toc481576259"/>
      <w:bookmarkStart w:id="41" w:name="_Toc492590391"/>
      <w:bookmarkStart w:id="42" w:name="_Toc462653937"/>
      <w:bookmarkStart w:id="43" w:name="_Toc453696502"/>
      <w:bookmarkStart w:id="44" w:name="_Toc454301155"/>
      <w:r w:rsidRPr="004F6572">
        <w:rPr>
          <w:rFonts w:ascii="Palatino Linotype" w:hAnsi="Palatino Linotype"/>
          <w:b/>
          <w:lang w:eastAsia="es-ES"/>
        </w:rPr>
        <w:t>SEGUNDO.</w:t>
      </w:r>
      <w:r w:rsidRPr="004F6572">
        <w:rPr>
          <w:rFonts w:ascii="Palatino Linotype" w:eastAsia="DengXian Light" w:hAnsi="Palatino Linotype"/>
          <w:color w:val="2F5496"/>
          <w:lang w:eastAsia="es-ES"/>
        </w:rPr>
        <w:t xml:space="preserve"> </w:t>
      </w:r>
      <w:bookmarkEnd w:id="38"/>
      <w:bookmarkEnd w:id="39"/>
      <w:bookmarkEnd w:id="40"/>
      <w:bookmarkEnd w:id="41"/>
      <w:bookmarkEnd w:id="42"/>
      <w:bookmarkEnd w:id="43"/>
      <w:bookmarkEnd w:id="44"/>
      <w:r w:rsidRPr="004F6572">
        <w:rPr>
          <w:rFonts w:ascii="Palatino Linotype" w:eastAsia="Calibri" w:hAnsi="Palatino Linotype" w:cs="Arial"/>
          <w:lang w:val="es-ES" w:eastAsia="es-ES"/>
        </w:rPr>
        <w:t>Se</w:t>
      </w:r>
      <w:r w:rsidRPr="004F6572">
        <w:rPr>
          <w:rFonts w:ascii="Palatino Linotype" w:eastAsia="Calibri" w:hAnsi="Palatino Linotype" w:cs="Arial"/>
          <w:b/>
          <w:lang w:val="es-ES" w:eastAsia="es-ES"/>
        </w:rPr>
        <w:t xml:space="preserve"> </w:t>
      </w:r>
      <w:r w:rsidR="006D635D" w:rsidRPr="004F6572">
        <w:rPr>
          <w:rFonts w:ascii="Palatino Linotype" w:eastAsia="Calibri" w:hAnsi="Palatino Linotype" w:cs="Arial"/>
          <w:b/>
          <w:lang w:val="es-ES" w:eastAsia="es-ES"/>
        </w:rPr>
        <w:t>MODIFICA</w:t>
      </w:r>
      <w:r w:rsidRPr="004F6572">
        <w:rPr>
          <w:rFonts w:ascii="Palatino Linotype" w:eastAsia="Calibri" w:hAnsi="Palatino Linotype" w:cs="Arial"/>
          <w:b/>
          <w:lang w:val="es-ES" w:eastAsia="es-ES"/>
        </w:rPr>
        <w:t xml:space="preserve"> </w:t>
      </w:r>
      <w:r w:rsidRPr="004F6572">
        <w:rPr>
          <w:rFonts w:ascii="Palatino Linotype" w:eastAsia="Calibri" w:hAnsi="Palatino Linotype" w:cs="Arial"/>
          <w:lang w:val="es-ES" w:eastAsia="es-ES"/>
        </w:rPr>
        <w:t xml:space="preserve">la respuesta emitida por el </w:t>
      </w:r>
      <w:r w:rsidRPr="004F6572">
        <w:rPr>
          <w:rFonts w:ascii="Palatino Linotype" w:eastAsia="Calibri" w:hAnsi="Palatino Linotype" w:cs="Tahoma"/>
          <w:b/>
          <w:bCs/>
          <w:lang w:eastAsia="en-US"/>
        </w:rPr>
        <w:t xml:space="preserve">Ayuntamiento de </w:t>
      </w:r>
      <w:r w:rsidR="006D635D" w:rsidRPr="004F6572">
        <w:rPr>
          <w:rFonts w:ascii="Palatino Linotype" w:eastAsia="Calibri" w:hAnsi="Palatino Linotype" w:cs="Tahoma"/>
          <w:b/>
          <w:bCs/>
          <w:lang w:eastAsia="en-US"/>
        </w:rPr>
        <w:t>Texcoco</w:t>
      </w:r>
      <w:r w:rsidRPr="004F6572">
        <w:rPr>
          <w:rFonts w:ascii="Palatino Linotype" w:eastAsia="Calibri" w:hAnsi="Palatino Linotype" w:cs="Tahoma"/>
          <w:b/>
          <w:bCs/>
          <w:lang w:eastAsia="en-US"/>
        </w:rPr>
        <w:t xml:space="preserve"> </w:t>
      </w:r>
      <w:r w:rsidRPr="004F6572">
        <w:rPr>
          <w:rFonts w:ascii="Palatino Linotype" w:eastAsia="Calibri" w:hAnsi="Palatino Linotype" w:cs="Arial"/>
          <w:lang w:val="es-ES" w:eastAsia="es-ES"/>
        </w:rPr>
        <w:t>y se</w:t>
      </w:r>
      <w:r w:rsidRPr="004F6572">
        <w:rPr>
          <w:rFonts w:ascii="Palatino Linotype" w:eastAsia="Calibri" w:hAnsi="Palatino Linotype" w:cs="Arial"/>
          <w:b/>
          <w:lang w:val="es-ES" w:eastAsia="es-ES"/>
        </w:rPr>
        <w:t xml:space="preserve"> ORDENA </w:t>
      </w:r>
      <w:r w:rsidRPr="004F6572">
        <w:rPr>
          <w:rFonts w:ascii="Palatino Linotype" w:hAnsi="Palatino Linotype" w:cs="Arial"/>
          <w:lang w:val="es-ES" w:eastAsia="es-ES"/>
        </w:rPr>
        <w:t xml:space="preserve">entregar vía Sistema de Accesos a la Información Mexiquense </w:t>
      </w:r>
      <w:r w:rsidRPr="004F6572">
        <w:rPr>
          <w:rFonts w:ascii="Palatino Linotype" w:hAnsi="Palatino Linotype" w:cs="Arial"/>
          <w:b/>
          <w:bCs/>
          <w:lang w:val="es-ES" w:eastAsia="es-ES"/>
        </w:rPr>
        <w:t>(SAIMEX)</w:t>
      </w:r>
      <w:r w:rsidRPr="004F6572">
        <w:rPr>
          <w:rFonts w:ascii="Palatino Linotype" w:hAnsi="Palatino Linotype" w:cs="Arial"/>
          <w:lang w:val="es-ES" w:eastAsia="es-ES"/>
        </w:rPr>
        <w:t xml:space="preserve">, </w:t>
      </w:r>
      <w:r w:rsidR="006D635D" w:rsidRPr="004F6572">
        <w:rPr>
          <w:rFonts w:ascii="Palatino Linotype" w:hAnsi="Palatino Linotype" w:cs="Arial"/>
          <w:b/>
          <w:lang w:val="es-ES" w:eastAsia="es-ES"/>
        </w:rPr>
        <w:t>de ser procedente en versión pública.</w:t>
      </w:r>
    </w:p>
    <w:p w14:paraId="3B246586" w14:textId="44098E7C" w:rsidR="006D635D" w:rsidRPr="004F6572" w:rsidRDefault="006D635D" w:rsidP="006D635D">
      <w:pPr>
        <w:pStyle w:val="Prrafodelista"/>
        <w:numPr>
          <w:ilvl w:val="0"/>
          <w:numId w:val="40"/>
        </w:numPr>
        <w:tabs>
          <w:tab w:val="left" w:pos="567"/>
        </w:tabs>
        <w:spacing w:before="240" w:after="240" w:line="360" w:lineRule="auto"/>
        <w:ind w:left="567" w:right="539" w:hanging="141"/>
        <w:jc w:val="both"/>
        <w:rPr>
          <w:rFonts w:ascii="Palatino Linotype" w:hAnsi="Palatino Linotype"/>
          <w:b/>
          <w:bCs/>
          <w:color w:val="000000"/>
          <w:sz w:val="24"/>
        </w:rPr>
      </w:pPr>
      <w:r w:rsidRPr="004F6572">
        <w:rPr>
          <w:rFonts w:ascii="Palatino Linotype" w:hAnsi="Palatino Linotype"/>
          <w:b/>
          <w:color w:val="000000"/>
          <w:sz w:val="24"/>
        </w:rPr>
        <w:t xml:space="preserve">Las </w:t>
      </w:r>
      <w:r w:rsidRPr="004F6572">
        <w:rPr>
          <w:rFonts w:ascii="Palatino Linotype" w:eastAsia="MS Mincho" w:hAnsi="Palatino Linotype" w:cstheme="majorBidi"/>
          <w:b/>
          <w:sz w:val="24"/>
          <w:lang w:val="es-ES"/>
        </w:rPr>
        <w:t>bitácoras de combustible del treinta y uno de agosto de dos mil veintiuno al treinta y uno de agosto de dos mil veintidós.</w:t>
      </w:r>
    </w:p>
    <w:p w14:paraId="3DABFAEC" w14:textId="77777777" w:rsidR="006D635D" w:rsidRPr="004F6572" w:rsidRDefault="006D635D" w:rsidP="006D635D">
      <w:pPr>
        <w:tabs>
          <w:tab w:val="left" w:pos="567"/>
        </w:tabs>
        <w:spacing w:before="240" w:after="240"/>
        <w:ind w:left="426" w:right="539"/>
        <w:jc w:val="both"/>
        <w:rPr>
          <w:rFonts w:ascii="Palatino Linotype" w:hAnsi="Palatino Linotype"/>
          <w:b/>
          <w:bCs/>
          <w:color w:val="000000"/>
        </w:rPr>
      </w:pPr>
    </w:p>
    <w:p w14:paraId="6D0A1A73" w14:textId="44BD018E" w:rsidR="005E70E1" w:rsidRPr="004F6572" w:rsidRDefault="005E70E1" w:rsidP="005E70E1">
      <w:pPr>
        <w:tabs>
          <w:tab w:val="left" w:pos="8080"/>
        </w:tabs>
        <w:spacing w:before="240" w:after="240" w:line="360" w:lineRule="auto"/>
        <w:ind w:right="48"/>
        <w:contextualSpacing/>
        <w:jc w:val="both"/>
        <w:rPr>
          <w:rFonts w:ascii="Palatino Linotype" w:hAnsi="Palatino Linotype"/>
          <w:b/>
        </w:rPr>
      </w:pPr>
      <w:r w:rsidRPr="004F6572">
        <w:rPr>
          <w:rFonts w:ascii="Palatino Linotype" w:hAnsi="Palatino Linotype"/>
        </w:rPr>
        <w:t xml:space="preserve">Para efectos de lo anterior, se deberá emitir el Acuerdo del Comité de Transparencia en términos de los artículos 49, fracción VIII y 132, fracción II de la Ley de </w:t>
      </w:r>
      <w:r w:rsidRPr="004F6572">
        <w:rPr>
          <w:rFonts w:ascii="Palatino Linotype" w:hAnsi="Palatino Linotype"/>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6D635D" w:rsidRPr="004F6572">
        <w:rPr>
          <w:rFonts w:ascii="Palatino Linotype" w:hAnsi="Palatino Linotype"/>
        </w:rPr>
        <w:t>l</w:t>
      </w:r>
      <w:r w:rsidRPr="004F6572">
        <w:rPr>
          <w:rFonts w:ascii="Palatino Linotype" w:hAnsi="Palatino Linotype"/>
          <w:b/>
        </w:rPr>
        <w:t xml:space="preserve"> RECURRENTE.</w:t>
      </w:r>
    </w:p>
    <w:p w14:paraId="37A5AA16" w14:textId="77777777" w:rsidR="005E70E1" w:rsidRPr="004F6572" w:rsidRDefault="005E70E1" w:rsidP="005E70E1">
      <w:pPr>
        <w:tabs>
          <w:tab w:val="left" w:pos="8080"/>
        </w:tabs>
        <w:spacing w:before="240" w:after="240" w:line="360" w:lineRule="auto"/>
        <w:ind w:right="48"/>
        <w:contextualSpacing/>
        <w:jc w:val="both"/>
        <w:rPr>
          <w:rFonts w:ascii="Palatino Linotype" w:hAnsi="Palatino Linotype"/>
          <w:b/>
        </w:rPr>
      </w:pPr>
    </w:p>
    <w:p w14:paraId="697ACEA7" w14:textId="77777777" w:rsidR="005E70E1" w:rsidRPr="004F6572" w:rsidRDefault="005E70E1" w:rsidP="005E70E1">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4F6572">
        <w:rPr>
          <w:rFonts w:ascii="Palatino Linotype" w:eastAsia="Palatino Linotype" w:hAnsi="Palatino Linotype" w:cs="Palatino Linotype"/>
          <w:b/>
        </w:rPr>
        <w:t xml:space="preserve">TERCERO. </w:t>
      </w:r>
      <w:r w:rsidRPr="004F6572">
        <w:rPr>
          <w:rFonts w:ascii="Palatino Linotype" w:hAnsi="Palatino Linotype" w:cs="Arial"/>
          <w:b/>
          <w:color w:val="000000" w:themeColor="text1"/>
        </w:rPr>
        <w:t>Notifíquese</w:t>
      </w:r>
      <w:r w:rsidRPr="004F6572">
        <w:rPr>
          <w:rFonts w:ascii="Palatino Linotype" w:hAnsi="Palatino Linotype" w:cs="Arial"/>
          <w:b/>
          <w:bCs/>
          <w:color w:val="000000" w:themeColor="text1"/>
        </w:rPr>
        <w:t xml:space="preserve"> </w:t>
      </w:r>
      <w:r w:rsidRPr="004F6572">
        <w:rPr>
          <w:rFonts w:ascii="Palatino Linotype" w:hAnsi="Palatino Linotype" w:cs="AppleSystemUIFont"/>
        </w:rPr>
        <w:t xml:space="preserve">a presente resolución al Titular de la Unidad de Transparencia del </w:t>
      </w:r>
      <w:r w:rsidRPr="004F6572">
        <w:rPr>
          <w:rFonts w:ascii="Palatino Linotype" w:hAnsi="Palatino Linotype" w:cs="AppleSystemUIFont"/>
          <w:b/>
          <w:bCs/>
        </w:rPr>
        <w:t>SUJETO OBLIGADO</w:t>
      </w:r>
      <w:r w:rsidRPr="004F6572">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Pr="004F6572">
        <w:rPr>
          <w:rFonts w:ascii="Palatino Linotype" w:hAnsi="Palatino Linotype" w:cs="AppleSystemUIFont"/>
          <w:b/>
        </w:rPr>
        <w:t>dé cumplimiento a lo ordenado dentro del plazo de diez días hábiles</w:t>
      </w:r>
      <w:r w:rsidRPr="004F6572">
        <w:rPr>
          <w:rFonts w:ascii="Palatino Linotype" w:hAnsi="Palatino Linotype" w:cs="AppleSystemUIFont"/>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56D382" w14:textId="77777777" w:rsidR="005E70E1" w:rsidRPr="004F6572" w:rsidRDefault="005E70E1" w:rsidP="005E70E1">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48FCD8D9" w14:textId="2233C13B" w:rsidR="005E70E1" w:rsidRPr="004F6572" w:rsidRDefault="005E70E1" w:rsidP="005E70E1">
      <w:pPr>
        <w:shd w:val="clear" w:color="auto" w:fill="FFFFFF"/>
        <w:spacing w:before="240" w:after="240" w:line="360" w:lineRule="auto"/>
        <w:ind w:right="48"/>
        <w:jc w:val="both"/>
        <w:rPr>
          <w:rFonts w:ascii="Palatino Linotype" w:hAnsi="Palatino Linotype"/>
          <w:b/>
        </w:rPr>
      </w:pPr>
      <w:r w:rsidRPr="004F6572">
        <w:rPr>
          <w:rFonts w:ascii="Palatino Linotype" w:hAnsi="Palatino Linotype" w:cs="Arial"/>
          <w:b/>
        </w:rPr>
        <w:t xml:space="preserve">CUARTO. </w:t>
      </w:r>
      <w:r w:rsidR="006D635D" w:rsidRPr="004F6572">
        <w:rPr>
          <w:rFonts w:ascii="Palatino Linotype" w:hAnsi="Palatino Linotype"/>
          <w:b/>
          <w:bCs/>
          <w:lang w:val="es-ES"/>
        </w:rPr>
        <w:t xml:space="preserve">Notifíquese al </w:t>
      </w:r>
      <w:r w:rsidRPr="004F6572">
        <w:rPr>
          <w:rFonts w:ascii="Palatino Linotype" w:hAnsi="Palatino Linotype"/>
          <w:b/>
          <w:bCs/>
          <w:lang w:val="es-ES"/>
        </w:rPr>
        <w:t>RECURRENTE</w:t>
      </w:r>
      <w:r w:rsidRPr="004F6572">
        <w:rPr>
          <w:rFonts w:ascii="Palatino Linotype" w:hAnsi="Palatino Linotype"/>
        </w:rPr>
        <w:t xml:space="preserve"> la presente resolución vía </w:t>
      </w:r>
      <w:r w:rsidRPr="004F6572">
        <w:rPr>
          <w:rFonts w:ascii="Palatino Linotype" w:hAnsi="Palatino Linotype"/>
          <w:b/>
        </w:rPr>
        <w:t>SAIMEX.</w:t>
      </w:r>
    </w:p>
    <w:p w14:paraId="5AF79A9C" w14:textId="1F3D4ED1" w:rsidR="005E70E1" w:rsidRPr="004F6572" w:rsidRDefault="005E70E1" w:rsidP="005E70E1">
      <w:pPr>
        <w:spacing w:before="240" w:after="240" w:line="360" w:lineRule="auto"/>
        <w:ind w:right="48"/>
        <w:jc w:val="both"/>
        <w:rPr>
          <w:rFonts w:ascii="Palatino Linotype" w:eastAsia="MS Mincho" w:hAnsi="Palatino Linotype"/>
          <w:lang w:val="es-ES"/>
        </w:rPr>
      </w:pPr>
      <w:r w:rsidRPr="004F6572">
        <w:rPr>
          <w:rFonts w:ascii="Palatino Linotype" w:eastAsia="MS Mincho" w:hAnsi="Palatino Linotype"/>
          <w:b/>
        </w:rPr>
        <w:t>QUINTO.</w:t>
      </w:r>
      <w:r w:rsidRPr="004F6572">
        <w:rPr>
          <w:rFonts w:ascii="Palatino Linotype" w:eastAsia="MS Mincho" w:hAnsi="Palatino Linotype"/>
        </w:rPr>
        <w:t xml:space="preserve"> </w:t>
      </w:r>
      <w:r w:rsidR="006D635D" w:rsidRPr="004F6572">
        <w:rPr>
          <w:rFonts w:ascii="Palatino Linotype" w:eastAsia="MS Mincho" w:hAnsi="Palatino Linotype"/>
          <w:lang w:val="es-ES"/>
        </w:rPr>
        <w:t>Se hace del conocimiento al</w:t>
      </w:r>
      <w:r w:rsidRPr="004F6572">
        <w:rPr>
          <w:rFonts w:ascii="Palatino Linotype" w:eastAsia="MS Mincho" w:hAnsi="Palatino Linotype"/>
          <w:lang w:val="es-ES"/>
        </w:rPr>
        <w:t xml:space="preserve"> </w:t>
      </w:r>
      <w:r w:rsidRPr="004F6572">
        <w:rPr>
          <w:rFonts w:ascii="Palatino Linotype" w:hAnsi="Palatino Linotype"/>
          <w:b/>
        </w:rPr>
        <w:t>RECURRENTE</w:t>
      </w:r>
      <w:r w:rsidRPr="004F6572">
        <w:rPr>
          <w:rFonts w:ascii="Palatino Linotype" w:hAnsi="Palatino Linotype"/>
        </w:rPr>
        <w:t xml:space="preserve"> </w:t>
      </w:r>
      <w:r w:rsidRPr="004F6572">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4F6572">
        <w:rPr>
          <w:rFonts w:ascii="Palatino Linotype" w:eastAsia="MS Mincho" w:hAnsi="Palatino Linotype"/>
          <w:bCs/>
          <w:lang w:val="es-ES"/>
        </w:rPr>
        <w:t>vía juicio de amparo</w:t>
      </w:r>
      <w:r w:rsidRPr="004F6572">
        <w:rPr>
          <w:rFonts w:ascii="Palatino Linotype" w:eastAsia="MS Mincho" w:hAnsi="Palatino Linotype"/>
          <w:lang w:val="es-ES"/>
        </w:rPr>
        <w:t xml:space="preserve"> en los términos de las leyes aplicables.</w:t>
      </w:r>
    </w:p>
    <w:p w14:paraId="67F330A1" w14:textId="77777777" w:rsidR="005E70E1" w:rsidRPr="004F6572" w:rsidRDefault="005E70E1" w:rsidP="005E70E1">
      <w:pPr>
        <w:spacing w:before="240" w:after="240" w:line="360" w:lineRule="auto"/>
        <w:ind w:right="48"/>
        <w:jc w:val="both"/>
        <w:rPr>
          <w:rFonts w:ascii="Palatino Linotype" w:eastAsia="MS Mincho" w:hAnsi="Palatino Linotype"/>
          <w:lang w:val="es-ES"/>
        </w:rPr>
      </w:pPr>
    </w:p>
    <w:p w14:paraId="1A34E69E" w14:textId="779D8825" w:rsidR="00E93FC1" w:rsidRPr="004F6572" w:rsidRDefault="005E70E1" w:rsidP="005E70E1">
      <w:pPr>
        <w:spacing w:before="240" w:after="240" w:line="360" w:lineRule="auto"/>
        <w:ind w:right="48"/>
        <w:jc w:val="both"/>
        <w:rPr>
          <w:rFonts w:ascii="Palatino Linotype" w:eastAsia="Calibri" w:hAnsi="Palatino Linotype" w:cs="Arial"/>
          <w:bCs/>
        </w:rPr>
      </w:pPr>
      <w:r w:rsidRPr="004F6572">
        <w:rPr>
          <w:rFonts w:ascii="Palatino Linotype" w:hAnsi="Palatino Linotype"/>
          <w:b/>
          <w:color w:val="000000"/>
          <w:shd w:val="clear" w:color="auto" w:fill="FFFFFF"/>
        </w:rPr>
        <w:lastRenderedPageBreak/>
        <w:t xml:space="preserve">SEXTO. </w:t>
      </w:r>
      <w:r w:rsidRPr="004F6572">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37D3AC5" w14:textId="6AABA617" w:rsidR="004F6572" w:rsidRPr="004F6572" w:rsidRDefault="004F6572" w:rsidP="004F6572">
      <w:pPr>
        <w:spacing w:before="240" w:after="240" w:line="360" w:lineRule="auto"/>
        <w:ind w:firstLine="1"/>
        <w:jc w:val="both"/>
        <w:rPr>
          <w:rFonts w:ascii="Palatino Linotype" w:hAnsi="Palatino Linotype"/>
          <w:smallCaps/>
        </w:rPr>
      </w:pPr>
      <w:r w:rsidRPr="004F6572">
        <w:rPr>
          <w:rStyle w:val="Referenciasutil"/>
          <w:rFonts w:ascii="Palatino Linotype" w:eastAsiaTheme="majorEastAsia" w:hAnsi="Palatino Linotype"/>
          <w:color w:val="auto"/>
        </w:rPr>
        <w:t xml:space="preserve">ASÍ LO APROBÓ POR </w:t>
      </w:r>
      <w:r w:rsidR="00AA77DB">
        <w:rPr>
          <w:rStyle w:val="Referenciasutil"/>
          <w:rFonts w:ascii="Palatino Linotype" w:eastAsiaTheme="majorEastAsia" w:hAnsi="Palatino Linotype"/>
          <w:color w:val="auto"/>
        </w:rPr>
        <w:t>MAYORÍA</w:t>
      </w:r>
      <w:r w:rsidRPr="004F6572">
        <w:rPr>
          <w:rStyle w:val="Referenciasutil"/>
          <w:rFonts w:ascii="Palatino Linotype" w:eastAsiaTheme="majorEastAsia" w:hAnsi="Palatino Linotype"/>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AA77DB">
        <w:rPr>
          <w:rStyle w:val="Referenciasutil"/>
          <w:rFonts w:ascii="Palatino Linotype" w:eastAsiaTheme="majorEastAsia" w:hAnsi="Palatino Linotype"/>
          <w:color w:val="auto"/>
        </w:rPr>
        <w:t xml:space="preserve"> EMITIENDO VOTO PARTICULAR</w:t>
      </w:r>
      <w:r w:rsidRPr="004F6572">
        <w:rPr>
          <w:rStyle w:val="Referenciasutil"/>
          <w:rFonts w:ascii="Palatino Linotype" w:eastAsiaTheme="majorEastAsia" w:hAnsi="Palatino Linotype"/>
          <w:color w:val="auto"/>
        </w:rPr>
        <w:t>; LUI</w:t>
      </w:r>
      <w:r w:rsidR="004F2A5A">
        <w:rPr>
          <w:rStyle w:val="Referenciasutil"/>
          <w:rFonts w:ascii="Palatino Linotype" w:eastAsiaTheme="majorEastAsia" w:hAnsi="Palatino Linotype"/>
          <w:color w:val="auto"/>
        </w:rPr>
        <w:t xml:space="preserve">S GUSTAVO PARRA NORIEGA </w:t>
      </w:r>
      <w:r w:rsidRPr="004F6572">
        <w:rPr>
          <w:rStyle w:val="Referenciasutil"/>
          <w:rFonts w:ascii="Palatino Linotype" w:eastAsiaTheme="majorEastAsia" w:hAnsi="Palatino Linotype"/>
          <w:color w:val="auto"/>
        </w:rPr>
        <w:t>Y GUADALUPE RAMÍREZ PEÑA</w:t>
      </w:r>
      <w:r w:rsidR="00274A15">
        <w:rPr>
          <w:rStyle w:val="Referenciasutil"/>
          <w:rFonts w:ascii="Palatino Linotype" w:eastAsiaTheme="majorEastAsia" w:hAnsi="Palatino Linotype"/>
          <w:color w:val="auto"/>
        </w:rPr>
        <w:t xml:space="preserve"> EMITIENDO VOTO DISIDENTE</w:t>
      </w:r>
      <w:r w:rsidRPr="004F6572">
        <w:rPr>
          <w:rStyle w:val="Referenciasutil"/>
          <w:rFonts w:ascii="Palatino Linotype" w:eastAsiaTheme="majorEastAsia" w:hAnsi="Palatino Linotype"/>
          <w:color w:val="auto"/>
        </w:rPr>
        <w:t xml:space="preserve">; EN LA </w:t>
      </w:r>
      <w:r w:rsidR="004F2A5A">
        <w:rPr>
          <w:rStyle w:val="Referenciasutil"/>
          <w:rFonts w:ascii="Palatino Linotype" w:eastAsiaTheme="majorEastAsia" w:hAnsi="Palatino Linotype"/>
          <w:color w:val="auto"/>
        </w:rPr>
        <w:t>SEXTA</w:t>
      </w:r>
      <w:r w:rsidRPr="004F6572">
        <w:rPr>
          <w:rStyle w:val="Referenciasutil"/>
          <w:rFonts w:ascii="Palatino Linotype" w:eastAsiaTheme="majorEastAsia" w:hAnsi="Palatino Linotype"/>
          <w:color w:val="auto"/>
        </w:rPr>
        <w:t xml:space="preserve"> SESIÓN ORDINARIA CELEBRADA EL </w:t>
      </w:r>
      <w:r w:rsidR="004F2A5A">
        <w:rPr>
          <w:rStyle w:val="Referenciasutil"/>
          <w:rFonts w:ascii="Palatino Linotype" w:eastAsiaTheme="majorEastAsia" w:hAnsi="Palatino Linotype"/>
          <w:color w:val="auto"/>
        </w:rPr>
        <w:t>VEINTIUNO (2</w:t>
      </w:r>
      <w:r w:rsidRPr="004F6572">
        <w:rPr>
          <w:rStyle w:val="Referenciasutil"/>
          <w:rFonts w:ascii="Palatino Linotype" w:eastAsiaTheme="majorEastAsia" w:hAnsi="Palatino Linotype"/>
          <w:color w:val="auto"/>
        </w:rPr>
        <w:t xml:space="preserve">1) DE </w:t>
      </w:r>
      <w:r w:rsidR="004F2A5A">
        <w:rPr>
          <w:rStyle w:val="Referenciasutil"/>
          <w:rFonts w:ascii="Palatino Linotype" w:eastAsiaTheme="majorEastAsia" w:hAnsi="Palatino Linotype"/>
          <w:color w:val="auto"/>
        </w:rPr>
        <w:t>FEBRERO DE DOS MIL VEINTICUATRO</w:t>
      </w:r>
      <w:r w:rsidRPr="004F6572">
        <w:rPr>
          <w:rStyle w:val="Referenciasutil"/>
          <w:rFonts w:ascii="Palatino Linotype" w:eastAsiaTheme="majorEastAsia" w:hAnsi="Palatino Linotype"/>
          <w:color w:val="auto"/>
        </w:rPr>
        <w:t xml:space="preserve">, ANTE EL SECRETARIO TÉCNICO DEL PLENO ALEXIS TAPIA RAMÍREZ. </w:t>
      </w:r>
    </w:p>
    <w:p w14:paraId="5B4F4E3B" w14:textId="3591BFF0" w:rsidR="00E90281" w:rsidRPr="004F6572" w:rsidRDefault="00E90281" w:rsidP="00E90281">
      <w:pPr>
        <w:spacing w:line="360" w:lineRule="auto"/>
        <w:ind w:firstLine="1"/>
        <w:jc w:val="both"/>
        <w:rPr>
          <w:rFonts w:ascii="Palatino Linotype" w:hAnsi="Palatino Linotype"/>
        </w:rPr>
      </w:pPr>
    </w:p>
    <w:p w14:paraId="13F95FC9" w14:textId="77777777" w:rsidR="00E93FC1" w:rsidRPr="004F6572" w:rsidRDefault="00E93FC1" w:rsidP="00730D0C">
      <w:pPr>
        <w:spacing w:before="240" w:after="240" w:line="360" w:lineRule="auto"/>
        <w:rPr>
          <w:rFonts w:ascii="Palatino Linotype" w:hAnsi="Palatino Linotype"/>
        </w:rPr>
      </w:pPr>
    </w:p>
    <w:p w14:paraId="60DC5DA9" w14:textId="2A25FE02" w:rsidR="00E93FC1" w:rsidRPr="004F6572" w:rsidRDefault="00E93FC1" w:rsidP="00730D0C">
      <w:pPr>
        <w:spacing w:before="240" w:after="240" w:line="360" w:lineRule="auto"/>
        <w:rPr>
          <w:rFonts w:ascii="Palatino Linotype" w:hAnsi="Palatino Linotype"/>
        </w:rPr>
      </w:pPr>
    </w:p>
    <w:p w14:paraId="0E8E69CC" w14:textId="087D6D23" w:rsidR="008B49A6" w:rsidRPr="004F6572" w:rsidRDefault="008B49A6" w:rsidP="00730D0C">
      <w:pPr>
        <w:spacing w:before="240" w:after="240" w:line="360" w:lineRule="auto"/>
        <w:rPr>
          <w:rFonts w:ascii="Palatino Linotype" w:hAnsi="Palatino Linotype"/>
        </w:rPr>
      </w:pPr>
    </w:p>
    <w:p w14:paraId="4ED089C4" w14:textId="31420AEE" w:rsidR="008B49A6" w:rsidRPr="004F6572" w:rsidRDefault="008B49A6" w:rsidP="00730D0C">
      <w:pPr>
        <w:spacing w:before="240" w:after="240" w:line="360" w:lineRule="auto"/>
        <w:rPr>
          <w:rFonts w:ascii="Palatino Linotype" w:hAnsi="Palatino Linotype"/>
        </w:rPr>
      </w:pPr>
    </w:p>
    <w:p w14:paraId="4DAA276C" w14:textId="13B747B5" w:rsidR="008B49A6" w:rsidRPr="004F6572" w:rsidRDefault="008B49A6" w:rsidP="00730D0C">
      <w:pPr>
        <w:spacing w:before="240" w:after="240" w:line="360" w:lineRule="auto"/>
        <w:rPr>
          <w:rFonts w:ascii="Palatino Linotype" w:hAnsi="Palatino Linotype"/>
        </w:rPr>
      </w:pPr>
    </w:p>
    <w:p w14:paraId="7946ACB0" w14:textId="275BD626" w:rsidR="008B49A6" w:rsidRPr="004F6572" w:rsidRDefault="008B49A6" w:rsidP="00730D0C">
      <w:pPr>
        <w:spacing w:before="240" w:after="240" w:line="360" w:lineRule="auto"/>
        <w:rPr>
          <w:rFonts w:ascii="Palatino Linotype" w:hAnsi="Palatino Linotype"/>
        </w:rPr>
      </w:pPr>
    </w:p>
    <w:p w14:paraId="09332D2D" w14:textId="77777777" w:rsidR="008B49A6" w:rsidRPr="004F6572" w:rsidRDefault="008B49A6" w:rsidP="00730D0C">
      <w:pPr>
        <w:spacing w:before="240" w:after="240" w:line="360" w:lineRule="auto"/>
        <w:rPr>
          <w:rFonts w:ascii="Palatino Linotype" w:hAnsi="Palatino Linotype"/>
        </w:rPr>
      </w:pPr>
    </w:p>
    <w:p w14:paraId="01020CB7" w14:textId="77777777" w:rsidR="00E93FC1" w:rsidRPr="004F6572" w:rsidRDefault="00E93FC1" w:rsidP="00730D0C">
      <w:pPr>
        <w:spacing w:before="240" w:after="240" w:line="360" w:lineRule="auto"/>
        <w:rPr>
          <w:rFonts w:ascii="Palatino Linotype" w:hAnsi="Palatino Linotype"/>
        </w:rPr>
      </w:pPr>
    </w:p>
    <w:p w14:paraId="46AE86AC" w14:textId="77777777" w:rsidR="00E93FC1" w:rsidRPr="004F6572" w:rsidRDefault="00E93FC1" w:rsidP="00730D0C">
      <w:pPr>
        <w:spacing w:before="240" w:after="240" w:line="360" w:lineRule="auto"/>
        <w:rPr>
          <w:rFonts w:ascii="Palatino Linotype" w:hAnsi="Palatino Linotype"/>
        </w:rPr>
      </w:pPr>
    </w:p>
    <w:sectPr w:rsidR="00E93FC1" w:rsidRPr="004F6572" w:rsidSect="00E93FC1">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C869" w14:textId="77777777" w:rsidR="009E2F6A" w:rsidRDefault="009E2F6A" w:rsidP="00E93FC1">
      <w:r>
        <w:separator/>
      </w:r>
    </w:p>
  </w:endnote>
  <w:endnote w:type="continuationSeparator" w:id="0">
    <w:p w14:paraId="449D209F" w14:textId="77777777" w:rsidR="009E2F6A" w:rsidRDefault="009E2F6A"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694788" w:rsidRDefault="00694788">
    <w:pPr>
      <w:pStyle w:val="Piedepgina"/>
      <w:jc w:val="right"/>
    </w:pPr>
    <w:r>
      <w:rPr>
        <w:lang w:val="es-ES"/>
      </w:rPr>
      <w:t xml:space="preserve">Página </w:t>
    </w:r>
    <w:r>
      <w:rPr>
        <w:b/>
        <w:bCs/>
      </w:rPr>
      <w:fldChar w:fldCharType="begin"/>
    </w:r>
    <w:r>
      <w:rPr>
        <w:b/>
        <w:bCs/>
      </w:rPr>
      <w:instrText>PAGE</w:instrText>
    </w:r>
    <w:r>
      <w:rPr>
        <w:b/>
        <w:bCs/>
      </w:rPr>
      <w:fldChar w:fldCharType="separate"/>
    </w:r>
    <w:r w:rsidR="004F2A5A">
      <w:rPr>
        <w:b/>
        <w:bCs/>
        <w:noProof/>
      </w:rPr>
      <w:t>31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F2A5A">
      <w:rPr>
        <w:b/>
        <w:bCs/>
        <w:noProof/>
      </w:rPr>
      <w:t>34</w:t>
    </w:r>
    <w:r>
      <w:rPr>
        <w:b/>
        <w:bCs/>
      </w:rPr>
      <w:fldChar w:fldCharType="end"/>
    </w:r>
  </w:p>
  <w:p w14:paraId="101ED849" w14:textId="77777777" w:rsidR="00694788" w:rsidRDefault="006947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694788" w:rsidRDefault="00694788">
    <w:pPr>
      <w:pStyle w:val="Piedepgina"/>
      <w:jc w:val="right"/>
    </w:pPr>
    <w:r>
      <w:rPr>
        <w:lang w:val="es-ES"/>
      </w:rPr>
      <w:t xml:space="preserve">Página </w:t>
    </w:r>
    <w:r>
      <w:rPr>
        <w:b/>
        <w:bCs/>
      </w:rPr>
      <w:fldChar w:fldCharType="begin"/>
    </w:r>
    <w:r>
      <w:rPr>
        <w:b/>
        <w:bCs/>
      </w:rPr>
      <w:instrText>PAGE</w:instrText>
    </w:r>
    <w:r>
      <w:rPr>
        <w:b/>
        <w:bCs/>
      </w:rPr>
      <w:fldChar w:fldCharType="separate"/>
    </w:r>
    <w:r w:rsidR="004F2A5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F2A5A">
      <w:rPr>
        <w:b/>
        <w:bCs/>
        <w:noProof/>
      </w:rPr>
      <w:t>34</w:t>
    </w:r>
    <w:r>
      <w:rPr>
        <w:b/>
        <w:bCs/>
      </w:rPr>
      <w:fldChar w:fldCharType="end"/>
    </w:r>
  </w:p>
  <w:p w14:paraId="52503304" w14:textId="77777777" w:rsidR="00694788" w:rsidRDefault="0069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C091" w14:textId="77777777" w:rsidR="009E2F6A" w:rsidRDefault="009E2F6A" w:rsidP="00E93FC1">
      <w:r>
        <w:separator/>
      </w:r>
    </w:p>
  </w:footnote>
  <w:footnote w:type="continuationSeparator" w:id="0">
    <w:p w14:paraId="568C197C" w14:textId="77777777" w:rsidR="009E2F6A" w:rsidRDefault="009E2F6A" w:rsidP="00E93FC1">
      <w:r>
        <w:continuationSeparator/>
      </w:r>
    </w:p>
  </w:footnote>
  <w:footnote w:id="1">
    <w:p w14:paraId="373EC222" w14:textId="77777777" w:rsidR="00694788" w:rsidRPr="00C7183E" w:rsidRDefault="00694788"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694788" w:rsidRDefault="00694788"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694788" w:rsidRDefault="00694788"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7831884C" w14:textId="77777777" w:rsidR="00694788" w:rsidRDefault="00694788" w:rsidP="001648DD">
      <w:pPr>
        <w:pStyle w:val="Textonotapie"/>
      </w:pPr>
      <w:r>
        <w:rPr>
          <w:rStyle w:val="Refdenotaalpie"/>
        </w:rPr>
        <w:footnoteRef/>
      </w:r>
      <w:r>
        <w:t xml:space="preserve"> Convención Americana sobre Derechos Humanos. Artículo 13.</w:t>
      </w:r>
    </w:p>
  </w:footnote>
  <w:footnote w:id="5">
    <w:p w14:paraId="1F46D2C8" w14:textId="77777777" w:rsidR="00694788" w:rsidRDefault="00694788" w:rsidP="001648DD">
      <w:pPr>
        <w:pStyle w:val="Textonotapie"/>
      </w:pPr>
      <w:r>
        <w:rPr>
          <w:rStyle w:val="Refdenotaalpie"/>
        </w:rPr>
        <w:footnoteRef/>
      </w:r>
      <w:r>
        <w:t xml:space="preserve"> Constitución Política de los Estados Unidos Mexicanos. Artículo sexto, sección A, fracción I.</w:t>
      </w:r>
    </w:p>
  </w:footnote>
  <w:footnote w:id="6">
    <w:p w14:paraId="7B111034" w14:textId="77777777" w:rsidR="00694788" w:rsidRDefault="00694788" w:rsidP="001648DD">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58A79B04" w14:textId="77777777" w:rsidR="00694788" w:rsidRDefault="00694788" w:rsidP="001648DD">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694788" w:rsidRDefault="00274A15">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694788" w:rsidRPr="005C106F" w14:paraId="3D9D5830" w14:textId="77777777" w:rsidTr="00E93FC1">
      <w:trPr>
        <w:trHeight w:val="1435"/>
      </w:trPr>
      <w:tc>
        <w:tcPr>
          <w:tcW w:w="2268" w:type="dxa"/>
          <w:shd w:val="clear" w:color="auto" w:fill="auto"/>
        </w:tcPr>
        <w:p w14:paraId="7C838A1D" w14:textId="77777777" w:rsidR="00694788" w:rsidRPr="005C106F" w:rsidRDefault="00694788" w:rsidP="00E93FC1">
          <w:pPr>
            <w:tabs>
              <w:tab w:val="right" w:pos="4273"/>
            </w:tabs>
            <w:rPr>
              <w:rFonts w:ascii="Garamond" w:eastAsia="Calibri" w:hAnsi="Garamond"/>
              <w:sz w:val="16"/>
              <w:szCs w:val="16"/>
              <w:lang w:eastAsia="en-US"/>
            </w:rPr>
          </w:pPr>
        </w:p>
      </w:tc>
      <w:tc>
        <w:tcPr>
          <w:tcW w:w="6946" w:type="dxa"/>
          <w:shd w:val="clear" w:color="auto" w:fill="auto"/>
        </w:tcPr>
        <w:tbl>
          <w:tblPr>
            <w:tblW w:w="5806" w:type="dxa"/>
            <w:tblInd w:w="1310" w:type="dxa"/>
            <w:tblLayout w:type="fixed"/>
            <w:tblLook w:val="0420" w:firstRow="1" w:lastRow="0" w:firstColumn="0" w:lastColumn="0" w:noHBand="0" w:noVBand="1"/>
          </w:tblPr>
          <w:tblGrid>
            <w:gridCol w:w="2551"/>
            <w:gridCol w:w="3255"/>
          </w:tblGrid>
          <w:tr w:rsidR="00694788" w14:paraId="21345384" w14:textId="77777777" w:rsidTr="004F6572">
            <w:trPr>
              <w:trHeight w:val="150"/>
            </w:trPr>
            <w:tc>
              <w:tcPr>
                <w:tcW w:w="2551" w:type="dxa"/>
                <w:shd w:val="clear" w:color="auto" w:fill="auto"/>
              </w:tcPr>
              <w:p w14:paraId="5628DF04" w14:textId="77777777" w:rsidR="00694788" w:rsidRPr="00020E73" w:rsidRDefault="00694788"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255" w:type="dxa"/>
                <w:shd w:val="clear" w:color="auto" w:fill="auto"/>
              </w:tcPr>
              <w:p w14:paraId="79007278" w14:textId="3A2A11C9" w:rsidR="00694788" w:rsidRPr="00020E73" w:rsidRDefault="00694788"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15478/INFOEM/IP/RR/2022</w:t>
                </w:r>
              </w:p>
            </w:tc>
          </w:tr>
          <w:tr w:rsidR="00694788" w14:paraId="2C689127" w14:textId="77777777" w:rsidTr="004F6572">
            <w:trPr>
              <w:trHeight w:val="295"/>
            </w:trPr>
            <w:tc>
              <w:tcPr>
                <w:tcW w:w="2551" w:type="dxa"/>
                <w:shd w:val="clear" w:color="auto" w:fill="auto"/>
              </w:tcPr>
              <w:p w14:paraId="6F74B469" w14:textId="77777777" w:rsidR="00694788" w:rsidRPr="00020E73" w:rsidRDefault="00694788"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255" w:type="dxa"/>
                <w:shd w:val="clear" w:color="auto" w:fill="auto"/>
              </w:tcPr>
              <w:p w14:paraId="6B3A0898" w14:textId="64FD9612" w:rsidR="00694788" w:rsidRPr="00020E73" w:rsidRDefault="00694788" w:rsidP="007C21CA">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Texcoco</w:t>
                </w:r>
              </w:p>
            </w:tc>
          </w:tr>
          <w:tr w:rsidR="00694788" w14:paraId="51586913" w14:textId="77777777" w:rsidTr="004F6572">
            <w:trPr>
              <w:trHeight w:val="295"/>
            </w:trPr>
            <w:tc>
              <w:tcPr>
                <w:tcW w:w="2551" w:type="dxa"/>
                <w:shd w:val="clear" w:color="auto" w:fill="auto"/>
              </w:tcPr>
              <w:p w14:paraId="4295483B" w14:textId="77777777" w:rsidR="00694788" w:rsidRPr="00020E73" w:rsidRDefault="00694788"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255" w:type="dxa"/>
                <w:shd w:val="clear" w:color="auto" w:fill="auto"/>
              </w:tcPr>
              <w:p w14:paraId="7400C8B6" w14:textId="77777777" w:rsidR="00694788" w:rsidRPr="00020E73" w:rsidRDefault="00694788"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694788" w:rsidRPr="00020E73" w:rsidRDefault="00694788"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694788" w:rsidRPr="005C106F" w:rsidRDefault="00694788" w:rsidP="00E93FC1">
          <w:pPr>
            <w:tabs>
              <w:tab w:val="right" w:pos="8838"/>
            </w:tabs>
            <w:ind w:left="-28"/>
            <w:jc w:val="both"/>
            <w:rPr>
              <w:rFonts w:ascii="Arial" w:eastAsia="Calibri" w:hAnsi="Arial" w:cs="Arial"/>
              <w:b/>
              <w:sz w:val="22"/>
              <w:szCs w:val="22"/>
              <w:lang w:eastAsia="en-US"/>
            </w:rPr>
          </w:pPr>
        </w:p>
      </w:tc>
    </w:tr>
  </w:tbl>
  <w:p w14:paraId="584D10B0" w14:textId="77777777" w:rsidR="00694788" w:rsidRPr="00443C6B" w:rsidRDefault="00274A15"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694788" w:rsidRPr="00330DA7" w14:paraId="02FF7FE9" w14:textId="77777777" w:rsidTr="00E93FC1">
      <w:trPr>
        <w:trHeight w:val="1435"/>
      </w:trPr>
      <w:tc>
        <w:tcPr>
          <w:tcW w:w="2268" w:type="dxa"/>
          <w:shd w:val="clear" w:color="auto" w:fill="auto"/>
        </w:tcPr>
        <w:p w14:paraId="0BD5C9DD" w14:textId="77777777" w:rsidR="00694788" w:rsidRPr="00330DA7" w:rsidRDefault="00694788" w:rsidP="00E93FC1">
          <w:pPr>
            <w:tabs>
              <w:tab w:val="right" w:pos="4273"/>
            </w:tabs>
            <w:rPr>
              <w:rFonts w:ascii="Garamond" w:eastAsia="Calibri" w:hAnsi="Garamond"/>
              <w:sz w:val="22"/>
              <w:szCs w:val="22"/>
              <w:lang w:eastAsia="en-US"/>
            </w:rPr>
          </w:pPr>
        </w:p>
      </w:tc>
      <w:tc>
        <w:tcPr>
          <w:tcW w:w="6804" w:type="dxa"/>
          <w:shd w:val="clear" w:color="auto" w:fill="auto"/>
        </w:tcPr>
        <w:tbl>
          <w:tblPr>
            <w:tblW w:w="5664" w:type="dxa"/>
            <w:tblInd w:w="1026" w:type="dxa"/>
            <w:tblLayout w:type="fixed"/>
            <w:tblLook w:val="0420" w:firstRow="1" w:lastRow="0" w:firstColumn="0" w:lastColumn="0" w:noHBand="0" w:noVBand="1"/>
          </w:tblPr>
          <w:tblGrid>
            <w:gridCol w:w="2444"/>
            <w:gridCol w:w="3220"/>
          </w:tblGrid>
          <w:tr w:rsidR="00694788" w:rsidRPr="00330DA7" w14:paraId="3D824142" w14:textId="77777777" w:rsidTr="004F6572">
            <w:trPr>
              <w:trHeight w:val="144"/>
            </w:trPr>
            <w:tc>
              <w:tcPr>
                <w:tcW w:w="2444" w:type="dxa"/>
                <w:shd w:val="clear" w:color="auto" w:fill="auto"/>
              </w:tcPr>
              <w:p w14:paraId="23ADCFB8" w14:textId="77777777" w:rsidR="00694788" w:rsidRPr="00020E73" w:rsidRDefault="00694788"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220" w:type="dxa"/>
                <w:shd w:val="clear" w:color="auto" w:fill="auto"/>
              </w:tcPr>
              <w:p w14:paraId="5E0694AB" w14:textId="733A0DC3" w:rsidR="00694788" w:rsidRPr="00020E73" w:rsidRDefault="00694788"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15478/INFOEM/IP/RR/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694788" w:rsidRPr="00330DA7" w14:paraId="75006A53" w14:textId="77777777" w:rsidTr="004F6572">
            <w:trPr>
              <w:trHeight w:val="144"/>
            </w:trPr>
            <w:tc>
              <w:tcPr>
                <w:tcW w:w="2444" w:type="dxa"/>
                <w:shd w:val="clear" w:color="auto" w:fill="auto"/>
              </w:tcPr>
              <w:p w14:paraId="490E5259" w14:textId="77777777" w:rsidR="00694788" w:rsidRPr="00020E73" w:rsidRDefault="00694788"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3220" w:type="dxa"/>
                <w:shd w:val="clear" w:color="auto" w:fill="auto"/>
              </w:tcPr>
              <w:p w14:paraId="457A0436" w14:textId="152EE682" w:rsidR="00694788" w:rsidRPr="00020E73" w:rsidRDefault="00694788" w:rsidP="00E93FC1">
                <w:pPr>
                  <w:tabs>
                    <w:tab w:val="left" w:pos="3122"/>
                    <w:tab w:val="right" w:pos="8838"/>
                  </w:tabs>
                  <w:ind w:left="-74" w:right="-105"/>
                  <w:jc w:val="both"/>
                  <w:rPr>
                    <w:rFonts w:ascii="Palatino Linotype" w:eastAsia="Calibri" w:hAnsi="Palatino Linotype" w:cs="Tahoma"/>
                    <w:sz w:val="22"/>
                    <w:szCs w:val="22"/>
                    <w:lang w:val="es-ES" w:eastAsia="en-US"/>
                  </w:rPr>
                </w:pPr>
              </w:p>
            </w:tc>
          </w:tr>
          <w:tr w:rsidR="00694788" w:rsidRPr="00330DA7" w14:paraId="6044DBEF" w14:textId="77777777" w:rsidTr="004F6572">
            <w:trPr>
              <w:trHeight w:val="283"/>
            </w:trPr>
            <w:tc>
              <w:tcPr>
                <w:tcW w:w="2444" w:type="dxa"/>
                <w:shd w:val="clear" w:color="auto" w:fill="auto"/>
              </w:tcPr>
              <w:p w14:paraId="2BFBE2C5" w14:textId="77777777" w:rsidR="00694788" w:rsidRPr="00020E73" w:rsidRDefault="00694788"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220" w:type="dxa"/>
                <w:shd w:val="clear" w:color="auto" w:fill="auto"/>
              </w:tcPr>
              <w:p w14:paraId="793779B4" w14:textId="4D9DF0A2" w:rsidR="00694788" w:rsidRPr="009E7B0A" w:rsidRDefault="00694788" w:rsidP="007C21CA">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Texcoco</w:t>
                </w:r>
              </w:p>
            </w:tc>
          </w:tr>
          <w:tr w:rsidR="00694788" w:rsidRPr="00330DA7" w14:paraId="67C16651" w14:textId="77777777" w:rsidTr="004F6572">
            <w:trPr>
              <w:trHeight w:val="283"/>
            </w:trPr>
            <w:tc>
              <w:tcPr>
                <w:tcW w:w="2444" w:type="dxa"/>
                <w:shd w:val="clear" w:color="auto" w:fill="auto"/>
              </w:tcPr>
              <w:p w14:paraId="4CB64F3E" w14:textId="77777777" w:rsidR="00694788" w:rsidRPr="00020E73" w:rsidRDefault="00694788"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220" w:type="dxa"/>
                <w:shd w:val="clear" w:color="auto" w:fill="auto"/>
              </w:tcPr>
              <w:p w14:paraId="090ADB30" w14:textId="77777777" w:rsidR="00694788" w:rsidRPr="00020E73" w:rsidRDefault="00694788"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694788" w:rsidRPr="00020E73" w:rsidRDefault="00694788"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694788" w:rsidRPr="00330DA7" w:rsidRDefault="00694788" w:rsidP="00E93FC1">
          <w:pPr>
            <w:tabs>
              <w:tab w:val="right" w:pos="8838"/>
            </w:tabs>
            <w:ind w:left="-28"/>
            <w:jc w:val="both"/>
            <w:rPr>
              <w:rFonts w:ascii="Arial" w:eastAsia="Calibri" w:hAnsi="Arial" w:cs="Arial"/>
              <w:b/>
              <w:sz w:val="22"/>
              <w:szCs w:val="22"/>
              <w:lang w:eastAsia="en-US"/>
            </w:rPr>
          </w:pPr>
        </w:p>
      </w:tc>
    </w:tr>
  </w:tbl>
  <w:p w14:paraId="1EDAC28C" w14:textId="77777777" w:rsidR="00694788" w:rsidRPr="00827FA0" w:rsidRDefault="00274A15"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2"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4435168">
    <w:abstractNumId w:val="32"/>
  </w:num>
  <w:num w:numId="2" w16cid:durableId="1668745940">
    <w:abstractNumId w:val="33"/>
  </w:num>
  <w:num w:numId="3" w16cid:durableId="404694366">
    <w:abstractNumId w:val="25"/>
  </w:num>
  <w:num w:numId="4" w16cid:durableId="161512159">
    <w:abstractNumId w:val="6"/>
  </w:num>
  <w:num w:numId="5" w16cid:durableId="547840630">
    <w:abstractNumId w:val="17"/>
  </w:num>
  <w:num w:numId="6" w16cid:durableId="1407924015">
    <w:abstractNumId w:val="24"/>
  </w:num>
  <w:num w:numId="7" w16cid:durableId="305471871">
    <w:abstractNumId w:val="21"/>
  </w:num>
  <w:num w:numId="8" w16cid:durableId="159781405">
    <w:abstractNumId w:val="11"/>
  </w:num>
  <w:num w:numId="9" w16cid:durableId="677774084">
    <w:abstractNumId w:val="10"/>
  </w:num>
  <w:num w:numId="10" w16cid:durableId="1917400243">
    <w:abstractNumId w:val="36"/>
  </w:num>
  <w:num w:numId="11" w16cid:durableId="1532911844">
    <w:abstractNumId w:val="43"/>
  </w:num>
  <w:num w:numId="12" w16cid:durableId="1306161915">
    <w:abstractNumId w:val="19"/>
  </w:num>
  <w:num w:numId="13" w16cid:durableId="808472525">
    <w:abstractNumId w:val="34"/>
  </w:num>
  <w:num w:numId="14" w16cid:durableId="1938977161">
    <w:abstractNumId w:val="16"/>
  </w:num>
  <w:num w:numId="15" w16cid:durableId="2004433019">
    <w:abstractNumId w:val="38"/>
  </w:num>
  <w:num w:numId="16" w16cid:durableId="2048917825">
    <w:abstractNumId w:val="29"/>
  </w:num>
  <w:num w:numId="17" w16cid:durableId="168302104">
    <w:abstractNumId w:val="15"/>
  </w:num>
  <w:num w:numId="18" w16cid:durableId="1448550535">
    <w:abstractNumId w:val="20"/>
  </w:num>
  <w:num w:numId="19" w16cid:durableId="1380980597">
    <w:abstractNumId w:val="26"/>
  </w:num>
  <w:num w:numId="20" w16cid:durableId="120852429">
    <w:abstractNumId w:val="28"/>
  </w:num>
  <w:num w:numId="21" w16cid:durableId="1018241343">
    <w:abstractNumId w:val="37"/>
  </w:num>
  <w:num w:numId="22" w16cid:durableId="1933010099">
    <w:abstractNumId w:val="8"/>
  </w:num>
  <w:num w:numId="23" w16cid:durableId="1959414438">
    <w:abstractNumId w:val="40"/>
  </w:num>
  <w:num w:numId="24" w16cid:durableId="2086023879">
    <w:abstractNumId w:val="30"/>
  </w:num>
  <w:num w:numId="25" w16cid:durableId="1270041081">
    <w:abstractNumId w:val="27"/>
  </w:num>
  <w:num w:numId="26" w16cid:durableId="1782919635">
    <w:abstractNumId w:val="35"/>
  </w:num>
  <w:num w:numId="27" w16cid:durableId="2004626010">
    <w:abstractNumId w:val="23"/>
  </w:num>
  <w:num w:numId="28" w16cid:durableId="1457676071">
    <w:abstractNumId w:val="12"/>
  </w:num>
  <w:num w:numId="29" w16cid:durableId="1024405339">
    <w:abstractNumId w:val="2"/>
  </w:num>
  <w:num w:numId="30" w16cid:durableId="458692918">
    <w:abstractNumId w:val="1"/>
  </w:num>
  <w:num w:numId="31" w16cid:durableId="1101024076">
    <w:abstractNumId w:val="4"/>
  </w:num>
  <w:num w:numId="32" w16cid:durableId="430469597">
    <w:abstractNumId w:val="18"/>
  </w:num>
  <w:num w:numId="33" w16cid:durableId="1529294869">
    <w:abstractNumId w:val="9"/>
  </w:num>
  <w:num w:numId="34" w16cid:durableId="535507690">
    <w:abstractNumId w:val="5"/>
  </w:num>
  <w:num w:numId="35" w16cid:durableId="568345292">
    <w:abstractNumId w:val="22"/>
  </w:num>
  <w:num w:numId="36" w16cid:durableId="1557206567">
    <w:abstractNumId w:val="39"/>
  </w:num>
  <w:num w:numId="37" w16cid:durableId="730927691">
    <w:abstractNumId w:val="7"/>
  </w:num>
  <w:num w:numId="38" w16cid:durableId="1982072043">
    <w:abstractNumId w:val="31"/>
  </w:num>
  <w:num w:numId="39" w16cid:durableId="2051147731">
    <w:abstractNumId w:val="3"/>
  </w:num>
  <w:num w:numId="40" w16cid:durableId="577715562">
    <w:abstractNumId w:val="42"/>
  </w:num>
  <w:num w:numId="41" w16cid:durableId="7415664">
    <w:abstractNumId w:val="13"/>
  </w:num>
  <w:num w:numId="42" w16cid:durableId="942804638">
    <w:abstractNumId w:val="41"/>
  </w:num>
  <w:num w:numId="43" w16cid:durableId="1301567830">
    <w:abstractNumId w:val="14"/>
  </w:num>
  <w:num w:numId="44" w16cid:durableId="107304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17A3A"/>
    <w:rsid w:val="0002650D"/>
    <w:rsid w:val="0003726A"/>
    <w:rsid w:val="0004169F"/>
    <w:rsid w:val="00047CFD"/>
    <w:rsid w:val="00050A7E"/>
    <w:rsid w:val="00052206"/>
    <w:rsid w:val="0005455E"/>
    <w:rsid w:val="00054E1B"/>
    <w:rsid w:val="00057193"/>
    <w:rsid w:val="000637E2"/>
    <w:rsid w:val="00071489"/>
    <w:rsid w:val="00073F20"/>
    <w:rsid w:val="00080A89"/>
    <w:rsid w:val="0008252C"/>
    <w:rsid w:val="00093EB1"/>
    <w:rsid w:val="000A4088"/>
    <w:rsid w:val="000A68FE"/>
    <w:rsid w:val="000A77D0"/>
    <w:rsid w:val="000B48C3"/>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1B44"/>
    <w:rsid w:val="001648DD"/>
    <w:rsid w:val="0016749F"/>
    <w:rsid w:val="00171A1F"/>
    <w:rsid w:val="00174C1C"/>
    <w:rsid w:val="001766CD"/>
    <w:rsid w:val="00183438"/>
    <w:rsid w:val="001846CB"/>
    <w:rsid w:val="0019424D"/>
    <w:rsid w:val="00196156"/>
    <w:rsid w:val="001A6191"/>
    <w:rsid w:val="001A6FE8"/>
    <w:rsid w:val="001A7BE8"/>
    <w:rsid w:val="001C45E4"/>
    <w:rsid w:val="001D1BE5"/>
    <w:rsid w:val="001D3551"/>
    <w:rsid w:val="001D497D"/>
    <w:rsid w:val="001D67DC"/>
    <w:rsid w:val="001F499E"/>
    <w:rsid w:val="001F4FD9"/>
    <w:rsid w:val="002032DD"/>
    <w:rsid w:val="002105D0"/>
    <w:rsid w:val="00212244"/>
    <w:rsid w:val="00214EBE"/>
    <w:rsid w:val="00225AFF"/>
    <w:rsid w:val="00236611"/>
    <w:rsid w:val="00242FE5"/>
    <w:rsid w:val="002442EA"/>
    <w:rsid w:val="0025591C"/>
    <w:rsid w:val="002569C0"/>
    <w:rsid w:val="00257BD7"/>
    <w:rsid w:val="0026064D"/>
    <w:rsid w:val="00264EC3"/>
    <w:rsid w:val="00266686"/>
    <w:rsid w:val="00274A15"/>
    <w:rsid w:val="00277C9B"/>
    <w:rsid w:val="00280FA3"/>
    <w:rsid w:val="00285561"/>
    <w:rsid w:val="002A40CA"/>
    <w:rsid w:val="002A433E"/>
    <w:rsid w:val="002B0FFD"/>
    <w:rsid w:val="002C596A"/>
    <w:rsid w:val="002D0C60"/>
    <w:rsid w:val="002D5507"/>
    <w:rsid w:val="002D793B"/>
    <w:rsid w:val="002E2F2E"/>
    <w:rsid w:val="002F0945"/>
    <w:rsid w:val="002F44D2"/>
    <w:rsid w:val="002F7D51"/>
    <w:rsid w:val="0030122B"/>
    <w:rsid w:val="00311503"/>
    <w:rsid w:val="00315443"/>
    <w:rsid w:val="00330DF2"/>
    <w:rsid w:val="00333D2A"/>
    <w:rsid w:val="00343CA0"/>
    <w:rsid w:val="00351095"/>
    <w:rsid w:val="00352ACD"/>
    <w:rsid w:val="00360EB7"/>
    <w:rsid w:val="00361B7A"/>
    <w:rsid w:val="003630BC"/>
    <w:rsid w:val="00382517"/>
    <w:rsid w:val="00385CDE"/>
    <w:rsid w:val="003A14CB"/>
    <w:rsid w:val="003A2355"/>
    <w:rsid w:val="003A25EC"/>
    <w:rsid w:val="003B2EE3"/>
    <w:rsid w:val="003B3930"/>
    <w:rsid w:val="003B3A2B"/>
    <w:rsid w:val="003C2CE3"/>
    <w:rsid w:val="003C3850"/>
    <w:rsid w:val="003C4F22"/>
    <w:rsid w:val="003D0510"/>
    <w:rsid w:val="003D0D6A"/>
    <w:rsid w:val="003D3274"/>
    <w:rsid w:val="003D473B"/>
    <w:rsid w:val="003D5085"/>
    <w:rsid w:val="003D572E"/>
    <w:rsid w:val="003F2E3B"/>
    <w:rsid w:val="003F312C"/>
    <w:rsid w:val="003F681A"/>
    <w:rsid w:val="003F6872"/>
    <w:rsid w:val="003F7BD4"/>
    <w:rsid w:val="00402467"/>
    <w:rsid w:val="004069CB"/>
    <w:rsid w:val="00412181"/>
    <w:rsid w:val="004127ED"/>
    <w:rsid w:val="00417DC5"/>
    <w:rsid w:val="00424043"/>
    <w:rsid w:val="00426749"/>
    <w:rsid w:val="004454D5"/>
    <w:rsid w:val="0045302C"/>
    <w:rsid w:val="00464CEB"/>
    <w:rsid w:val="00465B75"/>
    <w:rsid w:val="00465E0E"/>
    <w:rsid w:val="004733AF"/>
    <w:rsid w:val="0047361F"/>
    <w:rsid w:val="00477A75"/>
    <w:rsid w:val="00495062"/>
    <w:rsid w:val="00496DC3"/>
    <w:rsid w:val="004A2ECD"/>
    <w:rsid w:val="004A4A48"/>
    <w:rsid w:val="004A599B"/>
    <w:rsid w:val="004C7157"/>
    <w:rsid w:val="004C7C60"/>
    <w:rsid w:val="004D6B27"/>
    <w:rsid w:val="004F050E"/>
    <w:rsid w:val="004F2A5A"/>
    <w:rsid w:val="004F2B9D"/>
    <w:rsid w:val="004F334F"/>
    <w:rsid w:val="004F340A"/>
    <w:rsid w:val="004F64B9"/>
    <w:rsid w:val="004F6572"/>
    <w:rsid w:val="00534479"/>
    <w:rsid w:val="0055631C"/>
    <w:rsid w:val="00556ABA"/>
    <w:rsid w:val="00564644"/>
    <w:rsid w:val="00564720"/>
    <w:rsid w:val="00580A0F"/>
    <w:rsid w:val="00581AD5"/>
    <w:rsid w:val="005B21EF"/>
    <w:rsid w:val="005B4960"/>
    <w:rsid w:val="005C049D"/>
    <w:rsid w:val="005E26C5"/>
    <w:rsid w:val="005E614C"/>
    <w:rsid w:val="005E70E1"/>
    <w:rsid w:val="005F1134"/>
    <w:rsid w:val="005F2A25"/>
    <w:rsid w:val="005F48AF"/>
    <w:rsid w:val="00600060"/>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3F31"/>
    <w:rsid w:val="0066736C"/>
    <w:rsid w:val="0067200B"/>
    <w:rsid w:val="00672D87"/>
    <w:rsid w:val="00681B03"/>
    <w:rsid w:val="00686B08"/>
    <w:rsid w:val="00694788"/>
    <w:rsid w:val="00696E65"/>
    <w:rsid w:val="006A192D"/>
    <w:rsid w:val="006B79D4"/>
    <w:rsid w:val="006D45C9"/>
    <w:rsid w:val="006D635D"/>
    <w:rsid w:val="006E1937"/>
    <w:rsid w:val="006F0638"/>
    <w:rsid w:val="006F78B6"/>
    <w:rsid w:val="00707A05"/>
    <w:rsid w:val="00726ABE"/>
    <w:rsid w:val="00730D0C"/>
    <w:rsid w:val="00731106"/>
    <w:rsid w:val="00734B74"/>
    <w:rsid w:val="007353A8"/>
    <w:rsid w:val="0074360B"/>
    <w:rsid w:val="0075374F"/>
    <w:rsid w:val="00765571"/>
    <w:rsid w:val="0076643E"/>
    <w:rsid w:val="00767D1D"/>
    <w:rsid w:val="007711B6"/>
    <w:rsid w:val="007762EF"/>
    <w:rsid w:val="00783159"/>
    <w:rsid w:val="0078361B"/>
    <w:rsid w:val="00786AD1"/>
    <w:rsid w:val="007872B8"/>
    <w:rsid w:val="00787C2A"/>
    <w:rsid w:val="00791991"/>
    <w:rsid w:val="007A1CDB"/>
    <w:rsid w:val="007A3D32"/>
    <w:rsid w:val="007B0BCA"/>
    <w:rsid w:val="007B3EBB"/>
    <w:rsid w:val="007C21CA"/>
    <w:rsid w:val="007C37A0"/>
    <w:rsid w:val="007D537F"/>
    <w:rsid w:val="007D567D"/>
    <w:rsid w:val="007E0C10"/>
    <w:rsid w:val="007E0FFF"/>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61C66"/>
    <w:rsid w:val="00862ED7"/>
    <w:rsid w:val="008644FC"/>
    <w:rsid w:val="00866297"/>
    <w:rsid w:val="0087756D"/>
    <w:rsid w:val="008866EB"/>
    <w:rsid w:val="008922B1"/>
    <w:rsid w:val="00897584"/>
    <w:rsid w:val="008A1C98"/>
    <w:rsid w:val="008A5501"/>
    <w:rsid w:val="008A6846"/>
    <w:rsid w:val="008B49A6"/>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6153"/>
    <w:rsid w:val="009A66E4"/>
    <w:rsid w:val="009C09D4"/>
    <w:rsid w:val="009C0E8F"/>
    <w:rsid w:val="009C4F8B"/>
    <w:rsid w:val="009C53EB"/>
    <w:rsid w:val="009D14A2"/>
    <w:rsid w:val="009E2F6A"/>
    <w:rsid w:val="009E638C"/>
    <w:rsid w:val="009F0099"/>
    <w:rsid w:val="00A05C1C"/>
    <w:rsid w:val="00A16BDD"/>
    <w:rsid w:val="00A17D87"/>
    <w:rsid w:val="00A234A5"/>
    <w:rsid w:val="00A3271E"/>
    <w:rsid w:val="00A331FD"/>
    <w:rsid w:val="00A379F0"/>
    <w:rsid w:val="00A4435D"/>
    <w:rsid w:val="00A460B8"/>
    <w:rsid w:val="00A4775A"/>
    <w:rsid w:val="00A54073"/>
    <w:rsid w:val="00A567BA"/>
    <w:rsid w:val="00A659F4"/>
    <w:rsid w:val="00A7471C"/>
    <w:rsid w:val="00A76CD6"/>
    <w:rsid w:val="00A87430"/>
    <w:rsid w:val="00A945FC"/>
    <w:rsid w:val="00A95951"/>
    <w:rsid w:val="00AA1064"/>
    <w:rsid w:val="00AA77DB"/>
    <w:rsid w:val="00AC0561"/>
    <w:rsid w:val="00AC3086"/>
    <w:rsid w:val="00AC574B"/>
    <w:rsid w:val="00AE026F"/>
    <w:rsid w:val="00AE563E"/>
    <w:rsid w:val="00AE7FC3"/>
    <w:rsid w:val="00AF0429"/>
    <w:rsid w:val="00B375DC"/>
    <w:rsid w:val="00B44969"/>
    <w:rsid w:val="00B53BBD"/>
    <w:rsid w:val="00B73C19"/>
    <w:rsid w:val="00B81DCB"/>
    <w:rsid w:val="00B864DD"/>
    <w:rsid w:val="00B910C0"/>
    <w:rsid w:val="00BB2437"/>
    <w:rsid w:val="00BB32AA"/>
    <w:rsid w:val="00BC1008"/>
    <w:rsid w:val="00BC4D8E"/>
    <w:rsid w:val="00BC6690"/>
    <w:rsid w:val="00BD738A"/>
    <w:rsid w:val="00BE0AEC"/>
    <w:rsid w:val="00BE2309"/>
    <w:rsid w:val="00BF37C5"/>
    <w:rsid w:val="00BF49D7"/>
    <w:rsid w:val="00BF4D16"/>
    <w:rsid w:val="00C254C4"/>
    <w:rsid w:val="00C2564D"/>
    <w:rsid w:val="00C365B9"/>
    <w:rsid w:val="00C41761"/>
    <w:rsid w:val="00C51590"/>
    <w:rsid w:val="00C5684D"/>
    <w:rsid w:val="00C635EF"/>
    <w:rsid w:val="00C82D41"/>
    <w:rsid w:val="00C82FE5"/>
    <w:rsid w:val="00C8485D"/>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5D4C"/>
    <w:rsid w:val="00DA6D69"/>
    <w:rsid w:val="00DB7B2C"/>
    <w:rsid w:val="00DC63C8"/>
    <w:rsid w:val="00DC73DA"/>
    <w:rsid w:val="00DD2BC2"/>
    <w:rsid w:val="00DD7CEF"/>
    <w:rsid w:val="00DF5791"/>
    <w:rsid w:val="00E05643"/>
    <w:rsid w:val="00E142F5"/>
    <w:rsid w:val="00E22B88"/>
    <w:rsid w:val="00E3522C"/>
    <w:rsid w:val="00E400B2"/>
    <w:rsid w:val="00E420D7"/>
    <w:rsid w:val="00E42703"/>
    <w:rsid w:val="00E4479F"/>
    <w:rsid w:val="00E44E07"/>
    <w:rsid w:val="00E45420"/>
    <w:rsid w:val="00E454D1"/>
    <w:rsid w:val="00E4664A"/>
    <w:rsid w:val="00E50E5B"/>
    <w:rsid w:val="00E618B1"/>
    <w:rsid w:val="00E82F4B"/>
    <w:rsid w:val="00E83211"/>
    <w:rsid w:val="00E90281"/>
    <w:rsid w:val="00E919FF"/>
    <w:rsid w:val="00E93FC1"/>
    <w:rsid w:val="00E95B3E"/>
    <w:rsid w:val="00E970B8"/>
    <w:rsid w:val="00EA0C88"/>
    <w:rsid w:val="00EA4E15"/>
    <w:rsid w:val="00EA692A"/>
    <w:rsid w:val="00EB169E"/>
    <w:rsid w:val="00EB2E50"/>
    <w:rsid w:val="00EB70AD"/>
    <w:rsid w:val="00EC61FB"/>
    <w:rsid w:val="00EC6CAA"/>
    <w:rsid w:val="00ED44F5"/>
    <w:rsid w:val="00ED5AAE"/>
    <w:rsid w:val="00ED613E"/>
    <w:rsid w:val="00EE4D83"/>
    <w:rsid w:val="00EE743E"/>
    <w:rsid w:val="00EF4A66"/>
    <w:rsid w:val="00EF4D12"/>
    <w:rsid w:val="00F00C14"/>
    <w:rsid w:val="00F23885"/>
    <w:rsid w:val="00F26DE8"/>
    <w:rsid w:val="00F2724C"/>
    <w:rsid w:val="00F3013B"/>
    <w:rsid w:val="00F33AC0"/>
    <w:rsid w:val="00F33F8D"/>
    <w:rsid w:val="00F34AC5"/>
    <w:rsid w:val="00F365CD"/>
    <w:rsid w:val="00F476D7"/>
    <w:rsid w:val="00F61CD3"/>
    <w:rsid w:val="00F63E66"/>
    <w:rsid w:val="00F67C84"/>
    <w:rsid w:val="00F80211"/>
    <w:rsid w:val="00F8287E"/>
    <w:rsid w:val="00F83172"/>
    <w:rsid w:val="00F90D37"/>
    <w:rsid w:val="00F91816"/>
    <w:rsid w:val="00F9373C"/>
    <w:rsid w:val="00FA2E49"/>
    <w:rsid w:val="00FA6752"/>
    <w:rsid w:val="00FB7BDC"/>
    <w:rsid w:val="00FE7FF4"/>
    <w:rsid w:val="00FF0D68"/>
    <w:rsid w:val="00FF2D21"/>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nespaciadoCar">
    <w:name w:val="Sin espaciado Car"/>
    <w:aliases w:val="Francesa Car,INAI Car"/>
    <w:link w:val="Sinespaciado"/>
    <w:uiPriority w:val="1"/>
    <w:locked/>
    <w:rsid w:val="00EF4D12"/>
    <w:rPr>
      <w:lang w:val="es-MX"/>
    </w:rPr>
  </w:style>
  <w:style w:type="character" w:styleId="Referenciasutil">
    <w:name w:val="Subtle Reference"/>
    <w:basedOn w:val="Fuentedeprrafopredeter"/>
    <w:uiPriority w:val="31"/>
    <w:qFormat/>
    <w:rsid w:val="004F657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393160868">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56784124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92101.page"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625500.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625499.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59210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212F-F48E-4341-8FBA-24EFFC05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8242</Words>
  <Characters>46982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Pedro Sánchez</cp:lastModifiedBy>
  <cp:revision>6</cp:revision>
  <dcterms:created xsi:type="dcterms:W3CDTF">2024-02-15T19:20:00Z</dcterms:created>
  <dcterms:modified xsi:type="dcterms:W3CDTF">2024-02-22T04:21:00Z</dcterms:modified>
</cp:coreProperties>
</file>