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0F220" w14:textId="77777777" w:rsidR="00A1764E" w:rsidRPr="001A5F83" w:rsidRDefault="007F06C5" w:rsidP="001A5F83">
      <w:pPr>
        <w:keepNext/>
        <w:keepLines/>
        <w:pBdr>
          <w:top w:val="nil"/>
          <w:left w:val="nil"/>
          <w:bottom w:val="nil"/>
          <w:right w:val="nil"/>
          <w:between w:val="nil"/>
        </w:pBdr>
        <w:spacing w:line="240" w:lineRule="auto"/>
        <w:jc w:val="left"/>
        <w:rPr>
          <w:rFonts w:eastAsia="Palatino Linotype" w:cs="Palatino Linotype"/>
          <w:szCs w:val="22"/>
        </w:rPr>
      </w:pPr>
      <w:r w:rsidRPr="001A5F83">
        <w:rPr>
          <w:rFonts w:eastAsia="Palatino Linotype" w:cs="Palatino Linotype"/>
          <w:szCs w:val="22"/>
        </w:rPr>
        <w:t>Contenido</w:t>
      </w:r>
    </w:p>
    <w:p w14:paraId="7F558CD7" w14:textId="77777777" w:rsidR="00A1764E" w:rsidRPr="001A5F83" w:rsidRDefault="00A1764E" w:rsidP="001A5F83">
      <w:pPr>
        <w:spacing w:line="240" w:lineRule="auto"/>
      </w:pPr>
    </w:p>
    <w:sdt>
      <w:sdtPr>
        <w:id w:val="-1448154427"/>
        <w:docPartObj>
          <w:docPartGallery w:val="Table of Contents"/>
          <w:docPartUnique/>
        </w:docPartObj>
      </w:sdtPr>
      <w:sdtEndPr/>
      <w:sdtContent>
        <w:p w14:paraId="1008FE6F" w14:textId="77777777" w:rsidR="00A1764E" w:rsidRPr="001A5F83" w:rsidRDefault="007F06C5" w:rsidP="001A5F83">
          <w:pPr>
            <w:pBdr>
              <w:top w:val="nil"/>
              <w:left w:val="nil"/>
              <w:bottom w:val="nil"/>
              <w:right w:val="nil"/>
              <w:between w:val="nil"/>
            </w:pBdr>
            <w:tabs>
              <w:tab w:val="right" w:pos="9034"/>
            </w:tabs>
            <w:spacing w:after="100"/>
            <w:rPr>
              <w:rFonts w:ascii="Aptos" w:eastAsia="Aptos" w:hAnsi="Aptos" w:cs="Aptos"/>
              <w:szCs w:val="22"/>
            </w:rPr>
          </w:pPr>
          <w:r w:rsidRPr="001A5F83">
            <w:fldChar w:fldCharType="begin"/>
          </w:r>
          <w:r w:rsidRPr="001A5F83">
            <w:instrText xml:space="preserve"> TOC \h \u \z \t "Heading 1,1,Heading 2,2,Heading 3,3,"</w:instrText>
          </w:r>
          <w:r w:rsidRPr="001A5F83">
            <w:fldChar w:fldCharType="separate"/>
          </w:r>
          <w:hyperlink w:anchor="_heading=h.gjdgxs">
            <w:r w:rsidRPr="001A5F83">
              <w:rPr>
                <w:rFonts w:eastAsia="Palatino Linotype" w:cs="Palatino Linotype"/>
                <w:szCs w:val="22"/>
              </w:rPr>
              <w:t>ANTECEDENTES</w:t>
            </w:r>
            <w:r w:rsidRPr="001A5F83">
              <w:rPr>
                <w:rFonts w:eastAsia="Palatino Linotype" w:cs="Palatino Linotype"/>
                <w:szCs w:val="22"/>
              </w:rPr>
              <w:tab/>
              <w:t>1</w:t>
            </w:r>
          </w:hyperlink>
        </w:p>
        <w:p w14:paraId="44159236" w14:textId="77777777" w:rsidR="00A1764E" w:rsidRPr="001A5F83" w:rsidRDefault="00D45964" w:rsidP="001A5F83">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0j0zll">
            <w:r w:rsidR="007F06C5" w:rsidRPr="001A5F83">
              <w:rPr>
                <w:rFonts w:eastAsia="Palatino Linotype" w:cs="Palatino Linotype"/>
                <w:szCs w:val="22"/>
              </w:rPr>
              <w:t>DE LA SOLICITUD DE INFORMACIÓN</w:t>
            </w:r>
            <w:r w:rsidR="007F06C5" w:rsidRPr="001A5F83">
              <w:rPr>
                <w:rFonts w:eastAsia="Palatino Linotype" w:cs="Palatino Linotype"/>
                <w:szCs w:val="22"/>
              </w:rPr>
              <w:tab/>
              <w:t>1</w:t>
            </w:r>
          </w:hyperlink>
        </w:p>
        <w:p w14:paraId="0A96E9B4" w14:textId="77777777" w:rsidR="00A1764E" w:rsidRPr="001A5F83" w:rsidRDefault="00D45964" w:rsidP="001A5F8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fob9te">
            <w:r w:rsidR="007F06C5" w:rsidRPr="001A5F83">
              <w:rPr>
                <w:rFonts w:eastAsia="Palatino Linotype" w:cs="Palatino Linotype"/>
                <w:szCs w:val="22"/>
              </w:rPr>
              <w:t>a) Solicitud de información</w:t>
            </w:r>
            <w:r w:rsidR="007F06C5" w:rsidRPr="001A5F83">
              <w:rPr>
                <w:rFonts w:eastAsia="Palatino Linotype" w:cs="Palatino Linotype"/>
                <w:szCs w:val="22"/>
              </w:rPr>
              <w:tab/>
              <w:t>1</w:t>
            </w:r>
          </w:hyperlink>
        </w:p>
        <w:p w14:paraId="5A9047D3" w14:textId="77777777" w:rsidR="00A1764E" w:rsidRPr="001A5F83" w:rsidRDefault="00D45964" w:rsidP="001A5F8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znysh7">
            <w:r w:rsidR="007F06C5" w:rsidRPr="001A5F83">
              <w:rPr>
                <w:rFonts w:eastAsia="Palatino Linotype" w:cs="Palatino Linotype"/>
                <w:szCs w:val="22"/>
              </w:rPr>
              <w:t>b) Respuesta del Sujeto Obligado</w:t>
            </w:r>
            <w:r w:rsidR="007F06C5" w:rsidRPr="001A5F83">
              <w:rPr>
                <w:rFonts w:eastAsia="Palatino Linotype" w:cs="Palatino Linotype"/>
                <w:szCs w:val="22"/>
              </w:rPr>
              <w:tab/>
              <w:t>2</w:t>
            </w:r>
          </w:hyperlink>
        </w:p>
        <w:p w14:paraId="6C2054A6" w14:textId="77777777" w:rsidR="00A1764E" w:rsidRPr="001A5F83" w:rsidRDefault="00D45964" w:rsidP="001A5F83">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2et92p0">
            <w:r w:rsidR="007F06C5" w:rsidRPr="001A5F83">
              <w:rPr>
                <w:rFonts w:eastAsia="Palatino Linotype" w:cs="Palatino Linotype"/>
                <w:szCs w:val="22"/>
              </w:rPr>
              <w:t>DEL RECURSO DE REVISIÓN</w:t>
            </w:r>
            <w:r w:rsidR="007F06C5" w:rsidRPr="001A5F83">
              <w:rPr>
                <w:rFonts w:eastAsia="Palatino Linotype" w:cs="Palatino Linotype"/>
                <w:szCs w:val="22"/>
              </w:rPr>
              <w:tab/>
              <w:t>3</w:t>
            </w:r>
          </w:hyperlink>
        </w:p>
        <w:p w14:paraId="2F5C4CD5" w14:textId="77777777" w:rsidR="00A1764E" w:rsidRPr="001A5F83" w:rsidRDefault="00D45964" w:rsidP="001A5F8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tyjcwt">
            <w:r w:rsidR="007F06C5" w:rsidRPr="001A5F83">
              <w:rPr>
                <w:rFonts w:eastAsia="Palatino Linotype" w:cs="Palatino Linotype"/>
                <w:szCs w:val="22"/>
              </w:rPr>
              <w:t>a) Interposición del Recurso de Revisión</w:t>
            </w:r>
            <w:r w:rsidR="007F06C5" w:rsidRPr="001A5F83">
              <w:rPr>
                <w:rFonts w:eastAsia="Palatino Linotype" w:cs="Palatino Linotype"/>
                <w:szCs w:val="22"/>
              </w:rPr>
              <w:tab/>
              <w:t>3</w:t>
            </w:r>
          </w:hyperlink>
        </w:p>
        <w:p w14:paraId="02FC49D8" w14:textId="77777777" w:rsidR="00A1764E" w:rsidRPr="001A5F83" w:rsidRDefault="00D45964" w:rsidP="001A5F8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dy6vkm">
            <w:r w:rsidR="007F06C5" w:rsidRPr="001A5F83">
              <w:rPr>
                <w:rFonts w:eastAsia="Palatino Linotype" w:cs="Palatino Linotype"/>
                <w:szCs w:val="22"/>
              </w:rPr>
              <w:t>b) Turno del Recurso de Revisión</w:t>
            </w:r>
            <w:r w:rsidR="007F06C5" w:rsidRPr="001A5F83">
              <w:rPr>
                <w:rFonts w:eastAsia="Palatino Linotype" w:cs="Palatino Linotype"/>
                <w:szCs w:val="22"/>
              </w:rPr>
              <w:tab/>
              <w:t>4</w:t>
            </w:r>
          </w:hyperlink>
        </w:p>
        <w:p w14:paraId="23A99B5E" w14:textId="77777777" w:rsidR="00A1764E" w:rsidRPr="001A5F83" w:rsidRDefault="00D45964" w:rsidP="001A5F8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t3h5sf">
            <w:r w:rsidR="007F06C5" w:rsidRPr="001A5F83">
              <w:rPr>
                <w:rFonts w:eastAsia="Palatino Linotype" w:cs="Palatino Linotype"/>
                <w:szCs w:val="22"/>
              </w:rPr>
              <w:t>c) Admisión del Recurso de Revisión</w:t>
            </w:r>
            <w:r w:rsidR="007F06C5" w:rsidRPr="001A5F83">
              <w:rPr>
                <w:rFonts w:eastAsia="Palatino Linotype" w:cs="Palatino Linotype"/>
                <w:szCs w:val="22"/>
              </w:rPr>
              <w:tab/>
              <w:t>4</w:t>
            </w:r>
          </w:hyperlink>
        </w:p>
        <w:p w14:paraId="3CBA2BF5" w14:textId="77777777" w:rsidR="00A1764E" w:rsidRPr="001A5F83" w:rsidRDefault="00D45964" w:rsidP="001A5F8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d34og8">
            <w:r w:rsidR="007F06C5" w:rsidRPr="001A5F83">
              <w:rPr>
                <w:rFonts w:eastAsia="Palatino Linotype" w:cs="Palatino Linotype"/>
                <w:szCs w:val="22"/>
              </w:rPr>
              <w:t>d) Informe Justificado del Sujeto Obligado</w:t>
            </w:r>
            <w:r w:rsidR="007F06C5" w:rsidRPr="001A5F83">
              <w:rPr>
                <w:rFonts w:eastAsia="Palatino Linotype" w:cs="Palatino Linotype"/>
                <w:szCs w:val="22"/>
              </w:rPr>
              <w:tab/>
              <w:t>4</w:t>
            </w:r>
          </w:hyperlink>
        </w:p>
        <w:p w14:paraId="4D35396F" w14:textId="77777777" w:rsidR="00A1764E" w:rsidRPr="001A5F83" w:rsidRDefault="00D45964" w:rsidP="001A5F8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s8eyo1">
            <w:r w:rsidR="007F06C5" w:rsidRPr="001A5F83">
              <w:rPr>
                <w:rFonts w:eastAsia="Palatino Linotype" w:cs="Palatino Linotype"/>
                <w:szCs w:val="22"/>
              </w:rPr>
              <w:t>e) Manifestaciones de la Parte Recurrente</w:t>
            </w:r>
            <w:r w:rsidR="007F06C5" w:rsidRPr="001A5F83">
              <w:rPr>
                <w:rFonts w:eastAsia="Palatino Linotype" w:cs="Palatino Linotype"/>
                <w:szCs w:val="22"/>
              </w:rPr>
              <w:tab/>
              <w:t>6</w:t>
            </w:r>
          </w:hyperlink>
        </w:p>
        <w:p w14:paraId="0DE93297" w14:textId="77777777" w:rsidR="00A1764E" w:rsidRPr="001A5F83" w:rsidRDefault="00D45964" w:rsidP="001A5F8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7dp8vu">
            <w:r w:rsidR="007F06C5" w:rsidRPr="001A5F83">
              <w:rPr>
                <w:rFonts w:eastAsia="Palatino Linotype" w:cs="Palatino Linotype"/>
                <w:szCs w:val="22"/>
              </w:rPr>
              <w:t>f) Cierre de instrucción</w:t>
            </w:r>
            <w:r w:rsidR="007F06C5" w:rsidRPr="001A5F83">
              <w:rPr>
                <w:rFonts w:eastAsia="Palatino Linotype" w:cs="Palatino Linotype"/>
                <w:szCs w:val="22"/>
              </w:rPr>
              <w:tab/>
              <w:t>6</w:t>
            </w:r>
          </w:hyperlink>
        </w:p>
        <w:p w14:paraId="46468779" w14:textId="77777777" w:rsidR="00A1764E" w:rsidRPr="001A5F83" w:rsidRDefault="00D45964" w:rsidP="001A5F83">
          <w:pPr>
            <w:pBdr>
              <w:top w:val="nil"/>
              <w:left w:val="nil"/>
              <w:bottom w:val="nil"/>
              <w:right w:val="nil"/>
              <w:between w:val="nil"/>
            </w:pBdr>
            <w:tabs>
              <w:tab w:val="right" w:pos="9034"/>
            </w:tabs>
            <w:spacing w:after="100"/>
            <w:rPr>
              <w:rFonts w:ascii="Aptos" w:eastAsia="Aptos" w:hAnsi="Aptos" w:cs="Aptos"/>
              <w:szCs w:val="22"/>
            </w:rPr>
          </w:pPr>
          <w:hyperlink w:anchor="_heading=h.3rdcrjn">
            <w:r w:rsidR="007F06C5" w:rsidRPr="001A5F83">
              <w:rPr>
                <w:rFonts w:eastAsia="Palatino Linotype" w:cs="Palatino Linotype"/>
                <w:szCs w:val="22"/>
              </w:rPr>
              <w:t>CONSIDERANDOS</w:t>
            </w:r>
            <w:r w:rsidR="007F06C5" w:rsidRPr="001A5F83">
              <w:rPr>
                <w:rFonts w:eastAsia="Palatino Linotype" w:cs="Palatino Linotype"/>
                <w:szCs w:val="22"/>
              </w:rPr>
              <w:tab/>
              <w:t>7</w:t>
            </w:r>
          </w:hyperlink>
        </w:p>
        <w:p w14:paraId="1AC804C7" w14:textId="77777777" w:rsidR="00A1764E" w:rsidRPr="001A5F83" w:rsidRDefault="00D45964" w:rsidP="001A5F83">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26in1rg">
            <w:r w:rsidR="007F06C5" w:rsidRPr="001A5F83">
              <w:rPr>
                <w:rFonts w:eastAsia="Palatino Linotype" w:cs="Palatino Linotype"/>
                <w:szCs w:val="22"/>
              </w:rPr>
              <w:t>PRIMERO. Procedibilidad</w:t>
            </w:r>
            <w:r w:rsidR="007F06C5" w:rsidRPr="001A5F83">
              <w:rPr>
                <w:rFonts w:eastAsia="Palatino Linotype" w:cs="Palatino Linotype"/>
                <w:szCs w:val="22"/>
              </w:rPr>
              <w:tab/>
              <w:t>7</w:t>
            </w:r>
          </w:hyperlink>
        </w:p>
        <w:p w14:paraId="066BF547" w14:textId="77777777" w:rsidR="00A1764E" w:rsidRPr="001A5F83" w:rsidRDefault="00D45964" w:rsidP="001A5F8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lnxbz9">
            <w:r w:rsidR="007F06C5" w:rsidRPr="001A5F83">
              <w:rPr>
                <w:rFonts w:eastAsia="Palatino Linotype" w:cs="Palatino Linotype"/>
                <w:szCs w:val="22"/>
              </w:rPr>
              <w:t>a) Competencia del Instituto</w:t>
            </w:r>
            <w:r w:rsidR="007F06C5" w:rsidRPr="001A5F83">
              <w:rPr>
                <w:rFonts w:eastAsia="Palatino Linotype" w:cs="Palatino Linotype"/>
                <w:szCs w:val="22"/>
              </w:rPr>
              <w:tab/>
              <w:t>7</w:t>
            </w:r>
          </w:hyperlink>
        </w:p>
        <w:p w14:paraId="76AD53FF" w14:textId="77777777" w:rsidR="00A1764E" w:rsidRPr="001A5F83" w:rsidRDefault="00D45964" w:rsidP="001A5F8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5nkun2">
            <w:r w:rsidR="007F06C5" w:rsidRPr="001A5F83">
              <w:rPr>
                <w:rFonts w:eastAsia="Palatino Linotype" w:cs="Palatino Linotype"/>
                <w:szCs w:val="22"/>
              </w:rPr>
              <w:t>b) Legitimidad de la parte recurrente</w:t>
            </w:r>
            <w:r w:rsidR="007F06C5" w:rsidRPr="001A5F83">
              <w:rPr>
                <w:rFonts w:eastAsia="Palatino Linotype" w:cs="Palatino Linotype"/>
                <w:szCs w:val="22"/>
              </w:rPr>
              <w:tab/>
              <w:t>7</w:t>
            </w:r>
          </w:hyperlink>
        </w:p>
        <w:p w14:paraId="727C481B" w14:textId="77777777" w:rsidR="00A1764E" w:rsidRPr="001A5F83" w:rsidRDefault="00D45964" w:rsidP="001A5F8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ksv4uv">
            <w:r w:rsidR="007F06C5" w:rsidRPr="001A5F83">
              <w:rPr>
                <w:rFonts w:eastAsia="Palatino Linotype" w:cs="Palatino Linotype"/>
                <w:szCs w:val="22"/>
              </w:rPr>
              <w:t>c) Plazo para interponer el recurso</w:t>
            </w:r>
            <w:r w:rsidR="007F06C5" w:rsidRPr="001A5F83">
              <w:rPr>
                <w:rFonts w:eastAsia="Palatino Linotype" w:cs="Palatino Linotype"/>
                <w:szCs w:val="22"/>
              </w:rPr>
              <w:tab/>
              <w:t>7</w:t>
            </w:r>
          </w:hyperlink>
        </w:p>
        <w:p w14:paraId="24E7385C" w14:textId="77777777" w:rsidR="00A1764E" w:rsidRPr="001A5F83" w:rsidRDefault="00D45964" w:rsidP="001A5F8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4sinio">
            <w:r w:rsidR="007F06C5" w:rsidRPr="001A5F83">
              <w:rPr>
                <w:rFonts w:eastAsia="Palatino Linotype" w:cs="Palatino Linotype"/>
                <w:szCs w:val="22"/>
              </w:rPr>
              <w:t>d) Causal de Procedencia</w:t>
            </w:r>
            <w:r w:rsidR="007F06C5" w:rsidRPr="001A5F83">
              <w:rPr>
                <w:rFonts w:eastAsia="Palatino Linotype" w:cs="Palatino Linotype"/>
                <w:szCs w:val="22"/>
              </w:rPr>
              <w:tab/>
              <w:t>8</w:t>
            </w:r>
          </w:hyperlink>
        </w:p>
        <w:p w14:paraId="5569E156" w14:textId="77777777" w:rsidR="00A1764E" w:rsidRPr="001A5F83" w:rsidRDefault="00D45964" w:rsidP="001A5F8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jxsxqh">
            <w:r w:rsidR="007F06C5" w:rsidRPr="001A5F83">
              <w:rPr>
                <w:rFonts w:eastAsia="Palatino Linotype" w:cs="Palatino Linotype"/>
                <w:szCs w:val="22"/>
              </w:rPr>
              <w:t>e) Requisitos formales para la interposición del recurso</w:t>
            </w:r>
            <w:r w:rsidR="007F06C5" w:rsidRPr="001A5F83">
              <w:rPr>
                <w:rFonts w:eastAsia="Palatino Linotype" w:cs="Palatino Linotype"/>
                <w:szCs w:val="22"/>
              </w:rPr>
              <w:tab/>
              <w:t>8</w:t>
            </w:r>
          </w:hyperlink>
        </w:p>
        <w:p w14:paraId="59F677C2" w14:textId="77777777" w:rsidR="00A1764E" w:rsidRPr="001A5F83" w:rsidRDefault="00D45964" w:rsidP="001A5F83">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z337ya">
            <w:r w:rsidR="007F06C5" w:rsidRPr="001A5F83">
              <w:rPr>
                <w:rFonts w:eastAsia="Palatino Linotype" w:cs="Palatino Linotype"/>
                <w:szCs w:val="22"/>
              </w:rPr>
              <w:t>SEGUNDO. Estudio de Fondo</w:t>
            </w:r>
            <w:r w:rsidR="007F06C5" w:rsidRPr="001A5F83">
              <w:rPr>
                <w:rFonts w:eastAsia="Palatino Linotype" w:cs="Palatino Linotype"/>
                <w:szCs w:val="22"/>
              </w:rPr>
              <w:tab/>
              <w:t>9</w:t>
            </w:r>
          </w:hyperlink>
        </w:p>
        <w:p w14:paraId="5F5D2D4F" w14:textId="77777777" w:rsidR="00A1764E" w:rsidRPr="001A5F83" w:rsidRDefault="00D45964" w:rsidP="001A5F8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j2qqm3">
            <w:r w:rsidR="007F06C5" w:rsidRPr="001A5F83">
              <w:rPr>
                <w:rFonts w:eastAsia="Palatino Linotype" w:cs="Palatino Linotype"/>
                <w:szCs w:val="22"/>
              </w:rPr>
              <w:t>a) Mandato de transparencia y responsabilidad del Sujeto Obligado</w:t>
            </w:r>
            <w:r w:rsidR="007F06C5" w:rsidRPr="001A5F83">
              <w:rPr>
                <w:rFonts w:eastAsia="Palatino Linotype" w:cs="Palatino Linotype"/>
                <w:szCs w:val="22"/>
              </w:rPr>
              <w:tab/>
              <w:t>9</w:t>
            </w:r>
          </w:hyperlink>
        </w:p>
        <w:p w14:paraId="14A015C1" w14:textId="77777777" w:rsidR="00A1764E" w:rsidRPr="001A5F83" w:rsidRDefault="00D45964" w:rsidP="001A5F8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y810tw">
            <w:r w:rsidR="007F06C5" w:rsidRPr="001A5F83">
              <w:rPr>
                <w:rFonts w:eastAsia="Palatino Linotype" w:cs="Palatino Linotype"/>
                <w:szCs w:val="22"/>
              </w:rPr>
              <w:t>b) Controversia a resolver</w:t>
            </w:r>
            <w:r w:rsidR="007F06C5" w:rsidRPr="001A5F83">
              <w:rPr>
                <w:rFonts w:eastAsia="Palatino Linotype" w:cs="Palatino Linotype"/>
                <w:szCs w:val="22"/>
              </w:rPr>
              <w:tab/>
              <w:t>11</w:t>
            </w:r>
          </w:hyperlink>
        </w:p>
        <w:p w14:paraId="5C6F4FB9" w14:textId="77777777" w:rsidR="00A1764E" w:rsidRPr="001A5F83" w:rsidRDefault="00D45964" w:rsidP="001A5F8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xcytpi">
            <w:r w:rsidR="007F06C5" w:rsidRPr="001A5F83">
              <w:rPr>
                <w:rFonts w:eastAsia="Palatino Linotype" w:cs="Palatino Linotype"/>
                <w:szCs w:val="22"/>
              </w:rPr>
              <w:t>c) Estudio de la controversia</w:t>
            </w:r>
            <w:r w:rsidR="007F06C5" w:rsidRPr="001A5F83">
              <w:rPr>
                <w:rFonts w:eastAsia="Palatino Linotype" w:cs="Palatino Linotype"/>
                <w:szCs w:val="22"/>
              </w:rPr>
              <w:tab/>
              <w:t>12</w:t>
            </w:r>
          </w:hyperlink>
        </w:p>
        <w:p w14:paraId="35525868" w14:textId="77777777" w:rsidR="00A1764E" w:rsidRPr="001A5F83" w:rsidRDefault="00D45964" w:rsidP="001A5F8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ci93xb">
            <w:r w:rsidR="007F06C5" w:rsidRPr="001A5F83">
              <w:rPr>
                <w:rFonts w:eastAsia="Palatino Linotype" w:cs="Palatino Linotype"/>
                <w:szCs w:val="22"/>
              </w:rPr>
              <w:t>d) Conclusión</w:t>
            </w:r>
            <w:r w:rsidR="007F06C5" w:rsidRPr="001A5F83">
              <w:rPr>
                <w:rFonts w:eastAsia="Palatino Linotype" w:cs="Palatino Linotype"/>
                <w:szCs w:val="22"/>
              </w:rPr>
              <w:tab/>
              <w:t>24</w:t>
            </w:r>
          </w:hyperlink>
        </w:p>
        <w:p w14:paraId="33164C59" w14:textId="77777777" w:rsidR="00A1764E" w:rsidRPr="001A5F83" w:rsidRDefault="00D45964" w:rsidP="001A5F83">
          <w:pPr>
            <w:pBdr>
              <w:top w:val="nil"/>
              <w:left w:val="nil"/>
              <w:bottom w:val="nil"/>
              <w:right w:val="nil"/>
              <w:between w:val="nil"/>
            </w:pBdr>
            <w:tabs>
              <w:tab w:val="right" w:pos="9034"/>
            </w:tabs>
            <w:spacing w:after="100"/>
            <w:rPr>
              <w:rFonts w:ascii="Aptos" w:eastAsia="Aptos" w:hAnsi="Aptos" w:cs="Aptos"/>
              <w:szCs w:val="22"/>
            </w:rPr>
          </w:pPr>
          <w:hyperlink w:anchor="_heading=h.2bn6wsx">
            <w:r w:rsidR="007F06C5" w:rsidRPr="001A5F83">
              <w:rPr>
                <w:rFonts w:eastAsia="Palatino Linotype" w:cs="Palatino Linotype"/>
                <w:szCs w:val="22"/>
              </w:rPr>
              <w:t>RESUELVE</w:t>
            </w:r>
            <w:r w:rsidR="007F06C5" w:rsidRPr="001A5F83">
              <w:rPr>
                <w:rFonts w:eastAsia="Palatino Linotype" w:cs="Palatino Linotype"/>
                <w:szCs w:val="22"/>
              </w:rPr>
              <w:tab/>
              <w:t>24</w:t>
            </w:r>
          </w:hyperlink>
        </w:p>
        <w:p w14:paraId="797BBF81" w14:textId="0FDBF607" w:rsidR="00A1764E" w:rsidRPr="001A5F83" w:rsidRDefault="007F06C5" w:rsidP="001A5F83">
          <w:pPr>
            <w:pBdr>
              <w:top w:val="nil"/>
              <w:left w:val="nil"/>
              <w:bottom w:val="nil"/>
              <w:right w:val="nil"/>
              <w:between w:val="nil"/>
            </w:pBdr>
            <w:tabs>
              <w:tab w:val="right" w:pos="9034"/>
            </w:tabs>
            <w:spacing w:after="100"/>
            <w:rPr>
              <w:rFonts w:eastAsia="Palatino Linotype" w:cs="Palatino Linotype"/>
              <w:b/>
              <w:szCs w:val="22"/>
            </w:rPr>
          </w:pPr>
          <w:r w:rsidRPr="001A5F83">
            <w:fldChar w:fldCharType="end"/>
          </w:r>
        </w:p>
      </w:sdtContent>
    </w:sdt>
    <w:p w14:paraId="1B6EBB84" w14:textId="77777777" w:rsidR="00A1764E" w:rsidRPr="001A5F83" w:rsidRDefault="00A1764E" w:rsidP="001A5F83">
      <w:pPr>
        <w:sectPr w:rsidR="00A1764E" w:rsidRPr="001A5F83">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021C6FFA" w14:textId="77777777" w:rsidR="00A1764E" w:rsidRPr="001A5F83" w:rsidRDefault="007F06C5" w:rsidP="001A5F83">
      <w:r w:rsidRPr="001A5F83">
        <w:lastRenderedPageBreak/>
        <w:t>Resolución del Pleno del Instituto de Transparencia, Acceso a la Información Pública y Protección de Datos Personales del Estado de México y Municipios, con domicilio en Metepec, Estado de México,</w:t>
      </w:r>
      <w:r w:rsidRPr="001A5F83">
        <w:rPr>
          <w:b/>
        </w:rPr>
        <w:t xml:space="preserve"> de dieciocho de diciembre de dos mil veinticuatro.</w:t>
      </w:r>
    </w:p>
    <w:p w14:paraId="18008611" w14:textId="77777777" w:rsidR="00A1764E" w:rsidRPr="001A5F83" w:rsidRDefault="00A1764E" w:rsidP="001A5F83"/>
    <w:p w14:paraId="6723EF26" w14:textId="77777777" w:rsidR="00A1764E" w:rsidRPr="001A5F83" w:rsidRDefault="007F06C5" w:rsidP="001A5F83">
      <w:r w:rsidRPr="001A5F83">
        <w:rPr>
          <w:b/>
        </w:rPr>
        <w:t xml:space="preserve">VISTO </w:t>
      </w:r>
      <w:r w:rsidRPr="001A5F83">
        <w:t xml:space="preserve">el expediente formado con motivo del Recurso de Revisión </w:t>
      </w:r>
      <w:r w:rsidRPr="001A5F83">
        <w:rPr>
          <w:b/>
        </w:rPr>
        <w:t xml:space="preserve">07367/INFOEM/IP/RR/2024 </w:t>
      </w:r>
      <w:r w:rsidRPr="001A5F83">
        <w:t xml:space="preserve">interpuesto de </w:t>
      </w:r>
      <w:r w:rsidRPr="001A5F83">
        <w:rPr>
          <w:b/>
        </w:rPr>
        <w:t>manera anónima</w:t>
      </w:r>
      <w:r w:rsidRPr="001A5F83">
        <w:t xml:space="preserve">, a quien en lo subsecuente se le denominará </w:t>
      </w:r>
      <w:r w:rsidRPr="001A5F83">
        <w:rPr>
          <w:b/>
        </w:rPr>
        <w:t>LA PARTE RECURRENTE</w:t>
      </w:r>
      <w:r w:rsidRPr="001A5F83">
        <w:t xml:space="preserve">, en contra de la respuesta emitida por la </w:t>
      </w:r>
      <w:r w:rsidRPr="001A5F83">
        <w:rPr>
          <w:b/>
        </w:rPr>
        <w:t>Universidad Estatal del Valle de Toluca</w:t>
      </w:r>
      <w:r w:rsidRPr="001A5F83">
        <w:t xml:space="preserve">, en adelante </w:t>
      </w:r>
      <w:r w:rsidRPr="001A5F83">
        <w:rPr>
          <w:b/>
        </w:rPr>
        <w:t>EL SUJETO OBLIGADO</w:t>
      </w:r>
      <w:r w:rsidRPr="001A5F83">
        <w:t>, se emite la presente Resolución con base en los Antecedentes y Considerandos que se exponen a continuación:</w:t>
      </w:r>
    </w:p>
    <w:p w14:paraId="689A85C1" w14:textId="77777777" w:rsidR="00A1764E" w:rsidRPr="001A5F83" w:rsidRDefault="00A1764E" w:rsidP="001A5F83"/>
    <w:p w14:paraId="0B0A2E1C" w14:textId="77777777" w:rsidR="00A1764E" w:rsidRPr="001A5F83" w:rsidRDefault="007F06C5" w:rsidP="001A5F83">
      <w:pPr>
        <w:pStyle w:val="Ttulo1"/>
      </w:pPr>
      <w:bookmarkStart w:id="2" w:name="_heading=h.gjdgxs" w:colFirst="0" w:colLast="0"/>
      <w:bookmarkEnd w:id="2"/>
      <w:r w:rsidRPr="001A5F83">
        <w:t>ANTECEDENTES</w:t>
      </w:r>
    </w:p>
    <w:p w14:paraId="2097985A" w14:textId="77777777" w:rsidR="00A1764E" w:rsidRPr="001A5F83" w:rsidRDefault="00A1764E" w:rsidP="001A5F83"/>
    <w:p w14:paraId="72BC86AA" w14:textId="77777777" w:rsidR="00A1764E" w:rsidRPr="001A5F83" w:rsidRDefault="007F06C5" w:rsidP="001A5F83">
      <w:pPr>
        <w:pStyle w:val="Ttulo2"/>
      </w:pPr>
      <w:bookmarkStart w:id="3" w:name="_heading=h.30j0zll" w:colFirst="0" w:colLast="0"/>
      <w:bookmarkEnd w:id="3"/>
      <w:r w:rsidRPr="001A5F83">
        <w:t>DE LA SOLICITUD DE INFORMACIÓN</w:t>
      </w:r>
    </w:p>
    <w:p w14:paraId="45871D05" w14:textId="77777777" w:rsidR="00A1764E" w:rsidRPr="001A5F83" w:rsidRDefault="007F06C5" w:rsidP="001A5F83">
      <w:pPr>
        <w:pStyle w:val="Ttulo3"/>
      </w:pPr>
      <w:bookmarkStart w:id="4" w:name="_heading=h.1fob9te" w:colFirst="0" w:colLast="0"/>
      <w:bookmarkEnd w:id="4"/>
      <w:r w:rsidRPr="001A5F83">
        <w:t>a) Solicitud de información</w:t>
      </w:r>
    </w:p>
    <w:p w14:paraId="6B712CFE" w14:textId="77777777" w:rsidR="00A1764E" w:rsidRPr="001A5F83" w:rsidRDefault="007F06C5" w:rsidP="001A5F83">
      <w:pPr>
        <w:pBdr>
          <w:top w:val="nil"/>
          <w:left w:val="nil"/>
          <w:bottom w:val="nil"/>
          <w:right w:val="nil"/>
          <w:between w:val="nil"/>
        </w:pBdr>
        <w:tabs>
          <w:tab w:val="left" w:pos="0"/>
        </w:tabs>
      </w:pPr>
      <w:r w:rsidRPr="001A5F83">
        <w:t xml:space="preserve">El </w:t>
      </w:r>
      <w:r w:rsidRPr="001A5F83">
        <w:rPr>
          <w:b/>
        </w:rPr>
        <w:t>dieciséis de octubre de dos mil veinticuatro,</w:t>
      </w:r>
      <w:r w:rsidRPr="001A5F83">
        <w:t xml:space="preserve"> </w:t>
      </w:r>
      <w:r w:rsidRPr="001A5F83">
        <w:rPr>
          <w:b/>
        </w:rPr>
        <w:t>LA PARTE RECURRENTE</w:t>
      </w:r>
      <w:r w:rsidRPr="001A5F83">
        <w:t xml:space="preserve"> presentó una solicitud de acceso a la información pública ante el </w:t>
      </w:r>
      <w:r w:rsidRPr="001A5F83">
        <w:rPr>
          <w:b/>
        </w:rPr>
        <w:t>SUJETO OBLIGADO</w:t>
      </w:r>
      <w:r w:rsidRPr="001A5F83">
        <w:t>, a través del Sistema de Acceso a la Información Mexiquense (SAIMEX). Dicha solicitud quedó registrada con el número de folio</w:t>
      </w:r>
      <w:r w:rsidRPr="001A5F83">
        <w:rPr>
          <w:b/>
        </w:rPr>
        <w:t xml:space="preserve"> 00040/UNEVT/IP/2024 </w:t>
      </w:r>
      <w:r w:rsidRPr="001A5F83">
        <w:t>y en ella se requirió la siguiente información:</w:t>
      </w:r>
    </w:p>
    <w:p w14:paraId="6FD806DB" w14:textId="77777777" w:rsidR="00A1764E" w:rsidRPr="001A5F83" w:rsidRDefault="00A1764E" w:rsidP="001A5F83">
      <w:pPr>
        <w:pStyle w:val="Puesto"/>
        <w:ind w:firstLine="567"/>
      </w:pPr>
    </w:p>
    <w:p w14:paraId="4D8BDFB1" w14:textId="77777777" w:rsidR="00A1764E" w:rsidRPr="001A5F83" w:rsidRDefault="007F06C5" w:rsidP="001A5F83">
      <w:pPr>
        <w:pStyle w:val="Puesto"/>
        <w:ind w:firstLine="567"/>
      </w:pPr>
      <w:r w:rsidRPr="001A5F83">
        <w:t>“contratos pedido de los gastos que se hicieron para el festejo de los quince años de la universidad” Sic</w:t>
      </w:r>
    </w:p>
    <w:p w14:paraId="0A1164F1" w14:textId="77777777" w:rsidR="00A1764E" w:rsidRPr="001A5F83" w:rsidRDefault="00A1764E" w:rsidP="001A5F83"/>
    <w:p w14:paraId="585A2AA5" w14:textId="77777777" w:rsidR="00A1764E" w:rsidRPr="001A5F83" w:rsidRDefault="007F06C5" w:rsidP="001A5F83">
      <w:pPr>
        <w:tabs>
          <w:tab w:val="left" w:pos="4667"/>
        </w:tabs>
        <w:ind w:right="567"/>
        <w:rPr>
          <w:i/>
        </w:rPr>
      </w:pPr>
      <w:r w:rsidRPr="001A5F83">
        <w:rPr>
          <w:b/>
        </w:rPr>
        <w:t>Modalidad de entrega</w:t>
      </w:r>
      <w:r w:rsidRPr="001A5F83">
        <w:t>: a través del</w:t>
      </w:r>
      <w:r w:rsidRPr="001A5F83">
        <w:rPr>
          <w:i/>
        </w:rPr>
        <w:t xml:space="preserve"> </w:t>
      </w:r>
      <w:r w:rsidRPr="001A5F83">
        <w:rPr>
          <w:b/>
          <w:i/>
        </w:rPr>
        <w:t>SAIMEX</w:t>
      </w:r>
      <w:r w:rsidRPr="001A5F83">
        <w:rPr>
          <w:i/>
        </w:rPr>
        <w:t>.</w:t>
      </w:r>
    </w:p>
    <w:p w14:paraId="1622E585" w14:textId="77777777" w:rsidR="00A1764E" w:rsidRPr="001A5F83" w:rsidRDefault="00A1764E" w:rsidP="001A5F83">
      <w:pPr>
        <w:tabs>
          <w:tab w:val="left" w:pos="4667"/>
        </w:tabs>
        <w:ind w:right="567"/>
      </w:pPr>
    </w:p>
    <w:p w14:paraId="53CBD02B" w14:textId="77777777" w:rsidR="00A1764E" w:rsidRPr="001A5F83" w:rsidRDefault="007F06C5" w:rsidP="001A5F83">
      <w:pPr>
        <w:pStyle w:val="Ttulo3"/>
      </w:pPr>
      <w:bookmarkStart w:id="5" w:name="_heading=h.3znysh7" w:colFirst="0" w:colLast="0"/>
      <w:bookmarkEnd w:id="5"/>
      <w:r w:rsidRPr="001A5F83">
        <w:lastRenderedPageBreak/>
        <w:t>b) Respuesta del Sujeto Obligado</w:t>
      </w:r>
    </w:p>
    <w:p w14:paraId="4CFDEBF2" w14:textId="77777777" w:rsidR="00A1764E" w:rsidRPr="001A5F83" w:rsidRDefault="007F06C5" w:rsidP="001A5F83">
      <w:pPr>
        <w:pBdr>
          <w:top w:val="nil"/>
          <w:left w:val="nil"/>
          <w:bottom w:val="nil"/>
          <w:right w:val="nil"/>
          <w:between w:val="nil"/>
        </w:pBdr>
        <w:rPr>
          <w:rFonts w:eastAsia="Palatino Linotype" w:cs="Palatino Linotype"/>
          <w:szCs w:val="22"/>
        </w:rPr>
      </w:pPr>
      <w:r w:rsidRPr="001A5F83">
        <w:rPr>
          <w:rFonts w:eastAsia="Palatino Linotype" w:cs="Palatino Linotype"/>
          <w:szCs w:val="22"/>
        </w:rPr>
        <w:t xml:space="preserve">El </w:t>
      </w:r>
      <w:r w:rsidRPr="001A5F83">
        <w:rPr>
          <w:rFonts w:eastAsia="Palatino Linotype" w:cs="Palatino Linotype"/>
          <w:b/>
          <w:szCs w:val="22"/>
        </w:rPr>
        <w:t xml:space="preserve">cinco de noviembre de noviembre de dos mil veinticuatro, </w:t>
      </w:r>
      <w:r w:rsidRPr="001A5F83">
        <w:rPr>
          <w:rFonts w:eastAsia="Palatino Linotype" w:cs="Palatino Linotype"/>
          <w:szCs w:val="22"/>
        </w:rPr>
        <w:t xml:space="preserve">la Titular de la Unidad de Transparencia del </w:t>
      </w:r>
      <w:r w:rsidRPr="001A5F83">
        <w:rPr>
          <w:rFonts w:eastAsia="Palatino Linotype" w:cs="Palatino Linotype"/>
          <w:b/>
          <w:szCs w:val="22"/>
        </w:rPr>
        <w:t>SUJETO OBLIGADO</w:t>
      </w:r>
      <w:r w:rsidRPr="001A5F83">
        <w:rPr>
          <w:rFonts w:eastAsia="Palatino Linotype" w:cs="Palatino Linotype"/>
          <w:szCs w:val="22"/>
        </w:rPr>
        <w:t xml:space="preserve"> notificó la siguiente respuesta a través del SAIMEX:</w:t>
      </w:r>
    </w:p>
    <w:p w14:paraId="44517316" w14:textId="77777777" w:rsidR="00A1764E" w:rsidRPr="001A5F83" w:rsidRDefault="00A1764E" w:rsidP="001A5F83">
      <w:pPr>
        <w:pStyle w:val="Puesto"/>
        <w:ind w:left="0"/>
      </w:pPr>
    </w:p>
    <w:p w14:paraId="03B8FA79" w14:textId="77777777" w:rsidR="00A1764E" w:rsidRPr="001A5F83" w:rsidRDefault="007F06C5" w:rsidP="001A5F83">
      <w:pPr>
        <w:pStyle w:val="Puesto"/>
        <w:ind w:firstLine="567"/>
        <w:jc w:val="right"/>
      </w:pPr>
      <w:r w:rsidRPr="001A5F83">
        <w:t>“Folio de la solicitud: 00040/UNEVT/IP/2024</w:t>
      </w:r>
    </w:p>
    <w:p w14:paraId="6A6DA183" w14:textId="77777777" w:rsidR="00A1764E" w:rsidRPr="001A5F83" w:rsidRDefault="00A1764E" w:rsidP="001A5F83"/>
    <w:p w14:paraId="0ADA0937" w14:textId="77777777" w:rsidR="00A1764E" w:rsidRPr="001A5F83" w:rsidRDefault="007F06C5" w:rsidP="001A5F83">
      <w:pPr>
        <w:pStyle w:val="Puesto"/>
        <w:ind w:firstLine="567"/>
      </w:pPr>
      <w:r w:rsidRPr="001A5F83">
        <w:t>Por este conducto y atendiendo a su solicitud de información, me permito enviarle el archivo de respuesta.</w:t>
      </w:r>
    </w:p>
    <w:p w14:paraId="69A048A9" w14:textId="77777777" w:rsidR="00A1764E" w:rsidRPr="001A5F83" w:rsidRDefault="00A1764E" w:rsidP="001A5F83"/>
    <w:p w14:paraId="451078C0" w14:textId="77777777" w:rsidR="00A1764E" w:rsidRPr="001A5F83" w:rsidRDefault="007F06C5" w:rsidP="001A5F83">
      <w:pPr>
        <w:pStyle w:val="Puesto"/>
        <w:ind w:firstLine="567"/>
      </w:pPr>
      <w:r w:rsidRPr="001A5F83">
        <w:t>ATENTAMENTE</w:t>
      </w:r>
    </w:p>
    <w:p w14:paraId="23F5332C" w14:textId="77777777" w:rsidR="00A1764E" w:rsidRPr="001A5F83" w:rsidRDefault="007F06C5" w:rsidP="001A5F83">
      <w:pPr>
        <w:pStyle w:val="Puesto"/>
        <w:ind w:firstLine="567"/>
      </w:pPr>
      <w:r w:rsidRPr="001A5F83">
        <w:t xml:space="preserve">Mtra. Ana </w:t>
      </w:r>
      <w:proofErr w:type="spellStart"/>
      <w:r w:rsidRPr="001A5F83">
        <w:t>Belen</w:t>
      </w:r>
      <w:proofErr w:type="spellEnd"/>
      <w:r w:rsidRPr="001A5F83">
        <w:t xml:space="preserve"> Hernández Castillo” Sic.</w:t>
      </w:r>
    </w:p>
    <w:p w14:paraId="10B8D529" w14:textId="77777777" w:rsidR="00A1764E" w:rsidRPr="001A5F83" w:rsidRDefault="00A1764E" w:rsidP="001A5F83"/>
    <w:p w14:paraId="1DD645E3" w14:textId="77777777" w:rsidR="00A1764E" w:rsidRPr="001A5F83" w:rsidRDefault="007F06C5" w:rsidP="001A5F83">
      <w:pPr>
        <w:ind w:right="-28"/>
      </w:pPr>
      <w:r w:rsidRPr="001A5F83">
        <w:t xml:space="preserve">Asimismo, </w:t>
      </w:r>
      <w:r w:rsidRPr="001A5F83">
        <w:rPr>
          <w:b/>
        </w:rPr>
        <w:t xml:space="preserve">EL SUJETO OBLIGADO </w:t>
      </w:r>
      <w:r w:rsidRPr="001A5F83">
        <w:t xml:space="preserve">adjuntó a su respuesta los archivos electrónicos que a continuación se describen: </w:t>
      </w:r>
    </w:p>
    <w:p w14:paraId="4043CD96" w14:textId="77777777" w:rsidR="00A1764E" w:rsidRPr="001A5F83" w:rsidRDefault="00A1764E" w:rsidP="001A5F83"/>
    <w:p w14:paraId="0432CF35" w14:textId="77777777" w:rsidR="00A1764E" w:rsidRPr="001A5F83" w:rsidRDefault="007F06C5" w:rsidP="001A5F83">
      <w:pPr>
        <w:numPr>
          <w:ilvl w:val="0"/>
          <w:numId w:val="1"/>
        </w:numPr>
        <w:pBdr>
          <w:top w:val="nil"/>
          <w:left w:val="nil"/>
          <w:bottom w:val="nil"/>
          <w:right w:val="nil"/>
          <w:between w:val="nil"/>
        </w:pBdr>
        <w:rPr>
          <w:rFonts w:eastAsia="Palatino Linotype" w:cs="Palatino Linotype"/>
          <w:b/>
          <w:i/>
          <w:szCs w:val="22"/>
        </w:rPr>
      </w:pPr>
      <w:r w:rsidRPr="001A5F83">
        <w:rPr>
          <w:rFonts w:eastAsia="Palatino Linotype" w:cs="Palatino Linotype"/>
          <w:b/>
          <w:i/>
          <w:szCs w:val="22"/>
        </w:rPr>
        <w:t>R_SPH_RMyF.pdf</w:t>
      </w:r>
    </w:p>
    <w:p w14:paraId="2C43E452" w14:textId="77777777" w:rsidR="00A1764E" w:rsidRPr="001A5F83" w:rsidRDefault="007F06C5" w:rsidP="001A5F83">
      <w:pPr>
        <w:ind w:left="360"/>
      </w:pPr>
      <w:r w:rsidRPr="001A5F83">
        <w:t>Archivo constante de una página, en la que se advierte el oficio Número 228C3101060001L/225/2024 de fecha 30 de octubre de 2024, suscrito por el Jefe del Departamento de Recursos Materiales y Financieros, dirigido a la Jefa de la Unidad de Información, Planeación, Programación y Evaluación, en el que le indica:</w:t>
      </w:r>
    </w:p>
    <w:p w14:paraId="439ADCE1" w14:textId="77777777" w:rsidR="00A1764E" w:rsidRPr="001A5F83" w:rsidRDefault="00A1764E" w:rsidP="001A5F83">
      <w:pPr>
        <w:ind w:left="360"/>
      </w:pPr>
    </w:p>
    <w:p w14:paraId="27187B55" w14:textId="77777777" w:rsidR="00A1764E" w:rsidRPr="001A5F83" w:rsidRDefault="007F06C5" w:rsidP="001A5F83">
      <w:pPr>
        <w:pStyle w:val="Puesto"/>
        <w:ind w:firstLine="567"/>
      </w:pPr>
      <w:r w:rsidRPr="001A5F83">
        <w:t>“Al respecto le informo que los gastos realizados para el festejo señalado, ninguno de ellos rebasan el tope de UMAS establecido en el Reglamento de la Ley de Adquisiciones, Arrendamientos y Servicios del Sector Público, razón por la cual no se realizó ningún contrato pedido al respecto.” Sic.</w:t>
      </w:r>
    </w:p>
    <w:p w14:paraId="71402C51" w14:textId="77777777" w:rsidR="00A1764E" w:rsidRPr="001A5F83" w:rsidRDefault="00A1764E" w:rsidP="001A5F83">
      <w:pPr>
        <w:ind w:left="360"/>
      </w:pPr>
    </w:p>
    <w:p w14:paraId="45F1015B" w14:textId="77777777" w:rsidR="00A1764E" w:rsidRPr="001A5F83" w:rsidRDefault="007F06C5" w:rsidP="001A5F83">
      <w:pPr>
        <w:numPr>
          <w:ilvl w:val="0"/>
          <w:numId w:val="1"/>
        </w:numPr>
        <w:pBdr>
          <w:top w:val="nil"/>
          <w:left w:val="nil"/>
          <w:bottom w:val="nil"/>
          <w:right w:val="nil"/>
          <w:between w:val="nil"/>
        </w:pBdr>
        <w:rPr>
          <w:rFonts w:eastAsia="Palatino Linotype" w:cs="Palatino Linotype"/>
          <w:b/>
          <w:i/>
          <w:szCs w:val="22"/>
        </w:rPr>
      </w:pPr>
      <w:r w:rsidRPr="001A5F83">
        <w:rPr>
          <w:rFonts w:eastAsia="Palatino Linotype" w:cs="Palatino Linotype"/>
          <w:b/>
          <w:i/>
          <w:szCs w:val="22"/>
        </w:rPr>
        <w:t>R_Solicitante.pdf</w:t>
      </w:r>
    </w:p>
    <w:p w14:paraId="49CDE97C" w14:textId="77777777" w:rsidR="00A1764E" w:rsidRPr="001A5F83" w:rsidRDefault="007F06C5" w:rsidP="001A5F83">
      <w:pPr>
        <w:pBdr>
          <w:top w:val="nil"/>
          <w:left w:val="nil"/>
          <w:bottom w:val="nil"/>
          <w:right w:val="nil"/>
          <w:between w:val="nil"/>
        </w:pBdr>
        <w:ind w:left="720"/>
        <w:rPr>
          <w:rFonts w:eastAsia="Palatino Linotype" w:cs="Palatino Linotype"/>
          <w:szCs w:val="22"/>
        </w:rPr>
      </w:pPr>
      <w:r w:rsidRPr="001A5F83">
        <w:rPr>
          <w:rFonts w:eastAsia="Palatino Linotype" w:cs="Palatino Linotype"/>
          <w:szCs w:val="22"/>
        </w:rPr>
        <w:t xml:space="preserve">Escrito constante de una página, en el que se contiene el oficio número 228C3101000200S/550/2024 de fecha 05 de noviembre de 2024, suscrito por la Jefa de la </w:t>
      </w:r>
      <w:r w:rsidRPr="001A5F83">
        <w:rPr>
          <w:rFonts w:eastAsia="Palatino Linotype" w:cs="Palatino Linotype"/>
          <w:szCs w:val="22"/>
        </w:rPr>
        <w:lastRenderedPageBreak/>
        <w:t>UIPPE y Titular de la Unidad de Transparencia, dirigido al solicitante de la información, en el que le indica:</w:t>
      </w:r>
    </w:p>
    <w:p w14:paraId="7B830353" w14:textId="77777777" w:rsidR="00A1764E" w:rsidRPr="001A5F83" w:rsidRDefault="00A1764E" w:rsidP="001A5F83">
      <w:pPr>
        <w:pBdr>
          <w:top w:val="nil"/>
          <w:left w:val="nil"/>
          <w:bottom w:val="nil"/>
          <w:right w:val="nil"/>
          <w:between w:val="nil"/>
        </w:pBdr>
        <w:ind w:left="720"/>
        <w:rPr>
          <w:rFonts w:eastAsia="Palatino Linotype" w:cs="Palatino Linotype"/>
          <w:szCs w:val="22"/>
        </w:rPr>
      </w:pPr>
    </w:p>
    <w:p w14:paraId="6C2379B7" w14:textId="77777777" w:rsidR="00A1764E" w:rsidRPr="001A5F83" w:rsidRDefault="007F06C5" w:rsidP="001A5F83">
      <w:pPr>
        <w:pStyle w:val="Puesto"/>
        <w:ind w:firstLine="567"/>
      </w:pPr>
      <w:r w:rsidRPr="001A5F83">
        <w:t>“…sírvase encontrar en formato digital el siguiente documento, mismo que refiere a su requerimiento:</w:t>
      </w:r>
    </w:p>
    <w:p w14:paraId="28015758" w14:textId="77777777" w:rsidR="00A1764E" w:rsidRPr="001A5F83" w:rsidRDefault="00A1764E" w:rsidP="001A5F83">
      <w:pPr>
        <w:pStyle w:val="Puesto"/>
        <w:ind w:firstLine="567"/>
      </w:pPr>
    </w:p>
    <w:p w14:paraId="56809A2B" w14:textId="77777777" w:rsidR="00A1764E" w:rsidRPr="001A5F83" w:rsidRDefault="007F06C5" w:rsidP="001A5F83">
      <w:pPr>
        <w:pStyle w:val="Puesto"/>
        <w:ind w:firstLine="567"/>
      </w:pPr>
      <w:r w:rsidRPr="001A5F83">
        <w:t>Oficio número 228C3101060001L/225/2024, emitido por el Servidor Público Habilitado Titular del Departamento de Recursos Materiales y Financieros, de fecha 30 de octubre del presente año...</w:t>
      </w:r>
    </w:p>
    <w:p w14:paraId="1EA73D3D" w14:textId="77777777" w:rsidR="00A1764E" w:rsidRPr="001A5F83" w:rsidRDefault="007F06C5" w:rsidP="001A5F83">
      <w:pPr>
        <w:pStyle w:val="Puesto"/>
        <w:ind w:firstLine="567"/>
      </w:pPr>
      <w:r w:rsidRPr="001A5F83">
        <w:t>…</w:t>
      </w:r>
    </w:p>
    <w:p w14:paraId="10E509EE" w14:textId="77777777" w:rsidR="00A1764E" w:rsidRPr="001A5F83" w:rsidRDefault="007F06C5" w:rsidP="001A5F83">
      <w:pPr>
        <w:pStyle w:val="Puesto"/>
        <w:ind w:firstLine="567"/>
      </w:pPr>
      <w:r w:rsidRPr="001A5F83">
        <w:t>Finalmente, es relevante mencionar a usted que, esta Casa de Estudios cuenta con el portal electrónico de transparencia denominado: Información Pública de Oficio Mexiquense (IPOMEX) el cual se encuentra disponible en….” Sic.</w:t>
      </w:r>
    </w:p>
    <w:p w14:paraId="3DBAAEDA" w14:textId="77777777" w:rsidR="00A1764E" w:rsidRPr="001A5F83" w:rsidRDefault="00A1764E" w:rsidP="001A5F83">
      <w:pPr>
        <w:pBdr>
          <w:top w:val="nil"/>
          <w:left w:val="nil"/>
          <w:bottom w:val="nil"/>
          <w:right w:val="nil"/>
          <w:between w:val="nil"/>
        </w:pBdr>
        <w:ind w:left="720"/>
        <w:rPr>
          <w:rFonts w:eastAsia="Palatino Linotype" w:cs="Palatino Linotype"/>
          <w:szCs w:val="22"/>
        </w:rPr>
      </w:pPr>
    </w:p>
    <w:p w14:paraId="3DD2AE4C" w14:textId="77777777" w:rsidR="00A1764E" w:rsidRPr="001A5F83" w:rsidRDefault="007F06C5" w:rsidP="001A5F83">
      <w:pPr>
        <w:pStyle w:val="Ttulo2"/>
        <w:jc w:val="left"/>
      </w:pPr>
      <w:bookmarkStart w:id="6" w:name="_heading=h.2et92p0" w:colFirst="0" w:colLast="0"/>
      <w:bookmarkEnd w:id="6"/>
      <w:r w:rsidRPr="001A5F83">
        <w:t>DEL RECURSO DE REVISIÓN</w:t>
      </w:r>
    </w:p>
    <w:p w14:paraId="56756FED" w14:textId="77777777" w:rsidR="00A1764E" w:rsidRPr="001A5F83" w:rsidRDefault="007F06C5" w:rsidP="001A5F83">
      <w:pPr>
        <w:pStyle w:val="Ttulo3"/>
      </w:pPr>
      <w:bookmarkStart w:id="7" w:name="_heading=h.tyjcwt" w:colFirst="0" w:colLast="0"/>
      <w:bookmarkEnd w:id="7"/>
      <w:r w:rsidRPr="001A5F83">
        <w:t>a) Interposición del Recurso de Revisión</w:t>
      </w:r>
    </w:p>
    <w:p w14:paraId="7253BA86" w14:textId="77777777" w:rsidR="00A1764E" w:rsidRPr="001A5F83" w:rsidRDefault="007F06C5" w:rsidP="001A5F83">
      <w:pPr>
        <w:ind w:right="-28"/>
      </w:pPr>
      <w:r w:rsidRPr="001A5F83">
        <w:t xml:space="preserve">El </w:t>
      </w:r>
      <w:r w:rsidRPr="001A5F83">
        <w:rPr>
          <w:b/>
        </w:rPr>
        <w:t>veintiséis de noviembre de dos mil veinticuatro,</w:t>
      </w:r>
      <w:r w:rsidRPr="001A5F83">
        <w:t xml:space="preserve"> </w:t>
      </w:r>
      <w:r w:rsidRPr="001A5F83">
        <w:rPr>
          <w:b/>
        </w:rPr>
        <w:t>LA PARTE RECURRENTE</w:t>
      </w:r>
      <w:r w:rsidRPr="001A5F83">
        <w:t xml:space="preserve"> interpuso el recurso de revisión en contra de la respuesta emitida por el </w:t>
      </w:r>
      <w:r w:rsidRPr="001A5F83">
        <w:rPr>
          <w:b/>
        </w:rPr>
        <w:t>SUJETO OBLIGADO</w:t>
      </w:r>
      <w:r w:rsidRPr="001A5F83">
        <w:t xml:space="preserve">, mismo que fue registrado en el </w:t>
      </w:r>
      <w:r w:rsidRPr="001A5F83">
        <w:rPr>
          <w:b/>
        </w:rPr>
        <w:t>SAIMEX</w:t>
      </w:r>
      <w:r w:rsidRPr="001A5F83">
        <w:t xml:space="preserve"> con el número de expediente </w:t>
      </w:r>
      <w:r w:rsidRPr="001A5F83">
        <w:rPr>
          <w:b/>
        </w:rPr>
        <w:t>07367/INFOEM/IP/RR/2024</w:t>
      </w:r>
      <w:r w:rsidRPr="001A5F83">
        <w:t>, y en el cual manifiesta lo siguiente:</w:t>
      </w:r>
    </w:p>
    <w:p w14:paraId="1127A84F" w14:textId="77777777" w:rsidR="00A1764E" w:rsidRPr="001A5F83" w:rsidRDefault="00A1764E" w:rsidP="001A5F83">
      <w:pPr>
        <w:tabs>
          <w:tab w:val="left" w:pos="4667"/>
        </w:tabs>
        <w:ind w:right="539"/>
      </w:pPr>
    </w:p>
    <w:p w14:paraId="39709B77" w14:textId="77777777" w:rsidR="00A1764E" w:rsidRPr="001A5F83" w:rsidRDefault="007F06C5" w:rsidP="001A5F83">
      <w:pPr>
        <w:tabs>
          <w:tab w:val="left" w:pos="4667"/>
        </w:tabs>
        <w:ind w:left="567" w:right="539"/>
        <w:rPr>
          <w:b/>
        </w:rPr>
      </w:pPr>
      <w:r w:rsidRPr="001A5F83">
        <w:rPr>
          <w:b/>
        </w:rPr>
        <w:t>ACTO IMPUGNADO</w:t>
      </w:r>
    </w:p>
    <w:p w14:paraId="300909FC" w14:textId="77777777" w:rsidR="00A1764E" w:rsidRPr="001A5F83" w:rsidRDefault="00A1764E" w:rsidP="001A5F83">
      <w:pPr>
        <w:tabs>
          <w:tab w:val="left" w:pos="4667"/>
        </w:tabs>
        <w:ind w:left="567" w:right="539"/>
        <w:rPr>
          <w:b/>
        </w:rPr>
      </w:pPr>
    </w:p>
    <w:p w14:paraId="65D0D5A5" w14:textId="77777777" w:rsidR="00A1764E" w:rsidRPr="001A5F83" w:rsidRDefault="007F06C5" w:rsidP="001A5F83">
      <w:pPr>
        <w:pStyle w:val="Puesto"/>
        <w:ind w:firstLine="567"/>
      </w:pPr>
      <w:r w:rsidRPr="001A5F83">
        <w:t xml:space="preserve">No me proporcionan nada de información y la normatividad que señalan esta </w:t>
      </w:r>
      <w:proofErr w:type="spellStart"/>
      <w:r w:rsidRPr="001A5F83">
        <w:t>incpompleta</w:t>
      </w:r>
      <w:proofErr w:type="spellEnd"/>
      <w:r w:rsidRPr="001A5F83">
        <w:t>, no me dan elementos.</w:t>
      </w:r>
    </w:p>
    <w:p w14:paraId="17A117A0" w14:textId="77777777" w:rsidR="00A1764E" w:rsidRPr="001A5F83" w:rsidRDefault="00A1764E" w:rsidP="001A5F83">
      <w:pPr>
        <w:tabs>
          <w:tab w:val="left" w:pos="4667"/>
        </w:tabs>
        <w:ind w:left="567" w:right="539"/>
        <w:rPr>
          <w:b/>
        </w:rPr>
      </w:pPr>
    </w:p>
    <w:p w14:paraId="1A141232" w14:textId="77777777" w:rsidR="00A1764E" w:rsidRPr="001A5F83" w:rsidRDefault="007F06C5" w:rsidP="001A5F83">
      <w:pPr>
        <w:tabs>
          <w:tab w:val="left" w:pos="4667"/>
        </w:tabs>
        <w:ind w:left="567" w:right="539"/>
        <w:rPr>
          <w:b/>
        </w:rPr>
      </w:pPr>
      <w:r w:rsidRPr="001A5F83">
        <w:rPr>
          <w:b/>
        </w:rPr>
        <w:t>RAZONES O MOTIVOS DE LA INCONFORMIDAD</w:t>
      </w:r>
      <w:r w:rsidRPr="001A5F83">
        <w:rPr>
          <w:b/>
        </w:rPr>
        <w:tab/>
      </w:r>
    </w:p>
    <w:p w14:paraId="0F0ABD11" w14:textId="77777777" w:rsidR="00A1764E" w:rsidRPr="001A5F83" w:rsidRDefault="00A1764E" w:rsidP="001A5F83">
      <w:pPr>
        <w:tabs>
          <w:tab w:val="left" w:pos="4667"/>
        </w:tabs>
        <w:ind w:left="567" w:right="539"/>
        <w:rPr>
          <w:b/>
        </w:rPr>
      </w:pPr>
    </w:p>
    <w:p w14:paraId="2A03F1CB" w14:textId="77777777" w:rsidR="00A1764E" w:rsidRPr="001A5F83" w:rsidRDefault="007F06C5" w:rsidP="001A5F83">
      <w:pPr>
        <w:pStyle w:val="Puesto"/>
        <w:ind w:firstLine="567"/>
      </w:pPr>
      <w:proofErr w:type="spellStart"/>
      <w:proofErr w:type="gramStart"/>
      <w:r w:rsidRPr="001A5F83">
        <w:t>pedi</w:t>
      </w:r>
      <w:proofErr w:type="spellEnd"/>
      <w:proofErr w:type="gramEnd"/>
      <w:r w:rsidRPr="001A5F83">
        <w:t xml:space="preserve"> el contrato pedido de los gastos de los </w:t>
      </w:r>
      <w:proofErr w:type="spellStart"/>
      <w:r w:rsidRPr="001A5F83">
        <w:t>Xv</w:t>
      </w:r>
      <w:proofErr w:type="spellEnd"/>
      <w:r w:rsidRPr="001A5F83">
        <w:t xml:space="preserve"> de la </w:t>
      </w:r>
      <w:proofErr w:type="spellStart"/>
      <w:r w:rsidRPr="001A5F83">
        <w:t>universidfad</w:t>
      </w:r>
      <w:proofErr w:type="spellEnd"/>
      <w:r w:rsidRPr="001A5F83">
        <w:t xml:space="preserve">, me dicen que no elaboran contrato pedido, yo no </w:t>
      </w:r>
      <w:proofErr w:type="spellStart"/>
      <w:r w:rsidRPr="001A5F83">
        <w:t>se</w:t>
      </w:r>
      <w:proofErr w:type="spellEnd"/>
      <w:r w:rsidRPr="001A5F83">
        <w:t xml:space="preserve"> si elaboran o no, deseo las facturas o comprobantes de </w:t>
      </w:r>
      <w:r w:rsidRPr="001A5F83">
        <w:lastRenderedPageBreak/>
        <w:t xml:space="preserve">los gastos efectuados,. </w:t>
      </w:r>
      <w:proofErr w:type="gramStart"/>
      <w:r w:rsidRPr="001A5F83">
        <w:t>me</w:t>
      </w:r>
      <w:proofErr w:type="gramEnd"/>
      <w:r w:rsidRPr="001A5F83">
        <w:t xml:space="preserve"> dicen que no rebasan las </w:t>
      </w:r>
      <w:proofErr w:type="spellStart"/>
      <w:r w:rsidRPr="001A5F83">
        <w:t>umas</w:t>
      </w:r>
      <w:proofErr w:type="spellEnd"/>
      <w:r w:rsidRPr="001A5F83">
        <w:t xml:space="preserve"> establecidas en el </w:t>
      </w:r>
      <w:proofErr w:type="spellStart"/>
      <w:r w:rsidRPr="001A5F83">
        <w:t>relgamento</w:t>
      </w:r>
      <w:proofErr w:type="spellEnd"/>
      <w:r w:rsidRPr="001A5F83">
        <w:t xml:space="preserve"> de </w:t>
      </w:r>
      <w:proofErr w:type="spellStart"/>
      <w:r w:rsidRPr="001A5F83">
        <w:t>adquisiciciones</w:t>
      </w:r>
      <w:proofErr w:type="spellEnd"/>
      <w:r w:rsidRPr="001A5F83">
        <w:t xml:space="preserve">, sin decirme que articulo y el monto de las </w:t>
      </w:r>
      <w:proofErr w:type="spellStart"/>
      <w:r w:rsidRPr="001A5F83">
        <w:t>umas</w:t>
      </w:r>
      <w:proofErr w:type="spellEnd"/>
      <w:r w:rsidRPr="001A5F83">
        <w:t>.</w:t>
      </w:r>
    </w:p>
    <w:p w14:paraId="745FD08F" w14:textId="77777777" w:rsidR="00A1764E" w:rsidRPr="001A5F83" w:rsidRDefault="00A1764E" w:rsidP="001A5F83">
      <w:pPr>
        <w:rPr>
          <w:b/>
        </w:rPr>
      </w:pPr>
    </w:p>
    <w:p w14:paraId="1AD0F9A9" w14:textId="77777777" w:rsidR="00A1764E" w:rsidRPr="001A5F83" w:rsidRDefault="007F06C5" w:rsidP="001A5F83">
      <w:pPr>
        <w:pStyle w:val="Ttulo3"/>
      </w:pPr>
      <w:bookmarkStart w:id="8" w:name="_heading=h.3dy6vkm" w:colFirst="0" w:colLast="0"/>
      <w:bookmarkEnd w:id="8"/>
      <w:r w:rsidRPr="001A5F83">
        <w:t>b) Turno del Recurso de Revisión</w:t>
      </w:r>
    </w:p>
    <w:p w14:paraId="5E0677AC" w14:textId="77777777" w:rsidR="00A1764E" w:rsidRPr="001A5F83" w:rsidRDefault="007F06C5" w:rsidP="001A5F83">
      <w:r w:rsidRPr="001A5F83">
        <w:t>Con fundamento en el artículo 185, fracción I de la Ley de Transparencia y Acceso a la Información Pública del Estado de México y Municipios, el</w:t>
      </w:r>
      <w:r w:rsidRPr="001A5F83">
        <w:rPr>
          <w:b/>
        </w:rPr>
        <w:t xml:space="preserve"> veintiséis de noviembre de dos mil veinticuatro,</w:t>
      </w:r>
      <w:r w:rsidRPr="001A5F83">
        <w:t xml:space="preserve"> se turnó el recurso de revisión a través del SAIMEX a la </w:t>
      </w:r>
      <w:r w:rsidRPr="001A5F83">
        <w:rPr>
          <w:b/>
        </w:rPr>
        <w:t>Comisionada Sharon Cristina Morales Martínez</w:t>
      </w:r>
      <w:r w:rsidRPr="001A5F83">
        <w:t xml:space="preserve">, a efecto de decretar su admisión o </w:t>
      </w:r>
      <w:proofErr w:type="spellStart"/>
      <w:r w:rsidRPr="001A5F83">
        <w:t>desechamiento</w:t>
      </w:r>
      <w:proofErr w:type="spellEnd"/>
      <w:r w:rsidRPr="001A5F83">
        <w:t xml:space="preserve">. </w:t>
      </w:r>
    </w:p>
    <w:p w14:paraId="3929F2ED" w14:textId="77777777" w:rsidR="00A1764E" w:rsidRPr="001A5F83" w:rsidRDefault="00A1764E" w:rsidP="001A5F83"/>
    <w:p w14:paraId="19594817" w14:textId="77777777" w:rsidR="00A1764E" w:rsidRPr="001A5F83" w:rsidRDefault="007F06C5" w:rsidP="001A5F83">
      <w:pPr>
        <w:pStyle w:val="Ttulo3"/>
      </w:pPr>
      <w:bookmarkStart w:id="9" w:name="_heading=h.1t3h5sf" w:colFirst="0" w:colLast="0"/>
      <w:bookmarkEnd w:id="9"/>
      <w:r w:rsidRPr="001A5F83">
        <w:t>c) Admisión del Recurso de Revisión</w:t>
      </w:r>
    </w:p>
    <w:p w14:paraId="112F539B" w14:textId="77777777" w:rsidR="00A1764E" w:rsidRPr="001A5F83" w:rsidRDefault="007F06C5" w:rsidP="001A5F83">
      <w:r w:rsidRPr="001A5F83">
        <w:t xml:space="preserve">El </w:t>
      </w:r>
      <w:r w:rsidRPr="001A5F83">
        <w:rPr>
          <w:b/>
        </w:rPr>
        <w:t>veintinueve de noviembre de dos mil veinticuatro,</w:t>
      </w:r>
      <w:r w:rsidRPr="001A5F83">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5FA70C17" w14:textId="77777777" w:rsidR="00A1764E" w:rsidRPr="001A5F83" w:rsidRDefault="00A1764E" w:rsidP="001A5F83"/>
    <w:p w14:paraId="2687C3B2" w14:textId="77777777" w:rsidR="00A1764E" w:rsidRPr="001A5F83" w:rsidRDefault="007F06C5" w:rsidP="001A5F83">
      <w:pPr>
        <w:pStyle w:val="Ttulo3"/>
      </w:pPr>
      <w:bookmarkStart w:id="10" w:name="_heading=h.4d34og8" w:colFirst="0" w:colLast="0"/>
      <w:bookmarkEnd w:id="10"/>
      <w:r w:rsidRPr="001A5F83">
        <w:t>d) Informe Justificado del Sujeto Obligado</w:t>
      </w:r>
    </w:p>
    <w:p w14:paraId="416B4860" w14:textId="77777777" w:rsidR="00A1764E" w:rsidRPr="001A5F83" w:rsidRDefault="007F06C5" w:rsidP="001A5F83">
      <w:r w:rsidRPr="001A5F83">
        <w:t xml:space="preserve">El </w:t>
      </w:r>
      <w:r w:rsidRPr="001A5F83">
        <w:rPr>
          <w:b/>
        </w:rPr>
        <w:t>nueve de diciembre de dos mil veinticuatro</w:t>
      </w:r>
      <w:r w:rsidRPr="001A5F83">
        <w:t>,</w:t>
      </w:r>
      <w:r w:rsidRPr="001A5F83">
        <w:rPr>
          <w:b/>
        </w:rPr>
        <w:t xml:space="preserve"> EL SUJETO OBLIGADO</w:t>
      </w:r>
      <w:r w:rsidRPr="001A5F83">
        <w:t xml:space="preserve"> rindió su informe justificado dentro del término legalmente concedido para tal efecto, remitiendo los archivos siguientes:</w:t>
      </w:r>
    </w:p>
    <w:p w14:paraId="4BC45401" w14:textId="77777777" w:rsidR="00A1764E" w:rsidRPr="001A5F83" w:rsidRDefault="00A1764E" w:rsidP="001A5F83"/>
    <w:p w14:paraId="45D78EFE" w14:textId="77777777" w:rsidR="00A1764E" w:rsidRPr="001A5F83" w:rsidRDefault="007F06C5" w:rsidP="001A5F83">
      <w:pPr>
        <w:numPr>
          <w:ilvl w:val="0"/>
          <w:numId w:val="1"/>
        </w:numPr>
        <w:pBdr>
          <w:top w:val="nil"/>
          <w:left w:val="nil"/>
          <w:bottom w:val="nil"/>
          <w:right w:val="nil"/>
          <w:between w:val="nil"/>
        </w:pBdr>
        <w:rPr>
          <w:rFonts w:eastAsia="Palatino Linotype" w:cs="Palatino Linotype"/>
          <w:b/>
          <w:i/>
          <w:szCs w:val="22"/>
        </w:rPr>
      </w:pPr>
      <w:r w:rsidRPr="001A5F83">
        <w:rPr>
          <w:rFonts w:eastAsia="Palatino Linotype" w:cs="Palatino Linotype"/>
          <w:b/>
          <w:i/>
          <w:szCs w:val="22"/>
        </w:rPr>
        <w:t>R_AA_Recurrente.pdf</w:t>
      </w:r>
    </w:p>
    <w:p w14:paraId="79957DF0" w14:textId="77777777" w:rsidR="00A1764E" w:rsidRPr="001A5F83" w:rsidRDefault="007F06C5" w:rsidP="001A5F83">
      <w:pPr>
        <w:ind w:left="360"/>
      </w:pPr>
      <w:r w:rsidRPr="001A5F83">
        <w:t xml:space="preserve">Documental constante de una página, en el que se aprecia el oficio número 228C3101000200S/619/2024, de fecha 09 de diciembre de 2024, suscrito por la Jefa de la UIPPE y Titular de la Unidad de Transparencia, dirigido a la Comisionada Ponente, en el </w:t>
      </w:r>
      <w:r w:rsidRPr="001A5F83">
        <w:lastRenderedPageBreak/>
        <w:t>que le indicó que remitía los oficios suscritos por los Servidores Públicos Habilitados competentes referentes al informe justificado correspondiente.</w:t>
      </w:r>
    </w:p>
    <w:p w14:paraId="770D4DF4" w14:textId="77777777" w:rsidR="00A1764E" w:rsidRPr="001A5F83" w:rsidRDefault="00A1764E" w:rsidP="001A5F83">
      <w:pPr>
        <w:ind w:left="360"/>
      </w:pPr>
    </w:p>
    <w:p w14:paraId="54748DE3" w14:textId="77777777" w:rsidR="00A1764E" w:rsidRPr="001A5F83" w:rsidRDefault="007F06C5" w:rsidP="001A5F83">
      <w:pPr>
        <w:numPr>
          <w:ilvl w:val="0"/>
          <w:numId w:val="1"/>
        </w:numPr>
        <w:pBdr>
          <w:top w:val="nil"/>
          <w:left w:val="nil"/>
          <w:bottom w:val="nil"/>
          <w:right w:val="nil"/>
          <w:between w:val="nil"/>
        </w:pBdr>
        <w:rPr>
          <w:rFonts w:eastAsia="Palatino Linotype" w:cs="Palatino Linotype"/>
          <w:b/>
          <w:i/>
          <w:szCs w:val="22"/>
        </w:rPr>
      </w:pPr>
      <w:r w:rsidRPr="001A5F83">
        <w:rPr>
          <w:rFonts w:eastAsia="Palatino Linotype" w:cs="Palatino Linotype"/>
          <w:b/>
          <w:i/>
          <w:szCs w:val="22"/>
        </w:rPr>
        <w:t>Informe_AA_SPH_RMyF.pdf</w:t>
      </w:r>
    </w:p>
    <w:p w14:paraId="16742E3C" w14:textId="77777777" w:rsidR="00A1764E" w:rsidRPr="001A5F83" w:rsidRDefault="007F06C5" w:rsidP="001A5F83">
      <w:pPr>
        <w:ind w:left="360"/>
      </w:pPr>
      <w:r w:rsidRPr="001A5F83">
        <w:t>Archivo constante de 6 páginas, suscrito por el Jefe del Departamento de Recursos Materiales y Financieros, dirigido a los comisionados de este Instituto, en el que indica de manera general los hechos, y rinde el informe justificado correspondiente de forma medular en los términos siguientes:</w:t>
      </w:r>
    </w:p>
    <w:p w14:paraId="021E7570" w14:textId="77777777" w:rsidR="00A1764E" w:rsidRPr="001A5F83" w:rsidRDefault="00A1764E" w:rsidP="001A5F83">
      <w:pPr>
        <w:ind w:left="360"/>
      </w:pPr>
    </w:p>
    <w:p w14:paraId="658C01A8" w14:textId="77777777" w:rsidR="00A1764E" w:rsidRPr="001A5F83" w:rsidRDefault="007F06C5" w:rsidP="001A5F83">
      <w:pPr>
        <w:pStyle w:val="Puesto"/>
        <w:ind w:firstLine="567"/>
      </w:pPr>
      <w:r w:rsidRPr="001A5F83">
        <w:t>“…</w:t>
      </w:r>
    </w:p>
    <w:p w14:paraId="47287E2C" w14:textId="77777777" w:rsidR="00A1764E" w:rsidRPr="001A5F83" w:rsidRDefault="007F06C5" w:rsidP="001A5F83">
      <w:pPr>
        <w:pStyle w:val="Puesto"/>
        <w:ind w:firstLine="567"/>
      </w:pPr>
      <w:r w:rsidRPr="001A5F83">
        <w:t>El recurrente al hacer el señalamiento de que no se le da nada de información es falso como esta autoridad puede corroborar con escrito de contestación mediante oficio número 228C3101060001L/225/2024 de fecha 30 de octubre de 2024, con el cual se le brindo la contestación oportunamente, máxime aún se le informa las actuaciones para la información del índole que solicita se encuentran reguladas por el Reglamento de la Ley de Adquisiciones, Arrendamientos y Servicios del Sector Público, y bajo esa tesitura se informa al hoy recurrente que por dicha reglamentación no se realizó contrato pedido que solicita, como puede observar esta autoridad se dio cumplimiento bajo la observación de los principios de simplicidad, rapidez….</w:t>
      </w:r>
    </w:p>
    <w:p w14:paraId="777D3D4A" w14:textId="77777777" w:rsidR="00A1764E" w:rsidRPr="001A5F83" w:rsidRDefault="007F06C5" w:rsidP="001A5F83">
      <w:pPr>
        <w:pStyle w:val="Puesto"/>
        <w:ind w:firstLine="567"/>
      </w:pPr>
      <w:r w:rsidRPr="001A5F83">
        <w:t>La información que se le brindó al recurrente es la existente en los archivos de este departamento…</w:t>
      </w:r>
    </w:p>
    <w:p w14:paraId="1AA541E3" w14:textId="77777777" w:rsidR="00A1764E" w:rsidRPr="001A5F83" w:rsidRDefault="007F06C5" w:rsidP="001A5F83">
      <w:pPr>
        <w:pStyle w:val="Puesto"/>
        <w:ind w:firstLine="567"/>
      </w:pPr>
      <w:r w:rsidRPr="001A5F83">
        <w:t xml:space="preserve">En relación con su señalamiento que realiza en su recurso de revisión donde precisa que desea las facturas o comprobantes de los gastos efectuados, así como artículo y monto de las </w:t>
      </w:r>
      <w:proofErr w:type="spellStart"/>
      <w:r w:rsidRPr="001A5F83">
        <w:t>umas</w:t>
      </w:r>
      <w:proofErr w:type="spellEnd"/>
      <w:r w:rsidRPr="001A5F83">
        <w:t>, Dicha petición en su recurso de revisión, pretende ampliar los alcances de la solicitud de información inicial, realizando nuevos contenidos por lo que no se puede constituir materia del procedimiento a sustanciarse pues dicha petición debió realizarla desde un principio en su escrito inicial de solicitud de información y no en el presente recurso.” Sic.</w:t>
      </w:r>
    </w:p>
    <w:p w14:paraId="50DD5AA2" w14:textId="77777777" w:rsidR="00A1764E" w:rsidRPr="001A5F83" w:rsidRDefault="00A1764E" w:rsidP="001A5F83">
      <w:pPr>
        <w:ind w:left="360"/>
        <w:rPr>
          <w:i/>
        </w:rPr>
      </w:pPr>
    </w:p>
    <w:p w14:paraId="56EAE965" w14:textId="77777777" w:rsidR="00A1764E" w:rsidRPr="001A5F83" w:rsidRDefault="007F06C5" w:rsidP="001A5F83">
      <w:pPr>
        <w:numPr>
          <w:ilvl w:val="0"/>
          <w:numId w:val="1"/>
        </w:numPr>
        <w:pBdr>
          <w:top w:val="nil"/>
          <w:left w:val="nil"/>
          <w:bottom w:val="nil"/>
          <w:right w:val="nil"/>
          <w:between w:val="nil"/>
        </w:pBdr>
        <w:rPr>
          <w:rFonts w:eastAsia="Palatino Linotype" w:cs="Palatino Linotype"/>
          <w:b/>
          <w:i/>
          <w:szCs w:val="22"/>
        </w:rPr>
      </w:pPr>
      <w:r w:rsidRPr="001A5F83">
        <w:rPr>
          <w:rFonts w:eastAsia="Palatino Linotype" w:cs="Palatino Linotype"/>
          <w:b/>
          <w:i/>
          <w:szCs w:val="22"/>
        </w:rPr>
        <w:t>R_AA_SPH_RMyF.pdf</w:t>
      </w:r>
    </w:p>
    <w:p w14:paraId="0D089ACA" w14:textId="77777777" w:rsidR="00A1764E" w:rsidRPr="001A5F83" w:rsidRDefault="007F06C5" w:rsidP="001A5F83">
      <w:pPr>
        <w:ind w:left="360"/>
      </w:pPr>
      <w:r w:rsidRPr="001A5F83">
        <w:t xml:space="preserve">Archivo constante de una página, en la que se contiene el oficio número 228C3101060001L/245/2024 de fecha 06 de diciembre de 2024, suscrito por el Jefe de </w:t>
      </w:r>
      <w:r w:rsidRPr="001A5F83">
        <w:lastRenderedPageBreak/>
        <w:t>Departamento de Recursos Humanos, en el que indica que da contestación al recurso de revisión de mérito.</w:t>
      </w:r>
    </w:p>
    <w:p w14:paraId="1E26FBB8" w14:textId="77777777" w:rsidR="00A1764E" w:rsidRPr="001A5F83" w:rsidRDefault="00A1764E" w:rsidP="001A5F83"/>
    <w:p w14:paraId="58938E7F" w14:textId="77777777" w:rsidR="00A1764E" w:rsidRPr="001A5F83" w:rsidRDefault="007F06C5" w:rsidP="001A5F83">
      <w:r w:rsidRPr="001A5F83">
        <w:t xml:space="preserve">Esta información fue puesta a la vista de </w:t>
      </w:r>
      <w:r w:rsidRPr="001A5F83">
        <w:rPr>
          <w:b/>
        </w:rPr>
        <w:t xml:space="preserve">LA PARTE RECURRENTE </w:t>
      </w:r>
      <w:r w:rsidRPr="001A5F83">
        <w:t xml:space="preserve">el </w:t>
      </w:r>
      <w:r w:rsidRPr="001A5F83">
        <w:rPr>
          <w:b/>
        </w:rPr>
        <w:t>diez de diciembre de dos mil veinticuatro</w:t>
      </w:r>
      <w:r w:rsidRPr="001A5F83">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2FCE7102" w14:textId="77777777" w:rsidR="00A1764E" w:rsidRPr="001A5F83" w:rsidRDefault="00A1764E" w:rsidP="001A5F83"/>
    <w:p w14:paraId="1DD22F86" w14:textId="77777777" w:rsidR="00A1764E" w:rsidRPr="001A5F83" w:rsidRDefault="007F06C5" w:rsidP="001A5F83">
      <w:pPr>
        <w:pStyle w:val="Ttulo3"/>
      </w:pPr>
      <w:bookmarkStart w:id="11" w:name="_heading=h.2s8eyo1" w:colFirst="0" w:colLast="0"/>
      <w:bookmarkEnd w:id="11"/>
      <w:r w:rsidRPr="001A5F83">
        <w:t>e) Manifestaciones de la Parte Recurrente</w:t>
      </w:r>
    </w:p>
    <w:p w14:paraId="2375DA55" w14:textId="77777777" w:rsidR="00A1764E" w:rsidRPr="001A5F83" w:rsidRDefault="007F06C5" w:rsidP="001A5F83">
      <w:r w:rsidRPr="001A5F83">
        <w:rPr>
          <w:b/>
        </w:rPr>
        <w:t xml:space="preserve">LA PARTE RECURRENTE </w:t>
      </w:r>
      <w:r w:rsidRPr="001A5F83">
        <w:t>no realizó manifestación alguna dentro del término legalmente concedido para tal efecto, ni presentó pruebas o alegatos.</w:t>
      </w:r>
    </w:p>
    <w:p w14:paraId="7B45C09F" w14:textId="77777777" w:rsidR="00A1764E" w:rsidRPr="001A5F83" w:rsidRDefault="00A1764E" w:rsidP="001A5F83"/>
    <w:p w14:paraId="3DFB9A7C" w14:textId="77777777" w:rsidR="00A1764E" w:rsidRPr="001A5F83" w:rsidRDefault="007F06C5" w:rsidP="001A5F83">
      <w:pPr>
        <w:pStyle w:val="Ttulo3"/>
      </w:pPr>
      <w:bookmarkStart w:id="12" w:name="_heading=h.17dp8vu" w:colFirst="0" w:colLast="0"/>
      <w:bookmarkEnd w:id="12"/>
      <w:r w:rsidRPr="001A5F83">
        <w:t>f) Cierre de instrucción</w:t>
      </w:r>
    </w:p>
    <w:p w14:paraId="7862514C" w14:textId="77777777" w:rsidR="00A1764E" w:rsidRPr="001A5F83" w:rsidRDefault="007F06C5" w:rsidP="001A5F83">
      <w:r w:rsidRPr="001A5F83">
        <w:t xml:space="preserve">Al no existir diligencias pendientes por desahogar, el </w:t>
      </w:r>
      <w:r w:rsidRPr="001A5F83">
        <w:rPr>
          <w:b/>
        </w:rPr>
        <w:t>diecisiete de diciembre de dos mil veinticuatro,</w:t>
      </w:r>
      <w:r w:rsidRPr="001A5F83">
        <w:t xml:space="preserve"> la </w:t>
      </w:r>
      <w:r w:rsidRPr="001A5F83">
        <w:rPr>
          <w:b/>
        </w:rPr>
        <w:t xml:space="preserve">Comisionada Sharon Cristina Morales Martínez </w:t>
      </w:r>
      <w:r w:rsidRPr="001A5F83">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6ED5D109" w14:textId="77777777" w:rsidR="00A1764E" w:rsidRPr="001A5F83" w:rsidRDefault="00A1764E" w:rsidP="001A5F83"/>
    <w:p w14:paraId="1BC12D00" w14:textId="77777777" w:rsidR="00A1764E" w:rsidRPr="001A5F83" w:rsidRDefault="007F06C5" w:rsidP="001A5F83">
      <w:pPr>
        <w:spacing w:after="160" w:line="259" w:lineRule="auto"/>
        <w:jc w:val="left"/>
        <w:rPr>
          <w:b/>
        </w:rPr>
      </w:pPr>
      <w:r w:rsidRPr="001A5F83">
        <w:br w:type="page"/>
      </w:r>
    </w:p>
    <w:p w14:paraId="5CE80DAC" w14:textId="77777777" w:rsidR="00A1764E" w:rsidRPr="001A5F83" w:rsidRDefault="007F06C5" w:rsidP="001A5F83">
      <w:pPr>
        <w:pStyle w:val="Ttulo1"/>
      </w:pPr>
      <w:bookmarkStart w:id="13" w:name="_heading=h.3rdcrjn" w:colFirst="0" w:colLast="0"/>
      <w:bookmarkEnd w:id="13"/>
      <w:r w:rsidRPr="001A5F83">
        <w:lastRenderedPageBreak/>
        <w:t>CONSIDERANDOS</w:t>
      </w:r>
    </w:p>
    <w:p w14:paraId="4D6173EC" w14:textId="77777777" w:rsidR="00A1764E" w:rsidRPr="001A5F83" w:rsidRDefault="00A1764E" w:rsidP="001A5F83">
      <w:pPr>
        <w:jc w:val="center"/>
        <w:rPr>
          <w:b/>
        </w:rPr>
      </w:pPr>
    </w:p>
    <w:p w14:paraId="2EA908EA" w14:textId="77777777" w:rsidR="00A1764E" w:rsidRPr="001A5F83" w:rsidRDefault="007F06C5" w:rsidP="001A5F83">
      <w:pPr>
        <w:pStyle w:val="Ttulo2"/>
      </w:pPr>
      <w:bookmarkStart w:id="14" w:name="_heading=h.26in1rg" w:colFirst="0" w:colLast="0"/>
      <w:bookmarkEnd w:id="14"/>
      <w:r w:rsidRPr="001A5F83">
        <w:t xml:space="preserve">PRIMERO. </w:t>
      </w:r>
      <w:proofErr w:type="spellStart"/>
      <w:r w:rsidRPr="001A5F83">
        <w:t>Procedibilidad</w:t>
      </w:r>
      <w:proofErr w:type="spellEnd"/>
    </w:p>
    <w:p w14:paraId="25C7CD3B" w14:textId="77777777" w:rsidR="00A1764E" w:rsidRPr="001A5F83" w:rsidRDefault="007F06C5" w:rsidP="001A5F83">
      <w:pPr>
        <w:pStyle w:val="Ttulo3"/>
      </w:pPr>
      <w:bookmarkStart w:id="15" w:name="_heading=h.lnxbz9" w:colFirst="0" w:colLast="0"/>
      <w:bookmarkEnd w:id="15"/>
      <w:r w:rsidRPr="001A5F83">
        <w:t>a) Competencia del Instituto</w:t>
      </w:r>
    </w:p>
    <w:p w14:paraId="7D190A33" w14:textId="77777777" w:rsidR="00A1764E" w:rsidRPr="001A5F83" w:rsidRDefault="007F06C5" w:rsidP="001A5F83">
      <w:r w:rsidRPr="001A5F83">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44A94874" w14:textId="77777777" w:rsidR="00A1764E" w:rsidRPr="001A5F83" w:rsidRDefault="00A1764E" w:rsidP="001A5F83"/>
    <w:p w14:paraId="2D4D62C8" w14:textId="77777777" w:rsidR="00A1764E" w:rsidRPr="001A5F83" w:rsidRDefault="007F06C5" w:rsidP="001A5F83">
      <w:pPr>
        <w:pStyle w:val="Ttulo3"/>
      </w:pPr>
      <w:bookmarkStart w:id="16" w:name="_heading=h.35nkun2" w:colFirst="0" w:colLast="0"/>
      <w:bookmarkEnd w:id="16"/>
      <w:r w:rsidRPr="001A5F83">
        <w:t>b) Legitimidad de la parte recurrente</w:t>
      </w:r>
    </w:p>
    <w:p w14:paraId="0CD367EE" w14:textId="77777777" w:rsidR="00A1764E" w:rsidRPr="001A5F83" w:rsidRDefault="007F06C5" w:rsidP="001A5F83">
      <w:r w:rsidRPr="001A5F83">
        <w:t>El recurso de revisión fue interpuesto por parte legítima, ya que se presentó por la misma persona que formuló la solicitud de acceso a la Información Pública,</w:t>
      </w:r>
      <w:r w:rsidRPr="001A5F83">
        <w:rPr>
          <w:b/>
        </w:rPr>
        <w:t xml:space="preserve"> </w:t>
      </w:r>
      <w:r w:rsidRPr="001A5F83">
        <w:t>debido a que los datos de acceso</w:t>
      </w:r>
      <w:r w:rsidRPr="001A5F83">
        <w:rPr>
          <w:b/>
        </w:rPr>
        <w:t xml:space="preserve"> SAIMEX</w:t>
      </w:r>
      <w:r w:rsidRPr="001A5F83">
        <w:t xml:space="preserve"> son personales e irrepetibles.</w:t>
      </w:r>
    </w:p>
    <w:p w14:paraId="2546BDB3" w14:textId="77777777" w:rsidR="00A1764E" w:rsidRPr="001A5F83" w:rsidRDefault="00A1764E" w:rsidP="001A5F83"/>
    <w:p w14:paraId="25E84443" w14:textId="77777777" w:rsidR="00A1764E" w:rsidRPr="001A5F83" w:rsidRDefault="007F06C5" w:rsidP="001A5F83">
      <w:pPr>
        <w:pStyle w:val="Ttulo3"/>
      </w:pPr>
      <w:bookmarkStart w:id="17" w:name="_heading=h.1ksv4uv" w:colFirst="0" w:colLast="0"/>
      <w:bookmarkEnd w:id="17"/>
      <w:r w:rsidRPr="001A5F83">
        <w:t>c) Plazo para interponer el recurso</w:t>
      </w:r>
    </w:p>
    <w:p w14:paraId="5A8F75B6" w14:textId="77777777" w:rsidR="00A1764E" w:rsidRPr="001A5F83" w:rsidRDefault="007F06C5" w:rsidP="001A5F83">
      <w:r w:rsidRPr="001A5F83">
        <w:rPr>
          <w:b/>
        </w:rPr>
        <w:t>EL SUJETO OBLIGADO</w:t>
      </w:r>
      <w:r w:rsidRPr="001A5F83">
        <w:t xml:space="preserve"> notificó la respuesta a la solicitud de acceso a la Información Pública el </w:t>
      </w:r>
      <w:r w:rsidRPr="001A5F83">
        <w:rPr>
          <w:b/>
        </w:rPr>
        <w:t>cinco de noviembre de dos mil veinticuatro</w:t>
      </w:r>
      <w:r w:rsidRPr="001A5F83">
        <w:t xml:space="preserve"> y el recurso que nos ocupa se tuvo por presentado el </w:t>
      </w:r>
      <w:r w:rsidRPr="001A5F83">
        <w:rPr>
          <w:b/>
        </w:rPr>
        <w:t>veintiséis de noviembre de dos mil veinticuatro</w:t>
      </w:r>
      <w:r w:rsidRPr="001A5F83">
        <w:t xml:space="preserve">; por lo tanto, éste se encuentra </w:t>
      </w:r>
      <w:r w:rsidRPr="001A5F83">
        <w:lastRenderedPageBreak/>
        <w:t>dentro del margen temporal previsto en el artículo 178 de la Ley de Transparencia y Acceso a la Información Pública del Estado de México y Municipios.</w:t>
      </w:r>
    </w:p>
    <w:p w14:paraId="4CA3A9DF" w14:textId="77777777" w:rsidR="00A1764E" w:rsidRPr="001A5F83" w:rsidRDefault="00A1764E" w:rsidP="001A5F83"/>
    <w:p w14:paraId="3DB8B949" w14:textId="77777777" w:rsidR="00A1764E" w:rsidRPr="001A5F83" w:rsidRDefault="007F06C5" w:rsidP="001A5F83">
      <w:pPr>
        <w:pStyle w:val="Ttulo3"/>
      </w:pPr>
      <w:bookmarkStart w:id="18" w:name="_heading=h.44sinio" w:colFirst="0" w:colLast="0"/>
      <w:bookmarkEnd w:id="18"/>
      <w:r w:rsidRPr="001A5F83">
        <w:t>d) Causal de Procedencia</w:t>
      </w:r>
    </w:p>
    <w:p w14:paraId="72A90739" w14:textId="77777777" w:rsidR="00A1764E" w:rsidRPr="001A5F83" w:rsidRDefault="007F06C5" w:rsidP="001A5F83">
      <w:r w:rsidRPr="001A5F83">
        <w:t>Resulta procedente la interposición del recurso de revisión, ya que se actualiza la causal de procedencia señalada en el artículo 179, fracción I de la Ley de Transparencia y Acceso a la Información Pública del Estado de México y Municipios.</w:t>
      </w:r>
    </w:p>
    <w:p w14:paraId="59871083" w14:textId="77777777" w:rsidR="00A1764E" w:rsidRPr="001A5F83" w:rsidRDefault="00A1764E" w:rsidP="001A5F83"/>
    <w:p w14:paraId="2D9166B4" w14:textId="77777777" w:rsidR="00A1764E" w:rsidRPr="001A5F83" w:rsidRDefault="007F06C5" w:rsidP="001A5F83">
      <w:pPr>
        <w:pStyle w:val="Ttulo3"/>
      </w:pPr>
      <w:bookmarkStart w:id="19" w:name="_heading=h.2jxsxqh" w:colFirst="0" w:colLast="0"/>
      <w:bookmarkEnd w:id="19"/>
      <w:r w:rsidRPr="001A5F83">
        <w:t>e) Requisitos formales para la interposición del recurso</w:t>
      </w:r>
    </w:p>
    <w:p w14:paraId="3E1DDD8F" w14:textId="77777777" w:rsidR="00A1764E" w:rsidRPr="001A5F83" w:rsidRDefault="007F06C5" w:rsidP="001A5F83">
      <w:r w:rsidRPr="001A5F83">
        <w:t xml:space="preserve">Es importante mencionar que, de la revisión del expediente electrónico del </w:t>
      </w:r>
      <w:r w:rsidRPr="001A5F83">
        <w:rPr>
          <w:b/>
        </w:rPr>
        <w:t>SAIMEX</w:t>
      </w:r>
      <w:r w:rsidRPr="001A5F83">
        <w:t xml:space="preserve">, se observa que </w:t>
      </w:r>
      <w:r w:rsidRPr="001A5F83">
        <w:rPr>
          <w:b/>
        </w:rPr>
        <w:t>LA PARTE RECURRENTE</w:t>
      </w:r>
      <w:r w:rsidRPr="001A5F83">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1A5F83">
        <w:rPr>
          <w:b/>
          <w:u w:val="single"/>
        </w:rPr>
        <w:t>el nombre no es un requisito indispensable</w:t>
      </w:r>
      <w:r w:rsidRPr="001A5F83">
        <w:t xml:space="preserve"> para que las y los ciudadanos ejerzan el derecho de acceso a la información pública. </w:t>
      </w:r>
    </w:p>
    <w:p w14:paraId="1AC98C72" w14:textId="77777777" w:rsidR="00A1764E" w:rsidRPr="001A5F83" w:rsidRDefault="00A1764E" w:rsidP="001A5F83"/>
    <w:p w14:paraId="411DAE8E" w14:textId="77777777" w:rsidR="00A1764E" w:rsidRPr="001A5F83" w:rsidRDefault="007F06C5" w:rsidP="001A5F83">
      <w:r w:rsidRPr="001A5F83">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1A5F83">
        <w:rPr>
          <w:b/>
        </w:rPr>
        <w:t>LA PARTE RECURRENTE</w:t>
      </w:r>
      <w:r w:rsidRPr="001A5F83">
        <w:t xml:space="preserve">; por lo que, en el presente caso, al haber sido presentado el recurso de revisión vía </w:t>
      </w:r>
      <w:r w:rsidRPr="001A5F83">
        <w:rPr>
          <w:b/>
        </w:rPr>
        <w:t>SAIMEX</w:t>
      </w:r>
      <w:r w:rsidRPr="001A5F83">
        <w:t>, dicho requisito resulta innecesario.</w:t>
      </w:r>
    </w:p>
    <w:p w14:paraId="646EB3C8" w14:textId="77777777" w:rsidR="00A1764E" w:rsidRPr="001A5F83" w:rsidRDefault="007F06C5" w:rsidP="001A5F83">
      <w:pPr>
        <w:pStyle w:val="Ttulo2"/>
      </w:pPr>
      <w:bookmarkStart w:id="20" w:name="_heading=h.z337ya" w:colFirst="0" w:colLast="0"/>
      <w:bookmarkEnd w:id="20"/>
      <w:r w:rsidRPr="001A5F83">
        <w:lastRenderedPageBreak/>
        <w:t>SEGUNDO. Estudio de Fondo</w:t>
      </w:r>
    </w:p>
    <w:p w14:paraId="05F3FE37" w14:textId="77777777" w:rsidR="00A1764E" w:rsidRPr="001A5F83" w:rsidRDefault="007F06C5" w:rsidP="001A5F83">
      <w:pPr>
        <w:pStyle w:val="Ttulo3"/>
      </w:pPr>
      <w:bookmarkStart w:id="21" w:name="_heading=h.3j2qqm3" w:colFirst="0" w:colLast="0"/>
      <w:bookmarkEnd w:id="21"/>
      <w:r w:rsidRPr="001A5F83">
        <w:t>a) Mandato de transparencia y responsabilidad del Sujeto Obligado</w:t>
      </w:r>
    </w:p>
    <w:p w14:paraId="7C6C2F6F" w14:textId="77777777" w:rsidR="00A1764E" w:rsidRPr="001A5F83" w:rsidRDefault="007F06C5" w:rsidP="001A5F83">
      <w:r w:rsidRPr="001A5F83">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5D64C303" w14:textId="77777777" w:rsidR="00A1764E" w:rsidRPr="001A5F83" w:rsidRDefault="00A1764E" w:rsidP="001A5F83"/>
    <w:p w14:paraId="7D9A3682" w14:textId="77777777" w:rsidR="00A1764E" w:rsidRPr="001A5F83" w:rsidRDefault="007F06C5" w:rsidP="001A5F83">
      <w:pPr>
        <w:spacing w:line="240" w:lineRule="auto"/>
        <w:ind w:left="567" w:right="539"/>
        <w:rPr>
          <w:b/>
          <w:i/>
        </w:rPr>
      </w:pPr>
      <w:r w:rsidRPr="001A5F83">
        <w:rPr>
          <w:b/>
          <w:i/>
        </w:rPr>
        <w:t>Constitución Política de los Estados Unidos Mexicanos</w:t>
      </w:r>
    </w:p>
    <w:p w14:paraId="202A1310" w14:textId="77777777" w:rsidR="00A1764E" w:rsidRPr="001A5F83" w:rsidRDefault="007F06C5" w:rsidP="001A5F83">
      <w:pPr>
        <w:spacing w:line="240" w:lineRule="auto"/>
        <w:ind w:left="567" w:right="539"/>
        <w:rPr>
          <w:b/>
          <w:i/>
        </w:rPr>
      </w:pPr>
      <w:r w:rsidRPr="001A5F83">
        <w:rPr>
          <w:b/>
          <w:i/>
        </w:rPr>
        <w:t>“Artículo 6.</w:t>
      </w:r>
    </w:p>
    <w:p w14:paraId="092A0DC7" w14:textId="77777777" w:rsidR="00A1764E" w:rsidRPr="001A5F83" w:rsidRDefault="007F06C5" w:rsidP="001A5F83">
      <w:pPr>
        <w:spacing w:line="240" w:lineRule="auto"/>
        <w:ind w:left="567" w:right="539"/>
        <w:rPr>
          <w:i/>
        </w:rPr>
      </w:pPr>
      <w:r w:rsidRPr="001A5F83">
        <w:rPr>
          <w:i/>
        </w:rPr>
        <w:t>(…)</w:t>
      </w:r>
    </w:p>
    <w:p w14:paraId="2D5F5147" w14:textId="77777777" w:rsidR="00A1764E" w:rsidRPr="001A5F83" w:rsidRDefault="007F06C5" w:rsidP="001A5F83">
      <w:pPr>
        <w:spacing w:line="240" w:lineRule="auto"/>
        <w:ind w:left="567" w:right="539"/>
        <w:rPr>
          <w:i/>
        </w:rPr>
      </w:pPr>
      <w:r w:rsidRPr="001A5F83">
        <w:rPr>
          <w:i/>
        </w:rPr>
        <w:t>Para efectos de lo dispuesto en el presente artículo se observará lo siguiente:</w:t>
      </w:r>
    </w:p>
    <w:p w14:paraId="3CBDDD4C" w14:textId="77777777" w:rsidR="00A1764E" w:rsidRPr="001A5F83" w:rsidRDefault="007F06C5" w:rsidP="001A5F83">
      <w:pPr>
        <w:spacing w:line="240" w:lineRule="auto"/>
        <w:ind w:left="567" w:right="539"/>
        <w:rPr>
          <w:b/>
          <w:i/>
        </w:rPr>
      </w:pPr>
      <w:r w:rsidRPr="001A5F83">
        <w:rPr>
          <w:b/>
          <w:i/>
        </w:rPr>
        <w:t>A</w:t>
      </w:r>
      <w:r w:rsidRPr="001A5F83">
        <w:rPr>
          <w:i/>
        </w:rPr>
        <w:t xml:space="preserve">. </w:t>
      </w:r>
      <w:r w:rsidRPr="001A5F83">
        <w:rPr>
          <w:b/>
          <w:i/>
        </w:rPr>
        <w:t>Para el ejercicio del derecho de acceso a la información</w:t>
      </w:r>
      <w:r w:rsidRPr="001A5F83">
        <w:rPr>
          <w:i/>
        </w:rPr>
        <w:t xml:space="preserve">, la Federación y </w:t>
      </w:r>
      <w:r w:rsidRPr="001A5F83">
        <w:rPr>
          <w:b/>
          <w:i/>
        </w:rPr>
        <w:t>las entidades federativas, en el ámbito de sus respectivas competencias, se regirán por los siguientes principios y bases:</w:t>
      </w:r>
    </w:p>
    <w:p w14:paraId="5ADF718B" w14:textId="77777777" w:rsidR="00A1764E" w:rsidRPr="001A5F83" w:rsidRDefault="007F06C5" w:rsidP="001A5F83">
      <w:pPr>
        <w:spacing w:line="240" w:lineRule="auto"/>
        <w:ind w:left="567" w:right="539"/>
        <w:rPr>
          <w:i/>
        </w:rPr>
      </w:pPr>
      <w:r w:rsidRPr="001A5F83">
        <w:rPr>
          <w:b/>
          <w:i/>
        </w:rPr>
        <w:t xml:space="preserve">I. </w:t>
      </w:r>
      <w:r w:rsidRPr="001A5F83">
        <w:rPr>
          <w:b/>
          <w:i/>
        </w:rPr>
        <w:tab/>
        <w:t>Toda la información en posesión de cualquier</w:t>
      </w:r>
      <w:r w:rsidRPr="001A5F83">
        <w:rPr>
          <w:i/>
        </w:rPr>
        <w:t xml:space="preserve"> </w:t>
      </w:r>
      <w:r w:rsidRPr="001A5F83">
        <w:rPr>
          <w:b/>
          <w:i/>
        </w:rPr>
        <w:t>autoridad</w:t>
      </w:r>
      <w:r w:rsidRPr="001A5F83">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1A5F83">
        <w:rPr>
          <w:b/>
          <w:i/>
        </w:rPr>
        <w:t>municipal</w:t>
      </w:r>
      <w:r w:rsidRPr="001A5F83">
        <w:rPr>
          <w:i/>
        </w:rPr>
        <w:t xml:space="preserve">, </w:t>
      </w:r>
      <w:r w:rsidRPr="001A5F83">
        <w:rPr>
          <w:b/>
          <w:i/>
        </w:rPr>
        <w:t>es pública</w:t>
      </w:r>
      <w:r w:rsidRPr="001A5F83">
        <w:rPr>
          <w:i/>
        </w:rPr>
        <w:t xml:space="preserve"> y sólo podrá ser reservada temporalmente por razones de interés público y seguridad nacional, en los términos que fijen las leyes. </w:t>
      </w:r>
      <w:r w:rsidRPr="001A5F83">
        <w:rPr>
          <w:b/>
          <w:i/>
        </w:rPr>
        <w:t>En la interpretación de este derecho deberá prevalecer el principio de máxima publicidad. Los sujetos obligados deberán documentar todo acto que derive del ejercicio de sus facultades, competencias o funciones</w:t>
      </w:r>
      <w:r w:rsidRPr="001A5F83">
        <w:rPr>
          <w:i/>
        </w:rPr>
        <w:t>, la ley determinará los supuestos específicos bajo los cuales procederá la declaración de inexistencia de la información.”</w:t>
      </w:r>
    </w:p>
    <w:p w14:paraId="4913BF88" w14:textId="77777777" w:rsidR="00A1764E" w:rsidRPr="001A5F83" w:rsidRDefault="00A1764E" w:rsidP="001A5F83">
      <w:pPr>
        <w:spacing w:line="240" w:lineRule="auto"/>
        <w:ind w:left="567" w:right="539"/>
        <w:rPr>
          <w:b/>
          <w:i/>
        </w:rPr>
      </w:pPr>
    </w:p>
    <w:p w14:paraId="15A79CAD" w14:textId="77777777" w:rsidR="00A1764E" w:rsidRPr="001A5F83" w:rsidRDefault="007F06C5" w:rsidP="001A5F83">
      <w:pPr>
        <w:spacing w:line="240" w:lineRule="auto"/>
        <w:ind w:left="567" w:right="539"/>
        <w:rPr>
          <w:b/>
          <w:i/>
        </w:rPr>
      </w:pPr>
      <w:r w:rsidRPr="001A5F83">
        <w:rPr>
          <w:b/>
          <w:i/>
        </w:rPr>
        <w:t>Constitución Política del Estado Libre y Soberano de México</w:t>
      </w:r>
    </w:p>
    <w:p w14:paraId="5A324B46" w14:textId="77777777" w:rsidR="00A1764E" w:rsidRPr="001A5F83" w:rsidRDefault="007F06C5" w:rsidP="001A5F83">
      <w:pPr>
        <w:spacing w:line="240" w:lineRule="auto"/>
        <w:ind w:left="567" w:right="539"/>
        <w:rPr>
          <w:i/>
        </w:rPr>
      </w:pPr>
      <w:r w:rsidRPr="001A5F83">
        <w:rPr>
          <w:b/>
          <w:i/>
        </w:rPr>
        <w:t>“Artículo 5</w:t>
      </w:r>
      <w:r w:rsidRPr="001A5F83">
        <w:rPr>
          <w:i/>
        </w:rPr>
        <w:t xml:space="preserve">.- </w:t>
      </w:r>
    </w:p>
    <w:p w14:paraId="567E9FA2" w14:textId="77777777" w:rsidR="00A1764E" w:rsidRPr="001A5F83" w:rsidRDefault="007F06C5" w:rsidP="001A5F83">
      <w:pPr>
        <w:spacing w:line="240" w:lineRule="auto"/>
        <w:ind w:left="567" w:right="539"/>
        <w:rPr>
          <w:i/>
        </w:rPr>
      </w:pPr>
      <w:r w:rsidRPr="001A5F83">
        <w:rPr>
          <w:i/>
        </w:rPr>
        <w:t>(…)</w:t>
      </w:r>
    </w:p>
    <w:p w14:paraId="52BEF692" w14:textId="77777777" w:rsidR="00A1764E" w:rsidRPr="001A5F83" w:rsidRDefault="007F06C5" w:rsidP="001A5F83">
      <w:pPr>
        <w:spacing w:line="240" w:lineRule="auto"/>
        <w:ind w:left="567" w:right="539"/>
        <w:rPr>
          <w:i/>
        </w:rPr>
      </w:pPr>
      <w:r w:rsidRPr="001A5F83">
        <w:rPr>
          <w:b/>
          <w:i/>
        </w:rPr>
        <w:t>El derecho a la información será garantizado por el Estado. La ley establecerá las previsiones que permitan asegurar la protección, el respeto y la difusión de este derecho</w:t>
      </w:r>
      <w:r w:rsidRPr="001A5F83">
        <w:rPr>
          <w:i/>
        </w:rPr>
        <w:t>.</w:t>
      </w:r>
    </w:p>
    <w:p w14:paraId="03062E63" w14:textId="77777777" w:rsidR="00A1764E" w:rsidRPr="001A5F83" w:rsidRDefault="007F06C5" w:rsidP="001A5F83">
      <w:pPr>
        <w:spacing w:line="240" w:lineRule="auto"/>
        <w:ind w:left="567" w:right="539"/>
        <w:rPr>
          <w:i/>
        </w:rPr>
      </w:pPr>
      <w:r w:rsidRPr="001A5F83">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1F2E3C4C" w14:textId="77777777" w:rsidR="00A1764E" w:rsidRPr="001A5F83" w:rsidRDefault="007F06C5" w:rsidP="001A5F83">
      <w:pPr>
        <w:spacing w:line="240" w:lineRule="auto"/>
        <w:ind w:left="567" w:right="539"/>
        <w:rPr>
          <w:i/>
        </w:rPr>
      </w:pPr>
      <w:r w:rsidRPr="001A5F83">
        <w:rPr>
          <w:b/>
          <w:i/>
        </w:rPr>
        <w:t>Este derecho se regirá por los principios y bases siguientes</w:t>
      </w:r>
      <w:r w:rsidRPr="001A5F83">
        <w:rPr>
          <w:i/>
        </w:rPr>
        <w:t>:</w:t>
      </w:r>
    </w:p>
    <w:p w14:paraId="4BCBE928" w14:textId="77777777" w:rsidR="00A1764E" w:rsidRPr="001A5F83" w:rsidRDefault="007F06C5" w:rsidP="001A5F83">
      <w:pPr>
        <w:spacing w:line="240" w:lineRule="auto"/>
        <w:ind w:left="567" w:right="539"/>
        <w:rPr>
          <w:i/>
        </w:rPr>
      </w:pPr>
      <w:r w:rsidRPr="001A5F83">
        <w:rPr>
          <w:b/>
          <w:i/>
        </w:rPr>
        <w:lastRenderedPageBreak/>
        <w:t>I. Toda la información en posesión de cualquier autoridad, entidad, órgano y organismos de los</w:t>
      </w:r>
      <w:r w:rsidRPr="001A5F83">
        <w:rPr>
          <w:i/>
        </w:rPr>
        <w:t xml:space="preserve"> Poderes Ejecutivo, Legislativo y Judicial, órganos autónomos, partidos políticos, fideicomisos y fondos públicos estatales y </w:t>
      </w:r>
      <w:r w:rsidRPr="001A5F83">
        <w:rPr>
          <w:b/>
          <w:i/>
        </w:rPr>
        <w:t>municipales</w:t>
      </w:r>
      <w:r w:rsidRPr="001A5F83">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1A5F83">
        <w:rPr>
          <w:b/>
          <w:i/>
        </w:rPr>
        <w:t>es pública</w:t>
      </w:r>
      <w:r w:rsidRPr="001A5F83">
        <w:rPr>
          <w:i/>
        </w:rPr>
        <w:t xml:space="preserve"> y sólo podrá ser reservada temporalmente por razones previstas en la Constitución Política de los Estados Unidos Mexicanos de interés público y seguridad, en los términos que fijen las leyes. </w:t>
      </w:r>
      <w:r w:rsidRPr="001A5F83">
        <w:rPr>
          <w:b/>
          <w:i/>
        </w:rPr>
        <w:t>En la interpretación de este derecho deberá prevalecer el principio de máxima publicidad</w:t>
      </w:r>
      <w:r w:rsidRPr="001A5F83">
        <w:rPr>
          <w:i/>
        </w:rPr>
        <w:t xml:space="preserve">. </w:t>
      </w:r>
      <w:r w:rsidRPr="001A5F83">
        <w:rPr>
          <w:b/>
          <w:i/>
        </w:rPr>
        <w:t>Los sujetos obligados deberán documentar todo acto que derive del ejercicio de sus facultades, competencias o funciones</w:t>
      </w:r>
      <w:r w:rsidRPr="001A5F83">
        <w:rPr>
          <w:i/>
        </w:rPr>
        <w:t>, la ley determinará los supuestos específicos bajo los cuales procederá la declaración de inexistencia de la información.”</w:t>
      </w:r>
    </w:p>
    <w:p w14:paraId="68BC8131" w14:textId="77777777" w:rsidR="00A1764E" w:rsidRPr="001A5F83" w:rsidRDefault="00A1764E" w:rsidP="001A5F83">
      <w:pPr>
        <w:rPr>
          <w:b/>
          <w:i/>
        </w:rPr>
      </w:pPr>
    </w:p>
    <w:p w14:paraId="22B51097" w14:textId="77777777" w:rsidR="00A1764E" w:rsidRPr="001A5F83" w:rsidRDefault="007F06C5" w:rsidP="001A5F83">
      <w:pPr>
        <w:rPr>
          <w:i/>
        </w:rPr>
      </w:pPr>
      <w:r w:rsidRPr="001A5F83">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1A5F83">
        <w:rPr>
          <w:i/>
        </w:rPr>
        <w:t>por los principios de simplicidad, rapidez, gratuidad del procedimiento, auxilio y orientación a los particulares.</w:t>
      </w:r>
    </w:p>
    <w:p w14:paraId="174A37E4" w14:textId="77777777" w:rsidR="00A1764E" w:rsidRPr="001A5F83" w:rsidRDefault="00A1764E" w:rsidP="001A5F83">
      <w:pPr>
        <w:rPr>
          <w:i/>
        </w:rPr>
      </w:pPr>
    </w:p>
    <w:p w14:paraId="154EE0CD" w14:textId="77777777" w:rsidR="00A1764E" w:rsidRPr="001A5F83" w:rsidRDefault="007F06C5" w:rsidP="001A5F83">
      <w:pPr>
        <w:rPr>
          <w:i/>
        </w:rPr>
      </w:pPr>
      <w:r w:rsidRPr="001A5F83">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0E12CA14" w14:textId="77777777" w:rsidR="00A1764E" w:rsidRPr="001A5F83" w:rsidRDefault="00A1764E" w:rsidP="001A5F83"/>
    <w:p w14:paraId="01DF1E30" w14:textId="77777777" w:rsidR="00A1764E" w:rsidRPr="001A5F83" w:rsidRDefault="007F06C5" w:rsidP="001A5F83">
      <w:r w:rsidRPr="001A5F83">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6795BE66" w14:textId="77777777" w:rsidR="00A1764E" w:rsidRPr="001A5F83" w:rsidRDefault="00A1764E" w:rsidP="001A5F83"/>
    <w:p w14:paraId="76B63A47" w14:textId="77777777" w:rsidR="00A1764E" w:rsidRPr="001A5F83" w:rsidRDefault="007F06C5" w:rsidP="001A5F83">
      <w:r w:rsidRPr="001A5F83">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47E6A3DD" w14:textId="77777777" w:rsidR="00A1764E" w:rsidRPr="001A5F83" w:rsidRDefault="00A1764E" w:rsidP="001A5F83"/>
    <w:p w14:paraId="762928AD" w14:textId="77777777" w:rsidR="00A1764E" w:rsidRPr="001A5F83" w:rsidRDefault="007F06C5" w:rsidP="001A5F83">
      <w:r w:rsidRPr="001A5F83">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240A7B6C" w14:textId="77777777" w:rsidR="00A1764E" w:rsidRPr="001A5F83" w:rsidRDefault="00A1764E" w:rsidP="001A5F83"/>
    <w:p w14:paraId="412D9A67" w14:textId="77777777" w:rsidR="00A1764E" w:rsidRPr="001A5F83" w:rsidRDefault="007F06C5" w:rsidP="001A5F83">
      <w:pPr>
        <w:pStyle w:val="Ttulo3"/>
      </w:pPr>
      <w:bookmarkStart w:id="22" w:name="_heading=h.1y810tw" w:colFirst="0" w:colLast="0"/>
      <w:bookmarkEnd w:id="22"/>
      <w:r w:rsidRPr="001A5F83">
        <w:t>b) Controversia a resolver</w:t>
      </w:r>
    </w:p>
    <w:p w14:paraId="0D8935CA" w14:textId="77777777" w:rsidR="00A1764E" w:rsidRPr="001A5F83" w:rsidRDefault="007F06C5" w:rsidP="001A5F83">
      <w:r w:rsidRPr="001A5F83">
        <w:t xml:space="preserve">Con el objeto de ilustrar la controversia planteada, resulta conveniente precisar que, una vez realizado el estudio de las constancias que integran el expediente en que se actúa, se desprende que </w:t>
      </w:r>
      <w:r w:rsidRPr="001A5F83">
        <w:rPr>
          <w:b/>
        </w:rPr>
        <w:t>LA PARTE RECURRENTE</w:t>
      </w:r>
      <w:r w:rsidRPr="001A5F83">
        <w:t xml:space="preserve"> solicitó:</w:t>
      </w:r>
    </w:p>
    <w:p w14:paraId="63E14E16" w14:textId="77777777" w:rsidR="00A1764E" w:rsidRPr="001A5F83" w:rsidRDefault="00A1764E" w:rsidP="001A5F83"/>
    <w:p w14:paraId="557D9BAD" w14:textId="77777777" w:rsidR="00A1764E" w:rsidRPr="001A5F83" w:rsidRDefault="007F06C5" w:rsidP="001A5F83">
      <w:proofErr w:type="gramStart"/>
      <w:r w:rsidRPr="001A5F83">
        <w:t>Los contratos pedido</w:t>
      </w:r>
      <w:proofErr w:type="gramEnd"/>
      <w:r w:rsidRPr="001A5F83">
        <w:t xml:space="preserve"> de los gastos erogados para el festejo de los quince años de la universidad.</w:t>
      </w:r>
    </w:p>
    <w:p w14:paraId="4ECA1516" w14:textId="77777777" w:rsidR="00A1764E" w:rsidRPr="001A5F83" w:rsidRDefault="00A1764E" w:rsidP="001A5F83"/>
    <w:p w14:paraId="3997D3A5" w14:textId="77777777" w:rsidR="00A1764E" w:rsidRPr="001A5F83" w:rsidRDefault="007F06C5" w:rsidP="001A5F83">
      <w:pPr>
        <w:tabs>
          <w:tab w:val="left" w:pos="4962"/>
        </w:tabs>
      </w:pPr>
      <w:r w:rsidRPr="001A5F83">
        <w:t xml:space="preserve">En respuesta, </w:t>
      </w:r>
      <w:r w:rsidRPr="001A5F83">
        <w:rPr>
          <w:b/>
        </w:rPr>
        <w:t>EL SUJETO OBLIGADO</w:t>
      </w:r>
      <w:r w:rsidRPr="001A5F83">
        <w:t xml:space="preserve"> manifestó por medio del Jefe del Departamento de Recursos Materiales y Financieros, que los gastos realizados para el festejo señalado, ninguno de ellos rebasan el tope de UMAS establecido en el Reglamento de la Ley de Adquisiciones, </w:t>
      </w:r>
      <w:r w:rsidRPr="001A5F83">
        <w:lastRenderedPageBreak/>
        <w:t>Arrendamientos y Servicios del Sector Público, razón por la cual no se realizó ningún contrato pedido al respecto.</w:t>
      </w:r>
    </w:p>
    <w:p w14:paraId="109F34F0" w14:textId="77777777" w:rsidR="00A1764E" w:rsidRPr="001A5F83" w:rsidRDefault="00A1764E" w:rsidP="001A5F83">
      <w:pPr>
        <w:tabs>
          <w:tab w:val="left" w:pos="4962"/>
        </w:tabs>
      </w:pPr>
    </w:p>
    <w:p w14:paraId="46BEA66A" w14:textId="77777777" w:rsidR="00A1764E" w:rsidRPr="001A5F83" w:rsidRDefault="007F06C5" w:rsidP="001A5F83">
      <w:pPr>
        <w:tabs>
          <w:tab w:val="left" w:pos="4962"/>
        </w:tabs>
      </w:pPr>
      <w:r w:rsidRPr="001A5F83">
        <w:t xml:space="preserve">Ahora bien, en la interposición del presente recurso </w:t>
      </w:r>
      <w:r w:rsidRPr="001A5F83">
        <w:rPr>
          <w:b/>
        </w:rPr>
        <w:t>LA PARTE RECURRENTE</w:t>
      </w:r>
      <w:r w:rsidRPr="001A5F83">
        <w:t xml:space="preserve"> se inconformó porque </w:t>
      </w:r>
      <w:r w:rsidRPr="001A5F83">
        <w:rPr>
          <w:b/>
        </w:rPr>
        <w:t xml:space="preserve">EL SUJETO OBLIGADO </w:t>
      </w:r>
      <w:r w:rsidRPr="001A5F83">
        <w:t xml:space="preserve">no le proporcionó la información requerida. </w:t>
      </w:r>
    </w:p>
    <w:p w14:paraId="1B031870" w14:textId="77777777" w:rsidR="00A1764E" w:rsidRPr="001A5F83" w:rsidRDefault="00A1764E" w:rsidP="001A5F83">
      <w:pPr>
        <w:tabs>
          <w:tab w:val="left" w:pos="4962"/>
        </w:tabs>
      </w:pPr>
    </w:p>
    <w:p w14:paraId="60CD31B0" w14:textId="77777777" w:rsidR="00A1764E" w:rsidRPr="001A5F83" w:rsidRDefault="007F06C5" w:rsidP="001A5F83">
      <w:pPr>
        <w:tabs>
          <w:tab w:val="left" w:pos="4962"/>
        </w:tabs>
      </w:pPr>
      <w:r w:rsidRPr="001A5F83">
        <w:t xml:space="preserve">Abierta la etapa de instrucción, </w:t>
      </w:r>
      <w:r w:rsidRPr="001A5F83">
        <w:rPr>
          <w:b/>
        </w:rPr>
        <w:t>EL SUJETO OBLIGADO</w:t>
      </w:r>
      <w:r w:rsidRPr="001A5F83">
        <w:t xml:space="preserve"> rindió su Informe Justificado, en el que de manera general ratificó su respuesta primigenia y se pronunció respecto de los motivos de inconformidad; así como </w:t>
      </w:r>
      <w:r w:rsidRPr="001A5F83">
        <w:rPr>
          <w:b/>
        </w:rPr>
        <w:t xml:space="preserve">LA PARTE RECURRENTE </w:t>
      </w:r>
      <w:r w:rsidRPr="001A5F83">
        <w:t>no</w:t>
      </w:r>
      <w:r w:rsidRPr="001A5F83">
        <w:rPr>
          <w:b/>
        </w:rPr>
        <w:t xml:space="preserve"> </w:t>
      </w:r>
      <w:r w:rsidRPr="001A5F83">
        <w:t>realizó manifestación alguna que a su derecho conviniera.</w:t>
      </w:r>
    </w:p>
    <w:p w14:paraId="3AF82533" w14:textId="77777777" w:rsidR="00A1764E" w:rsidRPr="001A5F83" w:rsidRDefault="00A1764E" w:rsidP="001A5F83"/>
    <w:p w14:paraId="5CB7DD75" w14:textId="77777777" w:rsidR="00A1764E" w:rsidRPr="001A5F83" w:rsidRDefault="007F06C5" w:rsidP="001A5F83">
      <w:pPr>
        <w:ind w:right="-312"/>
        <w:rPr>
          <w:b/>
        </w:rPr>
      </w:pPr>
      <w:bookmarkStart w:id="23" w:name="_heading=h.4i7ojhp" w:colFirst="0" w:colLast="0"/>
      <w:bookmarkEnd w:id="23"/>
      <w:r w:rsidRPr="001A5F83">
        <w:t>Bajo las premisas anteriores, se concluye que la controversia a dilucidar en el presente medio de impugnación será verificar si con la información proporcionada en respuesta por</w:t>
      </w:r>
      <w:r w:rsidRPr="001A5F83">
        <w:rPr>
          <w:b/>
        </w:rPr>
        <w:t xml:space="preserve"> EL SUJETO OBLIGADO </w:t>
      </w:r>
      <w:r w:rsidRPr="001A5F83">
        <w:t xml:space="preserve">se satisfizo el derecho de acceso a la información pública de </w:t>
      </w:r>
      <w:r w:rsidRPr="001A5F83">
        <w:rPr>
          <w:b/>
        </w:rPr>
        <w:t>LA PARTE RECURRENTE.</w:t>
      </w:r>
    </w:p>
    <w:p w14:paraId="14B7B9BB" w14:textId="77777777" w:rsidR="00A1764E" w:rsidRPr="001A5F83" w:rsidRDefault="00A1764E" w:rsidP="001A5F83">
      <w:pPr>
        <w:ind w:right="-312"/>
        <w:rPr>
          <w:b/>
        </w:rPr>
      </w:pPr>
    </w:p>
    <w:p w14:paraId="675D07CF" w14:textId="77777777" w:rsidR="00A1764E" w:rsidRPr="001A5F83" w:rsidRDefault="007F06C5" w:rsidP="001A5F83">
      <w:pPr>
        <w:pStyle w:val="Ttulo3"/>
      </w:pPr>
      <w:bookmarkStart w:id="24" w:name="_heading=h.2xcytpi" w:colFirst="0" w:colLast="0"/>
      <w:bookmarkEnd w:id="24"/>
      <w:r w:rsidRPr="001A5F83">
        <w:t>c) Estudio de la controversia</w:t>
      </w:r>
    </w:p>
    <w:p w14:paraId="770177F9" w14:textId="77777777" w:rsidR="00A1764E" w:rsidRPr="001A5F83" w:rsidRDefault="007F06C5" w:rsidP="001A5F83">
      <w:pPr>
        <w:spacing w:before="240" w:after="240"/>
        <w:rPr>
          <w:i/>
        </w:rPr>
      </w:pPr>
      <w:r w:rsidRPr="001A5F83">
        <w:t xml:space="preserve">Por principio es importante enfatizar que el Derecho de Acceso a la Información Pública consiste en que la </w:t>
      </w:r>
      <w:r w:rsidRPr="001A5F83">
        <w:rPr>
          <w:b/>
        </w:rPr>
        <w:t>información solicitada conste en un soporte documental</w:t>
      </w:r>
      <w:r w:rsidRPr="001A5F83">
        <w:t xml:space="preserve"> en cualquiera de sus formas, a saber: expedientes, reportes, estudios, actas</w:t>
      </w:r>
      <w:r w:rsidRPr="001A5F83">
        <w:rPr>
          <w:b/>
        </w:rPr>
        <w:t>,</w:t>
      </w:r>
      <w:r w:rsidRPr="001A5F83">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w:t>
      </w:r>
      <w:r w:rsidRPr="001A5F83">
        <w:lastRenderedPageBreak/>
        <w:t xml:space="preserve">u holográfico, de conformidad con el artículo 3, fracción XI de la Ley de la materia, el cual dispone lo siguiente: </w:t>
      </w:r>
    </w:p>
    <w:p w14:paraId="0E647B41" w14:textId="77777777" w:rsidR="00A1764E" w:rsidRPr="001A5F83" w:rsidRDefault="007F06C5" w:rsidP="001A5F83">
      <w:pPr>
        <w:pStyle w:val="Puesto"/>
        <w:tabs>
          <w:tab w:val="left" w:pos="8222"/>
        </w:tabs>
        <w:ind w:left="851" w:right="822"/>
      </w:pPr>
      <w:r w:rsidRPr="001A5F83">
        <w:t>“</w:t>
      </w:r>
      <w:r w:rsidRPr="001A5F83">
        <w:rPr>
          <w:b/>
        </w:rPr>
        <w:t xml:space="preserve">Artículo 3. </w:t>
      </w:r>
      <w:r w:rsidRPr="001A5F83">
        <w:t>Para los efectos de la presente Ley se entenderá por:</w:t>
      </w:r>
    </w:p>
    <w:p w14:paraId="3FD92064" w14:textId="77777777" w:rsidR="00A1764E" w:rsidRPr="001A5F83" w:rsidRDefault="007F06C5" w:rsidP="001A5F83">
      <w:pPr>
        <w:pStyle w:val="Puesto"/>
        <w:tabs>
          <w:tab w:val="left" w:pos="8222"/>
        </w:tabs>
        <w:ind w:left="851" w:right="822"/>
      </w:pPr>
      <w:r w:rsidRPr="001A5F83">
        <w:t>…</w:t>
      </w:r>
    </w:p>
    <w:p w14:paraId="07BC6384" w14:textId="77777777" w:rsidR="00A1764E" w:rsidRPr="001A5F83" w:rsidRDefault="007F06C5" w:rsidP="001A5F83">
      <w:pPr>
        <w:pStyle w:val="Puesto"/>
        <w:tabs>
          <w:tab w:val="left" w:pos="8222"/>
        </w:tabs>
        <w:ind w:left="851" w:right="822"/>
      </w:pPr>
      <w:r w:rsidRPr="001A5F83">
        <w:rPr>
          <w:b/>
        </w:rPr>
        <w:t>XI. Documento:</w:t>
      </w:r>
      <w:r w:rsidRPr="001A5F83">
        <w:t xml:space="preserve"> Los expedientes, reportes, estudios, actas, resoluciones,</w:t>
      </w:r>
      <w:r w:rsidRPr="001A5F83">
        <w:rPr>
          <w:b/>
        </w:rPr>
        <w:t xml:space="preserve"> </w:t>
      </w:r>
      <w:r w:rsidRPr="001A5F83">
        <w:t>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6142617E" w14:textId="77777777" w:rsidR="00A1764E" w:rsidRPr="001A5F83" w:rsidRDefault="00A1764E" w:rsidP="001A5F83">
      <w:pPr>
        <w:ind w:left="1134" w:right="901"/>
      </w:pPr>
    </w:p>
    <w:p w14:paraId="4AA314DC" w14:textId="77777777" w:rsidR="00A1764E" w:rsidRPr="001A5F83" w:rsidRDefault="007F06C5" w:rsidP="001A5F83">
      <w:r w:rsidRPr="001A5F83">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6D641FF3" w14:textId="77777777" w:rsidR="00A1764E" w:rsidRPr="001A5F83" w:rsidRDefault="00A1764E" w:rsidP="001A5F83">
      <w:pPr>
        <w:ind w:left="851" w:right="850"/>
      </w:pPr>
    </w:p>
    <w:p w14:paraId="352A99ED" w14:textId="77777777" w:rsidR="00A1764E" w:rsidRPr="001A5F83" w:rsidRDefault="007F06C5" w:rsidP="001A5F83">
      <w:pPr>
        <w:pStyle w:val="Puesto"/>
        <w:ind w:left="851" w:right="822"/>
        <w:jc w:val="center"/>
        <w:rPr>
          <w:b/>
        </w:rPr>
      </w:pPr>
      <w:r w:rsidRPr="001A5F83">
        <w:t>“</w:t>
      </w:r>
      <w:r w:rsidRPr="001A5F83">
        <w:rPr>
          <w:b/>
        </w:rPr>
        <w:t>CRITERIO 0002-11</w:t>
      </w:r>
    </w:p>
    <w:p w14:paraId="3E5FDB43" w14:textId="77777777" w:rsidR="00A1764E" w:rsidRPr="001A5F83" w:rsidRDefault="007F06C5" w:rsidP="001A5F83">
      <w:pPr>
        <w:pStyle w:val="Puesto"/>
        <w:ind w:left="851" w:right="822"/>
      </w:pPr>
      <w:r w:rsidRPr="001A5F83">
        <w:rPr>
          <w:b/>
          <w:u w:val="single"/>
        </w:rPr>
        <w:t>INFORMACIÓN PÚBLICA, CONCEPTO DE, EN MATERIA DE TRANSPARENCIA. INTERPRETACIÓN SISTEMÁTICA DE LOS ARTÍCULOS 2°, FRACCIÓN V, XV, Y XVI, 3°, 4°, 11 Y 41.</w:t>
      </w:r>
      <w:r w:rsidRPr="001A5F83">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E6B5BB9" w14:textId="77777777" w:rsidR="00A1764E" w:rsidRPr="001A5F83" w:rsidRDefault="007F06C5" w:rsidP="001A5F83">
      <w:pPr>
        <w:pStyle w:val="Puesto"/>
        <w:ind w:left="851" w:right="822"/>
      </w:pPr>
      <w:r w:rsidRPr="001A5F83">
        <w:t>En consecuencia el acceso a la información se refiere a que se cumplan cualquiera de los siguientes tres supuestos:</w:t>
      </w:r>
    </w:p>
    <w:p w14:paraId="77AAC5DC" w14:textId="77777777" w:rsidR="00A1764E" w:rsidRPr="001A5F83" w:rsidRDefault="007F06C5" w:rsidP="001A5F83">
      <w:pPr>
        <w:pStyle w:val="Puesto"/>
        <w:ind w:left="851" w:right="822"/>
      </w:pPr>
      <w:r w:rsidRPr="001A5F83">
        <w:t xml:space="preserve">1) Que se trate de información </w:t>
      </w:r>
      <w:r w:rsidRPr="001A5F83">
        <w:rPr>
          <w:u w:val="single"/>
        </w:rPr>
        <w:t>registrada en cualquier soporte documental</w:t>
      </w:r>
      <w:r w:rsidRPr="001A5F83">
        <w:t>, que en ejercicio de las atribuciones conferidas, sea generada por los Sujetos Obligados;</w:t>
      </w:r>
    </w:p>
    <w:p w14:paraId="6D757A49" w14:textId="77777777" w:rsidR="00A1764E" w:rsidRPr="001A5F83" w:rsidRDefault="007F06C5" w:rsidP="001A5F83">
      <w:pPr>
        <w:pStyle w:val="Puesto"/>
        <w:ind w:left="851" w:right="822"/>
      </w:pPr>
      <w:r w:rsidRPr="001A5F83">
        <w:lastRenderedPageBreak/>
        <w:t xml:space="preserve">2) Que se trate de información </w:t>
      </w:r>
      <w:r w:rsidRPr="001A5F83">
        <w:rPr>
          <w:u w:val="single"/>
        </w:rPr>
        <w:t>registrada en cualquier soporte documental</w:t>
      </w:r>
      <w:r w:rsidRPr="001A5F83">
        <w:t>, que en ejercicio de las atribuciones conferidas, sea administrada por los Sujetos Obligados, y</w:t>
      </w:r>
    </w:p>
    <w:p w14:paraId="4EE13BFA" w14:textId="77777777" w:rsidR="00A1764E" w:rsidRPr="001A5F83" w:rsidRDefault="007F06C5" w:rsidP="001A5F83">
      <w:pPr>
        <w:pStyle w:val="Puesto"/>
        <w:ind w:left="851" w:right="822"/>
      </w:pPr>
      <w:r w:rsidRPr="001A5F83">
        <w:t xml:space="preserve">3) Que se trate de información </w:t>
      </w:r>
      <w:r w:rsidRPr="001A5F83">
        <w:rPr>
          <w:u w:val="single"/>
        </w:rPr>
        <w:t>registrada en cualquier soporte documental</w:t>
      </w:r>
      <w:r w:rsidRPr="001A5F83">
        <w:t>, que en ejercicio de las atribuciones conferidas, se encuentre en posesión de los Sujetos Obligados.” (Sic)</w:t>
      </w:r>
    </w:p>
    <w:p w14:paraId="31C6D098" w14:textId="77777777" w:rsidR="00A1764E" w:rsidRPr="001A5F83" w:rsidRDefault="007F06C5" w:rsidP="001A5F83">
      <w:pPr>
        <w:spacing w:before="240" w:after="240"/>
      </w:pPr>
      <w:r w:rsidRPr="001A5F83">
        <w:t xml:space="preserve">En este sentido, en términos generales, para que sea posible el ejercicio del Derecho de Acceso a la Información Pública, los requerimientos deben consistir en información que se encuentre registrada en cualquier soporte documental; ya sea, porque </w:t>
      </w:r>
      <w:r w:rsidRPr="001A5F83">
        <w:rPr>
          <w:b/>
        </w:rPr>
        <w:t>EL SUJETO OBLIGADO</w:t>
      </w:r>
      <w:r w:rsidRPr="001A5F83">
        <w:t xml:space="preserve"> la generó o porque como parte del ejercicio de sus funciones la recibió y por consiguiente, la administra y posee. </w:t>
      </w:r>
    </w:p>
    <w:p w14:paraId="333D2AD7" w14:textId="77777777" w:rsidR="00A1764E" w:rsidRPr="001A5F83" w:rsidRDefault="007F06C5" w:rsidP="001A5F83">
      <w:pPr>
        <w:ind w:right="51"/>
      </w:pPr>
      <w:r w:rsidRPr="001A5F83">
        <w:t xml:space="preserve">Situación por la cual nos lleva a recordar que el artículo 12 de la Ley de Transparencia y Acceso a la Información Pública del Estado de México y Municipios, establece que los sujetos obligados únicamente están exigidos a entregar los documentos que obren en sus archivos en el estado en que estos se encuentren, lo que no comprende entregar la información conforme al interés del solicitante.  </w:t>
      </w:r>
    </w:p>
    <w:p w14:paraId="4CA148DB" w14:textId="77777777" w:rsidR="00A1764E" w:rsidRPr="001A5F83" w:rsidRDefault="00A1764E" w:rsidP="001A5F83"/>
    <w:p w14:paraId="6274CFB9" w14:textId="77777777" w:rsidR="00A1764E" w:rsidRPr="001A5F83" w:rsidRDefault="007F06C5" w:rsidP="001A5F83">
      <w:r w:rsidRPr="001A5F83">
        <w:t xml:space="preserve">Robustece lo anterior, el Criterio 03/17 emitido por el Instituto Nacional de Transparencia, Acceso a la Información y Protección de Datos Personales, el cual establece lo siguiente: </w:t>
      </w:r>
    </w:p>
    <w:p w14:paraId="3651E810" w14:textId="77777777" w:rsidR="00A1764E" w:rsidRPr="001A5F83" w:rsidRDefault="00A1764E" w:rsidP="001A5F83"/>
    <w:p w14:paraId="7F409150" w14:textId="77777777" w:rsidR="00A1764E" w:rsidRPr="001A5F83" w:rsidRDefault="007F06C5" w:rsidP="001A5F83">
      <w:pPr>
        <w:pStyle w:val="Puesto"/>
        <w:ind w:left="851" w:right="822"/>
      </w:pPr>
      <w:r w:rsidRPr="001A5F83">
        <w:t>“</w:t>
      </w:r>
      <w:r w:rsidRPr="001A5F83">
        <w:rPr>
          <w:b/>
        </w:rPr>
        <w:t xml:space="preserve">No existe obligación de elaborar documentos ad hoc para atender las solicitudes de acceso a la información. </w:t>
      </w:r>
      <w:r w:rsidRPr="001A5F83">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w:t>
      </w:r>
      <w:r w:rsidRPr="001A5F83">
        <w:lastRenderedPageBreak/>
        <w:t>cuentan en el formato en que la misma obre en sus archivos; sin necesidad de elaborar documentos ad hoc para atender las solicitudes de información.” Sic</w:t>
      </w:r>
    </w:p>
    <w:p w14:paraId="6B13B2A8" w14:textId="77777777" w:rsidR="00A1764E" w:rsidRPr="001A5F83" w:rsidRDefault="00A1764E" w:rsidP="001A5F83">
      <w:pPr>
        <w:ind w:left="851" w:right="822"/>
      </w:pPr>
    </w:p>
    <w:p w14:paraId="6DB9B5F7" w14:textId="77777777" w:rsidR="00A1764E" w:rsidRPr="001A5F83" w:rsidRDefault="007F06C5" w:rsidP="001A5F83">
      <w:r w:rsidRPr="001A5F83">
        <w:t xml:space="preserve">En ese tenor, y considerando tanto el motivo de la inconformidad como el pronunciamiento emitido por </w:t>
      </w:r>
      <w:r w:rsidRPr="001A5F83">
        <w:rPr>
          <w:b/>
        </w:rPr>
        <w:t xml:space="preserve">EL SUJETO OBLIGADO </w:t>
      </w:r>
      <w:r w:rsidRPr="001A5F83">
        <w:t xml:space="preserve">en respuesta, se procede a analizar si dicha información es suficiente para tener por colmado el derecho de acceso a la información de la </w:t>
      </w:r>
      <w:r w:rsidRPr="001A5F83">
        <w:rPr>
          <w:b/>
        </w:rPr>
        <w:t>PARTE RECURRENTE</w:t>
      </w:r>
      <w:r w:rsidRPr="001A5F83">
        <w:t xml:space="preserve"> o en su caso, ordenar la entrega de la información correspondiente.</w:t>
      </w:r>
    </w:p>
    <w:p w14:paraId="0886A3F8" w14:textId="77777777" w:rsidR="00A1764E" w:rsidRPr="001A5F83" w:rsidRDefault="00A1764E" w:rsidP="001A5F83"/>
    <w:p w14:paraId="304D0F7A" w14:textId="77777777" w:rsidR="00A1764E" w:rsidRPr="001A5F83" w:rsidRDefault="007F06C5" w:rsidP="001A5F83">
      <w:r w:rsidRPr="001A5F83">
        <w:t xml:space="preserve">Teniendo entonces que, de la literalidad de la solicitud de información planteada por </w:t>
      </w:r>
      <w:r w:rsidRPr="001A5F83">
        <w:rPr>
          <w:b/>
        </w:rPr>
        <w:t xml:space="preserve">LA PARTE RECURRENTE </w:t>
      </w:r>
      <w:r w:rsidRPr="001A5F83">
        <w:t xml:space="preserve">se obtiene que peticiona los contratos pedido de los gastos erogados por el festejo de los quince años de la universidad. </w:t>
      </w:r>
    </w:p>
    <w:p w14:paraId="17577F82" w14:textId="77777777" w:rsidR="00A1764E" w:rsidRPr="001A5F83" w:rsidRDefault="00A1764E" w:rsidP="001A5F83"/>
    <w:p w14:paraId="12C35CF2" w14:textId="77777777" w:rsidR="00A1764E" w:rsidRPr="001A5F83" w:rsidRDefault="007F06C5" w:rsidP="001A5F83">
      <w:r w:rsidRPr="001A5F83">
        <w:t xml:space="preserve">Establecido lo anterior, se tiene que respecto de lo peticionado por la persona usuaria del </w:t>
      </w:r>
      <w:r w:rsidRPr="001A5F83">
        <w:rPr>
          <w:b/>
        </w:rPr>
        <w:t>SAIMEX</w:t>
      </w:r>
      <w:r w:rsidRPr="001A5F83">
        <w:t>,</w:t>
      </w:r>
      <w:r w:rsidRPr="001A5F83">
        <w:rPr>
          <w:b/>
        </w:rPr>
        <w:t xml:space="preserve"> EL SUJETO OBLIGADO </w:t>
      </w:r>
      <w:r w:rsidRPr="001A5F83">
        <w:t>manifestó en su respuesta que los gastos realizados para el festejo señalado, ninguno de ellos rebasan el tope de UMAS establecido en el Reglamento de la Ley de Adquisiciones, Arrendamientos y Servicios del Sector Público, razón por la cual no se realizó ningún contrato pedido al respecto.</w:t>
      </w:r>
    </w:p>
    <w:p w14:paraId="6BD164A9" w14:textId="77777777" w:rsidR="00A1764E" w:rsidRPr="001A5F83" w:rsidRDefault="00A1764E" w:rsidP="001A5F83">
      <w:pPr>
        <w:ind w:right="-28"/>
      </w:pPr>
    </w:p>
    <w:p w14:paraId="5B0FA2CD" w14:textId="77777777" w:rsidR="00A1764E" w:rsidRPr="001A5F83" w:rsidRDefault="007F06C5" w:rsidP="001A5F83">
      <w:pPr>
        <w:ind w:right="-93"/>
      </w:pPr>
      <w:r w:rsidRPr="001A5F83">
        <w:t xml:space="preserve">Ahora bien, al respecto, es indispensable contextualizar la naturaleza de la información peticionada. </w:t>
      </w:r>
    </w:p>
    <w:p w14:paraId="01E5729C" w14:textId="77777777" w:rsidR="00A1764E" w:rsidRPr="001A5F83" w:rsidRDefault="00A1764E" w:rsidP="001A5F83">
      <w:pPr>
        <w:ind w:right="-93"/>
      </w:pPr>
    </w:p>
    <w:p w14:paraId="5A6A7FDF" w14:textId="77777777" w:rsidR="00A1764E" w:rsidRPr="001A5F83" w:rsidRDefault="007F06C5" w:rsidP="001A5F83">
      <w:r w:rsidRPr="001A5F83">
        <w:t xml:space="preserve">Para ello, conviene hacer alusión a lo dispuesto en la Ley de Contratación Pública del Estado de México y Municipios, la cual tiene por objeto regular los actos relativos a la </w:t>
      </w:r>
      <w:r w:rsidRPr="001A5F83">
        <w:rPr>
          <w:b/>
        </w:rPr>
        <w:t xml:space="preserve">planeación, programación, </w:t>
      </w:r>
      <w:proofErr w:type="spellStart"/>
      <w:r w:rsidRPr="001A5F83">
        <w:rPr>
          <w:b/>
        </w:rPr>
        <w:t>presupuestación</w:t>
      </w:r>
      <w:proofErr w:type="spellEnd"/>
      <w:r w:rsidRPr="001A5F83">
        <w:t xml:space="preserve">, ejecución y control de la </w:t>
      </w:r>
      <w:r w:rsidRPr="001A5F83">
        <w:rPr>
          <w:b/>
        </w:rPr>
        <w:t>adquisición</w:t>
      </w:r>
      <w:r w:rsidRPr="001A5F83">
        <w:t xml:space="preserve">, enajenación y arrendamiento de bienes, y la </w:t>
      </w:r>
      <w:r w:rsidRPr="001A5F83">
        <w:rPr>
          <w:b/>
        </w:rPr>
        <w:t>contratación de servicios de cualquier naturaleza, que realicen los entes públicos</w:t>
      </w:r>
      <w:r w:rsidRPr="001A5F83">
        <w:t xml:space="preserve">; entre ellos </w:t>
      </w:r>
      <w:r w:rsidRPr="001A5F83">
        <w:rPr>
          <w:b/>
        </w:rPr>
        <w:t>EL SUJETO OBLIGADO</w:t>
      </w:r>
      <w:r w:rsidRPr="001A5F83">
        <w:t xml:space="preserve">, los cuales se adjudicarán a través de licitación pública, invitación restringida o adjudicación directa, mediante convocatoria </w:t>
      </w:r>
      <w:r w:rsidRPr="001A5F83">
        <w:lastRenderedPageBreak/>
        <w:t>pública, tal y como lo establecen los artículos 4, 26 y 27 de dicha Ley, los cuales son del tenor siguiente:</w:t>
      </w:r>
    </w:p>
    <w:p w14:paraId="37414133" w14:textId="77777777" w:rsidR="00A1764E" w:rsidRPr="001A5F83" w:rsidRDefault="007F06C5" w:rsidP="001A5F83">
      <w:pPr>
        <w:pStyle w:val="Puesto"/>
        <w:ind w:left="851" w:right="822"/>
      </w:pPr>
      <w:r w:rsidRPr="001A5F83">
        <w:t>“</w:t>
      </w:r>
      <w:r w:rsidRPr="001A5F83">
        <w:rPr>
          <w:b/>
        </w:rPr>
        <w:t>Artículo 4.-</w:t>
      </w:r>
      <w:r w:rsidRPr="001A5F83">
        <w:t xml:space="preserve"> Para los efectos de esta Ley, en las adquisiciones, enajenaciones, arrendamientos y servicios, quedan comprendidos:</w:t>
      </w:r>
    </w:p>
    <w:p w14:paraId="5D6F0F4D" w14:textId="77777777" w:rsidR="00A1764E" w:rsidRPr="001A5F83" w:rsidRDefault="007F06C5" w:rsidP="001A5F83">
      <w:pPr>
        <w:pStyle w:val="Puesto"/>
        <w:ind w:left="851" w:right="822"/>
      </w:pPr>
      <w:r w:rsidRPr="001A5F83">
        <w:rPr>
          <w:b/>
        </w:rPr>
        <w:t>I.</w:t>
      </w:r>
      <w:r w:rsidRPr="001A5F83">
        <w:t xml:space="preserve"> La adquisición de bienes muebles.</w:t>
      </w:r>
    </w:p>
    <w:p w14:paraId="08AAEBA5" w14:textId="77777777" w:rsidR="00A1764E" w:rsidRPr="001A5F83" w:rsidRDefault="007F06C5" w:rsidP="001A5F83">
      <w:pPr>
        <w:pStyle w:val="Puesto"/>
        <w:ind w:left="851" w:right="822"/>
      </w:pPr>
      <w:r w:rsidRPr="001A5F83">
        <w:rPr>
          <w:b/>
        </w:rPr>
        <w:t>II.</w:t>
      </w:r>
      <w:r w:rsidRPr="001A5F83">
        <w:t xml:space="preserve"> La adquisición de bienes inmuebles, a través de compraventa.</w:t>
      </w:r>
    </w:p>
    <w:p w14:paraId="201ED749" w14:textId="77777777" w:rsidR="00A1764E" w:rsidRPr="001A5F83" w:rsidRDefault="007F06C5" w:rsidP="001A5F83">
      <w:pPr>
        <w:pStyle w:val="Puesto"/>
        <w:ind w:left="851" w:right="822"/>
      </w:pPr>
      <w:r w:rsidRPr="001A5F83">
        <w:rPr>
          <w:b/>
        </w:rPr>
        <w:t>III.</w:t>
      </w:r>
      <w:r w:rsidRPr="001A5F83">
        <w:t xml:space="preserve"> La enajenación de bienes muebles e inmuebles.</w:t>
      </w:r>
    </w:p>
    <w:p w14:paraId="5A35C3CA" w14:textId="77777777" w:rsidR="00A1764E" w:rsidRPr="001A5F83" w:rsidRDefault="007F06C5" w:rsidP="001A5F83">
      <w:pPr>
        <w:pStyle w:val="Puesto"/>
        <w:ind w:left="851" w:right="822"/>
      </w:pPr>
      <w:r w:rsidRPr="001A5F83">
        <w:rPr>
          <w:b/>
        </w:rPr>
        <w:t>IV.</w:t>
      </w:r>
      <w:r w:rsidRPr="001A5F83">
        <w:t xml:space="preserve"> El arrendamiento de bienes muebles e inmuebles. </w:t>
      </w:r>
    </w:p>
    <w:p w14:paraId="5BA50608" w14:textId="77777777" w:rsidR="00A1764E" w:rsidRPr="001A5F83" w:rsidRDefault="007F06C5" w:rsidP="001A5F83">
      <w:pPr>
        <w:pStyle w:val="Puesto"/>
        <w:ind w:left="851" w:right="822"/>
      </w:pPr>
      <w:r w:rsidRPr="001A5F83">
        <w:rPr>
          <w:b/>
        </w:rPr>
        <w:t>V.</w:t>
      </w:r>
      <w:r w:rsidRPr="001A5F83">
        <w:t xml:space="preserve"> La contratación de los servicios, relacionados con bienes muebles que se encuentran incorporados o adheridos a bienes inmuebles, cuya instalación o mantenimiento no implique modificación al bien inmueble.</w:t>
      </w:r>
    </w:p>
    <w:p w14:paraId="64E53F17" w14:textId="77777777" w:rsidR="00A1764E" w:rsidRPr="001A5F83" w:rsidRDefault="007F06C5" w:rsidP="001A5F83">
      <w:pPr>
        <w:pStyle w:val="Puesto"/>
        <w:ind w:left="851" w:right="822"/>
      </w:pPr>
      <w:r w:rsidRPr="001A5F83">
        <w:rPr>
          <w:b/>
        </w:rPr>
        <w:t>VI.</w:t>
      </w:r>
      <w:r w:rsidRPr="001A5F83">
        <w:t xml:space="preserve"> La contratación de los servicios de reconstrucción y mantenimiento de bienes muebles. </w:t>
      </w:r>
    </w:p>
    <w:p w14:paraId="49B23B8F" w14:textId="77777777" w:rsidR="00A1764E" w:rsidRPr="001A5F83" w:rsidRDefault="007F06C5" w:rsidP="001A5F83">
      <w:pPr>
        <w:pStyle w:val="Puesto"/>
        <w:ind w:left="851" w:right="822"/>
      </w:pPr>
      <w:r w:rsidRPr="001A5F83">
        <w:rPr>
          <w:b/>
        </w:rPr>
        <w:t>VII.</w:t>
      </w:r>
      <w:r w:rsidRPr="001A5F83">
        <w:t xml:space="preserve"> La contratación de los servicios de maquila, seguros y transportación, así como de los de limpieza y vigilancia de bienes inmuebles. </w:t>
      </w:r>
    </w:p>
    <w:p w14:paraId="55A3AD7F" w14:textId="77777777" w:rsidR="00A1764E" w:rsidRPr="001A5F83" w:rsidRDefault="007F06C5" w:rsidP="001A5F83">
      <w:pPr>
        <w:pStyle w:val="Puesto"/>
        <w:ind w:left="851" w:right="822"/>
      </w:pPr>
      <w:r w:rsidRPr="001A5F83">
        <w:rPr>
          <w:b/>
        </w:rPr>
        <w:t>VIII.</w:t>
      </w:r>
      <w:r w:rsidRPr="001A5F83">
        <w:t xml:space="preserve"> La prestación de servicios profesionales, la contratación de consultorías, asesorías y estudios e investigaciones, excepto la contratación de servicios personales de personas físicas bajo el régimen de honorarios. </w:t>
      </w:r>
    </w:p>
    <w:p w14:paraId="0343C518" w14:textId="77777777" w:rsidR="00A1764E" w:rsidRPr="001A5F83" w:rsidRDefault="007F06C5" w:rsidP="001A5F83">
      <w:pPr>
        <w:pStyle w:val="Puesto"/>
        <w:ind w:left="851" w:right="822"/>
      </w:pPr>
      <w:r w:rsidRPr="001A5F83">
        <w:t>En general, otros actos que impliquen la contratación de servicios de cualquier naturaleza</w:t>
      </w:r>
    </w:p>
    <w:p w14:paraId="59ECE908" w14:textId="77777777" w:rsidR="00A1764E" w:rsidRPr="001A5F83" w:rsidRDefault="007F06C5" w:rsidP="001A5F83">
      <w:pPr>
        <w:pStyle w:val="Puesto"/>
        <w:ind w:left="851" w:right="822"/>
      </w:pPr>
      <w:r w:rsidRPr="001A5F83">
        <w:rPr>
          <w:b/>
        </w:rPr>
        <w:t>Artículo 26.- Las adquisiciones, arrendamientos y servicios se adjudicarán a través de licitaciones públicas,</w:t>
      </w:r>
      <w:r w:rsidRPr="001A5F83">
        <w:t xml:space="preserve"> mediante convocatoria pública. </w:t>
      </w:r>
    </w:p>
    <w:p w14:paraId="70B4C467" w14:textId="77777777" w:rsidR="00A1764E" w:rsidRPr="001A5F83" w:rsidRDefault="007F06C5" w:rsidP="001A5F83">
      <w:pPr>
        <w:pStyle w:val="Puesto"/>
        <w:ind w:left="851" w:right="822"/>
      </w:pPr>
      <w:r w:rsidRPr="001A5F83">
        <w:rPr>
          <w:b/>
        </w:rPr>
        <w:t>Artículo 27.</w:t>
      </w:r>
      <w:r w:rsidRPr="001A5F83">
        <w:t xml:space="preserve">- La Secretaría, las entidades, los tribunales administrativos y los ayuntamientos podrán </w:t>
      </w:r>
      <w:r w:rsidRPr="001A5F83">
        <w:rPr>
          <w:b/>
        </w:rPr>
        <w:t>adjudicar adquisiciones, arrendamientos y servicios, mediante las excepciones al procedimiento de licitación</w:t>
      </w:r>
      <w:r w:rsidRPr="001A5F83">
        <w:t xml:space="preserve"> que a continuación se señalan:</w:t>
      </w:r>
    </w:p>
    <w:p w14:paraId="61DF94DC" w14:textId="77777777" w:rsidR="00A1764E" w:rsidRPr="001A5F83" w:rsidRDefault="007F06C5" w:rsidP="001A5F83">
      <w:pPr>
        <w:pStyle w:val="Puesto"/>
        <w:ind w:left="851" w:right="822"/>
      </w:pPr>
      <w:r w:rsidRPr="001A5F83">
        <w:rPr>
          <w:b/>
        </w:rPr>
        <w:t>I</w:t>
      </w:r>
      <w:r w:rsidRPr="001A5F83">
        <w:t>. Invitación restringida.</w:t>
      </w:r>
    </w:p>
    <w:p w14:paraId="595E960F" w14:textId="77777777" w:rsidR="00A1764E" w:rsidRPr="001A5F83" w:rsidRDefault="007F06C5" w:rsidP="001A5F83">
      <w:pPr>
        <w:pStyle w:val="Puesto"/>
        <w:ind w:left="851" w:right="822"/>
        <w:rPr>
          <w:b/>
        </w:rPr>
      </w:pPr>
      <w:r w:rsidRPr="001A5F83">
        <w:rPr>
          <w:b/>
        </w:rPr>
        <w:t>II. Adjudicación directa.”</w:t>
      </w:r>
    </w:p>
    <w:p w14:paraId="1CAFAAFF" w14:textId="77777777" w:rsidR="00A1764E" w:rsidRPr="001A5F83" w:rsidRDefault="007F06C5" w:rsidP="001A5F83">
      <w:pPr>
        <w:spacing w:before="240" w:after="240"/>
        <w:ind w:right="49"/>
      </w:pPr>
      <w:r w:rsidRPr="001A5F83">
        <w:t>En efecto, con base en los preceptos citados se advierte que, por regla general, las adquisiciones, enajenaciones, arrendamientos y servicios, que celebren los entes públicos, deben adjudicarse mediante licitación pública, sin embargo, también se contemplan como excepciones a dicho proceso, la invitación restringida, la adjudicación directa y los contrato pedido.</w:t>
      </w:r>
    </w:p>
    <w:p w14:paraId="1A3FC18B" w14:textId="77777777" w:rsidR="00A1764E" w:rsidRPr="001A5F83" w:rsidRDefault="007F06C5" w:rsidP="001A5F83">
      <w:pPr>
        <w:ind w:right="-93"/>
      </w:pPr>
      <w:r w:rsidRPr="001A5F83">
        <w:lastRenderedPageBreak/>
        <w:t xml:space="preserve">Al respecto, la </w:t>
      </w:r>
      <w:r w:rsidRPr="001A5F83">
        <w:rPr>
          <w:b/>
        </w:rPr>
        <w:t>Ley de Contratación Pública del Estado de México y Municipios</w:t>
      </w:r>
      <w:r w:rsidRPr="001A5F83">
        <w:t xml:space="preserve"> establece:</w:t>
      </w:r>
    </w:p>
    <w:p w14:paraId="21316560" w14:textId="77777777" w:rsidR="00A1764E" w:rsidRPr="001A5F83" w:rsidRDefault="007F06C5" w:rsidP="001A5F83">
      <w:pPr>
        <w:pStyle w:val="Puesto"/>
        <w:ind w:left="851" w:right="822"/>
      </w:pPr>
      <w:r w:rsidRPr="001A5F83">
        <w:rPr>
          <w:b/>
        </w:rPr>
        <w:t>Artículo 80</w:t>
      </w:r>
      <w:r w:rsidRPr="001A5F83">
        <w:t xml:space="preserve">.- Los </w:t>
      </w:r>
      <w:r w:rsidRPr="001A5F83">
        <w:rPr>
          <w:b/>
        </w:rPr>
        <w:t>contratos pedidos</w:t>
      </w:r>
      <w:r w:rsidRPr="001A5F83">
        <w:t xml:space="preserve"> son aquellos instrumentos que permiten a las dependencias, </w:t>
      </w:r>
      <w:r w:rsidRPr="001A5F83">
        <w:rPr>
          <w:b/>
          <w:u w:val="single"/>
        </w:rPr>
        <w:t>a las entidades</w:t>
      </w:r>
      <w:r w:rsidRPr="001A5F83">
        <w:t xml:space="preserve">, a los tribunales administrativos y a los ayuntamientos </w:t>
      </w:r>
      <w:r w:rsidRPr="001A5F83">
        <w:rPr>
          <w:b/>
        </w:rPr>
        <w:t xml:space="preserve">adquirir bienes o contratar servicios por una cantidad que </w:t>
      </w:r>
      <w:r w:rsidRPr="001A5F83">
        <w:rPr>
          <w:b/>
          <w:u w:val="single"/>
        </w:rPr>
        <w:t>no exceda los montos establecidos para la adjudicación directa</w:t>
      </w:r>
      <w:r w:rsidRPr="001A5F83">
        <w:t>, de conformidad con lo previsto en la fracción XI del artículo 48 de la presente Ley.</w:t>
      </w:r>
    </w:p>
    <w:p w14:paraId="7F0ADA27" w14:textId="77777777" w:rsidR="00A1764E" w:rsidRPr="001A5F83" w:rsidRDefault="00A1764E" w:rsidP="001A5F83">
      <w:pPr>
        <w:ind w:left="851" w:right="822"/>
      </w:pPr>
    </w:p>
    <w:p w14:paraId="5E6018E8" w14:textId="77777777" w:rsidR="00A1764E" w:rsidRPr="001A5F83" w:rsidRDefault="007F06C5" w:rsidP="001A5F83">
      <w:pPr>
        <w:pStyle w:val="Puesto"/>
        <w:ind w:left="851" w:right="822"/>
      </w:pPr>
      <w:r w:rsidRPr="001A5F83">
        <w:t xml:space="preserve">Las dependencias deberán celebrar </w:t>
      </w:r>
      <w:proofErr w:type="gramStart"/>
      <w:r w:rsidRPr="001A5F83">
        <w:rPr>
          <w:b/>
          <w:u w:val="single"/>
        </w:rPr>
        <w:t>contratos pedido</w:t>
      </w:r>
      <w:proofErr w:type="gramEnd"/>
      <w:r w:rsidRPr="001A5F83">
        <w:t xml:space="preserve"> para la contratación de bienes o de servicios, que realicen al amparo de dicha fracción. </w:t>
      </w:r>
    </w:p>
    <w:p w14:paraId="27A8572C" w14:textId="77777777" w:rsidR="00A1764E" w:rsidRPr="001A5F83" w:rsidRDefault="00A1764E" w:rsidP="001A5F83">
      <w:pPr>
        <w:pStyle w:val="Puesto"/>
        <w:ind w:left="851" w:right="822"/>
      </w:pPr>
    </w:p>
    <w:p w14:paraId="0024F321" w14:textId="77777777" w:rsidR="00A1764E" w:rsidRPr="001A5F83" w:rsidRDefault="007F06C5" w:rsidP="001A5F83">
      <w:pPr>
        <w:pStyle w:val="Puesto"/>
        <w:ind w:left="851" w:right="822"/>
      </w:pPr>
      <w:r w:rsidRPr="001A5F83">
        <w:rPr>
          <w:b/>
        </w:rPr>
        <w:t>Artículo 48.-</w:t>
      </w:r>
      <w:r w:rsidRPr="001A5F83">
        <w:t xml:space="preserve"> La Oficialía Mayor, las entidades, los tribunales administrativos y los ayuntamientos podrán adquirir bienes, arrendar bienes muebles e inmuebles y contratar servicios, mediante adjudicación directa, cuando:</w:t>
      </w:r>
    </w:p>
    <w:p w14:paraId="248FD8AF" w14:textId="77777777" w:rsidR="00A1764E" w:rsidRPr="001A5F83" w:rsidRDefault="007F06C5" w:rsidP="001A5F83">
      <w:pPr>
        <w:pStyle w:val="Puesto"/>
        <w:ind w:left="851" w:right="822"/>
      </w:pPr>
      <w:r w:rsidRPr="001A5F83">
        <w:t xml:space="preserve">… </w:t>
      </w:r>
    </w:p>
    <w:p w14:paraId="3D78850C" w14:textId="77777777" w:rsidR="00A1764E" w:rsidRPr="001A5F83" w:rsidRDefault="007F06C5" w:rsidP="001A5F83">
      <w:pPr>
        <w:pStyle w:val="Puesto"/>
        <w:ind w:left="851" w:right="822"/>
        <w:rPr>
          <w:b/>
          <w:u w:val="single"/>
        </w:rPr>
      </w:pPr>
      <w:r w:rsidRPr="001A5F83">
        <w:rPr>
          <w:b/>
          <w:u w:val="single"/>
        </w:rPr>
        <w:t xml:space="preserve">XI. El importe de la operación no rebase los montos establecidos en el Presupuesto de Egresos del Gobierno del Estado del ejercicio correspondiente. Tratándose de arrendamientos de inmuebles se entenderá por importe de la operación el monto mensual de la renta. </w:t>
      </w:r>
    </w:p>
    <w:p w14:paraId="5394EC8F" w14:textId="77777777" w:rsidR="00A1764E" w:rsidRPr="001A5F83" w:rsidRDefault="007F06C5" w:rsidP="001A5F83">
      <w:pPr>
        <w:pStyle w:val="Puesto"/>
        <w:ind w:left="851" w:right="822"/>
      </w:pPr>
      <w:r w:rsidRPr="001A5F83">
        <w:t>Las dependencias, las entidades, los tribunales administrativos y los ayuntamientos se abstendrán de fraccionar el importe de las operaciones, con el propósito de quedar comprendidos en este supuesto de excepción. La Secretaría de la Contraloría y los órganos de control interno, en el ámbito de su competencia, vigilarán el cumplimiento de esta disposición.</w:t>
      </w:r>
    </w:p>
    <w:p w14:paraId="33498E72" w14:textId="77777777" w:rsidR="00A1764E" w:rsidRPr="001A5F83" w:rsidRDefault="007F06C5" w:rsidP="001A5F83">
      <w:pPr>
        <w:pBdr>
          <w:top w:val="nil"/>
          <w:left w:val="nil"/>
          <w:bottom w:val="nil"/>
          <w:right w:val="nil"/>
          <w:between w:val="nil"/>
        </w:pBdr>
        <w:spacing w:before="240" w:after="240"/>
      </w:pPr>
      <w:r w:rsidRPr="001A5F83">
        <w:t>Asimismo, resulta necesario traer a colación lo dispuesto por el artículo 55, del Presupuesto de Egresos del Gobierno del Estado de México para el ejercicio fiscal 2024, que es del tenor siguiente:</w:t>
      </w:r>
    </w:p>
    <w:p w14:paraId="27EA6ACE" w14:textId="77777777" w:rsidR="00A1764E" w:rsidRPr="001A5F83" w:rsidRDefault="007F06C5" w:rsidP="001A5F83">
      <w:pPr>
        <w:pStyle w:val="Puesto"/>
        <w:ind w:left="851" w:right="822"/>
        <w:jc w:val="center"/>
        <w:rPr>
          <w:b/>
        </w:rPr>
      </w:pPr>
      <w:r w:rsidRPr="001A5F83">
        <w:rPr>
          <w:b/>
        </w:rPr>
        <w:t>CAPÍTULO III</w:t>
      </w:r>
    </w:p>
    <w:p w14:paraId="67102DEF" w14:textId="77777777" w:rsidR="00A1764E" w:rsidRPr="001A5F83" w:rsidRDefault="007F06C5" w:rsidP="001A5F83">
      <w:pPr>
        <w:pStyle w:val="Puesto"/>
        <w:ind w:left="851" w:right="822"/>
        <w:jc w:val="center"/>
        <w:rPr>
          <w:b/>
        </w:rPr>
      </w:pPr>
      <w:r w:rsidRPr="001A5F83">
        <w:rPr>
          <w:b/>
        </w:rPr>
        <w:t>DE LA ADQUISICIÓN DE BIENES Y SERVICIOS</w:t>
      </w:r>
    </w:p>
    <w:p w14:paraId="72BF2681" w14:textId="77777777" w:rsidR="00A1764E" w:rsidRPr="001A5F83" w:rsidRDefault="00A1764E" w:rsidP="001A5F83">
      <w:pPr>
        <w:pStyle w:val="Puesto"/>
        <w:ind w:left="851" w:right="822"/>
      </w:pPr>
    </w:p>
    <w:p w14:paraId="2A35064B" w14:textId="77777777" w:rsidR="00A1764E" w:rsidRPr="001A5F83" w:rsidRDefault="007F06C5" w:rsidP="001A5F83">
      <w:pPr>
        <w:pStyle w:val="Puesto"/>
        <w:ind w:left="851" w:right="822"/>
      </w:pPr>
      <w:r w:rsidRPr="001A5F83">
        <w:rPr>
          <w:b/>
        </w:rPr>
        <w:t>Artículo 55.</w:t>
      </w:r>
      <w:r w:rsidRPr="001A5F83">
        <w:t xml:space="preserve"> Las Dependencias y Entidades Públicas en sus procesos adquisitivos, deberán observar lo establecido en la Ley de Contratación Pública del Estado de México y Municipios. </w:t>
      </w:r>
      <w:r w:rsidRPr="001A5F83">
        <w:rPr>
          <w:b/>
          <w:u w:val="single"/>
        </w:rPr>
        <w:t xml:space="preserve">Los montos máximos de adjudicación directa, mediante concurso por invitación restringida, para la adquisición o arrendamiento de </w:t>
      </w:r>
      <w:r w:rsidRPr="001A5F83">
        <w:rPr>
          <w:b/>
          <w:u w:val="single"/>
        </w:rPr>
        <w:lastRenderedPageBreak/>
        <w:t>bienes y la contratación de servicios que se realicen durante el Ejercicio Fiscal 2024, serán los siguientes:</w:t>
      </w:r>
    </w:p>
    <w:p w14:paraId="4F3F4695" w14:textId="77777777" w:rsidR="00A1764E" w:rsidRPr="001A5F83" w:rsidRDefault="00A1764E" w:rsidP="001A5F83"/>
    <w:p w14:paraId="4983AC14" w14:textId="77777777" w:rsidR="00A1764E" w:rsidRPr="001A5F83" w:rsidRDefault="007F06C5" w:rsidP="001A5F83">
      <w:r w:rsidRPr="001A5F83">
        <w:rPr>
          <w:noProof/>
          <w:lang w:eastAsia="es-MX"/>
        </w:rPr>
        <w:drawing>
          <wp:inline distT="0" distB="0" distL="0" distR="0" wp14:anchorId="7F24FD33" wp14:editId="49127F58">
            <wp:extent cx="5742940" cy="157988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742940" cy="1579880"/>
                    </a:xfrm>
                    <a:prstGeom prst="rect">
                      <a:avLst/>
                    </a:prstGeom>
                    <a:ln/>
                  </pic:spPr>
                </pic:pic>
              </a:graphicData>
            </a:graphic>
          </wp:inline>
        </w:drawing>
      </w:r>
    </w:p>
    <w:p w14:paraId="5B6D4EF6" w14:textId="77777777" w:rsidR="00A1764E" w:rsidRPr="001A5F83" w:rsidRDefault="00A1764E" w:rsidP="001A5F83"/>
    <w:p w14:paraId="0B7B0917" w14:textId="77777777" w:rsidR="00A1764E" w:rsidRPr="001A5F83" w:rsidRDefault="007F06C5" w:rsidP="001A5F83">
      <w:r w:rsidRPr="001A5F83">
        <w:t xml:space="preserve">Conforme a lo anterior, se observa que </w:t>
      </w:r>
      <w:r w:rsidRPr="001A5F83">
        <w:rPr>
          <w:b/>
        </w:rPr>
        <w:t>EL SUJETO OBLIGADO</w:t>
      </w:r>
      <w:r w:rsidRPr="001A5F83">
        <w:t xml:space="preserve"> está posibilitado para realizar adjudicaciones de adquisiciones, arrendamientos y servicios, entre ellos, los “contratos pedido”, por una cantidad que no exceda los montos establecidos para la adjudicación directa referidos en la tabla previamente inserta.</w:t>
      </w:r>
    </w:p>
    <w:p w14:paraId="0A18630B" w14:textId="77777777" w:rsidR="00A1764E" w:rsidRPr="001A5F83" w:rsidRDefault="00A1764E" w:rsidP="001A5F83"/>
    <w:p w14:paraId="649C4C80" w14:textId="77777777" w:rsidR="00A1764E" w:rsidRPr="001A5F83" w:rsidRDefault="007F06C5" w:rsidP="001A5F83">
      <w:r w:rsidRPr="001A5F83">
        <w:t xml:space="preserve">En consecuencia, si bien </w:t>
      </w:r>
      <w:r w:rsidRPr="001A5F83">
        <w:rPr>
          <w:b/>
        </w:rPr>
        <w:t>EL SUJETO OBLIGADO</w:t>
      </w:r>
      <w:r w:rsidRPr="001A5F83">
        <w:t xml:space="preserve"> se encuentra facultado para en su caso celebrar contratos pedido; sin embargo manifestó que no realizó ningún contrato pedido por los gastos realizados para el festejo de la Universidad, en razón de que ninguno de ellos rebasan el tope de UMAS establecido en el Reglamento de la Ley de Adquisiciones, Arrendamientos y Servicios del Sector Público.</w:t>
      </w:r>
    </w:p>
    <w:p w14:paraId="5B2FAA7B" w14:textId="77777777" w:rsidR="00A1764E" w:rsidRPr="001A5F83" w:rsidRDefault="00A1764E" w:rsidP="001A5F83"/>
    <w:p w14:paraId="4EAC24AC" w14:textId="77777777" w:rsidR="00A1764E" w:rsidRPr="001A5F83" w:rsidRDefault="007F06C5" w:rsidP="001A5F83">
      <w:r w:rsidRPr="001A5F83">
        <w:t xml:space="preserve">Señalando que, al existir un pronunciamiento por parte del </w:t>
      </w:r>
      <w:r w:rsidRPr="001A5F83">
        <w:rPr>
          <w:b/>
        </w:rPr>
        <w:t xml:space="preserve">SUJETO OBLIGADO </w:t>
      </w:r>
      <w:r w:rsidRPr="001A5F83">
        <w:t xml:space="preserve">a fin de atender la solicitud de información del particular, este Órgano Garante, carece de facultades para dudar de la información proporcionada. </w:t>
      </w:r>
    </w:p>
    <w:p w14:paraId="3D07BB38" w14:textId="77777777" w:rsidR="00A1764E" w:rsidRPr="001A5F83" w:rsidRDefault="00A1764E" w:rsidP="001A5F83">
      <w:pPr>
        <w:spacing w:after="160"/>
      </w:pPr>
    </w:p>
    <w:p w14:paraId="6CA619EC" w14:textId="77777777" w:rsidR="00A1764E" w:rsidRPr="001A5F83" w:rsidRDefault="007F06C5" w:rsidP="001A5F83">
      <w:r w:rsidRPr="001A5F83">
        <w:lastRenderedPageBreak/>
        <w:t xml:space="preserve">De lo que se advierte que es un pronunciamiento en sentido negativo, actualizándose de esta manera el supuesto jurídico de hechos negativos. </w:t>
      </w:r>
    </w:p>
    <w:p w14:paraId="3B3D76FC" w14:textId="77777777" w:rsidR="00A1764E" w:rsidRPr="001A5F83" w:rsidRDefault="00A1764E" w:rsidP="001A5F83"/>
    <w:p w14:paraId="400A6BF3" w14:textId="77777777" w:rsidR="00A1764E" w:rsidRPr="001A5F83" w:rsidRDefault="007F06C5" w:rsidP="001A5F83">
      <w:r w:rsidRPr="001A5F83">
        <w:t xml:space="preserve">Así, si se considera el hecho negativo, por lo que se advierte que el </w:t>
      </w:r>
      <w:r w:rsidRPr="001A5F83">
        <w:rPr>
          <w:b/>
        </w:rPr>
        <w:t>SUJETO OBLIGADO</w:t>
      </w:r>
      <w:r w:rsidRPr="001A5F83">
        <w:t>, no contaba con esos archivos o información a la fecha de la solicitud, ya que no puede probarse por ser lógica y materialmente imposible.</w:t>
      </w:r>
    </w:p>
    <w:p w14:paraId="6ADC3147" w14:textId="77777777" w:rsidR="00A1764E" w:rsidRPr="001A5F83" w:rsidRDefault="00A1764E" w:rsidP="001A5F83">
      <w:pPr>
        <w:widowControl w:val="0"/>
        <w:ind w:right="-28"/>
      </w:pPr>
    </w:p>
    <w:p w14:paraId="1C5B4F21" w14:textId="77777777" w:rsidR="00A1764E" w:rsidRPr="001A5F83" w:rsidRDefault="007F06C5" w:rsidP="001A5F83">
      <w:pPr>
        <w:widowControl w:val="0"/>
        <w:ind w:right="-28"/>
      </w:pPr>
      <w:r w:rsidRPr="001A5F83">
        <w:t>Asimismo, no se trata de un caso por el cual la negación del hecho implique la afirmación del mismo, simplemente se está ante una notoria y evidente inexistencia fáctica de la información solicitada.</w:t>
      </w:r>
    </w:p>
    <w:p w14:paraId="75F772D6" w14:textId="77777777" w:rsidR="00A1764E" w:rsidRPr="001A5F83" w:rsidRDefault="00A1764E" w:rsidP="001A5F83">
      <w:pPr>
        <w:widowControl w:val="0"/>
        <w:ind w:right="-28"/>
        <w:rPr>
          <w:sz w:val="16"/>
          <w:szCs w:val="14"/>
        </w:rPr>
      </w:pPr>
    </w:p>
    <w:p w14:paraId="30FD7162" w14:textId="77777777" w:rsidR="00A1764E" w:rsidRPr="001A5F83" w:rsidRDefault="007F06C5" w:rsidP="001A5F83">
      <w:pPr>
        <w:widowControl w:val="0"/>
        <w:ind w:right="-28"/>
      </w:pPr>
      <w:r w:rsidRPr="001A5F83">
        <w:t xml:space="preserve">En atención a lo anterior, de conformidad con lo establecido en el artículo 12 de la Ley de Transparencia y Acceso a la Información Pública del Estado de México y Municipios de aplicación supletoria a la materia </w:t>
      </w:r>
      <w:r w:rsidRPr="001A5F83">
        <w:rPr>
          <w:b/>
        </w:rPr>
        <w:t>EL SUJETO OBLIGADO</w:t>
      </w:r>
      <w:r w:rsidRPr="001A5F83">
        <w:t xml:space="preserve"> sólo proporcionará los datos personales que obren en sus archivos, lo que a </w:t>
      </w:r>
      <w:r w:rsidRPr="001A5F83">
        <w:rPr>
          <w:i/>
        </w:rPr>
        <w:t>contrario sensu</w:t>
      </w:r>
      <w:r w:rsidRPr="001A5F83">
        <w:t xml:space="preserve"> significa que no se está obligado a proporcionar lo que no obre en sus archivos.</w:t>
      </w:r>
    </w:p>
    <w:p w14:paraId="05F376F9" w14:textId="77777777" w:rsidR="00A1764E" w:rsidRPr="001A5F83" w:rsidRDefault="00A1764E" w:rsidP="001A5F83">
      <w:pPr>
        <w:widowControl w:val="0"/>
        <w:ind w:right="-28"/>
        <w:rPr>
          <w:sz w:val="16"/>
          <w:szCs w:val="14"/>
        </w:rPr>
      </w:pPr>
    </w:p>
    <w:p w14:paraId="6827F50A" w14:textId="77777777" w:rsidR="00A1764E" w:rsidRPr="001A5F83" w:rsidRDefault="007F06C5" w:rsidP="001A5F83">
      <w:pPr>
        <w:widowControl w:val="0"/>
        <w:ind w:right="-28"/>
      </w:pPr>
      <w:r w:rsidRPr="001A5F83">
        <w:t xml:space="preserve">Por lo que, se debe destacar entonces que el Pleno de este Organismo Garante, ha sostenido que nos encontramos ante la presencia de un hecho negativo, por lo que resultaría innecesaria una declaratoria de inexistencia en términos de 19, 169 y 170 de la Ley de Transparencia y Acceso a la Información Pública del Estado de México y Municipios, de aplicación supletoria, y ante un hecho negativo resultan aplicables las siguientes tesis: </w:t>
      </w:r>
    </w:p>
    <w:p w14:paraId="5FF05E84" w14:textId="77777777" w:rsidR="00A1764E" w:rsidRPr="001A5F83" w:rsidRDefault="00A1764E" w:rsidP="001A5F83">
      <w:pPr>
        <w:widowControl w:val="0"/>
        <w:ind w:right="-28"/>
      </w:pPr>
    </w:p>
    <w:p w14:paraId="2366DEA6" w14:textId="77777777" w:rsidR="00A1764E" w:rsidRPr="001A5F83" w:rsidRDefault="007F06C5" w:rsidP="001A5F83">
      <w:pPr>
        <w:pStyle w:val="Puesto"/>
        <w:ind w:left="851" w:right="822"/>
      </w:pPr>
      <w:r w:rsidRPr="001A5F83">
        <w:rPr>
          <w:b/>
        </w:rPr>
        <w:t xml:space="preserve">“HECHOS NEGATIVOS, NO SON SUSCEPTIBLES DE DEMOSTRACIÓN. </w:t>
      </w:r>
      <w:r w:rsidRPr="001A5F83">
        <w:t>Tratándose de un hecho negativo, el Juez no tiene por qué invocar prueba alguna de la que se desprenda, ya que es bien sabido que esta clase de hechos no son susceptibles de demostración.”</w:t>
      </w:r>
    </w:p>
    <w:p w14:paraId="3C7840F9" w14:textId="77777777" w:rsidR="00A1764E" w:rsidRPr="001A5F83" w:rsidRDefault="007F06C5" w:rsidP="001A5F83">
      <w:pPr>
        <w:pStyle w:val="Puesto"/>
        <w:ind w:left="851"/>
      </w:pPr>
      <w:r w:rsidRPr="001A5F83">
        <w:t>(Énfasis añadido)</w:t>
      </w:r>
    </w:p>
    <w:p w14:paraId="6C6172E9" w14:textId="77777777" w:rsidR="00A1764E" w:rsidRPr="001A5F83" w:rsidRDefault="00A1764E" w:rsidP="001A5F83">
      <w:pPr>
        <w:widowControl w:val="0"/>
        <w:ind w:left="850" w:right="-28"/>
        <w:jc w:val="right"/>
        <w:rPr>
          <w:i/>
        </w:rPr>
      </w:pPr>
    </w:p>
    <w:p w14:paraId="71824868" w14:textId="77777777" w:rsidR="00A1764E" w:rsidRPr="001A5F83" w:rsidRDefault="007F06C5" w:rsidP="001A5F83">
      <w:pPr>
        <w:ind w:right="-28"/>
      </w:pPr>
      <w:r w:rsidRPr="001A5F83">
        <w:t>Por lo anterior, para robustecer lo siguiente, se anexa el siguiente criterio:</w:t>
      </w:r>
    </w:p>
    <w:p w14:paraId="2E20B00C" w14:textId="77777777" w:rsidR="00A1764E" w:rsidRPr="001A5F83" w:rsidRDefault="00A1764E" w:rsidP="001A5F83">
      <w:pPr>
        <w:ind w:right="-28"/>
      </w:pPr>
    </w:p>
    <w:p w14:paraId="370E9659" w14:textId="77777777" w:rsidR="00A1764E" w:rsidRPr="001A5F83" w:rsidRDefault="007F06C5" w:rsidP="001A5F83">
      <w:pPr>
        <w:pStyle w:val="Puesto"/>
        <w:tabs>
          <w:tab w:val="left" w:pos="8222"/>
        </w:tabs>
        <w:ind w:left="851" w:right="822"/>
      </w:pPr>
      <w:r w:rsidRPr="001A5F83">
        <w:t>“</w:t>
      </w:r>
      <w:r w:rsidRPr="001A5F83">
        <w:rPr>
          <w:b/>
        </w:rPr>
        <w:t>HECHO NEGATIVO. DIFERENCIA CON LA INEXISTENCIA DE LA INFORMACIÓN A LA QUE REFIERE EL ARTICULO 19 DE LA LEY DE TRANSPARENCIA Y ACCESO A LA INFORMACIÓN PÚBLICA DEL ESTADO DE MÉXICO Y MUNICIPIOS.</w:t>
      </w:r>
      <w:r w:rsidRPr="001A5F83">
        <w:t xml:space="preserve"> El artículo 19 de la Ley de la materia contempla acuerdo de Inexistencia de la Información que emita el Comité de Transparencia deberá emitir un, debidamente fundado y motivado, en el que se justifique el por qué no obra en los archivos del Sujeto Obligado, la información requerida; sin embargo, dicho acuerdo debe obedecer en primer término a que de las facultades, competencias y funciones que los ordenamientos jurídicos aplicables otorguen a los Sujetos Obligados se presuma la existencia de la información y, que por circunstancias varias o ante la falta del ejercicio de ciertas facultades, competencias o funciones no se localice o se haya generado la información, entonces procede la citada declaratoria, mas no así cuando se carece de fundamento que constriña al Sujeto Obligado a contar con la información, ni existan elementos externos de los que se pueda presumir que obraba en su poder. Ante tal circunstancia, es obvio que éste no puede fácticamente obrar en los archivos del Sujeto Obligado y no resulta procedente un Acuerdo de Inexistencia ya que no puede probarse por ser lógica y materialmente imposible. Asimismo, no se trata de un caso por el cual la negación del hecho implique la afirmación del mismo, simplemente se está ante una notoria y evidente inexistencia fáctica de la información solicitada; por lo que atendiendo a lo establecido en el artículo 41 de la Ley de Transparencia y Acceso a la Información Pública del Estado de México y Municipios el Sujeto Obligado sólo proporcionará la información que obra en sus archivos, lo que a contrario sensu significa que no se está obligado a proporcionar lo que no obre en sus archivos.”</w:t>
      </w:r>
    </w:p>
    <w:p w14:paraId="45AAB3F1" w14:textId="77777777" w:rsidR="00A1764E" w:rsidRPr="001A5F83" w:rsidRDefault="00A1764E" w:rsidP="001A5F83">
      <w:pPr>
        <w:pStyle w:val="Puesto"/>
        <w:tabs>
          <w:tab w:val="left" w:pos="8222"/>
        </w:tabs>
        <w:ind w:left="851" w:right="822"/>
      </w:pPr>
    </w:p>
    <w:p w14:paraId="40C5F5B3" w14:textId="77777777" w:rsidR="00A1764E" w:rsidRPr="001A5F83" w:rsidRDefault="007F06C5" w:rsidP="001A5F83">
      <w:pPr>
        <w:pStyle w:val="Puesto"/>
        <w:tabs>
          <w:tab w:val="left" w:pos="8222"/>
        </w:tabs>
        <w:ind w:left="851" w:right="822"/>
      </w:pPr>
      <w:r w:rsidRPr="001A5F83">
        <w:t>(Énfasis añadido)</w:t>
      </w:r>
    </w:p>
    <w:p w14:paraId="056FA301" w14:textId="77777777" w:rsidR="00A1764E" w:rsidRPr="001A5F83" w:rsidRDefault="00A1764E" w:rsidP="001A5F83"/>
    <w:p w14:paraId="26CD2213" w14:textId="77777777" w:rsidR="00A1764E" w:rsidRPr="001A5F83" w:rsidRDefault="007F06C5" w:rsidP="001A5F83">
      <w:pPr>
        <w:tabs>
          <w:tab w:val="left" w:pos="7938"/>
        </w:tabs>
      </w:pPr>
      <w:r w:rsidRPr="001A5F83">
        <w:t xml:space="preserve">Por lo que, una vez analizada la información que proporcionó </w:t>
      </w:r>
      <w:r w:rsidRPr="001A5F83">
        <w:rPr>
          <w:b/>
        </w:rPr>
        <w:t>EL SUJETO OBLIGADO</w:t>
      </w:r>
      <w:r w:rsidRPr="001A5F83">
        <w:t xml:space="preserve"> en respuesta e Informe Justificado, se estima que este colmó los requerimientos originales formulados por el solicitante, por lo que es importante señalar que, dicha solicitud fue atendida por el Servidor Público Habilitado competente, es decir, al Jefe del Departamento de Recursos Materiales y Financieros; situación, que se advierte de las constancias que obran en </w:t>
      </w:r>
      <w:r w:rsidRPr="001A5F83">
        <w:lastRenderedPageBreak/>
        <w:t xml:space="preserve">el expediente electrónico del </w:t>
      </w:r>
      <w:r w:rsidRPr="001A5F83">
        <w:rPr>
          <w:b/>
        </w:rPr>
        <w:t>SAIMEX</w:t>
      </w:r>
      <w:r w:rsidRPr="001A5F83">
        <w:t>, unidad administrativa que cuenta con las atribuciones y funciones siguientes:</w:t>
      </w:r>
    </w:p>
    <w:p w14:paraId="26A0FC09" w14:textId="77777777" w:rsidR="00A1764E" w:rsidRPr="001A5F83" w:rsidRDefault="00A1764E" w:rsidP="001A5F83">
      <w:pPr>
        <w:tabs>
          <w:tab w:val="left" w:pos="7938"/>
        </w:tabs>
        <w:spacing w:line="240" w:lineRule="auto"/>
        <w:ind w:left="851" w:right="822"/>
      </w:pPr>
    </w:p>
    <w:p w14:paraId="08F1A38A" w14:textId="77777777" w:rsidR="00A1764E" w:rsidRPr="001A5F83" w:rsidRDefault="007F06C5" w:rsidP="001A5F83">
      <w:pPr>
        <w:pStyle w:val="Puesto"/>
        <w:ind w:left="851" w:right="822"/>
        <w:jc w:val="center"/>
        <w:rPr>
          <w:b/>
        </w:rPr>
      </w:pPr>
      <w:r w:rsidRPr="001A5F83">
        <w:rPr>
          <w:b/>
        </w:rPr>
        <w:t>Reglamento Interior</w:t>
      </w:r>
    </w:p>
    <w:p w14:paraId="391B9670" w14:textId="77777777" w:rsidR="00A1764E" w:rsidRPr="001A5F83" w:rsidRDefault="00A1764E" w:rsidP="001A5F83">
      <w:pPr>
        <w:pStyle w:val="Puesto"/>
        <w:ind w:left="851" w:right="822"/>
      </w:pPr>
    </w:p>
    <w:p w14:paraId="72670E17" w14:textId="77777777" w:rsidR="00A1764E" w:rsidRPr="001A5F83" w:rsidRDefault="007F06C5" w:rsidP="001A5F83">
      <w:pPr>
        <w:pStyle w:val="Puesto"/>
        <w:ind w:left="851" w:right="822"/>
      </w:pPr>
      <w:r w:rsidRPr="001A5F83">
        <w:rPr>
          <w:b/>
        </w:rPr>
        <w:t>Artículo 15 Bis.-</w:t>
      </w:r>
      <w:r w:rsidRPr="001A5F83">
        <w:t xml:space="preserve"> Corresponde al Departamento de Recursos Materiales y Financieros las atribuciones siguientes: </w:t>
      </w:r>
    </w:p>
    <w:p w14:paraId="76948C87" w14:textId="77777777" w:rsidR="00A1764E" w:rsidRPr="001A5F83" w:rsidRDefault="007F06C5" w:rsidP="001A5F83">
      <w:pPr>
        <w:pStyle w:val="Puesto"/>
        <w:ind w:left="851" w:right="822"/>
      </w:pPr>
      <w:r w:rsidRPr="001A5F83">
        <w:t>I. Elaborar las políticas y los procedimientos para administrar eficientemente los recursos financieros de la Universidad, ejerciendo el control administrativo, contable y financiero respectivo de acuerdo con los objetivos, lineamientos y estrategias definidas en sus programas;</w:t>
      </w:r>
    </w:p>
    <w:p w14:paraId="3BE000C4" w14:textId="77777777" w:rsidR="00A1764E" w:rsidRPr="001A5F83" w:rsidRDefault="007F06C5" w:rsidP="001A5F83">
      <w:pPr>
        <w:pStyle w:val="Puesto"/>
        <w:ind w:left="851" w:right="822"/>
      </w:pPr>
      <w:r w:rsidRPr="001A5F83">
        <w:t xml:space="preserve">IV. Cumplir con las disposiciones aplicables en materia de adquisiciones, conservación, mantenimiento y reparación de bienes muebles e inmuebles; </w:t>
      </w:r>
    </w:p>
    <w:p w14:paraId="1B8A446F" w14:textId="77777777" w:rsidR="00A1764E" w:rsidRPr="001A5F83" w:rsidRDefault="007F06C5" w:rsidP="001A5F83">
      <w:pPr>
        <w:pStyle w:val="Puesto"/>
        <w:ind w:left="851" w:right="822"/>
      </w:pPr>
      <w:r w:rsidRPr="001A5F83">
        <w:t>V. Proporcionar con oportunidad los recursos financieros y materiales requeridos por las unidades administrativas de la Universidad;</w:t>
      </w:r>
    </w:p>
    <w:p w14:paraId="22701903" w14:textId="77777777" w:rsidR="00A1764E" w:rsidRPr="001A5F83" w:rsidRDefault="007F06C5" w:rsidP="001A5F83">
      <w:pPr>
        <w:pStyle w:val="Puesto"/>
        <w:ind w:left="851" w:right="822" w:firstLine="567"/>
      </w:pPr>
      <w:r w:rsidRPr="001A5F83">
        <w:t>…</w:t>
      </w:r>
    </w:p>
    <w:p w14:paraId="417C54E4" w14:textId="77777777" w:rsidR="00A1764E" w:rsidRPr="001A5F83" w:rsidRDefault="00A1764E" w:rsidP="001A5F83">
      <w:pPr>
        <w:tabs>
          <w:tab w:val="left" w:pos="7938"/>
        </w:tabs>
        <w:spacing w:line="240" w:lineRule="auto"/>
        <w:ind w:left="851" w:right="822"/>
      </w:pPr>
    </w:p>
    <w:p w14:paraId="59D18FA2" w14:textId="77777777" w:rsidR="00A1764E" w:rsidRPr="001A5F83" w:rsidRDefault="007F06C5" w:rsidP="001A5F83">
      <w:pPr>
        <w:tabs>
          <w:tab w:val="left" w:pos="7938"/>
        </w:tabs>
        <w:spacing w:line="240" w:lineRule="auto"/>
        <w:ind w:left="851" w:right="822"/>
        <w:jc w:val="center"/>
        <w:rPr>
          <w:b/>
        </w:rPr>
      </w:pPr>
      <w:r w:rsidRPr="001A5F83">
        <w:rPr>
          <w:b/>
        </w:rPr>
        <w:t>Manual General de organización</w:t>
      </w:r>
    </w:p>
    <w:p w14:paraId="57802DC4" w14:textId="77777777" w:rsidR="00A1764E" w:rsidRPr="001A5F83" w:rsidRDefault="00A1764E" w:rsidP="001A5F83">
      <w:pPr>
        <w:tabs>
          <w:tab w:val="left" w:pos="7938"/>
        </w:tabs>
        <w:spacing w:line="240" w:lineRule="auto"/>
        <w:ind w:left="851" w:right="822"/>
        <w:jc w:val="center"/>
      </w:pPr>
    </w:p>
    <w:p w14:paraId="6B6891F7" w14:textId="77777777" w:rsidR="00A1764E" w:rsidRPr="001A5F83" w:rsidRDefault="007F06C5" w:rsidP="001A5F83">
      <w:pPr>
        <w:pStyle w:val="Puesto"/>
        <w:ind w:left="851" w:right="822"/>
        <w:rPr>
          <w:b/>
        </w:rPr>
      </w:pPr>
      <w:r w:rsidRPr="001A5F83">
        <w:rPr>
          <w:b/>
        </w:rPr>
        <w:t xml:space="preserve">210C3101060001L DEPARTAMENTO DE RECURSOS MATERIALES Y FINANCIEROS </w:t>
      </w:r>
    </w:p>
    <w:p w14:paraId="25B4A1CD" w14:textId="77777777" w:rsidR="00A1764E" w:rsidRPr="001A5F83" w:rsidRDefault="007F06C5" w:rsidP="001A5F83">
      <w:pPr>
        <w:pStyle w:val="Puesto"/>
        <w:ind w:left="851" w:right="822"/>
        <w:rPr>
          <w:b/>
        </w:rPr>
      </w:pPr>
      <w:r w:rsidRPr="001A5F83">
        <w:rPr>
          <w:b/>
        </w:rPr>
        <w:t>OBJETIVO:</w:t>
      </w:r>
      <w:r w:rsidRPr="001A5F83">
        <w:t xml:space="preserve"> Gestionar, adquirir, almacenar, suministrar y controlar los enseres, bienes, artículos y servicios, así como establecer los sistemas de control de inventario de bienes muebles e inmuebles y prestar los servicios generales requeridos por las unidades administrativas adscritas a la Universidad, para el logro de los objetivos establecidos. </w:t>
      </w:r>
      <w:r w:rsidRPr="001A5F83">
        <w:rPr>
          <w:b/>
        </w:rPr>
        <w:t xml:space="preserve">FUNCIONES: </w:t>
      </w:r>
    </w:p>
    <w:p w14:paraId="1DAFECB2" w14:textId="77777777" w:rsidR="00A1764E" w:rsidRPr="001A5F83" w:rsidRDefault="007F06C5" w:rsidP="001A5F83">
      <w:pPr>
        <w:pStyle w:val="Puesto"/>
        <w:ind w:left="851" w:right="822"/>
      </w:pPr>
      <w:r w:rsidRPr="001A5F83">
        <w:t xml:space="preserve">− Integrar el Programa Anual de Adquisiciones, Arrendamientos y Servicios conforme a los requerimientos de las unidades administrativas adscritas a la Universidad, con apego a la normatividad en la materia. </w:t>
      </w:r>
    </w:p>
    <w:p w14:paraId="01183D7D" w14:textId="77777777" w:rsidR="00A1764E" w:rsidRPr="001A5F83" w:rsidRDefault="007F06C5" w:rsidP="001A5F83">
      <w:pPr>
        <w:pStyle w:val="Puesto"/>
        <w:ind w:left="851" w:right="822"/>
      </w:pPr>
      <w:r w:rsidRPr="001A5F83">
        <w:t xml:space="preserve">− Integrar y ejecutar los procedimientos de adjudicación directa, invitación a cuando menos tres personas, invitación restringida o licitación pública para la adquisición de los insumos, bienes muebles, materiales y equipo que requieran las unidades administrativas de la Universidad para el desarrollo de sus funciones de acuerdo con las disposiciones señaladas por la normatividad establecida. </w:t>
      </w:r>
    </w:p>
    <w:p w14:paraId="19FB8934" w14:textId="77777777" w:rsidR="00A1764E" w:rsidRPr="001A5F83" w:rsidRDefault="007F06C5" w:rsidP="001A5F83">
      <w:pPr>
        <w:pStyle w:val="Puesto"/>
        <w:ind w:left="851" w:right="822"/>
      </w:pPr>
      <w:r w:rsidRPr="001A5F83">
        <w:t>− Cotizar los requerimientos de adquisición de bienes y contratación de servicios, o en su caso de obra pública y servicios relacionados con las mismas; así como ejecutar las adjudicaciones que deriven de la autorización de los cuadros comparativos, de conformidad con las disposiciones señaladas por la normatividad establecida.</w:t>
      </w:r>
    </w:p>
    <w:p w14:paraId="4EF55E09" w14:textId="77777777" w:rsidR="00A1764E" w:rsidRPr="001A5F83" w:rsidRDefault="007F06C5" w:rsidP="001A5F83">
      <w:r w:rsidRPr="001A5F83">
        <w:lastRenderedPageBreak/>
        <w:t xml:space="preserve">Así, ante el pronunciamiento por parte del Servidor Público Habilitado competente, se agotó la búsqueda exhaustiva y razonable por parte del </w:t>
      </w:r>
      <w:r w:rsidRPr="001A5F83">
        <w:rPr>
          <w:b/>
        </w:rPr>
        <w:t>SUJETO OBLIGADO</w:t>
      </w:r>
      <w:r w:rsidRPr="001A5F83">
        <w:t>, que para tal efecto dispone el artículo 162, de la Ley de Transparencia y Acceso a la Información Pública del Estado de México y Municipios, que índica:</w:t>
      </w:r>
    </w:p>
    <w:p w14:paraId="36255F7A" w14:textId="77777777" w:rsidR="00A1764E" w:rsidRPr="001A5F83" w:rsidRDefault="00A1764E" w:rsidP="001A5F83"/>
    <w:p w14:paraId="52CCADDA" w14:textId="77777777" w:rsidR="00A1764E" w:rsidRPr="001A5F83" w:rsidRDefault="007F06C5" w:rsidP="001A5F83">
      <w:pPr>
        <w:pStyle w:val="Puesto"/>
        <w:ind w:left="851" w:right="822"/>
      </w:pPr>
      <w:r w:rsidRPr="001A5F83">
        <w:t>“</w:t>
      </w:r>
      <w:r w:rsidRPr="001A5F83">
        <w:rPr>
          <w:b/>
        </w:rPr>
        <w:t xml:space="preserve">Artículo 162. </w:t>
      </w:r>
      <w:r w:rsidRPr="001A5F83">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11365891" w14:textId="77777777" w:rsidR="00A1764E" w:rsidRPr="001A5F83" w:rsidRDefault="00A1764E" w:rsidP="001A5F83"/>
    <w:p w14:paraId="6CF07A61" w14:textId="77777777" w:rsidR="00A1764E" w:rsidRPr="001A5F83" w:rsidRDefault="007F06C5" w:rsidP="001A5F83">
      <w:pPr>
        <w:spacing w:before="240"/>
      </w:pPr>
      <w:r w:rsidRPr="001A5F83">
        <w:t xml:space="preserve">Asimismo, por otro lado, es de hacer notar, que de los motivos de inconformidad de </w:t>
      </w:r>
      <w:r w:rsidRPr="001A5F83">
        <w:rPr>
          <w:b/>
        </w:rPr>
        <w:t xml:space="preserve">LA PARTE RECURRENTE </w:t>
      </w:r>
      <w:r w:rsidRPr="001A5F83">
        <w:t>se observa que realiza nuevos requerimientos de información, como es el caso de “…</w:t>
      </w:r>
      <w:r w:rsidRPr="001A5F83">
        <w:rPr>
          <w:i/>
        </w:rPr>
        <w:t>deseo las facturas o comprobantes de los gastos efectuados…” Sic.</w:t>
      </w:r>
    </w:p>
    <w:p w14:paraId="6093D4EC" w14:textId="77777777" w:rsidR="00A1764E" w:rsidRPr="001A5F83" w:rsidRDefault="007F06C5" w:rsidP="001A5F83">
      <w:pPr>
        <w:spacing w:before="240"/>
      </w:pPr>
      <w:r w:rsidRPr="001A5F83">
        <w:t xml:space="preserve">Configurando de esta manera la figura jurídica denominada </w:t>
      </w:r>
      <w:r w:rsidRPr="001A5F83">
        <w:rPr>
          <w:b/>
          <w:i/>
        </w:rPr>
        <w:t xml:space="preserve">plus </w:t>
      </w:r>
      <w:proofErr w:type="spellStart"/>
      <w:r w:rsidRPr="001A5F83">
        <w:rPr>
          <w:b/>
          <w:i/>
        </w:rPr>
        <w:t>petitio</w:t>
      </w:r>
      <w:proofErr w:type="spellEnd"/>
      <w:r w:rsidRPr="001A5F83">
        <w:t>, que consiste en ampliar la solicitud de información que originalmente no se peticionó.</w:t>
      </w:r>
    </w:p>
    <w:p w14:paraId="225C3AFA" w14:textId="77777777" w:rsidR="00A1764E" w:rsidRPr="001A5F83" w:rsidRDefault="007F06C5" w:rsidP="001A5F83">
      <w:pPr>
        <w:spacing w:before="240"/>
      </w:pPr>
      <w:r w:rsidRPr="001A5F83">
        <w:t>Siendo importante señalar que una vez formulada una solicitud, los particulares no pueden modificarla o ampliarla a través de posteriores promociones o en el momento de ingresar su recurso de revisión; por tanto, la materia de las solicitudes de información se circunscribe a que se permita el acceso a los documentos inicialmente solicitados y en su caso a los aclarados o corregidos.</w:t>
      </w:r>
    </w:p>
    <w:p w14:paraId="474F491C" w14:textId="2D72FAD9" w:rsidR="00A1764E" w:rsidRDefault="007F06C5" w:rsidP="001A5F83">
      <w:pPr>
        <w:pBdr>
          <w:top w:val="nil"/>
          <w:left w:val="nil"/>
          <w:bottom w:val="nil"/>
          <w:right w:val="nil"/>
          <w:between w:val="nil"/>
        </w:pBdr>
        <w:spacing w:before="240" w:after="240"/>
      </w:pPr>
      <w:r w:rsidRPr="001A5F83">
        <w:t>Robustece lo anterior lo plasmado en el criterio orientador número 01/17 emitido por el Instituto Nacional de Transparencia, Acceso a la Información y Protección de Datos Personales, INAI, que lleva por rubro y texto lo que a continuación se transcribe:</w:t>
      </w:r>
    </w:p>
    <w:p w14:paraId="2F0E26C8" w14:textId="77777777" w:rsidR="001A5F83" w:rsidRPr="001A5F83" w:rsidRDefault="001A5F83" w:rsidP="001A5F83">
      <w:pPr>
        <w:pBdr>
          <w:top w:val="nil"/>
          <w:left w:val="nil"/>
          <w:bottom w:val="nil"/>
          <w:right w:val="nil"/>
          <w:between w:val="nil"/>
        </w:pBdr>
        <w:spacing w:before="240" w:after="240"/>
      </w:pPr>
    </w:p>
    <w:p w14:paraId="47B48B2B" w14:textId="77777777" w:rsidR="00A1764E" w:rsidRPr="001A5F83" w:rsidRDefault="007F06C5" w:rsidP="001A5F83">
      <w:pPr>
        <w:pStyle w:val="Puesto"/>
        <w:ind w:left="851" w:right="822"/>
      </w:pPr>
      <w:r w:rsidRPr="001A5F83">
        <w:lastRenderedPageBreak/>
        <w:t>“</w:t>
      </w:r>
      <w:r w:rsidRPr="001A5F83">
        <w:rPr>
          <w:b/>
        </w:rPr>
        <w:t xml:space="preserve">Es improcedente ampliar las solicitudes de acceso a información, a través de la interposición del recurso de revisión. </w:t>
      </w:r>
      <w:r w:rsidRPr="001A5F83">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sidRPr="001A5F83">
        <w:rPr>
          <w:b/>
        </w:rPr>
        <w:t>.</w:t>
      </w:r>
      <w:r w:rsidRPr="001A5F83">
        <w:t>”(Sic)</w:t>
      </w:r>
    </w:p>
    <w:p w14:paraId="744BBBD9" w14:textId="77777777" w:rsidR="00A1764E" w:rsidRPr="001A5F83" w:rsidRDefault="00A1764E" w:rsidP="001A5F83"/>
    <w:p w14:paraId="18725BC3" w14:textId="77777777" w:rsidR="00A1764E" w:rsidRPr="001A5F83" w:rsidRDefault="007F06C5" w:rsidP="001A5F83">
      <w:pPr>
        <w:spacing w:after="160"/>
      </w:pPr>
      <w:r w:rsidRPr="001A5F83">
        <w:t xml:space="preserve">Por consiguiente, en estricto derecho la alegación de la parte </w:t>
      </w:r>
      <w:r w:rsidRPr="001A5F83">
        <w:rPr>
          <w:b/>
        </w:rPr>
        <w:t>RECURRENTE</w:t>
      </w:r>
      <w:r w:rsidRPr="001A5F83">
        <w:t xml:space="preserve"> se califica de inoperante, en el presente fallo.</w:t>
      </w:r>
    </w:p>
    <w:p w14:paraId="7636F8EA" w14:textId="77777777" w:rsidR="00A1764E" w:rsidRPr="001A5F83" w:rsidRDefault="007F06C5" w:rsidP="001A5F83">
      <w:pPr>
        <w:pStyle w:val="Ttulo3"/>
      </w:pPr>
      <w:bookmarkStart w:id="25" w:name="_heading=h.1ci93xb" w:colFirst="0" w:colLast="0"/>
      <w:bookmarkEnd w:id="25"/>
      <w:r w:rsidRPr="001A5F83">
        <w:t>d) Conclusión</w:t>
      </w:r>
    </w:p>
    <w:p w14:paraId="35F8283D" w14:textId="77777777" w:rsidR="00A1764E" w:rsidRPr="001A5F83" w:rsidRDefault="007F06C5" w:rsidP="001A5F83">
      <w:pPr>
        <w:rPr>
          <w:b/>
        </w:rPr>
      </w:pPr>
      <w:r w:rsidRPr="001A5F83">
        <w:t xml:space="preserve">Por lo anteriormente expuesto, este Instituto estima que las razones o motivos de inconformidad planteadas resultan infundadas; en consecuencia, este Órgano Garante determina </w:t>
      </w:r>
      <w:r w:rsidRPr="001A5F83">
        <w:rPr>
          <w:b/>
        </w:rPr>
        <w:t xml:space="preserve">CONFIRMAR </w:t>
      </w:r>
      <w:r w:rsidRPr="001A5F83">
        <w:t xml:space="preserve">la respuesta otorgada por el </w:t>
      </w:r>
      <w:r w:rsidRPr="001A5F83">
        <w:rPr>
          <w:b/>
        </w:rPr>
        <w:t>SUJETO OBLIGADO.</w:t>
      </w:r>
    </w:p>
    <w:p w14:paraId="0C2C7020" w14:textId="77777777" w:rsidR="00A1764E" w:rsidRPr="001A5F83" w:rsidRDefault="00A1764E" w:rsidP="001A5F83"/>
    <w:p w14:paraId="27C3E33A" w14:textId="0538DE9D" w:rsidR="0006388C" w:rsidRPr="001A5F83" w:rsidRDefault="007F06C5" w:rsidP="00C2746D">
      <w:pPr>
        <w:ind w:right="-93"/>
      </w:pPr>
      <w:bookmarkStart w:id="26" w:name="_heading=h.3whwml4" w:colFirst="0" w:colLast="0"/>
      <w:bookmarkEnd w:id="26"/>
      <w:r w:rsidRPr="001A5F83">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bookmarkStart w:id="27" w:name="_heading=h.2bn6wsx" w:colFirst="0" w:colLast="0"/>
      <w:bookmarkStart w:id="28" w:name="_GoBack"/>
      <w:bookmarkEnd w:id="27"/>
      <w:bookmarkEnd w:id="28"/>
    </w:p>
    <w:p w14:paraId="0AB05E65" w14:textId="68984755" w:rsidR="00A1764E" w:rsidRPr="001A5F83" w:rsidRDefault="007F06C5" w:rsidP="001A5F83">
      <w:pPr>
        <w:pStyle w:val="Ttulo1"/>
      </w:pPr>
      <w:r w:rsidRPr="001A5F83">
        <w:t>RESUELVE</w:t>
      </w:r>
    </w:p>
    <w:p w14:paraId="2B220CF4" w14:textId="77777777" w:rsidR="00A1764E" w:rsidRPr="001A5F83" w:rsidRDefault="00A1764E" w:rsidP="001A5F83">
      <w:pPr>
        <w:ind w:right="113"/>
        <w:rPr>
          <w:b/>
        </w:rPr>
      </w:pPr>
    </w:p>
    <w:p w14:paraId="5457B253" w14:textId="77777777" w:rsidR="00A1764E" w:rsidRPr="001A5F83" w:rsidRDefault="007F06C5" w:rsidP="001A5F83">
      <w:pPr>
        <w:widowControl w:val="0"/>
      </w:pPr>
      <w:r w:rsidRPr="001A5F83">
        <w:rPr>
          <w:b/>
        </w:rPr>
        <w:t>PRIMERO.</w:t>
      </w:r>
      <w:r w:rsidRPr="001A5F83">
        <w:t xml:space="preserve"> Se </w:t>
      </w:r>
      <w:r w:rsidRPr="001A5F83">
        <w:rPr>
          <w:b/>
        </w:rPr>
        <w:t>CONFIRMA</w:t>
      </w:r>
      <w:r w:rsidRPr="001A5F83">
        <w:t xml:space="preserve"> la respuesta entregada por el </w:t>
      </w:r>
      <w:r w:rsidRPr="001A5F83">
        <w:rPr>
          <w:b/>
        </w:rPr>
        <w:t>SUJETO OBLIGADO</w:t>
      </w:r>
      <w:r w:rsidRPr="001A5F83">
        <w:t xml:space="preserve"> en la solicitud de información </w:t>
      </w:r>
      <w:r w:rsidRPr="001A5F83">
        <w:rPr>
          <w:b/>
        </w:rPr>
        <w:t>00040/UNEVT/IP/2024</w:t>
      </w:r>
      <w:r w:rsidRPr="001A5F83">
        <w:t xml:space="preserve">, por resultar </w:t>
      </w:r>
      <w:r w:rsidRPr="001A5F83">
        <w:rPr>
          <w:b/>
        </w:rPr>
        <w:t>INFUNDADAS</w:t>
      </w:r>
      <w:r w:rsidRPr="001A5F83">
        <w:t xml:space="preserve"> las razones o motivos de inconformidad hechos valer por </w:t>
      </w:r>
      <w:r w:rsidRPr="001A5F83">
        <w:rPr>
          <w:b/>
        </w:rPr>
        <w:t>LA PARTE RECURRENTE</w:t>
      </w:r>
      <w:r w:rsidRPr="001A5F83">
        <w:t xml:space="preserve"> en el Recurso de Revisión </w:t>
      </w:r>
      <w:r w:rsidRPr="001A5F83">
        <w:rPr>
          <w:b/>
        </w:rPr>
        <w:t>07367/INFOEM/IP/RR/2024</w:t>
      </w:r>
      <w:r w:rsidRPr="001A5F83">
        <w:t>,</w:t>
      </w:r>
      <w:r w:rsidRPr="001A5F83">
        <w:rPr>
          <w:b/>
        </w:rPr>
        <w:t xml:space="preserve"> </w:t>
      </w:r>
      <w:r w:rsidRPr="001A5F83">
        <w:t xml:space="preserve">en términos del considerando </w:t>
      </w:r>
      <w:r w:rsidRPr="001A5F83">
        <w:rPr>
          <w:b/>
        </w:rPr>
        <w:t>SEGUNDO</w:t>
      </w:r>
      <w:r w:rsidRPr="001A5F83">
        <w:t xml:space="preserve"> de la </w:t>
      </w:r>
      <w:r w:rsidRPr="001A5F83">
        <w:lastRenderedPageBreak/>
        <w:t>presente Resolución.</w:t>
      </w:r>
    </w:p>
    <w:p w14:paraId="4360F125" w14:textId="77777777" w:rsidR="00A1764E" w:rsidRPr="001A5F83" w:rsidRDefault="00A1764E" w:rsidP="001A5F83">
      <w:pPr>
        <w:widowControl w:val="0"/>
      </w:pPr>
    </w:p>
    <w:p w14:paraId="790FEDDB" w14:textId="77777777" w:rsidR="00A1764E" w:rsidRPr="001A5F83" w:rsidRDefault="007F06C5" w:rsidP="001A5F83">
      <w:pPr>
        <w:ind w:right="-93"/>
      </w:pPr>
      <w:r w:rsidRPr="001A5F83">
        <w:rPr>
          <w:b/>
        </w:rPr>
        <w:t>SEGUNDO.</w:t>
      </w:r>
      <w:r w:rsidRPr="001A5F83">
        <w:t xml:space="preserve"> </w:t>
      </w:r>
      <w:r w:rsidRPr="001A5F83">
        <w:rPr>
          <w:b/>
        </w:rPr>
        <w:t>Notifíquese</w:t>
      </w:r>
      <w:r w:rsidRPr="001A5F83">
        <w:t xml:space="preserve"> la presente resolución mediante Sistema de Acceso a la Información Mexiquense </w:t>
      </w:r>
      <w:r w:rsidRPr="001A5F83">
        <w:rPr>
          <w:b/>
        </w:rPr>
        <w:t>(SAIMEX)</w:t>
      </w:r>
      <w:r w:rsidRPr="001A5F83">
        <w:t xml:space="preserve"> al Titular de la Unidad de Transparencia del </w:t>
      </w:r>
      <w:r w:rsidRPr="001A5F83">
        <w:rPr>
          <w:b/>
        </w:rPr>
        <w:t>SUJETO OBLIGADO</w:t>
      </w:r>
      <w:r w:rsidRPr="001A5F83">
        <w:t>, para su conocimiento.</w:t>
      </w:r>
    </w:p>
    <w:p w14:paraId="7324ED75" w14:textId="77777777" w:rsidR="00A1764E" w:rsidRPr="001A5F83" w:rsidRDefault="00A1764E" w:rsidP="001A5F83">
      <w:pPr>
        <w:ind w:right="-93"/>
      </w:pPr>
    </w:p>
    <w:p w14:paraId="6AB687EE" w14:textId="77777777" w:rsidR="00A1764E" w:rsidRPr="001A5F83" w:rsidRDefault="007F06C5" w:rsidP="001A5F83">
      <w:r w:rsidRPr="001A5F83">
        <w:rPr>
          <w:b/>
        </w:rPr>
        <w:t>TERCERO.</w:t>
      </w:r>
      <w:r w:rsidRPr="001A5F83">
        <w:t xml:space="preserve"> Notifíquese a </w:t>
      </w:r>
      <w:r w:rsidRPr="001A5F83">
        <w:rPr>
          <w:b/>
        </w:rPr>
        <w:t>LA PARTE RECURRENTE</w:t>
      </w:r>
      <w:r w:rsidRPr="001A5F83">
        <w:t xml:space="preserve"> la presente resolución vía Sistema de Acceso a la Información Mexiquense (</w:t>
      </w:r>
      <w:r w:rsidRPr="001A5F83">
        <w:rPr>
          <w:b/>
        </w:rPr>
        <w:t>SAIMEX</w:t>
      </w:r>
      <w:r w:rsidRPr="001A5F83">
        <w:t>).</w:t>
      </w:r>
    </w:p>
    <w:p w14:paraId="77899AFC" w14:textId="77777777" w:rsidR="00A1764E" w:rsidRPr="001A5F83" w:rsidRDefault="00A1764E" w:rsidP="001A5F83"/>
    <w:p w14:paraId="750BBA77" w14:textId="77777777" w:rsidR="00A1764E" w:rsidRPr="001A5F83" w:rsidRDefault="007F06C5" w:rsidP="001A5F83">
      <w:r w:rsidRPr="001A5F83">
        <w:rPr>
          <w:b/>
        </w:rPr>
        <w:t>CUARTO</w:t>
      </w:r>
      <w:r w:rsidRPr="001A5F83">
        <w:t xml:space="preserve">. Hágase del conocimiento a </w:t>
      </w:r>
      <w:r w:rsidRPr="001A5F83">
        <w:rPr>
          <w:b/>
        </w:rPr>
        <w:t>LA PARTE RECURRENTE</w:t>
      </w:r>
      <w:r w:rsidRPr="001A5F83">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5DFD706C" w14:textId="1F663312" w:rsidR="00A1764E" w:rsidRPr="001A5F83" w:rsidRDefault="00A1764E" w:rsidP="001A5F83"/>
    <w:p w14:paraId="5ECECF8D" w14:textId="77777777" w:rsidR="00A1764E" w:rsidRPr="001A5F83" w:rsidRDefault="007F06C5" w:rsidP="001A5F83">
      <w:pPr>
        <w:spacing w:before="240"/>
      </w:pPr>
      <w:r w:rsidRPr="001A5F83">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CUARTA SESIÓN ORDINARIA, CELEBRADA EL DIECIOCHO DE DICIEMBRE DE DOS MIL VEINTICUATRO, ANTE EL SECRETARIO TÉCNICO DEL PLENO, ALEXIS TAPIA RAMÍREZ.</w:t>
      </w:r>
    </w:p>
    <w:p w14:paraId="3EFD38C7" w14:textId="77777777" w:rsidR="00A1764E" w:rsidRPr="001A5F83" w:rsidRDefault="007F06C5" w:rsidP="001A5F83">
      <w:pPr>
        <w:ind w:right="-93"/>
      </w:pPr>
      <w:bookmarkStart w:id="29" w:name="_heading=h.qsh70q" w:colFirst="0" w:colLast="0"/>
      <w:bookmarkEnd w:id="29"/>
      <w:r w:rsidRPr="001A5F83">
        <w:t>SCMM/AGZ/DEMF/PAG</w:t>
      </w:r>
    </w:p>
    <w:p w14:paraId="1377FAFE" w14:textId="77777777" w:rsidR="00A1764E" w:rsidRPr="001A5F83" w:rsidRDefault="00A1764E" w:rsidP="001A5F83">
      <w:pPr>
        <w:ind w:right="-93"/>
      </w:pPr>
    </w:p>
    <w:p w14:paraId="7CE4ADCC" w14:textId="77777777" w:rsidR="00A1764E" w:rsidRPr="001A5F83" w:rsidRDefault="00A1764E" w:rsidP="001A5F83">
      <w:pPr>
        <w:ind w:right="-93"/>
      </w:pPr>
    </w:p>
    <w:p w14:paraId="6BEC6EE8" w14:textId="77777777" w:rsidR="00A1764E" w:rsidRPr="001A5F83" w:rsidRDefault="00A1764E" w:rsidP="001A5F83">
      <w:pPr>
        <w:ind w:right="-93"/>
      </w:pPr>
    </w:p>
    <w:p w14:paraId="6867A799" w14:textId="77777777" w:rsidR="00A1764E" w:rsidRPr="001A5F83" w:rsidRDefault="00A1764E" w:rsidP="001A5F83">
      <w:pPr>
        <w:ind w:right="-93"/>
      </w:pPr>
    </w:p>
    <w:p w14:paraId="6B959962" w14:textId="77777777" w:rsidR="00A1764E" w:rsidRPr="001A5F83" w:rsidRDefault="00A1764E" w:rsidP="001A5F83">
      <w:pPr>
        <w:ind w:right="-93"/>
      </w:pPr>
    </w:p>
    <w:p w14:paraId="652A27A8" w14:textId="77777777" w:rsidR="00A1764E" w:rsidRPr="001A5F83" w:rsidRDefault="00A1764E" w:rsidP="001A5F83">
      <w:pPr>
        <w:ind w:right="-93"/>
      </w:pPr>
    </w:p>
    <w:p w14:paraId="1D4036F8" w14:textId="77777777" w:rsidR="00A1764E" w:rsidRPr="001A5F83" w:rsidRDefault="00A1764E" w:rsidP="001A5F83">
      <w:pPr>
        <w:ind w:right="-93"/>
      </w:pPr>
    </w:p>
    <w:p w14:paraId="438980E4" w14:textId="77777777" w:rsidR="00A1764E" w:rsidRPr="001A5F83" w:rsidRDefault="00A1764E" w:rsidP="001A5F83">
      <w:pPr>
        <w:ind w:right="-93"/>
      </w:pPr>
    </w:p>
    <w:p w14:paraId="0D227888" w14:textId="77777777" w:rsidR="00A1764E" w:rsidRPr="001A5F83" w:rsidRDefault="00A1764E" w:rsidP="001A5F83">
      <w:pPr>
        <w:tabs>
          <w:tab w:val="center" w:pos="4568"/>
        </w:tabs>
        <w:ind w:right="-93"/>
      </w:pPr>
    </w:p>
    <w:p w14:paraId="7E76BABE" w14:textId="77777777" w:rsidR="00A1764E" w:rsidRPr="001A5F83" w:rsidRDefault="00A1764E" w:rsidP="001A5F83">
      <w:pPr>
        <w:tabs>
          <w:tab w:val="center" w:pos="4568"/>
        </w:tabs>
        <w:ind w:right="-93"/>
      </w:pPr>
    </w:p>
    <w:p w14:paraId="2BE6F3DA" w14:textId="77777777" w:rsidR="00A1764E" w:rsidRPr="001A5F83" w:rsidRDefault="00A1764E" w:rsidP="001A5F83">
      <w:pPr>
        <w:tabs>
          <w:tab w:val="center" w:pos="4568"/>
        </w:tabs>
        <w:ind w:right="-93"/>
      </w:pPr>
    </w:p>
    <w:p w14:paraId="5625AA2A" w14:textId="77777777" w:rsidR="00A1764E" w:rsidRPr="001A5F83" w:rsidRDefault="00A1764E" w:rsidP="001A5F83">
      <w:pPr>
        <w:tabs>
          <w:tab w:val="center" w:pos="4568"/>
        </w:tabs>
        <w:ind w:right="-93"/>
      </w:pPr>
    </w:p>
    <w:p w14:paraId="7DFE0165" w14:textId="77777777" w:rsidR="00A1764E" w:rsidRPr="001A5F83" w:rsidRDefault="00A1764E" w:rsidP="001A5F83">
      <w:pPr>
        <w:tabs>
          <w:tab w:val="center" w:pos="4568"/>
        </w:tabs>
        <w:ind w:right="-93"/>
      </w:pPr>
    </w:p>
    <w:p w14:paraId="14886E5D" w14:textId="77777777" w:rsidR="00A1764E" w:rsidRPr="001A5F83" w:rsidRDefault="00A1764E" w:rsidP="001A5F83">
      <w:pPr>
        <w:tabs>
          <w:tab w:val="center" w:pos="4568"/>
        </w:tabs>
        <w:ind w:right="-93"/>
      </w:pPr>
    </w:p>
    <w:p w14:paraId="50FEA433" w14:textId="77777777" w:rsidR="00A1764E" w:rsidRPr="001A5F83" w:rsidRDefault="00A1764E" w:rsidP="001A5F83">
      <w:pPr>
        <w:tabs>
          <w:tab w:val="center" w:pos="4568"/>
        </w:tabs>
        <w:ind w:right="-93"/>
      </w:pPr>
    </w:p>
    <w:p w14:paraId="53EE1E21" w14:textId="77777777" w:rsidR="00A1764E" w:rsidRPr="001A5F83" w:rsidRDefault="00A1764E" w:rsidP="001A5F83">
      <w:pPr>
        <w:tabs>
          <w:tab w:val="center" w:pos="4568"/>
        </w:tabs>
        <w:ind w:right="-93"/>
      </w:pPr>
    </w:p>
    <w:p w14:paraId="7106BD83" w14:textId="77777777" w:rsidR="00A1764E" w:rsidRPr="001A5F83" w:rsidRDefault="00A1764E" w:rsidP="001A5F83">
      <w:pPr>
        <w:tabs>
          <w:tab w:val="center" w:pos="4568"/>
        </w:tabs>
        <w:ind w:right="-93"/>
      </w:pPr>
    </w:p>
    <w:p w14:paraId="2AA14F84" w14:textId="77777777" w:rsidR="00A1764E" w:rsidRPr="001A5F83" w:rsidRDefault="00A1764E" w:rsidP="001A5F83">
      <w:pPr>
        <w:tabs>
          <w:tab w:val="center" w:pos="4568"/>
        </w:tabs>
        <w:ind w:right="-93"/>
      </w:pPr>
    </w:p>
    <w:p w14:paraId="0974376D" w14:textId="77777777" w:rsidR="00A1764E" w:rsidRPr="001A5F83" w:rsidRDefault="00A1764E" w:rsidP="001A5F83">
      <w:pPr>
        <w:tabs>
          <w:tab w:val="center" w:pos="4568"/>
        </w:tabs>
        <w:ind w:right="-93"/>
      </w:pPr>
    </w:p>
    <w:p w14:paraId="4A7EF41D" w14:textId="77777777" w:rsidR="00A1764E" w:rsidRPr="001A5F83" w:rsidRDefault="00A1764E" w:rsidP="001A5F83">
      <w:pPr>
        <w:tabs>
          <w:tab w:val="center" w:pos="4568"/>
        </w:tabs>
        <w:ind w:right="-93"/>
      </w:pPr>
    </w:p>
    <w:p w14:paraId="0367DA20" w14:textId="77777777" w:rsidR="00A1764E" w:rsidRPr="001A5F83" w:rsidRDefault="00A1764E" w:rsidP="001A5F83">
      <w:pPr>
        <w:tabs>
          <w:tab w:val="center" w:pos="4568"/>
        </w:tabs>
        <w:ind w:right="-93"/>
      </w:pPr>
    </w:p>
    <w:p w14:paraId="4227AC15" w14:textId="77777777" w:rsidR="00A1764E" w:rsidRPr="001A5F83" w:rsidRDefault="00A1764E" w:rsidP="001A5F83">
      <w:pPr>
        <w:tabs>
          <w:tab w:val="center" w:pos="4568"/>
        </w:tabs>
        <w:ind w:right="-93"/>
      </w:pPr>
    </w:p>
    <w:p w14:paraId="07016CC9" w14:textId="77777777" w:rsidR="00A1764E" w:rsidRPr="001A5F83" w:rsidRDefault="00A1764E" w:rsidP="001A5F83">
      <w:pPr>
        <w:tabs>
          <w:tab w:val="center" w:pos="4568"/>
        </w:tabs>
        <w:ind w:right="-93"/>
      </w:pPr>
    </w:p>
    <w:p w14:paraId="5CB7159D" w14:textId="77777777" w:rsidR="00A1764E" w:rsidRPr="001A5F83" w:rsidRDefault="00A1764E" w:rsidP="001A5F83">
      <w:pPr>
        <w:tabs>
          <w:tab w:val="center" w:pos="4568"/>
        </w:tabs>
        <w:ind w:right="-93"/>
      </w:pPr>
    </w:p>
    <w:p w14:paraId="76C50385" w14:textId="77777777" w:rsidR="00A1764E" w:rsidRPr="001A5F83" w:rsidRDefault="00A1764E" w:rsidP="001A5F83"/>
    <w:sectPr w:rsidR="00A1764E" w:rsidRPr="001A5F83">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8F0A9" w14:textId="77777777" w:rsidR="00D45964" w:rsidRDefault="00D45964">
      <w:pPr>
        <w:spacing w:line="240" w:lineRule="auto"/>
      </w:pPr>
      <w:r>
        <w:separator/>
      </w:r>
    </w:p>
  </w:endnote>
  <w:endnote w:type="continuationSeparator" w:id="0">
    <w:p w14:paraId="2048BFE6" w14:textId="77777777" w:rsidR="00D45964" w:rsidRDefault="00D459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3616B" w14:textId="77777777" w:rsidR="00A1764E" w:rsidRDefault="00A1764E">
    <w:pPr>
      <w:tabs>
        <w:tab w:val="center" w:pos="4550"/>
        <w:tab w:val="left" w:pos="5818"/>
      </w:tabs>
      <w:ind w:right="260"/>
      <w:jc w:val="right"/>
      <w:rPr>
        <w:color w:val="071320"/>
        <w:sz w:val="24"/>
        <w:szCs w:val="24"/>
      </w:rPr>
    </w:pPr>
  </w:p>
  <w:p w14:paraId="406CFAFF" w14:textId="77777777" w:rsidR="00A1764E" w:rsidRDefault="00A1764E">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8B5C0" w14:textId="77777777" w:rsidR="00A1764E" w:rsidRDefault="007F06C5">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C2746D">
      <w:rPr>
        <w:noProof/>
        <w:color w:val="0A1D30"/>
        <w:sz w:val="24"/>
        <w:szCs w:val="24"/>
      </w:rPr>
      <w:t>24</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C2746D">
      <w:rPr>
        <w:noProof/>
        <w:color w:val="0A1D30"/>
        <w:sz w:val="24"/>
        <w:szCs w:val="24"/>
      </w:rPr>
      <w:t>26</w:t>
    </w:r>
    <w:r>
      <w:rPr>
        <w:color w:val="0A1D30"/>
        <w:sz w:val="24"/>
        <w:szCs w:val="24"/>
      </w:rPr>
      <w:fldChar w:fldCharType="end"/>
    </w:r>
  </w:p>
  <w:p w14:paraId="21A1580D" w14:textId="77777777" w:rsidR="00A1764E" w:rsidRDefault="00A1764E">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1C40E" w14:textId="77777777" w:rsidR="00D45964" w:rsidRDefault="00D45964">
      <w:pPr>
        <w:spacing w:line="240" w:lineRule="auto"/>
      </w:pPr>
      <w:r>
        <w:separator/>
      </w:r>
    </w:p>
  </w:footnote>
  <w:footnote w:type="continuationSeparator" w:id="0">
    <w:p w14:paraId="38A41A59" w14:textId="77777777" w:rsidR="00D45964" w:rsidRDefault="00D4596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12702" w14:textId="77777777" w:rsidR="00A1764E" w:rsidRDefault="00A1764E">
    <w:pPr>
      <w:widowControl w:val="0"/>
      <w:pBdr>
        <w:top w:val="nil"/>
        <w:left w:val="nil"/>
        <w:bottom w:val="nil"/>
        <w:right w:val="nil"/>
        <w:between w:val="nil"/>
      </w:pBdr>
      <w:spacing w:line="276" w:lineRule="auto"/>
      <w:jc w:val="left"/>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A1764E" w14:paraId="41687645" w14:textId="77777777">
      <w:trPr>
        <w:trHeight w:val="144"/>
        <w:jc w:val="right"/>
      </w:trPr>
      <w:tc>
        <w:tcPr>
          <w:tcW w:w="2727" w:type="dxa"/>
        </w:tcPr>
        <w:p w14:paraId="04E23519" w14:textId="77777777" w:rsidR="00A1764E" w:rsidRDefault="007F06C5">
          <w:pPr>
            <w:tabs>
              <w:tab w:val="right" w:pos="8838"/>
            </w:tabs>
            <w:ind w:left="-74" w:right="-105"/>
            <w:rPr>
              <w:b/>
            </w:rPr>
          </w:pPr>
          <w:r>
            <w:rPr>
              <w:b/>
            </w:rPr>
            <w:t>Recurso de Revisión:</w:t>
          </w:r>
        </w:p>
      </w:tc>
      <w:tc>
        <w:tcPr>
          <w:tcW w:w="3402" w:type="dxa"/>
        </w:tcPr>
        <w:p w14:paraId="751BAA7D" w14:textId="77777777" w:rsidR="00A1764E" w:rsidRDefault="007F06C5">
          <w:pPr>
            <w:tabs>
              <w:tab w:val="right" w:pos="8838"/>
            </w:tabs>
            <w:ind w:left="-74" w:right="-105"/>
          </w:pPr>
          <w:r>
            <w:t>07367/INFOEM/IP/RR/2024</w:t>
          </w:r>
        </w:p>
      </w:tc>
    </w:tr>
    <w:tr w:rsidR="00A1764E" w14:paraId="4ED10DAF" w14:textId="77777777">
      <w:trPr>
        <w:trHeight w:val="283"/>
        <w:jc w:val="right"/>
      </w:trPr>
      <w:tc>
        <w:tcPr>
          <w:tcW w:w="2727" w:type="dxa"/>
        </w:tcPr>
        <w:p w14:paraId="5F8E0E74" w14:textId="77777777" w:rsidR="00A1764E" w:rsidRDefault="007F06C5">
          <w:pPr>
            <w:tabs>
              <w:tab w:val="right" w:pos="8838"/>
            </w:tabs>
            <w:ind w:left="-74" w:right="-105"/>
            <w:rPr>
              <w:b/>
            </w:rPr>
          </w:pPr>
          <w:r>
            <w:rPr>
              <w:b/>
            </w:rPr>
            <w:t>Sujeto Obligado:</w:t>
          </w:r>
        </w:p>
      </w:tc>
      <w:tc>
        <w:tcPr>
          <w:tcW w:w="3402" w:type="dxa"/>
        </w:tcPr>
        <w:p w14:paraId="67CD6CBA" w14:textId="77777777" w:rsidR="00A1764E" w:rsidRDefault="007F06C5">
          <w:pPr>
            <w:tabs>
              <w:tab w:val="left" w:pos="2834"/>
              <w:tab w:val="right" w:pos="8838"/>
            </w:tabs>
            <w:ind w:left="-108" w:right="-105"/>
          </w:pPr>
          <w:r>
            <w:t>Universidad Estatal del Valle de Toluca</w:t>
          </w:r>
        </w:p>
      </w:tc>
    </w:tr>
    <w:tr w:rsidR="00A1764E" w14:paraId="7E1C9058" w14:textId="77777777">
      <w:trPr>
        <w:trHeight w:val="283"/>
        <w:jc w:val="right"/>
      </w:trPr>
      <w:tc>
        <w:tcPr>
          <w:tcW w:w="2727" w:type="dxa"/>
        </w:tcPr>
        <w:p w14:paraId="4506E4EA" w14:textId="77777777" w:rsidR="00A1764E" w:rsidRDefault="007F06C5">
          <w:pPr>
            <w:tabs>
              <w:tab w:val="right" w:pos="8838"/>
            </w:tabs>
            <w:ind w:left="-74" w:right="-105"/>
            <w:rPr>
              <w:b/>
            </w:rPr>
          </w:pPr>
          <w:r>
            <w:rPr>
              <w:b/>
            </w:rPr>
            <w:t>Comisionada Ponente:</w:t>
          </w:r>
        </w:p>
      </w:tc>
      <w:tc>
        <w:tcPr>
          <w:tcW w:w="3402" w:type="dxa"/>
        </w:tcPr>
        <w:p w14:paraId="3488C5E4" w14:textId="77777777" w:rsidR="00A1764E" w:rsidRDefault="007F06C5">
          <w:pPr>
            <w:tabs>
              <w:tab w:val="right" w:pos="8838"/>
            </w:tabs>
            <w:ind w:left="-108" w:right="-105"/>
          </w:pPr>
          <w:r>
            <w:t>Sharon Cristina Morales Martínez</w:t>
          </w:r>
        </w:p>
      </w:tc>
    </w:tr>
  </w:tbl>
  <w:p w14:paraId="28DA7BFA" w14:textId="77777777" w:rsidR="00A1764E" w:rsidRDefault="007F06C5">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4A435F6F" wp14:editId="15B102EA">
          <wp:simplePos x="0" y="0"/>
          <wp:positionH relativeFrom="margin">
            <wp:posOffset>-995043</wp:posOffset>
          </wp:positionH>
          <wp:positionV relativeFrom="margin">
            <wp:posOffset>-1782444</wp:posOffset>
          </wp:positionV>
          <wp:extent cx="8426450" cy="10972800"/>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F2259" w14:textId="77777777" w:rsidR="00A1764E" w:rsidRDefault="00A1764E">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A1764E" w14:paraId="47DFBB87" w14:textId="77777777">
      <w:trPr>
        <w:trHeight w:val="1435"/>
      </w:trPr>
      <w:tc>
        <w:tcPr>
          <w:tcW w:w="283" w:type="dxa"/>
          <w:shd w:val="clear" w:color="auto" w:fill="auto"/>
        </w:tcPr>
        <w:p w14:paraId="340586CD" w14:textId="77777777" w:rsidR="00A1764E" w:rsidRDefault="00A1764E">
          <w:pPr>
            <w:tabs>
              <w:tab w:val="right" w:pos="4273"/>
            </w:tabs>
            <w:rPr>
              <w:rFonts w:ascii="Garamond" w:eastAsia="Garamond" w:hAnsi="Garamond" w:cs="Garamond"/>
            </w:rPr>
          </w:pPr>
        </w:p>
      </w:tc>
      <w:tc>
        <w:tcPr>
          <w:tcW w:w="6379" w:type="dxa"/>
          <w:shd w:val="clear" w:color="auto" w:fill="auto"/>
        </w:tcPr>
        <w:p w14:paraId="5311317A" w14:textId="77777777" w:rsidR="00A1764E" w:rsidRDefault="00A1764E">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A1764E" w14:paraId="73E36CF2" w14:textId="77777777">
            <w:trPr>
              <w:trHeight w:val="144"/>
            </w:trPr>
            <w:tc>
              <w:tcPr>
                <w:tcW w:w="2727" w:type="dxa"/>
              </w:tcPr>
              <w:p w14:paraId="55A3E857" w14:textId="77777777" w:rsidR="00A1764E" w:rsidRDefault="007F06C5">
                <w:pPr>
                  <w:tabs>
                    <w:tab w:val="right" w:pos="8838"/>
                  </w:tabs>
                  <w:ind w:left="-74" w:right="-108"/>
                  <w:rPr>
                    <w:b/>
                  </w:rPr>
                </w:pPr>
                <w:bookmarkStart w:id="0" w:name="_heading=h.3as4poj" w:colFirst="0" w:colLast="0"/>
                <w:bookmarkEnd w:id="0"/>
                <w:r>
                  <w:rPr>
                    <w:b/>
                  </w:rPr>
                  <w:t>Recurso de Revisión:</w:t>
                </w:r>
              </w:p>
            </w:tc>
            <w:tc>
              <w:tcPr>
                <w:tcW w:w="3402" w:type="dxa"/>
              </w:tcPr>
              <w:p w14:paraId="0C153557" w14:textId="77777777" w:rsidR="00A1764E" w:rsidRDefault="007F06C5">
                <w:pPr>
                  <w:tabs>
                    <w:tab w:val="right" w:pos="8838"/>
                  </w:tabs>
                  <w:ind w:left="-74" w:right="-108"/>
                </w:pPr>
                <w:r>
                  <w:t>07367/INFOEM/IP/RR/2024</w:t>
                </w:r>
              </w:p>
            </w:tc>
            <w:tc>
              <w:tcPr>
                <w:tcW w:w="3402" w:type="dxa"/>
              </w:tcPr>
              <w:p w14:paraId="24ABF504" w14:textId="77777777" w:rsidR="00A1764E" w:rsidRDefault="00A1764E">
                <w:pPr>
                  <w:tabs>
                    <w:tab w:val="right" w:pos="8838"/>
                  </w:tabs>
                  <w:ind w:left="-74" w:right="-108"/>
                </w:pPr>
              </w:p>
            </w:tc>
          </w:tr>
          <w:tr w:rsidR="00A1764E" w14:paraId="6E20DAA3" w14:textId="77777777">
            <w:trPr>
              <w:trHeight w:val="144"/>
            </w:trPr>
            <w:tc>
              <w:tcPr>
                <w:tcW w:w="2727" w:type="dxa"/>
              </w:tcPr>
              <w:p w14:paraId="76D77F97" w14:textId="77777777" w:rsidR="00A1764E" w:rsidRDefault="007F06C5">
                <w:pPr>
                  <w:tabs>
                    <w:tab w:val="right" w:pos="8838"/>
                  </w:tabs>
                  <w:ind w:left="-74" w:right="-108"/>
                  <w:rPr>
                    <w:b/>
                  </w:rPr>
                </w:pPr>
                <w:bookmarkStart w:id="1" w:name="_heading=h.1pxezwc" w:colFirst="0" w:colLast="0"/>
                <w:bookmarkEnd w:id="1"/>
                <w:r>
                  <w:rPr>
                    <w:b/>
                  </w:rPr>
                  <w:t>Recurrente:</w:t>
                </w:r>
              </w:p>
            </w:tc>
            <w:tc>
              <w:tcPr>
                <w:tcW w:w="3402" w:type="dxa"/>
              </w:tcPr>
              <w:p w14:paraId="4446B17A" w14:textId="77777777" w:rsidR="00A1764E" w:rsidRDefault="00A1764E">
                <w:pPr>
                  <w:tabs>
                    <w:tab w:val="left" w:pos="3122"/>
                    <w:tab w:val="right" w:pos="8838"/>
                  </w:tabs>
                  <w:ind w:left="-105" w:right="-108"/>
                </w:pPr>
              </w:p>
            </w:tc>
            <w:tc>
              <w:tcPr>
                <w:tcW w:w="3402" w:type="dxa"/>
              </w:tcPr>
              <w:p w14:paraId="67136544" w14:textId="77777777" w:rsidR="00A1764E" w:rsidRDefault="00A1764E">
                <w:pPr>
                  <w:tabs>
                    <w:tab w:val="left" w:pos="3122"/>
                    <w:tab w:val="right" w:pos="8838"/>
                  </w:tabs>
                  <w:ind w:left="-105" w:right="-108"/>
                </w:pPr>
              </w:p>
            </w:tc>
          </w:tr>
          <w:tr w:rsidR="00A1764E" w14:paraId="2068C413" w14:textId="77777777">
            <w:trPr>
              <w:trHeight w:val="283"/>
            </w:trPr>
            <w:tc>
              <w:tcPr>
                <w:tcW w:w="2727" w:type="dxa"/>
              </w:tcPr>
              <w:p w14:paraId="7D707F7F" w14:textId="77777777" w:rsidR="00A1764E" w:rsidRDefault="007F06C5">
                <w:pPr>
                  <w:tabs>
                    <w:tab w:val="right" w:pos="8838"/>
                  </w:tabs>
                  <w:ind w:left="-74" w:right="-108"/>
                  <w:rPr>
                    <w:b/>
                  </w:rPr>
                </w:pPr>
                <w:r>
                  <w:rPr>
                    <w:b/>
                  </w:rPr>
                  <w:t>Sujeto Obligado:</w:t>
                </w:r>
              </w:p>
            </w:tc>
            <w:tc>
              <w:tcPr>
                <w:tcW w:w="3402" w:type="dxa"/>
              </w:tcPr>
              <w:p w14:paraId="5FD814B6" w14:textId="77777777" w:rsidR="00A1764E" w:rsidRDefault="007F06C5">
                <w:pPr>
                  <w:tabs>
                    <w:tab w:val="left" w:pos="2834"/>
                    <w:tab w:val="right" w:pos="8838"/>
                  </w:tabs>
                  <w:ind w:left="-108" w:right="-108"/>
                </w:pPr>
                <w:r>
                  <w:t>Universidad Estatal del Valle de Toluca</w:t>
                </w:r>
              </w:p>
            </w:tc>
            <w:tc>
              <w:tcPr>
                <w:tcW w:w="3402" w:type="dxa"/>
              </w:tcPr>
              <w:p w14:paraId="7F9F6168" w14:textId="77777777" w:rsidR="00A1764E" w:rsidRDefault="00A1764E">
                <w:pPr>
                  <w:tabs>
                    <w:tab w:val="left" w:pos="2834"/>
                    <w:tab w:val="right" w:pos="8838"/>
                  </w:tabs>
                  <w:ind w:left="-108" w:right="-108"/>
                </w:pPr>
              </w:p>
            </w:tc>
          </w:tr>
          <w:tr w:rsidR="00A1764E" w14:paraId="194A47BF" w14:textId="77777777">
            <w:trPr>
              <w:trHeight w:val="283"/>
            </w:trPr>
            <w:tc>
              <w:tcPr>
                <w:tcW w:w="2727" w:type="dxa"/>
              </w:tcPr>
              <w:p w14:paraId="6E36D8F4" w14:textId="77777777" w:rsidR="00A1764E" w:rsidRDefault="007F06C5">
                <w:pPr>
                  <w:tabs>
                    <w:tab w:val="right" w:pos="8838"/>
                  </w:tabs>
                  <w:ind w:left="-74" w:right="-108"/>
                  <w:rPr>
                    <w:b/>
                  </w:rPr>
                </w:pPr>
                <w:r>
                  <w:rPr>
                    <w:b/>
                  </w:rPr>
                  <w:t>Comisionada Ponente:</w:t>
                </w:r>
              </w:p>
            </w:tc>
            <w:tc>
              <w:tcPr>
                <w:tcW w:w="3402" w:type="dxa"/>
              </w:tcPr>
              <w:p w14:paraId="492DF07E" w14:textId="77777777" w:rsidR="00A1764E" w:rsidRDefault="007F06C5">
                <w:pPr>
                  <w:tabs>
                    <w:tab w:val="right" w:pos="8838"/>
                  </w:tabs>
                  <w:ind w:left="-108" w:right="-108"/>
                </w:pPr>
                <w:r>
                  <w:t>Sharon Cristina Morales Martínez</w:t>
                </w:r>
              </w:p>
            </w:tc>
            <w:tc>
              <w:tcPr>
                <w:tcW w:w="3402" w:type="dxa"/>
              </w:tcPr>
              <w:p w14:paraId="026FE253" w14:textId="77777777" w:rsidR="00A1764E" w:rsidRDefault="00A1764E">
                <w:pPr>
                  <w:tabs>
                    <w:tab w:val="right" w:pos="8838"/>
                  </w:tabs>
                  <w:ind w:left="-108" w:right="-108"/>
                </w:pPr>
              </w:p>
            </w:tc>
          </w:tr>
        </w:tbl>
        <w:p w14:paraId="51AF29B4" w14:textId="77777777" w:rsidR="00A1764E" w:rsidRDefault="00A1764E">
          <w:pPr>
            <w:tabs>
              <w:tab w:val="right" w:pos="8838"/>
            </w:tabs>
            <w:ind w:left="-28"/>
            <w:rPr>
              <w:rFonts w:ascii="Arial" w:eastAsia="Arial" w:hAnsi="Arial" w:cs="Arial"/>
              <w:b/>
            </w:rPr>
          </w:pPr>
        </w:p>
      </w:tc>
    </w:tr>
  </w:tbl>
  <w:p w14:paraId="6D29FB6A" w14:textId="77777777" w:rsidR="00A1764E" w:rsidRDefault="00D45964">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42C97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3A5AD4"/>
    <w:multiLevelType w:val="multilevel"/>
    <w:tmpl w:val="8A567C92"/>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8844007"/>
    <w:multiLevelType w:val="multilevel"/>
    <w:tmpl w:val="21307C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64E"/>
    <w:rsid w:val="0006388C"/>
    <w:rsid w:val="001A5F83"/>
    <w:rsid w:val="003C513E"/>
    <w:rsid w:val="005C58BC"/>
    <w:rsid w:val="007F06C5"/>
    <w:rsid w:val="00A1764E"/>
    <w:rsid w:val="00C2746D"/>
    <w:rsid w:val="00D45964"/>
    <w:rsid w:val="00F02D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80B18E"/>
  <w15:docId w15:val="{BBAC8D54-281A-4EB6-8CC2-859ED1AD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D201B7"/>
    <w:rPr>
      <w:rFonts w:ascii="Palatino Linotype" w:eastAsia="Times New Roman" w:hAnsi="Palatino Linotype" w:cs="Times New Roman"/>
      <w:kern w:val="0"/>
      <w:sz w:val="20"/>
      <w:szCs w:val="20"/>
      <w:lang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 w:type="character" w:customStyle="1" w:styleId="Mencinsinresolver2">
    <w:name w:val="Mención sin resolver2"/>
    <w:basedOn w:val="Fuentedeprrafopredeter"/>
    <w:uiPriority w:val="99"/>
    <w:semiHidden/>
    <w:unhideWhenUsed/>
    <w:rsid w:val="00DB24ED"/>
    <w:rPr>
      <w:color w:val="605E5C"/>
      <w:shd w:val="clear" w:color="auto" w:fill="E1DFDD"/>
    </w:rPr>
  </w:style>
  <w:style w:type="character" w:styleId="Hipervnculovisitado">
    <w:name w:val="FollowedHyperlink"/>
    <w:basedOn w:val="Fuentedeprrafopredeter"/>
    <w:uiPriority w:val="99"/>
    <w:semiHidden/>
    <w:unhideWhenUsed/>
    <w:rsid w:val="00BD7F14"/>
    <w:rPr>
      <w:color w:val="96607D" w:themeColor="followedHyperlink"/>
      <w:u w:val="single"/>
    </w:rPr>
  </w:style>
  <w:style w:type="paragraph" w:styleId="Lista2">
    <w:name w:val="List 2"/>
    <w:basedOn w:val="Normal"/>
    <w:uiPriority w:val="99"/>
    <w:unhideWhenUsed/>
    <w:rsid w:val="00E61515"/>
    <w:pPr>
      <w:ind w:left="566" w:hanging="283"/>
      <w:contextualSpacing/>
    </w:pPr>
  </w:style>
  <w:style w:type="paragraph" w:styleId="Saludo">
    <w:name w:val="Salutation"/>
    <w:basedOn w:val="Normal"/>
    <w:next w:val="Normal"/>
    <w:link w:val="SaludoCar"/>
    <w:uiPriority w:val="99"/>
    <w:unhideWhenUsed/>
    <w:rsid w:val="00E61515"/>
  </w:style>
  <w:style w:type="character" w:customStyle="1" w:styleId="SaludoCar">
    <w:name w:val="Saludo Car"/>
    <w:basedOn w:val="Fuentedeprrafopredeter"/>
    <w:link w:val="Saludo"/>
    <w:uiPriority w:val="99"/>
    <w:rsid w:val="00E61515"/>
    <w:rPr>
      <w:rFonts w:ascii="Palatino Linotype" w:eastAsia="Times New Roman" w:hAnsi="Palatino Linotype" w:cs="Times New Roman"/>
      <w:kern w:val="0"/>
      <w:szCs w:val="20"/>
      <w:lang w:eastAsia="es-ES"/>
    </w:rPr>
  </w:style>
  <w:style w:type="paragraph" w:styleId="Listaconvietas2">
    <w:name w:val="List Bullet 2"/>
    <w:basedOn w:val="Normal"/>
    <w:uiPriority w:val="99"/>
    <w:unhideWhenUsed/>
    <w:rsid w:val="00E61515"/>
    <w:pPr>
      <w:numPr>
        <w:numId w:val="2"/>
      </w:numPr>
      <w:contextualSpacing/>
    </w:pPr>
  </w:style>
  <w:style w:type="paragraph" w:styleId="Textoindependiente">
    <w:name w:val="Body Text"/>
    <w:basedOn w:val="Normal"/>
    <w:link w:val="TextoindependienteCar"/>
    <w:uiPriority w:val="99"/>
    <w:unhideWhenUsed/>
    <w:rsid w:val="00E61515"/>
    <w:pPr>
      <w:spacing w:after="120"/>
    </w:pPr>
  </w:style>
  <w:style w:type="character" w:customStyle="1" w:styleId="TextoindependienteCar">
    <w:name w:val="Texto independiente Car"/>
    <w:basedOn w:val="Fuentedeprrafopredeter"/>
    <w:link w:val="Textoindependiente"/>
    <w:uiPriority w:val="99"/>
    <w:rsid w:val="00E61515"/>
    <w:rPr>
      <w:rFonts w:ascii="Palatino Linotype" w:eastAsia="Times New Roman" w:hAnsi="Palatino Linotype" w:cs="Times New Roman"/>
      <w:kern w:val="0"/>
      <w:szCs w:val="20"/>
      <w:lang w:eastAsia="es-ES"/>
    </w:rPr>
  </w:style>
  <w:style w:type="paragraph" w:styleId="Sangradetextonormal">
    <w:name w:val="Body Text Indent"/>
    <w:basedOn w:val="Normal"/>
    <w:link w:val="SangradetextonormalCar"/>
    <w:uiPriority w:val="99"/>
    <w:unhideWhenUsed/>
    <w:rsid w:val="00E61515"/>
    <w:pPr>
      <w:spacing w:after="120"/>
      <w:ind w:left="283"/>
    </w:pPr>
  </w:style>
  <w:style w:type="character" w:customStyle="1" w:styleId="SangradetextonormalCar">
    <w:name w:val="Sangría de texto normal Car"/>
    <w:basedOn w:val="Fuentedeprrafopredeter"/>
    <w:link w:val="Sangradetextonormal"/>
    <w:uiPriority w:val="99"/>
    <w:rsid w:val="00E61515"/>
    <w:rPr>
      <w:rFonts w:ascii="Palatino Linotype" w:eastAsia="Times New Roman" w:hAnsi="Palatino Linotype" w:cs="Times New Roman"/>
      <w:kern w:val="0"/>
      <w:szCs w:val="20"/>
      <w:lang w:eastAsia="es-ES"/>
    </w:rPr>
  </w:style>
  <w:style w:type="paragraph" w:styleId="Textoindependienteprimerasangra2">
    <w:name w:val="Body Text First Indent 2"/>
    <w:basedOn w:val="Sangradetextonormal"/>
    <w:link w:val="Textoindependienteprimerasangra2Car"/>
    <w:uiPriority w:val="99"/>
    <w:unhideWhenUsed/>
    <w:rsid w:val="00E6151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E61515"/>
    <w:rPr>
      <w:rFonts w:ascii="Palatino Linotype" w:eastAsia="Times New Roman" w:hAnsi="Palatino Linotype" w:cs="Times New Roman"/>
      <w:kern w:val="0"/>
      <w:szCs w:val="20"/>
      <w:lang w:eastAsia="es-ES"/>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VUDAwQnJZf0pnA6YnZ/qvBCrf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gAciExRUhKMWVTNlY2OVdPWGJKcUtOYVFmR1RjaFlPRmRfZm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6639</Words>
  <Characters>36520</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6</cp:revision>
  <cp:lastPrinted>2024-12-19T20:52:00Z</cp:lastPrinted>
  <dcterms:created xsi:type="dcterms:W3CDTF">2024-12-10T20:26:00Z</dcterms:created>
  <dcterms:modified xsi:type="dcterms:W3CDTF">2024-12-19T20:52:00Z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