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98D0B" w14:textId="77777777" w:rsidR="00FC7577" w:rsidRPr="004D38F7" w:rsidRDefault="00FC7577" w:rsidP="00FC7577">
      <w:pPr>
        <w:tabs>
          <w:tab w:val="left" w:pos="3465"/>
        </w:tabs>
        <w:spacing w:line="360" w:lineRule="auto"/>
        <w:jc w:val="both"/>
        <w:rPr>
          <w:rFonts w:ascii="Palatino Linotype" w:hAnsi="Palatino Linotype"/>
        </w:rPr>
      </w:pPr>
      <w:r w:rsidRPr="004D38F7">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w:t>
      </w:r>
      <w:r w:rsidR="004D38F7">
        <w:rPr>
          <w:rFonts w:ascii="Palatino Linotype" w:hAnsi="Palatino Linotype"/>
        </w:rPr>
        <w:t xml:space="preserve"> (19)</w:t>
      </w:r>
      <w:r w:rsidRPr="004D38F7">
        <w:rPr>
          <w:rFonts w:ascii="Palatino Linotype" w:hAnsi="Palatino Linotype"/>
        </w:rPr>
        <w:t xml:space="preserve"> de septiembre de dos mil veinticuatro.</w:t>
      </w:r>
    </w:p>
    <w:p w14:paraId="13D4B0D2" w14:textId="77777777" w:rsidR="00FC7577" w:rsidRPr="004D38F7" w:rsidRDefault="00FC7577" w:rsidP="00FC7577">
      <w:pPr>
        <w:tabs>
          <w:tab w:val="left" w:pos="3465"/>
        </w:tabs>
        <w:spacing w:line="360" w:lineRule="auto"/>
        <w:jc w:val="both"/>
        <w:rPr>
          <w:rFonts w:ascii="Palatino Linotype" w:hAnsi="Palatino Linotype"/>
        </w:rPr>
      </w:pPr>
    </w:p>
    <w:p w14:paraId="61902940" w14:textId="52A2E2FF" w:rsidR="00FC7577" w:rsidRPr="004D38F7" w:rsidRDefault="00FC7577" w:rsidP="00FC7577">
      <w:pPr>
        <w:spacing w:line="360" w:lineRule="auto"/>
        <w:jc w:val="both"/>
        <w:rPr>
          <w:rFonts w:ascii="Palatino Linotype" w:hAnsi="Palatino Linotype"/>
        </w:rPr>
      </w:pPr>
      <w:r w:rsidRPr="004D38F7">
        <w:rPr>
          <w:rFonts w:ascii="Palatino Linotype" w:hAnsi="Palatino Linotype"/>
          <w:b/>
        </w:rPr>
        <w:t xml:space="preserve">VISTAS </w:t>
      </w:r>
      <w:r w:rsidRPr="004D38F7">
        <w:rPr>
          <w:rFonts w:ascii="Palatino Linotype" w:hAnsi="Palatino Linotype"/>
        </w:rPr>
        <w:t>las constancias para resolver el recurso de revisión</w:t>
      </w:r>
      <w:r w:rsidR="00D87B72">
        <w:rPr>
          <w:rFonts w:ascii="Palatino Linotype" w:hAnsi="Palatino Linotype"/>
        </w:rPr>
        <w:t xml:space="preserve"> </w:t>
      </w:r>
      <w:r w:rsidR="00D87B72" w:rsidRPr="00D87B72">
        <w:rPr>
          <w:rFonts w:ascii="Palatino Linotype" w:hAnsi="Palatino Linotype" w:cs="Arial"/>
          <w:b/>
          <w:bCs/>
          <w:sz w:val="22"/>
          <w:szCs w:val="22"/>
          <w:lang w:eastAsia="es-MX"/>
        </w:rPr>
        <w:t>06918/INFOEM/IP/RR/2023</w:t>
      </w:r>
      <w:r w:rsidR="00D87B72">
        <w:rPr>
          <w:rFonts w:ascii="Palatino Linotype" w:hAnsi="Palatino Linotype" w:cs="Arial"/>
          <w:b/>
          <w:bCs/>
          <w:sz w:val="22"/>
          <w:szCs w:val="22"/>
          <w:lang w:eastAsia="es-MX"/>
        </w:rPr>
        <w:t>,</w:t>
      </w:r>
      <w:r w:rsidRPr="004D38F7">
        <w:rPr>
          <w:rFonts w:ascii="Palatino Linotype" w:hAnsi="Palatino Linotype"/>
        </w:rPr>
        <w:t xml:space="preserve"> presentado por </w:t>
      </w:r>
      <w:r w:rsidR="00981D4A">
        <w:rPr>
          <w:rFonts w:ascii="Palatino Linotype" w:hAnsi="Palatino Linotype"/>
          <w:b/>
          <w:bCs/>
          <w:color w:val="000000" w:themeColor="text1"/>
          <w:sz w:val="22"/>
          <w:szCs w:val="22"/>
        </w:rPr>
        <w:t xml:space="preserve">XXX </w:t>
      </w:r>
      <w:proofErr w:type="spellStart"/>
      <w:r w:rsidR="00981D4A">
        <w:rPr>
          <w:rFonts w:ascii="Palatino Linotype" w:hAnsi="Palatino Linotype"/>
          <w:b/>
          <w:bCs/>
          <w:color w:val="000000" w:themeColor="text1"/>
          <w:sz w:val="22"/>
          <w:szCs w:val="22"/>
        </w:rPr>
        <w:t>XXX</w:t>
      </w:r>
      <w:proofErr w:type="spellEnd"/>
      <w:r w:rsidR="004D38F7">
        <w:rPr>
          <w:rFonts w:ascii="Palatino Linotype" w:hAnsi="Palatino Linotype"/>
        </w:rPr>
        <w:t xml:space="preserve">, </w:t>
      </w:r>
      <w:r w:rsidRPr="004D38F7">
        <w:rPr>
          <w:rFonts w:ascii="Palatino Linotype" w:hAnsi="Palatino Linotype"/>
        </w:rPr>
        <w:t xml:space="preserve">en lo sucesivo </w:t>
      </w:r>
      <w:r w:rsidR="004D38F7">
        <w:rPr>
          <w:rFonts w:ascii="Palatino Linotype" w:hAnsi="Palatino Linotype"/>
        </w:rPr>
        <w:t xml:space="preserve">se denominará como </w:t>
      </w:r>
      <w:r w:rsidR="004D38F7" w:rsidRPr="004D38F7">
        <w:rPr>
          <w:rFonts w:ascii="Palatino Linotype" w:hAnsi="Palatino Linotype"/>
          <w:b/>
        </w:rPr>
        <w:t>EL RECURRENTE</w:t>
      </w:r>
      <w:r w:rsidRPr="004D38F7">
        <w:rPr>
          <w:rFonts w:ascii="Palatino Linotype" w:hAnsi="Palatino Linotype"/>
        </w:rPr>
        <w:t xml:space="preserve">, en contra de la respuesta otorgada a la solicitud de información con número de folio </w:t>
      </w:r>
      <w:r w:rsidRPr="004D38F7">
        <w:rPr>
          <w:rFonts w:ascii="Palatino Linotype" w:hAnsi="Palatino Linotype" w:cs="Arial"/>
          <w:b/>
          <w:bCs/>
          <w:lang w:eastAsia="es-MX"/>
        </w:rPr>
        <w:t>00437/IXTAPALU/IP/2023</w:t>
      </w:r>
      <w:r w:rsidRPr="004D38F7">
        <w:rPr>
          <w:rFonts w:ascii="Palatino Linotype" w:hAnsi="Palatino Linotype"/>
        </w:rPr>
        <w:t xml:space="preserve">, por parte del </w:t>
      </w:r>
      <w:r w:rsidRPr="004D38F7">
        <w:rPr>
          <w:rFonts w:ascii="Palatino Linotype" w:hAnsi="Palatino Linotype"/>
          <w:b/>
        </w:rPr>
        <w:t>Ayuntamiento de Ixtapaluca</w:t>
      </w:r>
      <w:r w:rsidR="004D38F7">
        <w:rPr>
          <w:rFonts w:ascii="Palatino Linotype" w:hAnsi="Palatino Linotype"/>
          <w:b/>
        </w:rPr>
        <w:t>,</w:t>
      </w:r>
      <w:r w:rsidRPr="004D38F7">
        <w:rPr>
          <w:rFonts w:ascii="Palatino Linotype" w:hAnsi="Palatino Linotype"/>
          <w:b/>
        </w:rPr>
        <w:t xml:space="preserve"> </w:t>
      </w:r>
      <w:r w:rsidRPr="004D38F7">
        <w:rPr>
          <w:rFonts w:ascii="Palatino Linotype" w:hAnsi="Palatino Linotype"/>
        </w:rPr>
        <w:t xml:space="preserve">en adelante </w:t>
      </w:r>
      <w:r w:rsidR="004D38F7" w:rsidRPr="004D38F7">
        <w:rPr>
          <w:rFonts w:ascii="Palatino Linotype" w:hAnsi="Palatino Linotype"/>
          <w:b/>
        </w:rPr>
        <w:t>EL SUJETO OBLIGADO</w:t>
      </w:r>
      <w:r w:rsidR="004D38F7">
        <w:rPr>
          <w:rFonts w:ascii="Palatino Linotype" w:hAnsi="Palatino Linotype"/>
        </w:rPr>
        <w:t>, s</w:t>
      </w:r>
      <w:r w:rsidRPr="004D38F7">
        <w:rPr>
          <w:rFonts w:ascii="Palatino Linotype" w:hAnsi="Palatino Linotype"/>
        </w:rPr>
        <w:t>e emite la presente resolución con base en los siguientes:</w:t>
      </w:r>
    </w:p>
    <w:p w14:paraId="728B6898" w14:textId="77777777" w:rsidR="00FC7577" w:rsidRPr="004D38F7" w:rsidRDefault="00FC7577" w:rsidP="00FC7577">
      <w:pPr>
        <w:spacing w:line="360" w:lineRule="auto"/>
        <w:jc w:val="both"/>
        <w:rPr>
          <w:rFonts w:ascii="Palatino Linotype" w:hAnsi="Palatino Linotype"/>
        </w:rPr>
      </w:pPr>
    </w:p>
    <w:p w14:paraId="69388215" w14:textId="77777777" w:rsidR="00FC7577" w:rsidRPr="004D38F7" w:rsidRDefault="00FC7577" w:rsidP="00FC7577">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4D38F7">
        <w:rPr>
          <w:rFonts w:ascii="Palatino Linotype" w:hAnsi="Palatino Linotype"/>
          <w:b/>
          <w:color w:val="000000" w:themeColor="text1"/>
          <w:sz w:val="24"/>
          <w:szCs w:val="24"/>
        </w:rPr>
        <w:t>A</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N</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T</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E</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C</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E</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D</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E</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N</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T</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E</w:t>
      </w:r>
      <w:r w:rsidR="004D38F7">
        <w:rPr>
          <w:rFonts w:ascii="Palatino Linotype" w:hAnsi="Palatino Linotype"/>
          <w:b/>
          <w:color w:val="000000" w:themeColor="text1"/>
          <w:sz w:val="24"/>
          <w:szCs w:val="24"/>
        </w:rPr>
        <w:t xml:space="preserve"> </w:t>
      </w:r>
      <w:r w:rsidRPr="004D38F7">
        <w:rPr>
          <w:rFonts w:ascii="Palatino Linotype" w:hAnsi="Palatino Linotype"/>
          <w:b/>
          <w:color w:val="000000" w:themeColor="text1"/>
          <w:sz w:val="24"/>
          <w:szCs w:val="24"/>
        </w:rPr>
        <w:t>S</w:t>
      </w:r>
      <w:bookmarkEnd w:id="0"/>
      <w:bookmarkEnd w:id="1"/>
      <w:bookmarkEnd w:id="2"/>
    </w:p>
    <w:p w14:paraId="37E34B01" w14:textId="77777777" w:rsidR="00FC7577" w:rsidRPr="004D38F7" w:rsidRDefault="00FC7577" w:rsidP="00FC7577">
      <w:pPr>
        <w:spacing w:line="360" w:lineRule="auto"/>
        <w:rPr>
          <w:rFonts w:ascii="Palatino Linotype" w:hAnsi="Palatino Linotype"/>
        </w:rPr>
      </w:pPr>
    </w:p>
    <w:p w14:paraId="25C12401" w14:textId="77777777" w:rsidR="00FC7577" w:rsidRPr="004D38F7" w:rsidRDefault="00FC7577" w:rsidP="00FC7577">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4D38F7">
        <w:rPr>
          <w:rFonts w:ascii="Palatino Linotype" w:eastAsia="Calibri" w:hAnsi="Palatino Linotype" w:cs="Arial"/>
          <w:lang w:val="es-ES"/>
        </w:rPr>
        <w:t>El día</w:t>
      </w:r>
      <w:r w:rsidRPr="004D38F7">
        <w:rPr>
          <w:rFonts w:ascii="Palatino Linotype" w:eastAsia="Calibri" w:hAnsi="Palatino Linotype" w:cs="Arial"/>
          <w:b/>
          <w:lang w:val="es-ES"/>
        </w:rPr>
        <w:t xml:space="preserve"> cinco de septiembre de dos mil veintitrés</w:t>
      </w:r>
      <w:r w:rsidRPr="004D38F7">
        <w:rPr>
          <w:rFonts w:ascii="Palatino Linotype" w:hAnsi="Palatino Linotype"/>
        </w:rPr>
        <w:t>,</w:t>
      </w:r>
      <w:r w:rsidRPr="004D38F7">
        <w:rPr>
          <w:rFonts w:ascii="Palatino Linotype" w:hAnsi="Palatino Linotype"/>
          <w:b/>
        </w:rPr>
        <w:t xml:space="preserve"> </w:t>
      </w:r>
      <w:r w:rsidRPr="004D38F7">
        <w:rPr>
          <w:rFonts w:ascii="Palatino Linotype" w:eastAsia="Calibri" w:hAnsi="Palatino Linotype" w:cs="Arial"/>
          <w:lang w:val="es-ES"/>
        </w:rPr>
        <w:t>se presentó ante el Sujeto Obligado</w:t>
      </w:r>
      <w:r w:rsidRPr="004D38F7">
        <w:rPr>
          <w:rFonts w:ascii="Palatino Linotype" w:eastAsia="Calibri" w:hAnsi="Palatino Linotype" w:cs="Arial"/>
        </w:rPr>
        <w:t xml:space="preserve"> vía Sistema </w:t>
      </w:r>
      <w:r w:rsidRPr="004D38F7">
        <w:rPr>
          <w:rFonts w:ascii="Palatino Linotype" w:eastAsia="Times New Roman" w:hAnsi="Palatino Linotype" w:cs="Arial"/>
          <w:color w:val="000000" w:themeColor="text1"/>
          <w:lang w:val="es-ES"/>
        </w:rPr>
        <w:t>de</w:t>
      </w:r>
      <w:r w:rsidRPr="004D38F7">
        <w:rPr>
          <w:rFonts w:ascii="Palatino Linotype" w:eastAsia="Calibri" w:hAnsi="Palatino Linotype" w:cs="Arial"/>
        </w:rPr>
        <w:t xml:space="preserve"> Acceso a la Información Mexiquense, en adelante </w:t>
      </w:r>
      <w:r w:rsidRPr="004D38F7">
        <w:rPr>
          <w:rFonts w:ascii="Palatino Linotype" w:eastAsia="Calibri" w:hAnsi="Palatino Linotype" w:cs="Arial"/>
          <w:lang w:val="es-ES"/>
        </w:rPr>
        <w:t>SAIMEX, la siguiente solicitud de información pública:</w:t>
      </w:r>
    </w:p>
    <w:p w14:paraId="7D8F0E81" w14:textId="77777777" w:rsidR="00FC7577" w:rsidRPr="004D38F7" w:rsidRDefault="00FC7577" w:rsidP="00FC7577">
      <w:pPr>
        <w:pStyle w:val="Prrafodelista"/>
        <w:spacing w:line="360" w:lineRule="auto"/>
        <w:ind w:left="0"/>
        <w:jc w:val="both"/>
        <w:rPr>
          <w:rFonts w:ascii="Palatino Linotype" w:eastAsia="Calibri" w:hAnsi="Palatino Linotype" w:cs="Arial"/>
          <w:lang w:val="es-ES"/>
        </w:rPr>
      </w:pPr>
    </w:p>
    <w:p w14:paraId="742C6A63" w14:textId="77777777" w:rsidR="00FC7577" w:rsidRPr="004D38F7" w:rsidRDefault="00FC7577" w:rsidP="00FC7577">
      <w:pPr>
        <w:pStyle w:val="Prrafodelista"/>
        <w:ind w:left="425" w:right="476"/>
        <w:jc w:val="both"/>
        <w:rPr>
          <w:rFonts w:ascii="Palatino Linotype" w:hAnsi="Palatino Linotype"/>
          <w:i/>
        </w:rPr>
      </w:pPr>
      <w:r w:rsidRPr="004D38F7">
        <w:rPr>
          <w:rFonts w:ascii="Palatino Linotype" w:hAnsi="Palatino Linotype"/>
          <w:i/>
        </w:rPr>
        <w:t xml:space="preserve">“copias de facturas pagadas a medios de </w:t>
      </w:r>
      <w:proofErr w:type="spellStart"/>
      <w:r w:rsidRPr="004D38F7">
        <w:rPr>
          <w:rFonts w:ascii="Palatino Linotype" w:hAnsi="Palatino Linotype"/>
          <w:i/>
        </w:rPr>
        <w:t>comunicacion</w:t>
      </w:r>
      <w:proofErr w:type="spellEnd"/>
      <w:r w:rsidRPr="004D38F7">
        <w:rPr>
          <w:rFonts w:ascii="Palatino Linotype" w:hAnsi="Palatino Linotype"/>
          <w:i/>
        </w:rPr>
        <w:t xml:space="preserve"> durante la </w:t>
      </w:r>
      <w:proofErr w:type="spellStart"/>
      <w:r w:rsidRPr="004D38F7">
        <w:rPr>
          <w:rFonts w:ascii="Palatino Linotype" w:hAnsi="Palatino Linotype"/>
          <w:i/>
        </w:rPr>
        <w:t>administracion</w:t>
      </w:r>
      <w:proofErr w:type="spellEnd"/>
      <w:r w:rsidRPr="004D38F7">
        <w:rPr>
          <w:rFonts w:ascii="Palatino Linotype" w:hAnsi="Palatino Linotype"/>
          <w:i/>
        </w:rPr>
        <w:t xml:space="preserve"> 2022-2024, directorio completo del personal que labora en el actual ayuntamiento municipal, copia de nómina de todos los que laboran dentro de la actual administración municipal y que antigüedad tienen laborando dentro del ayuntamiento, cuanto adeuda a CAEM, Luz y Fuerza del Centro (</w:t>
      </w:r>
      <w:proofErr w:type="spellStart"/>
      <w:r w:rsidRPr="004D38F7">
        <w:rPr>
          <w:rFonts w:ascii="Palatino Linotype" w:hAnsi="Palatino Linotype"/>
          <w:i/>
        </w:rPr>
        <w:t>compañia</w:t>
      </w:r>
      <w:proofErr w:type="spellEnd"/>
      <w:r w:rsidRPr="004D38F7">
        <w:rPr>
          <w:rFonts w:ascii="Palatino Linotype" w:hAnsi="Palatino Linotype"/>
          <w:i/>
        </w:rPr>
        <w:t xml:space="preserve"> de luz), ISSEMYM y a cualquier otra </w:t>
      </w:r>
      <w:proofErr w:type="spellStart"/>
      <w:r w:rsidRPr="004D38F7">
        <w:rPr>
          <w:rFonts w:ascii="Palatino Linotype" w:hAnsi="Palatino Linotype"/>
          <w:i/>
        </w:rPr>
        <w:t>emprea</w:t>
      </w:r>
      <w:proofErr w:type="spellEnd"/>
      <w:r w:rsidRPr="004D38F7">
        <w:rPr>
          <w:rFonts w:ascii="Palatino Linotype" w:hAnsi="Palatino Linotype"/>
          <w:i/>
        </w:rPr>
        <w:t xml:space="preserve"> que haya prestado sus servicios al ayuntamiento, copias de denuncias que haya actualmente en mesa de responsabilidades en contra de las actuales autoridades municipales o servidores </w:t>
      </w:r>
      <w:proofErr w:type="spellStart"/>
      <w:r w:rsidRPr="004D38F7">
        <w:rPr>
          <w:rFonts w:ascii="Palatino Linotype" w:hAnsi="Palatino Linotype"/>
          <w:i/>
        </w:rPr>
        <w:t>publicos</w:t>
      </w:r>
      <w:proofErr w:type="spellEnd"/>
      <w:r w:rsidRPr="004D38F7">
        <w:rPr>
          <w:rFonts w:ascii="Palatino Linotype" w:hAnsi="Palatino Linotype"/>
          <w:i/>
        </w:rPr>
        <w:t xml:space="preserve"> del ayuntamiento. Copia de resultados de las auditorías realizadas al Ayuntamiento, copia de denuncias y quejas realizadas dentro de </w:t>
      </w:r>
      <w:proofErr w:type="spellStart"/>
      <w:r w:rsidRPr="004D38F7">
        <w:rPr>
          <w:rFonts w:ascii="Palatino Linotype" w:hAnsi="Palatino Linotype"/>
          <w:i/>
        </w:rPr>
        <w:t>contraloria</w:t>
      </w:r>
      <w:proofErr w:type="spellEnd"/>
      <w:r w:rsidRPr="004D38F7">
        <w:rPr>
          <w:rFonts w:ascii="Palatino Linotype" w:hAnsi="Palatino Linotype"/>
          <w:i/>
        </w:rPr>
        <w:t xml:space="preserve"> interna del Ayuntamiento, a </w:t>
      </w:r>
      <w:proofErr w:type="spellStart"/>
      <w:r w:rsidRPr="004D38F7">
        <w:rPr>
          <w:rFonts w:ascii="Palatino Linotype" w:hAnsi="Palatino Linotype"/>
          <w:i/>
        </w:rPr>
        <w:t>cuanto</w:t>
      </w:r>
      <w:proofErr w:type="spellEnd"/>
      <w:r w:rsidRPr="004D38F7">
        <w:rPr>
          <w:rFonts w:ascii="Palatino Linotype" w:hAnsi="Palatino Linotype"/>
          <w:i/>
        </w:rPr>
        <w:t xml:space="preserve"> ascienden los ingresos y egresos netos de Ayuntamiento de a enero a agosto 2023, a quienes y cuanto adeuda por sueldos o nomina no pagada a los </w:t>
      </w:r>
      <w:r w:rsidRPr="004D38F7">
        <w:rPr>
          <w:rFonts w:ascii="Palatino Linotype" w:hAnsi="Palatino Linotype"/>
          <w:i/>
        </w:rPr>
        <w:lastRenderedPageBreak/>
        <w:t>trabajadores del ayuntamiento, nombre y cargo del personal ha sido dado de baja y porque causas dentro del periodo enero 2023 a agosto 2023”</w:t>
      </w:r>
    </w:p>
    <w:p w14:paraId="66FA5E29" w14:textId="77777777" w:rsidR="00FC7577" w:rsidRPr="004D38F7" w:rsidRDefault="00FC7577" w:rsidP="00FC7577">
      <w:pPr>
        <w:pStyle w:val="Prrafodelista"/>
        <w:ind w:left="425" w:right="476"/>
        <w:jc w:val="both"/>
        <w:rPr>
          <w:rFonts w:ascii="Palatino Linotype" w:hAnsi="Palatino Linotype"/>
        </w:rPr>
      </w:pPr>
    </w:p>
    <w:p w14:paraId="2DFB3106" w14:textId="77777777" w:rsidR="00FC7577" w:rsidRPr="004D38F7" w:rsidRDefault="00FC7577" w:rsidP="00FC7577">
      <w:pPr>
        <w:pStyle w:val="Prrafodelista"/>
        <w:numPr>
          <w:ilvl w:val="0"/>
          <w:numId w:val="6"/>
        </w:numPr>
        <w:tabs>
          <w:tab w:val="left" w:pos="0"/>
        </w:tabs>
        <w:spacing w:line="360" w:lineRule="auto"/>
        <w:ind w:left="709" w:right="51"/>
        <w:jc w:val="both"/>
        <w:rPr>
          <w:rFonts w:ascii="Palatino Linotype" w:hAnsi="Palatino Linotype"/>
        </w:rPr>
      </w:pPr>
      <w:r w:rsidRPr="004D38F7">
        <w:rPr>
          <w:rFonts w:ascii="Palatino Linotype" w:eastAsia="Times New Roman" w:hAnsi="Palatino Linotype" w:cs="Arial"/>
          <w:lang w:val="es-ES"/>
        </w:rPr>
        <w:t xml:space="preserve">Se eligió como </w:t>
      </w:r>
      <w:r w:rsidRPr="004D38F7">
        <w:rPr>
          <w:rFonts w:ascii="Palatino Linotype" w:hAnsi="Palatino Linotype"/>
        </w:rPr>
        <w:t>modalidad</w:t>
      </w:r>
      <w:r w:rsidRPr="004D38F7">
        <w:rPr>
          <w:rFonts w:ascii="Palatino Linotype" w:eastAsia="Times New Roman" w:hAnsi="Palatino Linotype" w:cs="Arial"/>
          <w:lang w:val="es-ES"/>
        </w:rPr>
        <w:t xml:space="preserve"> de entrega de la información</w:t>
      </w:r>
      <w:r w:rsidRPr="004D38F7">
        <w:rPr>
          <w:rFonts w:ascii="Palatino Linotype" w:hAnsi="Palatino Linotype"/>
        </w:rPr>
        <w:t xml:space="preserve">: A través del </w:t>
      </w:r>
      <w:r w:rsidRPr="004D38F7">
        <w:rPr>
          <w:rFonts w:ascii="Palatino Linotype" w:hAnsi="Palatino Linotype"/>
          <w:b/>
        </w:rPr>
        <w:t>SAIMEX.</w:t>
      </w:r>
    </w:p>
    <w:p w14:paraId="18947CC3" w14:textId="77777777" w:rsidR="00FC7577" w:rsidRPr="004D38F7" w:rsidRDefault="00FC7577" w:rsidP="00FC7577">
      <w:pPr>
        <w:pStyle w:val="Prrafodelista"/>
        <w:tabs>
          <w:tab w:val="left" w:pos="0"/>
        </w:tabs>
        <w:spacing w:line="360" w:lineRule="auto"/>
        <w:ind w:left="709" w:right="51"/>
        <w:jc w:val="both"/>
        <w:rPr>
          <w:rFonts w:ascii="Palatino Linotype" w:hAnsi="Palatino Linotype"/>
        </w:rPr>
      </w:pPr>
    </w:p>
    <w:p w14:paraId="1383068E" w14:textId="77777777" w:rsidR="00FC7577" w:rsidRPr="004D38F7" w:rsidRDefault="00FC7577" w:rsidP="00FC7577">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lang w:val="es-ES"/>
        </w:rPr>
      </w:pPr>
      <w:r w:rsidRPr="004D38F7">
        <w:rPr>
          <w:rFonts w:ascii="Palatino Linotype" w:eastAsia="Times New Roman" w:hAnsi="Palatino Linotype" w:cs="Arial"/>
          <w:color w:val="000000" w:themeColor="text1"/>
          <w:lang w:val="es-ES"/>
        </w:rPr>
        <w:t>El</w:t>
      </w:r>
      <w:r w:rsidRPr="004D38F7">
        <w:rPr>
          <w:rFonts w:ascii="Palatino Linotype" w:eastAsia="Times New Roman" w:hAnsi="Palatino Linotype" w:cs="Arial"/>
          <w:b/>
          <w:color w:val="000000" w:themeColor="text1"/>
          <w:lang w:val="es-ES"/>
        </w:rPr>
        <w:t xml:space="preserve"> veintiséis de septiembre de dos mil veintitrés</w:t>
      </w:r>
      <w:r w:rsidRPr="004D38F7">
        <w:rPr>
          <w:rFonts w:ascii="Palatino Linotype" w:eastAsia="Times New Roman" w:hAnsi="Palatino Linotype" w:cs="Arial"/>
          <w:color w:val="000000" w:themeColor="text1"/>
          <w:lang w:val="es-ES"/>
        </w:rPr>
        <w:t xml:space="preserve">, el Sujeto Obligado emitió su respuesta a </w:t>
      </w:r>
      <w:r w:rsidRPr="004D38F7">
        <w:rPr>
          <w:rFonts w:ascii="Palatino Linotype" w:eastAsia="Calibri" w:hAnsi="Palatino Linotype" w:cs="Arial"/>
          <w:lang w:val="es-ES"/>
        </w:rPr>
        <w:t>través de dos archivos electrónicos</w:t>
      </w:r>
      <w:r w:rsidRPr="004D38F7">
        <w:rPr>
          <w:rFonts w:ascii="Palatino Linotype" w:eastAsia="Times New Roman" w:hAnsi="Palatino Linotype" w:cs="Arial"/>
          <w:b/>
          <w:color w:val="000000" w:themeColor="text1"/>
          <w:lang w:val="es-ES"/>
        </w:rPr>
        <w:t xml:space="preserve">, </w:t>
      </w:r>
      <w:r w:rsidRPr="004D38F7">
        <w:rPr>
          <w:rFonts w:ascii="Palatino Linotype" w:eastAsia="Times New Roman" w:hAnsi="Palatino Linotype" w:cs="Arial"/>
          <w:color w:val="000000" w:themeColor="text1"/>
          <w:lang w:val="es-ES"/>
        </w:rPr>
        <w:t>cuyo contenido</w:t>
      </w:r>
      <w:r w:rsidRPr="004D38F7">
        <w:rPr>
          <w:rFonts w:ascii="Palatino Linotype" w:eastAsia="Calibri" w:hAnsi="Palatino Linotype" w:cs="Arial"/>
          <w:lang w:val="es-ES"/>
        </w:rPr>
        <w:t xml:space="preserve"> </w:t>
      </w:r>
      <w:r w:rsidRPr="004D38F7">
        <w:rPr>
          <w:rFonts w:ascii="Palatino Linotype" w:eastAsia="Calibri" w:hAnsi="Palatino Linotype" w:cs="Arial"/>
          <w:i/>
          <w:lang w:val="es-ES"/>
        </w:rPr>
        <w:t>grosso modo</w:t>
      </w:r>
      <w:r w:rsidRPr="004D38F7">
        <w:rPr>
          <w:rFonts w:ascii="Palatino Linotype" w:eastAsia="Calibri" w:hAnsi="Palatino Linotype" w:cs="Arial"/>
          <w:lang w:val="es-ES"/>
        </w:rPr>
        <w:t xml:space="preserve"> es el siguiente</w:t>
      </w:r>
      <w:r w:rsidRPr="004D38F7">
        <w:rPr>
          <w:rFonts w:ascii="Palatino Linotype" w:eastAsia="Times New Roman" w:hAnsi="Palatino Linotype" w:cs="Arial"/>
          <w:color w:val="000000" w:themeColor="text1"/>
          <w:lang w:val="es-ES"/>
        </w:rPr>
        <w:t>.</w:t>
      </w:r>
    </w:p>
    <w:p w14:paraId="249F3487" w14:textId="77777777" w:rsidR="00FC7577" w:rsidRPr="004D38F7" w:rsidRDefault="00FC7577" w:rsidP="00645B6E">
      <w:pPr>
        <w:pStyle w:val="Prrafodelista"/>
        <w:tabs>
          <w:tab w:val="left" w:pos="0"/>
        </w:tabs>
        <w:ind w:left="709" w:right="618"/>
        <w:jc w:val="both"/>
        <w:rPr>
          <w:rFonts w:ascii="Palatino Linotype" w:hAnsi="Palatino Linotype" w:cs="Arial"/>
          <w:i/>
          <w:color w:val="000000" w:themeColor="text1"/>
          <w:sz w:val="22"/>
        </w:rPr>
      </w:pPr>
      <w:r w:rsidRPr="004D38F7">
        <w:rPr>
          <w:rFonts w:ascii="Palatino Linotype" w:hAnsi="Palatino Linotype" w:cs="Arial"/>
          <w:b/>
          <w:i/>
          <w:color w:val="000000" w:themeColor="text1"/>
          <w:sz w:val="22"/>
        </w:rPr>
        <w:t xml:space="preserve">RESPUESTA 437 RH.pdf: </w:t>
      </w:r>
      <w:r w:rsidRPr="004D38F7">
        <w:rPr>
          <w:rFonts w:ascii="Palatino Linotype" w:hAnsi="Palatino Linotype" w:cs="Arial"/>
          <w:i/>
          <w:color w:val="000000" w:themeColor="text1"/>
          <w:sz w:val="22"/>
        </w:rPr>
        <w:t xml:space="preserve">oficio de la Subdirectora de Recursos Humanos, mediante el cual informa que no se encuentra posibilitada para proporcionar dicha información, toda vez que se cuenta con un aviso de privacidad de datos personales. </w:t>
      </w:r>
    </w:p>
    <w:p w14:paraId="0AAEE8B3" w14:textId="77777777" w:rsidR="00645B6E" w:rsidRPr="004D38F7" w:rsidRDefault="00645B6E" w:rsidP="00645B6E">
      <w:pPr>
        <w:pStyle w:val="Prrafodelista"/>
        <w:tabs>
          <w:tab w:val="left" w:pos="0"/>
        </w:tabs>
        <w:ind w:left="709" w:right="618"/>
        <w:jc w:val="both"/>
        <w:rPr>
          <w:rFonts w:ascii="Palatino Linotype" w:hAnsi="Palatino Linotype" w:cs="Arial"/>
          <w:i/>
          <w:color w:val="000000" w:themeColor="text1"/>
          <w:sz w:val="22"/>
        </w:rPr>
      </w:pPr>
    </w:p>
    <w:p w14:paraId="7321E3B4" w14:textId="77777777" w:rsidR="00FC7577" w:rsidRPr="004D38F7" w:rsidRDefault="00FC7577" w:rsidP="00645B6E">
      <w:pPr>
        <w:pStyle w:val="Prrafodelista"/>
        <w:tabs>
          <w:tab w:val="left" w:pos="0"/>
        </w:tabs>
        <w:ind w:left="709" w:right="618"/>
        <w:jc w:val="both"/>
        <w:rPr>
          <w:rFonts w:ascii="Palatino Linotype" w:hAnsi="Palatino Linotype" w:cs="Arial"/>
          <w:i/>
          <w:color w:val="000000" w:themeColor="text1"/>
          <w:sz w:val="22"/>
        </w:rPr>
      </w:pPr>
      <w:r w:rsidRPr="004D38F7">
        <w:rPr>
          <w:rFonts w:ascii="Palatino Linotype" w:hAnsi="Palatino Linotype" w:cs="Arial"/>
          <w:b/>
          <w:i/>
          <w:color w:val="000000" w:themeColor="text1"/>
          <w:sz w:val="22"/>
        </w:rPr>
        <w:t xml:space="preserve">RESPUESTA 437 CONTRALORÍA.pdf: </w:t>
      </w:r>
      <w:r w:rsidRPr="004D38F7">
        <w:rPr>
          <w:rFonts w:ascii="Palatino Linotype" w:hAnsi="Palatino Linotype" w:cs="Arial"/>
          <w:i/>
          <w:color w:val="000000" w:themeColor="text1"/>
          <w:sz w:val="22"/>
        </w:rPr>
        <w:t xml:space="preserve">oficio del Contralor Municipal, mediante el cual informa que respecto a las auditorías realizadas no cuenta con facultad para conocer sobre el tema en comento. </w:t>
      </w:r>
    </w:p>
    <w:p w14:paraId="762977EF" w14:textId="77777777" w:rsidR="00FC7577" w:rsidRPr="004D38F7" w:rsidRDefault="00FC7577" w:rsidP="00645B6E">
      <w:pPr>
        <w:pStyle w:val="Prrafodelista"/>
        <w:tabs>
          <w:tab w:val="left" w:pos="0"/>
        </w:tabs>
        <w:ind w:left="709" w:right="618"/>
        <w:jc w:val="both"/>
        <w:rPr>
          <w:rFonts w:ascii="Palatino Linotype" w:hAnsi="Palatino Linotype" w:cs="Arial"/>
          <w:i/>
          <w:color w:val="000000" w:themeColor="text1"/>
          <w:sz w:val="22"/>
        </w:rPr>
      </w:pPr>
      <w:r w:rsidRPr="004D38F7">
        <w:rPr>
          <w:rFonts w:ascii="Palatino Linotype" w:hAnsi="Palatino Linotype" w:cs="Arial"/>
          <w:i/>
          <w:color w:val="000000" w:themeColor="text1"/>
          <w:sz w:val="22"/>
        </w:rPr>
        <w:t xml:space="preserve">En cuanto a las denuncias informa que se encuentra imposibilitado para proporcionar dicha información, toda vez que existen datos sensibles, por lo que solicita al Comité de Transparencia que mediante acta emita la reserva de la información. </w:t>
      </w:r>
    </w:p>
    <w:p w14:paraId="2FEAFC4B" w14:textId="77777777" w:rsidR="00FC7577" w:rsidRPr="004D38F7" w:rsidRDefault="00FC7577" w:rsidP="00FC7577">
      <w:pPr>
        <w:pStyle w:val="Prrafodelista"/>
        <w:tabs>
          <w:tab w:val="left" w:pos="0"/>
        </w:tabs>
        <w:spacing w:line="360" w:lineRule="auto"/>
        <w:ind w:left="709" w:right="49"/>
        <w:jc w:val="both"/>
        <w:rPr>
          <w:rFonts w:ascii="Palatino Linotype" w:hAnsi="Palatino Linotype" w:cs="Arial"/>
          <w:i/>
          <w:color w:val="000000" w:themeColor="text1"/>
        </w:rPr>
      </w:pPr>
    </w:p>
    <w:p w14:paraId="64DD9572" w14:textId="77777777" w:rsidR="00FC7577" w:rsidRPr="004D38F7" w:rsidRDefault="00FC7577" w:rsidP="00FC757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D38F7">
        <w:rPr>
          <w:rFonts w:ascii="Palatino Linotype" w:eastAsia="Times New Roman" w:hAnsi="Palatino Linotype" w:cs="Arial"/>
          <w:color w:val="000000" w:themeColor="text1"/>
          <w:lang w:val="es-ES"/>
        </w:rPr>
        <w:t>El</w:t>
      </w:r>
      <w:r w:rsidRPr="004D38F7">
        <w:rPr>
          <w:rFonts w:ascii="Palatino Linotype" w:eastAsia="Times New Roman" w:hAnsi="Palatino Linotype" w:cs="Arial"/>
          <w:b/>
          <w:color w:val="000000" w:themeColor="text1"/>
          <w:lang w:val="es-ES"/>
        </w:rPr>
        <w:t xml:space="preserve"> nueve de octubre de dos mil veintitrés</w:t>
      </w:r>
      <w:r w:rsidRPr="004D38F7">
        <w:rPr>
          <w:rFonts w:ascii="Palatino Linotype" w:eastAsia="Times New Roman" w:hAnsi="Palatino Linotype" w:cs="Arial"/>
          <w:color w:val="000000" w:themeColor="text1"/>
          <w:lang w:val="es-ES"/>
        </w:rPr>
        <w:t>, el particular interpuso el recurso de revisión en contra de la respuesta, realizando las siguientes manifestaciones:</w:t>
      </w:r>
    </w:p>
    <w:p w14:paraId="23BB2C34" w14:textId="77777777" w:rsidR="00FC7577" w:rsidRPr="004D38F7" w:rsidRDefault="00FC7577" w:rsidP="004D38F7">
      <w:pPr>
        <w:pStyle w:val="Prrafodelista"/>
        <w:numPr>
          <w:ilvl w:val="0"/>
          <w:numId w:val="4"/>
        </w:numPr>
        <w:ind w:right="567"/>
        <w:jc w:val="both"/>
        <w:rPr>
          <w:rStyle w:val="Ttulo2Car"/>
          <w:rFonts w:ascii="Palatino Linotype" w:hAnsi="Palatino Linotype"/>
          <w:i/>
          <w:color w:val="000000" w:themeColor="text1"/>
          <w:sz w:val="22"/>
          <w:szCs w:val="24"/>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4D38F7">
        <w:rPr>
          <w:rStyle w:val="Ttulo2Car"/>
          <w:rFonts w:ascii="Palatino Linotype" w:hAnsi="Palatino Linotype"/>
          <w:b/>
          <w:color w:val="auto"/>
          <w:sz w:val="22"/>
          <w:szCs w:val="24"/>
        </w:rPr>
        <w:t>Acto impugnado</w:t>
      </w:r>
      <w:bookmarkEnd w:id="3"/>
      <w:r w:rsidRPr="004D38F7">
        <w:rPr>
          <w:rStyle w:val="Ttulo2Car"/>
          <w:rFonts w:ascii="Palatino Linotype" w:hAnsi="Palatino Linotype"/>
          <w:b/>
          <w:color w:val="000000" w:themeColor="text1"/>
          <w:sz w:val="22"/>
          <w:szCs w:val="24"/>
        </w:rPr>
        <w:t xml:space="preserve">: </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4D38F7">
        <w:rPr>
          <w:rStyle w:val="Ttulo2Car"/>
          <w:rFonts w:ascii="Palatino Linotype" w:hAnsi="Palatino Linotype"/>
          <w:i/>
          <w:color w:val="000000" w:themeColor="text1"/>
          <w:sz w:val="22"/>
          <w:szCs w:val="24"/>
        </w:rPr>
        <w:t>“</w:t>
      </w:r>
      <w:r w:rsidRPr="004D38F7">
        <w:rPr>
          <w:rFonts w:ascii="Palatino Linotype" w:eastAsiaTheme="majorEastAsia" w:hAnsi="Palatino Linotype" w:cstheme="majorBidi"/>
          <w:i/>
          <w:color w:val="000000" w:themeColor="text1"/>
          <w:sz w:val="22"/>
        </w:rPr>
        <w:t>falta información</w:t>
      </w:r>
      <w:r w:rsidRPr="004D38F7">
        <w:rPr>
          <w:rStyle w:val="Ttulo2Car"/>
          <w:rFonts w:ascii="Palatino Linotype" w:hAnsi="Palatino Linotype"/>
          <w:i/>
          <w:color w:val="000000" w:themeColor="text1"/>
          <w:sz w:val="22"/>
          <w:szCs w:val="24"/>
        </w:rPr>
        <w:t>”</w:t>
      </w:r>
    </w:p>
    <w:p w14:paraId="5E9B8F0C" w14:textId="77777777" w:rsidR="00FC7577" w:rsidRPr="004D38F7" w:rsidRDefault="00FC7577" w:rsidP="004D38F7">
      <w:pPr>
        <w:pStyle w:val="Prrafodelista"/>
        <w:numPr>
          <w:ilvl w:val="0"/>
          <w:numId w:val="4"/>
        </w:numPr>
        <w:ind w:right="567"/>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4D38F7">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4D38F7">
        <w:rPr>
          <w:rFonts w:ascii="Palatino Linotype" w:hAnsi="Palatino Linotype"/>
          <w:b/>
          <w:color w:val="000000" w:themeColor="text1"/>
          <w:sz w:val="22"/>
        </w:rPr>
        <w:t xml:space="preserve"> </w:t>
      </w:r>
      <w:r w:rsidRPr="004D38F7">
        <w:rPr>
          <w:rFonts w:ascii="Palatino Linotype" w:hAnsi="Palatino Linotype"/>
          <w:i/>
          <w:color w:val="000000" w:themeColor="text1"/>
          <w:sz w:val="22"/>
        </w:rPr>
        <w:t>“</w:t>
      </w:r>
      <w:r w:rsidRPr="004D38F7">
        <w:rPr>
          <w:rStyle w:val="Ttulo2Car"/>
          <w:rFonts w:ascii="Palatino Linotype" w:hAnsi="Palatino Linotype"/>
          <w:i/>
          <w:color w:val="000000" w:themeColor="text1"/>
          <w:sz w:val="22"/>
          <w:szCs w:val="24"/>
        </w:rPr>
        <w:t xml:space="preserve">Artículo 4.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w:t>
      </w:r>
      <w:r w:rsidRPr="004D38F7">
        <w:rPr>
          <w:rStyle w:val="Ttulo2Car"/>
          <w:rFonts w:ascii="Palatino Linotype" w:hAnsi="Palatino Linotype"/>
          <w:i/>
          <w:color w:val="000000" w:themeColor="text1"/>
          <w:sz w:val="22"/>
          <w:szCs w:val="24"/>
        </w:rPr>
        <w:lastRenderedPageBreak/>
        <w:t>publicidad, veracidad, oportunidad, precisión y suficiencia en beneficio de los solicitantes,</w:t>
      </w:r>
      <w:r w:rsidRPr="004D38F7">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4D38F7">
        <w:rPr>
          <w:rFonts w:ascii="Palatino Linotype" w:hAnsi="Palatino Linotype"/>
          <w:i/>
          <w:color w:val="000000" w:themeColor="text1"/>
          <w:sz w:val="22"/>
        </w:rPr>
        <w:t xml:space="preserve"> </w:t>
      </w:r>
      <w:r w:rsidRPr="004D38F7">
        <w:rPr>
          <w:rFonts w:ascii="Palatino Linotype" w:hAnsi="Palatino Linotype"/>
          <w:color w:val="000000" w:themeColor="text1"/>
          <w:sz w:val="22"/>
        </w:rPr>
        <w:t>(Sic)</w:t>
      </w:r>
    </w:p>
    <w:p w14:paraId="10CB9621" w14:textId="77777777" w:rsidR="00FC7577" w:rsidRPr="004D38F7" w:rsidRDefault="00FC7577" w:rsidP="00FC7577">
      <w:pPr>
        <w:pStyle w:val="Prrafodelista"/>
        <w:rPr>
          <w:rFonts w:ascii="Palatino Linotype" w:hAnsi="Palatino Linotype"/>
          <w:i/>
          <w:color w:val="000000" w:themeColor="text1"/>
        </w:rPr>
      </w:pPr>
    </w:p>
    <w:p w14:paraId="6D4B3080"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i/>
        </w:rPr>
      </w:pPr>
      <w:r w:rsidRPr="004D38F7">
        <w:rPr>
          <w:rFonts w:ascii="Palatino Linotype" w:eastAsia="Calibri" w:hAnsi="Palatino Linotype" w:cs="Arial"/>
          <w:lang w:val="es-ES"/>
        </w:rPr>
        <w:t>Con fundamento en lo dispuesto por el artículo 185 fracción II de la ley de la materia, se acordó a las partes a efecto de que en un plazo máximo de siete días, el Recurrente manifestara lo que a su derecho conviniera, ofrecieran pruebas y alegatos y, el Sujeto Obligado presentará el Informe Justificado.</w:t>
      </w:r>
    </w:p>
    <w:p w14:paraId="78908765" w14:textId="77777777" w:rsidR="00FC7577" w:rsidRPr="004D38F7" w:rsidRDefault="00FC7577" w:rsidP="00FC7577">
      <w:pPr>
        <w:pStyle w:val="Prrafodelista"/>
        <w:spacing w:line="360" w:lineRule="auto"/>
        <w:ind w:left="0"/>
        <w:jc w:val="both"/>
        <w:rPr>
          <w:rFonts w:ascii="Palatino Linotype" w:hAnsi="Palatino Linotype"/>
          <w:i/>
        </w:rPr>
      </w:pPr>
    </w:p>
    <w:p w14:paraId="5BA73948"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rPr>
      </w:pPr>
      <w:r w:rsidRPr="004D38F7">
        <w:rPr>
          <w:rFonts w:ascii="Palatino Linotype" w:hAnsi="Palatino Linotype"/>
          <w:color w:val="000000"/>
        </w:rPr>
        <w:t>El particular</w:t>
      </w:r>
      <w:r w:rsidRPr="004D38F7">
        <w:rPr>
          <w:rFonts w:ascii="Palatino Linotype" w:hAnsi="Palatino Linotype"/>
          <w:b/>
          <w:color w:val="000000"/>
        </w:rPr>
        <w:t xml:space="preserve"> </w:t>
      </w:r>
      <w:r w:rsidRPr="004D38F7">
        <w:rPr>
          <w:rFonts w:ascii="Palatino Linotype" w:hAnsi="Palatino Linotype"/>
          <w:color w:val="000000"/>
        </w:rPr>
        <w:t xml:space="preserve">dejó de </w:t>
      </w:r>
      <w:r w:rsidRPr="004D38F7">
        <w:rPr>
          <w:rFonts w:ascii="Palatino Linotype" w:eastAsia="Calibri" w:hAnsi="Palatino Linotype" w:cs="Arial"/>
          <w:lang w:val="es-ES"/>
        </w:rPr>
        <w:t>realizar</w:t>
      </w:r>
      <w:r w:rsidRPr="004D38F7">
        <w:rPr>
          <w:rFonts w:ascii="Palatino Linotype" w:hAnsi="Palatino Linotype"/>
          <w:color w:val="000000"/>
        </w:rPr>
        <w:t xml:space="preserve"> manifestaciones que a su derecho conviniera y asistiera. </w:t>
      </w:r>
    </w:p>
    <w:p w14:paraId="394D6848" w14:textId="77777777" w:rsidR="00FC7577" w:rsidRPr="004D38F7" w:rsidRDefault="00FC7577" w:rsidP="00FC7577">
      <w:pPr>
        <w:pStyle w:val="Prrafodelista"/>
        <w:rPr>
          <w:rFonts w:ascii="Palatino Linotype" w:hAnsi="Palatino Linotype"/>
          <w:color w:val="000000"/>
        </w:rPr>
      </w:pPr>
    </w:p>
    <w:p w14:paraId="69A665ED"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rPr>
      </w:pPr>
      <w:r w:rsidRPr="004D38F7">
        <w:rPr>
          <w:rFonts w:ascii="Palatino Linotype" w:hAnsi="Palatino Linotype"/>
          <w:color w:val="000000"/>
        </w:rPr>
        <w:t xml:space="preserve">Por su </w:t>
      </w:r>
      <w:r w:rsidRPr="004D38F7">
        <w:rPr>
          <w:rFonts w:ascii="Palatino Linotype" w:eastAsia="Calibri" w:hAnsi="Palatino Linotype" w:cs="Arial"/>
          <w:lang w:val="es-ES"/>
        </w:rPr>
        <w:t>parte</w:t>
      </w:r>
      <w:r w:rsidRPr="004D38F7">
        <w:rPr>
          <w:rFonts w:ascii="Palatino Linotype" w:hAnsi="Palatino Linotype"/>
          <w:color w:val="000000"/>
        </w:rPr>
        <w:t xml:space="preserve">, el </w:t>
      </w:r>
      <w:r w:rsidRPr="004D38F7">
        <w:rPr>
          <w:rFonts w:ascii="Palatino Linotype" w:eastAsia="Calibri" w:hAnsi="Palatino Linotype" w:cs="Arial"/>
          <w:lang w:val="es-ES"/>
        </w:rPr>
        <w:t>Sujeto</w:t>
      </w:r>
      <w:r w:rsidRPr="004D38F7">
        <w:rPr>
          <w:rFonts w:ascii="Palatino Linotype" w:hAnsi="Palatino Linotype"/>
          <w:color w:val="000000"/>
        </w:rPr>
        <w:t xml:space="preserve"> Obligado el </w:t>
      </w:r>
      <w:r w:rsidRPr="004D38F7">
        <w:rPr>
          <w:rFonts w:ascii="Palatino Linotype" w:hAnsi="Palatino Linotype"/>
          <w:b/>
          <w:color w:val="000000"/>
        </w:rPr>
        <w:t xml:space="preserve"> </w:t>
      </w:r>
      <w:r w:rsidR="00852FFB" w:rsidRPr="004D38F7">
        <w:rPr>
          <w:rFonts w:ascii="Palatino Linotype" w:hAnsi="Palatino Linotype"/>
          <w:b/>
          <w:color w:val="000000"/>
        </w:rPr>
        <w:t>veinte y veintiséis de octubre, así como cuatro de diciembre de dos mil veintitrés</w:t>
      </w:r>
      <w:r w:rsidRPr="004D38F7">
        <w:rPr>
          <w:rFonts w:ascii="Palatino Linotype" w:hAnsi="Palatino Linotype"/>
          <w:color w:val="000000"/>
        </w:rPr>
        <w:t xml:space="preserve">, entrego </w:t>
      </w:r>
      <w:r w:rsidR="00852FFB" w:rsidRPr="004D38F7">
        <w:rPr>
          <w:rFonts w:ascii="Palatino Linotype" w:hAnsi="Palatino Linotype"/>
          <w:color w:val="000000"/>
        </w:rPr>
        <w:t xml:space="preserve">cinco </w:t>
      </w:r>
      <w:r w:rsidRPr="004D38F7">
        <w:rPr>
          <w:rFonts w:ascii="Palatino Linotype" w:hAnsi="Palatino Linotype"/>
          <w:color w:val="000000"/>
        </w:rPr>
        <w:t xml:space="preserve">archivos electrónicos, cuyo contenido </w:t>
      </w:r>
      <w:r w:rsidR="00645B6E" w:rsidRPr="004D38F7">
        <w:rPr>
          <w:rFonts w:ascii="Palatino Linotype" w:hAnsi="Palatino Linotype"/>
          <w:color w:val="000000"/>
        </w:rPr>
        <w:t>general</w:t>
      </w:r>
      <w:r w:rsidRPr="004D38F7">
        <w:rPr>
          <w:rFonts w:ascii="Palatino Linotype" w:hAnsi="Palatino Linotype"/>
          <w:color w:val="000000"/>
        </w:rPr>
        <w:t xml:space="preserve"> es el siguiente.</w:t>
      </w:r>
    </w:p>
    <w:p w14:paraId="2FA111C9" w14:textId="77777777" w:rsidR="00FC7577" w:rsidRPr="004D38F7" w:rsidRDefault="00852FFB" w:rsidP="00645B6E">
      <w:pPr>
        <w:pStyle w:val="Prrafodelista"/>
        <w:numPr>
          <w:ilvl w:val="0"/>
          <w:numId w:val="12"/>
        </w:numPr>
        <w:spacing w:line="360" w:lineRule="auto"/>
        <w:ind w:right="333"/>
        <w:jc w:val="both"/>
        <w:rPr>
          <w:rFonts w:ascii="Palatino Linotype" w:hAnsi="Palatino Linotype"/>
          <w:sz w:val="22"/>
        </w:rPr>
      </w:pPr>
      <w:r w:rsidRPr="004D38F7">
        <w:rPr>
          <w:rFonts w:ascii="Palatino Linotype" w:hAnsi="Palatino Linotype"/>
          <w:b/>
          <w:sz w:val="22"/>
        </w:rPr>
        <w:t>RESPUESTA 437 CONTRALORÍA.pdf</w:t>
      </w:r>
      <w:r w:rsidR="00FC7577" w:rsidRPr="004D38F7">
        <w:rPr>
          <w:rFonts w:ascii="Palatino Linotype" w:hAnsi="Palatino Linotype"/>
          <w:b/>
          <w:sz w:val="22"/>
        </w:rPr>
        <w:t xml:space="preserve">: </w:t>
      </w:r>
      <w:r w:rsidRPr="004D38F7">
        <w:rPr>
          <w:rFonts w:ascii="Palatino Linotype" w:hAnsi="Palatino Linotype"/>
          <w:sz w:val="22"/>
        </w:rPr>
        <w:t xml:space="preserve">oficio del Contralor Municipal, mediante el cual ratifica su respuesta inicial. </w:t>
      </w:r>
    </w:p>
    <w:p w14:paraId="513419F2" w14:textId="77777777" w:rsidR="00852FFB" w:rsidRPr="004D38F7" w:rsidRDefault="00852FFB" w:rsidP="00645B6E">
      <w:pPr>
        <w:pStyle w:val="Prrafodelista"/>
        <w:numPr>
          <w:ilvl w:val="0"/>
          <w:numId w:val="12"/>
        </w:numPr>
        <w:spacing w:line="360" w:lineRule="auto"/>
        <w:ind w:right="333"/>
        <w:jc w:val="both"/>
        <w:rPr>
          <w:rFonts w:ascii="Palatino Linotype" w:hAnsi="Palatino Linotype"/>
          <w:sz w:val="22"/>
        </w:rPr>
      </w:pPr>
      <w:r w:rsidRPr="004D38F7">
        <w:rPr>
          <w:rFonts w:ascii="Palatino Linotype" w:hAnsi="Palatino Linotype"/>
          <w:b/>
          <w:sz w:val="22"/>
        </w:rPr>
        <w:t>RESPUESTA 437 RH.pdf</w:t>
      </w:r>
      <w:r w:rsidR="00FC7577" w:rsidRPr="004D38F7">
        <w:rPr>
          <w:rFonts w:ascii="Palatino Linotype" w:hAnsi="Palatino Linotype"/>
          <w:b/>
          <w:sz w:val="22"/>
        </w:rPr>
        <w:t xml:space="preserve">: </w:t>
      </w:r>
      <w:r w:rsidRPr="004D38F7">
        <w:rPr>
          <w:rFonts w:ascii="Palatino Linotype" w:hAnsi="Palatino Linotype"/>
          <w:sz w:val="22"/>
        </w:rPr>
        <w:t>oficio de la Subdirectora de Recursos Humanos, mediante el cual ratifica su respuesta inicial</w:t>
      </w:r>
      <w:r w:rsidR="00FC7577" w:rsidRPr="004D38F7">
        <w:rPr>
          <w:rFonts w:ascii="Palatino Linotype" w:hAnsi="Palatino Linotype"/>
          <w:sz w:val="22"/>
        </w:rPr>
        <w:t>.</w:t>
      </w:r>
    </w:p>
    <w:p w14:paraId="56D42F28" w14:textId="77777777" w:rsidR="00852FFB" w:rsidRPr="004D38F7" w:rsidRDefault="00852FFB" w:rsidP="00645B6E">
      <w:pPr>
        <w:pStyle w:val="Prrafodelista"/>
        <w:numPr>
          <w:ilvl w:val="0"/>
          <w:numId w:val="12"/>
        </w:numPr>
        <w:spacing w:line="360" w:lineRule="auto"/>
        <w:ind w:right="333"/>
        <w:jc w:val="both"/>
        <w:rPr>
          <w:rFonts w:ascii="Palatino Linotype" w:hAnsi="Palatino Linotype"/>
          <w:sz w:val="22"/>
        </w:rPr>
      </w:pPr>
      <w:r w:rsidRPr="004D38F7">
        <w:rPr>
          <w:rFonts w:ascii="Palatino Linotype" w:hAnsi="Palatino Linotype"/>
          <w:b/>
          <w:sz w:val="22"/>
        </w:rPr>
        <w:t>RESPUESTA 437 RH.pdf</w:t>
      </w:r>
      <w:r w:rsidR="0066386B" w:rsidRPr="004D38F7">
        <w:rPr>
          <w:rFonts w:ascii="Palatino Linotype" w:hAnsi="Palatino Linotype"/>
          <w:b/>
          <w:sz w:val="22"/>
        </w:rPr>
        <w:t xml:space="preserve">: </w:t>
      </w:r>
      <w:r w:rsidR="0066386B" w:rsidRPr="004D38F7">
        <w:rPr>
          <w:rFonts w:ascii="Palatino Linotype" w:hAnsi="Palatino Linotype"/>
          <w:sz w:val="22"/>
        </w:rPr>
        <w:t>oficio</w:t>
      </w:r>
      <w:r w:rsidRPr="004D38F7">
        <w:rPr>
          <w:rFonts w:ascii="Palatino Linotype" w:hAnsi="Palatino Linotype"/>
          <w:sz w:val="22"/>
        </w:rPr>
        <w:t xml:space="preserve"> de la Subdirectora de Recursos Humanos, mediante el cual ratifica su respuesta inicial.</w:t>
      </w:r>
    </w:p>
    <w:p w14:paraId="2521EDFF" w14:textId="77777777" w:rsidR="00852FFB" w:rsidRPr="004D38F7" w:rsidRDefault="00852FFB" w:rsidP="00645B6E">
      <w:pPr>
        <w:pStyle w:val="Prrafodelista"/>
        <w:numPr>
          <w:ilvl w:val="0"/>
          <w:numId w:val="12"/>
        </w:numPr>
        <w:spacing w:line="360" w:lineRule="auto"/>
        <w:ind w:right="333"/>
        <w:jc w:val="both"/>
        <w:rPr>
          <w:rFonts w:ascii="Palatino Linotype" w:hAnsi="Palatino Linotype"/>
          <w:sz w:val="22"/>
        </w:rPr>
      </w:pPr>
      <w:r w:rsidRPr="004D38F7">
        <w:rPr>
          <w:rFonts w:ascii="Palatino Linotype" w:hAnsi="Palatino Linotype"/>
          <w:b/>
          <w:sz w:val="22"/>
        </w:rPr>
        <w:t xml:space="preserve">RESPUESTA 437 CONTRALORIA.pdf: </w:t>
      </w:r>
      <w:r w:rsidRPr="004D38F7">
        <w:rPr>
          <w:rFonts w:ascii="Palatino Linotype" w:hAnsi="Palatino Linotype"/>
          <w:sz w:val="22"/>
        </w:rPr>
        <w:t xml:space="preserve">oficio del Contralor Municipal, mediante el cual ratifica su respuesta inicial. </w:t>
      </w:r>
    </w:p>
    <w:p w14:paraId="21B408A9" w14:textId="77777777" w:rsidR="00852FFB" w:rsidRPr="004D38F7" w:rsidRDefault="00852FFB" w:rsidP="00645B6E">
      <w:pPr>
        <w:pStyle w:val="Prrafodelista"/>
        <w:numPr>
          <w:ilvl w:val="0"/>
          <w:numId w:val="12"/>
        </w:numPr>
        <w:spacing w:line="360" w:lineRule="auto"/>
        <w:ind w:right="333"/>
        <w:jc w:val="both"/>
        <w:rPr>
          <w:rFonts w:ascii="Palatino Linotype" w:hAnsi="Palatino Linotype"/>
          <w:sz w:val="22"/>
        </w:rPr>
      </w:pPr>
      <w:r w:rsidRPr="004D38F7">
        <w:rPr>
          <w:rFonts w:ascii="Palatino Linotype" w:hAnsi="Palatino Linotype"/>
          <w:b/>
          <w:sz w:val="22"/>
        </w:rPr>
        <w:t xml:space="preserve">RESPUESTA 437 FINANZAS.pdf: </w:t>
      </w:r>
      <w:r w:rsidRPr="004D38F7">
        <w:rPr>
          <w:rFonts w:ascii="Palatino Linotype" w:hAnsi="Palatino Linotype"/>
          <w:sz w:val="22"/>
        </w:rPr>
        <w:t xml:space="preserve">oficio del Tesorero Municipal, mediante el cual informa que anexa para consulta directa copias de las facturas pagadas a medios de comunicación durante la administración 2022-2024, reporte de integración de saldos de la comisión de saldos de la Comisión Federal de Electricidad, donde se refleja el adeudo histórico, el Reporte de Endeudamiento Neto, donde refleja </w:t>
      </w:r>
      <w:r w:rsidRPr="004D38F7">
        <w:rPr>
          <w:rFonts w:ascii="Palatino Linotype" w:hAnsi="Palatino Linotype"/>
          <w:sz w:val="22"/>
        </w:rPr>
        <w:lastRenderedPageBreak/>
        <w:t>adeudo a Banco Nacional de Obras y Servicios Públicos SNC e Instituto de Seguridad Social del Estado de México y Municipios, el Estado Analítico de Ingresos y el Estado Analítico del Ejercicio del Presupuesto de Egresos Clasificación Económica  (por tipo de Gasto)</w:t>
      </w:r>
    </w:p>
    <w:p w14:paraId="12BCF7A4" w14:textId="77777777" w:rsidR="00FC7577" w:rsidRPr="004D38F7" w:rsidRDefault="00FC7577" w:rsidP="00FC7577">
      <w:pPr>
        <w:pStyle w:val="Prrafodelista"/>
        <w:rPr>
          <w:rFonts w:ascii="Palatino Linotype" w:hAnsi="Palatino Linotype"/>
        </w:rPr>
      </w:pPr>
    </w:p>
    <w:p w14:paraId="7675038D"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En fecha </w:t>
      </w:r>
      <w:r w:rsidRPr="004D38F7">
        <w:rPr>
          <w:rFonts w:ascii="Palatino Linotype" w:eastAsia="Palatino Linotype" w:hAnsi="Palatino Linotype" w:cs="Palatino Linotype"/>
          <w:b/>
        </w:rPr>
        <w:t>once de octubre del año en curso</w:t>
      </w:r>
      <w:r w:rsidRPr="004D38F7">
        <w:rPr>
          <w:rFonts w:ascii="Palatino Linotype" w:eastAsia="Palatino Linotype" w:hAnsi="Palatino Linotype" w:cs="Palatino Linotype"/>
        </w:rPr>
        <w:t xml:space="preserve">, se amplió el término para resolver el Recurso de Revisión en términos del artículo 133 de la Ley de Protección de Datos Personales en Posesión de Sujetos Obligados del Estado de México y Municipios. </w:t>
      </w:r>
    </w:p>
    <w:p w14:paraId="0216222D" w14:textId="77777777" w:rsidR="001730D5" w:rsidRPr="004D38F7" w:rsidRDefault="001730D5" w:rsidP="001730D5">
      <w:pPr>
        <w:spacing w:line="360" w:lineRule="auto"/>
        <w:jc w:val="both"/>
        <w:rPr>
          <w:rFonts w:ascii="Palatino Linotype" w:eastAsia="Palatino Linotype" w:hAnsi="Palatino Linotype" w:cs="Palatino Linotype"/>
        </w:rPr>
      </w:pPr>
    </w:p>
    <w:p w14:paraId="2629C5D5"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 </w:t>
      </w:r>
    </w:p>
    <w:p w14:paraId="2B9739AD" w14:textId="77777777" w:rsidR="001730D5" w:rsidRPr="004D38F7" w:rsidRDefault="001730D5" w:rsidP="001730D5">
      <w:pPr>
        <w:spacing w:line="360" w:lineRule="auto"/>
        <w:jc w:val="both"/>
        <w:rPr>
          <w:rFonts w:ascii="Palatino Linotype" w:eastAsia="Palatino Linotype" w:hAnsi="Palatino Linotype" w:cs="Palatino Linotype"/>
        </w:rPr>
      </w:pPr>
    </w:p>
    <w:p w14:paraId="638C5C4A"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w:t>
      </w:r>
      <w:r w:rsidRPr="004D38F7">
        <w:rPr>
          <w:rFonts w:ascii="Palatino Linotype" w:hAnsi="Palatino Linotype"/>
        </w:rPr>
        <w:t xml:space="preserve"> </w:t>
      </w:r>
      <w:r w:rsidRPr="004D38F7">
        <w:rPr>
          <w:rFonts w:ascii="Palatino Linotype" w:eastAsia="Palatino Linotype" w:hAnsi="Palatino Linotype" w:cs="Palatino Linotype"/>
        </w:rPr>
        <w:t xml:space="preserve">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1ABD76CD" w14:textId="77777777" w:rsidR="001730D5" w:rsidRPr="004D38F7" w:rsidRDefault="001730D5" w:rsidP="001730D5">
      <w:pPr>
        <w:spacing w:line="360" w:lineRule="auto"/>
        <w:jc w:val="both"/>
        <w:rPr>
          <w:rFonts w:ascii="Palatino Linotype" w:eastAsia="Palatino Linotype" w:hAnsi="Palatino Linotype" w:cs="Palatino Linotype"/>
        </w:rPr>
      </w:pPr>
    </w:p>
    <w:p w14:paraId="718349DF"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54B5E114" w14:textId="77777777" w:rsidR="001730D5" w:rsidRPr="004D38F7" w:rsidRDefault="001730D5" w:rsidP="001730D5">
      <w:pPr>
        <w:pStyle w:val="Prrafodelista"/>
        <w:rPr>
          <w:rFonts w:ascii="Palatino Linotype" w:eastAsia="Palatino Linotype" w:hAnsi="Palatino Linotype" w:cs="Palatino Linotype"/>
        </w:rPr>
      </w:pPr>
    </w:p>
    <w:p w14:paraId="608899D9"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3831503" w14:textId="77777777" w:rsidR="001730D5" w:rsidRPr="004D38F7" w:rsidRDefault="001730D5" w:rsidP="001730D5">
      <w:pPr>
        <w:spacing w:line="360" w:lineRule="auto"/>
        <w:jc w:val="both"/>
        <w:rPr>
          <w:rFonts w:ascii="Palatino Linotype" w:eastAsia="Palatino Linotype" w:hAnsi="Palatino Linotype" w:cs="Palatino Linotype"/>
        </w:rPr>
      </w:pPr>
    </w:p>
    <w:p w14:paraId="06CA059C"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F45EC58" w14:textId="77777777" w:rsidR="001730D5" w:rsidRPr="004D38F7" w:rsidRDefault="001730D5" w:rsidP="004D38F7">
      <w:pPr>
        <w:spacing w:line="360" w:lineRule="auto"/>
        <w:ind w:left="567" w:right="567"/>
        <w:jc w:val="both"/>
        <w:rPr>
          <w:rFonts w:ascii="Palatino Linotype" w:eastAsia="Palatino Linotype" w:hAnsi="Palatino Linotype" w:cs="Palatino Linotype"/>
          <w:sz w:val="22"/>
        </w:rPr>
      </w:pPr>
      <w:r w:rsidRPr="004D38F7">
        <w:rPr>
          <w:rFonts w:ascii="Palatino Linotype" w:eastAsia="Palatino Linotype" w:hAnsi="Palatino Linotype" w:cs="Palatino Linotype"/>
          <w:sz w:val="22"/>
        </w:rPr>
        <w:t xml:space="preserve">a) Complejidad del Asunto: La complejidad de la prueba, la pluralidad de sujetos procesales, el tiempo transcurrido, las características y contexto del recurso. </w:t>
      </w:r>
    </w:p>
    <w:p w14:paraId="0888A811" w14:textId="77777777" w:rsidR="001730D5" w:rsidRPr="004D38F7" w:rsidRDefault="001730D5" w:rsidP="004D38F7">
      <w:pPr>
        <w:spacing w:line="360" w:lineRule="auto"/>
        <w:ind w:left="567" w:right="567"/>
        <w:jc w:val="both"/>
        <w:rPr>
          <w:rFonts w:ascii="Palatino Linotype" w:eastAsia="Palatino Linotype" w:hAnsi="Palatino Linotype" w:cs="Palatino Linotype"/>
          <w:sz w:val="22"/>
        </w:rPr>
      </w:pPr>
      <w:r w:rsidRPr="004D38F7">
        <w:rPr>
          <w:rFonts w:ascii="Palatino Linotype" w:eastAsia="Palatino Linotype" w:hAnsi="Palatino Linotype" w:cs="Palatino Linotype"/>
          <w:sz w:val="22"/>
        </w:rPr>
        <w:t>b) Actividad Procesal del interesado. Acciones u omisiones del interesado.</w:t>
      </w:r>
    </w:p>
    <w:p w14:paraId="7DA43B36" w14:textId="77777777" w:rsidR="001730D5" w:rsidRPr="004D38F7" w:rsidRDefault="001730D5" w:rsidP="004D38F7">
      <w:pPr>
        <w:spacing w:line="360" w:lineRule="auto"/>
        <w:ind w:left="567" w:right="567"/>
        <w:jc w:val="both"/>
        <w:rPr>
          <w:rFonts w:ascii="Palatino Linotype" w:eastAsia="Palatino Linotype" w:hAnsi="Palatino Linotype" w:cs="Palatino Linotype"/>
          <w:sz w:val="22"/>
        </w:rPr>
      </w:pPr>
      <w:r w:rsidRPr="004D38F7">
        <w:rPr>
          <w:rFonts w:ascii="Palatino Linotype" w:eastAsia="Palatino Linotype" w:hAnsi="Palatino Linotype" w:cs="Palatino Linotype"/>
          <w:sz w:val="22"/>
        </w:rPr>
        <w:t xml:space="preserve">c) Conducta de la Autoridad: Las Acciones u omisiones realizadas en el procedimiento. Así como si la autoridad actuó con la debida diligencia. </w:t>
      </w:r>
    </w:p>
    <w:p w14:paraId="208078CF" w14:textId="77777777" w:rsidR="001730D5" w:rsidRPr="004D38F7" w:rsidRDefault="001730D5" w:rsidP="004D38F7">
      <w:pPr>
        <w:spacing w:line="360" w:lineRule="auto"/>
        <w:ind w:left="567" w:right="567"/>
        <w:jc w:val="both"/>
        <w:rPr>
          <w:rFonts w:ascii="Palatino Linotype" w:eastAsia="Palatino Linotype" w:hAnsi="Palatino Linotype" w:cs="Palatino Linotype"/>
          <w:sz w:val="22"/>
        </w:rPr>
      </w:pPr>
      <w:r w:rsidRPr="004D38F7">
        <w:rPr>
          <w:rFonts w:ascii="Palatino Linotype" w:eastAsia="Palatino Linotype" w:hAnsi="Palatino Linotype" w:cs="Palatino Linotype"/>
          <w:sz w:val="22"/>
        </w:rPr>
        <w:t xml:space="preserve">d) La afectación generada en la situación jurídica de la persona involucrada en el proceso: Violación a sus derechos humanos. </w:t>
      </w:r>
    </w:p>
    <w:p w14:paraId="7BA77024" w14:textId="77777777" w:rsidR="001730D5" w:rsidRPr="004D38F7" w:rsidRDefault="001730D5" w:rsidP="001730D5">
      <w:pPr>
        <w:spacing w:line="360" w:lineRule="auto"/>
        <w:jc w:val="both"/>
        <w:rPr>
          <w:rFonts w:ascii="Palatino Linotype" w:eastAsia="Palatino Linotype" w:hAnsi="Palatino Linotype" w:cs="Palatino Linotype"/>
        </w:rPr>
      </w:pPr>
    </w:p>
    <w:p w14:paraId="61861833"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705B57EE" w14:textId="77777777" w:rsidR="001730D5" w:rsidRPr="004D38F7" w:rsidRDefault="001730D5" w:rsidP="001730D5">
      <w:pPr>
        <w:spacing w:line="360" w:lineRule="auto"/>
        <w:jc w:val="both"/>
        <w:rPr>
          <w:rFonts w:ascii="Palatino Linotype" w:eastAsia="Palatino Linotype" w:hAnsi="Palatino Linotype" w:cs="Palatino Linotype"/>
        </w:rPr>
      </w:pPr>
    </w:p>
    <w:p w14:paraId="7B494BE1"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w:t>
      </w:r>
      <w:r w:rsidRPr="004D38F7">
        <w:rPr>
          <w:rFonts w:ascii="Palatino Linotype" w:eastAsia="Palatino Linotype" w:hAnsi="Palatino Linotype" w:cs="Palatino Linotype"/>
        </w:rPr>
        <w:lastRenderedPageBreak/>
        <w:t xml:space="preserve">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45F0F1D8" w14:textId="77777777" w:rsidR="001730D5" w:rsidRPr="004D38F7" w:rsidRDefault="001730D5" w:rsidP="001730D5">
      <w:pPr>
        <w:spacing w:line="360" w:lineRule="auto"/>
        <w:jc w:val="both"/>
        <w:rPr>
          <w:rFonts w:ascii="Palatino Linotype" w:eastAsia="Palatino Linotype" w:hAnsi="Palatino Linotype" w:cs="Palatino Linotype"/>
        </w:rPr>
      </w:pPr>
    </w:p>
    <w:p w14:paraId="477AD617"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w:t>
      </w:r>
      <w:r w:rsidRPr="004D38F7">
        <w:rPr>
          <w:rFonts w:ascii="Palatino Linotype" w:hAnsi="Palatino Linotype"/>
        </w:rPr>
        <w:t xml:space="preserve"> </w:t>
      </w:r>
      <w:r w:rsidRPr="004D38F7">
        <w:rPr>
          <w:rFonts w:ascii="Palatino Linotype" w:eastAsia="Palatino Linotype" w:hAnsi="Palatino Linotype" w:cs="Palatino Linotype"/>
        </w:rPr>
        <w:t xml:space="preserve">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4E741C67" w14:textId="77777777" w:rsidR="001730D5" w:rsidRPr="004D38F7" w:rsidRDefault="001730D5" w:rsidP="001730D5">
      <w:pPr>
        <w:spacing w:line="360" w:lineRule="auto"/>
        <w:jc w:val="both"/>
        <w:rPr>
          <w:rFonts w:ascii="Palatino Linotype" w:eastAsia="Palatino Linotype" w:hAnsi="Palatino Linotype" w:cs="Palatino Linotype"/>
        </w:rPr>
      </w:pPr>
    </w:p>
    <w:p w14:paraId="57727269"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p>
    <w:p w14:paraId="5C9BFB90" w14:textId="77777777" w:rsidR="001730D5" w:rsidRPr="004D38F7" w:rsidRDefault="001730D5" w:rsidP="001730D5">
      <w:pPr>
        <w:spacing w:line="276" w:lineRule="auto"/>
        <w:ind w:left="567" w:right="616"/>
        <w:jc w:val="both"/>
        <w:rPr>
          <w:rFonts w:ascii="Palatino Linotype" w:eastAsia="Palatino Linotype" w:hAnsi="Palatino Linotype" w:cs="Palatino Linotype"/>
          <w:i/>
          <w:sz w:val="22"/>
        </w:rPr>
      </w:pPr>
      <w:r w:rsidRPr="004D38F7">
        <w:rPr>
          <w:rFonts w:ascii="Palatino Linotype" w:eastAsia="Palatino Linotype" w:hAnsi="Palatino Linotype" w:cs="Palatino Linotype"/>
          <w:i/>
        </w:rPr>
        <w:t>“</w:t>
      </w:r>
      <w:r w:rsidRPr="004D38F7">
        <w:rPr>
          <w:rFonts w:ascii="Palatino Linotype" w:eastAsia="Palatino Linotype" w:hAnsi="Palatino Linotype" w:cs="Palatino Linotype"/>
          <w:i/>
          <w:sz w:val="22"/>
        </w:rPr>
        <w:t xml:space="preserve">PLAZO RAZONABLE PARA RESOLVER. DIMENSIÓN Y EFECTOS DE ESTE CONCEPTO CUANDO SE ADUCE EXCESIVA CARGA DE TRABAJO.” consultable en el Seminario Judicial de la Federación y su gaceta, con el registro digital 2002351. </w:t>
      </w:r>
    </w:p>
    <w:p w14:paraId="670E9FD9" w14:textId="77777777" w:rsidR="001730D5" w:rsidRPr="004D38F7" w:rsidRDefault="001730D5" w:rsidP="001730D5">
      <w:pPr>
        <w:spacing w:line="276" w:lineRule="auto"/>
        <w:ind w:left="567" w:right="616"/>
        <w:jc w:val="both"/>
        <w:rPr>
          <w:rFonts w:ascii="Palatino Linotype" w:eastAsia="Palatino Linotype" w:hAnsi="Palatino Linotype" w:cs="Palatino Linotype"/>
          <w:i/>
          <w:sz w:val="22"/>
        </w:rPr>
      </w:pPr>
    </w:p>
    <w:p w14:paraId="37172E2F" w14:textId="77777777" w:rsidR="001730D5" w:rsidRPr="004D38F7" w:rsidRDefault="001730D5" w:rsidP="001730D5">
      <w:pPr>
        <w:spacing w:line="276" w:lineRule="auto"/>
        <w:ind w:left="567" w:right="616"/>
        <w:jc w:val="both"/>
        <w:rPr>
          <w:rFonts w:ascii="Palatino Linotype" w:eastAsia="Palatino Linotype" w:hAnsi="Palatino Linotype" w:cs="Palatino Linotype"/>
          <w:i/>
          <w:sz w:val="22"/>
        </w:rPr>
      </w:pPr>
      <w:r w:rsidRPr="004D38F7">
        <w:rPr>
          <w:rFonts w:ascii="Palatino Linotype" w:eastAsia="Palatino Linotype" w:hAnsi="Palatino Linotype" w:cs="Palatino Linotype"/>
          <w:i/>
          <w:sz w:val="22"/>
        </w:rPr>
        <w:t xml:space="preserve">“PLAZO RAZONABLE PARA RESOLVER. CONCEPTO Y ELEMENTOS QUE LO INTEGRAN A LA LUZ DEL DERECHO INTERNACIONAL DE LOS DERECHOS HUMANOS.”, visible en el Seminario Judicial de la Federación y su gaceta, con el registro digital 2002350. </w:t>
      </w:r>
    </w:p>
    <w:p w14:paraId="0F539F90" w14:textId="77777777" w:rsidR="001730D5" w:rsidRPr="004D38F7" w:rsidRDefault="001730D5" w:rsidP="001730D5">
      <w:pPr>
        <w:spacing w:line="360" w:lineRule="auto"/>
        <w:jc w:val="both"/>
        <w:rPr>
          <w:rFonts w:ascii="Palatino Linotype" w:eastAsia="Palatino Linotype" w:hAnsi="Palatino Linotype" w:cs="Palatino Linotype"/>
        </w:rPr>
      </w:pPr>
    </w:p>
    <w:p w14:paraId="161D0CAA" w14:textId="77777777" w:rsidR="001730D5" w:rsidRPr="004D38F7" w:rsidRDefault="001730D5" w:rsidP="001730D5">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lastRenderedPageBreak/>
        <w:t xml:space="preserve">Por ello, este Organismo Garante comprometido con la tutela de los derechos humanos confiados, señala que este exceso del plazo legal para resolver el presente asunto, resulta de carácter excepcional. </w:t>
      </w:r>
    </w:p>
    <w:p w14:paraId="737B95D2" w14:textId="77777777" w:rsidR="001730D5" w:rsidRPr="004D38F7" w:rsidRDefault="001730D5" w:rsidP="001730D5">
      <w:pPr>
        <w:pStyle w:val="Prrafodelista"/>
        <w:spacing w:line="360" w:lineRule="auto"/>
        <w:ind w:left="0"/>
        <w:jc w:val="both"/>
        <w:rPr>
          <w:rFonts w:ascii="Palatino Linotype" w:hAnsi="Palatino Linotype"/>
          <w:b/>
          <w:color w:val="000000" w:themeColor="text1"/>
        </w:rPr>
      </w:pPr>
    </w:p>
    <w:p w14:paraId="672F7EBD"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b/>
          <w:color w:val="000000" w:themeColor="text1"/>
        </w:rPr>
      </w:pPr>
      <w:r w:rsidRPr="004D38F7">
        <w:rPr>
          <w:rFonts w:ascii="Palatino Linotype" w:hAnsi="Palatino Linotype"/>
        </w:rPr>
        <w:t xml:space="preserve">En fecha </w:t>
      </w:r>
      <w:r w:rsidRPr="004D38F7">
        <w:rPr>
          <w:rFonts w:ascii="Palatino Linotype" w:hAnsi="Palatino Linotype"/>
          <w:b/>
          <w:color w:val="000000" w:themeColor="text1"/>
        </w:rPr>
        <w:t xml:space="preserve">diecinueve de septiembre </w:t>
      </w:r>
      <w:r w:rsidRPr="004D38F7">
        <w:rPr>
          <w:rFonts w:ascii="Palatino Linotype" w:hAnsi="Palatino Linotype"/>
          <w:b/>
        </w:rPr>
        <w:t>de dos mil veinticuatro</w:t>
      </w:r>
      <w:r w:rsidRPr="004D38F7">
        <w:rPr>
          <w:rFonts w:ascii="Palatino Linotype" w:hAnsi="Palatino Linotype"/>
        </w:rPr>
        <w:t xml:space="preserve">, </w:t>
      </w:r>
      <w:bookmarkStart w:id="133" w:name="_Toc491791302"/>
      <w:bookmarkStart w:id="134" w:name="_Toc83128578"/>
      <w:r w:rsidRPr="004D38F7">
        <w:rPr>
          <w:rFonts w:ascii="Palatino Linotype" w:hAnsi="Palatino Linotype"/>
        </w:rPr>
        <w:t xml:space="preserve">la Comisionada Ponente dictó el cierre del periodo de </w:t>
      </w:r>
      <w:r w:rsidRPr="004D38F7">
        <w:rPr>
          <w:rFonts w:ascii="Palatino Linotype" w:hAnsi="Palatino Linotype"/>
          <w:color w:val="000000" w:themeColor="text1"/>
        </w:rPr>
        <w:t>instrucción</w:t>
      </w:r>
      <w:r w:rsidRPr="004D38F7">
        <w:rPr>
          <w:rFonts w:ascii="Palatino Linotype" w:hAnsi="Palatino Linotype"/>
        </w:rPr>
        <w:t xml:space="preserve"> y, ordenó la resolución que conforme a Derecho proceda, de acuerdo a las siguientes:</w:t>
      </w:r>
    </w:p>
    <w:p w14:paraId="241E16C4" w14:textId="77777777" w:rsidR="00FC7577" w:rsidRPr="004D38F7" w:rsidRDefault="00FC7577" w:rsidP="00FC7577">
      <w:pPr>
        <w:pStyle w:val="Prrafodelista"/>
        <w:spacing w:line="360" w:lineRule="auto"/>
        <w:ind w:left="0"/>
        <w:jc w:val="center"/>
        <w:rPr>
          <w:rFonts w:ascii="Palatino Linotype" w:hAnsi="Palatino Linotype"/>
          <w:b/>
          <w:color w:val="000000" w:themeColor="text1"/>
        </w:rPr>
      </w:pPr>
    </w:p>
    <w:p w14:paraId="315C2B94" w14:textId="77777777" w:rsidR="00FC7577" w:rsidRDefault="00FC7577" w:rsidP="00FC7577">
      <w:pPr>
        <w:pStyle w:val="Prrafodelista"/>
        <w:spacing w:line="360" w:lineRule="auto"/>
        <w:ind w:left="0"/>
        <w:jc w:val="center"/>
        <w:rPr>
          <w:rFonts w:ascii="Palatino Linotype" w:hAnsi="Palatino Linotype"/>
          <w:b/>
          <w:color w:val="000000" w:themeColor="text1"/>
        </w:rPr>
      </w:pPr>
      <w:r w:rsidRPr="004D38F7">
        <w:rPr>
          <w:rFonts w:ascii="Palatino Linotype" w:hAnsi="Palatino Linotype"/>
          <w:b/>
          <w:color w:val="000000" w:themeColor="text1"/>
        </w:rPr>
        <w:t>C O N S I D E R A</w:t>
      </w:r>
      <w:bookmarkEnd w:id="133"/>
      <w:bookmarkEnd w:id="134"/>
      <w:r w:rsidRPr="004D38F7">
        <w:rPr>
          <w:rFonts w:ascii="Palatino Linotype" w:hAnsi="Palatino Linotype"/>
          <w:b/>
          <w:color w:val="000000" w:themeColor="text1"/>
        </w:rPr>
        <w:t xml:space="preserve"> C I O N E S</w:t>
      </w:r>
    </w:p>
    <w:p w14:paraId="3800A675" w14:textId="77777777" w:rsidR="004D38F7" w:rsidRPr="004D38F7" w:rsidRDefault="004D38F7" w:rsidP="00FC7577">
      <w:pPr>
        <w:pStyle w:val="Prrafodelista"/>
        <w:spacing w:line="360" w:lineRule="auto"/>
        <w:ind w:left="0"/>
        <w:jc w:val="center"/>
        <w:rPr>
          <w:rFonts w:ascii="Palatino Linotype" w:hAnsi="Palatino Linotype"/>
          <w:b/>
          <w:color w:val="000000" w:themeColor="text1"/>
        </w:rPr>
      </w:pPr>
    </w:p>
    <w:p w14:paraId="0BFE9A3E" w14:textId="77777777" w:rsidR="00FC7577" w:rsidRPr="004D38F7" w:rsidRDefault="00FC7577" w:rsidP="00FC7577">
      <w:pPr>
        <w:pStyle w:val="Ttulo2"/>
        <w:spacing w:before="0" w:line="360" w:lineRule="auto"/>
        <w:rPr>
          <w:rFonts w:ascii="Palatino Linotype" w:hAnsi="Palatino Linotype"/>
          <w:b/>
          <w:color w:val="auto"/>
          <w:sz w:val="24"/>
          <w:szCs w:val="24"/>
        </w:rPr>
      </w:pPr>
      <w:bookmarkStart w:id="135" w:name="_Toc491791303"/>
      <w:bookmarkStart w:id="136" w:name="_Toc83128579"/>
      <w:r w:rsidRPr="004D38F7">
        <w:rPr>
          <w:rFonts w:ascii="Palatino Linotype" w:hAnsi="Palatino Linotype"/>
          <w:b/>
          <w:color w:val="auto"/>
          <w:sz w:val="24"/>
          <w:szCs w:val="24"/>
        </w:rPr>
        <w:t>PRIMERA. Competencia</w:t>
      </w:r>
      <w:bookmarkEnd w:id="135"/>
      <w:bookmarkEnd w:id="136"/>
    </w:p>
    <w:p w14:paraId="416FF7CB"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cs="Tahoma"/>
        </w:rPr>
      </w:pPr>
      <w:r w:rsidRPr="004D38F7">
        <w:rPr>
          <w:rFonts w:ascii="Palatino Linotype" w:hAnsi="Palatino Linotype" w:cs="Tahoma"/>
        </w:rPr>
        <w:t xml:space="preserve">El Instituto de Transparencia, Acceso a la Información Pública y Protección de Datos Personales del </w:t>
      </w:r>
      <w:r w:rsidRPr="004D38F7">
        <w:rPr>
          <w:rFonts w:ascii="Palatino Linotype" w:hAnsi="Palatino Linotype"/>
        </w:rPr>
        <w:t>Estado</w:t>
      </w:r>
      <w:r w:rsidRPr="004D38F7">
        <w:rPr>
          <w:rFonts w:ascii="Palatino Linotype" w:hAnsi="Palatino Linotype" w:cs="Tahoma"/>
        </w:rPr>
        <w:t xml:space="preserve">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81F438" w14:textId="77777777" w:rsidR="00FC7577" w:rsidRPr="004D38F7" w:rsidRDefault="00FC7577" w:rsidP="00FC7577">
      <w:pPr>
        <w:pStyle w:val="Prrafodelista"/>
        <w:spacing w:line="360" w:lineRule="auto"/>
        <w:ind w:left="0"/>
        <w:jc w:val="both"/>
        <w:rPr>
          <w:rFonts w:ascii="Palatino Linotype" w:eastAsia="Calibri" w:hAnsi="Palatino Linotype" w:cs="Times New Roman"/>
          <w:b/>
          <w:lang w:val="es-ES"/>
        </w:rPr>
      </w:pPr>
    </w:p>
    <w:p w14:paraId="37830181" w14:textId="77777777" w:rsidR="00FC7577" w:rsidRPr="004D38F7" w:rsidRDefault="00FC7577" w:rsidP="00FC7577">
      <w:pPr>
        <w:pStyle w:val="Ttulo2"/>
        <w:spacing w:before="0" w:line="360" w:lineRule="auto"/>
        <w:rPr>
          <w:rFonts w:ascii="Palatino Linotype" w:hAnsi="Palatino Linotype"/>
          <w:b/>
          <w:color w:val="auto"/>
          <w:sz w:val="24"/>
          <w:szCs w:val="24"/>
        </w:rPr>
      </w:pPr>
      <w:bookmarkStart w:id="137" w:name="_Toc491791304"/>
      <w:bookmarkStart w:id="138" w:name="_Toc83128580"/>
      <w:r w:rsidRPr="004D38F7">
        <w:rPr>
          <w:rFonts w:ascii="Palatino Linotype" w:hAnsi="Palatino Linotype"/>
          <w:b/>
          <w:color w:val="auto"/>
          <w:sz w:val="24"/>
          <w:szCs w:val="24"/>
        </w:rPr>
        <w:lastRenderedPageBreak/>
        <w:t>SEGUNDA. Procedencia.</w:t>
      </w:r>
      <w:bookmarkEnd w:id="137"/>
      <w:bookmarkEnd w:id="138"/>
    </w:p>
    <w:p w14:paraId="37DD80C3" w14:textId="77777777" w:rsidR="00FC7577" w:rsidRPr="004D38F7" w:rsidRDefault="00FC7577" w:rsidP="00FC7577">
      <w:pPr>
        <w:numPr>
          <w:ilvl w:val="0"/>
          <w:numId w:val="1"/>
        </w:numPr>
        <w:spacing w:line="360" w:lineRule="auto"/>
        <w:ind w:left="0" w:firstLine="0"/>
        <w:contextualSpacing/>
        <w:jc w:val="both"/>
        <w:rPr>
          <w:rFonts w:ascii="Palatino Linotype" w:hAnsi="Palatino Linotype"/>
        </w:rPr>
      </w:pPr>
      <w:r w:rsidRPr="004D38F7">
        <w:rPr>
          <w:rFonts w:ascii="Palatino Linotype" w:eastAsia="Calibri" w:hAnsi="Palatino Linotype" w:cs="Arial"/>
        </w:rPr>
        <w:t xml:space="preserve">Este Órgano Garante considera que el medio de impugnación reúne los requisitos de procedencia </w:t>
      </w:r>
      <w:r w:rsidRPr="004D38F7">
        <w:rPr>
          <w:rFonts w:ascii="Palatino Linotype" w:eastAsia="Calibri" w:hAnsi="Palatino Linotype" w:cs="Tahoma"/>
          <w:color w:val="000000"/>
          <w:lang w:eastAsia="es-MX"/>
        </w:rPr>
        <w:t>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14:paraId="47A19CF2" w14:textId="77777777" w:rsidR="00FC7577" w:rsidRPr="004D38F7" w:rsidRDefault="00FC7577" w:rsidP="00FC7577">
      <w:pPr>
        <w:spacing w:line="360" w:lineRule="auto"/>
        <w:contextualSpacing/>
        <w:jc w:val="both"/>
        <w:rPr>
          <w:rFonts w:ascii="Palatino Linotype" w:hAnsi="Palatino Linotype"/>
        </w:rPr>
      </w:pPr>
    </w:p>
    <w:p w14:paraId="1E0EBD2B" w14:textId="77777777" w:rsidR="00FC7577" w:rsidRPr="004D38F7" w:rsidRDefault="00FC7577" w:rsidP="00FC7577">
      <w:pPr>
        <w:numPr>
          <w:ilvl w:val="0"/>
          <w:numId w:val="1"/>
        </w:numPr>
        <w:spacing w:line="360" w:lineRule="auto"/>
        <w:ind w:left="0" w:firstLine="0"/>
        <w:contextualSpacing/>
        <w:jc w:val="both"/>
        <w:rPr>
          <w:rFonts w:ascii="Palatino Linotype" w:eastAsia="Calibri" w:hAnsi="Palatino Linotype" w:cs="Arial"/>
        </w:rPr>
      </w:pPr>
      <w:r w:rsidRPr="004D38F7">
        <w:rPr>
          <w:rFonts w:ascii="Palatino Linotype" w:eastAsia="Calibri" w:hAnsi="Palatino Linotype" w:cs="Arial"/>
        </w:rPr>
        <w:t>Por otro lado, el escrito contiene las formalidades previstas por el artículo 180 último párrafo de la citada Ley de la materia, por lo que es procedente que este Instituto conozca y resuelva el presente recurso.</w:t>
      </w:r>
    </w:p>
    <w:p w14:paraId="367BD883" w14:textId="77777777" w:rsidR="00FC7577" w:rsidRPr="004D38F7" w:rsidRDefault="00FC7577" w:rsidP="00FC7577">
      <w:pPr>
        <w:pStyle w:val="Prrafodelista"/>
        <w:spacing w:line="360" w:lineRule="auto"/>
        <w:ind w:left="0"/>
        <w:rPr>
          <w:rFonts w:ascii="Palatino Linotype" w:eastAsia="Calibri" w:hAnsi="Palatino Linotype" w:cs="Arial"/>
        </w:rPr>
      </w:pPr>
    </w:p>
    <w:p w14:paraId="482DF4C7" w14:textId="77777777" w:rsidR="00FC7577" w:rsidRPr="004D38F7" w:rsidRDefault="00FC7577" w:rsidP="00FC7577">
      <w:pPr>
        <w:pStyle w:val="Ttulo1"/>
        <w:spacing w:before="0" w:line="360" w:lineRule="auto"/>
        <w:rPr>
          <w:rFonts w:ascii="Palatino Linotype" w:hAnsi="Palatino Linotype"/>
          <w:b/>
          <w:color w:val="000000" w:themeColor="text1"/>
          <w:sz w:val="24"/>
          <w:szCs w:val="24"/>
        </w:rPr>
      </w:pPr>
      <w:bookmarkStart w:id="139" w:name="_Toc66998086"/>
      <w:bookmarkStart w:id="140" w:name="_Toc70526130"/>
      <w:r w:rsidRPr="004D38F7">
        <w:rPr>
          <w:rFonts w:ascii="Palatino Linotype" w:hAnsi="Palatino Linotype"/>
          <w:b/>
          <w:color w:val="auto"/>
          <w:sz w:val="24"/>
          <w:szCs w:val="24"/>
        </w:rPr>
        <w:t>TERCERA.</w:t>
      </w:r>
      <w:bookmarkStart w:id="141" w:name="_Toc34246179"/>
      <w:bookmarkStart w:id="142" w:name="_Toc50033991"/>
      <w:bookmarkStart w:id="143" w:name="_Toc51259588"/>
      <w:bookmarkStart w:id="144" w:name="_Toc83128581"/>
      <w:bookmarkStart w:id="145" w:name="_Toc501021589"/>
      <w:bookmarkEnd w:id="139"/>
      <w:bookmarkEnd w:id="140"/>
      <w:r w:rsidRPr="004D38F7">
        <w:rPr>
          <w:rFonts w:ascii="Palatino Linotype" w:hAnsi="Palatino Linotype"/>
          <w:b/>
          <w:color w:val="auto"/>
          <w:sz w:val="24"/>
          <w:szCs w:val="24"/>
        </w:rPr>
        <w:t xml:space="preserve"> </w:t>
      </w:r>
      <w:r w:rsidRPr="004D38F7">
        <w:rPr>
          <w:rFonts w:ascii="Palatino Linotype" w:hAnsi="Palatino Linotype"/>
          <w:b/>
          <w:color w:val="000000" w:themeColor="text1"/>
          <w:sz w:val="24"/>
          <w:szCs w:val="24"/>
        </w:rPr>
        <w:t>Descripción de hechos y planteamiento de la controversia.</w:t>
      </w:r>
      <w:bookmarkEnd w:id="141"/>
      <w:bookmarkEnd w:id="142"/>
      <w:bookmarkEnd w:id="143"/>
      <w:bookmarkEnd w:id="144"/>
      <w:bookmarkEnd w:id="145"/>
    </w:p>
    <w:p w14:paraId="2614524F" w14:textId="77777777" w:rsidR="00FC7577" w:rsidRPr="004D38F7" w:rsidRDefault="00FC7577" w:rsidP="00FC7577">
      <w:pPr>
        <w:pStyle w:val="Prrafodelista"/>
        <w:numPr>
          <w:ilvl w:val="0"/>
          <w:numId w:val="1"/>
        </w:numPr>
        <w:spacing w:line="360" w:lineRule="auto"/>
        <w:ind w:left="0" w:firstLine="0"/>
        <w:jc w:val="both"/>
        <w:rPr>
          <w:rFonts w:ascii="Palatino Linotype" w:hAnsi="Palatino Linotype" w:cs="Arial"/>
        </w:rPr>
      </w:pPr>
      <w:r w:rsidRPr="004D38F7">
        <w:rPr>
          <w:rFonts w:ascii="Palatino Linotype" w:hAnsi="Palatino Linotype" w:cs="Arial"/>
        </w:rPr>
        <w:t xml:space="preserve">Se </w:t>
      </w:r>
      <w:r w:rsidRPr="004D38F7">
        <w:rPr>
          <w:rFonts w:ascii="Palatino Linotype" w:eastAsia="Calibri" w:hAnsi="Palatino Linotype" w:cs="Arial"/>
        </w:rPr>
        <w:t>solicitó</w:t>
      </w:r>
      <w:r w:rsidRPr="004D38F7">
        <w:rPr>
          <w:rFonts w:ascii="Palatino Linotype" w:hAnsi="Palatino Linotype" w:cs="Arial"/>
        </w:rPr>
        <w:t xml:space="preserve"> tener acceso, a la información que a continuación se simplifica:</w:t>
      </w:r>
    </w:p>
    <w:p w14:paraId="74A65645" w14:textId="77777777" w:rsidR="001730D5" w:rsidRPr="004D38F7" w:rsidRDefault="001730D5"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Facturas pagadas a medios de comunicación durante la administración 2022-2024</w:t>
      </w:r>
    </w:p>
    <w:p w14:paraId="2C489066" w14:textId="77777777" w:rsidR="001730D5" w:rsidRPr="004D38F7" w:rsidRDefault="001730D5"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Directorio completo del personal actual del Ayuntamiento</w:t>
      </w:r>
    </w:p>
    <w:p w14:paraId="76D8724B" w14:textId="77777777" w:rsidR="001730D5" w:rsidRPr="004D38F7" w:rsidRDefault="001730D5"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Nómina completa del Ayuntamiento</w:t>
      </w:r>
    </w:p>
    <w:p w14:paraId="68A58DE5" w14:textId="77777777" w:rsidR="001730D5" w:rsidRPr="004D38F7" w:rsidRDefault="001730D5"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Antigüedad de los servidores públicos del Ayuntamiento</w:t>
      </w:r>
    </w:p>
    <w:p w14:paraId="324184B3" w14:textId="77777777" w:rsidR="00634104" w:rsidRPr="004D38F7" w:rsidRDefault="001730D5"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 xml:space="preserve">Monto de adeudos a CAEM, Luz y Fuerza del Centro (compañía de luz), ISSEMYM </w:t>
      </w:r>
      <w:r w:rsidR="00634104" w:rsidRPr="004D38F7">
        <w:rPr>
          <w:rFonts w:ascii="Palatino Linotype" w:hAnsi="Palatino Linotype"/>
          <w:b/>
          <w:sz w:val="22"/>
        </w:rPr>
        <w:t>o</w:t>
      </w:r>
      <w:r w:rsidRPr="004D38F7">
        <w:rPr>
          <w:rFonts w:ascii="Palatino Linotype" w:hAnsi="Palatino Linotype"/>
          <w:b/>
          <w:sz w:val="22"/>
        </w:rPr>
        <w:t xml:space="preserve"> cualquier otra </w:t>
      </w:r>
      <w:r w:rsidR="00634104" w:rsidRPr="004D38F7">
        <w:rPr>
          <w:rFonts w:ascii="Palatino Linotype" w:hAnsi="Palatino Linotype"/>
          <w:b/>
          <w:sz w:val="22"/>
        </w:rPr>
        <w:t>empresa</w:t>
      </w:r>
      <w:r w:rsidRPr="004D38F7">
        <w:rPr>
          <w:rFonts w:ascii="Palatino Linotype" w:hAnsi="Palatino Linotype"/>
          <w:b/>
          <w:sz w:val="22"/>
        </w:rPr>
        <w:t xml:space="preserve"> que haya prestado sus servicios al </w:t>
      </w:r>
      <w:r w:rsidR="00634104" w:rsidRPr="004D38F7">
        <w:rPr>
          <w:rFonts w:ascii="Palatino Linotype" w:hAnsi="Palatino Linotype"/>
          <w:b/>
          <w:sz w:val="22"/>
        </w:rPr>
        <w:t>Ayuntamiento</w:t>
      </w:r>
    </w:p>
    <w:p w14:paraId="168CA032" w14:textId="77777777" w:rsidR="00634104"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D</w:t>
      </w:r>
      <w:r w:rsidR="001730D5" w:rsidRPr="004D38F7">
        <w:rPr>
          <w:rFonts w:ascii="Palatino Linotype" w:hAnsi="Palatino Linotype"/>
          <w:b/>
          <w:sz w:val="22"/>
        </w:rPr>
        <w:t xml:space="preserve">enuncias actualmente en mesa de responsabilidades en contra de las actuales autoridades municipales o servidores </w:t>
      </w:r>
      <w:r w:rsidRPr="004D38F7">
        <w:rPr>
          <w:rFonts w:ascii="Palatino Linotype" w:hAnsi="Palatino Linotype"/>
          <w:b/>
          <w:sz w:val="22"/>
        </w:rPr>
        <w:t>públicos</w:t>
      </w:r>
      <w:r w:rsidR="001730D5" w:rsidRPr="004D38F7">
        <w:rPr>
          <w:rFonts w:ascii="Palatino Linotype" w:hAnsi="Palatino Linotype"/>
          <w:b/>
          <w:sz w:val="22"/>
        </w:rPr>
        <w:t xml:space="preserve"> del </w:t>
      </w:r>
      <w:r w:rsidRPr="004D38F7">
        <w:rPr>
          <w:rFonts w:ascii="Palatino Linotype" w:hAnsi="Palatino Linotype"/>
          <w:b/>
          <w:sz w:val="22"/>
        </w:rPr>
        <w:t>A</w:t>
      </w:r>
      <w:r w:rsidR="001730D5" w:rsidRPr="004D38F7">
        <w:rPr>
          <w:rFonts w:ascii="Palatino Linotype" w:hAnsi="Palatino Linotype"/>
          <w:b/>
          <w:sz w:val="22"/>
        </w:rPr>
        <w:t>yuntamiento.</w:t>
      </w:r>
    </w:p>
    <w:p w14:paraId="2BEA577C" w14:textId="77777777" w:rsidR="00634104"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R</w:t>
      </w:r>
      <w:r w:rsidR="001730D5" w:rsidRPr="004D38F7">
        <w:rPr>
          <w:rFonts w:ascii="Palatino Linotype" w:hAnsi="Palatino Linotype"/>
          <w:b/>
          <w:sz w:val="22"/>
        </w:rPr>
        <w:t>esultados de las auditor</w:t>
      </w:r>
      <w:r w:rsidRPr="004D38F7">
        <w:rPr>
          <w:rFonts w:ascii="Palatino Linotype" w:hAnsi="Palatino Linotype"/>
          <w:b/>
          <w:sz w:val="22"/>
        </w:rPr>
        <w:t>ías realizadas al Ayuntamiento;</w:t>
      </w:r>
    </w:p>
    <w:p w14:paraId="582B0829" w14:textId="77777777" w:rsidR="00634104"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D</w:t>
      </w:r>
      <w:r w:rsidR="001730D5" w:rsidRPr="004D38F7">
        <w:rPr>
          <w:rFonts w:ascii="Palatino Linotype" w:hAnsi="Palatino Linotype"/>
          <w:b/>
          <w:sz w:val="22"/>
        </w:rPr>
        <w:t xml:space="preserve">enuncias y quejas realizadas dentro de </w:t>
      </w:r>
      <w:r w:rsidRPr="004D38F7">
        <w:rPr>
          <w:rFonts w:ascii="Palatino Linotype" w:hAnsi="Palatino Linotype"/>
          <w:b/>
          <w:sz w:val="22"/>
        </w:rPr>
        <w:t>Contraloría I</w:t>
      </w:r>
      <w:r w:rsidR="001730D5" w:rsidRPr="004D38F7">
        <w:rPr>
          <w:rFonts w:ascii="Palatino Linotype" w:hAnsi="Palatino Linotype"/>
          <w:b/>
          <w:sz w:val="22"/>
        </w:rPr>
        <w:t>nterna del Ayunta</w:t>
      </w:r>
      <w:r w:rsidRPr="004D38F7">
        <w:rPr>
          <w:rFonts w:ascii="Palatino Linotype" w:hAnsi="Palatino Linotype"/>
          <w:b/>
          <w:sz w:val="22"/>
        </w:rPr>
        <w:t>miento</w:t>
      </w:r>
    </w:p>
    <w:p w14:paraId="05E4FE1D" w14:textId="77777777" w:rsidR="00634104"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lastRenderedPageBreak/>
        <w:t>Monto al que</w:t>
      </w:r>
      <w:r w:rsidR="001730D5" w:rsidRPr="004D38F7">
        <w:rPr>
          <w:rFonts w:ascii="Palatino Linotype" w:hAnsi="Palatino Linotype"/>
          <w:b/>
          <w:sz w:val="22"/>
        </w:rPr>
        <w:t xml:space="preserve"> ascienden los ingresos y egresos netos de Ayuntamiento de a enero a agosto 2023</w:t>
      </w:r>
    </w:p>
    <w:p w14:paraId="3CF5639F" w14:textId="77777777" w:rsidR="00634104"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Adeudos</w:t>
      </w:r>
      <w:r w:rsidR="001730D5" w:rsidRPr="004D38F7">
        <w:rPr>
          <w:rFonts w:ascii="Palatino Linotype" w:hAnsi="Palatino Linotype"/>
          <w:b/>
          <w:sz w:val="22"/>
        </w:rPr>
        <w:t xml:space="preserve"> por sueldos o nomina no pagada a los trabajadores del </w:t>
      </w:r>
      <w:r w:rsidRPr="004D38F7">
        <w:rPr>
          <w:rFonts w:ascii="Palatino Linotype" w:hAnsi="Palatino Linotype"/>
          <w:b/>
          <w:sz w:val="22"/>
        </w:rPr>
        <w:t>A</w:t>
      </w:r>
      <w:r w:rsidR="001730D5" w:rsidRPr="004D38F7">
        <w:rPr>
          <w:rFonts w:ascii="Palatino Linotype" w:hAnsi="Palatino Linotype"/>
          <w:b/>
          <w:sz w:val="22"/>
        </w:rPr>
        <w:t>yuntamiento</w:t>
      </w:r>
      <w:r w:rsidRPr="004D38F7">
        <w:rPr>
          <w:rFonts w:ascii="Palatino Linotype" w:hAnsi="Palatino Linotype"/>
          <w:b/>
          <w:sz w:val="22"/>
        </w:rPr>
        <w:t xml:space="preserve"> y los nombres de los servidores públicos</w:t>
      </w:r>
    </w:p>
    <w:p w14:paraId="2CFB905F" w14:textId="77777777" w:rsidR="00FC7577" w:rsidRPr="004D38F7" w:rsidRDefault="00634104" w:rsidP="004D38F7">
      <w:pPr>
        <w:pStyle w:val="Prrafodelista"/>
        <w:numPr>
          <w:ilvl w:val="0"/>
          <w:numId w:val="2"/>
        </w:numPr>
        <w:spacing w:line="360" w:lineRule="auto"/>
        <w:ind w:right="567"/>
        <w:jc w:val="both"/>
        <w:rPr>
          <w:rFonts w:ascii="Palatino Linotype" w:hAnsi="Palatino Linotype" w:cs="Arial"/>
          <w:b/>
          <w:color w:val="000000" w:themeColor="text1"/>
          <w:sz w:val="22"/>
        </w:rPr>
      </w:pPr>
      <w:r w:rsidRPr="004D38F7">
        <w:rPr>
          <w:rFonts w:ascii="Palatino Linotype" w:hAnsi="Palatino Linotype"/>
          <w:b/>
          <w:sz w:val="22"/>
        </w:rPr>
        <w:t>N</w:t>
      </w:r>
      <w:r w:rsidR="001730D5" w:rsidRPr="004D38F7">
        <w:rPr>
          <w:rFonts w:ascii="Palatino Linotype" w:hAnsi="Palatino Linotype"/>
          <w:b/>
          <w:sz w:val="22"/>
        </w:rPr>
        <w:t xml:space="preserve">ombre y cargo del personal dado de baja y </w:t>
      </w:r>
      <w:r w:rsidRPr="004D38F7">
        <w:rPr>
          <w:rFonts w:ascii="Palatino Linotype" w:hAnsi="Palatino Linotype"/>
          <w:b/>
          <w:sz w:val="22"/>
        </w:rPr>
        <w:t>las</w:t>
      </w:r>
      <w:r w:rsidR="001730D5" w:rsidRPr="004D38F7">
        <w:rPr>
          <w:rFonts w:ascii="Palatino Linotype" w:hAnsi="Palatino Linotype"/>
          <w:b/>
          <w:sz w:val="22"/>
        </w:rPr>
        <w:t xml:space="preserve"> causas dentro de</w:t>
      </w:r>
      <w:r w:rsidRPr="004D38F7">
        <w:rPr>
          <w:rFonts w:ascii="Palatino Linotype" w:hAnsi="Palatino Linotype"/>
          <w:b/>
          <w:sz w:val="22"/>
        </w:rPr>
        <w:t xml:space="preserve"> </w:t>
      </w:r>
      <w:r w:rsidR="001730D5" w:rsidRPr="004D38F7">
        <w:rPr>
          <w:rFonts w:ascii="Palatino Linotype" w:hAnsi="Palatino Linotype"/>
          <w:b/>
          <w:sz w:val="22"/>
        </w:rPr>
        <w:t>l</w:t>
      </w:r>
      <w:r w:rsidRPr="004D38F7">
        <w:rPr>
          <w:rFonts w:ascii="Palatino Linotype" w:hAnsi="Palatino Linotype"/>
          <w:b/>
          <w:sz w:val="22"/>
        </w:rPr>
        <w:t>os</w:t>
      </w:r>
      <w:r w:rsidR="001730D5" w:rsidRPr="004D38F7">
        <w:rPr>
          <w:rFonts w:ascii="Palatino Linotype" w:hAnsi="Palatino Linotype"/>
          <w:b/>
          <w:sz w:val="22"/>
        </w:rPr>
        <w:t xml:space="preserve"> </w:t>
      </w:r>
      <w:r w:rsidRPr="004D38F7">
        <w:rPr>
          <w:rFonts w:ascii="Palatino Linotype" w:hAnsi="Palatino Linotype"/>
          <w:b/>
          <w:sz w:val="22"/>
        </w:rPr>
        <w:t>meses de</w:t>
      </w:r>
      <w:r w:rsidR="001730D5" w:rsidRPr="004D38F7">
        <w:rPr>
          <w:rFonts w:ascii="Palatino Linotype" w:hAnsi="Palatino Linotype"/>
          <w:b/>
          <w:sz w:val="22"/>
        </w:rPr>
        <w:t xml:space="preserve"> enero a agosto </w:t>
      </w:r>
      <w:r w:rsidRPr="004D38F7">
        <w:rPr>
          <w:rFonts w:ascii="Palatino Linotype" w:hAnsi="Palatino Linotype"/>
          <w:b/>
          <w:sz w:val="22"/>
        </w:rPr>
        <w:t xml:space="preserve">de </w:t>
      </w:r>
      <w:r w:rsidR="001730D5" w:rsidRPr="004D38F7">
        <w:rPr>
          <w:rFonts w:ascii="Palatino Linotype" w:hAnsi="Palatino Linotype"/>
          <w:b/>
          <w:sz w:val="22"/>
        </w:rPr>
        <w:t>2023</w:t>
      </w:r>
      <w:r w:rsidR="00EE1E2A" w:rsidRPr="004D38F7">
        <w:rPr>
          <w:rFonts w:ascii="Palatino Linotype" w:hAnsi="Palatino Linotype" w:cs="Arial"/>
          <w:b/>
          <w:sz w:val="22"/>
        </w:rPr>
        <w:t xml:space="preserve">. </w:t>
      </w:r>
    </w:p>
    <w:p w14:paraId="49DE5C89" w14:textId="77777777" w:rsidR="00FC7577" w:rsidRPr="004D38F7" w:rsidRDefault="00FC7577" w:rsidP="00FC7577">
      <w:pPr>
        <w:spacing w:line="360" w:lineRule="auto"/>
        <w:jc w:val="both"/>
        <w:rPr>
          <w:rFonts w:ascii="Palatino Linotype" w:hAnsi="Palatino Linotype" w:cs="Arial"/>
          <w:i/>
          <w:color w:val="000000" w:themeColor="text1"/>
        </w:rPr>
      </w:pPr>
    </w:p>
    <w:p w14:paraId="7290CD4E" w14:textId="77777777" w:rsidR="00FC7577" w:rsidRPr="004D38F7" w:rsidRDefault="00FC7577" w:rsidP="00FC7577">
      <w:pPr>
        <w:numPr>
          <w:ilvl w:val="0"/>
          <w:numId w:val="1"/>
        </w:numPr>
        <w:spacing w:line="360" w:lineRule="auto"/>
        <w:ind w:left="0" w:firstLine="0"/>
        <w:contextualSpacing/>
        <w:jc w:val="both"/>
        <w:rPr>
          <w:rFonts w:ascii="Palatino Linotype" w:hAnsi="Palatino Linotype" w:cs="Arial"/>
          <w:i/>
          <w:color w:val="000000" w:themeColor="text1"/>
        </w:rPr>
      </w:pPr>
      <w:r w:rsidRPr="004D38F7">
        <w:rPr>
          <w:rFonts w:ascii="Palatino Linotype" w:hAnsi="Palatino Linotype" w:cs="Arial"/>
        </w:rPr>
        <w:t xml:space="preserve">En </w:t>
      </w:r>
      <w:r w:rsidRPr="004D38F7">
        <w:rPr>
          <w:rFonts w:ascii="Palatino Linotype" w:eastAsia="Calibri" w:hAnsi="Palatino Linotype" w:cs="Arial"/>
        </w:rPr>
        <w:t>respuesta</w:t>
      </w:r>
      <w:r w:rsidRPr="004D38F7">
        <w:rPr>
          <w:rFonts w:ascii="Palatino Linotype" w:hAnsi="Palatino Linotype" w:cs="Arial"/>
        </w:rPr>
        <w:t>, el Sujeto Obligado</w:t>
      </w:r>
      <w:r w:rsidRPr="004D38F7">
        <w:rPr>
          <w:rFonts w:ascii="Palatino Linotype" w:hAnsi="Palatino Linotype" w:cs="Arial"/>
          <w:b/>
        </w:rPr>
        <w:t xml:space="preserve"> </w:t>
      </w:r>
      <w:r w:rsidRPr="004D38F7">
        <w:rPr>
          <w:rFonts w:ascii="Palatino Linotype" w:hAnsi="Palatino Linotype" w:cs="Arial"/>
        </w:rPr>
        <w:t xml:space="preserve">remitió el archivo ya descrito en el anterior Párrafo 2. Inconforme con la respuesta, se interpuso recurso de revisión argumentando sustancialmente la entrega de </w:t>
      </w:r>
      <w:r w:rsidR="00EE1E2A" w:rsidRPr="004D38F7">
        <w:rPr>
          <w:rFonts w:ascii="Palatino Linotype" w:hAnsi="Palatino Linotype" w:cs="Arial"/>
        </w:rPr>
        <w:t>información incompleta.</w:t>
      </w:r>
    </w:p>
    <w:p w14:paraId="38212BDD" w14:textId="77777777" w:rsidR="00FC7577" w:rsidRPr="004D38F7" w:rsidRDefault="00FC7577" w:rsidP="00FC7577">
      <w:pPr>
        <w:spacing w:line="360" w:lineRule="auto"/>
        <w:contextualSpacing/>
        <w:jc w:val="both"/>
        <w:rPr>
          <w:rFonts w:ascii="Palatino Linotype" w:hAnsi="Palatino Linotype" w:cs="Arial"/>
          <w:i/>
          <w:color w:val="000000" w:themeColor="text1"/>
        </w:rPr>
      </w:pPr>
    </w:p>
    <w:p w14:paraId="6B9C80F1" w14:textId="77777777" w:rsidR="00FC7577" w:rsidRPr="004D38F7" w:rsidRDefault="00FC7577" w:rsidP="00FC7577">
      <w:pPr>
        <w:numPr>
          <w:ilvl w:val="0"/>
          <w:numId w:val="1"/>
        </w:numPr>
        <w:spacing w:line="360" w:lineRule="auto"/>
        <w:ind w:left="0" w:firstLine="0"/>
        <w:contextualSpacing/>
        <w:jc w:val="both"/>
        <w:rPr>
          <w:rFonts w:ascii="Palatino Linotype" w:eastAsia="MS Mincho" w:hAnsi="Palatino Linotype" w:cs="Arial"/>
        </w:rPr>
      </w:pPr>
      <w:r w:rsidRPr="004D38F7">
        <w:rPr>
          <w:rFonts w:ascii="Palatino Linotype" w:eastAsia="MS Mincho" w:hAnsi="Palatino Linotype" w:cs="Arial"/>
        </w:rPr>
        <w:t xml:space="preserve">En </w:t>
      </w:r>
      <w:r w:rsidRPr="004D38F7">
        <w:rPr>
          <w:rFonts w:ascii="Palatino Linotype" w:hAnsi="Palatino Linotype" w:cs="Arial"/>
          <w:lang w:eastAsia="es-MX"/>
        </w:rPr>
        <w:t>dichas</w:t>
      </w:r>
      <w:r w:rsidRPr="004D38F7">
        <w:rPr>
          <w:rFonts w:ascii="Palatino Linotype" w:eastAsia="Times New Roman" w:hAnsi="Palatino Linotype" w:cs="Arial"/>
        </w:rPr>
        <w:t xml:space="preserve"> condiciones, la controversia a resolver en el presente proveído, corresponde a determinar si </w:t>
      </w:r>
      <w:r w:rsidRPr="004D38F7">
        <w:rPr>
          <w:rFonts w:ascii="Palatino Linotype" w:eastAsia="MS Mincho" w:hAnsi="Palatino Linotype" w:cs="Arial"/>
        </w:rPr>
        <w:t xml:space="preserve">se actualiza la causal de procedencia prevista en el artículo 179, fracciones </w:t>
      </w:r>
      <w:r w:rsidR="00EE1E2A" w:rsidRPr="004D38F7">
        <w:rPr>
          <w:rFonts w:ascii="Palatino Linotype" w:eastAsia="MS Mincho" w:hAnsi="Palatino Linotype" w:cs="Arial"/>
        </w:rPr>
        <w:t>V</w:t>
      </w:r>
      <w:r w:rsidRPr="004D38F7">
        <w:rPr>
          <w:rFonts w:ascii="Palatino Linotype" w:eastAsia="MS Mincho" w:hAnsi="Palatino Linotype" w:cs="Arial"/>
          <w:b/>
        </w:rPr>
        <w:t xml:space="preserve"> </w:t>
      </w:r>
      <w:r w:rsidRPr="004D38F7">
        <w:rPr>
          <w:rFonts w:ascii="Palatino Linotype" w:eastAsia="MS Mincho" w:hAnsi="Palatino Linotype" w:cs="Arial"/>
        </w:rPr>
        <w:t>de la Ley de Transparencia y Acceso a la Información Pública del Estado de</w:t>
      </w:r>
      <w:r w:rsidRPr="004D38F7">
        <w:rPr>
          <w:rFonts w:ascii="Palatino Linotype" w:eastAsia="MS Mincho" w:hAnsi="Palatino Linotype" w:cs="Arial"/>
          <w:b/>
        </w:rPr>
        <w:t xml:space="preserve"> </w:t>
      </w:r>
      <w:r w:rsidRPr="004D38F7">
        <w:rPr>
          <w:rFonts w:ascii="Palatino Linotype" w:hAnsi="Palatino Linotype" w:cs="Arial"/>
        </w:rPr>
        <w:t>México</w:t>
      </w:r>
      <w:r w:rsidRPr="004D38F7">
        <w:rPr>
          <w:rFonts w:ascii="Palatino Linotype" w:eastAsia="MS Mincho" w:hAnsi="Palatino Linotype" w:cs="Arial"/>
          <w:b/>
        </w:rPr>
        <w:t xml:space="preserve"> </w:t>
      </w:r>
      <w:r w:rsidRPr="004D38F7">
        <w:rPr>
          <w:rFonts w:ascii="Palatino Linotype" w:eastAsia="MS Mincho" w:hAnsi="Palatino Linotype" w:cs="Arial"/>
        </w:rPr>
        <w:t>y</w:t>
      </w:r>
      <w:r w:rsidRPr="004D38F7">
        <w:rPr>
          <w:rFonts w:ascii="Palatino Linotype" w:eastAsia="MS Mincho" w:hAnsi="Palatino Linotype" w:cs="Arial"/>
          <w:b/>
        </w:rPr>
        <w:t xml:space="preserve"> </w:t>
      </w:r>
      <w:r w:rsidRPr="004D38F7">
        <w:rPr>
          <w:rFonts w:ascii="Palatino Linotype" w:hAnsi="Palatino Linotype" w:cs="Arial"/>
        </w:rPr>
        <w:t>Municipios</w:t>
      </w:r>
      <w:r w:rsidRPr="004D38F7">
        <w:rPr>
          <w:rFonts w:ascii="Palatino Linotype" w:eastAsia="MS Mincho" w:hAnsi="Palatino Linotype" w:cs="Arial"/>
        </w:rPr>
        <w:t xml:space="preserve">; </w:t>
      </w:r>
      <w:r w:rsidRPr="004D38F7">
        <w:rPr>
          <w:rFonts w:ascii="Palatino Linotype" w:eastAsia="Times New Roman" w:hAnsi="Palatino Linotype" w:cs="Arial"/>
          <w:color w:val="000000" w:themeColor="text1"/>
          <w:lang w:val="es-ES" w:eastAsia="es-MX"/>
        </w:rPr>
        <w:t xml:space="preserve">fracción que determina las hipótesis relativa a la entrega de información </w:t>
      </w:r>
      <w:r w:rsidR="00EE1E2A" w:rsidRPr="004D38F7">
        <w:rPr>
          <w:rFonts w:ascii="Palatino Linotype" w:eastAsia="Times New Roman" w:hAnsi="Palatino Linotype" w:cs="Arial"/>
          <w:color w:val="000000" w:themeColor="text1"/>
          <w:lang w:val="es-ES" w:eastAsia="es-MX"/>
        </w:rPr>
        <w:t>incompleta</w:t>
      </w:r>
      <w:r w:rsidRPr="004D38F7">
        <w:rPr>
          <w:rFonts w:ascii="Palatino Linotype" w:eastAsia="Times New Roman" w:hAnsi="Palatino Linotype" w:cs="Arial"/>
          <w:color w:val="000000" w:themeColor="text1"/>
          <w:lang w:val="es-ES" w:eastAsia="es-MX"/>
        </w:rPr>
        <w:t xml:space="preserve">; </w:t>
      </w:r>
      <w:r w:rsidRPr="004D38F7">
        <w:rPr>
          <w:rFonts w:ascii="Palatino Linotype" w:eastAsia="MS Mincho" w:hAnsi="Palatino Linotype" w:cs="Arial"/>
        </w:rPr>
        <w:t xml:space="preserve">contexto del cual </w:t>
      </w:r>
      <w:r w:rsidR="00C86C26" w:rsidRPr="004D38F7">
        <w:rPr>
          <w:rFonts w:ascii="Palatino Linotype" w:eastAsia="MS Mincho" w:hAnsi="Palatino Linotype" w:cs="Arial"/>
        </w:rPr>
        <w:t xml:space="preserve">se </w:t>
      </w:r>
      <w:r w:rsidRPr="004D38F7">
        <w:rPr>
          <w:rFonts w:ascii="Palatino Linotype" w:eastAsia="MS Mincho" w:hAnsi="Palatino Linotype" w:cs="Arial"/>
        </w:rPr>
        <w:t>dolió el Recurrente al momento de interponer su inconformidad.</w:t>
      </w:r>
      <w:r w:rsidRPr="004D38F7">
        <w:rPr>
          <w:rFonts w:ascii="Palatino Linotype" w:eastAsia="Times New Roman" w:hAnsi="Palatino Linotype" w:cs="Arial"/>
          <w:color w:val="000000" w:themeColor="text1"/>
          <w:lang w:val="es-ES" w:eastAsia="es-MX"/>
        </w:rPr>
        <w:t xml:space="preserve"> De modo tal </w:t>
      </w:r>
      <w:r w:rsidRPr="004D38F7">
        <w:rPr>
          <w:rFonts w:ascii="Palatino Linotype" w:hAnsi="Palatino Linotype" w:cs="Arial"/>
          <w:color w:val="000000" w:themeColor="text1"/>
        </w:rPr>
        <w:t xml:space="preserve">que el presente recurso de revisión se abocara en determinar si el Sujeto Obligado con su respuesta ciertamente </w:t>
      </w:r>
      <w:r w:rsidRPr="004D38F7">
        <w:rPr>
          <w:rFonts w:ascii="Palatino Linotype" w:eastAsia="Times New Roman" w:hAnsi="Palatino Linotype"/>
          <w:color w:val="000000" w:themeColor="text1"/>
        </w:rPr>
        <w:t>actualiza las causales de procedencia</w:t>
      </w:r>
      <w:r w:rsidRPr="004D38F7">
        <w:rPr>
          <w:rFonts w:ascii="Palatino Linotype" w:eastAsia="Times New Roman" w:hAnsi="Palatino Linotype"/>
          <w:b/>
          <w:color w:val="000000" w:themeColor="text1"/>
        </w:rPr>
        <w:t xml:space="preserve"> </w:t>
      </w:r>
      <w:r w:rsidRPr="004D38F7">
        <w:rPr>
          <w:rFonts w:ascii="Palatino Linotype" w:eastAsia="Times New Roman" w:hAnsi="Palatino Linotype" w:cs="Arial"/>
          <w:color w:val="000000" w:themeColor="text1"/>
          <w:lang w:eastAsia="es-MX"/>
        </w:rPr>
        <w:t xml:space="preserve">señaladas. </w:t>
      </w:r>
    </w:p>
    <w:p w14:paraId="6E0B9E93" w14:textId="77777777" w:rsidR="00FC7577" w:rsidRPr="004D38F7" w:rsidRDefault="00FC7577" w:rsidP="00FC7577">
      <w:pPr>
        <w:spacing w:line="360" w:lineRule="auto"/>
        <w:rPr>
          <w:rFonts w:ascii="Palatino Linotype" w:eastAsia="MS Mincho" w:hAnsi="Palatino Linotype" w:cs="Arial"/>
        </w:rPr>
      </w:pPr>
    </w:p>
    <w:p w14:paraId="4ECF6583" w14:textId="77777777" w:rsidR="00FC7577" w:rsidRPr="004D38F7" w:rsidRDefault="00FC7577" w:rsidP="00FC7577">
      <w:pPr>
        <w:numPr>
          <w:ilvl w:val="0"/>
          <w:numId w:val="1"/>
        </w:numPr>
        <w:spacing w:line="360" w:lineRule="auto"/>
        <w:ind w:left="0" w:firstLine="0"/>
        <w:contextualSpacing/>
        <w:jc w:val="both"/>
        <w:rPr>
          <w:rFonts w:ascii="Palatino Linotype" w:hAnsi="Palatino Linotype" w:cs="Tahoma"/>
          <w:bCs/>
          <w:iCs/>
        </w:rPr>
      </w:pPr>
      <w:r w:rsidRPr="004D38F7">
        <w:rPr>
          <w:rFonts w:ascii="Palatino Linotype" w:eastAsia="MS Mincho" w:hAnsi="Palatino Linotype" w:cs="Arial"/>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w:t>
      </w:r>
      <w:r w:rsidRPr="004D38F7">
        <w:rPr>
          <w:rFonts w:ascii="Palatino Linotype" w:hAnsi="Palatino Linotype" w:cs="Tahoma"/>
          <w:bCs/>
          <w:iCs/>
        </w:rPr>
        <w:t xml:space="preserve">12, el cual establece que quienes generen, recopilen, administren, manejen, procesen, archiven o conserven información </w:t>
      </w:r>
      <w:r w:rsidRPr="004D38F7">
        <w:rPr>
          <w:rFonts w:ascii="Palatino Linotype" w:hAnsi="Palatino Linotype" w:cs="Tahoma"/>
          <w:bCs/>
          <w:iCs/>
        </w:rPr>
        <w:lastRenderedPageBreak/>
        <w:t>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14:paraId="05763307" w14:textId="77777777" w:rsidR="00FC7577" w:rsidRPr="004D38F7" w:rsidRDefault="00FC7577" w:rsidP="00FC7577">
      <w:pPr>
        <w:spacing w:line="360" w:lineRule="auto"/>
        <w:contextualSpacing/>
        <w:jc w:val="both"/>
        <w:rPr>
          <w:rFonts w:ascii="Palatino Linotype" w:hAnsi="Palatino Linotype" w:cs="Tahoma"/>
          <w:bCs/>
          <w:iCs/>
        </w:rPr>
      </w:pPr>
    </w:p>
    <w:p w14:paraId="22903E41" w14:textId="77777777" w:rsidR="00FC7577" w:rsidRPr="004D38F7" w:rsidRDefault="00FC7577" w:rsidP="00FC7577">
      <w:pPr>
        <w:numPr>
          <w:ilvl w:val="0"/>
          <w:numId w:val="1"/>
        </w:numPr>
        <w:spacing w:line="360" w:lineRule="auto"/>
        <w:ind w:left="0" w:firstLine="0"/>
        <w:contextualSpacing/>
        <w:jc w:val="both"/>
        <w:rPr>
          <w:rFonts w:ascii="Palatino Linotype" w:hAnsi="Palatino Linotype" w:cs="Tahoma"/>
          <w:bCs/>
          <w:iCs/>
        </w:rPr>
      </w:pPr>
      <w:r w:rsidRPr="004D38F7">
        <w:rPr>
          <w:rFonts w:ascii="Palatino Linotype" w:hAnsi="Palatino Linotype" w:cs="Tahoma"/>
          <w:bCs/>
          <w:iCs/>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B10B9F" w14:textId="77777777" w:rsidR="00FC7577" w:rsidRPr="004D38F7" w:rsidRDefault="00FC7577" w:rsidP="00FC7577">
      <w:pPr>
        <w:pStyle w:val="Prrafodelista"/>
        <w:spacing w:line="360" w:lineRule="auto"/>
        <w:rPr>
          <w:rFonts w:ascii="Palatino Linotype" w:hAnsi="Palatino Linotype" w:cs="Tahoma"/>
          <w:bCs/>
          <w:iCs/>
        </w:rPr>
      </w:pPr>
    </w:p>
    <w:p w14:paraId="2D179B98" w14:textId="77777777" w:rsidR="00FC7577" w:rsidRPr="004D38F7" w:rsidRDefault="00FC7577" w:rsidP="00FC7577">
      <w:pPr>
        <w:numPr>
          <w:ilvl w:val="0"/>
          <w:numId w:val="1"/>
        </w:numPr>
        <w:spacing w:line="360" w:lineRule="auto"/>
        <w:ind w:left="0" w:firstLine="0"/>
        <w:contextualSpacing/>
        <w:jc w:val="both"/>
        <w:rPr>
          <w:rFonts w:ascii="Palatino Linotype" w:hAnsi="Palatino Linotype" w:cs="Tahoma"/>
          <w:bCs/>
          <w:iCs/>
        </w:rPr>
      </w:pPr>
      <w:r w:rsidRPr="004D38F7">
        <w:rPr>
          <w:rFonts w:ascii="Palatino Linotype" w:hAnsi="Palatino Linotype" w:cs="Tahoma"/>
          <w:bCs/>
          <w:iCs/>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7DB8DEF8" w14:textId="77777777" w:rsidR="00C86C26" w:rsidRPr="004D38F7" w:rsidRDefault="00FC7577" w:rsidP="00C86C26">
      <w:pPr>
        <w:pStyle w:val="Ttulo2"/>
        <w:spacing w:before="0" w:line="360" w:lineRule="auto"/>
        <w:ind w:right="-646"/>
        <w:jc w:val="both"/>
        <w:rPr>
          <w:rFonts w:ascii="Palatino Linotype" w:eastAsia="Palatino Linotype" w:hAnsi="Palatino Linotype" w:cs="Palatino Linotype"/>
          <w:b/>
          <w:color w:val="000000"/>
          <w:sz w:val="24"/>
          <w:szCs w:val="24"/>
        </w:rPr>
      </w:pPr>
      <w:r w:rsidRPr="004D38F7">
        <w:rPr>
          <w:rFonts w:ascii="Palatino Linotype" w:hAnsi="Palatino Linotype"/>
          <w:b/>
          <w:color w:val="auto"/>
          <w:sz w:val="24"/>
          <w:szCs w:val="24"/>
        </w:rPr>
        <w:t xml:space="preserve">CUARTA. </w:t>
      </w:r>
      <w:r w:rsidR="00C86C26" w:rsidRPr="004D38F7">
        <w:rPr>
          <w:rFonts w:ascii="Palatino Linotype" w:hAnsi="Palatino Linotype"/>
          <w:b/>
          <w:color w:val="000000" w:themeColor="text1"/>
          <w:sz w:val="24"/>
          <w:szCs w:val="24"/>
        </w:rPr>
        <w:t>Estudio de la controversia.</w:t>
      </w:r>
    </w:p>
    <w:p w14:paraId="384EDE9C" w14:textId="77777777" w:rsidR="00C86C26" w:rsidRPr="004D38F7" w:rsidRDefault="00C86C26" w:rsidP="00C86C26">
      <w:pPr>
        <w:numPr>
          <w:ilvl w:val="0"/>
          <w:numId w:val="1"/>
        </w:numPr>
        <w:spacing w:line="360" w:lineRule="auto"/>
        <w:ind w:left="0" w:firstLine="0"/>
        <w:contextualSpacing/>
        <w:jc w:val="both"/>
        <w:rPr>
          <w:rFonts w:ascii="Palatino Linotype" w:hAnsi="Palatino Linotype"/>
        </w:rPr>
      </w:pPr>
      <w:r w:rsidRPr="004D38F7">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w:t>
      </w:r>
      <w:r w:rsidRPr="004D38F7">
        <w:rPr>
          <w:rFonts w:ascii="Palatino Linotype" w:hAnsi="Palatino Linotype" w:cs="Tahoma"/>
          <w:bCs/>
          <w:iCs/>
        </w:rPr>
        <w:t>establecer</w:t>
      </w:r>
      <w:r w:rsidRPr="004D38F7">
        <w:rPr>
          <w:rFonts w:ascii="Palatino Linotype" w:eastAsia="Palatino Linotype" w:hAnsi="Palatino Linotype" w:cs="Palatino Linotype"/>
        </w:rPr>
        <w:t xml:space="preserve"> lo que </w:t>
      </w:r>
      <w:r w:rsidRPr="004D38F7">
        <w:rPr>
          <w:rFonts w:ascii="Palatino Linotype" w:eastAsia="Palatino Linotype" w:hAnsi="Palatino Linotype" w:cs="Palatino Linotype"/>
        </w:rPr>
        <w:lastRenderedPageBreak/>
        <w:t xml:space="preserve">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w:t>
      </w:r>
      <w:r w:rsidRPr="004D38F7">
        <w:rPr>
          <w:rFonts w:ascii="Palatino Linotype" w:eastAsia="Palatino Linotype" w:hAnsi="Palatino Linotype" w:cs="Palatino Linotype"/>
          <w:b/>
        </w:rPr>
        <w:t>deberán documentar todo acto que derive del ejercicio de sus facultades, competencias o funciones desde su origen la eventual publicidad y reutilización de la información que generen</w:t>
      </w:r>
      <w:r w:rsidRPr="004D38F7">
        <w:rPr>
          <w:rFonts w:ascii="Palatino Linotype" w:eastAsia="Palatino Linotype" w:hAnsi="Palatino Linotype" w:cs="Palatino Linotype"/>
        </w:rPr>
        <w:t>.</w:t>
      </w:r>
    </w:p>
    <w:p w14:paraId="44BECCBB" w14:textId="77777777" w:rsidR="00C86C26" w:rsidRPr="004D38F7" w:rsidRDefault="00C86C26" w:rsidP="00C86C26">
      <w:pPr>
        <w:spacing w:line="360" w:lineRule="auto"/>
        <w:ind w:right="-646"/>
        <w:jc w:val="both"/>
        <w:rPr>
          <w:rFonts w:ascii="Palatino Linotype" w:eastAsia="Palatino Linotype" w:hAnsi="Palatino Linotype" w:cs="Palatino Linotype"/>
        </w:rPr>
      </w:pPr>
    </w:p>
    <w:p w14:paraId="66C0F567" w14:textId="77777777" w:rsidR="00C86C26" w:rsidRPr="004D38F7" w:rsidRDefault="00C86C26" w:rsidP="00C86C26">
      <w:pPr>
        <w:numPr>
          <w:ilvl w:val="0"/>
          <w:numId w:val="1"/>
        </w:numPr>
        <w:spacing w:line="360" w:lineRule="auto"/>
        <w:ind w:left="0" w:firstLine="0"/>
        <w:contextualSpacing/>
        <w:jc w:val="both"/>
        <w:rPr>
          <w:rFonts w:ascii="Palatino Linotype" w:hAnsi="Palatino Linotype"/>
        </w:rPr>
      </w:pPr>
      <w:r w:rsidRPr="004D38F7">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3935799" w14:textId="77777777" w:rsidR="00C86C26" w:rsidRPr="004D38F7" w:rsidRDefault="00C86C26" w:rsidP="00C86C26">
      <w:pPr>
        <w:pStyle w:val="Prrafodelista"/>
        <w:rPr>
          <w:rFonts w:ascii="Palatino Linotype" w:hAnsi="Palatino Linotype"/>
        </w:rPr>
      </w:pPr>
    </w:p>
    <w:p w14:paraId="169440A2" w14:textId="77777777" w:rsidR="00C86C26" w:rsidRPr="004D38F7" w:rsidRDefault="00C86C26" w:rsidP="00C86C26">
      <w:pPr>
        <w:numPr>
          <w:ilvl w:val="0"/>
          <w:numId w:val="1"/>
        </w:numPr>
        <w:spacing w:line="360" w:lineRule="auto"/>
        <w:ind w:left="0" w:firstLine="0"/>
        <w:contextualSpacing/>
        <w:jc w:val="both"/>
        <w:rPr>
          <w:rFonts w:ascii="Palatino Linotype" w:hAnsi="Palatino Linotype"/>
        </w:rPr>
      </w:pPr>
      <w:r w:rsidRPr="004D38F7">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5080353B" w14:textId="77777777" w:rsidR="00FC7577" w:rsidRPr="004D38F7" w:rsidRDefault="00FC7577" w:rsidP="00FC7577">
      <w:pPr>
        <w:pStyle w:val="Ttulo1"/>
        <w:spacing w:before="0" w:line="360" w:lineRule="auto"/>
        <w:rPr>
          <w:rFonts w:ascii="Palatino Linotype" w:hAnsi="Palatino Linotype"/>
          <w:b/>
          <w:color w:val="000000" w:themeColor="text1"/>
          <w:sz w:val="24"/>
          <w:szCs w:val="24"/>
        </w:rPr>
      </w:pPr>
    </w:p>
    <w:p w14:paraId="618702FB" w14:textId="77777777" w:rsidR="00FC7577" w:rsidRPr="004D38F7" w:rsidRDefault="00FC7577" w:rsidP="00FC7577">
      <w:pPr>
        <w:pStyle w:val="Prrafodelista"/>
        <w:numPr>
          <w:ilvl w:val="0"/>
          <w:numId w:val="8"/>
        </w:numPr>
        <w:spacing w:line="360" w:lineRule="auto"/>
        <w:jc w:val="both"/>
        <w:rPr>
          <w:rFonts w:ascii="Palatino Linotype" w:eastAsia="Palatino Linotype" w:hAnsi="Palatino Linotype" w:cs="Palatino Linotype"/>
          <w:b/>
          <w:color w:val="000000"/>
        </w:rPr>
      </w:pPr>
      <w:r w:rsidRPr="004D38F7">
        <w:rPr>
          <w:rFonts w:ascii="Palatino Linotype" w:eastAsia="Palatino Linotype" w:hAnsi="Palatino Linotype" w:cs="Palatino Linotype"/>
          <w:b/>
          <w:color w:val="000000"/>
        </w:rPr>
        <w:t>Respuesta e, informe justificado</w:t>
      </w:r>
    </w:p>
    <w:p w14:paraId="138A3C44" w14:textId="77777777" w:rsidR="00C54D34" w:rsidRPr="004D38F7" w:rsidRDefault="00C54D34" w:rsidP="00C54D34">
      <w:pPr>
        <w:numPr>
          <w:ilvl w:val="0"/>
          <w:numId w:val="1"/>
        </w:numPr>
        <w:spacing w:line="360" w:lineRule="auto"/>
        <w:ind w:left="0" w:firstLine="0"/>
        <w:contextualSpacing/>
        <w:jc w:val="both"/>
        <w:rPr>
          <w:rFonts w:ascii="Palatino Linotype" w:hAnsi="Palatino Linotype" w:cs="Arial"/>
        </w:rPr>
      </w:pPr>
      <w:r w:rsidRPr="004D38F7">
        <w:rPr>
          <w:rFonts w:ascii="Palatino Linotype" w:hAnsi="Palatino Linotype" w:cs="Arial"/>
        </w:rPr>
        <w:t xml:space="preserve">Como es de recordar la respuesta inicial recayó en dos servidores públicos habilitados, el primero de ellos el Contralor Interno Municipal, quien refiere que no es posible proporcionar las denuncias por contener datos sensibles y, por otro lado a la Subdirectora </w:t>
      </w:r>
      <w:r w:rsidRPr="004D38F7">
        <w:rPr>
          <w:rFonts w:ascii="Palatino Linotype" w:eastAsia="Palatino Linotype" w:hAnsi="Palatino Linotype" w:cs="Palatino Linotype"/>
        </w:rPr>
        <w:t>de</w:t>
      </w:r>
      <w:r w:rsidRPr="004D38F7">
        <w:rPr>
          <w:rFonts w:ascii="Palatino Linotype" w:hAnsi="Palatino Linotype" w:cs="Arial"/>
        </w:rPr>
        <w:t xml:space="preserve"> Recursos Humanos quien de manera general señala encontrarse imposibilitada para proporcionar información en razón de contar con un aviso de privacidad de datos personales firmado por un servidor </w:t>
      </w:r>
      <w:r w:rsidR="006652D4" w:rsidRPr="004D38F7">
        <w:rPr>
          <w:rFonts w:ascii="Palatino Linotype" w:hAnsi="Palatino Linotype" w:cs="Arial"/>
        </w:rPr>
        <w:t>público</w:t>
      </w:r>
      <w:r w:rsidRPr="004D38F7">
        <w:rPr>
          <w:rFonts w:ascii="Palatino Linotype" w:hAnsi="Palatino Linotype" w:cs="Arial"/>
        </w:rPr>
        <w:t>.</w:t>
      </w:r>
      <w:r w:rsidR="006652D4" w:rsidRPr="004D38F7">
        <w:rPr>
          <w:rFonts w:ascii="Palatino Linotype" w:hAnsi="Palatino Linotype" w:cs="Arial"/>
        </w:rPr>
        <w:t xml:space="preserve"> Contexto que evidentemente no colma ninguno de los rubros que integraron la solicitud de información inicial.</w:t>
      </w:r>
    </w:p>
    <w:p w14:paraId="3936B174" w14:textId="77777777" w:rsidR="006652D4" w:rsidRPr="004D38F7" w:rsidRDefault="006652D4" w:rsidP="006652D4">
      <w:pPr>
        <w:spacing w:line="360" w:lineRule="auto"/>
        <w:contextualSpacing/>
        <w:jc w:val="both"/>
        <w:rPr>
          <w:rFonts w:ascii="Palatino Linotype" w:hAnsi="Palatino Linotype" w:cs="Arial"/>
        </w:rPr>
      </w:pPr>
    </w:p>
    <w:p w14:paraId="02428430" w14:textId="77777777" w:rsidR="00C54D34" w:rsidRPr="004D38F7" w:rsidRDefault="006652D4" w:rsidP="006652D4">
      <w:pPr>
        <w:numPr>
          <w:ilvl w:val="0"/>
          <w:numId w:val="1"/>
        </w:numPr>
        <w:spacing w:line="360" w:lineRule="auto"/>
        <w:ind w:left="0" w:firstLine="0"/>
        <w:contextualSpacing/>
        <w:jc w:val="both"/>
        <w:rPr>
          <w:rFonts w:ascii="Palatino Linotype" w:hAnsi="Palatino Linotype" w:cs="Arial"/>
        </w:rPr>
      </w:pPr>
      <w:r w:rsidRPr="004D38F7">
        <w:rPr>
          <w:rFonts w:ascii="Palatino Linotype" w:hAnsi="Palatino Linotype" w:cs="Arial"/>
        </w:rPr>
        <w:t>No obstante en un hecho posterior a la interposición del Recurso de Revisión como lo es la etapa de manifestaciones, el Sujeto Obligado añadió a su respuesta como ya quedo disgregado en el anterior Párrafo 6, el pronunciamiento Tesorero Municipal, mediante el cual informa que anexa copias de las facturas pagadas a medios de comunicación durante la administración 2022-2024, reporte de integración de saldos de la comisión de saldos de la Comisión Federal de Electricidad, donde se refleja el adeudo histórico, el Reporte de Endeudamiento Neto, donde refleja adeudo a Banco Nacional de Obras y Servicios Públicos SNC e Instituto de Seguridad Social del Estado de México y Municipios, el Estado Analítico de Ingresos y el Estado Analítico del Ejercicio del Presupuesto de Egresos Clasificación Económica  (por tipo de Gasto)</w:t>
      </w:r>
      <w:r w:rsidR="001802E3" w:rsidRPr="004D38F7">
        <w:rPr>
          <w:rFonts w:ascii="Palatino Linotype" w:hAnsi="Palatino Linotype" w:cs="Arial"/>
        </w:rPr>
        <w:t>.</w:t>
      </w:r>
    </w:p>
    <w:p w14:paraId="4CD5DF22" w14:textId="77777777" w:rsidR="001802E3" w:rsidRPr="004D38F7" w:rsidRDefault="001802E3" w:rsidP="001802E3">
      <w:pPr>
        <w:pStyle w:val="Prrafodelista"/>
        <w:rPr>
          <w:rFonts w:ascii="Palatino Linotype" w:hAnsi="Palatino Linotype" w:cs="Arial"/>
        </w:rPr>
      </w:pPr>
    </w:p>
    <w:p w14:paraId="43DDEFF3" w14:textId="77777777" w:rsidR="001802E3" w:rsidRPr="004D38F7" w:rsidRDefault="001802E3" w:rsidP="006652D4">
      <w:pPr>
        <w:numPr>
          <w:ilvl w:val="0"/>
          <w:numId w:val="1"/>
        </w:numPr>
        <w:spacing w:line="360" w:lineRule="auto"/>
        <w:ind w:left="0" w:firstLine="0"/>
        <w:contextualSpacing/>
        <w:jc w:val="both"/>
        <w:rPr>
          <w:rFonts w:ascii="Palatino Linotype" w:hAnsi="Palatino Linotype" w:cs="Arial"/>
        </w:rPr>
      </w:pPr>
      <w:r w:rsidRPr="004D38F7">
        <w:rPr>
          <w:rFonts w:ascii="Palatino Linotype" w:hAnsi="Palatino Linotype" w:cs="Arial"/>
        </w:rPr>
        <w:t xml:space="preserve">Al respecto se advierte que si bien las facturas remitidas son por el concepto que el particular solicitó, también lo es que no colman a cabalidad la solicitud de información, toda vez que fueron entregadas en una pretendida versión pública, en la que fueron </w:t>
      </w:r>
      <w:r w:rsidRPr="004D38F7">
        <w:rPr>
          <w:rFonts w:ascii="Palatino Linotype" w:hAnsi="Palatino Linotype" w:cs="Arial"/>
        </w:rPr>
        <w:lastRenderedPageBreak/>
        <w:t>testados rubros que cor</w:t>
      </w:r>
      <w:r w:rsidR="00D07563" w:rsidRPr="004D38F7">
        <w:rPr>
          <w:rFonts w:ascii="Palatino Linotype" w:hAnsi="Palatino Linotype" w:cs="Arial"/>
        </w:rPr>
        <w:t>responden a información pública, como lo es el RFC del Ayuntamiento.</w:t>
      </w:r>
    </w:p>
    <w:p w14:paraId="344B0A88" w14:textId="77777777" w:rsidR="001802E3" w:rsidRPr="004D38F7" w:rsidRDefault="001802E3" w:rsidP="001802E3">
      <w:pPr>
        <w:pStyle w:val="Prrafodelista"/>
        <w:rPr>
          <w:rFonts w:ascii="Palatino Linotype" w:hAnsi="Palatino Linotype" w:cs="Arial"/>
        </w:rPr>
      </w:pPr>
    </w:p>
    <w:p w14:paraId="3DDFC14C"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Al respecto, de acuerdo a lo establecido en el artículo en comento, esta clave se compone de </w:t>
      </w:r>
      <w:r w:rsidRPr="004D38F7">
        <w:rPr>
          <w:rFonts w:ascii="Palatino Linotype" w:hAnsi="Palatino Linotype" w:cs="Arial"/>
        </w:rPr>
        <w:t>trece</w:t>
      </w:r>
      <w:r w:rsidRPr="004D38F7">
        <w:rPr>
          <w:rFonts w:ascii="Palatino Linotype" w:eastAsia="Times New Roman" w:hAnsi="Palatino Linotype" w:cs="Tahoma"/>
          <w:bCs/>
        </w:rPr>
        <w:t xml:space="preserve"> caracteres alfanuméricos, con datos obtenidos de los apellidos, nombre(s), fecha de nacimiento del titular, más una </w:t>
      </w:r>
      <w:proofErr w:type="spellStart"/>
      <w:r w:rsidRPr="004D38F7">
        <w:rPr>
          <w:rFonts w:ascii="Palatino Linotype" w:eastAsia="Times New Roman" w:hAnsi="Palatino Linotype" w:cs="Tahoma"/>
          <w:bCs/>
        </w:rPr>
        <w:t>homoclave</w:t>
      </w:r>
      <w:proofErr w:type="spellEnd"/>
      <w:r w:rsidRPr="004D38F7">
        <w:rPr>
          <w:rFonts w:ascii="Palatino Linotype" w:eastAsia="Times New Roman" w:hAnsi="Palatino Linotype" w:cs="Tahoma"/>
          <w:bCs/>
        </w:rPr>
        <w:t xml:space="preserve"> que establece el sistema automático del Servicio de Administración Tributaria.</w:t>
      </w:r>
    </w:p>
    <w:p w14:paraId="4C075BCC" w14:textId="77777777" w:rsidR="00D07563" w:rsidRPr="004D38F7" w:rsidRDefault="00D07563" w:rsidP="00D07563">
      <w:pPr>
        <w:pStyle w:val="Prrafodelista"/>
        <w:spacing w:line="360" w:lineRule="auto"/>
        <w:ind w:left="360"/>
        <w:rPr>
          <w:rFonts w:ascii="Palatino Linotype" w:eastAsia="Times New Roman" w:hAnsi="Palatino Linotype" w:cs="Tahoma"/>
          <w:bCs/>
        </w:rPr>
      </w:pPr>
    </w:p>
    <w:p w14:paraId="51597D1F"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121EA32" w14:textId="77777777" w:rsidR="00D07563" w:rsidRPr="004D38F7" w:rsidRDefault="00D07563" w:rsidP="00D07563">
      <w:pPr>
        <w:pStyle w:val="Prrafodelista"/>
        <w:rPr>
          <w:rFonts w:ascii="Palatino Linotype" w:eastAsia="Times New Roman" w:hAnsi="Palatino Linotype" w:cs="Tahoma"/>
          <w:bCs/>
        </w:rPr>
      </w:pPr>
    </w:p>
    <w:p w14:paraId="3D227B7F"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6EE89060" w14:textId="77777777" w:rsidR="00D07563" w:rsidRPr="004D38F7" w:rsidRDefault="00D07563" w:rsidP="00D07563">
      <w:pPr>
        <w:pStyle w:val="Prrafodelista"/>
        <w:spacing w:line="360" w:lineRule="auto"/>
        <w:ind w:left="360"/>
        <w:rPr>
          <w:rFonts w:ascii="Palatino Linotype" w:eastAsia="Times New Roman" w:hAnsi="Palatino Linotype" w:cs="Tahoma"/>
          <w:bCs/>
        </w:rPr>
      </w:pPr>
    </w:p>
    <w:p w14:paraId="6AF79986"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Lo anterior, resulta congruente con el Criterio de Interpretación, de la Segunda Época, con número de registro SO/019/2017, emitido por el Instituto Nacional de </w:t>
      </w:r>
      <w:r w:rsidRPr="004D38F7">
        <w:rPr>
          <w:rFonts w:ascii="Palatino Linotype" w:eastAsia="Times New Roman" w:hAnsi="Palatino Linotype" w:cs="Tahoma"/>
          <w:bCs/>
        </w:rPr>
        <w:lastRenderedPageBreak/>
        <w:t>Transparencia, Acceso a la Información y Protección de Datos Personales, en el cual se señala lo siguiente:</w:t>
      </w:r>
    </w:p>
    <w:p w14:paraId="37C9A430" w14:textId="77777777" w:rsidR="00D07563" w:rsidRPr="004D38F7" w:rsidRDefault="00D07563" w:rsidP="00D07563">
      <w:pPr>
        <w:pStyle w:val="Prrafodelista"/>
        <w:spacing w:line="360" w:lineRule="auto"/>
        <w:ind w:left="360" w:right="539"/>
        <w:rPr>
          <w:rFonts w:ascii="Palatino Linotype" w:eastAsia="Times New Roman" w:hAnsi="Palatino Linotype" w:cs="Tahoma"/>
          <w:bCs/>
          <w:i/>
          <w:iCs/>
          <w:sz w:val="22"/>
        </w:rPr>
      </w:pPr>
      <w:r w:rsidRPr="004D38F7">
        <w:rPr>
          <w:rFonts w:ascii="Palatino Linotype" w:eastAsia="Times New Roman" w:hAnsi="Palatino Linotype" w:cs="Tahoma"/>
          <w:b/>
          <w:i/>
          <w:iCs/>
          <w:sz w:val="22"/>
        </w:rPr>
        <w:t>“Registro Federal de Contribuyentes (RFC) de personas físicas</w:t>
      </w:r>
      <w:r w:rsidRPr="004D38F7">
        <w:rPr>
          <w:rFonts w:ascii="Palatino Linotype" w:eastAsia="Times New Roman" w:hAnsi="Palatino Linotype" w:cs="Tahoma"/>
          <w:bCs/>
          <w:i/>
          <w:iCs/>
          <w:sz w:val="22"/>
        </w:rPr>
        <w:t>. El RFC es una clave de carácter fiscal, única e irrepetible, que permite identificar al titular, su edad y fecha de nacimiento, por lo que es un dato personal de carácter confidencial.”</w:t>
      </w:r>
    </w:p>
    <w:p w14:paraId="4DAC9EAD" w14:textId="77777777" w:rsidR="00D07563" w:rsidRPr="004D38F7" w:rsidRDefault="00D07563" w:rsidP="00D07563">
      <w:pPr>
        <w:pStyle w:val="Prrafodelista"/>
        <w:spacing w:line="360" w:lineRule="auto"/>
        <w:ind w:left="360"/>
        <w:rPr>
          <w:rFonts w:ascii="Palatino Linotype" w:eastAsia="Times New Roman" w:hAnsi="Palatino Linotype" w:cs="Tahoma"/>
          <w:bCs/>
        </w:rPr>
      </w:pPr>
    </w:p>
    <w:p w14:paraId="7250397F"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De tal suerte, el Registro Federal de Contribuyentes solo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ABAB780" w14:textId="77777777" w:rsidR="00D07563" w:rsidRPr="004D38F7" w:rsidRDefault="00D07563" w:rsidP="00D07563">
      <w:pPr>
        <w:spacing w:line="360" w:lineRule="auto"/>
        <w:contextualSpacing/>
        <w:jc w:val="both"/>
        <w:rPr>
          <w:rFonts w:ascii="Palatino Linotype" w:eastAsia="Times New Roman" w:hAnsi="Palatino Linotype" w:cs="Tahoma"/>
          <w:bCs/>
        </w:rPr>
      </w:pPr>
    </w:p>
    <w:p w14:paraId="381E4E71" w14:textId="77777777" w:rsidR="00D07563" w:rsidRPr="004D38F7" w:rsidRDefault="00D07563" w:rsidP="00D07563">
      <w:pPr>
        <w:numPr>
          <w:ilvl w:val="0"/>
          <w:numId w:val="15"/>
        </w:numPr>
        <w:spacing w:line="360" w:lineRule="auto"/>
        <w:ind w:right="539"/>
        <w:contextualSpacing/>
        <w:jc w:val="both"/>
        <w:rPr>
          <w:rFonts w:ascii="Palatino Linotype" w:eastAsia="Times New Roman" w:hAnsi="Palatino Linotype" w:cs="Tahoma"/>
          <w:b/>
        </w:rPr>
      </w:pPr>
      <w:r w:rsidRPr="004D38F7">
        <w:rPr>
          <w:rFonts w:ascii="Palatino Linotype" w:eastAsia="Times New Roman" w:hAnsi="Palatino Linotype" w:cs="Tahoma"/>
          <w:b/>
        </w:rPr>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14:paraId="7DB40D94"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w:t>
      </w:r>
      <w:r w:rsidRPr="004D38F7">
        <w:rPr>
          <w:rFonts w:ascii="Palatino Linotype" w:eastAsia="Times New Roman" w:hAnsi="Palatino Linotype" w:cs="Tahoma"/>
          <w:bCs/>
        </w:rPr>
        <w:lastRenderedPageBreak/>
        <w:t>sólo son de utilidad de manera directa a la Secretaría de Hacienda y Crédito Público y si bien, dichas cadenas sí derivan de la información personal de los contribuyentes, esta se encuentra encriptada como se verá a continuación.</w:t>
      </w:r>
    </w:p>
    <w:p w14:paraId="7F79E05F" w14:textId="77777777" w:rsidR="00D07563" w:rsidRPr="004D38F7" w:rsidRDefault="00D07563" w:rsidP="00D07563">
      <w:pPr>
        <w:spacing w:line="360" w:lineRule="auto"/>
        <w:rPr>
          <w:rFonts w:ascii="Palatino Linotype" w:eastAsia="Times New Roman" w:hAnsi="Palatino Linotype" w:cs="Tahoma"/>
          <w:bCs/>
        </w:rPr>
      </w:pPr>
    </w:p>
    <w:p w14:paraId="01A1953A"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2EE67729"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w:t>
      </w:r>
    </w:p>
    <w:p w14:paraId="5A76365D"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Elementos utilizados en la generación de Sellos Digitales:</w:t>
      </w:r>
    </w:p>
    <w:p w14:paraId="0410644B"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w:t>
      </w:r>
      <w:r w:rsidRPr="004D38F7">
        <w:rPr>
          <w:rFonts w:ascii="Palatino Linotype" w:eastAsia="Times New Roman" w:hAnsi="Palatino Linotype" w:cs="Tahoma"/>
          <w:bCs/>
          <w:i/>
          <w:iCs/>
          <w:sz w:val="22"/>
        </w:rPr>
        <w:tab/>
        <w:t>Cadena Original, el elemento a sellar, en este caso de un comprobante fiscal digital a través de Internet.</w:t>
      </w:r>
    </w:p>
    <w:p w14:paraId="03E44C98"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w:t>
      </w:r>
      <w:r w:rsidRPr="004D38F7">
        <w:rPr>
          <w:rFonts w:ascii="Palatino Linotype" w:eastAsia="Times New Roman" w:hAnsi="Palatino Linotype" w:cs="Tahoma"/>
          <w:bCs/>
          <w:i/>
          <w:iCs/>
          <w:sz w:val="22"/>
        </w:rPr>
        <w:tab/>
        <w:t>Certificado de Sello Digital y su correspondiente clave privada.</w:t>
      </w:r>
    </w:p>
    <w:p w14:paraId="685B114C"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w:t>
      </w:r>
      <w:r w:rsidRPr="004D38F7">
        <w:rPr>
          <w:rFonts w:ascii="Palatino Linotype" w:eastAsia="Times New Roman" w:hAnsi="Palatino Linotype" w:cs="Tahoma"/>
          <w:bCs/>
          <w:i/>
          <w:iCs/>
          <w:sz w:val="22"/>
        </w:rPr>
        <w:tab/>
        <w:t>Algoritmos de criptografía de clave pública para firma electrónica avanzada.</w:t>
      </w:r>
    </w:p>
    <w:p w14:paraId="08B385A7"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w:t>
      </w:r>
      <w:r w:rsidRPr="004D38F7">
        <w:rPr>
          <w:rFonts w:ascii="Palatino Linotype" w:eastAsia="Times New Roman" w:hAnsi="Palatino Linotype" w:cs="Tahoma"/>
          <w:bCs/>
          <w:i/>
          <w:iCs/>
          <w:sz w:val="22"/>
        </w:rPr>
        <w:tab/>
        <w:t>Especificaciones de conversión de la firma electrónica avanzada a Base 64.</w:t>
      </w:r>
    </w:p>
    <w:p w14:paraId="6A1B0080"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Para la generación de sellos digitales se utiliza criptografía de clave pública aplicada a una cadena original.</w:t>
      </w:r>
    </w:p>
    <w:p w14:paraId="28EF2E7B"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Criptografía de la Clave Pública</w:t>
      </w:r>
    </w:p>
    <w:p w14:paraId="7AD6E172" w14:textId="77777777" w:rsidR="00D07563" w:rsidRPr="004D38F7" w:rsidRDefault="00D07563" w:rsidP="00D07563">
      <w:pPr>
        <w:spacing w:line="360" w:lineRule="auto"/>
        <w:ind w:left="709" w:right="539"/>
        <w:rPr>
          <w:rFonts w:ascii="Palatino Linotype" w:eastAsia="Times New Roman" w:hAnsi="Palatino Linotype" w:cs="Tahoma"/>
          <w:bCs/>
          <w:i/>
          <w:iCs/>
          <w:sz w:val="22"/>
        </w:rPr>
      </w:pPr>
      <w:r w:rsidRPr="004D38F7">
        <w:rPr>
          <w:rFonts w:ascii="Palatino Linotype" w:eastAsia="Times New Roman" w:hAnsi="Palatino Linotype" w:cs="Tahoma"/>
          <w:bCs/>
          <w:i/>
          <w:iCs/>
          <w:sz w:val="22"/>
        </w:rPr>
        <w:t xml:space="preserve">La criptografía de Clave Pública se basa en la generación de una pareja de números muy grandes relacionados íntimamente entre sí, de tal manera que una operación de </w:t>
      </w:r>
      <w:proofErr w:type="spellStart"/>
      <w:r w:rsidRPr="004D38F7">
        <w:rPr>
          <w:rFonts w:ascii="Palatino Linotype" w:eastAsia="Times New Roman" w:hAnsi="Palatino Linotype" w:cs="Tahoma"/>
          <w:bCs/>
          <w:i/>
          <w:iCs/>
          <w:sz w:val="22"/>
        </w:rPr>
        <w:t>encripción</w:t>
      </w:r>
      <w:proofErr w:type="spellEnd"/>
      <w:r w:rsidRPr="004D38F7">
        <w:rPr>
          <w:rFonts w:ascii="Palatino Linotype" w:eastAsia="Times New Roman" w:hAnsi="Palatino Linotype" w:cs="Tahoma"/>
          <w:bCs/>
          <w:i/>
          <w:iCs/>
          <w:sz w:val="22"/>
        </w:rPr>
        <w:t xml:space="preserve"> sobre un mensaje tomando como clave de </w:t>
      </w:r>
      <w:proofErr w:type="spellStart"/>
      <w:r w:rsidRPr="004D38F7">
        <w:rPr>
          <w:rFonts w:ascii="Palatino Linotype" w:eastAsia="Times New Roman" w:hAnsi="Palatino Linotype" w:cs="Tahoma"/>
          <w:bCs/>
          <w:i/>
          <w:iCs/>
          <w:sz w:val="22"/>
        </w:rPr>
        <w:t>encripción</w:t>
      </w:r>
      <w:proofErr w:type="spellEnd"/>
      <w:r w:rsidRPr="004D38F7">
        <w:rPr>
          <w:rFonts w:ascii="Palatino Linotype" w:eastAsia="Times New Roman" w:hAnsi="Palatino Linotype" w:cs="Tahoma"/>
          <w:bCs/>
          <w:i/>
          <w:iCs/>
          <w:sz w:val="22"/>
        </w:rPr>
        <w:t xml:space="preserve"> a uno de los dos números, produce un mensaje alterado en su significado que solo puede ser devuelto a su estado original mediante la operación de </w:t>
      </w:r>
      <w:proofErr w:type="spellStart"/>
      <w:r w:rsidRPr="004D38F7">
        <w:rPr>
          <w:rFonts w:ascii="Palatino Linotype" w:eastAsia="Times New Roman" w:hAnsi="Palatino Linotype" w:cs="Tahoma"/>
          <w:bCs/>
          <w:i/>
          <w:iCs/>
          <w:sz w:val="22"/>
        </w:rPr>
        <w:t>desencripción</w:t>
      </w:r>
      <w:proofErr w:type="spellEnd"/>
      <w:r w:rsidRPr="004D38F7">
        <w:rPr>
          <w:rFonts w:ascii="Palatino Linotype" w:eastAsia="Times New Roman" w:hAnsi="Palatino Linotype" w:cs="Tahoma"/>
          <w:bCs/>
          <w:i/>
          <w:iCs/>
          <w:sz w:val="22"/>
        </w:rPr>
        <w:t xml:space="preserve"> correspondiente tomando como clave de </w:t>
      </w:r>
      <w:proofErr w:type="spellStart"/>
      <w:r w:rsidRPr="004D38F7">
        <w:rPr>
          <w:rFonts w:ascii="Palatino Linotype" w:eastAsia="Times New Roman" w:hAnsi="Palatino Linotype" w:cs="Tahoma"/>
          <w:bCs/>
          <w:i/>
          <w:iCs/>
          <w:sz w:val="22"/>
        </w:rPr>
        <w:t>desencripción</w:t>
      </w:r>
      <w:proofErr w:type="spellEnd"/>
      <w:r w:rsidRPr="004D38F7">
        <w:rPr>
          <w:rFonts w:ascii="Palatino Linotype" w:eastAsia="Times New Roman" w:hAnsi="Palatino Linotype" w:cs="Tahoma"/>
          <w:bCs/>
          <w:i/>
          <w:iCs/>
          <w:sz w:val="22"/>
        </w:rPr>
        <w:t xml:space="preserve"> al otro número de la pareja.</w:t>
      </w:r>
    </w:p>
    <w:p w14:paraId="2093DE88" w14:textId="77777777" w:rsidR="00D07563" w:rsidRPr="004D38F7" w:rsidRDefault="00D07563" w:rsidP="00D07563">
      <w:pPr>
        <w:spacing w:line="360" w:lineRule="auto"/>
        <w:ind w:left="709"/>
        <w:rPr>
          <w:rFonts w:ascii="Palatino Linotype" w:eastAsia="Times New Roman" w:hAnsi="Palatino Linotype" w:cs="Tahoma"/>
          <w:bCs/>
          <w:sz w:val="22"/>
        </w:rPr>
      </w:pPr>
      <w:r w:rsidRPr="004D38F7">
        <w:rPr>
          <w:rFonts w:ascii="Palatino Linotype" w:eastAsia="Times New Roman" w:hAnsi="Palatino Linotype" w:cs="Tahoma"/>
          <w:bCs/>
          <w:sz w:val="22"/>
        </w:rPr>
        <w:lastRenderedPageBreak/>
        <w:t>…”</w:t>
      </w:r>
    </w:p>
    <w:p w14:paraId="63CCD4A8" w14:textId="77777777" w:rsidR="00D07563" w:rsidRPr="004D38F7" w:rsidRDefault="00D07563" w:rsidP="00D07563">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44071549"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5EC86CB5" w14:textId="77777777" w:rsidR="00D07563" w:rsidRPr="004D38F7" w:rsidRDefault="00D07563" w:rsidP="00D07563">
      <w:pPr>
        <w:spacing w:line="360" w:lineRule="auto"/>
        <w:rPr>
          <w:rFonts w:ascii="Palatino Linotype" w:eastAsia="Times New Roman" w:hAnsi="Palatino Linotype" w:cs="Tahoma"/>
          <w:bCs/>
        </w:rPr>
      </w:pPr>
    </w:p>
    <w:p w14:paraId="49FF37C4"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quince de agosto del presente año, a las once horas con diez minutos, en la página electrónica https://portalanterior.ine.mx/archivos2/tutoriales/sistemas/ApoyoInstitucional/SIF/docs/candidatos/folioFiscalFactura.pdf), en la cual se advierte que únicamente se encuentra conformado por números, se muestra a continuación:</w:t>
      </w:r>
    </w:p>
    <w:p w14:paraId="5F0B3623" w14:textId="77777777" w:rsidR="00D07563" w:rsidRPr="004D38F7" w:rsidRDefault="00D07563" w:rsidP="00D07563">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4C28D80C" w14:textId="77777777" w:rsidR="00D07563" w:rsidRPr="004D38F7" w:rsidRDefault="00D07563" w:rsidP="00D07563">
      <w:pPr>
        <w:spacing w:line="360" w:lineRule="auto"/>
        <w:jc w:val="center"/>
        <w:rPr>
          <w:rFonts w:ascii="Palatino Linotype" w:eastAsia="Times New Roman" w:hAnsi="Palatino Linotype" w:cs="Tahoma"/>
          <w:bCs/>
        </w:rPr>
      </w:pPr>
      <w:r w:rsidRPr="004D38F7">
        <w:rPr>
          <w:rFonts w:ascii="Palatino Linotype" w:eastAsia="Times New Roman" w:hAnsi="Palatino Linotype" w:cs="Tahoma"/>
          <w:noProof/>
          <w:lang w:val="es-MX" w:eastAsia="es-MX"/>
        </w:rPr>
        <w:drawing>
          <wp:inline distT="0" distB="0" distL="0" distR="0" wp14:anchorId="2FC84AEA" wp14:editId="31EEAD01">
            <wp:extent cx="3881132" cy="84394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71773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8694" cy="854288"/>
                    </a:xfrm>
                    <a:prstGeom prst="rect">
                      <a:avLst/>
                    </a:prstGeom>
                    <a:noFill/>
                    <a:ln>
                      <a:noFill/>
                    </a:ln>
                  </pic:spPr>
                </pic:pic>
              </a:graphicData>
            </a:graphic>
          </wp:inline>
        </w:drawing>
      </w:r>
    </w:p>
    <w:p w14:paraId="55F51D73" w14:textId="77777777" w:rsidR="00D07563" w:rsidRPr="004D38F7" w:rsidRDefault="00D07563" w:rsidP="00D07563">
      <w:pPr>
        <w:spacing w:line="360" w:lineRule="auto"/>
        <w:rPr>
          <w:rFonts w:ascii="Palatino Linotype" w:eastAsia="Times New Roman" w:hAnsi="Palatino Linotype" w:cs="Tahoma"/>
          <w:bCs/>
        </w:rPr>
      </w:pPr>
    </w:p>
    <w:p w14:paraId="37779D7E"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sidRPr="004D38F7">
        <w:rPr>
          <w:rFonts w:ascii="Palatino Linotype" w:eastAsia="Times New Roman" w:hAnsi="Palatino Linotype" w:cs="Tahoma"/>
          <w:bCs/>
          <w:i/>
        </w:rPr>
        <w:t>Máxime</w:t>
      </w:r>
      <w:r w:rsidRPr="004D38F7">
        <w:rPr>
          <w:rFonts w:ascii="Palatino Linotype" w:eastAsia="Times New Roman" w:hAnsi="Palatino Linotype" w:cs="Tahoma"/>
          <w:bCs/>
        </w:rPr>
        <w:t xml:space="preserve"> que permite corroborar la legitimidad a la factura, pues amparan la utilización de los certificados de sellos digitales válidos.</w:t>
      </w:r>
    </w:p>
    <w:p w14:paraId="02E1C704" w14:textId="77777777" w:rsidR="00D07563" w:rsidRPr="004D38F7" w:rsidRDefault="00D07563" w:rsidP="00D07563">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2A9C8892"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523011A5" w14:textId="77777777" w:rsidR="00D07563" w:rsidRPr="004D38F7" w:rsidRDefault="00D07563" w:rsidP="00D07563">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1921D829" w14:textId="77777777" w:rsidR="00D07563" w:rsidRPr="004D38F7" w:rsidRDefault="00D07563" w:rsidP="00D07563">
      <w:pPr>
        <w:spacing w:line="360" w:lineRule="auto"/>
        <w:jc w:val="center"/>
        <w:rPr>
          <w:rFonts w:ascii="Palatino Linotype" w:eastAsia="Times New Roman" w:hAnsi="Palatino Linotype" w:cs="Tahoma"/>
          <w:bCs/>
        </w:rPr>
      </w:pPr>
      <w:r w:rsidRPr="004D38F7">
        <w:rPr>
          <w:rFonts w:ascii="Palatino Linotype" w:eastAsia="Times New Roman" w:hAnsi="Palatino Linotype" w:cs="Tahoma"/>
          <w:noProof/>
          <w:lang w:val="es-MX" w:eastAsia="es-MX"/>
        </w:rPr>
        <w:drawing>
          <wp:inline distT="0" distB="0" distL="0" distR="0" wp14:anchorId="2C6FC978" wp14:editId="5790CCB8">
            <wp:extent cx="3832416" cy="9178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b="47104"/>
                    <a:stretch>
                      <a:fillRect/>
                    </a:stretch>
                  </pic:blipFill>
                  <pic:spPr bwMode="auto">
                    <a:xfrm>
                      <a:off x="0" y="0"/>
                      <a:ext cx="3877712" cy="928654"/>
                    </a:xfrm>
                    <a:prstGeom prst="rect">
                      <a:avLst/>
                    </a:prstGeom>
                    <a:noFill/>
                    <a:ln>
                      <a:noFill/>
                    </a:ln>
                  </pic:spPr>
                </pic:pic>
              </a:graphicData>
            </a:graphic>
          </wp:inline>
        </w:drawing>
      </w:r>
    </w:p>
    <w:p w14:paraId="426E61FB"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ese contexto, de la misma manera que en los casos previamente analizados, el folio fiscal, no contiene datos personales del emisor y tampoco se puede obtener información confidencial con el mismo, pues solamente es un identificador del emisor, </w:t>
      </w:r>
      <w:r w:rsidRPr="004D38F7">
        <w:rPr>
          <w:rFonts w:ascii="Palatino Linotype" w:eastAsia="Times New Roman" w:hAnsi="Palatino Linotype" w:cs="Tahoma"/>
          <w:bCs/>
        </w:rPr>
        <w:lastRenderedPageBreak/>
        <w:t>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FB19FCB" w14:textId="77777777" w:rsidR="00D07563" w:rsidRPr="004D38F7" w:rsidRDefault="00D07563" w:rsidP="00D07563">
      <w:pPr>
        <w:spacing w:line="360" w:lineRule="auto"/>
        <w:rPr>
          <w:rFonts w:ascii="Palatino Linotype" w:eastAsia="Times New Roman" w:hAnsi="Palatino Linotype" w:cs="Tahoma"/>
          <w:bCs/>
        </w:rPr>
      </w:pPr>
    </w:p>
    <w:p w14:paraId="7C4BFEC4" w14:textId="77777777" w:rsidR="00D07563" w:rsidRPr="004D38F7" w:rsidRDefault="00D07563" w:rsidP="00D07563">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 De tal suerte que lo remitido en calidad de informe </w:t>
      </w:r>
      <w:r w:rsidR="00E0579D" w:rsidRPr="004D38F7">
        <w:rPr>
          <w:rFonts w:ascii="Palatino Linotype" w:eastAsia="Times New Roman" w:hAnsi="Palatino Linotype" w:cs="Tahoma"/>
          <w:bCs/>
        </w:rPr>
        <w:t>justificado deberá ser entregadas en versión íntegra</w:t>
      </w:r>
      <w:r w:rsidRPr="004D38F7">
        <w:rPr>
          <w:rFonts w:ascii="Palatino Linotype" w:eastAsia="Times New Roman" w:hAnsi="Palatino Linotype" w:cs="Tahoma"/>
          <w:bCs/>
        </w:rPr>
        <w:t xml:space="preserve"> en cumplimiento al presente proveído.</w:t>
      </w:r>
    </w:p>
    <w:p w14:paraId="0A79A51C" w14:textId="77777777" w:rsidR="00D07563" w:rsidRPr="004D38F7" w:rsidRDefault="00D07563" w:rsidP="00D07563">
      <w:pPr>
        <w:pStyle w:val="Prrafodelista"/>
        <w:rPr>
          <w:rFonts w:ascii="Palatino Linotype" w:eastAsia="Times New Roman" w:hAnsi="Palatino Linotype" w:cs="Tahoma"/>
          <w:bCs/>
        </w:rPr>
      </w:pPr>
    </w:p>
    <w:p w14:paraId="77BFD90B" w14:textId="77777777" w:rsidR="00D07563" w:rsidRPr="004D38F7" w:rsidRDefault="00D07563" w:rsidP="00136212">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Respecto de los montos de adeudos, se advierte que se colma parcialmente; toda vez que se remite la integración de saldos con la Comisión Federal de Electricidad al treinta y uno de agosto de dos mil veintitrés, endeudamiento neto </w:t>
      </w:r>
      <w:r w:rsidR="00136212" w:rsidRPr="004D38F7">
        <w:rPr>
          <w:rFonts w:ascii="Palatino Linotype" w:eastAsia="Times New Roman" w:hAnsi="Palatino Linotype" w:cs="Tahoma"/>
          <w:bCs/>
        </w:rPr>
        <w:t xml:space="preserve">por crédito bancario </w:t>
      </w:r>
      <w:r w:rsidRPr="004D38F7">
        <w:rPr>
          <w:rFonts w:ascii="Palatino Linotype" w:eastAsia="Times New Roman" w:hAnsi="Palatino Linotype" w:cs="Tahoma"/>
          <w:bCs/>
        </w:rPr>
        <w:t xml:space="preserve">y </w:t>
      </w:r>
      <w:r w:rsidR="00136212" w:rsidRPr="004D38F7">
        <w:rPr>
          <w:rFonts w:ascii="Palatino Linotype" w:eastAsia="Times New Roman" w:hAnsi="Palatino Linotype" w:cs="Tahoma"/>
          <w:bCs/>
        </w:rPr>
        <w:t xml:space="preserve">con </w:t>
      </w:r>
      <w:r w:rsidRPr="004D38F7">
        <w:rPr>
          <w:rFonts w:ascii="Palatino Linotype" w:eastAsia="Times New Roman" w:hAnsi="Palatino Linotype" w:cs="Tahoma"/>
          <w:bCs/>
        </w:rPr>
        <w:t>el Instituto de Seguridad Social del Estado de México y Municipios (ISSEMYM)</w:t>
      </w:r>
      <w:r w:rsidR="00136212" w:rsidRPr="004D38F7">
        <w:rPr>
          <w:rFonts w:ascii="Palatino Linotype" w:eastAsia="Times New Roman" w:hAnsi="Palatino Linotype" w:cs="Tahoma"/>
          <w:bCs/>
        </w:rPr>
        <w:t>, del uno de enero al treinta de junio de dos mil veintitrés, no obstante que la solicitud de información ingresó el cinco de septiembre de dos mil veintitrés y, dicho rubro carecía de extremos temporales de los cuales se requería la información, por lo que se debió considerar la entrega de la información a la fecha de la solicitud, es decir al cinco de septiembre de dos mil veintitrés.</w:t>
      </w:r>
    </w:p>
    <w:p w14:paraId="15F66BD7" w14:textId="77777777" w:rsidR="00D6672C" w:rsidRPr="004D38F7" w:rsidRDefault="00D6672C" w:rsidP="00D6672C">
      <w:pPr>
        <w:numPr>
          <w:ilvl w:val="0"/>
          <w:numId w:val="1"/>
        </w:numPr>
        <w:spacing w:line="360" w:lineRule="auto"/>
        <w:ind w:left="0" w:firstLine="0"/>
        <w:contextualSpacing/>
        <w:jc w:val="both"/>
        <w:rPr>
          <w:rFonts w:ascii="Palatino Linotype" w:hAnsi="Palatino Linotype"/>
        </w:rPr>
      </w:pPr>
      <w:r w:rsidRPr="004D38F7">
        <w:rPr>
          <w:rFonts w:ascii="Palatino Linotype" w:eastAsia="Times New Roman" w:hAnsi="Palatino Linotype" w:cs="Tahoma"/>
          <w:bCs/>
        </w:rPr>
        <w:t>Si bien es cierto, el Sujeto Obligado con su respuesta acepta que genera, posee y administra lo solicitado no es óbice para exponer lo siguiente. E</w:t>
      </w:r>
      <w:r w:rsidRPr="004D38F7">
        <w:rPr>
          <w:rFonts w:ascii="Palatino Linotype" w:hAnsi="Palatino Linotype"/>
        </w:rPr>
        <w:t xml:space="preserve">l Anexo IV.5 Glosario de Términos del Manual para la Planeación, Programación y Presupuesto de Egresos </w:t>
      </w:r>
      <w:r w:rsidRPr="004D38F7">
        <w:rPr>
          <w:rFonts w:ascii="Palatino Linotype" w:hAnsi="Palatino Linotype"/>
        </w:rPr>
        <w:lastRenderedPageBreak/>
        <w:t>Municipal, para el ejercicio fiscal dos mil veintitrés, establece que una deuda, es la cantidad de dinero que una persona, empresa, institución pública, dependencia, entre otras, le debe a otra y que constituyen obligaciones que se deben de saldar.</w:t>
      </w:r>
    </w:p>
    <w:p w14:paraId="2993DFDD" w14:textId="77777777" w:rsidR="00D6672C" w:rsidRPr="004D38F7" w:rsidRDefault="00D6672C" w:rsidP="00D6672C">
      <w:pPr>
        <w:spacing w:line="360" w:lineRule="auto"/>
        <w:ind w:right="-28"/>
        <w:contextualSpacing/>
        <w:rPr>
          <w:rFonts w:ascii="Palatino Linotype" w:eastAsia="Times New Roman" w:hAnsi="Palatino Linotype" w:cs="Tahoma"/>
          <w:bCs/>
          <w:iCs/>
        </w:rPr>
      </w:pPr>
    </w:p>
    <w:p w14:paraId="28FFE313" w14:textId="77777777" w:rsidR="00D6672C" w:rsidRPr="004D38F7" w:rsidRDefault="00D6672C" w:rsidP="00D6672C">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rPr>
        <w:t xml:space="preserve">En tal sentido, el artículo 4° de la Ley General de Contabilidad Gubernamental, con relación a los diversos 256 del Código Financiero del Estado de México y Municipios, establecen que la deuda </w:t>
      </w:r>
      <w:r w:rsidRPr="004D38F7">
        <w:rPr>
          <w:rFonts w:ascii="Palatino Linotype" w:eastAsia="Times New Roman" w:hAnsi="Palatino Linotype" w:cs="Tahoma"/>
          <w:bCs/>
        </w:rPr>
        <w:t>pública</w:t>
      </w:r>
      <w:r w:rsidRPr="004D38F7">
        <w:rPr>
          <w:rFonts w:ascii="Palatino Linotype" w:eastAsia="Times New Roman" w:hAnsi="Palatino Linotype"/>
        </w:rPr>
        <w:t>, se constituye por las obligaciones de pasivo directas, indirectas o contingentes, contraídas por los entes públicos.</w:t>
      </w:r>
    </w:p>
    <w:p w14:paraId="7BB715CF" w14:textId="77777777" w:rsidR="00D6672C" w:rsidRPr="004D38F7" w:rsidRDefault="00D6672C" w:rsidP="00D6672C">
      <w:pPr>
        <w:spacing w:line="360" w:lineRule="auto"/>
        <w:ind w:right="-28"/>
        <w:contextualSpacing/>
        <w:rPr>
          <w:rFonts w:ascii="Palatino Linotype" w:eastAsia="Times New Roman" w:hAnsi="Palatino Linotype"/>
        </w:rPr>
      </w:pPr>
    </w:p>
    <w:p w14:paraId="39CC9219" w14:textId="77777777" w:rsidR="00D6672C" w:rsidRDefault="00D6672C" w:rsidP="00D6672C">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ese orden de ideas, los artículos 257 y 258 del Código mencionado, precisa que el financiamiento es </w:t>
      </w:r>
      <w:r w:rsidRPr="004D38F7">
        <w:rPr>
          <w:rFonts w:ascii="Palatino Linotype" w:eastAsia="Times New Roman" w:hAnsi="Palatino Linotype"/>
        </w:rPr>
        <w:t>toda</w:t>
      </w:r>
      <w:r w:rsidRPr="004D38F7">
        <w:rPr>
          <w:rFonts w:ascii="Palatino Linotype" w:eastAsia="Times New Roman" w:hAnsi="Palatino Linotype" w:cs="Tahoma"/>
        </w:rPr>
        <w:t xml:space="preserve"> operación constitutiva de un pasivo directo o contingente, de corto, mediano o largo plazo, a cargo de los entes públicos, derivada de un crédito, empréstito; además, que el endeudamiento es el conjunto de financiamiento y obligaciones contratadas, entre otros, por los Municipios.</w:t>
      </w:r>
    </w:p>
    <w:p w14:paraId="780D9222" w14:textId="77777777" w:rsidR="004D38F7" w:rsidRPr="004D38F7" w:rsidRDefault="004D38F7" w:rsidP="004D38F7">
      <w:pPr>
        <w:spacing w:line="360" w:lineRule="auto"/>
        <w:contextualSpacing/>
        <w:jc w:val="both"/>
        <w:rPr>
          <w:rFonts w:ascii="Palatino Linotype" w:eastAsia="Times New Roman" w:hAnsi="Palatino Linotype" w:cs="Tahoma"/>
        </w:rPr>
      </w:pPr>
    </w:p>
    <w:p w14:paraId="3BAC2660" w14:textId="77777777" w:rsidR="00D6672C" w:rsidRPr="004D38F7" w:rsidRDefault="00D6672C" w:rsidP="00D6672C">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ese orden de ideas, los Lineamientos para la Integración y Entrega del Informe Trimestral Municipal, dos mil veintitrés, entre los formatos que maneja en el </w:t>
      </w:r>
      <w:r w:rsidRPr="004D38F7">
        <w:rPr>
          <w:rFonts w:ascii="Palatino Linotype" w:eastAsia="Times New Roman" w:hAnsi="Palatino Linotype" w:cs="Tahoma"/>
          <w:b/>
          <w:bCs/>
        </w:rPr>
        <w:t>Módulo 1</w:t>
      </w:r>
      <w:r w:rsidRPr="004D38F7">
        <w:rPr>
          <w:rFonts w:ascii="Palatino Linotype" w:eastAsia="Times New Roman" w:hAnsi="Palatino Linotype" w:cs="Tahoma"/>
        </w:rPr>
        <w:t>, se advierte que se encuentra el Estado Analítico de Deuda y Otros Pasivos, mismo que será entregado al Órgano Superior de Fiscalización del Estado de México.</w:t>
      </w:r>
    </w:p>
    <w:p w14:paraId="56490CD0" w14:textId="77777777" w:rsidR="00D6672C" w:rsidRPr="004D38F7" w:rsidRDefault="00D6672C" w:rsidP="00D6672C">
      <w:pPr>
        <w:spacing w:line="360" w:lineRule="auto"/>
        <w:ind w:right="-28"/>
        <w:contextualSpacing/>
        <w:rPr>
          <w:rFonts w:ascii="Palatino Linotype" w:eastAsia="Times New Roman" w:hAnsi="Palatino Linotype" w:cs="Tahoma"/>
        </w:rPr>
      </w:pPr>
    </w:p>
    <w:p w14:paraId="4B7D5C88" w14:textId="77777777" w:rsidR="00D6672C" w:rsidRPr="004D38F7" w:rsidRDefault="00D6672C" w:rsidP="00D6672C">
      <w:pPr>
        <w:numPr>
          <w:ilvl w:val="0"/>
          <w:numId w:val="1"/>
        </w:numPr>
        <w:spacing w:line="360" w:lineRule="auto"/>
        <w:ind w:left="0" w:firstLine="0"/>
        <w:contextualSpacing/>
        <w:jc w:val="both"/>
        <w:rPr>
          <w:rFonts w:ascii="Palatino Linotype" w:hAnsi="Palatino Linotype" w:cs="Tahoma"/>
          <w:lang w:val="es-ES" w:eastAsia="es-MX"/>
        </w:rPr>
      </w:pPr>
      <w:r w:rsidRPr="004D38F7">
        <w:rPr>
          <w:rFonts w:ascii="Palatino Linotype" w:hAnsi="Palatino Linotype" w:cs="Tahoma"/>
          <w:bCs/>
        </w:rPr>
        <w:t xml:space="preserve">Establecido lo </w:t>
      </w:r>
      <w:r w:rsidRPr="004D38F7">
        <w:rPr>
          <w:rFonts w:ascii="Palatino Linotype" w:eastAsia="Times New Roman" w:hAnsi="Palatino Linotype" w:cs="Tahoma"/>
        </w:rPr>
        <w:t>anterior</w:t>
      </w:r>
      <w:r w:rsidRPr="004D38F7">
        <w:rPr>
          <w:rFonts w:ascii="Palatino Linotype" w:hAnsi="Palatino Linotype" w:cs="Tahoma"/>
          <w:bCs/>
        </w:rPr>
        <w:t>, es de señalar que el Sujeto Obligado omitió realizar pronunciamiento al respecto, no obstante de haberse turnado la solicitud de información a la Tesorería Municipal</w:t>
      </w:r>
      <w:r w:rsidRPr="004D38F7">
        <w:rPr>
          <w:rFonts w:ascii="Palatino Linotype" w:hAnsi="Palatino Linotype" w:cs="Tahoma"/>
          <w:lang w:val="es-ES" w:eastAsia="es-MX"/>
        </w:rPr>
        <w:t xml:space="preserve">, área encargada de realizar el ejercicio administrativo, financiero de la Hacienda Pública, de la recaudación de los ingresos y realización de las erogaciones </w:t>
      </w:r>
      <w:r w:rsidRPr="004D38F7">
        <w:rPr>
          <w:rFonts w:ascii="Palatino Linotype" w:hAnsi="Palatino Linotype" w:cs="Tahoma"/>
          <w:lang w:val="es-ES" w:eastAsia="es-MX"/>
        </w:rPr>
        <w:lastRenderedPageBreak/>
        <w:t xml:space="preserve">que haga la Administración Pública Municipal, así como, de la presentación del informe de situación contable y financiera. </w:t>
      </w:r>
      <w:r w:rsidRPr="004D38F7">
        <w:rPr>
          <w:rFonts w:ascii="Palatino Linotype" w:hAnsi="Palatino Linotype" w:cs="Tahoma"/>
          <w:lang w:eastAsia="es-MX"/>
        </w:rPr>
        <w:t>De tal circunstancia</w:t>
      </w:r>
      <w:r w:rsidRPr="004D38F7">
        <w:rPr>
          <w:rFonts w:ascii="Palatino Linotype" w:hAnsi="Palatino Linotype" w:cs="Tahoma"/>
          <w:bCs/>
          <w:iCs/>
          <w:lang w:eastAsia="es-MX"/>
        </w:rPr>
        <w:t>, se insiste el Sujeto Obligado deberá remitir la información en los términos planteados.</w:t>
      </w:r>
    </w:p>
    <w:p w14:paraId="2353A680" w14:textId="77777777" w:rsidR="004E76B4" w:rsidRPr="004D38F7" w:rsidRDefault="004E76B4" w:rsidP="004E76B4">
      <w:pPr>
        <w:pStyle w:val="Prrafodelista"/>
        <w:rPr>
          <w:rFonts w:ascii="Palatino Linotype" w:hAnsi="Palatino Linotype" w:cs="Tahoma"/>
          <w:lang w:val="es-ES" w:eastAsia="es-MX"/>
        </w:rPr>
      </w:pPr>
    </w:p>
    <w:p w14:paraId="5B272EDA" w14:textId="77777777" w:rsidR="00136212" w:rsidRPr="004D38F7" w:rsidRDefault="00136212" w:rsidP="00D6672C">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Respecto de la soli</w:t>
      </w:r>
      <w:r w:rsidR="00D6672C" w:rsidRPr="004D38F7">
        <w:rPr>
          <w:rFonts w:ascii="Palatino Linotype" w:eastAsia="Times New Roman" w:hAnsi="Palatino Linotype" w:cs="Tahoma"/>
          <w:bCs/>
        </w:rPr>
        <w:t>citud de información relativa a</w:t>
      </w:r>
      <w:r w:rsidRPr="004D38F7">
        <w:rPr>
          <w:rFonts w:ascii="Palatino Linotype" w:eastAsia="Times New Roman" w:hAnsi="Palatino Linotype" w:cs="Tahoma"/>
          <w:bCs/>
        </w:rPr>
        <w:t xml:space="preserve"> cuánto ascienden los ingresos y egresos netos de Ayuntamiento de a enero a agosto 2023, se </w:t>
      </w:r>
      <w:r w:rsidR="00D6672C" w:rsidRPr="004D38F7">
        <w:rPr>
          <w:rFonts w:ascii="Palatino Linotype" w:eastAsia="Times New Roman" w:hAnsi="Palatino Linotype" w:cs="Tahoma"/>
          <w:bCs/>
        </w:rPr>
        <w:t>entregaron</w:t>
      </w:r>
      <w:r w:rsidRPr="004D38F7">
        <w:rPr>
          <w:rFonts w:ascii="Palatino Linotype" w:eastAsia="Times New Roman" w:hAnsi="Palatino Linotype" w:cs="Tahoma"/>
          <w:bCs/>
        </w:rPr>
        <w:t xml:space="preserve"> los estados analíticos de</w:t>
      </w:r>
      <w:r w:rsidR="00FF7BDC" w:rsidRPr="004D38F7">
        <w:rPr>
          <w:rFonts w:ascii="Palatino Linotype" w:eastAsia="Times New Roman" w:hAnsi="Palatino Linotype" w:cs="Tahoma"/>
          <w:bCs/>
        </w:rPr>
        <w:t xml:space="preserve"> egresos e</w:t>
      </w:r>
      <w:r w:rsidRPr="004D38F7">
        <w:rPr>
          <w:rFonts w:ascii="Palatino Linotype" w:eastAsia="Times New Roman" w:hAnsi="Palatino Linotype" w:cs="Tahoma"/>
          <w:bCs/>
        </w:rPr>
        <w:t xml:space="preserve"> ingresos, que corresponde a un informe financiero que detalla de manera pormenorizada las fuentes y co</w:t>
      </w:r>
      <w:r w:rsidR="00D6672C" w:rsidRPr="004D38F7">
        <w:rPr>
          <w:rFonts w:ascii="Palatino Linotype" w:eastAsia="Times New Roman" w:hAnsi="Palatino Linotype" w:cs="Tahoma"/>
          <w:bCs/>
        </w:rPr>
        <w:t>nceptos de los ingresos del Ayuntamiento</w:t>
      </w:r>
      <w:r w:rsidRPr="004D38F7">
        <w:rPr>
          <w:rFonts w:ascii="Palatino Linotype" w:eastAsia="Times New Roman" w:hAnsi="Palatino Linotype" w:cs="Tahoma"/>
          <w:bCs/>
        </w:rPr>
        <w:t xml:space="preserve">, desglosándolos en función de su origen y naturaleza. </w:t>
      </w:r>
      <w:r w:rsidR="00D6672C" w:rsidRPr="004D38F7">
        <w:rPr>
          <w:rFonts w:ascii="Palatino Linotype" w:eastAsia="Times New Roman" w:hAnsi="Palatino Linotype" w:cs="Tahoma"/>
          <w:bCs/>
        </w:rPr>
        <w:t>Sin embargo su lapso temporal no colma el lapso temporal establecido al versar</w:t>
      </w:r>
      <w:r w:rsidR="00D6672C" w:rsidRPr="004D38F7">
        <w:rPr>
          <w:rFonts w:ascii="Palatino Linotype" w:hAnsi="Palatino Linotype"/>
        </w:rPr>
        <w:t xml:space="preserve"> </w:t>
      </w:r>
      <w:r w:rsidR="00D6672C" w:rsidRPr="004D38F7">
        <w:rPr>
          <w:rFonts w:ascii="Palatino Linotype" w:eastAsia="Times New Roman" w:hAnsi="Palatino Linotype" w:cs="Tahoma"/>
          <w:bCs/>
        </w:rPr>
        <w:t>del 1 de enero al 30 de junio de 2023</w:t>
      </w:r>
      <w:r w:rsidR="004E76B4" w:rsidRPr="004D38F7">
        <w:rPr>
          <w:rFonts w:ascii="Palatino Linotype" w:eastAsia="Times New Roman" w:hAnsi="Palatino Linotype" w:cs="Tahoma"/>
          <w:bCs/>
        </w:rPr>
        <w:t>, por lo que en todo caso, debe remitirse la información a la fecha establecida.</w:t>
      </w:r>
    </w:p>
    <w:p w14:paraId="093D3D70" w14:textId="77777777" w:rsidR="00D6672C" w:rsidRPr="004D38F7" w:rsidRDefault="00D6672C" w:rsidP="00D6672C">
      <w:pPr>
        <w:pStyle w:val="Prrafodelista"/>
        <w:rPr>
          <w:rFonts w:ascii="Palatino Linotype" w:eastAsia="Times New Roman" w:hAnsi="Palatino Linotype" w:cs="Tahoma"/>
          <w:bCs/>
        </w:rPr>
      </w:pPr>
    </w:p>
    <w:p w14:paraId="0D6A95CE"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Arial"/>
          <w:iCs/>
          <w:lang w:val="es-ES"/>
        </w:rPr>
      </w:pPr>
      <w:r w:rsidRPr="004D38F7">
        <w:rPr>
          <w:rFonts w:ascii="Palatino Linotype" w:eastAsia="Times New Roman" w:hAnsi="Palatino Linotype" w:cs="Tahoma"/>
          <w:bCs/>
        </w:rPr>
        <w:t xml:space="preserve">No pasando desapercibido dable señalar que </w:t>
      </w:r>
      <w:r w:rsidRPr="004D38F7">
        <w:rPr>
          <w:rFonts w:ascii="Palatino Linotype" w:hAnsi="Palatino Linotype" w:cs="Arial"/>
          <w:iCs/>
          <w:lang w:val="es-ES"/>
        </w:rPr>
        <w:t>los artículos</w:t>
      </w:r>
      <w:r w:rsidRPr="004D38F7">
        <w:rPr>
          <w:rFonts w:ascii="Palatino Linotype" w:eastAsia="Arial Unicode MS" w:hAnsi="Palatino Linotype" w:cs="Arial"/>
          <w:iCs/>
          <w:lang w:val="es-ES"/>
        </w:rPr>
        <w:t xml:space="preserve"> 31, fracción XVIII, 53, fracción III, 93, 95, fracciones I, IV, de la Ley Orgánica Municipal del Estado de México, </w:t>
      </w:r>
      <w:r w:rsidRPr="004D38F7">
        <w:rPr>
          <w:rFonts w:ascii="Palatino Linotype" w:hAnsi="Palatino Linotype" w:cs="Arial"/>
          <w:iCs/>
          <w:lang w:eastAsia="es-MX"/>
        </w:rPr>
        <w:t xml:space="preserve">estipulan que son </w:t>
      </w:r>
      <w:r w:rsidRPr="004D38F7">
        <w:rPr>
          <w:rFonts w:ascii="Palatino Linotype" w:hAnsi="Palatino Linotype" w:cs="Arial"/>
          <w:i/>
          <w:lang w:eastAsia="es-MX"/>
        </w:rPr>
        <w:t xml:space="preserve"> </w:t>
      </w:r>
      <w:r w:rsidRPr="004D38F7">
        <w:rPr>
          <w:rFonts w:ascii="Palatino Linotype" w:hAnsi="Palatino Linotype" w:cs="Arial"/>
          <w:iCs/>
          <w:lang w:val="es-ES"/>
        </w:rPr>
        <w:t>atribuciones de los ayuntamientos, administrar su hacienda en términos de ley, y controlar a través del presidente y síndico la aplicación del presupuesto de egresos del municipio, por su parte el síndico tendrán entre sus atribuciones las de cuidar que la aplicación de los gastos se haga llenando todos los requisitos legales y conforme al presupuesto respectivo, mientras que la tesorería municipal es el órgano encargado de la recaudación de los ingresos municipales y responsable de realizar las erogaciones que haga el ayuntamiento, la cual tiene entre sus atribuciones la de administrar la hacienda pública municipal, de conformidad con las disposiciones legales aplicables y llevar los registros contables, financieros y administrativos de los ingresos, egresos, e inventarios.</w:t>
      </w:r>
    </w:p>
    <w:p w14:paraId="4D01C871" w14:textId="77777777" w:rsidR="004E76B4" w:rsidRPr="004D38F7" w:rsidRDefault="004E76B4" w:rsidP="004E76B4">
      <w:pPr>
        <w:autoSpaceDE w:val="0"/>
        <w:autoSpaceDN w:val="0"/>
        <w:adjustRightInd w:val="0"/>
        <w:spacing w:line="360" w:lineRule="auto"/>
        <w:ind w:left="567" w:right="567"/>
        <w:rPr>
          <w:rFonts w:ascii="Palatino Linotype" w:hAnsi="Palatino Linotype" w:cs="Arial"/>
          <w:i/>
          <w:lang w:eastAsia="es-MX"/>
        </w:rPr>
      </w:pPr>
    </w:p>
    <w:p w14:paraId="58737143"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rPr>
      </w:pPr>
      <w:r w:rsidRPr="004D38F7">
        <w:rPr>
          <w:rFonts w:ascii="Palatino Linotype" w:eastAsia="Arial Unicode MS" w:hAnsi="Palatino Linotype" w:cs="Arial"/>
          <w:iCs/>
          <w:lang w:val="es-ES"/>
        </w:rPr>
        <w:lastRenderedPageBreak/>
        <w:t xml:space="preserve">De lo anterior se desprende que los ayuntamientos administran su hacienda en términos de ley, </w:t>
      </w:r>
      <w:r w:rsidRPr="004D38F7">
        <w:rPr>
          <w:rFonts w:ascii="Palatino Linotype" w:eastAsia="Times New Roman" w:hAnsi="Palatino Linotype" w:cs="Tahoma"/>
          <w:bCs/>
        </w:rPr>
        <w:t>por</w:t>
      </w:r>
      <w:r w:rsidRPr="004D38F7">
        <w:rPr>
          <w:rFonts w:ascii="Palatino Linotype" w:eastAsia="Arial Unicode MS" w:hAnsi="Palatino Linotype" w:cs="Arial"/>
          <w:iCs/>
          <w:lang w:val="es-ES"/>
        </w:rPr>
        <w:t xml:space="preserve"> lo que le corresponde controlar al presidente y síndico la aplicación del presupuesto de egresos del municipio, además que al síndico le corresponde cuidar que la aplicación de los gastos se haga llenando todos los requisitos legales y conforme al presupuesto correspondiente y es al </w:t>
      </w:r>
      <w:r w:rsidRPr="004D38F7">
        <w:rPr>
          <w:rFonts w:ascii="Palatino Linotype" w:eastAsia="Arial Unicode MS" w:hAnsi="Palatino Linotype" w:cs="Arial"/>
          <w:b/>
          <w:iCs/>
          <w:u w:val="single"/>
          <w:lang w:val="es-ES"/>
        </w:rPr>
        <w:t>Tesorero al que le corresponde llevar los registros contables, financieros y administrativos de los ingresos, egresos</w:t>
      </w:r>
      <w:r w:rsidRPr="004D38F7">
        <w:rPr>
          <w:rFonts w:ascii="Palatino Linotype" w:eastAsia="Arial Unicode MS" w:hAnsi="Palatino Linotype" w:cs="Arial"/>
          <w:iCs/>
          <w:lang w:val="es-ES"/>
        </w:rPr>
        <w:t>.</w:t>
      </w:r>
    </w:p>
    <w:p w14:paraId="5FCD0BDA" w14:textId="77777777" w:rsidR="004E76B4" w:rsidRPr="004D38F7" w:rsidRDefault="004E76B4" w:rsidP="004E76B4">
      <w:pPr>
        <w:spacing w:line="360" w:lineRule="auto"/>
        <w:ind w:right="-28"/>
        <w:contextualSpacing/>
        <w:rPr>
          <w:rFonts w:ascii="Palatino Linotype" w:hAnsi="Palatino Linotype" w:cs="Tahoma"/>
        </w:rPr>
      </w:pPr>
    </w:p>
    <w:p w14:paraId="584C9557"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rPr>
      </w:pPr>
      <w:r w:rsidRPr="004D38F7">
        <w:rPr>
          <w:rFonts w:ascii="Palatino Linotype" w:hAnsi="Palatino Linotype" w:cs="Tahoma"/>
        </w:rPr>
        <w:t xml:space="preserve">Sobre el tema, la Guía Técnica 7 Elaboración y Ejercicio de Presupuesto de Egresos del Instituto Nacional para el Federalismo y el Desarrollo Municipal, establece que el </w:t>
      </w:r>
      <w:r w:rsidRPr="004D38F7">
        <w:rPr>
          <w:rFonts w:ascii="Palatino Linotype" w:eastAsia="Arial Unicode MS" w:hAnsi="Palatino Linotype" w:cs="Arial"/>
          <w:iCs/>
          <w:lang w:val="es-ES"/>
        </w:rPr>
        <w:t>Presupuesto</w:t>
      </w:r>
      <w:r w:rsidRPr="004D38F7">
        <w:rPr>
          <w:rFonts w:ascii="Palatino Linotype" w:hAnsi="Palatino Linotype" w:cs="Tahoma"/>
        </w:rPr>
        <w:t xml:space="preserve"> de Egresos constituye el programa anual de gastos del municipio, que permite al Ayuntamiento:</w:t>
      </w:r>
    </w:p>
    <w:p w14:paraId="0D0A2112" w14:textId="77777777" w:rsidR="004E76B4" w:rsidRPr="004D38F7" w:rsidRDefault="004E76B4" w:rsidP="004E76B4">
      <w:pPr>
        <w:numPr>
          <w:ilvl w:val="0"/>
          <w:numId w:val="16"/>
        </w:numPr>
        <w:spacing w:line="360" w:lineRule="auto"/>
        <w:ind w:right="-28"/>
        <w:contextualSpacing/>
        <w:jc w:val="both"/>
        <w:rPr>
          <w:rFonts w:ascii="Palatino Linotype" w:eastAsia="Times New Roman" w:hAnsi="Palatino Linotype" w:cs="Tahoma"/>
        </w:rPr>
      </w:pPr>
      <w:r w:rsidRPr="004D38F7">
        <w:rPr>
          <w:rFonts w:ascii="Palatino Linotype" w:hAnsi="Palatino Linotype" w:cs="Tahoma"/>
        </w:rPr>
        <w:t>Prever los recursos financieros necesarios para la administración municipal;</w:t>
      </w:r>
    </w:p>
    <w:p w14:paraId="58A369AF" w14:textId="77777777" w:rsidR="004E76B4" w:rsidRPr="004D38F7" w:rsidRDefault="004E76B4" w:rsidP="004E76B4">
      <w:pPr>
        <w:numPr>
          <w:ilvl w:val="0"/>
          <w:numId w:val="16"/>
        </w:numPr>
        <w:spacing w:line="360" w:lineRule="auto"/>
        <w:ind w:right="-28"/>
        <w:contextualSpacing/>
        <w:jc w:val="both"/>
        <w:rPr>
          <w:rFonts w:ascii="Palatino Linotype" w:hAnsi="Palatino Linotype" w:cs="Tahoma"/>
        </w:rPr>
      </w:pPr>
      <w:r w:rsidRPr="004D38F7">
        <w:rPr>
          <w:rFonts w:ascii="Palatino Linotype" w:hAnsi="Palatino Linotype" w:cs="Tahoma"/>
        </w:rPr>
        <w:t>Llevar el control estricto de los gastos de la administración municipal, y</w:t>
      </w:r>
    </w:p>
    <w:p w14:paraId="101A369E" w14:textId="77777777" w:rsidR="004E76B4" w:rsidRDefault="004E76B4" w:rsidP="004E76B4">
      <w:pPr>
        <w:numPr>
          <w:ilvl w:val="0"/>
          <w:numId w:val="16"/>
        </w:numPr>
        <w:spacing w:line="360" w:lineRule="auto"/>
        <w:ind w:right="-28"/>
        <w:contextualSpacing/>
        <w:jc w:val="both"/>
        <w:rPr>
          <w:rFonts w:ascii="Palatino Linotype" w:hAnsi="Palatino Linotype" w:cs="Tahoma"/>
        </w:rPr>
      </w:pPr>
      <w:r w:rsidRPr="004D38F7">
        <w:rPr>
          <w:rFonts w:ascii="Palatino Linotype" w:hAnsi="Palatino Linotype" w:cs="Tahoma"/>
        </w:rPr>
        <w:t>Manejar adecuada y honestamente los fondos financieros del municipio.</w:t>
      </w:r>
    </w:p>
    <w:p w14:paraId="58AE0F48" w14:textId="77777777" w:rsidR="004D38F7" w:rsidRPr="004D38F7" w:rsidRDefault="004D38F7" w:rsidP="004D38F7">
      <w:pPr>
        <w:spacing w:line="360" w:lineRule="auto"/>
        <w:ind w:left="720" w:right="-28"/>
        <w:contextualSpacing/>
        <w:jc w:val="both"/>
        <w:rPr>
          <w:rFonts w:ascii="Palatino Linotype" w:hAnsi="Palatino Linotype" w:cs="Tahoma"/>
        </w:rPr>
      </w:pPr>
    </w:p>
    <w:p w14:paraId="288D2CBA"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rPr>
        <w:t xml:space="preserve">Además, precisa que dicho documento debe ser elaborado tomando en cuenta el monto disponible de los ingresos del Ayuntamiento; en ese sentido, </w:t>
      </w:r>
      <w:r w:rsidRPr="004D38F7">
        <w:rPr>
          <w:rFonts w:ascii="Palatino Linotype" w:hAnsi="Palatino Linotype" w:cs="Tahoma"/>
          <w:bCs/>
        </w:rPr>
        <w:t xml:space="preserve">el artículo 285 del Código </w:t>
      </w:r>
      <w:r w:rsidRPr="004D38F7">
        <w:rPr>
          <w:rFonts w:ascii="Palatino Linotype" w:hAnsi="Palatino Linotype" w:cs="Tahoma"/>
        </w:rPr>
        <w:t>Financiero</w:t>
      </w:r>
      <w:r w:rsidRPr="004D38F7">
        <w:rPr>
          <w:rFonts w:ascii="Palatino Linotype" w:hAnsi="Palatino Linotype" w:cs="Tahoma"/>
          <w:bCs/>
        </w:rPr>
        <w:t xml:space="preserve"> del Estado de México y Municipios, precisa que el Ayuntamiento es el encargado de aprobar el Presupuesto de Egresos del Municipio. </w:t>
      </w:r>
    </w:p>
    <w:p w14:paraId="4AF9A0CE" w14:textId="77777777" w:rsidR="004E76B4" w:rsidRPr="004D38F7" w:rsidRDefault="004E76B4" w:rsidP="004E76B4">
      <w:pPr>
        <w:spacing w:line="360" w:lineRule="auto"/>
        <w:ind w:right="-28"/>
        <w:contextualSpacing/>
        <w:rPr>
          <w:rFonts w:ascii="Palatino Linotype" w:hAnsi="Palatino Linotype" w:cs="Tahoma"/>
          <w:bCs/>
        </w:rPr>
      </w:pPr>
    </w:p>
    <w:p w14:paraId="659AD261"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Además, el artículo 31, fracción XIX, de la Ley Orgánica Municipal del Estado de México, establece que los </w:t>
      </w:r>
      <w:r w:rsidRPr="004D38F7">
        <w:rPr>
          <w:rFonts w:ascii="Palatino Linotype" w:hAnsi="Palatino Linotype" w:cs="Tahoma"/>
          <w:b/>
        </w:rPr>
        <w:t xml:space="preserve">Ayuntamientos serán los encargados de aprobar anualmente, el Presupuesto de Egresos, en base a los ingresos presupuestados para el ejercicio de corresponda. </w:t>
      </w:r>
    </w:p>
    <w:p w14:paraId="7F85C161" w14:textId="77777777" w:rsidR="004E76B4" w:rsidRPr="004D38F7" w:rsidRDefault="004E76B4" w:rsidP="004E76B4">
      <w:pPr>
        <w:pStyle w:val="Prrafodelista"/>
        <w:rPr>
          <w:rFonts w:ascii="Palatino Linotype" w:hAnsi="Palatino Linotype" w:cs="Tahoma"/>
          <w:bCs/>
        </w:rPr>
      </w:pPr>
    </w:p>
    <w:p w14:paraId="4958A6E4"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En ese orden de ideas, de conformidad con el artículo 100 y 101, fracción II, de dicho ordenamiento jurídico, el Presupuesto de Egresos, deberá contener las previsiones de gasto público y se conformará, entre otras cosas, por la</w:t>
      </w:r>
      <w:r w:rsidRPr="004D38F7">
        <w:rPr>
          <w:rFonts w:ascii="Palatino Linotype" w:hAnsi="Palatino Linotype" w:cs="Tahoma"/>
          <w:b/>
          <w:bCs/>
        </w:rPr>
        <w:t xml:space="preserve"> estimación de los ingresos y gastos del ejercicio fiscal calendarizados.</w:t>
      </w:r>
    </w:p>
    <w:p w14:paraId="69074E05" w14:textId="77777777" w:rsidR="004E76B4" w:rsidRPr="004D38F7" w:rsidRDefault="004E76B4" w:rsidP="004E76B4">
      <w:pPr>
        <w:spacing w:line="360" w:lineRule="auto"/>
        <w:rPr>
          <w:rFonts w:ascii="Palatino Linotype" w:eastAsia="Times New Roman" w:hAnsi="Palatino Linotype" w:cs="Tahoma"/>
          <w:color w:val="0D0D0D"/>
          <w:lang w:val="es-ES"/>
        </w:rPr>
      </w:pPr>
    </w:p>
    <w:p w14:paraId="584903CF"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rPr>
      </w:pPr>
      <w:r w:rsidRPr="004D38F7">
        <w:rPr>
          <w:rFonts w:ascii="Palatino Linotype" w:hAnsi="Palatino Linotype"/>
        </w:rPr>
        <w:t xml:space="preserve">Así, </w:t>
      </w:r>
      <w:r w:rsidRPr="004D38F7">
        <w:rPr>
          <w:rFonts w:ascii="Palatino Linotype" w:hAnsi="Palatino Linotype" w:cs="Tahoma"/>
          <w:bCs/>
        </w:rPr>
        <w:t>el</w:t>
      </w:r>
      <w:r w:rsidRPr="004D38F7">
        <w:rPr>
          <w:rFonts w:ascii="Palatino Linotype" w:hAnsi="Palatino Linotype"/>
        </w:rPr>
        <w:t xml:space="preserve"> Manual para la Planeación, Programación y Presupuesto de Egresos Municipal para el ejercicio fiscal dos mil veintitrés, establece que el</w:t>
      </w:r>
      <w:r w:rsidRPr="004D38F7">
        <w:rPr>
          <w:rFonts w:ascii="Palatino Linotype" w:hAnsi="Palatino Linotype"/>
          <w:b/>
          <w:bCs/>
        </w:rPr>
        <w:t xml:space="preserve"> Presupuesto es la estimación financiera anticipada de los ingresos y egresos del gobierno</w:t>
      </w:r>
      <w:r w:rsidRPr="004D38F7">
        <w:rPr>
          <w:rFonts w:ascii="Palatino Linotype" w:hAnsi="Palatino Linotype"/>
        </w:rPr>
        <w:t>, necesarios para cumplir con los objetivos establecidos; además, que el mismo involucra planes, políticas, programas, proyectos, estrategias y objetivos del municipio.</w:t>
      </w:r>
    </w:p>
    <w:p w14:paraId="04240EEB" w14:textId="77777777" w:rsidR="004E76B4" w:rsidRPr="004D38F7" w:rsidRDefault="004E76B4" w:rsidP="004E76B4">
      <w:pPr>
        <w:spacing w:line="360" w:lineRule="auto"/>
        <w:rPr>
          <w:rFonts w:ascii="Palatino Linotype" w:hAnsi="Palatino Linotype" w:cs="Tahoma"/>
          <w:b/>
          <w:bCs/>
        </w:rPr>
      </w:pPr>
    </w:p>
    <w:p w14:paraId="765D045E" w14:textId="77777777" w:rsidR="004E76B4" w:rsidRPr="004D38F7" w:rsidRDefault="004E76B4" w:rsidP="004E76B4">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Por su parte, la Guía Técnica 8 “La Contabilidad y la Cuenta Pública Municipal” señala, que las pólizas se dividen en las siguientes:</w:t>
      </w:r>
    </w:p>
    <w:p w14:paraId="697D706C" w14:textId="77777777" w:rsidR="004E76B4" w:rsidRPr="004D38F7" w:rsidRDefault="004E76B4" w:rsidP="004E76B4">
      <w:pPr>
        <w:numPr>
          <w:ilvl w:val="0"/>
          <w:numId w:val="17"/>
        </w:numPr>
        <w:spacing w:line="360" w:lineRule="auto"/>
        <w:contextualSpacing/>
        <w:rPr>
          <w:rFonts w:ascii="Palatino Linotype" w:eastAsia="Times New Roman" w:hAnsi="Palatino Linotype" w:cs="Tahoma"/>
          <w:b/>
          <w:sz w:val="22"/>
        </w:rPr>
      </w:pPr>
      <w:r w:rsidRPr="004D38F7">
        <w:rPr>
          <w:rFonts w:ascii="Palatino Linotype" w:eastAsia="Times New Roman" w:hAnsi="Palatino Linotype" w:cs="Tahoma"/>
          <w:b/>
          <w:sz w:val="22"/>
        </w:rPr>
        <w:t xml:space="preserve">Póliza de Ingresos: </w:t>
      </w:r>
      <w:r w:rsidRPr="004D38F7">
        <w:rPr>
          <w:rFonts w:ascii="Palatino Linotype" w:eastAsia="Times New Roman" w:hAnsi="Palatino Linotype" w:cs="Tahoma"/>
          <w:sz w:val="22"/>
          <w:u w:val="single"/>
        </w:rPr>
        <w:t>Es aquella donde se anotan las operaciones que representan ingresos, esto es, entradas de dinero para el municipio.</w:t>
      </w:r>
    </w:p>
    <w:p w14:paraId="0C4EDD31" w14:textId="77777777" w:rsidR="004E76B4" w:rsidRPr="004D38F7" w:rsidRDefault="004E76B4" w:rsidP="004E76B4">
      <w:pPr>
        <w:numPr>
          <w:ilvl w:val="0"/>
          <w:numId w:val="17"/>
        </w:numPr>
        <w:spacing w:line="360" w:lineRule="auto"/>
        <w:contextualSpacing/>
        <w:rPr>
          <w:rFonts w:ascii="Palatino Linotype" w:eastAsia="Times New Roman" w:hAnsi="Palatino Linotype" w:cs="Tahoma"/>
          <w:b/>
          <w:sz w:val="22"/>
        </w:rPr>
      </w:pPr>
      <w:r w:rsidRPr="004D38F7">
        <w:rPr>
          <w:rFonts w:ascii="Palatino Linotype" w:eastAsia="Times New Roman" w:hAnsi="Palatino Linotype" w:cs="Tahoma"/>
          <w:b/>
          <w:sz w:val="22"/>
        </w:rPr>
        <w:t xml:space="preserve">Póliza de Diario: </w:t>
      </w:r>
      <w:r w:rsidRPr="004D38F7">
        <w:rPr>
          <w:rFonts w:ascii="Palatino Linotype" w:eastAsia="Times New Roman" w:hAnsi="Palatino Linotype" w:cs="Tahoma"/>
          <w:sz w:val="22"/>
        </w:rPr>
        <w:t>Es la que se elabora cuando la operación que se está registrando no implica una entrada o una salida (ingreso o egreso) de dinero para el municipio.</w:t>
      </w:r>
    </w:p>
    <w:p w14:paraId="4888613D" w14:textId="77777777" w:rsidR="004E76B4" w:rsidRPr="004D38F7" w:rsidRDefault="004E76B4" w:rsidP="004E76B4">
      <w:pPr>
        <w:numPr>
          <w:ilvl w:val="0"/>
          <w:numId w:val="17"/>
        </w:numPr>
        <w:spacing w:line="360" w:lineRule="auto"/>
        <w:contextualSpacing/>
        <w:rPr>
          <w:rFonts w:ascii="Palatino Linotype" w:eastAsia="Times New Roman" w:hAnsi="Palatino Linotype" w:cs="Tahoma"/>
          <w:b/>
          <w:sz w:val="22"/>
        </w:rPr>
      </w:pPr>
      <w:r w:rsidRPr="004D38F7">
        <w:rPr>
          <w:rFonts w:ascii="Palatino Linotype" w:eastAsia="Times New Roman" w:hAnsi="Palatino Linotype" w:cs="Tahoma"/>
          <w:b/>
          <w:sz w:val="22"/>
        </w:rPr>
        <w:t xml:space="preserve">Póliza de Egresos: </w:t>
      </w:r>
      <w:r w:rsidRPr="004D38F7">
        <w:rPr>
          <w:rFonts w:ascii="Palatino Linotype" w:eastAsia="Times New Roman" w:hAnsi="Palatino Linotype" w:cs="Tahoma"/>
          <w:sz w:val="22"/>
          <w:u w:val="single"/>
        </w:rPr>
        <w:t>Corresponde a aquella donde se anotan las operaciones que implique egresos, es decir, la salida de dinero, en efectivo o transferencia, para el municipio.</w:t>
      </w:r>
    </w:p>
    <w:p w14:paraId="33074318" w14:textId="77777777" w:rsidR="004E76B4" w:rsidRPr="004D38F7" w:rsidRDefault="004E76B4" w:rsidP="004E76B4">
      <w:pPr>
        <w:numPr>
          <w:ilvl w:val="0"/>
          <w:numId w:val="17"/>
        </w:numPr>
        <w:spacing w:line="360" w:lineRule="auto"/>
        <w:contextualSpacing/>
        <w:rPr>
          <w:rFonts w:ascii="Palatino Linotype" w:eastAsia="Times New Roman" w:hAnsi="Palatino Linotype" w:cs="Tahoma"/>
          <w:b/>
          <w:sz w:val="22"/>
        </w:rPr>
      </w:pPr>
      <w:r w:rsidRPr="004D38F7">
        <w:rPr>
          <w:rFonts w:ascii="Palatino Linotype" w:eastAsia="Times New Roman" w:hAnsi="Palatino Linotype" w:cs="Tahoma"/>
          <w:b/>
          <w:sz w:val="22"/>
        </w:rPr>
        <w:t xml:space="preserve">Póliza Cheque: </w:t>
      </w:r>
      <w:r w:rsidRPr="004D38F7">
        <w:rPr>
          <w:rFonts w:ascii="Palatino Linotype" w:eastAsia="Times New Roman" w:hAnsi="Palatino Linotype" w:cs="Tahoma"/>
          <w:sz w:val="22"/>
          <w:u w:val="single"/>
        </w:rPr>
        <w:t>Es la que se elabora cuando la operación implique una salida de dinero del municipio, a través de un cheque.</w:t>
      </w:r>
    </w:p>
    <w:p w14:paraId="38A5B2B5" w14:textId="77777777" w:rsidR="004E76B4" w:rsidRPr="004D38F7" w:rsidRDefault="004E76B4" w:rsidP="004E76B4">
      <w:pPr>
        <w:spacing w:line="360" w:lineRule="auto"/>
        <w:rPr>
          <w:rFonts w:ascii="Palatino Linotype" w:hAnsi="Palatino Linotype" w:cs="Tahoma"/>
          <w:bCs/>
        </w:rPr>
      </w:pPr>
    </w:p>
    <w:p w14:paraId="47C58C11"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En ese contexto, los Lineamientos para la Integración y Entrega del Informe Trimestral Municipal </w:t>
      </w:r>
      <w:r w:rsidRPr="004D38F7">
        <w:rPr>
          <w:rFonts w:ascii="Palatino Linotype" w:eastAsia="Times New Roman" w:hAnsi="Palatino Linotype" w:cs="Tahoma"/>
        </w:rPr>
        <w:t>2022</w:t>
      </w:r>
      <w:r w:rsidRPr="004D38F7">
        <w:rPr>
          <w:rFonts w:ascii="Palatino Linotype" w:hAnsi="Palatino Linotype" w:cs="Tahoma"/>
          <w:bCs/>
        </w:rPr>
        <w:t xml:space="preserve">, entre los criterios que maneja, se advierte que en el </w:t>
      </w:r>
      <w:r w:rsidRPr="004D38F7">
        <w:rPr>
          <w:rFonts w:ascii="Palatino Linotype" w:hAnsi="Palatino Linotype" w:cs="Tahoma"/>
          <w:b/>
          <w:bCs/>
        </w:rPr>
        <w:t xml:space="preserve">Módulo </w:t>
      </w:r>
      <w:r w:rsidRPr="004D38F7">
        <w:rPr>
          <w:rFonts w:ascii="Palatino Linotype" w:hAnsi="Palatino Linotype" w:cs="Tahoma"/>
          <w:b/>
          <w:bCs/>
        </w:rPr>
        <w:lastRenderedPageBreak/>
        <w:t>1</w:t>
      </w:r>
      <w:r w:rsidRPr="004D38F7">
        <w:rPr>
          <w:rFonts w:ascii="Palatino Linotype" w:hAnsi="Palatino Linotype" w:cs="Tahoma"/>
          <w:bCs/>
        </w:rPr>
        <w:t xml:space="preserve">, referente a la </w:t>
      </w:r>
      <w:r w:rsidRPr="004D38F7">
        <w:rPr>
          <w:rFonts w:ascii="Palatino Linotype" w:hAnsi="Palatino Linotype" w:cs="Tahoma"/>
          <w:b/>
          <w:bCs/>
        </w:rPr>
        <w:t xml:space="preserve">Información Contable y Financiera, </w:t>
      </w:r>
      <w:r w:rsidRPr="004D38F7">
        <w:rPr>
          <w:rFonts w:ascii="Palatino Linotype" w:hAnsi="Palatino Linotype" w:cs="Tahoma"/>
          <w:bCs/>
        </w:rPr>
        <w:t xml:space="preserve">se integra por diversos documentos, entre los que se encuentran los </w:t>
      </w:r>
      <w:r w:rsidRPr="004D38F7">
        <w:rPr>
          <w:rFonts w:ascii="Palatino Linotype" w:hAnsi="Palatino Linotype" w:cs="Tahoma"/>
          <w:b/>
          <w:bCs/>
        </w:rPr>
        <w:t xml:space="preserve">Póliza de Egresos y Pólizas de Cheque, con los documentos comprobatorios, </w:t>
      </w:r>
      <w:r w:rsidRPr="004D38F7">
        <w:rPr>
          <w:rFonts w:ascii="Palatino Linotype" w:hAnsi="Palatino Linotype" w:cs="Tahoma"/>
          <w:bCs/>
        </w:rPr>
        <w:t>mismos que debe proporcionar el Ente Recurrido.</w:t>
      </w:r>
    </w:p>
    <w:p w14:paraId="009B3881" w14:textId="77777777" w:rsidR="004E76B4" w:rsidRPr="004D38F7" w:rsidRDefault="004E76B4" w:rsidP="004E76B4">
      <w:pPr>
        <w:shd w:val="clear" w:color="auto" w:fill="FFFFFF"/>
        <w:spacing w:line="360" w:lineRule="auto"/>
        <w:rPr>
          <w:rFonts w:ascii="Palatino Linotype" w:hAnsi="Palatino Linotype" w:cs="Tahoma"/>
          <w:bCs/>
        </w:rPr>
      </w:pPr>
    </w:p>
    <w:p w14:paraId="5DD3558C" w14:textId="77777777" w:rsidR="004E76B4" w:rsidRPr="004D38F7" w:rsidRDefault="004E76B4" w:rsidP="004E76B4">
      <w:pPr>
        <w:shd w:val="clear" w:color="auto" w:fill="FFFFFF"/>
        <w:spacing w:line="360" w:lineRule="auto"/>
        <w:jc w:val="center"/>
        <w:rPr>
          <w:rFonts w:ascii="Palatino Linotype" w:hAnsi="Palatino Linotype" w:cs="Tahoma"/>
          <w:bCs/>
        </w:rPr>
      </w:pPr>
      <w:r w:rsidRPr="004D38F7">
        <w:rPr>
          <w:rFonts w:ascii="Palatino Linotype" w:hAnsi="Palatino Linotype" w:cs="Tahoma"/>
          <w:bCs/>
          <w:noProof/>
          <w:lang w:val="es-MX" w:eastAsia="es-MX"/>
        </w:rPr>
        <w:drawing>
          <wp:inline distT="0" distB="0" distL="0" distR="0" wp14:anchorId="690A9DA9" wp14:editId="574F4F09">
            <wp:extent cx="2156748" cy="154172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3C21BC.tmp"/>
                    <pic:cNvPicPr/>
                  </pic:nvPicPr>
                  <pic:blipFill rotWithShape="1">
                    <a:blip r:embed="rId9" cstate="print">
                      <a:extLst>
                        <a:ext uri="{28A0092B-C50C-407E-A947-70E740481C1C}">
                          <a14:useLocalDpi xmlns:a14="http://schemas.microsoft.com/office/drawing/2010/main" val="0"/>
                        </a:ext>
                      </a:extLst>
                    </a:blip>
                    <a:srcRect l="11422" t="19721" r="1407" b="21745"/>
                    <a:stretch/>
                  </pic:blipFill>
                  <pic:spPr bwMode="auto">
                    <a:xfrm>
                      <a:off x="0" y="0"/>
                      <a:ext cx="2192014" cy="1566930"/>
                    </a:xfrm>
                    <a:prstGeom prst="rect">
                      <a:avLst/>
                    </a:prstGeom>
                    <a:ln>
                      <a:noFill/>
                    </a:ln>
                    <a:extLst>
                      <a:ext uri="{53640926-AAD7-44D8-BBD7-CCE9431645EC}">
                        <a14:shadowObscured xmlns:a14="http://schemas.microsoft.com/office/drawing/2010/main"/>
                      </a:ext>
                    </a:extLst>
                  </pic:spPr>
                </pic:pic>
              </a:graphicData>
            </a:graphic>
          </wp:inline>
        </w:drawing>
      </w:r>
    </w:p>
    <w:p w14:paraId="0F85CDE8" w14:textId="77777777" w:rsidR="004E76B4" w:rsidRPr="004D38F7" w:rsidRDefault="004E76B4" w:rsidP="004E76B4">
      <w:pPr>
        <w:shd w:val="clear" w:color="auto" w:fill="FFFFFF"/>
        <w:spacing w:line="360" w:lineRule="auto"/>
        <w:jc w:val="center"/>
        <w:rPr>
          <w:rFonts w:ascii="Palatino Linotype" w:hAnsi="Palatino Linotype" w:cs="Tahoma"/>
          <w:bCs/>
        </w:rPr>
      </w:pPr>
    </w:p>
    <w:p w14:paraId="1B38E765" w14:textId="77777777" w:rsidR="004E76B4" w:rsidRPr="004D38F7" w:rsidRDefault="004E76B4" w:rsidP="004E76B4">
      <w:pPr>
        <w:shd w:val="clear" w:color="auto" w:fill="FFFFFF"/>
        <w:spacing w:line="360" w:lineRule="auto"/>
        <w:jc w:val="center"/>
        <w:rPr>
          <w:rFonts w:ascii="Palatino Linotype" w:hAnsi="Palatino Linotype" w:cs="Tahoma"/>
          <w:bCs/>
        </w:rPr>
      </w:pPr>
      <w:r w:rsidRPr="004D38F7">
        <w:rPr>
          <w:rFonts w:ascii="Palatino Linotype" w:hAnsi="Palatino Linotype" w:cs="Tahoma"/>
          <w:bCs/>
          <w:noProof/>
          <w:lang w:val="es-MX" w:eastAsia="es-MX"/>
        </w:rPr>
        <w:drawing>
          <wp:inline distT="0" distB="0" distL="0" distR="0" wp14:anchorId="1897E2AA" wp14:editId="15DF57CC">
            <wp:extent cx="2511458" cy="259434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3C659E.tmp"/>
                    <pic:cNvPicPr/>
                  </pic:nvPicPr>
                  <pic:blipFill rotWithShape="1">
                    <a:blip r:embed="rId10">
                      <a:extLst>
                        <a:ext uri="{28A0092B-C50C-407E-A947-70E740481C1C}">
                          <a14:useLocalDpi xmlns:a14="http://schemas.microsoft.com/office/drawing/2010/main" val="0"/>
                        </a:ext>
                      </a:extLst>
                    </a:blip>
                    <a:srcRect l="7894" t="34078" r="41216" b="16541"/>
                    <a:stretch/>
                  </pic:blipFill>
                  <pic:spPr bwMode="auto">
                    <a:xfrm>
                      <a:off x="0" y="0"/>
                      <a:ext cx="2514844" cy="2597842"/>
                    </a:xfrm>
                    <a:prstGeom prst="rect">
                      <a:avLst/>
                    </a:prstGeom>
                    <a:ln>
                      <a:noFill/>
                    </a:ln>
                    <a:extLst>
                      <a:ext uri="{53640926-AAD7-44D8-BBD7-CCE9431645EC}">
                        <a14:shadowObscured xmlns:a14="http://schemas.microsoft.com/office/drawing/2010/main"/>
                      </a:ext>
                    </a:extLst>
                  </pic:spPr>
                </pic:pic>
              </a:graphicData>
            </a:graphic>
          </wp:inline>
        </w:drawing>
      </w:r>
    </w:p>
    <w:p w14:paraId="7111C450"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Además, en el apartado de </w:t>
      </w:r>
      <w:r w:rsidRPr="004D38F7">
        <w:rPr>
          <w:rFonts w:ascii="Palatino Linotype" w:hAnsi="Palatino Linotype" w:cs="Tahoma"/>
          <w:b/>
          <w:bCs/>
        </w:rPr>
        <w:t xml:space="preserve">“Aspectos a tomar en cuenta para la integración de las Pólizas </w:t>
      </w:r>
      <w:r w:rsidRPr="004D38F7">
        <w:rPr>
          <w:rFonts w:ascii="Palatino Linotype" w:hAnsi="Palatino Linotype" w:cs="Tahoma"/>
          <w:bCs/>
        </w:rPr>
        <w:t>contables</w:t>
      </w:r>
      <w:r w:rsidRPr="004D38F7">
        <w:rPr>
          <w:rFonts w:ascii="Palatino Linotype" w:hAnsi="Palatino Linotype" w:cs="Tahoma"/>
          <w:b/>
          <w:bCs/>
        </w:rPr>
        <w:t xml:space="preserve"> y documentación comprobatoria”, </w:t>
      </w:r>
      <w:r w:rsidRPr="004D38F7">
        <w:rPr>
          <w:rFonts w:ascii="Palatino Linotype" w:hAnsi="Palatino Linotype" w:cs="Tahoma"/>
          <w:bCs/>
        </w:rPr>
        <w:t>se precisa que dichos documentos deberán contener las imágenes de la documentación comprobatoria y justificativa de los egresos y de las respectivas pólizas, de la entidad, los cuales incluyen los Comprobantes Fiscales Digitales por Internet.</w:t>
      </w:r>
    </w:p>
    <w:p w14:paraId="51A51ADC" w14:textId="77777777" w:rsidR="004E76B4" w:rsidRPr="004D38F7" w:rsidRDefault="004E76B4" w:rsidP="004E76B4">
      <w:pPr>
        <w:spacing w:line="360" w:lineRule="auto"/>
        <w:rPr>
          <w:rFonts w:ascii="Palatino Linotype" w:eastAsia="Times New Roman" w:hAnsi="Palatino Linotype" w:cs="Tahoma"/>
        </w:rPr>
      </w:pPr>
    </w:p>
    <w:p w14:paraId="4604560B"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b/>
          <w:bCs/>
          <w:u w:val="single"/>
          <w:lang w:val="es-ES"/>
        </w:rPr>
      </w:pPr>
      <w:r w:rsidRPr="004D38F7">
        <w:rPr>
          <w:rFonts w:ascii="Palatino Linotype" w:hAnsi="Palatino Linotype" w:cs="Tahoma"/>
          <w:bCs/>
          <w:lang w:val="es-ES"/>
        </w:rPr>
        <w:t xml:space="preserve">Conforme a lo anterior, se advierte que </w:t>
      </w:r>
      <w:r w:rsidRPr="004D38F7">
        <w:rPr>
          <w:rFonts w:ascii="Palatino Linotype" w:hAnsi="Palatino Linotype" w:cs="Tahoma"/>
          <w:b/>
          <w:bCs/>
          <w:u w:val="single"/>
          <w:lang w:val="es-ES"/>
        </w:rPr>
        <w:t xml:space="preserve">las Pólizas contables, con su respectiva </w:t>
      </w:r>
      <w:r w:rsidRPr="004D38F7">
        <w:rPr>
          <w:rFonts w:ascii="Palatino Linotype" w:hAnsi="Palatino Linotype" w:cs="Tahoma"/>
          <w:bCs/>
        </w:rPr>
        <w:t>documentación</w:t>
      </w:r>
      <w:r w:rsidRPr="004D38F7">
        <w:rPr>
          <w:rFonts w:ascii="Palatino Linotype" w:hAnsi="Palatino Linotype" w:cs="Tahoma"/>
          <w:b/>
          <w:bCs/>
          <w:u w:val="single"/>
          <w:lang w:val="es-ES"/>
        </w:rPr>
        <w:t xml:space="preserve"> comprobatoria, </w:t>
      </w:r>
      <w:r w:rsidRPr="004D38F7">
        <w:rPr>
          <w:rFonts w:ascii="Palatino Linotype" w:hAnsi="Palatino Linotype" w:cs="Tahoma"/>
          <w:b/>
          <w:bCs/>
          <w:u w:val="single"/>
        </w:rPr>
        <w:t>de manera enunciativa mas no limitativa,</w:t>
      </w:r>
      <w:r w:rsidRPr="004D38F7">
        <w:rPr>
          <w:rFonts w:ascii="Palatino Linotype" w:hAnsi="Palatino Linotype" w:cs="Tahoma"/>
          <w:b/>
          <w:bCs/>
          <w:u w:val="single"/>
          <w:lang w:val="es-ES"/>
        </w:rPr>
        <w:t xml:space="preserve"> son documentos que pudieran atender la solicitud de información, púes contienen los gastos erogados y los ingresos recibidos por el Ente Recurrido.</w:t>
      </w:r>
    </w:p>
    <w:p w14:paraId="2F65C1F5" w14:textId="77777777" w:rsidR="004E76B4" w:rsidRPr="004D38F7" w:rsidRDefault="004E76B4" w:rsidP="004E76B4">
      <w:pPr>
        <w:spacing w:line="360" w:lineRule="auto"/>
        <w:contextualSpacing/>
        <w:rPr>
          <w:rFonts w:ascii="Palatino Linotype" w:hAnsi="Palatino Linotype" w:cs="Tahoma"/>
          <w:bCs/>
          <w:color w:val="0D0D0D"/>
          <w:lang w:val="es-ES"/>
        </w:rPr>
      </w:pPr>
    </w:p>
    <w:p w14:paraId="6DCEA54C" w14:textId="77777777" w:rsidR="004E76B4" w:rsidRPr="004D38F7" w:rsidRDefault="004E76B4" w:rsidP="004E76B4">
      <w:pPr>
        <w:numPr>
          <w:ilvl w:val="0"/>
          <w:numId w:val="1"/>
        </w:numPr>
        <w:spacing w:line="360" w:lineRule="auto"/>
        <w:ind w:left="0" w:firstLine="0"/>
        <w:contextualSpacing/>
        <w:jc w:val="both"/>
        <w:rPr>
          <w:rFonts w:ascii="Palatino Linotype" w:hAnsi="Palatino Linotype" w:cs="Tahoma"/>
          <w:lang w:val="es-ES"/>
        </w:rPr>
      </w:pPr>
      <w:r w:rsidRPr="004D38F7">
        <w:rPr>
          <w:rFonts w:ascii="Palatino Linotype" w:hAnsi="Palatino Linotype" w:cs="Tahoma"/>
          <w:lang w:val="es-ES"/>
        </w:rPr>
        <w:t>No se omite mencionar, que el Sujeto Obligado fue omiso en emitir pronunciamiento al respecto, razón por la cual deberá realizar una búsqueda exhaustiva y razonable en los archivos de sus unidades administrativas competentes para que haga entrega de lo solicitado.</w:t>
      </w:r>
    </w:p>
    <w:p w14:paraId="2BA857E3" w14:textId="77777777" w:rsidR="004E76B4" w:rsidRPr="004D38F7" w:rsidRDefault="004E76B4" w:rsidP="004E76B4">
      <w:pPr>
        <w:spacing w:line="360" w:lineRule="auto"/>
        <w:rPr>
          <w:rFonts w:ascii="Palatino Linotype" w:hAnsi="Palatino Linotype" w:cs="Tahoma"/>
          <w:bCs/>
          <w:iCs/>
          <w:lang w:val="es-ES"/>
        </w:rPr>
      </w:pPr>
    </w:p>
    <w:p w14:paraId="74405BEE" w14:textId="77777777" w:rsidR="005E7C1E" w:rsidRPr="004D38F7" w:rsidRDefault="004E76B4" w:rsidP="005E7C1E">
      <w:pPr>
        <w:numPr>
          <w:ilvl w:val="0"/>
          <w:numId w:val="1"/>
        </w:numPr>
        <w:spacing w:line="360" w:lineRule="auto"/>
        <w:ind w:left="0" w:firstLine="0"/>
        <w:contextualSpacing/>
        <w:jc w:val="both"/>
        <w:rPr>
          <w:rFonts w:ascii="Palatino Linotype" w:hAnsi="Palatino Linotype" w:cs="Tahoma"/>
          <w:b/>
        </w:rPr>
      </w:pPr>
      <w:r w:rsidRPr="004D38F7">
        <w:rPr>
          <w:rFonts w:ascii="Palatino Linotype" w:eastAsia="Times New Roman" w:hAnsi="Palatino Linotype" w:cs="Tahoma"/>
          <w:bCs/>
        </w:rPr>
        <w:t xml:space="preserve">Ahora bien, respecto del resto de información se omitió su entrega por lo que es dable realizar el siguiente análisis de lo </w:t>
      </w:r>
      <w:r w:rsidRPr="004D38F7">
        <w:rPr>
          <w:rFonts w:ascii="Palatino Linotype" w:hAnsi="Palatino Linotype" w:cs="Tahoma"/>
          <w:lang w:val="es-ES"/>
        </w:rPr>
        <w:t>requerido</w:t>
      </w:r>
      <w:r w:rsidRPr="004D38F7">
        <w:rPr>
          <w:rFonts w:ascii="Palatino Linotype" w:eastAsia="Times New Roman" w:hAnsi="Palatino Linotype" w:cs="Tahoma"/>
          <w:bCs/>
        </w:rPr>
        <w:t xml:space="preserve">. Respecto </w:t>
      </w:r>
      <w:r w:rsidRPr="004D38F7">
        <w:rPr>
          <w:rFonts w:ascii="Palatino Linotype" w:eastAsia="Times New Roman" w:hAnsi="Palatino Linotype" w:cs="Tahoma"/>
          <w:b/>
          <w:bCs/>
        </w:rPr>
        <w:t>del Directorio completo del personal que labora en el actual ayuntamiento municipal</w:t>
      </w:r>
      <w:r w:rsidR="005E7C1E" w:rsidRPr="004D38F7">
        <w:rPr>
          <w:rFonts w:ascii="Palatino Linotype" w:eastAsia="Times New Roman" w:hAnsi="Palatino Linotype" w:cs="Tahoma"/>
          <w:b/>
          <w:bCs/>
        </w:rPr>
        <w:t xml:space="preserve">, </w:t>
      </w:r>
      <w:r w:rsidR="005E7C1E" w:rsidRPr="004D38F7">
        <w:rPr>
          <w:rFonts w:ascii="Palatino Linotype" w:hAnsi="Palatino Linotype" w:cs="Tahoma"/>
          <w:bCs/>
        </w:rPr>
        <w:t>es necesario traer a colación la Guía Técnica 9 “La Administración del Personal Municipal”, que establece que los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14:paraId="6413A9B4" w14:textId="77777777" w:rsidR="005E7C1E" w:rsidRPr="004D38F7" w:rsidRDefault="005E7C1E" w:rsidP="005E7C1E">
      <w:pPr>
        <w:spacing w:line="360" w:lineRule="auto"/>
        <w:ind w:right="-28"/>
        <w:contextualSpacing/>
        <w:rPr>
          <w:rFonts w:ascii="Palatino Linotype" w:hAnsi="Palatino Linotype" w:cs="Tahoma"/>
          <w:b/>
        </w:rPr>
      </w:pPr>
    </w:p>
    <w:p w14:paraId="61623C20"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rPr>
      </w:pPr>
      <w:r w:rsidRPr="004D38F7">
        <w:rPr>
          <w:rFonts w:ascii="Palatino Linotype" w:eastAsia="Times New Roman" w:hAnsi="Palatino Linotype"/>
          <w:iCs/>
        </w:rPr>
        <w:t xml:space="preserve">Además, el artículo 70, fracción VII, de la Ley General de Transparencia y Acceso a la Información Pública y el diverso 92, fracción VII, de la Ley de Transparencia y Acceso a la Información Pública </w:t>
      </w:r>
      <w:r w:rsidRPr="004D38F7">
        <w:rPr>
          <w:rFonts w:ascii="Palatino Linotype" w:eastAsia="Times New Roman" w:hAnsi="Palatino Linotype" w:cs="Tahoma"/>
          <w:bCs/>
        </w:rPr>
        <w:t>del</w:t>
      </w:r>
      <w:r w:rsidRPr="004D38F7">
        <w:rPr>
          <w:rFonts w:ascii="Palatino Linotype" w:eastAsia="Times New Roman" w:hAnsi="Palatino Linotype"/>
          <w:iCs/>
        </w:rPr>
        <w:t xml:space="preserve"> Estado de México y Municipios, establece como obligación </w:t>
      </w:r>
      <w:r w:rsidRPr="004D38F7">
        <w:rPr>
          <w:rFonts w:ascii="Palatino Linotype" w:eastAsia="Times New Roman" w:hAnsi="Palatino Linotype"/>
          <w:iCs/>
        </w:rPr>
        <w:lastRenderedPageBreak/>
        <w:t xml:space="preserve">común de transparencia, el Directorio de servidores públicos, </w:t>
      </w:r>
      <w:r w:rsidRPr="004D38F7">
        <w:rPr>
          <w:rFonts w:ascii="Palatino Linotype" w:hAnsi="Palatino Linotype"/>
        </w:rPr>
        <w:t xml:space="preserve">a partir del nivel de jefe de departamento o su equivalente o de menor nivel, cuando se brinde atención al público, manejen o apliquen recursos públicos, realicen actos de autoridad o presten servicios profesionales bajo el régimen de confianza u honorarios y personal de base, además, </w:t>
      </w:r>
      <w:r w:rsidRPr="004D38F7">
        <w:rPr>
          <w:rFonts w:ascii="Palatino Linotype" w:hAnsi="Palatino Linotype"/>
          <w:u w:val="single"/>
        </w:rPr>
        <w:t>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0A97A62" w14:textId="77777777" w:rsidR="005E7C1E" w:rsidRPr="004D38F7" w:rsidRDefault="005E7C1E" w:rsidP="005E7C1E">
      <w:pPr>
        <w:spacing w:line="360" w:lineRule="auto"/>
        <w:rPr>
          <w:rFonts w:ascii="Palatino Linotype" w:hAnsi="Palatino Linotype"/>
        </w:rPr>
      </w:pPr>
    </w:p>
    <w:p w14:paraId="50C8C483"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Además, se </w:t>
      </w:r>
      <w:r w:rsidRPr="004D38F7">
        <w:rPr>
          <w:rFonts w:ascii="Palatino Linotype" w:eastAsia="Times New Roman" w:hAnsi="Palatino Linotype"/>
          <w:iCs/>
        </w:rPr>
        <w:t>robustece</w:t>
      </w:r>
      <w:r w:rsidRPr="004D38F7">
        <w:rPr>
          <w:rFonts w:ascii="Palatino Linotype" w:hAnsi="Palatino Linotype" w:cs="Tahoma"/>
          <w:bCs/>
        </w:rPr>
        <w:t xml:space="preserv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4127B74C" w14:textId="77777777" w:rsidR="005E7C1E" w:rsidRPr="004D38F7" w:rsidRDefault="005E7C1E" w:rsidP="005E7C1E">
      <w:pPr>
        <w:spacing w:line="360" w:lineRule="auto"/>
        <w:ind w:right="-93"/>
        <w:rPr>
          <w:rFonts w:ascii="Palatino Linotype" w:hAnsi="Palatino Linotype" w:cs="Tahoma"/>
          <w:bCs/>
        </w:rPr>
      </w:pPr>
    </w:p>
    <w:p w14:paraId="2BAFB30E" w14:textId="77777777" w:rsidR="005E7C1E" w:rsidRPr="004D38F7" w:rsidRDefault="005E7C1E" w:rsidP="005E7C1E">
      <w:pPr>
        <w:spacing w:line="360" w:lineRule="auto"/>
        <w:ind w:right="-93"/>
        <w:rPr>
          <w:rFonts w:ascii="Palatino Linotype" w:hAnsi="Palatino Linotype" w:cs="Tahoma"/>
          <w:bCs/>
        </w:rPr>
      </w:pPr>
      <w:r w:rsidRPr="004D38F7">
        <w:rPr>
          <w:rFonts w:ascii="Palatino Linotype" w:eastAsia="Times New Roman" w:hAnsi="Palatino Linotype"/>
          <w:noProof/>
          <w:lang w:val="es-MX" w:eastAsia="es-MX"/>
        </w:rPr>
        <w:drawing>
          <wp:inline distT="0" distB="0" distL="0" distR="0" wp14:anchorId="3437DDE4" wp14:editId="5E4830D1">
            <wp:extent cx="5671185" cy="1184910"/>
            <wp:effectExtent l="0" t="0" r="5715" b="0"/>
            <wp:docPr id="1866986816"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86816" name="Imagen 2" descr="Tabl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t="4538"/>
                    <a:stretch>
                      <a:fillRect/>
                    </a:stretch>
                  </pic:blipFill>
                  <pic:spPr bwMode="auto">
                    <a:xfrm>
                      <a:off x="0" y="0"/>
                      <a:ext cx="5671185" cy="1184910"/>
                    </a:xfrm>
                    <a:prstGeom prst="rect">
                      <a:avLst/>
                    </a:prstGeom>
                    <a:noFill/>
                    <a:ln>
                      <a:noFill/>
                    </a:ln>
                  </pic:spPr>
                </pic:pic>
              </a:graphicData>
            </a:graphic>
          </wp:inline>
        </w:drawing>
      </w:r>
    </w:p>
    <w:p w14:paraId="0E74EEC4" w14:textId="77777777" w:rsidR="005E7C1E" w:rsidRPr="004D38F7" w:rsidRDefault="005E7C1E" w:rsidP="005E7C1E">
      <w:pPr>
        <w:spacing w:line="360" w:lineRule="auto"/>
        <w:ind w:right="-93"/>
        <w:rPr>
          <w:rFonts w:ascii="Palatino Linotype" w:hAnsi="Palatino Linotype" w:cs="Tahoma"/>
          <w:bCs/>
        </w:rPr>
      </w:pPr>
    </w:p>
    <w:p w14:paraId="36F87E0A"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Conforme a lo anterior, el Sujeto Obligado tiene la obligación de publicar y hacer del conocimiento de la ciudadanía, el Directorio de todos los Servidores Públicos con los </w:t>
      </w:r>
      <w:r w:rsidRPr="004D38F7">
        <w:rPr>
          <w:rFonts w:ascii="Palatino Linotype" w:hAnsi="Palatino Linotype" w:cs="Tahoma"/>
          <w:bCs/>
        </w:rPr>
        <w:lastRenderedPageBreak/>
        <w:t xml:space="preserve">datos de </w:t>
      </w:r>
      <w:r w:rsidRPr="004D38F7">
        <w:rPr>
          <w:rFonts w:ascii="Palatino Linotype" w:hAnsi="Palatino Linotype"/>
        </w:rPr>
        <w:t>nombre, cargo o nombramiento oficial asignado, nivel del puesto, fecha de alta en el cargo, número telefónico, domicilio para recibir correspondencia y dirección de correo electrónico oficiales</w:t>
      </w:r>
      <w:r w:rsidRPr="004D38F7">
        <w:rPr>
          <w:rFonts w:ascii="Palatino Linotype" w:hAnsi="Palatino Linotype" w:cs="Tahoma"/>
          <w:bCs/>
        </w:rPr>
        <w:t>.</w:t>
      </w:r>
    </w:p>
    <w:p w14:paraId="76081F3E" w14:textId="77777777" w:rsidR="005E7C1E" w:rsidRPr="004D38F7" w:rsidRDefault="005E7C1E" w:rsidP="005E7C1E">
      <w:pPr>
        <w:spacing w:line="360" w:lineRule="auto"/>
        <w:rPr>
          <w:rFonts w:ascii="Palatino Linotype" w:hAnsi="Palatino Linotype" w:cs="Tahoma"/>
          <w:bCs/>
        </w:rPr>
      </w:pPr>
    </w:p>
    <w:p w14:paraId="30A39705"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Así, se logra vislumbrar que el Sujeto Obligado es competente para pronunciarse sobre lo peticionado, pues tiene la obligación de publicar y hacer del conocimiento de la ciudadanía el Directorio de todos los Servidores Públicos.</w:t>
      </w:r>
    </w:p>
    <w:p w14:paraId="0EE55A49" w14:textId="77777777" w:rsidR="005E7C1E" w:rsidRPr="004D38F7" w:rsidRDefault="005E7C1E" w:rsidP="005E7C1E">
      <w:pPr>
        <w:spacing w:line="360" w:lineRule="auto"/>
        <w:rPr>
          <w:rFonts w:ascii="Palatino Linotype" w:hAnsi="Palatino Linotype" w:cs="Tahoma"/>
          <w:bCs/>
        </w:rPr>
      </w:pPr>
    </w:p>
    <w:p w14:paraId="0FC5503B"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Por lo que</w:t>
      </w:r>
      <w:r w:rsidRPr="004D38F7">
        <w:rPr>
          <w:rFonts w:ascii="Palatino Linotype" w:eastAsia="Times New Roman" w:hAnsi="Palatino Linotype" w:cs="Tahoma"/>
          <w:bCs/>
          <w:iCs/>
        </w:rPr>
        <w:t xml:space="preserve">, para atender al requerimiento en análisis, el Sujeto Obligado, deberá realizar una búsqueda exhaustiva y razonable en todas sus áreas competentes, </w:t>
      </w:r>
      <w:r w:rsidRPr="004D38F7">
        <w:rPr>
          <w:rFonts w:ascii="Palatino Linotype" w:hAnsi="Palatino Linotype" w:cs="Tahoma"/>
          <w:bCs/>
        </w:rPr>
        <w:t xml:space="preserve">a efecto de que proporcioné el directorio o documento análogo que contenga por lo menos </w:t>
      </w:r>
      <w:r w:rsidRPr="004D38F7">
        <w:rPr>
          <w:rFonts w:ascii="Palatino Linotype" w:hAnsi="Palatino Linotype"/>
          <w:u w:val="single"/>
        </w:rPr>
        <w:t>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4D38F7">
        <w:rPr>
          <w:rFonts w:ascii="Palatino Linotype" w:hAnsi="Palatino Linotype" w:cs="Tahoma"/>
          <w:bCs/>
        </w:rPr>
        <w:t>.</w:t>
      </w:r>
    </w:p>
    <w:p w14:paraId="1FA39345" w14:textId="77777777" w:rsidR="005E7C1E" w:rsidRPr="004D38F7" w:rsidRDefault="005E7C1E" w:rsidP="005E7C1E">
      <w:pPr>
        <w:pStyle w:val="Prrafodelista"/>
        <w:rPr>
          <w:rFonts w:ascii="Palatino Linotype" w:hAnsi="Palatino Linotype" w:cs="Tahoma"/>
          <w:bCs/>
        </w:rPr>
      </w:pPr>
    </w:p>
    <w:p w14:paraId="61557B82"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rPr>
      </w:pPr>
      <w:r w:rsidRPr="004D38F7">
        <w:rPr>
          <w:rFonts w:ascii="Palatino Linotype" w:hAnsi="Palatino Linotype" w:cs="Tahoma"/>
          <w:bCs/>
        </w:rPr>
        <w:t xml:space="preserve">Seguidamente, con relación a </w:t>
      </w:r>
      <w:r w:rsidRPr="004D38F7">
        <w:rPr>
          <w:rFonts w:ascii="Palatino Linotype" w:hAnsi="Palatino Linotype" w:cs="Tahoma"/>
          <w:b/>
          <w:bCs/>
        </w:rPr>
        <w:t>la nómina de todos los que laboran dentro de la actual administración municipal que incluya la antigüedad dentro del ayuntamiento</w:t>
      </w:r>
      <w:r w:rsidRPr="004D38F7">
        <w:rPr>
          <w:rFonts w:ascii="Palatino Linotype" w:hAnsi="Palatino Linotype" w:cs="Tahoma"/>
          <w:bCs/>
        </w:rPr>
        <w:t>, es necesario traer a contexto el artículo 4°, fracción VI, de la Ley del Trabajo de los Servidores Públicos del Estado y Municipios, que establece que un</w:t>
      </w:r>
      <w:r w:rsidRPr="004D38F7">
        <w:rPr>
          <w:rFonts w:ascii="Palatino Linotype" w:hAnsi="Palatino Linotype" w:cs="Tahoma"/>
          <w:b/>
        </w:rPr>
        <w:t xml:space="preserve"> servidor público</w:t>
      </w:r>
      <w:r w:rsidRPr="004D38F7">
        <w:rPr>
          <w:rFonts w:ascii="Palatino Linotype" w:hAnsi="Palatino Linotype" w:cs="Tahoma"/>
          <w:bCs/>
        </w:rPr>
        <w:t xml:space="preserve"> es </w:t>
      </w:r>
      <w:r w:rsidRPr="004D38F7">
        <w:rPr>
          <w:rFonts w:ascii="Palatino Linotype" w:hAnsi="Palatino Linotype"/>
        </w:rPr>
        <w:t>toda persona física que preste a una institución pública un trabajo personal subordinado de carácter material o intelectual, o de ambos géneros, mediante el pago de un sueldo.</w:t>
      </w:r>
    </w:p>
    <w:p w14:paraId="277001F8" w14:textId="77777777" w:rsidR="005E7C1E" w:rsidRPr="004D38F7" w:rsidRDefault="005E7C1E" w:rsidP="005E7C1E">
      <w:pPr>
        <w:tabs>
          <w:tab w:val="left" w:pos="4962"/>
        </w:tabs>
        <w:spacing w:line="360" w:lineRule="auto"/>
        <w:rPr>
          <w:rFonts w:ascii="Palatino Linotype" w:hAnsi="Palatino Linotype"/>
        </w:rPr>
      </w:pPr>
    </w:p>
    <w:p w14:paraId="0F085579"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bCs/>
        </w:rPr>
      </w:pPr>
      <w:r w:rsidRPr="004D38F7">
        <w:rPr>
          <w:rFonts w:ascii="Palatino Linotype" w:hAnsi="Palatino Linotype"/>
          <w:bCs/>
        </w:rPr>
        <w:t xml:space="preserve">En ese contexto, el artículo 3°, fracción XXXII, del Código Financiero del Estado de México y Municipios establece que la remuneración consiste en los pagos hechos por </w:t>
      </w:r>
      <w:r w:rsidRPr="004D38F7">
        <w:rPr>
          <w:rFonts w:ascii="Palatino Linotype" w:hAnsi="Palatino Linotype"/>
          <w:bCs/>
        </w:rPr>
        <w:lastRenderedPageBreak/>
        <w:t xml:space="preserve">concepto de sueldo, </w:t>
      </w:r>
      <w:r w:rsidRPr="004D38F7">
        <w:rPr>
          <w:rFonts w:ascii="Palatino Linotype" w:hAnsi="Palatino Linotype" w:cs="Tahoma"/>
          <w:bCs/>
        </w:rPr>
        <w:t>compensaciones</w:t>
      </w:r>
      <w:r w:rsidRPr="004D38F7">
        <w:rPr>
          <w:rFonts w:ascii="Palatino Linotype" w:hAnsi="Palatino Linotype"/>
          <w:bCs/>
        </w:rPr>
        <w:t>, gratificaciones, habitación, primas, comisiones, prestaciones, en especie y cualquier otra percepción o prestación que se entregue al servidor por su trabajo.</w:t>
      </w:r>
    </w:p>
    <w:p w14:paraId="4DC3B648" w14:textId="77777777" w:rsidR="005E7C1E" w:rsidRPr="004D38F7" w:rsidRDefault="005E7C1E" w:rsidP="005E7C1E">
      <w:pPr>
        <w:spacing w:line="360" w:lineRule="auto"/>
        <w:contextualSpacing/>
        <w:rPr>
          <w:rFonts w:ascii="Palatino Linotype" w:hAnsi="Palatino Linotype"/>
          <w:bCs/>
        </w:rPr>
      </w:pPr>
    </w:p>
    <w:p w14:paraId="6834D241"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b/>
          <w:bCs/>
          <w:iCs/>
          <w:lang w:val="es-ES"/>
        </w:rPr>
      </w:pPr>
      <w:r w:rsidRPr="004D38F7">
        <w:rPr>
          <w:rFonts w:ascii="Palatino Linotype" w:hAnsi="Palatino Linotype"/>
          <w:bCs/>
          <w:iCs/>
          <w:lang w:val="es-ES"/>
        </w:rPr>
        <w:t xml:space="preserve">Además, el Anexo IV.2 Clasificación por objeto del gasto, del Manual para la Planeación, Programación y Presupuesto de Egresos Municipal para el ejercicio fiscal dos mil veintitrés, establece que los Presupuestos de Egresos Municipales, se tendrán que generar, conforme al “Clasificador por Objeto del Gasto”, el cual se conforma de diversos capítulos, entre los cuales, se encuentra el </w:t>
      </w:r>
      <w:r w:rsidRPr="004D38F7">
        <w:rPr>
          <w:rFonts w:ascii="Palatino Linotype" w:hAnsi="Palatino Linotype"/>
          <w:b/>
          <w:bCs/>
          <w:iCs/>
          <w:lang w:val="es-ES"/>
        </w:rPr>
        <w:t>1000 Servicios Personales</w:t>
      </w:r>
      <w:r w:rsidRPr="004D38F7">
        <w:rPr>
          <w:rFonts w:ascii="Palatino Linotype" w:hAnsi="Palatino Linotype"/>
          <w:bCs/>
          <w:iCs/>
          <w:lang w:val="es-ES"/>
        </w:rPr>
        <w:t>,</w:t>
      </w:r>
      <w:r w:rsidRPr="004D38F7">
        <w:rPr>
          <w:rFonts w:ascii="Palatino Linotype" w:hAnsi="Palatino Linotype"/>
          <w:b/>
          <w:bCs/>
          <w:iCs/>
          <w:lang w:val="es-ES"/>
        </w:rPr>
        <w:t xml:space="preserve"> que agrupa las remuneraciones del personal al servicio de los entes públicos, tales como el sueldo, salarios, dietas, honorarios, prestaciones, obligaciones laborales, entre otras.</w:t>
      </w:r>
    </w:p>
    <w:p w14:paraId="4D72E93F" w14:textId="77777777" w:rsidR="005E7C1E" w:rsidRPr="004D38F7" w:rsidRDefault="005E7C1E" w:rsidP="005E7C1E">
      <w:pPr>
        <w:spacing w:line="360" w:lineRule="auto"/>
        <w:contextualSpacing/>
        <w:rPr>
          <w:rFonts w:ascii="Palatino Linotype" w:hAnsi="Palatino Linotype"/>
          <w:bCs/>
          <w:lang w:val="es-ES"/>
        </w:rPr>
      </w:pPr>
    </w:p>
    <w:p w14:paraId="4C6AE35D" w14:textId="77777777" w:rsidR="005E7C1E" w:rsidRPr="00B5455E" w:rsidRDefault="005E7C1E" w:rsidP="005E7C1E">
      <w:pPr>
        <w:numPr>
          <w:ilvl w:val="0"/>
          <w:numId w:val="1"/>
        </w:numPr>
        <w:spacing w:line="360" w:lineRule="auto"/>
        <w:ind w:left="0" w:firstLine="0"/>
        <w:contextualSpacing/>
        <w:jc w:val="both"/>
        <w:rPr>
          <w:rFonts w:ascii="Palatino Linotype" w:hAnsi="Palatino Linotype"/>
          <w:bCs/>
        </w:rPr>
      </w:pPr>
      <w:r w:rsidRPr="004D38F7">
        <w:rPr>
          <w:rFonts w:ascii="Palatino Linotype" w:eastAsia="Times New Roman" w:hAnsi="Palatino Linotype" w:cs="Tahoma"/>
          <w:bCs/>
        </w:rPr>
        <w:t xml:space="preserve">En ese orden de ideas, </w:t>
      </w:r>
      <w:r w:rsidRPr="004D38F7">
        <w:rPr>
          <w:rFonts w:ascii="Palatino Linotype" w:hAnsi="Palatino Linotype"/>
          <w:bCs/>
        </w:rPr>
        <w:t>Lineamientos para la Integración y Entrega del Informe Trimestral Municipal, dos mil veintitrés, emitidos por el Órgano Superior de Fiscalización del Estado de México,</w:t>
      </w:r>
      <w:r w:rsidRPr="004D38F7">
        <w:rPr>
          <w:rFonts w:ascii="Palatino Linotype" w:eastAsia="Times New Roman" w:hAnsi="Palatino Linotype" w:cs="Tahoma"/>
          <w:bCs/>
        </w:rPr>
        <w:t xml:space="preserve"> </w:t>
      </w:r>
      <w:r w:rsidRPr="004D38F7">
        <w:rPr>
          <w:rFonts w:ascii="Palatino Linotype" w:hAnsi="Palatino Linotype"/>
          <w:bCs/>
        </w:rPr>
        <w:t xml:space="preserve">entre los formatos que maneja en el </w:t>
      </w:r>
      <w:r w:rsidRPr="004D38F7">
        <w:rPr>
          <w:rFonts w:ascii="Palatino Linotype" w:hAnsi="Palatino Linotype"/>
          <w:b/>
          <w:bCs/>
        </w:rPr>
        <w:t>Módulo 4</w:t>
      </w:r>
      <w:r w:rsidRPr="004D38F7">
        <w:rPr>
          <w:rFonts w:ascii="Palatino Linotype" w:hAnsi="Palatino Linotype"/>
          <w:bCs/>
        </w:rPr>
        <w:t xml:space="preserve">, se advierte que se encuentran la Nómina detallada, reporte de remuneraciones, </w:t>
      </w:r>
      <w:r w:rsidRPr="004D38F7">
        <w:rPr>
          <w:rFonts w:ascii="Palatino Linotype" w:hAnsi="Palatino Linotype"/>
          <w:b/>
          <w:bCs/>
        </w:rPr>
        <w:t>conciliación de nómina</w:t>
      </w:r>
      <w:r w:rsidRPr="004D38F7">
        <w:rPr>
          <w:rFonts w:ascii="Palatino Linotype" w:hAnsi="Palatino Linotype"/>
          <w:bCs/>
        </w:rPr>
        <w:t xml:space="preserve">, tabulador de sueldos, </w:t>
      </w:r>
      <w:r w:rsidRPr="004D38F7">
        <w:rPr>
          <w:rFonts w:ascii="Palatino Linotype" w:eastAsia="Times New Roman" w:hAnsi="Palatino Linotype"/>
          <w:bCs/>
        </w:rPr>
        <w:t xml:space="preserve">mismos que serán entregados a la autoridad </w:t>
      </w:r>
      <w:r w:rsidRPr="00B5455E">
        <w:rPr>
          <w:rFonts w:ascii="Palatino Linotype" w:eastAsia="Times New Roman" w:hAnsi="Palatino Linotype"/>
          <w:bCs/>
        </w:rPr>
        <w:t>fiscalizadora y que contienen todas las remuneraciones que recibe cada servidor público.</w:t>
      </w:r>
    </w:p>
    <w:p w14:paraId="3BA13995" w14:textId="77777777" w:rsidR="00E0579D" w:rsidRPr="00B5455E" w:rsidRDefault="00E0579D" w:rsidP="00E0579D">
      <w:pPr>
        <w:pStyle w:val="Prrafodelista"/>
        <w:rPr>
          <w:rFonts w:ascii="Palatino Linotype" w:hAnsi="Palatino Linotype"/>
          <w:bCs/>
        </w:rPr>
      </w:pPr>
    </w:p>
    <w:p w14:paraId="332AD7F4" w14:textId="77777777" w:rsidR="00547F98" w:rsidRPr="00B5455E" w:rsidRDefault="00547F98" w:rsidP="00547F98">
      <w:pPr>
        <w:numPr>
          <w:ilvl w:val="0"/>
          <w:numId w:val="1"/>
        </w:numPr>
        <w:spacing w:line="360" w:lineRule="auto"/>
        <w:ind w:left="0" w:firstLine="0"/>
        <w:contextualSpacing/>
        <w:jc w:val="both"/>
        <w:rPr>
          <w:rFonts w:ascii="Palatino Linotype" w:eastAsia="Palatino Linotype" w:hAnsi="Palatino Linotype" w:cs="Palatino Linotype"/>
        </w:rPr>
      </w:pPr>
      <w:r w:rsidRPr="00B5455E">
        <w:rPr>
          <w:rFonts w:ascii="Palatino Linotype" w:eastAsia="Palatino Linotype" w:hAnsi="Palatino Linotype" w:cs="Palatino Linotype"/>
        </w:rPr>
        <w:t xml:space="preserve">Dentro de los cuales ubicamos en su módulo cuatro la información de la </w:t>
      </w:r>
      <w:r w:rsidRPr="00B5455E">
        <w:rPr>
          <w:rFonts w:ascii="Palatino Linotype" w:eastAsia="Times New Roman" w:hAnsi="Palatino Linotype" w:cs="Tahoma"/>
          <w:bCs/>
        </w:rPr>
        <w:t>conciliación</w:t>
      </w:r>
      <w:r w:rsidRPr="00B5455E">
        <w:rPr>
          <w:rFonts w:ascii="Palatino Linotype" w:eastAsia="Palatino Linotype" w:hAnsi="Palatino Linotype" w:cs="Palatino Linotype"/>
        </w:rPr>
        <w:t xml:space="preserve"> de nómina, como se advierte en las siguientes imágenes sustraídas de dichos lineamientos:</w:t>
      </w:r>
    </w:p>
    <w:p w14:paraId="0DAB88C8" w14:textId="77777777" w:rsidR="00547F98" w:rsidRPr="004D38F7" w:rsidRDefault="00547F98" w:rsidP="00547F98">
      <w:pPr>
        <w:pStyle w:val="Prrafodelista"/>
        <w:spacing w:line="360" w:lineRule="auto"/>
        <w:ind w:left="502"/>
        <w:jc w:val="both"/>
        <w:rPr>
          <w:rFonts w:ascii="Palatino Linotype" w:eastAsia="Palatino Linotype" w:hAnsi="Palatino Linotype" w:cs="Palatino Linotype"/>
          <w:highlight w:val="yellow"/>
        </w:rPr>
      </w:pPr>
    </w:p>
    <w:p w14:paraId="08AB0BAB" w14:textId="77777777" w:rsidR="00547F98" w:rsidRPr="004D38F7" w:rsidRDefault="00547F98" w:rsidP="00547F98">
      <w:pPr>
        <w:spacing w:line="360" w:lineRule="auto"/>
        <w:jc w:val="center"/>
        <w:rPr>
          <w:rFonts w:ascii="Palatino Linotype" w:eastAsia="Palatino Linotype" w:hAnsi="Palatino Linotype" w:cs="Palatino Linotype"/>
          <w:highlight w:val="yellow"/>
        </w:rPr>
      </w:pPr>
      <w:r w:rsidRPr="004D38F7">
        <w:rPr>
          <w:noProof/>
          <w:highlight w:val="yellow"/>
          <w:lang w:val="es-MX" w:eastAsia="es-MX"/>
        </w:rPr>
        <w:lastRenderedPageBreak/>
        <w:drawing>
          <wp:inline distT="0" distB="0" distL="0" distR="0" wp14:anchorId="1285BC96" wp14:editId="2FA0873B">
            <wp:extent cx="4049486" cy="2265680"/>
            <wp:effectExtent l="0" t="0" r="825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339" t="13689" r="27297" b="25803"/>
                    <a:stretch/>
                  </pic:blipFill>
                  <pic:spPr bwMode="auto">
                    <a:xfrm>
                      <a:off x="0" y="0"/>
                      <a:ext cx="4059314" cy="2271179"/>
                    </a:xfrm>
                    <a:prstGeom prst="rect">
                      <a:avLst/>
                    </a:prstGeom>
                    <a:ln>
                      <a:noFill/>
                    </a:ln>
                    <a:extLst>
                      <a:ext uri="{53640926-AAD7-44D8-BBD7-CCE9431645EC}">
                        <a14:shadowObscured xmlns:a14="http://schemas.microsoft.com/office/drawing/2010/main"/>
                      </a:ext>
                    </a:extLst>
                  </pic:spPr>
                </pic:pic>
              </a:graphicData>
            </a:graphic>
          </wp:inline>
        </w:drawing>
      </w:r>
    </w:p>
    <w:p w14:paraId="24EB5CA4" w14:textId="77777777" w:rsidR="00547F98" w:rsidRPr="004D38F7" w:rsidRDefault="00547F98" w:rsidP="00547F98">
      <w:pPr>
        <w:pStyle w:val="Prrafodelista"/>
        <w:spacing w:line="360" w:lineRule="auto"/>
        <w:ind w:left="502"/>
        <w:jc w:val="both"/>
        <w:rPr>
          <w:noProof/>
          <w:highlight w:val="yellow"/>
          <w:lang w:val="es-MX"/>
        </w:rPr>
      </w:pPr>
    </w:p>
    <w:p w14:paraId="744DB7EC" w14:textId="77777777" w:rsidR="00547F98" w:rsidRPr="004D38F7" w:rsidRDefault="00547F98" w:rsidP="00547F98">
      <w:pPr>
        <w:spacing w:line="360" w:lineRule="auto"/>
        <w:jc w:val="center"/>
        <w:rPr>
          <w:highlight w:val="yellow"/>
        </w:rPr>
      </w:pPr>
      <w:r w:rsidRPr="004D38F7">
        <w:rPr>
          <w:noProof/>
          <w:highlight w:val="yellow"/>
          <w:lang w:val="es-MX" w:eastAsia="es-MX"/>
        </w:rPr>
        <w:drawing>
          <wp:inline distT="0" distB="0" distL="0" distR="0" wp14:anchorId="3C70B9E0" wp14:editId="4B979F3D">
            <wp:extent cx="5593482" cy="4858378"/>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11" t="20373" r="25064" b="7025"/>
                    <a:stretch/>
                  </pic:blipFill>
                  <pic:spPr bwMode="auto">
                    <a:xfrm>
                      <a:off x="0" y="0"/>
                      <a:ext cx="5625670" cy="4886336"/>
                    </a:xfrm>
                    <a:prstGeom prst="rect">
                      <a:avLst/>
                    </a:prstGeom>
                    <a:ln>
                      <a:noFill/>
                    </a:ln>
                    <a:extLst>
                      <a:ext uri="{53640926-AAD7-44D8-BBD7-CCE9431645EC}">
                        <a14:shadowObscured xmlns:a14="http://schemas.microsoft.com/office/drawing/2010/main"/>
                      </a:ext>
                    </a:extLst>
                  </pic:spPr>
                </pic:pic>
              </a:graphicData>
            </a:graphic>
          </wp:inline>
        </w:drawing>
      </w:r>
    </w:p>
    <w:p w14:paraId="6495C95A" w14:textId="77777777" w:rsidR="00547F98" w:rsidRPr="004D38F7" w:rsidRDefault="00547F98" w:rsidP="00547F98">
      <w:pPr>
        <w:spacing w:line="360" w:lineRule="auto"/>
        <w:jc w:val="center"/>
        <w:rPr>
          <w:rFonts w:ascii="Palatino Linotype" w:eastAsia="Palatino Linotype" w:hAnsi="Palatino Linotype" w:cs="Palatino Linotype"/>
          <w:highlight w:val="yellow"/>
        </w:rPr>
      </w:pPr>
      <w:r w:rsidRPr="004D38F7">
        <w:rPr>
          <w:noProof/>
          <w:highlight w:val="yellow"/>
          <w:lang w:val="es-MX" w:eastAsia="es-MX"/>
        </w:rPr>
        <w:lastRenderedPageBreak/>
        <w:drawing>
          <wp:inline distT="0" distB="0" distL="0" distR="0" wp14:anchorId="12C4D156" wp14:editId="239F927B">
            <wp:extent cx="5504815" cy="7556360"/>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844" t="11619" r="25062" b="12435"/>
                    <a:stretch/>
                  </pic:blipFill>
                  <pic:spPr bwMode="auto">
                    <a:xfrm>
                      <a:off x="0" y="0"/>
                      <a:ext cx="5523745" cy="7582345"/>
                    </a:xfrm>
                    <a:prstGeom prst="rect">
                      <a:avLst/>
                    </a:prstGeom>
                    <a:ln>
                      <a:noFill/>
                    </a:ln>
                    <a:extLst>
                      <a:ext uri="{53640926-AAD7-44D8-BBD7-CCE9431645EC}">
                        <a14:shadowObscured xmlns:a14="http://schemas.microsoft.com/office/drawing/2010/main"/>
                      </a:ext>
                    </a:extLst>
                  </pic:spPr>
                </pic:pic>
              </a:graphicData>
            </a:graphic>
          </wp:inline>
        </w:drawing>
      </w:r>
    </w:p>
    <w:p w14:paraId="615A5BD5" w14:textId="77777777" w:rsidR="00547F98" w:rsidRPr="004D38F7" w:rsidRDefault="00547F98" w:rsidP="00547F98">
      <w:pPr>
        <w:spacing w:line="360" w:lineRule="auto"/>
        <w:jc w:val="center"/>
        <w:rPr>
          <w:rFonts w:ascii="Palatino Linotype" w:eastAsia="Palatino Linotype" w:hAnsi="Palatino Linotype" w:cs="Palatino Linotype"/>
          <w:highlight w:val="yellow"/>
        </w:rPr>
      </w:pPr>
      <w:r w:rsidRPr="004D38F7">
        <w:rPr>
          <w:noProof/>
          <w:highlight w:val="yellow"/>
          <w:lang w:val="es-MX" w:eastAsia="es-MX"/>
        </w:rPr>
        <w:lastRenderedPageBreak/>
        <w:drawing>
          <wp:inline distT="0" distB="0" distL="0" distR="0" wp14:anchorId="3BC3420A" wp14:editId="4CC94CCE">
            <wp:extent cx="5600065" cy="3607358"/>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931" t="27218" r="25247" b="28681"/>
                    <a:stretch/>
                  </pic:blipFill>
                  <pic:spPr bwMode="auto">
                    <a:xfrm>
                      <a:off x="0" y="0"/>
                      <a:ext cx="5617405" cy="3618528"/>
                    </a:xfrm>
                    <a:prstGeom prst="rect">
                      <a:avLst/>
                    </a:prstGeom>
                    <a:ln>
                      <a:noFill/>
                    </a:ln>
                    <a:extLst>
                      <a:ext uri="{53640926-AAD7-44D8-BBD7-CCE9431645EC}">
                        <a14:shadowObscured xmlns:a14="http://schemas.microsoft.com/office/drawing/2010/main"/>
                      </a:ext>
                    </a:extLst>
                  </pic:spPr>
                </pic:pic>
              </a:graphicData>
            </a:graphic>
          </wp:inline>
        </w:drawing>
      </w:r>
    </w:p>
    <w:p w14:paraId="6281E7EC" w14:textId="77777777" w:rsidR="00547F98" w:rsidRPr="004D38F7" w:rsidRDefault="00547F98" w:rsidP="00547F98">
      <w:pPr>
        <w:spacing w:line="360" w:lineRule="auto"/>
        <w:jc w:val="center"/>
        <w:rPr>
          <w:rFonts w:ascii="Palatino Linotype" w:eastAsia="Palatino Linotype" w:hAnsi="Palatino Linotype" w:cs="Palatino Linotype"/>
          <w:highlight w:val="yellow"/>
        </w:rPr>
      </w:pPr>
    </w:p>
    <w:p w14:paraId="2CAB3801" w14:textId="77777777" w:rsidR="00547F98" w:rsidRPr="00B5455E" w:rsidRDefault="00547F98" w:rsidP="00547F98">
      <w:pPr>
        <w:pStyle w:val="Prrafodelista"/>
        <w:numPr>
          <w:ilvl w:val="0"/>
          <w:numId w:val="1"/>
        </w:numPr>
        <w:spacing w:line="360" w:lineRule="auto"/>
        <w:ind w:left="0" w:firstLine="0"/>
        <w:jc w:val="both"/>
        <w:rPr>
          <w:rFonts w:ascii="Palatino Linotype" w:eastAsia="Palatino Linotype" w:hAnsi="Palatino Linotype" w:cs="Palatino Linotype"/>
        </w:rPr>
      </w:pPr>
      <w:r w:rsidRPr="00B5455E">
        <w:rPr>
          <w:rFonts w:ascii="Palatino Linotype" w:eastAsia="Palatino Linotype" w:hAnsi="Palatino Linotype" w:cs="Palatino Linotype"/>
        </w:rPr>
        <w:t xml:space="preserve">En observancia a las imágenes anteriores, se acredita que el </w:t>
      </w:r>
      <w:r w:rsidRPr="00B5455E">
        <w:rPr>
          <w:rFonts w:ascii="Palatino Linotype" w:eastAsia="Palatino Linotype" w:hAnsi="Palatino Linotype" w:cs="Palatino Linotype"/>
          <w:b/>
        </w:rPr>
        <w:t>SUJETO OBLIGADO</w:t>
      </w:r>
      <w:r w:rsidRPr="00B5455E">
        <w:rPr>
          <w:rFonts w:ascii="Palatino Linotype" w:eastAsia="Palatino Linotype" w:hAnsi="Palatino Linotype" w:cs="Palatino Linotype"/>
        </w:rPr>
        <w:t>, debió generar la información relativa a la conciliación de nómina de manera quincenal y remitirla de manera trimestral al Órgano Superior de Fiscalización del Estado de México, para su respectiva revisión y fiscalización.</w:t>
      </w:r>
    </w:p>
    <w:p w14:paraId="3F904E16" w14:textId="77777777" w:rsidR="00547F98" w:rsidRPr="00B5455E" w:rsidRDefault="00547F98" w:rsidP="00547F98">
      <w:pPr>
        <w:pStyle w:val="Prrafodelista"/>
        <w:spacing w:line="360" w:lineRule="auto"/>
        <w:ind w:left="502"/>
        <w:jc w:val="both"/>
        <w:rPr>
          <w:rFonts w:ascii="Palatino Linotype" w:eastAsia="Palatino Linotype" w:hAnsi="Palatino Linotype" w:cs="Palatino Linotype"/>
        </w:rPr>
      </w:pPr>
    </w:p>
    <w:p w14:paraId="1E108606" w14:textId="77777777" w:rsidR="00547F98" w:rsidRPr="00B5455E" w:rsidRDefault="00547F98" w:rsidP="00547F98">
      <w:pPr>
        <w:pStyle w:val="Prrafodelista"/>
        <w:numPr>
          <w:ilvl w:val="0"/>
          <w:numId w:val="1"/>
        </w:numPr>
        <w:spacing w:line="360" w:lineRule="auto"/>
        <w:ind w:left="0" w:firstLine="0"/>
        <w:jc w:val="both"/>
        <w:rPr>
          <w:rFonts w:ascii="Palatino Linotype" w:eastAsia="Palatino Linotype" w:hAnsi="Palatino Linotype" w:cs="Palatino Linotype"/>
        </w:rPr>
      </w:pPr>
      <w:r w:rsidRPr="00B5455E">
        <w:rPr>
          <w:rFonts w:ascii="Palatino Linotype" w:eastAsia="Palatino Linotype" w:hAnsi="Palatino Linotype" w:cs="Palatino Linotype"/>
        </w:rPr>
        <w:t xml:space="preserve">En resumen, la conciliación de nómina, es el documento que contiene los sueldos, salarios y deducciones de todos de los Servidores Públicos del </w:t>
      </w:r>
      <w:r w:rsidRPr="00B5455E">
        <w:rPr>
          <w:rFonts w:ascii="Palatino Linotype" w:hAnsi="Palatino Linotype"/>
          <w:b/>
          <w:bCs/>
          <w:color w:val="000000"/>
        </w:rPr>
        <w:t>Ayuntamiento de Ixtapaluca</w:t>
      </w:r>
      <w:r w:rsidRPr="00B5455E">
        <w:rPr>
          <w:rFonts w:ascii="Palatino Linotype" w:eastAsia="Palatino Linotype" w:hAnsi="Palatino Linotype" w:cs="Palatino Linotype"/>
        </w:rPr>
        <w:t xml:space="preserve">, y que es información que el </w:t>
      </w:r>
      <w:r w:rsidRPr="00B5455E">
        <w:rPr>
          <w:rFonts w:ascii="Palatino Linotype" w:eastAsia="Palatino Linotype" w:hAnsi="Palatino Linotype" w:cs="Palatino Linotype"/>
          <w:b/>
        </w:rPr>
        <w:t>SUJETO OBLIGADO</w:t>
      </w:r>
      <w:r w:rsidRPr="00B5455E">
        <w:rPr>
          <w:rFonts w:ascii="Palatino Linotype" w:eastAsia="Palatino Linotype" w:hAnsi="Palatino Linotype" w:cs="Palatino Linotype"/>
        </w:rPr>
        <w:t>, debió haber</w:t>
      </w:r>
      <w:r w:rsidRPr="00B5455E">
        <w:rPr>
          <w:rFonts w:ascii="Palatino Linotype" w:eastAsia="Palatino Linotype" w:hAnsi="Palatino Linotype" w:cs="Palatino Linotype"/>
          <w:b/>
        </w:rPr>
        <w:t xml:space="preserve"> </w:t>
      </w:r>
      <w:r w:rsidRPr="00B5455E">
        <w:rPr>
          <w:rFonts w:ascii="Palatino Linotype" w:eastAsia="Palatino Linotype" w:hAnsi="Palatino Linotype" w:cs="Palatino Linotype"/>
        </w:rPr>
        <w:t xml:space="preserve">generado, administrado o poseído de acuerdo a lo establecido en el presente considerando; por lo que resulta procedente ordenar al </w:t>
      </w:r>
      <w:r w:rsidRPr="00B5455E">
        <w:rPr>
          <w:rFonts w:ascii="Palatino Linotype" w:eastAsia="Palatino Linotype" w:hAnsi="Palatino Linotype" w:cs="Palatino Linotype"/>
          <w:b/>
        </w:rPr>
        <w:t>SUJETO OBLIGADO</w:t>
      </w:r>
      <w:r w:rsidRPr="00B5455E">
        <w:rPr>
          <w:rFonts w:ascii="Palatino Linotype" w:eastAsia="Palatino Linotype" w:hAnsi="Palatino Linotype" w:cs="Palatino Linotype"/>
        </w:rPr>
        <w:t xml:space="preserve"> su entrega salvaguardando los datos personales que contenga, de conformidad con el considerando quinto. </w:t>
      </w:r>
    </w:p>
    <w:p w14:paraId="7AF25A76" w14:textId="77777777" w:rsidR="00547F98" w:rsidRPr="004D38F7" w:rsidRDefault="00547F98" w:rsidP="00547F98">
      <w:pPr>
        <w:pStyle w:val="Prrafodelista"/>
        <w:spacing w:line="360" w:lineRule="auto"/>
        <w:ind w:left="502" w:right="51"/>
        <w:jc w:val="both"/>
        <w:rPr>
          <w:rFonts w:ascii="Palatino Linotype" w:eastAsia="Palatino Linotype" w:hAnsi="Palatino Linotype" w:cs="Palatino Linotype"/>
        </w:rPr>
      </w:pPr>
    </w:p>
    <w:p w14:paraId="3E85493E" w14:textId="77777777" w:rsidR="00547F98" w:rsidRPr="004D38F7" w:rsidRDefault="00547F98" w:rsidP="00547F98">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A57AA6A" w14:textId="77777777" w:rsidR="00547F98" w:rsidRPr="004D38F7" w:rsidRDefault="00547F98" w:rsidP="00547F98">
      <w:pPr>
        <w:pStyle w:val="Prrafodelista"/>
        <w:spacing w:line="360" w:lineRule="auto"/>
        <w:ind w:left="502"/>
        <w:jc w:val="both"/>
        <w:rPr>
          <w:rFonts w:ascii="Palatino Linotype" w:eastAsia="Palatino Linotype" w:hAnsi="Palatino Linotype" w:cs="Palatino Linotype"/>
        </w:rPr>
      </w:pPr>
    </w:p>
    <w:p w14:paraId="303164A6" w14:textId="77777777" w:rsidR="00547F98" w:rsidRPr="004D38F7" w:rsidRDefault="00547F98" w:rsidP="00547F98">
      <w:pPr>
        <w:pStyle w:val="Prrafodelista"/>
        <w:ind w:left="502" w:right="851"/>
        <w:jc w:val="both"/>
        <w:rPr>
          <w:rFonts w:ascii="Palatino Linotype" w:eastAsia="Palatino Linotype" w:hAnsi="Palatino Linotype" w:cs="Palatino Linotype"/>
          <w:i/>
          <w:u w:val="single"/>
        </w:rPr>
      </w:pPr>
      <w:r w:rsidRPr="004D38F7">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4D38F7">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4D38F7">
        <w:rPr>
          <w:rFonts w:ascii="Palatino Linotype" w:eastAsia="Palatino Linotype" w:hAnsi="Palatino Linotype" w:cs="Palatino Linotype"/>
          <w:b/>
          <w:i/>
          <w:u w:val="single"/>
        </w:rPr>
        <w:t>que reciba y ejerza recursos públicos</w:t>
      </w:r>
      <w:r w:rsidRPr="004D38F7">
        <w:rPr>
          <w:rFonts w:ascii="Palatino Linotype" w:eastAsia="Palatino Linotype" w:hAnsi="Palatino Linotype" w:cs="Palatino Linotype"/>
          <w:i/>
        </w:rPr>
        <w:t xml:space="preserve"> o realice actos de autoridad </w:t>
      </w:r>
      <w:r w:rsidRPr="004D38F7">
        <w:rPr>
          <w:rFonts w:ascii="Palatino Linotype" w:eastAsia="Palatino Linotype" w:hAnsi="Palatino Linotype" w:cs="Palatino Linotype"/>
          <w:b/>
          <w:i/>
          <w:u w:val="single"/>
        </w:rPr>
        <w:t>en el ámbito de competencia del Estado de México y sus municipios</w:t>
      </w:r>
      <w:r w:rsidRPr="004D38F7">
        <w:rPr>
          <w:rFonts w:ascii="Palatino Linotype" w:eastAsia="Palatino Linotype" w:hAnsi="Palatino Linotype" w:cs="Palatino Linotype"/>
          <w:i/>
          <w:u w:val="single"/>
        </w:rPr>
        <w:t>.</w:t>
      </w:r>
    </w:p>
    <w:p w14:paraId="71EEFA5C"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78079541"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w:t>
      </w:r>
    </w:p>
    <w:p w14:paraId="55F5C5F0" w14:textId="77777777" w:rsidR="00547F98" w:rsidRPr="004D38F7" w:rsidRDefault="00547F98" w:rsidP="00547F98">
      <w:pPr>
        <w:pStyle w:val="Prrafodelista"/>
        <w:ind w:left="502" w:right="851"/>
        <w:jc w:val="both"/>
        <w:rPr>
          <w:rFonts w:ascii="Palatino Linotype" w:eastAsia="Palatino Linotype" w:hAnsi="Palatino Linotype" w:cs="Palatino Linotype"/>
          <w:b/>
          <w:i/>
          <w:u w:val="single"/>
        </w:rPr>
      </w:pPr>
      <w:r w:rsidRPr="004D38F7">
        <w:rPr>
          <w:rFonts w:ascii="Palatino Linotype" w:eastAsia="Palatino Linotype" w:hAnsi="Palatino Linotype" w:cs="Palatino Linotype"/>
          <w:b/>
          <w:i/>
          <w:u w:val="single"/>
        </w:rPr>
        <w:t>IV. Los ayuntamientos y las dependencias, organismos, órganos y entidades de la administración municipal;</w:t>
      </w:r>
    </w:p>
    <w:p w14:paraId="50B7749C"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w:t>
      </w:r>
    </w:p>
    <w:p w14:paraId="29015825" w14:textId="77777777" w:rsidR="00547F98" w:rsidRPr="004D38F7" w:rsidRDefault="00547F98" w:rsidP="00547F98">
      <w:pPr>
        <w:pStyle w:val="Prrafodelista"/>
        <w:ind w:left="502" w:right="851"/>
        <w:jc w:val="both"/>
        <w:rPr>
          <w:rFonts w:ascii="Palatino Linotype" w:eastAsia="Palatino Linotype" w:hAnsi="Palatino Linotype" w:cs="Palatino Linotype"/>
          <w:b/>
          <w:i/>
          <w:u w:val="single"/>
        </w:rPr>
      </w:pPr>
      <w:r w:rsidRPr="004D38F7">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39F4441" w14:textId="77777777" w:rsidR="00547F98" w:rsidRPr="004D38F7" w:rsidRDefault="00547F98" w:rsidP="00547F98">
      <w:pPr>
        <w:pStyle w:val="Prrafodelista"/>
        <w:ind w:left="502" w:right="851"/>
        <w:jc w:val="both"/>
        <w:rPr>
          <w:rFonts w:ascii="Palatino Linotype" w:eastAsia="Palatino Linotype" w:hAnsi="Palatino Linotype" w:cs="Palatino Linotype"/>
          <w:b/>
          <w:i/>
        </w:rPr>
      </w:pPr>
      <w:r w:rsidRPr="004D38F7">
        <w:rPr>
          <w:rFonts w:ascii="Palatino Linotype" w:eastAsia="Palatino Linotype" w:hAnsi="Palatino Linotype" w:cs="Palatino Linotype"/>
          <w:i/>
        </w:rPr>
        <w:lastRenderedPageBreak/>
        <w:t>Los servidores públicos deberán transparentar sus acciones así como garantizar y respetar el derecho de acceso a la información pública.”</w:t>
      </w:r>
      <w:r w:rsidRPr="004D38F7">
        <w:rPr>
          <w:rFonts w:ascii="Palatino Linotype" w:eastAsia="Palatino Linotype" w:hAnsi="Palatino Linotype" w:cs="Palatino Linotype"/>
          <w:b/>
          <w:i/>
        </w:rPr>
        <w:t xml:space="preserve"> [Sic]</w:t>
      </w:r>
    </w:p>
    <w:p w14:paraId="000A5007" w14:textId="77777777" w:rsidR="00547F98" w:rsidRPr="004D38F7" w:rsidRDefault="00547F98" w:rsidP="00547F98">
      <w:pPr>
        <w:pStyle w:val="Prrafodelista"/>
        <w:spacing w:line="360" w:lineRule="auto"/>
        <w:ind w:left="502"/>
        <w:jc w:val="both"/>
        <w:rPr>
          <w:rFonts w:ascii="Palatino Linotype" w:eastAsia="Palatino Linotype" w:hAnsi="Palatino Linotype" w:cs="Palatino Linotype"/>
        </w:rPr>
      </w:pPr>
    </w:p>
    <w:p w14:paraId="26ACCAED" w14:textId="77777777" w:rsidR="00547F98" w:rsidRPr="004D38F7" w:rsidRDefault="00547F98" w:rsidP="00547F98">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4D38F7">
        <w:rPr>
          <w:rFonts w:ascii="Palatino Linotype" w:eastAsia="Palatino Linotype" w:hAnsi="Palatino Linotype" w:cs="Palatino Linotype"/>
          <w:b/>
        </w:rPr>
        <w:t>01/</w:t>
      </w:r>
      <w:r w:rsidRPr="004D38F7">
        <w:rPr>
          <w:rFonts w:ascii="Palatino Linotype" w:eastAsia="Palatino Linotype" w:hAnsi="Palatino Linotype" w:cs="Palatino Linotype"/>
        </w:rPr>
        <w:t xml:space="preserve">2003 y </w:t>
      </w:r>
      <w:r w:rsidRPr="004D38F7">
        <w:rPr>
          <w:rFonts w:ascii="Palatino Linotype" w:eastAsia="Palatino Linotype" w:hAnsi="Palatino Linotype" w:cs="Palatino Linotype"/>
          <w:b/>
        </w:rPr>
        <w:t>02/2003</w:t>
      </w:r>
      <w:r w:rsidRPr="004D38F7">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4DF1AA49" w14:textId="77777777" w:rsidR="00547F98" w:rsidRPr="004D38F7" w:rsidRDefault="00547F98" w:rsidP="00547F98">
      <w:pPr>
        <w:pStyle w:val="Prrafodelista"/>
        <w:spacing w:line="360" w:lineRule="auto"/>
        <w:ind w:left="502"/>
        <w:jc w:val="both"/>
        <w:rPr>
          <w:rFonts w:ascii="Palatino Linotype" w:eastAsia="Palatino Linotype" w:hAnsi="Palatino Linotype" w:cs="Palatino Linotype"/>
        </w:rPr>
      </w:pPr>
    </w:p>
    <w:p w14:paraId="4B1E7EDF" w14:textId="77777777" w:rsidR="00547F98" w:rsidRPr="004D38F7" w:rsidRDefault="00547F98" w:rsidP="00547F98">
      <w:pPr>
        <w:pStyle w:val="Prrafodelista"/>
        <w:ind w:left="502" w:right="851"/>
        <w:rPr>
          <w:rFonts w:ascii="Palatino Linotype" w:eastAsia="Palatino Linotype" w:hAnsi="Palatino Linotype" w:cs="Palatino Linotype"/>
          <w:b/>
          <w:i/>
        </w:rPr>
      </w:pPr>
      <w:r w:rsidRPr="004D38F7">
        <w:rPr>
          <w:rFonts w:ascii="Palatino Linotype" w:eastAsia="Palatino Linotype" w:hAnsi="Palatino Linotype" w:cs="Palatino Linotype"/>
          <w:b/>
          <w:i/>
        </w:rPr>
        <w:t>“Criterio 01/2003.</w:t>
      </w:r>
    </w:p>
    <w:p w14:paraId="6BF60E5F"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4D38F7">
        <w:rPr>
          <w:rFonts w:ascii="Palatino Linotype" w:eastAsia="Palatino Linotype" w:hAnsi="Palatino Linotype" w:cs="Palatino Linotype"/>
          <w:i/>
        </w:rPr>
        <w:t xml:space="preserve"> </w:t>
      </w:r>
    </w:p>
    <w:p w14:paraId="599238CA" w14:textId="77777777" w:rsidR="00547F98" w:rsidRPr="004D38F7" w:rsidRDefault="00547F98" w:rsidP="00547F98">
      <w:pPr>
        <w:pStyle w:val="Prrafodelista"/>
        <w:ind w:left="502" w:right="851"/>
        <w:jc w:val="both"/>
        <w:rPr>
          <w:rFonts w:ascii="Palatino Linotype" w:eastAsia="Palatino Linotype" w:hAnsi="Palatino Linotype" w:cs="Palatino Linotype"/>
          <w:i/>
          <w:u w:val="single"/>
        </w:rPr>
      </w:pPr>
      <w:r w:rsidRPr="004D38F7">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4D38F7">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4D38F7">
        <w:rPr>
          <w:rFonts w:ascii="Palatino Linotype" w:eastAsia="Palatino Linotype" w:hAnsi="Palatino Linotype" w:cs="Palatino Linotype"/>
          <w:i/>
          <w:u w:val="single"/>
        </w:rPr>
        <w:t>…”</w:t>
      </w:r>
    </w:p>
    <w:p w14:paraId="599974F9" w14:textId="77777777" w:rsidR="00547F98" w:rsidRPr="004D38F7" w:rsidRDefault="00547F98" w:rsidP="00547F98">
      <w:pPr>
        <w:pStyle w:val="Prrafodelista"/>
        <w:ind w:left="502" w:right="851"/>
        <w:jc w:val="both"/>
        <w:rPr>
          <w:rFonts w:ascii="Palatino Linotype" w:eastAsia="Palatino Linotype" w:hAnsi="Palatino Linotype" w:cs="Palatino Linotype"/>
          <w:i/>
        </w:rPr>
      </w:pPr>
    </w:p>
    <w:p w14:paraId="6F295B42" w14:textId="77777777" w:rsidR="00547F98" w:rsidRPr="004D38F7" w:rsidRDefault="00547F98" w:rsidP="00547F98">
      <w:pPr>
        <w:pStyle w:val="Prrafodelista"/>
        <w:ind w:left="502" w:right="851"/>
        <w:rPr>
          <w:rFonts w:ascii="Palatino Linotype" w:eastAsia="Palatino Linotype" w:hAnsi="Palatino Linotype" w:cs="Palatino Linotype"/>
          <w:b/>
          <w:i/>
        </w:rPr>
      </w:pPr>
      <w:r w:rsidRPr="004D38F7">
        <w:rPr>
          <w:rFonts w:ascii="Palatino Linotype" w:eastAsia="Palatino Linotype" w:hAnsi="Palatino Linotype" w:cs="Palatino Linotype"/>
          <w:b/>
          <w:i/>
        </w:rPr>
        <w:t>“Criterio 02/2003.</w:t>
      </w:r>
    </w:p>
    <w:p w14:paraId="209ED4E9"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4D38F7">
        <w:rPr>
          <w:rFonts w:ascii="Palatino Linotype" w:eastAsia="Palatino Linotype" w:hAnsi="Palatino Linotype" w:cs="Palatino Linotype"/>
          <w:i/>
        </w:rPr>
        <w:t xml:space="preserve"> </w:t>
      </w:r>
    </w:p>
    <w:p w14:paraId="085AB1B6" w14:textId="77777777" w:rsidR="00547F98" w:rsidRPr="004D38F7" w:rsidRDefault="00547F98" w:rsidP="00547F98">
      <w:pPr>
        <w:pStyle w:val="Prrafodelista"/>
        <w:ind w:left="502" w:right="851"/>
        <w:jc w:val="both"/>
        <w:rPr>
          <w:rFonts w:ascii="Palatino Linotype" w:eastAsia="Palatino Linotype" w:hAnsi="Palatino Linotype" w:cs="Palatino Linotype"/>
          <w:b/>
          <w:i/>
        </w:rPr>
      </w:pPr>
      <w:r w:rsidRPr="004D38F7">
        <w:rPr>
          <w:rFonts w:ascii="Palatino Linotype" w:eastAsia="Palatino Linotype" w:hAnsi="Palatino Linotype" w:cs="Palatino Linotype"/>
          <w:i/>
        </w:rPr>
        <w:lastRenderedPageBreak/>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4D38F7">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4D38F7">
        <w:rPr>
          <w:rFonts w:ascii="Palatino Linotype" w:eastAsia="Palatino Linotype" w:hAnsi="Palatino Linotype" w:cs="Palatino Linotype"/>
          <w:i/>
        </w:rPr>
        <w:t xml:space="preserve"> el sistema de compensación…” </w:t>
      </w:r>
    </w:p>
    <w:p w14:paraId="1A603609" w14:textId="77777777" w:rsidR="00547F98" w:rsidRPr="004D38F7" w:rsidRDefault="00547F98" w:rsidP="00547F98">
      <w:pPr>
        <w:pStyle w:val="Prrafodelista"/>
        <w:spacing w:line="360" w:lineRule="auto"/>
        <w:ind w:left="502" w:right="-93"/>
        <w:jc w:val="both"/>
        <w:rPr>
          <w:rFonts w:ascii="Palatino Linotype" w:eastAsia="Palatino Linotype" w:hAnsi="Palatino Linotype" w:cs="Palatino Linotype"/>
        </w:rPr>
      </w:pPr>
    </w:p>
    <w:p w14:paraId="7805C378" w14:textId="77777777" w:rsidR="00547F98" w:rsidRPr="004D38F7" w:rsidRDefault="00547F98" w:rsidP="00C8453F">
      <w:pPr>
        <w:pStyle w:val="Prrafodelista"/>
        <w:numPr>
          <w:ilvl w:val="0"/>
          <w:numId w:val="1"/>
        </w:numPr>
        <w:spacing w:line="360" w:lineRule="auto"/>
        <w:ind w:left="0" w:firstLine="0"/>
        <w:jc w:val="both"/>
        <w:rPr>
          <w:rFonts w:ascii="Palatino Linotype" w:eastAsia="Palatino Linotype" w:hAnsi="Palatino Linotype" w:cs="Palatino Linotype"/>
        </w:rPr>
      </w:pPr>
      <w:r w:rsidRPr="004D38F7">
        <w:rPr>
          <w:rFonts w:ascii="Palatino Linotype" w:eastAsia="Palatino Linotype" w:hAnsi="Palatino Linotype" w:cs="Palatino Linotype"/>
          <w:i/>
        </w:rPr>
        <w:t>Máxime</w:t>
      </w:r>
      <w:r w:rsidRPr="004D38F7">
        <w:rPr>
          <w:rFonts w:ascii="Palatino Linotype" w:eastAsia="Palatino Linotype" w:hAnsi="Palatino Linotype" w:cs="Palatino Linotype"/>
        </w:rPr>
        <w:t>, que se trata de una obligación de transparencia en términos de lo señalado por el artículo 92 fracción  de la Ley de Transparencia y Acceso a la Información Pública del Estado de México y Municipios vigente, que señala:</w:t>
      </w:r>
    </w:p>
    <w:p w14:paraId="1028C862"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79C1FC3"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w:t>
      </w:r>
    </w:p>
    <w:p w14:paraId="0B7B2C3F" w14:textId="77777777" w:rsidR="00547F98" w:rsidRPr="004D38F7" w:rsidRDefault="00547F98" w:rsidP="00547F98">
      <w:pPr>
        <w:pStyle w:val="Prrafodelista"/>
        <w:ind w:left="502" w:right="851"/>
        <w:jc w:val="both"/>
        <w:rPr>
          <w:rFonts w:ascii="Palatino Linotype" w:eastAsia="Palatino Linotype" w:hAnsi="Palatino Linotype" w:cs="Palatino Linotype"/>
          <w:i/>
        </w:rPr>
      </w:pPr>
      <w:r w:rsidRPr="004D38F7">
        <w:rPr>
          <w:rFonts w:ascii="Palatino Linotype" w:eastAsia="Palatino Linotype" w:hAnsi="Palatino Linotype" w:cs="Palatino Linotype"/>
          <w:i/>
        </w:rPr>
        <w:t xml:space="preserve">VIII. </w:t>
      </w:r>
      <w:r w:rsidRPr="004D38F7">
        <w:rPr>
          <w:rFonts w:ascii="Palatino Linotype" w:eastAsia="Palatino Linotype" w:hAnsi="Palatino Linotype" w:cs="Palatino Linotype"/>
          <w:i/>
          <w:u w:val="single"/>
        </w:rPr>
        <w:t>La remuneración bruta y neta de todos los servidores públicos de base o de confianza, de todas las percepciones, incluyendo sueldos, prestaciones, gratificaciones, primas, comisiones, dietas, bonos, estímulos, ingresos y sistemas de compensación</w:t>
      </w:r>
      <w:r w:rsidRPr="004D38F7">
        <w:rPr>
          <w:rFonts w:ascii="Palatino Linotype" w:eastAsia="Palatino Linotype" w:hAnsi="Palatino Linotype" w:cs="Palatino Linotype"/>
          <w:i/>
        </w:rPr>
        <w:t>, señalando la periodicidad de dicha remuneración;</w:t>
      </w:r>
    </w:p>
    <w:p w14:paraId="0F5D2D67" w14:textId="77777777" w:rsidR="00547F98" w:rsidRPr="004D38F7" w:rsidRDefault="00547F98" w:rsidP="00547F98">
      <w:pPr>
        <w:pStyle w:val="Prrafodelista"/>
        <w:spacing w:before="240" w:after="240" w:line="360" w:lineRule="auto"/>
        <w:ind w:left="502"/>
        <w:jc w:val="both"/>
        <w:rPr>
          <w:rFonts w:ascii="Palatino Linotype" w:eastAsia="Palatino Linotype" w:hAnsi="Palatino Linotype" w:cs="Palatino Linotype"/>
        </w:rPr>
      </w:pPr>
    </w:p>
    <w:p w14:paraId="04A38AF5" w14:textId="77777777" w:rsidR="005E7C1E" w:rsidRPr="004D38F7" w:rsidRDefault="005E7C1E" w:rsidP="00C8453F">
      <w:pPr>
        <w:pStyle w:val="Prrafodelista"/>
        <w:numPr>
          <w:ilvl w:val="0"/>
          <w:numId w:val="1"/>
        </w:numPr>
        <w:spacing w:line="360" w:lineRule="auto"/>
        <w:ind w:left="0" w:firstLine="0"/>
        <w:jc w:val="both"/>
        <w:rPr>
          <w:rFonts w:ascii="Palatino Linotype" w:hAnsi="Palatino Linotype" w:cs="Tahoma"/>
          <w:bCs/>
        </w:rPr>
      </w:pPr>
      <w:r w:rsidRPr="004D38F7">
        <w:rPr>
          <w:rFonts w:ascii="Palatino Linotype" w:eastAsia="Times New Roman" w:hAnsi="Palatino Linotype" w:cs="Tahoma"/>
          <w:bCs/>
        </w:rPr>
        <w:t>Así, se colige que el Sujeto Obligado cuenta con atribuciones para pronunciarse de la información solicitada</w:t>
      </w:r>
      <w:r w:rsidRPr="004D38F7">
        <w:rPr>
          <w:rFonts w:ascii="Palatino Linotype" w:hAnsi="Palatino Linotype" w:cs="Tahoma"/>
          <w:bCs/>
        </w:rPr>
        <w:t xml:space="preserve">; por lo que, </w:t>
      </w:r>
      <w:r w:rsidRPr="004D38F7">
        <w:rPr>
          <w:rFonts w:ascii="Palatino Linotype" w:eastAsia="Times New Roman" w:hAnsi="Palatino Linotype" w:cs="Tahoma"/>
          <w:bCs/>
          <w:iCs/>
        </w:rPr>
        <w:t>para atender el requerimiento en análisis, el Sujeto Obligado, deberá realizar una búsqueda exhaustiva y razonable en todas sus áreas competentes,</w:t>
      </w:r>
      <w:r w:rsidRPr="004D38F7">
        <w:rPr>
          <w:rFonts w:ascii="Palatino Linotype" w:hAnsi="Palatino Linotype" w:cs="Tahoma"/>
          <w:bCs/>
        </w:rPr>
        <w:t xml:space="preserve"> a efecto de que proporcione </w:t>
      </w:r>
      <w:r w:rsidR="00C8453F" w:rsidRPr="004D38F7">
        <w:rPr>
          <w:rFonts w:ascii="Palatino Linotype" w:hAnsi="Palatino Linotype" w:cs="Tahoma"/>
          <w:bCs/>
        </w:rPr>
        <w:t>la conciliación</w:t>
      </w:r>
      <w:r w:rsidRPr="004D38F7">
        <w:rPr>
          <w:rFonts w:ascii="Palatino Linotype" w:hAnsi="Palatino Linotype" w:cs="Tahoma"/>
          <w:bCs/>
        </w:rPr>
        <w:t xml:space="preserve"> de nómina de la primera y segunda quincena del mes de agosto de dos mil veintitrés, de todos los servidores </w:t>
      </w:r>
      <w:r w:rsidRPr="004D38F7">
        <w:rPr>
          <w:rFonts w:ascii="Palatino Linotype" w:hAnsi="Palatino Linotype" w:cs="Tahoma"/>
          <w:bCs/>
        </w:rPr>
        <w:lastRenderedPageBreak/>
        <w:t>públicos que integran la administración pública municipal al cinco de septiembre de dos mil veintitrés.</w:t>
      </w:r>
    </w:p>
    <w:p w14:paraId="111697DF"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rPr>
      </w:pPr>
      <w:r w:rsidRPr="004D38F7">
        <w:rPr>
          <w:rFonts w:ascii="Palatino Linotype" w:hAnsi="Palatino Linotype"/>
        </w:rPr>
        <w:t xml:space="preserve">Así resulta necesario analizar si el nombre de dichos trabajadores actualiza alguna causal de clasificación; al </w:t>
      </w:r>
      <w:r w:rsidRPr="004D38F7">
        <w:rPr>
          <w:rFonts w:ascii="Palatino Linotype" w:eastAsia="Times New Roman" w:hAnsi="Palatino Linotype" w:cs="Tahoma"/>
          <w:bCs/>
        </w:rPr>
        <w:t>respecto</w:t>
      </w:r>
      <w:r w:rsidRPr="004D38F7">
        <w:rPr>
          <w:rFonts w:ascii="Palatino Linotype" w:hAnsi="Palatino Linotype"/>
        </w:rPr>
        <w:t>, con relación, al primer dato referido,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14:paraId="2ACD08B3" w14:textId="77777777" w:rsidR="005E7C1E" w:rsidRPr="004D38F7" w:rsidRDefault="005E7C1E" w:rsidP="005E7C1E">
      <w:pPr>
        <w:spacing w:line="360" w:lineRule="auto"/>
        <w:rPr>
          <w:rFonts w:ascii="Palatino Linotype" w:hAnsi="Palatino Linotype"/>
        </w:rPr>
      </w:pPr>
    </w:p>
    <w:p w14:paraId="16D387D5" w14:textId="77777777" w:rsidR="005E7C1E" w:rsidRPr="004D38F7" w:rsidRDefault="005E7C1E" w:rsidP="005E7C1E">
      <w:pPr>
        <w:tabs>
          <w:tab w:val="left" w:pos="4962"/>
        </w:tabs>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w:t>
      </w:r>
      <w:r w:rsidRPr="004D38F7">
        <w:rPr>
          <w:rFonts w:ascii="Palatino Linotype" w:hAnsi="Palatino Linotype" w:cs="Tahoma"/>
          <w:b/>
          <w:i/>
          <w:iCs/>
          <w:lang w:val="es-ES" w:eastAsia="es-ES_tradnl"/>
        </w:rPr>
        <w:t>Artículo 140.</w:t>
      </w:r>
      <w:r w:rsidRPr="004D38F7">
        <w:rPr>
          <w:rFonts w:ascii="Palatino Linotype" w:hAnsi="Palatino Linotype" w:cs="Tahoma"/>
          <w:i/>
          <w:iCs/>
          <w:lang w:val="es-ES" w:eastAsia="es-ES_tradnl"/>
        </w:rPr>
        <w:t xml:space="preserve"> El acceso a la información pública será restringido excepcionalmente, cuando por razones de interés público, ésta sea clasificada como reservada, conforme a los criterios siguientes: </w:t>
      </w:r>
    </w:p>
    <w:p w14:paraId="4C0EB0D3" w14:textId="77777777" w:rsidR="005E7C1E" w:rsidRPr="004D38F7" w:rsidRDefault="005E7C1E" w:rsidP="005E7C1E">
      <w:pPr>
        <w:tabs>
          <w:tab w:val="left" w:pos="4962"/>
        </w:tabs>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w:t>
      </w:r>
    </w:p>
    <w:p w14:paraId="6AA25C33" w14:textId="77777777" w:rsidR="005E7C1E" w:rsidRPr="004D38F7" w:rsidRDefault="005E7C1E" w:rsidP="005E7C1E">
      <w:pPr>
        <w:tabs>
          <w:tab w:val="left" w:pos="4962"/>
        </w:tabs>
        <w:spacing w:line="360" w:lineRule="auto"/>
        <w:ind w:left="567" w:right="567"/>
        <w:rPr>
          <w:rFonts w:ascii="Palatino Linotype" w:hAnsi="Palatino Linotype" w:cs="Tahoma"/>
          <w:i/>
          <w:iCs/>
          <w:lang w:eastAsia="es-ES_tradnl"/>
        </w:rPr>
      </w:pPr>
      <w:r w:rsidRPr="004D38F7">
        <w:rPr>
          <w:rFonts w:ascii="Palatino Linotype" w:hAnsi="Palatino Linotype" w:cs="Tahoma"/>
          <w:i/>
          <w:iCs/>
          <w:lang w:eastAsia="es-ES_tradnl"/>
        </w:rPr>
        <w:t>IV. Ponga en riesgo la vida, la seguridad o la salud de una persona física;</w:t>
      </w:r>
    </w:p>
    <w:p w14:paraId="71B810A7" w14:textId="77777777" w:rsidR="005E7C1E" w:rsidRPr="004D38F7" w:rsidRDefault="005E7C1E" w:rsidP="005E7C1E">
      <w:pPr>
        <w:tabs>
          <w:tab w:val="left" w:pos="4962"/>
        </w:tabs>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 xml:space="preserve">…” </w:t>
      </w:r>
    </w:p>
    <w:p w14:paraId="3D63C7BC" w14:textId="77777777" w:rsidR="005E7C1E" w:rsidRPr="004D38F7" w:rsidRDefault="005E7C1E" w:rsidP="005E7C1E">
      <w:pPr>
        <w:spacing w:line="360" w:lineRule="auto"/>
        <w:rPr>
          <w:rFonts w:ascii="Palatino Linotype" w:hAnsi="Palatino Linotype" w:cs="Tahoma"/>
          <w:bCs/>
        </w:rPr>
      </w:pPr>
    </w:p>
    <w:p w14:paraId="37F254E2" w14:textId="77777777" w:rsidR="005E7C1E" w:rsidRPr="004D38F7" w:rsidRDefault="005E7C1E" w:rsidP="00C8453F">
      <w:pPr>
        <w:pStyle w:val="Prrafodelista"/>
        <w:numPr>
          <w:ilvl w:val="0"/>
          <w:numId w:val="1"/>
        </w:numPr>
        <w:spacing w:line="360" w:lineRule="auto"/>
        <w:ind w:left="0" w:firstLine="0"/>
        <w:jc w:val="both"/>
        <w:rPr>
          <w:rFonts w:ascii="Palatino Linotype" w:hAnsi="Palatino Linotype" w:cs="Tahoma"/>
          <w:bCs/>
        </w:rPr>
      </w:pPr>
      <w:r w:rsidRPr="004D38F7">
        <w:rPr>
          <w:rFonts w:ascii="Palatino Linotype" w:hAnsi="Palatino Linotype" w:cs="Tahoma"/>
          <w:bCs/>
        </w:rPr>
        <w:t xml:space="preserve">Del </w:t>
      </w:r>
      <w:r w:rsidRPr="004D38F7">
        <w:rPr>
          <w:rFonts w:ascii="Palatino Linotype" w:hAnsi="Palatino Linotype"/>
        </w:rPr>
        <w:t>precepto</w:t>
      </w:r>
      <w:r w:rsidRPr="004D38F7">
        <w:rPr>
          <w:rFonts w:ascii="Palatino Linotype" w:hAnsi="Palatino Linotype" w:cs="Tahoma"/>
          <w:bCs/>
        </w:rPr>
        <w:t xml:space="preserve"> legal anteriormente citado se desprende que como información reservada podrá </w:t>
      </w:r>
      <w:r w:rsidRPr="004D38F7">
        <w:rPr>
          <w:rFonts w:ascii="Palatino Linotype" w:eastAsia="Times New Roman" w:hAnsi="Palatino Linotype" w:cs="Tahoma"/>
          <w:bCs/>
        </w:rPr>
        <w:t>clasificarse</w:t>
      </w:r>
      <w:r w:rsidRPr="004D38F7">
        <w:rPr>
          <w:rFonts w:ascii="Palatino Linotype" w:hAnsi="Palatino Linotype" w:cs="Tahoma"/>
          <w:bCs/>
        </w:rPr>
        <w:t xml:space="preserve"> aquella cuya publicación pueda poner en riesgo la vida, seguridad o salud de una persona física; para acreditar lo anterior, los </w:t>
      </w:r>
      <w:r w:rsidRPr="004D38F7">
        <w:rPr>
          <w:rFonts w:ascii="Palatino Linotype" w:hAnsi="Palatino Linotype" w:cs="Tahoma"/>
          <w:bCs/>
          <w:lang w:val="es-ES"/>
        </w:rPr>
        <w:t xml:space="preserve">Lineamientos Generales, </w:t>
      </w:r>
      <w:r w:rsidRPr="004D38F7">
        <w:rPr>
          <w:rFonts w:ascii="Palatino Linotype" w:hAnsi="Palatino Linotype" w:cs="Tahoma"/>
          <w:bCs/>
        </w:rPr>
        <w:t>establecen lo siguiente:</w:t>
      </w:r>
    </w:p>
    <w:p w14:paraId="66AF36EB" w14:textId="77777777" w:rsidR="005E7C1E" w:rsidRPr="004D38F7" w:rsidRDefault="005E7C1E" w:rsidP="005E7C1E">
      <w:pPr>
        <w:spacing w:line="360" w:lineRule="auto"/>
        <w:rPr>
          <w:rFonts w:ascii="Palatino Linotype" w:hAnsi="Palatino Linotype" w:cs="Tahoma"/>
          <w:bCs/>
        </w:rPr>
      </w:pPr>
    </w:p>
    <w:p w14:paraId="6ADAC6E3" w14:textId="77777777" w:rsidR="005E7C1E" w:rsidRPr="004D38F7" w:rsidRDefault="005E7C1E" w:rsidP="005E7C1E">
      <w:pPr>
        <w:spacing w:line="360" w:lineRule="auto"/>
        <w:ind w:left="567" w:right="567"/>
        <w:contextualSpacing/>
        <w:rPr>
          <w:rFonts w:ascii="Palatino Linotype" w:hAnsi="Palatino Linotype" w:cs="Tahoma"/>
          <w:bCs/>
          <w:i/>
        </w:rPr>
      </w:pPr>
      <w:r w:rsidRPr="004D38F7">
        <w:rPr>
          <w:rFonts w:ascii="Palatino Linotype" w:hAnsi="Palatino Linotype" w:cs="Tahoma"/>
          <w:b/>
          <w:bCs/>
          <w:i/>
        </w:rPr>
        <w:t xml:space="preserve">“Vigésimo tercero. </w:t>
      </w:r>
      <w:r w:rsidRPr="004D38F7">
        <w:rPr>
          <w:rFonts w:ascii="Palatino Linotype" w:hAnsi="Palatino Linotype" w:cs="Tahoma"/>
          <w:bCs/>
          <w:i/>
        </w:rPr>
        <w:t xml:space="preserve">Para clasificar la información como reservada, de conformidad con el artículo 113, fracción V de la Ley General, será necesario acreditar un vínculo, entre una o varias personas físicas y la información que pueda poner en riesgo su </w:t>
      </w:r>
      <w:r w:rsidRPr="004D38F7">
        <w:rPr>
          <w:rFonts w:ascii="Palatino Linotype" w:hAnsi="Palatino Linotype" w:cs="Tahoma"/>
          <w:bCs/>
          <w:i/>
        </w:rPr>
        <w:lastRenderedPageBreak/>
        <w:t>vida, seguridad o salud; especificando cuál de estos bienes jurídicos será afectado, así como el potencial daño o riesgo que causaría su difusión”</w:t>
      </w:r>
    </w:p>
    <w:p w14:paraId="660CD36C" w14:textId="77777777" w:rsidR="005E7C1E" w:rsidRPr="004D38F7" w:rsidRDefault="005E7C1E" w:rsidP="005E7C1E">
      <w:pPr>
        <w:spacing w:line="360" w:lineRule="auto"/>
        <w:ind w:left="567" w:right="567"/>
        <w:rPr>
          <w:rFonts w:ascii="Palatino Linotype" w:hAnsi="Palatino Linotype" w:cs="Tahoma"/>
          <w:bCs/>
          <w:i/>
        </w:rPr>
      </w:pPr>
    </w:p>
    <w:p w14:paraId="1517B1E0" w14:textId="77777777" w:rsidR="005E7C1E" w:rsidRPr="004D38F7" w:rsidRDefault="005E7C1E" w:rsidP="00C8453F">
      <w:pPr>
        <w:pStyle w:val="Prrafodelista"/>
        <w:numPr>
          <w:ilvl w:val="0"/>
          <w:numId w:val="1"/>
        </w:numPr>
        <w:spacing w:line="360" w:lineRule="auto"/>
        <w:ind w:left="0" w:firstLine="0"/>
        <w:jc w:val="both"/>
        <w:rPr>
          <w:rFonts w:ascii="Palatino Linotype" w:hAnsi="Palatino Linotype" w:cs="Tahoma"/>
          <w:bCs/>
        </w:rPr>
      </w:pPr>
      <w:r w:rsidRPr="004D38F7">
        <w:rPr>
          <w:rFonts w:ascii="Palatino Linotype" w:hAnsi="Palatino Linotype" w:cs="Tahoma"/>
          <w:bCs/>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490F9778" w14:textId="77777777" w:rsidR="00C8453F" w:rsidRPr="004D38F7" w:rsidRDefault="00C8453F" w:rsidP="00C8453F">
      <w:pPr>
        <w:spacing w:line="360" w:lineRule="auto"/>
        <w:contextualSpacing/>
        <w:jc w:val="both"/>
        <w:rPr>
          <w:rFonts w:ascii="Palatino Linotype" w:hAnsi="Palatino Linotype" w:cs="Tahoma"/>
          <w:bCs/>
        </w:rPr>
      </w:pPr>
    </w:p>
    <w:p w14:paraId="7632C02A"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Además, el artículo 81, fracción III, de la Ley de Seguridad del Estado de México, establece lo siguiente:</w:t>
      </w:r>
    </w:p>
    <w:p w14:paraId="140308D7" w14:textId="77777777" w:rsidR="005E7C1E" w:rsidRPr="004D38F7" w:rsidRDefault="005E7C1E" w:rsidP="005E7C1E">
      <w:pPr>
        <w:spacing w:line="360" w:lineRule="auto"/>
        <w:rPr>
          <w:rFonts w:ascii="Palatino Linotype" w:hAnsi="Palatino Linotype" w:cs="Tahoma"/>
          <w:bCs/>
        </w:rPr>
      </w:pPr>
    </w:p>
    <w:p w14:paraId="5376E411" w14:textId="77777777" w:rsidR="005E7C1E" w:rsidRPr="004D38F7" w:rsidRDefault="005E7C1E" w:rsidP="005E7C1E">
      <w:pPr>
        <w:spacing w:line="360" w:lineRule="auto"/>
        <w:ind w:left="567" w:right="567"/>
        <w:rPr>
          <w:rFonts w:ascii="Palatino Linotype" w:hAnsi="Palatino Linotype" w:cs="Tahoma"/>
          <w:bCs/>
          <w:i/>
        </w:rPr>
      </w:pPr>
      <w:r w:rsidRPr="004D38F7">
        <w:rPr>
          <w:rFonts w:ascii="Palatino Linotype" w:hAnsi="Palatino Linotype" w:cs="Tahoma"/>
          <w:b/>
          <w:bCs/>
          <w:i/>
        </w:rPr>
        <w:t>“Artículo 81.-</w:t>
      </w:r>
      <w:r w:rsidRPr="004D38F7">
        <w:rPr>
          <w:rFonts w:ascii="Palatino Linotype" w:hAnsi="Palatino Linotype"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1318305A" w14:textId="77777777" w:rsidR="005E7C1E" w:rsidRPr="004D38F7" w:rsidRDefault="005E7C1E" w:rsidP="005E7C1E">
      <w:pPr>
        <w:spacing w:line="360" w:lineRule="auto"/>
        <w:ind w:left="567" w:right="567"/>
        <w:rPr>
          <w:rFonts w:ascii="Palatino Linotype" w:hAnsi="Palatino Linotype" w:cs="Tahoma"/>
          <w:bCs/>
          <w:i/>
        </w:rPr>
      </w:pPr>
      <w:r w:rsidRPr="004D38F7">
        <w:rPr>
          <w:rFonts w:ascii="Palatino Linotype" w:hAnsi="Palatino Linotype" w:cs="Tahoma"/>
          <w:bCs/>
          <w:i/>
        </w:rPr>
        <w:t>…</w:t>
      </w:r>
    </w:p>
    <w:p w14:paraId="2203ADCF" w14:textId="77777777" w:rsidR="005E7C1E" w:rsidRPr="004D38F7" w:rsidRDefault="005E7C1E" w:rsidP="005E7C1E">
      <w:pPr>
        <w:spacing w:line="360" w:lineRule="auto"/>
        <w:ind w:left="567" w:right="567"/>
        <w:rPr>
          <w:rFonts w:ascii="Palatino Linotype" w:hAnsi="Palatino Linotype" w:cs="Tahoma"/>
          <w:bCs/>
          <w:i/>
        </w:rPr>
      </w:pPr>
      <w:r w:rsidRPr="004D38F7">
        <w:rPr>
          <w:rFonts w:ascii="Palatino Linotype" w:hAnsi="Palatino Linotype" w:cs="Tahoma"/>
          <w:bCs/>
          <w:i/>
        </w:rPr>
        <w:t>III. La relativa a los servidores públicos integrantes de las instituciones de seguridad pública, cuya revelación pueda poner en riesgo su vida e integridad física con motivo de sus funciones;</w:t>
      </w:r>
    </w:p>
    <w:p w14:paraId="022FB21F" w14:textId="77777777" w:rsidR="005E7C1E" w:rsidRPr="004D38F7" w:rsidRDefault="005E7C1E" w:rsidP="005E7C1E">
      <w:pPr>
        <w:spacing w:line="360" w:lineRule="auto"/>
        <w:ind w:left="567" w:right="567"/>
        <w:rPr>
          <w:rFonts w:ascii="Palatino Linotype" w:hAnsi="Palatino Linotype" w:cs="Tahoma"/>
          <w:bCs/>
          <w:i/>
        </w:rPr>
      </w:pPr>
      <w:r w:rsidRPr="004D38F7">
        <w:rPr>
          <w:rFonts w:ascii="Palatino Linotype" w:hAnsi="Palatino Linotype" w:cs="Tahoma"/>
          <w:bCs/>
          <w:i/>
        </w:rPr>
        <w:t>…”</w:t>
      </w:r>
    </w:p>
    <w:p w14:paraId="7AD11385" w14:textId="77777777" w:rsidR="005E7C1E" w:rsidRPr="004D38F7" w:rsidRDefault="005E7C1E" w:rsidP="005E7C1E">
      <w:pPr>
        <w:spacing w:line="360" w:lineRule="auto"/>
        <w:rPr>
          <w:rFonts w:ascii="Palatino Linotype" w:hAnsi="Palatino Linotype" w:cs="Tahoma"/>
          <w:bCs/>
        </w:rPr>
      </w:pPr>
    </w:p>
    <w:p w14:paraId="41E6C15E" w14:textId="77777777" w:rsidR="005E7C1E" w:rsidRPr="004D38F7" w:rsidRDefault="005E7C1E" w:rsidP="005E7C1E">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hAnsi="Palatino Linotype" w:cs="Tahoma"/>
          <w:bCs/>
        </w:rPr>
        <w:t>Conforme</w:t>
      </w:r>
      <w:r w:rsidRPr="004D38F7">
        <w:rPr>
          <w:rFonts w:ascii="Palatino Linotype" w:eastAsia="Times New Roman" w:hAnsi="Palatino Linotype" w:cs="Tahoma"/>
        </w:rPr>
        <w:t xml:space="preserve"> al citado artículo, </w:t>
      </w:r>
      <w:r w:rsidRPr="004D38F7">
        <w:rPr>
          <w:rFonts w:ascii="Palatino Linotype" w:eastAsia="Times New Roman" w:hAnsi="Palatino Linotype" w:cs="Tahoma"/>
          <w:b/>
        </w:rPr>
        <w:t xml:space="preserve">se desprende que es reservada toda aquella información de los servidores públicos integrantes de las instituciones de seguridad </w:t>
      </w:r>
      <w:r w:rsidRPr="004D38F7">
        <w:rPr>
          <w:rFonts w:ascii="Palatino Linotype" w:eastAsia="Times New Roman" w:hAnsi="Palatino Linotype" w:cs="Tahoma"/>
          <w:b/>
        </w:rPr>
        <w:lastRenderedPageBreak/>
        <w:t>pública, cuya revelación pueda poner en riesgo su vida e integridad física con motivo de sus funciones.</w:t>
      </w:r>
    </w:p>
    <w:p w14:paraId="4C94FADB" w14:textId="77777777" w:rsidR="005E7C1E" w:rsidRPr="004D38F7" w:rsidRDefault="005E7C1E" w:rsidP="005E7C1E">
      <w:pPr>
        <w:spacing w:line="360" w:lineRule="auto"/>
        <w:rPr>
          <w:rFonts w:ascii="Palatino Linotype" w:hAnsi="Palatino Linotype" w:cs="Tahoma"/>
          <w:bCs/>
        </w:rPr>
      </w:pPr>
    </w:p>
    <w:p w14:paraId="0A6876E2"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14:paraId="64A56EFA" w14:textId="77777777" w:rsidR="005E7C1E" w:rsidRPr="004D38F7" w:rsidRDefault="005E7C1E" w:rsidP="005E7C1E">
      <w:pPr>
        <w:spacing w:line="360" w:lineRule="auto"/>
        <w:rPr>
          <w:rFonts w:ascii="Palatino Linotype" w:hAnsi="Palatino Linotype" w:cs="Tahoma"/>
          <w:bCs/>
        </w:rPr>
      </w:pPr>
    </w:p>
    <w:p w14:paraId="399F5379" w14:textId="77777777" w:rsidR="005E7C1E" w:rsidRPr="004D38F7" w:rsidRDefault="005E7C1E" w:rsidP="005E7C1E">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hAnsi="Palatino Linotype" w:cs="Tahoma"/>
          <w:bCs/>
        </w:rPr>
        <w:t xml:space="preserve">No obstante, resulta necesario traer a colación por analogía, el Criterio 06/09, emitido por </w:t>
      </w:r>
      <w:r w:rsidRPr="004D38F7">
        <w:rPr>
          <w:rFonts w:ascii="Palatino Linotype" w:eastAsia="Times New Roman" w:hAnsi="Palatino Linotype" w:cs="Tahoma"/>
        </w:rPr>
        <w:t>el entonces Instituto Federal de Acceso a la Información y Protección de Datos ahora Instituto Nacional de Transparencia, Acceso a la Información y Protección de Datos Personales, que establece lo siguiente:</w:t>
      </w:r>
    </w:p>
    <w:p w14:paraId="30521CF4" w14:textId="77777777" w:rsidR="005E7C1E" w:rsidRPr="004D38F7" w:rsidRDefault="005E7C1E" w:rsidP="005E7C1E">
      <w:pPr>
        <w:spacing w:line="360" w:lineRule="auto"/>
        <w:rPr>
          <w:rFonts w:ascii="Palatino Linotype" w:eastAsia="Times New Roman" w:hAnsi="Palatino Linotype" w:cs="Tahoma"/>
          <w:i/>
        </w:rPr>
      </w:pPr>
    </w:p>
    <w:p w14:paraId="592D87DE" w14:textId="77777777" w:rsidR="005E7C1E" w:rsidRPr="004D38F7" w:rsidRDefault="005E7C1E" w:rsidP="005E7C1E">
      <w:pPr>
        <w:tabs>
          <w:tab w:val="left" w:pos="4962"/>
        </w:tabs>
        <w:spacing w:line="360" w:lineRule="auto"/>
        <w:ind w:left="567" w:right="567"/>
        <w:jc w:val="both"/>
        <w:rPr>
          <w:rFonts w:ascii="Palatino Linotype" w:eastAsia="Times New Roman" w:hAnsi="Palatino Linotype" w:cs="Tahoma"/>
          <w:i/>
        </w:rPr>
      </w:pPr>
      <w:r w:rsidRPr="004D38F7">
        <w:rPr>
          <w:rFonts w:ascii="Palatino Linotype" w:eastAsia="Times New Roman" w:hAnsi="Palatino Linotype" w:cs="Tahoma"/>
          <w:b/>
          <w:i/>
        </w:rPr>
        <w:t>“Nombres de servidores públicos dedicados a actividades en materia de seguridad, por excepción pueden considerarse información reservada.</w:t>
      </w:r>
      <w:r w:rsidRPr="004D38F7">
        <w:rPr>
          <w:rFonts w:ascii="Palatino Linotype" w:eastAsia="Times New Roman" w:hAnsi="Palatino Linotype" w:cs="Tahoma"/>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w:t>
      </w:r>
      <w:r w:rsidRPr="004D38F7">
        <w:rPr>
          <w:rFonts w:ascii="Palatino Linotype" w:eastAsia="Times New Roman" w:hAnsi="Palatino Linotype" w:cs="Tahoma"/>
          <w:i/>
        </w:rPr>
        <w:lastRenderedPageBreak/>
        <w:t>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2C23793" w14:textId="77777777" w:rsidR="005E7C1E" w:rsidRPr="004D38F7" w:rsidRDefault="005E7C1E" w:rsidP="005E7C1E">
      <w:pPr>
        <w:spacing w:line="360" w:lineRule="auto"/>
        <w:rPr>
          <w:rFonts w:ascii="Palatino Linotype" w:hAnsi="Palatino Linotype" w:cs="Tahoma"/>
          <w:bCs/>
        </w:rPr>
      </w:pPr>
    </w:p>
    <w:p w14:paraId="2FDAD9C5"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79E12C76" w14:textId="77777777" w:rsidR="005E7C1E" w:rsidRPr="004D38F7" w:rsidRDefault="005E7C1E" w:rsidP="005E7C1E">
      <w:pPr>
        <w:spacing w:line="360" w:lineRule="auto"/>
        <w:rPr>
          <w:rFonts w:ascii="Palatino Linotype" w:hAnsi="Palatino Linotype" w:cs="Tahoma"/>
          <w:bCs/>
        </w:rPr>
      </w:pPr>
    </w:p>
    <w:p w14:paraId="4E739929"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En ese orden de ideas, si bien por regla general los nombres de los trabajadores gubernamentales son información pública de oficio, existe una excepción relativa a </w:t>
      </w:r>
      <w:r w:rsidRPr="004D38F7">
        <w:rPr>
          <w:rFonts w:ascii="Palatino Linotype" w:hAnsi="Palatino Linotype" w:cs="Tahoma"/>
          <w:b/>
          <w:bCs/>
        </w:rPr>
        <w:t>aquellos que realicen actividades operativas en materia de seguridad,</w:t>
      </w:r>
      <w:r w:rsidRPr="004D38F7">
        <w:rPr>
          <w:rFonts w:ascii="Palatino Linotype" w:hAnsi="Palatino Linotype" w:cs="Tahoma"/>
          <w:bCs/>
        </w:rPr>
        <w:t xml:space="preserve"> como es el caso de los elementos operativos y la policía municipal.</w:t>
      </w:r>
    </w:p>
    <w:p w14:paraId="43C7A21F" w14:textId="77777777" w:rsidR="005E7C1E" w:rsidRPr="004D38F7" w:rsidRDefault="005E7C1E" w:rsidP="005E7C1E">
      <w:pPr>
        <w:spacing w:line="360" w:lineRule="auto"/>
        <w:rPr>
          <w:rFonts w:ascii="Palatino Linotype" w:hAnsi="Palatino Linotype" w:cs="Tahoma"/>
          <w:bCs/>
        </w:rPr>
      </w:pPr>
    </w:p>
    <w:p w14:paraId="5CA34C23"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7FACC27D" w14:textId="77777777" w:rsidR="005E7C1E" w:rsidRPr="004D38F7" w:rsidRDefault="005E7C1E" w:rsidP="005E7C1E">
      <w:pPr>
        <w:spacing w:line="360" w:lineRule="auto"/>
        <w:rPr>
          <w:rFonts w:ascii="Palatino Linotype" w:hAnsi="Palatino Linotype" w:cs="Tahoma"/>
          <w:bCs/>
        </w:rPr>
      </w:pPr>
    </w:p>
    <w:p w14:paraId="21AE2535"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En ese contexto, el artículo 6°, fracciones XI y XII de dicho ordenamiento jurídico, establece los siguientes conceptos:</w:t>
      </w:r>
    </w:p>
    <w:p w14:paraId="30D61608" w14:textId="77777777" w:rsidR="005E7C1E" w:rsidRPr="004D38F7" w:rsidRDefault="005E7C1E" w:rsidP="005E7C1E">
      <w:pPr>
        <w:spacing w:line="360" w:lineRule="auto"/>
        <w:rPr>
          <w:rFonts w:ascii="Palatino Linotype" w:hAnsi="Palatino Linotype" w:cs="Tahoma"/>
          <w:bCs/>
        </w:rPr>
      </w:pPr>
    </w:p>
    <w:p w14:paraId="2017F817" w14:textId="77777777" w:rsidR="005E7C1E" w:rsidRPr="004D38F7" w:rsidRDefault="005E7C1E" w:rsidP="005E7C1E">
      <w:pPr>
        <w:numPr>
          <w:ilvl w:val="0"/>
          <w:numId w:val="19"/>
        </w:numPr>
        <w:spacing w:line="360" w:lineRule="auto"/>
        <w:contextualSpacing/>
        <w:rPr>
          <w:rFonts w:ascii="Palatino Linotype" w:hAnsi="Palatino Linotype" w:cs="Tahoma"/>
          <w:b/>
          <w:bCs/>
        </w:rPr>
      </w:pPr>
      <w:r w:rsidRPr="004D38F7">
        <w:rPr>
          <w:rFonts w:ascii="Palatino Linotype" w:hAnsi="Palatino Linotype" w:cs="Tahoma"/>
          <w:b/>
          <w:bCs/>
        </w:rPr>
        <w:t xml:space="preserve">Instituciones Policiales: </w:t>
      </w:r>
      <w:r w:rsidRPr="004D38F7">
        <w:rPr>
          <w:rFonts w:ascii="Palatino Linotype" w:hAnsi="Palatino Linotype" w:cs="Tahoma"/>
          <w:bCs/>
        </w:rPr>
        <w:t xml:space="preserve">Son los cuerpos de policía, de vigilancia y custodia de los establecimientos penitenciarios, detención preventiva, centros de arraigo y en general, </w:t>
      </w:r>
      <w:r w:rsidRPr="004D38F7">
        <w:rPr>
          <w:rFonts w:ascii="Palatino Linotype" w:hAnsi="Palatino Linotype" w:cs="Tahoma"/>
          <w:b/>
          <w:bCs/>
        </w:rPr>
        <w:t>todas las dependencias encargadas de la seguridad pública a nivel</w:t>
      </w:r>
      <w:r w:rsidRPr="004D38F7">
        <w:rPr>
          <w:rFonts w:ascii="Palatino Linotype" w:hAnsi="Palatino Linotype" w:cs="Tahoma"/>
          <w:bCs/>
        </w:rPr>
        <w:t xml:space="preserve"> estatal y </w:t>
      </w:r>
      <w:r w:rsidRPr="004D38F7">
        <w:rPr>
          <w:rFonts w:ascii="Palatino Linotype" w:hAnsi="Palatino Linotype" w:cs="Tahoma"/>
          <w:b/>
          <w:bCs/>
        </w:rPr>
        <w:t>municipal.</w:t>
      </w:r>
    </w:p>
    <w:p w14:paraId="52955343" w14:textId="77777777" w:rsidR="005E7C1E" w:rsidRPr="004D38F7" w:rsidRDefault="005E7C1E" w:rsidP="005E7C1E">
      <w:pPr>
        <w:spacing w:line="360" w:lineRule="auto"/>
        <w:ind w:left="720"/>
        <w:contextualSpacing/>
        <w:rPr>
          <w:rFonts w:ascii="Palatino Linotype" w:hAnsi="Palatino Linotype" w:cs="Tahoma"/>
          <w:b/>
          <w:bCs/>
        </w:rPr>
      </w:pPr>
    </w:p>
    <w:p w14:paraId="45A80110" w14:textId="77777777" w:rsidR="005E7C1E" w:rsidRPr="004D38F7" w:rsidRDefault="005E7C1E" w:rsidP="005E7C1E">
      <w:pPr>
        <w:numPr>
          <w:ilvl w:val="0"/>
          <w:numId w:val="19"/>
        </w:numPr>
        <w:spacing w:line="360" w:lineRule="auto"/>
        <w:contextualSpacing/>
        <w:rPr>
          <w:rFonts w:ascii="Palatino Linotype" w:hAnsi="Palatino Linotype" w:cs="Tahoma"/>
          <w:b/>
          <w:bCs/>
        </w:rPr>
      </w:pPr>
      <w:r w:rsidRPr="004D38F7">
        <w:rPr>
          <w:rFonts w:ascii="Palatino Linotype" w:hAnsi="Palatino Linotype" w:cs="Tahoma"/>
          <w:b/>
          <w:bCs/>
        </w:rPr>
        <w:t xml:space="preserve">Instituciones de Seguridad Pública: </w:t>
      </w:r>
      <w:r w:rsidRPr="004D38F7">
        <w:rPr>
          <w:rFonts w:ascii="Palatino Linotype" w:hAnsi="Palatino Linotype" w:cs="Tahoma"/>
          <w:bCs/>
        </w:rPr>
        <w:t xml:space="preserve">Instituciones Policiales, Procuración de Justicia, Sistema Penitenciario y </w:t>
      </w:r>
      <w:r w:rsidRPr="004D38F7">
        <w:rPr>
          <w:rFonts w:ascii="Palatino Linotype" w:hAnsi="Palatino Linotype" w:cs="Tahoma"/>
          <w:b/>
          <w:bCs/>
        </w:rPr>
        <w:t xml:space="preserve">dependencias encargadas de la seguridad pública a nivel </w:t>
      </w:r>
      <w:r w:rsidRPr="004D38F7">
        <w:rPr>
          <w:rFonts w:ascii="Palatino Linotype" w:hAnsi="Palatino Linotype" w:cs="Tahoma"/>
          <w:bCs/>
        </w:rPr>
        <w:t xml:space="preserve">estatal y </w:t>
      </w:r>
      <w:r w:rsidRPr="004D38F7">
        <w:rPr>
          <w:rFonts w:ascii="Palatino Linotype" w:hAnsi="Palatino Linotype" w:cs="Tahoma"/>
          <w:b/>
          <w:bCs/>
        </w:rPr>
        <w:t>municipal.</w:t>
      </w:r>
    </w:p>
    <w:p w14:paraId="593DA6D7" w14:textId="77777777" w:rsidR="005E7C1E" w:rsidRPr="004D38F7" w:rsidRDefault="005E7C1E" w:rsidP="005E7C1E">
      <w:pPr>
        <w:spacing w:line="360" w:lineRule="auto"/>
        <w:contextualSpacing/>
        <w:rPr>
          <w:rFonts w:ascii="Palatino Linotype" w:hAnsi="Palatino Linotype" w:cs="Tahoma"/>
          <w:b/>
          <w:bCs/>
        </w:rPr>
      </w:pPr>
    </w:p>
    <w:p w14:paraId="2D3672C1"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iCs/>
          <w:lang w:val="es-ES" w:eastAsia="es-ES_tradnl"/>
        </w:rPr>
        <w:t>Conforme a lo anterior</w:t>
      </w:r>
      <w:r w:rsidRPr="004D38F7">
        <w:rPr>
          <w:rFonts w:ascii="Palatino Linotype" w:hAnsi="Palatino Linotype" w:cs="Tahoma"/>
          <w:bCs/>
        </w:rPr>
        <w:t xml:space="preserve">, se puede deducir que la </w:t>
      </w:r>
      <w:r w:rsidRPr="004D38F7">
        <w:rPr>
          <w:rFonts w:ascii="Palatino Linotype" w:eastAsiaTheme="minorHAnsi" w:hAnsi="Palatino Linotype" w:cs="Tahoma"/>
          <w:bCs/>
          <w:color w:val="000000" w:themeColor="text1"/>
        </w:rPr>
        <w:t>Comisaría de Seguridad Pública Municipal</w:t>
      </w:r>
      <w:r w:rsidRPr="004D38F7">
        <w:rPr>
          <w:rFonts w:ascii="Palatino Linotype" w:hAnsi="Palatino Linotype" w:cs="Tahoma"/>
          <w:bCs/>
        </w:rPr>
        <w:t xml:space="preserve">, es una institución de seguridad pública, pues tiene como atribución principal, </w:t>
      </w:r>
      <w:r w:rsidRPr="004D38F7">
        <w:rPr>
          <w:rFonts w:ascii="Palatino Linotype" w:hAnsi="Palatino Linotype" w:cs="Tahoma"/>
          <w:bCs/>
        </w:rPr>
        <w:lastRenderedPageBreak/>
        <w:t xml:space="preserve">garantizar la prevención de delitos </w:t>
      </w:r>
      <w:r w:rsidRPr="004D38F7">
        <w:rPr>
          <w:rFonts w:ascii="Palatino Linotype" w:hAnsi="Palatino Linotype"/>
        </w:rPr>
        <w:t>y proteger a las personas, sus propiedades, posesiones y derechos.</w:t>
      </w:r>
    </w:p>
    <w:p w14:paraId="1CDD1821" w14:textId="77777777" w:rsidR="005E7C1E" w:rsidRPr="004D38F7" w:rsidRDefault="005E7C1E" w:rsidP="005E7C1E">
      <w:pPr>
        <w:spacing w:line="360" w:lineRule="auto"/>
        <w:ind w:right="-93"/>
        <w:rPr>
          <w:rFonts w:ascii="Palatino Linotype" w:eastAsiaTheme="minorHAnsi" w:hAnsi="Palatino Linotype" w:cs="Tahoma"/>
          <w:bCs/>
          <w:color w:val="000000" w:themeColor="text1"/>
        </w:rPr>
      </w:pPr>
    </w:p>
    <w:p w14:paraId="68F35E70"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iCs/>
          <w:lang w:val="es-ES" w:eastAsia="es-ES_tradnl"/>
        </w:rPr>
        <w:t>Además</w:t>
      </w:r>
      <w:r w:rsidRPr="004D38F7">
        <w:rPr>
          <w:rFonts w:ascii="Palatino Linotype" w:hAnsi="Palatino Linotype" w:cs="Tahoma"/>
          <w:bCs/>
          <w:lang w:val="es-ES"/>
        </w:rPr>
        <w:t xml:space="preserve">, </w:t>
      </w:r>
      <w:r w:rsidRPr="004D38F7">
        <w:rPr>
          <w:rFonts w:ascii="Palatino Linotype" w:hAnsi="Palatino Linotype" w:cs="Tahoma"/>
          <w:bCs/>
        </w:rPr>
        <w:t xml:space="preserve">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4D38F7">
        <w:rPr>
          <w:rFonts w:ascii="Palatino Linotype" w:hAnsi="Palatino Linotype" w:cs="Tahoma"/>
          <w:b/>
          <w:bCs/>
        </w:rPr>
        <w:t>desempeña funciones de mando</w:t>
      </w:r>
      <w:r w:rsidRPr="004D38F7">
        <w:rPr>
          <w:rFonts w:ascii="Palatino Linotype" w:hAnsi="Palatino Linotype" w:cs="Tahoma"/>
          <w:bCs/>
        </w:rPr>
        <w:t xml:space="preserve">), entre los cuales, se encuentra </w:t>
      </w:r>
      <w:r w:rsidRPr="004D38F7">
        <w:rPr>
          <w:rFonts w:ascii="Palatino Linotype" w:hAnsi="Palatino Linotype" w:cs="Tahoma"/>
          <w:b/>
          <w:bCs/>
        </w:rPr>
        <w:t>la Policía, Oficiales y Suboficiales</w:t>
      </w:r>
    </w:p>
    <w:p w14:paraId="5B7ACE38" w14:textId="77777777" w:rsidR="005E7C1E" w:rsidRPr="004D38F7" w:rsidRDefault="005E7C1E" w:rsidP="005E7C1E">
      <w:pPr>
        <w:spacing w:line="360" w:lineRule="auto"/>
        <w:ind w:right="-93"/>
        <w:rPr>
          <w:rFonts w:ascii="Palatino Linotype" w:eastAsiaTheme="minorHAnsi" w:hAnsi="Palatino Linotype" w:cs="Tahoma"/>
          <w:bCs/>
          <w:color w:val="000000" w:themeColor="text1"/>
        </w:rPr>
      </w:pPr>
    </w:p>
    <w:p w14:paraId="11462AE4"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Además, se advierte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4BE8198F" w14:textId="77777777" w:rsidR="005E7C1E" w:rsidRPr="004D38F7" w:rsidRDefault="005E7C1E" w:rsidP="005E7C1E">
      <w:pPr>
        <w:tabs>
          <w:tab w:val="left" w:pos="4962"/>
        </w:tabs>
        <w:spacing w:line="360" w:lineRule="auto"/>
        <w:ind w:right="-28"/>
        <w:contextualSpacing/>
        <w:rPr>
          <w:rFonts w:ascii="Palatino Linotype" w:hAnsi="Palatino Linotype" w:cs="Tahoma"/>
          <w:bCs/>
        </w:rPr>
      </w:pPr>
    </w:p>
    <w:p w14:paraId="22296DA6"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De tales circunstancias, se puede observar que la</w:t>
      </w:r>
      <w:r w:rsidRPr="004D38F7">
        <w:rPr>
          <w:rFonts w:ascii="Palatino Linotype" w:eastAsiaTheme="minorHAnsi" w:hAnsi="Palatino Linotype" w:cs="Tahoma"/>
          <w:bCs/>
          <w:color w:val="000000" w:themeColor="text1"/>
        </w:rPr>
        <w:t xml:space="preserve"> Comisaria de Seguridad Pública Municipal</w:t>
      </w:r>
      <w:r w:rsidRPr="004D38F7">
        <w:rPr>
          <w:rFonts w:ascii="Palatino Linotype" w:hAnsi="Palatino Linotype" w:cs="Tahoma"/>
          <w:bCs/>
        </w:rPr>
        <w:t>, tiene dos clases de servidores públicos, por una parte, los operativos (policías, oficiales, suboficiales, subinspectores) y por otra, los administrativos, de apoyo y personal de mando, los cuales no realizan funciones operativas.</w:t>
      </w:r>
    </w:p>
    <w:p w14:paraId="2A6045F5" w14:textId="77777777" w:rsidR="005E7C1E" w:rsidRPr="004D38F7" w:rsidRDefault="005E7C1E" w:rsidP="005E7C1E">
      <w:pPr>
        <w:spacing w:line="360" w:lineRule="auto"/>
        <w:rPr>
          <w:rFonts w:ascii="Palatino Linotype" w:hAnsi="Palatino Linotype" w:cs="Tahoma"/>
          <w:bCs/>
        </w:rPr>
      </w:pPr>
    </w:p>
    <w:p w14:paraId="4A689AE0"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w:t>
      </w:r>
      <w:r w:rsidRPr="004D38F7">
        <w:rPr>
          <w:rFonts w:ascii="Palatino Linotype" w:hAnsi="Palatino Linotype" w:cs="Tahoma"/>
          <w:bCs/>
        </w:rPr>
        <w:lastRenderedPageBreak/>
        <w:t>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A0A592B" w14:textId="77777777" w:rsidR="005E7C1E" w:rsidRPr="004D38F7" w:rsidRDefault="005E7C1E" w:rsidP="005E7C1E">
      <w:pPr>
        <w:spacing w:line="360" w:lineRule="auto"/>
        <w:rPr>
          <w:rFonts w:ascii="Palatino Linotype" w:hAnsi="Palatino Linotype" w:cs="Tahoma"/>
          <w:bCs/>
        </w:rPr>
      </w:pPr>
    </w:p>
    <w:p w14:paraId="6A0B9FA2"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Lo anterior, se robustece con las Cifras de Incidencia Delictiva Municipal 2015-2023, publicado por el Secretariado Ejecutivo del Sistema Nacional de Seguridad Pública, en la página </w:t>
      </w:r>
      <w:hyperlink r:id="rId16" w:history="1">
        <w:r w:rsidRPr="004D38F7">
          <w:rPr>
            <w:rFonts w:ascii="Palatino Linotype" w:eastAsia="Times New Roman" w:hAnsi="Palatino Linotype"/>
            <w:color w:val="0563C1"/>
            <w:u w:val="single"/>
          </w:rPr>
          <w:t>https://www.gob.mx/sesnsp/acciones-y-programas/incidencia-delictiva-del-fuero-comun-nueva-metodologia?state=published</w:t>
        </w:r>
      </w:hyperlink>
      <w:r w:rsidRPr="004D38F7">
        <w:rPr>
          <w:rFonts w:ascii="Palatino Linotype" w:hAnsi="Palatino Linotype" w:cs="Tahoma"/>
          <w:bCs/>
        </w:rPr>
        <w:t xml:space="preserve">, de cual se desprenden que durante el dos mil veintidós, se cometieron diversos delitos, entre los cuales, se encuentran homicidios, lesiones, abuso y acoso sexual, violación, robo, daño a la propiedad, violencia familiar, entre otros; hechos que pueden llegar a ser atendidos directamente por este personal operativo en apoyo de los afectados o incluso de las autoridades encargadas de la procuración de justicia. </w:t>
      </w:r>
    </w:p>
    <w:p w14:paraId="5AF801F6" w14:textId="77777777" w:rsidR="005E7C1E" w:rsidRPr="004D38F7" w:rsidRDefault="005E7C1E" w:rsidP="005E7C1E">
      <w:pPr>
        <w:spacing w:line="360" w:lineRule="auto"/>
        <w:rPr>
          <w:rFonts w:ascii="Palatino Linotype" w:hAnsi="Palatino Linotype" w:cs="Tahoma"/>
          <w:bCs/>
        </w:rPr>
      </w:pPr>
    </w:p>
    <w:p w14:paraId="77701AB9"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22BE1BAD" w14:textId="77777777" w:rsidR="005E7C1E" w:rsidRPr="004D38F7" w:rsidRDefault="005E7C1E" w:rsidP="005E7C1E">
      <w:pPr>
        <w:spacing w:line="360" w:lineRule="auto"/>
        <w:ind w:right="-93"/>
        <w:rPr>
          <w:rFonts w:ascii="Palatino Linotype" w:eastAsiaTheme="minorHAnsi" w:hAnsi="Palatino Linotype" w:cs="Tahoma"/>
          <w:bCs/>
          <w:color w:val="000000" w:themeColor="text1"/>
        </w:rPr>
      </w:pPr>
    </w:p>
    <w:p w14:paraId="7238880C"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iCs/>
          <w:lang w:val="es-ES" w:eastAsia="es-ES_tradnl"/>
        </w:rPr>
        <w:t>Así, se concluye que</w:t>
      </w:r>
      <w:r w:rsidRPr="004D38F7">
        <w:rPr>
          <w:rFonts w:ascii="Palatino Linotype" w:hAnsi="Palatino Linotype" w:cs="Tahoma"/>
          <w:bCs/>
        </w:rPr>
        <w:t xml:space="preserve"> dar a conocer los nombres de los elementos operativos de la Comisaria de Seguridad Pública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del área mencionada.</w:t>
      </w:r>
    </w:p>
    <w:p w14:paraId="7DC82A25" w14:textId="77777777" w:rsidR="005E7C1E" w:rsidRPr="004D38F7" w:rsidRDefault="005E7C1E" w:rsidP="005E7C1E">
      <w:pPr>
        <w:spacing w:line="360" w:lineRule="auto"/>
        <w:contextualSpacing/>
        <w:rPr>
          <w:rFonts w:ascii="Palatino Linotype" w:hAnsi="Palatino Linotype" w:cs="Tahoma"/>
          <w:b/>
          <w:bCs/>
        </w:rPr>
      </w:pPr>
    </w:p>
    <w:p w14:paraId="0305BBF7"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
          <w:bCs/>
        </w:rPr>
      </w:pPr>
      <w:r w:rsidRPr="004D38F7">
        <w:rPr>
          <w:rFonts w:ascii="Palatino Linotype" w:hAnsi="Palatino Linotype" w:cs="Tahoma"/>
          <w:bCs/>
        </w:rPr>
        <w:t xml:space="preserve">Además, que la divulgación de la </w:t>
      </w:r>
      <w:r w:rsidRPr="004D38F7">
        <w:rPr>
          <w:rFonts w:ascii="Palatino Linotype" w:hAnsi="Palatino Linotype" w:cs="Tahoma"/>
          <w:iCs/>
          <w:lang w:val="es-ES" w:eastAsia="es-ES_tradnl"/>
        </w:rPr>
        <w:t>información</w:t>
      </w:r>
      <w:r w:rsidRPr="004D38F7">
        <w:rPr>
          <w:rFonts w:ascii="Palatino Linotype" w:hAnsi="Palatino Linotype" w:cs="Tahoma"/>
          <w:bCs/>
        </w:rPr>
        <w:t xml:space="preserve"> supera el interés público general, ya que individuos con </w:t>
      </w:r>
      <w:proofErr w:type="spellStart"/>
      <w:r w:rsidRPr="004D38F7">
        <w:rPr>
          <w:rFonts w:ascii="Palatino Linotype" w:hAnsi="Palatino Linotype" w:cs="Tahoma"/>
          <w:bCs/>
        </w:rPr>
        <w:t>pretension</w:t>
      </w:r>
      <w:proofErr w:type="spellEnd"/>
      <w:r w:rsidRPr="004D38F7">
        <w:rPr>
          <w:rFonts w:ascii="Palatino Linotype" w:hAnsi="Palatino Linotype" w:cs="Tahoma"/>
          <w:iCs/>
          <w:lang w:val="es-ES" w:eastAsia="es-ES_tradnl"/>
        </w:rPr>
        <w:t>e</w:t>
      </w:r>
      <w:r w:rsidRPr="004D38F7">
        <w:rPr>
          <w:rFonts w:ascii="Palatino Linotype" w:hAnsi="Palatino Linotype" w:cs="Tahoma"/>
          <w:bCs/>
        </w:rPr>
        <w:t xml:space="preserv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4D38F7">
        <w:rPr>
          <w:rFonts w:ascii="Palatino Linotype" w:hAnsi="Palatino Linotype" w:cs="Tahoma"/>
          <w:b/>
          <w:bCs/>
        </w:rPr>
        <w:t>vulnerando así, el interés general.</w:t>
      </w:r>
    </w:p>
    <w:p w14:paraId="0E08A336" w14:textId="77777777" w:rsidR="005E7C1E" w:rsidRPr="004D38F7" w:rsidRDefault="005E7C1E" w:rsidP="005E7C1E">
      <w:pPr>
        <w:spacing w:line="360" w:lineRule="auto"/>
        <w:ind w:left="720"/>
        <w:contextualSpacing/>
        <w:rPr>
          <w:rFonts w:ascii="Palatino Linotype" w:hAnsi="Palatino Linotype" w:cs="Tahoma"/>
          <w:bCs/>
        </w:rPr>
      </w:pPr>
    </w:p>
    <w:p w14:paraId="7C6A1619" w14:textId="77777777" w:rsidR="005E7C1E" w:rsidRPr="004D38F7" w:rsidRDefault="005E7C1E" w:rsidP="005E7C1E">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Por tales consideraciones, resulta procedente la reserva del nombre de los elementos operativos de la</w:t>
      </w:r>
      <w:r w:rsidRPr="004D38F7">
        <w:rPr>
          <w:rFonts w:ascii="Palatino Linotype" w:eastAsiaTheme="minorHAnsi" w:hAnsi="Palatino Linotype" w:cs="Tahoma"/>
          <w:bCs/>
          <w:color w:val="000000" w:themeColor="text1"/>
        </w:rPr>
        <w:t xml:space="preserve"> </w:t>
      </w:r>
      <w:r w:rsidRPr="004D38F7">
        <w:rPr>
          <w:rFonts w:ascii="Palatino Linotype" w:hAnsi="Palatino Linotype" w:cs="Tahoma"/>
          <w:bCs/>
        </w:rPr>
        <w:t xml:space="preserve">Comisaria de Seguridad Pública Municipal, lo cual incluye a los policías, oficiales y suboficiales, en términos del artículo 140, fracción IV, de </w:t>
      </w:r>
      <w:r w:rsidRPr="004D38F7">
        <w:rPr>
          <w:rFonts w:ascii="Palatino Linotype" w:hAnsi="Palatino Linotype" w:cs="Tahoma"/>
          <w:iCs/>
          <w:lang w:val="es-ES" w:eastAsia="es-ES_tradnl"/>
        </w:rPr>
        <w:t>de la Ley de Transparencia y Acceso a la Información Pública del Estado de México y Municipios.</w:t>
      </w:r>
    </w:p>
    <w:p w14:paraId="0CDEB8DE" w14:textId="77777777" w:rsidR="005E7C1E" w:rsidRPr="004D38F7" w:rsidRDefault="005E7C1E" w:rsidP="005E7C1E">
      <w:pPr>
        <w:pStyle w:val="Prrafodelista"/>
        <w:rPr>
          <w:rFonts w:ascii="Palatino Linotype" w:hAnsi="Palatino Linotype" w:cs="Tahoma"/>
          <w:bCs/>
        </w:rPr>
      </w:pPr>
    </w:p>
    <w:p w14:paraId="5766D2D2" w14:textId="77777777" w:rsidR="005E7C1E" w:rsidRPr="004D38F7" w:rsidRDefault="00E63FD9" w:rsidP="005E7C1E">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Cs/>
          <w:iCs/>
          <w:lang w:val="es-ES"/>
        </w:rPr>
        <w:t>Posteriormente, respecto de las</w:t>
      </w:r>
      <w:r w:rsidRPr="004D38F7">
        <w:rPr>
          <w:rFonts w:ascii="Palatino Linotype" w:hAnsi="Palatino Linotype" w:cs="Tahoma"/>
          <w:b/>
          <w:bCs/>
          <w:iCs/>
          <w:lang w:val="es-ES"/>
        </w:rPr>
        <w:t xml:space="preserve"> c</w:t>
      </w:r>
      <w:r w:rsidR="005E7C1E" w:rsidRPr="004D38F7">
        <w:rPr>
          <w:rFonts w:ascii="Palatino Linotype" w:hAnsi="Palatino Linotype" w:cs="Tahoma"/>
          <w:b/>
          <w:bCs/>
          <w:iCs/>
          <w:lang w:val="es-ES"/>
        </w:rPr>
        <w:t xml:space="preserve">opias de denuncias que haya actualmente en mesa de responsabilidades en contra de las actuales autoridades municipales o </w:t>
      </w:r>
      <w:r w:rsidR="005E7C1E" w:rsidRPr="004D38F7">
        <w:rPr>
          <w:rFonts w:ascii="Palatino Linotype" w:hAnsi="Palatino Linotype" w:cs="Tahoma"/>
          <w:b/>
          <w:bCs/>
          <w:iCs/>
          <w:lang w:val="es-ES"/>
        </w:rPr>
        <w:lastRenderedPageBreak/>
        <w:t>servi</w:t>
      </w:r>
      <w:r w:rsidRPr="004D38F7">
        <w:rPr>
          <w:rFonts w:ascii="Palatino Linotype" w:hAnsi="Palatino Linotype" w:cs="Tahoma"/>
          <w:b/>
          <w:bCs/>
          <w:iCs/>
          <w:lang w:val="es-ES"/>
        </w:rPr>
        <w:t>dores públicos del Ayuntamiento</w:t>
      </w:r>
      <w:r w:rsidR="005E7C1E" w:rsidRPr="004D38F7">
        <w:rPr>
          <w:rFonts w:ascii="Palatino Linotype" w:hAnsi="Palatino Linotype" w:cs="Tahoma"/>
          <w:bCs/>
          <w:iCs/>
          <w:lang w:val="es-ES"/>
        </w:rPr>
        <w:t xml:space="preserve"> el Sujeto Obligado omitió proporcionar </w:t>
      </w:r>
      <w:r w:rsidRPr="004D38F7">
        <w:rPr>
          <w:rFonts w:ascii="Palatino Linotype" w:hAnsi="Palatino Linotype" w:cs="Tahoma"/>
          <w:bCs/>
          <w:iCs/>
          <w:lang w:val="es-ES"/>
        </w:rPr>
        <w:t>la información porque refiere contienen datos sensibles.</w:t>
      </w:r>
    </w:p>
    <w:p w14:paraId="1EB2A8A5" w14:textId="77777777" w:rsidR="00E63FD9" w:rsidRPr="004D38F7" w:rsidRDefault="00E63FD9" w:rsidP="00E63FD9">
      <w:pPr>
        <w:pStyle w:val="Prrafodelista"/>
        <w:rPr>
          <w:rFonts w:ascii="Palatino Linotype" w:hAnsi="Palatino Linotype" w:cs="Tahoma"/>
          <w:bCs/>
          <w:iCs/>
          <w:lang w:val="es-ES"/>
        </w:rPr>
      </w:pPr>
    </w:p>
    <w:p w14:paraId="46FC7A10"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Cs/>
          <w:iCs/>
          <w:lang w:val="es-ES"/>
        </w:rPr>
        <w:t xml:space="preserve">En este sentido, </w:t>
      </w:r>
      <w:r w:rsidR="00E63FD9" w:rsidRPr="004D38F7">
        <w:rPr>
          <w:rFonts w:ascii="Palatino Linotype" w:hAnsi="Palatino Linotype" w:cs="Tahoma"/>
          <w:bCs/>
          <w:iCs/>
          <w:lang w:val="es-ES"/>
        </w:rPr>
        <w:t>es necesario mencionar</w:t>
      </w:r>
      <w:r w:rsidRPr="004D38F7">
        <w:rPr>
          <w:rFonts w:ascii="Palatino Linotype" w:hAnsi="Palatino Linotype" w:cs="Tahoma"/>
          <w:bCs/>
          <w:iCs/>
          <w:lang w:val="es-ES"/>
        </w:rPr>
        <w:t xml:space="preserve"> que dentro de la integración de la Contraloría Interna Municipal no existe una mesa de responsabilidades, </w:t>
      </w:r>
      <w:r w:rsidR="00E63FD9" w:rsidRPr="004D38F7">
        <w:rPr>
          <w:rFonts w:ascii="Palatino Linotype" w:hAnsi="Palatino Linotype" w:cs="Tahoma"/>
          <w:bCs/>
          <w:iCs/>
          <w:lang w:val="es-ES"/>
        </w:rPr>
        <w:t>pero la solicitud</w:t>
      </w:r>
      <w:r w:rsidRPr="004D38F7">
        <w:rPr>
          <w:rFonts w:ascii="Palatino Linotype" w:hAnsi="Palatino Linotype" w:cs="Tahoma"/>
          <w:bCs/>
          <w:iCs/>
          <w:lang w:val="es-ES"/>
        </w:rPr>
        <w:t xml:space="preserve"> pudiera referirse a las notificaciones realizadas por la Fiscalía General de Justicia del Estado de México al Ayuntamiento de </w:t>
      </w:r>
      <w:r w:rsidR="00E63FD9" w:rsidRPr="004D38F7">
        <w:rPr>
          <w:rFonts w:ascii="Palatino Linotype" w:hAnsi="Palatino Linotype" w:cs="Tahoma"/>
          <w:bCs/>
          <w:iCs/>
          <w:lang w:val="es-ES"/>
        </w:rPr>
        <w:t>Ixtapaluca</w:t>
      </w:r>
      <w:r w:rsidRPr="004D38F7">
        <w:rPr>
          <w:rFonts w:ascii="Palatino Linotype" w:hAnsi="Palatino Linotype" w:cs="Tahoma"/>
          <w:bCs/>
          <w:iCs/>
          <w:lang w:val="es-ES"/>
        </w:rPr>
        <w:t>, respecto a las denuncias realizadas en contra de los servidores públicos.</w:t>
      </w:r>
    </w:p>
    <w:p w14:paraId="5EE39386" w14:textId="77777777" w:rsidR="005E7C1E" w:rsidRPr="004D38F7" w:rsidRDefault="005E7C1E" w:rsidP="005E7C1E">
      <w:pPr>
        <w:spacing w:line="360" w:lineRule="auto"/>
        <w:rPr>
          <w:rFonts w:ascii="Palatino Linotype" w:hAnsi="Palatino Linotype" w:cs="Tahoma"/>
          <w:bCs/>
          <w:iCs/>
          <w:lang w:val="es-ES"/>
        </w:rPr>
      </w:pPr>
    </w:p>
    <w:p w14:paraId="5B9F621B"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Cs/>
          <w:iCs/>
          <w:lang w:val="es-ES"/>
        </w:rPr>
        <w:t xml:space="preserve">Es de recordar, que el acceso a la información pública no solo se trata de documentos generados, si no aquellos que posea o administre en ejercicio de sus atribuciones, por lo que, deberá realizar una búsqueda exhaustiva y razonable en todas las unidades administrativas competentes, que pudieran poseer o administrar la información solicitada y hacer entrega de las mismas.   </w:t>
      </w:r>
    </w:p>
    <w:p w14:paraId="0C838B44" w14:textId="77777777" w:rsidR="005E7C1E" w:rsidRPr="004D38F7" w:rsidRDefault="005E7C1E" w:rsidP="005E7C1E">
      <w:pPr>
        <w:spacing w:line="360" w:lineRule="auto"/>
        <w:rPr>
          <w:rFonts w:ascii="Palatino Linotype" w:hAnsi="Palatino Linotype" w:cs="Tahoma"/>
          <w:bCs/>
          <w:iCs/>
          <w:lang w:val="es-ES"/>
        </w:rPr>
      </w:pPr>
    </w:p>
    <w:p w14:paraId="2D8260EF" w14:textId="77777777" w:rsidR="005E7C1E" w:rsidRPr="004D38F7" w:rsidRDefault="00E63FD9" w:rsidP="00E63FD9">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
          <w:bCs/>
          <w:iCs/>
        </w:rPr>
        <w:t>En esa tesitura respecto de la c</w:t>
      </w:r>
      <w:r w:rsidR="005E7C1E" w:rsidRPr="004D38F7">
        <w:rPr>
          <w:rFonts w:ascii="Palatino Linotype" w:hAnsi="Palatino Linotype" w:cs="Tahoma"/>
          <w:b/>
          <w:bCs/>
          <w:iCs/>
        </w:rPr>
        <w:t xml:space="preserve">opia de denuncias y </w:t>
      </w:r>
      <w:r w:rsidR="005E7C1E" w:rsidRPr="004D38F7">
        <w:rPr>
          <w:rFonts w:ascii="Palatino Linotype" w:hAnsi="Palatino Linotype" w:cs="Tahoma"/>
          <w:bCs/>
          <w:iCs/>
          <w:lang w:val="es-ES"/>
        </w:rPr>
        <w:t>quejas</w:t>
      </w:r>
      <w:r w:rsidR="005E7C1E" w:rsidRPr="004D38F7">
        <w:rPr>
          <w:rFonts w:ascii="Palatino Linotype" w:hAnsi="Palatino Linotype" w:cs="Tahoma"/>
          <w:b/>
          <w:bCs/>
          <w:iCs/>
        </w:rPr>
        <w:t xml:space="preserve"> realizadas dentro de Contraloría Interna del Ayuntamiento</w:t>
      </w:r>
      <w:r w:rsidRPr="004D38F7">
        <w:rPr>
          <w:rFonts w:ascii="Palatino Linotype" w:hAnsi="Palatino Linotype" w:cs="Tahoma"/>
          <w:bCs/>
          <w:iCs/>
          <w:lang w:val="es-ES"/>
        </w:rPr>
        <w:t>,</w:t>
      </w:r>
      <w:r w:rsidR="005E7C1E" w:rsidRPr="004D38F7">
        <w:rPr>
          <w:rFonts w:ascii="Palatino Linotype" w:hAnsi="Palatino Linotype" w:cs="Tahoma"/>
          <w:bCs/>
          <w:iCs/>
          <w:lang w:val="es-ES"/>
        </w:rPr>
        <w:t xml:space="preserve"> el Sujeto Obligado no proporcionó respuesta, </w:t>
      </w:r>
      <w:r w:rsidRPr="004D38F7">
        <w:rPr>
          <w:rFonts w:ascii="Palatino Linotype" w:hAnsi="Palatino Linotype" w:cs="Tahoma"/>
          <w:bCs/>
          <w:iCs/>
          <w:lang w:val="es-ES"/>
        </w:rPr>
        <w:t xml:space="preserve">no obstante que </w:t>
      </w:r>
      <w:r w:rsidR="005E7C1E" w:rsidRPr="004D38F7">
        <w:rPr>
          <w:rFonts w:ascii="Palatino Linotype" w:hAnsi="Palatino Linotype" w:cs="Tahoma"/>
          <w:bCs/>
          <w:iCs/>
          <w:lang w:val="es-ES"/>
        </w:rPr>
        <w:t>la contraloría interna es el Órgano de Control Interno de la Administración Pública Centralizada, que ejerce sus funciones a través de un Contralor, como la de conocer e investigar los actos, omisiones o conductas de los servidores públicos del Gobierno Municipal, para constituir responsabilidades administrativas.</w:t>
      </w:r>
    </w:p>
    <w:p w14:paraId="7DCD7142" w14:textId="77777777" w:rsidR="005E7C1E" w:rsidRPr="004D38F7" w:rsidRDefault="005E7C1E" w:rsidP="005E7C1E">
      <w:pPr>
        <w:spacing w:line="360" w:lineRule="auto"/>
        <w:rPr>
          <w:rFonts w:ascii="Palatino Linotype" w:hAnsi="Palatino Linotype" w:cs="Tahoma"/>
          <w:bCs/>
          <w:iCs/>
          <w:lang w:val="es-ES"/>
        </w:rPr>
      </w:pPr>
    </w:p>
    <w:p w14:paraId="4D7EF945"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iCs/>
        </w:rPr>
      </w:pPr>
      <w:r w:rsidRPr="004D38F7">
        <w:rPr>
          <w:rFonts w:ascii="Palatino Linotype" w:eastAsia="Times New Roman" w:hAnsi="Palatino Linotype" w:cs="Tahoma"/>
          <w:iCs/>
        </w:rPr>
        <w:t xml:space="preserve">Por su parte la Ley de Responsabilidades Administrativas del Estado de México y Municipios, contempla en sus numerales 9,  10 y 95 a 97, que en el ámbito de su competencia, es autoridad facultada para aplicar dicha ley, el órgano de contraloría </w:t>
      </w:r>
      <w:r w:rsidRPr="004D38F7">
        <w:rPr>
          <w:rFonts w:ascii="Palatino Linotype" w:eastAsia="Times New Roman" w:hAnsi="Palatino Linotype" w:cs="Tahoma"/>
          <w:iCs/>
        </w:rPr>
        <w:lastRenderedPageBreak/>
        <w:t>interna municipal y tendrá a su cargo, la investigación, substanciación y calificación de las faltas administrativas.</w:t>
      </w:r>
      <w:r w:rsidRPr="004D38F7">
        <w:rPr>
          <w:rFonts w:ascii="Palatino Linotype" w:eastAsia="Times New Roman" w:hAnsi="Palatino Linotype" w:cs="Tahoma"/>
          <w:iCs/>
        </w:rPr>
        <w:cr/>
      </w:r>
    </w:p>
    <w:p w14:paraId="1B2DB57E"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iCs/>
        </w:rPr>
      </w:pPr>
      <w:r w:rsidRPr="004D38F7">
        <w:rPr>
          <w:rFonts w:ascii="Palatino Linotype" w:eastAsia="Times New Roman" w:hAnsi="Palatino Linotype" w:cs="Tahoma"/>
          <w:iCs/>
        </w:rPr>
        <w:t>Así mismo, que la investigación por la presunta responsabilidad de faltas administrativas podrá iniciar por denuncia, que  podrá ser presentada por escrito ante las autoridades investigadoras o de manera electrónica a través de los mecanismos que para tal efecto establezcan las mismas, lo anterior sin menoscabo de la plataforma digital que determine, para tal efecto, el Sistema Estatal y Municipal Anticorrupción.</w:t>
      </w:r>
    </w:p>
    <w:p w14:paraId="43986C0E" w14:textId="77777777" w:rsidR="005E7C1E" w:rsidRPr="004D38F7" w:rsidRDefault="005E7C1E" w:rsidP="005E7C1E">
      <w:pPr>
        <w:spacing w:line="360" w:lineRule="auto"/>
        <w:rPr>
          <w:rFonts w:ascii="Palatino Linotype" w:eastAsia="Times New Roman" w:hAnsi="Palatino Linotype" w:cs="Tahoma"/>
          <w:iCs/>
        </w:rPr>
      </w:pPr>
    </w:p>
    <w:p w14:paraId="4976214A"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lang w:val="es-ES"/>
        </w:rPr>
      </w:pPr>
      <w:r w:rsidRPr="004D38F7">
        <w:rPr>
          <w:rFonts w:ascii="Palatino Linotype" w:hAnsi="Palatino Linotype"/>
          <w:lang w:val="es-ES"/>
        </w:rPr>
        <w:t xml:space="preserve">No se omite mencionar que de los documentos requeridos, se pueden derivar </w:t>
      </w:r>
      <w:r w:rsidRPr="004D38F7">
        <w:rPr>
          <w:rFonts w:ascii="Palatino Linotype" w:eastAsia="Times New Roman" w:hAnsi="Palatino Linotype" w:cs="Tahoma"/>
          <w:iCs/>
        </w:rPr>
        <w:t>procedimientos</w:t>
      </w:r>
      <w:r w:rsidRPr="004D38F7">
        <w:rPr>
          <w:rFonts w:ascii="Palatino Linotype" w:hAnsi="Palatino Linotype"/>
          <w:lang w:val="es-ES"/>
        </w:rPr>
        <w:t xml:space="preserve"> de responsabilidad administrativa,  y con el fin de determinar si es procedente ordenar su entrega, se considera que se debe analizar si los  mismos se encuentran en trámite, o en su caso, concluidos.</w:t>
      </w:r>
    </w:p>
    <w:p w14:paraId="53E7E34E" w14:textId="77777777" w:rsidR="005E7C1E" w:rsidRPr="004D38F7" w:rsidRDefault="005E7C1E" w:rsidP="005E7C1E">
      <w:pPr>
        <w:tabs>
          <w:tab w:val="left" w:pos="3962"/>
        </w:tabs>
        <w:spacing w:line="360" w:lineRule="auto"/>
        <w:rPr>
          <w:rFonts w:ascii="Palatino Linotype" w:hAnsi="Palatino Linotype" w:cs="Tahoma"/>
          <w:b/>
          <w:bCs/>
        </w:rPr>
      </w:pPr>
    </w:p>
    <w:p w14:paraId="020815DC" w14:textId="77777777" w:rsidR="005E7C1E" w:rsidRPr="004D38F7" w:rsidRDefault="005E7C1E" w:rsidP="00E63FD9">
      <w:pPr>
        <w:pStyle w:val="Prrafodelista"/>
        <w:numPr>
          <w:ilvl w:val="0"/>
          <w:numId w:val="28"/>
        </w:numPr>
        <w:tabs>
          <w:tab w:val="left" w:pos="3962"/>
        </w:tabs>
        <w:spacing w:line="360" w:lineRule="auto"/>
        <w:rPr>
          <w:rFonts w:ascii="Palatino Linotype" w:hAnsi="Palatino Linotype" w:cs="Tahoma"/>
          <w:b/>
          <w:bCs/>
        </w:rPr>
      </w:pPr>
      <w:r w:rsidRPr="004D38F7">
        <w:rPr>
          <w:rFonts w:ascii="Palatino Linotype" w:hAnsi="Palatino Linotype" w:cs="Tahoma"/>
          <w:b/>
          <w:bCs/>
        </w:rPr>
        <w:t>Procedimiento de responsabilidad en trámite</w:t>
      </w:r>
    </w:p>
    <w:p w14:paraId="0B3B4954" w14:textId="77777777" w:rsidR="005E7C1E" w:rsidRPr="004D38F7" w:rsidRDefault="005E7C1E" w:rsidP="005E7C1E">
      <w:pPr>
        <w:tabs>
          <w:tab w:val="left" w:pos="3962"/>
        </w:tabs>
        <w:spacing w:line="360" w:lineRule="auto"/>
        <w:rPr>
          <w:rFonts w:ascii="Palatino Linotype" w:hAnsi="Palatino Linotype" w:cs="Tahoma"/>
          <w:bCs/>
        </w:rPr>
      </w:pPr>
    </w:p>
    <w:p w14:paraId="7C78DC07"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Cs/>
          <w:iCs/>
          <w:lang w:val="es-ES"/>
        </w:rPr>
        <w:t xml:space="preserve">Al respecto, el artículo 140, fracción VI de la Ley de Transparencia y Acceso a la Información </w:t>
      </w:r>
      <w:r w:rsidRPr="004D38F7">
        <w:rPr>
          <w:rFonts w:ascii="Palatino Linotype" w:hAnsi="Palatino Linotype"/>
          <w:lang w:val="es-ES"/>
        </w:rPr>
        <w:t>Pública</w:t>
      </w:r>
      <w:r w:rsidRPr="004D38F7">
        <w:rPr>
          <w:rFonts w:ascii="Palatino Linotype" w:hAnsi="Palatino Linotype" w:cs="Tahoma"/>
          <w:bCs/>
          <w:iCs/>
          <w:lang w:val="es-ES"/>
        </w:rPr>
        <w:t xml:space="preserve">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 será reservada.</w:t>
      </w:r>
    </w:p>
    <w:p w14:paraId="439DF870" w14:textId="77777777" w:rsidR="005E7C1E" w:rsidRPr="004D38F7" w:rsidRDefault="005E7C1E" w:rsidP="005E7C1E">
      <w:pPr>
        <w:spacing w:line="360" w:lineRule="auto"/>
        <w:rPr>
          <w:rFonts w:ascii="Palatino Linotype" w:hAnsi="Palatino Linotype" w:cs="Tahoma"/>
          <w:bCs/>
          <w:iCs/>
          <w:lang w:val="es-ES"/>
        </w:rPr>
      </w:pPr>
    </w:p>
    <w:p w14:paraId="1E50ADA4"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bCs/>
          <w:iCs/>
        </w:rPr>
        <w:t xml:space="preserve">Por lo cual, la causal de reserva prevé que la información podrá clasificarse como </w:t>
      </w:r>
      <w:r w:rsidRPr="004D38F7">
        <w:rPr>
          <w:rFonts w:ascii="Palatino Linotype" w:hAnsi="Palatino Linotype" w:cs="Tahoma"/>
          <w:bCs/>
          <w:iCs/>
          <w:lang w:val="es-ES"/>
        </w:rPr>
        <w:t>reservada</w:t>
      </w:r>
      <w:r w:rsidRPr="004D38F7">
        <w:rPr>
          <w:rFonts w:ascii="Palatino Linotype" w:hAnsi="Palatino Linotype" w:cs="Tahoma"/>
          <w:bCs/>
          <w:iCs/>
        </w:rPr>
        <w:t xml:space="preserve"> en el caso de que obstruya los procedimientos para fincar responsabilidad a </w:t>
      </w:r>
      <w:r w:rsidRPr="004D38F7">
        <w:rPr>
          <w:rFonts w:ascii="Palatino Linotype" w:hAnsi="Palatino Linotype" w:cs="Tahoma"/>
          <w:bCs/>
          <w:iCs/>
        </w:rPr>
        <w:lastRenderedPageBreak/>
        <w:t>los servidores públicos, pretende proteger la información vinculada a dichos procedimientos.</w:t>
      </w:r>
    </w:p>
    <w:p w14:paraId="182234F6" w14:textId="77777777" w:rsidR="005E7C1E" w:rsidRPr="004D38F7" w:rsidRDefault="005E7C1E" w:rsidP="005E7C1E">
      <w:pPr>
        <w:spacing w:line="360" w:lineRule="auto"/>
        <w:rPr>
          <w:rFonts w:ascii="Palatino Linotype" w:hAnsi="Palatino Linotype" w:cs="Tahoma"/>
          <w:iCs/>
          <w:lang w:val="es-ES" w:eastAsia="es-ES_tradnl"/>
        </w:rPr>
      </w:pPr>
    </w:p>
    <w:p w14:paraId="735686AC"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Por su parte, en los Lineamientos Generales en Materia de Clasificación y Desclasificación de la Información, así como para la elaboración de versiones públicas, se establece lo siguiente:</w:t>
      </w:r>
    </w:p>
    <w:p w14:paraId="5979755C" w14:textId="77777777" w:rsidR="005E7C1E" w:rsidRPr="004D38F7" w:rsidRDefault="005E7C1E" w:rsidP="005E7C1E">
      <w:pPr>
        <w:spacing w:line="360" w:lineRule="auto"/>
        <w:rPr>
          <w:rFonts w:ascii="Palatino Linotype" w:hAnsi="Palatino Linotype" w:cs="Tahoma"/>
          <w:iCs/>
          <w:lang w:val="es-ES" w:eastAsia="es-ES_tradnl"/>
        </w:rPr>
      </w:pPr>
    </w:p>
    <w:p w14:paraId="23983473" w14:textId="77777777" w:rsidR="005E7C1E" w:rsidRPr="004D38F7" w:rsidRDefault="005E7C1E" w:rsidP="005E7C1E">
      <w:pPr>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w:t>
      </w:r>
    </w:p>
    <w:p w14:paraId="2120D414" w14:textId="77777777" w:rsidR="005E7C1E" w:rsidRPr="004D38F7" w:rsidRDefault="005E7C1E" w:rsidP="005E7C1E">
      <w:pPr>
        <w:spacing w:line="360" w:lineRule="auto"/>
        <w:ind w:left="567" w:right="567"/>
        <w:rPr>
          <w:rFonts w:ascii="Palatino Linotype" w:hAnsi="Palatino Linotype" w:cs="Tahoma"/>
          <w:i/>
          <w:iCs/>
          <w:lang w:val="es-ES" w:eastAsia="es-ES_tradnl"/>
        </w:rPr>
      </w:pPr>
      <w:r w:rsidRPr="004D38F7">
        <w:rPr>
          <w:rFonts w:ascii="Palatino Linotype" w:hAnsi="Palatino Linotype" w:cs="Tahoma"/>
          <w:b/>
          <w:i/>
          <w:iCs/>
          <w:lang w:val="es-ES" w:eastAsia="es-ES_tradnl"/>
        </w:rPr>
        <w:t>Vigésimo octavo.</w:t>
      </w:r>
      <w:r w:rsidRPr="004D38F7">
        <w:rPr>
          <w:rFonts w:ascii="Palatino Linotype" w:hAnsi="Palatino Linotype" w:cs="Tahoma"/>
          <w:i/>
          <w:iCs/>
          <w:lang w:val="es-ES" w:eastAsia="es-ES_tradnl"/>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374D4DE" w14:textId="77777777" w:rsidR="005E7C1E" w:rsidRPr="004D38F7" w:rsidRDefault="005E7C1E" w:rsidP="005E7C1E">
      <w:pPr>
        <w:spacing w:line="360" w:lineRule="auto"/>
        <w:ind w:left="567" w:right="567"/>
        <w:rPr>
          <w:rFonts w:ascii="Palatino Linotype" w:hAnsi="Palatino Linotype" w:cs="Tahoma"/>
          <w:i/>
          <w:iCs/>
          <w:lang w:val="es-ES" w:eastAsia="es-ES_tradnl"/>
        </w:rPr>
      </w:pPr>
    </w:p>
    <w:p w14:paraId="3416F4B5" w14:textId="77777777" w:rsidR="005E7C1E" w:rsidRPr="004D38F7" w:rsidRDefault="005E7C1E" w:rsidP="005E7C1E">
      <w:pPr>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I. La existencia de un procedimiento de responsabilidad administrativa en trámite, y</w:t>
      </w:r>
    </w:p>
    <w:p w14:paraId="6FB69619" w14:textId="77777777" w:rsidR="005E7C1E" w:rsidRPr="004D38F7" w:rsidRDefault="005E7C1E" w:rsidP="005E7C1E">
      <w:pPr>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II. Que la información se refiera a actuaciones, diligencias y constancias propias del procedimiento de responsabilidad.</w:t>
      </w:r>
    </w:p>
    <w:p w14:paraId="4AA92ED3" w14:textId="77777777" w:rsidR="005E7C1E" w:rsidRPr="004D38F7" w:rsidRDefault="005E7C1E" w:rsidP="005E7C1E">
      <w:pPr>
        <w:spacing w:line="360" w:lineRule="auto"/>
        <w:ind w:left="567" w:right="567"/>
        <w:rPr>
          <w:rFonts w:ascii="Palatino Linotype" w:hAnsi="Palatino Linotype" w:cs="Tahoma"/>
          <w:i/>
          <w:iCs/>
          <w:lang w:eastAsia="es-ES_tradnl"/>
        </w:rPr>
      </w:pPr>
      <w:r w:rsidRPr="004D38F7">
        <w:rPr>
          <w:rFonts w:ascii="Palatino Linotype" w:hAnsi="Palatino Linotype" w:cs="Tahoma"/>
          <w:i/>
          <w:iCs/>
          <w:lang w:eastAsia="es-ES_tradnl"/>
        </w:rPr>
        <w:t>III. Que con su difusión se pueda llegar a interrumpir o menoscabar la actuación de las autoridades administrativas que impida u obstaculice su determinación en el procedimiento de responsabilidad.</w:t>
      </w:r>
    </w:p>
    <w:p w14:paraId="5776244D" w14:textId="77777777" w:rsidR="005E7C1E" w:rsidRPr="004D38F7" w:rsidRDefault="005E7C1E" w:rsidP="005E7C1E">
      <w:pPr>
        <w:spacing w:line="360" w:lineRule="auto"/>
        <w:ind w:left="567" w:right="567"/>
        <w:rPr>
          <w:rFonts w:ascii="Palatino Linotype" w:hAnsi="Palatino Linotype" w:cs="Tahoma"/>
          <w:i/>
          <w:iCs/>
          <w:lang w:val="es-ES" w:eastAsia="es-ES_tradnl"/>
        </w:rPr>
      </w:pPr>
      <w:r w:rsidRPr="004D38F7">
        <w:rPr>
          <w:rFonts w:ascii="Palatino Linotype" w:hAnsi="Palatino Linotype" w:cs="Tahoma"/>
          <w:i/>
          <w:iCs/>
          <w:lang w:val="es-ES" w:eastAsia="es-ES_tradnl"/>
        </w:rPr>
        <w:t>…”</w:t>
      </w:r>
    </w:p>
    <w:p w14:paraId="6A5B7B08" w14:textId="77777777" w:rsidR="005E7C1E" w:rsidRPr="004D38F7" w:rsidRDefault="005E7C1E" w:rsidP="005E7C1E">
      <w:pPr>
        <w:spacing w:line="360" w:lineRule="auto"/>
        <w:rPr>
          <w:rFonts w:ascii="Palatino Linotype" w:hAnsi="Palatino Linotype" w:cs="Tahoma"/>
          <w:iCs/>
          <w:lang w:val="es-ES" w:eastAsia="es-ES_tradnl"/>
        </w:rPr>
      </w:pPr>
    </w:p>
    <w:p w14:paraId="528BD2AC"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iCs/>
        </w:rPr>
      </w:pPr>
      <w:r w:rsidRPr="004D38F7">
        <w:rPr>
          <w:rFonts w:ascii="Palatino Linotype" w:hAnsi="Palatino Linotype" w:cs="Tahoma"/>
          <w:bCs/>
          <w:iCs/>
        </w:rPr>
        <w:t xml:space="preserve">Del lineamiento en cita, se colige que se trata de información reservada aquella que obstruya los procedimientos para fincar responsabilidad a los servidores públicos, </w:t>
      </w:r>
      <w:r w:rsidRPr="004D38F7">
        <w:rPr>
          <w:rFonts w:ascii="Palatino Linotype" w:hAnsi="Palatino Linotype" w:cs="Tahoma"/>
          <w:bCs/>
          <w:iCs/>
        </w:rPr>
        <w:lastRenderedPageBreak/>
        <w:t xml:space="preserve">en tanto no se haya dictado la resolución, por lo que, se deben actualizar los siguientes elementos: </w:t>
      </w:r>
    </w:p>
    <w:p w14:paraId="591DF87C" w14:textId="77777777" w:rsidR="005E7C1E" w:rsidRPr="004D38F7" w:rsidRDefault="005E7C1E" w:rsidP="005E7C1E">
      <w:pPr>
        <w:spacing w:line="360" w:lineRule="auto"/>
        <w:rPr>
          <w:rFonts w:ascii="Palatino Linotype" w:hAnsi="Palatino Linotype" w:cs="Tahoma"/>
          <w:bCs/>
          <w:iCs/>
        </w:rPr>
      </w:pPr>
    </w:p>
    <w:p w14:paraId="6DD28B61" w14:textId="77777777" w:rsidR="005E7C1E" w:rsidRPr="004D38F7" w:rsidRDefault="005E7C1E" w:rsidP="005E7C1E">
      <w:pPr>
        <w:numPr>
          <w:ilvl w:val="0"/>
          <w:numId w:val="26"/>
        </w:numPr>
        <w:spacing w:line="360" w:lineRule="auto"/>
        <w:contextualSpacing/>
        <w:rPr>
          <w:rFonts w:ascii="Palatino Linotype" w:hAnsi="Palatino Linotype" w:cs="Tahoma"/>
          <w:iCs/>
          <w:lang w:eastAsia="es-ES_tradnl"/>
        </w:rPr>
      </w:pPr>
      <w:r w:rsidRPr="004D38F7">
        <w:rPr>
          <w:rFonts w:ascii="Palatino Linotype" w:hAnsi="Palatino Linotype" w:cs="Tahoma"/>
          <w:iCs/>
          <w:lang w:eastAsia="es-ES_tradnl"/>
        </w:rPr>
        <w:t xml:space="preserve">La existencia de un procedimiento de responsabilidad administrativa en trámite; </w:t>
      </w:r>
    </w:p>
    <w:p w14:paraId="4139FC61" w14:textId="77777777" w:rsidR="005E7C1E" w:rsidRPr="004D38F7" w:rsidRDefault="005E7C1E" w:rsidP="005E7C1E">
      <w:pPr>
        <w:spacing w:line="360" w:lineRule="auto"/>
        <w:ind w:left="720"/>
        <w:contextualSpacing/>
        <w:rPr>
          <w:rFonts w:ascii="Palatino Linotype" w:hAnsi="Palatino Linotype" w:cs="Tahoma"/>
          <w:iCs/>
          <w:lang w:eastAsia="es-ES_tradnl"/>
        </w:rPr>
      </w:pPr>
    </w:p>
    <w:p w14:paraId="6893DDB1" w14:textId="77777777" w:rsidR="005E7C1E" w:rsidRPr="004D38F7" w:rsidRDefault="005E7C1E" w:rsidP="005E7C1E">
      <w:pPr>
        <w:numPr>
          <w:ilvl w:val="0"/>
          <w:numId w:val="26"/>
        </w:numPr>
        <w:spacing w:line="360" w:lineRule="auto"/>
        <w:contextualSpacing/>
        <w:rPr>
          <w:rFonts w:ascii="Palatino Linotype" w:hAnsi="Palatino Linotype" w:cs="Tahoma"/>
          <w:iCs/>
          <w:lang w:eastAsia="es-ES_tradnl"/>
        </w:rPr>
      </w:pPr>
      <w:r w:rsidRPr="004D38F7">
        <w:rPr>
          <w:rFonts w:ascii="Palatino Linotype" w:hAnsi="Palatino Linotype" w:cs="Tahoma"/>
          <w:iCs/>
          <w:lang w:eastAsia="es-ES_tradnl"/>
        </w:rPr>
        <w:t xml:space="preserve">Que la información se refiera a actuaciones, diligencias y constancias propias del procedimiento de responsabilidad, y </w:t>
      </w:r>
    </w:p>
    <w:p w14:paraId="0BACC1F2" w14:textId="77777777" w:rsidR="005E7C1E" w:rsidRPr="004D38F7" w:rsidRDefault="005E7C1E" w:rsidP="005E7C1E">
      <w:pPr>
        <w:spacing w:line="360" w:lineRule="auto"/>
        <w:ind w:left="720"/>
        <w:contextualSpacing/>
        <w:rPr>
          <w:rFonts w:ascii="Palatino Linotype" w:hAnsi="Palatino Linotype" w:cs="Tahoma"/>
          <w:iCs/>
          <w:lang w:eastAsia="es-ES_tradnl"/>
        </w:rPr>
      </w:pPr>
    </w:p>
    <w:p w14:paraId="7D9910F1" w14:textId="77777777" w:rsidR="005E7C1E" w:rsidRPr="004D38F7" w:rsidRDefault="005E7C1E" w:rsidP="005E7C1E">
      <w:pPr>
        <w:numPr>
          <w:ilvl w:val="0"/>
          <w:numId w:val="26"/>
        </w:numPr>
        <w:spacing w:line="360" w:lineRule="auto"/>
        <w:contextualSpacing/>
        <w:rPr>
          <w:rFonts w:ascii="Palatino Linotype" w:hAnsi="Palatino Linotype" w:cs="Tahoma"/>
          <w:iCs/>
          <w:lang w:eastAsia="es-ES_tradnl"/>
        </w:rPr>
      </w:pPr>
      <w:r w:rsidRPr="004D38F7">
        <w:rPr>
          <w:rFonts w:ascii="Palatino Linotype" w:hAnsi="Palatino Linotype" w:cs="Tahoma"/>
          <w:iCs/>
          <w:lang w:eastAsia="es-ES_tradnl"/>
        </w:rPr>
        <w:t xml:space="preserve">Que esta interrumpa o menoscabe la actuación de las autoridades administrativas que impida u obstaculice su determinación. </w:t>
      </w:r>
    </w:p>
    <w:p w14:paraId="742BD7F2" w14:textId="77777777" w:rsidR="005E7C1E" w:rsidRPr="004D38F7" w:rsidRDefault="005E7C1E" w:rsidP="005E7C1E">
      <w:pPr>
        <w:spacing w:line="360" w:lineRule="auto"/>
        <w:contextualSpacing/>
        <w:rPr>
          <w:rFonts w:ascii="Palatino Linotype" w:eastAsia="Times New Roman" w:hAnsi="Palatino Linotype"/>
        </w:rPr>
      </w:pPr>
    </w:p>
    <w:p w14:paraId="51085C6B"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color w:val="0D0D0D"/>
          <w:lang w:val="es-ES"/>
        </w:rPr>
      </w:pPr>
      <w:r w:rsidRPr="004D38F7">
        <w:rPr>
          <w:rFonts w:ascii="Palatino Linotype" w:eastAsia="Times New Roman" w:hAnsi="Palatino Linotype" w:cs="Tahoma"/>
          <w:color w:val="0D0D0D"/>
          <w:lang w:val="es-ES"/>
        </w:rPr>
        <w:t xml:space="preserve">Con base en lo expuesto, se advierte que la información susceptible de clasificarse como </w:t>
      </w:r>
      <w:r w:rsidRPr="004D38F7">
        <w:rPr>
          <w:rFonts w:ascii="Palatino Linotype" w:hAnsi="Palatino Linotype" w:cs="Tahoma"/>
          <w:bCs/>
          <w:iCs/>
        </w:rPr>
        <w:t>reservada</w:t>
      </w:r>
      <w:r w:rsidRPr="004D38F7">
        <w:rPr>
          <w:rFonts w:ascii="Palatino Linotype" w:eastAsia="Times New Roman" w:hAnsi="Palatino Linotype" w:cs="Tahoma"/>
          <w:color w:val="0D0D0D"/>
          <w:lang w:val="es-ES"/>
        </w:rPr>
        <w:t xml:space="preserve"> bajo el supuesto referido, es aquella cuya difusión vulnere la conducción de los procedimientos de posibles responsabilidades administrativas, en tanto no se haya emitido resolución.</w:t>
      </w:r>
    </w:p>
    <w:p w14:paraId="48CE584D" w14:textId="77777777" w:rsidR="005E7C1E" w:rsidRPr="004D38F7" w:rsidRDefault="005E7C1E" w:rsidP="005E7C1E">
      <w:pPr>
        <w:spacing w:line="360" w:lineRule="auto"/>
        <w:rPr>
          <w:rFonts w:ascii="Palatino Linotype" w:hAnsi="Palatino Linotype" w:cs="Tahoma"/>
          <w:iCs/>
          <w:lang w:val="es-ES" w:eastAsia="es-ES_tradnl"/>
        </w:rPr>
      </w:pPr>
    </w:p>
    <w:p w14:paraId="2F1E5D3D" w14:textId="77777777" w:rsidR="005E7C1E" w:rsidRPr="004D38F7" w:rsidRDefault="005E7C1E" w:rsidP="00E63FD9">
      <w:pPr>
        <w:pStyle w:val="Prrafodelista"/>
        <w:numPr>
          <w:ilvl w:val="0"/>
          <w:numId w:val="28"/>
        </w:numPr>
        <w:spacing w:line="360" w:lineRule="auto"/>
        <w:rPr>
          <w:rFonts w:ascii="Palatino Linotype" w:hAnsi="Palatino Linotype" w:cs="Tahoma"/>
          <w:b/>
          <w:iCs/>
          <w:lang w:val="es-ES" w:eastAsia="es-ES_tradnl"/>
        </w:rPr>
      </w:pPr>
      <w:r w:rsidRPr="004D38F7">
        <w:rPr>
          <w:rFonts w:ascii="Palatino Linotype" w:hAnsi="Palatino Linotype" w:cs="Tahoma"/>
          <w:b/>
          <w:iCs/>
          <w:lang w:val="es-ES" w:eastAsia="es-ES_tradnl"/>
        </w:rPr>
        <w:t>Existencia de un procedimiento de responsabilidad administrativa en trámite:</w:t>
      </w:r>
    </w:p>
    <w:p w14:paraId="3AEBA9C7" w14:textId="77777777" w:rsidR="005E7C1E" w:rsidRPr="004D38F7" w:rsidRDefault="005E7C1E" w:rsidP="005E7C1E">
      <w:pPr>
        <w:spacing w:line="360" w:lineRule="auto"/>
        <w:rPr>
          <w:rFonts w:ascii="Palatino Linotype" w:hAnsi="Palatino Linotype" w:cs="Tahoma"/>
          <w:b/>
          <w:iCs/>
          <w:lang w:val="es-ES" w:eastAsia="es-ES_tradnl"/>
        </w:rPr>
      </w:pPr>
    </w:p>
    <w:p w14:paraId="7DDD0F1B"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Al respecto, resulta necesario señalar que la Ley de Responsabilidades Administrativas del Estado de México y Municipios, en sus artículos 95, fracción II, 99, 104, 194 y 195, establece que el proceso de posibles responsabilidades administrativas se divide en dos etapas principalmente:</w:t>
      </w:r>
    </w:p>
    <w:p w14:paraId="24997A84" w14:textId="77777777" w:rsidR="005E7C1E" w:rsidRPr="004D38F7" w:rsidRDefault="005E7C1E" w:rsidP="005E7C1E">
      <w:pPr>
        <w:spacing w:line="360" w:lineRule="auto"/>
        <w:rPr>
          <w:rFonts w:ascii="Palatino Linotype" w:hAnsi="Palatino Linotype" w:cs="Tahoma"/>
          <w:iCs/>
          <w:lang w:val="es-ES" w:eastAsia="es-ES_tradnl"/>
        </w:rPr>
      </w:pPr>
    </w:p>
    <w:p w14:paraId="2EFDEF99" w14:textId="77777777" w:rsidR="005E7C1E" w:rsidRPr="004D38F7" w:rsidRDefault="005E7C1E" w:rsidP="005E7C1E">
      <w:pPr>
        <w:numPr>
          <w:ilvl w:val="0"/>
          <w:numId w:val="22"/>
        </w:numPr>
        <w:spacing w:line="360" w:lineRule="auto"/>
        <w:contextualSpacing/>
        <w:rPr>
          <w:rFonts w:ascii="Palatino Linotype" w:hAnsi="Palatino Linotype" w:cs="Tahoma"/>
          <w:b/>
          <w:iCs/>
          <w:lang w:val="es-ES" w:eastAsia="es-ES_tradnl"/>
        </w:rPr>
      </w:pPr>
      <w:r w:rsidRPr="004D38F7">
        <w:rPr>
          <w:rFonts w:ascii="Palatino Linotype" w:hAnsi="Palatino Linotype" w:cs="Tahoma"/>
          <w:b/>
          <w:iCs/>
          <w:lang w:val="es-ES" w:eastAsia="es-ES_tradnl"/>
        </w:rPr>
        <w:lastRenderedPageBreak/>
        <w:t>Investigación:</w:t>
      </w:r>
      <w:r w:rsidRPr="004D38F7">
        <w:rPr>
          <w:rFonts w:ascii="Palatino Linotype" w:hAnsi="Palatino Linotype" w:cs="Tahoma"/>
          <w:iCs/>
          <w:lang w:val="es-ES" w:eastAsia="es-ES_tradnl"/>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w:t>
      </w:r>
    </w:p>
    <w:p w14:paraId="5EDD8BA9" w14:textId="77777777" w:rsidR="005E7C1E" w:rsidRPr="004D38F7" w:rsidRDefault="005E7C1E" w:rsidP="005E7C1E">
      <w:pPr>
        <w:spacing w:line="360" w:lineRule="auto"/>
        <w:ind w:left="720"/>
        <w:contextualSpacing/>
        <w:rPr>
          <w:rFonts w:ascii="Palatino Linotype" w:hAnsi="Palatino Linotype" w:cs="Tahoma"/>
          <w:b/>
          <w:iCs/>
          <w:lang w:val="es-ES" w:eastAsia="es-ES_tradnl"/>
        </w:rPr>
      </w:pPr>
    </w:p>
    <w:p w14:paraId="7443AC61" w14:textId="77777777" w:rsidR="005E7C1E" w:rsidRPr="004D38F7" w:rsidRDefault="005E7C1E" w:rsidP="005E7C1E">
      <w:pPr>
        <w:spacing w:line="360" w:lineRule="auto"/>
        <w:ind w:left="720"/>
        <w:contextualSpacing/>
        <w:rPr>
          <w:rFonts w:ascii="Palatino Linotype" w:hAnsi="Palatino Linotype" w:cs="Tahoma"/>
          <w:iCs/>
          <w:lang w:val="es-ES" w:eastAsia="es-ES_tradnl"/>
        </w:rPr>
      </w:pPr>
      <w:r w:rsidRPr="004D38F7">
        <w:rPr>
          <w:rFonts w:ascii="Palatino Linotype" w:hAnsi="Palatino Linotype" w:cs="Tahoma"/>
          <w:iCs/>
          <w:lang w:val="es-ES" w:eastAsia="es-ES_tradnl"/>
        </w:rPr>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63390B35" w14:textId="77777777" w:rsidR="005E7C1E" w:rsidRPr="004D38F7" w:rsidRDefault="005E7C1E" w:rsidP="005E7C1E">
      <w:pPr>
        <w:spacing w:line="360" w:lineRule="auto"/>
        <w:ind w:left="720"/>
        <w:contextualSpacing/>
        <w:rPr>
          <w:rFonts w:ascii="Palatino Linotype" w:hAnsi="Palatino Linotype" w:cs="Tahoma"/>
          <w:iCs/>
          <w:lang w:val="es-ES" w:eastAsia="es-ES_tradnl"/>
        </w:rPr>
      </w:pPr>
    </w:p>
    <w:p w14:paraId="1E6FE7C4" w14:textId="77777777" w:rsidR="005E7C1E" w:rsidRPr="004D38F7" w:rsidRDefault="005E7C1E" w:rsidP="005E7C1E">
      <w:pPr>
        <w:spacing w:line="360" w:lineRule="auto"/>
        <w:ind w:left="720"/>
        <w:contextualSpacing/>
        <w:rPr>
          <w:rFonts w:ascii="Palatino Linotype" w:hAnsi="Palatino Linotype" w:cs="Tahoma"/>
          <w:iCs/>
          <w:lang w:val="es-ES" w:eastAsia="es-ES_tradnl"/>
        </w:rPr>
      </w:pPr>
      <w:r w:rsidRPr="004D38F7">
        <w:rPr>
          <w:rFonts w:ascii="Palatino Linotype" w:hAnsi="Palatino Linotype" w:cs="Tahoma"/>
          <w:iCs/>
          <w:lang w:val="es-ES" w:eastAsia="es-ES_tradnl"/>
        </w:rPr>
        <w:t>En el caso, de no haberse encontrado elementos suficientes para demostrar la existencia de la infracción, y acreditar la presunta responsabilidad, se emitirá el acuerdo de conclusión y archivo del expediente, debidamente fundado y motivado.</w:t>
      </w:r>
    </w:p>
    <w:p w14:paraId="461B192D" w14:textId="77777777" w:rsidR="005E7C1E" w:rsidRPr="004D38F7" w:rsidRDefault="005E7C1E" w:rsidP="005E7C1E">
      <w:pPr>
        <w:spacing w:line="360" w:lineRule="auto"/>
        <w:rPr>
          <w:rFonts w:ascii="Palatino Linotype" w:hAnsi="Palatino Linotype" w:cs="Tahoma"/>
          <w:b/>
          <w:iCs/>
          <w:lang w:val="es-ES" w:eastAsia="es-ES_tradnl"/>
        </w:rPr>
      </w:pPr>
    </w:p>
    <w:p w14:paraId="18A1BE6C" w14:textId="77777777" w:rsidR="005E7C1E" w:rsidRPr="004D38F7" w:rsidRDefault="005E7C1E" w:rsidP="005E7C1E">
      <w:pPr>
        <w:numPr>
          <w:ilvl w:val="0"/>
          <w:numId w:val="22"/>
        </w:numPr>
        <w:spacing w:line="360" w:lineRule="auto"/>
        <w:contextualSpacing/>
        <w:rPr>
          <w:rFonts w:ascii="Palatino Linotype" w:hAnsi="Palatino Linotype" w:cs="Tahoma"/>
          <w:b/>
          <w:iCs/>
          <w:lang w:val="es-ES" w:eastAsia="es-ES_tradnl"/>
        </w:rPr>
      </w:pPr>
      <w:r w:rsidRPr="004D38F7">
        <w:rPr>
          <w:rFonts w:ascii="Palatino Linotype" w:hAnsi="Palatino Linotype" w:cs="Tahoma"/>
          <w:b/>
          <w:iCs/>
          <w:lang w:val="es-ES" w:eastAsia="es-ES_tradnl"/>
        </w:rPr>
        <w:t xml:space="preserve">Proceso de Responsabilidad Administrativa: </w:t>
      </w:r>
      <w:r w:rsidRPr="004D38F7">
        <w:rPr>
          <w:rFonts w:ascii="Palatino Linotype" w:hAnsi="Palatino Linotype" w:cs="Tahoma"/>
          <w:iCs/>
          <w:lang w:val="es-ES" w:eastAsia="es-ES_tradnl"/>
        </w:rPr>
        <w:t>Falta grave (ante el Tribunal de Justifica Administrativa del Estado de México), falta no grave (ante la Contraloría Municipal), dicho procedimiento se lleva conforme a lo siguiente:</w:t>
      </w:r>
    </w:p>
    <w:p w14:paraId="1012FE5E" w14:textId="77777777" w:rsidR="005E7C1E" w:rsidRPr="004D38F7" w:rsidRDefault="005E7C1E" w:rsidP="005E7C1E">
      <w:pPr>
        <w:spacing w:line="360" w:lineRule="auto"/>
        <w:ind w:left="720"/>
        <w:contextualSpacing/>
        <w:rPr>
          <w:rFonts w:ascii="Palatino Linotype" w:hAnsi="Palatino Linotype" w:cs="Tahoma"/>
          <w:b/>
          <w:iCs/>
          <w:lang w:val="es-ES" w:eastAsia="es-ES_tradnl"/>
        </w:rPr>
      </w:pPr>
    </w:p>
    <w:p w14:paraId="43B51A6A" w14:textId="77777777" w:rsidR="005E7C1E" w:rsidRPr="004D38F7" w:rsidRDefault="005E7C1E" w:rsidP="005E7C1E">
      <w:pPr>
        <w:numPr>
          <w:ilvl w:val="0"/>
          <w:numId w:val="23"/>
        </w:numPr>
        <w:spacing w:line="360" w:lineRule="auto"/>
        <w:contextualSpacing/>
        <w:rPr>
          <w:rFonts w:ascii="Palatino Linotype" w:hAnsi="Palatino Linotype" w:cs="Tahoma"/>
          <w:b/>
          <w:iCs/>
          <w:lang w:val="es-ES" w:eastAsia="es-ES_tradnl"/>
        </w:rPr>
      </w:pPr>
      <w:r w:rsidRPr="004D38F7">
        <w:rPr>
          <w:rFonts w:ascii="Palatino Linotype" w:hAnsi="Palatino Linotype" w:cs="Tahoma"/>
          <w:iCs/>
          <w:lang w:val="es-ES" w:eastAsia="es-ES_tradnl"/>
        </w:rPr>
        <w:t>Se admite el Informe de Presunta Responsabilidad Administrativa;</w:t>
      </w:r>
    </w:p>
    <w:p w14:paraId="15C32C2D" w14:textId="77777777" w:rsidR="005E7C1E" w:rsidRPr="004D38F7" w:rsidRDefault="005E7C1E" w:rsidP="005E7C1E">
      <w:pPr>
        <w:numPr>
          <w:ilvl w:val="0"/>
          <w:numId w:val="23"/>
        </w:numPr>
        <w:spacing w:line="360" w:lineRule="auto"/>
        <w:contextualSpacing/>
        <w:rPr>
          <w:rFonts w:ascii="Palatino Linotype" w:hAnsi="Palatino Linotype" w:cs="Tahoma"/>
          <w:b/>
          <w:iCs/>
          <w:lang w:val="es-ES" w:eastAsia="es-ES_tradnl"/>
        </w:rPr>
      </w:pPr>
      <w:r w:rsidRPr="004D38F7">
        <w:rPr>
          <w:rFonts w:ascii="Palatino Linotype" w:hAnsi="Palatino Linotype" w:cs="Tahoma"/>
          <w:iCs/>
          <w:lang w:val="es-ES" w:eastAsia="es-ES_tradnl"/>
        </w:rPr>
        <w:t>Se ordena el emplazamiento, para citarlo a audiencia, así como a las partes que deban concurrir;</w:t>
      </w:r>
    </w:p>
    <w:p w14:paraId="7B8281C0" w14:textId="77777777" w:rsidR="005E7C1E" w:rsidRPr="004D38F7" w:rsidRDefault="005E7C1E" w:rsidP="005E7C1E">
      <w:pPr>
        <w:numPr>
          <w:ilvl w:val="0"/>
          <w:numId w:val="23"/>
        </w:numPr>
        <w:spacing w:line="360" w:lineRule="auto"/>
        <w:contextualSpacing/>
        <w:rPr>
          <w:rFonts w:ascii="Palatino Linotype" w:hAnsi="Palatino Linotype" w:cs="Tahoma"/>
          <w:b/>
          <w:iCs/>
          <w:lang w:val="es-ES" w:eastAsia="es-ES_tradnl"/>
        </w:rPr>
      </w:pPr>
      <w:r w:rsidRPr="004D38F7">
        <w:rPr>
          <w:rFonts w:ascii="Palatino Linotype" w:hAnsi="Palatino Linotype" w:cs="Tahoma"/>
          <w:iCs/>
          <w:lang w:val="es-ES" w:eastAsia="es-ES_tradnl"/>
        </w:rPr>
        <w:lastRenderedPageBreak/>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58B8A6EC" w14:textId="77777777" w:rsidR="005E7C1E" w:rsidRPr="004D38F7" w:rsidRDefault="005E7C1E" w:rsidP="005E7C1E">
      <w:pPr>
        <w:numPr>
          <w:ilvl w:val="0"/>
          <w:numId w:val="23"/>
        </w:numPr>
        <w:spacing w:line="360" w:lineRule="auto"/>
        <w:contextualSpacing/>
        <w:rPr>
          <w:rFonts w:ascii="Palatino Linotype" w:hAnsi="Palatino Linotype" w:cs="Tahoma"/>
          <w:b/>
          <w:iCs/>
          <w:lang w:val="es-ES" w:eastAsia="es-ES_tradnl"/>
        </w:rPr>
      </w:pPr>
      <w:r w:rsidRPr="004D38F7">
        <w:rPr>
          <w:rFonts w:ascii="Palatino Linotype" w:hAnsi="Palatino Linotype" w:cs="Tahoma"/>
          <w:iCs/>
          <w:lang w:val="es-ES" w:eastAsia="es-ES_tradnl"/>
        </w:rPr>
        <w:t>Se admiten pruebas, se abre periodo de alegatos y posteriormente se cierra la instrucción.</w:t>
      </w:r>
    </w:p>
    <w:p w14:paraId="3EE89575" w14:textId="77777777" w:rsidR="005E7C1E" w:rsidRPr="004D38F7" w:rsidRDefault="005E7C1E" w:rsidP="005E7C1E">
      <w:pPr>
        <w:numPr>
          <w:ilvl w:val="0"/>
          <w:numId w:val="23"/>
        </w:numPr>
        <w:spacing w:line="360" w:lineRule="auto"/>
        <w:contextualSpacing/>
        <w:rPr>
          <w:rFonts w:ascii="Palatino Linotype" w:hAnsi="Palatino Linotype" w:cs="Tahoma"/>
          <w:b/>
          <w:iCs/>
          <w:lang w:val="es-ES" w:eastAsia="es-ES_tradnl"/>
        </w:rPr>
      </w:pPr>
      <w:r w:rsidRPr="004D38F7">
        <w:rPr>
          <w:rFonts w:ascii="Palatino Linotype" w:hAnsi="Palatino Linotype" w:cs="Tahoma"/>
          <w:iCs/>
          <w:lang w:val="es-ES" w:eastAsia="es-ES_tradnl"/>
        </w:rPr>
        <w:t>Se emite resolución, la cual deberá ser notificada al servidor público, al denunciante para su conocimiento y al jefe inmediato superior para efectos de ejecución.</w:t>
      </w:r>
    </w:p>
    <w:p w14:paraId="7BBA8EA7" w14:textId="77777777" w:rsidR="005E7C1E" w:rsidRPr="004D38F7" w:rsidRDefault="005E7C1E" w:rsidP="005E7C1E">
      <w:pPr>
        <w:spacing w:line="360" w:lineRule="auto"/>
        <w:ind w:left="1440"/>
        <w:contextualSpacing/>
        <w:rPr>
          <w:rFonts w:ascii="Palatino Linotype" w:hAnsi="Palatino Linotype" w:cs="Tahoma"/>
          <w:b/>
          <w:iCs/>
          <w:lang w:val="es-ES" w:eastAsia="es-ES_tradnl"/>
        </w:rPr>
      </w:pPr>
    </w:p>
    <w:p w14:paraId="3EFFA51D"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Una vez establecido lo anterior, se puede advertir que, si alguna de las denuncias se encontraba  </w:t>
      </w:r>
      <w:r w:rsidRPr="004D38F7">
        <w:rPr>
          <w:rFonts w:ascii="Palatino Linotype" w:hAnsi="Palatino Linotype" w:cs="Tahoma"/>
          <w:b/>
          <w:iCs/>
          <w:lang w:val="es-ES" w:eastAsia="es-ES_tradnl"/>
        </w:rPr>
        <w:t>en etapa de investigación o en el proceso de responsabilidad administrativa,</w:t>
      </w:r>
      <w:r w:rsidRPr="004D38F7">
        <w:rPr>
          <w:rFonts w:ascii="Palatino Linotype" w:hAnsi="Palatino Linotype" w:cs="Tahoma"/>
          <w:iCs/>
          <w:lang w:val="es-ES" w:eastAsia="es-ES_tradnl"/>
        </w:rPr>
        <w:t xml:space="preserve"> podrá acreditar el primero de los elementos para actualizar la reserva de la información.</w:t>
      </w:r>
    </w:p>
    <w:p w14:paraId="706E1A88" w14:textId="77777777" w:rsidR="005E7C1E" w:rsidRPr="004D38F7" w:rsidRDefault="005E7C1E" w:rsidP="005E7C1E">
      <w:pPr>
        <w:spacing w:line="360" w:lineRule="auto"/>
        <w:rPr>
          <w:rFonts w:ascii="Palatino Linotype" w:hAnsi="Palatino Linotype" w:cs="Tahoma"/>
          <w:iCs/>
          <w:lang w:val="es-ES" w:eastAsia="es-ES_tradnl"/>
        </w:rPr>
      </w:pPr>
    </w:p>
    <w:p w14:paraId="4AFCBACF" w14:textId="77777777" w:rsidR="005E7C1E" w:rsidRPr="004D38F7" w:rsidRDefault="005E7C1E" w:rsidP="005E7C1E">
      <w:pPr>
        <w:numPr>
          <w:ilvl w:val="0"/>
          <w:numId w:val="24"/>
        </w:numPr>
        <w:spacing w:line="360" w:lineRule="auto"/>
        <w:contextualSpacing/>
        <w:jc w:val="both"/>
        <w:rPr>
          <w:rFonts w:ascii="Palatino Linotype" w:hAnsi="Palatino Linotype" w:cs="Tahoma"/>
          <w:b/>
          <w:iCs/>
          <w:lang w:val="es-ES" w:eastAsia="es-ES_tradnl"/>
        </w:rPr>
      </w:pPr>
      <w:r w:rsidRPr="004D38F7">
        <w:rPr>
          <w:rFonts w:ascii="Palatino Linotype" w:hAnsi="Palatino Linotype" w:cs="Tahoma"/>
          <w:b/>
          <w:iCs/>
          <w:lang w:eastAsia="es-ES_tradnl"/>
        </w:rPr>
        <w:t>La información se refiera a actuaciones, diligencias y constancias propias del procedimiento de responsabilidad.</w:t>
      </w:r>
    </w:p>
    <w:p w14:paraId="5C976426" w14:textId="77777777" w:rsidR="005E7C1E" w:rsidRPr="004D38F7" w:rsidRDefault="005E7C1E" w:rsidP="005E7C1E">
      <w:pPr>
        <w:spacing w:line="360" w:lineRule="auto"/>
        <w:rPr>
          <w:rFonts w:ascii="Palatino Linotype" w:hAnsi="Palatino Linotype" w:cs="Tahoma"/>
          <w:iCs/>
          <w:lang w:val="es-ES" w:eastAsia="es-ES_tradnl"/>
        </w:rPr>
      </w:pPr>
    </w:p>
    <w:p w14:paraId="36E9F48D"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Al respecto, cabe recordar que el Particular requiere las denuncias en contra de servidores públicos, las cuales contienen </w:t>
      </w:r>
      <w:r w:rsidRPr="004D38F7">
        <w:rPr>
          <w:rFonts w:ascii="Palatino Linotype" w:hAnsi="Palatino Linotype" w:cs="Tahoma"/>
          <w:b/>
          <w:bCs/>
          <w:iCs/>
          <w:lang w:val="es-ES" w:eastAsia="es-ES_tradnl"/>
        </w:rPr>
        <w:t xml:space="preserve">los motivos por los cuales se iniciaron los posibles procesos de responsabilidades administrativas, </w:t>
      </w:r>
      <w:r w:rsidRPr="004D38F7">
        <w:rPr>
          <w:rFonts w:ascii="Palatino Linotype" w:hAnsi="Palatino Linotype" w:cs="Tahoma"/>
          <w:iCs/>
          <w:lang w:val="es-ES" w:eastAsia="es-ES_tradnl"/>
        </w:rPr>
        <w:t>los cuales, se encuentran en los propios expedientes y son materia de análisis del procedimiento, pues a través de este, se establecerá si el servidor público cometió alguna falta, y calificarla como grave o no grave.</w:t>
      </w:r>
    </w:p>
    <w:p w14:paraId="48578A88" w14:textId="77777777" w:rsidR="005E7C1E" w:rsidRPr="004D38F7" w:rsidRDefault="005E7C1E" w:rsidP="005E7C1E">
      <w:pPr>
        <w:spacing w:line="360" w:lineRule="auto"/>
        <w:rPr>
          <w:rFonts w:ascii="Palatino Linotype" w:hAnsi="Palatino Linotype" w:cs="Tahoma"/>
          <w:iCs/>
          <w:lang w:val="es-ES" w:eastAsia="es-ES_tradnl"/>
        </w:rPr>
      </w:pPr>
    </w:p>
    <w:p w14:paraId="616A5DEB"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Conforme a lo anterior, y toda vez que la denuncia forma parte de las actuaciones del proceso de responsabilidad administrativa, se considera que se actualiza el segundo elemento para actualizar la causal de clasificación.</w:t>
      </w:r>
    </w:p>
    <w:p w14:paraId="48A1EA65" w14:textId="77777777" w:rsidR="005E7C1E" w:rsidRPr="004D38F7" w:rsidRDefault="005E7C1E" w:rsidP="005E7C1E">
      <w:pPr>
        <w:spacing w:line="360" w:lineRule="auto"/>
        <w:rPr>
          <w:rFonts w:ascii="Palatino Linotype" w:hAnsi="Palatino Linotype" w:cs="Tahoma"/>
          <w:iCs/>
          <w:lang w:val="es-ES" w:eastAsia="es-ES_tradnl"/>
        </w:rPr>
      </w:pPr>
    </w:p>
    <w:p w14:paraId="06A9FF5C" w14:textId="77777777" w:rsidR="005E7C1E" w:rsidRPr="004D38F7" w:rsidRDefault="005E7C1E" w:rsidP="00E63FD9">
      <w:pPr>
        <w:pStyle w:val="Prrafodelista"/>
        <w:numPr>
          <w:ilvl w:val="0"/>
          <w:numId w:val="22"/>
        </w:numPr>
        <w:spacing w:line="360" w:lineRule="auto"/>
        <w:jc w:val="both"/>
        <w:rPr>
          <w:rFonts w:ascii="Palatino Linotype" w:hAnsi="Palatino Linotype" w:cs="Tahoma"/>
          <w:b/>
          <w:iCs/>
          <w:lang w:eastAsia="es-ES_tradnl"/>
        </w:rPr>
      </w:pPr>
      <w:r w:rsidRPr="004D38F7">
        <w:rPr>
          <w:rFonts w:ascii="Palatino Linotype" w:hAnsi="Palatino Linotype" w:cs="Tahoma"/>
          <w:b/>
          <w:iCs/>
          <w:lang w:eastAsia="es-ES_tradnl"/>
        </w:rPr>
        <w:t xml:space="preserve">Que esta interrumpa o menoscabe la actuación de las autoridades administrativas que impida u obstaculice su determinación. </w:t>
      </w:r>
    </w:p>
    <w:p w14:paraId="42B617A8" w14:textId="77777777" w:rsidR="005E7C1E" w:rsidRPr="004D38F7" w:rsidRDefault="005E7C1E" w:rsidP="005E7C1E">
      <w:pPr>
        <w:spacing w:line="360" w:lineRule="auto"/>
        <w:rPr>
          <w:rFonts w:ascii="Palatino Linotype" w:hAnsi="Palatino Linotype" w:cs="Tahoma"/>
          <w:iCs/>
          <w:lang w:val="es-ES" w:eastAsia="es-ES_tradnl"/>
        </w:rPr>
      </w:pPr>
    </w:p>
    <w:p w14:paraId="5EB65A73"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Al respecto, este Instituto considera que proporcionar la denuncia, afectaría la deliberación tomada por las autoridades administrativas, pues justamente la Contraloría se encuentra analizando si el servidor público </w:t>
      </w:r>
      <w:r w:rsidRPr="004D38F7">
        <w:rPr>
          <w:rFonts w:ascii="Palatino Linotype" w:hAnsi="Palatino Linotype" w:cs="Tahoma"/>
          <w:bCs/>
        </w:rPr>
        <w:t>metió una falta grave, no grave, o bien, no cometió ninguna infracción, por lo que, se trata de información que darla a conocer al público, pudiera alterar el procedimiento, pues contiene las circunstancias o situaciones ocurridas que dieron origen a la denuncia, lo cual podría ocasionar que la ciudadanía diera elementos que vulnerarían el debido proceso de la partes.</w:t>
      </w:r>
    </w:p>
    <w:p w14:paraId="14B8E67D"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
          <w:iCs/>
          <w:lang w:val="es-ES" w:eastAsia="es-ES_tradnl"/>
        </w:rPr>
      </w:pPr>
      <w:r w:rsidRPr="004D38F7">
        <w:rPr>
          <w:rFonts w:ascii="Palatino Linotype" w:hAnsi="Palatino Linotype" w:cs="Tahoma"/>
          <w:bCs/>
        </w:rPr>
        <w:t xml:space="preserve">Por tales consideraciones, en caso de que existan procedimientos de responsabilidades </w:t>
      </w:r>
      <w:r w:rsidRPr="004D38F7">
        <w:rPr>
          <w:rFonts w:ascii="Palatino Linotype" w:eastAsia="Times New Roman" w:hAnsi="Palatino Linotype" w:cs="Tahoma"/>
        </w:rPr>
        <w:t>administrativas</w:t>
      </w:r>
      <w:r w:rsidRPr="004D38F7">
        <w:rPr>
          <w:rFonts w:ascii="Palatino Linotype" w:hAnsi="Palatino Linotype" w:cs="Tahoma"/>
          <w:bCs/>
        </w:rPr>
        <w:t xml:space="preserve"> en contra servidores públicos, en trámite, </w:t>
      </w:r>
      <w:r w:rsidRPr="004D38F7">
        <w:rPr>
          <w:rFonts w:ascii="Palatino Linotype" w:hAnsi="Palatino Linotype" w:cs="Tahoma"/>
          <w:b/>
          <w:bCs/>
        </w:rPr>
        <w:t xml:space="preserve">resulta procedente la reserva, en términos del artículo 140, fracción VI, de </w:t>
      </w:r>
      <w:r w:rsidRPr="004D38F7">
        <w:rPr>
          <w:rFonts w:ascii="Palatino Linotype" w:hAnsi="Palatino Linotype" w:cs="Tahoma"/>
          <w:b/>
          <w:iCs/>
          <w:lang w:val="es-ES" w:eastAsia="es-ES_tradnl"/>
        </w:rPr>
        <w:t>de la Ley de Transparencia y Acceso a la Información Pública del Estado de México y Municipios.</w:t>
      </w:r>
    </w:p>
    <w:p w14:paraId="146F14CA" w14:textId="77777777" w:rsidR="005E7C1E" w:rsidRPr="004D38F7" w:rsidRDefault="005E7C1E" w:rsidP="005E7C1E">
      <w:pPr>
        <w:spacing w:line="360" w:lineRule="auto"/>
        <w:rPr>
          <w:rFonts w:ascii="Palatino Linotype" w:hAnsi="Palatino Linotype" w:cs="Tahoma"/>
          <w:b/>
          <w:iCs/>
          <w:lang w:val="es-ES" w:eastAsia="es-ES_tradnl"/>
        </w:rPr>
      </w:pPr>
    </w:p>
    <w:p w14:paraId="047D58E3"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hAnsi="Palatino Linotype" w:cs="Tahoma"/>
          <w:iCs/>
          <w:lang w:val="es-ES" w:eastAsia="es-ES_tradnl"/>
        </w:rPr>
        <w:t>Finalmente,</w:t>
      </w:r>
      <w:r w:rsidRPr="004D38F7">
        <w:rPr>
          <w:rFonts w:ascii="Palatino Linotype" w:hAnsi="Palatino Linotype" w:cs="Tahoma"/>
          <w:b/>
          <w:iCs/>
          <w:lang w:val="es-ES" w:eastAsia="es-ES_tradnl"/>
        </w:rPr>
        <w:t xml:space="preserve"> </w:t>
      </w:r>
      <w:r w:rsidRPr="004D38F7">
        <w:rPr>
          <w:rFonts w:ascii="Palatino Linotype" w:hAnsi="Palatino Linotype" w:cs="Tahoma"/>
          <w:bCs/>
        </w:rPr>
        <w:t xml:space="preserve">respecto al plazo de reserva, el artículo 125 de la Ley de la materia, establece </w:t>
      </w:r>
      <w:r w:rsidRPr="004D38F7">
        <w:rPr>
          <w:rFonts w:ascii="Palatino Linotype" w:eastAsia="Times New Roman" w:hAnsi="Palatino Linotype" w:cs="Tahoma"/>
          <w:bCs/>
        </w:rPr>
        <w:t xml:space="preserve">que la información </w:t>
      </w:r>
      <w:r w:rsidRPr="004D38F7">
        <w:rPr>
          <w:rFonts w:ascii="Palatino Linotype" w:hAnsi="Palatino Linotype" w:cs="Tahoma"/>
          <w:bCs/>
        </w:rPr>
        <w:t>clasificada</w:t>
      </w:r>
      <w:r w:rsidRPr="004D38F7">
        <w:rPr>
          <w:rFonts w:ascii="Palatino Linotype" w:eastAsia="Times New Roman" w:hAnsi="Palatino Linotype" w:cs="Tahoma"/>
          <w:bCs/>
        </w:rPr>
        <w:t xml:space="preserve"> como reservada según el artículo 140 de la Ley Federal de Transparencia y Acceso a la Información Pública, podrá permanecer con tal carácter hasta por un periodo de cinco años. Asimismo señala que los documentos </w:t>
      </w:r>
      <w:r w:rsidRPr="004D38F7">
        <w:rPr>
          <w:rFonts w:ascii="Palatino Linotype" w:eastAsia="Times New Roman" w:hAnsi="Palatino Linotype" w:cs="Tahoma"/>
          <w:bCs/>
        </w:rPr>
        <w:lastRenderedPageBreak/>
        <w:t xml:space="preserve">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w:t>
      </w:r>
    </w:p>
    <w:p w14:paraId="57C7A53A" w14:textId="77777777" w:rsidR="005E7C1E" w:rsidRPr="004D38F7" w:rsidRDefault="005E7C1E" w:rsidP="005E7C1E">
      <w:pPr>
        <w:spacing w:line="360" w:lineRule="auto"/>
        <w:rPr>
          <w:rFonts w:ascii="Palatino Linotype" w:hAnsi="Palatino Linotype" w:cs="Tahoma"/>
          <w:b/>
          <w:iCs/>
          <w:lang w:val="es-ES" w:eastAsia="es-ES_tradnl"/>
        </w:rPr>
      </w:pPr>
    </w:p>
    <w:p w14:paraId="211A74B8"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Por lo expuesto, se considera que el Ayuntamiento de</w:t>
      </w:r>
      <w:r w:rsidRPr="004D38F7">
        <w:rPr>
          <w:rFonts w:ascii="Palatino Linotype" w:hAnsi="Palatino Linotype" w:cs="Tahoma"/>
          <w:iCs/>
          <w:lang w:eastAsia="es-ES_tradnl"/>
        </w:rPr>
        <w:t xml:space="preserve"> </w:t>
      </w:r>
      <w:r w:rsidR="00E63FD9" w:rsidRPr="004D38F7">
        <w:rPr>
          <w:rFonts w:ascii="Palatino Linotype" w:hAnsi="Palatino Linotype" w:cs="Tahoma"/>
          <w:iCs/>
          <w:lang w:eastAsia="es-ES_tradnl"/>
        </w:rPr>
        <w:t>Ixtapaluca</w:t>
      </w:r>
      <w:r w:rsidRPr="004D38F7">
        <w:rPr>
          <w:rFonts w:ascii="Palatino Linotype" w:hAnsi="Palatino Linotype" w:cs="Tahoma"/>
          <w:iCs/>
          <w:lang w:val="es-ES" w:eastAsia="es-ES_tradnl"/>
        </w:rPr>
        <w:t>, en el supuesto de que existan procedimientos responsabilidades administrativas en trámite, deberá entregar el acuerdo de clasificación emitido por el Comité de Transparencia, en donde de manera fundada y motivada, a través de una prueba de daño, confirme la clasificación como reservada, de las denuncias presentadas en contra de servidores públicos, en términos del artículo 140, fracción VI, de la Ley de Transparencia y Acceso a la Información Pública del Estado de México y Municipios.</w:t>
      </w:r>
    </w:p>
    <w:p w14:paraId="0EFC77BC" w14:textId="77777777" w:rsidR="00E63FD9" w:rsidRPr="004D38F7" w:rsidRDefault="00E63FD9" w:rsidP="00E63FD9">
      <w:pPr>
        <w:pStyle w:val="Prrafodelista"/>
        <w:rPr>
          <w:rFonts w:ascii="Palatino Linotype" w:hAnsi="Palatino Linotype" w:cs="Tahoma"/>
          <w:iCs/>
          <w:lang w:val="es-ES" w:eastAsia="es-ES_tradnl"/>
        </w:rPr>
      </w:pPr>
    </w:p>
    <w:p w14:paraId="068A2651" w14:textId="77777777" w:rsidR="005E7C1E" w:rsidRPr="004D38F7" w:rsidRDefault="005E7C1E" w:rsidP="00E63FD9">
      <w:pPr>
        <w:pStyle w:val="Prrafodelista"/>
        <w:numPr>
          <w:ilvl w:val="0"/>
          <w:numId w:val="22"/>
        </w:numPr>
        <w:spacing w:line="360" w:lineRule="auto"/>
        <w:rPr>
          <w:rFonts w:ascii="Palatino Linotype" w:hAnsi="Palatino Linotype" w:cs="Tahoma"/>
          <w:b/>
          <w:iCs/>
          <w:lang w:val="es-ES" w:eastAsia="es-ES_tradnl"/>
        </w:rPr>
      </w:pPr>
      <w:r w:rsidRPr="004D38F7">
        <w:rPr>
          <w:rFonts w:ascii="Palatino Linotype" w:hAnsi="Palatino Linotype" w:cs="Tahoma"/>
          <w:b/>
          <w:bCs/>
          <w:iCs/>
          <w:lang w:val="es-ES" w:eastAsia="es-ES_tradnl"/>
        </w:rPr>
        <w:t>Procedimiento administrativo de responsabilidades, concluido.</w:t>
      </w:r>
    </w:p>
    <w:p w14:paraId="7CEC9BAF" w14:textId="77777777" w:rsidR="005E7C1E" w:rsidRPr="004D38F7" w:rsidRDefault="005E7C1E" w:rsidP="005E7C1E">
      <w:pPr>
        <w:spacing w:line="360" w:lineRule="auto"/>
        <w:rPr>
          <w:rFonts w:ascii="Palatino Linotype" w:hAnsi="Palatino Linotype" w:cs="Tahoma"/>
          <w:bCs/>
          <w:lang w:val="es-ES"/>
        </w:rPr>
      </w:pPr>
    </w:p>
    <w:p w14:paraId="1C1D7380"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bCs/>
          <w:lang w:val="es-ES"/>
        </w:rPr>
      </w:pPr>
      <w:r w:rsidRPr="004D38F7">
        <w:rPr>
          <w:rFonts w:ascii="Palatino Linotype" w:eastAsia="Times New Roman" w:hAnsi="Palatino Linotype" w:cs="Tahoma"/>
          <w:bCs/>
          <w:lang w:val="es-ES"/>
        </w:rPr>
        <w:t xml:space="preserve">Al respecto, es de indicar que únicamente procede la reserva de la información de los procedimientos en trámite, por lo que, se considera que en el supuesto, de que el Sujeto Obligado cuente con expedientes de procedimientos de responsabilidades administrativas, que se encuentren concluidos, ya sean absolutorios o condenatorios, procede la entrega, de las denuncias, que dieron origen a dichos procesos; lo anterior toma relevancia, pues con dicha información, se transparenta el cumplimiento de las funciones de la Contraloría Municipal; además, que existe un interés público de la ciudadanía de conocer, que los servidores públicos, cumplen o no con sus atribuciones y </w:t>
      </w:r>
      <w:r w:rsidRPr="004D38F7">
        <w:rPr>
          <w:rFonts w:ascii="Palatino Linotype" w:eastAsia="Times New Roman" w:hAnsi="Palatino Linotype" w:cs="Tahoma"/>
          <w:bCs/>
          <w:lang w:val="es-ES"/>
        </w:rPr>
        <w:lastRenderedPageBreak/>
        <w:t>la normatividad que los rige, dado que conforme a la Ley de Responsabilidades Administrativas del Estado de México y Municipios, dichos trabajadores deben ceñirse a los principios de disciplina, legalidad, objetividad, profesionalismo, honradez, lealtad, imparcialidad, integridad, rendición de cuentas, eficacia y eficiencia.</w:t>
      </w:r>
    </w:p>
    <w:p w14:paraId="30E4B0C5" w14:textId="77777777" w:rsidR="005E7C1E" w:rsidRPr="004D38F7" w:rsidRDefault="005E7C1E" w:rsidP="005E7C1E">
      <w:pPr>
        <w:spacing w:line="360" w:lineRule="auto"/>
        <w:rPr>
          <w:rFonts w:ascii="Palatino Linotype" w:hAnsi="Palatino Linotype" w:cs="Tahoma"/>
          <w:bCs/>
          <w:lang w:val="es-ES"/>
        </w:rPr>
      </w:pPr>
    </w:p>
    <w:p w14:paraId="505E430B"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 xml:space="preserve">En ese </w:t>
      </w:r>
      <w:r w:rsidRPr="004D38F7">
        <w:rPr>
          <w:rFonts w:ascii="Palatino Linotype" w:eastAsia="Times New Roman" w:hAnsi="Palatino Linotype" w:cs="Tahoma"/>
          <w:bCs/>
          <w:lang w:val="es-ES"/>
        </w:rPr>
        <w:t>contexto</w:t>
      </w:r>
      <w:r w:rsidRPr="004D38F7">
        <w:rPr>
          <w:rFonts w:ascii="Palatino Linotype" w:hAnsi="Palatino Linotype" w:cs="Tahoma"/>
          <w:bCs/>
          <w:lang w:val="es-ES"/>
        </w:rPr>
        <w:t>, resulta necesario traer a colación, la Ley de Responsabilidades Administrativas del Estado de México y Municipios, que establece lo siguiente:</w:t>
      </w:r>
    </w:p>
    <w:p w14:paraId="4B3ECFCB" w14:textId="77777777" w:rsidR="005E7C1E" w:rsidRPr="004D38F7" w:rsidRDefault="005E7C1E" w:rsidP="005E7C1E">
      <w:pPr>
        <w:spacing w:line="360" w:lineRule="auto"/>
        <w:rPr>
          <w:rFonts w:ascii="Palatino Linotype" w:hAnsi="Palatino Linotype" w:cs="Tahoma"/>
          <w:bCs/>
          <w:lang w:val="es-ES"/>
        </w:rPr>
      </w:pPr>
    </w:p>
    <w:p w14:paraId="43B66D92" w14:textId="77777777" w:rsidR="005E7C1E" w:rsidRPr="004D38F7" w:rsidRDefault="005E7C1E" w:rsidP="00E63FD9">
      <w:pPr>
        <w:numPr>
          <w:ilvl w:val="0"/>
          <w:numId w:val="25"/>
        </w:numPr>
        <w:spacing w:line="360" w:lineRule="auto"/>
        <w:contextualSpacing/>
        <w:jc w:val="both"/>
        <w:rPr>
          <w:rFonts w:ascii="Palatino Linotype" w:hAnsi="Palatino Linotype" w:cs="Tahoma"/>
          <w:b/>
          <w:bCs/>
          <w:lang w:val="es-ES"/>
        </w:rPr>
      </w:pPr>
      <w:r w:rsidRPr="004D38F7">
        <w:rPr>
          <w:rFonts w:ascii="Palatino Linotype" w:hAnsi="Palatino Linotype" w:cs="Tahoma"/>
          <w:b/>
          <w:bCs/>
          <w:lang w:val="es-ES"/>
        </w:rPr>
        <w:t xml:space="preserve">(Artículo 3°, fracción III): </w:t>
      </w:r>
      <w:r w:rsidRPr="004D38F7">
        <w:rPr>
          <w:rFonts w:ascii="Palatino Linotype" w:hAnsi="Palatino Linotype" w:cs="Tahoma"/>
          <w:bCs/>
          <w:lang w:val="es-ES"/>
        </w:rPr>
        <w:t>La autoridad resolutora es la unidad de responsabilidades, que forma parte del órgano interno de control (por faltas administrativa no graves) y el Tribunal de Justicia Administrativa del Estado de México (por faltas administrativas graves).</w:t>
      </w:r>
    </w:p>
    <w:p w14:paraId="4896572D" w14:textId="77777777" w:rsidR="005E7C1E" w:rsidRPr="004D38F7" w:rsidRDefault="005E7C1E" w:rsidP="00E63FD9">
      <w:pPr>
        <w:spacing w:line="360" w:lineRule="auto"/>
        <w:ind w:left="780"/>
        <w:contextualSpacing/>
        <w:jc w:val="both"/>
        <w:rPr>
          <w:rFonts w:ascii="Palatino Linotype" w:hAnsi="Palatino Linotype" w:cs="Tahoma"/>
          <w:b/>
          <w:bCs/>
        </w:rPr>
      </w:pPr>
    </w:p>
    <w:p w14:paraId="4A9B2AB8" w14:textId="77777777" w:rsidR="005E7C1E" w:rsidRPr="004D38F7" w:rsidRDefault="005E7C1E" w:rsidP="00E63FD9">
      <w:pPr>
        <w:numPr>
          <w:ilvl w:val="0"/>
          <w:numId w:val="25"/>
        </w:numPr>
        <w:spacing w:line="360" w:lineRule="auto"/>
        <w:contextualSpacing/>
        <w:jc w:val="both"/>
        <w:rPr>
          <w:rFonts w:ascii="Palatino Linotype" w:hAnsi="Palatino Linotype" w:cs="Tahoma"/>
          <w:b/>
          <w:bCs/>
          <w:lang w:val="es-ES"/>
        </w:rPr>
      </w:pPr>
      <w:r w:rsidRPr="004D38F7">
        <w:rPr>
          <w:rFonts w:ascii="Palatino Linotype" w:hAnsi="Palatino Linotype" w:cs="Tahoma"/>
          <w:b/>
          <w:bCs/>
          <w:lang w:val="es-ES"/>
        </w:rPr>
        <w:t xml:space="preserve">(Artículo 10): </w:t>
      </w:r>
      <w:r w:rsidRPr="004D38F7">
        <w:rPr>
          <w:rFonts w:ascii="Palatino Linotype" w:hAnsi="Palatino Linotype" w:cs="Tahoma"/>
          <w:bCs/>
          <w:lang w:val="es-ES"/>
        </w:rPr>
        <w:t>Cuando los actos u omisiones de los servidores públicos, hayan sido calificados como faltas administrativas no graves, los órganos internos de control, serán los competentes para iniciar, substanciar y resolver los procedimientos de responsabilidad administrativa.</w:t>
      </w:r>
    </w:p>
    <w:p w14:paraId="3DC2B8B9" w14:textId="77777777" w:rsidR="005E7C1E" w:rsidRPr="004D38F7" w:rsidRDefault="005E7C1E" w:rsidP="00E63FD9">
      <w:pPr>
        <w:spacing w:line="360" w:lineRule="auto"/>
        <w:ind w:left="780"/>
        <w:contextualSpacing/>
        <w:jc w:val="both"/>
        <w:rPr>
          <w:rFonts w:ascii="Palatino Linotype" w:hAnsi="Palatino Linotype" w:cs="Tahoma"/>
          <w:b/>
          <w:bCs/>
          <w:lang w:val="es-ES"/>
        </w:rPr>
      </w:pPr>
    </w:p>
    <w:p w14:paraId="72356FEA" w14:textId="77777777" w:rsidR="005E7C1E" w:rsidRPr="004D38F7" w:rsidRDefault="005E7C1E" w:rsidP="00E63FD9">
      <w:pPr>
        <w:numPr>
          <w:ilvl w:val="0"/>
          <w:numId w:val="25"/>
        </w:numPr>
        <w:spacing w:line="360" w:lineRule="auto"/>
        <w:contextualSpacing/>
        <w:jc w:val="both"/>
        <w:rPr>
          <w:rFonts w:ascii="Palatino Linotype" w:hAnsi="Palatino Linotype" w:cs="Tahoma"/>
          <w:b/>
          <w:bCs/>
          <w:lang w:val="es-ES"/>
        </w:rPr>
      </w:pPr>
      <w:r w:rsidRPr="004D38F7">
        <w:rPr>
          <w:rFonts w:ascii="Palatino Linotype" w:hAnsi="Palatino Linotype" w:cs="Tahoma"/>
          <w:b/>
          <w:bCs/>
          <w:lang w:val="es-ES"/>
        </w:rPr>
        <w:t xml:space="preserve">(Artículo 13): </w:t>
      </w:r>
      <w:r w:rsidRPr="004D38F7">
        <w:rPr>
          <w:rFonts w:ascii="Palatino Linotype" w:hAnsi="Palatino Linotype" w:cs="Tahoma"/>
          <w:bCs/>
          <w:lang w:val="es-ES"/>
        </w:rPr>
        <w:t>El Tribunal de Justicia Administrativa del Estado de México, es el encargado de resolver la imposición de sanciones por la comisión de faltas administrativas graves.</w:t>
      </w:r>
    </w:p>
    <w:p w14:paraId="071354A1" w14:textId="77777777" w:rsidR="005E7C1E" w:rsidRPr="004D38F7" w:rsidRDefault="005E7C1E" w:rsidP="00E63FD9">
      <w:pPr>
        <w:spacing w:line="360" w:lineRule="auto"/>
        <w:ind w:left="720"/>
        <w:contextualSpacing/>
        <w:jc w:val="both"/>
        <w:rPr>
          <w:rFonts w:ascii="Palatino Linotype" w:hAnsi="Palatino Linotype" w:cs="Tahoma"/>
          <w:b/>
          <w:bCs/>
          <w:lang w:val="es-ES"/>
        </w:rPr>
      </w:pPr>
    </w:p>
    <w:p w14:paraId="0BA25844" w14:textId="77777777" w:rsidR="005E7C1E" w:rsidRPr="004D38F7" w:rsidRDefault="005E7C1E" w:rsidP="00E63FD9">
      <w:pPr>
        <w:numPr>
          <w:ilvl w:val="0"/>
          <w:numId w:val="25"/>
        </w:numPr>
        <w:spacing w:line="360" w:lineRule="auto"/>
        <w:contextualSpacing/>
        <w:jc w:val="both"/>
        <w:rPr>
          <w:rFonts w:ascii="Palatino Linotype" w:hAnsi="Palatino Linotype" w:cs="Tahoma"/>
          <w:b/>
          <w:bCs/>
          <w:lang w:val="es-ES"/>
        </w:rPr>
      </w:pPr>
      <w:r w:rsidRPr="004D38F7">
        <w:rPr>
          <w:rFonts w:ascii="Palatino Linotype" w:hAnsi="Palatino Linotype" w:cs="Tahoma"/>
          <w:b/>
          <w:bCs/>
          <w:lang w:val="es-ES"/>
        </w:rPr>
        <w:t xml:space="preserve">(Artículo 195): </w:t>
      </w:r>
      <w:r w:rsidRPr="004D38F7">
        <w:rPr>
          <w:rFonts w:ascii="Palatino Linotype" w:hAnsi="Palatino Linotype" w:cs="Tahoma"/>
          <w:bCs/>
          <w:lang w:val="es-ES"/>
        </w:rPr>
        <w:t xml:space="preserve">La autoridad substanciadora, una vez concluido la audiencia inicial de un posible procedimiento de responsabilidad administrativas graves, </w:t>
      </w:r>
      <w:r w:rsidRPr="004D38F7">
        <w:rPr>
          <w:rFonts w:ascii="Palatino Linotype" w:hAnsi="Palatino Linotype" w:cs="Tahoma"/>
          <w:bCs/>
          <w:lang w:val="es-ES"/>
        </w:rPr>
        <w:lastRenderedPageBreak/>
        <w:t xml:space="preserve">deberá enviar los autos originales del expediente al Tribunal de Justifica Administrativa del Estado de México; además, dicho ente, al emitir la resolución de la falta administrativa, la notificará al jefe inmediato o al Presidente Municipal, para los efectos de su ejecución. </w:t>
      </w:r>
    </w:p>
    <w:p w14:paraId="6E20EFE2" w14:textId="77777777" w:rsidR="005E7C1E" w:rsidRPr="004D38F7" w:rsidRDefault="005E7C1E" w:rsidP="005E7C1E">
      <w:pPr>
        <w:spacing w:line="360" w:lineRule="auto"/>
        <w:rPr>
          <w:rFonts w:ascii="Palatino Linotype" w:hAnsi="Palatino Linotype" w:cs="Tahoma"/>
          <w:bCs/>
          <w:lang w:val="es-ES"/>
        </w:rPr>
      </w:pPr>
    </w:p>
    <w:p w14:paraId="009FA060"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Conforme a la normatividad citada, se considera que en los archivos del Sujeto Obligado, únicamente podrían obrar los expedientes de los procedimientos de responsabilidades administrativas no graves, concluidos que ya hayan causado estado; así como, las resoluciones de aquellos por faltas graves, únicamente, pues el expediente es remitido al Tribunal de Justicia Administrativa del Estado de México; por lo cual, únicamente procede la entrega de aquellas denuncias que obren en sus archivos, de conformidad con los artículos 12 y 160 de la Ley de Transparencia y Acceso a la Información Pública.</w:t>
      </w:r>
    </w:p>
    <w:p w14:paraId="06D82C50" w14:textId="77777777" w:rsidR="005E7C1E" w:rsidRPr="004D38F7" w:rsidRDefault="005E7C1E" w:rsidP="005E7C1E">
      <w:pPr>
        <w:tabs>
          <w:tab w:val="left" w:pos="3962"/>
        </w:tabs>
        <w:spacing w:line="360" w:lineRule="auto"/>
        <w:rPr>
          <w:rFonts w:ascii="Palatino Linotype" w:hAnsi="Palatino Linotype" w:cs="Tahoma"/>
          <w:bCs/>
        </w:rPr>
      </w:pPr>
    </w:p>
    <w:p w14:paraId="2E28BDB3"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Ahora bien, toda vez que la información solicitada, se relaciona con servidores públicos en específico, los cuales pudieron o no haber recibido alguna sanción por posibles responsabilidades, se procede analizar si su nombre en las denuncias es clasificado como confidencial, al poder causar un perjuicio a la vida privada de estos.</w:t>
      </w:r>
    </w:p>
    <w:p w14:paraId="6C0249B0" w14:textId="77777777" w:rsidR="005E7C1E" w:rsidRPr="004D38F7" w:rsidRDefault="005E7C1E" w:rsidP="005E7C1E">
      <w:pPr>
        <w:spacing w:line="360" w:lineRule="auto"/>
        <w:rPr>
          <w:rFonts w:ascii="Palatino Linotype" w:hAnsi="Palatino Linotype" w:cs="Tahoma"/>
          <w:bCs/>
          <w:lang w:val="es-ES"/>
        </w:rPr>
      </w:pPr>
    </w:p>
    <w:p w14:paraId="2ED1DC56"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principio, cabe mencionar que el artículo 6°, Apartado A), fracción II, de la Constitución Política de los </w:t>
      </w:r>
      <w:r w:rsidRPr="004D38F7">
        <w:rPr>
          <w:rFonts w:ascii="Palatino Linotype" w:hAnsi="Palatino Linotype" w:cs="Tahoma"/>
          <w:bCs/>
          <w:lang w:val="es-ES"/>
        </w:rPr>
        <w:t>Estados</w:t>
      </w:r>
      <w:r w:rsidRPr="004D38F7">
        <w:rPr>
          <w:rFonts w:ascii="Palatino Linotype" w:eastAsia="Times New Roman" w:hAnsi="Palatino Linotype" w:cs="Tahoma"/>
        </w:rPr>
        <w:t xml:space="preserve"> Unidos Mexicanos, prevé que </w:t>
      </w:r>
      <w:r w:rsidRPr="004D38F7">
        <w:rPr>
          <w:rFonts w:ascii="Palatino Linotype" w:eastAsia="Times New Roman" w:hAnsi="Palatino Linotype" w:cs="Tahoma"/>
          <w:b/>
        </w:rPr>
        <w:t xml:space="preserve">la información que se refiere a la vida privada y los datos personales, </w:t>
      </w:r>
      <w:r w:rsidRPr="004D38F7">
        <w:rPr>
          <w:rFonts w:ascii="Palatino Linotype" w:eastAsia="Times New Roman" w:hAnsi="Palatino Linotype" w:cs="Tahoma"/>
        </w:rPr>
        <w:t xml:space="preserve">será protegida en los términos y con las excepciones que fijen las leyes. </w:t>
      </w:r>
      <w:r w:rsidRPr="004D38F7">
        <w:rPr>
          <w:rFonts w:ascii="Palatino Linotype" w:eastAsia="Times New Roman" w:hAnsi="Palatino Linotype" w:cs="Tahoma"/>
          <w:bCs/>
        </w:rPr>
        <w:t xml:space="preserve">Igualmente, el segundo párrafo del artículo 16 de la </w:t>
      </w:r>
      <w:r w:rsidRPr="004D38F7">
        <w:rPr>
          <w:rFonts w:ascii="Palatino Linotype" w:eastAsia="Times New Roman" w:hAnsi="Palatino Linotype" w:cs="Tahoma"/>
        </w:rPr>
        <w:t xml:space="preserve">Carta Magna </w:t>
      </w:r>
      <w:r w:rsidRPr="004D38F7">
        <w:rPr>
          <w:rFonts w:ascii="Palatino Linotype" w:eastAsia="Times New Roman" w:hAnsi="Palatino Linotype" w:cs="Tahoma"/>
          <w:bCs/>
        </w:rPr>
        <w:t>dispone que t</w:t>
      </w:r>
      <w:r w:rsidRPr="004D38F7">
        <w:rPr>
          <w:rFonts w:ascii="Palatino Linotype" w:eastAsia="Times New Roman" w:hAnsi="Palatino Linotype" w:cs="Tahoma"/>
        </w:rPr>
        <w:t xml:space="preserve">oda persona tiene derecho a la protección de sus datos personales, </w:t>
      </w:r>
      <w:r w:rsidRPr="004D38F7">
        <w:rPr>
          <w:rFonts w:ascii="Palatino Linotype" w:eastAsia="Times New Roman" w:hAnsi="Palatino Linotype" w:cs="Tahoma"/>
        </w:rPr>
        <w:lastRenderedPageBreak/>
        <w:t>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3FEA6FC" w14:textId="77777777" w:rsidR="005E7C1E" w:rsidRPr="004D38F7" w:rsidRDefault="005E7C1E" w:rsidP="005E7C1E">
      <w:pPr>
        <w:spacing w:line="360" w:lineRule="auto"/>
        <w:ind w:right="49"/>
        <w:rPr>
          <w:rFonts w:ascii="Palatino Linotype" w:eastAsia="Times New Roman" w:hAnsi="Palatino Linotype" w:cs="Tahoma"/>
        </w:rPr>
      </w:pPr>
    </w:p>
    <w:p w14:paraId="1B58DFED"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hAnsi="Palatino Linotype" w:cs="Tahoma"/>
          <w:bCs/>
        </w:rPr>
        <w:t xml:space="preserve">Acorde con lo anterior, la Ley General de Transparencia y Acceso a la Información Pública, en su artículo 116, </w:t>
      </w:r>
      <w:r w:rsidRPr="004D38F7">
        <w:rPr>
          <w:rFonts w:ascii="Palatino Linotype" w:eastAsia="Times New Roman" w:hAnsi="Palatino Linotype" w:cs="Tahoma"/>
        </w:rPr>
        <w:t>dispone</w:t>
      </w:r>
      <w:r w:rsidRPr="004D38F7">
        <w:rPr>
          <w:rFonts w:ascii="Palatino Linotype" w:hAnsi="Palatino Linotype" w:cs="Tahoma"/>
          <w:bCs/>
        </w:rPr>
        <w:t xml:space="preserve"> que se considera información confidencial la que contenga datos personales concernientes a una persona física identificada o identificable. </w:t>
      </w:r>
      <w:r w:rsidRPr="004D38F7">
        <w:rPr>
          <w:rFonts w:ascii="Palatino Linotype" w:eastAsia="Times New Roman" w:hAnsi="Palatino Linotype" w:cs="Tahoma"/>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B933A6D" w14:textId="77777777" w:rsidR="005E7C1E" w:rsidRPr="004D38F7" w:rsidRDefault="005E7C1E" w:rsidP="005E7C1E">
      <w:pPr>
        <w:spacing w:line="360" w:lineRule="auto"/>
        <w:ind w:right="-93"/>
        <w:rPr>
          <w:rFonts w:ascii="Palatino Linotype" w:eastAsia="Times New Roman" w:hAnsi="Palatino Linotype" w:cs="Tahoma"/>
        </w:rPr>
      </w:pPr>
    </w:p>
    <w:p w14:paraId="1A352B56"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4CC3D84" w14:textId="77777777" w:rsidR="005E7C1E" w:rsidRPr="004D38F7" w:rsidRDefault="005E7C1E" w:rsidP="005E7C1E">
      <w:pPr>
        <w:spacing w:line="360" w:lineRule="auto"/>
        <w:ind w:right="-93"/>
        <w:rPr>
          <w:rFonts w:ascii="Palatino Linotype" w:hAnsi="Palatino Linotype" w:cs="Tahoma"/>
          <w:bCs/>
        </w:rPr>
      </w:pPr>
    </w:p>
    <w:p w14:paraId="2A609811"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En concordancia con lo previo, el artículo 143, fracción I, de la Ley previamente citada, establece que </w:t>
      </w:r>
      <w:r w:rsidRPr="004D38F7">
        <w:rPr>
          <w:rFonts w:ascii="Palatino Linotype" w:hAnsi="Palatino Linotype" w:cs="Tahoma"/>
        </w:rPr>
        <w:t>la información privada</w:t>
      </w:r>
      <w:r w:rsidRPr="004D38F7">
        <w:rPr>
          <w:rFonts w:ascii="Palatino Linotype" w:hAnsi="Palatino Linotype" w:cs="Tahoma"/>
          <w:bCs/>
        </w:rPr>
        <w:t xml:space="preserve"> y los datos personales, concernientes a una persona física identificada o identificable son confidenciales.</w:t>
      </w:r>
    </w:p>
    <w:p w14:paraId="56B696F8" w14:textId="77777777" w:rsidR="005E7C1E" w:rsidRPr="004D38F7" w:rsidRDefault="005E7C1E" w:rsidP="005E7C1E">
      <w:pPr>
        <w:spacing w:line="360" w:lineRule="auto"/>
        <w:ind w:right="-93"/>
        <w:rPr>
          <w:rFonts w:ascii="Palatino Linotype" w:hAnsi="Palatino Linotype" w:cs="Tahoma"/>
          <w:bCs/>
        </w:rPr>
      </w:pPr>
    </w:p>
    <w:p w14:paraId="35CA9D48"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rPr>
        <w:lastRenderedPageBreak/>
        <w:t xml:space="preserve">Asimismo, en el artículo 145 de la Ley de Transparencia y Acceso a la Información Pública del Estado de México y Municipios, prevé que para que los Sujetos Obligados </w:t>
      </w:r>
      <w:r w:rsidRPr="004D38F7">
        <w:rPr>
          <w:rFonts w:ascii="Palatino Linotype" w:hAnsi="Palatino Linotype" w:cs="Tahoma"/>
          <w:bCs/>
          <w:lang w:val="es-ES"/>
        </w:rPr>
        <w:t xml:space="preserve">puedan permitir el acceso a la información confidencial, requieren obtener el consentimiento de los particulares titulares de la información, excepto cuando </w:t>
      </w:r>
      <w:r w:rsidRPr="004D38F7">
        <w:rPr>
          <w:rFonts w:ascii="Palatino Linotype" w:hAnsi="Palatino Linotype" w:cs="Tahoma"/>
          <w:b/>
          <w:bCs/>
          <w:lang w:val="es-ES"/>
        </w:rPr>
        <w:t xml:space="preserve">i) </w:t>
      </w:r>
      <w:r w:rsidRPr="004D38F7">
        <w:rPr>
          <w:rFonts w:ascii="Palatino Linotype" w:hAnsi="Palatino Linotype" w:cs="Tahoma"/>
          <w:bCs/>
          <w:lang w:val="es-ES"/>
        </w:rPr>
        <w:t xml:space="preserve">la información se encuentre en registros públicos o fuentes de acceso público, </w:t>
      </w:r>
      <w:r w:rsidRPr="004D38F7">
        <w:rPr>
          <w:rFonts w:ascii="Palatino Linotype" w:hAnsi="Palatino Linotype" w:cs="Tahoma"/>
          <w:b/>
          <w:bCs/>
          <w:lang w:val="es-ES"/>
        </w:rPr>
        <w:t>ii)</w:t>
      </w:r>
      <w:r w:rsidRPr="004D38F7">
        <w:rPr>
          <w:rFonts w:ascii="Palatino Linotype" w:hAnsi="Palatino Linotype" w:cs="Tahoma"/>
          <w:bCs/>
          <w:lang w:val="es-ES"/>
        </w:rPr>
        <w:t xml:space="preserve"> por ley tenga el carácter de pública, </w:t>
      </w:r>
      <w:r w:rsidRPr="004D38F7">
        <w:rPr>
          <w:rFonts w:ascii="Palatino Linotype" w:hAnsi="Palatino Linotype" w:cs="Tahoma"/>
          <w:b/>
          <w:bCs/>
          <w:lang w:val="es-ES"/>
        </w:rPr>
        <w:t>iii)</w:t>
      </w:r>
      <w:r w:rsidRPr="004D38F7">
        <w:rPr>
          <w:rFonts w:ascii="Palatino Linotype" w:hAnsi="Palatino Linotype" w:cs="Tahoma"/>
          <w:bCs/>
          <w:lang w:val="es-ES"/>
        </w:rPr>
        <w:t xml:space="preserve"> exista una orden judicial, </w:t>
      </w:r>
      <w:r w:rsidRPr="004D38F7">
        <w:rPr>
          <w:rFonts w:ascii="Palatino Linotype" w:hAnsi="Palatino Linotype" w:cs="Tahoma"/>
          <w:b/>
          <w:bCs/>
          <w:lang w:val="es-ES"/>
        </w:rPr>
        <w:t>iv)</w:t>
      </w:r>
      <w:r w:rsidRPr="004D38F7">
        <w:rPr>
          <w:rFonts w:ascii="Palatino Linotype" w:hAnsi="Palatino Linotype" w:cs="Tahoma"/>
          <w:bCs/>
          <w:lang w:val="es-ES"/>
        </w:rPr>
        <w:t xml:space="preserve"> por razones de seguridad nacional y salubridad general o </w:t>
      </w:r>
      <w:r w:rsidRPr="004D38F7">
        <w:rPr>
          <w:rFonts w:ascii="Palatino Linotype" w:hAnsi="Palatino Linotype" w:cs="Tahoma"/>
          <w:b/>
          <w:bCs/>
          <w:lang w:val="es-ES"/>
        </w:rPr>
        <w:t>v)</w:t>
      </w:r>
      <w:r w:rsidRPr="004D38F7">
        <w:rPr>
          <w:rFonts w:ascii="Palatino Linotype" w:hAnsi="Palatino Linotype" w:cs="Tahoma"/>
          <w:bCs/>
          <w:lang w:val="es-ES"/>
        </w:rPr>
        <w:t xml:space="preserve"> para proteger los derechos de terceros o cuando se transmita entre sujetos obligados en términos de los tratados y los acuerdos interinstitucionales.</w:t>
      </w:r>
    </w:p>
    <w:p w14:paraId="3900B04B" w14:textId="77777777" w:rsidR="005E7C1E" w:rsidRPr="004D38F7" w:rsidRDefault="005E7C1E" w:rsidP="005E7C1E">
      <w:pPr>
        <w:spacing w:line="360" w:lineRule="auto"/>
        <w:ind w:right="-93"/>
        <w:rPr>
          <w:rFonts w:ascii="Palatino Linotype" w:hAnsi="Palatino Linotype" w:cs="Tahoma"/>
          <w:bCs/>
        </w:rPr>
      </w:pPr>
    </w:p>
    <w:p w14:paraId="6A77FE9E"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 xml:space="preserve">En términos de lo </w:t>
      </w:r>
      <w:r w:rsidRPr="004D38F7">
        <w:rPr>
          <w:rFonts w:ascii="Palatino Linotype" w:hAnsi="Palatino Linotype" w:cs="Tahoma"/>
          <w:bCs/>
        </w:rPr>
        <w:t>expuesto</w:t>
      </w:r>
      <w:r w:rsidRPr="004D38F7">
        <w:rPr>
          <w:rFonts w:ascii="Palatino Linotype" w:hAnsi="Palatino Linotype" w:cs="Tahoma"/>
          <w:bCs/>
          <w:lang w:val="es-ES"/>
        </w:rPr>
        <w:t>, la documentación y aquellos datos que se consideren confidenciales, serán una limitante del derecho de acceso a la información, siempre y cuando:</w:t>
      </w:r>
    </w:p>
    <w:p w14:paraId="186FD748" w14:textId="77777777" w:rsidR="005E7C1E" w:rsidRPr="004D38F7" w:rsidRDefault="005E7C1E" w:rsidP="005E7C1E">
      <w:pPr>
        <w:spacing w:line="360" w:lineRule="auto"/>
        <w:ind w:right="-93"/>
        <w:rPr>
          <w:rFonts w:ascii="Palatino Linotype" w:hAnsi="Palatino Linotype" w:cs="Tahoma"/>
          <w:bCs/>
          <w:lang w:val="es-ES"/>
        </w:rPr>
      </w:pPr>
    </w:p>
    <w:p w14:paraId="15A29D81" w14:textId="77777777" w:rsidR="005E7C1E" w:rsidRPr="004D38F7" w:rsidRDefault="005E7C1E" w:rsidP="005E7C1E">
      <w:pPr>
        <w:numPr>
          <w:ilvl w:val="0"/>
          <w:numId w:val="27"/>
        </w:numPr>
        <w:spacing w:line="360" w:lineRule="auto"/>
        <w:ind w:right="-93"/>
        <w:rPr>
          <w:rFonts w:ascii="Palatino Linotype" w:hAnsi="Palatino Linotype" w:cs="Tahoma"/>
          <w:b/>
          <w:bCs/>
          <w:lang w:val="es-ES"/>
        </w:rPr>
      </w:pPr>
      <w:r w:rsidRPr="004D38F7">
        <w:rPr>
          <w:rFonts w:ascii="Palatino Linotype" w:hAnsi="Palatino Linotype" w:cs="Tahoma"/>
          <w:bCs/>
          <w:lang w:val="es-ES"/>
        </w:rPr>
        <w:t>Se trate de</w:t>
      </w:r>
      <w:r w:rsidRPr="004D38F7">
        <w:rPr>
          <w:rFonts w:ascii="Palatino Linotype" w:hAnsi="Palatino Linotype" w:cs="Tahoma"/>
          <w:b/>
          <w:bCs/>
          <w:lang w:val="es-ES"/>
        </w:rPr>
        <w:t xml:space="preserve"> datos personales</w:t>
      </w:r>
      <w:r w:rsidRPr="004D38F7">
        <w:rPr>
          <w:rFonts w:ascii="Palatino Linotype" w:hAnsi="Palatino Linotype" w:cs="Tahoma"/>
          <w:bCs/>
          <w:lang w:val="es-ES"/>
        </w:rPr>
        <w:t xml:space="preserve">; esto es, información concerniente a una </w:t>
      </w:r>
      <w:r w:rsidRPr="004D38F7">
        <w:rPr>
          <w:rFonts w:ascii="Palatino Linotype" w:hAnsi="Palatino Linotype" w:cs="Tahoma"/>
          <w:b/>
          <w:bCs/>
          <w:lang w:val="es-ES"/>
        </w:rPr>
        <w:t>persona</w:t>
      </w:r>
      <w:r w:rsidRPr="004D38F7">
        <w:rPr>
          <w:rFonts w:ascii="Palatino Linotype" w:hAnsi="Palatino Linotype" w:cs="Tahoma"/>
          <w:bCs/>
          <w:lang w:val="es-ES"/>
        </w:rPr>
        <w:t xml:space="preserve"> </w:t>
      </w:r>
      <w:r w:rsidRPr="004D38F7">
        <w:rPr>
          <w:rFonts w:ascii="Palatino Linotype" w:hAnsi="Palatino Linotype" w:cs="Tahoma"/>
          <w:b/>
          <w:bCs/>
          <w:lang w:val="es-ES"/>
        </w:rPr>
        <w:t>física</w:t>
      </w:r>
      <w:r w:rsidRPr="004D38F7">
        <w:rPr>
          <w:rFonts w:ascii="Palatino Linotype" w:hAnsi="Palatino Linotype" w:cs="Tahoma"/>
          <w:bCs/>
          <w:lang w:val="es-ES"/>
        </w:rPr>
        <w:t xml:space="preserve"> y que ésta sea identificada o identificable. </w:t>
      </w:r>
    </w:p>
    <w:p w14:paraId="1A81281F" w14:textId="77777777" w:rsidR="005E7C1E" w:rsidRPr="004D38F7" w:rsidRDefault="005E7C1E" w:rsidP="005E7C1E">
      <w:pPr>
        <w:numPr>
          <w:ilvl w:val="0"/>
          <w:numId w:val="27"/>
        </w:numPr>
        <w:spacing w:line="360" w:lineRule="auto"/>
        <w:ind w:right="-93"/>
        <w:rPr>
          <w:rFonts w:ascii="Palatino Linotype" w:hAnsi="Palatino Linotype" w:cs="Tahoma"/>
          <w:bCs/>
          <w:lang w:val="es-ES"/>
        </w:rPr>
      </w:pPr>
      <w:r w:rsidRPr="004D38F7">
        <w:rPr>
          <w:rFonts w:ascii="Palatino Linotype" w:hAnsi="Palatino Linotype" w:cs="Tahoma"/>
          <w:bCs/>
          <w:lang w:val="es-ES"/>
        </w:rPr>
        <w:t xml:space="preserve">Para la difusión de los datos, </w:t>
      </w:r>
      <w:r w:rsidRPr="004D38F7">
        <w:rPr>
          <w:rFonts w:ascii="Palatino Linotype" w:hAnsi="Palatino Linotype" w:cs="Tahoma"/>
          <w:b/>
          <w:bCs/>
          <w:lang w:val="es-ES"/>
        </w:rPr>
        <w:t>se requiera el consentimiento del titular</w:t>
      </w:r>
      <w:r w:rsidRPr="004D38F7">
        <w:rPr>
          <w:rFonts w:ascii="Palatino Linotype" w:hAnsi="Palatino Linotype" w:cs="Tahoma"/>
          <w:bCs/>
          <w:lang w:val="es-ES"/>
        </w:rPr>
        <w:t xml:space="preserve">. </w:t>
      </w:r>
    </w:p>
    <w:p w14:paraId="67ECE0F6" w14:textId="77777777" w:rsidR="005E7C1E" w:rsidRPr="004D38F7" w:rsidRDefault="005E7C1E" w:rsidP="005E7C1E">
      <w:pPr>
        <w:spacing w:line="360" w:lineRule="auto"/>
        <w:ind w:right="-93"/>
        <w:rPr>
          <w:rFonts w:ascii="Palatino Linotype" w:hAnsi="Palatino Linotype" w:cs="Tahoma"/>
          <w:bCs/>
        </w:rPr>
      </w:pPr>
    </w:p>
    <w:p w14:paraId="057F23F3"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En ese orden de ideas, de conformidad con el artículo 3°, fracción IX de la Ley de Transparencia y </w:t>
      </w:r>
      <w:r w:rsidRPr="004D38F7">
        <w:rPr>
          <w:rFonts w:ascii="Palatino Linotype" w:hAnsi="Palatino Linotype" w:cs="Tahoma"/>
          <w:bCs/>
          <w:lang w:val="es-ES"/>
        </w:rPr>
        <w:t>Acceso</w:t>
      </w:r>
      <w:r w:rsidRPr="004D38F7">
        <w:rPr>
          <w:rFonts w:ascii="Palatino Linotype" w:hAnsi="Palatino Linotype" w:cs="Tahoma"/>
          <w:bCs/>
        </w:rPr>
        <w:t xml:space="preserve">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w:t>
      </w:r>
      <w:r w:rsidRPr="004D38F7">
        <w:rPr>
          <w:rFonts w:ascii="Palatino Linotype" w:hAnsi="Palatino Linotype" w:cs="Tahoma"/>
          <w:bCs/>
        </w:rPr>
        <w:lastRenderedPageBreak/>
        <w:t xml:space="preserve">de cualquier documento informativo físico o electrónico), establecida en cualquier formato o modalidad. </w:t>
      </w:r>
    </w:p>
    <w:p w14:paraId="7992C7F0" w14:textId="77777777" w:rsidR="005E7C1E" w:rsidRPr="004D38F7" w:rsidRDefault="005E7C1E" w:rsidP="005E7C1E">
      <w:pPr>
        <w:spacing w:line="360" w:lineRule="auto"/>
        <w:contextualSpacing/>
        <w:rPr>
          <w:rFonts w:ascii="Palatino Linotype" w:hAnsi="Palatino Linotype" w:cs="Tahoma"/>
          <w:bCs/>
        </w:rPr>
      </w:pPr>
    </w:p>
    <w:p w14:paraId="0F0D37E7"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
          <w:bCs/>
        </w:rPr>
      </w:pPr>
      <w:r w:rsidRPr="004D38F7">
        <w:rPr>
          <w:rFonts w:ascii="Palatino Linotype" w:hAnsi="Palatino Linotype" w:cs="Tahoma"/>
          <w:bCs/>
        </w:rPr>
        <w:t xml:space="preserve">Además, en el artículo 5° de dicho ordenamiento jurídico, </w:t>
      </w:r>
      <w:r w:rsidRPr="004D38F7">
        <w:rPr>
          <w:rFonts w:ascii="Palatino Linotype" w:hAnsi="Palatino Linotype" w:cs="Tahoma"/>
          <w:b/>
          <w:bCs/>
        </w:rPr>
        <w:t xml:space="preserve">establece que es la Ley aplicable para todo tratamiento de datos personales. </w:t>
      </w:r>
    </w:p>
    <w:p w14:paraId="09265A2F" w14:textId="77777777" w:rsidR="005E7C1E" w:rsidRPr="004D38F7" w:rsidRDefault="005E7C1E" w:rsidP="005E7C1E">
      <w:pPr>
        <w:spacing w:line="360" w:lineRule="auto"/>
        <w:contextualSpacing/>
        <w:rPr>
          <w:rFonts w:ascii="Palatino Linotype" w:hAnsi="Palatino Linotype" w:cs="Tahoma"/>
          <w:b/>
          <w:bCs/>
        </w:rPr>
      </w:pPr>
    </w:p>
    <w:p w14:paraId="1F5E7892"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lang w:eastAsia="es-MX"/>
        </w:rPr>
      </w:pPr>
      <w:r w:rsidRPr="004D38F7">
        <w:rPr>
          <w:rFonts w:ascii="Palatino Linotype" w:eastAsia="Times New Roman" w:hAnsi="Palatino Linotype" w:cs="Tahoma"/>
          <w:lang w:eastAsia="es-MX"/>
        </w:rPr>
        <w:t xml:space="preserve">En ese contexto, los artículos 6°, 7°, 8° y 14 de la </w:t>
      </w:r>
      <w:r w:rsidRPr="004D38F7">
        <w:rPr>
          <w:rFonts w:ascii="Palatino Linotype" w:hAnsi="Palatino Linotype" w:cs="Tahoma"/>
          <w:bCs/>
        </w:rPr>
        <w:t>Ley de Protección de Datos Personales en Posesión de Sujetos Obligados del Estado de México y Municipios</w:t>
      </w:r>
      <w:r w:rsidRPr="004D38F7">
        <w:rPr>
          <w:rFonts w:ascii="Palatino Linotype" w:eastAsia="Times New Roman" w:hAnsi="Palatino Linotype" w:cs="Tahoma"/>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0644350F" w14:textId="77777777" w:rsidR="005E7C1E" w:rsidRPr="004D38F7" w:rsidRDefault="005E7C1E" w:rsidP="005E7C1E">
      <w:pPr>
        <w:spacing w:line="360" w:lineRule="auto"/>
        <w:contextualSpacing/>
        <w:rPr>
          <w:rFonts w:ascii="Palatino Linotype" w:eastAsia="Times New Roman" w:hAnsi="Palatino Linotype" w:cs="Tahoma"/>
          <w:lang w:eastAsia="es-MX"/>
        </w:rPr>
      </w:pPr>
    </w:p>
    <w:p w14:paraId="01B446E3"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Así, un dato personal es cualquier información que pueda hacer a una persona física identificada e </w:t>
      </w:r>
      <w:r w:rsidRPr="004D38F7">
        <w:rPr>
          <w:rFonts w:ascii="Palatino Linotype" w:eastAsia="Times New Roman" w:hAnsi="Palatino Linotype" w:cs="Tahoma"/>
          <w:lang w:eastAsia="es-MX"/>
        </w:rPr>
        <w:t>identificable</w:t>
      </w:r>
      <w:r w:rsidRPr="004D38F7">
        <w:rPr>
          <w:rFonts w:ascii="Palatino Linotype" w:eastAsia="Times New Roman" w:hAnsi="Palatino Linotype" w:cs="Tahoma"/>
        </w:rPr>
        <w:t>,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C101C0C" w14:textId="77777777" w:rsidR="005E7C1E" w:rsidRPr="004D38F7" w:rsidRDefault="005E7C1E" w:rsidP="005E7C1E">
      <w:pPr>
        <w:spacing w:line="360" w:lineRule="auto"/>
        <w:rPr>
          <w:rFonts w:ascii="Palatino Linotype" w:eastAsia="Times New Roman" w:hAnsi="Palatino Linotype" w:cs="Tahoma"/>
        </w:rPr>
      </w:pPr>
    </w:p>
    <w:p w14:paraId="1110F14D"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este contexto, la confidencialidad de los datos personales, tiene por objetivo establecer el límite del derecho de acceso a la información a partir del derecho a la </w:t>
      </w:r>
      <w:r w:rsidRPr="004D38F7">
        <w:rPr>
          <w:rFonts w:ascii="Palatino Linotype" w:eastAsia="Times New Roman" w:hAnsi="Palatino Linotype" w:cs="Tahoma"/>
        </w:rPr>
        <w:lastRenderedPageBreak/>
        <w:t xml:space="preserve">intimidad y la vida privada de los individuos. Sobre el particular, el legislador realizó un análisis en donde se ponderaban dos derechos: el derecho a la intimidad y la protección de los datos personales </w:t>
      </w:r>
      <w:r w:rsidRPr="004D38F7">
        <w:rPr>
          <w:rFonts w:ascii="Palatino Linotype" w:eastAsia="Times New Roman" w:hAnsi="Palatino Linotype" w:cs="Tahoma"/>
          <w:i/>
        </w:rPr>
        <w:t>versus</w:t>
      </w:r>
      <w:r w:rsidRPr="004D38F7">
        <w:rPr>
          <w:rFonts w:ascii="Palatino Linotype" w:eastAsia="Times New Roman" w:hAnsi="Palatino Linotype" w:cs="Tahoma"/>
        </w:rPr>
        <w:t xml:space="preserve"> el interés público de conocer el ejercicio de atribuciones y de recursos públicos de las instituciones y es a partir de ahí, en donde las instituciones públicas deben determinar la publicidad de su información.</w:t>
      </w:r>
    </w:p>
    <w:p w14:paraId="5205C19B" w14:textId="77777777" w:rsidR="005E7C1E" w:rsidRPr="004D38F7" w:rsidRDefault="005E7C1E" w:rsidP="005E7C1E">
      <w:pPr>
        <w:spacing w:line="360" w:lineRule="auto"/>
        <w:rPr>
          <w:rFonts w:ascii="Palatino Linotype" w:eastAsia="Times New Roman" w:hAnsi="Palatino Linotype" w:cs="Tahoma"/>
        </w:rPr>
      </w:pPr>
    </w:p>
    <w:p w14:paraId="41E13EB6"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De tal suerte, las instituciones públicas tienen la doble responsabilidad, por un lado de proteger los datos personales y por otro, darles publicidad cuando la relevancia de esos datos sea de interés público.</w:t>
      </w:r>
    </w:p>
    <w:p w14:paraId="792F9911" w14:textId="77777777" w:rsidR="005E7C1E" w:rsidRPr="004D38F7" w:rsidRDefault="005E7C1E" w:rsidP="005E7C1E">
      <w:pPr>
        <w:spacing w:line="360" w:lineRule="auto"/>
        <w:rPr>
          <w:rFonts w:ascii="Palatino Linotype" w:eastAsia="Times New Roman" w:hAnsi="Palatino Linotype" w:cs="Tahoma"/>
        </w:rPr>
      </w:pPr>
    </w:p>
    <w:p w14:paraId="32100FEC"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2D3F9632" w14:textId="77777777" w:rsidR="005E7C1E" w:rsidRPr="004D38F7" w:rsidRDefault="005E7C1E" w:rsidP="005E7C1E">
      <w:pPr>
        <w:spacing w:line="360" w:lineRule="auto"/>
        <w:rPr>
          <w:rFonts w:ascii="Palatino Linotype" w:eastAsia="Times New Roman" w:hAnsi="Palatino Linotype" w:cs="Tahoma"/>
        </w:rPr>
      </w:pPr>
    </w:p>
    <w:p w14:paraId="7B71BE3F"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lang w:eastAsia="es-MX"/>
        </w:rPr>
      </w:pPr>
      <w:r w:rsidRPr="004D38F7">
        <w:rPr>
          <w:rFonts w:ascii="Palatino Linotype" w:eastAsia="Times New Roman" w:hAnsi="Palatino Linotype" w:cs="Tahoma"/>
          <w:lang w:eastAsia="es-MX"/>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w:t>
      </w:r>
      <w:r w:rsidRPr="004D38F7">
        <w:rPr>
          <w:rFonts w:ascii="Palatino Linotype" w:eastAsia="Times New Roman" w:hAnsi="Palatino Linotype" w:cs="Tahoma"/>
          <w:lang w:eastAsia="es-MX"/>
        </w:rPr>
        <w:lastRenderedPageBreak/>
        <w:t>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59C7F08" w14:textId="77777777" w:rsidR="005E7C1E" w:rsidRPr="004D38F7" w:rsidRDefault="005E7C1E" w:rsidP="005E7C1E">
      <w:pPr>
        <w:spacing w:line="360" w:lineRule="auto"/>
        <w:contextualSpacing/>
        <w:rPr>
          <w:rFonts w:ascii="Palatino Linotype" w:eastAsia="Times New Roman" w:hAnsi="Palatino Linotype" w:cs="Tahoma"/>
          <w:lang w:eastAsia="es-MX"/>
        </w:rPr>
      </w:pPr>
    </w:p>
    <w:p w14:paraId="6FC23164"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cs="Tahoma"/>
          <w:lang w:eastAsia="es-MX"/>
        </w:rPr>
      </w:pPr>
      <w:r w:rsidRPr="004D38F7">
        <w:rPr>
          <w:rFonts w:ascii="Palatino Linotype" w:eastAsia="Times New Roman" w:hAnsi="Palatino Linotype" w:cs="Tahoma"/>
          <w:lang w:eastAsia="es-MX"/>
        </w:rPr>
        <w:t xml:space="preserve">Ahora bien, cuando las personas tienen una relación comercial, </w:t>
      </w:r>
      <w:r w:rsidRPr="004D38F7">
        <w:rPr>
          <w:rFonts w:ascii="Palatino Linotype" w:eastAsia="Times New Roman" w:hAnsi="Palatino Linotype" w:cs="Tahoma"/>
          <w:b/>
          <w:bCs/>
          <w:lang w:eastAsia="es-MX"/>
        </w:rPr>
        <w:t>laboral,</w:t>
      </w:r>
      <w:r w:rsidRPr="004D38F7">
        <w:rPr>
          <w:rFonts w:ascii="Palatino Linotype" w:eastAsia="Times New Roman" w:hAnsi="Palatino Linotype" w:cs="Tahoma"/>
          <w:lang w:eastAsia="es-MX"/>
        </w:rPr>
        <w:t xml:space="preserve"> de servicios, </w:t>
      </w:r>
      <w:r w:rsidRPr="004D38F7">
        <w:rPr>
          <w:rFonts w:ascii="Palatino Linotype" w:eastAsia="Times New Roman" w:hAnsi="Palatino Linotype" w:cs="Tahoma"/>
          <w:bCs/>
          <w:lang w:eastAsia="es-MX"/>
        </w:rPr>
        <w:t xml:space="preserve">trámites </w:t>
      </w:r>
      <w:r w:rsidRPr="004D38F7">
        <w:rPr>
          <w:rFonts w:ascii="Palatino Linotype" w:eastAsia="Times New Roman" w:hAnsi="Palatino Linotype" w:cs="Tahoma"/>
          <w:lang w:eastAsia="es-MX"/>
        </w:rPr>
        <w:t>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7EDC138" w14:textId="77777777" w:rsidR="005E7C1E" w:rsidRPr="004D38F7" w:rsidRDefault="005E7C1E" w:rsidP="005E7C1E">
      <w:pPr>
        <w:spacing w:line="360" w:lineRule="auto"/>
        <w:contextualSpacing/>
        <w:rPr>
          <w:rFonts w:ascii="Palatino Linotype" w:eastAsia="Times New Roman" w:hAnsi="Palatino Linotype" w:cs="Tahoma"/>
          <w:lang w:eastAsia="es-MX"/>
        </w:rPr>
      </w:pPr>
    </w:p>
    <w:p w14:paraId="471A266F"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Bajo ese contexto, se procede al estudio de la clasificación del nombre de servidores públicos, en </w:t>
      </w:r>
      <w:r w:rsidRPr="004D38F7">
        <w:rPr>
          <w:rFonts w:ascii="Palatino Linotype" w:eastAsia="Times New Roman" w:hAnsi="Palatino Linotype" w:cs="Tahoma"/>
          <w:lang w:eastAsia="es-MX"/>
        </w:rPr>
        <w:t>procedimientos</w:t>
      </w:r>
      <w:r w:rsidRPr="004D38F7">
        <w:rPr>
          <w:rFonts w:ascii="Palatino Linotype" w:hAnsi="Palatino Linotype" w:cs="Tahoma"/>
          <w:iCs/>
          <w:lang w:val="es-ES" w:eastAsia="es-ES_tradnl"/>
        </w:rPr>
        <w:t xml:space="preserve"> de responsabilidades, de conformidad con el </w:t>
      </w:r>
      <w:r w:rsidRPr="004D38F7">
        <w:rPr>
          <w:rFonts w:ascii="Palatino Linotype" w:hAnsi="Palatino Linotype" w:cs="Tahoma"/>
          <w:b/>
          <w:iCs/>
          <w:lang w:val="es-ES" w:eastAsia="es-ES_tradnl"/>
        </w:rPr>
        <w:t xml:space="preserve">artículo 143, fracción I, </w:t>
      </w:r>
      <w:r w:rsidRPr="004D38F7">
        <w:rPr>
          <w:rFonts w:ascii="Palatino Linotype" w:hAnsi="Palatino Linotype" w:cs="Tahoma"/>
          <w:iCs/>
          <w:lang w:val="es-ES" w:eastAsia="es-ES_tradnl"/>
        </w:rPr>
        <w:t>de la Ley de Transparencia y Acceso a la Información Pública del Estado de México y Municipios.</w:t>
      </w:r>
    </w:p>
    <w:p w14:paraId="514146CA" w14:textId="77777777" w:rsidR="005E7C1E" w:rsidRPr="004D38F7" w:rsidRDefault="005E7C1E" w:rsidP="005E7C1E">
      <w:pPr>
        <w:spacing w:line="360" w:lineRule="auto"/>
        <w:rPr>
          <w:rFonts w:ascii="Palatino Linotype" w:hAnsi="Palatino Linotype" w:cs="Tahoma"/>
          <w:iCs/>
          <w:lang w:val="es-ES" w:eastAsia="es-ES_tradnl"/>
        </w:rPr>
      </w:pPr>
    </w:p>
    <w:p w14:paraId="5045A4C0" w14:textId="77777777" w:rsidR="005E7C1E" w:rsidRPr="004D38F7" w:rsidRDefault="005E7C1E" w:rsidP="00E63FD9">
      <w:pPr>
        <w:pStyle w:val="Prrafodelista"/>
        <w:numPr>
          <w:ilvl w:val="0"/>
          <w:numId w:val="29"/>
        </w:numPr>
        <w:spacing w:line="360" w:lineRule="auto"/>
        <w:rPr>
          <w:rFonts w:ascii="Palatino Linotype" w:hAnsi="Palatino Linotype" w:cs="Tahoma"/>
          <w:b/>
          <w:iCs/>
          <w:lang w:val="es-ES" w:eastAsia="es-ES_tradnl"/>
        </w:rPr>
      </w:pPr>
      <w:r w:rsidRPr="004D38F7">
        <w:rPr>
          <w:rFonts w:ascii="Palatino Linotype" w:hAnsi="Palatino Linotype" w:cs="Tahoma"/>
          <w:b/>
          <w:iCs/>
          <w:lang w:val="es-ES" w:eastAsia="es-ES_tradnl"/>
        </w:rPr>
        <w:t>Procedimientos de responsabilidades administrativas, por faltas no graves.</w:t>
      </w:r>
    </w:p>
    <w:p w14:paraId="1ACE2CC6" w14:textId="77777777" w:rsidR="005E7C1E" w:rsidRPr="004D38F7" w:rsidRDefault="005E7C1E" w:rsidP="005E7C1E">
      <w:pPr>
        <w:spacing w:line="360" w:lineRule="auto"/>
        <w:rPr>
          <w:rFonts w:ascii="Palatino Linotype" w:hAnsi="Palatino Linotype" w:cs="Tahoma"/>
          <w:b/>
          <w:iCs/>
          <w:lang w:val="es-ES" w:eastAsia="es-ES_tradnl"/>
        </w:rPr>
      </w:pPr>
    </w:p>
    <w:p w14:paraId="7298654B" w14:textId="77777777" w:rsidR="005E7C1E" w:rsidRPr="004D38F7" w:rsidRDefault="005E7C1E" w:rsidP="00E63FD9">
      <w:pPr>
        <w:numPr>
          <w:ilvl w:val="0"/>
          <w:numId w:val="1"/>
        </w:numPr>
        <w:spacing w:line="360" w:lineRule="auto"/>
        <w:ind w:left="0" w:firstLine="0"/>
        <w:contextualSpacing/>
        <w:jc w:val="both"/>
        <w:rPr>
          <w:rFonts w:ascii="Palatino Linotype" w:hAnsi="Palatino Linotype" w:cs="Tahoma"/>
          <w:b/>
          <w:iCs/>
          <w:lang w:val="es-ES" w:eastAsia="es-ES_tradnl"/>
        </w:rPr>
      </w:pPr>
      <w:r w:rsidRPr="004D38F7">
        <w:rPr>
          <w:rFonts w:ascii="Palatino Linotype" w:hAnsi="Palatino Linotype" w:cs="Tahoma"/>
          <w:iCs/>
          <w:lang w:val="es-ES" w:eastAsia="es-ES_tradnl"/>
        </w:rPr>
        <w:lastRenderedPageBreak/>
        <w:t xml:space="preserve">En tales circunstancias, se considera que en la especie proporcionar el nombre de los servidores públicos de responsabilidades administrativas </w:t>
      </w:r>
      <w:r w:rsidRPr="004D38F7">
        <w:rPr>
          <w:rFonts w:ascii="Palatino Linotype" w:hAnsi="Palatino Linotype" w:cs="Tahoma"/>
          <w:b/>
          <w:iCs/>
          <w:lang w:val="es-ES" w:eastAsia="es-ES_tradnl"/>
        </w:rPr>
        <w:t xml:space="preserve">por faltas no graves, </w:t>
      </w:r>
      <w:r w:rsidRPr="004D38F7">
        <w:rPr>
          <w:rFonts w:ascii="Palatino Linotype" w:hAnsi="Palatino Linotype" w:cs="Tahoma"/>
          <w:iCs/>
          <w:lang w:val="es-ES" w:eastAsia="es-ES_tradnl"/>
        </w:rPr>
        <w:t xml:space="preserve">en caso de que existieran, </w:t>
      </w:r>
      <w:r w:rsidRPr="004D38F7">
        <w:rPr>
          <w:rFonts w:ascii="Palatino Linotype" w:hAnsi="Palatino Linotype" w:cs="Tahoma"/>
          <w:b/>
          <w:iCs/>
          <w:lang w:val="es-ES" w:eastAsia="es-ES_tradnl"/>
        </w:rPr>
        <w:t xml:space="preserve">podría afectar su honor, buen nombre y su imagen </w:t>
      </w:r>
    </w:p>
    <w:p w14:paraId="5B72E561" w14:textId="77777777" w:rsidR="005E7C1E" w:rsidRPr="004D38F7" w:rsidRDefault="005E7C1E" w:rsidP="005E7C1E">
      <w:pPr>
        <w:spacing w:line="360" w:lineRule="auto"/>
        <w:rPr>
          <w:rFonts w:ascii="Palatino Linotype" w:hAnsi="Palatino Linotype" w:cs="Tahoma"/>
          <w:b/>
          <w:iCs/>
          <w:lang w:val="es-ES" w:eastAsia="es-ES_tradnl"/>
        </w:rPr>
      </w:pPr>
    </w:p>
    <w:p w14:paraId="61D6B33F"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rPr>
        <w:t>Al respecto, la Suprema Corte de Justicia de la Nación ha reconocido como derechos fundamentales de las personas, el derecho a la intimidad y a la propia imagen, en el siguiente criterio:</w:t>
      </w:r>
    </w:p>
    <w:p w14:paraId="04A75F24" w14:textId="77777777" w:rsidR="005E7C1E" w:rsidRPr="004D38F7" w:rsidRDefault="005E7C1E" w:rsidP="005E7C1E">
      <w:pPr>
        <w:spacing w:line="360" w:lineRule="auto"/>
        <w:rPr>
          <w:rFonts w:ascii="Palatino Linotype" w:eastAsia="Times New Roman" w:hAnsi="Palatino Linotype"/>
        </w:rPr>
      </w:pPr>
    </w:p>
    <w:p w14:paraId="23F9A718" w14:textId="77777777" w:rsidR="005E7C1E" w:rsidRPr="004D38F7" w:rsidRDefault="005E7C1E" w:rsidP="00E63FD9">
      <w:pPr>
        <w:spacing w:line="360" w:lineRule="auto"/>
        <w:ind w:left="567" w:right="567"/>
        <w:jc w:val="both"/>
        <w:rPr>
          <w:rFonts w:ascii="Palatino Linotype" w:hAnsi="Palatino Linotype" w:cs="Arial"/>
          <w:b/>
          <w:i/>
          <w:lang w:eastAsia="es-MX"/>
        </w:rPr>
      </w:pPr>
      <w:r w:rsidRPr="004D38F7">
        <w:rPr>
          <w:rFonts w:ascii="Palatino Linotype" w:hAnsi="Palatino Linotype" w:cs="Arial"/>
          <w:bCs/>
          <w:i/>
          <w:lang w:eastAsia="es-MX"/>
        </w:rPr>
        <w:t>“</w:t>
      </w:r>
      <w:r w:rsidRPr="004D38F7">
        <w:rPr>
          <w:rFonts w:ascii="Palatino Linotype" w:hAnsi="Palatino Linotype" w:cs="Arial"/>
          <w:b/>
          <w:bCs/>
          <w:i/>
          <w:lang w:eastAsia="es-MX"/>
        </w:rPr>
        <w:t xml:space="preserve">DERECHOS A LA INTIMIDAD, PROPIA IMAGEN, IDENTIDAD PERSONAL Y SEXUAL. CONSTITUYEN DERECHOS DE DEFENSA Y GARANTÍA ESENCIAL PARA LA CONDICIÓN HUMANA.  </w:t>
      </w:r>
      <w:r w:rsidRPr="004D38F7">
        <w:rPr>
          <w:rFonts w:ascii="Palatino Linotype" w:hAnsi="Palatino Linotype" w:cs="Arial"/>
          <w:i/>
          <w:lang w:eastAsia="es-MX"/>
        </w:rPr>
        <w:t xml:space="preserve">Dentro de los derechos personalísimos se encuentran necesariamente comprendidos el </w:t>
      </w:r>
      <w:r w:rsidRPr="004D38F7">
        <w:rPr>
          <w:rFonts w:ascii="Palatino Linotype" w:hAnsi="Palatino Linotype" w:cs="Arial"/>
          <w:b/>
          <w:i/>
          <w:lang w:eastAsia="es-MX"/>
        </w:rPr>
        <w:t>derecho a la intimidad y a la propia imagen</w:t>
      </w:r>
      <w:r w:rsidRPr="004D38F7">
        <w:rPr>
          <w:rFonts w:ascii="Palatino Linotype" w:hAnsi="Palatino Linotype" w:cs="Arial"/>
          <w:i/>
          <w:lang w:eastAsia="es-MX"/>
        </w:rPr>
        <w:t xml:space="preserve">, así como a la </w:t>
      </w:r>
      <w:r w:rsidRPr="004D38F7">
        <w:rPr>
          <w:rFonts w:ascii="Palatino Linotype" w:hAnsi="Palatino Linotype" w:cs="Arial"/>
          <w:b/>
          <w:i/>
          <w:lang w:eastAsia="es-MX"/>
        </w:rPr>
        <w:t>identidad personal</w:t>
      </w:r>
      <w:r w:rsidRPr="004D38F7">
        <w:rPr>
          <w:rFonts w:ascii="Palatino Linotype" w:hAnsi="Palatino Linotype" w:cs="Arial"/>
          <w:i/>
          <w:lang w:eastAsia="es-MX"/>
        </w:rPr>
        <w:t xml:space="preserve"> y sexual; entendiéndose por el primero, </w:t>
      </w:r>
      <w:r w:rsidRPr="004D38F7">
        <w:rPr>
          <w:rFonts w:ascii="Palatino Linotype" w:hAnsi="Palatino Linotype" w:cs="Arial"/>
          <w:b/>
          <w:i/>
          <w:lang w:eastAsia="es-MX"/>
        </w:rPr>
        <w:t>el derecho del individuo a no ser conocido por otros en ciertos aspectos de su vida</w:t>
      </w:r>
      <w:r w:rsidRPr="004D38F7">
        <w:rPr>
          <w:rFonts w:ascii="Palatino Linotype" w:hAnsi="Palatino Linotype" w:cs="Arial"/>
          <w:i/>
          <w:lang w:eastAsia="es-MX"/>
        </w:rPr>
        <w:t xml:space="preserve"> y, </w:t>
      </w:r>
      <w:r w:rsidRPr="004D38F7">
        <w:rPr>
          <w:rFonts w:ascii="Palatino Linotype" w:hAnsi="Palatino Linotype" w:cs="Arial"/>
          <w:b/>
          <w:i/>
          <w:lang w:eastAsia="es-MX"/>
        </w:rPr>
        <w:t>por ende, el poder de decisión sobre la publicidad o información de datos relativos a su persona</w:t>
      </w:r>
      <w:r w:rsidRPr="004D38F7">
        <w:rPr>
          <w:rFonts w:ascii="Palatino Linotype" w:hAnsi="Palatino Linotype" w:cs="Arial"/>
          <w:i/>
          <w:lang w:eastAsia="es-MX"/>
        </w:rPr>
        <w:t>, familia, pensamientos o sentimientos;</w:t>
      </w:r>
      <w:r w:rsidRPr="004D38F7">
        <w:rPr>
          <w:rFonts w:ascii="Palatino Linotype" w:hAnsi="Palatino Linotype" w:cs="Arial"/>
          <w:b/>
          <w:i/>
          <w:lang w:eastAsia="es-MX"/>
        </w:rPr>
        <w:t xml:space="preserve"> </w:t>
      </w:r>
      <w:r w:rsidRPr="004D38F7">
        <w:rPr>
          <w:rFonts w:ascii="Palatino Linotype" w:hAnsi="Palatino Linotype" w:cs="Arial"/>
          <w:i/>
          <w:lang w:eastAsia="es-MX"/>
        </w:rPr>
        <w:t xml:space="preserve">a la </w:t>
      </w:r>
      <w:r w:rsidRPr="004D38F7">
        <w:rPr>
          <w:rFonts w:ascii="Palatino Linotype" w:hAnsi="Palatino Linotype" w:cs="Arial"/>
          <w:b/>
          <w:i/>
          <w:lang w:eastAsia="es-MX"/>
        </w:rPr>
        <w:t>propia imagen, como aquel derecho de decidir, en forma libre, sobre la manera en que elige mostrarse frente a los demás</w:t>
      </w:r>
      <w:r w:rsidRPr="004D38F7">
        <w:rPr>
          <w:rFonts w:ascii="Palatino Linotype" w:hAnsi="Palatino Linotype" w:cs="Arial"/>
          <w:i/>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w:t>
      </w:r>
      <w:r w:rsidRPr="004D38F7">
        <w:rPr>
          <w:rFonts w:ascii="Palatino Linotype" w:hAnsi="Palatino Linotype" w:cs="Arial"/>
          <w:i/>
          <w:lang w:eastAsia="es-MX"/>
        </w:rPr>
        <w:lastRenderedPageBreak/>
        <w:t xml:space="preserve">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4D38F7">
        <w:rPr>
          <w:rFonts w:ascii="Palatino Linotype" w:hAnsi="Palatino Linotype" w:cs="Arial"/>
          <w:b/>
          <w:i/>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4D38F7">
        <w:rPr>
          <w:rFonts w:ascii="Palatino Linotype" w:hAnsi="Palatino Linotype" w:cs="Arial"/>
          <w:i/>
          <w:lang w:eastAsia="es-MX"/>
        </w:rPr>
        <w:t>”</w:t>
      </w:r>
    </w:p>
    <w:p w14:paraId="3B8C1458" w14:textId="77777777" w:rsidR="005E7C1E" w:rsidRPr="004D38F7" w:rsidRDefault="005E7C1E" w:rsidP="005E7C1E">
      <w:pPr>
        <w:spacing w:line="360" w:lineRule="auto"/>
        <w:rPr>
          <w:rFonts w:ascii="Palatino Linotype" w:eastAsia="Times New Roman" w:hAnsi="Palatino Linotype"/>
        </w:rPr>
      </w:pPr>
      <w:r w:rsidRPr="004D38F7">
        <w:rPr>
          <w:rFonts w:ascii="Palatino Linotype" w:eastAsia="Times New Roman" w:hAnsi="Palatino Linotype"/>
        </w:rPr>
        <w:t xml:space="preserve"> </w:t>
      </w:r>
    </w:p>
    <w:p w14:paraId="07F53888" w14:textId="77777777" w:rsidR="005E7C1E" w:rsidRPr="004D38F7" w:rsidRDefault="005E7C1E" w:rsidP="00E63FD9">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rPr>
        <w:t xml:space="preserve">En ese sentido, es derecho de todo individuo a no ser conocido por otros en ciertos aspectos de su vida y, por ende, el poder de decisión sobre la publicidad o información de datos relativos a su persona </w:t>
      </w:r>
      <w:r w:rsidRPr="004D38F7">
        <w:rPr>
          <w:rFonts w:ascii="Palatino Linotype" w:eastAsia="Times New Roman" w:hAnsi="Palatino Linotype"/>
          <w:b/>
        </w:rPr>
        <w:t>(derecho a la intimidad).</w:t>
      </w:r>
    </w:p>
    <w:p w14:paraId="65867499" w14:textId="77777777" w:rsidR="005E7C1E" w:rsidRPr="004D38F7" w:rsidRDefault="005E7C1E" w:rsidP="005709A8">
      <w:pPr>
        <w:spacing w:line="360" w:lineRule="auto"/>
        <w:contextualSpacing/>
        <w:jc w:val="both"/>
        <w:rPr>
          <w:rFonts w:ascii="Palatino Linotype" w:eastAsia="Times New Roman" w:hAnsi="Palatino Linotype"/>
        </w:rPr>
      </w:pPr>
    </w:p>
    <w:p w14:paraId="7233FE73"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rPr>
        <w:t xml:space="preserve">Asimismo, el </w:t>
      </w:r>
      <w:r w:rsidRPr="004D38F7">
        <w:rPr>
          <w:rFonts w:ascii="Palatino Linotype" w:eastAsia="Times New Roman" w:hAnsi="Palatino Linotype"/>
          <w:b/>
        </w:rPr>
        <w:t>derecho a la propia imagen</w:t>
      </w:r>
      <w:r w:rsidRPr="004D38F7">
        <w:rPr>
          <w:rFonts w:ascii="Palatino Linotype" w:eastAsia="Times New Roman" w:hAnsi="Palatino Linotype"/>
        </w:rPr>
        <w:t xml:space="preserve"> es el derecho de decidir, de forma libre, sobre la manera en que elige mostrarse frente a los demás.</w:t>
      </w:r>
    </w:p>
    <w:p w14:paraId="4FB57F0F" w14:textId="77777777" w:rsidR="005E7C1E" w:rsidRPr="004D38F7" w:rsidRDefault="005E7C1E" w:rsidP="005E7C1E">
      <w:pPr>
        <w:spacing w:line="360" w:lineRule="auto"/>
        <w:rPr>
          <w:rFonts w:ascii="Palatino Linotype" w:eastAsia="Times New Roman" w:hAnsi="Palatino Linotype" w:cs="Arial"/>
        </w:rPr>
      </w:pPr>
    </w:p>
    <w:p w14:paraId="00D830E7"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cs="Arial"/>
          <w:bCs/>
          <w:iCs/>
        </w:rPr>
        <w:t xml:space="preserve">Por otro lado, en cuanto al </w:t>
      </w:r>
      <w:r w:rsidRPr="004D38F7">
        <w:rPr>
          <w:rFonts w:ascii="Palatino Linotype" w:eastAsia="Times New Roman" w:hAnsi="Palatino Linotype" w:cs="Arial"/>
          <w:b/>
          <w:bCs/>
          <w:iCs/>
        </w:rPr>
        <w:t>derecho al honor</w:t>
      </w:r>
      <w:r w:rsidRPr="004D38F7">
        <w:rPr>
          <w:rFonts w:ascii="Palatino Linotype" w:eastAsia="Times New Roman" w:hAnsi="Palatino Linotype" w:cs="Arial"/>
          <w:bCs/>
          <w:iCs/>
        </w:rPr>
        <w:t xml:space="preserve">, </w:t>
      </w:r>
      <w:r w:rsidRPr="004D38F7">
        <w:rPr>
          <w:rFonts w:ascii="Palatino Linotype" w:eastAsia="Times New Roman" w:hAnsi="Palatino Linotype"/>
        </w:rPr>
        <w:t xml:space="preserve">la jurisprudencia número 1a./J. 118/2013 (10a.), emitida por la Primera Sala de la Suprema Corte de Justicia de la Nación, </w:t>
      </w:r>
      <w:r w:rsidRPr="004D38F7">
        <w:rPr>
          <w:rFonts w:ascii="Palatino Linotype" w:eastAsia="Times New Roman" w:hAnsi="Palatino Linotype"/>
        </w:rPr>
        <w:lastRenderedPageBreak/>
        <w:t xml:space="preserve">publicada en la Gaceta del Semanario Judicial de la Federación, Tomo I, Libro 3, de febrero de 2014, página 470, de la Décima Época, materia constitucional, dispone: </w:t>
      </w:r>
    </w:p>
    <w:p w14:paraId="00D8C837" w14:textId="77777777" w:rsidR="005E7C1E" w:rsidRPr="004D38F7" w:rsidRDefault="005E7C1E" w:rsidP="005E7C1E">
      <w:pPr>
        <w:spacing w:line="360" w:lineRule="auto"/>
        <w:ind w:right="-1"/>
        <w:rPr>
          <w:rFonts w:ascii="Palatino Linotype" w:eastAsia="Times New Roman" w:hAnsi="Palatino Linotype"/>
        </w:rPr>
      </w:pPr>
    </w:p>
    <w:p w14:paraId="1785A599" w14:textId="77777777" w:rsidR="005E7C1E" w:rsidRPr="004D38F7" w:rsidRDefault="005E7C1E" w:rsidP="005E7C1E">
      <w:pPr>
        <w:autoSpaceDE w:val="0"/>
        <w:autoSpaceDN w:val="0"/>
        <w:adjustRightInd w:val="0"/>
        <w:spacing w:line="360" w:lineRule="auto"/>
        <w:ind w:left="567" w:right="567"/>
        <w:rPr>
          <w:rFonts w:ascii="Palatino Linotype" w:eastAsia="Batang" w:hAnsi="Palatino Linotype" w:cs="Arial"/>
          <w:b/>
          <w:i/>
        </w:rPr>
      </w:pPr>
      <w:r w:rsidRPr="004D38F7">
        <w:rPr>
          <w:rFonts w:ascii="Palatino Linotype" w:eastAsia="Batang" w:hAnsi="Palatino Linotype" w:cs="Arial"/>
          <w:i/>
        </w:rPr>
        <w:t>“</w:t>
      </w:r>
      <w:r w:rsidRPr="004D38F7">
        <w:rPr>
          <w:rFonts w:ascii="Palatino Linotype" w:eastAsia="Batang" w:hAnsi="Palatino Linotype" w:cs="Arial"/>
          <w:b/>
          <w:i/>
        </w:rPr>
        <w:t xml:space="preserve">DERECHO FUNDAMENTAL AL HONOR. SU DIMENSIÓN SUBJETIVA Y OBJETIVA. </w:t>
      </w:r>
      <w:r w:rsidRPr="004D38F7">
        <w:rPr>
          <w:rFonts w:ascii="Palatino Linotype" w:eastAsia="Batang" w:hAnsi="Palatino Linotype" w:cs="Arial"/>
          <w:i/>
        </w:rPr>
        <w:t xml:space="preserve">A juicio de esta Primera Sala de la Suprema Corte de Justicia de la Nación, es posible definir al honor como el </w:t>
      </w:r>
      <w:r w:rsidRPr="004D38F7">
        <w:rPr>
          <w:rFonts w:ascii="Palatino Linotype" w:eastAsia="Batang" w:hAnsi="Palatino Linotype" w:cs="Arial"/>
          <w:b/>
          <w:i/>
        </w:rPr>
        <w:t>concepto que la persona tiene de sí misma o que los demás se han formado de ella, en virtud de su proceder o de la expresión de su calidad ética y social.</w:t>
      </w:r>
      <w:r w:rsidRPr="004D38F7">
        <w:rPr>
          <w:rFonts w:ascii="Palatino Linotype" w:eastAsia="Batang" w:hAnsi="Palatino Linotype" w:cs="Arial"/>
          <w:i/>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7D2EA5B8" w14:textId="77777777" w:rsidR="005E7C1E" w:rsidRPr="004D38F7" w:rsidRDefault="005E7C1E" w:rsidP="005E7C1E">
      <w:pPr>
        <w:autoSpaceDE w:val="0"/>
        <w:autoSpaceDN w:val="0"/>
        <w:adjustRightInd w:val="0"/>
        <w:spacing w:line="360" w:lineRule="auto"/>
        <w:rPr>
          <w:rFonts w:ascii="Palatino Linotype" w:eastAsia="Batang" w:hAnsi="Palatino Linotype" w:cs="Arial"/>
          <w:bCs/>
          <w:iCs/>
        </w:rPr>
      </w:pPr>
    </w:p>
    <w:p w14:paraId="0198922D"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bCs/>
          <w:iCs/>
        </w:rPr>
        <w:lastRenderedPageBreak/>
        <w:t xml:space="preserve">De la tesis transcrita se desprende que </w:t>
      </w:r>
      <w:r w:rsidRPr="004D38F7">
        <w:rPr>
          <w:rFonts w:ascii="Palatino Linotype" w:eastAsia="Batang" w:hAnsi="Palatino Linotype" w:cs="Arial"/>
        </w:rPr>
        <w:t xml:space="preserve">el honor es el concepto que la persona tiene de sí misma o que los demás se han formado de ella, en virtud de su proceder o de la expresión de su calidad ética y social. </w:t>
      </w:r>
    </w:p>
    <w:p w14:paraId="552C69B1"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23DF7EA0"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4D38F7">
        <w:rPr>
          <w:rFonts w:ascii="Palatino Linotype" w:eastAsia="Batang" w:hAnsi="Palatino Linotype" w:cs="Arial"/>
          <w:b/>
        </w:rPr>
        <w:t>En el aspecto objetivo, el honor es lesionado por todo aquello que afecta a la reputación que la persona merece.</w:t>
      </w:r>
    </w:p>
    <w:p w14:paraId="50097E77"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174579DE"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rPr>
      </w:pPr>
      <w:r w:rsidRPr="004D38F7">
        <w:rPr>
          <w:rFonts w:ascii="Palatino Linotype" w:eastAsia="Times New Roman" w:hAnsi="Palatino Linotype"/>
        </w:rPr>
        <w:t xml:space="preserve">Adicionalmente, en relación a este derecho [al honor], el máximo tribual también ha señalado que aunque no </w:t>
      </w:r>
      <w:r w:rsidRPr="004D38F7">
        <w:rPr>
          <w:rFonts w:ascii="Palatino Linotype" w:eastAsia="Batang" w:hAnsi="Palatino Linotype" w:cs="Arial"/>
        </w:rPr>
        <w:t>esté</w:t>
      </w:r>
      <w:r w:rsidRPr="004D38F7">
        <w:rPr>
          <w:rFonts w:ascii="Palatino Linotype" w:eastAsia="Times New Roman" w:hAnsi="Palatino Linotype"/>
        </w:rPr>
        <w:t xml:space="preserve">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5F60FCEF" w14:textId="77777777" w:rsidR="005E7C1E" w:rsidRPr="004D38F7" w:rsidRDefault="005E7C1E" w:rsidP="005E7C1E">
      <w:pPr>
        <w:spacing w:line="360" w:lineRule="auto"/>
        <w:rPr>
          <w:rFonts w:ascii="Palatino Linotype" w:eastAsia="Times New Roman" w:hAnsi="Palatino Linotype"/>
        </w:rPr>
      </w:pPr>
    </w:p>
    <w:p w14:paraId="26D43B03" w14:textId="77777777" w:rsidR="005E7C1E" w:rsidRPr="004D38F7" w:rsidRDefault="005E7C1E" w:rsidP="005E7C1E">
      <w:pPr>
        <w:tabs>
          <w:tab w:val="left" w:pos="8363"/>
        </w:tabs>
        <w:spacing w:line="360" w:lineRule="auto"/>
        <w:ind w:left="567" w:right="616"/>
        <w:rPr>
          <w:rFonts w:ascii="Palatino Linotype" w:eastAsia="Times New Roman" w:hAnsi="Palatino Linotype"/>
          <w:b/>
          <w:i/>
        </w:rPr>
      </w:pPr>
      <w:r w:rsidRPr="004D38F7">
        <w:rPr>
          <w:rFonts w:ascii="Palatino Linotype" w:eastAsia="Times New Roman" w:hAnsi="Palatino Linotype"/>
          <w:i/>
        </w:rPr>
        <w:t>“</w:t>
      </w:r>
      <w:r w:rsidRPr="004D38F7">
        <w:rPr>
          <w:rFonts w:ascii="Palatino Linotype" w:eastAsia="Times New Roman" w:hAnsi="Palatino Linotype"/>
          <w:b/>
          <w:i/>
        </w:rPr>
        <w:t xml:space="preserve">DERECHOS AL HONOR, A LA INTIMIDAD Y A LA PROPIA IMAGEN. CONSTITUYEN DERECHOS HUMANOS QUE SE PROTEGEN A TRAVÉS DEL ACTUAL MARCO CONSTITUCIONAL. </w:t>
      </w:r>
      <w:r w:rsidRPr="004D38F7">
        <w:rPr>
          <w:rFonts w:ascii="Palatino Linotype" w:eastAsia="Times New Roman" w:hAnsi="Palatino Linotype"/>
          <w:i/>
        </w:rPr>
        <w:t xml:space="preserve">Si conforme a las características </w:t>
      </w:r>
      <w:r w:rsidRPr="004D38F7">
        <w:rPr>
          <w:rFonts w:ascii="Palatino Linotype" w:eastAsia="Times New Roman" w:hAnsi="Palatino Linotype"/>
          <w:i/>
        </w:rPr>
        <w:lastRenderedPageBreak/>
        <w:t xml:space="preserve">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w:t>
      </w:r>
      <w:proofErr w:type="spellStart"/>
      <w:r w:rsidRPr="004D38F7">
        <w:rPr>
          <w:rFonts w:ascii="Palatino Linotype" w:eastAsia="Times New Roman" w:hAnsi="Palatino Linotype"/>
          <w:i/>
        </w:rPr>
        <w:t>personae</w:t>
      </w:r>
      <w:proofErr w:type="spellEnd"/>
      <w:r w:rsidRPr="004D38F7">
        <w:rPr>
          <w:rFonts w:ascii="Palatino Linotype" w:eastAsia="Times New Roman" w:hAnsi="Palatino Linotype"/>
          <w:i/>
        </w:rPr>
        <w:t xml:space="preserv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w:t>
      </w:r>
      <w:r w:rsidRPr="004D38F7">
        <w:rPr>
          <w:rFonts w:ascii="Palatino Linotype" w:eastAsia="Times New Roman" w:hAnsi="Palatino Linotype"/>
          <w:i/>
        </w:rPr>
        <w:lastRenderedPageBreak/>
        <w:t>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36E8A1EE"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1598F803"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Asimismo, el artículo 12 de la Declaración Universal de los Derechos Humanos</w:t>
      </w:r>
      <w:r w:rsidRPr="004D38F7">
        <w:rPr>
          <w:rFonts w:ascii="Palatino Linotype" w:eastAsia="Batang" w:hAnsi="Palatino Linotype" w:cs="Arial"/>
          <w:i/>
        </w:rPr>
        <w:t xml:space="preserve"> </w:t>
      </w:r>
      <w:r w:rsidRPr="004D38F7">
        <w:rPr>
          <w:rFonts w:ascii="Palatino Linotype" w:eastAsia="Batang" w:hAnsi="Palatino Linotype" w:cs="Arial"/>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286F48AF"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504420E3"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60AE90F6"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23FC07CF"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16C44CE5"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03C6A59E"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En ese contexto, conforme al artículo 50 de la Ley de Responsabilidades Administrativas del Estado de México y Municipios, 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76CC4941"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16233EEC"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6131A465"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487CAD87" w14:textId="77777777" w:rsidR="005E7C1E" w:rsidRPr="004D38F7" w:rsidRDefault="005E7C1E" w:rsidP="005709A8">
      <w:pPr>
        <w:numPr>
          <w:ilvl w:val="0"/>
          <w:numId w:val="1"/>
        </w:numPr>
        <w:spacing w:line="360" w:lineRule="auto"/>
        <w:ind w:left="0" w:firstLine="0"/>
        <w:contextualSpacing/>
        <w:jc w:val="both"/>
        <w:rPr>
          <w:rFonts w:ascii="Palatino Linotype" w:eastAsia="Batang" w:hAnsi="Palatino Linotype" w:cs="Arial"/>
        </w:rPr>
      </w:pPr>
      <w:r w:rsidRPr="004D38F7">
        <w:rPr>
          <w:rFonts w:ascii="Palatino Linotype" w:eastAsia="Batang" w:hAnsi="Palatino Linotype" w:cs="Arial"/>
          <w:b/>
        </w:rPr>
        <w:t xml:space="preserve">Así, se puede advertir que dichas faltas, no tienen una trascendencia social, </w:t>
      </w:r>
      <w:r w:rsidRPr="004D38F7">
        <w:rPr>
          <w:rFonts w:ascii="Palatino Linotype" w:eastAsia="Batang" w:hAnsi="Palatino Linotype" w:cs="Arial"/>
        </w:rPr>
        <w:t>pues no existe un daño externo, sino que únicamente la atañe al servidor público en cuestión.</w:t>
      </w:r>
    </w:p>
    <w:p w14:paraId="7219F107" w14:textId="77777777" w:rsidR="005E7C1E" w:rsidRPr="004D38F7" w:rsidRDefault="005E7C1E" w:rsidP="005E7C1E">
      <w:pPr>
        <w:autoSpaceDE w:val="0"/>
        <w:autoSpaceDN w:val="0"/>
        <w:adjustRightInd w:val="0"/>
        <w:spacing w:line="360" w:lineRule="auto"/>
        <w:rPr>
          <w:rFonts w:ascii="Palatino Linotype" w:eastAsia="Batang" w:hAnsi="Palatino Linotype" w:cs="Arial"/>
        </w:rPr>
      </w:pPr>
    </w:p>
    <w:p w14:paraId="68408357"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cs="Arial"/>
        </w:rPr>
      </w:pPr>
      <w:r w:rsidRPr="004D38F7">
        <w:rPr>
          <w:rFonts w:ascii="Palatino Linotype" w:eastAsia="Times New Roman" w:hAnsi="Palatino Linotype" w:cs="Arial"/>
        </w:rPr>
        <w:t xml:space="preserve">Por lo expuesto, se desprende que dar a conocer el nombre del servidor público de un expediente de </w:t>
      </w:r>
      <w:r w:rsidRPr="004D38F7">
        <w:rPr>
          <w:rFonts w:ascii="Palatino Linotype" w:eastAsia="Batang" w:hAnsi="Palatino Linotype" w:cs="Arial"/>
          <w:b/>
        </w:rPr>
        <w:t>responsabilidades</w:t>
      </w:r>
      <w:r w:rsidRPr="004D38F7">
        <w:rPr>
          <w:rFonts w:ascii="Palatino Linotype" w:eastAsia="Times New Roman" w:hAnsi="Palatino Linotype" w:cs="Arial"/>
        </w:rPr>
        <w:t xml:space="preserve"> administrativas no graves, en su caso que existan, constituye información confidencial que afecta su esfera privada, puesto que podría generar una percepción negativa de éste, ocasionando un perjuicio en su </w:t>
      </w:r>
      <w:r w:rsidRPr="004D38F7">
        <w:rPr>
          <w:rFonts w:ascii="Palatino Linotype" w:eastAsia="Times New Roman" w:hAnsi="Palatino Linotype" w:cs="Arial"/>
          <w:b/>
        </w:rPr>
        <w:t>honor, intimidad y buena imagen</w:t>
      </w:r>
      <w:r w:rsidRPr="004D38F7">
        <w:rPr>
          <w:rFonts w:ascii="Palatino Linotype" w:eastAsia="Times New Roman" w:hAnsi="Palatino Linotype" w:cs="Arial"/>
        </w:rPr>
        <w:t>, pues como se precisó la afectación es para el propio servidor público, situación que no afecta a terceros.</w:t>
      </w:r>
    </w:p>
    <w:p w14:paraId="0DFB8CBB" w14:textId="77777777" w:rsidR="005E7C1E" w:rsidRPr="004D38F7" w:rsidRDefault="005E7C1E" w:rsidP="005E7C1E">
      <w:pPr>
        <w:autoSpaceDE w:val="0"/>
        <w:autoSpaceDN w:val="0"/>
        <w:adjustRightInd w:val="0"/>
        <w:spacing w:line="360" w:lineRule="auto"/>
        <w:rPr>
          <w:rFonts w:ascii="Palatino Linotype" w:eastAsia="Times New Roman" w:hAnsi="Palatino Linotype" w:cs="Arial"/>
        </w:rPr>
      </w:pPr>
    </w:p>
    <w:p w14:paraId="06529989"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cs="Arial"/>
        </w:rPr>
      </w:pPr>
      <w:r w:rsidRPr="004D38F7">
        <w:rPr>
          <w:rFonts w:ascii="Palatino Linotype" w:eastAsia="Times New Roman" w:hAnsi="Palatino Linotype" w:cs="Arial"/>
        </w:rPr>
        <w:t xml:space="preserve">Por lo cual, dar a conocer el nombre del servidor público que haya recibido una falta administrativa no grave, la cual no causa una afectación a otros, pues como se precisó en párrafos anteriores, se trata de incumplimientos a sus funciones u obligaciones, podría generar un juicio </w:t>
      </w:r>
      <w:r w:rsidRPr="004D38F7">
        <w:rPr>
          <w:rFonts w:ascii="Palatino Linotype" w:eastAsia="Times New Roman" w:hAnsi="Palatino Linotype" w:cs="Arial"/>
          <w:i/>
        </w:rPr>
        <w:t>a priori</w:t>
      </w:r>
      <w:r w:rsidRPr="004D38F7">
        <w:rPr>
          <w:rFonts w:ascii="Palatino Linotype" w:eastAsia="Times New Roman" w:hAnsi="Palatino Linotype" w:cs="Arial"/>
        </w:rPr>
        <w:t xml:space="preserve"> por parte de la sociedad, afectando su prestigio y su buen nombre, pues la sociedad podría calificar a dicho servidor público, como ineficiente o corrupto, </w:t>
      </w:r>
      <w:r w:rsidRPr="004D38F7">
        <w:rPr>
          <w:rFonts w:ascii="Palatino Linotype" w:eastAsia="Times New Roman" w:hAnsi="Palatino Linotype" w:cs="Arial"/>
          <w:b/>
        </w:rPr>
        <w:t>lo cual daña si vida privada y profesional,</w:t>
      </w:r>
      <w:r w:rsidRPr="004D38F7">
        <w:rPr>
          <w:rFonts w:ascii="Palatino Linotype" w:eastAsia="Times New Roman" w:hAnsi="Palatino Linotype" w:cs="Arial"/>
        </w:rPr>
        <w:t xml:space="preserve"> mismas que forman parte de su intimidad; por lo que se concluye que dicha información, en caso que existiera, tiene el carácter de confidencial.</w:t>
      </w:r>
    </w:p>
    <w:p w14:paraId="29D8C7B5"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cs="Arial"/>
          <w:bCs/>
        </w:rPr>
      </w:pPr>
      <w:r w:rsidRPr="004D38F7">
        <w:rPr>
          <w:rFonts w:ascii="Palatino Linotype" w:eastAsia="Times New Roman" w:hAnsi="Palatino Linotype" w:cs="Arial"/>
        </w:rPr>
        <w:t>Por lo cual, se considera procedente la clasificación, en términos del artículo 143, fracción I, de la Ley de Transparencia y Acceso a la Información Pública del Estado de México y Municipios, del nombre de los servidores públicos que hayan recibido alguna sanción por falta administrativa no grave.</w:t>
      </w:r>
    </w:p>
    <w:p w14:paraId="7C72214C" w14:textId="77777777" w:rsidR="005E7C1E" w:rsidRPr="004D38F7" w:rsidRDefault="005E7C1E" w:rsidP="005E7C1E">
      <w:pPr>
        <w:autoSpaceDE w:val="0"/>
        <w:autoSpaceDN w:val="0"/>
        <w:adjustRightInd w:val="0"/>
        <w:spacing w:line="360" w:lineRule="auto"/>
        <w:rPr>
          <w:rFonts w:ascii="Palatino Linotype" w:eastAsia="Times New Roman" w:hAnsi="Palatino Linotype" w:cs="Arial"/>
          <w:bCs/>
        </w:rPr>
      </w:pPr>
    </w:p>
    <w:p w14:paraId="417469CE" w14:textId="77777777" w:rsidR="005E7C1E" w:rsidRPr="004D38F7" w:rsidRDefault="005E7C1E" w:rsidP="005709A8">
      <w:pPr>
        <w:pStyle w:val="Prrafodelista"/>
        <w:numPr>
          <w:ilvl w:val="0"/>
          <w:numId w:val="29"/>
        </w:numPr>
        <w:autoSpaceDE w:val="0"/>
        <w:autoSpaceDN w:val="0"/>
        <w:adjustRightInd w:val="0"/>
        <w:spacing w:line="360" w:lineRule="auto"/>
        <w:rPr>
          <w:rFonts w:ascii="Palatino Linotype" w:eastAsia="Times New Roman" w:hAnsi="Palatino Linotype" w:cs="Arial"/>
          <w:b/>
          <w:iCs/>
          <w:lang w:val="es-ES"/>
        </w:rPr>
      </w:pPr>
      <w:r w:rsidRPr="004D38F7">
        <w:rPr>
          <w:rFonts w:ascii="Palatino Linotype" w:eastAsia="Times New Roman" w:hAnsi="Palatino Linotype" w:cs="Arial"/>
          <w:b/>
          <w:iCs/>
          <w:lang w:val="es-ES"/>
        </w:rPr>
        <w:t>Procedimientos de responsabilidades administrativas absolutorias.</w:t>
      </w:r>
    </w:p>
    <w:p w14:paraId="2A0BCDCB" w14:textId="77777777" w:rsidR="005E7C1E" w:rsidRPr="004D38F7" w:rsidRDefault="005E7C1E" w:rsidP="005E7C1E">
      <w:pPr>
        <w:autoSpaceDE w:val="0"/>
        <w:autoSpaceDN w:val="0"/>
        <w:adjustRightInd w:val="0"/>
        <w:spacing w:line="360" w:lineRule="auto"/>
        <w:rPr>
          <w:rFonts w:ascii="Palatino Linotype" w:eastAsia="Times New Roman" w:hAnsi="Palatino Linotype" w:cs="Arial"/>
          <w:bCs/>
        </w:rPr>
      </w:pPr>
    </w:p>
    <w:p w14:paraId="21E2A2F0"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bCs/>
          <w:iCs/>
          <w:lang w:val="es-ES"/>
        </w:rPr>
      </w:pPr>
      <w:r w:rsidRPr="004D38F7">
        <w:rPr>
          <w:rFonts w:ascii="Palatino Linotype" w:hAnsi="Palatino Linotype" w:cs="Tahoma"/>
          <w:iCs/>
          <w:lang w:val="es-ES" w:eastAsia="es-ES_tradnl"/>
        </w:rPr>
        <w:t>Al respecto, en el presente caso, se trata expedientes o determinaciones en donde la conducta investigada no fue contraria en derecho; por lo que, entregar las denuncias en análisis, en caso, de que existan, donde se logra apreciar que los motivos para iniciar el procedimiento de responsabilidad,</w:t>
      </w:r>
      <w:r w:rsidRPr="004D38F7">
        <w:rPr>
          <w:rFonts w:ascii="Palatino Linotype" w:hAnsi="Palatino Linotype" w:cs="Tahoma"/>
          <w:bCs/>
          <w:iCs/>
          <w:lang w:val="es-ES"/>
        </w:rPr>
        <w:t xml:space="preserve"> podría generar una percepción negativa del servidor público, pues si bien, no se le sancionó, lo cierto es que daría a conocer que fue investigado por la Contraloría Municipal, lo cual podría afectar su </w:t>
      </w:r>
      <w:r w:rsidRPr="004D38F7">
        <w:rPr>
          <w:rFonts w:ascii="Palatino Linotype" w:hAnsi="Palatino Linotype" w:cs="Tahoma"/>
          <w:bCs/>
          <w:iCs/>
        </w:rPr>
        <w:t>honor, intimidad, buena imagen y nombre, así como a su vida privada.</w:t>
      </w:r>
    </w:p>
    <w:p w14:paraId="0E91A1E3" w14:textId="77777777" w:rsidR="005E7C1E" w:rsidRPr="004D38F7" w:rsidRDefault="005E7C1E" w:rsidP="005E7C1E">
      <w:pPr>
        <w:tabs>
          <w:tab w:val="left" w:pos="3962"/>
        </w:tabs>
        <w:spacing w:line="360" w:lineRule="auto"/>
        <w:rPr>
          <w:rFonts w:ascii="Palatino Linotype" w:hAnsi="Palatino Linotype" w:cs="Tahoma"/>
          <w:bCs/>
          <w:iCs/>
          <w:lang w:val="es-ES"/>
        </w:rPr>
      </w:pPr>
    </w:p>
    <w:p w14:paraId="03FC4CFF"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rPr>
      </w:pPr>
      <w:r w:rsidRPr="004D38F7">
        <w:rPr>
          <w:rFonts w:ascii="Palatino Linotype" w:hAnsi="Palatino Linotype" w:cs="Tahoma"/>
        </w:rPr>
        <w:lastRenderedPageBreak/>
        <w:t>Por lo que, en su caso, resulta procedente la clasificación en términos del artículo 143, fracción I, de la Ley de Transparencia y Acceso a la Información Pública del Estado de México y Municipios, del pronunciamiento de la existencia o no del procedimiento de responsabilidad administrativa concluido absolutorio, instaurado en contra del servidor público.</w:t>
      </w:r>
    </w:p>
    <w:p w14:paraId="012289B7" w14:textId="77777777" w:rsidR="005E7C1E" w:rsidRPr="004D38F7" w:rsidRDefault="005E7C1E" w:rsidP="005E7C1E">
      <w:pPr>
        <w:tabs>
          <w:tab w:val="left" w:pos="3962"/>
        </w:tabs>
        <w:spacing w:line="360" w:lineRule="auto"/>
        <w:rPr>
          <w:rFonts w:ascii="Palatino Linotype" w:hAnsi="Palatino Linotype" w:cs="Tahoma"/>
          <w:bCs/>
        </w:rPr>
      </w:pPr>
    </w:p>
    <w:p w14:paraId="2509D200" w14:textId="77777777" w:rsidR="005E7C1E" w:rsidRPr="004D38F7" w:rsidRDefault="005E7C1E" w:rsidP="005709A8">
      <w:pPr>
        <w:pStyle w:val="Prrafodelista"/>
        <w:numPr>
          <w:ilvl w:val="0"/>
          <w:numId w:val="29"/>
        </w:numPr>
        <w:spacing w:line="360" w:lineRule="auto"/>
        <w:rPr>
          <w:rFonts w:ascii="Palatino Linotype" w:hAnsi="Palatino Linotype" w:cs="Tahoma"/>
          <w:b/>
          <w:iCs/>
          <w:lang w:val="es-ES" w:eastAsia="es-ES_tradnl"/>
        </w:rPr>
      </w:pPr>
      <w:r w:rsidRPr="004D38F7">
        <w:rPr>
          <w:rFonts w:ascii="Palatino Linotype" w:hAnsi="Palatino Linotype" w:cs="Tahoma"/>
          <w:b/>
          <w:iCs/>
          <w:lang w:val="es-ES" w:eastAsia="es-ES_tradnl"/>
        </w:rPr>
        <w:t>Procedimientos de responsabilidades administrativas, por faltas graves.</w:t>
      </w:r>
    </w:p>
    <w:p w14:paraId="04CA1D66" w14:textId="77777777" w:rsidR="005E7C1E" w:rsidRPr="004D38F7" w:rsidRDefault="005E7C1E" w:rsidP="005E7C1E">
      <w:pPr>
        <w:spacing w:line="360" w:lineRule="auto"/>
        <w:rPr>
          <w:rFonts w:ascii="Palatino Linotype" w:hAnsi="Palatino Linotype" w:cs="Tahoma"/>
          <w:iCs/>
          <w:lang w:val="es-ES" w:eastAsia="es-ES_tradnl"/>
        </w:rPr>
      </w:pPr>
    </w:p>
    <w:p w14:paraId="58D69766"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b/>
          <w:iCs/>
          <w:lang w:eastAsia="es-ES_tradnl"/>
        </w:rPr>
      </w:pPr>
      <w:r w:rsidRPr="004D38F7">
        <w:rPr>
          <w:rFonts w:ascii="Palatino Linotype" w:hAnsi="Palatino Linotype" w:cs="Tahoma"/>
          <w:iCs/>
          <w:lang w:val="es-ES" w:eastAsia="es-ES_tradnl"/>
        </w:rPr>
        <w:t xml:space="preserve">Al respecto, cabe señalar que, si bien entregar el nombre del servidor público que obtuvo una sanción </w:t>
      </w:r>
      <w:r w:rsidRPr="004D38F7">
        <w:rPr>
          <w:rFonts w:ascii="Palatino Linotype" w:hAnsi="Palatino Linotype" w:cs="Tahoma"/>
        </w:rPr>
        <w:t>administrativa</w:t>
      </w:r>
      <w:r w:rsidRPr="004D38F7">
        <w:rPr>
          <w:rFonts w:ascii="Palatino Linotype" w:hAnsi="Palatino Linotype" w:cs="Tahoma"/>
          <w:iCs/>
          <w:lang w:val="es-ES" w:eastAsia="es-ES_tradnl"/>
        </w:rPr>
        <w:t xml:space="preserve">, podría generar </w:t>
      </w:r>
      <w:r w:rsidRPr="004D38F7">
        <w:rPr>
          <w:rFonts w:ascii="Palatino Linotype" w:hAnsi="Palatino Linotype" w:cs="Tahoma"/>
          <w:iCs/>
          <w:lang w:eastAsia="es-ES_tradnl"/>
        </w:rPr>
        <w:t xml:space="preserve">una percepción negativa de éste, ocasionando un perjuicio en su </w:t>
      </w:r>
      <w:r w:rsidRPr="004D38F7">
        <w:rPr>
          <w:rFonts w:ascii="Palatino Linotype" w:hAnsi="Palatino Linotype" w:cs="Tahoma"/>
          <w:b/>
          <w:iCs/>
          <w:lang w:eastAsia="es-ES_tradnl"/>
        </w:rPr>
        <w:t xml:space="preserve">honor, intimidad, buena imagen y nombre, así como a su vida privada, </w:t>
      </w:r>
      <w:r w:rsidRPr="004D38F7">
        <w:rPr>
          <w:rFonts w:ascii="Palatino Linotype" w:hAnsi="Palatino Linotype" w:cs="Tahoma"/>
          <w:iCs/>
          <w:lang w:eastAsia="es-ES_tradnl"/>
        </w:rPr>
        <w:t xml:space="preserve">también lo es, que en el presente caso se trata de </w:t>
      </w:r>
      <w:r w:rsidRPr="004D38F7">
        <w:rPr>
          <w:rFonts w:ascii="Palatino Linotype" w:hAnsi="Palatino Linotype" w:cs="Tahoma"/>
          <w:b/>
          <w:iCs/>
          <w:lang w:eastAsia="es-ES_tradnl"/>
        </w:rPr>
        <w:t>faltas graves.</w:t>
      </w:r>
    </w:p>
    <w:p w14:paraId="3B7B153C" w14:textId="77777777" w:rsidR="005E7C1E" w:rsidRPr="004D38F7" w:rsidRDefault="005E7C1E" w:rsidP="005E7C1E">
      <w:pPr>
        <w:spacing w:line="360" w:lineRule="auto"/>
        <w:rPr>
          <w:rFonts w:ascii="Palatino Linotype" w:hAnsi="Palatino Linotype" w:cs="Tahoma"/>
          <w:iCs/>
          <w:lang w:eastAsia="es-ES_tradnl"/>
        </w:rPr>
      </w:pPr>
    </w:p>
    <w:p w14:paraId="7BEA739D"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iCs/>
          <w:lang w:eastAsia="es-ES_tradnl"/>
        </w:rPr>
      </w:pPr>
      <w:r w:rsidRPr="004D38F7">
        <w:rPr>
          <w:rFonts w:ascii="Palatino Linotype" w:hAnsi="Palatino Linotype" w:cs="Tahoma"/>
          <w:iCs/>
          <w:lang w:eastAsia="es-ES_tradnl"/>
        </w:rPr>
        <w:t xml:space="preserve">Al respecto, en términos del artículo 52 y 82 de la Ley de Responsabilidades </w:t>
      </w:r>
      <w:r w:rsidRPr="004D38F7">
        <w:rPr>
          <w:rFonts w:ascii="Palatino Linotype" w:hAnsi="Palatino Linotype" w:cs="Tahoma"/>
          <w:iCs/>
          <w:lang w:val="es-ES" w:eastAsia="es-ES_tradnl"/>
        </w:rPr>
        <w:t>Administrativas</w:t>
      </w:r>
      <w:r w:rsidRPr="004D38F7">
        <w:rPr>
          <w:rFonts w:ascii="Palatino Linotype" w:hAnsi="Palatino Linotype" w:cs="Tahoma"/>
          <w:iCs/>
          <w:lang w:eastAsia="es-ES_tradnl"/>
        </w:rPr>
        <w:t xml:space="preserve"> del Estado de México y Municipios, establece que son faltas administrativas graves, cuando un servidor público cometa cohecho, peculado, desvío de recursos públicos, abuso de funciones, realizar hostigamiento y acoso sexual, enriquecimiento oculto, tráfico de influencias, entre otros, los cuales recaer en diversas sanciones, entre las que se encuentran la destitución o en su caso, la sanción económica.</w:t>
      </w:r>
    </w:p>
    <w:p w14:paraId="6C623F8D" w14:textId="77777777" w:rsidR="005709A8" w:rsidRPr="004D38F7" w:rsidRDefault="005709A8" w:rsidP="005709A8">
      <w:pPr>
        <w:pStyle w:val="Prrafodelista"/>
        <w:rPr>
          <w:rFonts w:ascii="Palatino Linotype" w:hAnsi="Palatino Linotype" w:cs="Tahoma"/>
          <w:iCs/>
          <w:lang w:eastAsia="es-ES_tradnl"/>
        </w:rPr>
      </w:pPr>
    </w:p>
    <w:p w14:paraId="102CE542"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Además, cabe señalar que la mayoría de dichas conductas, se encuentran reguladas en el Título Sexto </w:t>
      </w:r>
      <w:r w:rsidRPr="004D38F7">
        <w:rPr>
          <w:rFonts w:ascii="Palatino Linotype" w:hAnsi="Palatino Linotype" w:cs="Tahoma"/>
          <w:iCs/>
          <w:lang w:eastAsia="es-ES_tradnl"/>
        </w:rPr>
        <w:t>Delitos</w:t>
      </w:r>
      <w:r w:rsidRPr="004D38F7">
        <w:rPr>
          <w:rFonts w:ascii="Palatino Linotype" w:hAnsi="Palatino Linotype" w:cs="Tahoma"/>
          <w:iCs/>
          <w:lang w:val="es-ES" w:eastAsia="es-ES_tradnl"/>
        </w:rPr>
        <w:t xml:space="preserve"> por Hechos de Corrupción, del Código Penal del Estado de México, en donde se prevé como delitos el abuso de autoridad, uso ilícito de atribuciones, ejercicio abusivo de funciones, cohecho, peculado y enriquecimiento ilícito.</w:t>
      </w:r>
    </w:p>
    <w:p w14:paraId="2563D125" w14:textId="77777777" w:rsidR="005E7C1E" w:rsidRPr="004D38F7" w:rsidRDefault="005E7C1E" w:rsidP="005E7C1E">
      <w:pPr>
        <w:spacing w:line="360" w:lineRule="auto"/>
        <w:rPr>
          <w:rFonts w:ascii="Palatino Linotype" w:hAnsi="Palatino Linotype" w:cs="Tahoma"/>
          <w:iCs/>
          <w:lang w:val="es-ES" w:eastAsia="es-ES_tradnl"/>
        </w:rPr>
      </w:pPr>
    </w:p>
    <w:p w14:paraId="015B4CD1"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lastRenderedPageBreak/>
        <w:t>Conforme a lo anterior, se logra vislumbrar que las faltas administrativas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269E8F45" w14:textId="77777777" w:rsidR="005E7C1E" w:rsidRPr="004D38F7" w:rsidRDefault="005E7C1E" w:rsidP="005E7C1E">
      <w:pPr>
        <w:spacing w:line="360" w:lineRule="auto"/>
        <w:rPr>
          <w:rFonts w:ascii="Palatino Linotype" w:hAnsi="Palatino Linotype" w:cs="Tahoma"/>
          <w:iCs/>
          <w:lang w:val="es-ES" w:eastAsia="es-ES_tradnl"/>
        </w:rPr>
      </w:pPr>
    </w:p>
    <w:p w14:paraId="2BEB1D64"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En ese orden de ideas, si bien las denuncias localizadas en los expedientes de procedimientos de responsabilidades administrativas por faltas graves, en caso de existir, podrían generar </w:t>
      </w:r>
      <w:r w:rsidRPr="004D38F7">
        <w:rPr>
          <w:rFonts w:ascii="Palatino Linotype" w:hAnsi="Palatino Linotype" w:cs="Tahoma"/>
          <w:iCs/>
          <w:lang w:eastAsia="es-ES_tradnl"/>
        </w:rPr>
        <w:t>una percepción negativa de éste, ocasionando un perjuicio en su honor, intimidad y buena imagen de un trabajador gubernamental, también lo es que existe un interés público en darlas a conocer, pues establecen que el actuar de un servidor público, en ejercicio de sus atribuciones, fue en contra de las disposiciones normativas aplicables y que causaron un perjuicio a otras personas o al erario público.</w:t>
      </w:r>
    </w:p>
    <w:p w14:paraId="75D343B4" w14:textId="77777777" w:rsidR="005E7C1E" w:rsidRPr="004D38F7" w:rsidRDefault="005E7C1E" w:rsidP="005E7C1E">
      <w:pPr>
        <w:spacing w:line="360" w:lineRule="auto"/>
        <w:rPr>
          <w:rFonts w:ascii="Palatino Linotype" w:hAnsi="Palatino Linotype" w:cs="Tahoma"/>
          <w:b/>
          <w:iCs/>
          <w:lang w:val="es-ES" w:eastAsia="es-ES_tradnl"/>
        </w:rPr>
      </w:pPr>
    </w:p>
    <w:p w14:paraId="44D945B1"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Ante tales circunstancias, se desprende que, en el caso concreto, sobreviene una </w:t>
      </w:r>
      <w:r w:rsidRPr="004D38F7">
        <w:rPr>
          <w:rFonts w:ascii="Palatino Linotype" w:hAnsi="Palatino Linotype" w:cs="Tahoma"/>
          <w:b/>
          <w:bCs/>
        </w:rPr>
        <w:t>colisión de derechos fundamentales,</w:t>
      </w:r>
      <w:r w:rsidRPr="004D38F7">
        <w:rPr>
          <w:rFonts w:ascii="Palatino Linotype" w:hAnsi="Palatino Linotype" w:cs="Tahoma"/>
          <w:bCs/>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las denuncias que dieron origen a los procedimientos de responsabilidades administrativas de faltas graves.</w:t>
      </w:r>
    </w:p>
    <w:p w14:paraId="5E536BBE" w14:textId="77777777" w:rsidR="005E7C1E" w:rsidRPr="004D38F7" w:rsidRDefault="005E7C1E" w:rsidP="005E7C1E">
      <w:pPr>
        <w:spacing w:line="360" w:lineRule="auto"/>
        <w:ind w:right="-93"/>
        <w:rPr>
          <w:rFonts w:ascii="Palatino Linotype" w:hAnsi="Palatino Linotype" w:cs="Tahoma"/>
          <w:bCs/>
        </w:rPr>
      </w:pPr>
    </w:p>
    <w:p w14:paraId="41594D10"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Sobre el particular, debe señalarse que en un sistema jurídico racional, el contenido de ciertos derechos fundamentales no es absoluto y la colisión entre derechos </w:t>
      </w:r>
      <w:r w:rsidRPr="004D38F7">
        <w:rPr>
          <w:rFonts w:ascii="Palatino Linotype" w:hAnsi="Palatino Linotype" w:cs="Tahoma"/>
          <w:bCs/>
        </w:rPr>
        <w:lastRenderedPageBreak/>
        <w:t>fundamentales debe resolverse mediante una ponderación que determine el derecho que ha de prevalecer en el caso concretó, y no apelando a reglas de prioridad entre normas.</w:t>
      </w:r>
    </w:p>
    <w:p w14:paraId="19EE2E04" w14:textId="77777777" w:rsidR="005E7C1E" w:rsidRPr="004D38F7" w:rsidRDefault="005E7C1E" w:rsidP="005E7C1E">
      <w:pPr>
        <w:spacing w:line="360" w:lineRule="auto"/>
        <w:ind w:right="-93"/>
        <w:rPr>
          <w:rFonts w:ascii="Palatino Linotype" w:hAnsi="Palatino Linotype" w:cs="Tahoma"/>
          <w:bCs/>
        </w:rPr>
      </w:pPr>
    </w:p>
    <w:p w14:paraId="616802B4" w14:textId="77777777" w:rsidR="005E7C1E" w:rsidRPr="004D38F7" w:rsidRDefault="005E7C1E"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Por cuanto hace a la colisión entre el derecho a la información y el derecho a la intimidad o a la vida privada, el Poder Judicial de la Federación ha sostenido la </w:t>
      </w:r>
      <w:r w:rsidRPr="004D38F7">
        <w:rPr>
          <w:rFonts w:ascii="Palatino Linotype" w:hAnsi="Palatino Linotype" w:cs="Tahoma"/>
          <w:b/>
          <w:bC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4D38F7">
        <w:rPr>
          <w:rFonts w:ascii="Palatino Linotype" w:hAnsi="Palatino Linotype" w:cs="Tahoma"/>
          <w:bC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6E3C9685" w14:textId="77777777" w:rsidR="005E7C1E" w:rsidRPr="004D38F7" w:rsidRDefault="005E7C1E" w:rsidP="005E7C1E">
      <w:pPr>
        <w:spacing w:line="360" w:lineRule="auto"/>
        <w:rPr>
          <w:rFonts w:ascii="Palatino Linotype" w:hAnsi="Palatino Linotype" w:cs="Tahoma"/>
          <w:bCs/>
        </w:rPr>
      </w:pPr>
    </w:p>
    <w:p w14:paraId="25675212" w14:textId="77777777" w:rsidR="005E7C1E" w:rsidRPr="004D38F7" w:rsidRDefault="005E7C1E" w:rsidP="005709A8">
      <w:pPr>
        <w:numPr>
          <w:ilvl w:val="0"/>
          <w:numId w:val="1"/>
        </w:numPr>
        <w:spacing w:line="360" w:lineRule="auto"/>
        <w:ind w:left="0" w:firstLine="0"/>
        <w:contextualSpacing/>
        <w:jc w:val="both"/>
        <w:rPr>
          <w:rFonts w:ascii="Palatino Linotype" w:eastAsia="Times New Roman" w:hAnsi="Palatino Linotype" w:cs="Tahoma"/>
          <w:bCs/>
          <w:iCs/>
        </w:rPr>
      </w:pPr>
      <w:r w:rsidRPr="004D38F7">
        <w:rPr>
          <w:rFonts w:ascii="Palatino Linotype" w:hAnsi="Palatino Linotype" w:cs="Tahoma"/>
          <w:bCs/>
        </w:rPr>
        <w:t>En ese mismo sentido y atendiendo a la naturaleza del derecho a la protección de datos personales, por analogía, este debe ceder cuando exista un interés público mayor de acuerdo a las circunstancias del caso.</w:t>
      </w:r>
      <w:r w:rsidRPr="004D38F7">
        <w:rPr>
          <w:rFonts w:ascii="Palatino Linotype" w:eastAsia="Times New Roman" w:hAnsi="Palatino Linotype" w:cs="Tahoma"/>
          <w:bCs/>
          <w:iCs/>
        </w:rPr>
        <w:t xml:space="preserve"> Señalado lo anterior, resulta necesario realizar una ponderación de los dos intereses jurídicos tutelados que convergen en la controversia que se dirime; para lo cual, el artículo </w:t>
      </w:r>
      <w:r w:rsidRPr="004D38F7">
        <w:rPr>
          <w:rFonts w:ascii="Palatino Linotype" w:hAnsi="Palatino Linotype" w:cs="Tahoma"/>
          <w:bCs/>
        </w:rPr>
        <w:t>184 de la Ley de Transparencia y Acceso a la Información Pública del Estado de México y Municipios</w:t>
      </w:r>
      <w:r w:rsidRPr="004D38F7">
        <w:rPr>
          <w:rFonts w:ascii="Palatino Linotype" w:eastAsia="Times New Roman" w:hAnsi="Palatino Linotype" w:cs="Tahoma"/>
          <w:bCs/>
          <w:iCs/>
        </w:rPr>
        <w:t xml:space="preserve"> prevé que cuando exista una colisión de derechos, este Instituto, al resolver el recurso de revisión, debe aplicar una prueba de interés público con base en elementos de idoneidad, necesidad y proporcionalidad. Para estos efectos, se entenderá por: </w:t>
      </w:r>
    </w:p>
    <w:p w14:paraId="07C449CB" w14:textId="77777777" w:rsidR="005E7C1E" w:rsidRPr="004D38F7" w:rsidRDefault="005E7C1E" w:rsidP="005E7C1E">
      <w:pPr>
        <w:spacing w:line="360" w:lineRule="auto"/>
        <w:ind w:right="49"/>
        <w:rPr>
          <w:rFonts w:ascii="Palatino Linotype" w:eastAsia="Times New Roman" w:hAnsi="Palatino Linotype" w:cs="Tahoma"/>
          <w:bCs/>
          <w:iCs/>
        </w:rPr>
      </w:pPr>
    </w:p>
    <w:p w14:paraId="104FAEA4" w14:textId="77777777" w:rsidR="005E7C1E" w:rsidRPr="004D38F7" w:rsidRDefault="005E7C1E" w:rsidP="005E7C1E">
      <w:pPr>
        <w:numPr>
          <w:ilvl w:val="0"/>
          <w:numId w:val="21"/>
        </w:numPr>
        <w:spacing w:line="360" w:lineRule="auto"/>
        <w:ind w:left="426" w:right="49" w:hanging="426"/>
        <w:contextualSpacing/>
        <w:jc w:val="both"/>
        <w:rPr>
          <w:rFonts w:ascii="Palatino Linotype" w:eastAsia="Times New Roman" w:hAnsi="Palatino Linotype" w:cs="Tahoma"/>
          <w:bCs/>
          <w:iCs/>
        </w:rPr>
      </w:pPr>
      <w:r w:rsidRPr="004D38F7">
        <w:rPr>
          <w:rFonts w:ascii="Palatino Linotype" w:eastAsia="Times New Roman" w:hAnsi="Palatino Linotype" w:cs="Tahoma"/>
          <w:b/>
          <w:bCs/>
          <w:iCs/>
        </w:rPr>
        <w:lastRenderedPageBreak/>
        <w:t>Idoneidad:</w:t>
      </w:r>
      <w:r w:rsidRPr="004D38F7">
        <w:rPr>
          <w:rFonts w:ascii="Palatino Linotype" w:eastAsia="Times New Roman" w:hAnsi="Palatino Linotype" w:cs="Tahoma"/>
          <w:bCs/>
          <w:iCs/>
        </w:rPr>
        <w:t xml:space="preserve"> La legitimidad del derecho adoptado como preferente, que sea el adecuado para el logro de un fin constitucionalmente válido o apto para conseguir el fin pretendido;</w:t>
      </w:r>
    </w:p>
    <w:p w14:paraId="5BEB7E67" w14:textId="77777777" w:rsidR="005E7C1E" w:rsidRPr="004D38F7" w:rsidRDefault="005E7C1E" w:rsidP="005E7C1E">
      <w:pPr>
        <w:spacing w:line="360" w:lineRule="auto"/>
        <w:ind w:left="426" w:right="49"/>
        <w:contextualSpacing/>
        <w:rPr>
          <w:rFonts w:ascii="Palatino Linotype" w:eastAsia="Times New Roman" w:hAnsi="Palatino Linotype" w:cs="Tahoma"/>
          <w:bCs/>
          <w:iCs/>
        </w:rPr>
      </w:pPr>
    </w:p>
    <w:p w14:paraId="745D116D" w14:textId="77777777" w:rsidR="005E7C1E" w:rsidRPr="004D38F7" w:rsidRDefault="005E7C1E" w:rsidP="005E7C1E">
      <w:pPr>
        <w:numPr>
          <w:ilvl w:val="0"/>
          <w:numId w:val="21"/>
        </w:numPr>
        <w:spacing w:line="360" w:lineRule="auto"/>
        <w:ind w:left="426" w:right="49" w:hanging="426"/>
        <w:contextualSpacing/>
        <w:jc w:val="both"/>
        <w:rPr>
          <w:rFonts w:ascii="Palatino Linotype" w:eastAsia="Times New Roman" w:hAnsi="Palatino Linotype" w:cs="Tahoma"/>
          <w:bCs/>
          <w:iCs/>
        </w:rPr>
      </w:pPr>
      <w:r w:rsidRPr="004D38F7">
        <w:rPr>
          <w:rFonts w:ascii="Palatino Linotype" w:eastAsia="Times New Roman" w:hAnsi="Palatino Linotype" w:cs="Tahoma"/>
          <w:b/>
          <w:bCs/>
          <w:iCs/>
        </w:rPr>
        <w:t>Necesidad:</w:t>
      </w:r>
      <w:r w:rsidRPr="004D38F7">
        <w:rPr>
          <w:rFonts w:ascii="Palatino Linotype" w:eastAsia="Times New Roman" w:hAnsi="Palatino Linotype" w:cs="Tahoma"/>
          <w:bCs/>
          <w:iCs/>
        </w:rPr>
        <w:t xml:space="preserve"> La falta de un medio alternativo menos lesivo a la apertura de la información, para satisfacer el interés público, y</w:t>
      </w:r>
    </w:p>
    <w:p w14:paraId="317284E6" w14:textId="77777777" w:rsidR="005E7C1E" w:rsidRPr="004D38F7" w:rsidRDefault="005E7C1E" w:rsidP="005E7C1E">
      <w:pPr>
        <w:spacing w:line="360" w:lineRule="auto"/>
        <w:ind w:left="426" w:right="49"/>
        <w:contextualSpacing/>
        <w:rPr>
          <w:rFonts w:ascii="Palatino Linotype" w:eastAsia="Times New Roman" w:hAnsi="Palatino Linotype" w:cs="Tahoma"/>
          <w:bCs/>
          <w:iCs/>
        </w:rPr>
      </w:pPr>
    </w:p>
    <w:p w14:paraId="1161409A" w14:textId="77777777" w:rsidR="005E7C1E" w:rsidRPr="004D38F7" w:rsidRDefault="005E7C1E" w:rsidP="005E7C1E">
      <w:pPr>
        <w:numPr>
          <w:ilvl w:val="0"/>
          <w:numId w:val="21"/>
        </w:numPr>
        <w:spacing w:line="360" w:lineRule="auto"/>
        <w:ind w:left="426" w:right="49" w:hanging="426"/>
        <w:contextualSpacing/>
        <w:jc w:val="both"/>
        <w:rPr>
          <w:rFonts w:ascii="Palatino Linotype" w:eastAsia="Times New Roman" w:hAnsi="Palatino Linotype" w:cs="Tahoma"/>
          <w:bCs/>
          <w:iCs/>
        </w:rPr>
      </w:pPr>
      <w:r w:rsidRPr="004D38F7">
        <w:rPr>
          <w:rFonts w:ascii="Palatino Linotype" w:eastAsia="Times New Roman" w:hAnsi="Palatino Linotype" w:cs="Tahoma"/>
          <w:b/>
          <w:bCs/>
          <w:iCs/>
        </w:rPr>
        <w:t>Proporcionalidad:</w:t>
      </w:r>
      <w:r w:rsidRPr="004D38F7">
        <w:rPr>
          <w:rFonts w:ascii="Palatino Linotype" w:eastAsia="Times New Roman" w:hAnsi="Palatino Linotype" w:cs="Tahoma"/>
          <w:bCs/>
          <w:iCs/>
        </w:rPr>
        <w:t xml:space="preserve"> El equilibrio entre perjuicio y beneficio a favor del interés público, a fin de que la decisión tomada represente un beneficio mayor al perjuicio que podría causar a la población.</w:t>
      </w:r>
    </w:p>
    <w:p w14:paraId="5AF80DA4" w14:textId="77777777" w:rsidR="005709A8" w:rsidRPr="004D38F7" w:rsidRDefault="005709A8" w:rsidP="005709A8">
      <w:pPr>
        <w:pStyle w:val="Prrafodelista"/>
        <w:rPr>
          <w:rFonts w:ascii="Palatino Linotype" w:eastAsia="Times New Roman" w:hAnsi="Palatino Linotype" w:cs="Tahoma"/>
          <w:bCs/>
          <w:iCs/>
        </w:rPr>
      </w:pPr>
    </w:p>
    <w:p w14:paraId="7930212B"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ES_tradnl"/>
        </w:rPr>
      </w:pPr>
      <w:r w:rsidRPr="004D38F7">
        <w:rPr>
          <w:rFonts w:ascii="Palatino Linotype" w:hAnsi="Palatino Linotype" w:cs="Tahoma"/>
          <w:iCs/>
          <w:lang w:val="es-ES" w:eastAsia="es-ES_tradnl"/>
        </w:rPr>
        <w:t xml:space="preserve">Conforme a lo anterior, se concluye que el sujeto obligado únicamente se encuentra constreñido, en caso de que existan procedimientos de responsabilidades administrativas </w:t>
      </w:r>
      <w:r w:rsidRPr="004D38F7">
        <w:rPr>
          <w:rFonts w:ascii="Palatino Linotype" w:hAnsi="Palatino Linotype"/>
        </w:rPr>
        <w:t>concluidos</w:t>
      </w:r>
      <w:r w:rsidRPr="004D38F7">
        <w:rPr>
          <w:rFonts w:ascii="Palatino Linotype" w:hAnsi="Palatino Linotype" w:cs="Tahoma"/>
          <w:iCs/>
          <w:lang w:val="es-ES" w:eastAsia="es-ES_tradnl"/>
        </w:rPr>
        <w:t>, a proporcionar las quejas y denuncias que dieron origen a los mismos, sin testar el nombre de servidores públicos que hayan sido sancionados por faltas administrativas graves, en términos de la Ley de Responsabilidades Administrativas del Estado de México, y clasificar como confidencial, en términos del artículo 143, fracción I de la Ley de Transparencia y Acceso a la Información Pública del Estado de México y Municipios, el nombre de aquellos que hayan acreditado alguna falta no grave o bien fueran absueltos.</w:t>
      </w:r>
    </w:p>
    <w:p w14:paraId="46757198" w14:textId="77777777" w:rsidR="005709A8" w:rsidRPr="004D38F7" w:rsidRDefault="005709A8" w:rsidP="005709A8">
      <w:pPr>
        <w:spacing w:line="360" w:lineRule="auto"/>
        <w:contextualSpacing/>
        <w:jc w:val="both"/>
        <w:rPr>
          <w:rFonts w:ascii="Palatino Linotype" w:hAnsi="Palatino Linotype" w:cs="Tahoma"/>
          <w:iCs/>
          <w:lang w:val="es-ES" w:eastAsia="es-ES_tradnl"/>
        </w:rPr>
      </w:pPr>
    </w:p>
    <w:p w14:paraId="2293C18B"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iCs/>
        </w:rPr>
        <w:t xml:space="preserve">Seguidamente, respecto del </w:t>
      </w:r>
      <w:r w:rsidRPr="004D38F7">
        <w:rPr>
          <w:rFonts w:ascii="Palatino Linotype" w:hAnsi="Palatino Linotype" w:cs="Tahoma"/>
          <w:b/>
          <w:bCs/>
          <w:iCs/>
        </w:rPr>
        <w:t xml:space="preserve">nombre y cargo del personal que ha sido dado de baja y porque causas, del primero de enero al treinta y uno de agosto de dos mil veintitrés; </w:t>
      </w:r>
      <w:r w:rsidRPr="004D38F7">
        <w:rPr>
          <w:rFonts w:ascii="Palatino Linotype" w:hAnsi="Palatino Linotype" w:cs="Tahoma"/>
          <w:bCs/>
          <w:iCs/>
        </w:rPr>
        <w:t>s</w:t>
      </w:r>
      <w:r w:rsidRPr="004D38F7">
        <w:rPr>
          <w:rFonts w:ascii="Palatino Linotype" w:hAnsi="Palatino Linotype" w:cs="Tahoma"/>
          <w:bCs/>
        </w:rPr>
        <w:t xml:space="preserve">obre el tema, los artículos 89, 92 y 94 de la Ley del Trabajo de los Servidores Públicos del Estado de México, precisan las causas de terminación de la relación laboral </w:t>
      </w:r>
      <w:r w:rsidRPr="004D38F7">
        <w:rPr>
          <w:rFonts w:ascii="Palatino Linotype" w:hAnsi="Palatino Linotype" w:cs="Tahoma"/>
          <w:bCs/>
        </w:rPr>
        <w:lastRenderedPageBreak/>
        <w:t>sin responsabilidad para la institución pública, como lo es: I. La renuncia del servidor público; II. El mutuo consentimiento de las partes; III. El vencimiento del término o conclusión de la obra determinantes de la contratación; IV. El término o conclusión de la administración en la cual fue contratado el servidor público; V. La muerte del servidor público; y  VI. La incapacidad permanente del servidor público que le impida el desempeño de sus labores; así mismo, señalan las causas para rescindir en cualquier momento la relación laboral; para lo cual, deberá dar aviso por escrito al servidor público de manera personal, la fecha y causa de baja.</w:t>
      </w:r>
    </w:p>
    <w:p w14:paraId="1974A580" w14:textId="77777777" w:rsidR="005709A8" w:rsidRPr="004D38F7" w:rsidRDefault="005709A8" w:rsidP="005709A8">
      <w:pPr>
        <w:pStyle w:val="Prrafodelista"/>
        <w:rPr>
          <w:rFonts w:ascii="Palatino Linotype" w:hAnsi="Palatino Linotype" w:cs="Tahoma"/>
          <w:bCs/>
        </w:rPr>
      </w:pPr>
    </w:p>
    <w:p w14:paraId="2AFDD53A"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hAnsi="Palatino Linotype" w:cs="Tahoma"/>
          <w:bCs/>
        </w:rPr>
        <w:t xml:space="preserve">Al respecto, la Guía </w:t>
      </w:r>
      <w:r w:rsidRPr="004D38F7">
        <w:rPr>
          <w:rFonts w:ascii="Palatino Linotype" w:hAnsi="Palatino Linotype" w:cs="Tahoma"/>
          <w:bCs/>
          <w:iCs/>
        </w:rPr>
        <w:t>Técnica</w:t>
      </w:r>
      <w:r w:rsidRPr="004D38F7">
        <w:rPr>
          <w:rFonts w:ascii="Palatino Linotype" w:hAnsi="Palatino Linotype" w:cs="Tahoma"/>
          <w:bCs/>
        </w:rPr>
        <w:t xml:space="preserve"> 9 “La Administración del Personal Municipal”, emitida por el Instituto Nacional para el Federalismo y el Desarrollo Municipal, establece que la </w:t>
      </w:r>
      <w:r w:rsidRPr="004D38F7">
        <w:rPr>
          <w:rFonts w:ascii="Palatino Linotype" w:hAnsi="Palatino Linotype" w:cs="Tahoma"/>
          <w:b/>
        </w:rPr>
        <w:t>Renuncia</w:t>
      </w:r>
      <w:r w:rsidRPr="004D38F7">
        <w:rPr>
          <w:rFonts w:ascii="Palatino Linotype" w:hAnsi="Palatino Linotype" w:cs="Tahoma"/>
          <w:bCs/>
        </w:rPr>
        <w:t xml:space="preserve"> es el acto mediante el cual el empleado, voluntariamente, decide dejar de prestar sus servicios al municipio, esta puede ser </w:t>
      </w:r>
      <w:r w:rsidRPr="004D38F7">
        <w:rPr>
          <w:rFonts w:ascii="Palatino Linotype" w:hAnsi="Palatino Linotype" w:cs="Tahoma"/>
          <w:b/>
        </w:rPr>
        <w:t>verbal o escrita</w:t>
      </w:r>
      <w:r w:rsidRPr="004D38F7">
        <w:rPr>
          <w:rFonts w:ascii="Palatino Linotype" w:hAnsi="Palatino Linotype" w:cs="Tahoma"/>
          <w:bCs/>
        </w:rPr>
        <w:t xml:space="preserve">, en la primera el trabajador manifiesta oralmente su inconformidad y decide dejar de trabajar; la renuncia </w:t>
      </w:r>
      <w:r w:rsidRPr="004D38F7">
        <w:rPr>
          <w:rFonts w:ascii="Palatino Linotype" w:hAnsi="Palatino Linotype" w:cs="Tahoma"/>
          <w:b/>
        </w:rPr>
        <w:t>escrita</w:t>
      </w:r>
      <w:r w:rsidRPr="004D38F7">
        <w:rPr>
          <w:rFonts w:ascii="Palatino Linotype" w:hAnsi="Palatino Linotype" w:cs="Tahoma"/>
          <w:bCs/>
        </w:rPr>
        <w:t xml:space="preserve"> es el documento mediante el cual el empleado justifica su voluntad de dejar de prestar sus servicios al municipio. </w:t>
      </w:r>
    </w:p>
    <w:p w14:paraId="66E9CE9C" w14:textId="77777777" w:rsidR="005709A8" w:rsidRPr="004D38F7" w:rsidRDefault="005709A8" w:rsidP="005709A8">
      <w:pPr>
        <w:tabs>
          <w:tab w:val="left" w:pos="4962"/>
        </w:tabs>
        <w:spacing w:line="360" w:lineRule="auto"/>
        <w:rPr>
          <w:rFonts w:ascii="Palatino Linotype" w:hAnsi="Palatino Linotype"/>
        </w:rPr>
      </w:pPr>
    </w:p>
    <w:p w14:paraId="32A82DE2"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rPr>
      </w:pPr>
      <w:r w:rsidRPr="004D38F7">
        <w:rPr>
          <w:rFonts w:ascii="Palatino Linotype" w:hAnsi="Palatino Linotype" w:cs="Tahoma"/>
        </w:rPr>
        <w:t xml:space="preserve">Además, se trae por analogía el procedimiento denominado “031 Baja de Servidora Públicas y Servidores Públicos Generales y de Confianza”, del Manual de Normas y Procedimientos de Desarrollo y Administración de Personal emitido por la Secretaría de Finanzas del Estado de México, cuyo objetivo principal es procesar el </w:t>
      </w:r>
      <w:r w:rsidRPr="004D38F7">
        <w:rPr>
          <w:rFonts w:ascii="Palatino Linotype" w:hAnsi="Palatino Linotype" w:cs="Tahoma"/>
          <w:b/>
          <w:bCs/>
        </w:rPr>
        <w:t>movimiento de baja de trabajadores</w:t>
      </w:r>
      <w:r w:rsidRPr="004D38F7">
        <w:rPr>
          <w:rFonts w:ascii="Palatino Linotype" w:hAnsi="Palatino Linotype" w:cs="Tahoma"/>
        </w:rPr>
        <w:t xml:space="preserve"> gubernamentales que dejan de prestar sus servicios a la institución pública y dar por concluida la relación laboral; además, precisa que las razones de baja, serán las siguientes:</w:t>
      </w:r>
    </w:p>
    <w:p w14:paraId="78F51090" w14:textId="77777777" w:rsidR="005709A8" w:rsidRPr="004D38F7" w:rsidRDefault="005709A8" w:rsidP="005709A8">
      <w:pPr>
        <w:tabs>
          <w:tab w:val="left" w:pos="4962"/>
        </w:tabs>
        <w:spacing w:line="360" w:lineRule="auto"/>
        <w:rPr>
          <w:rFonts w:ascii="Palatino Linotype" w:hAnsi="Palatino Linotype" w:cs="Tahoma"/>
        </w:rPr>
      </w:pPr>
    </w:p>
    <w:p w14:paraId="6C895FDE"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bCs/>
        </w:rPr>
        <w:lastRenderedPageBreak/>
        <w:t>Renuncia</w:t>
      </w:r>
      <w:r w:rsidRPr="004D38F7">
        <w:rPr>
          <w:rFonts w:ascii="Palatino Linotype" w:hAnsi="Palatino Linotype" w:cs="Tahoma"/>
        </w:rPr>
        <w:t>;</w:t>
      </w:r>
    </w:p>
    <w:p w14:paraId="6D2FB5B7"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Fallecimiento;</w:t>
      </w:r>
    </w:p>
    <w:p w14:paraId="5A5B273D"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Recisión de la relación laboral;</w:t>
      </w:r>
    </w:p>
    <w:p w14:paraId="75FD2F71"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Aplicación de resolución de autoridad competente;</w:t>
      </w:r>
    </w:p>
    <w:p w14:paraId="0D11EB8E"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Pensión por jubilación, retiro y tiempo de servicios o inhabilitación;</w:t>
      </w:r>
    </w:p>
    <w:p w14:paraId="0386507A"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Mutuo consentimiento de las partes, y</w:t>
      </w:r>
    </w:p>
    <w:p w14:paraId="52C9FA0A" w14:textId="77777777" w:rsidR="005709A8" w:rsidRPr="004D38F7" w:rsidRDefault="005709A8" w:rsidP="005709A8">
      <w:pPr>
        <w:numPr>
          <w:ilvl w:val="0"/>
          <w:numId w:val="31"/>
        </w:numPr>
        <w:tabs>
          <w:tab w:val="left" w:pos="4962"/>
        </w:tabs>
        <w:spacing w:line="360" w:lineRule="auto"/>
        <w:contextualSpacing/>
        <w:rPr>
          <w:rFonts w:ascii="Palatino Linotype" w:hAnsi="Palatino Linotype" w:cs="Tahoma"/>
        </w:rPr>
      </w:pPr>
      <w:r w:rsidRPr="004D38F7">
        <w:rPr>
          <w:rFonts w:ascii="Palatino Linotype" w:hAnsi="Palatino Linotype" w:cs="Tahoma"/>
        </w:rPr>
        <w:t>Vencimiento o conclusión de obra determinada.</w:t>
      </w:r>
    </w:p>
    <w:p w14:paraId="298A216F" w14:textId="77777777" w:rsidR="005709A8" w:rsidRPr="004D38F7" w:rsidRDefault="005709A8" w:rsidP="005709A8">
      <w:pPr>
        <w:spacing w:line="360" w:lineRule="auto"/>
        <w:rPr>
          <w:rFonts w:ascii="Palatino Linotype" w:eastAsia="Times New Roman" w:hAnsi="Palatino Linotype" w:cs="Tahoma"/>
          <w:bCs/>
        </w:rPr>
      </w:pPr>
    </w:p>
    <w:p w14:paraId="333163F6"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ese contexto, el Sujeto Obligado no realizó pronunciamiento alguno, por lo que, deberá realizar una búsqueda exhaustiva y razonable en los archivos de las unidades administrativas competentes incluyendo a la Dirección General de Administración, y deberá hacer </w:t>
      </w:r>
      <w:r w:rsidRPr="004D38F7">
        <w:rPr>
          <w:rFonts w:ascii="Palatino Linotype" w:hAnsi="Palatino Linotype" w:cs="Tahoma"/>
        </w:rPr>
        <w:t>entrega</w:t>
      </w:r>
      <w:r w:rsidRPr="004D38F7">
        <w:rPr>
          <w:rFonts w:ascii="Palatino Linotype" w:eastAsia="Times New Roman" w:hAnsi="Palatino Linotype" w:cs="Tahoma"/>
          <w:bCs/>
        </w:rPr>
        <w:t xml:space="preserve"> del nombre, cargo y motivo de la baja.</w:t>
      </w:r>
    </w:p>
    <w:p w14:paraId="08D49688" w14:textId="77777777" w:rsidR="005709A8" w:rsidRPr="004D38F7" w:rsidRDefault="005709A8" w:rsidP="005709A8">
      <w:pPr>
        <w:spacing w:line="360" w:lineRule="auto"/>
        <w:contextualSpacing/>
        <w:jc w:val="both"/>
        <w:rPr>
          <w:rFonts w:ascii="Palatino Linotype" w:eastAsia="Times New Roman" w:hAnsi="Palatino Linotype" w:cs="Tahoma"/>
          <w:bCs/>
        </w:rPr>
      </w:pPr>
    </w:p>
    <w:p w14:paraId="5E9FA1CB"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eastAsia="Times New Roman" w:hAnsi="Palatino Linotype" w:cs="Tahoma"/>
          <w:bCs/>
        </w:rPr>
        <w:t xml:space="preserve">Por otro lado, respecto de la </w:t>
      </w:r>
      <w:r w:rsidRPr="004D38F7">
        <w:rPr>
          <w:rFonts w:ascii="Palatino Linotype" w:eastAsia="Times New Roman" w:hAnsi="Palatino Linotype" w:cs="Tahoma"/>
          <w:b/>
          <w:bCs/>
        </w:rPr>
        <w:t>c</w:t>
      </w:r>
      <w:r w:rsidRPr="004D38F7">
        <w:rPr>
          <w:rFonts w:ascii="Palatino Linotype" w:hAnsi="Palatino Linotype" w:cs="Tahoma"/>
          <w:b/>
          <w:bCs/>
          <w:iCs/>
        </w:rPr>
        <w:t xml:space="preserve">opia de resultados de las auditorías realizadas al Ayuntamiento, </w:t>
      </w:r>
      <w:r w:rsidRPr="004D38F7">
        <w:rPr>
          <w:rFonts w:ascii="Palatino Linotype" w:eastAsia="Palatino Linotype" w:hAnsi="Palatino Linotype" w:cs="Palatino Linotype"/>
        </w:rPr>
        <w:t>cabe hacer las siguientes precisiones, en un principio el Ayuntamiento de Ixtapaluca</w:t>
      </w:r>
      <w:r w:rsidRPr="004D38F7">
        <w:rPr>
          <w:rFonts w:ascii="Palatino Linotype" w:hAnsi="Palatino Linotype" w:cs="Tahoma"/>
          <w:bCs/>
        </w:rPr>
        <w:t>, es considerado como un sujeto de fiscalización en términos de la fracción II, del artículo 4° de la Ley de Fiscalización del Estado de México, misma Ley que establece lo siguiente:</w:t>
      </w:r>
    </w:p>
    <w:p w14:paraId="2D0EC00A" w14:textId="77777777" w:rsidR="005709A8" w:rsidRPr="004D38F7" w:rsidRDefault="005709A8" w:rsidP="005709A8">
      <w:pPr>
        <w:spacing w:line="360" w:lineRule="auto"/>
        <w:rPr>
          <w:rFonts w:ascii="Palatino Linotype" w:hAnsi="Palatino Linotype" w:cs="Tahoma"/>
          <w:bCs/>
        </w:rPr>
      </w:pPr>
    </w:p>
    <w:p w14:paraId="29EA0A90"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Artículo 21.</w:t>
      </w:r>
      <w:r w:rsidRPr="004D38F7">
        <w:rPr>
          <w:rFonts w:ascii="Palatino Linotype" w:hAnsi="Palatino Linotype" w:cs="Tahoma"/>
          <w:bCs/>
          <w:i/>
        </w:rPr>
        <w:t xml:space="preserve"> En el desempeño de sus funciones, el Auditor Superior será auxiliado por los Auditores Especiales, Titulares de Unidades, Directores, Auditores y demás servidores públicos que señale el Reglamento.</w:t>
      </w:r>
    </w:p>
    <w:p w14:paraId="12A4025E" w14:textId="77777777" w:rsidR="005709A8" w:rsidRPr="004D38F7" w:rsidRDefault="005709A8" w:rsidP="005709A8">
      <w:pPr>
        <w:spacing w:line="360" w:lineRule="auto"/>
        <w:ind w:left="567" w:right="539"/>
        <w:rPr>
          <w:rFonts w:ascii="Palatino Linotype" w:hAnsi="Palatino Linotype" w:cs="Tahoma"/>
          <w:bCs/>
          <w:i/>
        </w:rPr>
      </w:pPr>
    </w:p>
    <w:p w14:paraId="38FB91A3"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lastRenderedPageBreak/>
        <w:t>Artículo 23.-</w:t>
      </w:r>
      <w:r w:rsidRPr="004D38F7">
        <w:rPr>
          <w:rFonts w:ascii="Palatino Linotype" w:hAnsi="Palatino Linotype" w:cs="Tahoma"/>
          <w:bCs/>
          <w:i/>
        </w:rPr>
        <w:t xml:space="preserve"> Sin perjuicio del ejercicio directo por parte del Auditor Superior, los Auditores Especiales tendrán las facultades genéricas siguientes:</w:t>
      </w:r>
    </w:p>
    <w:p w14:paraId="260EEA9D"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I.</w:t>
      </w:r>
      <w:r w:rsidRPr="004D38F7">
        <w:rPr>
          <w:rFonts w:ascii="Palatino Linotype" w:hAnsi="Palatino Linotype" w:cs="Tahoma"/>
          <w:bCs/>
          <w:i/>
        </w:rPr>
        <w:t xml:space="preserve"> Planear, conforme a los programas aprobados por el Auditor Superior, las actividades relacionadas con la revisión de las cuentas públicas; y elaborar los análisis que sirvan para la preparación del informe de resultados;</w:t>
      </w:r>
    </w:p>
    <w:p w14:paraId="254B5F0E" w14:textId="77777777" w:rsidR="005709A8" w:rsidRPr="004D38F7" w:rsidRDefault="005709A8" w:rsidP="005709A8">
      <w:pPr>
        <w:spacing w:line="360" w:lineRule="auto"/>
        <w:ind w:left="567" w:right="539"/>
        <w:rPr>
          <w:rFonts w:ascii="Palatino Linotype" w:hAnsi="Palatino Linotype" w:cs="Tahoma"/>
          <w:b/>
          <w:bCs/>
          <w:i/>
        </w:rPr>
      </w:pPr>
      <w:r w:rsidRPr="004D38F7">
        <w:rPr>
          <w:rFonts w:ascii="Palatino Linotype" w:hAnsi="Palatino Linotype" w:cs="Tahoma"/>
          <w:b/>
          <w:bCs/>
          <w:i/>
        </w:rPr>
        <w:t>II. Requerir a las entidades fiscalizables y a los terceros que hubieren celebrado operaciones con aquéllas, la información y documentación que sea necesaria para realizar la función de fiscalización;</w:t>
      </w:r>
    </w:p>
    <w:p w14:paraId="578A63A4" w14:textId="77777777" w:rsidR="005709A8" w:rsidRPr="004D38F7" w:rsidRDefault="005709A8" w:rsidP="005709A8">
      <w:pPr>
        <w:spacing w:line="360" w:lineRule="auto"/>
        <w:ind w:left="567" w:right="539"/>
        <w:rPr>
          <w:rFonts w:ascii="Palatino Linotype" w:hAnsi="Palatino Linotype" w:cs="Tahoma"/>
          <w:b/>
          <w:bCs/>
          <w:i/>
        </w:rPr>
      </w:pPr>
      <w:r w:rsidRPr="004D38F7">
        <w:rPr>
          <w:rFonts w:ascii="Palatino Linotype" w:hAnsi="Palatino Linotype" w:cs="Tahoma"/>
          <w:b/>
          <w:bCs/>
          <w:i/>
        </w:rPr>
        <w:t xml:space="preserve">III. Ordenar y practicar auditorias, visitas e inspecciones a las entidades fiscalizables, en todo momento y conforme al programa aprobado por el Auditor Superior; </w:t>
      </w:r>
    </w:p>
    <w:p w14:paraId="731D7652" w14:textId="77777777" w:rsidR="005709A8" w:rsidRPr="004D38F7" w:rsidRDefault="005709A8" w:rsidP="005709A8">
      <w:pPr>
        <w:spacing w:line="360" w:lineRule="auto"/>
        <w:ind w:left="567" w:right="539"/>
        <w:rPr>
          <w:rFonts w:ascii="Palatino Linotype" w:hAnsi="Palatino Linotype" w:cs="Tahoma"/>
          <w:b/>
          <w:bCs/>
          <w:i/>
        </w:rPr>
      </w:pPr>
      <w:r w:rsidRPr="004D38F7">
        <w:rPr>
          <w:rFonts w:ascii="Palatino Linotype" w:hAnsi="Palatino Linotype" w:cs="Tahoma"/>
          <w:b/>
          <w:bCs/>
          <w:i/>
        </w:rPr>
        <w:t>IV. Formular pliegos de observaciones, en los términos de esta Ley;</w:t>
      </w:r>
    </w:p>
    <w:p w14:paraId="4C512FA2"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V</w:t>
      </w:r>
      <w:r w:rsidRPr="004D38F7">
        <w:rPr>
          <w:rFonts w:ascii="Palatino Linotype" w:hAnsi="Palatino Linotype" w:cs="Tahoma"/>
          <w:bCs/>
          <w:i/>
        </w:rPr>
        <w:t>. Determinar y cuantificar los daños y perjuicios causados a las haciendas públicas o al patrimonio de las entidades fiscalizables que detecten en ejercicio de sus funciones, y formular los pliegos correspondientes, para que se inicien los procedimientos resarcitorios a que haya lugar;</w:t>
      </w:r>
    </w:p>
    <w:p w14:paraId="619D3FD4"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VI a XVII</w:t>
      </w:r>
      <w:r w:rsidRPr="004D38F7">
        <w:rPr>
          <w:rFonts w:ascii="Palatino Linotype" w:hAnsi="Palatino Linotype" w:cs="Tahoma"/>
          <w:bCs/>
          <w:i/>
        </w:rPr>
        <w:t>…</w:t>
      </w:r>
    </w:p>
    <w:p w14:paraId="68A68A05" w14:textId="77777777" w:rsidR="005709A8" w:rsidRPr="004D38F7" w:rsidRDefault="005709A8" w:rsidP="005709A8">
      <w:pPr>
        <w:spacing w:line="360" w:lineRule="auto"/>
        <w:ind w:left="567" w:right="539"/>
        <w:rPr>
          <w:rFonts w:ascii="Palatino Linotype" w:hAnsi="Palatino Linotype" w:cs="Tahoma"/>
          <w:bCs/>
        </w:rPr>
      </w:pPr>
      <w:r w:rsidRPr="004D38F7">
        <w:rPr>
          <w:rFonts w:ascii="Palatino Linotype" w:hAnsi="Palatino Linotype" w:cs="Tahoma"/>
          <w:bCs/>
        </w:rPr>
        <w:t>(Énfasis añadido)</w:t>
      </w:r>
    </w:p>
    <w:p w14:paraId="5809D222" w14:textId="77777777" w:rsidR="005709A8" w:rsidRPr="004D38F7" w:rsidRDefault="005709A8" w:rsidP="005709A8">
      <w:pPr>
        <w:spacing w:line="360" w:lineRule="auto"/>
        <w:rPr>
          <w:rFonts w:ascii="Palatino Linotype" w:hAnsi="Palatino Linotype" w:cs="Tahoma"/>
          <w:bCs/>
        </w:rPr>
      </w:pPr>
    </w:p>
    <w:p w14:paraId="0BCF46E9"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De la normatividad anteriormente transcrita se advierte que el Órgano Superior de Fiscalización del Estado de México practica auditorías a los entes fiscalizables dentro de los que se encuentra el </w:t>
      </w:r>
      <w:r w:rsidR="00356FE1" w:rsidRPr="004D38F7">
        <w:rPr>
          <w:rFonts w:ascii="Palatino Linotype" w:hAnsi="Palatino Linotype" w:cs="Tahoma"/>
        </w:rPr>
        <w:t>Ayuntamiento de Ixtapaluca</w:t>
      </w:r>
      <w:r w:rsidRPr="004D38F7">
        <w:rPr>
          <w:rFonts w:ascii="Palatino Linotype" w:hAnsi="Palatino Linotype" w:cs="Tahoma"/>
        </w:rPr>
        <w:t>, razón por la cual para las etapas de la auditoría se trae a colación</w:t>
      </w:r>
      <w:r w:rsidRPr="004D38F7">
        <w:rPr>
          <w:rFonts w:ascii="Palatino Linotype" w:eastAsia="Times New Roman" w:hAnsi="Palatino Linotype" w:cs="Tahoma"/>
        </w:rPr>
        <w:t xml:space="preserve"> el Manual de Procedimientos de la Dirección de Auditoría Financiera (consultado en la liga electrónica </w:t>
      </w:r>
      <w:hyperlink r:id="rId17" w:history="1">
        <w:r w:rsidRPr="004D38F7">
          <w:rPr>
            <w:rFonts w:ascii="Palatino Linotype" w:eastAsia="Times New Roman" w:hAnsi="Palatino Linotype" w:cs="Tahoma"/>
            <w:color w:val="0563C1"/>
            <w:u w:val="single"/>
          </w:rPr>
          <w:t>https://administracionyfinanzasplem.gob.mx/uinfosec/DirRaiz/Public/J0nAL3M1k_Manual_de_Procedimientos_de_la_Direcci%C3%B3n_de_Auditoria_Financiera.pdf</w:t>
        </w:r>
      </w:hyperlink>
      <w:r w:rsidRPr="004D38F7">
        <w:rPr>
          <w:rFonts w:ascii="Palatino Linotype" w:eastAsia="Times New Roman" w:hAnsi="Palatino Linotype" w:cs="Tahoma"/>
        </w:rPr>
        <w:t xml:space="preserve"> ), el cual indica las etapas de la Auditoría Financiera, al contener el procedimiento denominado “Planeación y Ejecución de Auditoría Financiera”, que tiene como objetivo fiscalizar el ejercicio, custodia y aplicación de los recursos públicos de las entidades fiscalizables del Estado de México, el cual contiene las siguientes etapas:</w:t>
      </w:r>
    </w:p>
    <w:p w14:paraId="29E002FB" w14:textId="77777777" w:rsidR="005709A8" w:rsidRPr="004D38F7" w:rsidRDefault="005709A8" w:rsidP="005709A8">
      <w:pPr>
        <w:spacing w:line="360" w:lineRule="auto"/>
        <w:rPr>
          <w:rFonts w:ascii="Palatino Linotype" w:eastAsia="Times New Roman" w:hAnsi="Palatino Linotype" w:cs="Tahoma"/>
        </w:rPr>
      </w:pPr>
    </w:p>
    <w:p w14:paraId="11DF22B7" w14:textId="77777777" w:rsidR="005709A8" w:rsidRPr="004D38F7" w:rsidRDefault="005709A8" w:rsidP="005709A8">
      <w:pPr>
        <w:pStyle w:val="Prrafodelista"/>
        <w:numPr>
          <w:ilvl w:val="0"/>
          <w:numId w:val="29"/>
        </w:numPr>
        <w:spacing w:line="360" w:lineRule="auto"/>
        <w:jc w:val="both"/>
        <w:rPr>
          <w:rFonts w:ascii="Palatino Linotype" w:eastAsia="Times New Roman" w:hAnsi="Palatino Linotype" w:cs="Tahoma"/>
          <w:b/>
        </w:rPr>
      </w:pPr>
      <w:r w:rsidRPr="004D38F7">
        <w:rPr>
          <w:rFonts w:ascii="Palatino Linotype" w:eastAsia="Times New Roman" w:hAnsi="Palatino Linotype" w:cs="Tahoma"/>
          <w:b/>
        </w:rPr>
        <w:t xml:space="preserve">Planeación de la auditoría: </w:t>
      </w:r>
      <w:r w:rsidRPr="004D38F7">
        <w:rPr>
          <w:rFonts w:ascii="Palatino Linotype" w:eastAsia="Times New Roman" w:hAnsi="Palatino Linotype" w:cs="Tahoma"/>
        </w:rPr>
        <w:t>En la cual, se desarrolla el plan de la autoría y la orden de la misma, para realizar la cita con los servidores públicos destinatarios (dependencia) para la notificación de dichos documentos.</w:t>
      </w:r>
    </w:p>
    <w:p w14:paraId="38437D8E" w14:textId="77777777" w:rsidR="005709A8" w:rsidRPr="004D38F7" w:rsidRDefault="005709A8" w:rsidP="005709A8">
      <w:pPr>
        <w:spacing w:line="360" w:lineRule="auto"/>
        <w:rPr>
          <w:rFonts w:ascii="Palatino Linotype" w:eastAsia="Times New Roman" w:hAnsi="Palatino Linotype" w:cs="Tahoma"/>
          <w:b/>
        </w:rPr>
      </w:pPr>
    </w:p>
    <w:p w14:paraId="10347779" w14:textId="77777777" w:rsidR="005709A8" w:rsidRPr="004D38F7" w:rsidRDefault="005709A8" w:rsidP="005709A8">
      <w:pPr>
        <w:pStyle w:val="Prrafodelista"/>
        <w:numPr>
          <w:ilvl w:val="0"/>
          <w:numId w:val="29"/>
        </w:numPr>
        <w:spacing w:line="360" w:lineRule="auto"/>
        <w:jc w:val="both"/>
        <w:rPr>
          <w:rFonts w:ascii="Palatino Linotype" w:eastAsia="Times New Roman" w:hAnsi="Palatino Linotype" w:cs="Tahoma"/>
          <w:b/>
        </w:rPr>
      </w:pPr>
      <w:r w:rsidRPr="004D38F7">
        <w:rPr>
          <w:rFonts w:ascii="Palatino Linotype" w:eastAsia="Times New Roman" w:hAnsi="Palatino Linotype" w:cs="Tahoma"/>
          <w:b/>
        </w:rPr>
        <w:t xml:space="preserve">Desarrollo de la auditoría: </w:t>
      </w:r>
      <w:r w:rsidRPr="004D38F7">
        <w:rPr>
          <w:rFonts w:ascii="Palatino Linotype" w:eastAsia="Times New Roman" w:hAnsi="Palatino Linotype" w:cs="Tahoma"/>
        </w:rPr>
        <w:t>Misma que se desarrolla en las siguientes fases:</w:t>
      </w:r>
    </w:p>
    <w:p w14:paraId="47D809FD" w14:textId="77777777" w:rsidR="005709A8" w:rsidRPr="004D38F7" w:rsidRDefault="005709A8" w:rsidP="005709A8">
      <w:pPr>
        <w:numPr>
          <w:ilvl w:val="0"/>
          <w:numId w:val="32"/>
        </w:numPr>
        <w:spacing w:line="360" w:lineRule="auto"/>
        <w:ind w:left="1134"/>
        <w:jc w:val="both"/>
        <w:rPr>
          <w:rFonts w:ascii="Palatino Linotype" w:eastAsia="Times New Roman" w:hAnsi="Palatino Linotype" w:cs="Tahoma"/>
          <w:b/>
        </w:rPr>
      </w:pPr>
      <w:r w:rsidRPr="004D38F7">
        <w:rPr>
          <w:rFonts w:ascii="Palatino Linotype" w:eastAsia="Times New Roman" w:hAnsi="Palatino Linotype" w:cs="Tahoma"/>
        </w:rPr>
        <w:t>Se levanta el acta de inicio y se notifica la orden de auditoría; por lo cual, se inician los trabajos de fiscalización conforme al plan de auditoría;</w:t>
      </w:r>
    </w:p>
    <w:p w14:paraId="46040F1E" w14:textId="77777777" w:rsidR="005709A8" w:rsidRPr="004D38F7" w:rsidRDefault="005709A8" w:rsidP="005709A8">
      <w:pPr>
        <w:numPr>
          <w:ilvl w:val="0"/>
          <w:numId w:val="32"/>
        </w:numPr>
        <w:spacing w:line="360" w:lineRule="auto"/>
        <w:ind w:left="1134"/>
        <w:jc w:val="both"/>
        <w:rPr>
          <w:rFonts w:ascii="Palatino Linotype" w:eastAsia="Times New Roman" w:hAnsi="Palatino Linotype" w:cs="Tahoma"/>
          <w:b/>
        </w:rPr>
      </w:pPr>
      <w:r w:rsidRPr="004D38F7">
        <w:rPr>
          <w:rFonts w:ascii="Palatino Linotype" w:eastAsia="Times New Roman" w:hAnsi="Palatino Linotype" w:cs="Tahoma"/>
        </w:rPr>
        <w:t>Se analiza la documentación recibida por la dependencia, con el fin de verificar si existe una actualización del plan de auditoría, y</w:t>
      </w:r>
    </w:p>
    <w:p w14:paraId="24C4D46E" w14:textId="77777777" w:rsidR="005709A8" w:rsidRPr="004D38F7" w:rsidRDefault="005709A8" w:rsidP="005709A8">
      <w:pPr>
        <w:numPr>
          <w:ilvl w:val="0"/>
          <w:numId w:val="32"/>
        </w:numPr>
        <w:spacing w:line="360" w:lineRule="auto"/>
        <w:ind w:left="1134"/>
        <w:jc w:val="both"/>
        <w:rPr>
          <w:rFonts w:ascii="Palatino Linotype" w:eastAsia="Times New Roman" w:hAnsi="Palatino Linotype" w:cs="Tahoma"/>
          <w:b/>
        </w:rPr>
      </w:pPr>
      <w:r w:rsidRPr="004D38F7">
        <w:rPr>
          <w:rFonts w:ascii="Palatino Linotype" w:eastAsia="Times New Roman" w:hAnsi="Palatino Linotype" w:cs="Tahoma"/>
        </w:rPr>
        <w:t>Se recibe la documentación correspondiente, conforme al plan de auditoría y se aplica el procedimiento de auditoría, correspondiente a la fiscalización y determinación de los resultados presentados, en el cual, se deberá motivar y fundamentar cada observación.</w:t>
      </w:r>
    </w:p>
    <w:p w14:paraId="2E165455" w14:textId="77777777" w:rsidR="005709A8" w:rsidRPr="004D38F7" w:rsidRDefault="005709A8" w:rsidP="005709A8">
      <w:pPr>
        <w:spacing w:line="360" w:lineRule="auto"/>
        <w:rPr>
          <w:rFonts w:ascii="Palatino Linotype" w:eastAsia="Times New Roman" w:hAnsi="Palatino Linotype" w:cs="Tahoma"/>
          <w:b/>
        </w:rPr>
      </w:pPr>
    </w:p>
    <w:p w14:paraId="29AE0896" w14:textId="77777777" w:rsidR="005709A8" w:rsidRPr="004D38F7" w:rsidRDefault="005709A8" w:rsidP="005709A8">
      <w:pPr>
        <w:pStyle w:val="Prrafodelista"/>
        <w:numPr>
          <w:ilvl w:val="0"/>
          <w:numId w:val="37"/>
        </w:numPr>
        <w:spacing w:line="360" w:lineRule="auto"/>
        <w:jc w:val="both"/>
        <w:rPr>
          <w:rFonts w:ascii="Palatino Linotype" w:eastAsia="Times New Roman" w:hAnsi="Palatino Linotype" w:cs="Tahoma"/>
          <w:b/>
        </w:rPr>
      </w:pPr>
      <w:r w:rsidRPr="004D38F7">
        <w:rPr>
          <w:rFonts w:ascii="Palatino Linotype" w:eastAsia="Times New Roman" w:hAnsi="Palatino Linotype" w:cs="Tahoma"/>
          <w:b/>
        </w:rPr>
        <w:t xml:space="preserve">Realización del Informe de auditoría: </w:t>
      </w:r>
      <w:r w:rsidRPr="004D38F7">
        <w:rPr>
          <w:rFonts w:ascii="Palatino Linotype" w:eastAsia="Times New Roman" w:hAnsi="Palatino Linotype" w:cs="Tahoma"/>
        </w:rPr>
        <w:t>Se realiza el informe de la auditoría y coordina los trabajos del cierre de la auditoría, mediante la elaboración del pliego de observaciones.</w:t>
      </w:r>
    </w:p>
    <w:p w14:paraId="148C35D1" w14:textId="77777777" w:rsidR="005709A8" w:rsidRPr="004D38F7" w:rsidRDefault="005709A8" w:rsidP="005709A8">
      <w:pPr>
        <w:spacing w:line="360" w:lineRule="auto"/>
        <w:rPr>
          <w:rFonts w:ascii="Palatino Linotype" w:eastAsia="Times New Roman" w:hAnsi="Palatino Linotype" w:cs="Tahoma"/>
          <w:b/>
        </w:rPr>
      </w:pPr>
    </w:p>
    <w:p w14:paraId="61F945CD" w14:textId="77777777" w:rsidR="005709A8" w:rsidRPr="004D38F7" w:rsidRDefault="005709A8" w:rsidP="005709A8">
      <w:pPr>
        <w:pStyle w:val="Prrafodelista"/>
        <w:numPr>
          <w:ilvl w:val="0"/>
          <w:numId w:val="37"/>
        </w:numPr>
        <w:spacing w:line="360" w:lineRule="auto"/>
        <w:jc w:val="both"/>
        <w:rPr>
          <w:rFonts w:ascii="Palatino Linotype" w:eastAsia="Times New Roman" w:hAnsi="Palatino Linotype" w:cs="Tahoma"/>
          <w:b/>
        </w:rPr>
      </w:pPr>
      <w:r w:rsidRPr="004D38F7">
        <w:rPr>
          <w:rFonts w:ascii="Palatino Linotype" w:eastAsia="Times New Roman" w:hAnsi="Palatino Linotype" w:cs="Tahoma"/>
          <w:b/>
        </w:rPr>
        <w:t xml:space="preserve">Cierre de auditoría: </w:t>
      </w:r>
      <w:r w:rsidRPr="004D38F7">
        <w:rPr>
          <w:rFonts w:ascii="Palatino Linotype" w:eastAsia="Times New Roman" w:hAnsi="Palatino Linotype" w:cs="Tahoma"/>
        </w:rPr>
        <w:t>La cual, se lleva a cabo de la siguiente manera:</w:t>
      </w:r>
    </w:p>
    <w:p w14:paraId="32F7B020" w14:textId="77777777" w:rsidR="005709A8" w:rsidRPr="004D38F7" w:rsidRDefault="005709A8" w:rsidP="005709A8">
      <w:pPr>
        <w:numPr>
          <w:ilvl w:val="0"/>
          <w:numId w:val="33"/>
        </w:numPr>
        <w:spacing w:line="360" w:lineRule="auto"/>
        <w:ind w:left="1134"/>
        <w:jc w:val="both"/>
        <w:rPr>
          <w:rFonts w:ascii="Palatino Linotype" w:eastAsia="Times New Roman" w:hAnsi="Palatino Linotype" w:cs="Tahoma"/>
          <w:b/>
        </w:rPr>
      </w:pPr>
      <w:r w:rsidRPr="004D38F7">
        <w:rPr>
          <w:rFonts w:ascii="Palatino Linotype" w:eastAsia="Times New Roman" w:hAnsi="Palatino Linotype" w:cs="Tahoma"/>
        </w:rPr>
        <w:t>Se realiza la cita con los servidores públicos destinatarios del pliego de observaciones;</w:t>
      </w:r>
    </w:p>
    <w:p w14:paraId="632C8F9E" w14:textId="77777777" w:rsidR="005709A8" w:rsidRPr="004D38F7" w:rsidRDefault="005709A8" w:rsidP="005709A8">
      <w:pPr>
        <w:numPr>
          <w:ilvl w:val="0"/>
          <w:numId w:val="33"/>
        </w:numPr>
        <w:spacing w:line="360" w:lineRule="auto"/>
        <w:ind w:left="1134"/>
        <w:jc w:val="both"/>
        <w:rPr>
          <w:rFonts w:ascii="Palatino Linotype" w:eastAsia="Times New Roman" w:hAnsi="Palatino Linotype" w:cs="Tahoma"/>
          <w:bCs/>
        </w:rPr>
      </w:pPr>
      <w:r w:rsidRPr="004D38F7">
        <w:rPr>
          <w:rFonts w:ascii="Palatino Linotype" w:eastAsia="Times New Roman" w:hAnsi="Palatino Linotype" w:cs="Tahoma"/>
          <w:bCs/>
        </w:rPr>
        <w:t>Se levanta el acta de cierre de auditoría de la dependencia, y se notifica el pliego de observaciones, y</w:t>
      </w:r>
    </w:p>
    <w:p w14:paraId="3F8E91FD" w14:textId="77777777" w:rsidR="005709A8" w:rsidRPr="004D38F7" w:rsidRDefault="005709A8" w:rsidP="005709A8">
      <w:pPr>
        <w:numPr>
          <w:ilvl w:val="0"/>
          <w:numId w:val="33"/>
        </w:numPr>
        <w:spacing w:line="360" w:lineRule="auto"/>
        <w:ind w:left="1134"/>
        <w:jc w:val="both"/>
        <w:rPr>
          <w:rFonts w:ascii="Palatino Linotype" w:eastAsia="Times New Roman" w:hAnsi="Palatino Linotype" w:cs="Tahoma"/>
          <w:b/>
        </w:rPr>
      </w:pPr>
      <w:r w:rsidRPr="004D38F7">
        <w:rPr>
          <w:rFonts w:ascii="Palatino Linotype" w:eastAsia="Times New Roman" w:hAnsi="Palatino Linotype" w:cs="Tahoma"/>
        </w:rPr>
        <w:t xml:space="preserve">Entrega el expediente técnico de la auditoría a la Coordinación de </w:t>
      </w:r>
      <w:proofErr w:type="spellStart"/>
      <w:r w:rsidRPr="004D38F7">
        <w:rPr>
          <w:rFonts w:ascii="Palatino Linotype" w:eastAsia="Times New Roman" w:hAnsi="Palatino Linotype" w:cs="Tahoma"/>
        </w:rPr>
        <w:t>Solventaciones</w:t>
      </w:r>
      <w:proofErr w:type="spellEnd"/>
      <w:r w:rsidRPr="004D38F7">
        <w:rPr>
          <w:rFonts w:ascii="Palatino Linotype" w:eastAsia="Times New Roman" w:hAnsi="Palatino Linotype" w:cs="Tahoma"/>
        </w:rPr>
        <w:t xml:space="preserve"> de Auditoría Financiera, Auditoría de Obra y Evaluación de Programas.</w:t>
      </w:r>
    </w:p>
    <w:p w14:paraId="5B837ED6" w14:textId="77777777" w:rsidR="005709A8" w:rsidRPr="004D38F7" w:rsidRDefault="005709A8" w:rsidP="005709A8">
      <w:pPr>
        <w:spacing w:line="360" w:lineRule="auto"/>
        <w:rPr>
          <w:rFonts w:ascii="Palatino Linotype" w:eastAsia="Times New Roman" w:hAnsi="Palatino Linotype" w:cs="Tahoma"/>
        </w:rPr>
      </w:pPr>
    </w:p>
    <w:p w14:paraId="5EA5AF1B"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Por otra parte, el artículo 53 de la Ley de Fiscalización Superior del Estado de México, establece que, en los casos, en que, del ejercicio de atribuciones de fiscalización, se observa o determina alguna irregularidad que implique daño al patrimonio de las entidades fiscalizables, se deberá iniciar </w:t>
      </w:r>
      <w:r w:rsidRPr="004D38F7">
        <w:rPr>
          <w:rFonts w:ascii="Palatino Linotype" w:eastAsia="Times New Roman" w:hAnsi="Palatino Linotype" w:cs="Tahoma"/>
          <w:b/>
        </w:rPr>
        <w:t>una etapa de aclaración, previo al inicio del procedimiento resarcitorio.</w:t>
      </w:r>
      <w:r w:rsidRPr="004D38F7">
        <w:rPr>
          <w:rFonts w:ascii="Palatino Linotype" w:eastAsia="Times New Roman" w:hAnsi="Palatino Linotype" w:cs="Tahoma"/>
        </w:rPr>
        <w:t xml:space="preserve"> Dicha etapa, tiene como fin, requerir a la dependencia para solventar y aclarar el contenido de las observaciones, tal como se muestra a continuación:</w:t>
      </w:r>
    </w:p>
    <w:p w14:paraId="153B9712" w14:textId="77777777" w:rsidR="005709A8" w:rsidRPr="004D38F7" w:rsidRDefault="005709A8" w:rsidP="005709A8">
      <w:pPr>
        <w:spacing w:line="360" w:lineRule="auto"/>
        <w:rPr>
          <w:rFonts w:ascii="Palatino Linotype" w:eastAsia="Times New Roman" w:hAnsi="Palatino Linotype" w:cs="Tahoma"/>
        </w:rPr>
      </w:pPr>
    </w:p>
    <w:p w14:paraId="2A1F5579"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Artículo 53.</w:t>
      </w:r>
      <w:r w:rsidRPr="004D38F7">
        <w:rPr>
          <w:rFonts w:ascii="Palatino Linotype" w:hAnsi="Palatino Linotype" w:cs="Tahoma"/>
          <w:bCs/>
          <w:i/>
        </w:rPr>
        <w:t xml:space="preserve"> Si del ejercicio de las atribuciones de fiscalización del Órgano Superior, se observa alguna probable irregularidad, daño y/o perjuicio a la hacienda pública estatal o municipal, o al patrimonio de las entidades fiscalizadas, procederá lo siguiente:</w:t>
      </w:r>
    </w:p>
    <w:p w14:paraId="0F1EC4D3" w14:textId="77777777" w:rsidR="005709A8" w:rsidRPr="004D38F7" w:rsidRDefault="005709A8" w:rsidP="005709A8">
      <w:pPr>
        <w:spacing w:line="360" w:lineRule="auto"/>
        <w:ind w:left="567" w:right="539"/>
        <w:rPr>
          <w:rFonts w:ascii="Palatino Linotype" w:hAnsi="Palatino Linotype" w:cs="Tahoma"/>
          <w:bCs/>
          <w:i/>
        </w:rPr>
      </w:pPr>
    </w:p>
    <w:p w14:paraId="2A71792B"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I.</w:t>
      </w:r>
      <w:r w:rsidRPr="004D38F7">
        <w:rPr>
          <w:rFonts w:ascii="Palatino Linotype" w:hAnsi="Palatino Linotype" w:cs="Tahoma"/>
          <w:bCs/>
          <w:i/>
        </w:rPr>
        <w:t xml:space="preserve"> </w:t>
      </w:r>
      <w:r w:rsidRPr="004D38F7">
        <w:rPr>
          <w:rFonts w:ascii="Palatino Linotype" w:hAnsi="Palatino Linotype" w:cs="Tahoma"/>
          <w:bCs/>
          <w:i/>
          <w:u w:val="single"/>
        </w:rPr>
        <w:t xml:space="preserve">Acciones y previsiones, incluidas solicitudes de aclaración, pliegos de observaciones, informes de presunta responsabilidad administrativa, promociones del </w:t>
      </w:r>
      <w:r w:rsidRPr="004D38F7">
        <w:rPr>
          <w:rFonts w:ascii="Palatino Linotype" w:hAnsi="Palatino Linotype" w:cs="Tahoma"/>
          <w:bCs/>
          <w:i/>
          <w:u w:val="single"/>
        </w:rPr>
        <w:lastRenderedPageBreak/>
        <w:t>ejercicio de la facultad de comprobación fiscal, promociones de responsabilidad administrativa sancionatoria, denuncias de hechos ante la Fiscalía General de Justicia del Estado de México y denuncias de juicio político</w:t>
      </w:r>
      <w:r w:rsidRPr="004D38F7">
        <w:rPr>
          <w:rFonts w:ascii="Palatino Linotype" w:hAnsi="Palatino Linotype" w:cs="Tahoma"/>
          <w:bCs/>
          <w:i/>
        </w:rPr>
        <w:t xml:space="preserve">; atendiendo a los principios del debido proceso, así como a la Ley General de Responsabilidades Administrativas y la Ley de Responsabilidades Administrativas del Estado de México; y </w:t>
      </w:r>
    </w:p>
    <w:p w14:paraId="5E422808"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II.</w:t>
      </w:r>
      <w:r w:rsidRPr="004D38F7">
        <w:rPr>
          <w:rFonts w:ascii="Palatino Linotype" w:hAnsi="Palatino Linotype" w:cs="Tahoma"/>
          <w:bCs/>
          <w:i/>
        </w:rPr>
        <w:t xml:space="preserve"> </w:t>
      </w:r>
      <w:r w:rsidRPr="004D38F7">
        <w:rPr>
          <w:rFonts w:ascii="Palatino Linotype" w:hAnsi="Palatino Linotype" w:cs="Tahoma"/>
          <w:bCs/>
          <w:i/>
          <w:u w:val="single"/>
        </w:rPr>
        <w:t>Recomendaciones</w:t>
      </w:r>
      <w:r w:rsidRPr="004D38F7">
        <w:rPr>
          <w:rFonts w:ascii="Palatino Linotype" w:hAnsi="Palatino Linotype" w:cs="Tahoma"/>
          <w:bCs/>
          <w:i/>
        </w:rPr>
        <w:t>.</w:t>
      </w:r>
    </w:p>
    <w:p w14:paraId="2B06AAB3" w14:textId="77777777" w:rsidR="005709A8" w:rsidRPr="004D38F7" w:rsidRDefault="005709A8" w:rsidP="005709A8">
      <w:pPr>
        <w:spacing w:line="360" w:lineRule="auto"/>
        <w:rPr>
          <w:rFonts w:ascii="Palatino Linotype" w:eastAsia="Times New Roman" w:hAnsi="Palatino Linotype" w:cs="Tahoma"/>
        </w:rPr>
      </w:pPr>
    </w:p>
    <w:p w14:paraId="39CF6F2B"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Ahora bien, por lo que hace a los documentos realizados por el Sujeto Obligado en atención a las observaciones realizadas por el Órgano Superior de Fiscalización del Estado de México, el artículo 54 de la Ley de Fiscalización Superior del Estado de México, establece que,</w:t>
      </w:r>
      <w:r w:rsidRPr="004D38F7">
        <w:rPr>
          <w:rFonts w:ascii="Palatino Linotype" w:eastAsia="Times New Roman" w:hAnsi="Palatino Linotype"/>
        </w:rPr>
        <w:t xml:space="preserve"> </w:t>
      </w:r>
      <w:r w:rsidRPr="004D38F7">
        <w:rPr>
          <w:rFonts w:ascii="Palatino Linotype" w:eastAsia="Times New Roman" w:hAnsi="Palatino Linotype" w:cs="Tahoma"/>
        </w:rPr>
        <w:t xml:space="preserve">la etapa de aclaración tiene como finalidad que la entidad fiscalizada, solvente o aclare el contenido de las observaciones Dicha etapa, tiene como fin, dar oportunidad a la dependencia </w:t>
      </w:r>
      <w:r w:rsidRPr="004D38F7">
        <w:rPr>
          <w:rFonts w:ascii="Palatino Linotype" w:eastAsia="Times New Roman" w:hAnsi="Palatino Linotype" w:cs="Tahoma"/>
          <w:b/>
        </w:rPr>
        <w:t xml:space="preserve">para solventar y aclarar el contenido de las observaciones, </w:t>
      </w:r>
      <w:r w:rsidRPr="004D38F7">
        <w:rPr>
          <w:rFonts w:ascii="Palatino Linotype" w:eastAsia="Times New Roman" w:hAnsi="Palatino Linotype" w:cs="Tahoma"/>
        </w:rPr>
        <w:t>tal como se muestra a continuación:</w:t>
      </w:r>
    </w:p>
    <w:p w14:paraId="65E88BCD" w14:textId="77777777" w:rsidR="005709A8" w:rsidRPr="004D38F7" w:rsidRDefault="005709A8" w:rsidP="005709A8">
      <w:pPr>
        <w:spacing w:line="360" w:lineRule="auto"/>
        <w:rPr>
          <w:rFonts w:ascii="Palatino Linotype" w:eastAsia="Times New Roman" w:hAnsi="Palatino Linotype" w:cs="Tahoma"/>
          <w:b/>
        </w:rPr>
      </w:pPr>
    </w:p>
    <w:p w14:paraId="254826BE"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Artículo 54.</w:t>
      </w:r>
      <w:r w:rsidRPr="004D38F7">
        <w:rPr>
          <w:rFonts w:ascii="Palatino Linotype" w:hAnsi="Palatino Linotype" w:cs="Tahoma"/>
          <w:bCs/>
          <w:i/>
        </w:rPr>
        <w:t xml:space="preserve"> La etapa de aclaración tiene como finalidad que la entidad fiscalizada, solvente o aclare el contenido de las observaciones. La etapa de aclaración se desarrollará de la siguiente manera:</w:t>
      </w:r>
    </w:p>
    <w:p w14:paraId="5C0316BF" w14:textId="77777777" w:rsidR="005709A8" w:rsidRPr="004D38F7" w:rsidRDefault="005709A8" w:rsidP="005709A8">
      <w:pPr>
        <w:spacing w:line="360" w:lineRule="auto"/>
        <w:ind w:left="567" w:right="539"/>
        <w:rPr>
          <w:rFonts w:ascii="Palatino Linotype" w:hAnsi="Palatino Linotype" w:cs="Tahoma"/>
          <w:bCs/>
          <w:i/>
        </w:rPr>
      </w:pPr>
    </w:p>
    <w:p w14:paraId="7D8C816A" w14:textId="77777777" w:rsidR="005709A8" w:rsidRPr="004D38F7" w:rsidRDefault="005709A8" w:rsidP="005709A8">
      <w:pPr>
        <w:spacing w:line="360" w:lineRule="auto"/>
        <w:ind w:left="567" w:right="539"/>
        <w:rPr>
          <w:rFonts w:ascii="Palatino Linotype" w:hAnsi="Palatino Linotype" w:cs="Tahoma"/>
          <w:b/>
          <w:i/>
          <w:u w:val="single"/>
        </w:rPr>
      </w:pPr>
      <w:r w:rsidRPr="004D38F7">
        <w:rPr>
          <w:rFonts w:ascii="Palatino Linotype" w:hAnsi="Palatino Linotype" w:cs="Tahoma"/>
          <w:b/>
          <w:bCs/>
          <w:i/>
        </w:rPr>
        <w:t xml:space="preserve">I. El Órgano Superior, formulará y entregará el contenido de las observaciones, del posible daño y/o perjuicio a la hacienda pública estatal o municipal, o al patrimonio de las entidades fiscalizadas dentro de los </w:t>
      </w:r>
      <w:r w:rsidRPr="004D38F7">
        <w:rPr>
          <w:rFonts w:ascii="Palatino Linotype" w:hAnsi="Palatino Linotype" w:cs="Tahoma"/>
          <w:b/>
          <w:bCs/>
          <w:i/>
          <w:u w:val="single"/>
        </w:rPr>
        <w:t>informes de auditoría</w:t>
      </w:r>
      <w:r w:rsidRPr="004D38F7">
        <w:rPr>
          <w:rFonts w:ascii="Palatino Linotype" w:hAnsi="Palatino Linotype" w:cs="Tahoma"/>
          <w:bCs/>
          <w:i/>
          <w:u w:val="single"/>
        </w:rPr>
        <w:t xml:space="preserve">; </w:t>
      </w:r>
      <w:r w:rsidRPr="004D38F7">
        <w:rPr>
          <w:rFonts w:ascii="Palatino Linotype" w:hAnsi="Palatino Linotype" w:cs="Tahoma"/>
          <w:b/>
          <w:i/>
          <w:u w:val="single"/>
        </w:rPr>
        <w:t>para que, dentro del plazo de treinta días hábiles, aclare, solvente o manifieste lo que a su derecho convenga;</w:t>
      </w:r>
    </w:p>
    <w:p w14:paraId="124DAC28"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lastRenderedPageBreak/>
        <w:t>II</w:t>
      </w:r>
      <w:r w:rsidRPr="004D38F7">
        <w:rPr>
          <w:rFonts w:ascii="Palatino Linotype" w:hAnsi="Palatino Linotype" w:cs="Tahoma"/>
          <w:bCs/>
          <w:i/>
        </w:rPr>
        <w:t>. A través de las solicitudes de aclaración, el Órgano Superior, requerirá a la entidad fiscalizada para que presente, dentro del plazo a que se refiere la fracción anterior, la información adicional para atender las observaciones que se hayan realizado;</w:t>
      </w:r>
    </w:p>
    <w:p w14:paraId="48D23CB1"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III</w:t>
      </w:r>
      <w:r w:rsidRPr="004D38F7">
        <w:rPr>
          <w:rFonts w:ascii="Palatino Linotype" w:hAnsi="Palatino Linotype" w:cs="Tahoma"/>
          <w:bCs/>
          <w:i/>
        </w:rPr>
        <w:t xml:space="preserve">. Si las observaciones que derivaron en una solicitud de aclaración han quedado solventadas, el daño y/o perjuicio reparado, el Órgano Superior, emitirá el </w:t>
      </w:r>
      <w:r w:rsidRPr="004D38F7">
        <w:rPr>
          <w:rFonts w:ascii="Palatino Linotype" w:hAnsi="Palatino Linotype" w:cs="Tahoma"/>
          <w:b/>
          <w:i/>
          <w:u w:val="single"/>
        </w:rPr>
        <w:t xml:space="preserve">dictamen de </w:t>
      </w:r>
      <w:proofErr w:type="spellStart"/>
      <w:r w:rsidRPr="004D38F7">
        <w:rPr>
          <w:rFonts w:ascii="Palatino Linotype" w:hAnsi="Palatino Linotype" w:cs="Tahoma"/>
          <w:b/>
          <w:i/>
          <w:u w:val="single"/>
        </w:rPr>
        <w:t>solventación</w:t>
      </w:r>
      <w:proofErr w:type="spellEnd"/>
      <w:r w:rsidRPr="004D38F7">
        <w:rPr>
          <w:rFonts w:ascii="Palatino Linotype" w:hAnsi="Palatino Linotype" w:cs="Tahoma"/>
          <w:bCs/>
          <w:i/>
        </w:rPr>
        <w:t>, de lo contrario, formulará el pliego de observaciones, otorgando el plazo previsto en la fracción I de este artículo;</w:t>
      </w:r>
    </w:p>
    <w:p w14:paraId="446F3B0D" w14:textId="77777777" w:rsidR="005709A8" w:rsidRPr="004D38F7" w:rsidRDefault="005709A8" w:rsidP="005709A8">
      <w:pPr>
        <w:spacing w:line="360" w:lineRule="auto"/>
        <w:ind w:left="567" w:right="539"/>
        <w:rPr>
          <w:rFonts w:ascii="Palatino Linotype" w:hAnsi="Palatino Linotype" w:cs="Tahoma"/>
          <w:bCs/>
          <w:i/>
        </w:rPr>
      </w:pPr>
      <w:r w:rsidRPr="004D38F7">
        <w:rPr>
          <w:rFonts w:ascii="Palatino Linotype" w:hAnsi="Palatino Linotype" w:cs="Tahoma"/>
          <w:b/>
          <w:bCs/>
          <w:i/>
        </w:rPr>
        <w:t>IV</w:t>
      </w:r>
      <w:r w:rsidRPr="004D38F7">
        <w:rPr>
          <w:rFonts w:ascii="Palatino Linotype" w:hAnsi="Palatino Linotype" w:cs="Tahoma"/>
          <w:bCs/>
          <w:i/>
        </w:rPr>
        <w:t>. El Órgano Superior, tratándose de los pliegos de observaciones, determinará en cantidad líquida los posibles daños o perjuicios, o ambos a la hacienda pública estatal o municipal, o en su caso al patrimonio de las entidades fiscalizadas;</w:t>
      </w:r>
    </w:p>
    <w:p w14:paraId="7A393903" w14:textId="77777777" w:rsidR="005709A8" w:rsidRPr="004D38F7" w:rsidRDefault="005709A8" w:rsidP="005709A8">
      <w:pPr>
        <w:spacing w:line="360" w:lineRule="auto"/>
        <w:ind w:left="567" w:right="539"/>
        <w:rPr>
          <w:rFonts w:ascii="Palatino Linotype" w:hAnsi="Palatino Linotype" w:cs="Tahoma"/>
          <w:b/>
          <w:i/>
        </w:rPr>
      </w:pPr>
      <w:r w:rsidRPr="004D38F7">
        <w:rPr>
          <w:rFonts w:ascii="Palatino Linotype" w:hAnsi="Palatino Linotype" w:cs="Tahoma"/>
          <w:b/>
          <w:bCs/>
          <w:i/>
        </w:rPr>
        <w:t>V. Una vez agotado el procedimiento previo, investigado y substanciado, el Órgano Superior, promoverá el informe de presunta responsabilidad administrativa ante el Tribunal de Justicia Administrativa del Estado de México</w:t>
      </w:r>
      <w:r w:rsidRPr="004D38F7">
        <w:rPr>
          <w:rFonts w:ascii="Palatino Linotype" w:hAnsi="Palatino Linotype" w:cs="Tahoma"/>
          <w:bCs/>
          <w:i/>
        </w:rPr>
        <w:t>;</w:t>
      </w:r>
      <w:r w:rsidRPr="004D38F7">
        <w:rPr>
          <w:rFonts w:ascii="Palatino Linotype" w:hAnsi="Palatino Linotype" w:cs="Tahoma"/>
          <w:b/>
          <w:i/>
        </w:rPr>
        <w:t xml:space="preserve"> la denuncia de hechos ante la Fiscalía General de Justicia del Estado de México, la denuncia de juicio político ante la Legislatura, o los informes de auditoría ante el órgano interno de control competente, en los términos del Título Quinto de esta Ley.</w:t>
      </w:r>
    </w:p>
    <w:p w14:paraId="004D1963" w14:textId="77777777" w:rsidR="005709A8" w:rsidRPr="004D38F7" w:rsidRDefault="005709A8" w:rsidP="005709A8">
      <w:pPr>
        <w:spacing w:line="360" w:lineRule="auto"/>
        <w:rPr>
          <w:rFonts w:ascii="Palatino Linotype" w:eastAsia="Times New Roman" w:hAnsi="Palatino Linotype" w:cs="Tahoma"/>
        </w:rPr>
      </w:pPr>
    </w:p>
    <w:p w14:paraId="28D390A8"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ese orden de ideas, el Manual de Procedimientos de Coordinación de </w:t>
      </w:r>
      <w:proofErr w:type="spellStart"/>
      <w:r w:rsidRPr="004D38F7">
        <w:rPr>
          <w:rFonts w:ascii="Palatino Linotype" w:eastAsia="Times New Roman" w:hAnsi="Palatino Linotype" w:cs="Tahoma"/>
        </w:rPr>
        <w:t>Solventaciones</w:t>
      </w:r>
      <w:proofErr w:type="spellEnd"/>
      <w:r w:rsidRPr="004D38F7">
        <w:rPr>
          <w:rFonts w:ascii="Palatino Linotype" w:eastAsia="Times New Roman" w:hAnsi="Palatino Linotype" w:cs="Tahoma"/>
        </w:rPr>
        <w:t xml:space="preserve"> de Auditoría Financiera, Obra Pública y Evaluación de Programas (</w:t>
      </w:r>
      <w:hyperlink r:id="rId18" w:history="1">
        <w:r w:rsidRPr="004D38F7">
          <w:rPr>
            <w:rFonts w:ascii="Palatino Linotype" w:eastAsia="Times New Roman" w:hAnsi="Palatino Linotype" w:cs="Tahoma"/>
            <w:color w:val="0563C1"/>
            <w:u w:val="single"/>
          </w:rPr>
          <w:t>https://www.ipomex.org.mx/recursos/ipo/files_ipo3/2018/42897/7/5bea87b930238a4c96daab77b860058d.pdf</w:t>
        </w:r>
      </w:hyperlink>
      <w:r w:rsidRPr="004D38F7">
        <w:rPr>
          <w:rFonts w:ascii="Palatino Linotype" w:eastAsia="Times New Roman" w:hAnsi="Palatino Linotype" w:cs="Tahoma"/>
        </w:rPr>
        <w:t xml:space="preserve">), contiene el procedimiento titulado “Coordinación del seguimiento </w:t>
      </w:r>
      <w:r w:rsidRPr="004D38F7">
        <w:rPr>
          <w:rFonts w:ascii="Palatino Linotype" w:eastAsia="Times New Roman" w:hAnsi="Palatino Linotype" w:cs="Tahoma"/>
        </w:rPr>
        <w:lastRenderedPageBreak/>
        <w:t xml:space="preserve">de las observaciones resarcitorias en el ámbito estatal y municipal”, que tiene como fin coordinar y controlar el proceso de </w:t>
      </w:r>
      <w:r w:rsidRPr="004D38F7">
        <w:rPr>
          <w:rFonts w:ascii="Palatino Linotype" w:eastAsia="Times New Roman" w:hAnsi="Palatino Linotype" w:cs="Tahoma"/>
          <w:b/>
        </w:rPr>
        <w:t xml:space="preserve">atención, análisis y seguimiento de las observaciones resarcitorias derivadas de los actos de fiscalización practicados a las entidades fiscalizables, </w:t>
      </w:r>
      <w:r w:rsidRPr="004D38F7">
        <w:rPr>
          <w:rFonts w:ascii="Palatino Linotype" w:eastAsia="Times New Roman" w:hAnsi="Palatino Linotype" w:cs="Tahoma"/>
          <w:bCs/>
        </w:rPr>
        <w:t>mismo que se</w:t>
      </w:r>
      <w:r w:rsidRPr="004D38F7">
        <w:rPr>
          <w:rFonts w:ascii="Palatino Linotype" w:eastAsia="Times New Roman" w:hAnsi="Palatino Linotype" w:cs="Tahoma"/>
        </w:rPr>
        <w:t xml:space="preserve"> llevará a cabo, conforme a los siguientes pasos:</w:t>
      </w:r>
    </w:p>
    <w:p w14:paraId="57613E85" w14:textId="77777777" w:rsidR="005709A8" w:rsidRPr="004D38F7" w:rsidRDefault="005709A8" w:rsidP="005709A8">
      <w:pPr>
        <w:spacing w:line="360" w:lineRule="auto"/>
        <w:rPr>
          <w:rFonts w:ascii="Palatino Linotype" w:eastAsia="Times New Roman" w:hAnsi="Palatino Linotype" w:cs="Tahoma"/>
        </w:rPr>
      </w:pPr>
    </w:p>
    <w:p w14:paraId="48A8531A" w14:textId="77777777" w:rsidR="005709A8" w:rsidRPr="004D38F7" w:rsidRDefault="005709A8" w:rsidP="005709A8">
      <w:pPr>
        <w:numPr>
          <w:ilvl w:val="0"/>
          <w:numId w:val="38"/>
        </w:numPr>
        <w:spacing w:line="360" w:lineRule="auto"/>
        <w:jc w:val="both"/>
        <w:rPr>
          <w:rFonts w:ascii="Palatino Linotype" w:eastAsia="Times New Roman" w:hAnsi="Palatino Linotype" w:cs="Tahoma"/>
        </w:rPr>
      </w:pPr>
      <w:r w:rsidRPr="004D38F7">
        <w:rPr>
          <w:rFonts w:ascii="Palatino Linotype" w:eastAsia="Times New Roman" w:hAnsi="Palatino Linotype" w:cs="Tahoma"/>
        </w:rPr>
        <w:t>Se recibe de las áreas de fiscalización, el pliego de observaciones resarcitorias, junto con el expediente técnico y las contestaciones presentadas por las entidades fiscalizadas;</w:t>
      </w:r>
    </w:p>
    <w:p w14:paraId="7C88DDAA" w14:textId="77777777" w:rsidR="005709A8" w:rsidRPr="004D38F7" w:rsidRDefault="005709A8" w:rsidP="005709A8">
      <w:pPr>
        <w:spacing w:line="360" w:lineRule="auto"/>
        <w:rPr>
          <w:rFonts w:ascii="Palatino Linotype" w:eastAsia="Times New Roman" w:hAnsi="Palatino Linotype" w:cs="Tahoma"/>
        </w:rPr>
      </w:pPr>
    </w:p>
    <w:p w14:paraId="29ACBF11" w14:textId="77777777" w:rsidR="005709A8" w:rsidRPr="004D38F7" w:rsidRDefault="005709A8" w:rsidP="005709A8">
      <w:pPr>
        <w:numPr>
          <w:ilvl w:val="0"/>
          <w:numId w:val="38"/>
        </w:numPr>
        <w:spacing w:line="360" w:lineRule="auto"/>
        <w:jc w:val="both"/>
        <w:rPr>
          <w:rFonts w:ascii="Palatino Linotype" w:eastAsia="Times New Roman" w:hAnsi="Palatino Linotype" w:cs="Tahoma"/>
        </w:rPr>
      </w:pPr>
      <w:r w:rsidRPr="004D38F7">
        <w:rPr>
          <w:rFonts w:ascii="Palatino Linotype" w:eastAsia="Times New Roman" w:hAnsi="Palatino Linotype" w:cs="Tahoma"/>
        </w:rPr>
        <w:t xml:space="preserve">Se lleva a cabo un análisis y cotejo de los documentos previamente señalado, para plasmar los resultados en la cédula de análisis y el pliego de descargo, con el fin de identificar si se solventaron la totalidad de las observaciones resarcitorias; </w:t>
      </w:r>
    </w:p>
    <w:p w14:paraId="632AAFD6" w14:textId="77777777" w:rsidR="005709A8" w:rsidRPr="004D38F7" w:rsidRDefault="005709A8" w:rsidP="005709A8">
      <w:pPr>
        <w:spacing w:line="360" w:lineRule="auto"/>
        <w:rPr>
          <w:rFonts w:ascii="Palatino Linotype" w:eastAsia="Times New Roman" w:hAnsi="Palatino Linotype" w:cs="Tahoma"/>
        </w:rPr>
      </w:pPr>
    </w:p>
    <w:p w14:paraId="77A89B93" w14:textId="77777777" w:rsidR="005709A8" w:rsidRPr="004D38F7" w:rsidRDefault="005709A8" w:rsidP="005709A8">
      <w:pPr>
        <w:numPr>
          <w:ilvl w:val="0"/>
          <w:numId w:val="38"/>
        </w:numPr>
        <w:spacing w:line="360" w:lineRule="auto"/>
        <w:jc w:val="both"/>
        <w:rPr>
          <w:rFonts w:ascii="Palatino Linotype" w:eastAsia="Times New Roman" w:hAnsi="Palatino Linotype" w:cs="Tahoma"/>
          <w:b/>
        </w:rPr>
      </w:pPr>
      <w:r w:rsidRPr="004D38F7">
        <w:rPr>
          <w:rFonts w:ascii="Palatino Linotype" w:eastAsia="Times New Roman" w:hAnsi="Palatino Linotype" w:cs="Tahoma"/>
        </w:rPr>
        <w:t xml:space="preserve">Se establecen las observaciones solventadas y, en su caso, las no solventadas, se elabora un expediente con las mismas, </w:t>
      </w:r>
      <w:r w:rsidRPr="004D38F7">
        <w:rPr>
          <w:rFonts w:ascii="Palatino Linotype" w:eastAsia="Times New Roman" w:hAnsi="Palatino Linotype" w:cs="Tahoma"/>
          <w:b/>
        </w:rPr>
        <w:t>previó a que fenezca la etapa de aclaración, y</w:t>
      </w:r>
    </w:p>
    <w:p w14:paraId="1A6559C1" w14:textId="77777777" w:rsidR="005709A8" w:rsidRPr="004D38F7" w:rsidRDefault="005709A8" w:rsidP="005709A8">
      <w:pPr>
        <w:spacing w:line="360" w:lineRule="auto"/>
        <w:rPr>
          <w:rFonts w:ascii="Palatino Linotype" w:eastAsia="Times New Roman" w:hAnsi="Palatino Linotype" w:cs="Tahoma"/>
          <w:b/>
        </w:rPr>
      </w:pPr>
    </w:p>
    <w:p w14:paraId="3D3104A0" w14:textId="77777777" w:rsidR="005709A8" w:rsidRPr="004D38F7" w:rsidRDefault="005709A8" w:rsidP="005709A8">
      <w:pPr>
        <w:numPr>
          <w:ilvl w:val="0"/>
          <w:numId w:val="38"/>
        </w:numPr>
        <w:spacing w:line="360" w:lineRule="auto"/>
        <w:jc w:val="both"/>
        <w:rPr>
          <w:rFonts w:ascii="Palatino Linotype" w:eastAsia="Times New Roman" w:hAnsi="Palatino Linotype" w:cs="Tahoma"/>
          <w:b/>
        </w:rPr>
      </w:pPr>
      <w:r w:rsidRPr="004D38F7">
        <w:rPr>
          <w:rFonts w:ascii="Palatino Linotype" w:eastAsia="Times New Roman" w:hAnsi="Palatino Linotype" w:cs="Tahoma"/>
        </w:rPr>
        <w:t xml:space="preserve">Se envía a la Unidad de Asuntos Jurídicos, los expedientes de observaciones no solventadas o el informe de observaciones resarcitorias no solventadas, a través de los comunicados de </w:t>
      </w:r>
      <w:proofErr w:type="spellStart"/>
      <w:r w:rsidRPr="004D38F7">
        <w:rPr>
          <w:rFonts w:ascii="Palatino Linotype" w:eastAsia="Times New Roman" w:hAnsi="Palatino Linotype" w:cs="Tahoma"/>
        </w:rPr>
        <w:t>solventación</w:t>
      </w:r>
      <w:proofErr w:type="spellEnd"/>
      <w:r w:rsidRPr="004D38F7">
        <w:rPr>
          <w:rFonts w:ascii="Palatino Linotype" w:eastAsia="Times New Roman" w:hAnsi="Palatino Linotype" w:cs="Tahoma"/>
        </w:rPr>
        <w:t>, para que dicha área inicie los procedimientos administrativos correspondientes.</w:t>
      </w:r>
    </w:p>
    <w:p w14:paraId="1C8B3ADB" w14:textId="77777777" w:rsidR="005709A8" w:rsidRPr="004D38F7" w:rsidRDefault="005709A8" w:rsidP="005709A8">
      <w:pPr>
        <w:spacing w:line="360" w:lineRule="auto"/>
        <w:rPr>
          <w:rFonts w:ascii="Palatino Linotype" w:eastAsia="Times New Roman" w:hAnsi="Palatino Linotype" w:cs="Tahoma"/>
          <w:b/>
        </w:rPr>
      </w:pPr>
    </w:p>
    <w:p w14:paraId="245D9709"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lastRenderedPageBreak/>
        <w:t>Conforme con lo anterior, se considera que la fiscalización que lleva a cabo el Órgano Superior de Fiscalización del Estado de México, es a través de dos procedimientos distintos, que están relacionados, a saber, los siguientes:</w:t>
      </w:r>
    </w:p>
    <w:p w14:paraId="357805F1" w14:textId="77777777" w:rsidR="005709A8" w:rsidRPr="004D38F7" w:rsidRDefault="005709A8" w:rsidP="005709A8">
      <w:pPr>
        <w:spacing w:line="360" w:lineRule="auto"/>
        <w:rPr>
          <w:rFonts w:ascii="Palatino Linotype" w:eastAsia="Times New Roman" w:hAnsi="Palatino Linotype" w:cs="Tahoma"/>
        </w:rPr>
      </w:pPr>
    </w:p>
    <w:p w14:paraId="5888C7F0" w14:textId="77777777" w:rsidR="005709A8" w:rsidRPr="004D38F7" w:rsidRDefault="005709A8" w:rsidP="005709A8">
      <w:pPr>
        <w:numPr>
          <w:ilvl w:val="0"/>
          <w:numId w:val="35"/>
        </w:numPr>
        <w:spacing w:line="360" w:lineRule="auto"/>
        <w:rPr>
          <w:rFonts w:ascii="Palatino Linotype" w:eastAsia="Times New Roman" w:hAnsi="Palatino Linotype" w:cs="Tahoma"/>
        </w:rPr>
      </w:pPr>
      <w:r w:rsidRPr="004D38F7">
        <w:rPr>
          <w:rFonts w:ascii="Palatino Linotype" w:eastAsia="Times New Roman" w:hAnsi="Palatino Linotype" w:cs="Tahoma"/>
        </w:rPr>
        <w:t>Planeación y Ejecución de Auditoría Financiera, y</w:t>
      </w:r>
    </w:p>
    <w:p w14:paraId="126B36C7" w14:textId="77777777" w:rsidR="005709A8" w:rsidRPr="004D38F7" w:rsidRDefault="005709A8" w:rsidP="005709A8">
      <w:pPr>
        <w:spacing w:line="360" w:lineRule="auto"/>
        <w:rPr>
          <w:rFonts w:ascii="Palatino Linotype" w:eastAsia="Times New Roman" w:hAnsi="Palatino Linotype" w:cs="Tahoma"/>
        </w:rPr>
      </w:pPr>
    </w:p>
    <w:p w14:paraId="36213C0C" w14:textId="77777777" w:rsidR="005709A8" w:rsidRPr="004D38F7" w:rsidRDefault="005709A8" w:rsidP="005709A8">
      <w:pPr>
        <w:numPr>
          <w:ilvl w:val="0"/>
          <w:numId w:val="35"/>
        </w:numPr>
        <w:spacing w:line="360" w:lineRule="auto"/>
        <w:rPr>
          <w:rFonts w:ascii="Palatino Linotype" w:eastAsia="Times New Roman" w:hAnsi="Palatino Linotype" w:cs="Tahoma"/>
          <w:b/>
        </w:rPr>
      </w:pPr>
      <w:r w:rsidRPr="004D38F7">
        <w:rPr>
          <w:rFonts w:ascii="Palatino Linotype" w:eastAsia="Times New Roman" w:hAnsi="Palatino Linotype" w:cs="Tahoma"/>
        </w:rPr>
        <w:t xml:space="preserve">Coordinación del seguimiento de las observaciones resarcitorias en el ámbito estatal y municipal. </w:t>
      </w:r>
      <w:r w:rsidRPr="004D38F7">
        <w:rPr>
          <w:rFonts w:ascii="Palatino Linotype" w:eastAsia="Times New Roman" w:hAnsi="Palatino Linotype" w:cs="Tahoma"/>
          <w:b/>
        </w:rPr>
        <w:t>(Etapa de aclaración)</w:t>
      </w:r>
    </w:p>
    <w:p w14:paraId="34096456" w14:textId="77777777" w:rsidR="005709A8" w:rsidRPr="004D38F7" w:rsidRDefault="005709A8" w:rsidP="005709A8">
      <w:pPr>
        <w:spacing w:line="360" w:lineRule="auto"/>
        <w:rPr>
          <w:rFonts w:ascii="Palatino Linotype" w:eastAsia="Times New Roman" w:hAnsi="Palatino Linotype" w:cs="Tahoma"/>
          <w:b/>
        </w:rPr>
      </w:pPr>
    </w:p>
    <w:p w14:paraId="675B181F"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rPr>
      </w:pPr>
      <w:r w:rsidRPr="004D38F7">
        <w:rPr>
          <w:rFonts w:ascii="Palatino Linotype" w:eastAsia="Times New Roman" w:hAnsi="Palatino Linotype"/>
          <w:noProof/>
          <w:lang w:eastAsia="es-MX"/>
        </w:rPr>
        <w:t xml:space="preserve">Aunado a lo anterior, </w:t>
      </w:r>
      <w:r w:rsidRPr="004D38F7">
        <w:rPr>
          <w:rFonts w:ascii="Palatino Linotype" w:eastAsia="Times New Roman" w:hAnsi="Palatino Linotype" w:cs="Tahoma"/>
          <w:lang w:val="es-ES"/>
        </w:rPr>
        <w:t>s</w:t>
      </w:r>
      <w:r w:rsidRPr="004D38F7">
        <w:rPr>
          <w:rFonts w:ascii="Palatino Linotype" w:hAnsi="Palatino Linotype" w:cs="Tahoma"/>
          <w:bCs/>
        </w:rPr>
        <w:t>obre la naturaleza de la información que solicitó el Particular</w:t>
      </w:r>
      <w:r w:rsidRPr="004D38F7">
        <w:rPr>
          <w:rFonts w:ascii="Palatino Linotype" w:hAnsi="Palatino Linotype" w:cs="Tahoma"/>
          <w:bCs/>
          <w:i/>
        </w:rPr>
        <w:t xml:space="preserve">, </w:t>
      </w:r>
      <w:r w:rsidRPr="004D38F7">
        <w:rPr>
          <w:rFonts w:ascii="Palatino Linotype" w:hAnsi="Palatino Linotype" w:cs="Tahoma"/>
          <w:bCs/>
        </w:rPr>
        <w:t xml:space="preserve">se debe indicar que no sólo se trata de información pública, sino además que corresponde a las obligaciones de </w:t>
      </w:r>
      <w:r w:rsidRPr="004D38F7">
        <w:rPr>
          <w:rFonts w:ascii="Palatino Linotype" w:eastAsia="Times New Roman" w:hAnsi="Palatino Linotype" w:cs="Tahoma"/>
        </w:rPr>
        <w:t>transparencia</w:t>
      </w:r>
      <w:r w:rsidRPr="004D38F7">
        <w:rPr>
          <w:rFonts w:ascii="Palatino Linotype" w:hAnsi="Palatino Linotype" w:cs="Tahoma"/>
          <w:bCs/>
        </w:rPr>
        <w:t>, de acuerdo a lo señalado en el artículo 92, fracción XXVIII, de la Ley de Transparencia y Acceso a la Información Pública del Estado de México y Municipios, que se transcribe a continuación:</w:t>
      </w:r>
    </w:p>
    <w:p w14:paraId="2CB95825" w14:textId="77777777" w:rsidR="005709A8" w:rsidRPr="004D38F7" w:rsidRDefault="005709A8" w:rsidP="005709A8">
      <w:pPr>
        <w:spacing w:line="360" w:lineRule="auto"/>
        <w:ind w:right="-93"/>
        <w:rPr>
          <w:rFonts w:ascii="Palatino Linotype" w:hAnsi="Palatino Linotype" w:cs="Tahoma"/>
          <w:bCs/>
        </w:rPr>
      </w:pPr>
    </w:p>
    <w:p w14:paraId="5D775915" w14:textId="77777777" w:rsidR="005709A8" w:rsidRPr="004D38F7" w:rsidRDefault="005709A8" w:rsidP="005709A8">
      <w:pPr>
        <w:spacing w:line="360" w:lineRule="auto"/>
        <w:ind w:left="708" w:right="-93"/>
        <w:jc w:val="center"/>
        <w:rPr>
          <w:rFonts w:ascii="Palatino Linotype" w:eastAsia="Times New Roman" w:hAnsi="Palatino Linotype"/>
          <w:b/>
          <w:i/>
        </w:rPr>
      </w:pPr>
      <w:r w:rsidRPr="004D38F7">
        <w:rPr>
          <w:rFonts w:ascii="Palatino Linotype" w:eastAsia="Times New Roman" w:hAnsi="Palatino Linotype"/>
          <w:b/>
          <w:i/>
        </w:rPr>
        <w:t>Capítulo II</w:t>
      </w:r>
    </w:p>
    <w:p w14:paraId="46A16C12" w14:textId="77777777" w:rsidR="005709A8" w:rsidRPr="004D38F7" w:rsidRDefault="005709A8" w:rsidP="005709A8">
      <w:pPr>
        <w:spacing w:line="360" w:lineRule="auto"/>
        <w:ind w:left="708" w:right="-93"/>
        <w:jc w:val="center"/>
        <w:rPr>
          <w:rFonts w:ascii="Palatino Linotype" w:eastAsia="Times New Roman" w:hAnsi="Palatino Linotype"/>
          <w:b/>
          <w:i/>
        </w:rPr>
      </w:pPr>
      <w:r w:rsidRPr="004D38F7">
        <w:rPr>
          <w:rFonts w:ascii="Palatino Linotype" w:eastAsia="Times New Roman" w:hAnsi="Palatino Linotype"/>
          <w:b/>
          <w:i/>
        </w:rPr>
        <w:t>De las Obligaciones de Transparencia Comunes</w:t>
      </w:r>
    </w:p>
    <w:p w14:paraId="39BBC887" w14:textId="77777777" w:rsidR="005709A8" w:rsidRPr="004D38F7" w:rsidRDefault="005709A8" w:rsidP="005709A8">
      <w:pPr>
        <w:spacing w:line="360" w:lineRule="auto"/>
        <w:ind w:left="708" w:right="-93"/>
        <w:rPr>
          <w:rFonts w:ascii="Palatino Linotype" w:eastAsia="Times New Roman" w:hAnsi="Palatino Linotype"/>
          <w:i/>
        </w:rPr>
      </w:pPr>
      <w:r w:rsidRPr="004D38F7">
        <w:rPr>
          <w:rFonts w:ascii="Palatino Linotype" w:eastAsia="Times New Roman" w:hAnsi="Palatino Linotype"/>
          <w:b/>
          <w:i/>
        </w:rPr>
        <w:t>Artículo 92.</w:t>
      </w:r>
      <w:r w:rsidRPr="004D38F7">
        <w:rPr>
          <w:rFonts w:ascii="Palatino Linotype" w:eastAsia="Times New Roman"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408C2A6" w14:textId="77777777" w:rsidR="005709A8" w:rsidRPr="004D38F7" w:rsidRDefault="005709A8" w:rsidP="005709A8">
      <w:pPr>
        <w:spacing w:line="360" w:lineRule="auto"/>
        <w:ind w:left="708" w:right="-93"/>
        <w:rPr>
          <w:rFonts w:ascii="Palatino Linotype" w:eastAsia="Times New Roman" w:hAnsi="Palatino Linotype"/>
          <w:i/>
        </w:rPr>
      </w:pPr>
    </w:p>
    <w:p w14:paraId="0F2051D2" w14:textId="77777777" w:rsidR="005709A8" w:rsidRPr="004D38F7" w:rsidRDefault="005709A8" w:rsidP="005709A8">
      <w:pPr>
        <w:spacing w:line="360" w:lineRule="auto"/>
        <w:ind w:right="-93"/>
        <w:rPr>
          <w:rFonts w:ascii="Palatino Linotype" w:eastAsia="Times New Roman" w:hAnsi="Palatino Linotype"/>
          <w:b/>
          <w:i/>
        </w:rPr>
      </w:pPr>
      <w:r w:rsidRPr="004D38F7">
        <w:rPr>
          <w:rFonts w:ascii="Palatino Linotype" w:eastAsia="Times New Roman" w:hAnsi="Palatino Linotype"/>
          <w:i/>
        </w:rPr>
        <w:tab/>
      </w:r>
      <w:r w:rsidRPr="004D38F7">
        <w:rPr>
          <w:rFonts w:ascii="Palatino Linotype" w:eastAsia="Times New Roman" w:hAnsi="Palatino Linotype"/>
          <w:b/>
          <w:i/>
        </w:rPr>
        <w:t xml:space="preserve">I </w:t>
      </w:r>
      <w:r w:rsidRPr="004D38F7">
        <w:rPr>
          <w:rFonts w:ascii="Palatino Linotype" w:eastAsia="Times New Roman" w:hAnsi="Palatino Linotype"/>
          <w:i/>
        </w:rPr>
        <w:t>al</w:t>
      </w:r>
      <w:r w:rsidRPr="004D38F7">
        <w:rPr>
          <w:rFonts w:ascii="Palatino Linotype" w:eastAsia="Times New Roman" w:hAnsi="Palatino Linotype"/>
          <w:b/>
          <w:i/>
        </w:rPr>
        <w:t xml:space="preserve"> XXVII…</w:t>
      </w:r>
    </w:p>
    <w:p w14:paraId="65EF8DF9" w14:textId="77777777" w:rsidR="005709A8" w:rsidRPr="004D38F7" w:rsidRDefault="005709A8" w:rsidP="005709A8">
      <w:pPr>
        <w:spacing w:line="360" w:lineRule="auto"/>
        <w:ind w:left="708" w:right="-93"/>
        <w:rPr>
          <w:rFonts w:ascii="Palatino Linotype" w:hAnsi="Palatino Linotype" w:cs="Tahoma"/>
          <w:bCs/>
          <w:i/>
        </w:rPr>
      </w:pPr>
      <w:r w:rsidRPr="004D38F7">
        <w:rPr>
          <w:rFonts w:ascii="Palatino Linotype" w:eastAsia="Times New Roman" w:hAnsi="Palatino Linotype"/>
          <w:b/>
          <w:i/>
        </w:rPr>
        <w:lastRenderedPageBreak/>
        <w:t xml:space="preserve">XXVIII. </w:t>
      </w:r>
      <w:r w:rsidRPr="004D38F7">
        <w:rPr>
          <w:rFonts w:ascii="Palatino Linotype" w:eastAsia="Times New Roman" w:hAnsi="Palatino Linotype"/>
          <w:i/>
        </w:rPr>
        <w:t>Los informes de resultados de las auditorías al ejercicio presupuestal de cada sujeto obligado que se realicen y, en su caso, las aclaraciones que correspondan;</w:t>
      </w:r>
      <w:r w:rsidRPr="004D38F7">
        <w:rPr>
          <w:rFonts w:ascii="Palatino Linotype" w:eastAsia="Times New Roman" w:hAnsi="Palatino Linotype"/>
          <w:i/>
        </w:rPr>
        <w:cr/>
      </w:r>
      <w:r w:rsidRPr="004D38F7">
        <w:rPr>
          <w:rFonts w:ascii="Palatino Linotype" w:eastAsia="Times New Roman" w:hAnsi="Palatino Linotype"/>
          <w:b/>
          <w:i/>
        </w:rPr>
        <w:t xml:space="preserve">XXIX </w:t>
      </w:r>
      <w:r w:rsidRPr="004D38F7">
        <w:rPr>
          <w:rFonts w:ascii="Palatino Linotype" w:eastAsia="Times New Roman" w:hAnsi="Palatino Linotype"/>
          <w:i/>
        </w:rPr>
        <w:t xml:space="preserve">a </w:t>
      </w:r>
      <w:r w:rsidRPr="004D38F7">
        <w:rPr>
          <w:rFonts w:ascii="Palatino Linotype" w:eastAsia="Times New Roman" w:hAnsi="Palatino Linotype"/>
          <w:b/>
          <w:i/>
        </w:rPr>
        <w:t>XLII…</w:t>
      </w:r>
    </w:p>
    <w:p w14:paraId="32267B80" w14:textId="77777777" w:rsidR="005709A8" w:rsidRPr="004D38F7" w:rsidRDefault="005709A8" w:rsidP="005709A8">
      <w:pPr>
        <w:tabs>
          <w:tab w:val="left" w:pos="4962"/>
        </w:tabs>
        <w:spacing w:line="360" w:lineRule="auto"/>
        <w:rPr>
          <w:rFonts w:ascii="Palatino Linotype" w:hAnsi="Palatino Linotype" w:cs="Tahoma"/>
          <w:iCs/>
          <w:lang w:val="es-ES" w:eastAsia="es-ES_tradnl"/>
        </w:rPr>
      </w:pPr>
    </w:p>
    <w:p w14:paraId="095CA283"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 xml:space="preserve">Atento a lo </w:t>
      </w:r>
      <w:r w:rsidRPr="004D38F7">
        <w:rPr>
          <w:rFonts w:ascii="Palatino Linotype" w:eastAsia="Times New Roman" w:hAnsi="Palatino Linotype"/>
          <w:noProof/>
          <w:lang w:eastAsia="es-MX"/>
        </w:rPr>
        <w:t>anterior</w:t>
      </w:r>
      <w:r w:rsidRPr="004D38F7">
        <w:rPr>
          <w:rFonts w:ascii="Palatino Linotype" w:hAnsi="Palatino Linotype" w:cs="Tahoma"/>
          <w:bCs/>
          <w:lang w:val="es-ES"/>
        </w:rPr>
        <w:t>, resulta claro que existe fuente obligacional que constriñe al Sujeto Obligado, a contar con la información solicitada.</w:t>
      </w:r>
    </w:p>
    <w:p w14:paraId="41D33A3B" w14:textId="77777777" w:rsidR="005709A8" w:rsidRPr="004D38F7" w:rsidRDefault="005709A8" w:rsidP="005709A8">
      <w:pPr>
        <w:spacing w:line="360" w:lineRule="auto"/>
        <w:rPr>
          <w:rFonts w:ascii="Palatino Linotype" w:hAnsi="Palatino Linotype" w:cs="Tahoma"/>
          <w:bCs/>
          <w:lang w:val="es-ES"/>
        </w:rPr>
      </w:pPr>
    </w:p>
    <w:p w14:paraId="5F6DBD94"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hAnsi="Palatino Linotype" w:cs="Tahoma"/>
          <w:bCs/>
          <w:lang w:val="es-ES"/>
        </w:rPr>
        <w:t>No pasa desapercibido, que el Sujeto Obligado a través de la Contraloría Interna Municipal, señaló mediante Informe Justificado, que esas son notificadas directamente al Presidente Municipal.</w:t>
      </w:r>
      <w:r w:rsidRPr="004D38F7">
        <w:rPr>
          <w:rFonts w:ascii="Palatino Linotype" w:eastAsia="Times New Roman" w:hAnsi="Palatino Linotype" w:cs="Tahoma"/>
        </w:rPr>
        <w:t xml:space="preserve"> Razón por la cual deberá turnar a todas las áreas competentes que puedan contar con la información solicitada, dentro de las que se encuentra la Tesorería Municipal ya que según el artículo 95 de la Ley Orgánica Municipal del Estado de México en su artículo 95, fracción XVII dentro de las atribuciones está la de contestar oportunamente los pliegos de observaciones y responsabilidad que haga el Órgano Superior de Fiscalización del Estado de México, así como atender en tiempo y forma las solicitudes de información que éste requiera, informando al Ayuntamiento.</w:t>
      </w:r>
    </w:p>
    <w:p w14:paraId="100EAFEF" w14:textId="77777777" w:rsidR="005709A8" w:rsidRPr="004D38F7" w:rsidRDefault="005709A8" w:rsidP="005709A8">
      <w:pPr>
        <w:spacing w:line="360" w:lineRule="auto"/>
        <w:rPr>
          <w:rFonts w:ascii="Palatino Linotype" w:eastAsia="Times New Roman" w:hAnsi="Palatino Linotype" w:cs="Tahoma"/>
          <w:bCs/>
          <w:iCs/>
        </w:rPr>
      </w:pPr>
    </w:p>
    <w:p w14:paraId="1E801D26"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hAnsi="Palatino Linotype" w:cs="Tahoma"/>
          <w:bCs/>
          <w:lang w:val="es-ES"/>
        </w:rPr>
        <w:t>Conforme</w:t>
      </w:r>
      <w:r w:rsidRPr="004D38F7">
        <w:rPr>
          <w:rFonts w:ascii="Palatino Linotype" w:eastAsia="Times New Roman" w:hAnsi="Palatino Linotype" w:cs="Tahoma"/>
          <w:bCs/>
          <w:iCs/>
        </w:rPr>
        <w:t xml:space="preserve">  lo anterior el sujeto Obligado deberá proporcionar los documentos de los que se desprenda lo que el Particular solicitó, ello</w:t>
      </w:r>
      <w:r w:rsidRPr="004D38F7">
        <w:rPr>
          <w:rFonts w:ascii="Palatino Linotype" w:eastAsia="Times New Roman" w:hAnsi="Palatino Linotype" w:cs="Tahoma"/>
        </w:rPr>
        <w:t xml:space="preserve"> en virtud de que conforme al artículo 12 de la Ley de Transparencia y Acceso a la Información Pública del Estado de México y Municipios, quienes genere, </w:t>
      </w:r>
      <w:r w:rsidRPr="004D38F7">
        <w:rPr>
          <w:rFonts w:ascii="Palatino Linotype" w:eastAsia="Times New Roman" w:hAnsi="Palatino Linotype" w:cs="Tahoma"/>
          <w:b/>
          <w:bCs/>
          <w:u w:val="single"/>
        </w:rPr>
        <w:t>recopilen, administren</w:t>
      </w:r>
      <w:r w:rsidRPr="004D38F7">
        <w:rPr>
          <w:rFonts w:ascii="Palatino Linotype" w:eastAsia="Times New Roman" w:hAnsi="Palatino Linotype" w:cs="Tahoma"/>
          <w:b/>
          <w:u w:val="single"/>
        </w:rPr>
        <w:t>, manejen, procesen archiven o conserven</w:t>
      </w:r>
      <w:r w:rsidRPr="004D38F7">
        <w:rPr>
          <w:rFonts w:ascii="Palatino Linotype" w:eastAsia="Times New Roman" w:hAnsi="Palatino Linotype" w:cs="Tahoma"/>
        </w:rPr>
        <w:t xml:space="preserve"> información pública serán responsables de la misma, por lo que la justificante del Sujeto Obligado de que no puede proporcionar la información por no </w:t>
      </w:r>
      <w:r w:rsidRPr="004D38F7">
        <w:rPr>
          <w:rFonts w:ascii="Palatino Linotype" w:eastAsia="Times New Roman" w:hAnsi="Palatino Linotype" w:cs="Tahoma"/>
        </w:rPr>
        <w:lastRenderedPageBreak/>
        <w:t>haber sido el quien la generó en un principio, resulta incorrecta ya que al poseerla en sus archivos, tiene la obligación de proporcionarla al ser del interés de los particulares.</w:t>
      </w:r>
    </w:p>
    <w:p w14:paraId="33EAEC8F" w14:textId="77777777" w:rsidR="005709A8" w:rsidRPr="004D38F7" w:rsidRDefault="005709A8" w:rsidP="005709A8">
      <w:pPr>
        <w:spacing w:line="360" w:lineRule="auto"/>
        <w:rPr>
          <w:rFonts w:ascii="Palatino Linotype" w:eastAsia="Times New Roman" w:hAnsi="Palatino Linotype" w:cs="Tahoma"/>
        </w:rPr>
      </w:pPr>
    </w:p>
    <w:p w14:paraId="5681F4CD"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rPr>
        <w:t xml:space="preserve">En concordancia con lo señalado, del mismo artículo 12 arriba citado, establece que los sujetos obligados </w:t>
      </w:r>
      <w:r w:rsidRPr="004D38F7">
        <w:rPr>
          <w:rFonts w:ascii="Palatino Linotype" w:hAnsi="Palatino Linotype" w:cs="Tahoma"/>
          <w:bCs/>
          <w:lang w:val="es-ES"/>
        </w:rPr>
        <w:t>sólo</w:t>
      </w:r>
      <w:r w:rsidRPr="004D38F7">
        <w:rPr>
          <w:rFonts w:ascii="Palatino Linotype" w:eastAsia="Times New Roman" w:hAnsi="Palatino Linotype" w:cs="Tahoma"/>
        </w:rPr>
        <w:t xml:space="preserve">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por lo que </w:t>
      </w:r>
      <w:r w:rsidRPr="004D38F7">
        <w:rPr>
          <w:rFonts w:ascii="Palatino Linotype" w:eastAsia="Times New Roman"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4D38F7">
        <w:rPr>
          <w:rFonts w:ascii="Palatino Linotype" w:eastAsia="Times New Roman" w:hAnsi="Palatino Linotype" w:cs="Tahoma"/>
          <w:i/>
        </w:rPr>
        <w:t>ad hoc</w:t>
      </w:r>
      <w:r w:rsidRPr="004D38F7">
        <w:rPr>
          <w:rFonts w:ascii="Palatino Linotype" w:eastAsia="Times New Roman"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529947EB" w14:textId="77777777" w:rsidR="005709A8" w:rsidRPr="004D38F7" w:rsidRDefault="005709A8" w:rsidP="005709A8">
      <w:pPr>
        <w:spacing w:line="360" w:lineRule="auto"/>
        <w:rPr>
          <w:rFonts w:ascii="Palatino Linotype" w:eastAsia="Times New Roman" w:hAnsi="Palatino Linotype" w:cs="Tahoma"/>
        </w:rPr>
      </w:pPr>
    </w:p>
    <w:p w14:paraId="5D68EE57"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lang w:val="es-ES"/>
        </w:rPr>
      </w:pPr>
      <w:r w:rsidRPr="004D38F7">
        <w:rPr>
          <w:rFonts w:ascii="Palatino Linotype" w:eastAsia="Times New Roman" w:hAnsi="Palatino Linotype" w:cs="Tahoma"/>
          <w:bCs/>
        </w:rPr>
        <w:t xml:space="preserve">Finalmente, no pasa desapercibido para este Instituto que los documentos que den cuenta de lo solicitado, pudieran contener datos o información clasificada; por lo que, en el supuesto, </w:t>
      </w:r>
      <w:r w:rsidRPr="004D38F7">
        <w:rPr>
          <w:rFonts w:ascii="Palatino Linotype" w:eastAsia="Times New Roman" w:hAnsi="Palatino Linotype" w:cs="Tahoma"/>
        </w:rPr>
        <w:t>deberá</w:t>
      </w:r>
      <w:r w:rsidRPr="004D38F7">
        <w:rPr>
          <w:rFonts w:ascii="Palatino Linotype" w:eastAsia="Times New Roman" w:hAnsi="Palatino Linotype" w:cs="Tahoma"/>
          <w:bCs/>
        </w:rPr>
        <w:t xml:space="preserve"> elaborar la versión pública respectiva; a</w:t>
      </w:r>
      <w:r w:rsidRPr="004D38F7">
        <w:rPr>
          <w:rFonts w:ascii="Palatino Linotype" w:eastAsia="Times New Roman" w:hAnsi="Palatino Linotype" w:cs="Tahoma"/>
          <w:bCs/>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D8C75FF" w14:textId="77777777" w:rsidR="005709A8" w:rsidRPr="004D38F7" w:rsidRDefault="005709A8" w:rsidP="005709A8">
      <w:pPr>
        <w:spacing w:line="360" w:lineRule="auto"/>
        <w:rPr>
          <w:rFonts w:ascii="Palatino Linotype" w:eastAsia="Times New Roman" w:hAnsi="Palatino Linotype" w:cs="Tahoma"/>
          <w:bCs/>
          <w:lang w:val="es-ES"/>
        </w:rPr>
      </w:pPr>
    </w:p>
    <w:p w14:paraId="30976AD0"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rPr>
      </w:pPr>
      <w:r w:rsidRPr="004D38F7">
        <w:rPr>
          <w:rFonts w:ascii="Palatino Linotype" w:eastAsia="Times New Roman" w:hAnsi="Palatino Linotype" w:cs="Tahoma"/>
          <w:bCs/>
          <w:lang w:val="es-ES"/>
        </w:rPr>
        <w:t xml:space="preserve">Para tal situación, el Sujeto Obligado deberá seguir el procedimiento establecido en el artículo 168 de dicho ordenamiento jurídico; esto es, que el área competente deberá elaborar la versión </w:t>
      </w:r>
      <w:r w:rsidRPr="004D38F7">
        <w:rPr>
          <w:rFonts w:ascii="Palatino Linotype" w:eastAsia="Times New Roman" w:hAnsi="Palatino Linotype" w:cs="Tahoma"/>
          <w:bCs/>
        </w:rPr>
        <w:t>pública</w:t>
      </w:r>
      <w:r w:rsidRPr="004D38F7">
        <w:rPr>
          <w:rFonts w:ascii="Palatino Linotype" w:eastAsia="Times New Roman" w:hAnsi="Palatino Linotype" w:cs="Tahoma"/>
          <w:bCs/>
          <w:lang w:val="es-ES"/>
        </w:rPr>
        <w:t xml:space="preserve"> en los términos planteados en la presente Resolución, así como emitir el Acuerdo, por parte del Comité de Transparencia, donde confirme la clasificación de los datos, fundando y motivando la clasificación.</w:t>
      </w:r>
    </w:p>
    <w:p w14:paraId="3BE989BA" w14:textId="77777777" w:rsidR="005709A8" w:rsidRPr="004D38F7" w:rsidRDefault="005709A8" w:rsidP="00FC7577">
      <w:pPr>
        <w:keepNext/>
        <w:keepLines/>
        <w:spacing w:line="360" w:lineRule="auto"/>
        <w:rPr>
          <w:rFonts w:ascii="Palatino Linotype" w:eastAsia="Palatino Linotype" w:hAnsi="Palatino Linotype" w:cs="Palatino Linotype"/>
          <w:b/>
          <w:color w:val="000000"/>
        </w:rPr>
      </w:pPr>
    </w:p>
    <w:p w14:paraId="09556816" w14:textId="77777777" w:rsidR="00FC7577" w:rsidRPr="004D38F7" w:rsidRDefault="00FC7577" w:rsidP="00FC7577">
      <w:pPr>
        <w:keepNext/>
        <w:keepLines/>
        <w:spacing w:line="360" w:lineRule="auto"/>
        <w:rPr>
          <w:rFonts w:ascii="Palatino Linotype" w:eastAsia="Palatino Linotype" w:hAnsi="Palatino Linotype" w:cs="Palatino Linotype"/>
          <w:b/>
          <w:color w:val="000000"/>
        </w:rPr>
      </w:pPr>
      <w:r w:rsidRPr="004D38F7">
        <w:rPr>
          <w:rFonts w:ascii="Palatino Linotype" w:eastAsia="Palatino Linotype" w:hAnsi="Palatino Linotype" w:cs="Palatino Linotype"/>
          <w:b/>
          <w:color w:val="000000"/>
        </w:rPr>
        <w:t>QUINTO. De la versión pública.</w:t>
      </w:r>
    </w:p>
    <w:p w14:paraId="2C86BA5B"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bookmarkStart w:id="146" w:name="_heading=h.17dp8vu" w:colFirst="0" w:colLast="0"/>
      <w:bookmarkEnd w:id="146"/>
      <w:r w:rsidRPr="004D38F7">
        <w:rPr>
          <w:rFonts w:ascii="Palatino Linotype" w:hAnsi="Palatino Linotype" w:cs="Tahoma"/>
          <w:iCs/>
          <w:lang w:val="es-ES" w:eastAsia="es-MX"/>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w:t>
      </w:r>
      <w:r w:rsidRPr="004D38F7">
        <w:rPr>
          <w:rFonts w:ascii="Palatino Linotype" w:eastAsia="Times New Roman" w:hAnsi="Palatino Linotype" w:cs="Tahoma"/>
          <w:bCs/>
          <w:lang w:val="es-ES"/>
        </w:rPr>
        <w:t>Igualmente</w:t>
      </w:r>
      <w:r w:rsidRPr="004D38F7">
        <w:rPr>
          <w:rFonts w:ascii="Palatino Linotype" w:hAnsi="Palatino Linotype" w:cs="Tahoma"/>
          <w:iCs/>
          <w:lang w:val="es-ES" w:eastAsia="es-MX"/>
        </w:rPr>
        <w:t>,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7A80EE6" w14:textId="77777777" w:rsidR="005709A8" w:rsidRPr="004D38F7" w:rsidRDefault="005709A8" w:rsidP="005709A8">
      <w:pPr>
        <w:spacing w:line="360" w:lineRule="auto"/>
        <w:rPr>
          <w:rFonts w:ascii="Palatino Linotype" w:hAnsi="Palatino Linotype" w:cs="Tahoma"/>
          <w:iCs/>
          <w:lang w:val="es-ES" w:eastAsia="es-MX"/>
        </w:rPr>
      </w:pPr>
    </w:p>
    <w:p w14:paraId="15505F3B"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 xml:space="preserve">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w:t>
      </w:r>
      <w:r w:rsidRPr="004D38F7">
        <w:rPr>
          <w:rFonts w:ascii="Palatino Linotype" w:hAnsi="Palatino Linotype" w:cs="Tahoma"/>
          <w:iCs/>
          <w:lang w:val="es-ES" w:eastAsia="es-MX"/>
        </w:rPr>
        <w:lastRenderedPageBreak/>
        <w:t>no obstante, aquella referente a la intimidad de la vida privada y la imagen de las personas, será protegida a través de un marco jurídico rígido, de tratamiento y manejo de datos personales.</w:t>
      </w:r>
    </w:p>
    <w:p w14:paraId="47620D76" w14:textId="77777777" w:rsidR="005709A8" w:rsidRPr="004D38F7" w:rsidRDefault="005709A8" w:rsidP="005709A8">
      <w:pPr>
        <w:spacing w:line="360" w:lineRule="auto"/>
        <w:rPr>
          <w:rFonts w:ascii="Palatino Linotype" w:hAnsi="Palatino Linotype" w:cs="Tahoma"/>
          <w:iCs/>
          <w:lang w:val="es-ES" w:eastAsia="es-MX"/>
        </w:rPr>
      </w:pPr>
    </w:p>
    <w:p w14:paraId="17AB3618"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E470279" w14:textId="77777777" w:rsidR="005709A8" w:rsidRPr="004D38F7" w:rsidRDefault="005709A8" w:rsidP="005709A8">
      <w:pPr>
        <w:spacing w:line="360" w:lineRule="auto"/>
        <w:rPr>
          <w:rFonts w:ascii="Palatino Linotype" w:hAnsi="Palatino Linotype" w:cs="Tahoma"/>
          <w:iCs/>
          <w:lang w:val="es-ES" w:eastAsia="es-MX"/>
        </w:rPr>
      </w:pPr>
    </w:p>
    <w:p w14:paraId="2536A7F0"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CD55CB5" w14:textId="77777777" w:rsidR="005709A8" w:rsidRPr="004D38F7" w:rsidRDefault="005709A8" w:rsidP="005709A8">
      <w:pPr>
        <w:spacing w:line="360" w:lineRule="auto"/>
        <w:rPr>
          <w:rFonts w:ascii="Palatino Linotype" w:hAnsi="Palatino Linotype" w:cs="Tahoma"/>
          <w:iCs/>
          <w:lang w:val="es-ES" w:eastAsia="es-MX"/>
        </w:rPr>
      </w:pPr>
    </w:p>
    <w:p w14:paraId="60526045"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3443312" w14:textId="77777777" w:rsidR="005709A8" w:rsidRPr="004D38F7" w:rsidRDefault="005709A8" w:rsidP="005709A8">
      <w:pPr>
        <w:spacing w:line="360" w:lineRule="auto"/>
        <w:rPr>
          <w:rFonts w:ascii="Palatino Linotype" w:hAnsi="Palatino Linotype" w:cs="Tahoma"/>
          <w:bCs/>
          <w:lang w:val="es-ES"/>
        </w:rPr>
      </w:pPr>
    </w:p>
    <w:p w14:paraId="7A682AFA"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lastRenderedPageBreak/>
        <w:t>En términos de lo expuesto, la documentación y aquellos datos que se consideren confidenciales, serán una limitante del derecho de acceso a la información, siempre y cuando:</w:t>
      </w:r>
    </w:p>
    <w:p w14:paraId="0945B92D" w14:textId="77777777" w:rsidR="005709A8" w:rsidRPr="004D38F7" w:rsidRDefault="005709A8" w:rsidP="005709A8">
      <w:pPr>
        <w:spacing w:line="360" w:lineRule="auto"/>
        <w:rPr>
          <w:rFonts w:ascii="Palatino Linotype" w:hAnsi="Palatino Linotype" w:cs="Tahoma"/>
          <w:iCs/>
          <w:lang w:val="es-ES" w:eastAsia="es-MX"/>
        </w:rPr>
      </w:pPr>
    </w:p>
    <w:p w14:paraId="52DDACAB" w14:textId="77777777" w:rsidR="005709A8" w:rsidRPr="004D38F7" w:rsidRDefault="005709A8" w:rsidP="005709A8">
      <w:pPr>
        <w:numPr>
          <w:ilvl w:val="0"/>
          <w:numId w:val="39"/>
        </w:numPr>
        <w:spacing w:line="360" w:lineRule="auto"/>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 xml:space="preserve">Se trate de datos personales o información privada; esto es, información concerniente a una persona física o jurídico colectiva y que esta sea identificada o identificable. </w:t>
      </w:r>
    </w:p>
    <w:p w14:paraId="1D35F43D" w14:textId="77777777" w:rsidR="005709A8" w:rsidRPr="004D38F7" w:rsidRDefault="005709A8" w:rsidP="005709A8">
      <w:pPr>
        <w:spacing w:line="360" w:lineRule="auto"/>
        <w:rPr>
          <w:rFonts w:ascii="Palatino Linotype" w:hAnsi="Palatino Linotype" w:cs="Tahoma"/>
          <w:iCs/>
          <w:lang w:val="es-ES" w:eastAsia="es-MX"/>
        </w:rPr>
      </w:pPr>
    </w:p>
    <w:p w14:paraId="39E79304" w14:textId="77777777" w:rsidR="005709A8" w:rsidRPr="004D38F7" w:rsidRDefault="005709A8" w:rsidP="005709A8">
      <w:pPr>
        <w:numPr>
          <w:ilvl w:val="0"/>
          <w:numId w:val="39"/>
        </w:numPr>
        <w:spacing w:line="360" w:lineRule="auto"/>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 xml:space="preserve">Para la difusión de los datos, se requiera el consentimiento del titular. </w:t>
      </w:r>
    </w:p>
    <w:p w14:paraId="03FFC58A" w14:textId="77777777" w:rsidR="005709A8" w:rsidRPr="004D38F7" w:rsidRDefault="005709A8" w:rsidP="005709A8">
      <w:pPr>
        <w:spacing w:line="360" w:lineRule="auto"/>
        <w:rPr>
          <w:rFonts w:ascii="Palatino Linotype" w:hAnsi="Palatino Linotype" w:cs="Tahoma"/>
          <w:iCs/>
          <w:lang w:val="es-ES" w:eastAsia="es-MX"/>
        </w:rPr>
      </w:pPr>
    </w:p>
    <w:p w14:paraId="064A04BF"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0A4BD0C" w14:textId="77777777" w:rsidR="005709A8" w:rsidRPr="004D38F7" w:rsidRDefault="005709A8" w:rsidP="005709A8">
      <w:pPr>
        <w:spacing w:line="360" w:lineRule="auto"/>
        <w:rPr>
          <w:rFonts w:ascii="Palatino Linotype" w:hAnsi="Palatino Linotype" w:cs="Tahoma"/>
          <w:iCs/>
          <w:lang w:val="es-ES" w:eastAsia="es-MX"/>
        </w:rPr>
      </w:pPr>
    </w:p>
    <w:p w14:paraId="2AF54EE6"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Además, en el artículo 5° de dicho ordenamiento jurídico, establece que es la Ley aplicable para todo tratamiento de datos personales.</w:t>
      </w:r>
    </w:p>
    <w:p w14:paraId="1FE0A9B8" w14:textId="77777777" w:rsidR="005709A8" w:rsidRPr="004D38F7" w:rsidRDefault="005709A8" w:rsidP="005709A8">
      <w:pPr>
        <w:spacing w:line="360" w:lineRule="auto"/>
        <w:rPr>
          <w:rFonts w:ascii="Palatino Linotype" w:hAnsi="Palatino Linotype" w:cs="Tahoma"/>
          <w:iCs/>
          <w:lang w:val="es-ES" w:eastAsia="es-MX"/>
        </w:rPr>
      </w:pPr>
    </w:p>
    <w:p w14:paraId="08DBBB5C"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En ese orden de ideas, los artículos 6°, 7°, 8° y 14 de la Ley</w:t>
      </w:r>
      <w:r w:rsidRPr="004D38F7">
        <w:rPr>
          <w:rFonts w:ascii="Palatino Linotype" w:hAnsi="Palatino Linotype" w:cs="Tahoma"/>
          <w:bCs/>
          <w:lang w:val="es-ES"/>
        </w:rPr>
        <w:t xml:space="preserve"> de Protección de Datos Personales en Posesión de Sujetos Obligados del Estado de México y Municipios </w:t>
      </w:r>
      <w:r w:rsidRPr="004D38F7">
        <w:rPr>
          <w:rFonts w:ascii="Palatino Linotype" w:hAnsi="Palatino Linotype" w:cs="Tahoma"/>
          <w:bCs/>
          <w:lang w:val="es-ES"/>
        </w:rPr>
        <w:lastRenderedPageBreak/>
        <w:t xml:space="preserve">disponen que los responsables del tratamiento de datos personales, deben observar los principios de licitud, </w:t>
      </w:r>
      <w:r w:rsidRPr="004D38F7">
        <w:rPr>
          <w:rFonts w:ascii="Palatino Linotype" w:hAnsi="Palatino Linotype" w:cs="Tahoma"/>
          <w:iCs/>
          <w:lang w:val="es-ES" w:eastAsia="es-MX"/>
        </w:rPr>
        <w:t>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0AF5EC8" w14:textId="77777777" w:rsidR="005709A8" w:rsidRPr="004D38F7" w:rsidRDefault="005709A8" w:rsidP="005709A8">
      <w:pPr>
        <w:spacing w:line="360" w:lineRule="auto"/>
        <w:rPr>
          <w:rFonts w:ascii="Palatino Linotype" w:hAnsi="Palatino Linotype" w:cs="Tahoma"/>
          <w:iCs/>
          <w:lang w:val="es-ES" w:eastAsia="es-MX"/>
        </w:rPr>
      </w:pPr>
    </w:p>
    <w:p w14:paraId="12D41EDD"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6EB0AFAB" w14:textId="77777777" w:rsidR="005709A8" w:rsidRPr="004D38F7" w:rsidRDefault="005709A8" w:rsidP="005709A8">
      <w:pPr>
        <w:spacing w:line="360" w:lineRule="auto"/>
        <w:rPr>
          <w:rFonts w:ascii="Palatino Linotype" w:hAnsi="Palatino Linotype" w:cs="Tahoma"/>
          <w:iCs/>
          <w:lang w:val="es-ES" w:eastAsia="es-MX"/>
        </w:rPr>
      </w:pPr>
    </w:p>
    <w:p w14:paraId="0B50137C"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A081FF1" w14:textId="77777777" w:rsidR="005709A8" w:rsidRPr="004D38F7" w:rsidRDefault="005709A8" w:rsidP="005709A8">
      <w:pPr>
        <w:spacing w:line="360" w:lineRule="auto"/>
        <w:rPr>
          <w:rFonts w:ascii="Palatino Linotype" w:hAnsi="Palatino Linotype" w:cs="Tahoma"/>
          <w:iCs/>
          <w:lang w:val="es-ES" w:eastAsia="es-MX"/>
        </w:rPr>
      </w:pPr>
    </w:p>
    <w:p w14:paraId="44BE1440"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lastRenderedPageBreak/>
        <w:t>De tal suerte, las instituciones públicas tienen la doble responsabilidad, por un lado, de proteger los datos personales y por otro, darles publicidad cuando la relevancia de esos datos sea de interés público.</w:t>
      </w:r>
    </w:p>
    <w:p w14:paraId="4B1BC1D4" w14:textId="77777777" w:rsidR="005709A8" w:rsidRPr="004D38F7" w:rsidRDefault="005709A8" w:rsidP="005709A8">
      <w:pPr>
        <w:spacing w:line="360" w:lineRule="auto"/>
        <w:rPr>
          <w:rFonts w:ascii="Palatino Linotype" w:hAnsi="Palatino Linotype" w:cs="Tahoma"/>
          <w:bCs/>
          <w:lang w:val="es-ES"/>
        </w:rPr>
      </w:pPr>
    </w:p>
    <w:p w14:paraId="02E7AF0C"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bCs/>
          <w:lang w:val="es-ES"/>
        </w:rPr>
      </w:pPr>
      <w:r w:rsidRPr="004D38F7">
        <w:rPr>
          <w:rFonts w:ascii="Palatino Linotype" w:hAnsi="Palatino Linotype" w:cs="Tahoma"/>
          <w:bCs/>
          <w:lang w:val="es-ES"/>
        </w:rPr>
        <w:t xml:space="preserve">En este orden de ideas, toda la información que transparente la gestión pública, favorezca la rendición de cuentas y contribuya a la democratización del Estado Mexicano es, sin excepción, de </w:t>
      </w:r>
      <w:r w:rsidRPr="004D38F7">
        <w:rPr>
          <w:rFonts w:ascii="Palatino Linotype" w:hAnsi="Palatino Linotype" w:cs="Tahoma"/>
          <w:iCs/>
          <w:lang w:val="es-ES" w:eastAsia="es-MX"/>
        </w:rPr>
        <w:t>naturaleza</w:t>
      </w:r>
      <w:r w:rsidRPr="004D38F7">
        <w:rPr>
          <w:rFonts w:ascii="Palatino Linotype" w:hAnsi="Palatino Linotype" w:cs="Tahoma"/>
          <w:bCs/>
          <w:lang w:val="es-ES"/>
        </w:rPr>
        <w:t xml:space="preserve">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0D330859" w14:textId="77777777" w:rsidR="005709A8" w:rsidRPr="004D38F7" w:rsidRDefault="005709A8" w:rsidP="005709A8">
      <w:pPr>
        <w:spacing w:line="360" w:lineRule="auto"/>
        <w:rPr>
          <w:rFonts w:ascii="Palatino Linotype" w:hAnsi="Palatino Linotype" w:cs="Tahoma"/>
          <w:iCs/>
          <w:lang w:val="es-ES" w:eastAsia="es-MX"/>
        </w:rPr>
      </w:pPr>
    </w:p>
    <w:p w14:paraId="79D3FF85"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 xml:space="preserve">Dada la </w:t>
      </w:r>
      <w:r w:rsidRPr="004D38F7">
        <w:rPr>
          <w:rFonts w:ascii="Palatino Linotype" w:hAnsi="Palatino Linotype" w:cs="Tahoma"/>
          <w:bCs/>
          <w:lang w:val="es-ES"/>
        </w:rPr>
        <w:t>complejidad</w:t>
      </w:r>
      <w:r w:rsidRPr="004D38F7">
        <w:rPr>
          <w:rFonts w:ascii="Palatino Linotype" w:hAnsi="Palatino Linotype" w:cs="Tahoma"/>
          <w:iCs/>
          <w:lang w:val="es-ES" w:eastAsia="es-MX"/>
        </w:rPr>
        <w:t xml:space="preserve">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4FE8332" w14:textId="77777777" w:rsidR="005709A8" w:rsidRPr="004D38F7" w:rsidRDefault="005709A8" w:rsidP="005709A8">
      <w:pPr>
        <w:spacing w:line="360" w:lineRule="auto"/>
        <w:rPr>
          <w:rFonts w:ascii="Palatino Linotype" w:hAnsi="Palatino Linotype" w:cs="Tahoma"/>
          <w:iCs/>
          <w:lang w:val="es-ES" w:eastAsia="es-MX"/>
        </w:rPr>
      </w:pPr>
    </w:p>
    <w:p w14:paraId="42FC09D4" w14:textId="77777777" w:rsidR="005709A8" w:rsidRPr="004D38F7" w:rsidRDefault="005709A8" w:rsidP="005709A8">
      <w:pPr>
        <w:numPr>
          <w:ilvl w:val="0"/>
          <w:numId w:val="1"/>
        </w:numPr>
        <w:spacing w:line="360" w:lineRule="auto"/>
        <w:ind w:left="0" w:firstLine="0"/>
        <w:contextualSpacing/>
        <w:jc w:val="both"/>
        <w:rPr>
          <w:rFonts w:ascii="Palatino Linotype" w:hAnsi="Palatino Linotype" w:cs="Tahoma"/>
          <w:iCs/>
          <w:lang w:val="es-ES" w:eastAsia="es-MX"/>
        </w:rPr>
      </w:pPr>
      <w:r w:rsidRPr="004D38F7">
        <w:rPr>
          <w:rFonts w:ascii="Palatino Linotype" w:hAnsi="Palatino Linotype" w:cs="Tahoma"/>
          <w:iCs/>
          <w:lang w:val="es-ES" w:eastAsia="es-MX"/>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A11DCBC" w14:textId="77777777" w:rsidR="005709A8" w:rsidRPr="004D38F7" w:rsidRDefault="005709A8" w:rsidP="005709A8">
      <w:pPr>
        <w:numPr>
          <w:ilvl w:val="0"/>
          <w:numId w:val="44"/>
        </w:numPr>
        <w:spacing w:line="360" w:lineRule="auto"/>
        <w:contextualSpacing/>
        <w:jc w:val="both"/>
        <w:rPr>
          <w:rFonts w:ascii="Palatino Linotype" w:eastAsia="Times New Roman" w:hAnsi="Palatino Linotype" w:cs="Tahoma"/>
          <w:b/>
        </w:rPr>
      </w:pPr>
      <w:r w:rsidRPr="004D38F7">
        <w:rPr>
          <w:rFonts w:ascii="Palatino Linotype" w:eastAsia="Times New Roman" w:hAnsi="Palatino Linotype" w:cs="Tahoma"/>
          <w:b/>
        </w:rPr>
        <w:t>Clave Única de Registro de Población (CURP)</w:t>
      </w:r>
    </w:p>
    <w:p w14:paraId="7A4E0683" w14:textId="77777777" w:rsidR="005709A8" w:rsidRPr="004D38F7" w:rsidRDefault="005709A8" w:rsidP="005709A8">
      <w:pPr>
        <w:spacing w:line="360" w:lineRule="auto"/>
        <w:rPr>
          <w:rFonts w:ascii="Palatino Linotype" w:eastAsia="Times New Roman" w:hAnsi="Palatino Linotype" w:cs="Tahoma"/>
          <w:bCs/>
        </w:rPr>
      </w:pPr>
    </w:p>
    <w:p w14:paraId="1E5CD736"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El artículo 36 de la Constitución Política de los Estados Unidos Mexicanos, dispone la obligación de los ciudadanos de inscribirse en el Registro Nacional de Ciudadanos; además, el diverso 85 </w:t>
      </w:r>
      <w:r w:rsidRPr="004D38F7">
        <w:rPr>
          <w:rFonts w:ascii="Palatino Linotype" w:hAnsi="Palatino Linotype" w:cs="Tahoma"/>
          <w:iCs/>
          <w:lang w:val="es-ES" w:eastAsia="es-MX"/>
        </w:rPr>
        <w:t>de</w:t>
      </w:r>
      <w:r w:rsidRPr="004D38F7">
        <w:rPr>
          <w:rFonts w:ascii="Palatino Linotype" w:eastAsia="Times New Roman" w:hAnsi="Palatino Linotype" w:cs="Tahoma"/>
          <w:bCs/>
        </w:rPr>
        <w:t xml:space="preserve"> la Ley General de Población, prevé que corresponde a la Secretaría de Gobernación el registro y acreditación de la identidad de todas las personas residentes en el país y de los nacionales que residan en el extranjero.</w:t>
      </w:r>
    </w:p>
    <w:p w14:paraId="6AB903C3" w14:textId="77777777" w:rsidR="005709A8" w:rsidRPr="004D38F7" w:rsidRDefault="005709A8" w:rsidP="005709A8">
      <w:pPr>
        <w:spacing w:line="360" w:lineRule="auto"/>
        <w:rPr>
          <w:rFonts w:ascii="Palatino Linotype" w:eastAsia="Times New Roman" w:hAnsi="Palatino Linotype" w:cs="Tahoma"/>
          <w:bCs/>
        </w:rPr>
      </w:pPr>
    </w:p>
    <w:p w14:paraId="56D2452D"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BB4BA6B" w14:textId="77777777" w:rsidR="005709A8" w:rsidRPr="004D38F7" w:rsidRDefault="005709A8" w:rsidP="005709A8">
      <w:pPr>
        <w:spacing w:line="360" w:lineRule="auto"/>
        <w:contextualSpacing/>
        <w:jc w:val="both"/>
        <w:rPr>
          <w:rFonts w:ascii="Palatino Linotype" w:eastAsia="Times New Roman" w:hAnsi="Palatino Linotype" w:cs="Tahoma"/>
          <w:bCs/>
        </w:rPr>
      </w:pPr>
    </w:p>
    <w:p w14:paraId="3F608A5D"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ese orden de ideas, la Secretaría de Gobernación en las direcciones https://consultas.curp.gob.mx/CurpSP/html/informacionecurpPS.html y </w:t>
      </w:r>
      <w:hyperlink r:id="rId19" w:history="1">
        <w:r w:rsidRPr="004D38F7">
          <w:rPr>
            <w:rFonts w:ascii="Palatino Linotype" w:eastAsia="Times New Roman" w:hAnsi="Palatino Linotype" w:cs="Tahoma"/>
            <w:bCs/>
            <w:color w:val="0563C1"/>
            <w:u w:val="single"/>
          </w:rPr>
          <w:t>https://www.gob.mx/segob/renapo/acciones-y-programas/clave-unica-de-registro-de-poblacion-curp-142226</w:t>
        </w:r>
      </w:hyperlink>
      <w:r w:rsidRPr="004D38F7">
        <w:rPr>
          <w:rFonts w:ascii="Palatino Linotype" w:eastAsia="Times New Roman" w:hAnsi="Palatino Linotype" w:cs="Tahoma"/>
          <w:bCs/>
        </w:rPr>
        <w:t xml:space="preserve"> (consultadas el catorce de diciembre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75A8F669" w14:textId="77777777" w:rsidR="005709A8" w:rsidRPr="004D38F7" w:rsidRDefault="005709A8" w:rsidP="005709A8">
      <w:pPr>
        <w:spacing w:line="360" w:lineRule="auto"/>
        <w:rPr>
          <w:rFonts w:ascii="Palatino Linotype" w:eastAsia="Times New Roman" w:hAnsi="Palatino Linotype" w:cs="Tahoma"/>
          <w:bCs/>
        </w:rPr>
      </w:pPr>
    </w:p>
    <w:p w14:paraId="6E02182C" w14:textId="77777777" w:rsidR="005709A8" w:rsidRPr="004D38F7" w:rsidRDefault="005709A8" w:rsidP="005709A8">
      <w:pPr>
        <w:spacing w:line="360" w:lineRule="auto"/>
        <w:ind w:left="567"/>
        <w:rPr>
          <w:rFonts w:ascii="Palatino Linotype" w:eastAsia="Times New Roman" w:hAnsi="Palatino Linotype" w:cs="Tahoma"/>
          <w:bCs/>
        </w:rPr>
      </w:pPr>
      <w:r w:rsidRPr="004D38F7">
        <w:rPr>
          <w:rFonts w:ascii="Palatino Linotype" w:eastAsia="Times New Roman" w:hAnsi="Palatino Linotype" w:cs="Tahoma"/>
          <w:bCs/>
        </w:rPr>
        <w:t>•</w:t>
      </w:r>
      <w:r w:rsidRPr="004D38F7">
        <w:rPr>
          <w:rFonts w:ascii="Palatino Linotype" w:eastAsia="Times New Roman" w:hAnsi="Palatino Linotype" w:cs="Tahoma"/>
          <w:bCs/>
        </w:rPr>
        <w:tab/>
        <w:t>El primero y segundo apellidos, así como al nombre de pila;</w:t>
      </w:r>
    </w:p>
    <w:p w14:paraId="61663DE7" w14:textId="77777777" w:rsidR="005709A8" w:rsidRPr="004D38F7" w:rsidRDefault="005709A8" w:rsidP="005709A8">
      <w:pPr>
        <w:spacing w:line="360" w:lineRule="auto"/>
        <w:ind w:left="567"/>
        <w:rPr>
          <w:rFonts w:ascii="Palatino Linotype" w:eastAsia="Times New Roman" w:hAnsi="Palatino Linotype" w:cs="Tahoma"/>
          <w:bCs/>
        </w:rPr>
      </w:pPr>
      <w:r w:rsidRPr="004D38F7">
        <w:rPr>
          <w:rFonts w:ascii="Palatino Linotype" w:eastAsia="Times New Roman" w:hAnsi="Palatino Linotype" w:cs="Tahoma"/>
          <w:bCs/>
        </w:rPr>
        <w:t>•</w:t>
      </w:r>
      <w:r w:rsidRPr="004D38F7">
        <w:rPr>
          <w:rFonts w:ascii="Palatino Linotype" w:eastAsia="Times New Roman" w:hAnsi="Palatino Linotype" w:cs="Tahoma"/>
          <w:bCs/>
        </w:rPr>
        <w:tab/>
        <w:t>La fecha de nacimiento;</w:t>
      </w:r>
    </w:p>
    <w:p w14:paraId="2A61B2BE" w14:textId="77777777" w:rsidR="005709A8" w:rsidRPr="004D38F7" w:rsidRDefault="005709A8" w:rsidP="005709A8">
      <w:pPr>
        <w:spacing w:line="360" w:lineRule="auto"/>
        <w:ind w:left="567"/>
        <w:rPr>
          <w:rFonts w:ascii="Palatino Linotype" w:eastAsia="Times New Roman" w:hAnsi="Palatino Linotype" w:cs="Tahoma"/>
          <w:bCs/>
        </w:rPr>
      </w:pPr>
      <w:r w:rsidRPr="004D38F7">
        <w:rPr>
          <w:rFonts w:ascii="Palatino Linotype" w:eastAsia="Times New Roman" w:hAnsi="Palatino Linotype" w:cs="Tahoma"/>
          <w:bCs/>
        </w:rPr>
        <w:t>•</w:t>
      </w:r>
      <w:r w:rsidRPr="004D38F7">
        <w:rPr>
          <w:rFonts w:ascii="Palatino Linotype" w:eastAsia="Times New Roman" w:hAnsi="Palatino Linotype" w:cs="Tahoma"/>
          <w:bCs/>
        </w:rPr>
        <w:tab/>
        <w:t>El sexo, y</w:t>
      </w:r>
    </w:p>
    <w:p w14:paraId="0112E51D" w14:textId="77777777" w:rsidR="005709A8" w:rsidRPr="004D38F7" w:rsidRDefault="005709A8" w:rsidP="005709A8">
      <w:pPr>
        <w:spacing w:line="360" w:lineRule="auto"/>
        <w:ind w:left="567"/>
        <w:rPr>
          <w:rFonts w:ascii="Palatino Linotype" w:eastAsia="Times New Roman" w:hAnsi="Palatino Linotype" w:cs="Tahoma"/>
          <w:bCs/>
        </w:rPr>
      </w:pPr>
      <w:r w:rsidRPr="004D38F7">
        <w:rPr>
          <w:rFonts w:ascii="Palatino Linotype" w:eastAsia="Times New Roman" w:hAnsi="Palatino Linotype" w:cs="Tahoma"/>
          <w:bCs/>
        </w:rPr>
        <w:t>•</w:t>
      </w:r>
      <w:r w:rsidRPr="004D38F7">
        <w:rPr>
          <w:rFonts w:ascii="Palatino Linotype" w:eastAsia="Times New Roman" w:hAnsi="Palatino Linotype" w:cs="Tahoma"/>
          <w:bCs/>
        </w:rPr>
        <w:tab/>
        <w:t>La entidad federativa de nacimiento.</w:t>
      </w:r>
    </w:p>
    <w:p w14:paraId="4CEC44F4" w14:textId="77777777" w:rsidR="005709A8" w:rsidRPr="004D38F7" w:rsidRDefault="005709A8" w:rsidP="005709A8">
      <w:pPr>
        <w:spacing w:line="360" w:lineRule="auto"/>
        <w:rPr>
          <w:rFonts w:ascii="Palatino Linotype" w:eastAsia="Times New Roman" w:hAnsi="Palatino Linotype" w:cs="Tahoma"/>
          <w:bCs/>
        </w:rPr>
      </w:pPr>
    </w:p>
    <w:p w14:paraId="1F1E200F"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1C08F1A" w14:textId="77777777" w:rsidR="005709A8" w:rsidRPr="004D38F7" w:rsidRDefault="005709A8" w:rsidP="005709A8">
      <w:pPr>
        <w:spacing w:line="360" w:lineRule="auto"/>
        <w:rPr>
          <w:rFonts w:ascii="Palatino Linotype" w:eastAsia="Times New Roman" w:hAnsi="Palatino Linotype" w:cs="Tahoma"/>
          <w:bCs/>
        </w:rPr>
      </w:pPr>
    </w:p>
    <w:p w14:paraId="333EC65E" w14:textId="77777777" w:rsidR="005709A8" w:rsidRPr="004D38F7" w:rsidRDefault="005709A8" w:rsidP="005709A8">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lastRenderedPageBreak/>
        <w:t>Situación que se robustece, con el Criterio de Interpretación, de la Segunda Época, con número de registro SO/018/2017, emitido por el Instituto Nacional de Transparencia, Acceso a la Información y Protección de Datos Personales, que establece lo siguiente:</w:t>
      </w:r>
    </w:p>
    <w:p w14:paraId="0A4CC989" w14:textId="77777777" w:rsidR="005709A8" w:rsidRPr="004D38F7" w:rsidRDefault="005709A8" w:rsidP="005709A8">
      <w:pPr>
        <w:spacing w:line="360" w:lineRule="auto"/>
        <w:rPr>
          <w:rFonts w:ascii="Palatino Linotype" w:eastAsia="Times New Roman" w:hAnsi="Palatino Linotype" w:cs="Tahoma"/>
          <w:bCs/>
        </w:rPr>
      </w:pPr>
    </w:p>
    <w:p w14:paraId="3EDC47E3"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
          <w:i/>
          <w:iCs/>
        </w:rPr>
        <w:t xml:space="preserve">“Clave Única de Registro de Población (CURP). </w:t>
      </w:r>
      <w:r w:rsidRPr="004D38F7">
        <w:rPr>
          <w:rFonts w:ascii="Palatino Linotype" w:eastAsia="Times New Roman"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3BEB55F" w14:textId="77777777" w:rsidR="005709A8" w:rsidRPr="004D38F7" w:rsidRDefault="005709A8" w:rsidP="005709A8">
      <w:pPr>
        <w:spacing w:line="360" w:lineRule="auto"/>
        <w:rPr>
          <w:rFonts w:ascii="Palatino Linotype" w:eastAsia="Times New Roman" w:hAnsi="Palatino Linotype" w:cs="Tahoma"/>
          <w:bCs/>
        </w:rPr>
      </w:pPr>
    </w:p>
    <w:p w14:paraId="6640B22F"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De acuerdo con lo anterior, resulta procedente la clasificación de </w:t>
      </w:r>
      <w:r w:rsidRPr="004D38F7">
        <w:rPr>
          <w:rFonts w:ascii="Palatino Linotype" w:eastAsia="Times New Roman" w:hAnsi="Palatino Linotype" w:cs="Tahoma"/>
          <w:b/>
        </w:rPr>
        <w:t>la Clave Única de Registro de Población</w:t>
      </w:r>
      <w:r w:rsidRPr="004D38F7">
        <w:rPr>
          <w:rFonts w:ascii="Palatino Linotype" w:eastAsia="Times New Roman" w:hAnsi="Palatino Linotype" w:cs="Tahoma"/>
          <w:bCs/>
        </w:rPr>
        <w:t xml:space="preserve">, por tratarse de un dato personal confidencial, en términos del artículo 143, fracción I, de la Ley de Transparencia y Acceso a la Información Pública del Estado de México y Municipios. </w:t>
      </w:r>
    </w:p>
    <w:p w14:paraId="5B00A983" w14:textId="77777777" w:rsidR="005709A8" w:rsidRPr="004D38F7" w:rsidRDefault="005709A8" w:rsidP="005709A8">
      <w:pPr>
        <w:spacing w:line="360" w:lineRule="auto"/>
        <w:rPr>
          <w:rFonts w:ascii="Palatino Linotype" w:eastAsia="Times New Roman" w:hAnsi="Palatino Linotype" w:cs="Tahoma"/>
          <w:bCs/>
        </w:rPr>
      </w:pPr>
    </w:p>
    <w:p w14:paraId="4373EAC5" w14:textId="77777777" w:rsidR="005709A8" w:rsidRPr="004D38F7" w:rsidRDefault="005709A8" w:rsidP="005709A8">
      <w:pPr>
        <w:spacing w:line="360" w:lineRule="auto"/>
        <w:rPr>
          <w:rFonts w:ascii="Palatino Linotype" w:eastAsia="Times New Roman" w:hAnsi="Palatino Linotype" w:cs="Tahoma"/>
          <w:bCs/>
        </w:rPr>
      </w:pPr>
    </w:p>
    <w:p w14:paraId="51025BC9" w14:textId="77777777" w:rsidR="005709A8" w:rsidRPr="004D38F7" w:rsidRDefault="005709A8" w:rsidP="005709A8">
      <w:pPr>
        <w:numPr>
          <w:ilvl w:val="0"/>
          <w:numId w:val="42"/>
        </w:numPr>
        <w:spacing w:line="360" w:lineRule="auto"/>
        <w:contextualSpacing/>
        <w:jc w:val="both"/>
        <w:rPr>
          <w:rFonts w:ascii="Palatino Linotype" w:eastAsia="Times New Roman" w:hAnsi="Palatino Linotype" w:cs="Tahoma"/>
          <w:b/>
        </w:rPr>
      </w:pPr>
      <w:r w:rsidRPr="004D38F7">
        <w:rPr>
          <w:rFonts w:ascii="Palatino Linotype" w:eastAsia="Times New Roman" w:hAnsi="Palatino Linotype" w:cs="Tahoma"/>
          <w:b/>
        </w:rPr>
        <w:t xml:space="preserve">Código bidimensional o </w:t>
      </w:r>
      <w:proofErr w:type="spellStart"/>
      <w:r w:rsidRPr="004D38F7">
        <w:rPr>
          <w:rFonts w:ascii="Palatino Linotype" w:eastAsia="Times New Roman" w:hAnsi="Palatino Linotype" w:cs="Tahoma"/>
          <w:b/>
        </w:rPr>
        <w:t>Qr</w:t>
      </w:r>
      <w:proofErr w:type="spellEnd"/>
    </w:p>
    <w:p w14:paraId="62880E27" w14:textId="77777777" w:rsidR="005709A8" w:rsidRPr="004D38F7" w:rsidRDefault="005709A8" w:rsidP="005709A8">
      <w:pPr>
        <w:spacing w:line="360" w:lineRule="auto"/>
        <w:rPr>
          <w:rFonts w:ascii="Palatino Linotype" w:eastAsia="Times New Roman" w:hAnsi="Palatino Linotype" w:cs="Tahoma"/>
          <w:bCs/>
        </w:rPr>
      </w:pPr>
    </w:p>
    <w:p w14:paraId="1893C9BC"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principio, resulta necesario señalar que los comprobantes fiscales digitales por Internet, deben de incluir un código bidimensional conforme al formato QR </w:t>
      </w:r>
      <w:proofErr w:type="spellStart"/>
      <w:r w:rsidRPr="004D38F7">
        <w:rPr>
          <w:rFonts w:ascii="Palatino Linotype" w:eastAsia="Times New Roman" w:hAnsi="Palatino Linotype" w:cs="Tahoma"/>
          <w:bCs/>
        </w:rPr>
        <w:t>Code</w:t>
      </w:r>
      <w:proofErr w:type="spellEnd"/>
      <w:r w:rsidRPr="004D38F7">
        <w:rPr>
          <w:rFonts w:ascii="Palatino Linotype" w:eastAsia="Times New Roman" w:hAnsi="Palatino Linotype" w:cs="Tahoma"/>
          <w:bCs/>
        </w:rPr>
        <w:t xml:space="preserve"> (Quick Response </w:t>
      </w:r>
      <w:proofErr w:type="spellStart"/>
      <w:r w:rsidRPr="004D38F7">
        <w:rPr>
          <w:rFonts w:ascii="Palatino Linotype" w:eastAsia="Times New Roman" w:hAnsi="Palatino Linotype" w:cs="Tahoma"/>
          <w:bCs/>
        </w:rPr>
        <w:t>Code</w:t>
      </w:r>
      <w:proofErr w:type="spellEnd"/>
      <w:r w:rsidRPr="004D38F7">
        <w:rPr>
          <w:rFonts w:ascii="Palatino Linotype" w:eastAsia="Times New Roman" w:hAnsi="Palatino Linotype" w:cs="Tahoma"/>
          <w:bCs/>
        </w:rPr>
        <w:t xml:space="preserve">), el cual contiene el Registro Federal de Contribuyentes del receptor, del emisor, o de ambos; lo anterior, conforme al Anexo 20 de la Segunda Resolución de modificación a la Resolución Miscelánea Fiscal para el 2017, localizada en la página </w:t>
      </w:r>
      <w:r w:rsidRPr="004D38F7">
        <w:rPr>
          <w:rFonts w:ascii="Palatino Linotype" w:eastAsia="Times New Roman" w:hAnsi="Palatino Linotype" w:cs="Tahoma"/>
          <w:bCs/>
        </w:rPr>
        <w:lastRenderedPageBreak/>
        <w:t>electrónica  http://dof.gob.mx/nota_detalle.php?codigo=5492254&amp;fecha=28/07/2017. Incluso con la captura de dicho código, a través de la aplicación móvil del Servicio de Administración Tributaria, permite el acceso al Registro Federal de Contribuyentes, como del Sujeto Obligado, como de los servidores públicos.</w:t>
      </w:r>
    </w:p>
    <w:p w14:paraId="78AEE36C" w14:textId="77777777" w:rsidR="005709A8" w:rsidRPr="004D38F7" w:rsidRDefault="005709A8" w:rsidP="005709A8">
      <w:pPr>
        <w:spacing w:line="360" w:lineRule="auto"/>
        <w:rPr>
          <w:rFonts w:ascii="Palatino Linotype" w:eastAsia="Times New Roman" w:hAnsi="Palatino Linotype" w:cs="Tahoma"/>
          <w:bCs/>
        </w:rPr>
      </w:pPr>
    </w:p>
    <w:p w14:paraId="685793ED"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02D2E84F" w14:textId="77777777" w:rsidR="005709A8" w:rsidRPr="004D38F7" w:rsidRDefault="005709A8" w:rsidP="005709A8">
      <w:pPr>
        <w:spacing w:line="360" w:lineRule="auto"/>
        <w:rPr>
          <w:rFonts w:ascii="Palatino Linotype" w:eastAsia="Times New Roman" w:hAnsi="Palatino Linotype" w:cs="Tahoma"/>
          <w:bCs/>
        </w:rPr>
      </w:pPr>
    </w:p>
    <w:p w14:paraId="7026BFD1" w14:textId="77777777" w:rsidR="005709A8" w:rsidRPr="004D38F7" w:rsidRDefault="005709A8" w:rsidP="005709A8">
      <w:pPr>
        <w:numPr>
          <w:ilvl w:val="0"/>
          <w:numId w:val="41"/>
        </w:numPr>
        <w:spacing w:line="360" w:lineRule="auto"/>
        <w:contextualSpacing/>
        <w:jc w:val="both"/>
        <w:rPr>
          <w:rFonts w:ascii="Palatino Linotype" w:eastAsia="Times New Roman" w:hAnsi="Palatino Linotype" w:cs="Tahoma"/>
          <w:b/>
        </w:rPr>
      </w:pPr>
      <w:r w:rsidRPr="004D38F7">
        <w:rPr>
          <w:rFonts w:ascii="Palatino Linotype" w:eastAsia="Times New Roman" w:hAnsi="Palatino Linotype" w:cs="Tahoma"/>
          <w:b/>
        </w:rPr>
        <w:t>Número de seguridad social del Instituto de Seguridad Social del Estado de México y Municipios</w:t>
      </w:r>
    </w:p>
    <w:p w14:paraId="199999B6" w14:textId="77777777" w:rsidR="005709A8" w:rsidRPr="004D38F7" w:rsidRDefault="005709A8" w:rsidP="005709A8">
      <w:pPr>
        <w:spacing w:line="360" w:lineRule="auto"/>
        <w:rPr>
          <w:rFonts w:ascii="Palatino Linotype" w:eastAsia="Times New Roman" w:hAnsi="Palatino Linotype" w:cs="Tahoma"/>
          <w:bCs/>
        </w:rPr>
      </w:pPr>
    </w:p>
    <w:p w14:paraId="34AA8AFF"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DA3351A" w14:textId="77777777" w:rsidR="005709A8" w:rsidRPr="004D38F7" w:rsidRDefault="005709A8" w:rsidP="005709A8">
      <w:pPr>
        <w:spacing w:line="360" w:lineRule="auto"/>
        <w:rPr>
          <w:rFonts w:ascii="Palatino Linotype" w:eastAsia="Times New Roman" w:hAnsi="Palatino Linotype" w:cs="Tahoma"/>
          <w:bCs/>
        </w:rPr>
      </w:pPr>
    </w:p>
    <w:p w14:paraId="4938DF77"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w:t>
      </w:r>
      <w:r w:rsidRPr="004D38F7">
        <w:rPr>
          <w:rFonts w:ascii="Palatino Linotype" w:eastAsia="Times New Roman" w:hAnsi="Palatino Linotype" w:cs="Tahoma"/>
          <w:bCs/>
        </w:rPr>
        <w:lastRenderedPageBreak/>
        <w:t>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25E1BAD7" w14:textId="77777777" w:rsidR="005709A8" w:rsidRPr="004D38F7" w:rsidRDefault="005709A8" w:rsidP="005709A8">
      <w:pPr>
        <w:spacing w:line="360" w:lineRule="auto"/>
        <w:rPr>
          <w:rFonts w:ascii="Palatino Linotype" w:eastAsia="Times New Roman" w:hAnsi="Palatino Linotype" w:cs="Tahoma"/>
          <w:bCs/>
        </w:rPr>
      </w:pPr>
    </w:p>
    <w:p w14:paraId="5FC97F14"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501D0C37" w14:textId="77777777" w:rsidR="005709A8" w:rsidRPr="004D38F7" w:rsidRDefault="005709A8" w:rsidP="005709A8">
      <w:pPr>
        <w:spacing w:line="360" w:lineRule="auto"/>
        <w:rPr>
          <w:rFonts w:ascii="Palatino Linotype" w:eastAsia="Times New Roman" w:hAnsi="Palatino Linotype" w:cs="Tahoma"/>
          <w:bCs/>
        </w:rPr>
      </w:pPr>
    </w:p>
    <w:p w14:paraId="056A6DAE"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5EFE5B90" w14:textId="77777777" w:rsidR="005709A8" w:rsidRPr="004D38F7" w:rsidRDefault="005709A8" w:rsidP="005709A8">
      <w:pPr>
        <w:spacing w:line="360" w:lineRule="auto"/>
        <w:rPr>
          <w:rFonts w:ascii="Palatino Linotype" w:eastAsia="Times New Roman" w:hAnsi="Palatino Linotype" w:cs="Tahoma"/>
          <w:bCs/>
        </w:rPr>
      </w:pPr>
    </w:p>
    <w:p w14:paraId="5F0B9BB8" w14:textId="77777777" w:rsidR="005709A8" w:rsidRPr="004D38F7" w:rsidRDefault="005709A8" w:rsidP="005709A8">
      <w:pPr>
        <w:numPr>
          <w:ilvl w:val="0"/>
          <w:numId w:val="40"/>
        </w:numPr>
        <w:spacing w:line="360" w:lineRule="auto"/>
        <w:contextualSpacing/>
        <w:jc w:val="both"/>
        <w:rPr>
          <w:rFonts w:ascii="Palatino Linotype" w:eastAsia="Times New Roman" w:hAnsi="Palatino Linotype" w:cs="Tahoma"/>
          <w:b/>
        </w:rPr>
      </w:pPr>
      <w:r w:rsidRPr="004D38F7">
        <w:rPr>
          <w:rFonts w:ascii="Palatino Linotype" w:eastAsia="Times New Roman" w:hAnsi="Palatino Linotype" w:cs="Tahoma"/>
          <w:b/>
        </w:rPr>
        <w:t>Descuentos personales</w:t>
      </w:r>
    </w:p>
    <w:p w14:paraId="5B61DE13" w14:textId="77777777" w:rsidR="005709A8" w:rsidRPr="004D38F7" w:rsidRDefault="005709A8" w:rsidP="005709A8">
      <w:pPr>
        <w:spacing w:line="360" w:lineRule="auto"/>
        <w:rPr>
          <w:rFonts w:ascii="Palatino Linotype" w:eastAsia="Times New Roman" w:hAnsi="Palatino Linotype" w:cs="Tahoma"/>
          <w:bCs/>
        </w:rPr>
      </w:pPr>
    </w:p>
    <w:p w14:paraId="54915EE2"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lastRenderedPageBreak/>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67F1F817" w14:textId="77777777" w:rsidR="005709A8" w:rsidRPr="004D38F7" w:rsidRDefault="005709A8" w:rsidP="005709A8">
      <w:pPr>
        <w:spacing w:line="360" w:lineRule="auto"/>
        <w:rPr>
          <w:rFonts w:ascii="Palatino Linotype" w:eastAsia="Times New Roman" w:hAnsi="Palatino Linotype" w:cs="Tahoma"/>
          <w:bCs/>
        </w:rPr>
      </w:pPr>
    </w:p>
    <w:p w14:paraId="48C76B16"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Asimismo, hay otras que se generan con motivo de una sentencia judicial, como es la pensión alimenticia que periódicamente se retira de la cuenta de un empleado, a efecto de que sea entregado a un tercero.  </w:t>
      </w:r>
    </w:p>
    <w:p w14:paraId="256417F1" w14:textId="77777777" w:rsidR="00356FE1" w:rsidRPr="004D38F7" w:rsidRDefault="00356FE1" w:rsidP="00356FE1">
      <w:pPr>
        <w:pStyle w:val="Prrafodelista"/>
        <w:rPr>
          <w:rFonts w:ascii="Palatino Linotype" w:eastAsia="Times New Roman" w:hAnsi="Palatino Linotype" w:cs="Tahoma"/>
          <w:bCs/>
        </w:rPr>
      </w:pPr>
    </w:p>
    <w:p w14:paraId="0BF73013"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24FC133C" w14:textId="77777777" w:rsidR="005709A8" w:rsidRPr="004D38F7" w:rsidRDefault="005709A8" w:rsidP="005709A8">
      <w:pPr>
        <w:spacing w:line="360" w:lineRule="auto"/>
        <w:rPr>
          <w:rFonts w:ascii="Palatino Linotype" w:eastAsia="Times New Roman" w:hAnsi="Palatino Linotype" w:cs="Tahoma"/>
          <w:bCs/>
        </w:rPr>
      </w:pPr>
    </w:p>
    <w:p w14:paraId="757A9F76"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7C447AAF" w14:textId="77777777" w:rsidR="005709A8" w:rsidRPr="004D38F7" w:rsidRDefault="005709A8" w:rsidP="005709A8">
      <w:pPr>
        <w:spacing w:line="360" w:lineRule="auto"/>
        <w:ind w:left="567" w:right="539"/>
        <w:rPr>
          <w:rFonts w:ascii="Palatino Linotype" w:eastAsia="Times New Roman" w:hAnsi="Palatino Linotype" w:cs="Tahoma"/>
          <w:b/>
        </w:rPr>
      </w:pPr>
    </w:p>
    <w:p w14:paraId="6A237F7C" w14:textId="77777777" w:rsidR="005709A8" w:rsidRPr="004D38F7" w:rsidRDefault="005709A8" w:rsidP="005709A8">
      <w:pPr>
        <w:numPr>
          <w:ilvl w:val="0"/>
          <w:numId w:val="15"/>
        </w:numPr>
        <w:spacing w:line="360" w:lineRule="auto"/>
        <w:ind w:right="539"/>
        <w:contextualSpacing/>
        <w:jc w:val="both"/>
        <w:rPr>
          <w:rFonts w:ascii="Palatino Linotype" w:eastAsia="Times New Roman" w:hAnsi="Palatino Linotype" w:cs="Tahoma"/>
          <w:b/>
        </w:rPr>
      </w:pPr>
      <w:r w:rsidRPr="004D38F7">
        <w:rPr>
          <w:rFonts w:ascii="Palatino Linotype" w:eastAsia="Times New Roman" w:hAnsi="Palatino Linotype" w:cs="Tahoma"/>
          <w:b/>
        </w:rPr>
        <w:t xml:space="preserve">Sellos digitales del emisor y del Servicio de Administración Tributaria y cadena original del complemento de certificación digital del órgano </w:t>
      </w:r>
      <w:r w:rsidRPr="004D38F7">
        <w:rPr>
          <w:rFonts w:ascii="Palatino Linotype" w:eastAsia="Times New Roman" w:hAnsi="Palatino Linotype" w:cs="Tahoma"/>
          <w:b/>
        </w:rPr>
        <w:lastRenderedPageBreak/>
        <w:t>previamente señalado; así como sus respectivos números de serie de los certificados de sellos digitales, folio fiscal y número de serie del emisor.</w:t>
      </w:r>
    </w:p>
    <w:p w14:paraId="6EDEB83F" w14:textId="77777777" w:rsidR="005709A8" w:rsidRPr="004D38F7" w:rsidRDefault="005709A8" w:rsidP="005709A8">
      <w:pPr>
        <w:spacing w:line="360" w:lineRule="auto"/>
        <w:rPr>
          <w:rFonts w:ascii="Palatino Linotype" w:eastAsia="Times New Roman" w:hAnsi="Palatino Linotype" w:cs="Tahoma"/>
          <w:bCs/>
        </w:rPr>
      </w:pPr>
    </w:p>
    <w:p w14:paraId="714F40EB"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087A7747" w14:textId="77777777" w:rsidR="005709A8" w:rsidRPr="004D38F7" w:rsidRDefault="005709A8" w:rsidP="005709A8">
      <w:pPr>
        <w:spacing w:line="360" w:lineRule="auto"/>
        <w:rPr>
          <w:rFonts w:ascii="Palatino Linotype" w:eastAsia="Times New Roman" w:hAnsi="Palatino Linotype" w:cs="Tahoma"/>
          <w:bCs/>
        </w:rPr>
      </w:pPr>
    </w:p>
    <w:p w14:paraId="5D3E94AA"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4DA2E9A" w14:textId="77777777" w:rsidR="005709A8" w:rsidRPr="004D38F7" w:rsidRDefault="005709A8" w:rsidP="005709A8">
      <w:pPr>
        <w:spacing w:line="360" w:lineRule="auto"/>
        <w:rPr>
          <w:rFonts w:ascii="Palatino Linotype" w:eastAsia="Times New Roman" w:hAnsi="Palatino Linotype" w:cs="Tahoma"/>
          <w:bCs/>
        </w:rPr>
      </w:pPr>
    </w:p>
    <w:p w14:paraId="013A928E"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w:t>
      </w:r>
    </w:p>
    <w:p w14:paraId="3F150570"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Elementos utilizados en la generación de Sellos Digitales:</w:t>
      </w:r>
    </w:p>
    <w:p w14:paraId="247E67D7"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lastRenderedPageBreak/>
        <w:t>•</w:t>
      </w:r>
      <w:r w:rsidRPr="004D38F7">
        <w:rPr>
          <w:rFonts w:ascii="Palatino Linotype" w:eastAsia="Times New Roman" w:hAnsi="Palatino Linotype" w:cs="Tahoma"/>
          <w:bCs/>
          <w:i/>
          <w:iCs/>
        </w:rPr>
        <w:tab/>
        <w:t>Cadena Original, el elemento a sellar, en este caso de un comprobante fiscal digital a través de Internet.</w:t>
      </w:r>
    </w:p>
    <w:p w14:paraId="2062735B"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w:t>
      </w:r>
      <w:r w:rsidRPr="004D38F7">
        <w:rPr>
          <w:rFonts w:ascii="Palatino Linotype" w:eastAsia="Times New Roman" w:hAnsi="Palatino Linotype" w:cs="Tahoma"/>
          <w:bCs/>
          <w:i/>
          <w:iCs/>
        </w:rPr>
        <w:tab/>
        <w:t>Certificado de Sello Digital y su correspondiente clave privada.</w:t>
      </w:r>
    </w:p>
    <w:p w14:paraId="7BF03223"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w:t>
      </w:r>
      <w:r w:rsidRPr="004D38F7">
        <w:rPr>
          <w:rFonts w:ascii="Palatino Linotype" w:eastAsia="Times New Roman" w:hAnsi="Palatino Linotype" w:cs="Tahoma"/>
          <w:bCs/>
          <w:i/>
          <w:iCs/>
        </w:rPr>
        <w:tab/>
        <w:t>Algoritmos de criptografía de clave pública para firma electrónica avanzada.</w:t>
      </w:r>
    </w:p>
    <w:p w14:paraId="48C05EE0"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w:t>
      </w:r>
      <w:r w:rsidRPr="004D38F7">
        <w:rPr>
          <w:rFonts w:ascii="Palatino Linotype" w:eastAsia="Times New Roman" w:hAnsi="Palatino Linotype" w:cs="Tahoma"/>
          <w:bCs/>
          <w:i/>
          <w:iCs/>
        </w:rPr>
        <w:tab/>
        <w:t>Especificaciones de conversión de la firma electrónica avanzada a Base 64.</w:t>
      </w:r>
    </w:p>
    <w:p w14:paraId="1704A273"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Para la generación de sellos digitales se utiliza criptografía de clave pública aplicada a una cadena original.</w:t>
      </w:r>
    </w:p>
    <w:p w14:paraId="27D8DEE9"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Criptografía de la Clave Pública</w:t>
      </w:r>
    </w:p>
    <w:p w14:paraId="45EC4EE9" w14:textId="77777777" w:rsidR="005709A8" w:rsidRPr="004D38F7" w:rsidRDefault="005709A8" w:rsidP="005709A8">
      <w:pPr>
        <w:spacing w:line="360" w:lineRule="auto"/>
        <w:ind w:left="567" w:right="539"/>
        <w:rPr>
          <w:rFonts w:ascii="Palatino Linotype" w:eastAsia="Times New Roman" w:hAnsi="Palatino Linotype" w:cs="Tahoma"/>
          <w:bCs/>
          <w:i/>
          <w:iCs/>
        </w:rPr>
      </w:pPr>
      <w:r w:rsidRPr="004D38F7">
        <w:rPr>
          <w:rFonts w:ascii="Palatino Linotype" w:eastAsia="Times New Roman" w:hAnsi="Palatino Linotype" w:cs="Tahoma"/>
          <w:bCs/>
          <w:i/>
          <w:iCs/>
        </w:rPr>
        <w:t xml:space="preserve">La criptografía de Clave Pública se basa en la generación de una pareja de números muy grandes relacionados íntimamente entre sí, de tal manera que una operación de </w:t>
      </w:r>
      <w:proofErr w:type="spellStart"/>
      <w:r w:rsidRPr="004D38F7">
        <w:rPr>
          <w:rFonts w:ascii="Palatino Linotype" w:eastAsia="Times New Roman" w:hAnsi="Palatino Linotype" w:cs="Tahoma"/>
          <w:bCs/>
          <w:i/>
          <w:iCs/>
        </w:rPr>
        <w:t>encripción</w:t>
      </w:r>
      <w:proofErr w:type="spellEnd"/>
      <w:r w:rsidRPr="004D38F7">
        <w:rPr>
          <w:rFonts w:ascii="Palatino Linotype" w:eastAsia="Times New Roman" w:hAnsi="Palatino Linotype" w:cs="Tahoma"/>
          <w:bCs/>
          <w:i/>
          <w:iCs/>
        </w:rPr>
        <w:t xml:space="preserve"> sobre un mensaje tomando como clave de </w:t>
      </w:r>
      <w:proofErr w:type="spellStart"/>
      <w:r w:rsidRPr="004D38F7">
        <w:rPr>
          <w:rFonts w:ascii="Palatino Linotype" w:eastAsia="Times New Roman" w:hAnsi="Palatino Linotype" w:cs="Tahoma"/>
          <w:bCs/>
          <w:i/>
          <w:iCs/>
        </w:rPr>
        <w:t>encripción</w:t>
      </w:r>
      <w:proofErr w:type="spellEnd"/>
      <w:r w:rsidRPr="004D38F7">
        <w:rPr>
          <w:rFonts w:ascii="Palatino Linotype" w:eastAsia="Times New Roman" w:hAnsi="Palatino Linotype" w:cs="Tahoma"/>
          <w:bCs/>
          <w:i/>
          <w:iCs/>
        </w:rPr>
        <w:t xml:space="preserve"> a uno de los dos números, produce un mensaje alterado en su significado que solo puede ser devuelto a su estado original mediante la operación de </w:t>
      </w:r>
      <w:proofErr w:type="spellStart"/>
      <w:r w:rsidRPr="004D38F7">
        <w:rPr>
          <w:rFonts w:ascii="Palatino Linotype" w:eastAsia="Times New Roman" w:hAnsi="Palatino Linotype" w:cs="Tahoma"/>
          <w:bCs/>
          <w:i/>
          <w:iCs/>
        </w:rPr>
        <w:t>desencripción</w:t>
      </w:r>
      <w:proofErr w:type="spellEnd"/>
      <w:r w:rsidRPr="004D38F7">
        <w:rPr>
          <w:rFonts w:ascii="Palatino Linotype" w:eastAsia="Times New Roman" w:hAnsi="Palatino Linotype" w:cs="Tahoma"/>
          <w:bCs/>
          <w:i/>
          <w:iCs/>
        </w:rPr>
        <w:t xml:space="preserve"> correspondiente tomando como clave de </w:t>
      </w:r>
      <w:proofErr w:type="spellStart"/>
      <w:r w:rsidRPr="004D38F7">
        <w:rPr>
          <w:rFonts w:ascii="Palatino Linotype" w:eastAsia="Times New Roman" w:hAnsi="Palatino Linotype" w:cs="Tahoma"/>
          <w:bCs/>
          <w:i/>
          <w:iCs/>
        </w:rPr>
        <w:t>desencripción</w:t>
      </w:r>
      <w:proofErr w:type="spellEnd"/>
      <w:r w:rsidRPr="004D38F7">
        <w:rPr>
          <w:rFonts w:ascii="Palatino Linotype" w:eastAsia="Times New Roman" w:hAnsi="Palatino Linotype" w:cs="Tahoma"/>
          <w:bCs/>
          <w:i/>
          <w:iCs/>
        </w:rPr>
        <w:t xml:space="preserve"> al otro número de la pareja.</w:t>
      </w:r>
    </w:p>
    <w:p w14:paraId="159C1850" w14:textId="77777777" w:rsidR="005709A8" w:rsidRPr="004D38F7" w:rsidRDefault="005709A8" w:rsidP="005709A8">
      <w:pPr>
        <w:spacing w:line="360" w:lineRule="auto"/>
        <w:rPr>
          <w:rFonts w:ascii="Palatino Linotype" w:eastAsia="Times New Roman" w:hAnsi="Palatino Linotype" w:cs="Tahoma"/>
          <w:bCs/>
        </w:rPr>
      </w:pPr>
      <w:r w:rsidRPr="004D38F7">
        <w:rPr>
          <w:rFonts w:ascii="Palatino Linotype" w:eastAsia="Times New Roman" w:hAnsi="Palatino Linotype" w:cs="Tahoma"/>
          <w:bCs/>
        </w:rPr>
        <w:t>…”</w:t>
      </w:r>
    </w:p>
    <w:p w14:paraId="205D7C79" w14:textId="77777777" w:rsidR="005709A8" w:rsidRPr="004D38F7" w:rsidRDefault="005709A8" w:rsidP="005709A8">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3D7CE568"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7B798A23" w14:textId="77777777" w:rsidR="005709A8" w:rsidRPr="004D38F7" w:rsidRDefault="005709A8" w:rsidP="005709A8">
      <w:pPr>
        <w:spacing w:line="360" w:lineRule="auto"/>
        <w:rPr>
          <w:rFonts w:ascii="Palatino Linotype" w:eastAsia="Times New Roman" w:hAnsi="Palatino Linotype" w:cs="Tahoma"/>
          <w:bCs/>
        </w:rPr>
      </w:pPr>
    </w:p>
    <w:p w14:paraId="00B56C3C"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lastRenderedPageBreak/>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w:t>
      </w:r>
      <w:r w:rsidR="00356FE1" w:rsidRPr="004D38F7">
        <w:rPr>
          <w:rFonts w:ascii="Palatino Linotype" w:eastAsia="Times New Roman" w:hAnsi="Palatino Linotype" w:cs="Tahoma"/>
          <w:bCs/>
        </w:rPr>
        <w:t>como ya quedo establecido en el estudio del presente proveído.</w:t>
      </w:r>
    </w:p>
    <w:p w14:paraId="4B05F5AA" w14:textId="77777777" w:rsidR="00356FE1" w:rsidRPr="004D38F7" w:rsidRDefault="00356FE1" w:rsidP="00356FE1">
      <w:pPr>
        <w:pStyle w:val="Prrafodelista"/>
        <w:rPr>
          <w:rFonts w:ascii="Palatino Linotype" w:eastAsia="Times New Roman" w:hAnsi="Palatino Linotype" w:cs="Tahoma"/>
          <w:bCs/>
        </w:rPr>
      </w:pPr>
    </w:p>
    <w:p w14:paraId="3EAE599E"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41B0E60E" w14:textId="77777777" w:rsidR="005709A8" w:rsidRPr="004D38F7" w:rsidRDefault="005709A8" w:rsidP="005709A8">
      <w:pPr>
        <w:spacing w:line="360" w:lineRule="auto"/>
        <w:rPr>
          <w:rFonts w:ascii="Palatino Linotype" w:eastAsia="Times New Roman" w:hAnsi="Palatino Linotype" w:cs="Tahoma"/>
          <w:bCs/>
        </w:rPr>
      </w:pPr>
      <w:r w:rsidRPr="004D38F7">
        <w:rPr>
          <w:rFonts w:ascii="Palatino Linotype" w:eastAsia="Times New Roman" w:hAnsi="Palatino Linotype" w:cs="Tahoma"/>
          <w:bCs/>
        </w:rPr>
        <w:t xml:space="preserve"> </w:t>
      </w:r>
    </w:p>
    <w:p w14:paraId="3A7670E4"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w:t>
      </w:r>
      <w:r w:rsidR="00356FE1" w:rsidRPr="004D38F7">
        <w:rPr>
          <w:rFonts w:ascii="Palatino Linotype" w:eastAsia="Times New Roman" w:hAnsi="Palatino Linotype" w:cs="Tahoma"/>
          <w:bCs/>
        </w:rPr>
        <w:t xml:space="preserve"> guiones, tal como se mo</w:t>
      </w:r>
      <w:r w:rsidRPr="004D38F7">
        <w:rPr>
          <w:rFonts w:ascii="Palatino Linotype" w:eastAsia="Times New Roman" w:hAnsi="Palatino Linotype" w:cs="Tahoma"/>
          <w:bCs/>
        </w:rPr>
        <w:t>st</w:t>
      </w:r>
      <w:r w:rsidR="00356FE1" w:rsidRPr="004D38F7">
        <w:rPr>
          <w:rFonts w:ascii="Palatino Linotype" w:eastAsia="Times New Roman" w:hAnsi="Palatino Linotype" w:cs="Tahoma"/>
          <w:bCs/>
        </w:rPr>
        <w:t>ró en el estudio del presente proveído.</w:t>
      </w:r>
    </w:p>
    <w:p w14:paraId="6CD5B171" w14:textId="77777777" w:rsidR="005709A8" w:rsidRPr="004D38F7" w:rsidRDefault="005709A8" w:rsidP="005709A8">
      <w:pPr>
        <w:spacing w:line="360" w:lineRule="auto"/>
        <w:jc w:val="center"/>
        <w:rPr>
          <w:rFonts w:ascii="Palatino Linotype" w:eastAsia="Times New Roman" w:hAnsi="Palatino Linotype" w:cs="Tahoma"/>
          <w:bCs/>
        </w:rPr>
      </w:pPr>
    </w:p>
    <w:p w14:paraId="5D053B5A"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 xml:space="preserve">En ese contexto, de la misma manera que en los casos previamente analizados, el folio fiscal, no contiene datos personales del emisor y tampoco se puede obtener </w:t>
      </w:r>
      <w:r w:rsidRPr="004D38F7">
        <w:rPr>
          <w:rFonts w:ascii="Palatino Linotype" w:eastAsia="Times New Roman" w:hAnsi="Palatino Linotype" w:cs="Tahoma"/>
          <w:bCs/>
        </w:rPr>
        <w:lastRenderedPageBreak/>
        <w:t>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2CC2DCEA" w14:textId="77777777" w:rsidR="005709A8" w:rsidRPr="004D38F7" w:rsidRDefault="005709A8" w:rsidP="005709A8">
      <w:pPr>
        <w:spacing w:line="360" w:lineRule="auto"/>
        <w:rPr>
          <w:rFonts w:ascii="Palatino Linotype" w:eastAsia="Times New Roman" w:hAnsi="Palatino Linotype" w:cs="Tahoma"/>
          <w:bCs/>
        </w:rPr>
      </w:pPr>
    </w:p>
    <w:p w14:paraId="4AA1C217" w14:textId="77777777" w:rsidR="005709A8" w:rsidRPr="004D38F7" w:rsidRDefault="005709A8" w:rsidP="00356FE1">
      <w:pPr>
        <w:numPr>
          <w:ilvl w:val="0"/>
          <w:numId w:val="1"/>
        </w:numPr>
        <w:spacing w:line="360" w:lineRule="auto"/>
        <w:ind w:left="0" w:firstLine="0"/>
        <w:contextualSpacing/>
        <w:jc w:val="both"/>
        <w:rPr>
          <w:rFonts w:ascii="Palatino Linotype" w:eastAsia="Times New Roman" w:hAnsi="Palatino Linotype" w:cs="Tahoma"/>
          <w:bCs/>
        </w:rPr>
      </w:pPr>
      <w:r w:rsidRPr="004D38F7">
        <w:rPr>
          <w:rFonts w:ascii="Palatino Linotype" w:eastAsia="Times New Roman" w:hAnsi="Palatino Linotype" w:cs="Tahoma"/>
          <w:bCs/>
        </w:rPr>
        <w:t>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14:paraId="3A9FD854" w14:textId="77777777" w:rsidR="00FC7577" w:rsidRPr="004D38F7" w:rsidRDefault="00FC7577" w:rsidP="00FC7577">
      <w:pPr>
        <w:tabs>
          <w:tab w:val="left" w:pos="0"/>
          <w:tab w:val="left" w:pos="284"/>
        </w:tabs>
        <w:spacing w:line="360" w:lineRule="auto"/>
        <w:ind w:right="49"/>
        <w:jc w:val="both"/>
        <w:rPr>
          <w:rFonts w:ascii="Palatino Linotype" w:eastAsia="Palatino Linotype" w:hAnsi="Palatino Linotype" w:cs="Palatino Linotype"/>
          <w:highlight w:val="yellow"/>
        </w:rPr>
      </w:pPr>
    </w:p>
    <w:p w14:paraId="213ADE8B" w14:textId="77777777" w:rsidR="00FC7577" w:rsidRPr="004D38F7" w:rsidRDefault="00FC7577" w:rsidP="00FC7577">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No pasa desapercibido para este Órgano Garante que los sujetos obligados</w:t>
      </w:r>
      <w:r w:rsidRPr="004D38F7">
        <w:rPr>
          <w:rFonts w:ascii="Palatino Linotype" w:eastAsia="Palatino Linotype" w:hAnsi="Palatino Linotype" w:cs="Palatino Linotype"/>
          <w:b/>
          <w:color w:val="000000"/>
        </w:rPr>
        <w:t xml:space="preserve"> </w:t>
      </w:r>
      <w:r w:rsidRPr="004D38F7">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A782DAB" w14:textId="77777777" w:rsidR="00FC7577" w:rsidRPr="004D38F7" w:rsidRDefault="00FC7577" w:rsidP="00FC7577">
      <w:pPr>
        <w:tabs>
          <w:tab w:val="left" w:pos="284"/>
        </w:tabs>
        <w:spacing w:line="360" w:lineRule="auto"/>
        <w:ind w:right="49"/>
        <w:jc w:val="both"/>
        <w:rPr>
          <w:rFonts w:ascii="Palatino Linotype" w:eastAsia="Palatino Linotype" w:hAnsi="Palatino Linotype" w:cs="Palatino Linotype"/>
          <w:color w:val="000000"/>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FC7577" w:rsidRPr="004D38F7" w14:paraId="5C1C6D5B" w14:textId="77777777" w:rsidTr="00FC7577">
        <w:tc>
          <w:tcPr>
            <w:tcW w:w="2689" w:type="dxa"/>
          </w:tcPr>
          <w:p w14:paraId="1F7CFBA6" w14:textId="77777777" w:rsidR="00FC7577" w:rsidRPr="004D38F7" w:rsidRDefault="00FC7577" w:rsidP="00FC7577">
            <w:pPr>
              <w:tabs>
                <w:tab w:val="left" w:pos="284"/>
              </w:tabs>
              <w:contextualSpacing/>
              <w:rPr>
                <w:rFonts w:ascii="Palatino Linotype" w:eastAsia="Palatino Linotype" w:hAnsi="Palatino Linotype" w:cs="Palatino Linotype"/>
                <w:b/>
              </w:rPr>
            </w:pPr>
            <w:r w:rsidRPr="004D38F7">
              <w:rPr>
                <w:rFonts w:ascii="Palatino Linotype" w:eastAsia="Palatino Linotype" w:hAnsi="Palatino Linotype" w:cs="Palatino Linotype"/>
                <w:b/>
              </w:rPr>
              <w:t>a) Requisitos previos.</w:t>
            </w:r>
          </w:p>
        </w:tc>
        <w:tc>
          <w:tcPr>
            <w:tcW w:w="6520" w:type="dxa"/>
          </w:tcPr>
          <w:p w14:paraId="18CED2D1"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17A68A7"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600DA881"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lastRenderedPageBreak/>
              <w:t>Al hacerlo tienen que precisar de qué información se trata, señalando el supuesto de clasificación (confidencialidad o reserva).</w:t>
            </w:r>
          </w:p>
          <w:p w14:paraId="070654E7"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8F3D4F2"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5D3D1623" w14:textId="77777777" w:rsidR="00FC7577" w:rsidRPr="004D38F7" w:rsidRDefault="00FC7577" w:rsidP="00FC7577">
            <w:pPr>
              <w:tabs>
                <w:tab w:val="left" w:pos="284"/>
              </w:tabs>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D38F7">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D38F7">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14:paraId="0B872ED6" w14:textId="77777777" w:rsidR="00FC7577" w:rsidRPr="004D38F7" w:rsidRDefault="00FC7577" w:rsidP="00FC7577">
            <w:pPr>
              <w:tabs>
                <w:tab w:val="left" w:pos="284"/>
              </w:tabs>
              <w:contextualSpacing/>
              <w:jc w:val="both"/>
              <w:rPr>
                <w:rFonts w:ascii="Palatino Linotype" w:eastAsia="Palatino Linotype" w:hAnsi="Palatino Linotype" w:cs="Palatino Linotype"/>
              </w:rPr>
            </w:pPr>
          </w:p>
        </w:tc>
      </w:tr>
      <w:tr w:rsidR="00FC7577" w:rsidRPr="004D38F7" w14:paraId="6741720B" w14:textId="77777777" w:rsidTr="00FC7577">
        <w:tc>
          <w:tcPr>
            <w:tcW w:w="2689" w:type="dxa"/>
          </w:tcPr>
          <w:p w14:paraId="499C1CF1" w14:textId="77777777" w:rsidR="00FC7577" w:rsidRPr="004D38F7" w:rsidRDefault="00FC7577" w:rsidP="00FC7577">
            <w:pPr>
              <w:tabs>
                <w:tab w:val="left" w:pos="284"/>
              </w:tabs>
              <w:contextualSpacing/>
              <w:rPr>
                <w:rFonts w:ascii="Palatino Linotype" w:eastAsia="Palatino Linotype" w:hAnsi="Palatino Linotype" w:cs="Palatino Linotype"/>
                <w:b/>
              </w:rPr>
            </w:pPr>
            <w:r w:rsidRPr="004D38F7">
              <w:rPr>
                <w:rFonts w:ascii="Palatino Linotype" w:eastAsia="Palatino Linotype" w:hAnsi="Palatino Linotype" w:cs="Palatino Linotype"/>
                <w:b/>
              </w:rPr>
              <w:lastRenderedPageBreak/>
              <w:t>b) Supuestos de clasificación.</w:t>
            </w:r>
          </w:p>
        </w:tc>
        <w:tc>
          <w:tcPr>
            <w:tcW w:w="6520" w:type="dxa"/>
          </w:tcPr>
          <w:p w14:paraId="050F1E13"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30016E2F"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41ECCC27"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60CE28"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00D1B425" w14:textId="77777777" w:rsidR="00FC7577" w:rsidRPr="004D38F7" w:rsidRDefault="00FC7577" w:rsidP="00FC7577">
            <w:pPr>
              <w:tabs>
                <w:tab w:val="left" w:pos="284"/>
              </w:tabs>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El </w:t>
            </w:r>
            <w:r w:rsidRPr="004D38F7">
              <w:rPr>
                <w:rFonts w:ascii="Palatino Linotype" w:eastAsia="Palatino Linotype" w:hAnsi="Palatino Linotype" w:cs="Palatino Linotype"/>
                <w:b/>
                <w:color w:val="000000"/>
              </w:rPr>
              <w:t>Sujeto Obligado</w:t>
            </w:r>
            <w:r w:rsidRPr="004D38F7">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w:t>
            </w:r>
            <w:r w:rsidRPr="004D38F7">
              <w:rPr>
                <w:rFonts w:ascii="Palatino Linotype" w:eastAsia="Palatino Linotype" w:hAnsi="Palatino Linotype" w:cs="Palatino Linotype"/>
                <w:color w:val="000000"/>
              </w:rPr>
              <w:lastRenderedPageBreak/>
              <w:t>de realizar el servidor público habilitado y el titular del área que administra la información.</w:t>
            </w:r>
          </w:p>
          <w:p w14:paraId="07F89A3B" w14:textId="77777777" w:rsidR="00FC7577" w:rsidRPr="004D38F7" w:rsidRDefault="00FC7577" w:rsidP="00FC7577">
            <w:pPr>
              <w:tabs>
                <w:tab w:val="left" w:pos="284"/>
              </w:tabs>
              <w:contextualSpacing/>
              <w:jc w:val="both"/>
              <w:rPr>
                <w:rFonts w:ascii="Palatino Linotype" w:eastAsia="Palatino Linotype" w:hAnsi="Palatino Linotype" w:cs="Palatino Linotype"/>
              </w:rPr>
            </w:pPr>
          </w:p>
        </w:tc>
      </w:tr>
      <w:tr w:rsidR="00FC7577" w:rsidRPr="004D38F7" w14:paraId="3A9EBAD5" w14:textId="77777777" w:rsidTr="00FC7577">
        <w:tc>
          <w:tcPr>
            <w:tcW w:w="2689" w:type="dxa"/>
          </w:tcPr>
          <w:p w14:paraId="54C10692" w14:textId="77777777" w:rsidR="00FC7577" w:rsidRPr="004D38F7" w:rsidRDefault="00FC7577" w:rsidP="00FC7577">
            <w:pPr>
              <w:tabs>
                <w:tab w:val="left" w:pos="284"/>
              </w:tabs>
              <w:contextualSpacing/>
              <w:rPr>
                <w:rFonts w:ascii="Palatino Linotype" w:eastAsia="Palatino Linotype" w:hAnsi="Palatino Linotype" w:cs="Palatino Linotype"/>
                <w:b/>
              </w:rPr>
            </w:pPr>
            <w:r w:rsidRPr="004D38F7">
              <w:rPr>
                <w:rFonts w:ascii="Palatino Linotype" w:eastAsia="Palatino Linotype" w:hAnsi="Palatino Linotype" w:cs="Palatino Linotype"/>
                <w:b/>
              </w:rPr>
              <w:lastRenderedPageBreak/>
              <w:t>c) Formalidades para emitir el acuerdo de clasificación.</w:t>
            </w:r>
          </w:p>
        </w:tc>
        <w:tc>
          <w:tcPr>
            <w:tcW w:w="6520" w:type="dxa"/>
          </w:tcPr>
          <w:p w14:paraId="0C25E6DC"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51634E7"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5FF8577C"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Es necesario que </w:t>
            </w:r>
            <w:r w:rsidRPr="004D38F7">
              <w:rPr>
                <w:rFonts w:ascii="Palatino Linotype" w:eastAsia="Palatino Linotype" w:hAnsi="Palatino Linotype" w:cs="Palatino Linotype"/>
                <w:b/>
                <w:color w:val="000000"/>
                <w:u w:val="single"/>
              </w:rPr>
              <w:t>el acto reúna con los requisitos elementales</w:t>
            </w:r>
            <w:r w:rsidRPr="004D38F7">
              <w:rPr>
                <w:rFonts w:ascii="Palatino Linotype" w:eastAsia="Palatino Linotype" w:hAnsi="Palatino Linotype" w:cs="Palatino Linotype"/>
                <w:color w:val="000000"/>
              </w:rPr>
              <w:t>, entre ellos, que la autoridad que va a emitir el acto de autoridad sea la legalmente facultada para ello.</w:t>
            </w:r>
          </w:p>
          <w:p w14:paraId="55411A85" w14:textId="77777777" w:rsidR="00FC7577" w:rsidRPr="004D38F7" w:rsidRDefault="00FC7577" w:rsidP="00FC7577">
            <w:pPr>
              <w:tabs>
                <w:tab w:val="left" w:pos="284"/>
              </w:tabs>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DA33E6D" w14:textId="77777777" w:rsidR="00FC7577" w:rsidRPr="004D38F7" w:rsidRDefault="00FC7577" w:rsidP="00FC7577">
            <w:pPr>
              <w:tabs>
                <w:tab w:val="left" w:pos="284"/>
              </w:tabs>
              <w:contextualSpacing/>
              <w:jc w:val="both"/>
              <w:rPr>
                <w:rFonts w:ascii="Palatino Linotype" w:eastAsia="Palatino Linotype" w:hAnsi="Palatino Linotype" w:cs="Palatino Linotype"/>
              </w:rPr>
            </w:pPr>
          </w:p>
        </w:tc>
      </w:tr>
      <w:tr w:rsidR="00FC7577" w:rsidRPr="004D38F7" w14:paraId="7E4E497D" w14:textId="77777777" w:rsidTr="00FC7577">
        <w:tc>
          <w:tcPr>
            <w:tcW w:w="2689" w:type="dxa"/>
          </w:tcPr>
          <w:p w14:paraId="7672520B" w14:textId="77777777" w:rsidR="00FC7577" w:rsidRPr="004D38F7" w:rsidRDefault="00FC7577" w:rsidP="00FC7577">
            <w:pPr>
              <w:tabs>
                <w:tab w:val="left" w:pos="284"/>
              </w:tabs>
              <w:contextualSpacing/>
              <w:rPr>
                <w:rFonts w:ascii="Palatino Linotype" w:eastAsia="Palatino Linotype" w:hAnsi="Palatino Linotype" w:cs="Palatino Linotype"/>
                <w:b/>
              </w:rPr>
            </w:pPr>
          </w:p>
          <w:p w14:paraId="1AC279F1" w14:textId="77777777" w:rsidR="00FC7577" w:rsidRPr="004D38F7" w:rsidRDefault="00FC7577" w:rsidP="00FC7577">
            <w:pPr>
              <w:tabs>
                <w:tab w:val="left" w:pos="284"/>
              </w:tabs>
              <w:contextualSpacing/>
              <w:jc w:val="both"/>
              <w:rPr>
                <w:rFonts w:ascii="Palatino Linotype" w:eastAsia="Palatino Linotype" w:hAnsi="Palatino Linotype" w:cs="Palatino Linotype"/>
                <w:b/>
              </w:rPr>
            </w:pPr>
            <w:r w:rsidRPr="004D38F7">
              <w:rPr>
                <w:rFonts w:ascii="Palatino Linotype" w:eastAsia="Palatino Linotype" w:hAnsi="Palatino Linotype" w:cs="Palatino Linotype"/>
                <w:b/>
                <w:color w:val="000000"/>
              </w:rPr>
              <w:t xml:space="preserve">d) Requisitos de fondo del acuerdo de clasificación. </w:t>
            </w:r>
          </w:p>
        </w:tc>
        <w:tc>
          <w:tcPr>
            <w:tcW w:w="6520" w:type="dxa"/>
          </w:tcPr>
          <w:p w14:paraId="31CCD577"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D38F7">
              <w:rPr>
                <w:rFonts w:ascii="Palatino Linotype" w:eastAsia="Palatino Linotype" w:hAnsi="Palatino Linotype" w:cs="Palatino Linotype"/>
                <w:b/>
                <w:color w:val="000000"/>
              </w:rPr>
              <w:t>Sujetos Obligados</w:t>
            </w:r>
            <w:r w:rsidRPr="004D38F7">
              <w:rPr>
                <w:rFonts w:ascii="Palatino Linotype" w:eastAsia="Palatino Linotype" w:hAnsi="Palatino Linotype" w:cs="Palatino Linotype"/>
                <w:color w:val="000000"/>
              </w:rPr>
              <w:t xml:space="preserve">, por lo que deberán fundar y motivar debidamente la clasificación. </w:t>
            </w:r>
          </w:p>
          <w:p w14:paraId="1A25F194"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De lo anterior, se desprende que para una correcta </w:t>
            </w:r>
            <w:r w:rsidRPr="004D38F7">
              <w:rPr>
                <w:rFonts w:ascii="Palatino Linotype" w:eastAsia="Palatino Linotype" w:hAnsi="Palatino Linotype" w:cs="Palatino Linotype"/>
                <w:b/>
                <w:color w:val="000000"/>
              </w:rPr>
              <w:t>clasificación total o parcial</w:t>
            </w:r>
            <w:r w:rsidRPr="004D38F7">
              <w:rPr>
                <w:rFonts w:ascii="Palatino Linotype" w:eastAsia="Palatino Linotype" w:hAnsi="Palatino Linotype" w:cs="Palatino Linotype"/>
                <w:color w:val="000000"/>
              </w:rPr>
              <w:t xml:space="preserve">, esto es determinar los datos que se suprimen en las versiones públicas, es necesario fundar y motivar, de manera correcta, la clasificación; considerando que todo acto que la autoridad pronuncie en el ejercicio de sus atribuciones, debe expresar los </w:t>
            </w:r>
            <w:r w:rsidRPr="004D38F7">
              <w:rPr>
                <w:rFonts w:ascii="Palatino Linotype" w:eastAsia="Palatino Linotype" w:hAnsi="Palatino Linotype" w:cs="Palatino Linotype"/>
                <w:color w:val="000000"/>
              </w:rPr>
              <w:lastRenderedPageBreak/>
              <w:t>fundamentos legales que le dieron origen y las razones por las que se deben aplicar al caso concreto.</w:t>
            </w:r>
          </w:p>
          <w:p w14:paraId="3CB168D9"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7D101B81"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DFC196C"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7B684449"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6A108EB1"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183F04FA"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Ahora bien, </w:t>
            </w:r>
            <w:r w:rsidRPr="004D38F7">
              <w:rPr>
                <w:rFonts w:ascii="Palatino Linotype" w:eastAsia="Palatino Linotype" w:hAnsi="Palatino Linotype" w:cs="Palatino Linotype"/>
                <w:b/>
                <w:color w:val="000000"/>
                <w:u w:val="single"/>
              </w:rPr>
              <w:t>para cada caso además de fundar y motivar</w:t>
            </w:r>
            <w:r w:rsidRPr="004D38F7">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14:paraId="44AEBB25"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tc>
      </w:tr>
      <w:tr w:rsidR="00FC7577" w:rsidRPr="004D38F7" w14:paraId="54A0FA16" w14:textId="77777777" w:rsidTr="00FC7577">
        <w:tc>
          <w:tcPr>
            <w:tcW w:w="2689" w:type="dxa"/>
          </w:tcPr>
          <w:p w14:paraId="1C663274"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b/>
              </w:rPr>
            </w:pPr>
            <w:r w:rsidRPr="004D38F7">
              <w:rPr>
                <w:rFonts w:ascii="Palatino Linotype" w:eastAsia="Palatino Linotype" w:hAnsi="Palatino Linotype" w:cs="Palatino Linotype"/>
                <w:b/>
              </w:rPr>
              <w:lastRenderedPageBreak/>
              <w:t xml:space="preserve">e) Condiciones especiales de la clasificación de la información como confidencial. </w:t>
            </w:r>
          </w:p>
        </w:tc>
        <w:tc>
          <w:tcPr>
            <w:tcW w:w="6520" w:type="dxa"/>
          </w:tcPr>
          <w:p w14:paraId="17AA514D"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7BFDC38C"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5143C420"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4D38F7">
              <w:rPr>
                <w:rFonts w:ascii="Palatino Linotype" w:eastAsia="Palatino Linotype" w:hAnsi="Palatino Linotype" w:cs="Palatino Linotype"/>
                <w:color w:val="000000"/>
              </w:rPr>
              <w:lastRenderedPageBreak/>
              <w:t xml:space="preserve">servidores públicos nos encontramos sujetos a un régimen menor de protección. </w:t>
            </w:r>
          </w:p>
          <w:p w14:paraId="2FC7D99D" w14:textId="77777777" w:rsidR="00FC7577" w:rsidRPr="004D38F7" w:rsidRDefault="00FC7577" w:rsidP="00FC7577">
            <w:pPr>
              <w:tabs>
                <w:tab w:val="left" w:pos="284"/>
              </w:tabs>
              <w:ind w:right="49"/>
              <w:contextualSpacing/>
              <w:jc w:val="both"/>
              <w:rPr>
                <w:rFonts w:ascii="Palatino Linotype" w:eastAsia="Palatino Linotype" w:hAnsi="Palatino Linotype" w:cs="Palatino Linotype"/>
                <w:color w:val="000000"/>
              </w:rPr>
            </w:pPr>
          </w:p>
          <w:p w14:paraId="20F43BA5" w14:textId="77777777" w:rsidR="00FC7577" w:rsidRPr="004D38F7" w:rsidRDefault="00FC7577" w:rsidP="00FC7577">
            <w:pPr>
              <w:tabs>
                <w:tab w:val="left" w:pos="284"/>
              </w:tabs>
              <w:contextualSpacing/>
              <w:jc w:val="both"/>
              <w:rPr>
                <w:rFonts w:ascii="Palatino Linotype" w:eastAsia="Palatino Linotype" w:hAnsi="Palatino Linotype" w:cs="Palatino Linotype"/>
              </w:rPr>
            </w:pPr>
            <w:r w:rsidRPr="004D38F7">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EA71355" w14:textId="77777777" w:rsidR="00FC7577" w:rsidRPr="004D38F7" w:rsidRDefault="00FC7577" w:rsidP="00FC7577">
      <w:pPr>
        <w:tabs>
          <w:tab w:val="left" w:pos="284"/>
        </w:tabs>
        <w:spacing w:line="360" w:lineRule="auto"/>
        <w:rPr>
          <w:rFonts w:ascii="Palatino Linotype" w:eastAsia="Palatino Linotype" w:hAnsi="Palatino Linotype" w:cs="Palatino Linotype"/>
          <w:color w:val="000000"/>
        </w:rPr>
      </w:pPr>
    </w:p>
    <w:p w14:paraId="2A9D6897" w14:textId="77777777" w:rsidR="00FC7577" w:rsidRPr="004D38F7" w:rsidRDefault="00FC7577" w:rsidP="00FC7577">
      <w:pPr>
        <w:numPr>
          <w:ilvl w:val="0"/>
          <w:numId w:val="1"/>
        </w:numPr>
        <w:spacing w:line="360" w:lineRule="auto"/>
        <w:ind w:left="0" w:firstLine="0"/>
        <w:contextualSpacing/>
        <w:jc w:val="both"/>
        <w:rPr>
          <w:rFonts w:ascii="Palatino Linotype" w:eastAsia="Palatino Linotype" w:hAnsi="Palatino Linotype" w:cs="Palatino Linotype"/>
          <w:color w:val="000000"/>
        </w:rPr>
      </w:pPr>
      <w:r w:rsidRPr="004D38F7">
        <w:rPr>
          <w:rFonts w:ascii="Palatino Linotype" w:eastAsia="Palatino Linotype" w:hAnsi="Palatino Linotype" w:cs="Palatino Linotype"/>
        </w:rPr>
        <w:t xml:space="preserve">Si el </w:t>
      </w:r>
      <w:r w:rsidRPr="004D38F7">
        <w:rPr>
          <w:rFonts w:ascii="Palatino Linotype" w:eastAsia="Palatino Linotype" w:hAnsi="Palatino Linotype" w:cs="Palatino Linotype"/>
          <w:color w:val="000000"/>
        </w:rPr>
        <w:t>servidor</w:t>
      </w:r>
      <w:r w:rsidRPr="004D38F7">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legales </w:t>
      </w:r>
      <w:r w:rsidRPr="004D38F7">
        <w:rPr>
          <w:rFonts w:ascii="Palatino Linotype" w:eastAsia="Palatino Linotype" w:hAnsi="Palatino Linotype" w:cs="Palatino Linotype"/>
          <w:color w:val="000000"/>
        </w:rPr>
        <w:t>establecidas</w:t>
      </w:r>
      <w:r w:rsidRPr="004D38F7">
        <w:rPr>
          <w:rFonts w:ascii="Palatino Linotype" w:eastAsia="Palatino Linotype" w:hAnsi="Palatino Linotype" w:cs="Palatino Linotype"/>
        </w:rPr>
        <w:t>, asimismo que si entrega un documento testado sin el debido acuerdo de clasificación.</w:t>
      </w:r>
    </w:p>
    <w:p w14:paraId="73C231FC" w14:textId="77777777" w:rsidR="00FC7577" w:rsidRPr="004D38F7" w:rsidRDefault="00FC7577" w:rsidP="00FC7577">
      <w:pPr>
        <w:spacing w:line="360" w:lineRule="auto"/>
        <w:contextualSpacing/>
        <w:jc w:val="both"/>
        <w:rPr>
          <w:rFonts w:ascii="Palatino Linotype" w:eastAsia="Calibri" w:hAnsi="Palatino Linotype" w:cs="Arial"/>
        </w:rPr>
      </w:pPr>
    </w:p>
    <w:p w14:paraId="7C04752C" w14:textId="77777777" w:rsidR="00FC7577" w:rsidRPr="004D38F7" w:rsidRDefault="00FC7577" w:rsidP="00FC7577">
      <w:pPr>
        <w:numPr>
          <w:ilvl w:val="0"/>
          <w:numId w:val="1"/>
        </w:numPr>
        <w:spacing w:line="360" w:lineRule="auto"/>
        <w:ind w:left="0" w:firstLine="0"/>
        <w:contextualSpacing/>
        <w:jc w:val="both"/>
        <w:rPr>
          <w:rFonts w:ascii="Palatino Linotype" w:eastAsia="Calibri" w:hAnsi="Palatino Linotype" w:cs="Arial"/>
        </w:rPr>
      </w:pPr>
      <w:r w:rsidRPr="004D38F7">
        <w:rPr>
          <w:rFonts w:ascii="Palatino Linotype" w:hAnsi="Palatino Linotype" w:cs="Arial"/>
          <w:color w:val="222222"/>
        </w:rPr>
        <w:t xml:space="preserve">Por lo anteriormente expuesto y fundado, este </w:t>
      </w:r>
      <w:r w:rsidRPr="004D38F7">
        <w:rPr>
          <w:rFonts w:ascii="Palatino Linotype" w:hAnsi="Palatino Linotype" w:cs="Arial"/>
          <w:b/>
          <w:bCs/>
          <w:color w:val="222222"/>
        </w:rPr>
        <w:t>ÓRGANO GARANTE</w:t>
      </w:r>
      <w:r w:rsidRPr="004D38F7">
        <w:rPr>
          <w:rFonts w:ascii="Palatino Linotype" w:hAnsi="Palatino Linotype" w:cs="Arial"/>
          <w:color w:val="222222"/>
        </w:rPr>
        <w:t xml:space="preserve"> emite los siguientes:</w:t>
      </w:r>
    </w:p>
    <w:p w14:paraId="52101717" w14:textId="77777777" w:rsidR="00FC7577" w:rsidRPr="004D38F7" w:rsidRDefault="00FC7577" w:rsidP="00FC7577">
      <w:pPr>
        <w:keepNext/>
        <w:keepLines/>
        <w:spacing w:line="360" w:lineRule="auto"/>
        <w:jc w:val="center"/>
        <w:outlineLvl w:val="0"/>
        <w:rPr>
          <w:rFonts w:ascii="Palatino Linotype" w:eastAsiaTheme="majorEastAsia" w:hAnsi="Palatino Linotype" w:cstheme="majorBidi"/>
          <w:b/>
          <w:color w:val="000000" w:themeColor="text1"/>
          <w:lang w:eastAsia="en-US"/>
        </w:rPr>
      </w:pPr>
      <w:r w:rsidRPr="004D38F7">
        <w:rPr>
          <w:rFonts w:ascii="Palatino Linotype" w:eastAsiaTheme="majorEastAsia" w:hAnsi="Palatino Linotype" w:cstheme="majorBidi"/>
          <w:b/>
          <w:color w:val="000000" w:themeColor="text1"/>
          <w:lang w:eastAsia="en-US"/>
        </w:rPr>
        <w:t>R E S O L U T I V O S</w:t>
      </w:r>
    </w:p>
    <w:p w14:paraId="4E529BCE" w14:textId="77777777" w:rsidR="00FC7577" w:rsidRPr="004D38F7" w:rsidRDefault="00FC7577" w:rsidP="00FC7577">
      <w:pPr>
        <w:spacing w:line="360" w:lineRule="auto"/>
        <w:ind w:right="48"/>
        <w:jc w:val="both"/>
        <w:rPr>
          <w:rFonts w:ascii="Palatino Linotype" w:hAnsi="Palatino Linotype" w:cs="Arial"/>
          <w:b/>
        </w:rPr>
      </w:pPr>
    </w:p>
    <w:p w14:paraId="52300E7E" w14:textId="77777777" w:rsidR="00FC7577" w:rsidRPr="004D38F7" w:rsidRDefault="00FC7577" w:rsidP="00FC7577">
      <w:pPr>
        <w:spacing w:line="360" w:lineRule="auto"/>
        <w:jc w:val="both"/>
        <w:rPr>
          <w:rFonts w:ascii="Palatino Linotype" w:eastAsia="Times New Roman" w:hAnsi="Palatino Linotype" w:cs="Arial"/>
          <w:lang w:val="es-ES"/>
        </w:rPr>
      </w:pPr>
      <w:r w:rsidRPr="004D38F7">
        <w:rPr>
          <w:rFonts w:ascii="Palatino Linotype" w:eastAsia="Times New Roman" w:hAnsi="Palatino Linotype" w:cs="Arial"/>
          <w:b/>
        </w:rPr>
        <w:t>PRIMERO</w:t>
      </w:r>
      <w:r w:rsidRPr="004D38F7">
        <w:rPr>
          <w:rFonts w:ascii="Palatino Linotype" w:eastAsia="Times New Roman" w:hAnsi="Palatino Linotype" w:cs="Arial"/>
          <w:lang w:val="es-ES"/>
        </w:rPr>
        <w:t xml:space="preserve">. Resultan fundadas las razones o motivos de inconformidad hechos valer en el Recurso de Revisión </w:t>
      </w:r>
      <w:r w:rsidRPr="004D38F7">
        <w:rPr>
          <w:rFonts w:ascii="Palatino Linotype" w:hAnsi="Palatino Linotype" w:cs="Arial"/>
          <w:b/>
          <w:bCs/>
          <w:lang w:eastAsia="es-MX"/>
        </w:rPr>
        <w:t>0</w:t>
      </w:r>
      <w:r w:rsidR="00356FE1" w:rsidRPr="004D38F7">
        <w:rPr>
          <w:rFonts w:ascii="Palatino Linotype" w:hAnsi="Palatino Linotype" w:cs="Arial"/>
          <w:b/>
          <w:bCs/>
          <w:lang w:eastAsia="es-MX"/>
        </w:rPr>
        <w:t>6918/INFOEM/IP/RR/2023</w:t>
      </w:r>
      <w:r w:rsidRPr="004D38F7">
        <w:rPr>
          <w:rFonts w:ascii="Palatino Linotype" w:hAnsi="Palatino Linotype"/>
        </w:rPr>
        <w:t>,</w:t>
      </w:r>
      <w:r w:rsidRPr="004D38F7">
        <w:rPr>
          <w:rFonts w:ascii="Palatino Linotype" w:eastAsia="Times New Roman" w:hAnsi="Palatino Linotype" w:cs="Arial"/>
          <w:b/>
          <w:lang w:val="es-ES"/>
        </w:rPr>
        <w:t xml:space="preserve"> </w:t>
      </w:r>
      <w:r w:rsidRPr="004D38F7">
        <w:rPr>
          <w:rFonts w:ascii="Palatino Linotype" w:eastAsia="Times New Roman" w:hAnsi="Palatino Linotype" w:cs="Arial"/>
          <w:lang w:val="es-ES"/>
        </w:rPr>
        <w:t>en términos de los Considerandos Cuarto y Quinto</w:t>
      </w:r>
      <w:r w:rsidRPr="004D38F7">
        <w:rPr>
          <w:rFonts w:ascii="Palatino Linotype" w:eastAsia="Times New Roman" w:hAnsi="Palatino Linotype" w:cs="Arial"/>
          <w:b/>
          <w:lang w:val="es-ES"/>
        </w:rPr>
        <w:t xml:space="preserve"> </w:t>
      </w:r>
      <w:r w:rsidRPr="004D38F7">
        <w:rPr>
          <w:rFonts w:ascii="Palatino Linotype" w:eastAsia="Times New Roman" w:hAnsi="Palatino Linotype" w:cs="Arial"/>
          <w:lang w:val="es-ES"/>
        </w:rPr>
        <w:t>de la presente resolución.</w:t>
      </w:r>
    </w:p>
    <w:p w14:paraId="18A8DDC1" w14:textId="77777777" w:rsidR="00FC7577" w:rsidRPr="004D38F7" w:rsidRDefault="00FC7577" w:rsidP="00FC7577">
      <w:pPr>
        <w:spacing w:line="360" w:lineRule="auto"/>
        <w:jc w:val="both"/>
        <w:rPr>
          <w:rFonts w:ascii="Palatino Linotype" w:eastAsia="Times New Roman" w:hAnsi="Palatino Linotype" w:cs="Arial"/>
          <w:lang w:val="es-ES"/>
        </w:rPr>
      </w:pPr>
    </w:p>
    <w:p w14:paraId="214FF0C2" w14:textId="77777777" w:rsidR="00FC7577" w:rsidRPr="004D38F7" w:rsidRDefault="00FC7577" w:rsidP="00FC7577">
      <w:pPr>
        <w:spacing w:line="360" w:lineRule="auto"/>
        <w:jc w:val="both"/>
        <w:rPr>
          <w:rFonts w:ascii="Palatino Linotype" w:hAnsi="Palatino Linotype" w:cs="Arial"/>
        </w:rPr>
      </w:pPr>
      <w:bookmarkStart w:id="147" w:name="_Toc503891607"/>
      <w:bookmarkStart w:id="148" w:name="_Toc511647757"/>
      <w:bookmarkStart w:id="149" w:name="_Toc511647818"/>
      <w:bookmarkStart w:id="150" w:name="_Toc477891768"/>
      <w:bookmarkStart w:id="151" w:name="_Toc477891858"/>
      <w:bookmarkStart w:id="152" w:name="_Toc481576259"/>
      <w:bookmarkStart w:id="153" w:name="_Toc492590391"/>
      <w:bookmarkStart w:id="154" w:name="_Toc462653937"/>
      <w:bookmarkStart w:id="155" w:name="_Toc453696502"/>
      <w:bookmarkStart w:id="156" w:name="_Toc454301155"/>
      <w:r w:rsidRPr="004D38F7">
        <w:rPr>
          <w:rFonts w:ascii="Palatino Linotype" w:eastAsia="Times New Roman" w:hAnsi="Palatino Linotype" w:cs="Times New Roman"/>
          <w:b/>
        </w:rPr>
        <w:t>SEGUNDO.</w:t>
      </w:r>
      <w:bookmarkEnd w:id="147"/>
      <w:bookmarkEnd w:id="148"/>
      <w:bookmarkEnd w:id="149"/>
      <w:r w:rsidRPr="004D38F7">
        <w:rPr>
          <w:rFonts w:ascii="Palatino Linotype" w:eastAsia="Times New Roman" w:hAnsi="Palatino Linotype" w:cs="Times New Roman"/>
          <w:b/>
        </w:rPr>
        <w:t xml:space="preserve"> </w:t>
      </w:r>
      <w:bookmarkEnd w:id="150"/>
      <w:bookmarkEnd w:id="151"/>
      <w:bookmarkEnd w:id="152"/>
      <w:bookmarkEnd w:id="153"/>
      <w:bookmarkEnd w:id="154"/>
      <w:bookmarkEnd w:id="155"/>
      <w:bookmarkEnd w:id="156"/>
      <w:r w:rsidRPr="004D38F7">
        <w:rPr>
          <w:rFonts w:ascii="Palatino Linotype" w:eastAsia="MS Mincho" w:hAnsi="Palatino Linotype" w:cs="Times New Roman"/>
          <w:color w:val="000000" w:themeColor="text1"/>
        </w:rPr>
        <w:t xml:space="preserve">Se </w:t>
      </w:r>
      <w:r w:rsidRPr="004D38F7">
        <w:rPr>
          <w:rFonts w:ascii="Palatino Linotype" w:eastAsia="MS Mincho" w:hAnsi="Palatino Linotype" w:cs="Times New Roman"/>
          <w:b/>
          <w:color w:val="000000" w:themeColor="text1"/>
        </w:rPr>
        <w:t xml:space="preserve">MODIFICA </w:t>
      </w:r>
      <w:r w:rsidRPr="004D38F7">
        <w:rPr>
          <w:rFonts w:ascii="Palatino Linotype" w:eastAsia="MS Mincho" w:hAnsi="Palatino Linotype" w:cs="Times New Roman"/>
          <w:color w:val="000000" w:themeColor="text1"/>
        </w:rPr>
        <w:t xml:space="preserve">la respuesta emitida por el </w:t>
      </w:r>
      <w:r w:rsidR="00356FE1" w:rsidRPr="004D38F7">
        <w:rPr>
          <w:rFonts w:ascii="Palatino Linotype" w:hAnsi="Palatino Linotype"/>
          <w:b/>
          <w:bCs/>
          <w:color w:val="000000"/>
        </w:rPr>
        <w:t>Ayuntamiento de Ixtapaluca</w:t>
      </w:r>
      <w:r w:rsidRPr="004D38F7">
        <w:rPr>
          <w:rFonts w:ascii="Palatino Linotype" w:hAnsi="Palatino Linotype"/>
          <w:bCs/>
          <w:color w:val="000000"/>
        </w:rPr>
        <w:t xml:space="preserve">, </w:t>
      </w:r>
      <w:r w:rsidR="00356FE1" w:rsidRPr="004D38F7">
        <w:rPr>
          <w:rFonts w:ascii="Palatino Linotype" w:hAnsi="Palatino Linotype"/>
          <w:bCs/>
          <w:color w:val="000000"/>
        </w:rPr>
        <w:t xml:space="preserve">y </w:t>
      </w:r>
      <w:r w:rsidRPr="004D38F7">
        <w:rPr>
          <w:rFonts w:ascii="Palatino Linotype" w:eastAsia="MS Mincho" w:hAnsi="Palatino Linotype" w:cs="Times New Roman"/>
          <w:color w:val="000000" w:themeColor="text1"/>
        </w:rPr>
        <w:t xml:space="preserve">se </w:t>
      </w:r>
      <w:r w:rsidRPr="004D38F7">
        <w:rPr>
          <w:rFonts w:ascii="Palatino Linotype" w:eastAsia="MS Mincho" w:hAnsi="Palatino Linotype" w:cs="Times New Roman"/>
          <w:b/>
          <w:color w:val="000000" w:themeColor="text1"/>
        </w:rPr>
        <w:t>ORDENA</w:t>
      </w:r>
      <w:r w:rsidRPr="004D38F7">
        <w:rPr>
          <w:rFonts w:ascii="Palatino Linotype" w:eastAsia="MS Mincho" w:hAnsi="Palatino Linotype" w:cs="Times New Roman"/>
          <w:color w:val="000000" w:themeColor="text1"/>
        </w:rPr>
        <w:t xml:space="preserve"> </w:t>
      </w:r>
      <w:bookmarkStart w:id="157" w:name="_Toc503891610"/>
      <w:bookmarkStart w:id="158" w:name="_Toc453696503"/>
      <w:bookmarkStart w:id="159" w:name="_Toc454301156"/>
      <w:bookmarkStart w:id="160" w:name="_Toc462653938"/>
      <w:bookmarkStart w:id="161" w:name="_Toc477891769"/>
      <w:bookmarkStart w:id="162" w:name="_Toc477891859"/>
      <w:bookmarkStart w:id="163" w:name="_Toc481576260"/>
      <w:bookmarkStart w:id="164" w:name="_Toc492590392"/>
      <w:r w:rsidRPr="004D38F7">
        <w:rPr>
          <w:rFonts w:ascii="Palatino Linotype" w:eastAsia="MS Mincho" w:hAnsi="Palatino Linotype" w:cs="Times New Roman"/>
          <w:color w:val="000000" w:themeColor="text1"/>
        </w:rPr>
        <w:t>entregar vía Sistema de Acceso a la Información Mexiquense (SAIMEX), la siguiente información previa búsqueda exhaustiva y razonable, de ser el caso en versión pública</w:t>
      </w:r>
      <w:r w:rsidRPr="004D38F7">
        <w:rPr>
          <w:rFonts w:ascii="Palatino Linotype" w:hAnsi="Palatino Linotype" w:cs="Arial"/>
        </w:rPr>
        <w:t>:</w:t>
      </w:r>
    </w:p>
    <w:p w14:paraId="12D40C6F" w14:textId="77777777" w:rsidR="00FC7577" w:rsidRPr="004D38F7" w:rsidRDefault="00FC7577" w:rsidP="00FC7577">
      <w:pPr>
        <w:spacing w:line="360" w:lineRule="auto"/>
        <w:jc w:val="both"/>
        <w:rPr>
          <w:rFonts w:ascii="Palatino Linotype" w:hAnsi="Palatino Linotype" w:cs="Arial"/>
          <w:b/>
        </w:rPr>
      </w:pPr>
    </w:p>
    <w:p w14:paraId="6BEDBC83" w14:textId="77777777" w:rsidR="00356FE1" w:rsidRPr="00B5455E" w:rsidRDefault="00356FE1" w:rsidP="00356FE1">
      <w:pPr>
        <w:numPr>
          <w:ilvl w:val="0"/>
          <w:numId w:val="45"/>
        </w:numPr>
        <w:spacing w:line="360" w:lineRule="auto"/>
        <w:contextualSpacing/>
        <w:jc w:val="both"/>
        <w:rPr>
          <w:rFonts w:ascii="Palatino Linotype" w:eastAsia="Times New Roman" w:hAnsi="Palatino Linotype"/>
        </w:rPr>
      </w:pPr>
      <w:r w:rsidRPr="00B5455E">
        <w:rPr>
          <w:rFonts w:ascii="Palatino Linotype" w:eastAsia="Times New Roman" w:hAnsi="Palatino Linotype"/>
        </w:rPr>
        <w:t>Facturas pagadas a medios de comunicación remi</w:t>
      </w:r>
      <w:r w:rsidR="00E0579D" w:rsidRPr="00B5455E">
        <w:rPr>
          <w:rFonts w:ascii="Palatino Linotype" w:eastAsia="Times New Roman" w:hAnsi="Palatino Linotype"/>
        </w:rPr>
        <w:t>tidas en informe justificado, de manera integral</w:t>
      </w:r>
      <w:r w:rsidRPr="00B5455E">
        <w:rPr>
          <w:rFonts w:ascii="Palatino Linotype" w:eastAsia="Times New Roman" w:hAnsi="Palatino Linotype"/>
        </w:rPr>
        <w:t>;</w:t>
      </w:r>
    </w:p>
    <w:p w14:paraId="1A65E4A7"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Directorio completo del personal que labora en la Administración Pública Municipal vigente al cinco de septiembre de dos mil veintitrés;</w:t>
      </w:r>
    </w:p>
    <w:p w14:paraId="5201A645" w14:textId="77777777" w:rsidR="00356FE1" w:rsidRPr="004D38F7" w:rsidRDefault="00E0579D" w:rsidP="00356FE1">
      <w:pPr>
        <w:numPr>
          <w:ilvl w:val="0"/>
          <w:numId w:val="45"/>
        </w:numPr>
        <w:spacing w:line="360" w:lineRule="auto"/>
        <w:contextualSpacing/>
        <w:jc w:val="both"/>
        <w:rPr>
          <w:rFonts w:ascii="Palatino Linotype" w:eastAsia="Times New Roman" w:hAnsi="Palatino Linotype"/>
        </w:rPr>
      </w:pPr>
      <w:r w:rsidRPr="00B5455E">
        <w:rPr>
          <w:rFonts w:ascii="Palatino Linotype" w:eastAsia="Times New Roman" w:hAnsi="Palatino Linotype"/>
        </w:rPr>
        <w:t>Conciliación</w:t>
      </w:r>
      <w:r w:rsidR="00356FE1" w:rsidRPr="004D38F7">
        <w:rPr>
          <w:rFonts w:ascii="Palatino Linotype" w:eastAsia="Times New Roman" w:hAnsi="Palatino Linotype"/>
        </w:rPr>
        <w:t xml:space="preserve"> de nómina, de la primera y segunda quincena de abril de dos mil veintitrés, de todos los servidores públicos que laboran en la administración municipal en la que se incluya la antigüedad;</w:t>
      </w:r>
    </w:p>
    <w:p w14:paraId="24548979"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Adeudos del primero de enero de dos mil veintidós al cinco de septiembre de dos mil veintitrés, en los que se incluya cualquier empresa que haya prestado sus servicios al Ayuntamiento.</w:t>
      </w:r>
    </w:p>
    <w:p w14:paraId="5A2AA9B8"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Adeudos por sueldos no pagados a los trabajadores del primero de enero de dos mil veintidós al cinco de septiembre de dos mil veintitrés.</w:t>
      </w:r>
    </w:p>
    <w:p w14:paraId="31BDCB9D"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Resultados de las auditorías concluidas realizadas al Ayuntamiento al cinco de septiembre de dos mil veintitrés.</w:t>
      </w:r>
    </w:p>
    <w:p w14:paraId="593922B8"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bCs/>
          <w:iCs/>
          <w:lang w:val="es-ES"/>
        </w:rPr>
        <w:t xml:space="preserve">Denuncias y quejas presentadas ante la Contraloría Municipal que dieron origen a los procedimientos de responsabilidades, que al cinco de septiembre de dos mil veintitrés, se encontraran concluidas, así como, de aquellos que se encuentren en trámite y se relacione con actos de corrupción, delitos de lesa humanidad o posibles violaciones graves a derechos humanos, de conformidad con el artículo 142, de la </w:t>
      </w:r>
      <w:r w:rsidRPr="004D38F7">
        <w:rPr>
          <w:rFonts w:ascii="Palatino Linotype" w:eastAsia="Times New Roman" w:hAnsi="Palatino Linotype"/>
          <w:bCs/>
          <w:iCs/>
        </w:rPr>
        <w:t>Ley de Transparencia y Acceso a la Información  Pública del Estado de México y Municipios;</w:t>
      </w:r>
    </w:p>
    <w:p w14:paraId="7FF5E121"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 xml:space="preserve">Monto de los ingresos y egresos netos del Ayuntamiento del primero de </w:t>
      </w:r>
      <w:r w:rsidR="00FF7BDC" w:rsidRPr="004D38F7">
        <w:rPr>
          <w:rFonts w:ascii="Palatino Linotype" w:eastAsia="Times New Roman" w:hAnsi="Palatino Linotype"/>
        </w:rPr>
        <w:t>julio</w:t>
      </w:r>
      <w:r w:rsidRPr="004D38F7">
        <w:rPr>
          <w:rFonts w:ascii="Palatino Linotype" w:eastAsia="Times New Roman" w:hAnsi="Palatino Linotype"/>
        </w:rPr>
        <w:t xml:space="preserve"> al treinta y uno de agosto de agosto de dos mil veintitrés;</w:t>
      </w:r>
    </w:p>
    <w:p w14:paraId="16CAAB99"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lastRenderedPageBreak/>
        <w:t>Nombre, cargo y causas del personal dado de baja, del primero de enero al treinta y uno de agosto de dos mil veintitrés.</w:t>
      </w:r>
    </w:p>
    <w:p w14:paraId="7825C2C1" w14:textId="77777777" w:rsidR="00356FE1" w:rsidRPr="004D38F7" w:rsidRDefault="00356FE1" w:rsidP="00356FE1">
      <w:pPr>
        <w:numPr>
          <w:ilvl w:val="0"/>
          <w:numId w:val="45"/>
        </w:numPr>
        <w:spacing w:line="360" w:lineRule="auto"/>
        <w:contextualSpacing/>
        <w:jc w:val="both"/>
        <w:rPr>
          <w:rFonts w:ascii="Palatino Linotype" w:eastAsia="Times New Roman" w:hAnsi="Palatino Linotype"/>
        </w:rPr>
      </w:pPr>
      <w:r w:rsidRPr="004D38F7">
        <w:rPr>
          <w:rFonts w:ascii="Palatino Linotype" w:eastAsia="Times New Roman" w:hAnsi="Palatino Linotype"/>
        </w:rPr>
        <w:t xml:space="preserve">Acuerdo de clasificación como información reservada de las denuncias y quejas en trámite presentadas ante la Contraloría Municipal, </w:t>
      </w:r>
      <w:r w:rsidRPr="004D38F7">
        <w:rPr>
          <w:rFonts w:ascii="Palatino Linotype" w:hAnsi="Palatino Linotype" w:cs="Tahoma"/>
          <w:bCs/>
          <w:iCs/>
        </w:rPr>
        <w:t>con los artículos 49, fracciones II y VIII, 132, fracción II y 140 de la Ley de Transparencia y Acceso a la Información Pública del Estado de México y Municipios.</w:t>
      </w:r>
    </w:p>
    <w:p w14:paraId="5BAD4C77" w14:textId="77777777" w:rsidR="00356FE1" w:rsidRPr="004D38F7" w:rsidRDefault="00356FE1" w:rsidP="00356FE1">
      <w:pPr>
        <w:spacing w:line="360" w:lineRule="auto"/>
        <w:ind w:left="360"/>
        <w:contextualSpacing/>
        <w:rPr>
          <w:rFonts w:ascii="Palatino Linotype" w:eastAsia="Times New Roman" w:hAnsi="Palatino Linotype"/>
        </w:rPr>
      </w:pPr>
    </w:p>
    <w:p w14:paraId="225B4FDE" w14:textId="77777777" w:rsidR="00356FE1" w:rsidRPr="004D38F7" w:rsidRDefault="00356FE1" w:rsidP="00FF7BDC">
      <w:pPr>
        <w:tabs>
          <w:tab w:val="left" w:pos="4962"/>
        </w:tabs>
        <w:spacing w:line="360" w:lineRule="auto"/>
        <w:jc w:val="both"/>
        <w:rPr>
          <w:rFonts w:ascii="Palatino Linotype" w:hAnsi="Palatino Linotype" w:cs="Tahoma"/>
          <w:bCs/>
          <w:iCs/>
        </w:rPr>
      </w:pPr>
      <w:r w:rsidRPr="004D38F7">
        <w:rPr>
          <w:rFonts w:ascii="Palatino Linotype" w:hAnsi="Palatino Linotype" w:cs="Tahoma"/>
          <w:bCs/>
          <w:iCs/>
        </w:rPr>
        <w:t>Además, de ser necesario, deberá proporcionar el Acuerdo de Clasificación donde el Comité de Transparencia, confirme la eliminación de los datos o información clasificada, en las versiones públicas que se entreguen, de conformidad con los artículos 49, fracciones II y VIII y 132, fracción II de la Ley de Transparencia y Acceso a la Información Pública del Estado de México y Municipios.</w:t>
      </w:r>
    </w:p>
    <w:p w14:paraId="2413BAF0" w14:textId="77777777" w:rsidR="00356FE1" w:rsidRPr="004D38F7" w:rsidRDefault="00356FE1" w:rsidP="00356FE1">
      <w:pPr>
        <w:tabs>
          <w:tab w:val="left" w:pos="4962"/>
        </w:tabs>
        <w:spacing w:line="360" w:lineRule="auto"/>
        <w:rPr>
          <w:rFonts w:ascii="Palatino Linotype" w:hAnsi="Palatino Linotype" w:cs="Tahoma"/>
          <w:bCs/>
          <w:iCs/>
        </w:rPr>
      </w:pPr>
    </w:p>
    <w:p w14:paraId="23F74103" w14:textId="77777777" w:rsidR="00356FE1" w:rsidRPr="004D38F7" w:rsidRDefault="00356FE1" w:rsidP="00FF7BDC">
      <w:pPr>
        <w:spacing w:line="360" w:lineRule="auto"/>
        <w:contextualSpacing/>
        <w:jc w:val="both"/>
        <w:rPr>
          <w:rFonts w:ascii="Palatino Linotype" w:hAnsi="Palatino Linotype"/>
        </w:rPr>
      </w:pPr>
      <w:r w:rsidRPr="004D38F7">
        <w:rPr>
          <w:rFonts w:ascii="Palatino Linotype" w:hAnsi="Palatino Linotype"/>
        </w:rPr>
        <w:t>Para el caso, de que la información que se ordena entregar en los numerales 5 y 9 no se localice al no haberse administrado o generado, deberá hacerlo del conocimiento del ahora Recurrente, de manera clara y precisa.</w:t>
      </w:r>
    </w:p>
    <w:p w14:paraId="5F85CFED" w14:textId="77777777" w:rsidR="00FC7577" w:rsidRPr="004D38F7" w:rsidRDefault="00FC7577" w:rsidP="00FC7577">
      <w:pPr>
        <w:spacing w:line="360" w:lineRule="auto"/>
        <w:ind w:right="284"/>
        <w:jc w:val="both"/>
        <w:rPr>
          <w:rFonts w:ascii="Palatino Linotype" w:hAnsi="Palatino Linotype" w:cs="Arial"/>
          <w:b/>
        </w:rPr>
      </w:pPr>
    </w:p>
    <w:bookmarkEnd w:id="157"/>
    <w:bookmarkEnd w:id="158"/>
    <w:bookmarkEnd w:id="159"/>
    <w:bookmarkEnd w:id="160"/>
    <w:bookmarkEnd w:id="161"/>
    <w:bookmarkEnd w:id="162"/>
    <w:bookmarkEnd w:id="163"/>
    <w:bookmarkEnd w:id="164"/>
    <w:p w14:paraId="2B86AE03" w14:textId="77777777" w:rsidR="00FC7577" w:rsidRPr="004D38F7" w:rsidRDefault="00FC7577" w:rsidP="00FC7577">
      <w:pPr>
        <w:spacing w:line="360" w:lineRule="auto"/>
        <w:jc w:val="both"/>
        <w:rPr>
          <w:rFonts w:ascii="Palatino Linotype" w:eastAsia="Times New Roman" w:hAnsi="Palatino Linotype" w:cs="Times New Roman"/>
          <w:lang w:val="es-MX"/>
        </w:rPr>
      </w:pPr>
      <w:r w:rsidRPr="004D38F7">
        <w:rPr>
          <w:rFonts w:ascii="Palatino Linotype" w:eastAsia="Times New Roman" w:hAnsi="Palatino Linotype" w:cs="Arial"/>
          <w:b/>
          <w:bCs/>
          <w:lang w:val="es-MX"/>
        </w:rPr>
        <w:t>TERCERO</w:t>
      </w:r>
      <w:r w:rsidRPr="004D38F7">
        <w:rPr>
          <w:rFonts w:ascii="Palatino Linotype" w:eastAsia="Times New Roman" w:hAnsi="Palatino Linotype" w:cs="Arial"/>
          <w:b/>
          <w:lang w:val="es-MX"/>
        </w:rPr>
        <w:t>.</w:t>
      </w:r>
      <w:r w:rsidRPr="004D38F7">
        <w:rPr>
          <w:rFonts w:ascii="Palatino Linotype" w:eastAsia="Palatino Linotype" w:hAnsi="Palatino Linotype" w:cs="Palatino Linotype"/>
          <w:b/>
          <w:lang w:val="es-MX"/>
        </w:rPr>
        <w:t xml:space="preserve"> </w:t>
      </w:r>
      <w:r w:rsidRPr="004D38F7">
        <w:rPr>
          <w:rFonts w:ascii="Palatino Linotype" w:eastAsia="Times New Roman" w:hAnsi="Palatino Linotype" w:cs="Times New Roman"/>
          <w:b/>
          <w:lang w:val="es-MX"/>
        </w:rPr>
        <w:t xml:space="preserve">Notifíquese </w:t>
      </w:r>
      <w:r w:rsidRPr="004D38F7">
        <w:rPr>
          <w:rFonts w:ascii="Palatino Linotype" w:eastAsia="Times New Roman" w:hAnsi="Palatino Linotype" w:cs="Times New Roman"/>
          <w:lang w:val="es-MX"/>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430BC">
        <w:rPr>
          <w:rFonts w:ascii="Palatino Linotype" w:eastAsia="Times New Roman" w:hAnsi="Palatino Linotype" w:cs="Times New Roman"/>
          <w:b/>
          <w:lang w:val="es-MX"/>
        </w:rPr>
        <w:t>dé cumplimiento a lo ordenado dentro del plazo de diez días hábiles,</w:t>
      </w:r>
      <w:r w:rsidRPr="004D38F7">
        <w:rPr>
          <w:rFonts w:ascii="Palatino Linotype" w:eastAsia="Times New Roman" w:hAnsi="Palatino Linotype" w:cs="Times New Roman"/>
          <w:lang w:val="es-MX"/>
        </w:rPr>
        <w:t xml:space="preserve"> e informe a este Instituto en un plazo de tres días hábiles siguientes sobre el cumplimiento dado a la presente y, se le apercibe que en caso de</w:t>
      </w:r>
      <w:r w:rsidR="00FF7BDC" w:rsidRPr="004D38F7">
        <w:rPr>
          <w:rFonts w:ascii="Palatino Linotype" w:eastAsia="Times New Roman" w:hAnsi="Palatino Linotype" w:cs="Times New Roman"/>
          <w:lang w:val="es-MX"/>
        </w:rPr>
        <w:t xml:space="preserve"> negarse a cumplir la presente R</w:t>
      </w:r>
      <w:r w:rsidRPr="004D38F7">
        <w:rPr>
          <w:rFonts w:ascii="Palatino Linotype" w:eastAsia="Times New Roman" w:hAnsi="Palatino Linotype" w:cs="Times New Roman"/>
          <w:lang w:val="es-MX"/>
        </w:rPr>
        <w:t xml:space="preserve">esolución o hacerlo de manera parcial, se le impondrá una medida </w:t>
      </w:r>
      <w:r w:rsidRPr="004D38F7">
        <w:rPr>
          <w:rFonts w:ascii="Palatino Linotype" w:eastAsia="Times New Roman" w:hAnsi="Palatino Linotype" w:cs="Times New Roman"/>
          <w:lang w:val="es-MX"/>
        </w:rPr>
        <w:lastRenderedPageBreak/>
        <w:t>de apremio de conformidad con lo previsto en los artículos 198, 200, fracción III; 214, 215 y 216 de la Ley  de Transparencia y Acceso a la Información Pública del Estado de México y Municipios.</w:t>
      </w:r>
    </w:p>
    <w:p w14:paraId="68CE66AE" w14:textId="77777777" w:rsidR="00FC7577" w:rsidRPr="004D38F7" w:rsidRDefault="00FC7577" w:rsidP="00FC7577">
      <w:pPr>
        <w:spacing w:line="360" w:lineRule="auto"/>
        <w:jc w:val="both"/>
        <w:rPr>
          <w:rFonts w:ascii="Palatino Linotype" w:eastAsia="Times New Roman" w:hAnsi="Palatino Linotype" w:cs="Times New Roman"/>
          <w:lang w:val="es-MX"/>
        </w:rPr>
      </w:pPr>
    </w:p>
    <w:p w14:paraId="514606E3" w14:textId="77777777" w:rsidR="00FC7577" w:rsidRPr="004D38F7" w:rsidRDefault="00FC7577" w:rsidP="00FC7577">
      <w:pPr>
        <w:spacing w:line="360" w:lineRule="auto"/>
        <w:jc w:val="both"/>
        <w:rPr>
          <w:rFonts w:ascii="Palatino Linotype" w:eastAsia="Calibri" w:hAnsi="Palatino Linotype" w:cs="Arial"/>
          <w:bCs/>
        </w:rPr>
      </w:pPr>
      <w:r w:rsidRPr="004D38F7">
        <w:rPr>
          <w:rFonts w:ascii="Palatino Linotype" w:hAnsi="Palatino Linotype" w:cs="Arial"/>
          <w:b/>
        </w:rPr>
        <w:t xml:space="preserve">CUARTO. </w:t>
      </w:r>
      <w:r w:rsidRPr="004D38F7">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4D38F7">
        <w:rPr>
          <w:rFonts w:ascii="Palatino Linotype" w:eastAsia="Calibri" w:hAnsi="Palatino Linotype" w:cs="Arial"/>
          <w:b/>
          <w:bCs/>
        </w:rPr>
        <w:t>Sujeto Obligado</w:t>
      </w:r>
      <w:r w:rsidRPr="004D38F7">
        <w:rPr>
          <w:rFonts w:ascii="Palatino Linotype" w:eastAsia="Calibri" w:hAnsi="Palatino Linotype" w:cs="Arial"/>
          <w:bCs/>
        </w:rPr>
        <w:t xml:space="preserve"> de manera fundada y motivada, podrá solicitar una ampliación de plazo para el cumplimiento de la presente resolución.</w:t>
      </w:r>
    </w:p>
    <w:p w14:paraId="06831EF7" w14:textId="77777777" w:rsidR="00FC7577" w:rsidRPr="004D38F7" w:rsidRDefault="00FC7577" w:rsidP="00FC7577">
      <w:pPr>
        <w:spacing w:line="360" w:lineRule="auto"/>
        <w:jc w:val="both"/>
        <w:rPr>
          <w:rFonts w:ascii="Palatino Linotype" w:eastAsia="Calibri" w:hAnsi="Palatino Linotype" w:cs="Arial"/>
          <w:bCs/>
        </w:rPr>
      </w:pPr>
    </w:p>
    <w:p w14:paraId="6F479DCE" w14:textId="77777777" w:rsidR="00FC7577" w:rsidRPr="004D38F7" w:rsidRDefault="00FC7577" w:rsidP="00FC7577">
      <w:pPr>
        <w:tabs>
          <w:tab w:val="left" w:pos="8080"/>
        </w:tabs>
        <w:spacing w:line="360" w:lineRule="auto"/>
        <w:ind w:right="49"/>
        <w:jc w:val="both"/>
        <w:rPr>
          <w:rFonts w:ascii="Palatino Linotype" w:eastAsia="Times New Roman" w:hAnsi="Palatino Linotype" w:cs="Times New Roman"/>
          <w:lang w:val="es-ES" w:eastAsia="es-MX"/>
        </w:rPr>
      </w:pPr>
      <w:bookmarkStart w:id="165" w:name="_Toc492590393"/>
      <w:bookmarkStart w:id="166" w:name="_Toc503891611"/>
      <w:bookmarkStart w:id="167" w:name="_Toc511647759"/>
      <w:bookmarkStart w:id="168" w:name="_Toc511647820"/>
      <w:r w:rsidRPr="004D38F7">
        <w:rPr>
          <w:rFonts w:ascii="Palatino Linotype" w:eastAsia="Times New Roman" w:hAnsi="Palatino Linotype" w:cs="Times New Roman"/>
          <w:b/>
        </w:rPr>
        <w:t xml:space="preserve">QUINTO. </w:t>
      </w:r>
      <w:r w:rsidRPr="004D38F7">
        <w:rPr>
          <w:rFonts w:ascii="Palatino Linotype" w:eastAsia="Times New Roman" w:hAnsi="Palatino Linotype" w:cs="Times New Roman"/>
        </w:rPr>
        <w:t>Notifíquese</w:t>
      </w:r>
      <w:bookmarkEnd w:id="165"/>
      <w:bookmarkEnd w:id="166"/>
      <w:bookmarkEnd w:id="167"/>
      <w:bookmarkEnd w:id="168"/>
      <w:r w:rsidRPr="004D38F7">
        <w:rPr>
          <w:rFonts w:ascii="Palatino Linotype" w:eastAsia="Times New Roman" w:hAnsi="Palatino Linotype" w:cs="Times New Roman"/>
        </w:rPr>
        <w:t xml:space="preserve"> al </w:t>
      </w:r>
      <w:r w:rsidRPr="004D38F7">
        <w:rPr>
          <w:rFonts w:ascii="Palatino Linotype" w:eastAsia="Times New Roman" w:hAnsi="Palatino Linotype" w:cs="Times New Roman"/>
          <w:b/>
        </w:rPr>
        <w:t>Recurrente</w:t>
      </w:r>
      <w:r w:rsidRPr="004D38F7">
        <w:rPr>
          <w:rFonts w:ascii="Palatino Linotype" w:eastAsia="Times New Roman" w:hAnsi="Palatino Linotype" w:cs="Times New Roman"/>
        </w:rPr>
        <w:t xml:space="preserve"> la presente</w:t>
      </w:r>
      <w:r w:rsidRPr="004D38F7">
        <w:rPr>
          <w:rFonts w:ascii="Palatino Linotype" w:eastAsia="Times New Roman" w:hAnsi="Palatino Linotype" w:cs="Times New Roman"/>
          <w:lang w:val="es-ES" w:eastAsia="es-MX"/>
        </w:rPr>
        <w:t xml:space="preserve"> resolución, vía </w:t>
      </w:r>
      <w:r w:rsidRPr="004D38F7">
        <w:rPr>
          <w:rFonts w:ascii="Palatino Linotype" w:eastAsia="Times New Roman" w:hAnsi="Palatino Linotype" w:cs="Times New Roman"/>
          <w:b/>
          <w:lang w:val="es-ES" w:eastAsia="es-MX"/>
        </w:rPr>
        <w:t>SAIMEX</w:t>
      </w:r>
      <w:r w:rsidRPr="004D38F7">
        <w:rPr>
          <w:rFonts w:ascii="Palatino Linotype" w:eastAsia="Times New Roman" w:hAnsi="Palatino Linotype" w:cs="Times New Roman"/>
          <w:lang w:val="es-ES" w:eastAsia="es-MX"/>
        </w:rPr>
        <w:t>.</w:t>
      </w:r>
    </w:p>
    <w:p w14:paraId="297DCAE5" w14:textId="77777777" w:rsidR="00FC7577" w:rsidRPr="004D38F7" w:rsidRDefault="00FC7577" w:rsidP="00FC7577">
      <w:pPr>
        <w:tabs>
          <w:tab w:val="left" w:pos="8080"/>
        </w:tabs>
        <w:spacing w:line="360" w:lineRule="auto"/>
        <w:ind w:right="49"/>
        <w:jc w:val="both"/>
        <w:rPr>
          <w:rFonts w:ascii="Palatino Linotype" w:eastAsia="Times New Roman" w:hAnsi="Palatino Linotype" w:cs="Times New Roman"/>
          <w:lang w:val="es-ES" w:eastAsia="es-MX"/>
        </w:rPr>
      </w:pPr>
    </w:p>
    <w:p w14:paraId="59DD6BC3" w14:textId="77777777" w:rsidR="00FC7577" w:rsidRPr="004D38F7" w:rsidRDefault="00FC7577" w:rsidP="00FC757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4D38F7">
        <w:rPr>
          <w:rFonts w:ascii="Palatino Linotype" w:eastAsia="Calibri" w:hAnsi="Palatino Linotype"/>
          <w:b/>
          <w:lang w:eastAsia="en-US"/>
        </w:rPr>
        <w:t xml:space="preserve">SEXTO. </w:t>
      </w:r>
      <w:r w:rsidRPr="004D38F7">
        <w:rPr>
          <w:rFonts w:ascii="Palatino Linotype" w:eastAsia="Calibri" w:hAnsi="Palatino Linotype"/>
          <w:lang w:eastAsia="en-US"/>
        </w:rPr>
        <w:t>Se hace del conocimiento del</w:t>
      </w:r>
      <w:r w:rsidRPr="004D38F7">
        <w:rPr>
          <w:rFonts w:ascii="Palatino Linotype" w:eastAsia="Calibri" w:hAnsi="Palatino Linotype"/>
          <w:b/>
          <w:lang w:eastAsia="en-US"/>
        </w:rPr>
        <w:t xml:space="preserve"> Recurrente </w:t>
      </w:r>
      <w:r w:rsidRPr="004D38F7">
        <w:rPr>
          <w:rFonts w:ascii="Palatino Linotype" w:eastAsia="Calibri" w:hAnsi="Palatino Linotype"/>
          <w:lang w:eastAsia="en-US"/>
        </w:rPr>
        <w:t xml:space="preserve">que, de conformidad con lo establecido en el artículo 196 de la Ley de Transparencia y Acceso a la Información Pública del Estado de México y Municipios, en caso de que considere que la resolución le cause algún perjuicio podrá impugnarla vía </w:t>
      </w:r>
      <w:r w:rsidR="00547F98" w:rsidRPr="00B5455E">
        <w:rPr>
          <w:rFonts w:ascii="Palatino Linotype" w:eastAsia="Calibri" w:hAnsi="Palatino Linotype"/>
          <w:lang w:eastAsia="en-US"/>
        </w:rPr>
        <w:t>recurso de inconformidad ante el  Instituto Nacional de Transparencia, Acceso a la Información y Protección de Datos Personales (INAI) o,</w:t>
      </w:r>
      <w:r w:rsidR="00547F98" w:rsidRPr="004D38F7">
        <w:rPr>
          <w:rFonts w:ascii="Palatino Linotype" w:eastAsia="Calibri" w:hAnsi="Palatino Linotype"/>
          <w:lang w:eastAsia="en-US"/>
        </w:rPr>
        <w:t xml:space="preserve"> vía </w:t>
      </w:r>
      <w:r w:rsidRPr="004D38F7">
        <w:rPr>
          <w:rFonts w:ascii="Palatino Linotype" w:eastAsia="Calibri" w:hAnsi="Palatino Linotype"/>
          <w:lang w:eastAsia="en-US"/>
        </w:rPr>
        <w:t>juicio de amparo en los términos de las leyes aplicables.</w:t>
      </w:r>
    </w:p>
    <w:p w14:paraId="1E7BF700" w14:textId="77777777" w:rsidR="00FC7577" w:rsidRPr="004D38F7" w:rsidRDefault="00FC7577" w:rsidP="00FC7577">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14:paraId="14BF88B4" w14:textId="77777777" w:rsidR="00D87B72" w:rsidRPr="003C7186" w:rsidRDefault="00D87B72" w:rsidP="00121999">
      <w:pPr>
        <w:spacing w:line="360" w:lineRule="auto"/>
        <w:ind w:left="-142"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00770F0A">
        <w:rPr>
          <w:rFonts w:ascii="Palatino Linotype" w:hAnsi="Palatino Linotype"/>
        </w:rPr>
        <w:t xml:space="preserve">EMITIENDO VOTO PARTICULAR </w:t>
      </w:r>
      <w:r w:rsidRPr="003C7186">
        <w:rPr>
          <w:rFonts w:ascii="Palatino Linotype" w:hAnsi="Palatino Linotype"/>
        </w:rPr>
        <w:t xml:space="preserve">Y GUADALUPE RAMÍREZ PEÑA </w:t>
      </w:r>
      <w:r>
        <w:rPr>
          <w:rFonts w:ascii="Palatino Linotype" w:hAnsi="Palatino Linotype"/>
        </w:rPr>
        <w:lastRenderedPageBreak/>
        <w:t xml:space="preserve">(AUSENCIA JUSTIFICADA)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TERCERA </w:t>
      </w:r>
      <w:r w:rsidRPr="003C7186">
        <w:rPr>
          <w:rFonts w:ascii="Palatino Linotype" w:hAnsi="Palatino Linotype"/>
        </w:rPr>
        <w:t xml:space="preserve">SESIÓN ORDINARIA CELEBRADA EL </w:t>
      </w:r>
      <w:r>
        <w:rPr>
          <w:rFonts w:ascii="Palatino Linotype" w:hAnsi="Palatino Linotype"/>
        </w:rPr>
        <w:t>DIECINUEVE</w:t>
      </w:r>
      <w:r w:rsidRPr="003C7186">
        <w:rPr>
          <w:rFonts w:ascii="Palatino Linotype" w:hAnsi="Palatino Linotype"/>
        </w:rPr>
        <w:t xml:space="preserve"> </w:t>
      </w:r>
      <w:r>
        <w:rPr>
          <w:rFonts w:ascii="Palatino Linotype" w:hAnsi="Palatino Linotype"/>
        </w:rPr>
        <w:t>(19) DE SEPTIEMBRE</w:t>
      </w:r>
      <w:r w:rsidRPr="003C7186">
        <w:rPr>
          <w:rFonts w:ascii="Palatino Linotype" w:hAnsi="Palatino Linotype"/>
        </w:rPr>
        <w:t xml:space="preserve"> DE DOS MIL VEINTICUATRO, ANTE EL SECRETARIO TÉCNICO DEL PLENO ALEXIS TAPIA RAMÍREZ. </w:t>
      </w:r>
    </w:p>
    <w:p w14:paraId="12EC22BB" w14:textId="77777777" w:rsidR="00D87B72" w:rsidRPr="00902BA4" w:rsidRDefault="00D87B72" w:rsidP="00D87B72">
      <w:pPr>
        <w:widowControl w:val="0"/>
        <w:autoSpaceDE w:val="0"/>
        <w:autoSpaceDN w:val="0"/>
        <w:adjustRightInd w:val="0"/>
        <w:spacing w:after="200" w:line="276" w:lineRule="auto"/>
        <w:ind w:left="-142" w:right="-234"/>
        <w:rPr>
          <w:rFonts w:ascii="Calibri" w:hAnsi="Calibri" w:cs="Calibri"/>
        </w:rPr>
      </w:pPr>
    </w:p>
    <w:p w14:paraId="07FD2266" w14:textId="77777777" w:rsidR="00FC7577" w:rsidRPr="004D38F7" w:rsidRDefault="00FC7577" w:rsidP="00FC7577">
      <w:pPr>
        <w:spacing w:line="360" w:lineRule="auto"/>
        <w:jc w:val="both"/>
        <w:rPr>
          <w:rFonts w:ascii="Palatino Linotype" w:hAnsi="Palatino Linotype"/>
        </w:rPr>
      </w:pPr>
    </w:p>
    <w:p w14:paraId="151D5AF4" w14:textId="77777777" w:rsidR="00FC7577" w:rsidRPr="004D38F7" w:rsidRDefault="00FC7577" w:rsidP="00FC7577">
      <w:pPr>
        <w:spacing w:line="360" w:lineRule="auto"/>
        <w:jc w:val="both"/>
        <w:rPr>
          <w:rFonts w:ascii="Palatino Linotype" w:hAnsi="Palatino Linotype"/>
        </w:rPr>
      </w:pPr>
    </w:p>
    <w:p w14:paraId="22370973" w14:textId="77777777" w:rsidR="00FC7577" w:rsidRPr="004D38F7" w:rsidRDefault="00FC7577" w:rsidP="00FC7577">
      <w:pPr>
        <w:spacing w:line="360" w:lineRule="auto"/>
        <w:jc w:val="both"/>
        <w:rPr>
          <w:rFonts w:ascii="Palatino Linotype" w:hAnsi="Palatino Linotype"/>
        </w:rPr>
      </w:pPr>
    </w:p>
    <w:p w14:paraId="34724D35" w14:textId="77777777" w:rsidR="00FC7577" w:rsidRPr="004D38F7" w:rsidRDefault="00FC7577" w:rsidP="00FC7577">
      <w:pPr>
        <w:spacing w:line="360" w:lineRule="auto"/>
        <w:jc w:val="both"/>
        <w:rPr>
          <w:rFonts w:ascii="Palatino Linotype" w:hAnsi="Palatino Linotype"/>
        </w:rPr>
      </w:pPr>
    </w:p>
    <w:p w14:paraId="2008A839" w14:textId="77777777" w:rsidR="00FC7577" w:rsidRPr="004D38F7" w:rsidRDefault="00FC7577" w:rsidP="00FC7577">
      <w:pPr>
        <w:spacing w:line="360" w:lineRule="auto"/>
        <w:jc w:val="both"/>
        <w:rPr>
          <w:rFonts w:ascii="Palatino Linotype" w:hAnsi="Palatino Linotype"/>
        </w:rPr>
      </w:pPr>
    </w:p>
    <w:p w14:paraId="072A4E81" w14:textId="77777777" w:rsidR="00FC7577" w:rsidRPr="004D38F7" w:rsidRDefault="00FC7577" w:rsidP="00FC7577">
      <w:pPr>
        <w:spacing w:line="360" w:lineRule="auto"/>
        <w:jc w:val="both"/>
        <w:rPr>
          <w:rFonts w:ascii="Palatino Linotype" w:hAnsi="Palatino Linotype"/>
        </w:rPr>
      </w:pPr>
    </w:p>
    <w:p w14:paraId="7D125C63" w14:textId="77777777" w:rsidR="00FC7577" w:rsidRPr="004D38F7" w:rsidRDefault="00FC7577" w:rsidP="00FC7577">
      <w:pPr>
        <w:spacing w:line="360" w:lineRule="auto"/>
        <w:rPr>
          <w:rFonts w:ascii="Palatino Linotype" w:hAnsi="Palatino Linotype"/>
        </w:rPr>
      </w:pPr>
    </w:p>
    <w:p w14:paraId="446F44A4" w14:textId="77777777" w:rsidR="00FC7577" w:rsidRPr="004D38F7" w:rsidRDefault="00FC7577" w:rsidP="00FC7577">
      <w:pPr>
        <w:spacing w:line="360" w:lineRule="auto"/>
        <w:rPr>
          <w:rFonts w:ascii="Palatino Linotype" w:hAnsi="Palatino Linotype"/>
        </w:rPr>
      </w:pPr>
    </w:p>
    <w:p w14:paraId="7BA91906" w14:textId="77777777" w:rsidR="00FC7577" w:rsidRPr="004D38F7" w:rsidRDefault="00FC7577" w:rsidP="00FC7577">
      <w:pPr>
        <w:spacing w:line="360" w:lineRule="auto"/>
        <w:rPr>
          <w:rFonts w:ascii="Palatino Linotype" w:hAnsi="Palatino Linotype"/>
        </w:rPr>
      </w:pPr>
    </w:p>
    <w:p w14:paraId="2131E608" w14:textId="77777777" w:rsidR="00FC7577" w:rsidRPr="004D38F7" w:rsidRDefault="00FC7577" w:rsidP="00FC7577">
      <w:pPr>
        <w:spacing w:line="360" w:lineRule="auto"/>
        <w:rPr>
          <w:rFonts w:ascii="Palatino Linotype" w:hAnsi="Palatino Linotype"/>
        </w:rPr>
      </w:pPr>
    </w:p>
    <w:p w14:paraId="12527549" w14:textId="77777777" w:rsidR="00FC7577" w:rsidRPr="004D38F7" w:rsidRDefault="00FC7577" w:rsidP="00FC7577">
      <w:pPr>
        <w:spacing w:line="360" w:lineRule="auto"/>
        <w:rPr>
          <w:rFonts w:ascii="Palatino Linotype" w:hAnsi="Palatino Linotype"/>
        </w:rPr>
      </w:pPr>
    </w:p>
    <w:p w14:paraId="006A23BA" w14:textId="77777777" w:rsidR="00FC7577" w:rsidRPr="004D38F7" w:rsidRDefault="00FC7577" w:rsidP="00FC7577">
      <w:pPr>
        <w:spacing w:line="360" w:lineRule="auto"/>
        <w:rPr>
          <w:rFonts w:ascii="Palatino Linotype" w:hAnsi="Palatino Linotype"/>
        </w:rPr>
      </w:pPr>
    </w:p>
    <w:p w14:paraId="02E93E83" w14:textId="77777777" w:rsidR="00FC7577" w:rsidRPr="004D38F7" w:rsidRDefault="00FC7577" w:rsidP="00FC7577">
      <w:pPr>
        <w:spacing w:line="360" w:lineRule="auto"/>
        <w:rPr>
          <w:rFonts w:ascii="Palatino Linotype" w:hAnsi="Palatino Linotype"/>
        </w:rPr>
      </w:pPr>
    </w:p>
    <w:p w14:paraId="490FD3F3" w14:textId="77777777" w:rsidR="00FC7577" w:rsidRPr="004D38F7" w:rsidRDefault="00FC7577" w:rsidP="00FC7577">
      <w:pPr>
        <w:tabs>
          <w:tab w:val="left" w:pos="3374"/>
        </w:tabs>
        <w:spacing w:line="360" w:lineRule="auto"/>
        <w:rPr>
          <w:rFonts w:ascii="Palatino Linotype" w:hAnsi="Palatino Linotype"/>
        </w:rPr>
      </w:pPr>
      <w:r w:rsidRPr="004D38F7">
        <w:rPr>
          <w:rFonts w:ascii="Palatino Linotype" w:hAnsi="Palatino Linotype"/>
        </w:rPr>
        <w:tab/>
      </w:r>
    </w:p>
    <w:p w14:paraId="7F42E4A1" w14:textId="77777777" w:rsidR="00FC7577" w:rsidRPr="004D38F7" w:rsidRDefault="00FC7577" w:rsidP="00FC7577">
      <w:pPr>
        <w:tabs>
          <w:tab w:val="left" w:pos="3374"/>
        </w:tabs>
        <w:spacing w:line="360" w:lineRule="auto"/>
        <w:rPr>
          <w:rFonts w:ascii="Palatino Linotype" w:hAnsi="Palatino Linotype"/>
        </w:rPr>
      </w:pPr>
    </w:p>
    <w:p w14:paraId="4449F3CB" w14:textId="77777777" w:rsidR="00FC7577" w:rsidRPr="004D38F7" w:rsidRDefault="00FC7577" w:rsidP="00FC7577">
      <w:pPr>
        <w:tabs>
          <w:tab w:val="left" w:pos="3374"/>
        </w:tabs>
        <w:spacing w:line="360" w:lineRule="auto"/>
        <w:rPr>
          <w:rFonts w:ascii="Palatino Linotype" w:hAnsi="Palatino Linotype"/>
        </w:rPr>
      </w:pPr>
      <w:r w:rsidRPr="004D38F7">
        <w:rPr>
          <w:rFonts w:ascii="Palatino Linotype" w:hAnsi="Palatino Linotype"/>
        </w:rPr>
        <w:tab/>
      </w:r>
    </w:p>
    <w:p w14:paraId="641A7D99" w14:textId="77777777" w:rsidR="00FC7577" w:rsidRPr="004D38F7" w:rsidRDefault="00FC7577" w:rsidP="00FC7577">
      <w:pPr>
        <w:tabs>
          <w:tab w:val="left" w:pos="3374"/>
        </w:tabs>
        <w:spacing w:line="360" w:lineRule="auto"/>
        <w:rPr>
          <w:rFonts w:ascii="Palatino Linotype" w:hAnsi="Palatino Linotype"/>
        </w:rPr>
      </w:pPr>
    </w:p>
    <w:p w14:paraId="67514207" w14:textId="77777777" w:rsidR="00FC7577" w:rsidRPr="004D38F7" w:rsidRDefault="00FC7577" w:rsidP="00FC7577">
      <w:pPr>
        <w:tabs>
          <w:tab w:val="left" w:pos="3374"/>
        </w:tabs>
        <w:spacing w:line="360" w:lineRule="auto"/>
        <w:rPr>
          <w:rFonts w:ascii="Palatino Linotype" w:hAnsi="Palatino Linotype"/>
        </w:rPr>
      </w:pPr>
    </w:p>
    <w:p w14:paraId="335EF284" w14:textId="77777777" w:rsidR="00FC7577" w:rsidRPr="004D38F7" w:rsidRDefault="00FC7577" w:rsidP="00FC7577">
      <w:pPr>
        <w:tabs>
          <w:tab w:val="left" w:pos="3374"/>
        </w:tabs>
        <w:spacing w:line="360" w:lineRule="auto"/>
        <w:rPr>
          <w:rFonts w:ascii="Palatino Linotype" w:hAnsi="Palatino Linotype"/>
        </w:rPr>
      </w:pPr>
    </w:p>
    <w:p w14:paraId="5C8A81FA" w14:textId="77777777" w:rsidR="00FC7577" w:rsidRPr="004D38F7" w:rsidRDefault="00FC7577" w:rsidP="00FC7577">
      <w:pPr>
        <w:tabs>
          <w:tab w:val="left" w:pos="3374"/>
        </w:tabs>
        <w:spacing w:line="360" w:lineRule="auto"/>
        <w:rPr>
          <w:rFonts w:ascii="Palatino Linotype" w:hAnsi="Palatino Linotype"/>
        </w:rPr>
      </w:pPr>
    </w:p>
    <w:p w14:paraId="48A92D5C" w14:textId="77777777" w:rsidR="00FC7577" w:rsidRPr="004D38F7" w:rsidRDefault="00FC7577" w:rsidP="00FC7577">
      <w:pPr>
        <w:tabs>
          <w:tab w:val="left" w:pos="3374"/>
        </w:tabs>
        <w:spacing w:line="360" w:lineRule="auto"/>
        <w:rPr>
          <w:rFonts w:ascii="Palatino Linotype" w:hAnsi="Palatino Linotype"/>
        </w:rPr>
      </w:pPr>
    </w:p>
    <w:p w14:paraId="1D3DFE96" w14:textId="77777777" w:rsidR="00FC7577" w:rsidRPr="004D38F7" w:rsidRDefault="00FC7577" w:rsidP="00FC7577">
      <w:pPr>
        <w:tabs>
          <w:tab w:val="left" w:pos="3374"/>
        </w:tabs>
        <w:spacing w:line="360" w:lineRule="auto"/>
        <w:rPr>
          <w:rFonts w:ascii="Palatino Linotype" w:hAnsi="Palatino Linotype"/>
        </w:rPr>
      </w:pPr>
    </w:p>
    <w:p w14:paraId="6E5C8400" w14:textId="77777777" w:rsidR="00FC7577" w:rsidRPr="004D38F7" w:rsidRDefault="00FC7577" w:rsidP="00FC7577">
      <w:pPr>
        <w:spacing w:line="360" w:lineRule="auto"/>
        <w:rPr>
          <w:rFonts w:ascii="Palatino Linotype" w:hAnsi="Palatino Linotype"/>
        </w:rPr>
      </w:pPr>
    </w:p>
    <w:p w14:paraId="6E40E716" w14:textId="77777777" w:rsidR="00FC7577" w:rsidRPr="004D38F7" w:rsidRDefault="00FC7577" w:rsidP="00FC7577">
      <w:pPr>
        <w:rPr>
          <w:rFonts w:ascii="Palatino Linotype" w:hAnsi="Palatino Linotype"/>
        </w:rPr>
      </w:pPr>
    </w:p>
    <w:p w14:paraId="4AEE3732" w14:textId="77777777" w:rsidR="00A20F8F" w:rsidRPr="004D38F7" w:rsidRDefault="00A20F8F">
      <w:pPr>
        <w:rPr>
          <w:rFonts w:ascii="Palatino Linotype" w:hAnsi="Palatino Linotype"/>
        </w:rPr>
      </w:pPr>
    </w:p>
    <w:sectPr w:rsidR="00A20F8F" w:rsidRPr="004D38F7" w:rsidSect="004D38F7">
      <w:headerReference w:type="even" r:id="rId20"/>
      <w:headerReference w:type="default" r:id="rId21"/>
      <w:footerReference w:type="default" r:id="rId22"/>
      <w:headerReference w:type="first" r:id="rId23"/>
      <w:footerReference w:type="first" r:id="rId24"/>
      <w:pgSz w:w="12240" w:h="15840"/>
      <w:pgMar w:top="2268" w:right="1183"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7ABCF" w14:textId="77777777" w:rsidR="00795DA9" w:rsidRDefault="00795DA9" w:rsidP="00FC7577">
      <w:r>
        <w:separator/>
      </w:r>
    </w:p>
  </w:endnote>
  <w:endnote w:type="continuationSeparator" w:id="0">
    <w:p w14:paraId="6A201ACF" w14:textId="77777777" w:rsidR="00795DA9" w:rsidRDefault="00795DA9" w:rsidP="00FC7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5EC314E" w14:textId="77777777" w:rsidR="00E0579D" w:rsidRPr="002D6DD8" w:rsidRDefault="00E0579D" w:rsidP="00FC75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455E">
              <w:rPr>
                <w:rFonts w:ascii="Palatino Linotype" w:hAnsi="Palatino Linotype"/>
                <w:bCs/>
                <w:noProof/>
                <w:sz w:val="20"/>
              </w:rPr>
              <w:t>102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5455E">
              <w:rPr>
                <w:rFonts w:ascii="Palatino Linotype" w:hAnsi="Palatino Linotype"/>
                <w:bCs/>
                <w:noProof/>
                <w:sz w:val="20"/>
              </w:rPr>
              <w:t>102</w:t>
            </w:r>
            <w:r>
              <w:rPr>
                <w:rFonts w:ascii="Palatino Linotype" w:hAnsi="Palatino Linotype"/>
                <w:bCs/>
                <w:noProof/>
                <w:sz w:val="20"/>
              </w:rPr>
              <w:fldChar w:fldCharType="end"/>
            </w:r>
          </w:p>
        </w:sdtContent>
      </w:sdt>
    </w:sdtContent>
  </w:sdt>
  <w:p w14:paraId="112C529C" w14:textId="77777777" w:rsidR="00E0579D" w:rsidRDefault="00E057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2DC08" w14:textId="77777777" w:rsidR="00E0579D" w:rsidRPr="000B69FA" w:rsidRDefault="00E0579D" w:rsidP="00FC757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545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5455E">
      <w:rPr>
        <w:rFonts w:ascii="Palatino Linotype" w:hAnsi="Palatino Linotype"/>
        <w:bCs/>
        <w:noProof/>
        <w:sz w:val="20"/>
      </w:rPr>
      <w:t>103</w:t>
    </w:r>
    <w:r>
      <w:rPr>
        <w:rFonts w:ascii="Palatino Linotype" w:hAnsi="Palatino Linotype"/>
        <w:bCs/>
        <w:noProof/>
        <w:sz w:val="20"/>
      </w:rPr>
      <w:fldChar w:fldCharType="end"/>
    </w:r>
  </w:p>
  <w:p w14:paraId="706FEC74" w14:textId="77777777" w:rsidR="00E0579D" w:rsidRDefault="00E057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3FF6B" w14:textId="77777777" w:rsidR="00795DA9" w:rsidRDefault="00795DA9" w:rsidP="00FC7577">
      <w:r>
        <w:separator/>
      </w:r>
    </w:p>
  </w:footnote>
  <w:footnote w:type="continuationSeparator" w:id="0">
    <w:p w14:paraId="15DC2677" w14:textId="77777777" w:rsidR="00795DA9" w:rsidRDefault="00795DA9" w:rsidP="00FC7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872F" w14:textId="77777777" w:rsidR="00E0579D" w:rsidRDefault="00795DA9">
    <w:pPr>
      <w:pStyle w:val="Encabezado"/>
    </w:pPr>
    <w:r>
      <w:rPr>
        <w:noProof/>
        <w:lang w:eastAsia="es-MX"/>
      </w:rPr>
      <w:pict w14:anchorId="5F41A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1025"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E0579D" w14:paraId="755AF145" w14:textId="77777777" w:rsidTr="00FC7577">
      <w:trPr>
        <w:trHeight w:val="227"/>
      </w:trPr>
      <w:tc>
        <w:tcPr>
          <w:tcW w:w="2976" w:type="dxa"/>
          <w:vAlign w:val="center"/>
          <w:hideMark/>
        </w:tcPr>
        <w:p w14:paraId="61D24A0F" w14:textId="77777777" w:rsidR="00E0579D" w:rsidRPr="00674A46" w:rsidRDefault="00E0579D" w:rsidP="00FC7577">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5B701177" w14:textId="77777777" w:rsidR="00E0579D" w:rsidRPr="004D38F7" w:rsidRDefault="00E0579D" w:rsidP="00FC7577">
          <w:pPr>
            <w:pStyle w:val="Encabezado"/>
            <w:rPr>
              <w:rFonts w:ascii="Palatino Linotype" w:hAnsi="Palatino Linotype"/>
              <w:sz w:val="22"/>
              <w:szCs w:val="22"/>
              <w:highlight w:val="green"/>
            </w:rPr>
          </w:pPr>
          <w:r w:rsidRPr="004D38F7">
            <w:rPr>
              <w:rFonts w:ascii="Palatino Linotype" w:hAnsi="Palatino Linotype" w:cs="Arial"/>
              <w:bCs/>
              <w:sz w:val="22"/>
              <w:szCs w:val="22"/>
              <w:lang w:eastAsia="es-MX"/>
            </w:rPr>
            <w:t>06918/INFOEM/IP/RR/2023</w:t>
          </w:r>
        </w:p>
      </w:tc>
    </w:tr>
    <w:tr w:rsidR="00E0579D" w14:paraId="7D172134" w14:textId="77777777" w:rsidTr="00FC7577">
      <w:trPr>
        <w:trHeight w:val="242"/>
      </w:trPr>
      <w:tc>
        <w:tcPr>
          <w:tcW w:w="2976" w:type="dxa"/>
          <w:vAlign w:val="center"/>
          <w:hideMark/>
        </w:tcPr>
        <w:p w14:paraId="3CE6EB9D" w14:textId="77777777" w:rsidR="00E0579D" w:rsidRPr="00674A46" w:rsidRDefault="00E0579D" w:rsidP="00FC7577">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1E9B025" w14:textId="77777777" w:rsidR="00E0579D" w:rsidRPr="004D38F7" w:rsidRDefault="00E0579D" w:rsidP="00FC7577">
          <w:pPr>
            <w:pStyle w:val="Encabezado"/>
            <w:jc w:val="both"/>
            <w:rPr>
              <w:rFonts w:ascii="Palatino Linotype" w:hAnsi="Palatino Linotype"/>
              <w:bCs/>
              <w:color w:val="000000"/>
              <w:sz w:val="22"/>
              <w:szCs w:val="22"/>
              <w:highlight w:val="green"/>
            </w:rPr>
          </w:pPr>
          <w:r w:rsidRPr="004D38F7">
            <w:rPr>
              <w:rFonts w:ascii="Palatino Linotype" w:hAnsi="Palatino Linotype"/>
              <w:bCs/>
              <w:color w:val="000000"/>
              <w:sz w:val="22"/>
              <w:szCs w:val="22"/>
            </w:rPr>
            <w:t xml:space="preserve">Ayuntamiento de Ixtapaluca </w:t>
          </w:r>
        </w:p>
      </w:tc>
    </w:tr>
    <w:tr w:rsidR="00E0579D" w14:paraId="3BDEE175" w14:textId="77777777" w:rsidTr="00FC7577">
      <w:trPr>
        <w:trHeight w:val="342"/>
      </w:trPr>
      <w:tc>
        <w:tcPr>
          <w:tcW w:w="2976" w:type="dxa"/>
          <w:vAlign w:val="center"/>
          <w:hideMark/>
        </w:tcPr>
        <w:p w14:paraId="7B61B6B5" w14:textId="77777777" w:rsidR="00E0579D" w:rsidRPr="00674A46" w:rsidRDefault="00E0579D" w:rsidP="00FC7577">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543" w:type="dxa"/>
          <w:vAlign w:val="center"/>
          <w:hideMark/>
        </w:tcPr>
        <w:p w14:paraId="6EAB4765" w14:textId="77777777" w:rsidR="00E0579D" w:rsidRPr="004D38F7" w:rsidRDefault="00E0579D" w:rsidP="00FC7577">
          <w:pPr>
            <w:pStyle w:val="Encabezado"/>
            <w:rPr>
              <w:rFonts w:ascii="Palatino Linotype" w:hAnsi="Palatino Linotype"/>
              <w:sz w:val="22"/>
              <w:szCs w:val="22"/>
            </w:rPr>
          </w:pPr>
          <w:r w:rsidRPr="004D38F7">
            <w:rPr>
              <w:rFonts w:ascii="Palatino Linotype" w:hAnsi="Palatino Linotype"/>
              <w:sz w:val="22"/>
              <w:szCs w:val="22"/>
            </w:rPr>
            <w:t>María del Rosario Mejía Ayala</w:t>
          </w:r>
        </w:p>
      </w:tc>
    </w:tr>
  </w:tbl>
  <w:p w14:paraId="707C1167" w14:textId="77777777" w:rsidR="00E0579D" w:rsidRPr="00AE046A" w:rsidRDefault="00795DA9" w:rsidP="00FC7577">
    <w:pPr>
      <w:pStyle w:val="Encabezado"/>
      <w:tabs>
        <w:tab w:val="clear" w:pos="4419"/>
        <w:tab w:val="clear" w:pos="8838"/>
        <w:tab w:val="left" w:pos="6005"/>
      </w:tabs>
      <w:rPr>
        <w:sz w:val="14"/>
      </w:rPr>
    </w:pPr>
    <w:r>
      <w:rPr>
        <w:noProof/>
        <w:sz w:val="14"/>
        <w:lang w:eastAsia="es-MX"/>
      </w:rPr>
      <w:pict w14:anchorId="75B61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1026" type="#_x0000_t75" style="position:absolute;margin-left:-82.3pt;margin-top:-124.4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E0579D" w14:paraId="1C6743EE" w14:textId="77777777" w:rsidTr="00FC7577">
      <w:trPr>
        <w:trHeight w:val="227"/>
      </w:trPr>
      <w:tc>
        <w:tcPr>
          <w:tcW w:w="2977" w:type="dxa"/>
          <w:vAlign w:val="center"/>
          <w:hideMark/>
        </w:tcPr>
        <w:p w14:paraId="32CCFCE0" w14:textId="77777777" w:rsidR="00E0579D" w:rsidRPr="00674A46" w:rsidRDefault="00E0579D" w:rsidP="00FC7577">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D0DFB1B" w14:textId="77777777" w:rsidR="00E0579D" w:rsidRPr="004D38F7" w:rsidRDefault="00E0579D" w:rsidP="004D38F7">
          <w:pPr>
            <w:pStyle w:val="Encabezado"/>
            <w:ind w:left="71"/>
            <w:rPr>
              <w:rFonts w:ascii="Palatino Linotype" w:hAnsi="Palatino Linotype"/>
              <w:sz w:val="22"/>
              <w:szCs w:val="22"/>
              <w:highlight w:val="green"/>
            </w:rPr>
          </w:pPr>
          <w:r w:rsidRPr="004D38F7">
            <w:rPr>
              <w:rFonts w:ascii="Palatino Linotype" w:hAnsi="Palatino Linotype" w:cs="Arial"/>
              <w:bCs/>
              <w:sz w:val="22"/>
              <w:szCs w:val="22"/>
              <w:lang w:eastAsia="es-MX"/>
            </w:rPr>
            <w:t>06918/INFOEM/IP/RR/2023</w:t>
          </w:r>
        </w:p>
      </w:tc>
    </w:tr>
    <w:tr w:rsidR="00E0579D" w14:paraId="36CAD692" w14:textId="77777777" w:rsidTr="00FC7577">
      <w:trPr>
        <w:trHeight w:val="242"/>
      </w:trPr>
      <w:tc>
        <w:tcPr>
          <w:tcW w:w="2977" w:type="dxa"/>
          <w:vAlign w:val="center"/>
          <w:hideMark/>
        </w:tcPr>
        <w:p w14:paraId="40A5C486" w14:textId="77777777" w:rsidR="00E0579D" w:rsidRPr="00674A46" w:rsidRDefault="00E0579D" w:rsidP="00FC7577">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14:paraId="327111F6" w14:textId="500E986E" w:rsidR="00E0579D" w:rsidRPr="004D38F7" w:rsidRDefault="00981D4A" w:rsidP="004D38F7">
          <w:pPr>
            <w:pStyle w:val="Encabezado"/>
            <w:tabs>
              <w:tab w:val="left" w:pos="521"/>
            </w:tabs>
            <w:ind w:left="71"/>
            <w:rPr>
              <w:rFonts w:ascii="Palatino Linotype" w:hAnsi="Palatino Linotype"/>
              <w:sz w:val="22"/>
              <w:szCs w:val="22"/>
              <w:highlight w:val="green"/>
            </w:rPr>
          </w:pPr>
          <w:r>
            <w:rPr>
              <w:rFonts w:ascii="Palatino Linotype" w:hAnsi="Palatino Linotype"/>
              <w:bCs/>
              <w:color w:val="000000" w:themeColor="text1"/>
              <w:sz w:val="22"/>
              <w:szCs w:val="22"/>
            </w:rPr>
            <w:t xml:space="preserve">XXX </w:t>
          </w:r>
          <w:proofErr w:type="spellStart"/>
          <w:r>
            <w:rPr>
              <w:rFonts w:ascii="Palatino Linotype" w:hAnsi="Palatino Linotype"/>
              <w:bCs/>
              <w:color w:val="000000" w:themeColor="text1"/>
              <w:sz w:val="22"/>
              <w:szCs w:val="22"/>
            </w:rPr>
            <w:t>XXX</w:t>
          </w:r>
          <w:proofErr w:type="spellEnd"/>
        </w:p>
      </w:tc>
    </w:tr>
    <w:tr w:rsidR="00E0579D" w14:paraId="25DB13BC" w14:textId="77777777" w:rsidTr="00FC7577">
      <w:trPr>
        <w:trHeight w:val="342"/>
      </w:trPr>
      <w:tc>
        <w:tcPr>
          <w:tcW w:w="2977" w:type="dxa"/>
          <w:vAlign w:val="center"/>
        </w:tcPr>
        <w:p w14:paraId="1E966E77" w14:textId="77777777" w:rsidR="00E0579D" w:rsidRPr="00674A46" w:rsidRDefault="00E0579D" w:rsidP="00FC7577">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C189364" w14:textId="77777777" w:rsidR="00E0579D" w:rsidRPr="004D38F7" w:rsidRDefault="00E0579D" w:rsidP="004D38F7">
          <w:pPr>
            <w:pStyle w:val="Encabezado"/>
            <w:ind w:left="71"/>
            <w:jc w:val="both"/>
            <w:rPr>
              <w:rFonts w:ascii="Palatino Linotype" w:hAnsi="Palatino Linotype"/>
              <w:sz w:val="22"/>
              <w:szCs w:val="22"/>
              <w:highlight w:val="green"/>
            </w:rPr>
          </w:pPr>
          <w:r w:rsidRPr="004D38F7">
            <w:rPr>
              <w:rFonts w:ascii="Palatino Linotype" w:hAnsi="Palatino Linotype"/>
              <w:bCs/>
              <w:color w:val="000000"/>
              <w:sz w:val="22"/>
              <w:szCs w:val="22"/>
            </w:rPr>
            <w:t>Ayuntamiento de Ixtapaluca</w:t>
          </w:r>
        </w:p>
      </w:tc>
    </w:tr>
    <w:tr w:rsidR="00E0579D" w14:paraId="29D6C550" w14:textId="77777777" w:rsidTr="00FC7577">
      <w:trPr>
        <w:trHeight w:val="342"/>
      </w:trPr>
      <w:tc>
        <w:tcPr>
          <w:tcW w:w="2977" w:type="dxa"/>
          <w:vAlign w:val="center"/>
        </w:tcPr>
        <w:p w14:paraId="6090D3CF" w14:textId="77777777" w:rsidR="00E0579D" w:rsidRPr="00674A46" w:rsidRDefault="00E0579D" w:rsidP="00FC7577">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2F1A951A" w14:textId="77777777" w:rsidR="00E0579D" w:rsidRPr="004D38F7" w:rsidRDefault="00E0579D" w:rsidP="004D38F7">
          <w:pPr>
            <w:pStyle w:val="Encabezado"/>
            <w:ind w:left="71"/>
            <w:rPr>
              <w:rFonts w:ascii="Palatino Linotype" w:hAnsi="Palatino Linotype"/>
              <w:sz w:val="22"/>
              <w:szCs w:val="22"/>
            </w:rPr>
          </w:pPr>
          <w:r w:rsidRPr="004D38F7">
            <w:rPr>
              <w:rFonts w:ascii="Palatino Linotype" w:hAnsi="Palatino Linotype"/>
              <w:sz w:val="22"/>
              <w:szCs w:val="21"/>
            </w:rPr>
            <w:t>María del Rosario Mejía Ayala</w:t>
          </w:r>
        </w:p>
      </w:tc>
    </w:tr>
  </w:tbl>
  <w:p w14:paraId="2F5C50C0" w14:textId="77777777" w:rsidR="00E0579D" w:rsidRPr="00C222C0" w:rsidRDefault="00795DA9">
    <w:pPr>
      <w:pStyle w:val="Encabezado"/>
      <w:rPr>
        <w:sz w:val="16"/>
      </w:rPr>
    </w:pPr>
    <w:r>
      <w:rPr>
        <w:noProof/>
        <w:sz w:val="16"/>
        <w:lang w:eastAsia="es-MX"/>
      </w:rPr>
      <w:pict w14:anchorId="659F0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1027" type="#_x0000_t75" style="position:absolute;margin-left:-84.55pt;margin-top:-132.2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9D2"/>
    <w:multiLevelType w:val="hybridMultilevel"/>
    <w:tmpl w:val="0602D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1142C"/>
    <w:multiLevelType w:val="hybridMultilevel"/>
    <w:tmpl w:val="160C1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3D7217"/>
    <w:multiLevelType w:val="hybridMultilevel"/>
    <w:tmpl w:val="596E32E4"/>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B081E"/>
    <w:multiLevelType w:val="hybridMultilevel"/>
    <w:tmpl w:val="CE2ADB22"/>
    <w:lvl w:ilvl="0" w:tplc="4B7A0274">
      <w:start w:val="1"/>
      <w:numFmt w:val="lowerLetter"/>
      <w:lvlText w:val="%1)"/>
      <w:lvlJc w:val="left"/>
      <w:pPr>
        <w:ind w:left="1429" w:hanging="360"/>
      </w:pPr>
      <w:rPr>
        <w:b/>
        <w:bCs w:val="0"/>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FCD6348"/>
    <w:multiLevelType w:val="hybridMultilevel"/>
    <w:tmpl w:val="BC1C2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7A7B83"/>
    <w:multiLevelType w:val="hybridMultilevel"/>
    <w:tmpl w:val="4A30A3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15:restartNumberingAfterBreak="0">
    <w:nsid w:val="1DE220C8"/>
    <w:multiLevelType w:val="hybridMultilevel"/>
    <w:tmpl w:val="C360BD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1312A"/>
    <w:multiLevelType w:val="hybridMultilevel"/>
    <w:tmpl w:val="7A5A572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2943129"/>
    <w:multiLevelType w:val="hybridMultilevel"/>
    <w:tmpl w:val="71A672B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D7D4596"/>
    <w:multiLevelType w:val="hybridMultilevel"/>
    <w:tmpl w:val="699E3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45D34"/>
    <w:multiLevelType w:val="hybridMultilevel"/>
    <w:tmpl w:val="B5B68B6C"/>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317490"/>
    <w:multiLevelType w:val="hybridMultilevel"/>
    <w:tmpl w:val="02EC67D8"/>
    <w:lvl w:ilvl="0" w:tplc="F5C4018E">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4ED313E"/>
    <w:multiLevelType w:val="hybridMultilevel"/>
    <w:tmpl w:val="5ECAD50C"/>
    <w:lvl w:ilvl="0" w:tplc="080A0001">
      <w:start w:val="1"/>
      <w:numFmt w:val="bullet"/>
      <w:lvlText w:val=""/>
      <w:lvlJc w:val="left"/>
      <w:pPr>
        <w:ind w:left="709" w:hanging="360"/>
      </w:pPr>
      <w:rPr>
        <w:rFonts w:ascii="Symbol" w:hAnsi="Symbol" w:hint="default"/>
      </w:rPr>
    </w:lvl>
    <w:lvl w:ilvl="1" w:tplc="080A0003" w:tentative="1">
      <w:start w:val="1"/>
      <w:numFmt w:val="bullet"/>
      <w:lvlText w:val="o"/>
      <w:lvlJc w:val="left"/>
      <w:pPr>
        <w:ind w:left="1429" w:hanging="360"/>
      </w:pPr>
      <w:rPr>
        <w:rFonts w:ascii="Courier New" w:hAnsi="Courier New" w:cs="Courier New" w:hint="default"/>
      </w:rPr>
    </w:lvl>
    <w:lvl w:ilvl="2" w:tplc="080A0005" w:tentative="1">
      <w:start w:val="1"/>
      <w:numFmt w:val="bullet"/>
      <w:lvlText w:val=""/>
      <w:lvlJc w:val="left"/>
      <w:pPr>
        <w:ind w:left="2149" w:hanging="360"/>
      </w:pPr>
      <w:rPr>
        <w:rFonts w:ascii="Wingdings" w:hAnsi="Wingdings" w:hint="default"/>
      </w:rPr>
    </w:lvl>
    <w:lvl w:ilvl="3" w:tplc="080A0001" w:tentative="1">
      <w:start w:val="1"/>
      <w:numFmt w:val="bullet"/>
      <w:lvlText w:val=""/>
      <w:lvlJc w:val="left"/>
      <w:pPr>
        <w:ind w:left="2869" w:hanging="360"/>
      </w:pPr>
      <w:rPr>
        <w:rFonts w:ascii="Symbol" w:hAnsi="Symbol" w:hint="default"/>
      </w:rPr>
    </w:lvl>
    <w:lvl w:ilvl="4" w:tplc="080A0003" w:tentative="1">
      <w:start w:val="1"/>
      <w:numFmt w:val="bullet"/>
      <w:lvlText w:val="o"/>
      <w:lvlJc w:val="left"/>
      <w:pPr>
        <w:ind w:left="3589" w:hanging="360"/>
      </w:pPr>
      <w:rPr>
        <w:rFonts w:ascii="Courier New" w:hAnsi="Courier New" w:cs="Courier New" w:hint="default"/>
      </w:rPr>
    </w:lvl>
    <w:lvl w:ilvl="5" w:tplc="080A0005" w:tentative="1">
      <w:start w:val="1"/>
      <w:numFmt w:val="bullet"/>
      <w:lvlText w:val=""/>
      <w:lvlJc w:val="left"/>
      <w:pPr>
        <w:ind w:left="4309" w:hanging="360"/>
      </w:pPr>
      <w:rPr>
        <w:rFonts w:ascii="Wingdings" w:hAnsi="Wingdings" w:hint="default"/>
      </w:rPr>
    </w:lvl>
    <w:lvl w:ilvl="6" w:tplc="080A0001" w:tentative="1">
      <w:start w:val="1"/>
      <w:numFmt w:val="bullet"/>
      <w:lvlText w:val=""/>
      <w:lvlJc w:val="left"/>
      <w:pPr>
        <w:ind w:left="5029" w:hanging="360"/>
      </w:pPr>
      <w:rPr>
        <w:rFonts w:ascii="Symbol" w:hAnsi="Symbol" w:hint="default"/>
      </w:rPr>
    </w:lvl>
    <w:lvl w:ilvl="7" w:tplc="080A0003" w:tentative="1">
      <w:start w:val="1"/>
      <w:numFmt w:val="bullet"/>
      <w:lvlText w:val="o"/>
      <w:lvlJc w:val="left"/>
      <w:pPr>
        <w:ind w:left="5749" w:hanging="360"/>
      </w:pPr>
      <w:rPr>
        <w:rFonts w:ascii="Courier New" w:hAnsi="Courier New" w:cs="Courier New" w:hint="default"/>
      </w:rPr>
    </w:lvl>
    <w:lvl w:ilvl="8" w:tplc="080A0005" w:tentative="1">
      <w:start w:val="1"/>
      <w:numFmt w:val="bullet"/>
      <w:lvlText w:val=""/>
      <w:lvlJc w:val="left"/>
      <w:pPr>
        <w:ind w:left="6469" w:hanging="360"/>
      </w:pPr>
      <w:rPr>
        <w:rFonts w:ascii="Wingdings" w:hAnsi="Wingdings" w:hint="default"/>
      </w:rPr>
    </w:lvl>
  </w:abstractNum>
  <w:abstractNum w:abstractNumId="17" w15:restartNumberingAfterBreak="0">
    <w:nsid w:val="364243FA"/>
    <w:multiLevelType w:val="hybridMultilevel"/>
    <w:tmpl w:val="1D50F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A74C91"/>
    <w:multiLevelType w:val="hybridMultilevel"/>
    <w:tmpl w:val="6F98BCAE"/>
    <w:lvl w:ilvl="0" w:tplc="3EA014CA">
      <w:start w:val="1"/>
      <w:numFmt w:val="decimal"/>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49E46B70"/>
    <w:multiLevelType w:val="hybridMultilevel"/>
    <w:tmpl w:val="FA5EB2D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2" w15:restartNumberingAfterBreak="0">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EE42C8"/>
    <w:multiLevelType w:val="hybridMultilevel"/>
    <w:tmpl w:val="0B9CC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7455DD"/>
    <w:multiLevelType w:val="hybridMultilevel"/>
    <w:tmpl w:val="ADECEC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823442"/>
    <w:multiLevelType w:val="multilevel"/>
    <w:tmpl w:val="128848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0839D1"/>
    <w:multiLevelType w:val="hybridMultilevel"/>
    <w:tmpl w:val="35A0C9C8"/>
    <w:lvl w:ilvl="0" w:tplc="9056A2C0">
      <w:start w:val="1"/>
      <w:numFmt w:val="decimal"/>
      <w:lvlText w:val="%1."/>
      <w:lvlJc w:val="left"/>
      <w:pPr>
        <w:ind w:left="644"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2F1B34"/>
    <w:multiLevelType w:val="hybridMultilevel"/>
    <w:tmpl w:val="923C749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8" w15:restartNumberingAfterBreak="0">
    <w:nsid w:val="5CBA055C"/>
    <w:multiLevelType w:val="hybridMultilevel"/>
    <w:tmpl w:val="EA92978C"/>
    <w:lvl w:ilvl="0" w:tplc="7F7ACA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11067A"/>
    <w:multiLevelType w:val="hybridMultilevel"/>
    <w:tmpl w:val="2984318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2B6DC7"/>
    <w:multiLevelType w:val="hybridMultilevel"/>
    <w:tmpl w:val="043253E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BB4BAF"/>
    <w:multiLevelType w:val="hybridMultilevel"/>
    <w:tmpl w:val="984A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A226141"/>
    <w:multiLevelType w:val="hybridMultilevel"/>
    <w:tmpl w:val="83444976"/>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EC40A3"/>
    <w:multiLevelType w:val="hybridMultilevel"/>
    <w:tmpl w:val="69EA8CAE"/>
    <w:lvl w:ilvl="0" w:tplc="8B0250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EF03215"/>
    <w:multiLevelType w:val="hybridMultilevel"/>
    <w:tmpl w:val="F9E6B6A8"/>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71B3368F"/>
    <w:multiLevelType w:val="hybridMultilevel"/>
    <w:tmpl w:val="6EECB1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1EB0D53"/>
    <w:multiLevelType w:val="hybridMultilevel"/>
    <w:tmpl w:val="1078459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72707096"/>
    <w:multiLevelType w:val="hybridMultilevel"/>
    <w:tmpl w:val="E726379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9" w15:restartNumberingAfterBreak="0">
    <w:nsid w:val="74F93886"/>
    <w:multiLevelType w:val="hybridMultilevel"/>
    <w:tmpl w:val="6F6AA56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A914D4F"/>
    <w:multiLevelType w:val="hybridMultilevel"/>
    <w:tmpl w:val="7072356C"/>
    <w:lvl w:ilvl="0" w:tplc="D53629EC">
      <w:start w:val="1"/>
      <w:numFmt w:val="lowerLetter"/>
      <w:lvlText w:val="%1)"/>
      <w:lvlJc w:val="left"/>
      <w:pPr>
        <w:ind w:left="1713" w:hanging="360"/>
      </w:pPr>
      <w:rPr>
        <w:b/>
        <w:i w:val="0"/>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2" w15:restartNumberingAfterBreak="0">
    <w:nsid w:val="7BEA0C73"/>
    <w:multiLevelType w:val="hybridMultilevel"/>
    <w:tmpl w:val="6A18A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234AB0"/>
    <w:multiLevelType w:val="hybridMultilevel"/>
    <w:tmpl w:val="2AEE62A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83432418">
    <w:abstractNumId w:val="14"/>
  </w:num>
  <w:num w:numId="2" w16cid:durableId="947347333">
    <w:abstractNumId w:val="27"/>
  </w:num>
  <w:num w:numId="3" w16cid:durableId="1696997530">
    <w:abstractNumId w:val="24"/>
  </w:num>
  <w:num w:numId="4" w16cid:durableId="919094581">
    <w:abstractNumId w:val="16"/>
  </w:num>
  <w:num w:numId="5" w16cid:durableId="1684938468">
    <w:abstractNumId w:val="37"/>
  </w:num>
  <w:num w:numId="6" w16cid:durableId="686759625">
    <w:abstractNumId w:val="7"/>
  </w:num>
  <w:num w:numId="7" w16cid:durableId="1538201898">
    <w:abstractNumId w:val="40"/>
  </w:num>
  <w:num w:numId="8" w16cid:durableId="1237520119">
    <w:abstractNumId w:val="12"/>
  </w:num>
  <w:num w:numId="9" w16cid:durableId="1674918095">
    <w:abstractNumId w:val="25"/>
  </w:num>
  <w:num w:numId="10" w16cid:durableId="185826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81113927">
    <w:abstractNumId w:val="10"/>
  </w:num>
  <w:num w:numId="12" w16cid:durableId="200019231">
    <w:abstractNumId w:val="5"/>
  </w:num>
  <w:num w:numId="13" w16cid:durableId="695082013">
    <w:abstractNumId w:val="33"/>
  </w:num>
  <w:num w:numId="14" w16cid:durableId="2022705521">
    <w:abstractNumId w:val="26"/>
  </w:num>
  <w:num w:numId="15" w16cid:durableId="1440834857">
    <w:abstractNumId w:val="2"/>
  </w:num>
  <w:num w:numId="16" w16cid:durableId="1803501676">
    <w:abstractNumId w:val="8"/>
  </w:num>
  <w:num w:numId="17" w16cid:durableId="1957443901">
    <w:abstractNumId w:val="34"/>
  </w:num>
  <w:num w:numId="18" w16cid:durableId="107164583">
    <w:abstractNumId w:val="30"/>
  </w:num>
  <w:num w:numId="19" w16cid:durableId="2082213136">
    <w:abstractNumId w:val="41"/>
  </w:num>
  <w:num w:numId="20" w16cid:durableId="617562690">
    <w:abstractNumId w:val="4"/>
  </w:num>
  <w:num w:numId="21" w16cid:durableId="904028269">
    <w:abstractNumId w:val="15"/>
  </w:num>
  <w:num w:numId="22" w16cid:durableId="11760804">
    <w:abstractNumId w:val="1"/>
  </w:num>
  <w:num w:numId="23" w16cid:durableId="125201860">
    <w:abstractNumId w:val="11"/>
  </w:num>
  <w:num w:numId="24" w16cid:durableId="790827451">
    <w:abstractNumId w:val="22"/>
  </w:num>
  <w:num w:numId="25" w16cid:durableId="1970013833">
    <w:abstractNumId w:val="20"/>
  </w:num>
  <w:num w:numId="26" w16cid:durableId="243339862">
    <w:abstractNumId w:val="6"/>
  </w:num>
  <w:num w:numId="27" w16cid:durableId="1516647432">
    <w:abstractNumId w:val="19"/>
  </w:num>
  <w:num w:numId="28" w16cid:durableId="1872646231">
    <w:abstractNumId w:val="42"/>
  </w:num>
  <w:num w:numId="29" w16cid:durableId="18971459">
    <w:abstractNumId w:val="17"/>
  </w:num>
  <w:num w:numId="30" w16cid:durableId="910581156">
    <w:abstractNumId w:val="0"/>
  </w:num>
  <w:num w:numId="31" w16cid:durableId="7169310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7389052">
    <w:abstractNumId w:val="38"/>
  </w:num>
  <w:num w:numId="33" w16cid:durableId="277831290">
    <w:abstractNumId w:val="3"/>
  </w:num>
  <w:num w:numId="34" w16cid:durableId="559023385">
    <w:abstractNumId w:val="28"/>
  </w:num>
  <w:num w:numId="35" w16cid:durableId="56323748">
    <w:abstractNumId w:val="31"/>
  </w:num>
  <w:num w:numId="36" w16cid:durableId="480007600">
    <w:abstractNumId w:val="18"/>
  </w:num>
  <w:num w:numId="37" w16cid:durableId="1649894533">
    <w:abstractNumId w:val="21"/>
  </w:num>
  <w:num w:numId="38" w16cid:durableId="621108617">
    <w:abstractNumId w:val="32"/>
  </w:num>
  <w:num w:numId="39" w16cid:durableId="8067785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4008512">
    <w:abstractNumId w:val="29"/>
  </w:num>
  <w:num w:numId="41" w16cid:durableId="903881561">
    <w:abstractNumId w:val="43"/>
  </w:num>
  <w:num w:numId="42" w16cid:durableId="780144573">
    <w:abstractNumId w:val="13"/>
  </w:num>
  <w:num w:numId="43" w16cid:durableId="644627927">
    <w:abstractNumId w:val="9"/>
  </w:num>
  <w:num w:numId="44" w16cid:durableId="1975913504">
    <w:abstractNumId w:val="39"/>
  </w:num>
  <w:num w:numId="45" w16cid:durableId="3215889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77"/>
    <w:rsid w:val="000430BC"/>
    <w:rsid w:val="00084E8E"/>
    <w:rsid w:val="00121999"/>
    <w:rsid w:val="00136212"/>
    <w:rsid w:val="001730D5"/>
    <w:rsid w:val="001802E3"/>
    <w:rsid w:val="002A78B7"/>
    <w:rsid w:val="00356FE1"/>
    <w:rsid w:val="004137F6"/>
    <w:rsid w:val="004849B9"/>
    <w:rsid w:val="00496B6D"/>
    <w:rsid w:val="004D38F7"/>
    <w:rsid w:val="004E76B4"/>
    <w:rsid w:val="00547F98"/>
    <w:rsid w:val="005709A8"/>
    <w:rsid w:val="00576AAA"/>
    <w:rsid w:val="00592E9E"/>
    <w:rsid w:val="005E7C1E"/>
    <w:rsid w:val="00634104"/>
    <w:rsid w:val="00645B6E"/>
    <w:rsid w:val="0066386B"/>
    <w:rsid w:val="006652D4"/>
    <w:rsid w:val="00724496"/>
    <w:rsid w:val="00770F0A"/>
    <w:rsid w:val="00795DA9"/>
    <w:rsid w:val="007B62F1"/>
    <w:rsid w:val="00825E8A"/>
    <w:rsid w:val="00852FFB"/>
    <w:rsid w:val="008657D1"/>
    <w:rsid w:val="008D6CC0"/>
    <w:rsid w:val="0093779A"/>
    <w:rsid w:val="00981D4A"/>
    <w:rsid w:val="00A20F8F"/>
    <w:rsid w:val="00B17841"/>
    <w:rsid w:val="00B5455E"/>
    <w:rsid w:val="00C54D34"/>
    <w:rsid w:val="00C8453F"/>
    <w:rsid w:val="00C86C26"/>
    <w:rsid w:val="00D07563"/>
    <w:rsid w:val="00D34267"/>
    <w:rsid w:val="00D6672C"/>
    <w:rsid w:val="00D87B72"/>
    <w:rsid w:val="00E0579D"/>
    <w:rsid w:val="00E63FD9"/>
    <w:rsid w:val="00EE1E2A"/>
    <w:rsid w:val="00F53703"/>
    <w:rsid w:val="00FC7577"/>
    <w:rsid w:val="00FF7B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2A4A6"/>
  <w15:chartTrackingRefBased/>
  <w15:docId w15:val="{A4C516EF-D5BB-475D-A59E-3F86E50C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57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C757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C757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577"/>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FC7577"/>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FC7577"/>
    <w:pPr>
      <w:tabs>
        <w:tab w:val="center" w:pos="4419"/>
        <w:tab w:val="right" w:pos="8838"/>
      </w:tabs>
    </w:pPr>
  </w:style>
  <w:style w:type="character" w:customStyle="1" w:styleId="EncabezadoCar">
    <w:name w:val="Encabezado Car"/>
    <w:basedOn w:val="Fuentedeprrafopredeter"/>
    <w:link w:val="Encabezado"/>
    <w:uiPriority w:val="99"/>
    <w:rsid w:val="00FC7577"/>
    <w:rPr>
      <w:rFonts w:eastAsiaTheme="minorEastAsia"/>
      <w:sz w:val="24"/>
      <w:szCs w:val="24"/>
      <w:lang w:val="es-ES_tradnl" w:eastAsia="es-ES"/>
    </w:rPr>
  </w:style>
  <w:style w:type="paragraph" w:styleId="Piedepgina">
    <w:name w:val="footer"/>
    <w:basedOn w:val="Normal"/>
    <w:link w:val="PiedepginaCar"/>
    <w:uiPriority w:val="99"/>
    <w:unhideWhenUsed/>
    <w:rsid w:val="00FC7577"/>
    <w:pPr>
      <w:tabs>
        <w:tab w:val="center" w:pos="4419"/>
        <w:tab w:val="right" w:pos="8838"/>
      </w:tabs>
    </w:pPr>
  </w:style>
  <w:style w:type="character" w:customStyle="1" w:styleId="PiedepginaCar">
    <w:name w:val="Pie de página Car"/>
    <w:basedOn w:val="Fuentedeprrafopredeter"/>
    <w:link w:val="Piedepgina"/>
    <w:uiPriority w:val="99"/>
    <w:rsid w:val="00FC7577"/>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C757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C7577"/>
    <w:rPr>
      <w:rFonts w:eastAsiaTheme="minorEastAsia"/>
      <w:sz w:val="24"/>
      <w:szCs w:val="24"/>
      <w:lang w:val="es-ES_tradnl" w:eastAsia="es-ES"/>
    </w:rPr>
  </w:style>
  <w:style w:type="character" w:styleId="Referenciasutil">
    <w:name w:val="Subtle Reference"/>
    <w:basedOn w:val="Fuentedeprrafopredeter"/>
    <w:uiPriority w:val="31"/>
    <w:qFormat/>
    <w:rsid w:val="000430BC"/>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ipomex.org.mx/recursos/ipo/files_ipo3/2018/42897/7/5bea87b930238a4c96daab77b860058d.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dministracionyfinanzasplem.gob.mx/uinfosec/DirRaiz/Public/J0nAL3M1k_Manual_de_Procedimientos_de_la_Direcci%C3%B3n_de_Auditoria_Financiera.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b.mx/sesnsp/acciones-y-programas/incidencia-delictiva-del-fuero-comun-nueva-metodologia?state=published"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tmp"/><Relationship Id="rId19" Type="http://schemas.openxmlformats.org/officeDocument/2006/relationships/hyperlink" Target="https://www.gob.mx/segob/renapo/acciones-y-programas/clave-unica-de-registro-de-poblacion-curp-14222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103</Pages>
  <Words>23885</Words>
  <Characters>131370</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inf03m612@outlook.com</cp:lastModifiedBy>
  <cp:revision>8</cp:revision>
  <dcterms:created xsi:type="dcterms:W3CDTF">2024-09-18T23:16:00Z</dcterms:created>
  <dcterms:modified xsi:type="dcterms:W3CDTF">2024-10-08T20:05:00Z</dcterms:modified>
</cp:coreProperties>
</file>