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4967A1" w14:textId="30051D0A" w:rsidR="004E3E84" w:rsidRPr="005212F0" w:rsidRDefault="00842494">
      <w:pPr>
        <w:tabs>
          <w:tab w:val="left" w:pos="3465"/>
        </w:tabs>
        <w:spacing w:line="360" w:lineRule="auto"/>
        <w:jc w:val="both"/>
        <w:rPr>
          <w:rFonts w:ascii="Palatino Linotype" w:eastAsia="Palatino Linotype" w:hAnsi="Palatino Linotype" w:cs="Palatino Linotype"/>
        </w:rPr>
      </w:pPr>
      <w:r w:rsidRPr="005212F0">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trece</w:t>
      </w:r>
      <w:r w:rsidR="00DC049C" w:rsidRPr="005212F0">
        <w:rPr>
          <w:rFonts w:ascii="Palatino Linotype" w:eastAsia="Palatino Linotype" w:hAnsi="Palatino Linotype" w:cs="Palatino Linotype"/>
        </w:rPr>
        <w:t xml:space="preserve"> (13)</w:t>
      </w:r>
      <w:r w:rsidRPr="005212F0">
        <w:rPr>
          <w:rFonts w:ascii="Palatino Linotype" w:eastAsia="Palatino Linotype" w:hAnsi="Palatino Linotype" w:cs="Palatino Linotype"/>
        </w:rPr>
        <w:t xml:space="preserve"> de marzo de dos mil veinticuatro.</w:t>
      </w:r>
    </w:p>
    <w:p w14:paraId="05198F37" w14:textId="77777777" w:rsidR="004E3E84" w:rsidRPr="005212F0" w:rsidRDefault="004E3E84">
      <w:pPr>
        <w:tabs>
          <w:tab w:val="left" w:pos="3465"/>
        </w:tabs>
        <w:spacing w:line="360" w:lineRule="auto"/>
        <w:jc w:val="both"/>
        <w:rPr>
          <w:rFonts w:ascii="Palatino Linotype" w:eastAsia="Palatino Linotype" w:hAnsi="Palatino Linotype" w:cs="Palatino Linotype"/>
        </w:rPr>
      </w:pPr>
    </w:p>
    <w:p w14:paraId="4097F10B" w14:textId="57CCC238" w:rsidR="004E3E84" w:rsidRPr="005212F0" w:rsidRDefault="00842494">
      <w:pPr>
        <w:spacing w:line="360" w:lineRule="auto"/>
        <w:jc w:val="both"/>
        <w:rPr>
          <w:rFonts w:ascii="Palatino Linotype" w:eastAsia="Palatino Linotype" w:hAnsi="Palatino Linotype" w:cs="Palatino Linotype"/>
        </w:rPr>
      </w:pPr>
      <w:r w:rsidRPr="005212F0">
        <w:rPr>
          <w:rFonts w:ascii="Palatino Linotype" w:eastAsia="Palatino Linotype" w:hAnsi="Palatino Linotype" w:cs="Palatino Linotype"/>
          <w:b/>
        </w:rPr>
        <w:t>VISTO</w:t>
      </w:r>
      <w:r w:rsidRPr="005212F0">
        <w:rPr>
          <w:rFonts w:ascii="Palatino Linotype" w:eastAsia="Palatino Linotype" w:hAnsi="Palatino Linotype" w:cs="Palatino Linotype"/>
        </w:rPr>
        <w:t xml:space="preserve"> el expediente electrónico formado con motivo del recurso de revisión </w:t>
      </w:r>
      <w:r w:rsidRPr="005212F0">
        <w:rPr>
          <w:rFonts w:ascii="Palatino Linotype" w:eastAsia="Palatino Linotype" w:hAnsi="Palatino Linotype" w:cs="Palatino Linotype"/>
          <w:b/>
        </w:rPr>
        <w:t>03678/INFOEM/IP/RR/2023</w:t>
      </w:r>
      <w:r w:rsidRPr="005212F0">
        <w:rPr>
          <w:rFonts w:ascii="Palatino Linotype" w:eastAsia="Palatino Linotype" w:hAnsi="Palatino Linotype" w:cs="Palatino Linotype"/>
        </w:rPr>
        <w:t>,</w:t>
      </w:r>
      <w:r w:rsidRPr="005212F0">
        <w:rPr>
          <w:rFonts w:ascii="Palatino Linotype" w:eastAsia="Palatino Linotype" w:hAnsi="Palatino Linotype" w:cs="Palatino Linotype"/>
          <w:b/>
        </w:rPr>
        <w:t xml:space="preserve"> </w:t>
      </w:r>
      <w:r w:rsidRPr="005212F0">
        <w:rPr>
          <w:rFonts w:ascii="Palatino Linotype" w:eastAsia="Palatino Linotype" w:hAnsi="Palatino Linotype" w:cs="Palatino Linotype"/>
        </w:rPr>
        <w:t xml:space="preserve">promovido por </w:t>
      </w:r>
      <w:r w:rsidRPr="005212F0">
        <w:rPr>
          <w:rFonts w:ascii="Palatino Linotype" w:eastAsia="Palatino Linotype" w:hAnsi="Palatino Linotype" w:cs="Palatino Linotype"/>
          <w:b/>
        </w:rPr>
        <w:t>una persona que no proporciona datos de identificación,</w:t>
      </w:r>
      <w:r w:rsidRPr="005212F0">
        <w:rPr>
          <w:rFonts w:ascii="Palatino Linotype" w:eastAsia="Palatino Linotype" w:hAnsi="Palatino Linotype" w:cs="Palatino Linotype"/>
        </w:rPr>
        <w:t xml:space="preserve"> a quien en lo sucesivo se le </w:t>
      </w:r>
      <w:r w:rsidR="00DC049C" w:rsidRPr="005212F0">
        <w:rPr>
          <w:rFonts w:ascii="Palatino Linotype" w:eastAsia="Palatino Linotype" w:hAnsi="Palatino Linotype" w:cs="Palatino Linotype"/>
        </w:rPr>
        <w:t>denominará</w:t>
      </w:r>
      <w:r w:rsidRPr="005212F0">
        <w:rPr>
          <w:rFonts w:ascii="Palatino Linotype" w:eastAsia="Palatino Linotype" w:hAnsi="Palatino Linotype" w:cs="Palatino Linotype"/>
        </w:rPr>
        <w:t xml:space="preserve"> como </w:t>
      </w:r>
      <w:r w:rsidRPr="005212F0">
        <w:rPr>
          <w:rFonts w:ascii="Palatino Linotype" w:eastAsia="Palatino Linotype" w:hAnsi="Palatino Linotype" w:cs="Palatino Linotype"/>
          <w:b/>
        </w:rPr>
        <w:t>EL RECURRENTE</w:t>
      </w:r>
      <w:r w:rsidRPr="005212F0">
        <w:rPr>
          <w:rFonts w:ascii="Palatino Linotype" w:eastAsia="Palatino Linotype" w:hAnsi="Palatino Linotype" w:cs="Palatino Linotype"/>
        </w:rPr>
        <w:t xml:space="preserve">, en contra de la respuesta del </w:t>
      </w:r>
      <w:r w:rsidR="00DC049C" w:rsidRPr="005212F0">
        <w:rPr>
          <w:rFonts w:ascii="Palatino Linotype" w:eastAsia="Palatino Linotype" w:hAnsi="Palatino Linotype" w:cs="Palatino Linotype"/>
          <w:b/>
        </w:rPr>
        <w:t>Ayuntamiento de Zinacantepec</w:t>
      </w:r>
      <w:r w:rsidRPr="005212F0">
        <w:rPr>
          <w:rFonts w:ascii="Palatino Linotype" w:eastAsia="Palatino Linotype" w:hAnsi="Palatino Linotype" w:cs="Palatino Linotype"/>
          <w:b/>
        </w:rPr>
        <w:t xml:space="preserve">, </w:t>
      </w:r>
      <w:r w:rsidRPr="005212F0">
        <w:rPr>
          <w:rFonts w:ascii="Palatino Linotype" w:eastAsia="Palatino Linotype" w:hAnsi="Palatino Linotype" w:cs="Palatino Linotype"/>
        </w:rPr>
        <w:t xml:space="preserve">en </w:t>
      </w:r>
      <w:r w:rsidR="00DC049C" w:rsidRPr="005212F0">
        <w:rPr>
          <w:rFonts w:ascii="Palatino Linotype" w:eastAsia="Palatino Linotype" w:hAnsi="Palatino Linotype" w:cs="Palatino Linotype"/>
        </w:rPr>
        <w:t>adelante</w:t>
      </w:r>
      <w:r w:rsidRPr="005212F0">
        <w:rPr>
          <w:rFonts w:ascii="Palatino Linotype" w:eastAsia="Palatino Linotype" w:hAnsi="Palatino Linotype" w:cs="Palatino Linotype"/>
        </w:rPr>
        <w:t xml:space="preserve"> el</w:t>
      </w:r>
      <w:r w:rsidRPr="005212F0">
        <w:rPr>
          <w:rFonts w:ascii="Palatino Linotype" w:eastAsia="Palatino Linotype" w:hAnsi="Palatino Linotype" w:cs="Palatino Linotype"/>
          <w:b/>
        </w:rPr>
        <w:t xml:space="preserve"> SUJETO OBLIGADO</w:t>
      </w:r>
      <w:r w:rsidRPr="005212F0">
        <w:rPr>
          <w:rFonts w:ascii="Palatino Linotype" w:eastAsia="Palatino Linotype" w:hAnsi="Palatino Linotype" w:cs="Palatino Linotype"/>
        </w:rPr>
        <w:t>, se procede a dictar la presente resolución, con base en los siguientes:</w:t>
      </w:r>
    </w:p>
    <w:p w14:paraId="20071874" w14:textId="77777777" w:rsidR="004E3E84" w:rsidRPr="005212F0" w:rsidRDefault="004E3E84">
      <w:pPr>
        <w:spacing w:line="360" w:lineRule="auto"/>
        <w:jc w:val="both"/>
        <w:rPr>
          <w:rFonts w:ascii="Palatino Linotype" w:eastAsia="Palatino Linotype" w:hAnsi="Palatino Linotype" w:cs="Palatino Linotype"/>
        </w:rPr>
      </w:pPr>
    </w:p>
    <w:p w14:paraId="4B41CB5E" w14:textId="77777777" w:rsidR="004E3E84" w:rsidRPr="005212F0" w:rsidRDefault="00842494">
      <w:pPr>
        <w:pStyle w:val="Ttulo1"/>
        <w:spacing w:before="0" w:line="360" w:lineRule="auto"/>
        <w:jc w:val="center"/>
        <w:rPr>
          <w:rFonts w:ascii="Palatino Linotype" w:eastAsia="Palatino Linotype" w:hAnsi="Palatino Linotype" w:cs="Palatino Linotype"/>
          <w:b/>
          <w:color w:val="000000"/>
          <w:sz w:val="24"/>
          <w:szCs w:val="24"/>
        </w:rPr>
      </w:pPr>
      <w:bookmarkStart w:id="0" w:name="_heading=h.gjdgxs" w:colFirst="0" w:colLast="0"/>
      <w:bookmarkEnd w:id="0"/>
      <w:r w:rsidRPr="005212F0">
        <w:rPr>
          <w:rFonts w:ascii="Palatino Linotype" w:eastAsia="Palatino Linotype" w:hAnsi="Palatino Linotype" w:cs="Palatino Linotype"/>
          <w:b/>
          <w:color w:val="000000"/>
          <w:sz w:val="24"/>
          <w:szCs w:val="24"/>
        </w:rPr>
        <w:t>ANTECEDENTES</w:t>
      </w:r>
    </w:p>
    <w:p w14:paraId="3623BBF3" w14:textId="77777777" w:rsidR="004E3E84" w:rsidRPr="005212F0" w:rsidRDefault="004E3E8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3EE3B36" w14:textId="75A9AA74" w:rsidR="004E3E84" w:rsidRPr="005212F0" w:rsidRDefault="00842494">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5212F0">
        <w:rPr>
          <w:rFonts w:ascii="Palatino Linotype" w:eastAsia="Palatino Linotype" w:hAnsi="Palatino Linotype" w:cs="Palatino Linotype"/>
          <w:color w:val="000000"/>
        </w:rPr>
        <w:t>El día uno de junio de dos mil veintitrés</w:t>
      </w:r>
      <w:r w:rsidRPr="005212F0">
        <w:rPr>
          <w:rFonts w:ascii="Palatino Linotype" w:eastAsia="Palatino Linotype" w:hAnsi="Palatino Linotype" w:cs="Palatino Linotype"/>
          <w:b/>
          <w:color w:val="000000"/>
        </w:rPr>
        <w:t xml:space="preserve">, </w:t>
      </w:r>
      <w:r w:rsidRPr="005212F0">
        <w:rPr>
          <w:rFonts w:ascii="Palatino Linotype" w:eastAsia="Palatino Linotype" w:hAnsi="Palatino Linotype" w:cs="Palatino Linotype"/>
          <w:color w:val="000000"/>
        </w:rPr>
        <w:t xml:space="preserve">se presentó ante el </w:t>
      </w:r>
      <w:r w:rsidRPr="005212F0">
        <w:rPr>
          <w:rFonts w:ascii="Palatino Linotype" w:eastAsia="Palatino Linotype" w:hAnsi="Palatino Linotype" w:cs="Palatino Linotype"/>
          <w:b/>
          <w:color w:val="000000"/>
        </w:rPr>
        <w:t>SUJETO OBLIGADO</w:t>
      </w:r>
      <w:r w:rsidRPr="005212F0">
        <w:rPr>
          <w:rFonts w:ascii="Palatino Linotype" w:eastAsia="Palatino Linotype" w:hAnsi="Palatino Linotype" w:cs="Palatino Linotype"/>
          <w:color w:val="000000"/>
        </w:rPr>
        <w:t xml:space="preserve"> vía SAIMEX, la solicitud de información pública registrada con el número</w:t>
      </w:r>
      <w:r w:rsidRPr="005212F0">
        <w:rPr>
          <w:rFonts w:ascii="Palatino Linotype" w:eastAsia="Palatino Linotype" w:hAnsi="Palatino Linotype" w:cs="Palatino Linotype"/>
          <w:b/>
          <w:color w:val="000000"/>
        </w:rPr>
        <w:t xml:space="preserve">   00437/ZINACANT/IP/2023; </w:t>
      </w:r>
      <w:r w:rsidR="00DC049C" w:rsidRPr="005212F0">
        <w:rPr>
          <w:rFonts w:ascii="Palatino Linotype" w:eastAsia="Palatino Linotype" w:hAnsi="Palatino Linotype" w:cs="Palatino Linotype"/>
          <w:color w:val="000000"/>
        </w:rPr>
        <w:t>en la que</w:t>
      </w:r>
      <w:r w:rsidRPr="005212F0">
        <w:rPr>
          <w:rFonts w:ascii="Palatino Linotype" w:eastAsia="Palatino Linotype" w:hAnsi="Palatino Linotype" w:cs="Palatino Linotype"/>
          <w:color w:val="000000"/>
        </w:rPr>
        <w:t xml:space="preserve"> se solicitó la siguiente información:</w:t>
      </w:r>
    </w:p>
    <w:p w14:paraId="3562499B" w14:textId="77777777" w:rsidR="004E3E84" w:rsidRPr="005212F0" w:rsidRDefault="004E3E84">
      <w:pPr>
        <w:pBdr>
          <w:top w:val="nil"/>
          <w:left w:val="nil"/>
          <w:bottom w:val="nil"/>
          <w:right w:val="nil"/>
          <w:between w:val="nil"/>
        </w:pBdr>
        <w:spacing w:line="360" w:lineRule="auto"/>
        <w:ind w:left="1134"/>
        <w:jc w:val="both"/>
        <w:rPr>
          <w:rFonts w:ascii="Palatino Linotype" w:eastAsia="Palatino Linotype" w:hAnsi="Palatino Linotype" w:cs="Palatino Linotype"/>
          <w:color w:val="000000"/>
        </w:rPr>
      </w:pPr>
    </w:p>
    <w:p w14:paraId="16AE819F" w14:textId="77777777" w:rsidR="004E3E84" w:rsidRPr="005212F0" w:rsidRDefault="00842494">
      <w:pPr>
        <w:pBdr>
          <w:top w:val="nil"/>
          <w:left w:val="nil"/>
          <w:bottom w:val="nil"/>
          <w:right w:val="nil"/>
          <w:between w:val="nil"/>
        </w:pBdr>
        <w:spacing w:line="360" w:lineRule="auto"/>
        <w:ind w:left="1134" w:right="474"/>
        <w:jc w:val="both"/>
        <w:rPr>
          <w:rFonts w:ascii="Palatino Linotype" w:eastAsia="Palatino Linotype" w:hAnsi="Palatino Linotype" w:cs="Palatino Linotype"/>
          <w:i/>
          <w:color w:val="000000"/>
        </w:rPr>
      </w:pPr>
      <w:r w:rsidRPr="005212F0">
        <w:rPr>
          <w:rFonts w:ascii="Palatino Linotype" w:eastAsia="Palatino Linotype" w:hAnsi="Palatino Linotype" w:cs="Palatino Linotype"/>
          <w:i/>
          <w:color w:val="000000"/>
        </w:rPr>
        <w:t>“SOLICITO EL NOMBRAMIENTO DE LOS ULTIMOS 3 PRESIDENTES MUNICIPALES.”</w:t>
      </w:r>
    </w:p>
    <w:p w14:paraId="3FAF8116" w14:textId="77777777" w:rsidR="004E3E84" w:rsidRPr="005212F0" w:rsidRDefault="00842494">
      <w:pPr>
        <w:pBdr>
          <w:top w:val="nil"/>
          <w:left w:val="nil"/>
          <w:bottom w:val="nil"/>
          <w:right w:val="nil"/>
          <w:between w:val="nil"/>
        </w:pBdr>
        <w:spacing w:line="360" w:lineRule="auto"/>
        <w:ind w:left="426" w:right="474"/>
        <w:jc w:val="both"/>
        <w:rPr>
          <w:rFonts w:ascii="Palatino Linotype" w:eastAsia="Palatino Linotype" w:hAnsi="Palatino Linotype" w:cs="Palatino Linotype"/>
          <w:i/>
          <w:color w:val="000000"/>
        </w:rPr>
      </w:pPr>
      <w:r w:rsidRPr="005212F0">
        <w:rPr>
          <w:rFonts w:ascii="Palatino Linotype" w:eastAsia="Palatino Linotype" w:hAnsi="Palatino Linotype" w:cs="Palatino Linotype"/>
          <w:i/>
          <w:color w:val="000000"/>
        </w:rPr>
        <w:t xml:space="preserve"> </w:t>
      </w:r>
    </w:p>
    <w:p w14:paraId="4AF7F80B" w14:textId="77777777" w:rsidR="004E3E84" w:rsidRPr="005212F0" w:rsidRDefault="00842494">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sidRPr="005212F0">
        <w:rPr>
          <w:rFonts w:ascii="Palatino Linotype" w:eastAsia="Palatino Linotype" w:hAnsi="Palatino Linotype" w:cs="Palatino Linotype"/>
          <w:color w:val="000000"/>
        </w:rPr>
        <w:t xml:space="preserve">De lo anterior, el veintidós de junio de dos mil veintitrés, el </w:t>
      </w:r>
      <w:r w:rsidRPr="005212F0">
        <w:rPr>
          <w:rFonts w:ascii="Palatino Linotype" w:eastAsia="Palatino Linotype" w:hAnsi="Palatino Linotype" w:cs="Palatino Linotype"/>
          <w:b/>
          <w:color w:val="000000"/>
        </w:rPr>
        <w:t xml:space="preserve">SUJETO OBLIGADO </w:t>
      </w:r>
      <w:r w:rsidRPr="005212F0">
        <w:rPr>
          <w:rFonts w:ascii="Palatino Linotype" w:eastAsia="Palatino Linotype" w:hAnsi="Palatino Linotype" w:cs="Palatino Linotype"/>
          <w:color w:val="000000"/>
        </w:rPr>
        <w:t xml:space="preserve">emitió el acuerdo de prórroga para atender la solicitud  </w:t>
      </w:r>
      <w:r w:rsidRPr="005212F0">
        <w:rPr>
          <w:rFonts w:ascii="Palatino Linotype" w:eastAsia="Palatino Linotype" w:hAnsi="Palatino Linotype" w:cs="Palatino Linotype"/>
          <w:b/>
          <w:color w:val="000000"/>
        </w:rPr>
        <w:t>00437/ZINACANT/IP/2023.</w:t>
      </w:r>
    </w:p>
    <w:p w14:paraId="0AF576DC" w14:textId="77777777" w:rsidR="004E3E84" w:rsidRPr="005212F0" w:rsidRDefault="00842494">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sidRPr="005212F0">
        <w:rPr>
          <w:rFonts w:ascii="Palatino Linotype" w:eastAsia="Palatino Linotype" w:hAnsi="Palatino Linotype" w:cs="Palatino Linotype"/>
          <w:color w:val="000000"/>
        </w:rPr>
        <w:lastRenderedPageBreak/>
        <w:t xml:space="preserve">Luego entonces, el veintiséis de junio de dos mil veintitrés, el </w:t>
      </w:r>
      <w:r w:rsidRPr="005212F0">
        <w:rPr>
          <w:rFonts w:ascii="Palatino Linotype" w:eastAsia="Palatino Linotype" w:hAnsi="Palatino Linotype" w:cs="Palatino Linotype"/>
          <w:b/>
          <w:color w:val="000000"/>
        </w:rPr>
        <w:t xml:space="preserve">SUJETO OBLIGADO </w:t>
      </w:r>
      <w:r w:rsidRPr="005212F0">
        <w:rPr>
          <w:rFonts w:ascii="Palatino Linotype" w:eastAsia="Palatino Linotype" w:hAnsi="Palatino Linotype" w:cs="Palatino Linotype"/>
          <w:color w:val="000000"/>
        </w:rPr>
        <w:t>dio respuesta a la solicitud, mediante un archivo en formato PDF, cuyo contenido grosso modo es el siguiente</w:t>
      </w:r>
    </w:p>
    <w:p w14:paraId="05DD9491" w14:textId="77777777" w:rsidR="004E3E84" w:rsidRPr="005212F0" w:rsidRDefault="00842494">
      <w:pPr>
        <w:pBdr>
          <w:top w:val="nil"/>
          <w:left w:val="nil"/>
          <w:bottom w:val="nil"/>
          <w:right w:val="nil"/>
          <w:between w:val="nil"/>
        </w:pBdr>
        <w:ind w:left="1134" w:right="758"/>
        <w:jc w:val="both"/>
        <w:rPr>
          <w:rFonts w:ascii="Palatino Linotype" w:eastAsia="Palatino Linotype" w:hAnsi="Palatino Linotype" w:cs="Palatino Linotype"/>
          <w:i/>
          <w:color w:val="000000"/>
          <w:sz w:val="22"/>
        </w:rPr>
      </w:pPr>
      <w:r w:rsidRPr="005212F0">
        <w:rPr>
          <w:rFonts w:ascii="Palatino Linotype" w:eastAsia="Palatino Linotype" w:hAnsi="Palatino Linotype" w:cs="Palatino Linotype"/>
          <w:i/>
          <w:color w:val="000000"/>
        </w:rPr>
        <w:t xml:space="preserve"> </w:t>
      </w:r>
      <w:r w:rsidRPr="005212F0">
        <w:rPr>
          <w:rFonts w:ascii="Palatino Linotype" w:eastAsia="Palatino Linotype" w:hAnsi="Palatino Linotype" w:cs="Palatino Linotype"/>
          <w:i/>
          <w:color w:val="000000"/>
          <w:sz w:val="22"/>
        </w:rPr>
        <w:t>“oficio del Secretario del Ayuntamiento, como servidor público habilitado, mediante el cual informa que en la administración no se generan nombramientos para el Presidente Municipal ni para los demás miembros del ayuntamiento.</w:t>
      </w:r>
    </w:p>
    <w:p w14:paraId="20992C76" w14:textId="77777777" w:rsidR="004E3E84" w:rsidRPr="005212F0" w:rsidRDefault="00842494">
      <w:pPr>
        <w:pBdr>
          <w:top w:val="nil"/>
          <w:left w:val="nil"/>
          <w:bottom w:val="nil"/>
          <w:right w:val="nil"/>
          <w:between w:val="nil"/>
        </w:pBdr>
        <w:ind w:left="1134" w:right="758"/>
        <w:jc w:val="both"/>
        <w:rPr>
          <w:rFonts w:ascii="Palatino Linotype" w:eastAsia="Palatino Linotype" w:hAnsi="Palatino Linotype" w:cs="Palatino Linotype"/>
          <w:i/>
          <w:color w:val="000000"/>
          <w:sz w:val="22"/>
        </w:rPr>
      </w:pPr>
      <w:r w:rsidRPr="005212F0">
        <w:rPr>
          <w:rFonts w:ascii="Palatino Linotype" w:eastAsia="Palatino Linotype" w:hAnsi="Palatino Linotype" w:cs="Palatino Linotype"/>
          <w:i/>
          <w:color w:val="000000"/>
          <w:sz w:val="22"/>
        </w:rPr>
        <w:t xml:space="preserve">Así mismo, el Titular de la  Unidad de Transparencia, informa que cada municipio será gobernado por un ayuntamiento de elección popular directa y que los presidentes municipales son electos de la misma manera, por lo que, </w:t>
      </w:r>
      <w:r w:rsidRPr="005212F0">
        <w:rPr>
          <w:rFonts w:ascii="Palatino Linotype" w:eastAsia="Palatino Linotype" w:hAnsi="Palatino Linotype" w:cs="Palatino Linotype"/>
          <w:b/>
          <w:i/>
          <w:color w:val="000000"/>
          <w:sz w:val="22"/>
        </w:rPr>
        <w:t>se le entrega una constancia de mayoría</w:t>
      </w:r>
      <w:r w:rsidRPr="005212F0">
        <w:rPr>
          <w:rFonts w:ascii="Palatino Linotype" w:eastAsia="Palatino Linotype" w:hAnsi="Palatino Linotype" w:cs="Palatino Linotype"/>
          <w:i/>
          <w:color w:val="000000"/>
          <w:sz w:val="22"/>
        </w:rPr>
        <w:t xml:space="preserve"> que entrega el Consejo Local o Distrital, por lo que en ese sentido no cuenta con la información solicitada…”</w:t>
      </w:r>
    </w:p>
    <w:p w14:paraId="2F4B5DAB" w14:textId="77777777" w:rsidR="004E3E84" w:rsidRPr="005212F0" w:rsidRDefault="004E3E84">
      <w:pPr>
        <w:pBdr>
          <w:top w:val="nil"/>
          <w:left w:val="nil"/>
          <w:bottom w:val="nil"/>
          <w:right w:val="nil"/>
          <w:between w:val="nil"/>
        </w:pBdr>
        <w:spacing w:line="360" w:lineRule="auto"/>
        <w:jc w:val="both"/>
        <w:rPr>
          <w:rFonts w:eastAsia="Calibri"/>
          <w:color w:val="000000"/>
        </w:rPr>
      </w:pPr>
    </w:p>
    <w:p w14:paraId="795548CD" w14:textId="77777777" w:rsidR="004E3E84" w:rsidRPr="005212F0" w:rsidRDefault="00842494">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5212F0">
        <w:rPr>
          <w:rFonts w:ascii="Palatino Linotype" w:eastAsia="Palatino Linotype" w:hAnsi="Palatino Linotype" w:cs="Palatino Linotype"/>
          <w:color w:val="000000"/>
        </w:rPr>
        <w:t>De lo anterior, inconforme con la respuesta, en fecha veintiséis de junio de dos mil veintitrés, el particular interpuso el recurso de revisión de mérito, manifestando las siguientes razones o motivos de inconformidad:</w:t>
      </w:r>
    </w:p>
    <w:p w14:paraId="6934017E" w14:textId="77777777" w:rsidR="004E3E84" w:rsidRPr="005212F0" w:rsidRDefault="00842494">
      <w:pPr>
        <w:numPr>
          <w:ilvl w:val="0"/>
          <w:numId w:val="10"/>
        </w:numPr>
        <w:pBdr>
          <w:top w:val="nil"/>
          <w:left w:val="nil"/>
          <w:bottom w:val="nil"/>
          <w:right w:val="nil"/>
          <w:between w:val="nil"/>
        </w:pBdr>
        <w:spacing w:line="360" w:lineRule="auto"/>
        <w:jc w:val="both"/>
        <w:rPr>
          <w:rFonts w:ascii="Palatino Linotype" w:eastAsia="Palatino Linotype" w:hAnsi="Palatino Linotype" w:cs="Palatino Linotype"/>
          <w:i/>
          <w:color w:val="000000"/>
        </w:rPr>
      </w:pPr>
      <w:bookmarkStart w:id="1" w:name="_heading=h.30j0zll" w:colFirst="0" w:colLast="0"/>
      <w:bookmarkEnd w:id="1"/>
      <w:r w:rsidRPr="005212F0">
        <w:rPr>
          <w:rFonts w:ascii="Palatino Linotype" w:eastAsia="Palatino Linotype" w:hAnsi="Palatino Linotype" w:cs="Palatino Linotype"/>
          <w:b/>
          <w:color w:val="000000"/>
        </w:rPr>
        <w:t xml:space="preserve">Acto impugnado: </w:t>
      </w:r>
      <w:r w:rsidRPr="005212F0">
        <w:rPr>
          <w:rFonts w:ascii="Palatino Linotype" w:eastAsia="Palatino Linotype" w:hAnsi="Palatino Linotype" w:cs="Palatino Linotype"/>
          <w:i/>
          <w:color w:val="000000"/>
        </w:rPr>
        <w:t>“No entrega lo que pedí.</w:t>
      </w:r>
      <w:r w:rsidRPr="005212F0">
        <w:rPr>
          <w:rFonts w:ascii="Palatino Linotype" w:eastAsia="Palatino Linotype" w:hAnsi="Palatino Linotype" w:cs="Palatino Linotype"/>
          <w:color w:val="000000"/>
        </w:rPr>
        <w:t xml:space="preserve">” </w:t>
      </w:r>
    </w:p>
    <w:p w14:paraId="6BA29250" w14:textId="77777777" w:rsidR="004E3E84" w:rsidRPr="005212F0" w:rsidRDefault="00842494">
      <w:pPr>
        <w:numPr>
          <w:ilvl w:val="0"/>
          <w:numId w:val="10"/>
        </w:numPr>
        <w:pBdr>
          <w:top w:val="nil"/>
          <w:left w:val="nil"/>
          <w:bottom w:val="nil"/>
          <w:right w:val="nil"/>
          <w:between w:val="nil"/>
        </w:pBdr>
        <w:spacing w:line="360" w:lineRule="auto"/>
        <w:jc w:val="both"/>
        <w:rPr>
          <w:rFonts w:ascii="Palatino Linotype" w:eastAsia="Palatino Linotype" w:hAnsi="Palatino Linotype" w:cs="Palatino Linotype"/>
          <w:i/>
          <w:color w:val="000000"/>
        </w:rPr>
      </w:pPr>
      <w:bookmarkStart w:id="2" w:name="_heading=h.1fob9te" w:colFirst="0" w:colLast="0"/>
      <w:bookmarkEnd w:id="2"/>
      <w:r w:rsidRPr="005212F0">
        <w:rPr>
          <w:rFonts w:ascii="Palatino Linotype" w:eastAsia="Palatino Linotype" w:hAnsi="Palatino Linotype" w:cs="Palatino Linotype"/>
          <w:b/>
          <w:color w:val="000000"/>
        </w:rPr>
        <w:t xml:space="preserve">Razones o Motivos de inconformidad: </w:t>
      </w:r>
      <w:r w:rsidRPr="005212F0">
        <w:rPr>
          <w:rFonts w:ascii="Palatino Linotype" w:eastAsia="Palatino Linotype" w:hAnsi="Palatino Linotype" w:cs="Palatino Linotype"/>
          <w:i/>
          <w:color w:val="000000"/>
        </w:rPr>
        <w:t>“No entrega lo que pedí”</w:t>
      </w:r>
    </w:p>
    <w:p w14:paraId="56D3FD73" w14:textId="77777777" w:rsidR="004E3E84" w:rsidRPr="005212F0" w:rsidRDefault="004E3E84">
      <w:pPr>
        <w:pBdr>
          <w:top w:val="nil"/>
          <w:left w:val="nil"/>
          <w:bottom w:val="nil"/>
          <w:right w:val="nil"/>
          <w:between w:val="nil"/>
        </w:pBdr>
        <w:spacing w:line="360" w:lineRule="auto"/>
        <w:ind w:left="1004"/>
        <w:jc w:val="both"/>
        <w:rPr>
          <w:rFonts w:ascii="Palatino Linotype" w:eastAsia="Palatino Linotype" w:hAnsi="Palatino Linotype" w:cs="Palatino Linotype"/>
          <w:i/>
          <w:color w:val="000000"/>
        </w:rPr>
      </w:pPr>
    </w:p>
    <w:p w14:paraId="1DAEFE52" w14:textId="77777777" w:rsidR="004E3E84" w:rsidRPr="005212F0" w:rsidRDefault="00842494">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sidRPr="005212F0">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 veintiocho de junio de dos mil veintitrés, se puso a disposición de las partes el expediente electrónico vía </w:t>
      </w:r>
      <w:r w:rsidRPr="005212F0">
        <w:rPr>
          <w:rFonts w:ascii="Palatino Linotype" w:eastAsia="Palatino Linotype" w:hAnsi="Palatino Linotype" w:cs="Palatino Linotype"/>
          <w:b/>
          <w:color w:val="000000"/>
        </w:rPr>
        <w:t xml:space="preserve">SAIMEX </w:t>
      </w:r>
      <w:r w:rsidRPr="005212F0">
        <w:rPr>
          <w:rFonts w:ascii="Palatino Linotype" w:eastAsia="Palatino Linotype" w:hAnsi="Palatino Linotype" w:cs="Palatino Linotype"/>
          <w:color w:val="000000"/>
        </w:rPr>
        <w:t xml:space="preserve">a efecto de que en un plazo máximo de siete días manifestaran lo que a su derecho conviniera, ofrecieran pruebas y alegatos según corresponda a los casos concretos, y el </w:t>
      </w:r>
      <w:r w:rsidRPr="005212F0">
        <w:rPr>
          <w:rFonts w:ascii="Palatino Linotype" w:eastAsia="Palatino Linotype" w:hAnsi="Palatino Linotype" w:cs="Palatino Linotype"/>
          <w:b/>
          <w:color w:val="000000"/>
        </w:rPr>
        <w:t>SUJETO OBLIGADO</w:t>
      </w:r>
      <w:r w:rsidRPr="005212F0">
        <w:rPr>
          <w:rFonts w:ascii="Palatino Linotype" w:eastAsia="Palatino Linotype" w:hAnsi="Palatino Linotype" w:cs="Palatino Linotype"/>
          <w:color w:val="000000"/>
        </w:rPr>
        <w:t xml:space="preserve"> presentará el Informe Justificado procedente.</w:t>
      </w:r>
    </w:p>
    <w:p w14:paraId="5D5F4596" w14:textId="77777777" w:rsidR="004E3E84" w:rsidRPr="005212F0" w:rsidRDefault="004E3E8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AFD755E" w14:textId="77777777" w:rsidR="004E3E84" w:rsidRPr="005212F0" w:rsidRDefault="00842494">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5212F0">
        <w:rPr>
          <w:rFonts w:ascii="Palatino Linotype" w:eastAsia="Palatino Linotype" w:hAnsi="Palatino Linotype" w:cs="Palatino Linotype"/>
          <w:color w:val="000000"/>
        </w:rPr>
        <w:lastRenderedPageBreak/>
        <w:t xml:space="preserve">De lo anterior, El </w:t>
      </w:r>
      <w:r w:rsidRPr="005212F0">
        <w:rPr>
          <w:rFonts w:ascii="Palatino Linotype" w:eastAsia="Palatino Linotype" w:hAnsi="Palatino Linotype" w:cs="Palatino Linotype"/>
          <w:b/>
          <w:color w:val="000000"/>
        </w:rPr>
        <w:t xml:space="preserve">SUJETO OBLIGADO </w:t>
      </w:r>
      <w:r w:rsidRPr="005212F0">
        <w:rPr>
          <w:rFonts w:ascii="Palatino Linotype" w:eastAsia="Palatino Linotype" w:hAnsi="Palatino Linotype" w:cs="Palatino Linotype"/>
          <w:color w:val="000000"/>
        </w:rPr>
        <w:t xml:space="preserve">y el  </w:t>
      </w:r>
      <w:r w:rsidRPr="005212F0">
        <w:rPr>
          <w:rFonts w:ascii="Palatino Linotype" w:eastAsia="Palatino Linotype" w:hAnsi="Palatino Linotype" w:cs="Palatino Linotype"/>
          <w:b/>
          <w:color w:val="000000"/>
        </w:rPr>
        <w:t xml:space="preserve">PARTICULAR </w:t>
      </w:r>
      <w:r w:rsidRPr="005212F0">
        <w:rPr>
          <w:rFonts w:ascii="Palatino Linotype" w:eastAsia="Palatino Linotype" w:hAnsi="Palatino Linotype" w:cs="Palatino Linotype"/>
          <w:color w:val="000000"/>
        </w:rPr>
        <w:t>dejaron de realizar manifestaciones que a su derecho conviniera y asistiera, respectivamente.</w:t>
      </w:r>
    </w:p>
    <w:p w14:paraId="588C63E0" w14:textId="77777777" w:rsidR="004E3E84" w:rsidRPr="005212F0" w:rsidRDefault="004E3E84">
      <w:pPr>
        <w:pBdr>
          <w:top w:val="nil"/>
          <w:left w:val="nil"/>
          <w:bottom w:val="nil"/>
          <w:right w:val="nil"/>
          <w:between w:val="nil"/>
        </w:pBdr>
        <w:ind w:left="720"/>
        <w:rPr>
          <w:rFonts w:ascii="Palatino Linotype" w:eastAsia="Palatino Linotype" w:hAnsi="Palatino Linotype" w:cs="Palatino Linotype"/>
          <w:color w:val="000000"/>
        </w:rPr>
      </w:pPr>
    </w:p>
    <w:p w14:paraId="1CE06237" w14:textId="77777777" w:rsidR="004E3E84" w:rsidRPr="005212F0" w:rsidRDefault="00842494">
      <w:pPr>
        <w:numPr>
          <w:ilvl w:val="0"/>
          <w:numId w:val="9"/>
        </w:numPr>
        <w:spacing w:line="360" w:lineRule="auto"/>
        <w:ind w:left="0" w:firstLine="0"/>
        <w:jc w:val="both"/>
        <w:rPr>
          <w:rFonts w:ascii="Palatino Linotype" w:eastAsia="Palatino Linotype" w:hAnsi="Palatino Linotype" w:cs="Palatino Linotype"/>
        </w:rPr>
      </w:pPr>
      <w:r w:rsidRPr="005212F0">
        <w:rPr>
          <w:rFonts w:ascii="Palatino Linotype" w:eastAsia="Palatino Linotype" w:hAnsi="Palatino Linotype" w:cs="Palatino Linotype"/>
        </w:rPr>
        <w:t>En fecha once de octubre de dos mil veintitrés, se amplió el término para resolver; al respecto es menester realizar las siguientes precisiones.</w:t>
      </w:r>
    </w:p>
    <w:p w14:paraId="6724A9A6" w14:textId="77777777" w:rsidR="004E3E84" w:rsidRPr="005212F0" w:rsidRDefault="004E3E84">
      <w:pPr>
        <w:spacing w:line="360" w:lineRule="auto"/>
        <w:rPr>
          <w:rFonts w:ascii="Palatino Linotype" w:eastAsia="Palatino Linotype" w:hAnsi="Palatino Linotype" w:cs="Palatino Linotype"/>
        </w:rPr>
      </w:pPr>
    </w:p>
    <w:p w14:paraId="048D4510" w14:textId="77777777" w:rsidR="004E3E84" w:rsidRPr="005212F0" w:rsidRDefault="00842494">
      <w:pPr>
        <w:numPr>
          <w:ilvl w:val="0"/>
          <w:numId w:val="3"/>
        </w:numPr>
        <w:spacing w:line="360" w:lineRule="auto"/>
        <w:jc w:val="both"/>
        <w:rPr>
          <w:rFonts w:ascii="Palatino Linotype" w:eastAsia="Palatino Linotype" w:hAnsi="Palatino Linotype" w:cs="Palatino Linotype"/>
          <w:b/>
          <w:color w:val="000000"/>
        </w:rPr>
      </w:pPr>
      <w:r w:rsidRPr="005212F0">
        <w:rPr>
          <w:rFonts w:ascii="Palatino Linotype" w:eastAsia="Palatino Linotype" w:hAnsi="Palatino Linotype" w:cs="Palatino Linotype"/>
          <w:b/>
          <w:color w:val="000000"/>
        </w:rPr>
        <w:t>De previo y especial pronunciamiento. Argumentos a considerar en las resoluciones a los recursos de revisión para justificar los fallos emitidos fuera del plazo legal de 45 días.</w:t>
      </w:r>
    </w:p>
    <w:p w14:paraId="05689E9B" w14:textId="77777777" w:rsidR="004E3E84" w:rsidRPr="005212F0" w:rsidRDefault="00842494">
      <w:pPr>
        <w:numPr>
          <w:ilvl w:val="0"/>
          <w:numId w:val="9"/>
        </w:numPr>
        <w:spacing w:line="360" w:lineRule="auto"/>
        <w:ind w:left="0" w:firstLine="0"/>
        <w:jc w:val="both"/>
        <w:rPr>
          <w:rFonts w:ascii="Palatino Linotype" w:eastAsia="Palatino Linotype" w:hAnsi="Palatino Linotype" w:cs="Palatino Linotype"/>
        </w:rPr>
      </w:pPr>
      <w:r w:rsidRPr="005212F0">
        <w:rPr>
          <w:rFonts w:ascii="Palatino Linotype" w:eastAsia="Palatino Linotype" w:hAnsi="Palatino Linotype" w:cs="Palatino Linotype"/>
        </w:rPr>
        <w:t xml:space="preserve">Este organismo garante no pasa por alto justificar, que la dilación en la resolución del </w:t>
      </w:r>
      <w:r w:rsidRPr="005212F0">
        <w:rPr>
          <w:rFonts w:ascii="Palatino Linotype" w:eastAsia="Palatino Linotype" w:hAnsi="Palatino Linotype" w:cs="Palatino Linotype"/>
          <w:color w:val="000000"/>
        </w:rPr>
        <w:t>presente</w:t>
      </w:r>
      <w:r w:rsidRPr="005212F0">
        <w:rPr>
          <w:rFonts w:ascii="Palatino Linotype" w:eastAsia="Palatino Linotype" w:hAnsi="Palatino Linotype" w:cs="Palatino Linotype"/>
        </w:rPr>
        <w:t xml:space="preserve"> asunto encuentra justificación en el alto número de recursos de revisión recibidos dentro del primer semestre del año dos mil veintitrés,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199945ED" w14:textId="77777777" w:rsidR="004E3E84" w:rsidRPr="005212F0" w:rsidRDefault="004E3E84">
      <w:pPr>
        <w:spacing w:line="360" w:lineRule="auto"/>
        <w:jc w:val="both"/>
        <w:rPr>
          <w:rFonts w:ascii="Palatino Linotype" w:eastAsia="Palatino Linotype" w:hAnsi="Palatino Linotype" w:cs="Palatino Linotype"/>
        </w:rPr>
      </w:pPr>
    </w:p>
    <w:p w14:paraId="281C4F9E" w14:textId="77777777" w:rsidR="004E3E84" w:rsidRPr="005212F0" w:rsidRDefault="00842494">
      <w:pPr>
        <w:numPr>
          <w:ilvl w:val="0"/>
          <w:numId w:val="9"/>
        </w:numPr>
        <w:spacing w:line="360" w:lineRule="auto"/>
        <w:ind w:left="0" w:firstLine="0"/>
        <w:jc w:val="both"/>
        <w:rPr>
          <w:rFonts w:ascii="Palatino Linotype" w:eastAsia="Palatino Linotype" w:hAnsi="Palatino Linotype" w:cs="Palatino Linotype"/>
        </w:rPr>
      </w:pPr>
      <w:r w:rsidRPr="005212F0">
        <w:rPr>
          <w:rFonts w:ascii="Palatino Linotype" w:eastAsia="Palatino Linotype" w:hAnsi="Palatino Linotype" w:cs="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3825F104" w14:textId="77777777" w:rsidR="004E3E84" w:rsidRPr="005212F0" w:rsidRDefault="00842494">
      <w:pPr>
        <w:numPr>
          <w:ilvl w:val="0"/>
          <w:numId w:val="9"/>
        </w:numPr>
        <w:spacing w:line="360" w:lineRule="auto"/>
        <w:ind w:left="0" w:firstLine="0"/>
        <w:jc w:val="both"/>
        <w:rPr>
          <w:rFonts w:ascii="Palatino Linotype" w:eastAsia="Palatino Linotype" w:hAnsi="Palatino Linotype" w:cs="Palatino Linotype"/>
        </w:rPr>
      </w:pPr>
      <w:r w:rsidRPr="005212F0">
        <w:rPr>
          <w:rFonts w:ascii="Palatino Linotype" w:eastAsia="Palatino Linotype" w:hAnsi="Palatino Linotype" w:cs="Palatino Linotype"/>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29BF189" w14:textId="77777777" w:rsidR="004E3E84" w:rsidRPr="005212F0" w:rsidRDefault="004E3E84">
      <w:pPr>
        <w:spacing w:line="360" w:lineRule="auto"/>
        <w:jc w:val="both"/>
        <w:rPr>
          <w:rFonts w:ascii="Palatino Linotype" w:eastAsia="Palatino Linotype" w:hAnsi="Palatino Linotype" w:cs="Palatino Linotype"/>
        </w:rPr>
      </w:pPr>
    </w:p>
    <w:p w14:paraId="538DC865" w14:textId="77777777" w:rsidR="004E3E84" w:rsidRPr="005212F0" w:rsidRDefault="00842494">
      <w:pPr>
        <w:numPr>
          <w:ilvl w:val="0"/>
          <w:numId w:val="9"/>
        </w:numPr>
        <w:spacing w:line="360" w:lineRule="auto"/>
        <w:ind w:left="0" w:firstLine="0"/>
        <w:jc w:val="both"/>
        <w:rPr>
          <w:rFonts w:ascii="Palatino Linotype" w:eastAsia="Palatino Linotype" w:hAnsi="Palatino Linotype" w:cs="Palatino Linotype"/>
        </w:rPr>
      </w:pPr>
      <w:r w:rsidRPr="005212F0">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14DAA4E" w14:textId="77777777" w:rsidR="004E3E84" w:rsidRPr="005212F0" w:rsidRDefault="004E3E84">
      <w:pPr>
        <w:spacing w:line="360" w:lineRule="auto"/>
        <w:ind w:left="720"/>
        <w:rPr>
          <w:rFonts w:ascii="Palatino Linotype" w:eastAsia="Palatino Linotype" w:hAnsi="Palatino Linotype" w:cs="Palatino Linotype"/>
        </w:rPr>
      </w:pPr>
    </w:p>
    <w:p w14:paraId="1B8B1D1F" w14:textId="77777777" w:rsidR="004E3E84" w:rsidRPr="005212F0" w:rsidRDefault="00842494">
      <w:pPr>
        <w:numPr>
          <w:ilvl w:val="0"/>
          <w:numId w:val="9"/>
        </w:numPr>
        <w:spacing w:line="360" w:lineRule="auto"/>
        <w:ind w:left="0" w:firstLine="0"/>
        <w:jc w:val="both"/>
        <w:rPr>
          <w:rFonts w:ascii="Palatino Linotype" w:eastAsia="Palatino Linotype" w:hAnsi="Palatino Linotype" w:cs="Palatino Linotype"/>
        </w:rPr>
      </w:pPr>
      <w:r w:rsidRPr="005212F0">
        <w:rPr>
          <w:rFonts w:ascii="Palatino Linotype" w:eastAsia="Palatino Linotype" w:hAnsi="Palatino Linotype" w:cs="Palatino Linotype"/>
        </w:rPr>
        <w:t xml:space="preserve">Por ello, excepcionalmente, si un asunto es resuelto con posterioridad a los plazos señalados por la norma debe analizarse la razonabilidad de dicha dilación atendiendo a los siguientes criterios:   </w:t>
      </w:r>
    </w:p>
    <w:p w14:paraId="7F47DD5E" w14:textId="77777777" w:rsidR="004E3E84" w:rsidRPr="005212F0" w:rsidRDefault="00842494">
      <w:pPr>
        <w:numPr>
          <w:ilvl w:val="0"/>
          <w:numId w:val="5"/>
        </w:numPr>
        <w:spacing w:line="360" w:lineRule="auto"/>
        <w:jc w:val="both"/>
        <w:rPr>
          <w:rFonts w:ascii="Palatino Linotype" w:eastAsia="Palatino Linotype" w:hAnsi="Palatino Linotype" w:cs="Palatino Linotype"/>
          <w:sz w:val="22"/>
        </w:rPr>
      </w:pPr>
      <w:r w:rsidRPr="005212F0">
        <w:rPr>
          <w:rFonts w:ascii="Palatino Linotype" w:eastAsia="Palatino Linotype" w:hAnsi="Palatino Linotype" w:cs="Palatino Linotype"/>
          <w:sz w:val="22"/>
        </w:rPr>
        <w:t xml:space="preserve">Complejidad del Asunto: La complejidad de la prueba, la pluralidad de sujetos procesales, el tiempo transcurrido, las características y contexto del recurso. </w:t>
      </w:r>
    </w:p>
    <w:p w14:paraId="03045D55" w14:textId="77777777" w:rsidR="004E3E84" w:rsidRPr="005212F0" w:rsidRDefault="00842494">
      <w:pPr>
        <w:numPr>
          <w:ilvl w:val="0"/>
          <w:numId w:val="5"/>
        </w:numPr>
        <w:spacing w:line="360" w:lineRule="auto"/>
        <w:jc w:val="both"/>
        <w:rPr>
          <w:rFonts w:ascii="Palatino Linotype" w:eastAsia="Palatino Linotype" w:hAnsi="Palatino Linotype" w:cs="Palatino Linotype"/>
          <w:sz w:val="22"/>
        </w:rPr>
      </w:pPr>
      <w:r w:rsidRPr="005212F0">
        <w:rPr>
          <w:rFonts w:ascii="Palatino Linotype" w:eastAsia="Palatino Linotype" w:hAnsi="Palatino Linotype" w:cs="Palatino Linotype"/>
          <w:sz w:val="22"/>
        </w:rPr>
        <w:t>Actividad Procesal del interesado. Acciones u omisiones del interesado.</w:t>
      </w:r>
    </w:p>
    <w:p w14:paraId="597D34DC" w14:textId="77777777" w:rsidR="004E3E84" w:rsidRPr="005212F0" w:rsidRDefault="00842494">
      <w:pPr>
        <w:numPr>
          <w:ilvl w:val="0"/>
          <w:numId w:val="5"/>
        </w:numPr>
        <w:spacing w:line="360" w:lineRule="auto"/>
        <w:jc w:val="both"/>
        <w:rPr>
          <w:rFonts w:ascii="Palatino Linotype" w:eastAsia="Palatino Linotype" w:hAnsi="Palatino Linotype" w:cs="Palatino Linotype"/>
          <w:sz w:val="22"/>
        </w:rPr>
      </w:pPr>
      <w:r w:rsidRPr="005212F0">
        <w:rPr>
          <w:rFonts w:ascii="Palatino Linotype" w:eastAsia="Palatino Linotype" w:hAnsi="Palatino Linotype" w:cs="Palatino Linotype"/>
          <w:sz w:val="22"/>
        </w:rPr>
        <w:t>Conducta de la Autoridad: Las Acciones u omisiones realizadas en el procedimiento. Así como si la autoridad actuó con la debida diligencia.</w:t>
      </w:r>
    </w:p>
    <w:p w14:paraId="3361B17E" w14:textId="77777777" w:rsidR="004E3E84" w:rsidRPr="005212F0" w:rsidRDefault="00842494">
      <w:pPr>
        <w:spacing w:line="360" w:lineRule="auto"/>
        <w:ind w:left="851" w:hanging="284"/>
        <w:jc w:val="both"/>
        <w:rPr>
          <w:rFonts w:ascii="Palatino Linotype" w:eastAsia="Palatino Linotype" w:hAnsi="Palatino Linotype" w:cs="Palatino Linotype"/>
          <w:sz w:val="22"/>
        </w:rPr>
      </w:pPr>
      <w:r w:rsidRPr="005212F0">
        <w:rPr>
          <w:rFonts w:ascii="Palatino Linotype" w:eastAsia="Palatino Linotype" w:hAnsi="Palatino Linotype" w:cs="Palatino Linotype"/>
          <w:sz w:val="22"/>
        </w:rPr>
        <w:t>d) La afectación generada en la situación jurídica de la persona involucrada en el proceso: Violación a sus derechos humanos.</w:t>
      </w:r>
    </w:p>
    <w:p w14:paraId="45E309E3" w14:textId="77777777" w:rsidR="004E3E84" w:rsidRPr="005212F0" w:rsidRDefault="004E3E84">
      <w:pPr>
        <w:spacing w:line="360" w:lineRule="auto"/>
        <w:ind w:left="851" w:hanging="284"/>
        <w:jc w:val="both"/>
        <w:rPr>
          <w:rFonts w:ascii="Palatino Linotype" w:eastAsia="Palatino Linotype" w:hAnsi="Palatino Linotype" w:cs="Palatino Linotype"/>
        </w:rPr>
      </w:pPr>
    </w:p>
    <w:p w14:paraId="31FF1E82" w14:textId="77777777" w:rsidR="004E3E84" w:rsidRPr="005212F0" w:rsidRDefault="00842494">
      <w:pPr>
        <w:numPr>
          <w:ilvl w:val="0"/>
          <w:numId w:val="9"/>
        </w:numPr>
        <w:spacing w:line="360" w:lineRule="auto"/>
        <w:ind w:left="0" w:firstLine="0"/>
        <w:jc w:val="both"/>
        <w:rPr>
          <w:rFonts w:ascii="Palatino Linotype" w:eastAsia="Palatino Linotype" w:hAnsi="Palatino Linotype" w:cs="Palatino Linotype"/>
        </w:rPr>
      </w:pPr>
      <w:r w:rsidRPr="005212F0">
        <w:rPr>
          <w:rFonts w:ascii="Palatino Linotype" w:eastAsia="Palatino Linotype" w:hAnsi="Palatino Linotype" w:cs="Palatino Linotype"/>
        </w:rPr>
        <w:t xml:space="preserve">De modo que, cuando se trate de un asunto excepcional, por alguna o todas las características mencionadas o bien, cuando el ingreso de asuntos al órgano jurisdiccional o cuasi jurisdiccional respectivo supere notoriamente al que podría </w:t>
      </w:r>
      <w:r w:rsidRPr="005212F0">
        <w:rPr>
          <w:rFonts w:ascii="Palatino Linotype" w:eastAsia="Palatino Linotype" w:hAnsi="Palatino Linotype" w:cs="Palatino Linotype"/>
        </w:rPr>
        <w:lastRenderedPageBreak/>
        <w:t>considerarse normal, debe concluirse que es una excluyente de responsabilidad en relación con la actuación del funcionario, como ha acontecido en el caso que nos ocupa.</w:t>
      </w:r>
    </w:p>
    <w:p w14:paraId="23424149" w14:textId="77777777" w:rsidR="004E3E84" w:rsidRPr="005212F0" w:rsidRDefault="004E3E84">
      <w:pPr>
        <w:spacing w:line="360" w:lineRule="auto"/>
        <w:jc w:val="both"/>
        <w:rPr>
          <w:rFonts w:ascii="Palatino Linotype" w:eastAsia="Palatino Linotype" w:hAnsi="Palatino Linotype" w:cs="Palatino Linotype"/>
        </w:rPr>
      </w:pPr>
    </w:p>
    <w:p w14:paraId="3FCF621D" w14:textId="77777777" w:rsidR="004E3E84" w:rsidRPr="005212F0" w:rsidRDefault="00842494">
      <w:pPr>
        <w:numPr>
          <w:ilvl w:val="0"/>
          <w:numId w:val="9"/>
        </w:numPr>
        <w:spacing w:line="360" w:lineRule="auto"/>
        <w:ind w:left="0" w:firstLine="0"/>
        <w:jc w:val="both"/>
        <w:rPr>
          <w:rFonts w:ascii="Palatino Linotype" w:eastAsia="Palatino Linotype" w:hAnsi="Palatino Linotype" w:cs="Palatino Linotype"/>
          <w:b/>
        </w:rPr>
      </w:pPr>
      <w:r w:rsidRPr="005212F0">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5212F0">
        <w:rPr>
          <w:rFonts w:ascii="Palatino Linotype" w:eastAsia="Palatino Linotype" w:hAnsi="Palatino Linotype" w:cs="Palatino Linotype"/>
          <w:i/>
        </w:rPr>
        <w:t xml:space="preserve">“TÉRMINOS PROCESALES. PARA DETERMINAR SI UN FUNCIONARIO JUDICIAL ACTUÓ </w:t>
      </w:r>
      <w:r w:rsidRPr="005212F0">
        <w:rPr>
          <w:rFonts w:ascii="Palatino Linotype" w:eastAsia="Palatino Linotype" w:hAnsi="Palatino Linotype" w:cs="Palatino Linotype"/>
        </w:rPr>
        <w:t>INDEBIDAMENTE</w:t>
      </w:r>
      <w:r w:rsidRPr="005212F0">
        <w:rPr>
          <w:rFonts w:ascii="Palatino Linotype" w:eastAsia="Palatino Linotype" w:hAnsi="Palatino Linotype" w:cs="Palatino Linotype"/>
          <w:i/>
        </w:rPr>
        <w:t xml:space="preserve"> POR NO RESPETARLOS SE DEBE ATENDER AL PRESUPUESTO QUE CONSIDERÓ EL LEGISLADOR AL FIJARLOS Y LAS CARACTERÍSTICAS DEL CASO.”</w:t>
      </w:r>
      <w:r w:rsidRPr="005212F0">
        <w:rPr>
          <w:rFonts w:ascii="Palatino Linotype" w:eastAsia="Palatino Linotype" w:hAnsi="Palatino Linotype" w:cs="Palatino Linotype"/>
        </w:rPr>
        <w:t>, visible en la Gaceta del Seminario Judicial de la Federación con el registro digital 205635.</w:t>
      </w:r>
    </w:p>
    <w:p w14:paraId="11F3CF26" w14:textId="77777777" w:rsidR="004E3E84" w:rsidRPr="005212F0" w:rsidRDefault="004E3E84">
      <w:pPr>
        <w:spacing w:line="360" w:lineRule="auto"/>
        <w:jc w:val="both"/>
        <w:rPr>
          <w:rFonts w:ascii="Palatino Linotype" w:eastAsia="Palatino Linotype" w:hAnsi="Palatino Linotype" w:cs="Palatino Linotype"/>
        </w:rPr>
      </w:pPr>
    </w:p>
    <w:p w14:paraId="515EABC3" w14:textId="77777777" w:rsidR="004E3E84" w:rsidRPr="005212F0" w:rsidRDefault="00842494">
      <w:pPr>
        <w:numPr>
          <w:ilvl w:val="0"/>
          <w:numId w:val="9"/>
        </w:numPr>
        <w:spacing w:line="360" w:lineRule="auto"/>
        <w:ind w:left="0" w:firstLine="0"/>
        <w:jc w:val="both"/>
        <w:rPr>
          <w:rFonts w:ascii="Palatino Linotype" w:eastAsia="Palatino Linotype" w:hAnsi="Palatino Linotype" w:cs="Palatino Linotype"/>
        </w:rPr>
      </w:pPr>
      <w:r w:rsidRPr="005212F0">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7F03234" w14:textId="77777777" w:rsidR="004E3E84" w:rsidRPr="005212F0" w:rsidRDefault="004E3E84">
      <w:pPr>
        <w:spacing w:line="360" w:lineRule="auto"/>
        <w:ind w:left="720"/>
        <w:rPr>
          <w:rFonts w:ascii="Palatino Linotype" w:eastAsia="Palatino Linotype" w:hAnsi="Palatino Linotype" w:cs="Palatino Linotype"/>
        </w:rPr>
      </w:pPr>
    </w:p>
    <w:p w14:paraId="14C2D0FB" w14:textId="77777777" w:rsidR="004E3E84" w:rsidRPr="005212F0" w:rsidRDefault="00842494">
      <w:pPr>
        <w:numPr>
          <w:ilvl w:val="0"/>
          <w:numId w:val="9"/>
        </w:numPr>
        <w:spacing w:line="360" w:lineRule="auto"/>
        <w:ind w:left="0" w:firstLine="0"/>
        <w:jc w:val="both"/>
        <w:rPr>
          <w:rFonts w:ascii="Palatino Linotype" w:eastAsia="Palatino Linotype" w:hAnsi="Palatino Linotype" w:cs="Palatino Linotype"/>
        </w:rPr>
      </w:pPr>
      <w:r w:rsidRPr="005212F0">
        <w:rPr>
          <w:rFonts w:ascii="Palatino Linotype" w:eastAsia="Palatino Linotype" w:hAnsi="Palatino Linotype" w:cs="Palatino Linotype"/>
        </w:rPr>
        <w:lastRenderedPageBreak/>
        <w:t>Por ello, este organismo garante comprometido con la tutela de los derechos humanos confiados, señala que este exceso del plazo legal para resolver el presente asunto, resulta de carácter excepcional.</w:t>
      </w:r>
    </w:p>
    <w:p w14:paraId="10D7E9BB" w14:textId="77777777" w:rsidR="004E3E84" w:rsidRPr="005212F0" w:rsidRDefault="004E3E84">
      <w:pPr>
        <w:spacing w:line="360" w:lineRule="auto"/>
        <w:jc w:val="both"/>
        <w:rPr>
          <w:rFonts w:ascii="Palatino Linotype" w:eastAsia="Palatino Linotype" w:hAnsi="Palatino Linotype" w:cs="Palatino Linotype"/>
        </w:rPr>
      </w:pPr>
    </w:p>
    <w:p w14:paraId="462E556B" w14:textId="77777777" w:rsidR="004E3E84" w:rsidRPr="005212F0" w:rsidRDefault="00842494">
      <w:pPr>
        <w:numPr>
          <w:ilvl w:val="0"/>
          <w:numId w:val="9"/>
        </w:numPr>
        <w:spacing w:line="360" w:lineRule="auto"/>
        <w:ind w:left="0" w:firstLine="0"/>
        <w:jc w:val="both"/>
        <w:rPr>
          <w:rFonts w:ascii="Palatino Linotype" w:eastAsia="Palatino Linotype" w:hAnsi="Palatino Linotype" w:cs="Palatino Linotype"/>
        </w:rPr>
      </w:pPr>
      <w:r w:rsidRPr="005212F0">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78458F6F" w14:textId="77777777" w:rsidR="004E3E84" w:rsidRPr="005212F0" w:rsidRDefault="00842494">
      <w:pPr>
        <w:spacing w:line="360" w:lineRule="auto"/>
        <w:ind w:left="425" w:right="476"/>
        <w:jc w:val="both"/>
        <w:rPr>
          <w:rFonts w:ascii="Palatino Linotype" w:eastAsia="Palatino Linotype" w:hAnsi="Palatino Linotype" w:cs="Palatino Linotype"/>
          <w:sz w:val="22"/>
        </w:rPr>
      </w:pPr>
      <w:r w:rsidRPr="005212F0">
        <w:rPr>
          <w:rFonts w:ascii="Palatino Linotype" w:eastAsia="Palatino Linotype" w:hAnsi="Palatino Linotype" w:cs="Palatino Linotype"/>
        </w:rPr>
        <w:t xml:space="preserve"> </w:t>
      </w:r>
      <w:r w:rsidRPr="005212F0">
        <w:rPr>
          <w:rFonts w:ascii="Palatino Linotype" w:eastAsia="Palatino Linotype" w:hAnsi="Palatino Linotype" w:cs="Palatino Linotype"/>
          <w:i/>
          <w:sz w:val="22"/>
        </w:rPr>
        <w:t>“PLAZO RAZONABLE PARA RESOLVER. DIMENSIÓN Y EFECTOS DE ESTE CONCEPTO CUANDO SE ADUCE EXCESIVA CARGA DE TRABAJO.”</w:t>
      </w:r>
      <w:r w:rsidRPr="005212F0">
        <w:rPr>
          <w:rFonts w:ascii="Palatino Linotype" w:eastAsia="Palatino Linotype" w:hAnsi="Palatino Linotype" w:cs="Palatino Linotype"/>
          <w:sz w:val="22"/>
        </w:rPr>
        <w:t xml:space="preserve"> consultable en el Seminario Judicial de la Federación y su gaceta, con el registro digital 2002351.</w:t>
      </w:r>
    </w:p>
    <w:p w14:paraId="1F9C8365" w14:textId="77777777" w:rsidR="004E3E84" w:rsidRPr="005212F0" w:rsidRDefault="004E3E84">
      <w:pPr>
        <w:spacing w:line="360" w:lineRule="auto"/>
        <w:ind w:left="425" w:right="476"/>
        <w:jc w:val="both"/>
        <w:rPr>
          <w:rFonts w:ascii="Palatino Linotype" w:eastAsia="Palatino Linotype" w:hAnsi="Palatino Linotype" w:cs="Palatino Linotype"/>
          <w:b/>
          <w:sz w:val="22"/>
        </w:rPr>
      </w:pPr>
    </w:p>
    <w:p w14:paraId="52698D16" w14:textId="77777777" w:rsidR="004E3E84" w:rsidRPr="005212F0" w:rsidRDefault="00842494">
      <w:pPr>
        <w:spacing w:line="360" w:lineRule="auto"/>
        <w:ind w:left="425" w:right="476"/>
        <w:jc w:val="both"/>
        <w:rPr>
          <w:rFonts w:ascii="Palatino Linotype" w:eastAsia="Palatino Linotype" w:hAnsi="Palatino Linotype" w:cs="Palatino Linotype"/>
          <w:sz w:val="22"/>
        </w:rPr>
      </w:pPr>
      <w:r w:rsidRPr="005212F0">
        <w:rPr>
          <w:rFonts w:ascii="Palatino Linotype" w:eastAsia="Palatino Linotype" w:hAnsi="Palatino Linotype" w:cs="Palatino Linotype"/>
          <w:i/>
          <w:sz w:val="22"/>
        </w:rPr>
        <w:t>“PLAZO RAZONABLE PARA RESOLVER. CONCEPTO Y ELEMENTOS QUE LO INTEGRAN A LA LUZ DEL DERECHO INTERNACIONAL DE LOS DERECHOS HUMANOS.”</w:t>
      </w:r>
      <w:r w:rsidRPr="005212F0">
        <w:rPr>
          <w:rFonts w:ascii="Palatino Linotype" w:eastAsia="Palatino Linotype" w:hAnsi="Palatino Linotype" w:cs="Palatino Linotype"/>
          <w:sz w:val="22"/>
        </w:rPr>
        <w:t>, visible en el Seminario Judicial de la Federación y su gaceta, con el registro digital 2002350.”</w:t>
      </w:r>
    </w:p>
    <w:p w14:paraId="36566533" w14:textId="77777777" w:rsidR="004E3E84" w:rsidRPr="005212F0" w:rsidRDefault="004E3E8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B75380F" w14:textId="71086715" w:rsidR="004E3E84" w:rsidRPr="005212F0" w:rsidRDefault="00842494">
      <w:pPr>
        <w:numPr>
          <w:ilvl w:val="0"/>
          <w:numId w:val="9"/>
        </w:numPr>
        <w:spacing w:line="360" w:lineRule="auto"/>
        <w:jc w:val="both"/>
        <w:rPr>
          <w:rFonts w:ascii="Palatino Linotype" w:eastAsia="Palatino Linotype" w:hAnsi="Palatino Linotype" w:cs="Palatino Linotype"/>
        </w:rPr>
      </w:pPr>
      <w:r w:rsidRPr="005212F0">
        <w:rPr>
          <w:rFonts w:ascii="Palatino Linotype" w:eastAsia="Palatino Linotype" w:hAnsi="Palatino Linotype" w:cs="Palatino Linotype"/>
        </w:rPr>
        <w:t>Seguidamente el día siete de marzo de dos mil veinticuatro, se decretó el cierre de instrucción y_________________________________</w:t>
      </w:r>
      <w:r w:rsidR="00DC049C" w:rsidRPr="005212F0">
        <w:rPr>
          <w:rFonts w:ascii="Palatino Linotype" w:eastAsia="Palatino Linotype" w:hAnsi="Palatino Linotype" w:cs="Palatino Linotype"/>
        </w:rPr>
        <w:t>_______________________</w:t>
      </w:r>
    </w:p>
    <w:p w14:paraId="4AF46BD1" w14:textId="77777777" w:rsidR="004E3E84" w:rsidRPr="005212F0" w:rsidRDefault="004E3E84">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1DD91EFF" w14:textId="77777777" w:rsidR="004E3E84" w:rsidRPr="005212F0" w:rsidRDefault="00842494">
      <w:pPr>
        <w:pStyle w:val="Ttulo1"/>
        <w:spacing w:before="0" w:line="360" w:lineRule="auto"/>
        <w:jc w:val="center"/>
        <w:rPr>
          <w:rFonts w:ascii="Palatino Linotype" w:eastAsia="Palatino Linotype" w:hAnsi="Palatino Linotype" w:cs="Palatino Linotype"/>
          <w:b/>
          <w:color w:val="000000"/>
          <w:sz w:val="24"/>
          <w:szCs w:val="24"/>
        </w:rPr>
      </w:pPr>
      <w:bookmarkStart w:id="3" w:name="_heading=h.3znysh7" w:colFirst="0" w:colLast="0"/>
      <w:bookmarkEnd w:id="3"/>
      <w:r w:rsidRPr="005212F0">
        <w:rPr>
          <w:rFonts w:ascii="Palatino Linotype" w:eastAsia="Palatino Linotype" w:hAnsi="Palatino Linotype" w:cs="Palatino Linotype"/>
          <w:b/>
          <w:color w:val="000000"/>
          <w:sz w:val="24"/>
          <w:szCs w:val="24"/>
        </w:rPr>
        <w:lastRenderedPageBreak/>
        <w:t>CONSIDERANDO</w:t>
      </w:r>
    </w:p>
    <w:p w14:paraId="2D86EFF5" w14:textId="77777777" w:rsidR="004E3E84" w:rsidRPr="005212F0" w:rsidRDefault="004E3E84">
      <w:pPr>
        <w:pStyle w:val="Ttulo2"/>
        <w:spacing w:before="0" w:line="360" w:lineRule="auto"/>
        <w:rPr>
          <w:rFonts w:ascii="Palatino Linotype" w:eastAsia="Palatino Linotype" w:hAnsi="Palatino Linotype" w:cs="Palatino Linotype"/>
          <w:b/>
          <w:color w:val="000000"/>
          <w:sz w:val="24"/>
          <w:szCs w:val="24"/>
        </w:rPr>
      </w:pPr>
      <w:bookmarkStart w:id="4" w:name="_heading=h.2et92p0" w:colFirst="0" w:colLast="0"/>
      <w:bookmarkEnd w:id="4"/>
    </w:p>
    <w:p w14:paraId="2CB0633F" w14:textId="77777777" w:rsidR="004E3E84" w:rsidRPr="005212F0" w:rsidRDefault="00842494">
      <w:pPr>
        <w:pStyle w:val="Ttulo2"/>
        <w:spacing w:before="0" w:line="360" w:lineRule="auto"/>
        <w:rPr>
          <w:rFonts w:ascii="Palatino Linotype" w:eastAsia="Palatino Linotype" w:hAnsi="Palatino Linotype" w:cs="Palatino Linotype"/>
          <w:b/>
          <w:color w:val="000000"/>
          <w:sz w:val="24"/>
          <w:szCs w:val="24"/>
        </w:rPr>
      </w:pPr>
      <w:r w:rsidRPr="005212F0">
        <w:rPr>
          <w:rFonts w:ascii="Palatino Linotype" w:eastAsia="Palatino Linotype" w:hAnsi="Palatino Linotype" w:cs="Palatino Linotype"/>
          <w:b/>
          <w:color w:val="000000"/>
          <w:sz w:val="24"/>
          <w:szCs w:val="24"/>
        </w:rPr>
        <w:t>PRIMERO. De la competencia</w:t>
      </w:r>
    </w:p>
    <w:p w14:paraId="05DC282E" w14:textId="77777777" w:rsidR="004E3E84" w:rsidRPr="005212F0" w:rsidRDefault="00842494">
      <w:pPr>
        <w:numPr>
          <w:ilvl w:val="0"/>
          <w:numId w:val="9"/>
        </w:numPr>
        <w:spacing w:line="360" w:lineRule="auto"/>
        <w:ind w:left="0" w:firstLine="0"/>
        <w:jc w:val="both"/>
        <w:rPr>
          <w:rFonts w:ascii="Palatino Linotype" w:eastAsia="Palatino Linotype" w:hAnsi="Palatino Linotype" w:cs="Palatino Linotype"/>
          <w:color w:val="000000"/>
        </w:rPr>
      </w:pPr>
      <w:r w:rsidRPr="005212F0">
        <w:rPr>
          <w:rFonts w:ascii="Palatino Linotype" w:eastAsia="Palatino Linotype" w:hAnsi="Palatino Linotype" w:cs="Palatino Linotype"/>
          <w:color w:val="000000"/>
        </w:rPr>
        <w:t xml:space="preserve">Este </w:t>
      </w:r>
      <w:r w:rsidRPr="005212F0">
        <w:rPr>
          <w:rFonts w:ascii="Palatino Linotype" w:eastAsia="Palatino Linotype" w:hAnsi="Palatino Linotype" w:cs="Palatino Linotype"/>
        </w:rPr>
        <w:t>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69FE1A57" w14:textId="77777777" w:rsidR="004E3E84" w:rsidRPr="005212F0" w:rsidRDefault="00842494">
      <w:pPr>
        <w:spacing w:line="360" w:lineRule="auto"/>
        <w:jc w:val="both"/>
        <w:rPr>
          <w:rFonts w:ascii="Palatino Linotype" w:eastAsia="Palatino Linotype" w:hAnsi="Palatino Linotype" w:cs="Palatino Linotype"/>
          <w:color w:val="000000"/>
        </w:rPr>
      </w:pPr>
      <w:r w:rsidRPr="005212F0">
        <w:rPr>
          <w:rFonts w:ascii="Palatino Linotype" w:eastAsia="Palatino Linotype" w:hAnsi="Palatino Linotype" w:cs="Palatino Linotype"/>
          <w:color w:val="000000"/>
        </w:rPr>
        <w:t xml:space="preserve"> </w:t>
      </w:r>
    </w:p>
    <w:p w14:paraId="54456D32" w14:textId="77777777" w:rsidR="004E3E84" w:rsidRPr="005212F0" w:rsidRDefault="00842494">
      <w:pPr>
        <w:pStyle w:val="Ttulo2"/>
        <w:spacing w:before="0" w:line="360" w:lineRule="auto"/>
        <w:rPr>
          <w:rFonts w:ascii="Palatino Linotype" w:eastAsia="Palatino Linotype" w:hAnsi="Palatino Linotype" w:cs="Palatino Linotype"/>
          <w:b/>
          <w:color w:val="000000"/>
          <w:sz w:val="24"/>
          <w:szCs w:val="24"/>
        </w:rPr>
      </w:pPr>
      <w:bookmarkStart w:id="5" w:name="_heading=h.tyjcwt" w:colFirst="0" w:colLast="0"/>
      <w:bookmarkEnd w:id="5"/>
      <w:r w:rsidRPr="005212F0">
        <w:rPr>
          <w:rFonts w:ascii="Palatino Linotype" w:eastAsia="Palatino Linotype" w:hAnsi="Palatino Linotype" w:cs="Palatino Linotype"/>
          <w:b/>
          <w:color w:val="000000"/>
          <w:sz w:val="24"/>
          <w:szCs w:val="24"/>
        </w:rPr>
        <w:t>SEGUNDO. De la oportunidad y procedencia.</w:t>
      </w:r>
    </w:p>
    <w:p w14:paraId="3798ECB9" w14:textId="77777777" w:rsidR="004E3E84" w:rsidRPr="005212F0" w:rsidRDefault="00842494">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5212F0">
        <w:rPr>
          <w:rFonts w:ascii="Palatino Linotype" w:eastAsia="Palatino Linotype" w:hAnsi="Palatino Linotype" w:cs="Palatino Linotype"/>
          <w:color w:val="000000"/>
        </w:rPr>
        <w:t xml:space="preserve">El medio de impugnación fue presentado a través del </w:t>
      </w:r>
      <w:r w:rsidRPr="005212F0">
        <w:rPr>
          <w:rFonts w:ascii="Palatino Linotype" w:eastAsia="Palatino Linotype" w:hAnsi="Palatino Linotype" w:cs="Palatino Linotype"/>
          <w:b/>
          <w:color w:val="000000"/>
        </w:rPr>
        <w:t>SAIMEX,</w:t>
      </w:r>
      <w:r w:rsidRPr="005212F0">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sidRPr="005212F0">
        <w:rPr>
          <w:rFonts w:ascii="Palatino Linotype" w:eastAsia="Palatino Linotype" w:hAnsi="Palatino Linotype" w:cs="Palatino Linotype"/>
          <w:b/>
          <w:color w:val="000000"/>
        </w:rPr>
        <w:t>SUJETO OBLIGADO</w:t>
      </w:r>
      <w:r w:rsidRPr="005212F0">
        <w:rPr>
          <w:rFonts w:ascii="Palatino Linotype" w:eastAsia="Palatino Linotype" w:hAnsi="Palatino Linotype" w:cs="Palatino Linotype"/>
          <w:color w:val="000000"/>
        </w:rPr>
        <w:t xml:space="preserve"> entregó su respuesta el veintiséis de junio de dos mil veintitrés, de tal forma que el plazo para interponer el recurso de revisión transcurrió del veintisiete de junio al treinta y uno de julio de dos mil veintitrés; en consecuencia, el ahora </w:t>
      </w:r>
      <w:r w:rsidRPr="005212F0">
        <w:rPr>
          <w:rFonts w:ascii="Palatino Linotype" w:eastAsia="Palatino Linotype" w:hAnsi="Palatino Linotype" w:cs="Palatino Linotype"/>
          <w:b/>
          <w:color w:val="000000"/>
        </w:rPr>
        <w:t>RECURRENTE</w:t>
      </w:r>
      <w:r w:rsidRPr="005212F0">
        <w:rPr>
          <w:rFonts w:ascii="Palatino Linotype" w:eastAsia="Palatino Linotype" w:hAnsi="Palatino Linotype" w:cs="Palatino Linotype"/>
          <w:color w:val="000000"/>
        </w:rPr>
        <w:t xml:space="preserve"> presentó su inconformidad el día veintiséis de junio de la misma anualidad; es decir dentro del lapso legalmente establecido para tal efecto. </w:t>
      </w:r>
    </w:p>
    <w:p w14:paraId="7868A0E2" w14:textId="77777777" w:rsidR="004E3E84" w:rsidRPr="005212F0" w:rsidRDefault="00842494">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5212F0">
        <w:rPr>
          <w:rFonts w:ascii="Palatino Linotype" w:eastAsia="Palatino Linotype" w:hAnsi="Palatino Linotype" w:cs="Palatino Linotype"/>
          <w:color w:val="000000"/>
        </w:rPr>
        <w:lastRenderedPageBreak/>
        <w:t>Al respecto resulta necesario precisar que cuando el medio de impugnación, se haya interpuesto antes que inicie el término para tal efecto, resulta insuficiente para tener por extemporáneo el recurso de revisión de mérito, toda vez que el precepto legal citado, sólo establece que este medio de defensa se ha de promover dentro de los quince días hábiles siguientes en que se tenga conocimiento de la respuesta impugnada; sin embargo, no prohíbe que el recurso de revisión, se presente el mismo día en que esta fue notificada. Por lo que es de señalar que en aras de privilegiar el derecho de acceso a la información se entra al estudio del presente recurso de revisión sin que la fecha en que se presentó afecte la resolución.</w:t>
      </w:r>
    </w:p>
    <w:p w14:paraId="60F0FCD7" w14:textId="77777777" w:rsidR="004E3E84" w:rsidRPr="005212F0" w:rsidRDefault="004E3E8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820BA92" w14:textId="77777777" w:rsidR="004E3E84" w:rsidRPr="005212F0" w:rsidRDefault="00842494">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5212F0">
        <w:rPr>
          <w:rFonts w:ascii="Palatino Linotype" w:eastAsia="Palatino Linotype" w:hAnsi="Palatino Linotype" w:cs="Palatino Linotype"/>
          <w:color w:val="000000"/>
        </w:rPr>
        <w:t xml:space="preserve">Lo anterior se robustece con la jurisprudencia número 1a./J. 41/2015 (10a.), Décima época, sustentada por la Primera Sala de la Suprema Corte de Justicia de la Nación, visible en la página 569, libro 19, tomo I, de la Gaceta del Semanario Judicial de la Federación, del diecinueve de junio de 2015, cuyo rubro y texto disponen: </w:t>
      </w:r>
    </w:p>
    <w:p w14:paraId="3AA22D2F" w14:textId="77777777" w:rsidR="004E3E84" w:rsidRPr="005212F0" w:rsidRDefault="004E3E8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AAC3C1D" w14:textId="77777777" w:rsidR="004E3E84" w:rsidRPr="005212F0" w:rsidRDefault="00842494">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5212F0">
        <w:rPr>
          <w:rFonts w:ascii="Palatino Linotype" w:eastAsia="Palatino Linotype" w:hAnsi="Palatino Linotype" w:cs="Palatino Linotype"/>
          <w:color w:val="000000"/>
        </w:rPr>
        <w:t xml:space="preserve">“RECURSO DE RECLAMACIÓN. SU INTERPOSICIÓN NO ES EXTEMPORÁNEA SI SE REALIZA ANTES DE QUE INICIE EL PLAZO PARA HACERLO. 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w:t>
      </w:r>
      <w:r w:rsidRPr="005212F0">
        <w:rPr>
          <w:rFonts w:ascii="Palatino Linotype" w:eastAsia="Palatino Linotype" w:hAnsi="Palatino Linotype" w:cs="Palatino Linotype"/>
          <w:color w:val="000000"/>
        </w:rPr>
        <w:lastRenderedPageBreak/>
        <w:t>recurso se interpone antes de que inicie el plazo para hacerlo, su presentación no es extemporánea.”</w:t>
      </w:r>
    </w:p>
    <w:p w14:paraId="3C8B0EC9" w14:textId="77777777" w:rsidR="004E3E84" w:rsidRPr="005212F0" w:rsidRDefault="004E3E8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DC2FE60" w14:textId="77777777" w:rsidR="004E3E84" w:rsidRPr="005212F0" w:rsidRDefault="00842494">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5212F0">
        <w:rPr>
          <w:rFonts w:ascii="Palatino Linotype" w:eastAsia="Palatino Linotype" w:hAnsi="Palatino Linotype" w:cs="Palatino Linotype"/>
          <w:color w:val="000000"/>
        </w:rPr>
        <w:t>Esto es así porque en primer lugar es necesario que EL RECURRENTE conozca el acto que le provoca agravio y a partir de ahí formular su recurso de revisión señalando tanto el acto impugnado como el motivo de inconformidad. Y si bien la ley señala que el plazo corre un día después de haber sido notificada la respuesta, en nada se afecta al proceso que el mismo día de notificada EL RECURRENTE actúe, ya que al contrario lo que demuestra es el interés del mismo para ejercer su derecho bajo el principio constitucional de justicia expedita.</w:t>
      </w:r>
    </w:p>
    <w:p w14:paraId="7CA57C0B" w14:textId="77777777" w:rsidR="004E3E84" w:rsidRPr="005212F0" w:rsidRDefault="004E3E8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394A3A9" w14:textId="77777777" w:rsidR="004E3E84" w:rsidRPr="005212F0" w:rsidRDefault="00842494">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5212F0">
        <w:rPr>
          <w:rFonts w:ascii="Palatino Linotype" w:eastAsia="Palatino Linotype" w:hAnsi="Palatino Linotype" w:cs="Palatino Linotype"/>
          <w:color w:val="000000"/>
        </w:rPr>
        <w:t>Por lo que la presentación del recurso, el mismo día del conocimiento de la respuesta, -se insiste- no constituye un acto que altere el procedimiento, solo permite su gestión de manera rápida lo que no afecta ningún principio procesal y es protector del derecho de acceso a la justicia pronta y expedita.</w:t>
      </w:r>
    </w:p>
    <w:p w14:paraId="2857795D" w14:textId="77777777" w:rsidR="004E3E84" w:rsidRPr="005212F0" w:rsidRDefault="004E3E8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ED7BF13" w14:textId="77777777" w:rsidR="004E3E84" w:rsidRPr="005212F0" w:rsidRDefault="00842494">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5212F0">
        <w:rPr>
          <w:rFonts w:ascii="Palatino Linotype" w:eastAsia="Palatino Linotype" w:hAnsi="Palatino Linotype" w:cs="Palatino Linotype"/>
          <w:color w:val="000000"/>
        </w:rPr>
        <w:t>Por lo tanto, la interposición del recurso de revisión antes de que inicie el plazo para su presentación no es determinante para declararlo extemporáneo, siempre y cuando ello ocurra de manera posterior a que se ha notificado la respuesta del SUJETO OBLIGADO.</w:t>
      </w:r>
    </w:p>
    <w:p w14:paraId="75CA1105" w14:textId="77777777" w:rsidR="004E3E84" w:rsidRPr="005212F0" w:rsidRDefault="004E3E8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3FBD3D7" w14:textId="77777777" w:rsidR="004E3E84" w:rsidRPr="005212F0" w:rsidRDefault="00842494">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5212F0">
        <w:rPr>
          <w:rFonts w:ascii="Palatino Linotype" w:eastAsia="Palatino Linotype" w:hAnsi="Palatino Linotype" w:cs="Palatino Linotype"/>
          <w:color w:val="000000"/>
        </w:rPr>
        <w:t xml:space="preserve">Por otro lado, es de suma importancia señalar que la parte recurrente no proporciona un nombre o datos de identificación como se advierte en el detalle de seguimiento del SAIMEX, no obstante lo anterior, no proporcionar el nombre </w:t>
      </w:r>
      <w:r w:rsidRPr="005212F0">
        <w:rPr>
          <w:rFonts w:ascii="Palatino Linotype" w:eastAsia="Palatino Linotype" w:hAnsi="Palatino Linotype" w:cs="Palatino Linotype"/>
          <w:color w:val="000000"/>
        </w:rPr>
        <w:lastRenderedPageBreak/>
        <w:t>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7F13B69" w14:textId="77777777" w:rsidR="004E3E84" w:rsidRPr="005212F0" w:rsidRDefault="00842494">
      <w:pPr>
        <w:spacing w:line="360" w:lineRule="auto"/>
        <w:ind w:left="567" w:right="476"/>
        <w:jc w:val="both"/>
        <w:rPr>
          <w:rFonts w:ascii="Palatino Linotype" w:eastAsia="Palatino Linotype" w:hAnsi="Palatino Linotype" w:cs="Palatino Linotype"/>
          <w:i/>
          <w:sz w:val="22"/>
        </w:rPr>
      </w:pPr>
      <w:r w:rsidRPr="005212F0">
        <w:rPr>
          <w:rFonts w:ascii="Palatino Linotype" w:eastAsia="Palatino Linotype" w:hAnsi="Palatino Linotype" w:cs="Palatino Linotype"/>
          <w:i/>
          <w:sz w:val="22"/>
        </w:rPr>
        <w:t>"</w:t>
      </w:r>
      <w:r w:rsidRPr="005212F0">
        <w:rPr>
          <w:rFonts w:ascii="Palatino Linotype" w:eastAsia="Palatino Linotype" w:hAnsi="Palatino Linotype" w:cs="Palatino Linotype"/>
          <w:b/>
          <w:i/>
          <w:sz w:val="22"/>
        </w:rPr>
        <w:t>Las solicitudes anónimas</w:t>
      </w:r>
      <w:r w:rsidRPr="005212F0">
        <w:rPr>
          <w:rFonts w:ascii="Palatino Linotype" w:eastAsia="Palatino Linotype" w:hAnsi="Palatino Linotype" w:cs="Palatino Linotype"/>
          <w:i/>
          <w:sz w:val="22"/>
        </w:rPr>
        <w:t xml:space="preserve">, con nombre incompleto o seudónimo </w:t>
      </w:r>
      <w:r w:rsidRPr="005212F0">
        <w:rPr>
          <w:rFonts w:ascii="Palatino Linotype" w:eastAsia="Palatino Linotype" w:hAnsi="Palatino Linotype" w:cs="Palatino Linotype"/>
          <w:b/>
          <w:i/>
          <w:sz w:val="22"/>
        </w:rPr>
        <w:t>serán procedentes para su trámite por parte del sujeto obligado ante quien se presente</w:t>
      </w:r>
      <w:r w:rsidRPr="005212F0">
        <w:rPr>
          <w:rFonts w:ascii="Palatino Linotype" w:eastAsia="Palatino Linotype" w:hAnsi="Palatino Linotype" w:cs="Palatino Linotype"/>
          <w:i/>
          <w:sz w:val="22"/>
        </w:rPr>
        <w:t>. No podrá requerirse información adicional con motivo del nombre proporcionado por el solicitante."</w:t>
      </w:r>
    </w:p>
    <w:p w14:paraId="4C80EA75" w14:textId="77777777" w:rsidR="004E3E84" w:rsidRPr="005212F0" w:rsidRDefault="004E3E84">
      <w:pPr>
        <w:spacing w:line="360" w:lineRule="auto"/>
        <w:jc w:val="both"/>
        <w:rPr>
          <w:rFonts w:ascii="Palatino Linotype" w:eastAsia="Palatino Linotype" w:hAnsi="Palatino Linotype" w:cs="Palatino Linotype"/>
        </w:rPr>
      </w:pPr>
    </w:p>
    <w:p w14:paraId="08AF7701" w14:textId="77777777" w:rsidR="004E3E84" w:rsidRPr="005212F0" w:rsidRDefault="00842494">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5212F0">
        <w:rPr>
          <w:rFonts w:ascii="Palatino Linotype" w:eastAsia="Palatino Linotype" w:hAnsi="Palatino Linotype" w:cs="Palatino Linotype"/>
          <w:color w:val="000000"/>
        </w:rPr>
        <w:t>Robusteciendo lo anterior se encuentra lo dispuesto en el artículo 6, Apartado A, fracciones III de la Constitución Política de los Estados Unidos Mexicanos que establece:</w:t>
      </w:r>
    </w:p>
    <w:p w14:paraId="7CC44CBD" w14:textId="77777777" w:rsidR="004E3E84" w:rsidRPr="005212F0" w:rsidRDefault="00842494">
      <w:pPr>
        <w:spacing w:line="360" w:lineRule="auto"/>
        <w:ind w:left="1134" w:right="900"/>
        <w:jc w:val="both"/>
        <w:rPr>
          <w:rFonts w:ascii="Palatino Linotype" w:eastAsia="Palatino Linotype" w:hAnsi="Palatino Linotype" w:cs="Palatino Linotype"/>
          <w:i/>
          <w:sz w:val="22"/>
        </w:rPr>
      </w:pPr>
      <w:r w:rsidRPr="005212F0">
        <w:rPr>
          <w:rFonts w:ascii="Palatino Linotype" w:eastAsia="Palatino Linotype" w:hAnsi="Palatino Linotype" w:cs="Palatino Linotype"/>
          <w:i/>
          <w:sz w:val="22"/>
        </w:rPr>
        <w:t>"</w:t>
      </w:r>
      <w:r w:rsidRPr="005212F0">
        <w:rPr>
          <w:rFonts w:ascii="Palatino Linotype" w:eastAsia="Palatino Linotype" w:hAnsi="Palatino Linotype" w:cs="Palatino Linotype"/>
          <w:b/>
          <w:i/>
          <w:sz w:val="22"/>
        </w:rPr>
        <w:t>Artículo 6.-</w:t>
      </w:r>
      <w:r w:rsidRPr="005212F0">
        <w:rPr>
          <w:rFonts w:ascii="Palatino Linotype" w:eastAsia="Palatino Linotype" w:hAnsi="Palatino Linotype" w:cs="Palatino Linotype"/>
          <w:i/>
          <w:sz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11C0F3D0" w14:textId="77777777" w:rsidR="004E3E84" w:rsidRPr="005212F0" w:rsidRDefault="00842494">
      <w:pPr>
        <w:spacing w:line="360" w:lineRule="auto"/>
        <w:ind w:left="1134" w:right="900"/>
        <w:jc w:val="both"/>
        <w:rPr>
          <w:rFonts w:ascii="Palatino Linotype" w:eastAsia="Palatino Linotype" w:hAnsi="Palatino Linotype" w:cs="Palatino Linotype"/>
          <w:i/>
          <w:sz w:val="22"/>
        </w:rPr>
      </w:pPr>
      <w:r w:rsidRPr="005212F0">
        <w:rPr>
          <w:rFonts w:ascii="Palatino Linotype" w:eastAsia="Palatino Linotype" w:hAnsi="Palatino Linotype" w:cs="Palatino Linotype"/>
          <w:i/>
          <w:sz w:val="22"/>
        </w:rPr>
        <w:t>Para efectos de lo dispuesto en el presente artículo se observará lo siguiente:</w:t>
      </w:r>
    </w:p>
    <w:p w14:paraId="32561D7F" w14:textId="77777777" w:rsidR="004E3E84" w:rsidRPr="005212F0" w:rsidRDefault="004E3E84">
      <w:pPr>
        <w:spacing w:line="360" w:lineRule="auto"/>
        <w:ind w:left="1134" w:right="900"/>
        <w:jc w:val="both"/>
        <w:rPr>
          <w:rFonts w:ascii="Palatino Linotype" w:eastAsia="Palatino Linotype" w:hAnsi="Palatino Linotype" w:cs="Palatino Linotype"/>
          <w:i/>
          <w:sz w:val="22"/>
        </w:rPr>
      </w:pPr>
    </w:p>
    <w:p w14:paraId="2CB66E0D" w14:textId="77777777" w:rsidR="004E3E84" w:rsidRPr="005212F0" w:rsidRDefault="00842494">
      <w:pPr>
        <w:spacing w:line="360" w:lineRule="auto"/>
        <w:ind w:left="1134" w:right="900"/>
        <w:jc w:val="both"/>
        <w:rPr>
          <w:rFonts w:ascii="Palatino Linotype" w:eastAsia="Palatino Linotype" w:hAnsi="Palatino Linotype" w:cs="Palatino Linotype"/>
          <w:i/>
          <w:sz w:val="22"/>
        </w:rPr>
      </w:pPr>
      <w:r w:rsidRPr="005212F0">
        <w:rPr>
          <w:rFonts w:ascii="Palatino Linotype" w:eastAsia="Palatino Linotype" w:hAnsi="Palatino Linotype" w:cs="Palatino Linotype"/>
          <w:i/>
          <w:sz w:val="22"/>
        </w:rPr>
        <w:t>A. Para el ejercicio del derecho de acceso a la información, la Federación, los Estados y el Distrito Federal, en el ámbito de sus respectivas competencias, se regirán por los siguientes principios y bases:</w:t>
      </w:r>
    </w:p>
    <w:p w14:paraId="6DA8A530" w14:textId="77777777" w:rsidR="004E3E84" w:rsidRPr="005212F0" w:rsidRDefault="004E3E84">
      <w:pPr>
        <w:spacing w:line="360" w:lineRule="auto"/>
        <w:ind w:left="1134" w:right="900"/>
        <w:jc w:val="both"/>
        <w:rPr>
          <w:rFonts w:ascii="Palatino Linotype" w:eastAsia="Palatino Linotype" w:hAnsi="Palatino Linotype" w:cs="Palatino Linotype"/>
          <w:i/>
          <w:sz w:val="22"/>
        </w:rPr>
      </w:pPr>
    </w:p>
    <w:p w14:paraId="79D612AD" w14:textId="77777777" w:rsidR="004E3E84" w:rsidRPr="005212F0" w:rsidRDefault="00842494">
      <w:pPr>
        <w:spacing w:line="360" w:lineRule="auto"/>
        <w:ind w:left="1134" w:right="900"/>
        <w:jc w:val="both"/>
        <w:rPr>
          <w:rFonts w:ascii="Palatino Linotype" w:eastAsia="Palatino Linotype" w:hAnsi="Palatino Linotype" w:cs="Palatino Linotype"/>
          <w:i/>
          <w:sz w:val="22"/>
        </w:rPr>
      </w:pPr>
      <w:r w:rsidRPr="005212F0">
        <w:rPr>
          <w:rFonts w:ascii="Palatino Linotype" w:eastAsia="Palatino Linotype" w:hAnsi="Palatino Linotype" w:cs="Palatino Linotype"/>
          <w:i/>
          <w:sz w:val="22"/>
        </w:rPr>
        <w:t xml:space="preserve">III. Toda persona, sin necesidad de acreditar interés alguno o justificar su utilización, tendrá acceso gratuito a la información pública, a sus datos personales o a la rectificación de éstos.” </w:t>
      </w:r>
      <w:r w:rsidRPr="005212F0">
        <w:rPr>
          <w:rFonts w:ascii="Palatino Linotype" w:eastAsia="Palatino Linotype" w:hAnsi="Palatino Linotype" w:cs="Palatino Linotype"/>
          <w:sz w:val="22"/>
        </w:rPr>
        <w:t>(Sic)</w:t>
      </w:r>
    </w:p>
    <w:p w14:paraId="625478BE" w14:textId="77777777" w:rsidR="004E3E84" w:rsidRPr="005212F0" w:rsidRDefault="00842494">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5212F0">
        <w:rPr>
          <w:rFonts w:ascii="Palatino Linotype" w:eastAsia="Palatino Linotype" w:hAnsi="Palatino Linotype" w:cs="Palatino Linotype"/>
          <w:color w:val="000000"/>
        </w:rPr>
        <w:lastRenderedPageBreak/>
        <w:t>Así como el artículo 5 fracción III, párrafo vigésimo noveno, trigésimo y trigésimo primero, de la Constitución Política del Estado Libre y Soberano de México, que determina lo siguiente:</w:t>
      </w:r>
    </w:p>
    <w:p w14:paraId="37A26B4A" w14:textId="77777777" w:rsidR="004E3E84" w:rsidRPr="005212F0" w:rsidRDefault="00842494">
      <w:pPr>
        <w:spacing w:line="360" w:lineRule="auto"/>
        <w:ind w:left="1134" w:right="900"/>
        <w:jc w:val="both"/>
        <w:rPr>
          <w:rFonts w:ascii="Palatino Linotype" w:eastAsia="Palatino Linotype" w:hAnsi="Palatino Linotype" w:cs="Palatino Linotype"/>
          <w:i/>
          <w:sz w:val="22"/>
        </w:rPr>
      </w:pPr>
      <w:r w:rsidRPr="005212F0">
        <w:rPr>
          <w:rFonts w:ascii="Palatino Linotype" w:eastAsia="Palatino Linotype" w:hAnsi="Palatino Linotype" w:cs="Palatino Linotype"/>
          <w:i/>
          <w:sz w:val="22"/>
        </w:rPr>
        <w:t>"</w:t>
      </w:r>
      <w:r w:rsidRPr="005212F0">
        <w:rPr>
          <w:rFonts w:ascii="Palatino Linotype" w:eastAsia="Palatino Linotype" w:hAnsi="Palatino Linotype" w:cs="Palatino Linotype"/>
          <w:b/>
          <w:i/>
          <w:sz w:val="22"/>
        </w:rPr>
        <w:t>Artículo 5.-</w:t>
      </w:r>
      <w:r w:rsidRPr="005212F0">
        <w:rPr>
          <w:rFonts w:ascii="Palatino Linotype" w:eastAsia="Palatino Linotype" w:hAnsi="Palatino Linotype" w:cs="Palatino Linotype"/>
          <w:i/>
          <w:sz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6CFACAB3" w14:textId="77777777" w:rsidR="004E3E84" w:rsidRPr="005212F0" w:rsidRDefault="00842494">
      <w:pPr>
        <w:spacing w:line="360" w:lineRule="auto"/>
        <w:ind w:left="1134" w:right="900"/>
        <w:jc w:val="both"/>
        <w:rPr>
          <w:rFonts w:ascii="Palatino Linotype" w:eastAsia="Palatino Linotype" w:hAnsi="Palatino Linotype" w:cs="Palatino Linotype"/>
          <w:i/>
          <w:sz w:val="22"/>
        </w:rPr>
      </w:pPr>
      <w:r w:rsidRPr="005212F0">
        <w:rPr>
          <w:rFonts w:ascii="Palatino Linotype" w:eastAsia="Palatino Linotype" w:hAnsi="Palatino Linotype" w:cs="Palatino Linotype"/>
          <w:i/>
          <w:sz w:val="22"/>
        </w:rPr>
        <w:t>…</w:t>
      </w:r>
    </w:p>
    <w:p w14:paraId="6C3F268B" w14:textId="77777777" w:rsidR="004E3E84" w:rsidRPr="005212F0" w:rsidRDefault="00842494">
      <w:pPr>
        <w:spacing w:line="360" w:lineRule="auto"/>
        <w:ind w:left="1134" w:right="900"/>
        <w:jc w:val="both"/>
        <w:rPr>
          <w:rFonts w:ascii="Palatino Linotype" w:eastAsia="Palatino Linotype" w:hAnsi="Palatino Linotype" w:cs="Palatino Linotype"/>
          <w:i/>
          <w:sz w:val="22"/>
        </w:rPr>
      </w:pPr>
      <w:r w:rsidRPr="005212F0">
        <w:rPr>
          <w:rFonts w:ascii="Palatino Linotype" w:eastAsia="Palatino Linotype" w:hAnsi="Palatino Linotype" w:cs="Palatino Linotype"/>
          <w:i/>
          <w:sz w:val="22"/>
        </w:rPr>
        <w:t>Toda persona en el Estado de México, tiene derecho al libre acceso a la información plural y oportuna, así como a buscar recibir y difundir información e ideas de toda índole por cualquier medio de expresión.</w:t>
      </w:r>
    </w:p>
    <w:p w14:paraId="4DB68387" w14:textId="77777777" w:rsidR="004E3E84" w:rsidRPr="005212F0" w:rsidRDefault="00842494">
      <w:pPr>
        <w:spacing w:line="360" w:lineRule="auto"/>
        <w:ind w:left="1134" w:right="900"/>
        <w:jc w:val="both"/>
        <w:rPr>
          <w:rFonts w:ascii="Palatino Linotype" w:eastAsia="Palatino Linotype" w:hAnsi="Palatino Linotype" w:cs="Palatino Linotype"/>
          <w:i/>
          <w:sz w:val="22"/>
        </w:rPr>
      </w:pPr>
      <w:r w:rsidRPr="005212F0">
        <w:rPr>
          <w:rFonts w:ascii="Palatino Linotype" w:eastAsia="Palatino Linotype" w:hAnsi="Palatino Linotype" w:cs="Palatino Linotype"/>
          <w:i/>
          <w:sz w:val="22"/>
        </w:rPr>
        <w:t>...</w:t>
      </w:r>
    </w:p>
    <w:p w14:paraId="6DE0B492" w14:textId="77777777" w:rsidR="004E3E84" w:rsidRPr="005212F0" w:rsidRDefault="00842494">
      <w:pPr>
        <w:spacing w:line="360" w:lineRule="auto"/>
        <w:ind w:left="1134" w:right="900"/>
        <w:jc w:val="both"/>
        <w:rPr>
          <w:rFonts w:ascii="Palatino Linotype" w:eastAsia="Palatino Linotype" w:hAnsi="Palatino Linotype" w:cs="Palatino Linotype"/>
          <w:i/>
          <w:sz w:val="22"/>
        </w:rPr>
      </w:pPr>
      <w:r w:rsidRPr="005212F0">
        <w:rPr>
          <w:rFonts w:ascii="Palatino Linotype" w:eastAsia="Palatino Linotype" w:hAnsi="Palatino Linotype" w:cs="Palatino Linotype"/>
          <w:i/>
          <w:sz w:val="22"/>
        </w:rPr>
        <w:t>El derecho a la información será garantizado por el Estado. La ley establecerá las previsiones que permitan asegurar la protección, el respeto y la difusión de este derecho.</w:t>
      </w:r>
    </w:p>
    <w:p w14:paraId="607C3FC5" w14:textId="77777777" w:rsidR="004E3E84" w:rsidRPr="005212F0" w:rsidRDefault="00842494">
      <w:pPr>
        <w:spacing w:line="360" w:lineRule="auto"/>
        <w:ind w:left="1134" w:right="900"/>
        <w:jc w:val="both"/>
        <w:rPr>
          <w:rFonts w:ascii="Palatino Linotype" w:eastAsia="Palatino Linotype" w:hAnsi="Palatino Linotype" w:cs="Palatino Linotype"/>
          <w:i/>
          <w:sz w:val="22"/>
        </w:rPr>
      </w:pPr>
      <w:r w:rsidRPr="005212F0">
        <w:rPr>
          <w:rFonts w:ascii="Palatino Linotype" w:eastAsia="Palatino Linotype" w:hAnsi="Palatino Linotype" w:cs="Palatino Linotype"/>
          <w:i/>
          <w:sz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19A756CA" w14:textId="77777777" w:rsidR="004E3E84" w:rsidRPr="005212F0" w:rsidRDefault="00842494">
      <w:pPr>
        <w:spacing w:line="360" w:lineRule="auto"/>
        <w:ind w:left="1134" w:right="900"/>
        <w:jc w:val="both"/>
        <w:rPr>
          <w:rFonts w:ascii="Palatino Linotype" w:eastAsia="Palatino Linotype" w:hAnsi="Palatino Linotype" w:cs="Palatino Linotype"/>
          <w:i/>
          <w:sz w:val="22"/>
        </w:rPr>
      </w:pPr>
      <w:r w:rsidRPr="005212F0">
        <w:rPr>
          <w:rFonts w:ascii="Palatino Linotype" w:eastAsia="Palatino Linotype" w:hAnsi="Palatino Linotype" w:cs="Palatino Linotype"/>
          <w:i/>
          <w:sz w:val="22"/>
        </w:rPr>
        <w:t>III. Toda persona, sin necesidad de acreditar interés alguno o justificar su utilización, tendrá acceso gratuito a la información pública, a sus datos personales o a la rectificación de éstos;</w:t>
      </w:r>
    </w:p>
    <w:p w14:paraId="43B93E47" w14:textId="77777777" w:rsidR="004E3E84" w:rsidRPr="005212F0" w:rsidRDefault="00842494">
      <w:pPr>
        <w:spacing w:line="360" w:lineRule="auto"/>
        <w:ind w:left="1134" w:right="900"/>
        <w:jc w:val="both"/>
        <w:rPr>
          <w:rFonts w:ascii="Palatino Linotype" w:eastAsia="Palatino Linotype" w:hAnsi="Palatino Linotype" w:cs="Palatino Linotype"/>
          <w:i/>
          <w:sz w:val="22"/>
        </w:rPr>
      </w:pPr>
      <w:r w:rsidRPr="005212F0">
        <w:rPr>
          <w:rFonts w:ascii="Palatino Linotype" w:eastAsia="Palatino Linotype" w:hAnsi="Palatino Linotype" w:cs="Palatino Linotype"/>
          <w:i/>
          <w:sz w:val="22"/>
        </w:rPr>
        <w:lastRenderedPageBreak/>
        <w:t>...</w:t>
      </w:r>
    </w:p>
    <w:p w14:paraId="3496FACB" w14:textId="77777777" w:rsidR="004E3E84" w:rsidRPr="005212F0" w:rsidRDefault="00842494">
      <w:pPr>
        <w:spacing w:line="360" w:lineRule="auto"/>
        <w:ind w:left="1134" w:right="900"/>
        <w:jc w:val="both"/>
        <w:rPr>
          <w:rFonts w:ascii="Palatino Linotype" w:eastAsia="Palatino Linotype" w:hAnsi="Palatino Linotype" w:cs="Palatino Linotype"/>
          <w:i/>
          <w:sz w:val="22"/>
        </w:rPr>
      </w:pPr>
      <w:r w:rsidRPr="005212F0">
        <w:rPr>
          <w:rFonts w:ascii="Palatino Linotype" w:eastAsia="Palatino Linotype" w:hAnsi="Palatino Linotype" w:cs="Palatino Linotype"/>
          <w:i/>
          <w:sz w:val="22"/>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5212F0">
        <w:rPr>
          <w:rFonts w:ascii="Palatino Linotype" w:eastAsia="Palatino Linotype" w:hAnsi="Palatino Linotype" w:cs="Palatino Linotype"/>
          <w:sz w:val="22"/>
        </w:rPr>
        <w:t>(Sic)</w:t>
      </w:r>
    </w:p>
    <w:p w14:paraId="1F1FFEC9" w14:textId="77777777" w:rsidR="004E3E84" w:rsidRPr="005212F0" w:rsidRDefault="004E3E84">
      <w:pPr>
        <w:spacing w:line="360" w:lineRule="auto"/>
        <w:ind w:left="1134" w:right="900"/>
        <w:jc w:val="both"/>
        <w:rPr>
          <w:rFonts w:ascii="Palatino Linotype" w:eastAsia="Palatino Linotype" w:hAnsi="Palatino Linotype" w:cs="Palatino Linotype"/>
          <w:i/>
        </w:rPr>
      </w:pPr>
    </w:p>
    <w:p w14:paraId="297E31F9" w14:textId="77777777" w:rsidR="004E3E84" w:rsidRPr="005212F0" w:rsidRDefault="00842494">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5212F0">
        <w:rPr>
          <w:rFonts w:ascii="Palatino Linotype" w:eastAsia="Palatino Linotype" w:hAnsi="Palatino Linotype" w:cs="Palatino Linotype"/>
          <w:color w:val="000000"/>
        </w:rPr>
        <w:t>Por otra parte, del contenido del artículo 1 de la Constitución Política de los Estados Unidos mexicanos, se destaca lo siguiente:</w:t>
      </w:r>
    </w:p>
    <w:p w14:paraId="694FE5D6" w14:textId="77777777" w:rsidR="004E3E84" w:rsidRPr="005212F0" w:rsidRDefault="00842494">
      <w:pPr>
        <w:spacing w:line="360" w:lineRule="auto"/>
        <w:ind w:left="1276" w:right="900"/>
        <w:jc w:val="both"/>
        <w:rPr>
          <w:rFonts w:ascii="Palatino Linotype" w:eastAsia="Palatino Linotype" w:hAnsi="Palatino Linotype" w:cs="Palatino Linotype"/>
          <w:i/>
          <w:sz w:val="22"/>
        </w:rPr>
      </w:pPr>
      <w:r w:rsidRPr="005212F0">
        <w:rPr>
          <w:rFonts w:ascii="Palatino Linotype" w:eastAsia="Palatino Linotype" w:hAnsi="Palatino Linotype" w:cs="Palatino Linotype"/>
          <w:i/>
          <w:sz w:val="22"/>
        </w:rPr>
        <w:t>"</w:t>
      </w:r>
      <w:r w:rsidRPr="005212F0">
        <w:rPr>
          <w:rFonts w:ascii="Palatino Linotype" w:eastAsia="Palatino Linotype" w:hAnsi="Palatino Linotype" w:cs="Palatino Linotype"/>
          <w:b/>
          <w:i/>
          <w:sz w:val="22"/>
        </w:rPr>
        <w:t>Artículo 1</w:t>
      </w:r>
      <w:r w:rsidRPr="005212F0">
        <w:rPr>
          <w:rFonts w:ascii="Palatino Linotype" w:eastAsia="Palatino Linotype" w:hAnsi="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39312E6A" w14:textId="77777777" w:rsidR="004E3E84" w:rsidRPr="005212F0" w:rsidRDefault="00842494">
      <w:pPr>
        <w:spacing w:line="360" w:lineRule="auto"/>
        <w:ind w:left="1276" w:right="900"/>
        <w:jc w:val="both"/>
        <w:rPr>
          <w:rFonts w:ascii="Palatino Linotype" w:eastAsia="Palatino Linotype" w:hAnsi="Palatino Linotype" w:cs="Palatino Linotype"/>
          <w:i/>
          <w:sz w:val="22"/>
        </w:rPr>
      </w:pPr>
      <w:r w:rsidRPr="005212F0">
        <w:rPr>
          <w:rFonts w:ascii="Palatino Linotype" w:eastAsia="Palatino Linotype" w:hAnsi="Palatino Linotype" w:cs="Palatino Linotype"/>
          <w:i/>
          <w:sz w:val="22"/>
        </w:rPr>
        <w:t>Las normas relativas a los derechos humanos se interpretarán de conformidad con esta Constitución y con los tratados internacionales de la materia favoreciendo en todo tiempo a las personas la protección más amplia.</w:t>
      </w:r>
    </w:p>
    <w:p w14:paraId="2ECE7306" w14:textId="77777777" w:rsidR="004E3E84" w:rsidRPr="005212F0" w:rsidRDefault="00842494">
      <w:pPr>
        <w:spacing w:line="360" w:lineRule="auto"/>
        <w:ind w:left="1276" w:right="900"/>
        <w:jc w:val="both"/>
        <w:rPr>
          <w:rFonts w:ascii="Palatino Linotype" w:eastAsia="Palatino Linotype" w:hAnsi="Palatino Linotype" w:cs="Palatino Linotype"/>
          <w:i/>
          <w:sz w:val="22"/>
        </w:rPr>
      </w:pPr>
      <w:r w:rsidRPr="005212F0">
        <w:rPr>
          <w:rFonts w:ascii="Palatino Linotype" w:eastAsia="Palatino Linotype" w:hAnsi="Palatino Linotype" w:cs="Palatino Linotype"/>
          <w:i/>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6E38C2C4" w14:textId="77777777" w:rsidR="004E3E84" w:rsidRPr="005212F0" w:rsidRDefault="00842494">
      <w:pPr>
        <w:numPr>
          <w:ilvl w:val="0"/>
          <w:numId w:val="9"/>
        </w:numPr>
        <w:spacing w:line="360" w:lineRule="auto"/>
        <w:ind w:left="0" w:firstLine="0"/>
        <w:jc w:val="both"/>
        <w:rPr>
          <w:rFonts w:ascii="Palatino Linotype" w:eastAsia="Palatino Linotype" w:hAnsi="Palatino Linotype" w:cs="Palatino Linotype"/>
        </w:rPr>
      </w:pPr>
      <w:r w:rsidRPr="005212F0">
        <w:rPr>
          <w:rFonts w:ascii="Palatino Linotype" w:eastAsia="Palatino Linotype" w:hAnsi="Palatino Linotype" w:cs="Palatino Linotype"/>
        </w:rPr>
        <w:lastRenderedPageBreak/>
        <w:t xml:space="preserve">Esto es, que el derecho humano de acceso a la información pública, se aprecia que toda persona, sin necesidad de acreditar interés alguno o justificar su interposición, deberá tener acceso a la información pública, es decir, dicho </w:t>
      </w:r>
      <w:r w:rsidRPr="005212F0">
        <w:rPr>
          <w:rFonts w:ascii="Palatino Linotype" w:eastAsia="Palatino Linotype" w:hAnsi="Palatino Linotype" w:cs="Palatino Linotype"/>
          <w:i/>
        </w:rPr>
        <w:t>derecho fundamental exime a quien lo ejerce</w:t>
      </w:r>
      <w:r w:rsidRPr="005212F0">
        <w:rPr>
          <w:rFonts w:ascii="Palatino Linotype" w:eastAsia="Palatino Linotype" w:hAnsi="Palatino Linotype" w:cs="Palatino Linotype"/>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1294D12B" w14:textId="77777777" w:rsidR="004E3E84" w:rsidRPr="005212F0" w:rsidRDefault="004E3E84">
      <w:pPr>
        <w:spacing w:line="360" w:lineRule="auto"/>
        <w:jc w:val="both"/>
        <w:rPr>
          <w:rFonts w:ascii="Palatino Linotype" w:eastAsia="Palatino Linotype" w:hAnsi="Palatino Linotype" w:cs="Palatino Linotype"/>
        </w:rPr>
      </w:pPr>
    </w:p>
    <w:p w14:paraId="72290AC0" w14:textId="77777777" w:rsidR="004E3E84" w:rsidRPr="005212F0" w:rsidRDefault="00842494">
      <w:pPr>
        <w:numPr>
          <w:ilvl w:val="0"/>
          <w:numId w:val="9"/>
        </w:numPr>
        <w:spacing w:line="360" w:lineRule="auto"/>
        <w:ind w:left="0" w:firstLine="0"/>
        <w:jc w:val="both"/>
        <w:rPr>
          <w:rFonts w:ascii="Palatino Linotype" w:eastAsia="Palatino Linotype" w:hAnsi="Palatino Linotype" w:cs="Palatino Linotype"/>
        </w:rPr>
      </w:pPr>
      <w:r w:rsidRPr="005212F0">
        <w:rPr>
          <w:rFonts w:ascii="Palatino Linotype" w:eastAsia="Palatino Linotype" w:hAnsi="Palatino Linotype" w:cs="Palatino Linotype"/>
        </w:rPr>
        <w:t xml:space="preserve">En consecuencia, dado lo expuesto y fundado con anterioridad, se estima que el requisito relativo al nombre del </w:t>
      </w:r>
      <w:r w:rsidRPr="005212F0">
        <w:rPr>
          <w:rFonts w:ascii="Palatino Linotype" w:eastAsia="Palatino Linotype" w:hAnsi="Palatino Linotype" w:cs="Palatino Linotype"/>
          <w:b/>
        </w:rPr>
        <w:t>RECURRENTE</w:t>
      </w:r>
      <w:r w:rsidRPr="005212F0">
        <w:rPr>
          <w:rFonts w:ascii="Palatino Linotype" w:eastAsia="Palatino Linotype" w:hAnsi="Palatino Linotype" w:cs="Palatino Linotype"/>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2B8E676E" w14:textId="77777777" w:rsidR="004E3E84" w:rsidRPr="005212F0" w:rsidRDefault="004E3E84">
      <w:pPr>
        <w:spacing w:line="360" w:lineRule="auto"/>
        <w:rPr>
          <w:rFonts w:ascii="Palatino Linotype" w:eastAsia="Palatino Linotype" w:hAnsi="Palatino Linotype" w:cs="Palatino Linotype"/>
        </w:rPr>
      </w:pPr>
    </w:p>
    <w:p w14:paraId="1122AE39" w14:textId="77777777" w:rsidR="004E3E84" w:rsidRPr="005212F0" w:rsidRDefault="00842494">
      <w:pPr>
        <w:numPr>
          <w:ilvl w:val="0"/>
          <w:numId w:val="9"/>
        </w:numPr>
        <w:spacing w:line="360" w:lineRule="auto"/>
        <w:ind w:left="0" w:firstLine="0"/>
        <w:jc w:val="both"/>
        <w:rPr>
          <w:rFonts w:ascii="Palatino Linotype" w:eastAsia="Palatino Linotype" w:hAnsi="Palatino Linotype" w:cs="Palatino Linotype"/>
        </w:rPr>
      </w:pPr>
      <w:r w:rsidRPr="005212F0">
        <w:rPr>
          <w:rFonts w:ascii="Palatino Linotype" w:eastAsia="Palatino Linotype" w:hAnsi="Palatino Linotype" w:cs="Palatino Linotype"/>
        </w:rPr>
        <w:t xml:space="preserve">Asimismo, el escrito contiene las formalidades previstas por el artículo 180 último párrafo de la Ley de la materia actual, por lo que es procedente que este </w:t>
      </w:r>
      <w:r w:rsidRPr="005212F0">
        <w:rPr>
          <w:rFonts w:ascii="Palatino Linotype" w:eastAsia="Palatino Linotype" w:hAnsi="Palatino Linotype" w:cs="Palatino Linotype"/>
        </w:rPr>
        <w:lastRenderedPageBreak/>
        <w:t>Instituto de Transparencia, Acceso a la Información Pública y Protección de Datos Personales del Estado de México y Municipios, conozca y resuelva el presente recurso.</w:t>
      </w:r>
    </w:p>
    <w:p w14:paraId="7A826A37" w14:textId="77777777" w:rsidR="004E3E84" w:rsidRPr="005212F0" w:rsidRDefault="004E3E84">
      <w:pPr>
        <w:spacing w:line="360" w:lineRule="auto"/>
        <w:jc w:val="both"/>
        <w:rPr>
          <w:rFonts w:ascii="Palatino Linotype" w:eastAsia="Palatino Linotype" w:hAnsi="Palatino Linotype" w:cs="Palatino Linotype"/>
        </w:rPr>
      </w:pPr>
    </w:p>
    <w:p w14:paraId="7831B1F1" w14:textId="77777777" w:rsidR="004E3E84" w:rsidRPr="005212F0" w:rsidRDefault="00842494">
      <w:pPr>
        <w:numPr>
          <w:ilvl w:val="0"/>
          <w:numId w:val="9"/>
        </w:numPr>
        <w:spacing w:line="360" w:lineRule="auto"/>
        <w:ind w:left="0" w:firstLine="0"/>
        <w:jc w:val="both"/>
        <w:rPr>
          <w:rFonts w:ascii="Palatino Linotype" w:eastAsia="Palatino Linotype" w:hAnsi="Palatino Linotype" w:cs="Palatino Linotype"/>
        </w:rPr>
      </w:pPr>
      <w:r w:rsidRPr="005212F0">
        <w:rPr>
          <w:rFonts w:ascii="Palatino Linotype" w:eastAsia="Palatino Linotype" w:hAnsi="Palatino Linotype" w:cs="Palatino Linotype"/>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25847565" w14:textId="77777777" w:rsidR="004E3E84" w:rsidRPr="005212F0" w:rsidRDefault="004E3E8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5986D7E" w14:textId="77777777" w:rsidR="004E3E84" w:rsidRPr="005212F0" w:rsidRDefault="00842494">
      <w:pPr>
        <w:pStyle w:val="Ttulo2"/>
        <w:spacing w:before="0" w:line="360" w:lineRule="auto"/>
        <w:rPr>
          <w:rFonts w:ascii="Palatino Linotype" w:eastAsia="Palatino Linotype" w:hAnsi="Palatino Linotype" w:cs="Palatino Linotype"/>
          <w:b/>
          <w:color w:val="000000"/>
          <w:sz w:val="24"/>
          <w:szCs w:val="24"/>
        </w:rPr>
      </w:pPr>
      <w:bookmarkStart w:id="6" w:name="_heading=h.3dy6vkm" w:colFirst="0" w:colLast="0"/>
      <w:bookmarkEnd w:id="6"/>
      <w:r w:rsidRPr="005212F0">
        <w:rPr>
          <w:rFonts w:ascii="Palatino Linotype" w:eastAsia="Palatino Linotype" w:hAnsi="Palatino Linotype" w:cs="Palatino Linotype"/>
          <w:b/>
          <w:color w:val="000000"/>
          <w:sz w:val="24"/>
          <w:szCs w:val="24"/>
        </w:rPr>
        <w:t>TERCERO. Del planteamiento de la Litis</w:t>
      </w:r>
    </w:p>
    <w:p w14:paraId="50D8000D" w14:textId="77777777" w:rsidR="004E3E84" w:rsidRPr="005212F0" w:rsidRDefault="00842494">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5212F0">
        <w:rPr>
          <w:rFonts w:ascii="Palatino Linotype" w:eastAsia="Palatino Linotype" w:hAnsi="Palatino Linotype" w:cs="Palatino Linotype"/>
          <w:color w:val="000000"/>
        </w:rPr>
        <w:t>Se solicitó tener acceso, a la información que a continuación se desagrega:</w:t>
      </w:r>
    </w:p>
    <w:p w14:paraId="16E079C4" w14:textId="77777777" w:rsidR="004E3E84" w:rsidRPr="005212F0" w:rsidRDefault="00842494">
      <w:pPr>
        <w:numPr>
          <w:ilvl w:val="1"/>
          <w:numId w:val="11"/>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rPr>
      </w:pPr>
      <w:r w:rsidRPr="005212F0">
        <w:rPr>
          <w:rFonts w:ascii="Palatino Linotype" w:eastAsia="Palatino Linotype" w:hAnsi="Palatino Linotype" w:cs="Palatino Linotype"/>
          <w:b/>
          <w:color w:val="000000"/>
          <w:sz w:val="22"/>
        </w:rPr>
        <w:t>Nombramiento de los tres últimos Presidentes Municipales.</w:t>
      </w:r>
    </w:p>
    <w:p w14:paraId="3CAC1DEF" w14:textId="77777777" w:rsidR="004E3E84" w:rsidRPr="005212F0" w:rsidRDefault="004E3E84">
      <w:pPr>
        <w:pBdr>
          <w:top w:val="nil"/>
          <w:left w:val="nil"/>
          <w:bottom w:val="nil"/>
          <w:right w:val="nil"/>
          <w:between w:val="nil"/>
        </w:pBdr>
        <w:spacing w:line="360" w:lineRule="auto"/>
        <w:ind w:left="1440"/>
        <w:jc w:val="both"/>
        <w:rPr>
          <w:rFonts w:ascii="Palatino Linotype" w:eastAsia="Palatino Linotype" w:hAnsi="Palatino Linotype" w:cs="Palatino Linotype"/>
          <w:b/>
          <w:color w:val="000000"/>
        </w:rPr>
      </w:pPr>
    </w:p>
    <w:p w14:paraId="32052979" w14:textId="77777777" w:rsidR="004E3E84" w:rsidRPr="005212F0" w:rsidRDefault="00842494">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5212F0">
        <w:rPr>
          <w:rFonts w:ascii="Palatino Linotype" w:eastAsia="Palatino Linotype" w:hAnsi="Palatino Linotype" w:cs="Palatino Linotype"/>
          <w:color w:val="000000"/>
        </w:rPr>
        <w:t xml:space="preserve">En respuesta, el </w:t>
      </w:r>
      <w:r w:rsidRPr="005212F0">
        <w:rPr>
          <w:rFonts w:ascii="Palatino Linotype" w:eastAsia="Palatino Linotype" w:hAnsi="Palatino Linotype" w:cs="Palatino Linotype"/>
          <w:b/>
          <w:color w:val="000000"/>
        </w:rPr>
        <w:t xml:space="preserve">SUJETO OBLIGADO </w:t>
      </w:r>
      <w:r w:rsidRPr="005212F0">
        <w:rPr>
          <w:rFonts w:ascii="Palatino Linotype" w:eastAsia="Palatino Linotype" w:hAnsi="Palatino Linotype" w:cs="Palatino Linotype"/>
          <w:color w:val="000000"/>
        </w:rPr>
        <w:t xml:space="preserve">mediante oficio, respondió con un archivo electrónico cuyo contenido grosso modo es el siguiente: </w:t>
      </w:r>
    </w:p>
    <w:p w14:paraId="3B7C5E39" w14:textId="77777777" w:rsidR="004E3E84" w:rsidRPr="005212F0" w:rsidRDefault="00842494">
      <w:pPr>
        <w:ind w:left="1134" w:right="900"/>
        <w:jc w:val="both"/>
        <w:rPr>
          <w:rFonts w:ascii="Palatino Linotype" w:eastAsia="Palatino Linotype" w:hAnsi="Palatino Linotype" w:cs="Palatino Linotype"/>
          <w:i/>
          <w:sz w:val="22"/>
        </w:rPr>
      </w:pPr>
      <w:r w:rsidRPr="005212F0">
        <w:rPr>
          <w:rFonts w:ascii="Palatino Linotype" w:eastAsia="Palatino Linotype" w:hAnsi="Palatino Linotype" w:cs="Palatino Linotype"/>
          <w:i/>
          <w:sz w:val="22"/>
        </w:rPr>
        <w:t>“oficio del Secretario del Ayuntamiento, como servidor público habilitado, mediante el cual informa que en la administración no se generan nombramientos para el Presidente Municipal ni para los demás miembros del ayuntamiento.</w:t>
      </w:r>
    </w:p>
    <w:p w14:paraId="2D377258" w14:textId="77777777" w:rsidR="004E3E84" w:rsidRPr="005212F0" w:rsidRDefault="00842494">
      <w:pPr>
        <w:ind w:left="1134" w:right="900"/>
        <w:jc w:val="both"/>
        <w:rPr>
          <w:rFonts w:ascii="Palatino Linotype" w:eastAsia="Palatino Linotype" w:hAnsi="Palatino Linotype" w:cs="Palatino Linotype"/>
          <w:i/>
          <w:sz w:val="22"/>
        </w:rPr>
      </w:pPr>
      <w:r w:rsidRPr="005212F0">
        <w:rPr>
          <w:rFonts w:ascii="Palatino Linotype" w:eastAsia="Palatino Linotype" w:hAnsi="Palatino Linotype" w:cs="Palatino Linotype"/>
          <w:i/>
          <w:sz w:val="22"/>
        </w:rPr>
        <w:t xml:space="preserve">Así mismo, el Titular de la  Unidad de Transparencia, informa que cada municipio será gobernado por un ayuntamiento de elección popular directa y que los presidentes municipales son electos de la misma manera, por lo que, </w:t>
      </w:r>
      <w:r w:rsidRPr="005212F0">
        <w:rPr>
          <w:rFonts w:ascii="Palatino Linotype" w:eastAsia="Palatino Linotype" w:hAnsi="Palatino Linotype" w:cs="Palatino Linotype"/>
          <w:b/>
          <w:i/>
          <w:sz w:val="22"/>
        </w:rPr>
        <w:t>se le entrega una constancia de mayoría</w:t>
      </w:r>
      <w:r w:rsidRPr="005212F0">
        <w:rPr>
          <w:rFonts w:ascii="Palatino Linotype" w:eastAsia="Palatino Linotype" w:hAnsi="Palatino Linotype" w:cs="Palatino Linotype"/>
          <w:i/>
          <w:sz w:val="22"/>
        </w:rPr>
        <w:t xml:space="preserve"> que entrega el Consejo Local o Distrital, por lo que en ese sentido no cuenta con la información solicitada…”</w:t>
      </w:r>
    </w:p>
    <w:p w14:paraId="432A784E" w14:textId="77777777" w:rsidR="004E3E84" w:rsidRPr="005212F0" w:rsidRDefault="004E3E84">
      <w:pPr>
        <w:pBdr>
          <w:top w:val="nil"/>
          <w:left w:val="nil"/>
          <w:bottom w:val="nil"/>
          <w:right w:val="nil"/>
          <w:between w:val="nil"/>
        </w:pBdr>
        <w:spacing w:line="360" w:lineRule="auto"/>
        <w:jc w:val="both"/>
        <w:rPr>
          <w:rFonts w:ascii="Palatino Linotype" w:eastAsia="Palatino Linotype" w:hAnsi="Palatino Linotype" w:cs="Palatino Linotype"/>
          <w:color w:val="000000"/>
          <w:sz w:val="22"/>
        </w:rPr>
      </w:pPr>
    </w:p>
    <w:p w14:paraId="4F56161C" w14:textId="77777777" w:rsidR="004E3E84" w:rsidRPr="005212F0" w:rsidRDefault="00842494">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5212F0">
        <w:rPr>
          <w:rFonts w:ascii="Palatino Linotype" w:eastAsia="Palatino Linotype" w:hAnsi="Palatino Linotype" w:cs="Palatino Linotype"/>
          <w:color w:val="000000"/>
        </w:rPr>
        <w:lastRenderedPageBreak/>
        <w:t xml:space="preserve">De lo anterior, </w:t>
      </w:r>
      <w:r w:rsidRPr="005212F0">
        <w:rPr>
          <w:rFonts w:ascii="Palatino Linotype" w:eastAsia="Palatino Linotype" w:hAnsi="Palatino Linotype" w:cs="Palatino Linotype"/>
          <w:b/>
          <w:color w:val="000000"/>
        </w:rPr>
        <w:t xml:space="preserve">el RECURRENTE </w:t>
      </w:r>
      <w:r w:rsidRPr="005212F0">
        <w:rPr>
          <w:rFonts w:ascii="Palatino Linotype" w:eastAsia="Palatino Linotype" w:hAnsi="Palatino Linotype" w:cs="Palatino Linotype"/>
          <w:color w:val="000000"/>
        </w:rPr>
        <w:t>se inconformó porque no le entregan la información solicitada.</w:t>
      </w:r>
    </w:p>
    <w:p w14:paraId="349B1ED8" w14:textId="77777777" w:rsidR="004E3E84" w:rsidRPr="005212F0" w:rsidRDefault="004E3E8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DFB02CF" w14:textId="77777777" w:rsidR="004E3E84" w:rsidRPr="005212F0" w:rsidRDefault="00842494">
      <w:pPr>
        <w:numPr>
          <w:ilvl w:val="0"/>
          <w:numId w:val="9"/>
        </w:numPr>
        <w:spacing w:line="360" w:lineRule="auto"/>
        <w:ind w:left="0" w:firstLine="0"/>
        <w:jc w:val="both"/>
        <w:rPr>
          <w:rFonts w:ascii="Palatino Linotype" w:eastAsia="Palatino Linotype" w:hAnsi="Palatino Linotype" w:cs="Palatino Linotype"/>
        </w:rPr>
      </w:pPr>
      <w:r w:rsidRPr="005212F0">
        <w:rPr>
          <w:rFonts w:ascii="Palatino Linotype" w:eastAsia="Palatino Linotype" w:hAnsi="Palatino Linotype" w:cs="Palatino Linotype"/>
        </w:rPr>
        <w:t xml:space="preserve">En dichas condiciones, la </w:t>
      </w:r>
      <w:r w:rsidRPr="005212F0">
        <w:rPr>
          <w:rFonts w:ascii="Palatino Linotype" w:eastAsia="Palatino Linotype" w:hAnsi="Palatino Linotype" w:cs="Palatino Linotype"/>
          <w:i/>
        </w:rPr>
        <w:t>Litis</w:t>
      </w:r>
      <w:r w:rsidRPr="005212F0">
        <w:rPr>
          <w:rFonts w:ascii="Palatino Linotype" w:eastAsia="Palatino Linotype" w:hAnsi="Palatino Linotype" w:cs="Palatino Linotype"/>
        </w:rPr>
        <w:t xml:space="preserve"> a resolver en este recurso se circunscribe a determinar si se actualiza la causal de procedencia prevista en el artículo 179, </w:t>
      </w:r>
      <w:r w:rsidRPr="005212F0">
        <w:rPr>
          <w:rFonts w:ascii="Palatino Linotype" w:eastAsia="Palatino Linotype" w:hAnsi="Palatino Linotype" w:cs="Palatino Linotype"/>
          <w:b/>
        </w:rPr>
        <w:t xml:space="preserve">fracción VI </w:t>
      </w:r>
      <w:r w:rsidRPr="005212F0">
        <w:rPr>
          <w:rFonts w:ascii="Palatino Linotype" w:eastAsia="Palatino Linotype" w:hAnsi="Palatino Linotype" w:cs="Palatino Linotype"/>
        </w:rPr>
        <w:t xml:space="preserve">de la </w:t>
      </w:r>
      <w:r w:rsidRPr="005212F0">
        <w:rPr>
          <w:rFonts w:ascii="Palatino Linotype" w:eastAsia="Palatino Linotype" w:hAnsi="Palatino Linotype" w:cs="Palatino Linotype"/>
          <w:b/>
        </w:rPr>
        <w:t>Ley de Transparencia y Acceso a la Información Pública del Estado de México y Municipios</w:t>
      </w:r>
      <w:r w:rsidRPr="005212F0">
        <w:rPr>
          <w:rFonts w:ascii="Palatino Linotype" w:eastAsia="Palatino Linotype" w:hAnsi="Palatino Linotype" w:cs="Palatino Linotype"/>
        </w:rPr>
        <w:t xml:space="preserve">; </w:t>
      </w:r>
      <w:r w:rsidRPr="005212F0">
        <w:rPr>
          <w:rFonts w:ascii="Palatino Linotype" w:eastAsia="Palatino Linotype" w:hAnsi="Palatino Linotype" w:cs="Palatino Linotype"/>
          <w:color w:val="000000"/>
        </w:rPr>
        <w:t xml:space="preserve">fracción que determina la hipótesis jurídica relativa a la entrega de información que no corresponde con lo solicitado; </w:t>
      </w:r>
      <w:r w:rsidRPr="005212F0">
        <w:rPr>
          <w:rFonts w:ascii="Palatino Linotype" w:eastAsia="Palatino Linotype" w:hAnsi="Palatino Linotype" w:cs="Palatino Linotype"/>
        </w:rPr>
        <w:t xml:space="preserve">contexto del cual se dolió </w:t>
      </w:r>
      <w:r w:rsidRPr="005212F0">
        <w:rPr>
          <w:rFonts w:ascii="Palatino Linotype" w:eastAsia="Palatino Linotype" w:hAnsi="Palatino Linotype" w:cs="Palatino Linotype"/>
          <w:b/>
        </w:rPr>
        <w:t xml:space="preserve">EL RECURRENTE </w:t>
      </w:r>
      <w:r w:rsidRPr="005212F0">
        <w:rPr>
          <w:rFonts w:ascii="Palatino Linotype" w:eastAsia="Palatino Linotype" w:hAnsi="Palatino Linotype" w:cs="Palatino Linotype"/>
        </w:rPr>
        <w:t>al momento de interponer su inconformidad.</w:t>
      </w:r>
      <w:r w:rsidRPr="005212F0">
        <w:rPr>
          <w:rFonts w:ascii="Palatino Linotype" w:eastAsia="Palatino Linotype" w:hAnsi="Palatino Linotype" w:cs="Palatino Linotype"/>
          <w:color w:val="000000"/>
        </w:rPr>
        <w:t xml:space="preserve"> </w:t>
      </w:r>
    </w:p>
    <w:p w14:paraId="61A79DD5" w14:textId="77777777" w:rsidR="004E3E84" w:rsidRPr="005212F0" w:rsidRDefault="004E3E84">
      <w:pPr>
        <w:pBdr>
          <w:top w:val="nil"/>
          <w:left w:val="nil"/>
          <w:bottom w:val="nil"/>
          <w:right w:val="nil"/>
          <w:between w:val="nil"/>
        </w:pBdr>
        <w:ind w:left="720"/>
        <w:rPr>
          <w:rFonts w:ascii="Palatino Linotype" w:eastAsia="Palatino Linotype" w:hAnsi="Palatino Linotype" w:cs="Palatino Linotype"/>
          <w:color w:val="000000"/>
        </w:rPr>
      </w:pPr>
    </w:p>
    <w:p w14:paraId="765EDE06" w14:textId="77777777" w:rsidR="004E3E84" w:rsidRPr="005212F0" w:rsidRDefault="00842494">
      <w:pPr>
        <w:numPr>
          <w:ilvl w:val="0"/>
          <w:numId w:val="9"/>
        </w:numPr>
        <w:spacing w:line="360" w:lineRule="auto"/>
        <w:ind w:left="0" w:firstLine="0"/>
        <w:jc w:val="both"/>
        <w:rPr>
          <w:rFonts w:ascii="Palatino Linotype" w:eastAsia="Palatino Linotype" w:hAnsi="Palatino Linotype" w:cs="Palatino Linotype"/>
        </w:rPr>
      </w:pPr>
      <w:r w:rsidRPr="005212F0">
        <w:rPr>
          <w:rFonts w:ascii="Palatino Linotype" w:eastAsia="Palatino Linotype" w:hAnsi="Palatino Linotype" w:cs="Palatino Linotype"/>
          <w:color w:val="000000"/>
        </w:rPr>
        <w:t xml:space="preserve">De modo tal que el presente recurso de revisión se abocara en determinar si el </w:t>
      </w:r>
      <w:r w:rsidRPr="005212F0">
        <w:rPr>
          <w:rFonts w:ascii="Palatino Linotype" w:eastAsia="Palatino Linotype" w:hAnsi="Palatino Linotype" w:cs="Palatino Linotype"/>
          <w:b/>
          <w:color w:val="000000"/>
        </w:rPr>
        <w:t>SUJETO</w:t>
      </w:r>
      <w:r w:rsidRPr="005212F0">
        <w:rPr>
          <w:rFonts w:ascii="Palatino Linotype" w:eastAsia="Palatino Linotype" w:hAnsi="Palatino Linotype" w:cs="Palatino Linotype"/>
          <w:color w:val="000000"/>
        </w:rPr>
        <w:t xml:space="preserve"> </w:t>
      </w:r>
      <w:r w:rsidRPr="005212F0">
        <w:rPr>
          <w:rFonts w:ascii="Palatino Linotype" w:eastAsia="Palatino Linotype" w:hAnsi="Palatino Linotype" w:cs="Palatino Linotype"/>
          <w:b/>
          <w:color w:val="000000"/>
        </w:rPr>
        <w:t>OBLIGADO</w:t>
      </w:r>
      <w:r w:rsidRPr="005212F0">
        <w:rPr>
          <w:rFonts w:ascii="Palatino Linotype" w:eastAsia="Palatino Linotype" w:hAnsi="Palatino Linotype" w:cs="Palatino Linotype"/>
          <w:color w:val="000000"/>
        </w:rPr>
        <w:t xml:space="preserve"> con su respuesta ciertamente actualiza la causal de procedencia antes señalada; asimismo, determinar si se vulnera el derecho de acceso a la información del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14:paraId="307890BB" w14:textId="77777777" w:rsidR="004E3E84" w:rsidRPr="005212F0" w:rsidRDefault="004E3E84">
      <w:pPr>
        <w:spacing w:line="360" w:lineRule="auto"/>
        <w:jc w:val="both"/>
        <w:rPr>
          <w:rFonts w:ascii="Palatino Linotype" w:eastAsia="Palatino Linotype" w:hAnsi="Palatino Linotype" w:cs="Palatino Linotype"/>
        </w:rPr>
      </w:pPr>
    </w:p>
    <w:p w14:paraId="1C5515DA" w14:textId="77777777" w:rsidR="004E3E84" w:rsidRPr="005212F0" w:rsidRDefault="00842494">
      <w:pPr>
        <w:pStyle w:val="Ttulo2"/>
        <w:spacing w:before="0" w:line="360" w:lineRule="auto"/>
        <w:rPr>
          <w:rFonts w:ascii="Palatino Linotype" w:eastAsia="Palatino Linotype" w:hAnsi="Palatino Linotype" w:cs="Palatino Linotype"/>
          <w:b/>
          <w:color w:val="000000"/>
          <w:sz w:val="24"/>
          <w:szCs w:val="24"/>
        </w:rPr>
      </w:pPr>
      <w:r w:rsidRPr="005212F0">
        <w:rPr>
          <w:rFonts w:ascii="Palatino Linotype" w:eastAsia="Palatino Linotype" w:hAnsi="Palatino Linotype" w:cs="Palatino Linotype"/>
          <w:b/>
          <w:color w:val="000000"/>
          <w:sz w:val="24"/>
          <w:szCs w:val="24"/>
        </w:rPr>
        <w:t>CUARTO. Del estudio y resolución del estudio</w:t>
      </w:r>
    </w:p>
    <w:p w14:paraId="708B1F2A" w14:textId="77777777" w:rsidR="004E3E84" w:rsidRPr="005212F0" w:rsidRDefault="004E3E84"/>
    <w:p w14:paraId="24377450" w14:textId="77777777" w:rsidR="004E3E84" w:rsidRPr="005212F0" w:rsidRDefault="00842494">
      <w:pPr>
        <w:keepNext/>
        <w:keepLines/>
        <w:numPr>
          <w:ilvl w:val="0"/>
          <w:numId w:val="4"/>
        </w:numPr>
        <w:spacing w:after="240" w:line="360" w:lineRule="auto"/>
        <w:ind w:left="786" w:hanging="360"/>
        <w:rPr>
          <w:rFonts w:ascii="Palatino Linotype" w:eastAsia="Palatino Linotype" w:hAnsi="Palatino Linotype" w:cs="Palatino Linotype"/>
          <w:b/>
        </w:rPr>
      </w:pPr>
      <w:bookmarkStart w:id="7" w:name="_heading=h.1t3h5sf" w:colFirst="0" w:colLast="0"/>
      <w:bookmarkEnd w:id="7"/>
      <w:r w:rsidRPr="005212F0">
        <w:rPr>
          <w:rFonts w:ascii="Palatino Linotype" w:eastAsia="Palatino Linotype" w:hAnsi="Palatino Linotype" w:cs="Palatino Linotype"/>
          <w:b/>
        </w:rPr>
        <w:t>Del derecho de acceso a la información.</w:t>
      </w:r>
    </w:p>
    <w:p w14:paraId="7E75E3D2" w14:textId="77777777" w:rsidR="004E3E84" w:rsidRPr="005212F0" w:rsidRDefault="00842494">
      <w:pPr>
        <w:numPr>
          <w:ilvl w:val="0"/>
          <w:numId w:val="9"/>
        </w:numPr>
        <w:spacing w:before="240" w:line="360" w:lineRule="auto"/>
        <w:ind w:left="0" w:right="48" w:firstLine="0"/>
        <w:jc w:val="both"/>
        <w:rPr>
          <w:rFonts w:ascii="Palatino Linotype" w:eastAsia="Palatino Linotype" w:hAnsi="Palatino Linotype" w:cs="Palatino Linotype"/>
        </w:rPr>
      </w:pPr>
      <w:r w:rsidRPr="005212F0">
        <w:rPr>
          <w:rFonts w:ascii="Palatino Linotype" w:eastAsia="Palatino Linotype" w:hAnsi="Palatino Linotype" w:cs="Palatino Linotype"/>
        </w:rPr>
        <w:t>E</w:t>
      </w:r>
      <w:r w:rsidRPr="005212F0">
        <w:rPr>
          <w:rFonts w:ascii="Palatino Linotype" w:eastAsia="Palatino Linotype" w:hAnsi="Palatino Linotype" w:cs="Palatino Linotype"/>
          <w:color w:val="000000"/>
        </w:rPr>
        <w:t xml:space="preserve">l Derecho de Acceso a la Información Pública, es un derecho humano reconocido en el Pacto de Derechos Civiles y Políticos en su artículo 19.2; en la Convención Americana sobre Derechos Humanos en su artículo 13.1; en el artículo </w:t>
      </w:r>
      <w:r w:rsidRPr="005212F0">
        <w:rPr>
          <w:rFonts w:ascii="Palatino Linotype" w:eastAsia="Palatino Linotype" w:hAnsi="Palatino Linotype" w:cs="Palatino Linotype"/>
          <w:color w:val="000000"/>
        </w:rPr>
        <w:lastRenderedPageBreak/>
        <w:t xml:space="preserve">sexto de la Constitución Política de los Estados Unidos Mexicanos y en el artículo quinto de la Particular del Estado de México. </w:t>
      </w:r>
    </w:p>
    <w:p w14:paraId="0BB1E96D" w14:textId="77777777" w:rsidR="004E3E84" w:rsidRPr="005212F0" w:rsidRDefault="004E3E84">
      <w:pPr>
        <w:spacing w:line="360" w:lineRule="auto"/>
        <w:ind w:right="48"/>
        <w:jc w:val="both"/>
        <w:rPr>
          <w:rFonts w:ascii="Palatino Linotype" w:eastAsia="Palatino Linotype" w:hAnsi="Palatino Linotype" w:cs="Palatino Linotype"/>
        </w:rPr>
      </w:pPr>
    </w:p>
    <w:p w14:paraId="4354B112" w14:textId="77777777" w:rsidR="004E3E84" w:rsidRPr="005212F0" w:rsidRDefault="00842494">
      <w:pPr>
        <w:numPr>
          <w:ilvl w:val="0"/>
          <w:numId w:val="9"/>
        </w:numPr>
        <w:spacing w:line="360" w:lineRule="auto"/>
        <w:ind w:left="0" w:right="49" w:firstLine="0"/>
        <w:jc w:val="both"/>
        <w:rPr>
          <w:rFonts w:ascii="Palatino Linotype" w:eastAsia="Palatino Linotype" w:hAnsi="Palatino Linotype" w:cs="Palatino Linotype"/>
        </w:rPr>
      </w:pPr>
      <w:r w:rsidRPr="005212F0">
        <w:rPr>
          <w:rFonts w:ascii="Palatino Linotype" w:eastAsia="Palatino Linotype" w:hAnsi="Palatino Linotype" w:cs="Palatino Linotype"/>
        </w:rPr>
        <w:t xml:space="preserve">Definiendo el Derecho de Acceso a la Información Pública como: </w:t>
      </w:r>
      <w:r w:rsidRPr="005212F0">
        <w:rPr>
          <w:rFonts w:ascii="Palatino Linotype" w:eastAsia="Palatino Linotype" w:hAnsi="Palatino Linotype" w:cs="Palatino Linotype"/>
          <w:i/>
          <w:color w:val="000000"/>
        </w:rPr>
        <w:t>La igualdad de oportunidades para recibir, buscar e impartir información</w:t>
      </w:r>
      <w:r w:rsidRPr="005212F0">
        <w:rPr>
          <w:rFonts w:ascii="Palatino Linotype" w:eastAsia="Palatino Linotype" w:hAnsi="Palatino Linotype" w:cs="Palatino Linotype"/>
          <w:i/>
          <w:vertAlign w:val="superscript"/>
        </w:rPr>
        <w:footnoteReference w:id="1"/>
      </w:r>
      <w:r w:rsidRPr="005212F0">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5212F0">
        <w:rPr>
          <w:rFonts w:ascii="Palatino Linotype" w:eastAsia="Palatino Linotype" w:hAnsi="Palatino Linotype" w:cs="Palatino Linotype"/>
          <w:i/>
          <w:vertAlign w:val="superscript"/>
        </w:rPr>
        <w:footnoteReference w:id="2"/>
      </w:r>
      <w:r w:rsidRPr="005212F0">
        <w:rPr>
          <w:rFonts w:ascii="Palatino Linotype" w:eastAsia="Palatino Linotype" w:hAnsi="Palatino Linotype" w:cs="Palatino Linotype"/>
          <w:color w:val="000000"/>
        </w:rPr>
        <w:t>que se constituye como una herramienta fundamental para ejercer</w:t>
      </w:r>
      <w:r w:rsidRPr="005212F0">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5212F0">
        <w:rPr>
          <w:rFonts w:ascii="Palatino Linotype" w:eastAsia="Palatino Linotype" w:hAnsi="Palatino Linotype" w:cs="Palatino Linotype"/>
          <w:i/>
          <w:vertAlign w:val="superscript"/>
        </w:rPr>
        <w:footnoteReference w:id="3"/>
      </w:r>
      <w:r w:rsidRPr="005212F0">
        <w:rPr>
          <w:rFonts w:ascii="Palatino Linotype" w:eastAsia="Palatino Linotype" w:hAnsi="Palatino Linotype" w:cs="Palatino Linotype"/>
          <w:color w:val="000000"/>
        </w:rPr>
        <w:t>fomentando</w:t>
      </w:r>
      <w:r w:rsidRPr="005212F0">
        <w:rPr>
          <w:rFonts w:ascii="Palatino Linotype" w:eastAsia="Palatino Linotype" w:hAnsi="Palatino Linotype" w:cs="Palatino Linotype"/>
          <w:i/>
          <w:color w:val="000000"/>
        </w:rPr>
        <w:t xml:space="preserve"> la transparencia de las actividades estatales y </w:t>
      </w:r>
      <w:r w:rsidRPr="005212F0">
        <w:rPr>
          <w:rFonts w:ascii="Palatino Linotype" w:eastAsia="Palatino Linotype" w:hAnsi="Palatino Linotype" w:cs="Palatino Linotype"/>
          <w:color w:val="000000"/>
        </w:rPr>
        <w:t>promoviendo</w:t>
      </w:r>
      <w:r w:rsidRPr="005212F0">
        <w:rPr>
          <w:rFonts w:ascii="Palatino Linotype" w:eastAsia="Palatino Linotype" w:hAnsi="Palatino Linotype" w:cs="Palatino Linotype"/>
          <w:i/>
          <w:color w:val="000000"/>
        </w:rPr>
        <w:t xml:space="preserve"> la responsabilidad de los funcionarios sobre su gestión pública,</w:t>
      </w:r>
      <w:r w:rsidRPr="005212F0">
        <w:rPr>
          <w:rFonts w:ascii="Palatino Linotype" w:eastAsia="Palatino Linotype" w:hAnsi="Palatino Linotype" w:cs="Palatino Linotype"/>
          <w:i/>
          <w:vertAlign w:val="superscript"/>
        </w:rPr>
        <w:footnoteReference w:id="4"/>
      </w:r>
      <w:r w:rsidRPr="005212F0">
        <w:rPr>
          <w:rFonts w:ascii="Palatino Linotype" w:eastAsia="Palatino Linotype" w:hAnsi="Palatino Linotype" w:cs="Palatino Linotype"/>
          <w:color w:val="000000"/>
        </w:rPr>
        <w:t>que permite</w:t>
      </w:r>
      <w:r w:rsidRPr="005212F0">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14:paraId="2319DB67" w14:textId="77777777" w:rsidR="004E3E84" w:rsidRPr="005212F0" w:rsidRDefault="004E3E84">
      <w:pPr>
        <w:spacing w:line="360" w:lineRule="auto"/>
        <w:ind w:right="49"/>
        <w:jc w:val="both"/>
        <w:rPr>
          <w:rFonts w:ascii="Palatino Linotype" w:eastAsia="Palatino Linotype" w:hAnsi="Palatino Linotype" w:cs="Palatino Linotype"/>
        </w:rPr>
      </w:pPr>
    </w:p>
    <w:p w14:paraId="3202CC6B" w14:textId="77777777" w:rsidR="004E3E84" w:rsidRPr="005212F0" w:rsidRDefault="00842494">
      <w:pPr>
        <w:numPr>
          <w:ilvl w:val="0"/>
          <w:numId w:val="9"/>
        </w:numPr>
        <w:spacing w:line="360" w:lineRule="auto"/>
        <w:ind w:left="0" w:right="49" w:firstLine="0"/>
        <w:jc w:val="both"/>
        <w:rPr>
          <w:rFonts w:ascii="Palatino Linotype" w:eastAsia="Palatino Linotype" w:hAnsi="Palatino Linotype" w:cs="Palatino Linotype"/>
        </w:rPr>
      </w:pPr>
      <w:r w:rsidRPr="005212F0">
        <w:rPr>
          <w:rFonts w:ascii="Palatino Linotype" w:eastAsia="Palatino Linotype" w:hAnsi="Palatino Linotype" w:cs="Palatino Linotype"/>
        </w:rPr>
        <w:t>En México, además de los derechos, están reconocidas las garantías para su protección, en ese sentido el párrafo tercero de artículo primero de la Constitución Política de los Estados Unidos Mexicanos dispone lo siguiente:</w:t>
      </w:r>
    </w:p>
    <w:p w14:paraId="4781B7F8" w14:textId="77777777" w:rsidR="004E3E84" w:rsidRPr="005212F0" w:rsidRDefault="00842494">
      <w:pPr>
        <w:ind w:left="1134" w:right="900"/>
        <w:jc w:val="both"/>
        <w:rPr>
          <w:rFonts w:ascii="Palatino Linotype" w:eastAsia="Palatino Linotype" w:hAnsi="Palatino Linotype" w:cs="Palatino Linotype"/>
          <w:i/>
          <w:sz w:val="22"/>
        </w:rPr>
      </w:pPr>
      <w:r w:rsidRPr="005212F0">
        <w:rPr>
          <w:rFonts w:ascii="Palatino Linotype" w:eastAsia="Palatino Linotype" w:hAnsi="Palatino Linotype" w:cs="Palatino Linotype"/>
          <w:i/>
          <w:sz w:val="22"/>
        </w:rPr>
        <w:t>“</w:t>
      </w:r>
      <w:r w:rsidRPr="005212F0">
        <w:rPr>
          <w:rFonts w:ascii="Palatino Linotype" w:eastAsia="Palatino Linotype" w:hAnsi="Palatino Linotype" w:cs="Palatino Linotype"/>
          <w:b/>
          <w:i/>
          <w:sz w:val="22"/>
        </w:rPr>
        <w:t>Artículo 1.-</w:t>
      </w:r>
      <w:r w:rsidRPr="005212F0">
        <w:rPr>
          <w:rFonts w:ascii="Palatino Linotype" w:eastAsia="Palatino Linotype" w:hAnsi="Palatino Linotype" w:cs="Palatino Linotype"/>
          <w:i/>
          <w:sz w:val="22"/>
        </w:rPr>
        <w:t xml:space="preserve"> </w:t>
      </w:r>
    </w:p>
    <w:p w14:paraId="567B84DA" w14:textId="77777777" w:rsidR="004E3E84" w:rsidRPr="005212F0" w:rsidRDefault="00842494">
      <w:pPr>
        <w:ind w:left="1134" w:right="900"/>
        <w:jc w:val="both"/>
        <w:rPr>
          <w:rFonts w:ascii="Palatino Linotype" w:eastAsia="Palatino Linotype" w:hAnsi="Palatino Linotype" w:cs="Palatino Linotype"/>
          <w:i/>
          <w:sz w:val="22"/>
        </w:rPr>
      </w:pPr>
      <w:r w:rsidRPr="005212F0">
        <w:rPr>
          <w:rFonts w:ascii="Palatino Linotype" w:eastAsia="Palatino Linotype" w:hAnsi="Palatino Linotype" w:cs="Palatino Linotype"/>
          <w:i/>
          <w:sz w:val="22"/>
        </w:rPr>
        <w:t>(…)</w:t>
      </w:r>
    </w:p>
    <w:p w14:paraId="5BA47E47" w14:textId="77777777" w:rsidR="004E3E84" w:rsidRPr="005212F0" w:rsidRDefault="00842494">
      <w:pPr>
        <w:ind w:left="1134" w:right="900"/>
        <w:jc w:val="both"/>
        <w:rPr>
          <w:rFonts w:ascii="Palatino Linotype" w:eastAsia="Palatino Linotype" w:hAnsi="Palatino Linotype" w:cs="Palatino Linotype"/>
          <w:i/>
          <w:sz w:val="22"/>
        </w:rPr>
      </w:pPr>
      <w:r w:rsidRPr="005212F0">
        <w:rPr>
          <w:rFonts w:ascii="Palatino Linotype" w:eastAsia="Palatino Linotype" w:hAnsi="Palatino Linotype" w:cs="Palatino Linotype"/>
          <w:i/>
          <w:sz w:val="22"/>
        </w:rPr>
        <w:lastRenderedPageBreak/>
        <w:t>Todas las</w:t>
      </w:r>
      <w:r w:rsidRPr="005212F0">
        <w:rPr>
          <w:rFonts w:ascii="Palatino Linotype" w:eastAsia="Palatino Linotype" w:hAnsi="Palatino Linotype" w:cs="Palatino Linotype"/>
          <w:sz w:val="22"/>
        </w:rPr>
        <w:t xml:space="preserve"> </w:t>
      </w:r>
      <w:r w:rsidRPr="005212F0">
        <w:rPr>
          <w:rFonts w:ascii="Palatino Linotype" w:eastAsia="Palatino Linotype" w:hAnsi="Palatino Linotype" w:cs="Palatino Linotype"/>
          <w:i/>
          <w:sz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508D56E3" w14:textId="77777777" w:rsidR="004E3E84" w:rsidRPr="005212F0" w:rsidRDefault="00842494">
      <w:pPr>
        <w:ind w:left="1134" w:right="900"/>
        <w:jc w:val="both"/>
        <w:rPr>
          <w:rFonts w:ascii="Palatino Linotype" w:eastAsia="Palatino Linotype" w:hAnsi="Palatino Linotype" w:cs="Palatino Linotype"/>
          <w:sz w:val="22"/>
        </w:rPr>
      </w:pPr>
      <w:r w:rsidRPr="005212F0">
        <w:rPr>
          <w:rFonts w:ascii="Palatino Linotype" w:eastAsia="Palatino Linotype" w:hAnsi="Palatino Linotype" w:cs="Palatino Linotype"/>
          <w:i/>
          <w:sz w:val="22"/>
        </w:rPr>
        <w:t>(…)</w:t>
      </w:r>
      <w:r w:rsidRPr="005212F0">
        <w:rPr>
          <w:rFonts w:ascii="Palatino Linotype" w:eastAsia="Palatino Linotype" w:hAnsi="Palatino Linotype" w:cs="Palatino Linotype"/>
          <w:sz w:val="22"/>
        </w:rPr>
        <w:t>”.</w:t>
      </w:r>
    </w:p>
    <w:p w14:paraId="594B2E49" w14:textId="77777777" w:rsidR="004E3E84" w:rsidRPr="005212F0" w:rsidRDefault="004E3E84">
      <w:pPr>
        <w:ind w:left="1134" w:right="900"/>
        <w:jc w:val="both"/>
        <w:rPr>
          <w:rFonts w:ascii="Palatino Linotype" w:eastAsia="Palatino Linotype" w:hAnsi="Palatino Linotype" w:cs="Palatino Linotype"/>
          <w:b/>
        </w:rPr>
      </w:pPr>
    </w:p>
    <w:p w14:paraId="343B8EF8" w14:textId="77777777" w:rsidR="004E3E84" w:rsidRPr="005212F0" w:rsidRDefault="00842494">
      <w:pPr>
        <w:numPr>
          <w:ilvl w:val="0"/>
          <w:numId w:val="9"/>
        </w:numPr>
        <w:spacing w:line="360" w:lineRule="auto"/>
        <w:ind w:left="0" w:right="49" w:firstLine="0"/>
        <w:jc w:val="both"/>
        <w:rPr>
          <w:rFonts w:ascii="Palatino Linotype" w:eastAsia="Palatino Linotype" w:hAnsi="Palatino Linotype" w:cs="Palatino Linotype"/>
        </w:rPr>
      </w:pPr>
      <w:r w:rsidRPr="005212F0">
        <w:rPr>
          <w:rFonts w:ascii="Palatino Linotype" w:eastAsia="Palatino Linotype" w:hAnsi="Palatino Linotype" w:cs="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6BE8A1DF" w14:textId="77777777" w:rsidR="004E3E84" w:rsidRPr="005212F0" w:rsidRDefault="004E3E84">
      <w:pPr>
        <w:spacing w:line="360" w:lineRule="auto"/>
        <w:ind w:right="49"/>
        <w:jc w:val="both"/>
        <w:rPr>
          <w:rFonts w:ascii="Palatino Linotype" w:eastAsia="Palatino Linotype" w:hAnsi="Palatino Linotype" w:cs="Palatino Linotype"/>
        </w:rPr>
      </w:pPr>
    </w:p>
    <w:p w14:paraId="5696E9C9" w14:textId="77777777" w:rsidR="004E3E84" w:rsidRPr="005212F0" w:rsidRDefault="00842494">
      <w:pPr>
        <w:numPr>
          <w:ilvl w:val="0"/>
          <w:numId w:val="9"/>
        </w:numPr>
        <w:spacing w:line="360" w:lineRule="auto"/>
        <w:ind w:left="0" w:right="49" w:firstLine="0"/>
        <w:jc w:val="both"/>
        <w:rPr>
          <w:rFonts w:ascii="Palatino Linotype" w:eastAsia="Palatino Linotype" w:hAnsi="Palatino Linotype" w:cs="Palatino Linotype"/>
        </w:rPr>
      </w:pPr>
      <w:r w:rsidRPr="005212F0">
        <w:rPr>
          <w:rFonts w:ascii="Palatino Linotype" w:eastAsia="Palatino Linotype" w:hAnsi="Palatino Linotype" w:cs="Palatino Linotype"/>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14:paraId="1B912AC4" w14:textId="77777777" w:rsidR="004E3E84" w:rsidRPr="005212F0" w:rsidRDefault="00842494">
      <w:pPr>
        <w:spacing w:after="240"/>
        <w:ind w:left="1134" w:right="900"/>
        <w:jc w:val="both"/>
        <w:rPr>
          <w:rFonts w:ascii="Palatino Linotype" w:eastAsia="Palatino Linotype" w:hAnsi="Palatino Linotype" w:cs="Palatino Linotype"/>
          <w:b/>
          <w:i/>
          <w:sz w:val="22"/>
        </w:rPr>
      </w:pPr>
      <w:r w:rsidRPr="005212F0">
        <w:rPr>
          <w:rFonts w:ascii="Palatino Linotype" w:eastAsia="Palatino Linotype" w:hAnsi="Palatino Linotype" w:cs="Palatino Linotype"/>
          <w:b/>
          <w:i/>
          <w:sz w:val="22"/>
        </w:rPr>
        <w:t>Constitución Política de los Estados Unidos Mexicanos</w:t>
      </w:r>
    </w:p>
    <w:p w14:paraId="2B225115" w14:textId="77777777" w:rsidR="004E3E84" w:rsidRPr="005212F0" w:rsidRDefault="00842494">
      <w:pPr>
        <w:spacing w:before="240" w:after="240"/>
        <w:ind w:left="1134" w:right="900"/>
        <w:jc w:val="both"/>
        <w:rPr>
          <w:rFonts w:ascii="Palatino Linotype" w:eastAsia="Palatino Linotype" w:hAnsi="Palatino Linotype" w:cs="Palatino Linotype"/>
          <w:b/>
          <w:i/>
          <w:sz w:val="22"/>
        </w:rPr>
      </w:pPr>
      <w:r w:rsidRPr="005212F0">
        <w:rPr>
          <w:rFonts w:ascii="Palatino Linotype" w:eastAsia="Palatino Linotype" w:hAnsi="Palatino Linotype" w:cs="Palatino Linotype"/>
          <w:b/>
          <w:i/>
          <w:sz w:val="22"/>
        </w:rPr>
        <w:t>“Artículo 6.</w:t>
      </w:r>
    </w:p>
    <w:p w14:paraId="5E8D6F17" w14:textId="77777777" w:rsidR="004E3E84" w:rsidRPr="005212F0" w:rsidRDefault="00842494">
      <w:pPr>
        <w:spacing w:before="240" w:after="240"/>
        <w:ind w:left="1134" w:right="900"/>
        <w:jc w:val="both"/>
        <w:rPr>
          <w:rFonts w:ascii="Palatino Linotype" w:eastAsia="Palatino Linotype" w:hAnsi="Palatino Linotype" w:cs="Palatino Linotype"/>
          <w:i/>
          <w:sz w:val="22"/>
        </w:rPr>
      </w:pPr>
      <w:r w:rsidRPr="005212F0">
        <w:rPr>
          <w:rFonts w:ascii="Palatino Linotype" w:eastAsia="Palatino Linotype" w:hAnsi="Palatino Linotype" w:cs="Palatino Linotype"/>
          <w:i/>
          <w:sz w:val="22"/>
        </w:rPr>
        <w:t>(…)</w:t>
      </w:r>
    </w:p>
    <w:p w14:paraId="72EBA4BD" w14:textId="77777777" w:rsidR="004E3E84" w:rsidRPr="005212F0" w:rsidRDefault="00842494">
      <w:pPr>
        <w:spacing w:before="240" w:after="240"/>
        <w:ind w:left="1134" w:right="900"/>
        <w:jc w:val="both"/>
        <w:rPr>
          <w:rFonts w:ascii="Palatino Linotype" w:eastAsia="Palatino Linotype" w:hAnsi="Palatino Linotype" w:cs="Palatino Linotype"/>
          <w:i/>
          <w:sz w:val="22"/>
        </w:rPr>
      </w:pPr>
      <w:r w:rsidRPr="005212F0">
        <w:rPr>
          <w:rFonts w:ascii="Palatino Linotype" w:eastAsia="Palatino Linotype" w:hAnsi="Palatino Linotype" w:cs="Palatino Linotype"/>
          <w:i/>
          <w:sz w:val="22"/>
        </w:rPr>
        <w:t>Para efectos de lo dispuesto en el presente artículo se observará lo siguiente:</w:t>
      </w:r>
    </w:p>
    <w:p w14:paraId="551BC944" w14:textId="77777777" w:rsidR="004E3E84" w:rsidRPr="005212F0" w:rsidRDefault="00842494">
      <w:pPr>
        <w:spacing w:before="240" w:after="240"/>
        <w:ind w:left="1134" w:right="900"/>
        <w:jc w:val="both"/>
        <w:rPr>
          <w:rFonts w:ascii="Palatino Linotype" w:eastAsia="Palatino Linotype" w:hAnsi="Palatino Linotype" w:cs="Palatino Linotype"/>
          <w:b/>
          <w:i/>
          <w:sz w:val="22"/>
        </w:rPr>
      </w:pPr>
      <w:r w:rsidRPr="005212F0">
        <w:rPr>
          <w:rFonts w:ascii="Palatino Linotype" w:eastAsia="Palatino Linotype" w:hAnsi="Palatino Linotype" w:cs="Palatino Linotype"/>
          <w:b/>
          <w:i/>
          <w:sz w:val="22"/>
        </w:rPr>
        <w:t>A</w:t>
      </w:r>
      <w:r w:rsidRPr="005212F0">
        <w:rPr>
          <w:rFonts w:ascii="Palatino Linotype" w:eastAsia="Palatino Linotype" w:hAnsi="Palatino Linotype" w:cs="Palatino Linotype"/>
          <w:i/>
          <w:sz w:val="22"/>
        </w:rPr>
        <w:t xml:space="preserve">. </w:t>
      </w:r>
      <w:r w:rsidRPr="005212F0">
        <w:rPr>
          <w:rFonts w:ascii="Palatino Linotype" w:eastAsia="Palatino Linotype" w:hAnsi="Palatino Linotype" w:cs="Palatino Linotype"/>
          <w:b/>
          <w:i/>
          <w:sz w:val="22"/>
        </w:rPr>
        <w:t>Para el ejercicio del derecho de acceso a la información</w:t>
      </w:r>
      <w:r w:rsidRPr="005212F0">
        <w:rPr>
          <w:rFonts w:ascii="Palatino Linotype" w:eastAsia="Palatino Linotype" w:hAnsi="Palatino Linotype" w:cs="Palatino Linotype"/>
          <w:i/>
          <w:sz w:val="22"/>
        </w:rPr>
        <w:t xml:space="preserve">, la Federación y </w:t>
      </w:r>
      <w:r w:rsidRPr="005212F0">
        <w:rPr>
          <w:rFonts w:ascii="Palatino Linotype" w:eastAsia="Palatino Linotype" w:hAnsi="Palatino Linotype" w:cs="Palatino Linotype"/>
          <w:b/>
          <w:i/>
          <w:sz w:val="22"/>
        </w:rPr>
        <w:t>las entidades federativas, en el ámbito de sus respectivas competencias, se regirán por los siguientes principios y bases:</w:t>
      </w:r>
    </w:p>
    <w:p w14:paraId="2605110B" w14:textId="77777777" w:rsidR="004E3E84" w:rsidRPr="005212F0" w:rsidRDefault="00842494">
      <w:pPr>
        <w:spacing w:before="240" w:after="240"/>
        <w:ind w:left="1134" w:right="900"/>
        <w:jc w:val="both"/>
        <w:rPr>
          <w:rFonts w:ascii="Palatino Linotype" w:eastAsia="Palatino Linotype" w:hAnsi="Palatino Linotype" w:cs="Palatino Linotype"/>
          <w:i/>
          <w:sz w:val="22"/>
        </w:rPr>
      </w:pPr>
      <w:r w:rsidRPr="005212F0">
        <w:rPr>
          <w:rFonts w:ascii="Palatino Linotype" w:eastAsia="Palatino Linotype" w:hAnsi="Palatino Linotype" w:cs="Palatino Linotype"/>
          <w:b/>
          <w:i/>
          <w:sz w:val="22"/>
        </w:rPr>
        <w:lastRenderedPageBreak/>
        <w:t xml:space="preserve">I. </w:t>
      </w:r>
      <w:r w:rsidRPr="005212F0">
        <w:rPr>
          <w:rFonts w:ascii="Palatino Linotype" w:eastAsia="Palatino Linotype" w:hAnsi="Palatino Linotype" w:cs="Palatino Linotype"/>
          <w:b/>
          <w:i/>
          <w:sz w:val="22"/>
        </w:rPr>
        <w:tab/>
        <w:t>Toda la información en posesión de cualquier</w:t>
      </w:r>
      <w:r w:rsidRPr="005212F0">
        <w:rPr>
          <w:rFonts w:ascii="Palatino Linotype" w:eastAsia="Palatino Linotype" w:hAnsi="Palatino Linotype" w:cs="Palatino Linotype"/>
          <w:i/>
          <w:sz w:val="22"/>
        </w:rPr>
        <w:t xml:space="preserve"> </w:t>
      </w:r>
      <w:r w:rsidRPr="005212F0">
        <w:rPr>
          <w:rFonts w:ascii="Palatino Linotype" w:eastAsia="Palatino Linotype" w:hAnsi="Palatino Linotype" w:cs="Palatino Linotype"/>
          <w:b/>
          <w:i/>
          <w:sz w:val="22"/>
        </w:rPr>
        <w:t>autoridad</w:t>
      </w:r>
      <w:r w:rsidRPr="005212F0">
        <w:rPr>
          <w:rFonts w:ascii="Palatino Linotype" w:eastAsia="Palatino Linotype" w:hAnsi="Palatino Linotype" w:cs="Palatino Linotype"/>
          <w:i/>
          <w:sz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5212F0">
        <w:rPr>
          <w:rFonts w:ascii="Palatino Linotype" w:eastAsia="Palatino Linotype" w:hAnsi="Palatino Linotype" w:cs="Palatino Linotype"/>
          <w:b/>
          <w:i/>
          <w:sz w:val="22"/>
        </w:rPr>
        <w:t>municipal</w:t>
      </w:r>
      <w:r w:rsidRPr="005212F0">
        <w:rPr>
          <w:rFonts w:ascii="Palatino Linotype" w:eastAsia="Palatino Linotype" w:hAnsi="Palatino Linotype" w:cs="Palatino Linotype"/>
          <w:i/>
          <w:sz w:val="22"/>
        </w:rPr>
        <w:t xml:space="preserve">, </w:t>
      </w:r>
      <w:r w:rsidRPr="005212F0">
        <w:rPr>
          <w:rFonts w:ascii="Palatino Linotype" w:eastAsia="Palatino Linotype" w:hAnsi="Palatino Linotype" w:cs="Palatino Linotype"/>
          <w:b/>
          <w:i/>
          <w:sz w:val="22"/>
        </w:rPr>
        <w:t>es pública</w:t>
      </w:r>
      <w:r w:rsidRPr="005212F0">
        <w:rPr>
          <w:rFonts w:ascii="Palatino Linotype" w:eastAsia="Palatino Linotype" w:hAnsi="Palatino Linotype" w:cs="Palatino Linotype"/>
          <w:i/>
          <w:sz w:val="22"/>
        </w:rPr>
        <w:t xml:space="preserve"> y sólo podrá ser reservada temporalmente por razones de interés público y seguridad nacional, en los términos que fijen las leyes. </w:t>
      </w:r>
      <w:r w:rsidRPr="005212F0">
        <w:rPr>
          <w:rFonts w:ascii="Palatino Linotype" w:eastAsia="Palatino Linotype" w:hAnsi="Palatino Linotype" w:cs="Palatino Linotype"/>
          <w:b/>
          <w:i/>
          <w:sz w:val="22"/>
        </w:rPr>
        <w:t>En la interpretación de este derecho deberá prevalecer el principio de máxima publicidad. Los sujetos obligados deberán documentar todo acto que derive del ejercicio de sus facultades, competencias o funciones</w:t>
      </w:r>
      <w:r w:rsidRPr="005212F0">
        <w:rPr>
          <w:rFonts w:ascii="Palatino Linotype" w:eastAsia="Palatino Linotype" w:hAnsi="Palatino Linotype" w:cs="Palatino Linotype"/>
          <w:i/>
          <w:sz w:val="22"/>
        </w:rPr>
        <w:t>, la ley determinará los supuestos específicos bajo los cuales procederá la declaración de inexistencia de la información.”</w:t>
      </w:r>
    </w:p>
    <w:p w14:paraId="2B6B9695" w14:textId="77777777" w:rsidR="004E3E84" w:rsidRPr="005212F0" w:rsidRDefault="004E3E84">
      <w:pPr>
        <w:tabs>
          <w:tab w:val="left" w:pos="567"/>
        </w:tabs>
        <w:spacing w:before="240"/>
        <w:ind w:left="1134" w:right="900"/>
        <w:jc w:val="both"/>
        <w:rPr>
          <w:rFonts w:ascii="Palatino Linotype" w:eastAsia="Palatino Linotype" w:hAnsi="Palatino Linotype" w:cs="Palatino Linotype"/>
          <w:b/>
          <w:i/>
          <w:sz w:val="22"/>
        </w:rPr>
      </w:pPr>
    </w:p>
    <w:p w14:paraId="597CA5D3" w14:textId="77777777" w:rsidR="004E3E84" w:rsidRPr="005212F0" w:rsidRDefault="00842494">
      <w:pPr>
        <w:spacing w:after="240"/>
        <w:ind w:left="1134" w:right="900"/>
        <w:jc w:val="both"/>
        <w:rPr>
          <w:rFonts w:ascii="Palatino Linotype" w:eastAsia="Palatino Linotype" w:hAnsi="Palatino Linotype" w:cs="Palatino Linotype"/>
          <w:b/>
          <w:i/>
          <w:sz w:val="22"/>
        </w:rPr>
      </w:pPr>
      <w:r w:rsidRPr="005212F0">
        <w:rPr>
          <w:rFonts w:ascii="Palatino Linotype" w:eastAsia="Palatino Linotype" w:hAnsi="Palatino Linotype" w:cs="Palatino Linotype"/>
          <w:b/>
          <w:i/>
          <w:sz w:val="22"/>
        </w:rPr>
        <w:t>Constitución Política del Estado Libre y Soberano de México</w:t>
      </w:r>
    </w:p>
    <w:p w14:paraId="1DF2655F" w14:textId="77777777" w:rsidR="004E3E84" w:rsidRPr="005212F0" w:rsidRDefault="00842494">
      <w:pPr>
        <w:spacing w:before="240" w:after="240"/>
        <w:ind w:left="1134" w:right="900"/>
        <w:jc w:val="both"/>
        <w:rPr>
          <w:rFonts w:ascii="Palatino Linotype" w:eastAsia="Palatino Linotype" w:hAnsi="Palatino Linotype" w:cs="Palatino Linotype"/>
          <w:i/>
          <w:sz w:val="22"/>
        </w:rPr>
      </w:pPr>
      <w:r w:rsidRPr="005212F0">
        <w:rPr>
          <w:rFonts w:ascii="Palatino Linotype" w:eastAsia="Palatino Linotype" w:hAnsi="Palatino Linotype" w:cs="Palatino Linotype"/>
          <w:b/>
          <w:i/>
          <w:sz w:val="22"/>
        </w:rPr>
        <w:t>“Artículo 5</w:t>
      </w:r>
      <w:r w:rsidRPr="005212F0">
        <w:rPr>
          <w:rFonts w:ascii="Palatino Linotype" w:eastAsia="Palatino Linotype" w:hAnsi="Palatino Linotype" w:cs="Palatino Linotype"/>
          <w:i/>
          <w:sz w:val="22"/>
        </w:rPr>
        <w:t xml:space="preserve">.- </w:t>
      </w:r>
    </w:p>
    <w:p w14:paraId="7727BF8E" w14:textId="77777777" w:rsidR="004E3E84" w:rsidRPr="005212F0" w:rsidRDefault="00842494">
      <w:pPr>
        <w:spacing w:before="240" w:after="240"/>
        <w:ind w:left="1134" w:right="900"/>
        <w:jc w:val="both"/>
        <w:rPr>
          <w:rFonts w:ascii="Palatino Linotype" w:eastAsia="Palatino Linotype" w:hAnsi="Palatino Linotype" w:cs="Palatino Linotype"/>
          <w:i/>
          <w:sz w:val="22"/>
        </w:rPr>
      </w:pPr>
      <w:r w:rsidRPr="005212F0">
        <w:rPr>
          <w:rFonts w:ascii="Palatino Linotype" w:eastAsia="Palatino Linotype" w:hAnsi="Palatino Linotype" w:cs="Palatino Linotype"/>
          <w:i/>
          <w:sz w:val="22"/>
        </w:rPr>
        <w:t>(…)</w:t>
      </w:r>
    </w:p>
    <w:p w14:paraId="4AECA6D1" w14:textId="77777777" w:rsidR="004E3E84" w:rsidRPr="005212F0" w:rsidRDefault="00842494">
      <w:pPr>
        <w:spacing w:before="240" w:after="240"/>
        <w:ind w:left="1134" w:right="900"/>
        <w:jc w:val="both"/>
        <w:rPr>
          <w:rFonts w:ascii="Palatino Linotype" w:eastAsia="Palatino Linotype" w:hAnsi="Palatino Linotype" w:cs="Palatino Linotype"/>
          <w:i/>
          <w:sz w:val="22"/>
        </w:rPr>
      </w:pPr>
      <w:r w:rsidRPr="005212F0">
        <w:rPr>
          <w:rFonts w:ascii="Palatino Linotype" w:eastAsia="Palatino Linotype" w:hAnsi="Palatino Linotype" w:cs="Palatino Linotype"/>
          <w:b/>
          <w:i/>
          <w:sz w:val="22"/>
        </w:rPr>
        <w:t>El derecho a la información será garantizado por el Estado. La ley establecerá las previsiones que permitan asegurar la protección, el respeto y la difusión de este derecho</w:t>
      </w:r>
      <w:r w:rsidRPr="005212F0">
        <w:rPr>
          <w:rFonts w:ascii="Palatino Linotype" w:eastAsia="Palatino Linotype" w:hAnsi="Palatino Linotype" w:cs="Palatino Linotype"/>
          <w:i/>
          <w:sz w:val="22"/>
        </w:rPr>
        <w:t>.</w:t>
      </w:r>
    </w:p>
    <w:p w14:paraId="73C8800E" w14:textId="77777777" w:rsidR="004E3E84" w:rsidRPr="005212F0" w:rsidRDefault="00842494">
      <w:pPr>
        <w:spacing w:before="240" w:after="240"/>
        <w:ind w:left="1134" w:right="900"/>
        <w:jc w:val="both"/>
        <w:rPr>
          <w:rFonts w:ascii="Palatino Linotype" w:eastAsia="Palatino Linotype" w:hAnsi="Palatino Linotype" w:cs="Palatino Linotype"/>
          <w:i/>
          <w:sz w:val="22"/>
        </w:rPr>
      </w:pPr>
      <w:r w:rsidRPr="005212F0">
        <w:rPr>
          <w:rFonts w:ascii="Palatino Linotype" w:eastAsia="Palatino Linotype" w:hAnsi="Palatino Linotype" w:cs="Palatino Linotype"/>
          <w:i/>
          <w:sz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6DE59B02" w14:textId="77777777" w:rsidR="004E3E84" w:rsidRPr="005212F0" w:rsidRDefault="00842494">
      <w:pPr>
        <w:spacing w:before="240" w:after="240"/>
        <w:ind w:left="1134" w:right="900"/>
        <w:jc w:val="both"/>
        <w:rPr>
          <w:rFonts w:ascii="Palatino Linotype" w:eastAsia="Palatino Linotype" w:hAnsi="Palatino Linotype" w:cs="Palatino Linotype"/>
          <w:i/>
          <w:sz w:val="22"/>
        </w:rPr>
      </w:pPr>
      <w:r w:rsidRPr="005212F0">
        <w:rPr>
          <w:rFonts w:ascii="Palatino Linotype" w:eastAsia="Palatino Linotype" w:hAnsi="Palatino Linotype" w:cs="Palatino Linotype"/>
          <w:b/>
          <w:i/>
          <w:sz w:val="22"/>
        </w:rPr>
        <w:t>Este derecho se regirá por los principios y bases siguientes</w:t>
      </w:r>
      <w:r w:rsidRPr="005212F0">
        <w:rPr>
          <w:rFonts w:ascii="Palatino Linotype" w:eastAsia="Palatino Linotype" w:hAnsi="Palatino Linotype" w:cs="Palatino Linotype"/>
          <w:i/>
          <w:sz w:val="22"/>
        </w:rPr>
        <w:t>:</w:t>
      </w:r>
    </w:p>
    <w:p w14:paraId="1C789ABC" w14:textId="77777777" w:rsidR="004E3E84" w:rsidRPr="005212F0" w:rsidRDefault="00842494">
      <w:pPr>
        <w:spacing w:before="240" w:after="240"/>
        <w:ind w:left="1134" w:right="900"/>
        <w:jc w:val="both"/>
        <w:rPr>
          <w:rFonts w:ascii="Palatino Linotype" w:eastAsia="Palatino Linotype" w:hAnsi="Palatino Linotype" w:cs="Palatino Linotype"/>
          <w:i/>
          <w:sz w:val="22"/>
        </w:rPr>
      </w:pPr>
      <w:r w:rsidRPr="005212F0">
        <w:rPr>
          <w:rFonts w:ascii="Palatino Linotype" w:eastAsia="Palatino Linotype" w:hAnsi="Palatino Linotype" w:cs="Palatino Linotype"/>
          <w:b/>
          <w:i/>
          <w:sz w:val="22"/>
        </w:rPr>
        <w:t>I. Toda la información en posesión de cualquier autoridad, entidad, órgano y organismos de los</w:t>
      </w:r>
      <w:r w:rsidRPr="005212F0">
        <w:rPr>
          <w:rFonts w:ascii="Palatino Linotype" w:eastAsia="Palatino Linotype" w:hAnsi="Palatino Linotype" w:cs="Palatino Linotype"/>
          <w:i/>
          <w:sz w:val="22"/>
        </w:rPr>
        <w:t xml:space="preserve"> Poderes Ejecutivo, Legislativo y Judicial, órganos autónomos, partidos políticos, fideicomisos y fondos públicos estatales y </w:t>
      </w:r>
      <w:r w:rsidRPr="005212F0">
        <w:rPr>
          <w:rFonts w:ascii="Palatino Linotype" w:eastAsia="Palatino Linotype" w:hAnsi="Palatino Linotype" w:cs="Palatino Linotype"/>
          <w:b/>
          <w:i/>
          <w:sz w:val="22"/>
        </w:rPr>
        <w:t>municipales</w:t>
      </w:r>
      <w:r w:rsidRPr="005212F0">
        <w:rPr>
          <w:rFonts w:ascii="Palatino Linotype" w:eastAsia="Palatino Linotype" w:hAnsi="Palatino Linotype" w:cs="Palatino Linotype"/>
          <w:i/>
          <w:sz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5212F0">
        <w:rPr>
          <w:rFonts w:ascii="Palatino Linotype" w:eastAsia="Palatino Linotype" w:hAnsi="Palatino Linotype" w:cs="Palatino Linotype"/>
          <w:b/>
          <w:i/>
          <w:sz w:val="22"/>
        </w:rPr>
        <w:t>es pública</w:t>
      </w:r>
      <w:r w:rsidRPr="005212F0">
        <w:rPr>
          <w:rFonts w:ascii="Palatino Linotype" w:eastAsia="Palatino Linotype" w:hAnsi="Palatino Linotype" w:cs="Palatino Linotype"/>
          <w:i/>
          <w:sz w:val="22"/>
        </w:rPr>
        <w:t xml:space="preserve"> y sólo podrá ser reservada temporalmente por razones previstas en la Constitución </w:t>
      </w:r>
      <w:r w:rsidRPr="005212F0">
        <w:rPr>
          <w:rFonts w:ascii="Palatino Linotype" w:eastAsia="Palatino Linotype" w:hAnsi="Palatino Linotype" w:cs="Palatino Linotype"/>
          <w:i/>
          <w:sz w:val="22"/>
        </w:rPr>
        <w:lastRenderedPageBreak/>
        <w:t xml:space="preserve">Política de los Estados Unidos Mexicanos de interés público y seguridad, en los términos que fijen las leyes. </w:t>
      </w:r>
      <w:r w:rsidRPr="005212F0">
        <w:rPr>
          <w:rFonts w:ascii="Palatino Linotype" w:eastAsia="Palatino Linotype" w:hAnsi="Palatino Linotype" w:cs="Palatino Linotype"/>
          <w:b/>
          <w:i/>
          <w:sz w:val="22"/>
        </w:rPr>
        <w:t>En la interpretación de este derecho deberá prevalecer el principio de máxima publicidad</w:t>
      </w:r>
      <w:r w:rsidRPr="005212F0">
        <w:rPr>
          <w:rFonts w:ascii="Palatino Linotype" w:eastAsia="Palatino Linotype" w:hAnsi="Palatino Linotype" w:cs="Palatino Linotype"/>
          <w:i/>
          <w:sz w:val="22"/>
        </w:rPr>
        <w:t xml:space="preserve">. </w:t>
      </w:r>
      <w:r w:rsidRPr="005212F0">
        <w:rPr>
          <w:rFonts w:ascii="Palatino Linotype" w:eastAsia="Palatino Linotype" w:hAnsi="Palatino Linotype" w:cs="Palatino Linotype"/>
          <w:b/>
          <w:i/>
          <w:sz w:val="22"/>
        </w:rPr>
        <w:t>Los sujetos obligados deberán documentar todo acto que derive del ejercicio de sus facultades, competencias o funciones</w:t>
      </w:r>
      <w:r w:rsidRPr="005212F0">
        <w:rPr>
          <w:rFonts w:ascii="Palatino Linotype" w:eastAsia="Palatino Linotype" w:hAnsi="Palatino Linotype" w:cs="Palatino Linotype"/>
          <w:i/>
          <w:sz w:val="22"/>
        </w:rPr>
        <w:t>, la ley determinará los supuestos específicos bajo los cuales procederá la declaración de inexistencia de la información.”</w:t>
      </w:r>
    </w:p>
    <w:p w14:paraId="59D4CD47" w14:textId="77777777" w:rsidR="004E3E84" w:rsidRPr="005212F0" w:rsidRDefault="004E3E84">
      <w:pPr>
        <w:tabs>
          <w:tab w:val="left" w:pos="567"/>
        </w:tabs>
        <w:spacing w:before="240" w:after="240"/>
        <w:ind w:right="567"/>
        <w:jc w:val="both"/>
        <w:rPr>
          <w:rFonts w:ascii="Palatino Linotype" w:eastAsia="Palatino Linotype" w:hAnsi="Palatino Linotype" w:cs="Palatino Linotype"/>
          <w:b/>
          <w:i/>
        </w:rPr>
      </w:pPr>
    </w:p>
    <w:p w14:paraId="53D3F25C" w14:textId="77777777" w:rsidR="004E3E84" w:rsidRPr="005212F0" w:rsidRDefault="00842494">
      <w:pPr>
        <w:numPr>
          <w:ilvl w:val="0"/>
          <w:numId w:val="9"/>
        </w:numPr>
        <w:spacing w:before="240" w:line="360" w:lineRule="auto"/>
        <w:ind w:left="0" w:right="49" w:firstLine="0"/>
        <w:jc w:val="both"/>
        <w:rPr>
          <w:rFonts w:ascii="Palatino Linotype" w:eastAsia="Palatino Linotype" w:hAnsi="Palatino Linotype" w:cs="Palatino Linotype"/>
        </w:rPr>
      </w:pPr>
      <w:r w:rsidRPr="005212F0">
        <w:rPr>
          <w:rFonts w:ascii="Palatino Linotype" w:eastAsia="Palatino Linotype" w:hAnsi="Palatino Linotype" w:cs="Palatino Linotype"/>
        </w:rPr>
        <w:t xml:space="preserve">Según el artículo 150 de la Ley de Transparencia del Estado, la solicitud es la garantía primaria del Derecho de Acceso a la Información, además, establece que se regirá </w:t>
      </w:r>
      <w:r w:rsidRPr="005212F0">
        <w:rPr>
          <w:rFonts w:ascii="Palatino Linotype" w:eastAsia="Palatino Linotype" w:hAnsi="Palatino Linotype" w:cs="Palatino Linotype"/>
          <w:i/>
        </w:rPr>
        <w:t>por los principios de simplicidad, rapidez gratuidad del procedimiento, auxilio y orientación a los particulares</w:t>
      </w:r>
      <w:r w:rsidRPr="005212F0">
        <w:rPr>
          <w:rFonts w:ascii="Palatino Linotype" w:eastAsia="Palatino Linotype" w:hAnsi="Palatino Linotype" w:cs="Palatino Linotype"/>
        </w:rPr>
        <w:t>, contemplando el derecho de las personas con discapacidad y hablantes de lengua indígena.</w:t>
      </w:r>
    </w:p>
    <w:p w14:paraId="05059DE6" w14:textId="77777777" w:rsidR="004E3E84" w:rsidRPr="005212F0" w:rsidRDefault="004E3E84">
      <w:pPr>
        <w:spacing w:line="360" w:lineRule="auto"/>
        <w:ind w:right="49"/>
        <w:jc w:val="both"/>
        <w:rPr>
          <w:rFonts w:ascii="Palatino Linotype" w:eastAsia="Palatino Linotype" w:hAnsi="Palatino Linotype" w:cs="Palatino Linotype"/>
        </w:rPr>
      </w:pPr>
    </w:p>
    <w:p w14:paraId="4387384D" w14:textId="77777777" w:rsidR="004E3E84" w:rsidRPr="005212F0" w:rsidRDefault="00842494">
      <w:pPr>
        <w:numPr>
          <w:ilvl w:val="0"/>
          <w:numId w:val="9"/>
        </w:numPr>
        <w:spacing w:line="360" w:lineRule="auto"/>
        <w:ind w:left="0" w:right="49" w:firstLine="0"/>
        <w:jc w:val="both"/>
        <w:rPr>
          <w:rFonts w:ascii="Palatino Linotype" w:eastAsia="Palatino Linotype" w:hAnsi="Palatino Linotype" w:cs="Palatino Linotype"/>
        </w:rPr>
      </w:pPr>
      <w:r w:rsidRPr="005212F0">
        <w:rPr>
          <w:rFonts w:ascii="Palatino Linotype" w:eastAsia="Palatino Linotype" w:hAnsi="Palatino Linotype" w:cs="Palatino Linotype"/>
        </w:rPr>
        <w:t xml:space="preserve">El Derecho de Acceso a la Información se garantiza y respeta oportunamente, y según lo que dispone la Ley, las </w:t>
      </w:r>
      <w:r w:rsidRPr="005212F0">
        <w:rPr>
          <w:rFonts w:ascii="Palatino Linotype" w:eastAsia="Palatino Linotype" w:hAnsi="Palatino Linotype" w:cs="Palatino Linotype"/>
          <w:i/>
        </w:rPr>
        <w:t>solicitudes de acceso a la información</w:t>
      </w:r>
      <w:r w:rsidRPr="005212F0">
        <w:rPr>
          <w:rFonts w:ascii="Palatino Linotype" w:eastAsia="Palatino Linotype" w:hAnsi="Palatino Linotype" w:cs="Palatino Linotype"/>
        </w:rPr>
        <w:t>.</w:t>
      </w:r>
    </w:p>
    <w:p w14:paraId="3587C135" w14:textId="77777777" w:rsidR="004E3E84" w:rsidRPr="005212F0" w:rsidRDefault="004E3E84">
      <w:pPr>
        <w:spacing w:line="360" w:lineRule="auto"/>
        <w:ind w:right="49"/>
        <w:jc w:val="both"/>
        <w:rPr>
          <w:rFonts w:ascii="Palatino Linotype" w:eastAsia="Palatino Linotype" w:hAnsi="Palatino Linotype" w:cs="Palatino Linotype"/>
        </w:rPr>
      </w:pPr>
    </w:p>
    <w:p w14:paraId="340BE2ED" w14:textId="77777777" w:rsidR="004E3E84" w:rsidRPr="005212F0" w:rsidRDefault="00842494">
      <w:pPr>
        <w:numPr>
          <w:ilvl w:val="0"/>
          <w:numId w:val="9"/>
        </w:numPr>
        <w:spacing w:line="360" w:lineRule="auto"/>
        <w:ind w:left="0" w:right="49" w:firstLine="0"/>
        <w:jc w:val="both"/>
        <w:rPr>
          <w:rFonts w:ascii="Palatino Linotype" w:eastAsia="Palatino Linotype" w:hAnsi="Palatino Linotype" w:cs="Palatino Linotype"/>
        </w:rPr>
      </w:pPr>
      <w:bookmarkStart w:id="8" w:name="_heading=h.4d34og8" w:colFirst="0" w:colLast="0"/>
      <w:bookmarkEnd w:id="8"/>
      <w:r w:rsidRPr="005212F0">
        <w:rPr>
          <w:rFonts w:ascii="Palatino Linotype" w:eastAsia="Palatino Linotype" w:hAnsi="Palatino Linotype" w:cs="Palatino Linotype"/>
        </w:rPr>
        <w:t xml:space="preserve">Así entonces, se procede analizar, en primer lugar, si el </w:t>
      </w:r>
      <w:r w:rsidRPr="005212F0">
        <w:rPr>
          <w:rFonts w:ascii="Palatino Linotype" w:eastAsia="Palatino Linotype" w:hAnsi="Palatino Linotype" w:cs="Palatino Linotype"/>
          <w:b/>
        </w:rPr>
        <w:t>SUJETO OBLIGADO</w:t>
      </w:r>
      <w:r w:rsidRPr="005212F0">
        <w:rPr>
          <w:rFonts w:ascii="Palatino Linotype" w:eastAsia="Palatino Linotype" w:hAnsi="Palatino Linotype" w:cs="Palatino Linotype"/>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14:paraId="470D5B50" w14:textId="77777777" w:rsidR="004E3E84" w:rsidRPr="005212F0" w:rsidRDefault="004E3E84">
      <w:pPr>
        <w:spacing w:line="360" w:lineRule="auto"/>
        <w:ind w:right="49"/>
        <w:jc w:val="both"/>
        <w:rPr>
          <w:rFonts w:ascii="Palatino Linotype" w:eastAsia="Palatino Linotype" w:hAnsi="Palatino Linotype" w:cs="Palatino Linotype"/>
        </w:rPr>
      </w:pPr>
    </w:p>
    <w:p w14:paraId="6674F543" w14:textId="77777777" w:rsidR="004E3E84" w:rsidRPr="005212F0" w:rsidRDefault="00842494">
      <w:pPr>
        <w:keepNext/>
        <w:keepLines/>
        <w:spacing w:after="240" w:line="360" w:lineRule="auto"/>
        <w:rPr>
          <w:rFonts w:ascii="Palatino Linotype" w:eastAsia="Palatino Linotype" w:hAnsi="Palatino Linotype" w:cs="Palatino Linotype"/>
          <w:b/>
        </w:rPr>
      </w:pPr>
      <w:bookmarkStart w:id="9" w:name="_heading=h.2s8eyo1" w:colFirst="0" w:colLast="0"/>
      <w:bookmarkEnd w:id="9"/>
      <w:r w:rsidRPr="005212F0">
        <w:rPr>
          <w:rFonts w:ascii="Palatino Linotype" w:eastAsia="Palatino Linotype" w:hAnsi="Palatino Linotype" w:cs="Palatino Linotype"/>
          <w:b/>
        </w:rPr>
        <w:lastRenderedPageBreak/>
        <w:t>II. De la información solicitada y la respuesta del SUJETO OBLIGADO</w:t>
      </w:r>
    </w:p>
    <w:p w14:paraId="6E1465D4" w14:textId="77777777" w:rsidR="004E3E84" w:rsidRPr="005212F0" w:rsidRDefault="00842494">
      <w:pPr>
        <w:numPr>
          <w:ilvl w:val="0"/>
          <w:numId w:val="9"/>
        </w:numPr>
        <w:spacing w:line="360" w:lineRule="auto"/>
        <w:ind w:left="0" w:firstLine="0"/>
        <w:jc w:val="both"/>
        <w:rPr>
          <w:rFonts w:ascii="Palatino Linotype" w:eastAsia="Palatino Linotype" w:hAnsi="Palatino Linotype" w:cs="Palatino Linotype"/>
          <w:color w:val="000000"/>
        </w:rPr>
      </w:pPr>
      <w:r w:rsidRPr="005212F0">
        <w:rPr>
          <w:rFonts w:ascii="Palatino Linotype" w:eastAsia="Palatino Linotype" w:hAnsi="Palatino Linotype" w:cs="Palatino Linotype"/>
          <w:color w:val="000000"/>
        </w:rPr>
        <w:t xml:space="preserve">Por lo que, se procede al análisis de la información objeto de impugnación y análisis del presente recurso de revisión, es necesario mencionar que el </w:t>
      </w:r>
      <w:r w:rsidRPr="005212F0">
        <w:rPr>
          <w:rFonts w:ascii="Palatino Linotype" w:eastAsia="Palatino Linotype" w:hAnsi="Palatino Linotype" w:cs="Palatino Linotype"/>
          <w:b/>
          <w:color w:val="000000"/>
        </w:rPr>
        <w:t xml:space="preserve">SUJETO OBLIGADO </w:t>
      </w:r>
      <w:r w:rsidRPr="005212F0">
        <w:rPr>
          <w:rFonts w:ascii="Palatino Linotype" w:eastAsia="Palatino Linotype" w:hAnsi="Palatino Linotype" w:cs="Palatino Linotype"/>
          <w:color w:val="000000"/>
        </w:rPr>
        <w:t xml:space="preserve">dio contestación al hoy </w:t>
      </w:r>
      <w:r w:rsidRPr="005212F0">
        <w:rPr>
          <w:rFonts w:ascii="Palatino Linotype" w:eastAsia="Palatino Linotype" w:hAnsi="Palatino Linotype" w:cs="Palatino Linotype"/>
          <w:b/>
          <w:color w:val="000000"/>
        </w:rPr>
        <w:t xml:space="preserve">RECURRENTE </w:t>
      </w:r>
      <w:r w:rsidRPr="005212F0">
        <w:rPr>
          <w:rFonts w:ascii="Palatino Linotype" w:eastAsia="Palatino Linotype" w:hAnsi="Palatino Linotype" w:cs="Palatino Linotype"/>
          <w:color w:val="000000"/>
        </w:rPr>
        <w:t xml:space="preserve">mediante respuesta en el sistema SAIMEX, cuyo contenido toral es el siguiente: </w:t>
      </w:r>
    </w:p>
    <w:p w14:paraId="75706801" w14:textId="77777777" w:rsidR="004E3E84" w:rsidRPr="005212F0" w:rsidRDefault="00842494">
      <w:pPr>
        <w:ind w:left="1134" w:right="900"/>
        <w:jc w:val="both"/>
        <w:rPr>
          <w:rFonts w:ascii="Palatino Linotype" w:eastAsia="Palatino Linotype" w:hAnsi="Palatino Linotype" w:cs="Palatino Linotype"/>
          <w:i/>
          <w:sz w:val="22"/>
        </w:rPr>
      </w:pPr>
      <w:r w:rsidRPr="005212F0">
        <w:rPr>
          <w:rFonts w:ascii="Palatino Linotype" w:eastAsia="Palatino Linotype" w:hAnsi="Palatino Linotype" w:cs="Palatino Linotype"/>
          <w:i/>
          <w:sz w:val="22"/>
        </w:rPr>
        <w:t>“oficio del Secretario del Ayuntamiento, como servidor público habilitado, mediante el cual informa que en la administración no se generan nombramientos para el Presidente Municipal ni para los demás miembros del ayuntamiento.</w:t>
      </w:r>
    </w:p>
    <w:p w14:paraId="7452E38C" w14:textId="77777777" w:rsidR="004E3E84" w:rsidRPr="005212F0" w:rsidRDefault="00842494">
      <w:pPr>
        <w:ind w:left="1134" w:right="900"/>
        <w:jc w:val="both"/>
        <w:rPr>
          <w:rFonts w:ascii="Palatino Linotype" w:eastAsia="Palatino Linotype" w:hAnsi="Palatino Linotype" w:cs="Palatino Linotype"/>
          <w:i/>
          <w:sz w:val="22"/>
        </w:rPr>
      </w:pPr>
      <w:r w:rsidRPr="005212F0">
        <w:rPr>
          <w:rFonts w:ascii="Palatino Linotype" w:eastAsia="Palatino Linotype" w:hAnsi="Palatino Linotype" w:cs="Palatino Linotype"/>
          <w:i/>
          <w:sz w:val="22"/>
        </w:rPr>
        <w:t xml:space="preserve">Así mismo, el Titular de la  Unidad de Transparencia, informa que cada municipio será gobernado por un ayuntamiento de elección popular directa y que los presidentes municipales son electos de la misma manera, por lo que, </w:t>
      </w:r>
      <w:r w:rsidRPr="005212F0">
        <w:rPr>
          <w:rFonts w:ascii="Palatino Linotype" w:eastAsia="Palatino Linotype" w:hAnsi="Palatino Linotype" w:cs="Palatino Linotype"/>
          <w:b/>
          <w:i/>
          <w:sz w:val="22"/>
        </w:rPr>
        <w:t>se le entrega una constancia de mayoría</w:t>
      </w:r>
      <w:r w:rsidRPr="005212F0">
        <w:rPr>
          <w:rFonts w:ascii="Palatino Linotype" w:eastAsia="Palatino Linotype" w:hAnsi="Palatino Linotype" w:cs="Palatino Linotype"/>
          <w:i/>
          <w:sz w:val="22"/>
        </w:rPr>
        <w:t xml:space="preserve"> que entrega el Consejo Local o Distrital, por lo que en ese sentido no cuenta con la información solicitada …”</w:t>
      </w:r>
    </w:p>
    <w:p w14:paraId="2AF0755C" w14:textId="77777777" w:rsidR="004E3E84" w:rsidRPr="005212F0" w:rsidRDefault="004E3E84">
      <w:pPr>
        <w:spacing w:after="160" w:line="259" w:lineRule="auto"/>
        <w:ind w:left="1134" w:right="900"/>
      </w:pPr>
    </w:p>
    <w:p w14:paraId="65D31BDE" w14:textId="77777777" w:rsidR="004E3E84" w:rsidRPr="005212F0" w:rsidRDefault="004E3E84"/>
    <w:p w14:paraId="6EE0FE7E" w14:textId="77777777" w:rsidR="004E3E84" w:rsidRPr="005212F0" w:rsidRDefault="00842494">
      <w:pPr>
        <w:numPr>
          <w:ilvl w:val="0"/>
          <w:numId w:val="9"/>
        </w:numPr>
        <w:spacing w:line="360" w:lineRule="auto"/>
        <w:ind w:left="0" w:firstLine="0"/>
        <w:jc w:val="both"/>
        <w:rPr>
          <w:rFonts w:ascii="Palatino Linotype" w:eastAsia="Palatino Linotype" w:hAnsi="Palatino Linotype" w:cs="Palatino Linotype"/>
          <w:color w:val="000000"/>
        </w:rPr>
      </w:pPr>
      <w:r w:rsidRPr="005212F0">
        <w:rPr>
          <w:rFonts w:ascii="Palatino Linotype" w:eastAsia="Palatino Linotype" w:hAnsi="Palatino Linotype" w:cs="Palatino Linotype"/>
          <w:color w:val="000000"/>
        </w:rPr>
        <w:t xml:space="preserve">De la respuesta emitida por el </w:t>
      </w:r>
      <w:r w:rsidRPr="005212F0">
        <w:rPr>
          <w:rFonts w:ascii="Palatino Linotype" w:eastAsia="Palatino Linotype" w:hAnsi="Palatino Linotype" w:cs="Palatino Linotype"/>
          <w:b/>
          <w:color w:val="000000"/>
        </w:rPr>
        <w:t xml:space="preserve">SUJETO OBLIGADO </w:t>
      </w:r>
      <w:r w:rsidRPr="005212F0">
        <w:rPr>
          <w:rFonts w:ascii="Palatino Linotype" w:eastAsia="Palatino Linotype" w:hAnsi="Palatino Linotype" w:cs="Palatino Linotype"/>
          <w:color w:val="000000"/>
        </w:rPr>
        <w:t xml:space="preserve"> el </w:t>
      </w:r>
      <w:r w:rsidRPr="005212F0">
        <w:rPr>
          <w:rFonts w:ascii="Palatino Linotype" w:eastAsia="Palatino Linotype" w:hAnsi="Palatino Linotype" w:cs="Palatino Linotype"/>
          <w:b/>
          <w:color w:val="000000"/>
        </w:rPr>
        <w:t xml:space="preserve">SOLICITANTE </w:t>
      </w:r>
      <w:r w:rsidRPr="005212F0">
        <w:rPr>
          <w:rFonts w:ascii="Palatino Linotype" w:eastAsia="Palatino Linotype" w:hAnsi="Palatino Linotype" w:cs="Palatino Linotype"/>
          <w:color w:val="000000"/>
        </w:rPr>
        <w:t xml:space="preserve">interpuso el recurso de revisión bajo los términos siguientes: </w:t>
      </w:r>
    </w:p>
    <w:p w14:paraId="5D773246" w14:textId="77777777" w:rsidR="004E3E84" w:rsidRPr="005212F0" w:rsidRDefault="00842494" w:rsidP="00DC049C">
      <w:pPr>
        <w:pStyle w:val="Prrafodelista"/>
        <w:numPr>
          <w:ilvl w:val="0"/>
          <w:numId w:val="19"/>
        </w:numPr>
        <w:pBdr>
          <w:top w:val="nil"/>
          <w:left w:val="nil"/>
          <w:bottom w:val="nil"/>
          <w:right w:val="nil"/>
          <w:between w:val="nil"/>
        </w:pBdr>
        <w:spacing w:line="360" w:lineRule="auto"/>
        <w:jc w:val="both"/>
        <w:rPr>
          <w:rFonts w:ascii="Palatino Linotype" w:eastAsia="Palatino Linotype" w:hAnsi="Palatino Linotype" w:cs="Palatino Linotype"/>
          <w:i/>
          <w:color w:val="000000"/>
        </w:rPr>
      </w:pPr>
      <w:r w:rsidRPr="005212F0">
        <w:rPr>
          <w:rFonts w:ascii="Palatino Linotype" w:eastAsia="Palatino Linotype" w:hAnsi="Palatino Linotype" w:cs="Palatino Linotype"/>
          <w:b/>
          <w:color w:val="000000"/>
        </w:rPr>
        <w:t xml:space="preserve">Acto impugnado: </w:t>
      </w:r>
      <w:r w:rsidRPr="005212F0">
        <w:rPr>
          <w:rFonts w:ascii="Palatino Linotype" w:eastAsia="Palatino Linotype" w:hAnsi="Palatino Linotype" w:cs="Palatino Linotype"/>
          <w:i/>
          <w:color w:val="000000"/>
        </w:rPr>
        <w:t>“…no entrega lo que pedí…</w:t>
      </w:r>
      <w:r w:rsidRPr="005212F0">
        <w:rPr>
          <w:rFonts w:ascii="Palatino Linotype" w:eastAsia="Palatino Linotype" w:hAnsi="Palatino Linotype" w:cs="Palatino Linotype"/>
          <w:color w:val="000000"/>
        </w:rPr>
        <w:t xml:space="preserve">” </w:t>
      </w:r>
    </w:p>
    <w:p w14:paraId="1A88DF67" w14:textId="77777777" w:rsidR="004E3E84" w:rsidRPr="005212F0" w:rsidRDefault="00842494" w:rsidP="00DC049C">
      <w:pPr>
        <w:pStyle w:val="Prrafodelista"/>
        <w:numPr>
          <w:ilvl w:val="0"/>
          <w:numId w:val="19"/>
        </w:numPr>
        <w:pBdr>
          <w:top w:val="nil"/>
          <w:left w:val="nil"/>
          <w:bottom w:val="nil"/>
          <w:right w:val="nil"/>
          <w:between w:val="nil"/>
        </w:pBdr>
        <w:spacing w:line="360" w:lineRule="auto"/>
        <w:jc w:val="both"/>
        <w:rPr>
          <w:rFonts w:ascii="Palatino Linotype" w:eastAsia="Palatino Linotype" w:hAnsi="Palatino Linotype" w:cs="Palatino Linotype"/>
          <w:i/>
          <w:color w:val="000000"/>
        </w:rPr>
      </w:pPr>
      <w:r w:rsidRPr="005212F0">
        <w:rPr>
          <w:rFonts w:ascii="Palatino Linotype" w:eastAsia="Palatino Linotype" w:hAnsi="Palatino Linotype" w:cs="Palatino Linotype"/>
          <w:b/>
          <w:color w:val="000000"/>
        </w:rPr>
        <w:t xml:space="preserve">Razones o Motivos de inconformidad: </w:t>
      </w:r>
      <w:r w:rsidRPr="005212F0">
        <w:rPr>
          <w:rFonts w:ascii="Palatino Linotype" w:eastAsia="Palatino Linotype" w:hAnsi="Palatino Linotype" w:cs="Palatino Linotype"/>
          <w:i/>
          <w:color w:val="000000"/>
        </w:rPr>
        <w:t>“…no entrega lo que pedí...”</w:t>
      </w:r>
    </w:p>
    <w:p w14:paraId="0FEF41B2" w14:textId="77777777" w:rsidR="004E3E84" w:rsidRPr="005212F0" w:rsidRDefault="004E3E84">
      <w:pPr>
        <w:spacing w:line="360" w:lineRule="auto"/>
        <w:jc w:val="both"/>
        <w:rPr>
          <w:rFonts w:ascii="Palatino Linotype" w:eastAsia="Palatino Linotype" w:hAnsi="Palatino Linotype" w:cs="Palatino Linotype"/>
        </w:rPr>
      </w:pPr>
    </w:p>
    <w:p w14:paraId="68B803E2" w14:textId="77777777" w:rsidR="004E3E84" w:rsidRPr="005212F0" w:rsidRDefault="00842494">
      <w:pPr>
        <w:numPr>
          <w:ilvl w:val="0"/>
          <w:numId w:val="9"/>
        </w:numPr>
        <w:spacing w:line="360" w:lineRule="auto"/>
        <w:ind w:left="0" w:firstLine="0"/>
        <w:jc w:val="both"/>
        <w:rPr>
          <w:rFonts w:ascii="Palatino Linotype" w:eastAsia="Palatino Linotype" w:hAnsi="Palatino Linotype" w:cs="Palatino Linotype"/>
        </w:rPr>
      </w:pPr>
      <w:r w:rsidRPr="005212F0">
        <w:rPr>
          <w:rFonts w:ascii="Palatino Linotype" w:eastAsia="Palatino Linotype" w:hAnsi="Palatino Linotype" w:cs="Palatino Linotype"/>
        </w:rPr>
        <w:t xml:space="preserve">En ese sentido, es necesario precisar que con la respuesta emitida por el </w:t>
      </w:r>
      <w:r w:rsidRPr="005212F0">
        <w:rPr>
          <w:rFonts w:ascii="Palatino Linotype" w:eastAsia="Palatino Linotype" w:hAnsi="Palatino Linotype" w:cs="Palatino Linotype"/>
          <w:b/>
        </w:rPr>
        <w:t>SUJETO OBLIGADO</w:t>
      </w:r>
      <w:r w:rsidRPr="005212F0">
        <w:rPr>
          <w:rFonts w:ascii="Palatino Linotype" w:eastAsia="Palatino Linotype" w:hAnsi="Palatino Linotype" w:cs="Palatino Linotype"/>
        </w:rPr>
        <w:t xml:space="preserve">  no se colma el derecho de acceso a la información del </w:t>
      </w:r>
      <w:r w:rsidRPr="005212F0">
        <w:rPr>
          <w:rFonts w:ascii="Palatino Linotype" w:eastAsia="Palatino Linotype" w:hAnsi="Palatino Linotype" w:cs="Palatino Linotype"/>
          <w:b/>
        </w:rPr>
        <w:t>RECURRENTE</w:t>
      </w:r>
      <w:r w:rsidRPr="005212F0">
        <w:rPr>
          <w:rFonts w:ascii="Palatino Linotype" w:eastAsia="Palatino Linotype" w:hAnsi="Palatino Linotype" w:cs="Palatino Linotype"/>
        </w:rPr>
        <w:t xml:space="preserve">,  por ello, se realiza el siguiente análisis. </w:t>
      </w:r>
    </w:p>
    <w:p w14:paraId="7679D41C" w14:textId="77777777" w:rsidR="004E3E84" w:rsidRPr="005212F0" w:rsidRDefault="004E3E84">
      <w:pPr>
        <w:spacing w:line="360" w:lineRule="auto"/>
        <w:jc w:val="both"/>
        <w:rPr>
          <w:rFonts w:ascii="Palatino Linotype" w:eastAsia="Palatino Linotype" w:hAnsi="Palatino Linotype" w:cs="Palatino Linotype"/>
        </w:rPr>
      </w:pPr>
    </w:p>
    <w:p w14:paraId="3ACB1C4D" w14:textId="77777777" w:rsidR="004E3E84" w:rsidRPr="005212F0" w:rsidRDefault="00842494">
      <w:pPr>
        <w:numPr>
          <w:ilvl w:val="0"/>
          <w:numId w:val="9"/>
        </w:numPr>
        <w:spacing w:line="360" w:lineRule="auto"/>
        <w:ind w:left="0" w:firstLine="0"/>
        <w:jc w:val="both"/>
        <w:rPr>
          <w:rFonts w:ascii="Palatino Linotype" w:eastAsia="Palatino Linotype" w:hAnsi="Palatino Linotype" w:cs="Palatino Linotype"/>
        </w:rPr>
      </w:pPr>
      <w:r w:rsidRPr="005212F0">
        <w:rPr>
          <w:rFonts w:ascii="Palatino Linotype" w:eastAsia="Palatino Linotype" w:hAnsi="Palatino Linotype" w:cs="Palatino Linotype"/>
        </w:rPr>
        <w:t xml:space="preserve">De lo anterior, es necesario precisar si bien es cierto el </w:t>
      </w:r>
      <w:r w:rsidRPr="005212F0">
        <w:rPr>
          <w:rFonts w:ascii="Palatino Linotype" w:eastAsia="Palatino Linotype" w:hAnsi="Palatino Linotype" w:cs="Palatino Linotype"/>
          <w:b/>
        </w:rPr>
        <w:t>SUJETO OBLIGADO</w:t>
      </w:r>
      <w:r w:rsidRPr="005212F0">
        <w:rPr>
          <w:rFonts w:ascii="Palatino Linotype" w:eastAsia="Palatino Linotype" w:hAnsi="Palatino Linotype" w:cs="Palatino Linotype"/>
        </w:rPr>
        <w:t xml:space="preserve">  responde por medio del Secretario del Ayuntamiento, como servidor público </w:t>
      </w:r>
      <w:r w:rsidRPr="005212F0">
        <w:rPr>
          <w:rFonts w:ascii="Palatino Linotype" w:eastAsia="Palatino Linotype" w:hAnsi="Palatino Linotype" w:cs="Palatino Linotype"/>
        </w:rPr>
        <w:lastRenderedPageBreak/>
        <w:t xml:space="preserve">habilitado mediante el cual informa que para el Presidente Municipal no existe un nombramiento, también lo es que el documento que acredita su cargo en la Constancia de Mayoría que entrega el Instituto Electoral del Estado de México, documento que acredita que ante los otros partidos o candidatos en contienda política tuvo la mayoría de los votos. </w:t>
      </w:r>
    </w:p>
    <w:p w14:paraId="1D097FA1" w14:textId="77777777" w:rsidR="004E3E84" w:rsidRPr="005212F0" w:rsidRDefault="004E3E84">
      <w:pPr>
        <w:spacing w:line="360" w:lineRule="auto"/>
        <w:jc w:val="both"/>
        <w:rPr>
          <w:rFonts w:ascii="Palatino Linotype" w:eastAsia="Palatino Linotype" w:hAnsi="Palatino Linotype" w:cs="Palatino Linotype"/>
        </w:rPr>
      </w:pPr>
    </w:p>
    <w:p w14:paraId="10720C2C" w14:textId="77777777" w:rsidR="004E3E84" w:rsidRPr="005212F0" w:rsidRDefault="00842494">
      <w:pPr>
        <w:numPr>
          <w:ilvl w:val="0"/>
          <w:numId w:val="9"/>
        </w:numPr>
        <w:spacing w:line="360" w:lineRule="auto"/>
        <w:ind w:left="0" w:firstLine="0"/>
        <w:jc w:val="both"/>
        <w:rPr>
          <w:rFonts w:ascii="Palatino Linotype" w:eastAsia="Palatino Linotype" w:hAnsi="Palatino Linotype" w:cs="Palatino Linotype"/>
        </w:rPr>
      </w:pPr>
      <w:r w:rsidRPr="005212F0">
        <w:rPr>
          <w:rFonts w:ascii="Palatino Linotype" w:eastAsia="Palatino Linotype" w:hAnsi="Palatino Linotype" w:cs="Palatino Linotype"/>
        </w:rPr>
        <w:t xml:space="preserve">Por lo que, el </w:t>
      </w:r>
      <w:r w:rsidRPr="005212F0">
        <w:rPr>
          <w:rFonts w:ascii="Palatino Linotype" w:eastAsia="Palatino Linotype" w:hAnsi="Palatino Linotype" w:cs="Palatino Linotype"/>
          <w:b/>
        </w:rPr>
        <w:t>SUJETO OBLIGADO</w:t>
      </w:r>
      <w:r w:rsidRPr="005212F0">
        <w:rPr>
          <w:rFonts w:ascii="Palatino Linotype" w:eastAsia="Palatino Linotype" w:hAnsi="Palatino Linotype" w:cs="Palatino Linotype"/>
        </w:rPr>
        <w:t xml:space="preserve"> debió de haber realizado la suplencia de la queja y entregar al </w:t>
      </w:r>
      <w:r w:rsidRPr="005212F0">
        <w:rPr>
          <w:rFonts w:ascii="Palatino Linotype" w:eastAsia="Palatino Linotype" w:hAnsi="Palatino Linotype" w:cs="Palatino Linotype"/>
          <w:b/>
        </w:rPr>
        <w:t>RECURRENTE</w:t>
      </w:r>
      <w:r w:rsidRPr="005212F0">
        <w:rPr>
          <w:rFonts w:ascii="Palatino Linotype" w:eastAsia="Palatino Linotype" w:hAnsi="Palatino Linotype" w:cs="Palatino Linotype"/>
        </w:rPr>
        <w:t xml:space="preserve"> el documento que acreditará el cargo de los tres últimos Presidentes Municipales del Ayuntamiento de Zinacantepec.  </w:t>
      </w:r>
    </w:p>
    <w:p w14:paraId="0249AECF" w14:textId="77777777" w:rsidR="004E3E84" w:rsidRPr="005212F0" w:rsidRDefault="004E3E84">
      <w:pPr>
        <w:spacing w:line="360" w:lineRule="auto"/>
        <w:jc w:val="both"/>
        <w:rPr>
          <w:rFonts w:ascii="Palatino Linotype" w:eastAsia="Palatino Linotype" w:hAnsi="Palatino Linotype" w:cs="Palatino Linotype"/>
        </w:rPr>
      </w:pPr>
    </w:p>
    <w:p w14:paraId="5FC3DEDD" w14:textId="77777777" w:rsidR="004E3E84" w:rsidRPr="005212F0" w:rsidRDefault="00842494">
      <w:pPr>
        <w:numPr>
          <w:ilvl w:val="0"/>
          <w:numId w:val="9"/>
        </w:numPr>
        <w:spacing w:line="360" w:lineRule="auto"/>
        <w:ind w:left="0" w:firstLine="0"/>
        <w:jc w:val="both"/>
        <w:rPr>
          <w:rFonts w:ascii="Palatino Linotype" w:eastAsia="Palatino Linotype" w:hAnsi="Palatino Linotype" w:cs="Palatino Linotype"/>
        </w:rPr>
      </w:pPr>
      <w:r w:rsidRPr="005212F0">
        <w:rPr>
          <w:rFonts w:ascii="Palatino Linotype" w:eastAsia="Palatino Linotype" w:hAnsi="Palatino Linotype" w:cs="Palatino Linotype"/>
        </w:rPr>
        <w:t xml:space="preserve">Por lo que del análisis a estas manifestaciones, resulta procedente </w:t>
      </w:r>
      <w:r w:rsidRPr="005212F0">
        <w:rPr>
          <w:rFonts w:ascii="Palatino Linotype" w:eastAsia="Palatino Linotype" w:hAnsi="Palatino Linotype" w:cs="Palatino Linotype"/>
          <w:b/>
        </w:rPr>
        <w:t>suplir la deficiencia</w:t>
      </w:r>
      <w:r w:rsidRPr="005212F0">
        <w:rPr>
          <w:rFonts w:ascii="Palatino Linotype" w:eastAsia="Palatino Linotype" w:hAnsi="Palatino Linotype" w:cs="Palatino Linotype"/>
        </w:rPr>
        <w:t xml:space="preserve"> </w:t>
      </w:r>
      <w:r w:rsidRPr="005212F0">
        <w:rPr>
          <w:rFonts w:ascii="Palatino Linotype" w:eastAsia="Palatino Linotype" w:hAnsi="Palatino Linotype" w:cs="Palatino Linotype"/>
          <w:b/>
        </w:rPr>
        <w:t>de la queja</w:t>
      </w:r>
      <w:r w:rsidRPr="005212F0">
        <w:rPr>
          <w:rFonts w:ascii="Palatino Linotype" w:eastAsia="Palatino Linotype" w:hAnsi="Palatino Linotype" w:cs="Palatino Linotype"/>
        </w:rPr>
        <w:t xml:space="preserve"> en términos de la Ley de Transparencia y Acceso a la Información Pública del Estado de México y Municipios, concretamente en sus artículos 13 y 181, tercer párrafo, donde se señala el deber de este Instituto de suplir cualquier deficiencia para garantizar el derecho de acceso a la información a favor de los recurrentes sin cambiar los hechos expuestos; tal y como se lee a continuación:</w:t>
      </w:r>
    </w:p>
    <w:p w14:paraId="3DEA7BC8" w14:textId="77777777" w:rsidR="004E3E84" w:rsidRPr="005212F0" w:rsidRDefault="00842494">
      <w:pPr>
        <w:pBdr>
          <w:top w:val="nil"/>
          <w:left w:val="nil"/>
          <w:bottom w:val="nil"/>
          <w:right w:val="nil"/>
          <w:between w:val="nil"/>
        </w:pBdr>
        <w:shd w:val="clear" w:color="auto" w:fill="FFFFFF"/>
        <w:tabs>
          <w:tab w:val="left" w:pos="7938"/>
        </w:tabs>
        <w:ind w:left="1134" w:right="900"/>
        <w:jc w:val="both"/>
        <w:rPr>
          <w:rFonts w:ascii="Palatino Linotype" w:eastAsia="Palatino Linotype" w:hAnsi="Palatino Linotype" w:cs="Palatino Linotype"/>
          <w:color w:val="000000"/>
          <w:sz w:val="22"/>
        </w:rPr>
      </w:pPr>
      <w:r w:rsidRPr="005212F0">
        <w:rPr>
          <w:rFonts w:ascii="Palatino Linotype" w:eastAsia="Palatino Linotype" w:hAnsi="Palatino Linotype" w:cs="Palatino Linotype"/>
          <w:b/>
          <w:i/>
          <w:color w:val="000000"/>
          <w:sz w:val="22"/>
        </w:rPr>
        <w:t>Artículo 13</w:t>
      </w:r>
      <w:r w:rsidRPr="005212F0">
        <w:rPr>
          <w:rFonts w:ascii="Palatino Linotype" w:eastAsia="Palatino Linotype" w:hAnsi="Palatino Linotype" w:cs="Palatino Linotype"/>
          <w:i/>
          <w:color w:val="000000"/>
          <w:sz w:val="22"/>
        </w:rPr>
        <w:t>. El Instituto, en el ámbito de sus atribuciones, deberá suplir cualquier deficiencia para garantizar el ejercicio del derecho de acceso a la información.</w:t>
      </w:r>
    </w:p>
    <w:p w14:paraId="679B6A91" w14:textId="77777777" w:rsidR="004E3E84" w:rsidRPr="005212F0" w:rsidRDefault="00842494">
      <w:pPr>
        <w:pBdr>
          <w:top w:val="nil"/>
          <w:left w:val="nil"/>
          <w:bottom w:val="nil"/>
          <w:right w:val="nil"/>
          <w:between w:val="nil"/>
        </w:pBdr>
        <w:shd w:val="clear" w:color="auto" w:fill="FFFFFF"/>
        <w:tabs>
          <w:tab w:val="left" w:pos="7938"/>
        </w:tabs>
        <w:ind w:left="1134" w:right="900"/>
        <w:jc w:val="both"/>
        <w:rPr>
          <w:rFonts w:ascii="Palatino Linotype" w:eastAsia="Palatino Linotype" w:hAnsi="Palatino Linotype" w:cs="Palatino Linotype"/>
          <w:i/>
          <w:color w:val="000000"/>
          <w:sz w:val="22"/>
        </w:rPr>
      </w:pPr>
      <w:r w:rsidRPr="005212F0">
        <w:rPr>
          <w:rFonts w:ascii="Palatino Linotype" w:eastAsia="Palatino Linotype" w:hAnsi="Palatino Linotype" w:cs="Palatino Linotype"/>
          <w:b/>
          <w:i/>
          <w:color w:val="000000"/>
          <w:sz w:val="22"/>
        </w:rPr>
        <w:t>Artículo 181.</w:t>
      </w:r>
      <w:r w:rsidRPr="005212F0">
        <w:rPr>
          <w:rFonts w:ascii="Palatino Linotype" w:eastAsia="Palatino Linotype" w:hAnsi="Palatino Linotype" w:cs="Palatino Linotype"/>
          <w:i/>
          <w:color w:val="000000"/>
          <w:sz w:val="22"/>
        </w:rPr>
        <w:t> </w:t>
      </w:r>
    </w:p>
    <w:p w14:paraId="50541E62" w14:textId="77777777" w:rsidR="004E3E84" w:rsidRPr="005212F0" w:rsidRDefault="00842494">
      <w:pPr>
        <w:pBdr>
          <w:top w:val="nil"/>
          <w:left w:val="nil"/>
          <w:bottom w:val="nil"/>
          <w:right w:val="nil"/>
          <w:between w:val="nil"/>
        </w:pBdr>
        <w:shd w:val="clear" w:color="auto" w:fill="FFFFFF"/>
        <w:tabs>
          <w:tab w:val="left" w:pos="7938"/>
        </w:tabs>
        <w:ind w:left="1134" w:right="900"/>
        <w:jc w:val="both"/>
        <w:rPr>
          <w:rFonts w:ascii="Palatino Linotype" w:eastAsia="Palatino Linotype" w:hAnsi="Palatino Linotype" w:cs="Palatino Linotype"/>
          <w:color w:val="000000"/>
          <w:sz w:val="22"/>
        </w:rPr>
      </w:pPr>
      <w:r w:rsidRPr="005212F0">
        <w:rPr>
          <w:rFonts w:ascii="Palatino Linotype" w:eastAsia="Palatino Linotype" w:hAnsi="Palatino Linotype" w:cs="Palatino Linotype"/>
          <w:i/>
          <w:color w:val="000000"/>
          <w:sz w:val="22"/>
        </w:rPr>
        <w:t>(…)</w:t>
      </w:r>
    </w:p>
    <w:p w14:paraId="461E6A0C" w14:textId="77777777" w:rsidR="004E3E84" w:rsidRPr="005212F0" w:rsidRDefault="00842494">
      <w:pPr>
        <w:pBdr>
          <w:top w:val="nil"/>
          <w:left w:val="nil"/>
          <w:bottom w:val="nil"/>
          <w:right w:val="nil"/>
          <w:between w:val="nil"/>
        </w:pBdr>
        <w:shd w:val="clear" w:color="auto" w:fill="FFFFFF"/>
        <w:tabs>
          <w:tab w:val="left" w:pos="7938"/>
        </w:tabs>
        <w:ind w:left="1134" w:right="900"/>
        <w:jc w:val="both"/>
        <w:rPr>
          <w:rFonts w:ascii="Palatino Linotype" w:eastAsia="Palatino Linotype" w:hAnsi="Palatino Linotype" w:cs="Palatino Linotype"/>
          <w:i/>
          <w:color w:val="000000"/>
          <w:sz w:val="22"/>
        </w:rPr>
      </w:pPr>
      <w:r w:rsidRPr="005212F0">
        <w:rPr>
          <w:rFonts w:ascii="Palatino Linotype" w:eastAsia="Palatino Linotype" w:hAnsi="Palatino Linotype" w:cs="Palatino Linotype"/>
          <w:i/>
          <w:color w:val="000000"/>
          <w:sz w:val="22"/>
        </w:rPr>
        <w:t>Durante el procedimiento deberá aplicarse la suplencia de la queja a favor del recurrente, sin cambiar los hechos expuestos, asegurándose de que las partes puedan presentar, de manera oral o escrita, los argumentos que funden y motiven sus pretensiones.</w:t>
      </w:r>
    </w:p>
    <w:p w14:paraId="17D71D09" w14:textId="77777777" w:rsidR="004E3E84" w:rsidRPr="005212F0" w:rsidRDefault="004E3E84">
      <w:pPr>
        <w:pBdr>
          <w:top w:val="nil"/>
          <w:left w:val="nil"/>
          <w:bottom w:val="nil"/>
          <w:right w:val="nil"/>
          <w:between w:val="nil"/>
        </w:pBdr>
        <w:shd w:val="clear" w:color="auto" w:fill="FFFFFF"/>
        <w:tabs>
          <w:tab w:val="left" w:pos="7938"/>
        </w:tabs>
        <w:ind w:left="1134" w:right="900"/>
        <w:jc w:val="both"/>
        <w:rPr>
          <w:rFonts w:ascii="Palatino Linotype" w:eastAsia="Palatino Linotype" w:hAnsi="Palatino Linotype" w:cs="Palatino Linotype"/>
          <w:i/>
          <w:color w:val="000000"/>
        </w:rPr>
      </w:pPr>
    </w:p>
    <w:p w14:paraId="3281B178" w14:textId="77777777" w:rsidR="004E3E84" w:rsidRPr="005212F0" w:rsidRDefault="00842494">
      <w:pPr>
        <w:numPr>
          <w:ilvl w:val="0"/>
          <w:numId w:val="9"/>
        </w:numPr>
        <w:spacing w:line="360" w:lineRule="auto"/>
        <w:ind w:left="0" w:firstLine="0"/>
        <w:jc w:val="both"/>
        <w:rPr>
          <w:rFonts w:ascii="Palatino Linotype" w:eastAsia="Palatino Linotype" w:hAnsi="Palatino Linotype" w:cs="Palatino Linotype"/>
        </w:rPr>
      </w:pPr>
      <w:r w:rsidRPr="005212F0">
        <w:rPr>
          <w:rFonts w:ascii="Palatino Linotype" w:eastAsia="Palatino Linotype" w:hAnsi="Palatino Linotype" w:cs="Palatino Linotype"/>
        </w:rPr>
        <w:t xml:space="preserve">Así también en armonía con lo señalado en la jurisprudencia y en la tesis aislada, emitida por la Suprema Corte de Justicia de la Nación, que llevan por rubro </w:t>
      </w:r>
      <w:r w:rsidRPr="005212F0">
        <w:rPr>
          <w:rFonts w:ascii="Palatino Linotype" w:eastAsia="Palatino Linotype" w:hAnsi="Palatino Linotype" w:cs="Palatino Linotype"/>
        </w:rPr>
        <w:lastRenderedPageBreak/>
        <w:t>respectivamente; “SUPLENCIA DE LA QUEJA DEFICIENTE SU PROCEDENCIA EN OTRAS MATERIAS, AUN A FALTA DE CONCEPTO DE VIOLACIÓN O AGRAVIO, CUANDO SE ADVIERTA VIOLACIÓN GRAVE Y MANIFIESTA DE LA LEY”</w:t>
      </w:r>
      <w:r w:rsidRPr="005212F0">
        <w:rPr>
          <w:rFonts w:ascii="Palatino Linotype" w:eastAsia="Palatino Linotype" w:hAnsi="Palatino Linotype" w:cs="Palatino Linotype"/>
          <w:vertAlign w:val="superscript"/>
        </w:rPr>
        <w:footnoteReference w:id="5"/>
      </w:r>
      <w:r w:rsidRPr="005212F0">
        <w:rPr>
          <w:rFonts w:ascii="Palatino Linotype" w:eastAsia="Palatino Linotype" w:hAnsi="Palatino Linotype" w:cs="Palatino Linotype"/>
        </w:rPr>
        <w:t xml:space="preserve"> y “SUPLENCIA DE LA QUEJA DEFICIENTE EN MATERIAS CIVIL Y ADMINISTRATIVA (INTERPRETACIÓN DEL ARTÍCULO 79, FRACCIÓN VI, DE LA LEY DE AMPARO).”</w:t>
      </w:r>
      <w:r w:rsidRPr="005212F0">
        <w:rPr>
          <w:rFonts w:ascii="Palatino Linotype" w:eastAsia="Palatino Linotype" w:hAnsi="Palatino Linotype" w:cs="Palatino Linotype"/>
          <w:vertAlign w:val="superscript"/>
        </w:rPr>
        <w:footnoteReference w:id="6"/>
      </w:r>
      <w:r w:rsidRPr="005212F0">
        <w:rPr>
          <w:rFonts w:ascii="Palatino Linotype" w:eastAsia="Palatino Linotype" w:hAnsi="Palatino Linotype" w:cs="Palatino Linotype"/>
        </w:rPr>
        <w:t xml:space="preserve">, que indican esencialmente que es obligación del juzgador suplir la queja deficiente ante una violación evidente de la ley que haya dejado sin </w:t>
      </w:r>
      <w:r w:rsidRPr="005212F0">
        <w:rPr>
          <w:rFonts w:ascii="Palatino Linotype" w:eastAsia="Palatino Linotype" w:hAnsi="Palatino Linotype" w:cs="Palatino Linotype"/>
        </w:rPr>
        <w:lastRenderedPageBreak/>
        <w:t>defensa al particular, aún ante la ausencia de concepto de violación con el fin de evitar el beneficio de una de las partes a costa de la indefensión de la otra.</w:t>
      </w:r>
    </w:p>
    <w:p w14:paraId="34822236" w14:textId="77777777" w:rsidR="004E3E84" w:rsidRPr="005212F0" w:rsidRDefault="004E3E84">
      <w:pPr>
        <w:spacing w:line="360" w:lineRule="auto"/>
        <w:jc w:val="both"/>
        <w:rPr>
          <w:rFonts w:ascii="Palatino Linotype" w:eastAsia="Palatino Linotype" w:hAnsi="Palatino Linotype" w:cs="Palatino Linotype"/>
        </w:rPr>
      </w:pPr>
    </w:p>
    <w:p w14:paraId="7F672E61" w14:textId="77777777" w:rsidR="004E3E84" w:rsidRPr="005212F0" w:rsidRDefault="00842494">
      <w:pPr>
        <w:numPr>
          <w:ilvl w:val="0"/>
          <w:numId w:val="9"/>
        </w:numPr>
        <w:spacing w:line="360" w:lineRule="auto"/>
        <w:ind w:left="0" w:firstLine="0"/>
        <w:jc w:val="both"/>
        <w:rPr>
          <w:rFonts w:ascii="Palatino Linotype" w:eastAsia="Palatino Linotype" w:hAnsi="Palatino Linotype" w:cs="Palatino Linotype"/>
        </w:rPr>
      </w:pPr>
      <w:r w:rsidRPr="005212F0">
        <w:rPr>
          <w:rFonts w:ascii="Palatino Linotype" w:eastAsia="Palatino Linotype" w:hAnsi="Palatino Linotype" w:cs="Palatino Linotype"/>
        </w:rPr>
        <w:t xml:space="preserve">Lo anterior, se estima resulta aplicable en el caso concreto, derivado de que si bien es cierto la petición del particular consistió en acceder a los nombramientos de los últimos Presidente Municipales. </w:t>
      </w:r>
    </w:p>
    <w:p w14:paraId="346B4B5B" w14:textId="77777777" w:rsidR="004E3E84" w:rsidRPr="005212F0" w:rsidRDefault="004E3E84">
      <w:pPr>
        <w:pBdr>
          <w:top w:val="nil"/>
          <w:left w:val="nil"/>
          <w:bottom w:val="nil"/>
          <w:right w:val="nil"/>
          <w:between w:val="nil"/>
        </w:pBdr>
        <w:ind w:left="720"/>
        <w:rPr>
          <w:rFonts w:ascii="Palatino Linotype" w:eastAsia="Palatino Linotype" w:hAnsi="Palatino Linotype" w:cs="Palatino Linotype"/>
          <w:color w:val="000000"/>
        </w:rPr>
      </w:pPr>
    </w:p>
    <w:p w14:paraId="1336AF50" w14:textId="77777777" w:rsidR="004E3E84" w:rsidRPr="005212F0" w:rsidRDefault="00842494">
      <w:pPr>
        <w:numPr>
          <w:ilvl w:val="0"/>
          <w:numId w:val="9"/>
        </w:numPr>
        <w:spacing w:line="360" w:lineRule="auto"/>
        <w:ind w:left="0" w:firstLine="0"/>
        <w:jc w:val="both"/>
        <w:rPr>
          <w:rFonts w:ascii="Palatino Linotype" w:eastAsia="Palatino Linotype" w:hAnsi="Palatino Linotype" w:cs="Palatino Linotype"/>
        </w:rPr>
      </w:pPr>
      <w:r w:rsidRPr="005212F0">
        <w:rPr>
          <w:rFonts w:ascii="Palatino Linotype" w:eastAsia="Palatino Linotype" w:hAnsi="Palatino Linotype" w:cs="Palatino Linotype"/>
        </w:rPr>
        <w:t xml:space="preserve">En ese sentido, y toda vez que los particulares no son expertos en la materia para conocer las denominaciones específicas de los documentos, se </w:t>
      </w:r>
      <w:r w:rsidR="002E277C" w:rsidRPr="005212F0">
        <w:rPr>
          <w:rFonts w:ascii="Palatino Linotype" w:eastAsia="Palatino Linotype" w:hAnsi="Palatino Linotype" w:cs="Palatino Linotype"/>
        </w:rPr>
        <w:t>debió</w:t>
      </w:r>
      <w:r w:rsidRPr="005212F0">
        <w:rPr>
          <w:rFonts w:ascii="Palatino Linotype" w:eastAsia="Palatino Linotype" w:hAnsi="Palatino Linotype" w:cs="Palatino Linotype"/>
        </w:rPr>
        <w:t xml:space="preserve"> hacer la suplencia de la queja y entregar al particular el documento que acreditara el cargo de los Presidentes de las últimas tres administraciones. </w:t>
      </w:r>
    </w:p>
    <w:p w14:paraId="33F04DF4" w14:textId="77777777" w:rsidR="004E3E84" w:rsidRPr="005212F0" w:rsidRDefault="004E3E84">
      <w:pPr>
        <w:pBdr>
          <w:top w:val="nil"/>
          <w:left w:val="nil"/>
          <w:bottom w:val="nil"/>
          <w:right w:val="nil"/>
          <w:between w:val="nil"/>
        </w:pBdr>
        <w:ind w:left="720"/>
        <w:rPr>
          <w:rFonts w:ascii="Palatino Linotype" w:eastAsia="Palatino Linotype" w:hAnsi="Palatino Linotype" w:cs="Palatino Linotype"/>
          <w:color w:val="000000"/>
        </w:rPr>
      </w:pPr>
    </w:p>
    <w:p w14:paraId="24EB64D5" w14:textId="22E24915" w:rsidR="004E3E84" w:rsidRPr="005212F0" w:rsidRDefault="002E277C">
      <w:pPr>
        <w:numPr>
          <w:ilvl w:val="0"/>
          <w:numId w:val="9"/>
        </w:numPr>
        <w:spacing w:line="360" w:lineRule="auto"/>
        <w:ind w:left="0" w:firstLine="0"/>
        <w:jc w:val="both"/>
        <w:rPr>
          <w:rFonts w:ascii="Palatino Linotype" w:eastAsia="Palatino Linotype" w:hAnsi="Palatino Linotype" w:cs="Palatino Linotype"/>
        </w:rPr>
      </w:pPr>
      <w:r w:rsidRPr="005212F0">
        <w:rPr>
          <w:rFonts w:ascii="Palatino Linotype" w:eastAsia="Palatino Linotype" w:hAnsi="Palatino Linotype" w:cs="Palatino Linotype"/>
        </w:rPr>
        <w:t>Siguiendo esa línea</w:t>
      </w:r>
      <w:r w:rsidR="00842494" w:rsidRPr="005212F0">
        <w:rPr>
          <w:rFonts w:ascii="Palatino Linotype" w:eastAsia="Palatino Linotype" w:hAnsi="Palatino Linotype" w:cs="Palatino Linotype"/>
        </w:rPr>
        <w:t xml:space="preserve">, si bien  los Presidentes Municipales no cuentan </w:t>
      </w:r>
      <w:r w:rsidR="00DC049C" w:rsidRPr="005212F0">
        <w:rPr>
          <w:rFonts w:ascii="Palatino Linotype" w:eastAsia="Palatino Linotype" w:hAnsi="Palatino Linotype" w:cs="Palatino Linotype"/>
        </w:rPr>
        <w:t xml:space="preserve">con </w:t>
      </w:r>
      <w:r w:rsidR="00842494" w:rsidRPr="005212F0">
        <w:rPr>
          <w:rFonts w:ascii="Palatino Linotype" w:eastAsia="Palatino Linotype" w:hAnsi="Palatino Linotype" w:cs="Palatino Linotype"/>
        </w:rPr>
        <w:t xml:space="preserve">un nombramiento, también lo es que si con una Constancias de Mayoría que entrega el Instituto Electoral del Estado México, al </w:t>
      </w:r>
      <w:r w:rsidR="009A1815" w:rsidRPr="005212F0">
        <w:rPr>
          <w:rFonts w:ascii="Palatino Linotype" w:eastAsia="Palatino Linotype" w:hAnsi="Palatino Linotype" w:cs="Palatino Linotype"/>
        </w:rPr>
        <w:t xml:space="preserve">Presidente </w:t>
      </w:r>
      <w:r w:rsidR="00842494" w:rsidRPr="005212F0">
        <w:rPr>
          <w:rFonts w:ascii="Palatino Linotype" w:eastAsia="Palatino Linotype" w:hAnsi="Palatino Linotype" w:cs="Palatino Linotype"/>
        </w:rPr>
        <w:t xml:space="preserve"> Municipal que tuvo la mayoría de los voto</w:t>
      </w:r>
      <w:r w:rsidRPr="005212F0">
        <w:rPr>
          <w:rFonts w:ascii="Palatino Linotype" w:eastAsia="Palatino Linotype" w:hAnsi="Palatino Linotype" w:cs="Palatino Linotype"/>
        </w:rPr>
        <w:t>s del  de la contienda electoral</w:t>
      </w:r>
      <w:r w:rsidR="00842494" w:rsidRPr="005212F0">
        <w:rPr>
          <w:rFonts w:ascii="Palatino Linotype" w:eastAsia="Palatino Linotype" w:hAnsi="Palatino Linotype" w:cs="Palatino Linotype"/>
        </w:rPr>
        <w:t xml:space="preserve">. </w:t>
      </w:r>
    </w:p>
    <w:p w14:paraId="7587F506" w14:textId="77777777" w:rsidR="004E3E84" w:rsidRPr="005212F0" w:rsidRDefault="004E3E84">
      <w:pPr>
        <w:pBdr>
          <w:top w:val="nil"/>
          <w:left w:val="nil"/>
          <w:bottom w:val="nil"/>
          <w:right w:val="nil"/>
          <w:between w:val="nil"/>
        </w:pBdr>
        <w:ind w:left="720"/>
        <w:rPr>
          <w:rFonts w:ascii="Palatino Linotype" w:eastAsia="Palatino Linotype" w:hAnsi="Palatino Linotype" w:cs="Palatino Linotype"/>
          <w:color w:val="000000"/>
        </w:rPr>
      </w:pPr>
    </w:p>
    <w:p w14:paraId="7BCFE97A" w14:textId="77777777" w:rsidR="004E3E84" w:rsidRPr="005212F0" w:rsidRDefault="00842494">
      <w:pPr>
        <w:numPr>
          <w:ilvl w:val="0"/>
          <w:numId w:val="9"/>
        </w:numPr>
        <w:spacing w:line="360" w:lineRule="auto"/>
        <w:ind w:left="0" w:firstLine="0"/>
        <w:jc w:val="both"/>
        <w:rPr>
          <w:rFonts w:ascii="Palatino Linotype" w:eastAsia="Palatino Linotype" w:hAnsi="Palatino Linotype" w:cs="Palatino Linotype"/>
        </w:rPr>
      </w:pPr>
      <w:r w:rsidRPr="005212F0">
        <w:rPr>
          <w:rFonts w:ascii="Palatino Linotype" w:eastAsia="Palatino Linotype" w:hAnsi="Palatino Linotype" w:cs="Palatino Linotype"/>
        </w:rPr>
        <w:t xml:space="preserve">Luego entonces, se advierte que se administra dicho documento dentro de los documentos del </w:t>
      </w:r>
      <w:r w:rsidRPr="005212F0">
        <w:rPr>
          <w:rFonts w:ascii="Palatino Linotype" w:eastAsia="Palatino Linotype" w:hAnsi="Palatino Linotype" w:cs="Palatino Linotype"/>
          <w:b/>
        </w:rPr>
        <w:t>Sujeto Obligado.</w:t>
      </w:r>
    </w:p>
    <w:p w14:paraId="723CE8B9" w14:textId="77777777" w:rsidR="004E3E84" w:rsidRPr="005212F0" w:rsidRDefault="004E3E84">
      <w:pPr>
        <w:spacing w:line="360" w:lineRule="auto"/>
        <w:jc w:val="both"/>
        <w:rPr>
          <w:rFonts w:ascii="Palatino Linotype" w:eastAsia="Palatino Linotype" w:hAnsi="Palatino Linotype" w:cs="Palatino Linotype"/>
        </w:rPr>
      </w:pPr>
    </w:p>
    <w:p w14:paraId="25B907B5" w14:textId="77777777" w:rsidR="004E3E84" w:rsidRPr="005212F0" w:rsidRDefault="00842494">
      <w:pPr>
        <w:numPr>
          <w:ilvl w:val="0"/>
          <w:numId w:val="9"/>
        </w:numPr>
        <w:spacing w:line="360" w:lineRule="auto"/>
        <w:ind w:left="0" w:firstLine="0"/>
        <w:jc w:val="both"/>
        <w:rPr>
          <w:rFonts w:ascii="Palatino Linotype" w:eastAsia="Palatino Linotype" w:hAnsi="Palatino Linotype" w:cs="Palatino Linotype"/>
        </w:rPr>
      </w:pPr>
      <w:r w:rsidRPr="005212F0">
        <w:rPr>
          <w:rFonts w:ascii="Palatino Linotype" w:eastAsia="Palatino Linotype" w:hAnsi="Palatino Linotype" w:cs="Palatino Linotype"/>
        </w:rPr>
        <w:t>Siguiendo esa línea de estudio, y con el de fin de reforzar lo expuesto con anterioridad, se hace el estudio siguiente</w:t>
      </w:r>
      <w:r w:rsidRPr="005212F0">
        <w:rPr>
          <w:rFonts w:ascii="Palatino Linotype" w:eastAsia="Palatino Linotype" w:hAnsi="Palatino Linotype" w:cs="Palatino Linotype"/>
          <w:b/>
        </w:rPr>
        <w:t>.</w:t>
      </w:r>
    </w:p>
    <w:p w14:paraId="7F24A58E" w14:textId="77777777" w:rsidR="002B2F9E" w:rsidRPr="005212F0" w:rsidRDefault="002B2F9E">
      <w:pPr>
        <w:pBdr>
          <w:top w:val="nil"/>
          <w:left w:val="nil"/>
          <w:bottom w:val="nil"/>
          <w:right w:val="nil"/>
          <w:between w:val="nil"/>
        </w:pBdr>
        <w:ind w:left="720"/>
        <w:rPr>
          <w:rFonts w:ascii="Palatino Linotype" w:eastAsia="Palatino Linotype" w:hAnsi="Palatino Linotype" w:cs="Palatino Linotype"/>
          <w:b/>
          <w:color w:val="000000"/>
        </w:rPr>
      </w:pPr>
    </w:p>
    <w:p w14:paraId="2F9D48ED" w14:textId="77777777" w:rsidR="002B2F9E" w:rsidRPr="005212F0" w:rsidRDefault="002B2F9E">
      <w:pPr>
        <w:pBdr>
          <w:top w:val="nil"/>
          <w:left w:val="nil"/>
          <w:bottom w:val="nil"/>
          <w:right w:val="nil"/>
          <w:between w:val="nil"/>
        </w:pBdr>
        <w:ind w:left="720"/>
        <w:rPr>
          <w:rFonts w:ascii="Palatino Linotype" w:eastAsia="Palatino Linotype" w:hAnsi="Palatino Linotype" w:cs="Palatino Linotype"/>
          <w:b/>
          <w:color w:val="000000"/>
        </w:rPr>
      </w:pPr>
    </w:p>
    <w:p w14:paraId="400380EB" w14:textId="77777777" w:rsidR="002B2F9E" w:rsidRPr="005212F0" w:rsidRDefault="002B2F9E">
      <w:pPr>
        <w:pBdr>
          <w:top w:val="nil"/>
          <w:left w:val="nil"/>
          <w:bottom w:val="nil"/>
          <w:right w:val="nil"/>
          <w:between w:val="nil"/>
        </w:pBdr>
        <w:ind w:left="720"/>
        <w:rPr>
          <w:rFonts w:ascii="Palatino Linotype" w:eastAsia="Palatino Linotype" w:hAnsi="Palatino Linotype" w:cs="Palatino Linotype"/>
          <w:b/>
          <w:color w:val="000000"/>
        </w:rPr>
      </w:pPr>
    </w:p>
    <w:p w14:paraId="61758286" w14:textId="77777777" w:rsidR="002B2F9E" w:rsidRPr="005212F0" w:rsidRDefault="002B2F9E">
      <w:pPr>
        <w:pBdr>
          <w:top w:val="nil"/>
          <w:left w:val="nil"/>
          <w:bottom w:val="nil"/>
          <w:right w:val="nil"/>
          <w:between w:val="nil"/>
        </w:pBdr>
        <w:ind w:left="720"/>
        <w:rPr>
          <w:rFonts w:ascii="Palatino Linotype" w:eastAsia="Palatino Linotype" w:hAnsi="Palatino Linotype" w:cs="Palatino Linotype"/>
          <w:b/>
          <w:color w:val="000000"/>
        </w:rPr>
      </w:pPr>
    </w:p>
    <w:p w14:paraId="5395CC00" w14:textId="77777777" w:rsidR="004E3E84" w:rsidRPr="005212F0" w:rsidRDefault="00842494">
      <w:pPr>
        <w:numPr>
          <w:ilvl w:val="0"/>
          <w:numId w:val="6"/>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b/>
          <w:color w:val="000000"/>
        </w:rPr>
      </w:pPr>
      <w:r w:rsidRPr="005212F0">
        <w:rPr>
          <w:rFonts w:ascii="Palatino Linotype" w:eastAsia="Palatino Linotype" w:hAnsi="Palatino Linotype" w:cs="Palatino Linotype"/>
          <w:b/>
          <w:color w:val="000000"/>
        </w:rPr>
        <w:lastRenderedPageBreak/>
        <w:t xml:space="preserve"> De la información del Presidente Municipal. </w:t>
      </w:r>
    </w:p>
    <w:p w14:paraId="45A2AF9E" w14:textId="77777777" w:rsidR="004E3E84" w:rsidRPr="005212F0" w:rsidRDefault="00842494">
      <w:pPr>
        <w:numPr>
          <w:ilvl w:val="0"/>
          <w:numId w:val="9"/>
        </w:numPr>
        <w:spacing w:line="360" w:lineRule="auto"/>
        <w:ind w:left="0" w:firstLine="0"/>
        <w:jc w:val="both"/>
        <w:rPr>
          <w:rFonts w:ascii="Palatino Linotype" w:eastAsia="Palatino Linotype" w:hAnsi="Palatino Linotype" w:cs="Palatino Linotype"/>
          <w:b/>
          <w:color w:val="000000"/>
        </w:rPr>
      </w:pPr>
      <w:r w:rsidRPr="005212F0">
        <w:rPr>
          <w:rFonts w:ascii="Palatino Linotype" w:eastAsia="Palatino Linotype" w:hAnsi="Palatino Linotype" w:cs="Palatino Linotype"/>
          <w:color w:val="000000"/>
        </w:rPr>
        <w:t xml:space="preserve">En ese modo, mediante respuesta primigenia del </w:t>
      </w:r>
      <w:r w:rsidRPr="005212F0">
        <w:rPr>
          <w:rFonts w:ascii="Palatino Linotype" w:eastAsia="Palatino Linotype" w:hAnsi="Palatino Linotype" w:cs="Palatino Linotype"/>
          <w:b/>
          <w:color w:val="000000"/>
        </w:rPr>
        <w:t>Secretario del Ayuntamiento</w:t>
      </w:r>
      <w:r w:rsidRPr="005212F0">
        <w:rPr>
          <w:rFonts w:ascii="Palatino Linotype" w:eastAsia="Palatino Linotype" w:hAnsi="Palatino Linotype" w:cs="Palatino Linotype"/>
          <w:color w:val="000000"/>
        </w:rPr>
        <w:t xml:space="preserve"> refirió que la información concerniente al Presidente Municipal no se genera, toda vez que desempeña un </w:t>
      </w:r>
      <w:r w:rsidRPr="005212F0">
        <w:rPr>
          <w:rFonts w:ascii="Palatino Linotype" w:eastAsia="Palatino Linotype" w:hAnsi="Palatino Linotype" w:cs="Palatino Linotype"/>
          <w:b/>
          <w:color w:val="000000"/>
        </w:rPr>
        <w:t>cargo de elección popular.</w:t>
      </w:r>
    </w:p>
    <w:p w14:paraId="0D382ABA" w14:textId="77777777" w:rsidR="004E3E84" w:rsidRPr="005212F0" w:rsidRDefault="004E3E84">
      <w:pPr>
        <w:spacing w:line="360" w:lineRule="auto"/>
        <w:jc w:val="both"/>
        <w:rPr>
          <w:rFonts w:ascii="Palatino Linotype" w:eastAsia="Palatino Linotype" w:hAnsi="Palatino Linotype" w:cs="Palatino Linotype"/>
          <w:color w:val="000000"/>
        </w:rPr>
      </w:pPr>
    </w:p>
    <w:p w14:paraId="3ECBCB61" w14:textId="77777777" w:rsidR="004E3E84" w:rsidRPr="005212F0" w:rsidRDefault="00842494">
      <w:pPr>
        <w:numPr>
          <w:ilvl w:val="0"/>
          <w:numId w:val="9"/>
        </w:numPr>
        <w:spacing w:line="360" w:lineRule="auto"/>
        <w:ind w:left="0" w:firstLine="0"/>
        <w:jc w:val="both"/>
        <w:rPr>
          <w:rFonts w:ascii="Palatino Linotype" w:eastAsia="Palatino Linotype" w:hAnsi="Palatino Linotype" w:cs="Palatino Linotype"/>
          <w:color w:val="000000"/>
        </w:rPr>
      </w:pPr>
      <w:r w:rsidRPr="005212F0">
        <w:rPr>
          <w:rFonts w:ascii="Palatino Linotype" w:eastAsia="Palatino Linotype" w:hAnsi="Palatino Linotype" w:cs="Palatino Linotype"/>
          <w:color w:val="000000"/>
        </w:rPr>
        <w:t xml:space="preserve">En atención a ello, es indispensable señalar que un cargo de elección popular se refiere al derecho y obligación ciudadana para desempeñar un puesto en alguno de los poderes de los tres órdenes de gobierno del Estado, el cual es obtenido por mayoría de sufragios emitidos, tal como lo establece el artículo 34, fracción II de la Constitución Política de los Estados Unidos Mexicanos y el artículo 29, fracción II de la Constitución del Estado Libre y Soberano de México. </w:t>
      </w:r>
    </w:p>
    <w:p w14:paraId="2B462FB7" w14:textId="77777777" w:rsidR="004E3E84" w:rsidRPr="005212F0" w:rsidRDefault="004E3E84">
      <w:pPr>
        <w:spacing w:line="360" w:lineRule="auto"/>
        <w:jc w:val="both"/>
        <w:rPr>
          <w:rFonts w:ascii="Palatino Linotype" w:eastAsia="Palatino Linotype" w:hAnsi="Palatino Linotype" w:cs="Palatino Linotype"/>
          <w:color w:val="000000"/>
        </w:rPr>
      </w:pPr>
    </w:p>
    <w:p w14:paraId="3EA15367" w14:textId="77777777" w:rsidR="004E3E84" w:rsidRPr="005212F0" w:rsidRDefault="00842494">
      <w:pPr>
        <w:numPr>
          <w:ilvl w:val="0"/>
          <w:numId w:val="9"/>
        </w:numPr>
        <w:spacing w:line="360" w:lineRule="auto"/>
        <w:ind w:left="0" w:firstLine="0"/>
        <w:jc w:val="both"/>
        <w:rPr>
          <w:rFonts w:ascii="Palatino Linotype" w:eastAsia="Palatino Linotype" w:hAnsi="Palatino Linotype" w:cs="Palatino Linotype"/>
          <w:color w:val="000000"/>
        </w:rPr>
      </w:pPr>
      <w:r w:rsidRPr="005212F0">
        <w:rPr>
          <w:rFonts w:ascii="Palatino Linotype" w:eastAsia="Palatino Linotype" w:hAnsi="Palatino Linotype" w:cs="Palatino Linotype"/>
          <w:color w:val="000000"/>
        </w:rPr>
        <w:t xml:space="preserve">En ese sentido, al ser un cargo obtenido a voluntad de la ciudadanía, la Ley no exige requisitos específicos como ostentar cierto grado de estudios o acreditar competencia para desempeñar el cargo, por lo que, en el presente caso, cierta información del Presidente Municipal puede o no obrar en los archivos del Sujeto Obligado, sin embargo, todo Ente Público, debe llevar un control de todo el personal que ingresa a las diferentes dependencias municipales e integrar sus respectivos expedientes, esto es; si bien, la Ley no exige ciertos requisitos para ser electo Presidente Municipal, también lo es que el desempeñar un cargo dentro de la Administración Pública implica que el Ente cumpla y garantice ciertas obligaciones administrativas y/o laborales, como la integración de un expediente laboral y la inscripción de los trabajadores a alguna institución de salud. </w:t>
      </w:r>
    </w:p>
    <w:p w14:paraId="4E095AAD" w14:textId="77777777" w:rsidR="004E3E84" w:rsidRPr="005212F0" w:rsidRDefault="004E3E84">
      <w:pPr>
        <w:spacing w:line="360" w:lineRule="auto"/>
        <w:jc w:val="both"/>
        <w:rPr>
          <w:rFonts w:ascii="Palatino Linotype" w:eastAsia="Palatino Linotype" w:hAnsi="Palatino Linotype" w:cs="Palatino Linotype"/>
          <w:color w:val="000000"/>
        </w:rPr>
      </w:pPr>
    </w:p>
    <w:p w14:paraId="57E88AE5" w14:textId="77777777" w:rsidR="004E3E84" w:rsidRPr="005212F0" w:rsidRDefault="00842494">
      <w:pPr>
        <w:numPr>
          <w:ilvl w:val="0"/>
          <w:numId w:val="9"/>
        </w:numPr>
        <w:spacing w:line="360" w:lineRule="auto"/>
        <w:ind w:left="0" w:firstLine="0"/>
        <w:jc w:val="both"/>
        <w:rPr>
          <w:rFonts w:ascii="Palatino Linotype" w:eastAsia="Palatino Linotype" w:hAnsi="Palatino Linotype" w:cs="Palatino Linotype"/>
          <w:color w:val="000000"/>
        </w:rPr>
      </w:pPr>
      <w:r w:rsidRPr="005212F0">
        <w:rPr>
          <w:rFonts w:ascii="Palatino Linotype" w:eastAsia="Palatino Linotype" w:hAnsi="Palatino Linotype" w:cs="Palatino Linotype"/>
          <w:color w:val="000000"/>
        </w:rPr>
        <w:lastRenderedPageBreak/>
        <w:t xml:space="preserve">Por otro lado,  el Ayuntamiento de Zinacantepec de manera puntual refirió que la información no era poseída porque no era generada, situación que nos lleva a señalar que la información que es administrada y poseída por los sujetos obligados no necesariamente es generada por este, sino que la posee o administra en razón de que a voluntad de los interesados estas son entregadas a la Administración Pública. </w:t>
      </w:r>
    </w:p>
    <w:p w14:paraId="0F254A30" w14:textId="77777777" w:rsidR="004E3E84" w:rsidRPr="005212F0" w:rsidRDefault="004E3E84">
      <w:pPr>
        <w:pBdr>
          <w:top w:val="nil"/>
          <w:left w:val="nil"/>
          <w:bottom w:val="nil"/>
          <w:right w:val="nil"/>
          <w:between w:val="nil"/>
        </w:pBdr>
        <w:ind w:left="720"/>
        <w:rPr>
          <w:rFonts w:ascii="Palatino Linotype" w:eastAsia="Palatino Linotype" w:hAnsi="Palatino Linotype" w:cs="Palatino Linotype"/>
          <w:color w:val="000000"/>
        </w:rPr>
      </w:pPr>
    </w:p>
    <w:p w14:paraId="249BC27F" w14:textId="77777777" w:rsidR="004E3E84" w:rsidRPr="005212F0" w:rsidRDefault="00842494">
      <w:pPr>
        <w:numPr>
          <w:ilvl w:val="0"/>
          <w:numId w:val="9"/>
        </w:numPr>
        <w:spacing w:line="360" w:lineRule="auto"/>
        <w:ind w:left="0" w:firstLine="0"/>
        <w:jc w:val="both"/>
        <w:rPr>
          <w:rFonts w:ascii="Palatino Linotype" w:eastAsia="Palatino Linotype" w:hAnsi="Palatino Linotype" w:cs="Palatino Linotype"/>
          <w:color w:val="000000"/>
        </w:rPr>
      </w:pPr>
      <w:r w:rsidRPr="005212F0">
        <w:rPr>
          <w:rFonts w:ascii="Palatino Linotype" w:eastAsia="Palatino Linotype" w:hAnsi="Palatino Linotype" w:cs="Palatino Linotype"/>
          <w:color w:val="000000"/>
        </w:rPr>
        <w:t>En ese sentido, es importante referir que quien hace la entrega de las Constancias de Mayoría es el Instituto Electoral del Estado de México, mismo que tiene las siguientes funciones.</w:t>
      </w:r>
    </w:p>
    <w:p w14:paraId="06813850" w14:textId="77777777" w:rsidR="004E3E84" w:rsidRPr="005212F0" w:rsidRDefault="004E3E84">
      <w:pPr>
        <w:spacing w:line="360" w:lineRule="auto"/>
        <w:jc w:val="both"/>
        <w:rPr>
          <w:rFonts w:ascii="Palatino Linotype" w:eastAsia="Palatino Linotype" w:hAnsi="Palatino Linotype" w:cs="Palatino Linotype"/>
          <w:color w:val="000000"/>
        </w:rPr>
      </w:pPr>
    </w:p>
    <w:p w14:paraId="265A150E" w14:textId="77777777" w:rsidR="004E3E84" w:rsidRPr="005212F0" w:rsidRDefault="00842494">
      <w:pPr>
        <w:numPr>
          <w:ilvl w:val="0"/>
          <w:numId w:val="9"/>
        </w:numPr>
        <w:spacing w:line="360" w:lineRule="auto"/>
        <w:ind w:left="0" w:firstLine="0"/>
        <w:jc w:val="both"/>
        <w:rPr>
          <w:rFonts w:ascii="Palatino Linotype" w:eastAsia="Palatino Linotype" w:hAnsi="Palatino Linotype" w:cs="Palatino Linotype"/>
          <w:color w:val="000000"/>
        </w:rPr>
      </w:pPr>
      <w:r w:rsidRPr="005212F0">
        <w:rPr>
          <w:rFonts w:ascii="Palatino Linotype" w:eastAsia="Palatino Linotype" w:hAnsi="Palatino Linotype" w:cs="Palatino Linotype"/>
          <w:color w:val="000000"/>
        </w:rPr>
        <w:t>El Instituto Electoral del Estado de México, es la autoridad electoral de carácter permanente, y profesional en su desempeño, se regirá por los principios de certeza, imparcialidad, independencia, legalidad, máxima publicidad, objetividad y paridad</w:t>
      </w:r>
    </w:p>
    <w:p w14:paraId="68E67234" w14:textId="77777777" w:rsidR="004E3E84" w:rsidRPr="005212F0" w:rsidRDefault="004E3E84">
      <w:pPr>
        <w:pBdr>
          <w:top w:val="nil"/>
          <w:left w:val="nil"/>
          <w:bottom w:val="nil"/>
          <w:right w:val="nil"/>
          <w:between w:val="nil"/>
        </w:pBdr>
        <w:ind w:left="720"/>
        <w:rPr>
          <w:rFonts w:ascii="Palatino Linotype" w:eastAsia="Palatino Linotype" w:hAnsi="Palatino Linotype" w:cs="Palatino Linotype"/>
          <w:color w:val="000000"/>
        </w:rPr>
      </w:pPr>
    </w:p>
    <w:p w14:paraId="6BB836F7" w14:textId="77777777" w:rsidR="004E3E84" w:rsidRPr="005212F0" w:rsidRDefault="00842494">
      <w:pPr>
        <w:numPr>
          <w:ilvl w:val="0"/>
          <w:numId w:val="9"/>
        </w:numPr>
        <w:spacing w:line="360" w:lineRule="auto"/>
        <w:ind w:left="0" w:firstLine="0"/>
        <w:jc w:val="both"/>
        <w:rPr>
          <w:rFonts w:ascii="Palatino Linotype" w:eastAsia="Palatino Linotype" w:hAnsi="Palatino Linotype" w:cs="Palatino Linotype"/>
          <w:color w:val="000000"/>
        </w:rPr>
      </w:pPr>
      <w:r w:rsidRPr="005212F0">
        <w:rPr>
          <w:rFonts w:ascii="Palatino Linotype" w:eastAsia="Palatino Linotype" w:hAnsi="Palatino Linotype" w:cs="Palatino Linotype"/>
          <w:color w:val="000000"/>
        </w:rPr>
        <w:t xml:space="preserve"> Derivado de lo anterior, y de conformidad con lo dispuesto por el artículo 168 del Código Electoral del Estado de México, el </w:t>
      </w:r>
      <w:r w:rsidRPr="005212F0">
        <w:rPr>
          <w:rFonts w:ascii="Palatino Linotype" w:eastAsia="Palatino Linotype" w:hAnsi="Palatino Linotype" w:cs="Palatino Linotype"/>
          <w:b/>
          <w:color w:val="000000"/>
        </w:rPr>
        <w:t>SUJETO OBLIGADO</w:t>
      </w:r>
      <w:r w:rsidRPr="005212F0">
        <w:rPr>
          <w:rFonts w:ascii="Palatino Linotype" w:eastAsia="Palatino Linotype" w:hAnsi="Palatino Linotype" w:cs="Palatino Linotype"/>
          <w:color w:val="000000"/>
        </w:rPr>
        <w:t>, tendrá entre sus funciones, las siguientes:</w:t>
      </w:r>
    </w:p>
    <w:p w14:paraId="15218829" w14:textId="77777777" w:rsidR="004E3E84" w:rsidRPr="005212F0" w:rsidRDefault="00842494">
      <w:pPr>
        <w:numPr>
          <w:ilvl w:val="1"/>
          <w:numId w:val="7"/>
        </w:numPr>
        <w:tabs>
          <w:tab w:val="left" w:pos="426"/>
        </w:tabs>
        <w:ind w:left="1134" w:right="758" w:firstLine="0"/>
        <w:jc w:val="both"/>
        <w:rPr>
          <w:rFonts w:ascii="Palatino Linotype" w:eastAsia="Palatino Linotype" w:hAnsi="Palatino Linotype" w:cs="Palatino Linotype"/>
          <w:i/>
          <w:color w:val="000000"/>
          <w:sz w:val="22"/>
        </w:rPr>
      </w:pPr>
      <w:r w:rsidRPr="005212F0">
        <w:rPr>
          <w:rFonts w:ascii="Palatino Linotype" w:eastAsia="Palatino Linotype" w:hAnsi="Palatino Linotype" w:cs="Palatino Linotype"/>
          <w:i/>
          <w:color w:val="000000"/>
          <w:sz w:val="22"/>
        </w:rPr>
        <w:t>Garantizar los derechos y el acceso a las prerrogativas de los partidos políticos y candidatos.</w:t>
      </w:r>
    </w:p>
    <w:p w14:paraId="42714C0F" w14:textId="77777777" w:rsidR="004E3E84" w:rsidRPr="005212F0" w:rsidRDefault="00842494">
      <w:pPr>
        <w:numPr>
          <w:ilvl w:val="1"/>
          <w:numId w:val="7"/>
        </w:numPr>
        <w:tabs>
          <w:tab w:val="left" w:pos="426"/>
        </w:tabs>
        <w:ind w:left="1134" w:right="758" w:firstLine="0"/>
        <w:jc w:val="both"/>
        <w:rPr>
          <w:rFonts w:ascii="Palatino Linotype" w:eastAsia="Palatino Linotype" w:hAnsi="Palatino Linotype" w:cs="Palatino Linotype"/>
          <w:i/>
          <w:color w:val="000000"/>
          <w:sz w:val="22"/>
        </w:rPr>
      </w:pPr>
      <w:r w:rsidRPr="005212F0">
        <w:rPr>
          <w:rFonts w:ascii="Palatino Linotype" w:eastAsia="Palatino Linotype" w:hAnsi="Palatino Linotype" w:cs="Palatino Linotype"/>
          <w:i/>
          <w:color w:val="000000"/>
          <w:sz w:val="22"/>
        </w:rPr>
        <w:t>Llevar a cabo las actividades necesarias para la preparación de la jornada electoral.</w:t>
      </w:r>
    </w:p>
    <w:p w14:paraId="0F7FBA03" w14:textId="77777777" w:rsidR="004E3E84" w:rsidRPr="005212F0" w:rsidRDefault="00842494">
      <w:pPr>
        <w:numPr>
          <w:ilvl w:val="1"/>
          <w:numId w:val="7"/>
        </w:numPr>
        <w:tabs>
          <w:tab w:val="left" w:pos="426"/>
        </w:tabs>
        <w:ind w:left="1134" w:right="758" w:firstLine="0"/>
        <w:jc w:val="both"/>
        <w:rPr>
          <w:rFonts w:ascii="Palatino Linotype" w:eastAsia="Palatino Linotype" w:hAnsi="Palatino Linotype" w:cs="Palatino Linotype"/>
          <w:b/>
          <w:i/>
          <w:color w:val="000000"/>
          <w:sz w:val="22"/>
        </w:rPr>
      </w:pPr>
      <w:r w:rsidRPr="005212F0">
        <w:rPr>
          <w:rFonts w:ascii="Palatino Linotype" w:eastAsia="Palatino Linotype" w:hAnsi="Palatino Linotype" w:cs="Palatino Linotype"/>
          <w:b/>
          <w:i/>
          <w:color w:val="000000"/>
          <w:sz w:val="22"/>
        </w:rPr>
        <w:t>Expedir las constancias de mayoría y declarar la validez de la elección a los candidatos que hubiesen obtenido la mayoría de votos, así como la constancia de asignación a las fórmulas de representación proporcional de la Legislatura, conforme al cómputo y declaración de validez que efectúe el Instituto.</w:t>
      </w:r>
    </w:p>
    <w:p w14:paraId="320FC169" w14:textId="77777777" w:rsidR="004E3E84" w:rsidRPr="005212F0" w:rsidRDefault="00842494">
      <w:pPr>
        <w:numPr>
          <w:ilvl w:val="1"/>
          <w:numId w:val="7"/>
        </w:numPr>
        <w:tabs>
          <w:tab w:val="left" w:pos="426"/>
        </w:tabs>
        <w:ind w:left="1134" w:right="758" w:firstLine="0"/>
        <w:jc w:val="both"/>
        <w:rPr>
          <w:rFonts w:ascii="Palatino Linotype" w:eastAsia="Palatino Linotype" w:hAnsi="Palatino Linotype" w:cs="Palatino Linotype"/>
          <w:i/>
          <w:color w:val="000000"/>
          <w:sz w:val="22"/>
        </w:rPr>
      </w:pPr>
      <w:r w:rsidRPr="005212F0">
        <w:rPr>
          <w:rFonts w:ascii="Palatino Linotype" w:eastAsia="Palatino Linotype" w:hAnsi="Palatino Linotype" w:cs="Palatino Linotype"/>
          <w:i/>
          <w:color w:val="000000"/>
          <w:sz w:val="22"/>
        </w:rPr>
        <w:lastRenderedPageBreak/>
        <w:t>Supervisar las actividades que realicen los órganos distritales y municipales, durante el proceso electoral de que se trate.</w:t>
      </w:r>
    </w:p>
    <w:p w14:paraId="217B9517" w14:textId="77777777" w:rsidR="004E3E84" w:rsidRPr="005212F0" w:rsidRDefault="004E3E84">
      <w:pPr>
        <w:tabs>
          <w:tab w:val="left" w:pos="426"/>
        </w:tabs>
        <w:spacing w:line="360" w:lineRule="auto"/>
        <w:ind w:left="1134" w:right="758"/>
        <w:jc w:val="both"/>
        <w:rPr>
          <w:rFonts w:ascii="Palatino Linotype" w:eastAsia="Palatino Linotype" w:hAnsi="Palatino Linotype" w:cs="Palatino Linotype"/>
          <w:color w:val="000000"/>
        </w:rPr>
      </w:pPr>
    </w:p>
    <w:p w14:paraId="1D1352D2" w14:textId="77777777" w:rsidR="004E3E84" w:rsidRPr="005212F0" w:rsidRDefault="00842494">
      <w:pPr>
        <w:numPr>
          <w:ilvl w:val="0"/>
          <w:numId w:val="9"/>
        </w:numPr>
        <w:spacing w:line="360" w:lineRule="auto"/>
        <w:ind w:left="0" w:firstLine="0"/>
        <w:jc w:val="both"/>
        <w:rPr>
          <w:rFonts w:ascii="Palatino Linotype" w:eastAsia="Palatino Linotype" w:hAnsi="Palatino Linotype" w:cs="Palatino Linotype"/>
          <w:color w:val="000000"/>
        </w:rPr>
      </w:pPr>
      <w:r w:rsidRPr="005212F0">
        <w:rPr>
          <w:rFonts w:ascii="Palatino Linotype" w:eastAsia="Palatino Linotype" w:hAnsi="Palatino Linotype" w:cs="Palatino Linotype"/>
          <w:color w:val="000000"/>
        </w:rPr>
        <w:t xml:space="preserve">En este sentido, se traen a colación los artículos 11 y 114 de la Constitución Política del Estado Libre y Soberano de México, así como los artículos 214, 220 fracción V y 221 fracción IV del Código Electoral del Estado de México, normatividad invocada que dispone a la literalidad: </w:t>
      </w:r>
    </w:p>
    <w:p w14:paraId="095D165D" w14:textId="77777777" w:rsidR="004E3E84" w:rsidRPr="005212F0" w:rsidRDefault="00842494">
      <w:pPr>
        <w:spacing w:before="240" w:after="160"/>
        <w:ind w:left="1134" w:right="900"/>
        <w:jc w:val="center"/>
        <w:rPr>
          <w:rFonts w:ascii="Palatino Linotype" w:eastAsia="Palatino Linotype" w:hAnsi="Palatino Linotype" w:cs="Palatino Linotype"/>
          <w:b/>
          <w:i/>
          <w:color w:val="000000"/>
          <w:sz w:val="22"/>
        </w:rPr>
      </w:pPr>
      <w:r w:rsidRPr="005212F0">
        <w:rPr>
          <w:rFonts w:ascii="Palatino Linotype" w:eastAsia="Palatino Linotype" w:hAnsi="Palatino Linotype" w:cs="Palatino Linotype"/>
          <w:b/>
          <w:i/>
          <w:color w:val="000000"/>
          <w:sz w:val="22"/>
        </w:rPr>
        <w:t>“Constitución Política del Estado Libre y Soberano de México</w:t>
      </w:r>
    </w:p>
    <w:p w14:paraId="532F999E" w14:textId="77777777" w:rsidR="004E3E84" w:rsidRPr="005212F0" w:rsidRDefault="00842494">
      <w:pPr>
        <w:spacing w:before="240" w:after="160"/>
        <w:ind w:left="1134" w:right="900"/>
        <w:jc w:val="both"/>
        <w:rPr>
          <w:rFonts w:ascii="Palatino Linotype" w:eastAsia="Palatino Linotype" w:hAnsi="Palatino Linotype" w:cs="Palatino Linotype"/>
          <w:b/>
          <w:i/>
          <w:color w:val="000000"/>
          <w:sz w:val="22"/>
        </w:rPr>
      </w:pPr>
      <w:r w:rsidRPr="005212F0">
        <w:rPr>
          <w:rFonts w:ascii="Palatino Linotype" w:eastAsia="Palatino Linotype" w:hAnsi="Palatino Linotype" w:cs="Palatino Linotype"/>
          <w:b/>
          <w:i/>
          <w:color w:val="000000"/>
          <w:sz w:val="22"/>
        </w:rPr>
        <w:t>Artículo 11.- (…)</w:t>
      </w:r>
    </w:p>
    <w:p w14:paraId="64252633" w14:textId="77777777" w:rsidR="004E3E84" w:rsidRPr="005212F0" w:rsidRDefault="00842494">
      <w:pPr>
        <w:spacing w:before="240" w:after="160"/>
        <w:ind w:left="1134" w:right="900"/>
        <w:jc w:val="both"/>
        <w:rPr>
          <w:rFonts w:ascii="Palatino Linotype" w:eastAsia="Palatino Linotype" w:hAnsi="Palatino Linotype" w:cs="Palatino Linotype"/>
          <w:i/>
          <w:color w:val="000000"/>
          <w:sz w:val="22"/>
        </w:rPr>
      </w:pPr>
      <w:r w:rsidRPr="005212F0">
        <w:rPr>
          <w:rFonts w:ascii="Palatino Linotype" w:eastAsia="Palatino Linotype" w:hAnsi="Palatino Linotype" w:cs="Palatino Linotype"/>
          <w:b/>
          <w:i/>
          <w:color w:val="000000"/>
          <w:sz w:val="22"/>
          <w:u w:val="single"/>
        </w:rPr>
        <w:t>El Instituto Electoral del Estado de México</w:t>
      </w:r>
      <w:r w:rsidRPr="005212F0">
        <w:rPr>
          <w:rFonts w:ascii="Palatino Linotype" w:eastAsia="Palatino Linotype" w:hAnsi="Palatino Linotype" w:cs="Palatino Linotype"/>
          <w:i/>
          <w:color w:val="000000"/>
          <w:sz w:val="22"/>
        </w:rPr>
        <w:t xml:space="preserve"> contará con servidores públicos investidos de fe pública para actos de naturaleza electoral, cuyas atribuciones y funcionamiento serán reguladas por la ley de la materia. </w:t>
      </w:r>
      <w:r w:rsidRPr="005212F0">
        <w:rPr>
          <w:rFonts w:ascii="Palatino Linotype" w:eastAsia="Palatino Linotype" w:hAnsi="Palatino Linotype" w:cs="Palatino Linotype"/>
          <w:b/>
          <w:i/>
          <w:color w:val="000000"/>
          <w:sz w:val="22"/>
          <w:u w:val="single"/>
        </w:rPr>
        <w:t>El Instituto Electoral del Estado de México tendrá a su cargo,</w:t>
      </w:r>
      <w:r w:rsidRPr="005212F0">
        <w:rPr>
          <w:rFonts w:ascii="Palatino Linotype" w:eastAsia="Palatino Linotype" w:hAnsi="Palatino Linotype" w:cs="Palatino Linotype"/>
          <w:i/>
          <w:color w:val="000000"/>
          <w:sz w:val="22"/>
        </w:rPr>
        <w:t xml:space="preserve"> además de las que determine la ley de la materia, las actividades relativas al desarrollo de la democracia y la cultura política, derecho y acceso a las prerrogativas de los candidatos y partidos políticos, educación cívica, preparación de la jornada electoral, impresión de documentos y la producción de materiales electorales, escrutinios y cómputos, declaración de validez </w:t>
      </w:r>
      <w:r w:rsidRPr="005212F0">
        <w:rPr>
          <w:rFonts w:ascii="Palatino Linotype" w:eastAsia="Palatino Linotype" w:hAnsi="Palatino Linotype" w:cs="Palatino Linotype"/>
          <w:b/>
          <w:i/>
          <w:color w:val="000000"/>
          <w:sz w:val="22"/>
          <w:u w:val="single"/>
        </w:rPr>
        <w:t>y otorgamiento de constancias en las elecciones locales,</w:t>
      </w:r>
      <w:r w:rsidRPr="005212F0">
        <w:rPr>
          <w:rFonts w:ascii="Palatino Linotype" w:eastAsia="Palatino Linotype" w:hAnsi="Palatino Linotype" w:cs="Palatino Linotype"/>
          <w:i/>
          <w:color w:val="000000"/>
          <w:sz w:val="22"/>
        </w:rPr>
        <w:t xml:space="preserve"> resultados preliminares, encuestas o sondeos de opinión, observación electoral, tonteo rápido y sobre mecanismos de participación ciudadana, así como las que le delegue el Instituto Nacional Electoral.</w:t>
      </w:r>
    </w:p>
    <w:p w14:paraId="003770A3" w14:textId="77777777" w:rsidR="004E3E84" w:rsidRPr="005212F0" w:rsidRDefault="00842494">
      <w:pPr>
        <w:spacing w:before="240" w:after="160"/>
        <w:ind w:left="1134" w:right="900"/>
        <w:jc w:val="both"/>
        <w:rPr>
          <w:rFonts w:ascii="Palatino Linotype" w:eastAsia="Palatino Linotype" w:hAnsi="Palatino Linotype" w:cs="Palatino Linotype"/>
          <w:b/>
          <w:i/>
          <w:color w:val="000000"/>
          <w:sz w:val="22"/>
        </w:rPr>
      </w:pPr>
      <w:r w:rsidRPr="005212F0">
        <w:rPr>
          <w:rFonts w:ascii="Palatino Linotype" w:eastAsia="Palatino Linotype" w:hAnsi="Palatino Linotype" w:cs="Palatino Linotype"/>
          <w:b/>
          <w:i/>
          <w:color w:val="000000"/>
          <w:sz w:val="22"/>
        </w:rPr>
        <w:t>(…)</w:t>
      </w:r>
    </w:p>
    <w:p w14:paraId="69E8C539" w14:textId="77777777" w:rsidR="004E3E84" w:rsidRPr="005212F0" w:rsidRDefault="00842494">
      <w:pPr>
        <w:spacing w:before="240" w:after="160"/>
        <w:ind w:left="1134" w:right="900"/>
        <w:jc w:val="both"/>
        <w:rPr>
          <w:rFonts w:ascii="Palatino Linotype" w:eastAsia="Palatino Linotype" w:hAnsi="Palatino Linotype" w:cs="Palatino Linotype"/>
          <w:b/>
          <w:i/>
          <w:color w:val="000000"/>
          <w:sz w:val="22"/>
          <w:u w:val="single"/>
        </w:rPr>
      </w:pPr>
      <w:r w:rsidRPr="005212F0">
        <w:rPr>
          <w:rFonts w:ascii="Palatino Linotype" w:eastAsia="Palatino Linotype" w:hAnsi="Palatino Linotype" w:cs="Palatino Linotype"/>
          <w:i/>
          <w:color w:val="000000"/>
          <w:sz w:val="22"/>
        </w:rPr>
        <w:t>Artículo 114.- Los ayuntamientos serán electos mediante sufragio universal, libre, secreto y directo. La ley de la materia determinará la fecha de la elección</w:t>
      </w:r>
      <w:r w:rsidRPr="005212F0">
        <w:rPr>
          <w:rFonts w:ascii="Palatino Linotype" w:eastAsia="Palatino Linotype" w:hAnsi="Palatino Linotype" w:cs="Palatino Linotype"/>
          <w:b/>
          <w:i/>
          <w:color w:val="000000"/>
          <w:sz w:val="22"/>
          <w:u w:val="single"/>
        </w:rPr>
        <w:t xml:space="preserve">. Las elecciones de ayuntamientos serán computadas y declaradas válidas por el órgano electoral municipal, mismo que otorgará la constancia de mayoría de los integrantes de la planilla que hubiere obtenido el mayor número de votos en términos de la ley de la materia. </w:t>
      </w:r>
    </w:p>
    <w:p w14:paraId="21E31BC3" w14:textId="77777777" w:rsidR="004E3E84" w:rsidRPr="005212F0" w:rsidRDefault="00842494">
      <w:pPr>
        <w:spacing w:before="240" w:after="160"/>
        <w:ind w:left="1134" w:right="900"/>
        <w:jc w:val="both"/>
        <w:rPr>
          <w:rFonts w:ascii="Palatino Linotype" w:eastAsia="Palatino Linotype" w:hAnsi="Palatino Linotype" w:cs="Palatino Linotype"/>
          <w:b/>
          <w:i/>
          <w:color w:val="000000"/>
          <w:sz w:val="22"/>
        </w:rPr>
      </w:pPr>
      <w:r w:rsidRPr="005212F0">
        <w:rPr>
          <w:rFonts w:ascii="Palatino Linotype" w:eastAsia="Palatino Linotype" w:hAnsi="Palatino Linotype" w:cs="Palatino Linotype"/>
          <w:b/>
          <w:i/>
          <w:color w:val="000000"/>
          <w:sz w:val="22"/>
        </w:rPr>
        <w:t>(…)</w:t>
      </w:r>
    </w:p>
    <w:p w14:paraId="20ACD9F7" w14:textId="77777777" w:rsidR="004E3E84" w:rsidRPr="005212F0" w:rsidRDefault="00842494">
      <w:pPr>
        <w:spacing w:before="240" w:after="160"/>
        <w:ind w:left="1134" w:right="900"/>
        <w:jc w:val="center"/>
        <w:rPr>
          <w:rFonts w:ascii="Palatino Linotype" w:eastAsia="Palatino Linotype" w:hAnsi="Palatino Linotype" w:cs="Palatino Linotype"/>
          <w:b/>
          <w:i/>
          <w:color w:val="000000"/>
          <w:sz w:val="22"/>
        </w:rPr>
      </w:pPr>
      <w:r w:rsidRPr="005212F0">
        <w:rPr>
          <w:rFonts w:ascii="Palatino Linotype" w:eastAsia="Palatino Linotype" w:hAnsi="Palatino Linotype" w:cs="Palatino Linotype"/>
          <w:b/>
          <w:i/>
          <w:color w:val="000000"/>
          <w:sz w:val="22"/>
        </w:rPr>
        <w:lastRenderedPageBreak/>
        <w:t>Código Electoral del Estado de México</w:t>
      </w:r>
    </w:p>
    <w:p w14:paraId="22328F35" w14:textId="77777777" w:rsidR="004E3E84" w:rsidRPr="005212F0" w:rsidRDefault="00842494">
      <w:pPr>
        <w:spacing w:before="240" w:after="160"/>
        <w:ind w:left="1134" w:right="900"/>
        <w:jc w:val="both"/>
        <w:rPr>
          <w:rFonts w:ascii="Palatino Linotype" w:eastAsia="Palatino Linotype" w:hAnsi="Palatino Linotype" w:cs="Palatino Linotype"/>
          <w:i/>
          <w:color w:val="000000"/>
          <w:sz w:val="22"/>
        </w:rPr>
      </w:pPr>
      <w:r w:rsidRPr="005212F0">
        <w:rPr>
          <w:rFonts w:ascii="Palatino Linotype" w:eastAsia="Palatino Linotype" w:hAnsi="Palatino Linotype" w:cs="Palatino Linotype"/>
          <w:i/>
          <w:color w:val="000000"/>
          <w:sz w:val="22"/>
        </w:rPr>
        <w:t xml:space="preserve">Artículo 214. En cada uno de los municipios de la entidad, el Instituto contará con los siguientes órganos: </w:t>
      </w:r>
    </w:p>
    <w:p w14:paraId="08AC99C2" w14:textId="77777777" w:rsidR="004E3E84" w:rsidRPr="005212F0" w:rsidRDefault="00842494">
      <w:pPr>
        <w:numPr>
          <w:ilvl w:val="0"/>
          <w:numId w:val="8"/>
        </w:numPr>
        <w:spacing w:before="160"/>
        <w:ind w:left="1134" w:right="900" w:firstLine="0"/>
        <w:jc w:val="both"/>
        <w:rPr>
          <w:rFonts w:ascii="Palatino Linotype" w:eastAsia="Palatino Linotype" w:hAnsi="Palatino Linotype" w:cs="Palatino Linotype"/>
          <w:i/>
          <w:color w:val="000000"/>
          <w:sz w:val="22"/>
        </w:rPr>
      </w:pPr>
      <w:r w:rsidRPr="005212F0">
        <w:rPr>
          <w:rFonts w:ascii="Palatino Linotype" w:eastAsia="Palatino Linotype" w:hAnsi="Palatino Linotype" w:cs="Palatino Linotype"/>
          <w:i/>
          <w:color w:val="000000"/>
          <w:sz w:val="22"/>
        </w:rPr>
        <w:t xml:space="preserve">La Junta Municipal. </w:t>
      </w:r>
    </w:p>
    <w:p w14:paraId="60934F1D" w14:textId="77777777" w:rsidR="004E3E84" w:rsidRPr="005212F0" w:rsidRDefault="00842494">
      <w:pPr>
        <w:numPr>
          <w:ilvl w:val="0"/>
          <w:numId w:val="8"/>
        </w:numPr>
        <w:spacing w:after="80"/>
        <w:ind w:left="1134" w:right="900" w:firstLine="0"/>
        <w:jc w:val="both"/>
        <w:rPr>
          <w:rFonts w:ascii="Palatino Linotype" w:eastAsia="Palatino Linotype" w:hAnsi="Palatino Linotype" w:cs="Palatino Linotype"/>
          <w:b/>
          <w:i/>
          <w:color w:val="000000"/>
          <w:sz w:val="22"/>
          <w:u w:val="single"/>
        </w:rPr>
      </w:pPr>
      <w:r w:rsidRPr="005212F0">
        <w:rPr>
          <w:rFonts w:ascii="Palatino Linotype" w:eastAsia="Palatino Linotype" w:hAnsi="Palatino Linotype" w:cs="Palatino Linotype"/>
          <w:b/>
          <w:i/>
          <w:color w:val="000000"/>
          <w:sz w:val="22"/>
          <w:u w:val="single"/>
        </w:rPr>
        <w:t>El Consejo Municipal Electoral.</w:t>
      </w:r>
    </w:p>
    <w:p w14:paraId="0E4EE8C0" w14:textId="77777777" w:rsidR="009A1815" w:rsidRPr="005212F0" w:rsidRDefault="009A1815" w:rsidP="009A1815">
      <w:pPr>
        <w:spacing w:before="80" w:after="160"/>
        <w:ind w:left="1134" w:right="900"/>
        <w:jc w:val="both"/>
        <w:rPr>
          <w:rFonts w:ascii="Palatino Linotype" w:eastAsia="Palatino Linotype" w:hAnsi="Palatino Linotype" w:cs="Palatino Linotype"/>
          <w:i/>
          <w:color w:val="000000"/>
          <w:sz w:val="22"/>
        </w:rPr>
      </w:pPr>
      <w:r w:rsidRPr="005212F0">
        <w:rPr>
          <w:rFonts w:ascii="Palatino Linotype" w:eastAsia="Palatino Linotype" w:hAnsi="Palatino Linotype" w:cs="Palatino Linotype"/>
          <w:b/>
          <w:i/>
          <w:color w:val="000000"/>
          <w:sz w:val="22"/>
        </w:rPr>
        <w:t xml:space="preserve"> </w:t>
      </w:r>
      <w:r w:rsidR="00842494" w:rsidRPr="005212F0">
        <w:rPr>
          <w:rFonts w:ascii="Palatino Linotype" w:eastAsia="Palatino Linotype" w:hAnsi="Palatino Linotype" w:cs="Palatino Linotype"/>
          <w:b/>
          <w:i/>
          <w:color w:val="000000"/>
          <w:sz w:val="22"/>
        </w:rPr>
        <w:t>(…)</w:t>
      </w:r>
      <w:r w:rsidRPr="005212F0">
        <w:rPr>
          <w:rFonts w:ascii="Palatino Linotype" w:eastAsia="Palatino Linotype" w:hAnsi="Palatino Linotype" w:cs="Palatino Linotype"/>
          <w:b/>
          <w:i/>
          <w:color w:val="000000"/>
          <w:sz w:val="22"/>
        </w:rPr>
        <w:t xml:space="preserve">Artículo 220. </w:t>
      </w:r>
      <w:r w:rsidRPr="005212F0">
        <w:rPr>
          <w:rFonts w:ascii="Palatino Linotype" w:eastAsia="Palatino Linotype" w:hAnsi="Palatino Linotype" w:cs="Palatino Linotype"/>
          <w:b/>
          <w:i/>
          <w:color w:val="000000"/>
          <w:sz w:val="22"/>
          <w:u w:val="single"/>
        </w:rPr>
        <w:t>Los consejos municipales</w:t>
      </w:r>
      <w:r w:rsidRPr="005212F0">
        <w:rPr>
          <w:rFonts w:ascii="Palatino Linotype" w:eastAsia="Palatino Linotype" w:hAnsi="Palatino Linotype" w:cs="Palatino Linotype"/>
          <w:i/>
          <w:color w:val="000000"/>
          <w:sz w:val="22"/>
        </w:rPr>
        <w:t xml:space="preserve"> electorales tienen las siguientes atribuciones:</w:t>
      </w:r>
    </w:p>
    <w:p w14:paraId="0443BFBB" w14:textId="77777777" w:rsidR="004E3E84" w:rsidRPr="005212F0" w:rsidRDefault="004E3E84">
      <w:pPr>
        <w:spacing w:before="240" w:after="160"/>
        <w:ind w:left="1134" w:right="900"/>
        <w:jc w:val="both"/>
        <w:rPr>
          <w:rFonts w:ascii="Palatino Linotype" w:eastAsia="Palatino Linotype" w:hAnsi="Palatino Linotype" w:cs="Palatino Linotype"/>
          <w:b/>
          <w:i/>
          <w:color w:val="000000"/>
          <w:sz w:val="22"/>
        </w:rPr>
      </w:pPr>
    </w:p>
    <w:p w14:paraId="361F2254" w14:textId="77777777" w:rsidR="004E3E84" w:rsidRPr="005212F0" w:rsidRDefault="00842494">
      <w:pPr>
        <w:spacing w:before="240" w:after="160"/>
        <w:ind w:left="1134" w:right="900"/>
        <w:jc w:val="both"/>
        <w:rPr>
          <w:rFonts w:ascii="Palatino Linotype" w:eastAsia="Palatino Linotype" w:hAnsi="Palatino Linotype" w:cs="Palatino Linotype"/>
          <w:b/>
          <w:i/>
          <w:color w:val="000000"/>
          <w:sz w:val="22"/>
          <w:u w:val="single"/>
        </w:rPr>
      </w:pPr>
      <w:r w:rsidRPr="005212F0">
        <w:rPr>
          <w:rFonts w:ascii="Palatino Linotype" w:eastAsia="Palatino Linotype" w:hAnsi="Palatino Linotype" w:cs="Palatino Linotype"/>
          <w:b/>
          <w:i/>
          <w:color w:val="000000"/>
          <w:sz w:val="22"/>
          <w:u w:val="single"/>
        </w:rPr>
        <w:t>V. Expedir la declaratoria de validez y la constancia de mayoría a la planilla que obtenga el mayor número de votos, y las constancias de asignación de regidores y síndico, por el principio de representación proporcional.</w:t>
      </w:r>
    </w:p>
    <w:p w14:paraId="6374CF99" w14:textId="77777777" w:rsidR="004E3E84" w:rsidRPr="005212F0" w:rsidRDefault="00842494">
      <w:pPr>
        <w:spacing w:before="240" w:after="160"/>
        <w:ind w:left="1134" w:right="900"/>
        <w:jc w:val="both"/>
        <w:rPr>
          <w:rFonts w:ascii="Palatino Linotype" w:eastAsia="Palatino Linotype" w:hAnsi="Palatino Linotype" w:cs="Palatino Linotype"/>
          <w:i/>
          <w:color w:val="000000"/>
          <w:sz w:val="22"/>
        </w:rPr>
      </w:pPr>
      <w:r w:rsidRPr="005212F0">
        <w:rPr>
          <w:rFonts w:ascii="Palatino Linotype" w:eastAsia="Palatino Linotype" w:hAnsi="Palatino Linotype" w:cs="Palatino Linotype"/>
          <w:i/>
          <w:color w:val="000000"/>
          <w:sz w:val="22"/>
        </w:rPr>
        <w:t>Artículo 221. Corresponde al Presidente del Consejo Municipal Electoral:</w:t>
      </w:r>
    </w:p>
    <w:p w14:paraId="134D0DAE" w14:textId="77777777" w:rsidR="004E3E84" w:rsidRPr="005212F0" w:rsidRDefault="00842494">
      <w:pPr>
        <w:numPr>
          <w:ilvl w:val="0"/>
          <w:numId w:val="8"/>
        </w:numPr>
        <w:spacing w:before="240" w:after="160"/>
        <w:ind w:left="1134" w:right="900" w:firstLine="0"/>
        <w:jc w:val="both"/>
        <w:rPr>
          <w:rFonts w:ascii="Palatino Linotype" w:eastAsia="Palatino Linotype" w:hAnsi="Palatino Linotype" w:cs="Palatino Linotype"/>
          <w:i/>
          <w:color w:val="000000"/>
          <w:sz w:val="22"/>
        </w:rPr>
      </w:pPr>
      <w:r w:rsidRPr="005212F0">
        <w:rPr>
          <w:rFonts w:ascii="Palatino Linotype" w:eastAsia="Palatino Linotype" w:hAnsi="Palatino Linotype" w:cs="Palatino Linotype"/>
          <w:i/>
          <w:color w:val="000000"/>
          <w:sz w:val="22"/>
        </w:rPr>
        <w:t>Realizar el cómputo municipal de la elección de ayuntamientos por el principio de mayoría relativa y por el principio de representación proporcional.</w:t>
      </w:r>
    </w:p>
    <w:p w14:paraId="0E1291AC" w14:textId="77777777" w:rsidR="004E3E84" w:rsidRPr="005212F0" w:rsidRDefault="00842494">
      <w:pPr>
        <w:numPr>
          <w:ilvl w:val="0"/>
          <w:numId w:val="8"/>
        </w:numPr>
        <w:spacing w:before="240" w:after="160"/>
        <w:ind w:left="1134" w:right="900" w:firstLine="0"/>
        <w:jc w:val="both"/>
        <w:rPr>
          <w:rFonts w:ascii="Palatino Linotype" w:eastAsia="Palatino Linotype" w:hAnsi="Palatino Linotype" w:cs="Palatino Linotype"/>
          <w:i/>
          <w:color w:val="000000"/>
          <w:sz w:val="22"/>
        </w:rPr>
      </w:pPr>
      <w:r w:rsidRPr="005212F0">
        <w:rPr>
          <w:rFonts w:ascii="Palatino Linotype" w:eastAsia="Palatino Linotype" w:hAnsi="Palatino Linotype" w:cs="Palatino Linotype"/>
          <w:b/>
          <w:i/>
          <w:color w:val="000000"/>
          <w:sz w:val="22"/>
          <w:u w:val="single"/>
        </w:rPr>
        <w:t>Expedir la Constancia a la planilla de candidatos para el Ayuntamiento que haya obtenido mayoría de votos</w:t>
      </w:r>
      <w:r w:rsidRPr="005212F0">
        <w:rPr>
          <w:rFonts w:ascii="Palatino Linotype" w:eastAsia="Palatino Linotype" w:hAnsi="Palatino Linotype" w:cs="Palatino Linotype"/>
          <w:i/>
          <w:color w:val="000000"/>
          <w:sz w:val="22"/>
        </w:rPr>
        <w:t xml:space="preserve"> conforme al cómputo y declaración de validez del Consejo Municipal, así como las constancias de asignación por el principio de representación proporcional.” </w:t>
      </w:r>
      <w:r w:rsidRPr="005212F0">
        <w:rPr>
          <w:rFonts w:ascii="Palatino Linotype" w:eastAsia="Palatino Linotype" w:hAnsi="Palatino Linotype" w:cs="Palatino Linotype"/>
          <w:b/>
          <w:i/>
          <w:color w:val="000000"/>
          <w:sz w:val="22"/>
        </w:rPr>
        <w:t>[Sic]</w:t>
      </w:r>
    </w:p>
    <w:p w14:paraId="741D2FA2" w14:textId="77777777" w:rsidR="002B2F9E" w:rsidRPr="005212F0" w:rsidRDefault="002B2F9E" w:rsidP="002B2F9E">
      <w:pPr>
        <w:spacing w:before="240" w:after="160"/>
        <w:ind w:left="1134" w:right="900"/>
        <w:jc w:val="both"/>
        <w:rPr>
          <w:rFonts w:ascii="Palatino Linotype" w:eastAsia="Palatino Linotype" w:hAnsi="Palatino Linotype" w:cs="Palatino Linotype"/>
          <w:i/>
          <w:color w:val="000000"/>
          <w:sz w:val="22"/>
        </w:rPr>
      </w:pPr>
    </w:p>
    <w:p w14:paraId="796B3591" w14:textId="77777777" w:rsidR="004E3E84" w:rsidRPr="005212F0" w:rsidRDefault="00842494">
      <w:pPr>
        <w:numPr>
          <w:ilvl w:val="0"/>
          <w:numId w:val="9"/>
        </w:numPr>
        <w:spacing w:line="360" w:lineRule="auto"/>
        <w:ind w:left="0" w:firstLine="0"/>
        <w:jc w:val="both"/>
        <w:rPr>
          <w:rFonts w:ascii="Palatino Linotype" w:eastAsia="Palatino Linotype" w:hAnsi="Palatino Linotype" w:cs="Palatino Linotype"/>
          <w:color w:val="000000"/>
        </w:rPr>
      </w:pPr>
      <w:r w:rsidRPr="005212F0">
        <w:rPr>
          <w:rFonts w:ascii="Palatino Linotype" w:eastAsia="Palatino Linotype" w:hAnsi="Palatino Linotype" w:cs="Palatino Linotype"/>
          <w:color w:val="000000"/>
        </w:rPr>
        <w:t xml:space="preserve">Derivado de lo anterior, se desprende que el Instituto Electoral del Estado de México entregar a los partidos y sus integrantes la Constancia de Mayoría que los acredita como representantes de la administración municipal entrante por el periodo comprendido de cada uno de los trienios que inicia funciones, incluyendo al Presidente Municipal, Síndicos y Regidores. </w:t>
      </w:r>
    </w:p>
    <w:p w14:paraId="20F303D3" w14:textId="77777777" w:rsidR="004E3E84" w:rsidRPr="005212F0" w:rsidRDefault="004E3E84">
      <w:pPr>
        <w:spacing w:line="360" w:lineRule="auto"/>
        <w:jc w:val="both"/>
        <w:rPr>
          <w:rFonts w:ascii="Palatino Linotype" w:eastAsia="Palatino Linotype" w:hAnsi="Palatino Linotype" w:cs="Palatino Linotype"/>
          <w:color w:val="000000"/>
        </w:rPr>
      </w:pPr>
    </w:p>
    <w:p w14:paraId="3717447F" w14:textId="77777777" w:rsidR="004E3E84" w:rsidRPr="005212F0" w:rsidRDefault="00842494">
      <w:pPr>
        <w:numPr>
          <w:ilvl w:val="0"/>
          <w:numId w:val="9"/>
        </w:numPr>
        <w:spacing w:line="360" w:lineRule="auto"/>
        <w:ind w:left="0" w:firstLine="0"/>
        <w:jc w:val="both"/>
        <w:rPr>
          <w:rFonts w:ascii="Palatino Linotype" w:eastAsia="Palatino Linotype" w:hAnsi="Palatino Linotype" w:cs="Palatino Linotype"/>
          <w:color w:val="000000"/>
        </w:rPr>
      </w:pPr>
      <w:r w:rsidRPr="005212F0">
        <w:rPr>
          <w:rFonts w:ascii="Palatino Linotype" w:eastAsia="Palatino Linotype" w:hAnsi="Palatino Linotype" w:cs="Palatino Linotype"/>
          <w:color w:val="000000"/>
        </w:rPr>
        <w:lastRenderedPageBreak/>
        <w:t>Luego entonces, se identifica que el Presi</w:t>
      </w:r>
      <w:r w:rsidR="00F360B2" w:rsidRPr="005212F0">
        <w:rPr>
          <w:rFonts w:ascii="Palatino Linotype" w:eastAsia="Palatino Linotype" w:hAnsi="Palatino Linotype" w:cs="Palatino Linotype"/>
          <w:color w:val="000000"/>
        </w:rPr>
        <w:t>dente Municipal, no es nombrado</w:t>
      </w:r>
      <w:r w:rsidRPr="005212F0">
        <w:rPr>
          <w:rFonts w:ascii="Palatino Linotype" w:eastAsia="Palatino Linotype" w:hAnsi="Palatino Linotype" w:cs="Palatino Linotype"/>
          <w:color w:val="000000"/>
        </w:rPr>
        <w:t xml:space="preserve"> por un superior jerárquico, sino que un puesto de elección popular, esto significa que es  selecto por el pueblo mediante un ejercicio democrático; es por ello que se identifica que el documento que sirve para atender la solicitud de información del </w:t>
      </w:r>
      <w:r w:rsidRPr="005212F0">
        <w:rPr>
          <w:rFonts w:ascii="Palatino Linotype" w:eastAsia="Palatino Linotype" w:hAnsi="Palatino Linotype" w:cs="Palatino Linotype"/>
          <w:b/>
          <w:color w:val="000000"/>
        </w:rPr>
        <w:t>RECURRENTE</w:t>
      </w:r>
      <w:r w:rsidRPr="005212F0">
        <w:rPr>
          <w:rFonts w:ascii="Palatino Linotype" w:eastAsia="Palatino Linotype" w:hAnsi="Palatino Linotype" w:cs="Palatino Linotype"/>
          <w:color w:val="000000"/>
        </w:rPr>
        <w:t xml:space="preserve">, es </w:t>
      </w:r>
      <w:r w:rsidRPr="005212F0">
        <w:rPr>
          <w:rFonts w:ascii="Palatino Linotype" w:eastAsia="Palatino Linotype" w:hAnsi="Palatino Linotype" w:cs="Palatino Linotype"/>
          <w:b/>
          <w:color w:val="000000"/>
        </w:rPr>
        <w:t xml:space="preserve">la constancia de mayoría </w:t>
      </w:r>
      <w:r w:rsidRPr="005212F0">
        <w:rPr>
          <w:rFonts w:ascii="Palatino Linotype" w:eastAsia="Palatino Linotype" w:hAnsi="Palatino Linotype" w:cs="Palatino Linotype"/>
          <w:color w:val="000000"/>
        </w:rPr>
        <w:t>expedida por el Instituto Electoral del Estado de México, en términos del artículo 220, fracción V, del Código Electoral del Estado de México.</w:t>
      </w:r>
    </w:p>
    <w:p w14:paraId="501B79BB" w14:textId="77777777" w:rsidR="002F1FFA" w:rsidRPr="005212F0" w:rsidRDefault="002F1FFA" w:rsidP="002F1FFA">
      <w:pPr>
        <w:pStyle w:val="Prrafodelista"/>
        <w:rPr>
          <w:rFonts w:ascii="Palatino Linotype" w:eastAsia="Palatino Linotype" w:hAnsi="Palatino Linotype" w:cs="Palatino Linotype"/>
          <w:color w:val="000000"/>
        </w:rPr>
      </w:pPr>
    </w:p>
    <w:p w14:paraId="6DFE2838" w14:textId="77777777" w:rsidR="004E3E84" w:rsidRPr="005212F0" w:rsidRDefault="00842494">
      <w:pPr>
        <w:numPr>
          <w:ilvl w:val="0"/>
          <w:numId w:val="9"/>
        </w:numPr>
        <w:spacing w:line="360" w:lineRule="auto"/>
        <w:ind w:left="0" w:firstLine="0"/>
        <w:jc w:val="both"/>
        <w:rPr>
          <w:rFonts w:ascii="Palatino Linotype" w:eastAsia="Palatino Linotype" w:hAnsi="Palatino Linotype" w:cs="Palatino Linotype"/>
          <w:color w:val="000000"/>
        </w:rPr>
      </w:pPr>
      <w:r w:rsidRPr="005212F0">
        <w:rPr>
          <w:rFonts w:ascii="Palatino Linotype" w:eastAsia="Palatino Linotype" w:hAnsi="Palatino Linotype" w:cs="Palatino Linotype"/>
          <w:color w:val="000000"/>
        </w:rPr>
        <w:t xml:space="preserve">Por último, toda vez que no se prevé que la Unidad Administrativa realizó una búsqueda exhaustiva y razonable en sus archivos, al únicamente precisar que la información no se tenía por ser un cargo de elección popular, resulta procedente ordenar que se realice una nueva búsqueda de la información, y de ser el caso, sea proporcionada, en versión pública. </w:t>
      </w:r>
    </w:p>
    <w:p w14:paraId="4A59DE9C" w14:textId="77777777" w:rsidR="00FF762C" w:rsidRPr="005212F0" w:rsidRDefault="00FF762C" w:rsidP="00FF762C">
      <w:pPr>
        <w:spacing w:line="360" w:lineRule="auto"/>
        <w:contextualSpacing/>
        <w:jc w:val="both"/>
        <w:rPr>
          <w:rFonts w:ascii="Palatino Linotype" w:hAnsi="Palatino Linotype"/>
          <w:lang w:val="es-ES"/>
        </w:rPr>
      </w:pPr>
    </w:p>
    <w:p w14:paraId="74BDE0A8" w14:textId="77777777" w:rsidR="00FF762C" w:rsidRPr="005212F0" w:rsidRDefault="00FF762C" w:rsidP="00FF762C">
      <w:pPr>
        <w:numPr>
          <w:ilvl w:val="0"/>
          <w:numId w:val="9"/>
        </w:numPr>
        <w:spacing w:line="360" w:lineRule="auto"/>
        <w:ind w:left="0" w:firstLine="0"/>
        <w:jc w:val="both"/>
        <w:rPr>
          <w:rFonts w:ascii="Palatino Linotype" w:eastAsia="Palatino Linotype" w:hAnsi="Palatino Linotype" w:cs="Palatino Linotype"/>
          <w:color w:val="000000"/>
        </w:rPr>
      </w:pPr>
      <w:r w:rsidRPr="005212F0">
        <w:rPr>
          <w:rFonts w:ascii="Palatino Linotype" w:eastAsia="Palatino Linotype" w:hAnsi="Palatino Linotype" w:cs="Palatino Linotype"/>
          <w:color w:val="000000"/>
        </w:rPr>
        <w:t xml:space="preserve">En este orden de ideas, resulta evidente que el </w:t>
      </w:r>
      <w:r w:rsidRPr="005212F0">
        <w:rPr>
          <w:rFonts w:ascii="Palatino Linotype" w:eastAsia="Palatino Linotype" w:hAnsi="Palatino Linotype" w:cs="Palatino Linotype"/>
          <w:b/>
          <w:color w:val="000000"/>
        </w:rPr>
        <w:t>SUJETO OBLIGADO</w:t>
      </w:r>
      <w:r w:rsidRPr="005212F0">
        <w:rPr>
          <w:rFonts w:ascii="Palatino Linotype" w:eastAsia="Palatino Linotype" w:hAnsi="Palatino Linotype" w:cs="Palatino Linotype"/>
          <w:color w:val="000000"/>
        </w:rPr>
        <w:t xml:space="preserve"> no acreditó haber realizado la búsqueda minuciosa exhaustiva y razonable, siendo que conforme al artículo 162 de la de la Ley de Transparencia y Acceso a la Información Pública del Estado de México y Municipios, las Unidades de Transparencia deben garantizar que las solicitudes se turnen a todas las Áreas competentes que cuenten con la información o deban tenerla de acuerdo a sus facultades, competencias y funciones, con el objeto de que realicen una búsqueda exhaustiva y razonable de la información solicitada, situación que no fue realizada por el Titular de la Unidad de Transparencia del Sujeto Obligado.</w:t>
      </w:r>
    </w:p>
    <w:p w14:paraId="33609301" w14:textId="77777777" w:rsidR="00FF762C" w:rsidRPr="005212F0" w:rsidRDefault="00FF762C" w:rsidP="00FF762C">
      <w:pPr>
        <w:spacing w:line="360" w:lineRule="auto"/>
        <w:jc w:val="both"/>
        <w:rPr>
          <w:rFonts w:ascii="Palatino Linotype" w:eastAsia="Palatino Linotype" w:hAnsi="Palatino Linotype" w:cs="Palatino Linotype"/>
          <w:color w:val="000000"/>
        </w:rPr>
      </w:pPr>
    </w:p>
    <w:p w14:paraId="1AF45E83" w14:textId="77777777" w:rsidR="00FF762C" w:rsidRPr="005212F0" w:rsidRDefault="00FF762C" w:rsidP="00FF762C">
      <w:pPr>
        <w:numPr>
          <w:ilvl w:val="0"/>
          <w:numId w:val="9"/>
        </w:numPr>
        <w:spacing w:line="360" w:lineRule="auto"/>
        <w:ind w:left="0" w:firstLine="0"/>
        <w:jc w:val="both"/>
        <w:rPr>
          <w:rFonts w:ascii="Palatino Linotype" w:eastAsia="Palatino Linotype" w:hAnsi="Palatino Linotype" w:cs="Palatino Linotype"/>
          <w:color w:val="000000"/>
        </w:rPr>
      </w:pPr>
      <w:r w:rsidRPr="005212F0">
        <w:rPr>
          <w:rFonts w:ascii="Palatino Linotype" w:eastAsia="Palatino Linotype" w:hAnsi="Palatino Linotype" w:cs="Palatino Linotype"/>
          <w:color w:val="000000"/>
        </w:rPr>
        <w:lastRenderedPageBreak/>
        <w:t>A efecto de determinar la legalidad de dicha respuesta, es necesario tomar en cuenta las siguientes disposiciones de la Ley de la materia.</w:t>
      </w:r>
    </w:p>
    <w:p w14:paraId="7BCEFD62" w14:textId="77777777" w:rsidR="00FF762C" w:rsidRPr="005212F0" w:rsidRDefault="00FF762C" w:rsidP="00FF762C">
      <w:pPr>
        <w:spacing w:line="360" w:lineRule="auto"/>
        <w:ind w:left="1134" w:right="900"/>
        <w:contextualSpacing/>
        <w:jc w:val="both"/>
        <w:rPr>
          <w:rFonts w:ascii="Palatino Linotype" w:hAnsi="Palatino Linotype"/>
          <w:i/>
          <w:sz w:val="22"/>
          <w:lang w:val="es-ES"/>
        </w:rPr>
      </w:pPr>
      <w:r w:rsidRPr="005212F0">
        <w:rPr>
          <w:rFonts w:ascii="Palatino Linotype" w:hAnsi="Palatino Linotype"/>
          <w:i/>
          <w:sz w:val="22"/>
          <w:lang w:val="es-ES"/>
        </w:rPr>
        <w:t>“</w:t>
      </w:r>
      <w:r w:rsidRPr="005212F0">
        <w:rPr>
          <w:rFonts w:ascii="Palatino Linotype" w:hAnsi="Palatino Linotype"/>
          <w:b/>
          <w:i/>
          <w:sz w:val="22"/>
          <w:lang w:val="es-ES"/>
        </w:rPr>
        <w:t>Artículo 50.</w:t>
      </w:r>
      <w:r w:rsidRPr="005212F0">
        <w:rPr>
          <w:rFonts w:ascii="Palatino Linotype" w:hAnsi="Palatino Linotype"/>
          <w:i/>
          <w:sz w:val="22"/>
          <w:lang w:val="es-ES"/>
        </w:rPr>
        <w:t xml:space="preserve"> Los sujetos obligados contarán con un área responsable para la atención de las solicitudes de información, a la que se le denominará Unidad de Transparencia.</w:t>
      </w:r>
    </w:p>
    <w:p w14:paraId="4EDB8818" w14:textId="77777777" w:rsidR="00FF762C" w:rsidRPr="005212F0" w:rsidRDefault="00FF762C" w:rsidP="00FF762C">
      <w:pPr>
        <w:spacing w:line="360" w:lineRule="auto"/>
        <w:ind w:left="1134" w:right="900"/>
        <w:contextualSpacing/>
        <w:jc w:val="both"/>
        <w:rPr>
          <w:rFonts w:ascii="Palatino Linotype" w:hAnsi="Palatino Linotype"/>
          <w:i/>
          <w:sz w:val="22"/>
          <w:lang w:val="es-ES"/>
        </w:rPr>
      </w:pPr>
      <w:r w:rsidRPr="005212F0">
        <w:rPr>
          <w:rFonts w:ascii="Palatino Linotype" w:hAnsi="Palatino Linotype"/>
          <w:b/>
          <w:i/>
          <w:sz w:val="22"/>
          <w:lang w:val="es-ES"/>
        </w:rPr>
        <w:t>Artículo 51</w:t>
      </w:r>
      <w:r w:rsidRPr="005212F0">
        <w:rPr>
          <w:rFonts w:ascii="Palatino Linotype" w:hAnsi="Palatino Linotype"/>
          <w:i/>
          <w:sz w:val="22"/>
          <w:lang w:val="es-ES"/>
        </w:rPr>
        <w:t>. Los sujetos obligados designaran a un responsable para atender la Unidad de Transparencia, quien fungirá como enlace entre éstos y los solicitantes. Dicha Unidad será la 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5700E559" w14:textId="77777777" w:rsidR="00FF762C" w:rsidRPr="005212F0" w:rsidRDefault="00FF762C" w:rsidP="00FF762C">
      <w:pPr>
        <w:spacing w:line="360" w:lineRule="auto"/>
        <w:ind w:left="1134" w:right="900"/>
        <w:contextualSpacing/>
        <w:jc w:val="both"/>
        <w:rPr>
          <w:rFonts w:ascii="Palatino Linotype" w:hAnsi="Palatino Linotype"/>
          <w:i/>
          <w:sz w:val="22"/>
          <w:lang w:val="es-ES"/>
        </w:rPr>
      </w:pPr>
      <w:r w:rsidRPr="005212F0">
        <w:rPr>
          <w:rFonts w:ascii="Palatino Linotype" w:hAnsi="Palatino Linotype"/>
          <w:b/>
          <w:i/>
          <w:sz w:val="22"/>
          <w:lang w:val="es-ES"/>
        </w:rPr>
        <w:t>Artículo 53</w:t>
      </w:r>
      <w:r w:rsidRPr="005212F0">
        <w:rPr>
          <w:rFonts w:ascii="Palatino Linotype" w:hAnsi="Palatino Linotype"/>
          <w:i/>
          <w:sz w:val="22"/>
          <w:lang w:val="es-ES"/>
        </w:rPr>
        <w:t>. Las Unidades de Transparencia tendrán las siguientes funciones:</w:t>
      </w:r>
    </w:p>
    <w:p w14:paraId="586B5EFF" w14:textId="77777777" w:rsidR="00FF762C" w:rsidRPr="005212F0" w:rsidRDefault="00FF762C" w:rsidP="00FF762C">
      <w:pPr>
        <w:spacing w:line="360" w:lineRule="auto"/>
        <w:ind w:left="1134" w:right="900"/>
        <w:contextualSpacing/>
        <w:jc w:val="both"/>
        <w:rPr>
          <w:rFonts w:ascii="Palatino Linotype" w:hAnsi="Palatino Linotype"/>
          <w:i/>
          <w:sz w:val="22"/>
          <w:lang w:val="es-ES"/>
        </w:rPr>
      </w:pPr>
      <w:r w:rsidRPr="005212F0">
        <w:rPr>
          <w:rFonts w:ascii="Palatino Linotype" w:hAnsi="Palatino Linotype"/>
          <w:i/>
          <w:sz w:val="22"/>
          <w:lang w:val="es-ES"/>
        </w:rPr>
        <w:t>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w:t>
      </w:r>
    </w:p>
    <w:p w14:paraId="2A284A69" w14:textId="77777777" w:rsidR="00FF762C" w:rsidRPr="005212F0" w:rsidRDefault="00FF762C" w:rsidP="00FF762C">
      <w:pPr>
        <w:spacing w:line="360" w:lineRule="auto"/>
        <w:ind w:left="1134" w:right="900"/>
        <w:contextualSpacing/>
        <w:jc w:val="both"/>
        <w:rPr>
          <w:rFonts w:ascii="Palatino Linotype" w:hAnsi="Palatino Linotype"/>
          <w:b/>
          <w:i/>
          <w:sz w:val="22"/>
          <w:lang w:val="es-ES"/>
        </w:rPr>
      </w:pPr>
      <w:r w:rsidRPr="005212F0">
        <w:rPr>
          <w:rFonts w:ascii="Palatino Linotype" w:hAnsi="Palatino Linotype"/>
          <w:b/>
          <w:i/>
          <w:sz w:val="22"/>
          <w:lang w:val="es-ES"/>
        </w:rPr>
        <w:t xml:space="preserve">II. Recibir, </w:t>
      </w:r>
      <w:r w:rsidRPr="005212F0">
        <w:rPr>
          <w:rFonts w:ascii="Palatino Linotype" w:hAnsi="Palatino Linotype"/>
          <w:b/>
          <w:i/>
          <w:sz w:val="22"/>
          <w:u w:val="single"/>
          <w:lang w:val="es-ES"/>
        </w:rPr>
        <w:t>tramitar</w:t>
      </w:r>
      <w:r w:rsidRPr="005212F0">
        <w:rPr>
          <w:rFonts w:ascii="Palatino Linotype" w:hAnsi="Palatino Linotype"/>
          <w:b/>
          <w:i/>
          <w:sz w:val="22"/>
          <w:lang w:val="es-ES"/>
        </w:rPr>
        <w:t xml:space="preserve"> y dar respuesta a las solicitudes de acceso a la información;</w:t>
      </w:r>
    </w:p>
    <w:p w14:paraId="66BB5597" w14:textId="77777777" w:rsidR="00FF762C" w:rsidRPr="005212F0" w:rsidRDefault="00FF762C" w:rsidP="00FF762C">
      <w:pPr>
        <w:spacing w:line="360" w:lineRule="auto"/>
        <w:ind w:left="1134" w:right="900"/>
        <w:contextualSpacing/>
        <w:jc w:val="both"/>
        <w:rPr>
          <w:rFonts w:ascii="Palatino Linotype" w:hAnsi="Palatino Linotype"/>
          <w:i/>
          <w:sz w:val="22"/>
          <w:lang w:val="es-ES"/>
        </w:rPr>
      </w:pPr>
      <w:r w:rsidRPr="005212F0">
        <w:rPr>
          <w:rFonts w:ascii="Palatino Linotype" w:hAnsi="Palatino Linotype"/>
          <w:i/>
          <w:sz w:val="22"/>
          <w:lang w:val="es-ES"/>
        </w:rPr>
        <w:t>III. Auxiliar a los particulares en la elaboración de solicitudes de acceso a la información y, en su caso, orientarlos sobre los sujetos obligados competentes conforme a la normatividad aplicable;</w:t>
      </w:r>
    </w:p>
    <w:p w14:paraId="3BCF6B94" w14:textId="77777777" w:rsidR="00FF762C" w:rsidRPr="005212F0" w:rsidRDefault="00FF762C" w:rsidP="00FF762C">
      <w:pPr>
        <w:spacing w:line="360" w:lineRule="auto"/>
        <w:ind w:left="1134" w:right="900"/>
        <w:contextualSpacing/>
        <w:jc w:val="both"/>
        <w:rPr>
          <w:rFonts w:ascii="Palatino Linotype" w:hAnsi="Palatino Linotype"/>
          <w:b/>
          <w:i/>
          <w:sz w:val="22"/>
          <w:lang w:val="es-ES"/>
        </w:rPr>
      </w:pPr>
      <w:r w:rsidRPr="005212F0">
        <w:rPr>
          <w:rFonts w:ascii="Palatino Linotype" w:hAnsi="Palatino Linotype"/>
          <w:b/>
          <w:i/>
          <w:sz w:val="22"/>
          <w:lang w:val="es-ES"/>
        </w:rPr>
        <w:t>IV. Realizar, con efectividad, los trámites internos necesarios para la atención de las solicitudes de acceso a la información;</w:t>
      </w:r>
    </w:p>
    <w:p w14:paraId="1F5EF1EC" w14:textId="77777777" w:rsidR="00FF762C" w:rsidRPr="005212F0" w:rsidRDefault="00FF762C" w:rsidP="00FF762C">
      <w:pPr>
        <w:spacing w:line="360" w:lineRule="auto"/>
        <w:ind w:left="1134" w:right="900"/>
        <w:contextualSpacing/>
        <w:jc w:val="both"/>
        <w:rPr>
          <w:rFonts w:ascii="Palatino Linotype" w:hAnsi="Palatino Linotype"/>
          <w:b/>
          <w:i/>
          <w:sz w:val="22"/>
          <w:lang w:val="es-ES"/>
        </w:rPr>
      </w:pPr>
      <w:r w:rsidRPr="005212F0">
        <w:rPr>
          <w:rFonts w:ascii="Palatino Linotype" w:hAnsi="Palatino Linotype"/>
          <w:b/>
          <w:i/>
          <w:sz w:val="22"/>
          <w:lang w:val="es-ES"/>
        </w:rPr>
        <w:lastRenderedPageBreak/>
        <w:t>V. Entregar, en su caso, a los particulares la información solicitada;</w:t>
      </w:r>
    </w:p>
    <w:p w14:paraId="1873A674" w14:textId="77777777" w:rsidR="00FF762C" w:rsidRPr="005212F0" w:rsidRDefault="00FF762C" w:rsidP="00FF762C">
      <w:pPr>
        <w:spacing w:line="360" w:lineRule="auto"/>
        <w:ind w:left="1134" w:right="900"/>
        <w:contextualSpacing/>
        <w:jc w:val="both"/>
        <w:rPr>
          <w:rFonts w:ascii="Palatino Linotype" w:hAnsi="Palatino Linotype"/>
          <w:i/>
          <w:sz w:val="22"/>
          <w:lang w:val="es-ES"/>
        </w:rPr>
      </w:pPr>
      <w:r w:rsidRPr="005212F0">
        <w:rPr>
          <w:rFonts w:ascii="Palatino Linotype" w:hAnsi="Palatino Linotype"/>
          <w:i/>
          <w:sz w:val="22"/>
          <w:lang w:val="es-ES"/>
        </w:rPr>
        <w:t>VI. Efectuar las notificaciones a los solicitantes;</w:t>
      </w:r>
    </w:p>
    <w:p w14:paraId="27C58111" w14:textId="77777777" w:rsidR="00FF762C" w:rsidRPr="005212F0" w:rsidRDefault="00FF762C" w:rsidP="00FF762C">
      <w:pPr>
        <w:spacing w:line="360" w:lineRule="auto"/>
        <w:ind w:left="1134" w:right="900"/>
        <w:contextualSpacing/>
        <w:jc w:val="both"/>
        <w:rPr>
          <w:rFonts w:ascii="Palatino Linotype" w:hAnsi="Palatino Linotype"/>
          <w:i/>
          <w:sz w:val="22"/>
          <w:lang w:val="es-ES"/>
        </w:rPr>
      </w:pPr>
      <w:r w:rsidRPr="005212F0">
        <w:rPr>
          <w:rFonts w:ascii="Palatino Linotype" w:hAnsi="Palatino Linotype"/>
          <w:i/>
          <w:sz w:val="22"/>
          <w:lang w:val="es-ES"/>
        </w:rPr>
        <w:t>VII. Proponer al Comité de Transparencia, los procedimientos internos que aseguren la mayor eficiencia en la gestión de las solicitudes de acceso a la información, conforme a la normatividad aplicable;</w:t>
      </w:r>
    </w:p>
    <w:p w14:paraId="5EF5233E" w14:textId="77777777" w:rsidR="00FF762C" w:rsidRPr="005212F0" w:rsidRDefault="00FF762C" w:rsidP="00FF762C">
      <w:pPr>
        <w:spacing w:line="360" w:lineRule="auto"/>
        <w:ind w:left="1134" w:right="900"/>
        <w:contextualSpacing/>
        <w:jc w:val="both"/>
        <w:rPr>
          <w:rFonts w:ascii="Palatino Linotype" w:hAnsi="Palatino Linotype"/>
          <w:i/>
          <w:sz w:val="22"/>
          <w:lang w:val="es-ES"/>
        </w:rPr>
      </w:pPr>
      <w:r w:rsidRPr="005212F0">
        <w:rPr>
          <w:rFonts w:ascii="Palatino Linotype" w:hAnsi="Palatino Linotype"/>
          <w:i/>
          <w:sz w:val="22"/>
          <w:lang w:val="es-ES"/>
        </w:rPr>
        <w:t>VIII. Proponer a quien preside el Comité de Transparencia, personal habilitado que sea necesario para recibir y dar trámite a las solicitudes de acceso a la información;</w:t>
      </w:r>
    </w:p>
    <w:p w14:paraId="7D55F8F5" w14:textId="77777777" w:rsidR="00FF762C" w:rsidRPr="005212F0" w:rsidRDefault="00FF762C" w:rsidP="00FF762C">
      <w:pPr>
        <w:spacing w:line="360" w:lineRule="auto"/>
        <w:ind w:left="1134" w:right="900"/>
        <w:contextualSpacing/>
        <w:jc w:val="both"/>
        <w:rPr>
          <w:rFonts w:ascii="Palatino Linotype" w:hAnsi="Palatino Linotype"/>
          <w:i/>
          <w:sz w:val="22"/>
          <w:lang w:val="es-ES"/>
        </w:rPr>
      </w:pPr>
      <w:r w:rsidRPr="005212F0">
        <w:rPr>
          <w:rFonts w:ascii="Palatino Linotype" w:hAnsi="Palatino Linotype"/>
          <w:i/>
          <w:sz w:val="22"/>
          <w:lang w:val="es-ES"/>
        </w:rPr>
        <w:t>IX. Llevar un registro de las solicitudes de acceso a la información, sus respuestas, resultados, costos de reproducción y envío, resolución a los recursos de revisión que se hayan emitido en contra de sus respuestas y del cumplimiento de las mismas;</w:t>
      </w:r>
    </w:p>
    <w:p w14:paraId="663CBD5F" w14:textId="77777777" w:rsidR="00FF762C" w:rsidRPr="005212F0" w:rsidRDefault="00FF762C" w:rsidP="00FF762C">
      <w:pPr>
        <w:spacing w:line="360" w:lineRule="auto"/>
        <w:ind w:left="1134" w:right="900"/>
        <w:contextualSpacing/>
        <w:jc w:val="both"/>
        <w:rPr>
          <w:rFonts w:ascii="Palatino Linotype" w:hAnsi="Palatino Linotype"/>
          <w:i/>
          <w:sz w:val="22"/>
          <w:lang w:val="es-ES"/>
        </w:rPr>
      </w:pPr>
      <w:r w:rsidRPr="005212F0">
        <w:rPr>
          <w:rFonts w:ascii="Palatino Linotype" w:hAnsi="Palatino Linotype"/>
          <w:i/>
          <w:sz w:val="22"/>
          <w:lang w:val="es-ES"/>
        </w:rPr>
        <w:t>X. Presentar ante el Comité, el proyecto de clasificación de información;</w:t>
      </w:r>
    </w:p>
    <w:p w14:paraId="4339D4C8" w14:textId="77777777" w:rsidR="00FF762C" w:rsidRPr="005212F0" w:rsidRDefault="00FF762C" w:rsidP="00FF762C">
      <w:pPr>
        <w:spacing w:line="360" w:lineRule="auto"/>
        <w:ind w:left="1134" w:right="900"/>
        <w:contextualSpacing/>
        <w:jc w:val="both"/>
        <w:rPr>
          <w:rFonts w:ascii="Palatino Linotype" w:hAnsi="Palatino Linotype"/>
          <w:i/>
          <w:sz w:val="22"/>
          <w:lang w:val="es-ES"/>
        </w:rPr>
      </w:pPr>
      <w:r w:rsidRPr="005212F0">
        <w:rPr>
          <w:rFonts w:ascii="Palatino Linotype" w:hAnsi="Palatino Linotype"/>
          <w:i/>
          <w:sz w:val="22"/>
          <w:lang w:val="es-ES"/>
        </w:rPr>
        <w:t>XI. Promover e implementar políticas de transparencia proactiva procurando su accesibilidad;</w:t>
      </w:r>
    </w:p>
    <w:p w14:paraId="1CA4CC62" w14:textId="77777777" w:rsidR="00FF762C" w:rsidRPr="005212F0" w:rsidRDefault="00FF762C" w:rsidP="00FF762C">
      <w:pPr>
        <w:spacing w:line="360" w:lineRule="auto"/>
        <w:ind w:left="1134" w:right="900"/>
        <w:contextualSpacing/>
        <w:jc w:val="both"/>
        <w:rPr>
          <w:rFonts w:ascii="Palatino Linotype" w:hAnsi="Palatino Linotype"/>
          <w:i/>
          <w:sz w:val="22"/>
          <w:lang w:val="es-ES"/>
        </w:rPr>
      </w:pPr>
      <w:r w:rsidRPr="005212F0">
        <w:rPr>
          <w:rFonts w:ascii="Palatino Linotype" w:hAnsi="Palatino Linotype"/>
          <w:i/>
          <w:sz w:val="22"/>
          <w:lang w:val="es-ES"/>
        </w:rPr>
        <w:t>XII. Fomentar la transparencia y accesibilidad al interior del sujeto obligado;</w:t>
      </w:r>
    </w:p>
    <w:p w14:paraId="79418944" w14:textId="77777777" w:rsidR="00FF762C" w:rsidRPr="005212F0" w:rsidRDefault="00FF762C" w:rsidP="00FF762C">
      <w:pPr>
        <w:spacing w:line="360" w:lineRule="auto"/>
        <w:ind w:left="1134" w:right="900"/>
        <w:contextualSpacing/>
        <w:jc w:val="both"/>
        <w:rPr>
          <w:rFonts w:ascii="Palatino Linotype" w:hAnsi="Palatino Linotype"/>
          <w:i/>
          <w:sz w:val="22"/>
          <w:lang w:val="es-ES"/>
        </w:rPr>
      </w:pPr>
      <w:r w:rsidRPr="005212F0">
        <w:rPr>
          <w:rFonts w:ascii="Palatino Linotype" w:hAnsi="Palatino Linotype"/>
          <w:i/>
          <w:sz w:val="22"/>
          <w:lang w:val="es-ES"/>
        </w:rPr>
        <w:t>XIII. Hacer del conocimiento de la instancia competente la probable responsabilidad por el incumplimiento de las obligaciones previstas en la presente Ley; y</w:t>
      </w:r>
    </w:p>
    <w:p w14:paraId="623BE259" w14:textId="77777777" w:rsidR="00FF762C" w:rsidRPr="005212F0" w:rsidRDefault="00FF762C" w:rsidP="00FF762C">
      <w:pPr>
        <w:spacing w:line="360" w:lineRule="auto"/>
        <w:ind w:left="1134" w:right="900"/>
        <w:contextualSpacing/>
        <w:jc w:val="both"/>
        <w:rPr>
          <w:rFonts w:ascii="Palatino Linotype" w:hAnsi="Palatino Linotype"/>
          <w:i/>
          <w:sz w:val="22"/>
          <w:lang w:val="es-ES"/>
        </w:rPr>
      </w:pPr>
      <w:r w:rsidRPr="005212F0">
        <w:rPr>
          <w:rFonts w:ascii="Palatino Linotype" w:hAnsi="Palatino Linotype"/>
          <w:i/>
          <w:sz w:val="22"/>
          <w:lang w:val="es-ES"/>
        </w:rPr>
        <w:t>XIV. Las demás que resulten necesarias para facilitar el acceso a la información y aquellas que se desprenden de la presente Ley y demás disposiciones jurídicas aplicables.</w:t>
      </w:r>
    </w:p>
    <w:p w14:paraId="2E6758DC" w14:textId="77777777" w:rsidR="00FF762C" w:rsidRPr="005212F0" w:rsidRDefault="00FF762C" w:rsidP="00FF762C">
      <w:pPr>
        <w:spacing w:line="360" w:lineRule="auto"/>
        <w:ind w:left="1134" w:right="900"/>
        <w:contextualSpacing/>
        <w:jc w:val="both"/>
        <w:rPr>
          <w:rFonts w:ascii="Palatino Linotype" w:hAnsi="Palatino Linotype"/>
          <w:i/>
          <w:sz w:val="22"/>
          <w:lang w:val="es-ES"/>
        </w:rPr>
      </w:pPr>
      <w:r w:rsidRPr="005212F0">
        <w:rPr>
          <w:rFonts w:ascii="Palatino Linotype" w:hAnsi="Palatino Linotype"/>
          <w:i/>
          <w:sz w:val="22"/>
          <w:lang w:val="es-ES"/>
        </w:rPr>
        <w:t>Los sujetos obligados promoverán acuerdos con instituciones públicas especializadas que pudieran auxiliarse a entregar las respuestas a solicitudes de información, en la lengua indígena, braille o cualquier formato accesible correspondiente, en forma más eficiente.</w:t>
      </w:r>
    </w:p>
    <w:p w14:paraId="4DC8B24F" w14:textId="77777777" w:rsidR="00FF762C" w:rsidRPr="005212F0" w:rsidRDefault="00FF762C" w:rsidP="00FF762C">
      <w:pPr>
        <w:spacing w:line="360" w:lineRule="auto"/>
        <w:ind w:left="1134" w:right="900"/>
        <w:contextualSpacing/>
        <w:jc w:val="both"/>
        <w:rPr>
          <w:rFonts w:ascii="Palatino Linotype" w:hAnsi="Palatino Linotype"/>
          <w:i/>
          <w:sz w:val="22"/>
          <w:lang w:val="es-ES"/>
        </w:rPr>
      </w:pPr>
      <w:r w:rsidRPr="005212F0">
        <w:rPr>
          <w:rFonts w:ascii="Palatino Linotype" w:hAnsi="Palatino Linotype"/>
          <w:i/>
          <w:sz w:val="22"/>
          <w:lang w:val="es-ES"/>
        </w:rPr>
        <w:lastRenderedPageBreak/>
        <w:t>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w:t>
      </w:r>
    </w:p>
    <w:p w14:paraId="276D57FE" w14:textId="77777777" w:rsidR="00FF762C" w:rsidRPr="005212F0" w:rsidRDefault="00FF762C" w:rsidP="00FF762C">
      <w:pPr>
        <w:spacing w:line="360" w:lineRule="auto"/>
        <w:ind w:left="1134" w:right="900"/>
        <w:contextualSpacing/>
        <w:jc w:val="both"/>
        <w:rPr>
          <w:rFonts w:ascii="Palatino Linotype" w:hAnsi="Palatino Linotype"/>
          <w:i/>
          <w:sz w:val="22"/>
          <w:lang w:val="es-ES"/>
        </w:rPr>
      </w:pPr>
    </w:p>
    <w:p w14:paraId="28D57634" w14:textId="77777777" w:rsidR="00FF762C" w:rsidRPr="005212F0" w:rsidRDefault="00FF762C" w:rsidP="00FF762C">
      <w:pPr>
        <w:spacing w:line="360" w:lineRule="auto"/>
        <w:ind w:left="1134" w:right="900"/>
        <w:contextualSpacing/>
        <w:jc w:val="both"/>
        <w:rPr>
          <w:rFonts w:ascii="Palatino Linotype" w:hAnsi="Palatino Linotype"/>
          <w:i/>
          <w:sz w:val="22"/>
          <w:lang w:val="es-ES"/>
        </w:rPr>
      </w:pPr>
      <w:r w:rsidRPr="005212F0">
        <w:rPr>
          <w:rFonts w:ascii="Palatino Linotype" w:hAnsi="Palatino Linotype"/>
          <w:b/>
          <w:i/>
          <w:sz w:val="22"/>
          <w:lang w:val="es-ES"/>
        </w:rPr>
        <w:t>Artículo 59</w:t>
      </w:r>
      <w:r w:rsidRPr="005212F0">
        <w:rPr>
          <w:rFonts w:ascii="Palatino Linotype" w:hAnsi="Palatino Linotype"/>
          <w:i/>
          <w:sz w:val="22"/>
          <w:lang w:val="es-ES"/>
        </w:rPr>
        <w:t xml:space="preserve">. </w:t>
      </w:r>
      <w:r w:rsidRPr="005212F0">
        <w:rPr>
          <w:rFonts w:ascii="Palatino Linotype" w:hAnsi="Palatino Linotype"/>
          <w:b/>
          <w:i/>
          <w:sz w:val="22"/>
          <w:lang w:val="es-ES"/>
        </w:rPr>
        <w:t>Los servidores públicos habilitados</w:t>
      </w:r>
      <w:r w:rsidRPr="005212F0">
        <w:rPr>
          <w:rFonts w:ascii="Palatino Linotype" w:hAnsi="Palatino Linotype"/>
          <w:i/>
          <w:sz w:val="22"/>
          <w:lang w:val="es-ES"/>
        </w:rPr>
        <w:t xml:space="preserve"> tendrán las funciones siguientes:</w:t>
      </w:r>
    </w:p>
    <w:p w14:paraId="202474F2" w14:textId="77777777" w:rsidR="00FF762C" w:rsidRPr="005212F0" w:rsidRDefault="00FF762C" w:rsidP="00FF762C">
      <w:pPr>
        <w:spacing w:line="360" w:lineRule="auto"/>
        <w:ind w:left="1134" w:right="900"/>
        <w:contextualSpacing/>
        <w:jc w:val="both"/>
        <w:rPr>
          <w:rFonts w:ascii="Palatino Linotype" w:hAnsi="Palatino Linotype"/>
          <w:i/>
          <w:sz w:val="22"/>
          <w:lang w:val="es-ES"/>
        </w:rPr>
      </w:pPr>
      <w:r w:rsidRPr="005212F0">
        <w:rPr>
          <w:rFonts w:ascii="Palatino Linotype" w:hAnsi="Palatino Linotype"/>
          <w:i/>
          <w:sz w:val="22"/>
          <w:lang w:val="es-ES"/>
        </w:rPr>
        <w:t>I. Localizar la información que le solicite la Unidad de Transparencia;</w:t>
      </w:r>
    </w:p>
    <w:p w14:paraId="31A72967" w14:textId="77777777" w:rsidR="00FF762C" w:rsidRPr="005212F0" w:rsidRDefault="00FF762C" w:rsidP="00FF762C">
      <w:pPr>
        <w:spacing w:line="360" w:lineRule="auto"/>
        <w:ind w:left="1134" w:right="900"/>
        <w:contextualSpacing/>
        <w:jc w:val="both"/>
        <w:rPr>
          <w:rFonts w:ascii="Palatino Linotype" w:hAnsi="Palatino Linotype"/>
          <w:i/>
          <w:sz w:val="22"/>
          <w:lang w:val="es-ES"/>
        </w:rPr>
      </w:pPr>
      <w:r w:rsidRPr="005212F0">
        <w:rPr>
          <w:rFonts w:ascii="Palatino Linotype" w:hAnsi="Palatino Linotype"/>
          <w:i/>
          <w:sz w:val="22"/>
          <w:lang w:val="es-ES"/>
        </w:rPr>
        <w:t>II. Proporcionar la información que obre en los archivos y que le sea solicitada por la Unidad de Transparencia;</w:t>
      </w:r>
    </w:p>
    <w:p w14:paraId="74EC24D0" w14:textId="77777777" w:rsidR="00FF762C" w:rsidRPr="005212F0" w:rsidRDefault="00FF762C" w:rsidP="00FF762C">
      <w:pPr>
        <w:spacing w:line="360" w:lineRule="auto"/>
        <w:ind w:left="1134" w:right="900"/>
        <w:contextualSpacing/>
        <w:jc w:val="both"/>
        <w:rPr>
          <w:rFonts w:ascii="Palatino Linotype" w:hAnsi="Palatino Linotype"/>
          <w:i/>
          <w:sz w:val="22"/>
          <w:lang w:val="es-ES"/>
        </w:rPr>
      </w:pPr>
      <w:r w:rsidRPr="005212F0">
        <w:rPr>
          <w:rFonts w:ascii="Palatino Linotype" w:hAnsi="Palatino Linotype"/>
          <w:i/>
          <w:sz w:val="22"/>
          <w:lang w:val="es-ES"/>
        </w:rPr>
        <w:t>III. Apoyar a la Unidad de Transparencia en lo que esta le solicite para el cumplimiento de sus funciones;</w:t>
      </w:r>
    </w:p>
    <w:p w14:paraId="224D3BF2" w14:textId="77777777" w:rsidR="00FF762C" w:rsidRPr="005212F0" w:rsidRDefault="00FF762C" w:rsidP="00FF762C">
      <w:pPr>
        <w:spacing w:line="360" w:lineRule="auto"/>
        <w:ind w:left="1134" w:right="900"/>
        <w:contextualSpacing/>
        <w:jc w:val="both"/>
        <w:rPr>
          <w:rFonts w:ascii="Palatino Linotype" w:hAnsi="Palatino Linotype"/>
          <w:i/>
          <w:sz w:val="22"/>
          <w:lang w:val="es-ES"/>
        </w:rPr>
      </w:pPr>
      <w:r w:rsidRPr="005212F0">
        <w:rPr>
          <w:rFonts w:ascii="Palatino Linotype" w:hAnsi="Palatino Linotype"/>
          <w:i/>
          <w:sz w:val="22"/>
          <w:lang w:val="es-ES"/>
        </w:rPr>
        <w:t>IV. Proporcionar a la Unidad de Transparencia, las modificaciones a la información pública de oficio que obre en su poder;</w:t>
      </w:r>
    </w:p>
    <w:p w14:paraId="08017A79" w14:textId="77777777" w:rsidR="00FF762C" w:rsidRPr="005212F0" w:rsidRDefault="00FF762C" w:rsidP="00FF762C">
      <w:pPr>
        <w:spacing w:line="360" w:lineRule="auto"/>
        <w:ind w:left="1134" w:right="900"/>
        <w:contextualSpacing/>
        <w:jc w:val="both"/>
        <w:rPr>
          <w:rFonts w:ascii="Palatino Linotype" w:hAnsi="Palatino Linotype"/>
          <w:i/>
          <w:sz w:val="22"/>
          <w:lang w:val="es-ES"/>
        </w:rPr>
      </w:pPr>
      <w:r w:rsidRPr="005212F0">
        <w:rPr>
          <w:rFonts w:ascii="Palatino Linotype" w:hAnsi="Palatino Linotype"/>
          <w:i/>
          <w:sz w:val="22"/>
          <w:lang w:val="es-ES"/>
        </w:rPr>
        <w:t>V. Integrar y presentar al responsable de la Unidad de Transparencia la propuesta de clasificación de información, la cual tendrá los fundamentos y argumentos en que se basa dicha propuesta;</w:t>
      </w:r>
    </w:p>
    <w:p w14:paraId="3BC43957" w14:textId="77777777" w:rsidR="00FF762C" w:rsidRPr="005212F0" w:rsidRDefault="00FF762C" w:rsidP="00FF762C">
      <w:pPr>
        <w:spacing w:line="360" w:lineRule="auto"/>
        <w:ind w:left="1134" w:right="900"/>
        <w:contextualSpacing/>
        <w:jc w:val="both"/>
        <w:rPr>
          <w:rFonts w:ascii="Palatino Linotype" w:hAnsi="Palatino Linotype"/>
          <w:i/>
          <w:sz w:val="22"/>
          <w:lang w:val="es-ES"/>
        </w:rPr>
      </w:pPr>
      <w:r w:rsidRPr="005212F0">
        <w:rPr>
          <w:rFonts w:ascii="Palatino Linotype" w:hAnsi="Palatino Linotype"/>
          <w:i/>
          <w:sz w:val="22"/>
          <w:lang w:val="es-ES"/>
        </w:rPr>
        <w:t>VI. Verificar, una vez analizado el contenido de la información, que no se encuentre en los supuestos de información clasificada; y</w:t>
      </w:r>
    </w:p>
    <w:p w14:paraId="71D8A016" w14:textId="77777777" w:rsidR="00FF762C" w:rsidRPr="005212F0" w:rsidRDefault="00FF762C" w:rsidP="00FF762C">
      <w:pPr>
        <w:spacing w:line="360" w:lineRule="auto"/>
        <w:ind w:left="1134" w:right="900"/>
        <w:contextualSpacing/>
        <w:jc w:val="both"/>
        <w:rPr>
          <w:rFonts w:ascii="Palatino Linotype" w:hAnsi="Palatino Linotype"/>
          <w:i/>
          <w:sz w:val="22"/>
          <w:lang w:val="es-ES"/>
        </w:rPr>
      </w:pPr>
      <w:r w:rsidRPr="005212F0">
        <w:rPr>
          <w:rFonts w:ascii="Palatino Linotype" w:hAnsi="Palatino Linotype"/>
          <w:i/>
          <w:sz w:val="22"/>
          <w:lang w:val="es-ES"/>
        </w:rPr>
        <w:t>VII. Dar cuenta a la Unidad de Transparencia del vencimiento de los plazos de reserva.</w:t>
      </w:r>
    </w:p>
    <w:p w14:paraId="088C993C" w14:textId="77777777" w:rsidR="00FF762C" w:rsidRPr="005212F0" w:rsidRDefault="00FF762C" w:rsidP="00FF762C">
      <w:pPr>
        <w:spacing w:line="360" w:lineRule="auto"/>
        <w:ind w:left="1134" w:right="900"/>
        <w:contextualSpacing/>
        <w:jc w:val="both"/>
        <w:rPr>
          <w:rFonts w:ascii="Palatino Linotype" w:hAnsi="Palatino Linotype"/>
          <w:i/>
          <w:sz w:val="22"/>
          <w:lang w:val="es-ES"/>
        </w:rPr>
      </w:pPr>
      <w:r w:rsidRPr="005212F0">
        <w:rPr>
          <w:rFonts w:ascii="Palatino Linotype" w:hAnsi="Palatino Linotype"/>
          <w:b/>
          <w:i/>
          <w:sz w:val="22"/>
          <w:lang w:val="es-ES"/>
        </w:rPr>
        <w:lastRenderedPageBreak/>
        <w:t>Artículo 162</w:t>
      </w:r>
      <w:r w:rsidRPr="005212F0">
        <w:rPr>
          <w:rFonts w:ascii="Palatino Linotype" w:hAnsi="Palatino Linotype"/>
          <w:i/>
          <w:sz w:val="22"/>
          <w:lang w:val="es-ES"/>
        </w:rPr>
        <w:t>.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14DF3A83" w14:textId="77777777" w:rsidR="00FF762C" w:rsidRPr="005212F0" w:rsidRDefault="00FF762C" w:rsidP="00FF762C">
      <w:pPr>
        <w:spacing w:line="360" w:lineRule="auto"/>
        <w:ind w:left="1134" w:right="900"/>
        <w:contextualSpacing/>
        <w:jc w:val="both"/>
        <w:rPr>
          <w:rFonts w:ascii="Palatino Linotype" w:hAnsi="Palatino Linotype"/>
          <w:i/>
          <w:lang w:val="es-ES"/>
        </w:rPr>
      </w:pPr>
    </w:p>
    <w:p w14:paraId="52D47168" w14:textId="77777777" w:rsidR="00FF762C" w:rsidRPr="005212F0" w:rsidRDefault="00FF762C" w:rsidP="00FF762C">
      <w:pPr>
        <w:numPr>
          <w:ilvl w:val="0"/>
          <w:numId w:val="9"/>
        </w:numPr>
        <w:spacing w:line="360" w:lineRule="auto"/>
        <w:ind w:left="0" w:firstLine="0"/>
        <w:jc w:val="both"/>
        <w:rPr>
          <w:rFonts w:ascii="Palatino Linotype" w:eastAsia="Palatino Linotype" w:hAnsi="Palatino Linotype" w:cs="Palatino Linotype"/>
          <w:color w:val="000000"/>
        </w:rPr>
      </w:pPr>
      <w:r w:rsidRPr="005212F0">
        <w:rPr>
          <w:rFonts w:ascii="Palatino Linotype" w:eastAsia="Palatino Linotype" w:hAnsi="Palatino Linotype" w:cs="Palatino Linotype"/>
          <w:color w:val="000000"/>
        </w:rPr>
        <w:t>De la normatividad en cita, se desprende que las Unidades de Transparencia, se erigen como el área responsable en cada Sujeto Obligado que tiene a su cargo la atención de las solicitudes de información que se realicen al amparo de la Ley. El responsable de dicha área funge como enlace entre el SUJETO OBLIGADO y los solicitantes, y tiene bajo su responsabilidad el tramitar internamente la solicitud de información.</w:t>
      </w:r>
    </w:p>
    <w:p w14:paraId="3B0F7700" w14:textId="77777777" w:rsidR="00FF762C" w:rsidRPr="005212F0" w:rsidRDefault="00FF762C" w:rsidP="00FF762C">
      <w:pPr>
        <w:spacing w:line="360" w:lineRule="auto"/>
        <w:jc w:val="both"/>
        <w:rPr>
          <w:rFonts w:ascii="Palatino Linotype" w:eastAsia="Palatino Linotype" w:hAnsi="Palatino Linotype" w:cs="Palatino Linotype"/>
          <w:color w:val="000000"/>
        </w:rPr>
      </w:pPr>
    </w:p>
    <w:p w14:paraId="5B551B22" w14:textId="77777777" w:rsidR="00FF762C" w:rsidRPr="005212F0" w:rsidRDefault="00FF762C" w:rsidP="00FF762C">
      <w:pPr>
        <w:numPr>
          <w:ilvl w:val="0"/>
          <w:numId w:val="9"/>
        </w:numPr>
        <w:spacing w:line="360" w:lineRule="auto"/>
        <w:ind w:left="0" w:firstLine="0"/>
        <w:jc w:val="both"/>
        <w:rPr>
          <w:rFonts w:ascii="Palatino Linotype" w:eastAsia="Palatino Linotype" w:hAnsi="Palatino Linotype" w:cs="Palatino Linotype"/>
          <w:color w:val="000000"/>
        </w:rPr>
      </w:pPr>
      <w:r w:rsidRPr="005212F0">
        <w:rPr>
          <w:rFonts w:ascii="Palatino Linotype" w:eastAsia="Palatino Linotype" w:hAnsi="Palatino Linotype" w:cs="Palatino Linotype"/>
          <w:color w:val="000000"/>
        </w:rPr>
        <w:t>De tal manera que, si bien, el Titular de la Unidad de Transparencia dio respuesta a la solicitud de información en cuestión, tenía que haber realizado el procedimiento, de turnar dentro de las áreas que conforman la estructura del Sujeto Obligado, a fin de que el responsable del área diera respuesta a la misma, tal y como lo marca la normatividad invocada, es por ello que debe turnar la solicitud a todas las áreas que y que pudieran generar, administrar o poseer la información requerida por el particular; pues los mismos, tienen como función, buscar, localizar y poseer la información, así como entregarla.</w:t>
      </w:r>
    </w:p>
    <w:p w14:paraId="6AFEC2E9" w14:textId="77777777" w:rsidR="00FF762C" w:rsidRPr="005212F0" w:rsidRDefault="00FF762C" w:rsidP="00FF762C">
      <w:pPr>
        <w:spacing w:line="360" w:lineRule="auto"/>
        <w:jc w:val="both"/>
        <w:rPr>
          <w:rFonts w:ascii="Palatino Linotype" w:eastAsia="Palatino Linotype" w:hAnsi="Palatino Linotype" w:cs="Palatino Linotype"/>
          <w:color w:val="000000"/>
        </w:rPr>
      </w:pPr>
    </w:p>
    <w:p w14:paraId="4A88637F" w14:textId="77777777" w:rsidR="00FF762C" w:rsidRPr="005212F0" w:rsidRDefault="00FF762C" w:rsidP="00FF762C">
      <w:pPr>
        <w:numPr>
          <w:ilvl w:val="0"/>
          <w:numId w:val="9"/>
        </w:numPr>
        <w:spacing w:line="360" w:lineRule="auto"/>
        <w:ind w:left="0" w:firstLine="0"/>
        <w:jc w:val="both"/>
        <w:rPr>
          <w:rFonts w:ascii="Palatino Linotype" w:eastAsia="Palatino Linotype" w:hAnsi="Palatino Linotype" w:cs="Palatino Linotype"/>
          <w:color w:val="000000"/>
        </w:rPr>
      </w:pPr>
      <w:r w:rsidRPr="005212F0">
        <w:rPr>
          <w:rFonts w:ascii="Palatino Linotype" w:eastAsia="Palatino Linotype" w:hAnsi="Palatino Linotype" w:cs="Palatino Linotype"/>
          <w:color w:val="000000"/>
        </w:rPr>
        <w:t xml:space="preserve">Es por ello, que corresponde a la Titular de la Unidad de Transparencia el garantizar que las solicitudes se turnen a todas las áreas competentes que puedan </w:t>
      </w:r>
      <w:r w:rsidRPr="005212F0">
        <w:rPr>
          <w:rFonts w:ascii="Palatino Linotype" w:eastAsia="Palatino Linotype" w:hAnsi="Palatino Linotype" w:cs="Palatino Linotype"/>
          <w:color w:val="000000"/>
        </w:rPr>
        <w:lastRenderedPageBreak/>
        <w:t>contar con la información, con el objeto de que se realice una búsqueda exhaustiva y razonable de la misma.</w:t>
      </w:r>
    </w:p>
    <w:p w14:paraId="6D5DECE7" w14:textId="77777777" w:rsidR="00FF762C" w:rsidRPr="005212F0" w:rsidRDefault="00FF762C" w:rsidP="00FF762C">
      <w:pPr>
        <w:spacing w:line="360" w:lineRule="auto"/>
        <w:jc w:val="both"/>
        <w:rPr>
          <w:rFonts w:ascii="Palatino Linotype" w:eastAsia="Palatino Linotype" w:hAnsi="Palatino Linotype" w:cs="Palatino Linotype"/>
          <w:color w:val="000000"/>
        </w:rPr>
      </w:pPr>
    </w:p>
    <w:p w14:paraId="47565E17" w14:textId="77777777" w:rsidR="00FF762C" w:rsidRPr="005212F0" w:rsidRDefault="00FF762C" w:rsidP="00FF762C">
      <w:pPr>
        <w:numPr>
          <w:ilvl w:val="0"/>
          <w:numId w:val="9"/>
        </w:numPr>
        <w:spacing w:line="360" w:lineRule="auto"/>
        <w:ind w:left="0" w:firstLine="0"/>
        <w:jc w:val="both"/>
        <w:rPr>
          <w:rFonts w:ascii="Palatino Linotype" w:eastAsia="Palatino Linotype" w:hAnsi="Palatino Linotype" w:cs="Palatino Linotype"/>
          <w:color w:val="000000"/>
        </w:rPr>
      </w:pPr>
      <w:r w:rsidRPr="005212F0">
        <w:rPr>
          <w:rFonts w:ascii="Palatino Linotype" w:eastAsia="Palatino Linotype" w:hAnsi="Palatino Linotype" w:cs="Palatino Linotype"/>
          <w:color w:val="000000"/>
        </w:rPr>
        <w:t>De lo anterior, es de precisar que la información que resulta de interés para el particular obra en los archivos del SUJETO OBLIGADO y por lo tanto debe proceder a realizar una búsqueda exhaustiva a efecto de proporcionar los documentos donde obre la misma de tal forma que cumpla con los requisitos de la Ley en la materia.</w:t>
      </w:r>
    </w:p>
    <w:p w14:paraId="57648214" w14:textId="77777777" w:rsidR="00FF762C" w:rsidRPr="005212F0" w:rsidRDefault="00FF762C" w:rsidP="00FF762C">
      <w:pPr>
        <w:spacing w:line="360" w:lineRule="auto"/>
        <w:jc w:val="both"/>
        <w:rPr>
          <w:rFonts w:ascii="Palatino Linotype" w:eastAsia="Palatino Linotype" w:hAnsi="Palatino Linotype" w:cs="Palatino Linotype"/>
          <w:color w:val="000000"/>
        </w:rPr>
      </w:pPr>
    </w:p>
    <w:p w14:paraId="45DF1E6B" w14:textId="77777777" w:rsidR="00FF762C" w:rsidRPr="005212F0" w:rsidRDefault="00FF762C" w:rsidP="00FF762C">
      <w:pPr>
        <w:numPr>
          <w:ilvl w:val="0"/>
          <w:numId w:val="9"/>
        </w:numPr>
        <w:spacing w:line="360" w:lineRule="auto"/>
        <w:ind w:left="0" w:firstLine="0"/>
        <w:jc w:val="both"/>
        <w:rPr>
          <w:rFonts w:ascii="Palatino Linotype" w:eastAsia="Palatino Linotype" w:hAnsi="Palatino Linotype" w:cs="Palatino Linotype"/>
          <w:color w:val="000000"/>
        </w:rPr>
      </w:pPr>
      <w:r w:rsidRPr="005212F0">
        <w:rPr>
          <w:rFonts w:ascii="Palatino Linotype" w:eastAsia="Palatino Linotype" w:hAnsi="Palatino Linotype" w:cs="Palatino Linotype"/>
          <w:color w:val="000000"/>
        </w:rPr>
        <w:t>Conforme a lo anterior, se puede advertir que el SUJETO OBLIGADO no turnó la solicitud de información a las diversas unidades administrativas con las que cuenta, por lo que se concluye, que el Sujeto Obligado incumplió con el procedimiento de búsqueda establecido en el artículo 162 de la Ley de Transparencia y Acceso a la Información Pública del Estado de México y Municipios, por lo que no se acreditó que la búsqueda fuera exhaustiva y razonable; para lograr dicha situación, en principio, resulta necesario determinar, que es una investigación con esas características.</w:t>
      </w:r>
    </w:p>
    <w:p w14:paraId="1B9ED0F4" w14:textId="77777777" w:rsidR="00FF762C" w:rsidRPr="005212F0" w:rsidRDefault="00FF762C" w:rsidP="00FF762C">
      <w:pPr>
        <w:spacing w:line="360" w:lineRule="auto"/>
        <w:jc w:val="both"/>
        <w:rPr>
          <w:rFonts w:ascii="Palatino Linotype" w:eastAsia="Palatino Linotype" w:hAnsi="Palatino Linotype" w:cs="Palatino Linotype"/>
          <w:color w:val="000000"/>
        </w:rPr>
      </w:pPr>
    </w:p>
    <w:p w14:paraId="36C2F190" w14:textId="77777777" w:rsidR="00FF762C" w:rsidRPr="005212F0" w:rsidRDefault="00FF762C" w:rsidP="00FF762C">
      <w:pPr>
        <w:numPr>
          <w:ilvl w:val="0"/>
          <w:numId w:val="9"/>
        </w:numPr>
        <w:spacing w:line="360" w:lineRule="auto"/>
        <w:ind w:left="0" w:firstLine="0"/>
        <w:jc w:val="both"/>
        <w:rPr>
          <w:rFonts w:ascii="Palatino Linotype" w:eastAsia="Palatino Linotype" w:hAnsi="Palatino Linotype" w:cs="Palatino Linotype"/>
          <w:color w:val="000000"/>
        </w:rPr>
      </w:pPr>
      <w:r w:rsidRPr="005212F0">
        <w:rPr>
          <w:rFonts w:ascii="Palatino Linotype" w:eastAsia="Palatino Linotype" w:hAnsi="Palatino Linotype" w:cs="Palatino Linotype"/>
          <w:color w:val="000000"/>
        </w:rPr>
        <w:t>Aunado a lo expuesto, para poder acreditar el carácter exhaustivo de la búsqueda realizada por los Sujetos Obligados, se deben motivar las razones por las que se buscó la información en determinadas áreas, los criterios de búsqueda utilizados y demás circunstancias que fueron tomadas en cuenta.</w:t>
      </w:r>
    </w:p>
    <w:p w14:paraId="6FBA01BE" w14:textId="77777777" w:rsidR="00FF762C" w:rsidRPr="005212F0" w:rsidRDefault="00FF762C" w:rsidP="00FF762C">
      <w:pPr>
        <w:spacing w:line="360" w:lineRule="auto"/>
        <w:jc w:val="both"/>
        <w:rPr>
          <w:rFonts w:ascii="Palatino Linotype" w:eastAsia="Palatino Linotype" w:hAnsi="Palatino Linotype" w:cs="Palatino Linotype"/>
          <w:color w:val="000000"/>
        </w:rPr>
      </w:pPr>
    </w:p>
    <w:p w14:paraId="4DE1CD75" w14:textId="77777777" w:rsidR="00FF762C" w:rsidRPr="005212F0" w:rsidRDefault="00FF762C" w:rsidP="00FF762C">
      <w:pPr>
        <w:numPr>
          <w:ilvl w:val="0"/>
          <w:numId w:val="9"/>
        </w:numPr>
        <w:spacing w:line="360" w:lineRule="auto"/>
        <w:ind w:left="0" w:firstLine="0"/>
        <w:jc w:val="both"/>
        <w:rPr>
          <w:rFonts w:ascii="Palatino Linotype" w:eastAsia="Palatino Linotype" w:hAnsi="Palatino Linotype" w:cs="Palatino Linotype"/>
          <w:color w:val="000000"/>
        </w:rPr>
      </w:pPr>
      <w:r w:rsidRPr="005212F0">
        <w:rPr>
          <w:rFonts w:ascii="Palatino Linotype" w:eastAsia="Palatino Linotype" w:hAnsi="Palatino Linotype" w:cs="Palatino Linotype"/>
          <w:color w:val="000000"/>
        </w:rPr>
        <w:lastRenderedPageBreak/>
        <w:t>En ese contexto, de conformidad con los criterios 12/10 y 04/19, emitidos por el Instituto Nacional de Transparencia, Acceso a la Información y Protección de Datos Personales, traídos por analogía, se colige que los sujetos obligados para acreditar que se realizó una búsqueda exhaustiva y razonable, deben de proporcionar los elementos suficientes del carácter exhaustivo de la indagación realizada, a saber, los siguientes:</w:t>
      </w:r>
    </w:p>
    <w:p w14:paraId="486BECF2" w14:textId="77777777" w:rsidR="00FF762C" w:rsidRPr="005212F0" w:rsidRDefault="00FF762C" w:rsidP="002F1FFA">
      <w:pPr>
        <w:pStyle w:val="Prrafodelista"/>
        <w:numPr>
          <w:ilvl w:val="0"/>
          <w:numId w:val="14"/>
        </w:numPr>
        <w:spacing w:line="360" w:lineRule="auto"/>
        <w:jc w:val="both"/>
        <w:rPr>
          <w:rFonts w:ascii="Palatino Linotype" w:hAnsi="Palatino Linotype"/>
          <w:sz w:val="22"/>
          <w:lang w:val="es-MX"/>
        </w:rPr>
      </w:pPr>
      <w:r w:rsidRPr="005212F0">
        <w:rPr>
          <w:rFonts w:ascii="Palatino Linotype" w:hAnsi="Palatino Linotype"/>
          <w:sz w:val="22"/>
          <w:lang w:val="es-MX"/>
        </w:rPr>
        <w:t>Motivación por las que se buscó la información, en determinadas unidades administrativas;</w:t>
      </w:r>
    </w:p>
    <w:p w14:paraId="6F6DE6CA" w14:textId="77777777" w:rsidR="00FF762C" w:rsidRPr="005212F0" w:rsidRDefault="00FF762C" w:rsidP="002F1FFA">
      <w:pPr>
        <w:pStyle w:val="Prrafodelista"/>
        <w:numPr>
          <w:ilvl w:val="0"/>
          <w:numId w:val="14"/>
        </w:numPr>
        <w:spacing w:line="360" w:lineRule="auto"/>
        <w:jc w:val="both"/>
        <w:rPr>
          <w:rFonts w:ascii="Palatino Linotype" w:hAnsi="Palatino Linotype"/>
          <w:sz w:val="22"/>
          <w:lang w:val="es-MX"/>
        </w:rPr>
      </w:pPr>
      <w:r w:rsidRPr="005212F0">
        <w:rPr>
          <w:rFonts w:ascii="Palatino Linotype" w:hAnsi="Palatino Linotype"/>
          <w:sz w:val="22"/>
          <w:lang w:val="es-MX"/>
        </w:rPr>
        <w:t>Los criterios de búsqueda utilizados, y</w:t>
      </w:r>
    </w:p>
    <w:p w14:paraId="663BBC48" w14:textId="77777777" w:rsidR="00FF762C" w:rsidRPr="005212F0" w:rsidRDefault="00FF762C" w:rsidP="002F1FFA">
      <w:pPr>
        <w:pStyle w:val="Prrafodelista"/>
        <w:numPr>
          <w:ilvl w:val="0"/>
          <w:numId w:val="14"/>
        </w:numPr>
        <w:spacing w:line="360" w:lineRule="auto"/>
        <w:jc w:val="both"/>
        <w:rPr>
          <w:rFonts w:ascii="Palatino Linotype" w:hAnsi="Palatino Linotype"/>
          <w:sz w:val="22"/>
          <w:lang w:val="es-MX"/>
        </w:rPr>
      </w:pPr>
      <w:r w:rsidRPr="005212F0">
        <w:rPr>
          <w:rFonts w:ascii="Palatino Linotype" w:hAnsi="Palatino Linotype"/>
          <w:sz w:val="22"/>
          <w:lang w:val="es-MX"/>
        </w:rPr>
        <w:t>Las circunstancias que fueron tomadas en cuenta.</w:t>
      </w:r>
    </w:p>
    <w:p w14:paraId="1CB2FB63" w14:textId="77777777" w:rsidR="00FF762C" w:rsidRPr="005212F0" w:rsidRDefault="00FF762C" w:rsidP="00FF762C">
      <w:pPr>
        <w:spacing w:line="360" w:lineRule="auto"/>
        <w:contextualSpacing/>
        <w:jc w:val="both"/>
        <w:rPr>
          <w:rFonts w:ascii="Palatino Linotype" w:hAnsi="Palatino Linotype"/>
          <w:lang w:val="es-MX"/>
        </w:rPr>
      </w:pPr>
    </w:p>
    <w:p w14:paraId="1962C7A7" w14:textId="77777777" w:rsidR="00FF762C" w:rsidRPr="005212F0" w:rsidRDefault="00FF762C" w:rsidP="002F1FFA">
      <w:pPr>
        <w:numPr>
          <w:ilvl w:val="0"/>
          <w:numId w:val="9"/>
        </w:numPr>
        <w:spacing w:line="360" w:lineRule="auto"/>
        <w:ind w:left="0" w:firstLine="0"/>
        <w:jc w:val="both"/>
        <w:rPr>
          <w:rFonts w:ascii="Palatino Linotype" w:eastAsia="Palatino Linotype" w:hAnsi="Palatino Linotype" w:cs="Palatino Linotype"/>
          <w:color w:val="000000"/>
        </w:rPr>
      </w:pPr>
      <w:r w:rsidRPr="005212F0">
        <w:rPr>
          <w:rFonts w:ascii="Palatino Linotype" w:eastAsia="Palatino Linotype" w:hAnsi="Palatino Linotype" w:cs="Palatino Linotype"/>
          <w:color w:val="000000"/>
        </w:rPr>
        <w:t>De tales circunstancias, se considera que para que los Sujetos Obligado justifiquen que realizaron una búsqueda exhaustiva y razonable, deben indicar de manera clara, lo siguiente:</w:t>
      </w:r>
    </w:p>
    <w:p w14:paraId="7D921E77" w14:textId="77777777" w:rsidR="00FF762C" w:rsidRPr="005212F0" w:rsidRDefault="00FF762C" w:rsidP="00FF762C">
      <w:pPr>
        <w:pStyle w:val="Prrafodelista"/>
        <w:numPr>
          <w:ilvl w:val="0"/>
          <w:numId w:val="13"/>
        </w:numPr>
        <w:spacing w:line="360" w:lineRule="auto"/>
        <w:jc w:val="both"/>
        <w:rPr>
          <w:rFonts w:ascii="Palatino Linotype" w:hAnsi="Palatino Linotype"/>
          <w:sz w:val="22"/>
          <w:lang w:val="es-MX"/>
        </w:rPr>
      </w:pPr>
      <w:r w:rsidRPr="005212F0">
        <w:rPr>
          <w:rFonts w:ascii="Palatino Linotype" w:hAnsi="Palatino Linotype"/>
          <w:sz w:val="22"/>
          <w:lang w:val="es-MX"/>
        </w:rPr>
        <w:t>Las áreas donde se buscó la información;</w:t>
      </w:r>
    </w:p>
    <w:p w14:paraId="69A7C266" w14:textId="77777777" w:rsidR="00FF762C" w:rsidRPr="005212F0" w:rsidRDefault="00FF762C" w:rsidP="00FF762C">
      <w:pPr>
        <w:pStyle w:val="Prrafodelista"/>
        <w:numPr>
          <w:ilvl w:val="0"/>
          <w:numId w:val="13"/>
        </w:numPr>
        <w:spacing w:line="360" w:lineRule="auto"/>
        <w:jc w:val="both"/>
        <w:rPr>
          <w:rFonts w:ascii="Palatino Linotype" w:hAnsi="Palatino Linotype"/>
          <w:sz w:val="22"/>
          <w:lang w:val="es-MX"/>
        </w:rPr>
      </w:pPr>
      <w:r w:rsidRPr="005212F0">
        <w:rPr>
          <w:rFonts w:ascii="Palatino Linotype" w:hAnsi="Palatino Linotype"/>
          <w:sz w:val="22"/>
          <w:lang w:val="es-MX"/>
        </w:rPr>
        <w:t>Tipo de archivos buscados (físicos o electrónicos);</w:t>
      </w:r>
    </w:p>
    <w:p w14:paraId="63D9B6F8" w14:textId="77777777" w:rsidR="00FF762C" w:rsidRPr="005212F0" w:rsidRDefault="00FF762C" w:rsidP="00FF762C">
      <w:pPr>
        <w:pStyle w:val="Prrafodelista"/>
        <w:numPr>
          <w:ilvl w:val="0"/>
          <w:numId w:val="13"/>
        </w:numPr>
        <w:spacing w:line="360" w:lineRule="auto"/>
        <w:jc w:val="both"/>
        <w:rPr>
          <w:rFonts w:ascii="Palatino Linotype" w:hAnsi="Palatino Linotype"/>
          <w:sz w:val="22"/>
          <w:lang w:val="es-MX"/>
        </w:rPr>
      </w:pPr>
      <w:r w:rsidRPr="005212F0">
        <w:rPr>
          <w:rFonts w:ascii="Palatino Linotype" w:hAnsi="Palatino Linotype"/>
          <w:sz w:val="22"/>
          <w:lang w:val="es-MX"/>
        </w:rPr>
        <w:t xml:space="preserve">Los criterios de búsqueda utilizados, y </w:t>
      </w:r>
    </w:p>
    <w:p w14:paraId="324D21DC" w14:textId="77777777" w:rsidR="00FF762C" w:rsidRPr="005212F0" w:rsidRDefault="00FF762C" w:rsidP="00FF762C">
      <w:pPr>
        <w:pStyle w:val="Prrafodelista"/>
        <w:numPr>
          <w:ilvl w:val="0"/>
          <w:numId w:val="13"/>
        </w:numPr>
        <w:spacing w:line="360" w:lineRule="auto"/>
        <w:jc w:val="both"/>
        <w:rPr>
          <w:rFonts w:ascii="Palatino Linotype" w:hAnsi="Palatino Linotype"/>
          <w:sz w:val="22"/>
          <w:lang w:val="es-MX"/>
        </w:rPr>
      </w:pPr>
      <w:r w:rsidRPr="005212F0">
        <w:rPr>
          <w:rFonts w:ascii="Palatino Linotype" w:hAnsi="Palatino Linotype"/>
          <w:sz w:val="22"/>
          <w:lang w:val="es-MX"/>
        </w:rPr>
        <w:t>Las circunstancias que fueron tomadas en cuenta.</w:t>
      </w:r>
      <w:r w:rsidRPr="005212F0">
        <w:rPr>
          <w:rFonts w:ascii="Palatino Linotype" w:hAnsi="Palatino Linotype"/>
          <w:sz w:val="22"/>
          <w:lang w:val="es-MX"/>
        </w:rPr>
        <w:tab/>
      </w:r>
    </w:p>
    <w:p w14:paraId="5418BFA0" w14:textId="77777777" w:rsidR="00FF762C" w:rsidRPr="005212F0" w:rsidRDefault="00FF762C" w:rsidP="00FF762C">
      <w:pPr>
        <w:spacing w:line="360" w:lineRule="auto"/>
        <w:contextualSpacing/>
        <w:jc w:val="both"/>
        <w:rPr>
          <w:rFonts w:ascii="Palatino Linotype" w:hAnsi="Palatino Linotype"/>
          <w:lang w:val="es-MX"/>
        </w:rPr>
      </w:pPr>
    </w:p>
    <w:p w14:paraId="25F93134" w14:textId="77777777" w:rsidR="00DB4CCB" w:rsidRPr="005212F0" w:rsidRDefault="00FF762C" w:rsidP="00DB4CCB">
      <w:pPr>
        <w:numPr>
          <w:ilvl w:val="0"/>
          <w:numId w:val="9"/>
        </w:numPr>
        <w:spacing w:line="360" w:lineRule="auto"/>
        <w:ind w:left="0" w:firstLine="0"/>
        <w:jc w:val="both"/>
        <w:rPr>
          <w:rFonts w:ascii="Palatino Linotype" w:eastAsia="Palatino Linotype" w:hAnsi="Palatino Linotype" w:cs="Palatino Linotype"/>
          <w:color w:val="000000"/>
        </w:rPr>
      </w:pPr>
      <w:r w:rsidRPr="005212F0">
        <w:rPr>
          <w:rFonts w:ascii="Palatino Linotype" w:eastAsia="Palatino Linotype" w:hAnsi="Palatino Linotype" w:cs="Palatino Linotype"/>
          <w:color w:val="000000"/>
        </w:rPr>
        <w:t xml:space="preserve">Conforme a lo anterior, este Instituto considera que el Ayuntamiento de </w:t>
      </w:r>
      <w:r w:rsidR="008F3627" w:rsidRPr="005212F0">
        <w:rPr>
          <w:rFonts w:ascii="Palatino Linotype" w:eastAsia="Palatino Linotype" w:hAnsi="Palatino Linotype" w:cs="Palatino Linotype"/>
          <w:color w:val="000000"/>
        </w:rPr>
        <w:t>Zinacantepec</w:t>
      </w:r>
      <w:r w:rsidRPr="005212F0">
        <w:rPr>
          <w:rFonts w:ascii="Palatino Linotype" w:eastAsia="Palatino Linotype" w:hAnsi="Palatino Linotype" w:cs="Palatino Linotype"/>
          <w:color w:val="000000"/>
        </w:rPr>
        <w:t xml:space="preserve">, no cumplió con ninguno de los requisitos previamente señalados por lo siguiente no turnó la solicitud de información a las diversas áreas, toda vez que de la respuesta entregada no se pronuncia ningún servidor público habilitado, por lo que, no se logró advertir que esta haya realizado una indagación de lo requerido, </w:t>
      </w:r>
      <w:r w:rsidRPr="005212F0">
        <w:rPr>
          <w:rFonts w:ascii="Palatino Linotype" w:eastAsia="Palatino Linotype" w:hAnsi="Palatino Linotype" w:cs="Palatino Linotype"/>
          <w:color w:val="000000"/>
        </w:rPr>
        <w:lastRenderedPageBreak/>
        <w:t>no se indago en documentos físicos o también electrónicos y no se logró desprender los criterios de búsqueda utilizados, pues no precisó como realizó la misma.</w:t>
      </w:r>
    </w:p>
    <w:p w14:paraId="56A1D4F9" w14:textId="77777777" w:rsidR="00DB4CCB" w:rsidRPr="005212F0" w:rsidRDefault="00DB4CCB" w:rsidP="00DB4CCB">
      <w:pPr>
        <w:spacing w:line="360" w:lineRule="auto"/>
        <w:jc w:val="both"/>
        <w:rPr>
          <w:rFonts w:ascii="Palatino Linotype" w:eastAsia="Palatino Linotype" w:hAnsi="Palatino Linotype" w:cs="Palatino Linotype"/>
          <w:color w:val="000000"/>
        </w:rPr>
      </w:pPr>
    </w:p>
    <w:p w14:paraId="75DB0019" w14:textId="421FE859" w:rsidR="00DB4CCB" w:rsidRPr="005212F0" w:rsidRDefault="00DB4CCB" w:rsidP="00AB7F0C">
      <w:pPr>
        <w:numPr>
          <w:ilvl w:val="0"/>
          <w:numId w:val="9"/>
        </w:numPr>
        <w:spacing w:line="360" w:lineRule="auto"/>
        <w:ind w:left="0" w:firstLine="0"/>
        <w:jc w:val="both"/>
        <w:rPr>
          <w:rFonts w:ascii="Palatino Linotype" w:eastAsia="Times New Roman" w:hAnsi="Palatino Linotype"/>
          <w:lang w:eastAsia="es-MX"/>
        </w:rPr>
      </w:pPr>
      <w:r w:rsidRPr="005212F0">
        <w:rPr>
          <w:rFonts w:ascii="Palatino Linotype" w:eastAsia="Palatino Linotype" w:hAnsi="Palatino Linotype" w:cs="Palatino Linotype"/>
          <w:color w:val="000000"/>
        </w:rPr>
        <w:t xml:space="preserve">En ese sentido, </w:t>
      </w:r>
      <w:r w:rsidRPr="005212F0">
        <w:rPr>
          <w:rFonts w:ascii="Palatino Linotype" w:eastAsia="Calibri" w:hAnsi="Palatino Linotype" w:cs="Arial"/>
          <w:color w:val="000000" w:themeColor="text1"/>
        </w:rPr>
        <w:t xml:space="preserve">conforme con los artículos 2 fracción XIV, 4 y 22 de los </w:t>
      </w:r>
      <w:r w:rsidRPr="005212F0">
        <w:rPr>
          <w:rFonts w:ascii="Palatino Linotype" w:hAnsi="Palatino Linotype"/>
        </w:rPr>
        <w:t xml:space="preserve">Lineamientos que norman la Entrega-Recepción de los Ayuntamientos, sus Dependencias y Organismos Descentralizados Municipales del Estado de México establecen que el Órgano Interno de Control Municipal  contara con el acta de entrega recepción en la que se debe de adjuntar el documento que acredite el cargo atendiendo en todo momento el resguardo de la información  que para el caso en el presente recurso es la constancia de mayoría de los regidores de la administración 2019-2021, de los artículos citados establecen lo siguiente; </w:t>
      </w:r>
    </w:p>
    <w:p w14:paraId="21B9E507" w14:textId="77777777" w:rsidR="00DB4CCB" w:rsidRPr="005212F0" w:rsidRDefault="00DB4CCB" w:rsidP="00DB4CCB">
      <w:pPr>
        <w:tabs>
          <w:tab w:val="left" w:pos="1320"/>
        </w:tabs>
        <w:spacing w:line="360" w:lineRule="auto"/>
        <w:ind w:left="1134"/>
        <w:jc w:val="both"/>
        <w:rPr>
          <w:rFonts w:ascii="Palatino Linotype" w:eastAsia="Calibri" w:hAnsi="Palatino Linotype" w:cs="Arial"/>
          <w:color w:val="000000" w:themeColor="text1"/>
          <w:sz w:val="22"/>
        </w:rPr>
      </w:pPr>
      <w:r w:rsidRPr="005212F0">
        <w:rPr>
          <w:rFonts w:ascii="Palatino Linotype" w:eastAsia="Calibri" w:hAnsi="Palatino Linotype" w:cs="Arial"/>
          <w:color w:val="000000" w:themeColor="text1"/>
          <w:sz w:val="22"/>
        </w:rPr>
        <w:tab/>
        <w:t>“</w:t>
      </w:r>
      <w:r w:rsidRPr="005212F0">
        <w:rPr>
          <w:rFonts w:ascii="Palatino Linotype" w:hAnsi="Palatino Linotype"/>
          <w:b/>
          <w:i/>
          <w:sz w:val="22"/>
        </w:rPr>
        <w:t>Artículo 2.</w:t>
      </w:r>
      <w:r w:rsidRPr="005212F0">
        <w:rPr>
          <w:rFonts w:ascii="Palatino Linotype" w:hAnsi="Palatino Linotype"/>
          <w:i/>
          <w:sz w:val="22"/>
        </w:rPr>
        <w:t xml:space="preserve"> Para los efectos de estos lineamientos se entenderá por:</w:t>
      </w:r>
    </w:p>
    <w:p w14:paraId="73940ACB" w14:textId="77777777" w:rsidR="00DB4CCB" w:rsidRPr="005212F0" w:rsidRDefault="00DB4CCB" w:rsidP="00DB4CCB">
      <w:pPr>
        <w:tabs>
          <w:tab w:val="left" w:pos="1320"/>
        </w:tabs>
        <w:spacing w:line="360" w:lineRule="auto"/>
        <w:ind w:left="1134"/>
        <w:jc w:val="both"/>
        <w:rPr>
          <w:rFonts w:ascii="Palatino Linotype" w:eastAsia="Times New Roman" w:hAnsi="Palatino Linotype" w:cs="Times New Roman"/>
          <w:i/>
          <w:sz w:val="22"/>
        </w:rPr>
      </w:pPr>
      <w:r w:rsidRPr="005212F0">
        <w:rPr>
          <w:rFonts w:ascii="Palatino Linotype" w:hAnsi="Palatino Linotype"/>
          <w:i/>
          <w:sz w:val="22"/>
        </w:rPr>
        <w:tab/>
      </w:r>
      <w:r w:rsidRPr="005212F0">
        <w:rPr>
          <w:rFonts w:ascii="Palatino Linotype" w:hAnsi="Palatino Linotype"/>
          <w:i/>
          <w:sz w:val="22"/>
        </w:rPr>
        <w:tab/>
      </w:r>
      <w:r w:rsidRPr="005212F0">
        <w:rPr>
          <w:rFonts w:ascii="Palatino Linotype" w:hAnsi="Palatino Linotype"/>
          <w:i/>
          <w:sz w:val="22"/>
        </w:rPr>
        <w:tab/>
        <w:t>(…)</w:t>
      </w:r>
    </w:p>
    <w:p w14:paraId="116EF201" w14:textId="77777777" w:rsidR="00DB4CCB" w:rsidRPr="005212F0" w:rsidRDefault="00DB4CCB" w:rsidP="00DB4CCB">
      <w:pPr>
        <w:tabs>
          <w:tab w:val="left" w:pos="1320"/>
        </w:tabs>
        <w:spacing w:line="360" w:lineRule="auto"/>
        <w:ind w:left="1134"/>
        <w:jc w:val="both"/>
        <w:rPr>
          <w:rFonts w:ascii="Palatino Linotype" w:hAnsi="Palatino Linotype"/>
          <w:i/>
          <w:sz w:val="22"/>
        </w:rPr>
      </w:pPr>
      <w:r w:rsidRPr="005212F0">
        <w:rPr>
          <w:rFonts w:ascii="Palatino Linotype" w:hAnsi="Palatino Linotype"/>
          <w:b/>
          <w:i/>
          <w:sz w:val="22"/>
        </w:rPr>
        <w:t>XIV. Documento que acredite el cargo</w:t>
      </w:r>
      <w:r w:rsidRPr="005212F0">
        <w:rPr>
          <w:rFonts w:ascii="Palatino Linotype" w:hAnsi="Palatino Linotype"/>
          <w:i/>
          <w:sz w:val="22"/>
        </w:rPr>
        <w:t>: A la constancia de mayoría emitida por el órgano electoral competente, nombramiento, acta del Órgano de Gobierno, contrato o cualquier otro documento que acredite al servidor público para ocupar el empleo, cargo o comisión;”</w:t>
      </w:r>
    </w:p>
    <w:p w14:paraId="6846C556" w14:textId="77777777" w:rsidR="00DB4CCB" w:rsidRPr="005212F0" w:rsidRDefault="00DB4CCB" w:rsidP="00DB4CCB">
      <w:pPr>
        <w:tabs>
          <w:tab w:val="left" w:pos="1320"/>
        </w:tabs>
        <w:spacing w:line="360" w:lineRule="auto"/>
        <w:jc w:val="both"/>
        <w:rPr>
          <w:rFonts w:ascii="Palatino Linotype" w:eastAsia="Calibri" w:hAnsi="Palatino Linotype" w:cs="Arial"/>
          <w:color w:val="000000" w:themeColor="text1"/>
          <w:sz w:val="22"/>
        </w:rPr>
      </w:pPr>
    </w:p>
    <w:p w14:paraId="7E0D5E30" w14:textId="77777777" w:rsidR="00DB4CCB" w:rsidRPr="005212F0" w:rsidRDefault="00DB4CCB" w:rsidP="00DB4CCB">
      <w:pPr>
        <w:spacing w:line="360" w:lineRule="auto"/>
        <w:ind w:left="708"/>
        <w:jc w:val="both"/>
        <w:rPr>
          <w:rFonts w:ascii="Palatino Linotype" w:eastAsia="Times New Roman" w:hAnsi="Palatino Linotype" w:cs="Times New Roman"/>
          <w:i/>
          <w:sz w:val="22"/>
        </w:rPr>
      </w:pPr>
      <w:r w:rsidRPr="005212F0">
        <w:rPr>
          <w:rFonts w:ascii="Palatino Linotype" w:hAnsi="Palatino Linotype"/>
          <w:b/>
          <w:i/>
          <w:sz w:val="22"/>
        </w:rPr>
        <w:t>“Artículo 4. Son sujetos de estos lineamientos los servidores públicos entrantes y salientes, de la Administración Pública Municipal</w:t>
      </w:r>
      <w:r w:rsidRPr="005212F0">
        <w:rPr>
          <w:rFonts w:ascii="Palatino Linotype" w:hAnsi="Palatino Linotype"/>
          <w:i/>
          <w:sz w:val="22"/>
        </w:rPr>
        <w:t xml:space="preserve">, desde el Presidente Municipal, Síndicos y </w:t>
      </w:r>
      <w:r w:rsidRPr="005212F0">
        <w:rPr>
          <w:rFonts w:ascii="Palatino Linotype" w:hAnsi="Palatino Linotype"/>
          <w:b/>
          <w:i/>
          <w:sz w:val="22"/>
        </w:rPr>
        <w:t>Regidores,</w:t>
      </w:r>
      <w:r w:rsidRPr="005212F0">
        <w:rPr>
          <w:rFonts w:ascii="Palatino Linotype" w:hAnsi="Palatino Linotype"/>
          <w:i/>
          <w:sz w:val="22"/>
        </w:rPr>
        <w:t xml:space="preserve"> titulares de dependencias y unidades administrativas, hasta el nivel jerárquico correspondiente a jefes de departamento o sus equivalentes, y a los demás servidores públicos que, por la naturaleza e importancia de sus funciones, deban realizar el acto de entrega-recepción. </w:t>
      </w:r>
    </w:p>
    <w:p w14:paraId="61E3517E" w14:textId="77777777" w:rsidR="00DB4CCB" w:rsidRPr="005212F0" w:rsidRDefault="00DB4CCB" w:rsidP="00DB4CCB">
      <w:pPr>
        <w:spacing w:line="360" w:lineRule="auto"/>
        <w:ind w:left="708"/>
        <w:jc w:val="both"/>
        <w:rPr>
          <w:rFonts w:ascii="Palatino Linotype" w:hAnsi="Palatino Linotype"/>
          <w:i/>
          <w:sz w:val="22"/>
        </w:rPr>
      </w:pPr>
    </w:p>
    <w:p w14:paraId="68BA4AED" w14:textId="77777777" w:rsidR="00DB4CCB" w:rsidRPr="005212F0" w:rsidRDefault="00DB4CCB" w:rsidP="00DB4CCB">
      <w:pPr>
        <w:spacing w:line="360" w:lineRule="auto"/>
        <w:ind w:left="708"/>
        <w:jc w:val="both"/>
        <w:rPr>
          <w:rFonts w:ascii="Palatino Linotype" w:eastAsia="Calibri" w:hAnsi="Palatino Linotype" w:cs="Arial"/>
          <w:i/>
          <w:color w:val="000000" w:themeColor="text1"/>
          <w:sz w:val="22"/>
        </w:rPr>
      </w:pPr>
      <w:r w:rsidRPr="005212F0">
        <w:rPr>
          <w:rFonts w:ascii="Palatino Linotype" w:hAnsi="Palatino Linotype"/>
          <w:i/>
          <w:sz w:val="22"/>
        </w:rPr>
        <w:lastRenderedPageBreak/>
        <w:t xml:space="preserve">De manera enunciativa, más no limitativa y atendiendo a la estructura orgánica determinada por el Ayuntamiento o en su caso, el Órgano de Gobierno de los Organismos Públicos Descentralizados, </w:t>
      </w:r>
      <w:r w:rsidRPr="005212F0">
        <w:rPr>
          <w:rFonts w:ascii="Palatino Linotype" w:hAnsi="Palatino Linotype"/>
          <w:b/>
          <w:i/>
          <w:sz w:val="22"/>
        </w:rPr>
        <w:t>quienes deben generar el procedimiento administrativo de entrega-recepción, son los siguientes</w:t>
      </w:r>
      <w:r w:rsidRPr="005212F0">
        <w:rPr>
          <w:rFonts w:ascii="Palatino Linotype" w:hAnsi="Palatino Linotype"/>
          <w:i/>
          <w:sz w:val="22"/>
        </w:rPr>
        <w:t>:</w:t>
      </w:r>
    </w:p>
    <w:p w14:paraId="4DD9657A" w14:textId="77777777" w:rsidR="00DB4CCB" w:rsidRPr="005212F0" w:rsidRDefault="00DB4CCB" w:rsidP="00DB4CCB">
      <w:pPr>
        <w:pStyle w:val="Prrafodelista"/>
        <w:numPr>
          <w:ilvl w:val="0"/>
          <w:numId w:val="16"/>
        </w:numPr>
        <w:spacing w:line="360" w:lineRule="auto"/>
        <w:contextualSpacing w:val="0"/>
        <w:jc w:val="both"/>
        <w:rPr>
          <w:rFonts w:ascii="Palatino Linotype" w:eastAsia="Times New Roman" w:hAnsi="Palatino Linotype" w:cs="Times New Roman"/>
          <w:b/>
          <w:i/>
          <w:sz w:val="22"/>
        </w:rPr>
      </w:pPr>
      <w:r w:rsidRPr="005212F0">
        <w:rPr>
          <w:b/>
          <w:i/>
          <w:sz w:val="22"/>
        </w:rPr>
        <w:t>En los Ayuntamientos:</w:t>
      </w:r>
    </w:p>
    <w:p w14:paraId="2816CB12" w14:textId="77777777" w:rsidR="00DB4CCB" w:rsidRPr="005212F0" w:rsidRDefault="00DB4CCB" w:rsidP="00DB4CCB">
      <w:pPr>
        <w:pStyle w:val="Prrafodelista"/>
        <w:ind w:left="2136"/>
        <w:rPr>
          <w:b/>
          <w:sz w:val="22"/>
        </w:rPr>
      </w:pPr>
      <w:r w:rsidRPr="005212F0">
        <w:rPr>
          <w:b/>
          <w:i/>
          <w:sz w:val="22"/>
        </w:rPr>
        <w:t>c. Regidurías</w:t>
      </w:r>
      <w:r w:rsidRPr="005212F0">
        <w:rPr>
          <w:b/>
          <w:sz w:val="22"/>
        </w:rPr>
        <w:t>,</w:t>
      </w:r>
    </w:p>
    <w:p w14:paraId="0D792B89" w14:textId="77777777" w:rsidR="00DB4CCB" w:rsidRPr="005212F0" w:rsidRDefault="00DB4CCB" w:rsidP="00DB4CCB">
      <w:pPr>
        <w:pStyle w:val="Prrafodelista"/>
        <w:ind w:left="2136"/>
        <w:rPr>
          <w:rFonts w:eastAsia="Calibri" w:cs="Arial"/>
          <w:b/>
          <w:color w:val="000000" w:themeColor="text1"/>
          <w:sz w:val="22"/>
        </w:rPr>
      </w:pPr>
      <w:r w:rsidRPr="005212F0">
        <w:rPr>
          <w:b/>
          <w:i/>
          <w:sz w:val="22"/>
        </w:rPr>
        <w:t>(…)”</w:t>
      </w:r>
    </w:p>
    <w:p w14:paraId="7C87F0DF" w14:textId="77777777" w:rsidR="00DB4CCB" w:rsidRPr="005212F0" w:rsidRDefault="00DB4CCB" w:rsidP="00DB4CCB">
      <w:pPr>
        <w:ind w:left="567" w:right="616"/>
        <w:jc w:val="both"/>
        <w:rPr>
          <w:rFonts w:ascii="Palatino Linotype" w:eastAsia="Times New Roman" w:hAnsi="Palatino Linotype" w:cs="Times New Roman"/>
          <w:sz w:val="22"/>
        </w:rPr>
      </w:pPr>
    </w:p>
    <w:p w14:paraId="06308D82" w14:textId="77777777" w:rsidR="00DB4CCB" w:rsidRPr="005212F0" w:rsidRDefault="00DB4CCB" w:rsidP="00DB4CCB">
      <w:pPr>
        <w:ind w:left="567" w:right="616"/>
        <w:jc w:val="both"/>
        <w:rPr>
          <w:rFonts w:ascii="Palatino Linotype" w:hAnsi="Palatino Linotype"/>
          <w:i/>
          <w:sz w:val="22"/>
        </w:rPr>
      </w:pPr>
      <w:r w:rsidRPr="005212F0">
        <w:rPr>
          <w:rFonts w:ascii="Palatino Linotype" w:hAnsi="Palatino Linotype"/>
          <w:i/>
          <w:sz w:val="22"/>
        </w:rPr>
        <w:t>“</w:t>
      </w:r>
      <w:r w:rsidRPr="005212F0">
        <w:rPr>
          <w:rFonts w:ascii="Palatino Linotype" w:hAnsi="Palatino Linotype"/>
          <w:b/>
          <w:i/>
          <w:sz w:val="22"/>
        </w:rPr>
        <w:t xml:space="preserve">Artículo 9. Las personas titulares de los Órganos Internos de Control deben resguardar toda la documentación e información que se genere con motivo de los actos de entrega-recepción </w:t>
      </w:r>
      <w:r w:rsidRPr="005212F0">
        <w:rPr>
          <w:rFonts w:ascii="Palatino Linotype" w:hAnsi="Palatino Linotype"/>
          <w:i/>
          <w:sz w:val="22"/>
        </w:rPr>
        <w:t>y/o actas administrativas,</w:t>
      </w:r>
      <w:r w:rsidRPr="005212F0">
        <w:rPr>
          <w:rFonts w:ascii="Palatino Linotype" w:hAnsi="Palatino Linotype"/>
          <w:b/>
          <w:i/>
          <w:sz w:val="22"/>
        </w:rPr>
        <w:t xml:space="preserve"> en términos de la Ley General de Archivos y demás disposiciones legales aplicables</w:t>
      </w:r>
      <w:r w:rsidRPr="005212F0">
        <w:rPr>
          <w:rFonts w:ascii="Palatino Linotype" w:hAnsi="Palatino Linotype"/>
          <w:i/>
          <w:sz w:val="22"/>
        </w:rPr>
        <w:t>.”</w:t>
      </w:r>
    </w:p>
    <w:p w14:paraId="0FB15652" w14:textId="77777777" w:rsidR="00DB4CCB" w:rsidRPr="005212F0" w:rsidRDefault="00DB4CCB" w:rsidP="00DB4CCB">
      <w:pPr>
        <w:spacing w:line="360" w:lineRule="auto"/>
        <w:jc w:val="both"/>
        <w:rPr>
          <w:rFonts w:ascii="Palatino Linotype" w:eastAsia="Calibri" w:hAnsi="Palatino Linotype" w:cs="Arial"/>
          <w:color w:val="000000" w:themeColor="text1"/>
          <w:sz w:val="22"/>
        </w:rPr>
      </w:pPr>
    </w:p>
    <w:p w14:paraId="21495411" w14:textId="77777777" w:rsidR="00DB4CCB" w:rsidRPr="005212F0" w:rsidRDefault="00DB4CCB" w:rsidP="00DB4CCB">
      <w:pPr>
        <w:spacing w:line="360" w:lineRule="auto"/>
        <w:ind w:left="567" w:right="616"/>
        <w:jc w:val="both"/>
        <w:rPr>
          <w:rFonts w:ascii="Palatino Linotype" w:eastAsia="Times New Roman" w:hAnsi="Palatino Linotype" w:cs="Times New Roman"/>
          <w:b/>
          <w:i/>
          <w:sz w:val="22"/>
        </w:rPr>
      </w:pPr>
      <w:r w:rsidRPr="005212F0">
        <w:rPr>
          <w:rFonts w:ascii="Palatino Linotype" w:hAnsi="Palatino Linotype"/>
          <w:b/>
          <w:sz w:val="22"/>
        </w:rPr>
        <w:t>“</w:t>
      </w:r>
      <w:r w:rsidRPr="005212F0">
        <w:rPr>
          <w:rFonts w:ascii="Palatino Linotype" w:hAnsi="Palatino Linotype"/>
          <w:b/>
          <w:i/>
          <w:sz w:val="22"/>
        </w:rPr>
        <w:t>Artículo 22.</w:t>
      </w:r>
      <w:r w:rsidRPr="005212F0">
        <w:rPr>
          <w:rFonts w:ascii="Palatino Linotype" w:hAnsi="Palatino Linotype"/>
          <w:i/>
          <w:sz w:val="22"/>
        </w:rPr>
        <w:t xml:space="preserve"> Cuando un servidor público saliente tenga que realizar la entrega-recepción y por cualquier causa no se haya nombrado al servidor público entrante o, bien, éste no asista, ello no será obstáculo para llevar a cabo dicho acto; </w:t>
      </w:r>
      <w:r w:rsidRPr="005212F0">
        <w:rPr>
          <w:rFonts w:ascii="Palatino Linotype" w:hAnsi="Palatino Linotype"/>
          <w:b/>
          <w:i/>
          <w:sz w:val="22"/>
        </w:rPr>
        <w:t>el servidor público saliente entregará</w:t>
      </w:r>
      <w:r w:rsidRPr="005212F0">
        <w:rPr>
          <w:rFonts w:ascii="Palatino Linotype" w:hAnsi="Palatino Linotype"/>
          <w:i/>
          <w:sz w:val="22"/>
        </w:rPr>
        <w:t xml:space="preserve"> al superior jerárquico de acuerdo con lo establecido en su estructura orgánica administrativa, </w:t>
      </w:r>
      <w:r w:rsidRPr="005212F0">
        <w:rPr>
          <w:rFonts w:ascii="Palatino Linotype" w:hAnsi="Palatino Linotype"/>
          <w:b/>
          <w:i/>
          <w:sz w:val="22"/>
        </w:rPr>
        <w:t>con la participación de la persona titular del Órgano Interno de Control</w:t>
      </w:r>
      <w:r w:rsidRPr="005212F0">
        <w:rPr>
          <w:rFonts w:ascii="Palatino Linotype" w:hAnsi="Palatino Linotype"/>
          <w:i/>
          <w:sz w:val="22"/>
        </w:rPr>
        <w:t xml:space="preserve"> o el Síndico o Representante, según corresponda, </w:t>
      </w:r>
      <w:r w:rsidRPr="005212F0">
        <w:rPr>
          <w:rFonts w:ascii="Palatino Linotype" w:hAnsi="Palatino Linotype"/>
          <w:b/>
          <w:i/>
          <w:sz w:val="22"/>
        </w:rPr>
        <w:t>debiendo adjuntar el documento que acredite el cargo como superior jerárquico que recibe la unidad administrativa y se asentará en el apartado de observaciones del acta de entrega-recepción.</w:t>
      </w:r>
    </w:p>
    <w:p w14:paraId="152AE692" w14:textId="77777777" w:rsidR="00DB4CCB" w:rsidRPr="005212F0" w:rsidRDefault="00DB4CCB" w:rsidP="00DB4CCB">
      <w:pPr>
        <w:spacing w:line="360" w:lineRule="auto"/>
        <w:ind w:left="567" w:right="616"/>
        <w:jc w:val="both"/>
        <w:rPr>
          <w:rFonts w:ascii="Palatino Linotype" w:hAnsi="Palatino Linotype"/>
          <w:i/>
          <w:sz w:val="22"/>
        </w:rPr>
      </w:pPr>
    </w:p>
    <w:p w14:paraId="29DC3313" w14:textId="77777777" w:rsidR="00DB4CCB" w:rsidRPr="005212F0" w:rsidRDefault="00DB4CCB" w:rsidP="00DB4CCB">
      <w:pPr>
        <w:spacing w:line="360" w:lineRule="auto"/>
        <w:ind w:left="567" w:right="616"/>
        <w:jc w:val="both"/>
        <w:rPr>
          <w:rFonts w:ascii="Palatino Linotype" w:hAnsi="Palatino Linotype"/>
          <w:i/>
          <w:sz w:val="22"/>
        </w:rPr>
      </w:pPr>
      <w:r w:rsidRPr="005212F0">
        <w:rPr>
          <w:rFonts w:ascii="Palatino Linotype" w:hAnsi="Palatino Linotype"/>
          <w:i/>
          <w:sz w:val="22"/>
        </w:rPr>
        <w:t xml:space="preserve"> En el caso de que no se haya nombrado a la persona titular del Órgano Interno de Control Municipal entrante, la entrega de la unidad administrativa correspondiente se hará al Síndico. </w:t>
      </w:r>
    </w:p>
    <w:p w14:paraId="7FA0370A" w14:textId="77777777" w:rsidR="00DB4CCB" w:rsidRPr="005212F0" w:rsidRDefault="00DB4CCB" w:rsidP="00DB4CCB">
      <w:pPr>
        <w:spacing w:line="360" w:lineRule="auto"/>
        <w:ind w:left="567" w:right="616"/>
        <w:jc w:val="both"/>
        <w:rPr>
          <w:rFonts w:ascii="Palatino Linotype" w:hAnsi="Palatino Linotype"/>
          <w:i/>
          <w:sz w:val="22"/>
        </w:rPr>
      </w:pPr>
    </w:p>
    <w:p w14:paraId="406C845A" w14:textId="77777777" w:rsidR="00DB4CCB" w:rsidRPr="005212F0" w:rsidRDefault="00DB4CCB" w:rsidP="00DB4CCB">
      <w:pPr>
        <w:spacing w:line="360" w:lineRule="auto"/>
        <w:ind w:left="567" w:right="616"/>
        <w:jc w:val="both"/>
        <w:rPr>
          <w:rFonts w:ascii="Palatino Linotype" w:hAnsi="Palatino Linotype"/>
          <w:i/>
          <w:sz w:val="22"/>
        </w:rPr>
      </w:pPr>
      <w:r w:rsidRPr="005212F0">
        <w:rPr>
          <w:rFonts w:ascii="Palatino Linotype" w:hAnsi="Palatino Linotype"/>
          <w:i/>
          <w:sz w:val="22"/>
        </w:rPr>
        <w:lastRenderedPageBreak/>
        <w:t>En el caso de que no se haya nombrado a la persona titular del Órgano Interno de Control entrante de los Organismos Públicos Descentralizados, la entrega-recepción de la unidad administrativa debe realizarse a la persona titular del Órgano Interno de Control Municipal, con la participación del Síndico, hasta en tanto se designe al servidor público para ocupar el empleo, cargo o comisión.”</w:t>
      </w:r>
    </w:p>
    <w:p w14:paraId="1E1E4524" w14:textId="77777777" w:rsidR="00DB4CCB" w:rsidRPr="005212F0" w:rsidRDefault="00DB4CCB" w:rsidP="00DB4CCB">
      <w:pPr>
        <w:ind w:left="567" w:right="616"/>
        <w:jc w:val="both"/>
        <w:rPr>
          <w:rFonts w:ascii="Palatino Linotype" w:eastAsia="Calibri" w:hAnsi="Palatino Linotype" w:cs="Arial"/>
          <w:i/>
          <w:color w:val="000000" w:themeColor="text1"/>
        </w:rPr>
      </w:pPr>
    </w:p>
    <w:p w14:paraId="060D89CC" w14:textId="29A1DD9F" w:rsidR="00DB4CCB" w:rsidRPr="005212F0" w:rsidRDefault="00DB4CCB" w:rsidP="00DB4CCB">
      <w:pPr>
        <w:pStyle w:val="Prrafodelista"/>
        <w:numPr>
          <w:ilvl w:val="0"/>
          <w:numId w:val="15"/>
        </w:numPr>
        <w:spacing w:line="360" w:lineRule="auto"/>
        <w:ind w:left="0" w:firstLine="0"/>
        <w:jc w:val="both"/>
        <w:rPr>
          <w:rFonts w:ascii="Palatino Linotype" w:eastAsia="Palatino Linotype" w:hAnsi="Palatino Linotype" w:cs="Palatino Linotype"/>
          <w:color w:val="000000"/>
        </w:rPr>
      </w:pPr>
      <w:r w:rsidRPr="005212F0">
        <w:rPr>
          <w:rFonts w:ascii="Palatino Linotype" w:hAnsi="Palatino Linotype" w:cs="Tahoma"/>
        </w:rPr>
        <w:t xml:space="preserve">Por lo que, conforme lo establecido en el Reglamento Orgánico del Ayuntamiento de Zinacantepec el área poseedora de la información es la Dirección de Administración, asimismo,  conforme lo establecido por el artículo segundo fracción XXXIX de la Ley de Transparencia Local  el servidor público habilitado </w:t>
      </w:r>
      <w:r w:rsidRPr="005212F0">
        <w:rPr>
          <w:rFonts w:ascii="Palatino Linotype" w:hAnsi="Palatino Linotype"/>
        </w:rPr>
        <w:t xml:space="preserve">dentro de </w:t>
      </w:r>
      <w:r w:rsidRPr="005212F0">
        <w:rPr>
          <w:rFonts w:ascii="Palatino Linotype" w:hAnsi="Palatino Linotype"/>
          <w:u w:val="single"/>
        </w:rPr>
        <w:t>las diversas unidades administrativas o áreas del sujeto obligado</w:t>
      </w:r>
      <w:r w:rsidRPr="005212F0">
        <w:rPr>
          <w:rFonts w:ascii="Palatino Linotype" w:hAnsi="Palatino Linotype"/>
        </w:rPr>
        <w:t xml:space="preserve"> será el encargado de apoyar, gestionar y entregar la información o datos personales que se ubiquen en la misma, a sus respectivas unidades de transparencia;</w:t>
      </w:r>
      <w:r w:rsidRPr="005212F0">
        <w:rPr>
          <w:rFonts w:ascii="Palatino Linotype" w:hAnsi="Palatino Linotype" w:cs="Tahoma"/>
        </w:rPr>
        <w:t xml:space="preserve"> en atención a lo anterior conforme los </w:t>
      </w:r>
      <w:r w:rsidRPr="005212F0">
        <w:rPr>
          <w:rFonts w:ascii="Palatino Linotype" w:hAnsi="Palatino Linotype"/>
        </w:rPr>
        <w:t xml:space="preserve">Lineamientos que norman la Entrega-Recepción de los Ayuntamientos, sus Dependencias y Organismos Descentralizados Municipales del Estado de México la Contraloría Municipal es la encargada de resguardar copia del documento que acreditó cargo  de los presidentes municipales respecto al administración </w:t>
      </w:r>
      <w:r w:rsidRPr="005212F0">
        <w:rPr>
          <w:rFonts w:cs="AngsanaUPC"/>
        </w:rPr>
        <w:t xml:space="preserve">2019-2021  </w:t>
      </w:r>
      <w:r w:rsidRPr="005212F0">
        <w:rPr>
          <w:rFonts w:ascii="Palatino Linotype" w:hAnsi="Palatino Linotype" w:cs="AngsanaUPC"/>
        </w:rPr>
        <w:t xml:space="preserve">por lo que al no haberse pronunciado se debe de agotar la búsqueda exhaustiva y razonable  de las </w:t>
      </w:r>
      <w:r w:rsidRPr="005212F0">
        <w:rPr>
          <w:rFonts w:ascii="Palatino Linotype" w:eastAsia="Palatino Linotype" w:hAnsi="Palatino Linotype" w:cs="Palatino Linotype"/>
          <w:color w:val="000000"/>
        </w:rPr>
        <w:t xml:space="preserve">constancias de mayoría expedidas a de los últimos tres Presidentes Municipales del  Ayuntamiento de Zinacantepec. </w:t>
      </w:r>
    </w:p>
    <w:p w14:paraId="74B21413" w14:textId="77777777" w:rsidR="00DB4CCB" w:rsidRPr="005212F0" w:rsidRDefault="00DB4CCB" w:rsidP="00DB4CCB">
      <w:pPr>
        <w:pStyle w:val="Prrafodelista"/>
        <w:spacing w:line="360" w:lineRule="auto"/>
        <w:ind w:left="0"/>
        <w:jc w:val="both"/>
        <w:rPr>
          <w:rFonts w:ascii="Palatino Linotype" w:eastAsia="Palatino Linotype" w:hAnsi="Palatino Linotype" w:cs="Palatino Linotype"/>
          <w:color w:val="000000"/>
        </w:rPr>
      </w:pPr>
    </w:p>
    <w:p w14:paraId="24224F5F" w14:textId="77777777" w:rsidR="00DB4CCB" w:rsidRPr="005212F0" w:rsidRDefault="00DB4CCB" w:rsidP="00DB4CCB">
      <w:pPr>
        <w:numPr>
          <w:ilvl w:val="0"/>
          <w:numId w:val="15"/>
        </w:numPr>
        <w:spacing w:line="360" w:lineRule="auto"/>
        <w:ind w:left="0" w:firstLine="0"/>
        <w:jc w:val="both"/>
        <w:rPr>
          <w:rFonts w:ascii="Palatino Linotype" w:eastAsia="Palatino Linotype" w:hAnsi="Palatino Linotype" w:cs="Palatino Linotype"/>
          <w:color w:val="000000"/>
        </w:rPr>
      </w:pPr>
      <w:r w:rsidRPr="005212F0">
        <w:rPr>
          <w:rFonts w:ascii="Palatino Linotype" w:eastAsia="Palatino Linotype" w:hAnsi="Palatino Linotype" w:cs="Palatino Linotype"/>
          <w:color w:val="000000"/>
        </w:rPr>
        <w:t xml:space="preserve">Ahora bien, en cuanto al documento denominado Constancia de Mayoría, es necesario precisar que contiene firmas de autoridad de quienes emiten el </w:t>
      </w:r>
      <w:r w:rsidRPr="005212F0">
        <w:rPr>
          <w:rFonts w:ascii="Palatino Linotype" w:eastAsia="Palatino Linotype" w:hAnsi="Palatino Linotype" w:cs="Palatino Linotype"/>
          <w:color w:val="000000"/>
        </w:rPr>
        <w:lastRenderedPageBreak/>
        <w:t xml:space="preserve">documento, por lo que, de acuerdo con el siguiente Citerior del INA, la firma deberá de ser pública cuando se emite un acto de autoridad. </w:t>
      </w:r>
    </w:p>
    <w:p w14:paraId="1D3ED5F5" w14:textId="77777777" w:rsidR="00DB4CCB" w:rsidRPr="005212F0" w:rsidRDefault="00DB4CCB" w:rsidP="00DB4CCB">
      <w:pPr>
        <w:spacing w:line="360" w:lineRule="auto"/>
        <w:ind w:left="1134" w:right="616"/>
        <w:jc w:val="both"/>
        <w:rPr>
          <w:rFonts w:ascii="Palatino Linotype" w:eastAsia="Palatino Linotype" w:hAnsi="Palatino Linotype" w:cs="Palatino Linotype"/>
          <w:b/>
          <w:i/>
          <w:color w:val="000000"/>
          <w:sz w:val="22"/>
        </w:rPr>
      </w:pPr>
      <w:r w:rsidRPr="005212F0">
        <w:rPr>
          <w:rFonts w:ascii="Palatino Linotype" w:eastAsia="Palatino Linotype" w:hAnsi="Palatino Linotype" w:cs="Palatino Linotype"/>
          <w:b/>
          <w:i/>
          <w:color w:val="000000"/>
          <w:sz w:val="22"/>
        </w:rPr>
        <w:t xml:space="preserve">CRITERIO INAI 02/19 </w:t>
      </w:r>
    </w:p>
    <w:p w14:paraId="0EA2D0BA" w14:textId="77777777" w:rsidR="00DB4CCB" w:rsidRPr="005212F0" w:rsidRDefault="00DB4CCB" w:rsidP="00DB4CCB">
      <w:pPr>
        <w:spacing w:line="360" w:lineRule="auto"/>
        <w:ind w:left="1134" w:right="616"/>
        <w:jc w:val="both"/>
        <w:rPr>
          <w:rFonts w:ascii="Palatino Linotype" w:eastAsia="Palatino Linotype" w:hAnsi="Palatino Linotype" w:cs="Palatino Linotype"/>
          <w:b/>
          <w:i/>
          <w:color w:val="000000"/>
          <w:sz w:val="22"/>
        </w:rPr>
      </w:pPr>
      <w:r w:rsidRPr="005212F0">
        <w:rPr>
          <w:rFonts w:ascii="Palatino Linotype" w:eastAsia="Palatino Linotype" w:hAnsi="Palatino Linotype" w:cs="Palatino Linotype"/>
          <w:b/>
          <w:i/>
          <w:color w:val="000000"/>
          <w:sz w:val="22"/>
        </w:rPr>
        <w:t xml:space="preserve">Firma y rúbrica de servidores públicos. </w:t>
      </w:r>
    </w:p>
    <w:p w14:paraId="172E364E" w14:textId="77777777" w:rsidR="00DB4CCB" w:rsidRPr="005212F0" w:rsidRDefault="00DB4CCB" w:rsidP="00DB4CCB">
      <w:pPr>
        <w:spacing w:line="360" w:lineRule="auto"/>
        <w:ind w:left="1134" w:right="616"/>
        <w:jc w:val="both"/>
        <w:rPr>
          <w:rFonts w:ascii="Palatino Linotype" w:eastAsia="Palatino Linotype" w:hAnsi="Palatino Linotype" w:cs="Palatino Linotype"/>
          <w:i/>
          <w:color w:val="000000"/>
          <w:sz w:val="22"/>
        </w:rPr>
      </w:pPr>
      <w:r w:rsidRPr="005212F0">
        <w:rPr>
          <w:rFonts w:ascii="Palatino Linotype" w:eastAsia="Palatino Linotype" w:hAnsi="Palatino Linotype" w:cs="Palatino Linotype"/>
          <w:i/>
          <w:color w:val="000000"/>
          <w:sz w:val="22"/>
        </w:rPr>
        <w:t xml:space="preserve">Si bien la firma y la rúbrica son datos confidenciales, cuando un servidor público emite un acto como autoridad, en ejercicio de las funciones que tiene conferidas, la firma o rúbrica mediante la cual se valida dicho acto es pública. </w:t>
      </w:r>
      <w:hyperlink r:id="rId8" w:history="1">
        <w:r w:rsidRPr="005212F0">
          <w:rPr>
            <w:rStyle w:val="Hipervnculo"/>
            <w:rFonts w:ascii="Palatino Linotype" w:eastAsia="Palatino Linotype" w:hAnsi="Palatino Linotype" w:cs="Palatino Linotype"/>
            <w:i/>
            <w:sz w:val="22"/>
          </w:rPr>
          <w:t>http://criteriosdeinterpretacion.inai.org.mx/Criterios/02-19.docx</w:t>
        </w:r>
      </w:hyperlink>
    </w:p>
    <w:p w14:paraId="791729A3" w14:textId="77777777" w:rsidR="00DB4CCB" w:rsidRPr="005212F0" w:rsidRDefault="00DB4CCB" w:rsidP="00DB4CCB">
      <w:pPr>
        <w:pStyle w:val="Prrafodelista"/>
        <w:spacing w:line="360" w:lineRule="auto"/>
        <w:ind w:left="0"/>
        <w:jc w:val="both"/>
        <w:rPr>
          <w:rFonts w:ascii="Palatino Linotype" w:eastAsia="Palatino Linotype" w:hAnsi="Palatino Linotype" w:cs="Palatino Linotype"/>
          <w:color w:val="000000"/>
        </w:rPr>
      </w:pPr>
    </w:p>
    <w:p w14:paraId="3B2D0A17" w14:textId="77777777" w:rsidR="00FF762C" w:rsidRPr="005212F0" w:rsidRDefault="00FF762C" w:rsidP="00FF762C">
      <w:pPr>
        <w:spacing w:line="360" w:lineRule="auto"/>
        <w:jc w:val="both"/>
        <w:rPr>
          <w:rFonts w:ascii="Palatino Linotype" w:eastAsia="Palatino Linotype" w:hAnsi="Palatino Linotype" w:cs="Palatino Linotype"/>
          <w:color w:val="000000"/>
        </w:rPr>
      </w:pPr>
    </w:p>
    <w:p w14:paraId="059701E7" w14:textId="77777777" w:rsidR="004E3E84" w:rsidRPr="005212F0" w:rsidRDefault="00842494">
      <w:pPr>
        <w:keepNext/>
        <w:keepLines/>
        <w:spacing w:after="160" w:line="360" w:lineRule="auto"/>
        <w:rPr>
          <w:rFonts w:ascii="Palatino Linotype" w:eastAsia="Palatino Linotype" w:hAnsi="Palatino Linotype" w:cs="Palatino Linotype"/>
          <w:b/>
          <w:color w:val="000000"/>
        </w:rPr>
      </w:pPr>
      <w:bookmarkStart w:id="10" w:name="_heading=h.17dp8vu" w:colFirst="0" w:colLast="0"/>
      <w:bookmarkEnd w:id="10"/>
      <w:r w:rsidRPr="005212F0">
        <w:rPr>
          <w:rFonts w:ascii="Palatino Linotype" w:eastAsia="Palatino Linotype" w:hAnsi="Palatino Linotype" w:cs="Palatino Linotype"/>
          <w:b/>
          <w:color w:val="000000"/>
        </w:rPr>
        <w:t>QUINTO. De la versión pública.</w:t>
      </w:r>
    </w:p>
    <w:p w14:paraId="0D30B9DC" w14:textId="77777777" w:rsidR="004E3E84" w:rsidRPr="005212F0" w:rsidRDefault="00842494">
      <w:pPr>
        <w:keepNext/>
        <w:keepLines/>
        <w:numPr>
          <w:ilvl w:val="0"/>
          <w:numId w:val="2"/>
        </w:numPr>
        <w:tabs>
          <w:tab w:val="left" w:pos="284"/>
        </w:tabs>
        <w:spacing w:after="160" w:line="360" w:lineRule="auto"/>
        <w:ind w:left="0" w:firstLine="0"/>
        <w:rPr>
          <w:rFonts w:ascii="Palatino Linotype" w:eastAsia="Palatino Linotype" w:hAnsi="Palatino Linotype" w:cs="Palatino Linotype"/>
          <w:b/>
          <w:color w:val="000000"/>
        </w:rPr>
      </w:pPr>
      <w:bookmarkStart w:id="11" w:name="_heading=h.3rdcrjn" w:colFirst="0" w:colLast="0"/>
      <w:bookmarkEnd w:id="11"/>
      <w:r w:rsidRPr="005212F0">
        <w:rPr>
          <w:rFonts w:ascii="Palatino Linotype" w:eastAsia="Palatino Linotype" w:hAnsi="Palatino Linotype" w:cs="Palatino Linotype"/>
          <w:b/>
          <w:color w:val="000000"/>
        </w:rPr>
        <w:t xml:space="preserve">Nociones generales. </w:t>
      </w:r>
    </w:p>
    <w:p w14:paraId="2156F694" w14:textId="77777777" w:rsidR="004E3E84" w:rsidRPr="005212F0" w:rsidRDefault="00842494">
      <w:pPr>
        <w:numPr>
          <w:ilvl w:val="0"/>
          <w:numId w:val="9"/>
        </w:numPr>
        <w:tabs>
          <w:tab w:val="left" w:pos="284"/>
        </w:tabs>
        <w:spacing w:line="360" w:lineRule="auto"/>
        <w:ind w:left="0" w:right="49" w:firstLine="0"/>
        <w:jc w:val="both"/>
        <w:rPr>
          <w:rFonts w:ascii="Palatino Linotype" w:eastAsia="Palatino Linotype" w:hAnsi="Palatino Linotype" w:cs="Palatino Linotype"/>
          <w:color w:val="000000"/>
        </w:rPr>
      </w:pPr>
      <w:r w:rsidRPr="005212F0">
        <w:rPr>
          <w:rFonts w:ascii="Palatino Linotype" w:eastAsia="Palatino Linotype" w:hAnsi="Palatino Linotype" w:cs="Palatino Linotype"/>
          <w:color w:val="000000"/>
        </w:rPr>
        <w:t xml:space="preserve">Debe destacarse, que debido a la información solicitada por el </w:t>
      </w:r>
      <w:r w:rsidRPr="005212F0">
        <w:rPr>
          <w:rFonts w:ascii="Palatino Linotype" w:eastAsia="Palatino Linotype" w:hAnsi="Palatino Linotype" w:cs="Palatino Linotype"/>
          <w:b/>
          <w:color w:val="000000"/>
        </w:rPr>
        <w:t xml:space="preserve">RECURRENTE, </w:t>
      </w:r>
      <w:r w:rsidRPr="005212F0">
        <w:rPr>
          <w:rFonts w:ascii="Palatino Linotype" w:eastAsia="Palatino Linotype" w:hAnsi="Palatino Linotype" w:cs="Palatino Linotype"/>
          <w:color w:val="000000"/>
        </w:rPr>
        <w:t xml:space="preserve">obran datos personales susceptibles de protegerse, así como información susceptible de clasificarse como confidencial,  por lo que, el </w:t>
      </w:r>
      <w:r w:rsidRPr="005212F0">
        <w:rPr>
          <w:rFonts w:ascii="Palatino Linotype" w:eastAsia="Palatino Linotype" w:hAnsi="Palatino Linotype" w:cs="Palatino Linotype"/>
          <w:b/>
          <w:color w:val="000000"/>
        </w:rPr>
        <w:t xml:space="preserve">SUJETO OBLIGADO </w:t>
      </w:r>
      <w:r w:rsidRPr="005212F0">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203E5473" w14:textId="77777777" w:rsidR="004E3E84" w:rsidRPr="005212F0" w:rsidRDefault="004E3E84">
      <w:pPr>
        <w:tabs>
          <w:tab w:val="left" w:pos="0"/>
          <w:tab w:val="left" w:pos="284"/>
        </w:tabs>
        <w:spacing w:line="360" w:lineRule="auto"/>
        <w:ind w:right="49"/>
        <w:jc w:val="both"/>
        <w:rPr>
          <w:rFonts w:ascii="Palatino Linotype" w:eastAsia="Palatino Linotype" w:hAnsi="Palatino Linotype" w:cs="Palatino Linotype"/>
        </w:rPr>
      </w:pPr>
    </w:p>
    <w:p w14:paraId="123A7A99" w14:textId="77777777" w:rsidR="004E3E84" w:rsidRPr="005212F0" w:rsidRDefault="00842494">
      <w:pPr>
        <w:numPr>
          <w:ilvl w:val="0"/>
          <w:numId w:val="9"/>
        </w:numPr>
        <w:tabs>
          <w:tab w:val="left" w:pos="284"/>
        </w:tabs>
        <w:spacing w:line="360" w:lineRule="auto"/>
        <w:ind w:left="0" w:right="49" w:firstLine="0"/>
        <w:jc w:val="both"/>
        <w:rPr>
          <w:rFonts w:ascii="Palatino Linotype" w:eastAsia="Palatino Linotype" w:hAnsi="Palatino Linotype" w:cs="Palatino Linotype"/>
          <w:color w:val="000000"/>
        </w:rPr>
      </w:pPr>
      <w:r w:rsidRPr="005212F0">
        <w:rPr>
          <w:rFonts w:ascii="Palatino Linotype" w:eastAsia="Palatino Linotype" w:hAnsi="Palatino Linotype" w:cs="Palatino Linotype"/>
          <w:color w:val="000000"/>
        </w:rPr>
        <w:t>No pasa desapercibido para este Órgano Garante que los sujetos obligados</w:t>
      </w:r>
      <w:r w:rsidRPr="005212F0">
        <w:rPr>
          <w:rFonts w:ascii="Palatino Linotype" w:eastAsia="Palatino Linotype" w:hAnsi="Palatino Linotype" w:cs="Palatino Linotype"/>
          <w:b/>
          <w:color w:val="000000"/>
        </w:rPr>
        <w:t xml:space="preserve"> </w:t>
      </w:r>
      <w:r w:rsidRPr="005212F0">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tbl>
      <w:tblPr>
        <w:tblStyle w:val="a"/>
        <w:tblW w:w="9209"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89"/>
        <w:gridCol w:w="6520"/>
      </w:tblGrid>
      <w:tr w:rsidR="004E3E84" w:rsidRPr="005212F0" w14:paraId="27CCE334" w14:textId="77777777" w:rsidTr="004E3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6439132" w14:textId="77777777" w:rsidR="004E3E84" w:rsidRPr="005212F0" w:rsidRDefault="00842494">
            <w:pPr>
              <w:tabs>
                <w:tab w:val="left" w:pos="284"/>
              </w:tabs>
              <w:spacing w:line="360" w:lineRule="auto"/>
              <w:rPr>
                <w:rFonts w:ascii="Palatino Linotype" w:eastAsia="Palatino Linotype" w:hAnsi="Palatino Linotype" w:cs="Palatino Linotype"/>
                <w:sz w:val="20"/>
              </w:rPr>
            </w:pPr>
            <w:r w:rsidRPr="005212F0">
              <w:rPr>
                <w:rFonts w:ascii="Palatino Linotype" w:eastAsia="Palatino Linotype" w:hAnsi="Palatino Linotype" w:cs="Palatino Linotype"/>
                <w:sz w:val="20"/>
              </w:rPr>
              <w:lastRenderedPageBreak/>
              <w:t>a) Requisitos previos.</w:t>
            </w:r>
          </w:p>
        </w:tc>
        <w:tc>
          <w:tcPr>
            <w:tcW w:w="6520" w:type="dxa"/>
          </w:tcPr>
          <w:p w14:paraId="2925F7BE" w14:textId="77777777" w:rsidR="004E3E84" w:rsidRPr="005212F0" w:rsidRDefault="00842494">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rPr>
            </w:pPr>
            <w:r w:rsidRPr="005212F0">
              <w:rPr>
                <w:rFonts w:ascii="Palatino Linotype" w:eastAsia="Palatino Linotype" w:hAnsi="Palatino Linotype" w:cs="Palatino Linotype"/>
                <w:color w:val="000000"/>
                <w:sz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309DFFED" w14:textId="77777777" w:rsidR="004E3E84" w:rsidRPr="005212F0" w:rsidRDefault="00842494">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rPr>
            </w:pPr>
            <w:r w:rsidRPr="005212F0">
              <w:rPr>
                <w:rFonts w:ascii="Palatino Linotype" w:eastAsia="Palatino Linotype" w:hAnsi="Palatino Linotype" w:cs="Palatino Linotype"/>
                <w:color w:val="000000"/>
                <w:sz w:val="20"/>
              </w:rPr>
              <w:t>Al hacerlo tienen que precisar de qué información se trata, señalando el supuesto de clasificación (confidencialidad o reserva).</w:t>
            </w:r>
          </w:p>
          <w:p w14:paraId="38700103" w14:textId="77777777" w:rsidR="004E3E84" w:rsidRPr="005212F0" w:rsidRDefault="00842494">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rPr>
            </w:pPr>
            <w:r w:rsidRPr="005212F0">
              <w:rPr>
                <w:rFonts w:ascii="Palatino Linotype" w:eastAsia="Palatino Linotype" w:hAnsi="Palatino Linotype" w:cs="Palatino Linotype"/>
                <w:color w:val="000000"/>
                <w:sz w:val="20"/>
              </w:rPr>
              <w:t>Además, se debe señalar el procedimiento, de los tres que establecen los artículos 132 y 106 de la Ley Estatal y General, respectivamente.</w:t>
            </w:r>
          </w:p>
          <w:p w14:paraId="3BE3A8BB" w14:textId="77777777" w:rsidR="004E3E84" w:rsidRPr="005212F0" w:rsidRDefault="00842494">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212F0">
              <w:rPr>
                <w:rFonts w:ascii="Palatino Linotype" w:eastAsia="Palatino Linotype" w:hAnsi="Palatino Linotype" w:cs="Palatino Linotype"/>
                <w:color w:val="000000"/>
                <w:sz w:val="20"/>
              </w:rPr>
              <w:t xml:space="preserve">El último de estos requisitos previos consiste en que no se pueden emitir acuerdos de carácter general ni particular, esto es, </w:t>
            </w:r>
            <w:r w:rsidRPr="005212F0">
              <w:rPr>
                <w:rFonts w:ascii="Palatino Linotype" w:eastAsia="Palatino Linotype" w:hAnsi="Palatino Linotype" w:cs="Palatino Linotype"/>
                <w:color w:val="000000"/>
                <w:sz w:val="20"/>
                <w:u w:val="single"/>
              </w:rPr>
              <w:t>no se puede hacer un acuerdo para clasificar de manera general todos los documentos de un expediente o área, sin</w:t>
            </w:r>
            <w:r w:rsidRPr="005212F0">
              <w:rPr>
                <w:rFonts w:ascii="Palatino Linotype" w:eastAsia="Palatino Linotype" w:hAnsi="Palatino Linotype" w:cs="Palatino Linotype"/>
                <w:color w:val="000000"/>
                <w:sz w:val="20"/>
              </w:rPr>
              <w:t xml:space="preserve"> individualizar su análisis y tampoco se puede hacer un acuerdo por cada dato que se vaya a clasificar dentro de un documento con diez datos, por ejemplo, susceptibles de ser clasificados.</w:t>
            </w:r>
          </w:p>
        </w:tc>
      </w:tr>
      <w:tr w:rsidR="004E3E84" w:rsidRPr="005212F0" w14:paraId="3E79FE04" w14:textId="77777777" w:rsidTr="004E3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A35107D" w14:textId="77777777" w:rsidR="004E3E84" w:rsidRPr="005212F0" w:rsidRDefault="00842494">
            <w:pPr>
              <w:tabs>
                <w:tab w:val="left" w:pos="284"/>
              </w:tabs>
              <w:spacing w:line="360" w:lineRule="auto"/>
              <w:rPr>
                <w:rFonts w:ascii="Palatino Linotype" w:eastAsia="Palatino Linotype" w:hAnsi="Palatino Linotype" w:cs="Palatino Linotype"/>
                <w:sz w:val="20"/>
              </w:rPr>
            </w:pPr>
            <w:r w:rsidRPr="005212F0">
              <w:rPr>
                <w:rFonts w:ascii="Palatino Linotype" w:eastAsia="Palatino Linotype" w:hAnsi="Palatino Linotype" w:cs="Palatino Linotype"/>
                <w:sz w:val="20"/>
              </w:rPr>
              <w:t>b) Supuestos de clasificación.</w:t>
            </w:r>
          </w:p>
        </w:tc>
        <w:tc>
          <w:tcPr>
            <w:tcW w:w="6520" w:type="dxa"/>
          </w:tcPr>
          <w:p w14:paraId="60C67A01" w14:textId="77777777" w:rsidR="004E3E84" w:rsidRPr="005212F0" w:rsidRDefault="00842494">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rPr>
            </w:pPr>
            <w:r w:rsidRPr="005212F0">
              <w:rPr>
                <w:rFonts w:ascii="Palatino Linotype" w:eastAsia="Palatino Linotype" w:hAnsi="Palatino Linotype" w:cs="Palatino Linotype"/>
                <w:color w:val="000000"/>
                <w:sz w:val="20"/>
              </w:rPr>
              <w:t>Las disposiciones constitucionales y legales en la materia establecen los dos supuestos generales para clasificar la información: por reserva y por confidencialidad.</w:t>
            </w:r>
          </w:p>
          <w:p w14:paraId="39435619" w14:textId="77777777" w:rsidR="004E3E84" w:rsidRPr="005212F0" w:rsidRDefault="00842494">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rPr>
            </w:pPr>
            <w:r w:rsidRPr="005212F0">
              <w:rPr>
                <w:rFonts w:ascii="Palatino Linotype" w:eastAsia="Palatino Linotype" w:hAnsi="Palatino Linotype" w:cs="Palatino Linotype"/>
                <w:color w:val="000000"/>
                <w:sz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674ADFD6" w14:textId="77777777" w:rsidR="004E3E84" w:rsidRPr="005212F0" w:rsidRDefault="00842494">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212F0">
              <w:rPr>
                <w:rFonts w:ascii="Palatino Linotype" w:eastAsia="Palatino Linotype" w:hAnsi="Palatino Linotype" w:cs="Palatino Linotype"/>
                <w:color w:val="000000"/>
                <w:sz w:val="20"/>
              </w:rPr>
              <w:lastRenderedPageBreak/>
              <w:t xml:space="preserve">El </w:t>
            </w:r>
            <w:r w:rsidRPr="005212F0">
              <w:rPr>
                <w:rFonts w:ascii="Palatino Linotype" w:eastAsia="Palatino Linotype" w:hAnsi="Palatino Linotype" w:cs="Palatino Linotype"/>
                <w:b/>
                <w:color w:val="000000"/>
                <w:sz w:val="20"/>
              </w:rPr>
              <w:t>Sujeto Obligado</w:t>
            </w:r>
            <w:r w:rsidRPr="005212F0">
              <w:rPr>
                <w:rFonts w:ascii="Palatino Linotype" w:eastAsia="Palatino Linotype" w:hAnsi="Palatino Linotype" w:cs="Palatino Linotype"/>
                <w:color w:val="000000"/>
                <w:sz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4E3E84" w:rsidRPr="005212F0" w14:paraId="000317AD" w14:textId="77777777" w:rsidTr="004E3E84">
        <w:tc>
          <w:tcPr>
            <w:cnfStyle w:val="001000000000" w:firstRow="0" w:lastRow="0" w:firstColumn="1" w:lastColumn="0" w:oddVBand="0" w:evenVBand="0" w:oddHBand="0" w:evenHBand="0" w:firstRowFirstColumn="0" w:firstRowLastColumn="0" w:lastRowFirstColumn="0" w:lastRowLastColumn="0"/>
            <w:tcW w:w="2689" w:type="dxa"/>
          </w:tcPr>
          <w:p w14:paraId="6912C128" w14:textId="77777777" w:rsidR="004E3E84" w:rsidRPr="005212F0" w:rsidRDefault="00842494">
            <w:pPr>
              <w:tabs>
                <w:tab w:val="left" w:pos="284"/>
              </w:tabs>
              <w:spacing w:line="360" w:lineRule="auto"/>
              <w:rPr>
                <w:rFonts w:ascii="Palatino Linotype" w:eastAsia="Palatino Linotype" w:hAnsi="Palatino Linotype" w:cs="Palatino Linotype"/>
                <w:sz w:val="20"/>
              </w:rPr>
            </w:pPr>
            <w:r w:rsidRPr="005212F0">
              <w:rPr>
                <w:rFonts w:ascii="Palatino Linotype" w:eastAsia="Palatino Linotype" w:hAnsi="Palatino Linotype" w:cs="Palatino Linotype"/>
                <w:sz w:val="20"/>
              </w:rPr>
              <w:lastRenderedPageBreak/>
              <w:t>c) Formalidades para emitir el acuerdo de clasificación.</w:t>
            </w:r>
          </w:p>
        </w:tc>
        <w:tc>
          <w:tcPr>
            <w:tcW w:w="6520" w:type="dxa"/>
          </w:tcPr>
          <w:p w14:paraId="0F891658" w14:textId="77777777" w:rsidR="004E3E84" w:rsidRPr="005212F0" w:rsidRDefault="00842494">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rPr>
            </w:pPr>
            <w:r w:rsidRPr="005212F0">
              <w:rPr>
                <w:rFonts w:ascii="Palatino Linotype" w:eastAsia="Palatino Linotype" w:hAnsi="Palatino Linotype" w:cs="Palatino Linotype"/>
                <w:color w:val="000000"/>
                <w:sz w:val="20"/>
              </w:rPr>
              <w:t xml:space="preserve">El Comité de Transparencia, según lo dispuesto en los artículos cuenta con las facultades para aprobar, modificar o revocar la clasificación de la información que haya propuesto. </w:t>
            </w:r>
          </w:p>
          <w:p w14:paraId="192AD648" w14:textId="77777777" w:rsidR="004E3E84" w:rsidRPr="005212F0" w:rsidRDefault="00842494">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rPr>
            </w:pPr>
            <w:r w:rsidRPr="005212F0">
              <w:rPr>
                <w:rFonts w:ascii="Palatino Linotype" w:eastAsia="Palatino Linotype" w:hAnsi="Palatino Linotype" w:cs="Palatino Linotype"/>
                <w:color w:val="000000"/>
                <w:sz w:val="20"/>
              </w:rPr>
              <w:t xml:space="preserve">Es necesario que </w:t>
            </w:r>
            <w:r w:rsidRPr="005212F0">
              <w:rPr>
                <w:rFonts w:ascii="Palatino Linotype" w:eastAsia="Palatino Linotype" w:hAnsi="Palatino Linotype" w:cs="Palatino Linotype"/>
                <w:b/>
                <w:color w:val="000000"/>
                <w:sz w:val="20"/>
                <w:u w:val="single"/>
              </w:rPr>
              <w:t>el acto reúna con los requisitos elementales</w:t>
            </w:r>
            <w:r w:rsidRPr="005212F0">
              <w:rPr>
                <w:rFonts w:ascii="Palatino Linotype" w:eastAsia="Palatino Linotype" w:hAnsi="Palatino Linotype" w:cs="Palatino Linotype"/>
                <w:color w:val="000000"/>
                <w:sz w:val="20"/>
              </w:rPr>
              <w:t>, entre ellos, que la autoridad que va a emitir el acto de autoridad sea la legalmente facultada para ello.</w:t>
            </w:r>
          </w:p>
          <w:p w14:paraId="1B6B575C" w14:textId="77777777" w:rsidR="004E3E84" w:rsidRPr="005212F0" w:rsidRDefault="00842494">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212F0">
              <w:rPr>
                <w:rFonts w:ascii="Palatino Linotype" w:eastAsia="Palatino Linotype" w:hAnsi="Palatino Linotype" w:cs="Palatino Linotype"/>
                <w:color w:val="000000"/>
                <w:sz w:val="2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4E3E84" w:rsidRPr="005212F0" w14:paraId="62962DF8" w14:textId="77777777" w:rsidTr="004E3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1B0049E" w14:textId="77777777" w:rsidR="004E3E84" w:rsidRPr="005212F0" w:rsidRDefault="004E3E84">
            <w:pPr>
              <w:tabs>
                <w:tab w:val="left" w:pos="284"/>
              </w:tabs>
              <w:spacing w:line="360" w:lineRule="auto"/>
              <w:rPr>
                <w:rFonts w:ascii="Palatino Linotype" w:eastAsia="Palatino Linotype" w:hAnsi="Palatino Linotype" w:cs="Palatino Linotype"/>
                <w:sz w:val="20"/>
              </w:rPr>
            </w:pPr>
          </w:p>
          <w:p w14:paraId="28ADE0CA" w14:textId="77777777" w:rsidR="004E3E84" w:rsidRPr="005212F0" w:rsidRDefault="00842494">
            <w:pPr>
              <w:tabs>
                <w:tab w:val="left" w:pos="284"/>
              </w:tabs>
              <w:spacing w:line="360" w:lineRule="auto"/>
              <w:jc w:val="both"/>
              <w:rPr>
                <w:rFonts w:ascii="Palatino Linotype" w:eastAsia="Palatino Linotype" w:hAnsi="Palatino Linotype" w:cs="Palatino Linotype"/>
                <w:sz w:val="20"/>
              </w:rPr>
            </w:pPr>
            <w:r w:rsidRPr="005212F0">
              <w:rPr>
                <w:rFonts w:ascii="Palatino Linotype" w:eastAsia="Palatino Linotype" w:hAnsi="Palatino Linotype" w:cs="Palatino Linotype"/>
                <w:color w:val="000000"/>
                <w:sz w:val="20"/>
              </w:rPr>
              <w:t xml:space="preserve">d) Requisitos de fondo del acuerdo de clasificación. </w:t>
            </w:r>
          </w:p>
        </w:tc>
        <w:tc>
          <w:tcPr>
            <w:tcW w:w="6520" w:type="dxa"/>
          </w:tcPr>
          <w:p w14:paraId="3195804F" w14:textId="77777777" w:rsidR="004E3E84" w:rsidRPr="005212F0" w:rsidRDefault="00842494">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rPr>
            </w:pPr>
            <w:r w:rsidRPr="005212F0">
              <w:rPr>
                <w:rFonts w:ascii="Palatino Linotype" w:eastAsia="Palatino Linotype" w:hAnsi="Palatino Linotype" w:cs="Palatino Linotype"/>
                <w:color w:val="000000"/>
                <w:sz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5212F0">
              <w:rPr>
                <w:rFonts w:ascii="Palatino Linotype" w:eastAsia="Palatino Linotype" w:hAnsi="Palatino Linotype" w:cs="Palatino Linotype"/>
                <w:b/>
                <w:color w:val="000000"/>
                <w:sz w:val="20"/>
              </w:rPr>
              <w:t>Sujetos Obligados</w:t>
            </w:r>
            <w:r w:rsidRPr="005212F0">
              <w:rPr>
                <w:rFonts w:ascii="Palatino Linotype" w:eastAsia="Palatino Linotype" w:hAnsi="Palatino Linotype" w:cs="Palatino Linotype"/>
                <w:color w:val="000000"/>
                <w:sz w:val="20"/>
              </w:rPr>
              <w:t xml:space="preserve">, por lo que deberán fundar y motivar debidamente la clasificación. </w:t>
            </w:r>
          </w:p>
          <w:p w14:paraId="4F682D81" w14:textId="77777777" w:rsidR="004E3E84" w:rsidRPr="005212F0" w:rsidRDefault="00842494">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rPr>
            </w:pPr>
            <w:r w:rsidRPr="005212F0">
              <w:rPr>
                <w:rFonts w:ascii="Palatino Linotype" w:eastAsia="Palatino Linotype" w:hAnsi="Palatino Linotype" w:cs="Palatino Linotype"/>
                <w:color w:val="000000"/>
                <w:sz w:val="20"/>
              </w:rPr>
              <w:t xml:space="preserve">De lo anterior, se desprende que para una correcta </w:t>
            </w:r>
            <w:r w:rsidRPr="005212F0">
              <w:rPr>
                <w:rFonts w:ascii="Palatino Linotype" w:eastAsia="Palatino Linotype" w:hAnsi="Palatino Linotype" w:cs="Palatino Linotype"/>
                <w:b/>
                <w:color w:val="000000"/>
                <w:sz w:val="20"/>
              </w:rPr>
              <w:t>clasificación total o parcial</w:t>
            </w:r>
            <w:r w:rsidRPr="005212F0">
              <w:rPr>
                <w:rFonts w:ascii="Palatino Linotype" w:eastAsia="Palatino Linotype" w:hAnsi="Palatino Linotype" w:cs="Palatino Linotype"/>
                <w:color w:val="000000"/>
                <w:sz w:val="20"/>
              </w:rPr>
              <w:t xml:space="preserve">, esto es determinar los datos que se suprimen en las versiones </w:t>
            </w:r>
            <w:r w:rsidRPr="005212F0">
              <w:rPr>
                <w:rFonts w:ascii="Palatino Linotype" w:eastAsia="Palatino Linotype" w:hAnsi="Palatino Linotype" w:cs="Palatino Linotype"/>
                <w:color w:val="000000"/>
                <w:sz w:val="20"/>
              </w:rPr>
              <w:lastRenderedPageBreak/>
              <w:t>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6AA6850A" w14:textId="77777777" w:rsidR="004E3E84" w:rsidRPr="005212F0" w:rsidRDefault="00842494">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rPr>
            </w:pPr>
            <w:r w:rsidRPr="005212F0">
              <w:rPr>
                <w:rFonts w:ascii="Palatino Linotype" w:eastAsia="Palatino Linotype" w:hAnsi="Palatino Linotype" w:cs="Palatino Linotype"/>
                <w:color w:val="000000"/>
                <w:sz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114ACA9F" w14:textId="77777777" w:rsidR="004E3E84" w:rsidRPr="005212F0" w:rsidRDefault="00842494">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rPr>
            </w:pPr>
            <w:r w:rsidRPr="005212F0">
              <w:rPr>
                <w:rFonts w:ascii="Palatino Linotype" w:eastAsia="Palatino Linotype" w:hAnsi="Palatino Linotype" w:cs="Palatino Linotype"/>
                <w:color w:val="000000"/>
                <w:sz w:val="20"/>
              </w:rPr>
              <w:t>En ese mismo sentido, el numeral trigésimo tercero fracción V de los Lineamientos Generales, precisa que para motivar la clasificación se deben acreditar las circunstancias de tiempo, modo y lugar.</w:t>
            </w:r>
          </w:p>
          <w:p w14:paraId="7D4BDE25" w14:textId="77777777" w:rsidR="004E3E84" w:rsidRPr="005212F0" w:rsidRDefault="00842494">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rPr>
            </w:pPr>
            <w:r w:rsidRPr="005212F0">
              <w:rPr>
                <w:rFonts w:ascii="Palatino Linotype" w:eastAsia="Palatino Linotype" w:hAnsi="Palatino Linotype" w:cs="Palatino Linotype"/>
                <w:color w:val="000000"/>
                <w:sz w:val="20"/>
              </w:rPr>
              <w:t xml:space="preserve">Ahora bien, </w:t>
            </w:r>
            <w:r w:rsidRPr="005212F0">
              <w:rPr>
                <w:rFonts w:ascii="Palatino Linotype" w:eastAsia="Palatino Linotype" w:hAnsi="Palatino Linotype" w:cs="Palatino Linotype"/>
                <w:b/>
                <w:color w:val="000000"/>
                <w:sz w:val="20"/>
                <w:u w:val="single"/>
              </w:rPr>
              <w:t>para cada caso además de fundar y motivar</w:t>
            </w:r>
            <w:r w:rsidRPr="005212F0">
              <w:rPr>
                <w:rFonts w:ascii="Palatino Linotype" w:eastAsia="Palatino Linotype" w:hAnsi="Palatino Linotype" w:cs="Palatino Linotype"/>
                <w:color w:val="000000"/>
                <w:sz w:val="2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4E3E84" w:rsidRPr="005212F0" w14:paraId="43B1F715" w14:textId="77777777" w:rsidTr="004E3E84">
        <w:tc>
          <w:tcPr>
            <w:cnfStyle w:val="001000000000" w:firstRow="0" w:lastRow="0" w:firstColumn="1" w:lastColumn="0" w:oddVBand="0" w:evenVBand="0" w:oddHBand="0" w:evenHBand="0" w:firstRowFirstColumn="0" w:firstRowLastColumn="0" w:lastRowFirstColumn="0" w:lastRowLastColumn="0"/>
            <w:tcW w:w="2689" w:type="dxa"/>
          </w:tcPr>
          <w:p w14:paraId="366E7F1A" w14:textId="77777777" w:rsidR="004E3E84" w:rsidRPr="005212F0" w:rsidRDefault="00842494">
            <w:pPr>
              <w:tabs>
                <w:tab w:val="left" w:pos="284"/>
              </w:tabs>
              <w:spacing w:line="360" w:lineRule="auto"/>
              <w:ind w:right="49"/>
              <w:jc w:val="both"/>
              <w:rPr>
                <w:rFonts w:ascii="Palatino Linotype" w:eastAsia="Palatino Linotype" w:hAnsi="Palatino Linotype" w:cs="Palatino Linotype"/>
                <w:sz w:val="20"/>
              </w:rPr>
            </w:pPr>
            <w:r w:rsidRPr="005212F0">
              <w:rPr>
                <w:rFonts w:ascii="Palatino Linotype" w:eastAsia="Palatino Linotype" w:hAnsi="Palatino Linotype" w:cs="Palatino Linotype"/>
                <w:sz w:val="20"/>
              </w:rPr>
              <w:lastRenderedPageBreak/>
              <w:t xml:space="preserve">e) Condiciones especiales de la clasificación de la información como confidencial. </w:t>
            </w:r>
          </w:p>
        </w:tc>
        <w:tc>
          <w:tcPr>
            <w:tcW w:w="6520" w:type="dxa"/>
          </w:tcPr>
          <w:p w14:paraId="480ED386" w14:textId="77777777" w:rsidR="004E3E84" w:rsidRPr="005212F0" w:rsidRDefault="00842494">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rPr>
            </w:pPr>
            <w:r w:rsidRPr="005212F0">
              <w:rPr>
                <w:rFonts w:ascii="Palatino Linotype" w:eastAsia="Palatino Linotype" w:hAnsi="Palatino Linotype" w:cs="Palatino Linotype"/>
                <w:color w:val="000000"/>
                <w:sz w:val="20"/>
              </w:rPr>
              <w:t xml:space="preserve">Los artículos 148 y 120 de la Ley Estatal y de la Ley General, respectivamente, establecen que aun tratándose de datos personales, se podrán proporcionar, incluso sin solicitar el consentimiento de su titular. </w:t>
            </w:r>
          </w:p>
          <w:p w14:paraId="7BD595AA" w14:textId="77777777" w:rsidR="004E3E84" w:rsidRPr="005212F0" w:rsidRDefault="00842494">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rPr>
            </w:pPr>
            <w:r w:rsidRPr="005212F0">
              <w:rPr>
                <w:rFonts w:ascii="Palatino Linotype" w:eastAsia="Palatino Linotype" w:hAnsi="Palatino Linotype" w:cs="Palatino Linotype"/>
                <w:color w:val="000000"/>
                <w:sz w:val="20"/>
              </w:rPr>
              <w:t xml:space="preserve">En el caso de lo señalado en la fracción IV, será el Instituto quien deba aplicar la prueba de interés público, considerando también que como </w:t>
            </w:r>
            <w:r w:rsidRPr="005212F0">
              <w:rPr>
                <w:rFonts w:ascii="Palatino Linotype" w:eastAsia="Palatino Linotype" w:hAnsi="Palatino Linotype" w:cs="Palatino Linotype"/>
                <w:color w:val="000000"/>
                <w:sz w:val="20"/>
              </w:rPr>
              <w:lastRenderedPageBreak/>
              <w:t xml:space="preserve">recientemente ha discutido la Suprema Corte de Justicia de la Nación, los servidores públicos nos encontramos sujetos a un régimen menor de protección. </w:t>
            </w:r>
          </w:p>
          <w:p w14:paraId="4BDBA0BB" w14:textId="77777777" w:rsidR="004E3E84" w:rsidRPr="005212F0" w:rsidRDefault="00842494">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212F0">
              <w:rPr>
                <w:rFonts w:ascii="Palatino Linotype" w:eastAsia="Palatino Linotype" w:hAnsi="Palatino Linotype" w:cs="Palatino Linotype"/>
                <w:color w:val="000000"/>
                <w:sz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1D60AF9B" w14:textId="77777777" w:rsidR="004E3E84" w:rsidRPr="005212F0" w:rsidRDefault="004E3E84">
      <w:pPr>
        <w:tabs>
          <w:tab w:val="left" w:pos="284"/>
        </w:tabs>
        <w:spacing w:line="360" w:lineRule="auto"/>
        <w:rPr>
          <w:rFonts w:ascii="Palatino Linotype" w:eastAsia="Palatino Linotype" w:hAnsi="Palatino Linotype" w:cs="Palatino Linotype"/>
          <w:color w:val="000000"/>
        </w:rPr>
      </w:pPr>
    </w:p>
    <w:p w14:paraId="213D9205" w14:textId="77777777" w:rsidR="004E3E84" w:rsidRPr="005212F0" w:rsidRDefault="00842494">
      <w:pPr>
        <w:numPr>
          <w:ilvl w:val="0"/>
          <w:numId w:val="9"/>
        </w:numPr>
        <w:tabs>
          <w:tab w:val="left" w:pos="284"/>
        </w:tabs>
        <w:spacing w:line="360" w:lineRule="auto"/>
        <w:ind w:left="0" w:firstLine="0"/>
        <w:jc w:val="both"/>
        <w:rPr>
          <w:rFonts w:ascii="Palatino Linotype" w:eastAsia="Palatino Linotype" w:hAnsi="Palatino Linotype" w:cs="Palatino Linotype"/>
          <w:color w:val="000000"/>
        </w:rPr>
      </w:pPr>
      <w:r w:rsidRPr="005212F0">
        <w:rPr>
          <w:rFonts w:ascii="Palatino Linotype" w:eastAsia="Palatino Linotype" w:hAnsi="Palatino Linotype" w:cs="Palatino Linotype"/>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521792F2" w14:textId="77777777" w:rsidR="004E3E84" w:rsidRPr="005212F0" w:rsidRDefault="004E3E84">
      <w:pPr>
        <w:pBdr>
          <w:top w:val="nil"/>
          <w:left w:val="nil"/>
          <w:bottom w:val="nil"/>
          <w:right w:val="nil"/>
          <w:between w:val="nil"/>
        </w:pBdr>
        <w:spacing w:line="360" w:lineRule="auto"/>
        <w:jc w:val="both"/>
        <w:rPr>
          <w:rFonts w:ascii="Palatino Linotype" w:eastAsia="Palatino Linotype" w:hAnsi="Palatino Linotype" w:cs="Palatino Linotype"/>
          <w:b/>
        </w:rPr>
      </w:pPr>
    </w:p>
    <w:p w14:paraId="6D6D328A" w14:textId="77777777" w:rsidR="004E3E84" w:rsidRPr="005212F0" w:rsidRDefault="00842494">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b/>
        </w:rPr>
      </w:pPr>
      <w:r w:rsidRPr="005212F0">
        <w:rPr>
          <w:rFonts w:ascii="Palatino Linotype" w:eastAsia="Palatino Linotype" w:hAnsi="Palatino Linotype" w:cs="Palatino Linotype"/>
        </w:rPr>
        <w:t xml:space="preserve">Es por lo anterior que resulta dable </w:t>
      </w:r>
      <w:r w:rsidRPr="005212F0">
        <w:rPr>
          <w:rFonts w:ascii="Palatino Linotype" w:eastAsia="Palatino Linotype" w:hAnsi="Palatino Linotype" w:cs="Palatino Linotype"/>
          <w:b/>
        </w:rPr>
        <w:t xml:space="preserve">REVOCAR </w:t>
      </w:r>
      <w:r w:rsidRPr="005212F0">
        <w:rPr>
          <w:rFonts w:ascii="Palatino Linotype" w:eastAsia="Palatino Linotype" w:hAnsi="Palatino Linotype" w:cs="Palatino Linotype"/>
        </w:rPr>
        <w:t xml:space="preserve">la respuesta del </w:t>
      </w:r>
      <w:r w:rsidRPr="005212F0">
        <w:rPr>
          <w:rFonts w:ascii="Palatino Linotype" w:eastAsia="Palatino Linotype" w:hAnsi="Palatino Linotype" w:cs="Palatino Linotype"/>
          <w:b/>
        </w:rPr>
        <w:t>SUJETO OBLIGADO</w:t>
      </w:r>
      <w:r w:rsidRPr="005212F0">
        <w:rPr>
          <w:rFonts w:ascii="Palatino Linotype" w:eastAsia="Palatino Linotype" w:hAnsi="Palatino Linotype" w:cs="Palatino Linotype"/>
        </w:rPr>
        <w:t xml:space="preserve"> y ordenar la entrega de información solicitada</w:t>
      </w:r>
      <w:r w:rsidRPr="005212F0">
        <w:rPr>
          <w:rFonts w:ascii="Palatino Linotype" w:eastAsia="Palatino Linotype" w:hAnsi="Palatino Linotype" w:cs="Palatino Linotype"/>
          <w:b/>
        </w:rPr>
        <w:t xml:space="preserve">, </w:t>
      </w:r>
      <w:r w:rsidRPr="005212F0">
        <w:rPr>
          <w:rFonts w:ascii="Palatino Linotype" w:eastAsia="Palatino Linotype" w:hAnsi="Palatino Linotype" w:cs="Palatino Linotype"/>
        </w:rPr>
        <w:t xml:space="preserve">lo anterior para satisfacer el derecho de acceso a la información del </w:t>
      </w:r>
      <w:r w:rsidRPr="005212F0">
        <w:rPr>
          <w:rFonts w:ascii="Palatino Linotype" w:eastAsia="Palatino Linotype" w:hAnsi="Palatino Linotype" w:cs="Palatino Linotype"/>
          <w:b/>
        </w:rPr>
        <w:t xml:space="preserve">RECURRENTE. </w:t>
      </w:r>
    </w:p>
    <w:p w14:paraId="1138D62A" w14:textId="77777777" w:rsidR="004E3E84" w:rsidRPr="005212F0" w:rsidRDefault="004E3E84">
      <w:pPr>
        <w:spacing w:line="360" w:lineRule="auto"/>
        <w:jc w:val="both"/>
        <w:rPr>
          <w:rFonts w:ascii="Palatino Linotype" w:eastAsia="Palatino Linotype" w:hAnsi="Palatino Linotype" w:cs="Palatino Linotype"/>
          <w:color w:val="000000"/>
        </w:rPr>
      </w:pPr>
    </w:p>
    <w:p w14:paraId="4C7CD0D0" w14:textId="77777777" w:rsidR="004E3E84" w:rsidRPr="005212F0" w:rsidRDefault="00842494">
      <w:pPr>
        <w:numPr>
          <w:ilvl w:val="0"/>
          <w:numId w:val="9"/>
        </w:numPr>
        <w:spacing w:line="360" w:lineRule="auto"/>
        <w:ind w:left="0" w:right="34" w:firstLine="0"/>
        <w:jc w:val="both"/>
        <w:rPr>
          <w:rFonts w:ascii="Palatino Linotype" w:eastAsia="Palatino Linotype" w:hAnsi="Palatino Linotype" w:cs="Palatino Linotype"/>
          <w:color w:val="000000"/>
        </w:rPr>
      </w:pPr>
      <w:r w:rsidRPr="005212F0">
        <w:rPr>
          <w:rFonts w:ascii="Palatino Linotype" w:eastAsia="Palatino Linotype" w:hAnsi="Palatino Linotype" w:cs="Palatino Linotype"/>
        </w:rPr>
        <w:t>Por lo anteriormente expuesto, este Órgano Garante considera  fundadas las razones o motivos de inconformidad que plantea el</w:t>
      </w:r>
      <w:r w:rsidRPr="005212F0">
        <w:rPr>
          <w:rFonts w:ascii="Palatino Linotype" w:eastAsia="Palatino Linotype" w:hAnsi="Palatino Linotype" w:cs="Palatino Linotype"/>
          <w:b/>
        </w:rPr>
        <w:t xml:space="preserve"> RECURRENTE</w:t>
      </w:r>
      <w:r w:rsidRPr="005212F0">
        <w:rPr>
          <w:rFonts w:ascii="Palatino Linotype" w:eastAsia="Palatino Linotype" w:hAnsi="Palatino Linotype" w:cs="Palatino Linotype"/>
        </w:rPr>
        <w:t xml:space="preserve">, determinando </w:t>
      </w:r>
      <w:r w:rsidRPr="005212F0">
        <w:rPr>
          <w:rFonts w:ascii="Palatino Linotype" w:eastAsia="Palatino Linotype" w:hAnsi="Palatino Linotype" w:cs="Palatino Linotype"/>
          <w:b/>
        </w:rPr>
        <w:t>REVOCAR</w:t>
      </w:r>
      <w:r w:rsidRPr="005212F0">
        <w:rPr>
          <w:rFonts w:ascii="Palatino Linotype" w:eastAsia="Palatino Linotype" w:hAnsi="Palatino Linotype" w:cs="Palatino Linotype"/>
        </w:rPr>
        <w:t xml:space="preserve"> la respuesta del </w:t>
      </w:r>
      <w:r w:rsidRPr="005212F0">
        <w:rPr>
          <w:rFonts w:ascii="Palatino Linotype" w:eastAsia="Palatino Linotype" w:hAnsi="Palatino Linotype" w:cs="Palatino Linotype"/>
          <w:b/>
        </w:rPr>
        <w:t>SUJETO OBLIGADO</w:t>
      </w:r>
      <w:r w:rsidRPr="005212F0">
        <w:rPr>
          <w:rFonts w:ascii="Palatino Linotype" w:eastAsia="Palatino Linotype" w:hAnsi="Palatino Linotype" w:cs="Palatino Linotype"/>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w:t>
      </w:r>
      <w:r w:rsidRPr="005212F0">
        <w:rPr>
          <w:rFonts w:ascii="Palatino Linotype" w:eastAsia="Palatino Linotype" w:hAnsi="Palatino Linotype" w:cs="Palatino Linotype"/>
        </w:rPr>
        <w:lastRenderedPageBreak/>
        <w:t xml:space="preserve">Transparencia y Acceso a la Información Pública del Estado de México y Municipios, </w:t>
      </w:r>
      <w:r w:rsidRPr="005212F0">
        <w:rPr>
          <w:rFonts w:ascii="Palatino Linotype" w:eastAsia="Palatino Linotype" w:hAnsi="Palatino Linotype" w:cs="Palatino Linotype"/>
          <w:color w:val="000000"/>
        </w:rPr>
        <w:t xml:space="preserve">este </w:t>
      </w:r>
      <w:r w:rsidRPr="005212F0">
        <w:rPr>
          <w:rFonts w:ascii="Palatino Linotype" w:eastAsia="Palatino Linotype" w:hAnsi="Palatino Linotype" w:cs="Palatino Linotype"/>
          <w:b/>
          <w:color w:val="000000"/>
        </w:rPr>
        <w:t>ÓRGANO GARANTE</w:t>
      </w:r>
      <w:r w:rsidRPr="005212F0">
        <w:rPr>
          <w:rFonts w:ascii="Palatino Linotype" w:eastAsia="Palatino Linotype" w:hAnsi="Palatino Linotype" w:cs="Palatino Linotype"/>
          <w:color w:val="000000"/>
        </w:rPr>
        <w:t xml:space="preserve"> emite los siguientes.</w:t>
      </w:r>
    </w:p>
    <w:p w14:paraId="6B63A74F" w14:textId="77777777" w:rsidR="004E3E84" w:rsidRPr="005212F0" w:rsidRDefault="004E3E84">
      <w:pPr>
        <w:spacing w:line="360" w:lineRule="auto"/>
        <w:ind w:right="34"/>
        <w:jc w:val="both"/>
        <w:rPr>
          <w:rFonts w:ascii="Palatino Linotype" w:eastAsia="Palatino Linotype" w:hAnsi="Palatino Linotype" w:cs="Palatino Linotype"/>
          <w:color w:val="000000"/>
        </w:rPr>
      </w:pPr>
    </w:p>
    <w:p w14:paraId="6916632E" w14:textId="77777777" w:rsidR="004E3E84" w:rsidRPr="005212F0" w:rsidRDefault="00842494">
      <w:pPr>
        <w:keepNext/>
        <w:keepLines/>
        <w:spacing w:line="360" w:lineRule="auto"/>
        <w:jc w:val="center"/>
        <w:rPr>
          <w:rFonts w:ascii="Palatino Linotype" w:eastAsia="Palatino Linotype" w:hAnsi="Palatino Linotype" w:cs="Palatino Linotype"/>
          <w:b/>
          <w:color w:val="000000"/>
        </w:rPr>
      </w:pPr>
      <w:r w:rsidRPr="005212F0">
        <w:rPr>
          <w:rFonts w:ascii="Palatino Linotype" w:eastAsia="Palatino Linotype" w:hAnsi="Palatino Linotype" w:cs="Palatino Linotype"/>
          <w:b/>
          <w:color w:val="000000"/>
        </w:rPr>
        <w:t>R E S O L U T I V O S</w:t>
      </w:r>
    </w:p>
    <w:p w14:paraId="1AE7C1B1" w14:textId="77777777" w:rsidR="004E3E84" w:rsidRPr="005212F0" w:rsidRDefault="004E3E84">
      <w:pPr>
        <w:spacing w:line="360" w:lineRule="auto"/>
        <w:rPr>
          <w:rFonts w:ascii="Palatino Linotype" w:eastAsia="Palatino Linotype" w:hAnsi="Palatino Linotype" w:cs="Palatino Linotype"/>
        </w:rPr>
      </w:pPr>
    </w:p>
    <w:p w14:paraId="47FE5EF2" w14:textId="77777777" w:rsidR="004E3E84" w:rsidRPr="005212F0" w:rsidRDefault="00842494">
      <w:pPr>
        <w:spacing w:line="360" w:lineRule="auto"/>
        <w:jc w:val="both"/>
        <w:rPr>
          <w:rFonts w:ascii="Palatino Linotype" w:eastAsia="Palatino Linotype" w:hAnsi="Palatino Linotype" w:cs="Palatino Linotype"/>
        </w:rPr>
      </w:pPr>
      <w:r w:rsidRPr="005212F0">
        <w:rPr>
          <w:rFonts w:ascii="Palatino Linotype" w:eastAsia="Palatino Linotype" w:hAnsi="Palatino Linotype" w:cs="Palatino Linotype"/>
          <w:b/>
        </w:rPr>
        <w:t>PRIMERO</w:t>
      </w:r>
      <w:r w:rsidRPr="005212F0">
        <w:rPr>
          <w:rFonts w:ascii="Palatino Linotype" w:eastAsia="Palatino Linotype" w:hAnsi="Palatino Linotype" w:cs="Palatino Linotype"/>
        </w:rPr>
        <w:t xml:space="preserve">. Resultan fundadas las razones o motivos de inconformidad hechos valer en el Recurso de Revisión </w:t>
      </w:r>
      <w:r w:rsidRPr="005212F0">
        <w:rPr>
          <w:rFonts w:ascii="Palatino Linotype" w:eastAsia="Palatino Linotype" w:hAnsi="Palatino Linotype" w:cs="Palatino Linotype"/>
          <w:b/>
        </w:rPr>
        <w:t>03678/INFOEM/IP/RR/2023</w:t>
      </w:r>
      <w:r w:rsidRPr="005212F0">
        <w:rPr>
          <w:rFonts w:ascii="Palatino Linotype" w:eastAsia="Palatino Linotype" w:hAnsi="Palatino Linotype" w:cs="Palatino Linotype"/>
        </w:rPr>
        <w:t>,</w:t>
      </w:r>
      <w:r w:rsidRPr="005212F0">
        <w:rPr>
          <w:rFonts w:ascii="Palatino Linotype" w:eastAsia="Palatino Linotype" w:hAnsi="Palatino Linotype" w:cs="Palatino Linotype"/>
          <w:b/>
        </w:rPr>
        <w:t xml:space="preserve"> </w:t>
      </w:r>
      <w:r w:rsidRPr="005212F0">
        <w:rPr>
          <w:rFonts w:ascii="Palatino Linotype" w:eastAsia="Palatino Linotype" w:hAnsi="Palatino Linotype" w:cs="Palatino Linotype"/>
        </w:rPr>
        <w:t xml:space="preserve">en términos de los Considerandos </w:t>
      </w:r>
      <w:r w:rsidRPr="005212F0">
        <w:rPr>
          <w:rFonts w:ascii="Palatino Linotype" w:eastAsia="Palatino Linotype" w:hAnsi="Palatino Linotype" w:cs="Palatino Linotype"/>
          <w:b/>
        </w:rPr>
        <w:t xml:space="preserve">CUARTO y QUINTO </w:t>
      </w:r>
      <w:r w:rsidRPr="005212F0">
        <w:rPr>
          <w:rFonts w:ascii="Palatino Linotype" w:eastAsia="Palatino Linotype" w:hAnsi="Palatino Linotype" w:cs="Palatino Linotype"/>
        </w:rPr>
        <w:t>de la presente resolución.</w:t>
      </w:r>
    </w:p>
    <w:p w14:paraId="048D33DF" w14:textId="77777777" w:rsidR="004E3E84" w:rsidRPr="005212F0" w:rsidRDefault="004E3E84">
      <w:pPr>
        <w:spacing w:line="360" w:lineRule="auto"/>
        <w:jc w:val="both"/>
        <w:rPr>
          <w:rFonts w:ascii="Palatino Linotype" w:eastAsia="Palatino Linotype" w:hAnsi="Palatino Linotype" w:cs="Palatino Linotype"/>
        </w:rPr>
      </w:pPr>
    </w:p>
    <w:p w14:paraId="380BB034" w14:textId="41A2C2DE" w:rsidR="004E3E84" w:rsidRPr="005212F0" w:rsidRDefault="00842494">
      <w:pPr>
        <w:spacing w:line="360" w:lineRule="auto"/>
        <w:jc w:val="both"/>
        <w:rPr>
          <w:rFonts w:ascii="Palatino Linotype" w:eastAsia="Palatino Linotype" w:hAnsi="Palatino Linotype" w:cs="Palatino Linotype"/>
          <w:b/>
        </w:rPr>
      </w:pPr>
      <w:bookmarkStart w:id="12" w:name="_heading=h.26in1rg" w:colFirst="0" w:colLast="0"/>
      <w:bookmarkEnd w:id="12"/>
      <w:r w:rsidRPr="005212F0">
        <w:rPr>
          <w:rFonts w:ascii="Palatino Linotype" w:eastAsia="Palatino Linotype" w:hAnsi="Palatino Linotype" w:cs="Palatino Linotype"/>
          <w:b/>
        </w:rPr>
        <w:t xml:space="preserve">SEGUNDO. </w:t>
      </w:r>
      <w:r w:rsidRPr="005212F0">
        <w:rPr>
          <w:rFonts w:ascii="Palatino Linotype" w:eastAsia="Palatino Linotype" w:hAnsi="Palatino Linotype" w:cs="Palatino Linotype"/>
          <w:color w:val="000000"/>
        </w:rPr>
        <w:t xml:space="preserve">Se </w:t>
      </w:r>
      <w:r w:rsidRPr="005212F0">
        <w:rPr>
          <w:rFonts w:ascii="Palatino Linotype" w:eastAsia="Palatino Linotype" w:hAnsi="Palatino Linotype" w:cs="Palatino Linotype"/>
          <w:b/>
          <w:color w:val="000000"/>
        </w:rPr>
        <w:t xml:space="preserve">REVOCA </w:t>
      </w:r>
      <w:r w:rsidRPr="005212F0">
        <w:rPr>
          <w:rFonts w:ascii="Palatino Linotype" w:eastAsia="Palatino Linotype" w:hAnsi="Palatino Linotype" w:cs="Palatino Linotype"/>
          <w:color w:val="000000"/>
        </w:rPr>
        <w:t xml:space="preserve">la respuesta emitida por el </w:t>
      </w:r>
      <w:r w:rsidRPr="005212F0">
        <w:rPr>
          <w:rFonts w:ascii="Palatino Linotype" w:eastAsia="Palatino Linotype" w:hAnsi="Palatino Linotype" w:cs="Palatino Linotype"/>
          <w:b/>
          <w:color w:val="000000"/>
        </w:rPr>
        <w:t xml:space="preserve">Ayuntamiento de Zinacantepec </w:t>
      </w:r>
      <w:r w:rsidRPr="005212F0">
        <w:rPr>
          <w:rFonts w:ascii="Palatino Linotype" w:eastAsia="Palatino Linotype" w:hAnsi="Palatino Linotype" w:cs="Palatino Linotype"/>
          <w:color w:val="000000"/>
        </w:rPr>
        <w:t xml:space="preserve">y se </w:t>
      </w:r>
      <w:r w:rsidRPr="005212F0">
        <w:rPr>
          <w:rFonts w:ascii="Palatino Linotype" w:eastAsia="Palatino Linotype" w:hAnsi="Palatino Linotype" w:cs="Palatino Linotype"/>
          <w:b/>
          <w:color w:val="000000"/>
        </w:rPr>
        <w:t>ORDENA</w:t>
      </w:r>
      <w:r w:rsidRPr="005212F0">
        <w:rPr>
          <w:rFonts w:ascii="Palatino Linotype" w:eastAsia="Palatino Linotype" w:hAnsi="Palatino Linotype" w:cs="Palatino Linotype"/>
          <w:color w:val="000000"/>
        </w:rPr>
        <w:t xml:space="preserve"> entregar vía Sistema de Acceso a la Información Mexiquense </w:t>
      </w:r>
      <w:r w:rsidRPr="005212F0">
        <w:rPr>
          <w:rFonts w:ascii="Palatino Linotype" w:eastAsia="Palatino Linotype" w:hAnsi="Palatino Linotype" w:cs="Palatino Linotype"/>
          <w:b/>
          <w:color w:val="000000"/>
        </w:rPr>
        <w:t>(SAIMEX)</w:t>
      </w:r>
      <w:r w:rsidRPr="005212F0">
        <w:rPr>
          <w:rFonts w:ascii="Palatino Linotype" w:eastAsia="Palatino Linotype" w:hAnsi="Palatino Linotype" w:cs="Palatino Linotype"/>
          <w:color w:val="000000"/>
        </w:rPr>
        <w:t>,</w:t>
      </w:r>
      <w:r w:rsidR="008475ED" w:rsidRPr="005212F0">
        <w:rPr>
          <w:rFonts w:ascii="Palatino Linotype" w:eastAsia="Palatino Linotype" w:hAnsi="Palatino Linotype" w:cs="Palatino Linotype"/>
          <w:color w:val="000000"/>
        </w:rPr>
        <w:t xml:space="preserve"> previa búsqueda exhaustiva</w:t>
      </w:r>
      <w:r w:rsidR="00EE3C2F" w:rsidRPr="005212F0">
        <w:rPr>
          <w:rFonts w:ascii="Palatino Linotype" w:eastAsia="Palatino Linotype" w:hAnsi="Palatino Linotype" w:cs="Palatino Linotype"/>
          <w:color w:val="000000"/>
        </w:rPr>
        <w:t xml:space="preserve"> y razonable </w:t>
      </w:r>
      <w:r w:rsidRPr="005212F0">
        <w:rPr>
          <w:rFonts w:ascii="Palatino Linotype" w:eastAsia="Palatino Linotype" w:hAnsi="Palatino Linotype" w:cs="Palatino Linotype"/>
          <w:color w:val="000000"/>
        </w:rPr>
        <w:t xml:space="preserve"> la siguiente información</w:t>
      </w:r>
      <w:r w:rsidRPr="005212F0">
        <w:rPr>
          <w:rFonts w:ascii="Palatino Linotype" w:eastAsia="Palatino Linotype" w:hAnsi="Palatino Linotype" w:cs="Palatino Linotype"/>
          <w:b/>
        </w:rPr>
        <w:t xml:space="preserve"> </w:t>
      </w:r>
      <w:r w:rsidRPr="005212F0">
        <w:rPr>
          <w:rFonts w:ascii="Palatino Linotype" w:eastAsia="Palatino Linotype" w:hAnsi="Palatino Linotype" w:cs="Palatino Linotype"/>
        </w:rPr>
        <w:t>en versión pública:</w:t>
      </w:r>
    </w:p>
    <w:p w14:paraId="33738B97" w14:textId="77777777" w:rsidR="004E3E84" w:rsidRPr="005212F0" w:rsidRDefault="004E3E84">
      <w:pPr>
        <w:spacing w:line="360" w:lineRule="auto"/>
        <w:jc w:val="both"/>
        <w:rPr>
          <w:rFonts w:ascii="Palatino Linotype" w:eastAsia="Palatino Linotype" w:hAnsi="Palatino Linotype" w:cs="Palatino Linotype"/>
          <w:b/>
        </w:rPr>
      </w:pPr>
    </w:p>
    <w:p w14:paraId="72BEEB61" w14:textId="77777777" w:rsidR="004E3E84" w:rsidRPr="005212F0" w:rsidRDefault="00842494">
      <w:pPr>
        <w:numPr>
          <w:ilvl w:val="0"/>
          <w:numId w:val="1"/>
        </w:numPr>
        <w:pBdr>
          <w:top w:val="nil"/>
          <w:left w:val="nil"/>
          <w:bottom w:val="nil"/>
          <w:right w:val="nil"/>
          <w:between w:val="nil"/>
        </w:pBdr>
        <w:spacing w:line="360" w:lineRule="auto"/>
        <w:ind w:left="993"/>
        <w:jc w:val="both"/>
        <w:rPr>
          <w:rFonts w:ascii="Palatino Linotype" w:eastAsia="Palatino Linotype" w:hAnsi="Palatino Linotype" w:cs="Palatino Linotype"/>
          <w:b/>
          <w:color w:val="000000"/>
        </w:rPr>
      </w:pPr>
      <w:bookmarkStart w:id="13" w:name="_heading=h.lnxbz9" w:colFirst="0" w:colLast="0"/>
      <w:bookmarkEnd w:id="13"/>
      <w:r w:rsidRPr="005212F0">
        <w:rPr>
          <w:rFonts w:ascii="Palatino Linotype" w:eastAsia="Palatino Linotype" w:hAnsi="Palatino Linotype" w:cs="Palatino Linotype"/>
          <w:b/>
          <w:color w:val="000000"/>
        </w:rPr>
        <w:t>La Constancia de Mayoría de los tres últimos presidentes municipales del Ayuntamiento de Zinacantepec.</w:t>
      </w:r>
    </w:p>
    <w:p w14:paraId="2158EC0A" w14:textId="77777777" w:rsidR="002F1FFA" w:rsidRPr="005212F0" w:rsidRDefault="002F1FFA">
      <w:pPr>
        <w:spacing w:line="360" w:lineRule="auto"/>
        <w:jc w:val="both"/>
        <w:rPr>
          <w:rFonts w:ascii="Palatino Linotype" w:eastAsia="Palatino Linotype" w:hAnsi="Palatino Linotype" w:cs="Palatino Linotype"/>
        </w:rPr>
      </w:pPr>
    </w:p>
    <w:p w14:paraId="6B640296" w14:textId="77777777" w:rsidR="004E3E84" w:rsidRPr="005212F0" w:rsidRDefault="00842494">
      <w:pPr>
        <w:spacing w:line="360" w:lineRule="auto"/>
        <w:jc w:val="both"/>
        <w:rPr>
          <w:rFonts w:ascii="Palatino Linotype" w:eastAsia="Palatino Linotype" w:hAnsi="Palatino Linotype" w:cs="Palatino Linotype"/>
        </w:rPr>
      </w:pPr>
      <w:r w:rsidRPr="005212F0">
        <w:rPr>
          <w:rFonts w:ascii="Palatino Linotype" w:eastAsia="Palatino Linotype" w:hAnsi="Palatino Linotype" w:cs="Palatino Linotype"/>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w:t>
      </w:r>
      <w:r w:rsidRPr="005212F0">
        <w:rPr>
          <w:rFonts w:ascii="Palatino Linotype" w:eastAsia="Palatino Linotype" w:hAnsi="Palatino Linotype" w:cs="Palatino Linotype"/>
          <w:b/>
        </w:rPr>
        <w:t>EL RECURRENTE</w:t>
      </w:r>
      <w:r w:rsidRPr="005212F0">
        <w:rPr>
          <w:rFonts w:ascii="Palatino Linotype" w:eastAsia="Palatino Linotype" w:hAnsi="Palatino Linotype" w:cs="Palatino Linotype"/>
        </w:rPr>
        <w:t>.</w:t>
      </w:r>
    </w:p>
    <w:p w14:paraId="76C43537" w14:textId="77777777" w:rsidR="004E3E84" w:rsidRPr="005212F0" w:rsidRDefault="004E3E84">
      <w:pPr>
        <w:rPr>
          <w:rFonts w:ascii="Palatino Linotype" w:eastAsia="Palatino Linotype" w:hAnsi="Palatino Linotype" w:cs="Palatino Linotype"/>
          <w:b/>
        </w:rPr>
      </w:pPr>
    </w:p>
    <w:p w14:paraId="603A8194" w14:textId="77777777" w:rsidR="004E3E84" w:rsidRPr="005212F0" w:rsidRDefault="00842494">
      <w:pPr>
        <w:spacing w:line="360" w:lineRule="auto"/>
        <w:jc w:val="both"/>
        <w:rPr>
          <w:rFonts w:ascii="Palatino Linotype" w:eastAsia="Palatino Linotype" w:hAnsi="Palatino Linotype" w:cs="Palatino Linotype"/>
        </w:rPr>
      </w:pPr>
      <w:r w:rsidRPr="005212F0">
        <w:rPr>
          <w:rFonts w:ascii="Palatino Linotype" w:eastAsia="Palatino Linotype" w:hAnsi="Palatino Linotype" w:cs="Palatino Linotype"/>
          <w:b/>
        </w:rPr>
        <w:lastRenderedPageBreak/>
        <w:t>TERCERO</w:t>
      </w:r>
      <w:r w:rsidRPr="005212F0">
        <w:rPr>
          <w:rFonts w:ascii="Palatino Linotype" w:eastAsia="Palatino Linotype" w:hAnsi="Palatino Linotype" w:cs="Palatino Linotype"/>
        </w:rPr>
        <w:t xml:space="preserve">. Notifíquese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5212F0">
        <w:rPr>
          <w:rFonts w:ascii="Palatino Linotype" w:eastAsia="Palatino Linotype" w:hAnsi="Palatino Linotype" w:cs="Palatino Linotype"/>
          <w:b/>
        </w:rPr>
        <w:t>dé cumplimiento a lo ordenado dentro del plazo de diez días hábiles,</w:t>
      </w:r>
      <w:r w:rsidRPr="005212F0">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F89FBAF" w14:textId="77777777" w:rsidR="004E3E84" w:rsidRPr="005212F0" w:rsidRDefault="004E3E84">
      <w:pPr>
        <w:tabs>
          <w:tab w:val="left" w:pos="8080"/>
        </w:tabs>
        <w:spacing w:line="360" w:lineRule="auto"/>
        <w:ind w:right="49"/>
        <w:jc w:val="both"/>
        <w:rPr>
          <w:rFonts w:ascii="Palatino Linotype" w:eastAsia="Palatino Linotype" w:hAnsi="Palatino Linotype" w:cs="Palatino Linotype"/>
        </w:rPr>
      </w:pPr>
    </w:p>
    <w:p w14:paraId="2B893826" w14:textId="77777777" w:rsidR="004E3E84" w:rsidRPr="005212F0" w:rsidRDefault="00842494">
      <w:pPr>
        <w:spacing w:line="360" w:lineRule="auto"/>
        <w:jc w:val="both"/>
        <w:rPr>
          <w:rFonts w:ascii="Palatino Linotype" w:eastAsia="Palatino Linotype" w:hAnsi="Palatino Linotype" w:cs="Palatino Linotype"/>
        </w:rPr>
      </w:pPr>
      <w:r w:rsidRPr="005212F0">
        <w:rPr>
          <w:rFonts w:ascii="Palatino Linotype" w:eastAsia="Palatino Linotype" w:hAnsi="Palatino Linotype" w:cs="Palatino Linotype"/>
          <w:b/>
        </w:rPr>
        <w:t xml:space="preserve">CUARTO. </w:t>
      </w:r>
      <w:r w:rsidRPr="005212F0">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5212F0">
        <w:rPr>
          <w:rFonts w:ascii="Palatino Linotype" w:eastAsia="Palatino Linotype" w:hAnsi="Palatino Linotype" w:cs="Palatino Linotype"/>
          <w:b/>
        </w:rPr>
        <w:t>SUJETO OBLIGADO</w:t>
      </w:r>
      <w:r w:rsidRPr="005212F0">
        <w:rPr>
          <w:rFonts w:ascii="Palatino Linotype" w:eastAsia="Palatino Linotype" w:hAnsi="Palatino Linotype" w:cs="Palatino Linotype"/>
        </w:rPr>
        <w:t xml:space="preserve"> de manera fundada y motivada, podrá solicitar una ampliación de plazo para el cumplimiento de la presente resolución.</w:t>
      </w:r>
    </w:p>
    <w:p w14:paraId="4A3BDFE6" w14:textId="77777777" w:rsidR="004E3E84" w:rsidRPr="005212F0" w:rsidRDefault="004E3E84">
      <w:pPr>
        <w:spacing w:line="360" w:lineRule="auto"/>
        <w:jc w:val="both"/>
        <w:rPr>
          <w:rFonts w:ascii="Palatino Linotype" w:eastAsia="Palatino Linotype" w:hAnsi="Palatino Linotype" w:cs="Palatino Linotype"/>
        </w:rPr>
      </w:pPr>
    </w:p>
    <w:p w14:paraId="76094914" w14:textId="77777777" w:rsidR="004E3E84" w:rsidRPr="005212F0" w:rsidRDefault="00842494">
      <w:pPr>
        <w:tabs>
          <w:tab w:val="left" w:pos="8080"/>
        </w:tabs>
        <w:spacing w:line="360" w:lineRule="auto"/>
        <w:ind w:right="49"/>
        <w:jc w:val="both"/>
        <w:rPr>
          <w:rFonts w:ascii="Palatino Linotype" w:eastAsia="Palatino Linotype" w:hAnsi="Palatino Linotype" w:cs="Palatino Linotype"/>
        </w:rPr>
      </w:pPr>
      <w:bookmarkStart w:id="14" w:name="_heading=h.35nkun2" w:colFirst="0" w:colLast="0"/>
      <w:bookmarkEnd w:id="14"/>
      <w:r w:rsidRPr="005212F0">
        <w:rPr>
          <w:rFonts w:ascii="Palatino Linotype" w:eastAsia="Palatino Linotype" w:hAnsi="Palatino Linotype" w:cs="Palatino Linotype"/>
          <w:b/>
        </w:rPr>
        <w:t xml:space="preserve">QUINTO. </w:t>
      </w:r>
      <w:r w:rsidRPr="005212F0">
        <w:rPr>
          <w:rFonts w:ascii="Palatino Linotype" w:eastAsia="Palatino Linotype" w:hAnsi="Palatino Linotype" w:cs="Palatino Linotype"/>
        </w:rPr>
        <w:t xml:space="preserve">Notifíquese a </w:t>
      </w:r>
      <w:r w:rsidRPr="005212F0">
        <w:rPr>
          <w:rFonts w:ascii="Palatino Linotype" w:eastAsia="Palatino Linotype" w:hAnsi="Palatino Linotype" w:cs="Palatino Linotype"/>
          <w:b/>
        </w:rPr>
        <w:t>EL RECURRENTE</w:t>
      </w:r>
      <w:r w:rsidRPr="005212F0">
        <w:rPr>
          <w:rFonts w:ascii="Palatino Linotype" w:eastAsia="Palatino Linotype" w:hAnsi="Palatino Linotype" w:cs="Palatino Linotype"/>
        </w:rPr>
        <w:t xml:space="preserve"> la presente resolución, vía SAIMEX.</w:t>
      </w:r>
    </w:p>
    <w:p w14:paraId="5D456BE4" w14:textId="77777777" w:rsidR="004E3E84" w:rsidRPr="005212F0" w:rsidRDefault="004E3E84">
      <w:pPr>
        <w:tabs>
          <w:tab w:val="left" w:pos="8080"/>
        </w:tabs>
        <w:spacing w:line="360" w:lineRule="auto"/>
        <w:ind w:right="49"/>
        <w:jc w:val="both"/>
        <w:rPr>
          <w:rFonts w:ascii="Palatino Linotype" w:eastAsia="Palatino Linotype" w:hAnsi="Palatino Linotype" w:cs="Palatino Linotype"/>
        </w:rPr>
      </w:pPr>
    </w:p>
    <w:p w14:paraId="4B48EBC2" w14:textId="77777777" w:rsidR="004E3E84" w:rsidRPr="005212F0" w:rsidRDefault="00842494">
      <w:pPr>
        <w:shd w:val="clear" w:color="auto" w:fill="FFFFFF"/>
        <w:spacing w:line="360" w:lineRule="auto"/>
        <w:jc w:val="both"/>
        <w:rPr>
          <w:rFonts w:ascii="Palatino Linotype" w:eastAsia="Palatino Linotype" w:hAnsi="Palatino Linotype" w:cs="Palatino Linotype"/>
        </w:rPr>
      </w:pPr>
      <w:r w:rsidRPr="005212F0">
        <w:rPr>
          <w:rFonts w:ascii="Palatino Linotype" w:eastAsia="Palatino Linotype" w:hAnsi="Palatino Linotype" w:cs="Palatino Linotype"/>
          <w:b/>
        </w:rPr>
        <w:t>SEXTO.</w:t>
      </w:r>
      <w:r w:rsidRPr="005212F0">
        <w:rPr>
          <w:rFonts w:ascii="Palatino Linotype" w:eastAsia="Palatino Linotype" w:hAnsi="Palatino Linotype" w:cs="Palatino Linotype"/>
        </w:rPr>
        <w:t xml:space="preserve"> Se hace del conocimiento de </w:t>
      </w:r>
      <w:r w:rsidRPr="005212F0">
        <w:rPr>
          <w:rFonts w:ascii="Palatino Linotype" w:eastAsia="Palatino Linotype" w:hAnsi="Palatino Linotype" w:cs="Palatino Linotype"/>
          <w:b/>
        </w:rPr>
        <w:t>EL RECURRENTE</w:t>
      </w:r>
      <w:r w:rsidRPr="005212F0">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47895AD3" w14:textId="77777777" w:rsidR="004E3E84" w:rsidRPr="005212F0" w:rsidRDefault="004E3E84">
      <w:pPr>
        <w:shd w:val="clear" w:color="auto" w:fill="FFFFFF"/>
        <w:spacing w:line="360" w:lineRule="auto"/>
        <w:jc w:val="both"/>
        <w:rPr>
          <w:rFonts w:ascii="Palatino Linotype" w:eastAsia="Palatino Linotype" w:hAnsi="Palatino Linotype" w:cs="Palatino Linotype"/>
        </w:rPr>
      </w:pPr>
    </w:p>
    <w:p w14:paraId="47FFD9FD" w14:textId="77777777" w:rsidR="002B2F9E" w:rsidRPr="002B2F9E" w:rsidRDefault="002B2F9E" w:rsidP="002B2F9E">
      <w:pPr>
        <w:spacing w:before="240" w:after="240" w:line="360" w:lineRule="auto"/>
        <w:ind w:firstLine="1"/>
        <w:jc w:val="both"/>
        <w:rPr>
          <w:rStyle w:val="Referenciasutil"/>
          <w:rFonts w:ascii="Palatino Linotype" w:hAnsi="Palatino Linotype"/>
          <w:color w:val="auto"/>
        </w:rPr>
      </w:pPr>
      <w:bookmarkStart w:id="15" w:name="_Hlk129792997"/>
      <w:r w:rsidRPr="005212F0">
        <w:rPr>
          <w:rStyle w:val="Referenciasutil"/>
          <w:rFonts w:ascii="Palatino Linotype" w:hAnsi="Palatino Linotype"/>
          <w:color w:val="auto"/>
        </w:rPr>
        <w:lastRenderedPageBreak/>
        <w:t>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TRECE (13) DE MARZO DE DOS MIL VEINTICUATRO, ANTE EL SECRETARIO TÉCNICO DEL PLENO ALEXIS TAPIA RAMÍREZ.</w:t>
      </w:r>
      <w:bookmarkStart w:id="16" w:name="_GoBack"/>
      <w:bookmarkEnd w:id="16"/>
      <w:r w:rsidRPr="002B2F9E">
        <w:rPr>
          <w:rStyle w:val="Referenciasutil"/>
          <w:rFonts w:ascii="Palatino Linotype" w:hAnsi="Palatino Linotype"/>
          <w:color w:val="auto"/>
        </w:rPr>
        <w:t xml:space="preserve"> </w:t>
      </w:r>
      <w:bookmarkEnd w:id="15"/>
    </w:p>
    <w:p w14:paraId="4E9A1BD7" w14:textId="77777777" w:rsidR="004E3E84" w:rsidRPr="00DC049C" w:rsidRDefault="004E3E84">
      <w:pPr>
        <w:spacing w:line="360" w:lineRule="auto"/>
        <w:jc w:val="both"/>
        <w:rPr>
          <w:rFonts w:ascii="Palatino Linotype" w:eastAsia="Palatino Linotype" w:hAnsi="Palatino Linotype" w:cs="Palatino Linotype"/>
        </w:rPr>
      </w:pPr>
    </w:p>
    <w:p w14:paraId="092AD629" w14:textId="77777777" w:rsidR="004E3E84" w:rsidRPr="00DC049C" w:rsidRDefault="004E3E84">
      <w:pPr>
        <w:spacing w:line="360" w:lineRule="auto"/>
        <w:jc w:val="both"/>
        <w:rPr>
          <w:rFonts w:ascii="Palatino Linotype" w:eastAsia="Palatino Linotype" w:hAnsi="Palatino Linotype" w:cs="Palatino Linotype"/>
        </w:rPr>
      </w:pPr>
    </w:p>
    <w:p w14:paraId="4B668835" w14:textId="77777777" w:rsidR="004E3E84" w:rsidRPr="00DC049C" w:rsidRDefault="004E3E84">
      <w:pPr>
        <w:spacing w:line="360" w:lineRule="auto"/>
        <w:jc w:val="both"/>
        <w:rPr>
          <w:rFonts w:ascii="Palatino Linotype" w:eastAsia="Palatino Linotype" w:hAnsi="Palatino Linotype" w:cs="Palatino Linotype"/>
        </w:rPr>
      </w:pPr>
    </w:p>
    <w:p w14:paraId="378444A1" w14:textId="77777777" w:rsidR="004E3E84" w:rsidRPr="00DC049C" w:rsidRDefault="004E3E84">
      <w:pPr>
        <w:spacing w:line="360" w:lineRule="auto"/>
        <w:jc w:val="both"/>
        <w:rPr>
          <w:rFonts w:ascii="Palatino Linotype" w:eastAsia="Palatino Linotype" w:hAnsi="Palatino Linotype" w:cs="Palatino Linotype"/>
        </w:rPr>
      </w:pPr>
    </w:p>
    <w:p w14:paraId="68499320" w14:textId="77777777" w:rsidR="004E3E84" w:rsidRPr="00DC049C" w:rsidRDefault="004E3E84">
      <w:pPr>
        <w:spacing w:line="360" w:lineRule="auto"/>
        <w:rPr>
          <w:rFonts w:ascii="Palatino Linotype" w:eastAsia="Palatino Linotype" w:hAnsi="Palatino Linotype" w:cs="Palatino Linotype"/>
        </w:rPr>
      </w:pPr>
    </w:p>
    <w:p w14:paraId="699E2D21" w14:textId="77777777" w:rsidR="004E3E84" w:rsidRPr="00DC049C" w:rsidRDefault="004E3E84">
      <w:pPr>
        <w:spacing w:line="360" w:lineRule="auto"/>
        <w:rPr>
          <w:rFonts w:ascii="Palatino Linotype" w:eastAsia="Palatino Linotype" w:hAnsi="Palatino Linotype" w:cs="Palatino Linotype"/>
        </w:rPr>
      </w:pPr>
    </w:p>
    <w:p w14:paraId="74364A83" w14:textId="77777777" w:rsidR="004E3E84" w:rsidRPr="00DC049C" w:rsidRDefault="004E3E84">
      <w:pPr>
        <w:spacing w:line="360" w:lineRule="auto"/>
        <w:rPr>
          <w:rFonts w:ascii="Palatino Linotype" w:eastAsia="Palatino Linotype" w:hAnsi="Palatino Linotype" w:cs="Palatino Linotype"/>
        </w:rPr>
      </w:pPr>
    </w:p>
    <w:p w14:paraId="61D589A3" w14:textId="77777777" w:rsidR="004E3E84" w:rsidRPr="00DC049C" w:rsidRDefault="004E3E84">
      <w:pPr>
        <w:spacing w:line="360" w:lineRule="auto"/>
        <w:rPr>
          <w:rFonts w:ascii="Palatino Linotype" w:eastAsia="Palatino Linotype" w:hAnsi="Palatino Linotype" w:cs="Palatino Linotype"/>
        </w:rPr>
      </w:pPr>
    </w:p>
    <w:p w14:paraId="580E0A68" w14:textId="77777777" w:rsidR="004E3E84" w:rsidRPr="00DC049C" w:rsidRDefault="004E3E84">
      <w:pPr>
        <w:spacing w:line="360" w:lineRule="auto"/>
        <w:rPr>
          <w:rFonts w:ascii="Palatino Linotype" w:eastAsia="Palatino Linotype" w:hAnsi="Palatino Linotype" w:cs="Palatino Linotype"/>
        </w:rPr>
      </w:pPr>
    </w:p>
    <w:p w14:paraId="2DB2099B" w14:textId="77777777" w:rsidR="004E3E84" w:rsidRPr="00DC049C" w:rsidRDefault="004E3E84">
      <w:pPr>
        <w:spacing w:line="360" w:lineRule="auto"/>
        <w:rPr>
          <w:rFonts w:ascii="Palatino Linotype" w:eastAsia="Palatino Linotype" w:hAnsi="Palatino Linotype" w:cs="Palatino Linotype"/>
        </w:rPr>
      </w:pPr>
    </w:p>
    <w:p w14:paraId="22274046" w14:textId="77777777" w:rsidR="004E3E84" w:rsidRPr="00DC049C" w:rsidRDefault="004E3E84">
      <w:pPr>
        <w:spacing w:line="360" w:lineRule="auto"/>
        <w:rPr>
          <w:rFonts w:ascii="Palatino Linotype" w:eastAsia="Palatino Linotype" w:hAnsi="Palatino Linotype" w:cs="Palatino Linotype"/>
        </w:rPr>
      </w:pPr>
    </w:p>
    <w:p w14:paraId="56D98369" w14:textId="77777777" w:rsidR="004E3E84" w:rsidRPr="00DC049C" w:rsidRDefault="00842494">
      <w:pPr>
        <w:tabs>
          <w:tab w:val="left" w:pos="3374"/>
        </w:tabs>
        <w:spacing w:line="360" w:lineRule="auto"/>
        <w:rPr>
          <w:rFonts w:ascii="Palatino Linotype" w:eastAsia="Palatino Linotype" w:hAnsi="Palatino Linotype" w:cs="Palatino Linotype"/>
        </w:rPr>
      </w:pPr>
      <w:r w:rsidRPr="00DC049C">
        <w:rPr>
          <w:rFonts w:ascii="Palatino Linotype" w:eastAsia="Palatino Linotype" w:hAnsi="Palatino Linotype" w:cs="Palatino Linotype"/>
        </w:rPr>
        <w:tab/>
      </w:r>
    </w:p>
    <w:p w14:paraId="71934602" w14:textId="77777777" w:rsidR="004E3E84" w:rsidRPr="00DC049C" w:rsidRDefault="004E3E84">
      <w:pPr>
        <w:tabs>
          <w:tab w:val="left" w:pos="3374"/>
        </w:tabs>
        <w:spacing w:line="360" w:lineRule="auto"/>
        <w:rPr>
          <w:rFonts w:ascii="Palatino Linotype" w:eastAsia="Palatino Linotype" w:hAnsi="Palatino Linotype" w:cs="Palatino Linotype"/>
        </w:rPr>
      </w:pPr>
    </w:p>
    <w:p w14:paraId="39F1A606" w14:textId="77777777" w:rsidR="004E3E84" w:rsidRPr="00DC049C" w:rsidRDefault="004E3E84">
      <w:pPr>
        <w:tabs>
          <w:tab w:val="left" w:pos="3374"/>
        </w:tabs>
        <w:spacing w:line="360" w:lineRule="auto"/>
        <w:rPr>
          <w:rFonts w:ascii="Palatino Linotype" w:eastAsia="Palatino Linotype" w:hAnsi="Palatino Linotype" w:cs="Palatino Linotype"/>
        </w:rPr>
      </w:pPr>
    </w:p>
    <w:p w14:paraId="067B1238" w14:textId="77777777" w:rsidR="004E3E84" w:rsidRPr="00DC049C" w:rsidRDefault="004E3E84">
      <w:pPr>
        <w:tabs>
          <w:tab w:val="left" w:pos="3374"/>
        </w:tabs>
        <w:spacing w:line="360" w:lineRule="auto"/>
        <w:rPr>
          <w:rFonts w:ascii="Palatino Linotype" w:eastAsia="Palatino Linotype" w:hAnsi="Palatino Linotype" w:cs="Palatino Linotype"/>
        </w:rPr>
      </w:pPr>
    </w:p>
    <w:p w14:paraId="3A76A03F" w14:textId="77777777" w:rsidR="004E3E84" w:rsidRPr="00DC049C" w:rsidRDefault="004E3E84">
      <w:pPr>
        <w:tabs>
          <w:tab w:val="left" w:pos="3374"/>
        </w:tabs>
        <w:spacing w:line="360" w:lineRule="auto"/>
        <w:rPr>
          <w:rFonts w:ascii="Palatino Linotype" w:eastAsia="Palatino Linotype" w:hAnsi="Palatino Linotype" w:cs="Palatino Linotype"/>
        </w:rPr>
      </w:pPr>
    </w:p>
    <w:p w14:paraId="73EE69AD" w14:textId="77777777" w:rsidR="004E3E84" w:rsidRPr="00DC049C" w:rsidRDefault="004E3E84">
      <w:pPr>
        <w:tabs>
          <w:tab w:val="left" w:pos="3374"/>
        </w:tabs>
        <w:spacing w:line="360" w:lineRule="auto"/>
        <w:rPr>
          <w:rFonts w:ascii="Palatino Linotype" w:eastAsia="Palatino Linotype" w:hAnsi="Palatino Linotype" w:cs="Palatino Linotype"/>
        </w:rPr>
      </w:pPr>
    </w:p>
    <w:p w14:paraId="1C58F50E" w14:textId="77777777" w:rsidR="004E3E84" w:rsidRPr="00DC049C" w:rsidRDefault="004E3E84">
      <w:pPr>
        <w:tabs>
          <w:tab w:val="left" w:pos="3374"/>
        </w:tabs>
        <w:spacing w:line="360" w:lineRule="auto"/>
        <w:rPr>
          <w:rFonts w:ascii="Palatino Linotype" w:eastAsia="Palatino Linotype" w:hAnsi="Palatino Linotype" w:cs="Palatino Linotype"/>
        </w:rPr>
      </w:pPr>
    </w:p>
    <w:p w14:paraId="1BBDE072" w14:textId="77777777" w:rsidR="004E3E84" w:rsidRPr="00DC049C" w:rsidRDefault="004E3E84">
      <w:pPr>
        <w:tabs>
          <w:tab w:val="left" w:pos="3374"/>
        </w:tabs>
        <w:spacing w:line="360" w:lineRule="auto"/>
        <w:rPr>
          <w:rFonts w:ascii="Palatino Linotype" w:eastAsia="Palatino Linotype" w:hAnsi="Palatino Linotype" w:cs="Palatino Linotype"/>
        </w:rPr>
      </w:pPr>
    </w:p>
    <w:p w14:paraId="5E583E65" w14:textId="77777777" w:rsidR="004E3E84" w:rsidRPr="00DC049C" w:rsidRDefault="004E3E84">
      <w:pPr>
        <w:tabs>
          <w:tab w:val="left" w:pos="3374"/>
        </w:tabs>
        <w:spacing w:line="360" w:lineRule="auto"/>
        <w:rPr>
          <w:rFonts w:ascii="Palatino Linotype" w:eastAsia="Palatino Linotype" w:hAnsi="Palatino Linotype" w:cs="Palatino Linotype"/>
        </w:rPr>
      </w:pPr>
    </w:p>
    <w:p w14:paraId="7A5E7F61" w14:textId="77777777" w:rsidR="004E3E84" w:rsidRPr="00DC049C" w:rsidRDefault="004E3E84">
      <w:pPr>
        <w:tabs>
          <w:tab w:val="left" w:pos="3374"/>
        </w:tabs>
        <w:spacing w:line="360" w:lineRule="auto"/>
        <w:rPr>
          <w:rFonts w:ascii="Palatino Linotype" w:eastAsia="Palatino Linotype" w:hAnsi="Palatino Linotype" w:cs="Palatino Linotype"/>
        </w:rPr>
      </w:pPr>
    </w:p>
    <w:p w14:paraId="1649B283" w14:textId="77777777" w:rsidR="004E3E84" w:rsidRPr="00DC049C" w:rsidRDefault="004E3E84">
      <w:pPr>
        <w:tabs>
          <w:tab w:val="left" w:pos="3374"/>
        </w:tabs>
        <w:spacing w:line="360" w:lineRule="auto"/>
        <w:rPr>
          <w:rFonts w:ascii="Palatino Linotype" w:eastAsia="Palatino Linotype" w:hAnsi="Palatino Linotype" w:cs="Palatino Linotype"/>
        </w:rPr>
      </w:pPr>
    </w:p>
    <w:p w14:paraId="24521240" w14:textId="77777777" w:rsidR="004E3E84" w:rsidRPr="00DC049C" w:rsidRDefault="004E3E84"/>
    <w:p w14:paraId="7B92DFBD" w14:textId="77777777" w:rsidR="004E3E84" w:rsidRPr="00DC049C" w:rsidRDefault="004E3E84"/>
    <w:p w14:paraId="4C9E423B" w14:textId="77777777" w:rsidR="004E3E84" w:rsidRPr="00DC049C" w:rsidRDefault="004E3E84"/>
    <w:p w14:paraId="6E5FB2EA" w14:textId="77777777" w:rsidR="004E3E84" w:rsidRPr="00DC049C" w:rsidRDefault="004E3E84"/>
    <w:p w14:paraId="685FA0E8" w14:textId="77777777" w:rsidR="004E3E84" w:rsidRPr="00DC049C" w:rsidRDefault="00842494">
      <w:r w:rsidRPr="00DC049C">
        <w:t xml:space="preserve"> </w:t>
      </w:r>
      <w:r w:rsidRPr="00DC049C">
        <w:tab/>
      </w:r>
    </w:p>
    <w:p w14:paraId="37ACE5AF" w14:textId="77777777" w:rsidR="004E3E84" w:rsidRPr="00DC049C" w:rsidRDefault="004E3E84"/>
    <w:p w14:paraId="7EF438A5" w14:textId="77777777" w:rsidR="004E3E84" w:rsidRPr="00DC049C" w:rsidRDefault="004E3E84"/>
    <w:p w14:paraId="7A2E1C7B" w14:textId="77777777" w:rsidR="004E3E84" w:rsidRPr="00DC049C" w:rsidRDefault="004E3E84"/>
    <w:p w14:paraId="56079557" w14:textId="77777777" w:rsidR="004E3E84" w:rsidRPr="00DC049C" w:rsidRDefault="004E3E84"/>
    <w:p w14:paraId="7BF911C7" w14:textId="77777777" w:rsidR="004E3E84" w:rsidRPr="00DC049C" w:rsidRDefault="004E3E84"/>
    <w:p w14:paraId="1D2C0411" w14:textId="77777777" w:rsidR="004E3E84" w:rsidRPr="00DC049C" w:rsidRDefault="004E3E84"/>
    <w:p w14:paraId="3CA4D4EC" w14:textId="77777777" w:rsidR="004E3E84" w:rsidRPr="00DC049C" w:rsidRDefault="004E3E84"/>
    <w:p w14:paraId="1A8925EC" w14:textId="77777777" w:rsidR="004E3E84" w:rsidRPr="00DC049C" w:rsidRDefault="004E3E84"/>
    <w:p w14:paraId="1A808D74" w14:textId="77777777" w:rsidR="004E3E84" w:rsidRPr="00DC049C" w:rsidRDefault="004E3E84"/>
    <w:sectPr w:rsidR="004E3E84" w:rsidRPr="00DC049C">
      <w:headerReference w:type="even" r:id="rId9"/>
      <w:headerReference w:type="default" r:id="rId10"/>
      <w:footerReference w:type="default" r:id="rId11"/>
      <w:headerReference w:type="first" r:id="rId12"/>
      <w:footerReference w:type="first" r:id="rId13"/>
      <w:pgSz w:w="12240" w:h="15840"/>
      <w:pgMar w:top="2269" w:right="1701" w:bottom="1985"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B6EF9" w14:textId="77777777" w:rsidR="00215F53" w:rsidRDefault="00215F53">
      <w:r>
        <w:separator/>
      </w:r>
    </w:p>
  </w:endnote>
  <w:endnote w:type="continuationSeparator" w:id="0">
    <w:p w14:paraId="37151DE0" w14:textId="77777777" w:rsidR="00215F53" w:rsidRDefault="00215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5738C" w14:textId="77777777" w:rsidR="004E3E84" w:rsidRDefault="00842494">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5B70CC">
      <w:rPr>
        <w:rFonts w:ascii="Palatino Linotype" w:eastAsia="Palatino Linotype" w:hAnsi="Palatino Linotype" w:cs="Palatino Linotype"/>
        <w:noProof/>
        <w:color w:val="000000"/>
        <w:sz w:val="20"/>
        <w:szCs w:val="20"/>
      </w:rPr>
      <w:t>45</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5B70CC">
      <w:rPr>
        <w:rFonts w:ascii="Palatino Linotype" w:eastAsia="Palatino Linotype" w:hAnsi="Palatino Linotype" w:cs="Palatino Linotype"/>
        <w:noProof/>
        <w:color w:val="000000"/>
        <w:sz w:val="20"/>
        <w:szCs w:val="20"/>
      </w:rPr>
      <w:t>46</w:t>
    </w:r>
    <w:r>
      <w:rPr>
        <w:rFonts w:ascii="Palatino Linotype" w:eastAsia="Palatino Linotype" w:hAnsi="Palatino Linotype" w:cs="Palatino Linotype"/>
        <w:color w:val="000000"/>
        <w:sz w:val="20"/>
        <w:szCs w:val="20"/>
      </w:rPr>
      <w:fldChar w:fldCharType="end"/>
    </w:r>
  </w:p>
  <w:p w14:paraId="399E9A80" w14:textId="77777777" w:rsidR="004E3E84" w:rsidRDefault="004E3E84">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2094B" w14:textId="77777777" w:rsidR="004E3E84" w:rsidRDefault="00842494">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5B70CC">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5B70CC">
      <w:rPr>
        <w:rFonts w:ascii="Palatino Linotype" w:eastAsia="Palatino Linotype" w:hAnsi="Palatino Linotype" w:cs="Palatino Linotype"/>
        <w:noProof/>
        <w:color w:val="000000"/>
        <w:sz w:val="20"/>
        <w:szCs w:val="20"/>
      </w:rPr>
      <w:t>46</w:t>
    </w:r>
    <w:r>
      <w:rPr>
        <w:rFonts w:ascii="Palatino Linotype" w:eastAsia="Palatino Linotype" w:hAnsi="Palatino Linotype" w:cs="Palatino Linotype"/>
        <w:color w:val="000000"/>
        <w:sz w:val="20"/>
        <w:szCs w:val="20"/>
      </w:rPr>
      <w:fldChar w:fldCharType="end"/>
    </w:r>
  </w:p>
  <w:p w14:paraId="147B2A69" w14:textId="77777777" w:rsidR="004E3E84" w:rsidRDefault="004E3E84">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EB270" w14:textId="77777777" w:rsidR="00215F53" w:rsidRDefault="00215F53">
      <w:r>
        <w:separator/>
      </w:r>
    </w:p>
  </w:footnote>
  <w:footnote w:type="continuationSeparator" w:id="0">
    <w:p w14:paraId="1EE39501" w14:textId="77777777" w:rsidR="00215F53" w:rsidRDefault="00215F53">
      <w:r>
        <w:continuationSeparator/>
      </w:r>
    </w:p>
  </w:footnote>
  <w:footnote w:id="1">
    <w:p w14:paraId="03614DDB" w14:textId="77777777" w:rsidR="004E3E84" w:rsidRDefault="00842494">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Convención Americana sobre Derechos Humanos. Artículo 13.</w:t>
      </w:r>
    </w:p>
  </w:footnote>
  <w:footnote w:id="2">
    <w:p w14:paraId="46F47545" w14:textId="77777777" w:rsidR="004E3E84" w:rsidRDefault="00842494">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Constitución Política de los Estados Unidos Mexicanos. Artículo sexto, sección A, fracción I.</w:t>
      </w:r>
    </w:p>
  </w:footnote>
  <w:footnote w:id="3">
    <w:p w14:paraId="2B43A013" w14:textId="77777777" w:rsidR="004E3E84" w:rsidRDefault="00842494">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Corte Interamericana de Derechos Humanos. Caso Claude Reyes y otros vs. Chile. Sentencia de 19 de septiembre de 2006. Serie C. No. 151. Párr. 86.</w:t>
      </w:r>
    </w:p>
  </w:footnote>
  <w:footnote w:id="4">
    <w:p w14:paraId="5C60C1BB" w14:textId="77777777" w:rsidR="004E3E84" w:rsidRDefault="00842494">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Ibídem. Parr. 87.</w:t>
      </w:r>
    </w:p>
  </w:footnote>
  <w:footnote w:id="5">
    <w:p w14:paraId="06F5120E" w14:textId="77777777" w:rsidR="004E3E84" w:rsidRDefault="00842494">
      <w:pPr>
        <w:pBdr>
          <w:top w:val="nil"/>
          <w:left w:val="nil"/>
          <w:bottom w:val="nil"/>
          <w:right w:val="nil"/>
          <w:between w:val="nil"/>
        </w:pBdr>
        <w:jc w:val="both"/>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Cambria" w:eastAsia="Cambria" w:hAnsi="Cambria" w:cs="Cambria"/>
          <w:color w:val="000000"/>
          <w:sz w:val="20"/>
          <w:szCs w:val="20"/>
          <w:highlight w:val="white"/>
        </w:rPr>
        <w:t>Jurisprudencia publicada en el Semanario Judicial de la Federación número 2a./J.120/2015, de la Décima Época, Tomo I, Libro 22, Septiembre 2015, cuyo texto es el siguiente: “La regulación establecida en el artículo </w:t>
      </w:r>
      <w:r>
        <w:rPr>
          <w:rFonts w:ascii="Cambria" w:eastAsia="Cambria" w:hAnsi="Cambria" w:cs="Cambria"/>
          <w:color w:val="000000"/>
          <w:sz w:val="20"/>
          <w:szCs w:val="20"/>
        </w:rPr>
        <w:t>79, fracción VI, de la Ley de Amparo</w:t>
      </w:r>
      <w:r>
        <w:rPr>
          <w:rFonts w:ascii="Cambria" w:eastAsia="Cambria" w:hAnsi="Cambria" w:cs="Cambria"/>
          <w:color w:val="000000"/>
          <w:sz w:val="20"/>
          <w:szCs w:val="20"/>
          <w:highlight w:val="white"/>
        </w:rPr>
        <w:t> faculta al juzgador de amparo para suplir la deficiencia de la queja en materias diversas a las que el propio numeral prevé, ante una irregularidad procesal grave y manifiesta en la controversia del amparo, no resuelta en el procedimiento de origen, que afecte al quejoso o recurrente, aun ante la ausencia de concepto de violación o agravio al respecto, ya que revela la intención del legislador de no permitir que una de las partes se beneficie a costa de la indefensión de su contraria, como consecuencia de una actuación ilegal de la autoridad, permitiendo al Juez ejercer un discernimiento en cada caso concreto, en atención a la materia y sujeto de que se trate, lo cual es congruente con el artículo </w:t>
      </w:r>
      <w:r>
        <w:rPr>
          <w:rFonts w:ascii="Cambria" w:eastAsia="Cambria" w:hAnsi="Cambria" w:cs="Cambria"/>
          <w:color w:val="000000"/>
          <w:sz w:val="20"/>
          <w:szCs w:val="20"/>
        </w:rPr>
        <w:t>107, fracción II, antepenúltimo párrafo, de la Constitución Política de los Estados Unidos Mexicanos</w:t>
      </w:r>
      <w:r>
        <w:rPr>
          <w:rFonts w:ascii="Cambria" w:eastAsia="Cambria" w:hAnsi="Cambria" w:cs="Cambria"/>
          <w:color w:val="000000"/>
          <w:sz w:val="20"/>
          <w:szCs w:val="20"/>
          <w:highlight w:val="white"/>
        </w:rPr>
        <w:t>.”</w:t>
      </w:r>
    </w:p>
  </w:footnote>
  <w:footnote w:id="6">
    <w:p w14:paraId="02C264E1" w14:textId="77777777" w:rsidR="004E3E84" w:rsidRDefault="00842494">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Cambria" w:eastAsia="Cambria" w:hAnsi="Cambria" w:cs="Cambria"/>
          <w:color w:val="000000"/>
          <w:sz w:val="20"/>
          <w:szCs w:val="20"/>
        </w:rPr>
        <w:t xml:space="preserve"> </w:t>
      </w:r>
      <w:r>
        <w:rPr>
          <w:rFonts w:ascii="Cambria" w:eastAsia="Cambria" w:hAnsi="Cambria" w:cs="Cambria"/>
          <w:color w:val="000000"/>
          <w:sz w:val="20"/>
          <w:szCs w:val="20"/>
          <w:highlight w:val="white"/>
        </w:rPr>
        <w:t>Tesis aislada publicada en el Semanario Judicial de la Federación número 1a. LXXIII/2015, de la Décima Época, Tomo II, Libro 15, Febrero 2015, cuyo texto es el siguiente: “Del precepto citado deriva que la suplencia de la queja deficiente operará en las materias civil y administrativa cuando el tribunal de amparo advierta que ha habido contra el quejoso o recurrente una violación evidente de la ley que lo haya dejado sin defensa, por afectar sus derechos humanos reconocidos en la Constitución Política de los Estados Unidos Mexicanos y en los tratados internacionales de que el Estado Mexicano sea parte. Ahora bien, el Pleno de la Suprema Corte de Justicia de la Nación, al pronunciarse sobre el artículo 76 Bis de la Ley de Amparo abrogada, de redacción similar al 79 de la vigente, estimó que la frase "lo haya dejado sin defensa" no debe interpretarse literalmente,</w:t>
      </w:r>
      <w:r>
        <w:rPr>
          <w:rFonts w:ascii="Palatino Linotype" w:eastAsia="Palatino Linotype" w:hAnsi="Palatino Linotype" w:cs="Palatino Linotype"/>
          <w:color w:val="000000"/>
          <w:sz w:val="16"/>
          <w:szCs w:val="16"/>
          <w:highlight w:val="white"/>
        </w:rPr>
        <w:t xml:space="preserve"> </w:t>
      </w:r>
      <w:r>
        <w:rPr>
          <w:rFonts w:ascii="Cambria" w:eastAsia="Cambria" w:hAnsi="Cambria" w:cs="Cambria"/>
          <w:color w:val="000000"/>
          <w:sz w:val="20"/>
          <w:szCs w:val="20"/>
          <w:highlight w:val="white"/>
        </w:rPr>
        <w:t>sino que debe entenderse en el sentido de que la autoridad responsable infringió determinadas normas, de forma que afectó sustancialmente al quejoso en su defensa. Asimismo, sostuvo que una "violación manifiesta de la ley" es la que se advierte obvia, que es innegable e indiscutible, y cuya existencia no puede derivarse de una serie de razonamientos y planteamientos cuestionables. Por otra parte, esta Primera Sala sostuvo que por "violación manifiesta de la ley que deje sin defensa", se entiende aquella actuación que haga notoria e indiscutible la vulneración a los derechos del quejoso, ya sea en forma directa, o bien, indirecta, mediante la transgresión a las normas procedimentales y sustantivas, y que rigen el acto reclamado; de ahí que dicha interpretación es aplicable al artículo 79 de la Ley de Amparo, ya que no se le opone, sino que es concordante. Conforme a lo anterior, los tribunales de amparo sólo están obligados a suplir la queja deficiente en las materias civil y administrativa cuando adviertan una vi</w:t>
      </w:r>
    </w:p>
    <w:p w14:paraId="76A4AB48" w14:textId="77777777" w:rsidR="004E3E84" w:rsidRDefault="00842494">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Cambria" w:eastAsia="Cambria" w:hAnsi="Cambria" w:cs="Cambria"/>
          <w:color w:val="000000"/>
          <w:sz w:val="20"/>
          <w:szCs w:val="20"/>
          <w:highlight w:val="white"/>
        </w:rPr>
        <w:t>olación evidente, esto es, clara, innegable, que afecte sustancialmente al quejoso en su defensa.”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7CF8E" w14:textId="77777777" w:rsidR="004E3E84" w:rsidRDefault="00215F53">
    <w:pPr>
      <w:pBdr>
        <w:top w:val="nil"/>
        <w:left w:val="nil"/>
        <w:bottom w:val="nil"/>
        <w:right w:val="nil"/>
        <w:between w:val="nil"/>
      </w:pBdr>
      <w:tabs>
        <w:tab w:val="center" w:pos="4419"/>
        <w:tab w:val="right" w:pos="8838"/>
      </w:tabs>
      <w:rPr>
        <w:rFonts w:eastAsia="Calibri"/>
        <w:color w:val="000000"/>
      </w:rPr>
    </w:pPr>
    <w:r>
      <w:rPr>
        <w:rFonts w:eastAsia="Calibri"/>
        <w:color w:val="000000"/>
      </w:rPr>
      <w:pict w14:anchorId="000581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DAF99" w14:textId="77777777" w:rsidR="004E3E84" w:rsidRDefault="004E3E84">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p>
  <w:tbl>
    <w:tblPr>
      <w:tblStyle w:val="a0"/>
      <w:tblW w:w="6519" w:type="dxa"/>
      <w:tblInd w:w="3261" w:type="dxa"/>
      <w:tblLayout w:type="fixed"/>
      <w:tblLook w:val="0400" w:firstRow="0" w:lastRow="0" w:firstColumn="0" w:lastColumn="0" w:noHBand="0" w:noVBand="1"/>
    </w:tblPr>
    <w:tblGrid>
      <w:gridCol w:w="2976"/>
      <w:gridCol w:w="3543"/>
    </w:tblGrid>
    <w:tr w:rsidR="004E3E84" w14:paraId="72B41370" w14:textId="77777777" w:rsidTr="00DC049C">
      <w:trPr>
        <w:trHeight w:val="227"/>
      </w:trPr>
      <w:tc>
        <w:tcPr>
          <w:tcW w:w="2976" w:type="dxa"/>
          <w:vAlign w:val="center"/>
        </w:tcPr>
        <w:p w14:paraId="6DB648CF" w14:textId="77777777" w:rsidR="004E3E84" w:rsidRDefault="00842494">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14:paraId="0514314D" w14:textId="77777777" w:rsidR="004E3E84" w:rsidRPr="00DC049C" w:rsidRDefault="00842494" w:rsidP="00DC049C">
          <w:pPr>
            <w:pBdr>
              <w:top w:val="nil"/>
              <w:left w:val="nil"/>
              <w:bottom w:val="nil"/>
              <w:right w:val="nil"/>
              <w:between w:val="nil"/>
            </w:pBdr>
            <w:tabs>
              <w:tab w:val="right" w:pos="8838"/>
            </w:tabs>
            <w:rPr>
              <w:rFonts w:ascii="Palatino Linotype" w:eastAsia="Palatino Linotype" w:hAnsi="Palatino Linotype" w:cs="Palatino Linotype"/>
              <w:color w:val="000000"/>
              <w:sz w:val="22"/>
              <w:szCs w:val="22"/>
            </w:rPr>
          </w:pPr>
          <w:r w:rsidRPr="00DC049C">
            <w:rPr>
              <w:rFonts w:ascii="Palatino Linotype" w:eastAsia="Palatino Linotype" w:hAnsi="Palatino Linotype" w:cs="Palatino Linotype"/>
              <w:color w:val="000000"/>
              <w:sz w:val="22"/>
              <w:szCs w:val="22"/>
            </w:rPr>
            <w:t>03678/INFOEM/IP/RR/202</w:t>
          </w:r>
          <w:r w:rsidRPr="00DC049C">
            <w:rPr>
              <w:rFonts w:ascii="Palatino Linotype" w:eastAsia="Palatino Linotype" w:hAnsi="Palatino Linotype" w:cs="Palatino Linotype"/>
              <w:sz w:val="22"/>
              <w:szCs w:val="22"/>
            </w:rPr>
            <w:t>3</w:t>
          </w:r>
        </w:p>
      </w:tc>
    </w:tr>
    <w:tr w:rsidR="004E3E84" w14:paraId="486F9FEC" w14:textId="77777777" w:rsidTr="00DC049C">
      <w:trPr>
        <w:trHeight w:val="242"/>
      </w:trPr>
      <w:tc>
        <w:tcPr>
          <w:tcW w:w="2976" w:type="dxa"/>
          <w:vAlign w:val="center"/>
        </w:tcPr>
        <w:p w14:paraId="015A9FEF" w14:textId="77777777" w:rsidR="004E3E84" w:rsidRDefault="00842494">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14:paraId="0CB64B33" w14:textId="77777777" w:rsidR="004E3E84" w:rsidRPr="00DC049C" w:rsidRDefault="00842494" w:rsidP="00DC049C">
          <w:pPr>
            <w:pBdr>
              <w:top w:val="nil"/>
              <w:left w:val="nil"/>
              <w:bottom w:val="nil"/>
              <w:right w:val="nil"/>
              <w:between w:val="nil"/>
            </w:pBdr>
            <w:tabs>
              <w:tab w:val="right" w:pos="8838"/>
            </w:tabs>
            <w:jc w:val="both"/>
            <w:rPr>
              <w:rFonts w:ascii="Palatino Linotype" w:eastAsia="Palatino Linotype" w:hAnsi="Palatino Linotype" w:cs="Palatino Linotype"/>
              <w:color w:val="000000"/>
              <w:sz w:val="22"/>
              <w:szCs w:val="22"/>
            </w:rPr>
          </w:pPr>
          <w:r w:rsidRPr="00DC049C">
            <w:rPr>
              <w:rFonts w:ascii="Palatino Linotype" w:eastAsia="Palatino Linotype" w:hAnsi="Palatino Linotype" w:cs="Palatino Linotype"/>
              <w:color w:val="000000"/>
              <w:sz w:val="22"/>
              <w:szCs w:val="22"/>
            </w:rPr>
            <w:t>Ayuntamiento de Zinacantepec</w:t>
          </w:r>
        </w:p>
      </w:tc>
    </w:tr>
    <w:tr w:rsidR="004E3E84" w14:paraId="17DA2CE7" w14:textId="77777777" w:rsidTr="00DC049C">
      <w:trPr>
        <w:trHeight w:val="342"/>
      </w:trPr>
      <w:tc>
        <w:tcPr>
          <w:tcW w:w="2976" w:type="dxa"/>
          <w:vAlign w:val="center"/>
        </w:tcPr>
        <w:p w14:paraId="7D56EF25" w14:textId="77777777" w:rsidR="004E3E84" w:rsidRDefault="00842494">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14:paraId="0B214ED6" w14:textId="77777777" w:rsidR="004E3E84" w:rsidRPr="00DC049C" w:rsidRDefault="00842494" w:rsidP="00DC049C">
          <w:pPr>
            <w:pBdr>
              <w:top w:val="nil"/>
              <w:left w:val="nil"/>
              <w:bottom w:val="nil"/>
              <w:right w:val="nil"/>
              <w:between w:val="nil"/>
            </w:pBdr>
            <w:tabs>
              <w:tab w:val="right" w:pos="8838"/>
            </w:tabs>
            <w:rPr>
              <w:rFonts w:ascii="Palatino Linotype" w:eastAsia="Palatino Linotype" w:hAnsi="Palatino Linotype" w:cs="Palatino Linotype"/>
              <w:color w:val="000000"/>
              <w:sz w:val="22"/>
              <w:szCs w:val="22"/>
            </w:rPr>
          </w:pPr>
          <w:r w:rsidRPr="00DC049C">
            <w:rPr>
              <w:rFonts w:ascii="Palatino Linotype" w:eastAsia="Palatino Linotype" w:hAnsi="Palatino Linotype" w:cs="Palatino Linotype"/>
              <w:color w:val="000000"/>
              <w:sz w:val="22"/>
              <w:szCs w:val="22"/>
            </w:rPr>
            <w:t>María del Rosario Mejía Ayala</w:t>
          </w:r>
        </w:p>
      </w:tc>
    </w:tr>
  </w:tbl>
  <w:p w14:paraId="27F9667F" w14:textId="77777777" w:rsidR="004E3E84" w:rsidRDefault="00215F53">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w14:anchorId="6E4991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6552A" w14:textId="77777777" w:rsidR="004E3E84" w:rsidRDefault="004E3E84">
    <w:pPr>
      <w:widowControl w:val="0"/>
      <w:pBdr>
        <w:top w:val="nil"/>
        <w:left w:val="nil"/>
        <w:bottom w:val="nil"/>
        <w:right w:val="nil"/>
        <w:between w:val="nil"/>
      </w:pBdr>
      <w:spacing w:line="276" w:lineRule="auto"/>
      <w:rPr>
        <w:rFonts w:eastAsia="Calibri"/>
        <w:color w:val="000000"/>
      </w:rPr>
    </w:pPr>
  </w:p>
  <w:tbl>
    <w:tblPr>
      <w:tblStyle w:val="a1"/>
      <w:tblW w:w="6660" w:type="dxa"/>
      <w:tblInd w:w="3119" w:type="dxa"/>
      <w:tblLayout w:type="fixed"/>
      <w:tblLook w:val="0400" w:firstRow="0" w:lastRow="0" w:firstColumn="0" w:lastColumn="0" w:noHBand="0" w:noVBand="1"/>
    </w:tblPr>
    <w:tblGrid>
      <w:gridCol w:w="2977"/>
      <w:gridCol w:w="3683"/>
    </w:tblGrid>
    <w:tr w:rsidR="004E3E84" w14:paraId="6FCF5F37" w14:textId="77777777" w:rsidTr="00DC049C">
      <w:trPr>
        <w:trHeight w:val="227"/>
      </w:trPr>
      <w:tc>
        <w:tcPr>
          <w:tcW w:w="2977" w:type="dxa"/>
          <w:vAlign w:val="center"/>
        </w:tcPr>
        <w:p w14:paraId="63AE1ADA" w14:textId="77777777" w:rsidR="004E3E84" w:rsidRDefault="00842494">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3" w:type="dxa"/>
          <w:vAlign w:val="center"/>
        </w:tcPr>
        <w:p w14:paraId="2948FAEF" w14:textId="77777777" w:rsidR="004E3E84" w:rsidRPr="00DC049C" w:rsidRDefault="00842494">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sidRPr="00DC049C">
            <w:rPr>
              <w:rFonts w:ascii="Palatino Linotype" w:eastAsia="Palatino Linotype" w:hAnsi="Palatino Linotype" w:cs="Palatino Linotype"/>
              <w:color w:val="000000"/>
              <w:sz w:val="22"/>
              <w:szCs w:val="22"/>
            </w:rPr>
            <w:t>03678/INFOEM/IP/RR/2023</w:t>
          </w:r>
        </w:p>
      </w:tc>
    </w:tr>
    <w:tr w:rsidR="004E3E84" w14:paraId="46993B1B" w14:textId="77777777" w:rsidTr="00DC049C">
      <w:trPr>
        <w:trHeight w:val="242"/>
      </w:trPr>
      <w:tc>
        <w:tcPr>
          <w:tcW w:w="2977" w:type="dxa"/>
          <w:vAlign w:val="center"/>
        </w:tcPr>
        <w:p w14:paraId="0184AA42" w14:textId="77777777" w:rsidR="004E3E84" w:rsidRDefault="00842494">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3" w:type="dxa"/>
        </w:tcPr>
        <w:p w14:paraId="59846165" w14:textId="3A7F05FB" w:rsidR="004E3E84" w:rsidRPr="00DC049C" w:rsidRDefault="004E3E84" w:rsidP="00DC049C">
          <w:pPr>
            <w:pBdr>
              <w:top w:val="nil"/>
              <w:left w:val="nil"/>
              <w:bottom w:val="nil"/>
              <w:right w:val="nil"/>
              <w:between w:val="nil"/>
            </w:pBdr>
            <w:tabs>
              <w:tab w:val="right" w:pos="8838"/>
              <w:tab w:val="left" w:pos="521"/>
            </w:tabs>
            <w:rPr>
              <w:rFonts w:ascii="Palatino Linotype" w:eastAsia="Palatino Linotype" w:hAnsi="Palatino Linotype" w:cs="Palatino Linotype"/>
              <w:color w:val="000000"/>
              <w:sz w:val="22"/>
              <w:szCs w:val="22"/>
            </w:rPr>
          </w:pPr>
        </w:p>
      </w:tc>
    </w:tr>
    <w:tr w:rsidR="004E3E84" w14:paraId="648D78DC" w14:textId="77777777" w:rsidTr="00DC049C">
      <w:trPr>
        <w:trHeight w:val="342"/>
      </w:trPr>
      <w:tc>
        <w:tcPr>
          <w:tcW w:w="2977" w:type="dxa"/>
          <w:vAlign w:val="center"/>
        </w:tcPr>
        <w:p w14:paraId="7F7D50D3" w14:textId="77777777" w:rsidR="004E3E84" w:rsidRDefault="00842494">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3" w:type="dxa"/>
          <w:vAlign w:val="center"/>
        </w:tcPr>
        <w:p w14:paraId="05929C93" w14:textId="77777777" w:rsidR="004E3E84" w:rsidRPr="00DC049C" w:rsidRDefault="00842494">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rPr>
          </w:pPr>
          <w:r w:rsidRPr="00DC049C">
            <w:rPr>
              <w:rFonts w:ascii="Palatino Linotype" w:eastAsia="Palatino Linotype" w:hAnsi="Palatino Linotype" w:cs="Palatino Linotype"/>
              <w:color w:val="000000"/>
              <w:sz w:val="22"/>
              <w:szCs w:val="22"/>
            </w:rPr>
            <w:t>Ayuntamiento de Zinacantepec</w:t>
          </w:r>
        </w:p>
      </w:tc>
    </w:tr>
    <w:tr w:rsidR="004E3E84" w14:paraId="344E36A9" w14:textId="77777777" w:rsidTr="00DC049C">
      <w:trPr>
        <w:trHeight w:val="342"/>
      </w:trPr>
      <w:tc>
        <w:tcPr>
          <w:tcW w:w="2977" w:type="dxa"/>
          <w:vAlign w:val="center"/>
        </w:tcPr>
        <w:p w14:paraId="22627860" w14:textId="77777777" w:rsidR="004E3E84" w:rsidRDefault="00842494">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3" w:type="dxa"/>
          <w:vAlign w:val="center"/>
        </w:tcPr>
        <w:p w14:paraId="36B0B64B" w14:textId="77777777" w:rsidR="004E3E84" w:rsidRPr="00DC049C" w:rsidRDefault="00842494">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sidRPr="00DC049C">
            <w:rPr>
              <w:rFonts w:ascii="Palatino Linotype" w:eastAsia="Palatino Linotype" w:hAnsi="Palatino Linotype" w:cs="Palatino Linotype"/>
              <w:color w:val="000000"/>
              <w:sz w:val="22"/>
              <w:szCs w:val="22"/>
            </w:rPr>
            <w:t>María del Rosario Mejía Ayala</w:t>
          </w:r>
        </w:p>
      </w:tc>
    </w:tr>
  </w:tbl>
  <w:p w14:paraId="3793BBF3" w14:textId="77777777" w:rsidR="004E3E84" w:rsidRDefault="00215F53">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w14:anchorId="174D16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22.3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77E64"/>
    <w:multiLevelType w:val="multilevel"/>
    <w:tmpl w:val="1EF272EA"/>
    <w:lvl w:ilvl="0">
      <w:start w:val="1"/>
      <w:numFmt w:val="upperRoman"/>
      <w:lvlText w:val="%1."/>
      <w:lvlJc w:val="left"/>
      <w:pPr>
        <w:ind w:left="1288" w:hanging="719"/>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 w15:restartNumberingAfterBreak="0">
    <w:nsid w:val="0EA90DA1"/>
    <w:multiLevelType w:val="multilevel"/>
    <w:tmpl w:val="111E26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15400E"/>
    <w:multiLevelType w:val="multilevel"/>
    <w:tmpl w:val="290ACF78"/>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3B1AF7"/>
    <w:multiLevelType w:val="hybridMultilevel"/>
    <w:tmpl w:val="26F4ADD0"/>
    <w:lvl w:ilvl="0" w:tplc="66705DA6">
      <w:start w:val="1"/>
      <w:numFmt w:val="upperRoman"/>
      <w:lvlText w:val="%1."/>
      <w:lvlJc w:val="left"/>
      <w:pPr>
        <w:ind w:left="2136" w:hanging="720"/>
      </w:pPr>
    </w:lvl>
    <w:lvl w:ilvl="1" w:tplc="080A0019">
      <w:start w:val="1"/>
      <w:numFmt w:val="lowerLetter"/>
      <w:lvlText w:val="%2."/>
      <w:lvlJc w:val="left"/>
      <w:pPr>
        <w:ind w:left="2496" w:hanging="360"/>
      </w:pPr>
    </w:lvl>
    <w:lvl w:ilvl="2" w:tplc="080A001B">
      <w:start w:val="1"/>
      <w:numFmt w:val="lowerRoman"/>
      <w:lvlText w:val="%3."/>
      <w:lvlJc w:val="right"/>
      <w:pPr>
        <w:ind w:left="3216" w:hanging="180"/>
      </w:pPr>
    </w:lvl>
    <w:lvl w:ilvl="3" w:tplc="080A000F">
      <w:start w:val="1"/>
      <w:numFmt w:val="decimal"/>
      <w:lvlText w:val="%4."/>
      <w:lvlJc w:val="left"/>
      <w:pPr>
        <w:ind w:left="3936" w:hanging="360"/>
      </w:pPr>
    </w:lvl>
    <w:lvl w:ilvl="4" w:tplc="080A0019">
      <w:start w:val="1"/>
      <w:numFmt w:val="lowerLetter"/>
      <w:lvlText w:val="%5."/>
      <w:lvlJc w:val="left"/>
      <w:pPr>
        <w:ind w:left="4656" w:hanging="360"/>
      </w:pPr>
    </w:lvl>
    <w:lvl w:ilvl="5" w:tplc="080A001B">
      <w:start w:val="1"/>
      <w:numFmt w:val="lowerRoman"/>
      <w:lvlText w:val="%6."/>
      <w:lvlJc w:val="right"/>
      <w:pPr>
        <w:ind w:left="5376" w:hanging="180"/>
      </w:pPr>
    </w:lvl>
    <w:lvl w:ilvl="6" w:tplc="080A000F">
      <w:start w:val="1"/>
      <w:numFmt w:val="decimal"/>
      <w:lvlText w:val="%7."/>
      <w:lvlJc w:val="left"/>
      <w:pPr>
        <w:ind w:left="6096" w:hanging="360"/>
      </w:pPr>
    </w:lvl>
    <w:lvl w:ilvl="7" w:tplc="080A0019">
      <w:start w:val="1"/>
      <w:numFmt w:val="lowerLetter"/>
      <w:lvlText w:val="%8."/>
      <w:lvlJc w:val="left"/>
      <w:pPr>
        <w:ind w:left="6816" w:hanging="360"/>
      </w:pPr>
    </w:lvl>
    <w:lvl w:ilvl="8" w:tplc="080A001B">
      <w:start w:val="1"/>
      <w:numFmt w:val="lowerRoman"/>
      <w:lvlText w:val="%9."/>
      <w:lvlJc w:val="right"/>
      <w:pPr>
        <w:ind w:left="7536" w:hanging="180"/>
      </w:pPr>
    </w:lvl>
  </w:abstractNum>
  <w:abstractNum w:abstractNumId="4" w15:restartNumberingAfterBreak="0">
    <w:nsid w:val="308469A6"/>
    <w:multiLevelType w:val="hybridMultilevel"/>
    <w:tmpl w:val="FC665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4317490"/>
    <w:multiLevelType w:val="hybridMultilevel"/>
    <w:tmpl w:val="9A623ECC"/>
    <w:lvl w:ilvl="0" w:tplc="F5C4018E">
      <w:start w:val="1"/>
      <w:numFmt w:val="decimal"/>
      <w:lvlText w:val="%1."/>
      <w:lvlJc w:val="left"/>
      <w:pPr>
        <w:ind w:left="360" w:hanging="360"/>
      </w:pPr>
      <w:rPr>
        <w:rFonts w:ascii="Palatino Linotype" w:hAnsi="Palatino Linotype" w:hint="default"/>
        <w:b/>
        <w:i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888595E"/>
    <w:multiLevelType w:val="multilevel"/>
    <w:tmpl w:val="4626A8E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b/>
        <w:i w:val="0"/>
        <w:u w:val="none"/>
      </w:rPr>
    </w:lvl>
    <w:lvl w:ilvl="2">
      <w:start w:val="1"/>
      <w:numFmt w:val="upperRoman"/>
      <w:lvlText w:val="%3."/>
      <w:lvlJc w:val="left"/>
      <w:pPr>
        <w:ind w:left="720" w:hanging="720"/>
      </w:p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2FC64B8"/>
    <w:multiLevelType w:val="multilevel"/>
    <w:tmpl w:val="4B707408"/>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8" w15:restartNumberingAfterBreak="0">
    <w:nsid w:val="57117CB3"/>
    <w:multiLevelType w:val="hybridMultilevel"/>
    <w:tmpl w:val="7638D956"/>
    <w:lvl w:ilvl="0" w:tplc="080A000B">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9" w15:restartNumberingAfterBreak="0">
    <w:nsid w:val="6328468E"/>
    <w:multiLevelType w:val="multilevel"/>
    <w:tmpl w:val="FCB20694"/>
    <w:lvl w:ilvl="0">
      <w:start w:val="9"/>
      <w:numFmt w:val="decimal"/>
      <w:lvlText w:val="%1."/>
      <w:lvlJc w:val="left"/>
      <w:pPr>
        <w:ind w:left="3870" w:hanging="360"/>
      </w:pPr>
      <w:rPr>
        <w:b/>
        <w:i w:val="0"/>
      </w:rPr>
    </w:lvl>
    <w:lvl w:ilvl="1">
      <w:start w:val="1"/>
      <w:numFmt w:val="upperRoman"/>
      <w:lvlText w:val="%2."/>
      <w:lvlJc w:val="righ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4C350EF"/>
    <w:multiLevelType w:val="multilevel"/>
    <w:tmpl w:val="6CC8D71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DD00E5F"/>
    <w:multiLevelType w:val="multilevel"/>
    <w:tmpl w:val="2C3ED2E0"/>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2" w15:restartNumberingAfterBreak="0">
    <w:nsid w:val="763E7724"/>
    <w:multiLevelType w:val="multilevel"/>
    <w:tmpl w:val="F142F26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15:restartNumberingAfterBreak="0">
    <w:nsid w:val="79A6258E"/>
    <w:multiLevelType w:val="multilevel"/>
    <w:tmpl w:val="DFC66C32"/>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14" w15:restartNumberingAfterBreak="0">
    <w:nsid w:val="7CC27FF6"/>
    <w:multiLevelType w:val="multilevel"/>
    <w:tmpl w:val="CDF4C93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E362C9F"/>
    <w:multiLevelType w:val="hybridMultilevel"/>
    <w:tmpl w:val="B01EDD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3"/>
  </w:num>
  <w:num w:numId="4">
    <w:abstractNumId w:val="0"/>
  </w:num>
  <w:num w:numId="5">
    <w:abstractNumId w:val="12"/>
  </w:num>
  <w:num w:numId="6">
    <w:abstractNumId w:val="1"/>
  </w:num>
  <w:num w:numId="7">
    <w:abstractNumId w:val="9"/>
  </w:num>
  <w:num w:numId="8">
    <w:abstractNumId w:val="10"/>
  </w:num>
  <w:num w:numId="9">
    <w:abstractNumId w:val="2"/>
  </w:num>
  <w:num w:numId="10">
    <w:abstractNumId w:val="11"/>
  </w:num>
  <w:num w:numId="11">
    <w:abstractNumId w:val="6"/>
  </w:num>
  <w:num w:numId="12">
    <w:abstractNumId w:val="5"/>
  </w:num>
  <w:num w:numId="13">
    <w:abstractNumId w:val="4"/>
  </w:num>
  <w:num w:numId="14">
    <w:abstractNumId w:val="15"/>
  </w:num>
  <w:num w:numId="15">
    <w:abstractNumId w:val="2"/>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E84"/>
    <w:rsid w:val="00007FA0"/>
    <w:rsid w:val="00215F53"/>
    <w:rsid w:val="00223D1D"/>
    <w:rsid w:val="002A77A1"/>
    <w:rsid w:val="002B046E"/>
    <w:rsid w:val="002B2F9E"/>
    <w:rsid w:val="002E277C"/>
    <w:rsid w:val="002F1FFA"/>
    <w:rsid w:val="0031686F"/>
    <w:rsid w:val="004D4860"/>
    <w:rsid w:val="004E3E84"/>
    <w:rsid w:val="005212F0"/>
    <w:rsid w:val="005B70CC"/>
    <w:rsid w:val="006330B5"/>
    <w:rsid w:val="00733364"/>
    <w:rsid w:val="00832354"/>
    <w:rsid w:val="00842494"/>
    <w:rsid w:val="008444D1"/>
    <w:rsid w:val="008475ED"/>
    <w:rsid w:val="008F3627"/>
    <w:rsid w:val="009A1815"/>
    <w:rsid w:val="00AA399F"/>
    <w:rsid w:val="00DB4CCB"/>
    <w:rsid w:val="00DC049C"/>
    <w:rsid w:val="00E62E38"/>
    <w:rsid w:val="00EE3C2F"/>
    <w:rsid w:val="00F360B2"/>
    <w:rsid w:val="00F87DCA"/>
    <w:rsid w:val="00FF76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46F1E9"/>
  <w15:docId w15:val="{6338D691-4F03-43F0-8828-A394DC0BF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E63"/>
    <w:rPr>
      <w:rFonts w:eastAsiaTheme="minorEastAsia"/>
      <w:lang w:eastAsia="es-ES"/>
    </w:rPr>
  </w:style>
  <w:style w:type="paragraph" w:styleId="Ttulo1">
    <w:name w:val="heading 1"/>
    <w:basedOn w:val="Normal"/>
    <w:next w:val="Normal"/>
    <w:link w:val="Ttulo1Car"/>
    <w:uiPriority w:val="9"/>
    <w:qFormat/>
    <w:rsid w:val="00D45E6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D45E6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D45E63"/>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D45E63"/>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D45E63"/>
    <w:pPr>
      <w:tabs>
        <w:tab w:val="center" w:pos="4419"/>
        <w:tab w:val="right" w:pos="8838"/>
      </w:tabs>
    </w:pPr>
  </w:style>
  <w:style w:type="character" w:customStyle="1" w:styleId="EncabezadoCar">
    <w:name w:val="Encabezado Car"/>
    <w:basedOn w:val="Fuentedeprrafopredeter"/>
    <w:link w:val="Encabezado"/>
    <w:uiPriority w:val="99"/>
    <w:rsid w:val="00D45E63"/>
    <w:rPr>
      <w:rFonts w:eastAsiaTheme="minorEastAsia"/>
      <w:sz w:val="24"/>
      <w:szCs w:val="24"/>
      <w:lang w:val="es-ES_tradnl" w:eastAsia="es-ES"/>
    </w:rPr>
  </w:style>
  <w:style w:type="paragraph" w:styleId="Piedepgina">
    <w:name w:val="footer"/>
    <w:basedOn w:val="Normal"/>
    <w:link w:val="PiedepginaCar"/>
    <w:uiPriority w:val="99"/>
    <w:unhideWhenUsed/>
    <w:rsid w:val="00D45E63"/>
    <w:pPr>
      <w:tabs>
        <w:tab w:val="center" w:pos="4419"/>
        <w:tab w:val="right" w:pos="8838"/>
      </w:tabs>
    </w:pPr>
  </w:style>
  <w:style w:type="character" w:customStyle="1" w:styleId="PiedepginaCar">
    <w:name w:val="Pie de página Car"/>
    <w:basedOn w:val="Fuentedeprrafopredeter"/>
    <w:link w:val="Piedepgina"/>
    <w:uiPriority w:val="99"/>
    <w:rsid w:val="00D45E63"/>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45E63"/>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45E63"/>
    <w:rPr>
      <w:rFonts w:eastAsiaTheme="minorEastAsia"/>
      <w:sz w:val="24"/>
      <w:szCs w:val="24"/>
      <w:lang w:val="es-ES_tradnl" w:eastAsia="es-ES"/>
    </w:rPr>
  </w:style>
  <w:style w:type="table" w:styleId="Tablanormal1">
    <w:name w:val="Plain Table 1"/>
    <w:basedOn w:val="Tablanormal"/>
    <w:uiPriority w:val="41"/>
    <w:rsid w:val="00D45E6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basedOn w:val="Fuentedeprrafopredeter"/>
    <w:uiPriority w:val="99"/>
    <w:unhideWhenUsed/>
    <w:rsid w:val="00D45E63"/>
    <w:rPr>
      <w:color w:val="0000FF"/>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45E63"/>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D45E63"/>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45E63"/>
    <w:rPr>
      <w:rFonts w:eastAsiaTheme="minorHAnsi"/>
      <w:sz w:val="20"/>
      <w:szCs w:val="20"/>
      <w:lang w:val="es-MX" w:eastAsia="en-US"/>
    </w:rPr>
  </w:style>
  <w:style w:type="character" w:customStyle="1" w:styleId="TextonotapieCar1">
    <w:name w:val="Texto nota pie Car1"/>
    <w:basedOn w:val="Fuentedeprrafopredeter"/>
    <w:uiPriority w:val="99"/>
    <w:semiHidden/>
    <w:rsid w:val="00D45E63"/>
    <w:rPr>
      <w:rFonts w:eastAsiaTheme="minorEastAsia"/>
      <w:sz w:val="20"/>
      <w:szCs w:val="20"/>
      <w:lang w:val="es-ES_tradnl"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character" w:styleId="Referenciasutil">
    <w:name w:val="Subtle Reference"/>
    <w:basedOn w:val="Fuentedeprrafopredeter"/>
    <w:uiPriority w:val="31"/>
    <w:qFormat/>
    <w:rsid w:val="002B2F9E"/>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374672">
      <w:bodyDiv w:val="1"/>
      <w:marLeft w:val="0"/>
      <w:marRight w:val="0"/>
      <w:marTop w:val="0"/>
      <w:marBottom w:val="0"/>
      <w:divBdr>
        <w:top w:val="none" w:sz="0" w:space="0" w:color="auto"/>
        <w:left w:val="none" w:sz="0" w:space="0" w:color="auto"/>
        <w:bottom w:val="none" w:sz="0" w:space="0" w:color="auto"/>
        <w:right w:val="none" w:sz="0" w:space="0" w:color="auto"/>
      </w:divBdr>
    </w:div>
    <w:div w:id="1503350143">
      <w:bodyDiv w:val="1"/>
      <w:marLeft w:val="0"/>
      <w:marRight w:val="0"/>
      <w:marTop w:val="0"/>
      <w:marBottom w:val="0"/>
      <w:divBdr>
        <w:top w:val="none" w:sz="0" w:space="0" w:color="auto"/>
        <w:left w:val="none" w:sz="0" w:space="0" w:color="auto"/>
        <w:bottom w:val="none" w:sz="0" w:space="0" w:color="auto"/>
        <w:right w:val="none" w:sz="0" w:space="0" w:color="auto"/>
      </w:divBdr>
    </w:div>
    <w:div w:id="1558778079">
      <w:bodyDiv w:val="1"/>
      <w:marLeft w:val="0"/>
      <w:marRight w:val="0"/>
      <w:marTop w:val="0"/>
      <w:marBottom w:val="0"/>
      <w:divBdr>
        <w:top w:val="none" w:sz="0" w:space="0" w:color="auto"/>
        <w:left w:val="none" w:sz="0" w:space="0" w:color="auto"/>
        <w:bottom w:val="none" w:sz="0" w:space="0" w:color="auto"/>
        <w:right w:val="none" w:sz="0" w:space="0" w:color="auto"/>
      </w:divBdr>
    </w:div>
    <w:div w:id="1770657098">
      <w:bodyDiv w:val="1"/>
      <w:marLeft w:val="0"/>
      <w:marRight w:val="0"/>
      <w:marTop w:val="0"/>
      <w:marBottom w:val="0"/>
      <w:divBdr>
        <w:top w:val="none" w:sz="0" w:space="0" w:color="auto"/>
        <w:left w:val="none" w:sz="0" w:space="0" w:color="auto"/>
        <w:bottom w:val="none" w:sz="0" w:space="0" w:color="auto"/>
        <w:right w:val="none" w:sz="0" w:space="0" w:color="auto"/>
      </w:divBdr>
    </w:div>
    <w:div w:id="2113282557">
      <w:bodyDiv w:val="1"/>
      <w:marLeft w:val="0"/>
      <w:marRight w:val="0"/>
      <w:marTop w:val="0"/>
      <w:marBottom w:val="0"/>
      <w:divBdr>
        <w:top w:val="none" w:sz="0" w:space="0" w:color="auto"/>
        <w:left w:val="none" w:sz="0" w:space="0" w:color="auto"/>
        <w:bottom w:val="none" w:sz="0" w:space="0" w:color="auto"/>
        <w:right w:val="none" w:sz="0" w:space="0" w:color="auto"/>
      </w:divBdr>
    </w:div>
    <w:div w:id="2123306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iteriosdeinterpretacion.inai.org.mx/Criterios/02-19.doc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kI9ZNKBjkhFgdLxsdsf3bbUEvg==">CgMxLjAyCGguZ2pkZ3hzMgloLjMwajB6bGwyCWguMWZvYjl0ZTIJaC4zem55c2g3MgloLjJldDkycDAyCGgudHlqY3d0MgloLjNkeTZ2a20yCWguMXQzaDVzZjIJaC40ZDM0b2c4MgloLjJzOGV5bzEyCWguMTdkcDh2dTIJaC4zcmRjcmpuMgloLjI2aW4xcmcyCGgubG54Yno5MgloLjM1bmt1bjI4AHIhMThULXRjSUtURE5MSDN5M2xMRGVfcHlmUVpyN01SRWxT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10242</Words>
  <Characters>56336</Characters>
  <Application>Microsoft Office Word</Application>
  <DocSecurity>0</DocSecurity>
  <Lines>469</Lines>
  <Paragraphs>132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66446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USUARIO</cp:lastModifiedBy>
  <cp:revision>8</cp:revision>
  <cp:lastPrinted>2024-03-15T01:26:00Z</cp:lastPrinted>
  <dcterms:created xsi:type="dcterms:W3CDTF">2024-03-12T19:28:00Z</dcterms:created>
  <dcterms:modified xsi:type="dcterms:W3CDTF">2024-03-15T01:26:00Z</dcterms:modified>
</cp:coreProperties>
</file>