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7B4961" w:rsidRDefault="00AE3DA7" w:rsidP="007B4961">
          <w:pPr>
            <w:pStyle w:val="TtulodeTDC"/>
            <w:spacing w:before="0" w:line="240" w:lineRule="auto"/>
            <w:rPr>
              <w:rFonts w:ascii="Palatino Linotype" w:hAnsi="Palatino Linotype"/>
              <w:color w:val="auto"/>
              <w:sz w:val="22"/>
              <w:szCs w:val="22"/>
              <w:lang w:val="es-ES"/>
            </w:rPr>
          </w:pPr>
          <w:r w:rsidRPr="007B4961">
            <w:rPr>
              <w:rFonts w:ascii="Palatino Linotype" w:hAnsi="Palatino Linotype"/>
              <w:color w:val="auto"/>
              <w:sz w:val="22"/>
              <w:szCs w:val="22"/>
              <w:lang w:val="es-ES"/>
            </w:rPr>
            <w:t>Contenido</w:t>
          </w:r>
        </w:p>
        <w:p w14:paraId="3EB312A7" w14:textId="77777777" w:rsidR="00AA6EA9" w:rsidRPr="007B4961" w:rsidRDefault="00AA6EA9" w:rsidP="007B4961">
          <w:pPr>
            <w:spacing w:line="240" w:lineRule="auto"/>
            <w:rPr>
              <w:szCs w:val="22"/>
              <w:lang w:val="es-ES" w:eastAsia="es-MX"/>
            </w:rPr>
          </w:pPr>
        </w:p>
        <w:p w14:paraId="1C9BE86A" w14:textId="77777777" w:rsidR="00776E42" w:rsidRPr="007B4961" w:rsidRDefault="00AE3DA7" w:rsidP="007B4961">
          <w:pPr>
            <w:pStyle w:val="TDC1"/>
            <w:tabs>
              <w:tab w:val="right" w:leader="dot" w:pos="9034"/>
            </w:tabs>
            <w:rPr>
              <w:rFonts w:asciiTheme="minorHAnsi" w:eastAsiaTheme="minorEastAsia" w:hAnsiTheme="minorHAnsi" w:cstheme="minorBidi"/>
              <w:noProof/>
              <w:szCs w:val="22"/>
              <w:lang w:eastAsia="es-MX"/>
            </w:rPr>
          </w:pPr>
          <w:r w:rsidRPr="007B4961">
            <w:rPr>
              <w:szCs w:val="22"/>
            </w:rPr>
            <w:fldChar w:fldCharType="begin"/>
          </w:r>
          <w:r w:rsidRPr="007B4961">
            <w:rPr>
              <w:szCs w:val="22"/>
            </w:rPr>
            <w:instrText xml:space="preserve"> TOC \o "1-3" \h \z \u </w:instrText>
          </w:r>
          <w:r w:rsidRPr="007B4961">
            <w:rPr>
              <w:szCs w:val="22"/>
            </w:rPr>
            <w:fldChar w:fldCharType="separate"/>
          </w:r>
          <w:hyperlink w:anchor="_Toc184225328" w:history="1">
            <w:r w:rsidR="00776E42" w:rsidRPr="007B4961">
              <w:rPr>
                <w:rStyle w:val="Hipervnculo"/>
                <w:noProof/>
                <w:color w:val="auto"/>
              </w:rPr>
              <w:t>ANTECEDENTES</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_Toc184225328 \h </w:instrText>
            </w:r>
            <w:r w:rsidR="00776E42" w:rsidRPr="007B4961">
              <w:rPr>
                <w:noProof/>
                <w:webHidden/>
              </w:rPr>
            </w:r>
            <w:r w:rsidR="00776E42" w:rsidRPr="007B4961">
              <w:rPr>
                <w:noProof/>
                <w:webHidden/>
              </w:rPr>
              <w:fldChar w:fldCharType="separate"/>
            </w:r>
            <w:r w:rsidR="00901F26">
              <w:rPr>
                <w:noProof/>
                <w:webHidden/>
              </w:rPr>
              <w:t>1</w:t>
            </w:r>
            <w:r w:rsidR="00776E42" w:rsidRPr="007B4961">
              <w:rPr>
                <w:noProof/>
                <w:webHidden/>
              </w:rPr>
              <w:fldChar w:fldCharType="end"/>
            </w:r>
          </w:hyperlink>
        </w:p>
        <w:p w14:paraId="242FFC8E" w14:textId="77777777" w:rsidR="00776E42" w:rsidRPr="007B4961" w:rsidRDefault="00901F26" w:rsidP="007B4961">
          <w:pPr>
            <w:pStyle w:val="TDC2"/>
            <w:rPr>
              <w:rFonts w:asciiTheme="minorHAnsi" w:eastAsiaTheme="minorEastAsia" w:hAnsiTheme="minorHAnsi" w:cstheme="minorBidi"/>
              <w:noProof/>
              <w:szCs w:val="22"/>
              <w:lang w:eastAsia="es-MX"/>
            </w:rPr>
          </w:pPr>
          <w:hyperlink w:anchor="_Toc184225329" w:history="1">
            <w:r w:rsidR="00776E42" w:rsidRPr="007B4961">
              <w:rPr>
                <w:rStyle w:val="Hipervnculo"/>
                <w:noProof/>
                <w:color w:val="auto"/>
              </w:rPr>
              <w:t>DE LAS SOLICITUDES DE INFORMACIÓN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_Toc184225329 \h </w:instrText>
            </w:r>
            <w:r w:rsidR="00776E42" w:rsidRPr="007B4961">
              <w:rPr>
                <w:noProof/>
                <w:webHidden/>
              </w:rPr>
            </w:r>
            <w:r w:rsidR="00776E42" w:rsidRPr="007B4961">
              <w:rPr>
                <w:noProof/>
                <w:webHidden/>
              </w:rPr>
              <w:fldChar w:fldCharType="separate"/>
            </w:r>
            <w:r>
              <w:rPr>
                <w:noProof/>
                <w:webHidden/>
              </w:rPr>
              <w:t>1</w:t>
            </w:r>
            <w:r w:rsidR="00776E42" w:rsidRPr="007B4961">
              <w:rPr>
                <w:noProof/>
                <w:webHidden/>
              </w:rPr>
              <w:fldChar w:fldCharType="end"/>
            </w:r>
          </w:hyperlink>
        </w:p>
        <w:p w14:paraId="5FF8A974"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0" w:history="1">
            <w:r w:rsidR="00776E42" w:rsidRPr="007B4961">
              <w:rPr>
                <w:rStyle w:val="Hipervnculo"/>
                <w:noProof/>
                <w:color w:val="auto"/>
              </w:rPr>
              <w:t>a) Solicitudes de información.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_Toc184225330 \h </w:instrText>
            </w:r>
            <w:r w:rsidR="00776E42" w:rsidRPr="007B4961">
              <w:rPr>
                <w:noProof/>
                <w:webHidden/>
              </w:rPr>
            </w:r>
            <w:r w:rsidR="00776E42" w:rsidRPr="007B4961">
              <w:rPr>
                <w:noProof/>
                <w:webHidden/>
              </w:rPr>
              <w:fldChar w:fldCharType="separate"/>
            </w:r>
            <w:r>
              <w:rPr>
                <w:noProof/>
                <w:webHidden/>
              </w:rPr>
              <w:t>1</w:t>
            </w:r>
            <w:r w:rsidR="00776E42" w:rsidRPr="007B4961">
              <w:rPr>
                <w:noProof/>
                <w:webHidden/>
              </w:rPr>
              <w:fldChar w:fldCharType="end"/>
            </w:r>
          </w:hyperlink>
        </w:p>
        <w:p w14:paraId="6189A71F"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1" w:history="1">
            <w:r w:rsidR="00776E42" w:rsidRPr="007B4961">
              <w:rPr>
                <w:rStyle w:val="Hipervnculo"/>
                <w:noProof/>
                <w:color w:val="auto"/>
              </w:rPr>
              <w:t>b) Turno de las solicitudes de información.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_Toc184225331 \h </w:instrText>
            </w:r>
            <w:r w:rsidR="00776E42" w:rsidRPr="007B4961">
              <w:rPr>
                <w:noProof/>
                <w:webHidden/>
              </w:rPr>
            </w:r>
            <w:r w:rsidR="00776E42" w:rsidRPr="007B4961">
              <w:rPr>
                <w:noProof/>
                <w:webHidden/>
              </w:rPr>
              <w:fldChar w:fldCharType="separate"/>
            </w:r>
            <w:r>
              <w:rPr>
                <w:noProof/>
                <w:webHidden/>
              </w:rPr>
              <w:t>2</w:t>
            </w:r>
            <w:r w:rsidR="00776E42" w:rsidRPr="007B4961">
              <w:rPr>
                <w:noProof/>
                <w:webHidden/>
              </w:rPr>
              <w:fldChar w:fldCharType="end"/>
            </w:r>
          </w:hyperlink>
        </w:p>
        <w:p w14:paraId="78DD443F"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2" w:history="1">
            <w:r w:rsidR="00776E42" w:rsidRPr="007B4961">
              <w:rPr>
                <w:rStyle w:val="Hipervnculo"/>
                <w:noProof/>
                <w:color w:val="auto"/>
                <w:lang w:val="es-ES"/>
              </w:rPr>
              <w:t xml:space="preserve">c) Respuestas </w:t>
            </w:r>
            <w:r w:rsidR="00776E42" w:rsidRPr="007B4961">
              <w:rPr>
                <w:rStyle w:val="Hipervnculo"/>
                <w:rFonts w:eastAsia="Calibri"/>
                <w:noProof/>
                <w:color w:val="auto"/>
                <w:lang w:eastAsia="en-US"/>
              </w:rPr>
              <w:t>del Sujeto Obligado.</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_Toc184225332 \h </w:instrText>
            </w:r>
            <w:r w:rsidR="00776E42" w:rsidRPr="007B4961">
              <w:rPr>
                <w:noProof/>
                <w:webHidden/>
              </w:rPr>
            </w:r>
            <w:r w:rsidR="00776E42" w:rsidRPr="007B4961">
              <w:rPr>
                <w:noProof/>
                <w:webHidden/>
              </w:rPr>
              <w:fldChar w:fldCharType="separate"/>
            </w:r>
            <w:r>
              <w:rPr>
                <w:noProof/>
                <w:webHidden/>
              </w:rPr>
              <w:t>2</w:t>
            </w:r>
            <w:r w:rsidR="00776E42" w:rsidRPr="007B4961">
              <w:rPr>
                <w:noProof/>
                <w:webHidden/>
              </w:rPr>
              <w:fldChar w:fldCharType="end"/>
            </w:r>
          </w:hyperlink>
        </w:p>
        <w:p w14:paraId="5B902BFB" w14:textId="77777777" w:rsidR="00776E42" w:rsidRPr="007B4961" w:rsidRDefault="00901F26" w:rsidP="007B4961">
          <w:pPr>
            <w:pStyle w:val="TDC2"/>
            <w:rPr>
              <w:rFonts w:asciiTheme="minorHAnsi" w:eastAsiaTheme="minorEastAsia" w:hAnsiTheme="minorHAnsi" w:cstheme="minorBidi"/>
              <w:noProof/>
              <w:szCs w:val="22"/>
              <w:lang w:eastAsia="es-MX"/>
            </w:rPr>
          </w:pPr>
          <w:hyperlink w:anchor="_Toc184225333" w:history="1">
            <w:r w:rsidR="00776E42" w:rsidRPr="007B4961">
              <w:rPr>
                <w:rStyle w:val="Hipervnculo"/>
                <w:noProof/>
                <w:color w:val="auto"/>
              </w:rPr>
              <w:t>DEL RECURSO DE REVISIÓN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_Toc184225333 \h </w:instrText>
            </w:r>
            <w:r w:rsidR="00776E42" w:rsidRPr="007B4961">
              <w:rPr>
                <w:noProof/>
                <w:webHidden/>
              </w:rPr>
            </w:r>
            <w:r w:rsidR="00776E42" w:rsidRPr="007B4961">
              <w:rPr>
                <w:noProof/>
                <w:webHidden/>
              </w:rPr>
              <w:fldChar w:fldCharType="separate"/>
            </w:r>
            <w:r>
              <w:rPr>
                <w:noProof/>
                <w:webHidden/>
              </w:rPr>
              <w:t>4</w:t>
            </w:r>
            <w:r w:rsidR="00776E42" w:rsidRPr="007B4961">
              <w:rPr>
                <w:noProof/>
                <w:webHidden/>
              </w:rPr>
              <w:fldChar w:fldCharType="end"/>
            </w:r>
          </w:hyperlink>
        </w:p>
        <w:p w14:paraId="44F42934"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4" w:history="1">
            <w:r w:rsidR="00776E42" w:rsidRPr="007B4961">
              <w:rPr>
                <w:rStyle w:val="Hipervnculo"/>
                <w:noProof/>
                <w:color w:val="auto"/>
              </w:rPr>
              <w:t>a) Interposición de los Recursos de Revisión.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_Toc184225334 \h </w:instrText>
            </w:r>
            <w:r w:rsidR="00776E42" w:rsidRPr="007B4961">
              <w:rPr>
                <w:noProof/>
                <w:webHidden/>
              </w:rPr>
            </w:r>
            <w:r w:rsidR="00776E42" w:rsidRPr="007B4961">
              <w:rPr>
                <w:noProof/>
                <w:webHidden/>
              </w:rPr>
              <w:fldChar w:fldCharType="separate"/>
            </w:r>
            <w:r>
              <w:rPr>
                <w:noProof/>
                <w:webHidden/>
              </w:rPr>
              <w:t>4</w:t>
            </w:r>
            <w:r w:rsidR="00776E42" w:rsidRPr="007B4961">
              <w:rPr>
                <w:noProof/>
                <w:webHidden/>
              </w:rPr>
              <w:fldChar w:fldCharType="end"/>
            </w:r>
          </w:hyperlink>
        </w:p>
        <w:p w14:paraId="65DD94BE"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5" w:history="1">
            <w:r w:rsidR="00776E42" w:rsidRPr="007B4961">
              <w:rPr>
                <w:rStyle w:val="Hipervnculo"/>
                <w:noProof/>
                <w:color w:val="auto"/>
              </w:rPr>
              <w:t>b) Turno de los Recursos de Revisión.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_Toc184225335 \h </w:instrText>
            </w:r>
            <w:r w:rsidR="00776E42" w:rsidRPr="007B4961">
              <w:rPr>
                <w:noProof/>
                <w:webHidden/>
              </w:rPr>
            </w:r>
            <w:r w:rsidR="00776E42" w:rsidRPr="007B4961">
              <w:rPr>
                <w:noProof/>
                <w:webHidden/>
              </w:rPr>
              <w:fldChar w:fldCharType="separate"/>
            </w:r>
            <w:r>
              <w:rPr>
                <w:noProof/>
                <w:webHidden/>
              </w:rPr>
              <w:t>5</w:t>
            </w:r>
            <w:r w:rsidR="00776E42" w:rsidRPr="007B4961">
              <w:rPr>
                <w:noProof/>
                <w:webHidden/>
              </w:rPr>
              <w:fldChar w:fldCharType="end"/>
            </w:r>
          </w:hyperlink>
        </w:p>
        <w:p w14:paraId="00A02999"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6" w:history="1">
            <w:r w:rsidR="00776E42" w:rsidRPr="007B4961">
              <w:rPr>
                <w:rStyle w:val="Hipervnculo"/>
                <w:noProof/>
                <w:color w:val="auto"/>
              </w:rPr>
              <w:t>c) Admisiones de los Recursos de Revisión.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_Toc184225336 \h </w:instrText>
            </w:r>
            <w:r w:rsidR="00776E42" w:rsidRPr="007B4961">
              <w:rPr>
                <w:noProof/>
                <w:webHidden/>
              </w:rPr>
            </w:r>
            <w:r w:rsidR="00776E42" w:rsidRPr="007B4961">
              <w:rPr>
                <w:noProof/>
                <w:webHidden/>
              </w:rPr>
              <w:fldChar w:fldCharType="separate"/>
            </w:r>
            <w:r>
              <w:rPr>
                <w:noProof/>
                <w:webHidden/>
              </w:rPr>
              <w:t>5</w:t>
            </w:r>
            <w:r w:rsidR="00776E42" w:rsidRPr="007B4961">
              <w:rPr>
                <w:noProof/>
                <w:webHidden/>
              </w:rPr>
              <w:fldChar w:fldCharType="end"/>
            </w:r>
          </w:hyperlink>
        </w:p>
        <w:p w14:paraId="1B688DA1"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7" w:history="1">
            <w:r w:rsidR="00776E42" w:rsidRPr="007B4961">
              <w:rPr>
                <w:rStyle w:val="Hipervnculo"/>
                <w:noProof/>
                <w:color w:val="auto"/>
              </w:rPr>
              <w:t>d) Manifestaciones del Sujeto Obligado.</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_Toc184225337 \h </w:instrText>
            </w:r>
            <w:r w:rsidR="00776E42" w:rsidRPr="007B4961">
              <w:rPr>
                <w:noProof/>
                <w:webHidden/>
              </w:rPr>
            </w:r>
            <w:r w:rsidR="00776E42" w:rsidRPr="007B4961">
              <w:rPr>
                <w:noProof/>
                <w:webHidden/>
              </w:rPr>
              <w:fldChar w:fldCharType="separate"/>
            </w:r>
            <w:r>
              <w:rPr>
                <w:noProof/>
                <w:webHidden/>
              </w:rPr>
              <w:t>5</w:t>
            </w:r>
            <w:r w:rsidR="00776E42" w:rsidRPr="007B4961">
              <w:rPr>
                <w:noProof/>
                <w:webHidden/>
              </w:rPr>
              <w:fldChar w:fldCharType="end"/>
            </w:r>
          </w:hyperlink>
        </w:p>
        <w:p w14:paraId="150E1210"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8" w:history="1">
            <w:r w:rsidR="00776E42" w:rsidRPr="007B4961">
              <w:rPr>
                <w:rStyle w:val="Hipervnculo"/>
                <w:rFonts w:eastAsia="Calibri"/>
                <w:bCs/>
                <w:noProof/>
                <w:color w:val="auto"/>
                <w:lang w:eastAsia="en-US"/>
              </w:rPr>
              <w:t>e)</w:t>
            </w:r>
            <w:r w:rsidR="00776E42" w:rsidRPr="007B4961">
              <w:rPr>
                <w:rStyle w:val="Hipervnculo"/>
                <w:noProof/>
                <w:color w:val="auto"/>
              </w:rPr>
              <w:t xml:space="preserve"> </w:t>
            </w:r>
            <w:r w:rsidR="00776E42" w:rsidRPr="007B4961">
              <w:rPr>
                <w:rStyle w:val="Hipervnculo"/>
                <w:noProof/>
                <w:color w:val="auto"/>
                <w:lang w:val="es-ES"/>
              </w:rPr>
              <w:t>Manifestaciones de la Parte Recurrente.</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_Toc184225338 \h </w:instrText>
            </w:r>
            <w:r w:rsidR="00776E42" w:rsidRPr="007B4961">
              <w:rPr>
                <w:noProof/>
                <w:webHidden/>
              </w:rPr>
            </w:r>
            <w:r w:rsidR="00776E42" w:rsidRPr="007B4961">
              <w:rPr>
                <w:noProof/>
                <w:webHidden/>
              </w:rPr>
              <w:fldChar w:fldCharType="separate"/>
            </w:r>
            <w:r>
              <w:rPr>
                <w:noProof/>
                <w:webHidden/>
              </w:rPr>
              <w:t>6</w:t>
            </w:r>
            <w:r w:rsidR="00776E42" w:rsidRPr="007B4961">
              <w:rPr>
                <w:noProof/>
                <w:webHidden/>
              </w:rPr>
              <w:fldChar w:fldCharType="end"/>
            </w:r>
          </w:hyperlink>
        </w:p>
        <w:p w14:paraId="57D7B41C"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39" w:history="1">
            <w:r w:rsidR="00776E42" w:rsidRPr="007B4961">
              <w:rPr>
                <w:rStyle w:val="Hipervnculo"/>
                <w:noProof/>
                <w:color w:val="auto"/>
              </w:rPr>
              <w:t>f) Acumulación de los Recursos de Revisión.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_Toc184225339 \h </w:instrText>
            </w:r>
            <w:r w:rsidR="00776E42" w:rsidRPr="007B4961">
              <w:rPr>
                <w:noProof/>
                <w:webHidden/>
              </w:rPr>
            </w:r>
            <w:r w:rsidR="00776E42" w:rsidRPr="007B4961">
              <w:rPr>
                <w:noProof/>
                <w:webHidden/>
              </w:rPr>
              <w:fldChar w:fldCharType="separate"/>
            </w:r>
            <w:r>
              <w:rPr>
                <w:noProof/>
                <w:webHidden/>
              </w:rPr>
              <w:t>6</w:t>
            </w:r>
            <w:r w:rsidR="00776E42" w:rsidRPr="007B4961">
              <w:rPr>
                <w:noProof/>
                <w:webHidden/>
              </w:rPr>
              <w:fldChar w:fldCharType="end"/>
            </w:r>
          </w:hyperlink>
        </w:p>
        <w:p w14:paraId="09257286"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40" w:history="1">
            <w:r w:rsidR="00776E42" w:rsidRPr="007B4961">
              <w:rPr>
                <w:rStyle w:val="Hipervnculo"/>
                <w:noProof/>
                <w:color w:val="auto"/>
              </w:rPr>
              <w:t>h) Cierres de instrucción.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_Toc184225340 \h </w:instrText>
            </w:r>
            <w:r w:rsidR="00776E42" w:rsidRPr="007B4961">
              <w:rPr>
                <w:noProof/>
                <w:webHidden/>
              </w:rPr>
            </w:r>
            <w:r w:rsidR="00776E42" w:rsidRPr="007B4961">
              <w:rPr>
                <w:noProof/>
                <w:webHidden/>
              </w:rPr>
              <w:fldChar w:fldCharType="separate"/>
            </w:r>
            <w:r>
              <w:rPr>
                <w:noProof/>
                <w:webHidden/>
              </w:rPr>
              <w:t>7</w:t>
            </w:r>
            <w:r w:rsidR="00776E42" w:rsidRPr="007B4961">
              <w:rPr>
                <w:noProof/>
                <w:webHidden/>
              </w:rPr>
              <w:fldChar w:fldCharType="end"/>
            </w:r>
          </w:hyperlink>
        </w:p>
        <w:p w14:paraId="7CA74077" w14:textId="77777777" w:rsidR="00776E42" w:rsidRPr="007B4961" w:rsidRDefault="00901F26" w:rsidP="007B4961">
          <w:pPr>
            <w:pStyle w:val="TDC1"/>
            <w:tabs>
              <w:tab w:val="right" w:leader="dot" w:pos="9034"/>
            </w:tabs>
            <w:rPr>
              <w:rFonts w:asciiTheme="minorHAnsi" w:eastAsiaTheme="minorEastAsia" w:hAnsiTheme="minorHAnsi" w:cstheme="minorBidi"/>
              <w:noProof/>
              <w:szCs w:val="22"/>
              <w:lang w:eastAsia="es-MX"/>
            </w:rPr>
          </w:pPr>
          <w:hyperlink w:anchor="_Toc184225341" w:history="1">
            <w:r w:rsidR="00776E42" w:rsidRPr="007B4961">
              <w:rPr>
                <w:rStyle w:val="Hipervnculo"/>
                <w:rFonts w:eastAsiaTheme="minorHAnsi"/>
                <w:noProof/>
                <w:color w:val="auto"/>
                <w:lang w:eastAsia="en-US"/>
              </w:rPr>
              <w:t>CONSIDERANDOS</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_Toc184225341 \h </w:instrText>
            </w:r>
            <w:r w:rsidR="00776E42" w:rsidRPr="007B4961">
              <w:rPr>
                <w:noProof/>
                <w:webHidden/>
              </w:rPr>
            </w:r>
            <w:r w:rsidR="00776E42" w:rsidRPr="007B4961">
              <w:rPr>
                <w:noProof/>
                <w:webHidden/>
              </w:rPr>
              <w:fldChar w:fldCharType="separate"/>
            </w:r>
            <w:r>
              <w:rPr>
                <w:noProof/>
                <w:webHidden/>
              </w:rPr>
              <w:t>7</w:t>
            </w:r>
            <w:r w:rsidR="00776E42" w:rsidRPr="007B4961">
              <w:rPr>
                <w:noProof/>
                <w:webHidden/>
              </w:rPr>
              <w:fldChar w:fldCharType="end"/>
            </w:r>
          </w:hyperlink>
        </w:p>
        <w:p w14:paraId="37610181" w14:textId="77777777" w:rsidR="00776E42" w:rsidRPr="007B4961" w:rsidRDefault="00901F26" w:rsidP="007B4961">
          <w:pPr>
            <w:pStyle w:val="TDC2"/>
            <w:rPr>
              <w:rFonts w:asciiTheme="minorHAnsi" w:eastAsiaTheme="minorEastAsia" w:hAnsiTheme="minorHAnsi" w:cstheme="minorBidi"/>
              <w:noProof/>
              <w:szCs w:val="22"/>
              <w:lang w:eastAsia="es-MX"/>
            </w:rPr>
          </w:pPr>
          <w:hyperlink w:anchor="_Toc184225342" w:history="1">
            <w:r w:rsidR="00776E42" w:rsidRPr="007B4961">
              <w:rPr>
                <w:rStyle w:val="Hipervnculo"/>
                <w:rFonts w:eastAsia="Batang"/>
                <w:noProof/>
                <w:color w:val="auto"/>
              </w:rPr>
              <w:t>PRIMERO. Procedibilidad</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_Toc184225342 \h </w:instrText>
            </w:r>
            <w:r w:rsidR="00776E42" w:rsidRPr="007B4961">
              <w:rPr>
                <w:noProof/>
                <w:webHidden/>
              </w:rPr>
            </w:r>
            <w:r w:rsidR="00776E42" w:rsidRPr="007B4961">
              <w:rPr>
                <w:noProof/>
                <w:webHidden/>
              </w:rPr>
              <w:fldChar w:fldCharType="separate"/>
            </w:r>
            <w:r>
              <w:rPr>
                <w:noProof/>
                <w:webHidden/>
              </w:rPr>
              <w:t>7</w:t>
            </w:r>
            <w:r w:rsidR="00776E42" w:rsidRPr="007B4961">
              <w:rPr>
                <w:noProof/>
                <w:webHidden/>
              </w:rPr>
              <w:fldChar w:fldCharType="end"/>
            </w:r>
          </w:hyperlink>
        </w:p>
        <w:p w14:paraId="1F837779"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43" w:history="1">
            <w:r w:rsidR="00776E42" w:rsidRPr="007B4961">
              <w:rPr>
                <w:rStyle w:val="Hipervnculo"/>
                <w:noProof/>
                <w:color w:val="auto"/>
              </w:rPr>
              <w:t>a) Competencia del Instituto.</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_Toc184225343 \h </w:instrText>
            </w:r>
            <w:r w:rsidR="00776E42" w:rsidRPr="007B4961">
              <w:rPr>
                <w:noProof/>
                <w:webHidden/>
              </w:rPr>
            </w:r>
            <w:r w:rsidR="00776E42" w:rsidRPr="007B4961">
              <w:rPr>
                <w:noProof/>
                <w:webHidden/>
              </w:rPr>
              <w:fldChar w:fldCharType="separate"/>
            </w:r>
            <w:r>
              <w:rPr>
                <w:noProof/>
                <w:webHidden/>
              </w:rPr>
              <w:t>7</w:t>
            </w:r>
            <w:r w:rsidR="00776E42" w:rsidRPr="007B4961">
              <w:rPr>
                <w:noProof/>
                <w:webHidden/>
              </w:rPr>
              <w:fldChar w:fldCharType="end"/>
            </w:r>
          </w:hyperlink>
        </w:p>
        <w:p w14:paraId="118B2CFC"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44" w:history="1">
            <w:r w:rsidR="00776E42" w:rsidRPr="007B4961">
              <w:rPr>
                <w:rStyle w:val="Hipervnculo"/>
                <w:noProof/>
                <w:color w:val="auto"/>
              </w:rPr>
              <w:t>b) Legitimidad de la parte recurrente.</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_Toc184225344 \h </w:instrText>
            </w:r>
            <w:r w:rsidR="00776E42" w:rsidRPr="007B4961">
              <w:rPr>
                <w:noProof/>
                <w:webHidden/>
              </w:rPr>
            </w:r>
            <w:r w:rsidR="00776E42" w:rsidRPr="007B4961">
              <w:rPr>
                <w:noProof/>
                <w:webHidden/>
              </w:rPr>
              <w:fldChar w:fldCharType="separate"/>
            </w:r>
            <w:r>
              <w:rPr>
                <w:noProof/>
                <w:webHidden/>
              </w:rPr>
              <w:t>8</w:t>
            </w:r>
            <w:r w:rsidR="00776E42" w:rsidRPr="007B4961">
              <w:rPr>
                <w:noProof/>
                <w:webHidden/>
              </w:rPr>
              <w:fldChar w:fldCharType="end"/>
            </w:r>
          </w:hyperlink>
        </w:p>
        <w:p w14:paraId="234972BA"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45" w:history="1">
            <w:r w:rsidR="00776E42" w:rsidRPr="007B4961">
              <w:rPr>
                <w:rStyle w:val="Hipervnculo"/>
                <w:rFonts w:eastAsia="Calibri"/>
                <w:noProof/>
                <w:color w:val="auto"/>
                <w:lang w:eastAsia="es-ES_tradnl"/>
              </w:rPr>
              <w:t>c) Plazo para interponer el recurso.</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_Toc184225345 \h </w:instrText>
            </w:r>
            <w:r w:rsidR="00776E42" w:rsidRPr="007B4961">
              <w:rPr>
                <w:noProof/>
                <w:webHidden/>
              </w:rPr>
            </w:r>
            <w:r w:rsidR="00776E42" w:rsidRPr="007B4961">
              <w:rPr>
                <w:noProof/>
                <w:webHidden/>
              </w:rPr>
              <w:fldChar w:fldCharType="separate"/>
            </w:r>
            <w:r>
              <w:rPr>
                <w:noProof/>
                <w:webHidden/>
              </w:rPr>
              <w:t>8</w:t>
            </w:r>
            <w:r w:rsidR="00776E42" w:rsidRPr="007B4961">
              <w:rPr>
                <w:noProof/>
                <w:webHidden/>
              </w:rPr>
              <w:fldChar w:fldCharType="end"/>
            </w:r>
          </w:hyperlink>
        </w:p>
        <w:p w14:paraId="53C2FF5E"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46" w:history="1">
            <w:r w:rsidR="00776E42" w:rsidRPr="007B4961">
              <w:rPr>
                <w:rStyle w:val="Hipervnculo"/>
                <w:rFonts w:eastAsia="Calibri"/>
                <w:noProof/>
                <w:color w:val="auto"/>
                <w:lang w:eastAsia="es-ES_tradnl"/>
              </w:rPr>
              <w:t>d) Causales de procedencia.</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_Toc184225346 \h </w:instrText>
            </w:r>
            <w:r w:rsidR="00776E42" w:rsidRPr="007B4961">
              <w:rPr>
                <w:noProof/>
                <w:webHidden/>
              </w:rPr>
            </w:r>
            <w:r w:rsidR="00776E42" w:rsidRPr="007B4961">
              <w:rPr>
                <w:noProof/>
                <w:webHidden/>
              </w:rPr>
              <w:fldChar w:fldCharType="separate"/>
            </w:r>
            <w:r>
              <w:rPr>
                <w:noProof/>
                <w:webHidden/>
              </w:rPr>
              <w:t>8</w:t>
            </w:r>
            <w:r w:rsidR="00776E42" w:rsidRPr="007B4961">
              <w:rPr>
                <w:noProof/>
                <w:webHidden/>
              </w:rPr>
              <w:fldChar w:fldCharType="end"/>
            </w:r>
          </w:hyperlink>
        </w:p>
        <w:p w14:paraId="7ACBA305"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47" w:history="1">
            <w:r w:rsidR="00776E42" w:rsidRPr="007B4961">
              <w:rPr>
                <w:rStyle w:val="Hipervnculo"/>
                <w:noProof/>
                <w:color w:val="auto"/>
              </w:rPr>
              <w:t>e) Requisitos formales para la interposición del recurso.</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_Toc184225347 \h </w:instrText>
            </w:r>
            <w:r w:rsidR="00776E42" w:rsidRPr="007B4961">
              <w:rPr>
                <w:noProof/>
                <w:webHidden/>
              </w:rPr>
            </w:r>
            <w:r w:rsidR="00776E42" w:rsidRPr="007B4961">
              <w:rPr>
                <w:noProof/>
                <w:webHidden/>
              </w:rPr>
              <w:fldChar w:fldCharType="separate"/>
            </w:r>
            <w:r>
              <w:rPr>
                <w:noProof/>
                <w:webHidden/>
              </w:rPr>
              <w:t>8</w:t>
            </w:r>
            <w:r w:rsidR="00776E42" w:rsidRPr="007B4961">
              <w:rPr>
                <w:noProof/>
                <w:webHidden/>
              </w:rPr>
              <w:fldChar w:fldCharType="end"/>
            </w:r>
          </w:hyperlink>
        </w:p>
        <w:p w14:paraId="7139E9E7"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48" w:history="1">
            <w:r w:rsidR="00776E42" w:rsidRPr="007B4961">
              <w:rPr>
                <w:rStyle w:val="Hipervnculo"/>
                <w:noProof/>
                <w:color w:val="auto"/>
              </w:rPr>
              <w:t>f) Acumulación de los Recursos de Revisión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_Toc184225348 \h </w:instrText>
            </w:r>
            <w:r w:rsidR="00776E42" w:rsidRPr="007B4961">
              <w:rPr>
                <w:noProof/>
                <w:webHidden/>
              </w:rPr>
            </w:r>
            <w:r w:rsidR="00776E42" w:rsidRPr="007B4961">
              <w:rPr>
                <w:noProof/>
                <w:webHidden/>
              </w:rPr>
              <w:fldChar w:fldCharType="separate"/>
            </w:r>
            <w:r>
              <w:rPr>
                <w:noProof/>
                <w:webHidden/>
              </w:rPr>
              <w:t>9</w:t>
            </w:r>
            <w:r w:rsidR="00776E42" w:rsidRPr="007B4961">
              <w:rPr>
                <w:noProof/>
                <w:webHidden/>
              </w:rPr>
              <w:fldChar w:fldCharType="end"/>
            </w:r>
          </w:hyperlink>
        </w:p>
        <w:p w14:paraId="55CF431F" w14:textId="77777777" w:rsidR="00776E42" w:rsidRPr="007B4961" w:rsidRDefault="00901F26" w:rsidP="007B4961">
          <w:pPr>
            <w:pStyle w:val="TDC2"/>
            <w:rPr>
              <w:rFonts w:asciiTheme="minorHAnsi" w:eastAsiaTheme="minorEastAsia" w:hAnsiTheme="minorHAnsi" w:cstheme="minorBidi"/>
              <w:noProof/>
              <w:szCs w:val="22"/>
              <w:lang w:eastAsia="es-MX"/>
            </w:rPr>
          </w:pPr>
          <w:hyperlink w:anchor="_Toc184225349" w:history="1">
            <w:r w:rsidR="00776E42" w:rsidRPr="007B4961">
              <w:rPr>
                <w:rStyle w:val="Hipervnculo"/>
                <w:noProof/>
                <w:color w:val="auto"/>
              </w:rPr>
              <w:t>SEGUNDO. Estudio de Fondo.</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_Toc184225349 \h </w:instrText>
            </w:r>
            <w:r w:rsidR="00776E42" w:rsidRPr="007B4961">
              <w:rPr>
                <w:noProof/>
                <w:webHidden/>
              </w:rPr>
            </w:r>
            <w:r w:rsidR="00776E42" w:rsidRPr="007B4961">
              <w:rPr>
                <w:noProof/>
                <w:webHidden/>
              </w:rPr>
              <w:fldChar w:fldCharType="separate"/>
            </w:r>
            <w:r>
              <w:rPr>
                <w:noProof/>
                <w:webHidden/>
              </w:rPr>
              <w:t>10</w:t>
            </w:r>
            <w:r w:rsidR="00776E42" w:rsidRPr="007B4961">
              <w:rPr>
                <w:noProof/>
                <w:webHidden/>
              </w:rPr>
              <w:fldChar w:fldCharType="end"/>
            </w:r>
          </w:hyperlink>
        </w:p>
        <w:p w14:paraId="0B4ECE03"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50" w:history="1">
            <w:r w:rsidR="00776E42" w:rsidRPr="007B4961">
              <w:rPr>
                <w:rStyle w:val="Hipervnculo"/>
                <w:noProof/>
                <w:color w:val="auto"/>
              </w:rPr>
              <w:t>a) Mandato de transparencia y responsabilidad del Sujeto Obligado</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_Toc184225350 \h </w:instrText>
            </w:r>
            <w:r w:rsidR="00776E42" w:rsidRPr="007B4961">
              <w:rPr>
                <w:noProof/>
                <w:webHidden/>
              </w:rPr>
            </w:r>
            <w:r w:rsidR="00776E42" w:rsidRPr="007B4961">
              <w:rPr>
                <w:noProof/>
                <w:webHidden/>
              </w:rPr>
              <w:fldChar w:fldCharType="separate"/>
            </w:r>
            <w:r>
              <w:rPr>
                <w:noProof/>
                <w:webHidden/>
              </w:rPr>
              <w:t>10</w:t>
            </w:r>
            <w:r w:rsidR="00776E42" w:rsidRPr="007B4961">
              <w:rPr>
                <w:noProof/>
                <w:webHidden/>
              </w:rPr>
              <w:fldChar w:fldCharType="end"/>
            </w:r>
          </w:hyperlink>
        </w:p>
        <w:p w14:paraId="69420315"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51" w:history="1">
            <w:r w:rsidR="00776E42" w:rsidRPr="007B4961">
              <w:rPr>
                <w:rStyle w:val="Hipervnculo"/>
                <w:rFonts w:eastAsia="Calibri"/>
                <w:noProof/>
                <w:color w:val="auto"/>
                <w:lang w:eastAsia="es-ES_tradnl"/>
              </w:rPr>
              <w:t>b) Controversia a resolver.</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_Toc184225351 \h </w:instrText>
            </w:r>
            <w:r w:rsidR="00776E42" w:rsidRPr="007B4961">
              <w:rPr>
                <w:noProof/>
                <w:webHidden/>
              </w:rPr>
            </w:r>
            <w:r w:rsidR="00776E42" w:rsidRPr="007B4961">
              <w:rPr>
                <w:noProof/>
                <w:webHidden/>
              </w:rPr>
              <w:fldChar w:fldCharType="separate"/>
            </w:r>
            <w:r>
              <w:rPr>
                <w:noProof/>
                <w:webHidden/>
              </w:rPr>
              <w:t>12</w:t>
            </w:r>
            <w:r w:rsidR="00776E42" w:rsidRPr="007B4961">
              <w:rPr>
                <w:noProof/>
                <w:webHidden/>
              </w:rPr>
              <w:fldChar w:fldCharType="end"/>
            </w:r>
          </w:hyperlink>
        </w:p>
        <w:p w14:paraId="247D2D19"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52" w:history="1">
            <w:r w:rsidR="00776E42" w:rsidRPr="007B4961">
              <w:rPr>
                <w:rStyle w:val="Hipervnculo"/>
                <w:noProof/>
                <w:color w:val="auto"/>
              </w:rPr>
              <w:t>c) Estudio de la controversia.</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_Toc184225352 \h </w:instrText>
            </w:r>
            <w:r w:rsidR="00776E42" w:rsidRPr="007B4961">
              <w:rPr>
                <w:noProof/>
                <w:webHidden/>
              </w:rPr>
            </w:r>
            <w:r w:rsidR="00776E42" w:rsidRPr="007B4961">
              <w:rPr>
                <w:noProof/>
                <w:webHidden/>
              </w:rPr>
              <w:fldChar w:fldCharType="separate"/>
            </w:r>
            <w:r>
              <w:rPr>
                <w:noProof/>
                <w:webHidden/>
              </w:rPr>
              <w:t>13</w:t>
            </w:r>
            <w:r w:rsidR="00776E42" w:rsidRPr="007B4961">
              <w:rPr>
                <w:noProof/>
                <w:webHidden/>
              </w:rPr>
              <w:fldChar w:fldCharType="end"/>
            </w:r>
          </w:hyperlink>
        </w:p>
        <w:p w14:paraId="7137E435"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53" w:history="1">
            <w:r w:rsidR="00776E42" w:rsidRPr="007B4961">
              <w:rPr>
                <w:rStyle w:val="Hipervnculo"/>
                <w:noProof/>
                <w:color w:val="auto"/>
              </w:rPr>
              <w:t>d) Versión pública.</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_Toc184225353 \h </w:instrText>
            </w:r>
            <w:r w:rsidR="00776E42" w:rsidRPr="007B4961">
              <w:rPr>
                <w:noProof/>
                <w:webHidden/>
              </w:rPr>
            </w:r>
            <w:r w:rsidR="00776E42" w:rsidRPr="007B4961">
              <w:rPr>
                <w:noProof/>
                <w:webHidden/>
              </w:rPr>
              <w:fldChar w:fldCharType="separate"/>
            </w:r>
            <w:r>
              <w:rPr>
                <w:noProof/>
                <w:webHidden/>
              </w:rPr>
              <w:t>34</w:t>
            </w:r>
            <w:r w:rsidR="00776E42" w:rsidRPr="007B4961">
              <w:rPr>
                <w:noProof/>
                <w:webHidden/>
              </w:rPr>
              <w:fldChar w:fldCharType="end"/>
            </w:r>
          </w:hyperlink>
        </w:p>
        <w:p w14:paraId="083AB414" w14:textId="77777777" w:rsidR="00776E42" w:rsidRPr="007B4961" w:rsidRDefault="00901F26" w:rsidP="007B4961">
          <w:pPr>
            <w:pStyle w:val="TDC3"/>
            <w:rPr>
              <w:rFonts w:asciiTheme="minorHAnsi" w:eastAsiaTheme="minorEastAsia" w:hAnsiTheme="minorHAnsi" w:cstheme="minorBidi"/>
              <w:noProof/>
              <w:szCs w:val="22"/>
              <w:lang w:eastAsia="es-MX"/>
            </w:rPr>
          </w:pPr>
          <w:hyperlink w:anchor="_Toc184225354" w:history="1">
            <w:r w:rsidR="00776E42" w:rsidRPr="007B4961">
              <w:rPr>
                <w:rStyle w:val="Hipervnculo"/>
                <w:noProof/>
                <w:color w:val="auto"/>
              </w:rPr>
              <w:t>f) Conclusión.</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_Toc184225354 \h </w:instrText>
            </w:r>
            <w:r w:rsidR="00776E42" w:rsidRPr="007B4961">
              <w:rPr>
                <w:noProof/>
                <w:webHidden/>
              </w:rPr>
            </w:r>
            <w:r w:rsidR="00776E42" w:rsidRPr="007B4961">
              <w:rPr>
                <w:noProof/>
                <w:webHidden/>
              </w:rPr>
              <w:fldChar w:fldCharType="separate"/>
            </w:r>
            <w:r>
              <w:rPr>
                <w:noProof/>
                <w:webHidden/>
              </w:rPr>
              <w:t>46</w:t>
            </w:r>
            <w:r w:rsidR="00776E42" w:rsidRPr="007B4961">
              <w:rPr>
                <w:noProof/>
                <w:webHidden/>
              </w:rPr>
              <w:fldChar w:fldCharType="end"/>
            </w:r>
          </w:hyperlink>
        </w:p>
        <w:p w14:paraId="4F1B0941" w14:textId="77777777" w:rsidR="00776E42" w:rsidRPr="007B4961" w:rsidRDefault="00901F26" w:rsidP="007B4961">
          <w:pPr>
            <w:pStyle w:val="TDC1"/>
            <w:tabs>
              <w:tab w:val="right" w:leader="dot" w:pos="9034"/>
            </w:tabs>
            <w:rPr>
              <w:rFonts w:asciiTheme="minorHAnsi" w:eastAsiaTheme="minorEastAsia" w:hAnsiTheme="minorHAnsi" w:cstheme="minorBidi"/>
              <w:noProof/>
              <w:szCs w:val="22"/>
              <w:lang w:eastAsia="es-MX"/>
            </w:rPr>
          </w:pPr>
          <w:hyperlink w:anchor="_Toc184225355" w:history="1">
            <w:r w:rsidR="00776E42" w:rsidRPr="007B4961">
              <w:rPr>
                <w:rStyle w:val="Hipervnculo"/>
                <w:noProof/>
                <w:color w:val="auto"/>
              </w:rPr>
              <w:t>RESUELVE</w:t>
            </w:r>
            <w:r w:rsidR="00776E42" w:rsidRPr="007B4961">
              <w:rPr>
                <w:noProof/>
                <w:webHidden/>
              </w:rPr>
              <w:tab/>
            </w:r>
            <w:r w:rsidR="00776E42" w:rsidRPr="007B4961">
              <w:rPr>
                <w:noProof/>
                <w:webHidden/>
              </w:rPr>
              <w:fldChar w:fldCharType="begin"/>
            </w:r>
            <w:r w:rsidR="00776E42" w:rsidRPr="007B4961">
              <w:rPr>
                <w:noProof/>
                <w:webHidden/>
              </w:rPr>
              <w:instrText xml:space="preserve"> PAGEREF _Toc184225355 \h </w:instrText>
            </w:r>
            <w:r w:rsidR="00776E42" w:rsidRPr="007B4961">
              <w:rPr>
                <w:noProof/>
                <w:webHidden/>
              </w:rPr>
            </w:r>
            <w:r w:rsidR="00776E42" w:rsidRPr="007B4961">
              <w:rPr>
                <w:noProof/>
                <w:webHidden/>
              </w:rPr>
              <w:fldChar w:fldCharType="separate"/>
            </w:r>
            <w:r>
              <w:rPr>
                <w:noProof/>
                <w:webHidden/>
              </w:rPr>
              <w:t>47</w:t>
            </w:r>
            <w:r w:rsidR="00776E42" w:rsidRPr="007B4961">
              <w:rPr>
                <w:noProof/>
                <w:webHidden/>
              </w:rPr>
              <w:fldChar w:fldCharType="end"/>
            </w:r>
          </w:hyperlink>
        </w:p>
        <w:p w14:paraId="0C82FD7A" w14:textId="0634652A" w:rsidR="009B2945" w:rsidRPr="007B4961" w:rsidRDefault="00AE3DA7" w:rsidP="007B4961">
          <w:pPr>
            <w:spacing w:line="240" w:lineRule="auto"/>
            <w:rPr>
              <w:b/>
              <w:bCs/>
              <w:szCs w:val="22"/>
              <w:lang w:val="es-ES"/>
            </w:rPr>
          </w:pPr>
          <w:r w:rsidRPr="007B4961">
            <w:rPr>
              <w:b/>
              <w:bCs/>
              <w:szCs w:val="22"/>
              <w:lang w:val="es-ES"/>
            </w:rPr>
            <w:fldChar w:fldCharType="end"/>
          </w:r>
        </w:p>
      </w:sdtContent>
    </w:sdt>
    <w:p w14:paraId="603A07E2" w14:textId="77777777" w:rsidR="00646436" w:rsidRPr="007B4961" w:rsidRDefault="00646436" w:rsidP="007B4961">
      <w:pPr>
        <w:rPr>
          <w:rFonts w:cs="Tahoma"/>
          <w:szCs w:val="22"/>
        </w:rPr>
        <w:sectPr w:rsidR="00646436" w:rsidRPr="007B496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C28DB76" w:rsidR="00775BFC" w:rsidRPr="007B4961" w:rsidRDefault="00775BFC" w:rsidP="007B4961">
      <w:pPr>
        <w:rPr>
          <w:b/>
          <w:bCs/>
          <w:szCs w:val="22"/>
        </w:rPr>
      </w:pPr>
      <w:r w:rsidRPr="007B4961">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7B4961">
        <w:rPr>
          <w:b/>
          <w:bCs/>
          <w:szCs w:val="22"/>
        </w:rPr>
        <w:t xml:space="preserve">de </w:t>
      </w:r>
      <w:r w:rsidR="00352E9A" w:rsidRPr="007B4961">
        <w:rPr>
          <w:b/>
          <w:bCs/>
          <w:szCs w:val="22"/>
        </w:rPr>
        <w:t>cuatro</w:t>
      </w:r>
      <w:r w:rsidR="00357C5E" w:rsidRPr="007B4961">
        <w:rPr>
          <w:b/>
          <w:bCs/>
          <w:szCs w:val="22"/>
        </w:rPr>
        <w:t xml:space="preserve"> </w:t>
      </w:r>
      <w:r w:rsidRPr="007B4961">
        <w:rPr>
          <w:b/>
          <w:bCs/>
          <w:szCs w:val="22"/>
        </w:rPr>
        <w:t xml:space="preserve">de </w:t>
      </w:r>
      <w:r w:rsidR="00352E9A" w:rsidRPr="007B4961">
        <w:rPr>
          <w:b/>
          <w:bCs/>
          <w:szCs w:val="22"/>
        </w:rPr>
        <w:t>diciembre</w:t>
      </w:r>
      <w:r w:rsidRPr="007B4961">
        <w:rPr>
          <w:b/>
          <w:bCs/>
          <w:szCs w:val="22"/>
        </w:rPr>
        <w:t xml:space="preserve"> de dos mil </w:t>
      </w:r>
      <w:r w:rsidR="00DB6004" w:rsidRPr="007B4961">
        <w:rPr>
          <w:b/>
          <w:bCs/>
          <w:szCs w:val="22"/>
        </w:rPr>
        <w:t>veinticuatro.</w:t>
      </w:r>
    </w:p>
    <w:p w14:paraId="0AF3AAC4" w14:textId="77777777" w:rsidR="00775BFC" w:rsidRPr="007B4961" w:rsidRDefault="00775BFC" w:rsidP="007B4961">
      <w:pPr>
        <w:rPr>
          <w:szCs w:val="22"/>
        </w:rPr>
      </w:pPr>
    </w:p>
    <w:p w14:paraId="40EAE038" w14:textId="4EC390D3" w:rsidR="00775BFC" w:rsidRPr="007B4961" w:rsidRDefault="00775BFC" w:rsidP="007B4961">
      <w:pPr>
        <w:rPr>
          <w:szCs w:val="22"/>
        </w:rPr>
      </w:pPr>
      <w:r w:rsidRPr="007B4961">
        <w:rPr>
          <w:b/>
          <w:szCs w:val="22"/>
        </w:rPr>
        <w:t>VISTO</w:t>
      </w:r>
      <w:r w:rsidR="00A21FF1" w:rsidRPr="007B4961">
        <w:rPr>
          <w:b/>
          <w:szCs w:val="22"/>
        </w:rPr>
        <w:t>S</w:t>
      </w:r>
      <w:r w:rsidRPr="007B4961">
        <w:rPr>
          <w:b/>
          <w:szCs w:val="22"/>
        </w:rPr>
        <w:t xml:space="preserve"> </w:t>
      </w:r>
      <w:r w:rsidR="00A21FF1" w:rsidRPr="007B4961">
        <w:rPr>
          <w:szCs w:val="22"/>
        </w:rPr>
        <w:t>los</w:t>
      </w:r>
      <w:r w:rsidRPr="007B4961">
        <w:rPr>
          <w:szCs w:val="22"/>
        </w:rPr>
        <w:t xml:space="preserve"> expediente</w:t>
      </w:r>
      <w:r w:rsidR="00A21FF1" w:rsidRPr="007B4961">
        <w:rPr>
          <w:szCs w:val="22"/>
        </w:rPr>
        <w:t>s</w:t>
      </w:r>
      <w:r w:rsidRPr="007B4961">
        <w:rPr>
          <w:szCs w:val="22"/>
        </w:rPr>
        <w:t xml:space="preserve"> formado</w:t>
      </w:r>
      <w:r w:rsidR="00A21FF1" w:rsidRPr="007B4961">
        <w:rPr>
          <w:szCs w:val="22"/>
        </w:rPr>
        <w:t>s</w:t>
      </w:r>
      <w:r w:rsidRPr="007B4961">
        <w:rPr>
          <w:szCs w:val="22"/>
        </w:rPr>
        <w:t xml:space="preserve"> con motivo de</w:t>
      </w:r>
      <w:r w:rsidR="00A21FF1" w:rsidRPr="007B4961">
        <w:rPr>
          <w:szCs w:val="22"/>
        </w:rPr>
        <w:t xml:space="preserve"> </w:t>
      </w:r>
      <w:r w:rsidRPr="007B4961">
        <w:rPr>
          <w:szCs w:val="22"/>
        </w:rPr>
        <w:t>l</w:t>
      </w:r>
      <w:r w:rsidR="00A21FF1" w:rsidRPr="007B4961">
        <w:rPr>
          <w:szCs w:val="22"/>
        </w:rPr>
        <w:t>os</w:t>
      </w:r>
      <w:r w:rsidRPr="007B4961">
        <w:rPr>
          <w:szCs w:val="22"/>
        </w:rPr>
        <w:t xml:space="preserve"> Recurso</w:t>
      </w:r>
      <w:r w:rsidR="00A21FF1" w:rsidRPr="007B4961">
        <w:rPr>
          <w:szCs w:val="22"/>
        </w:rPr>
        <w:t>s</w:t>
      </w:r>
      <w:r w:rsidRPr="007B4961">
        <w:rPr>
          <w:szCs w:val="22"/>
        </w:rPr>
        <w:t xml:space="preserve"> de Revisión </w:t>
      </w:r>
      <w:r w:rsidR="00352E9A" w:rsidRPr="007B4961">
        <w:rPr>
          <w:rFonts w:cs="Tahoma"/>
          <w:b/>
          <w:bCs/>
          <w:szCs w:val="22"/>
        </w:rPr>
        <w:t>06927</w:t>
      </w:r>
      <w:r w:rsidR="0034579B" w:rsidRPr="007B4961">
        <w:rPr>
          <w:rFonts w:cs="Tahoma"/>
          <w:b/>
          <w:bCs/>
          <w:szCs w:val="22"/>
        </w:rPr>
        <w:t>/INFOEM/IP/RR/2024</w:t>
      </w:r>
      <w:r w:rsidR="00352E9A" w:rsidRPr="007B4961">
        <w:rPr>
          <w:rFonts w:cs="Tahoma"/>
          <w:b/>
          <w:bCs/>
          <w:szCs w:val="22"/>
        </w:rPr>
        <w:t xml:space="preserve"> </w:t>
      </w:r>
      <w:r w:rsidR="00A21FF1" w:rsidRPr="007B4961">
        <w:rPr>
          <w:rFonts w:cs="Tahoma"/>
          <w:szCs w:val="22"/>
        </w:rPr>
        <w:t xml:space="preserve">y </w:t>
      </w:r>
      <w:r w:rsidR="00352E9A" w:rsidRPr="007B4961">
        <w:rPr>
          <w:rFonts w:cs="Tahoma"/>
          <w:b/>
          <w:bCs/>
          <w:szCs w:val="22"/>
        </w:rPr>
        <w:t>06928</w:t>
      </w:r>
      <w:r w:rsidR="00A21FF1" w:rsidRPr="007B4961">
        <w:rPr>
          <w:rFonts w:cs="Tahoma"/>
          <w:b/>
          <w:bCs/>
          <w:szCs w:val="22"/>
        </w:rPr>
        <w:t xml:space="preserve">/INFOEM/IP/RR/2024 </w:t>
      </w:r>
      <w:r w:rsidRPr="007B4961">
        <w:rPr>
          <w:szCs w:val="22"/>
        </w:rPr>
        <w:t>interpuesto</w:t>
      </w:r>
      <w:r w:rsidR="00A21FF1" w:rsidRPr="007B4961">
        <w:rPr>
          <w:szCs w:val="22"/>
        </w:rPr>
        <w:t>s</w:t>
      </w:r>
      <w:r w:rsidRPr="007B4961">
        <w:rPr>
          <w:szCs w:val="22"/>
        </w:rPr>
        <w:t xml:space="preserve"> por </w:t>
      </w:r>
      <w:r w:rsidR="004D3411" w:rsidRPr="007B4961">
        <w:rPr>
          <w:b/>
          <w:bCs/>
          <w:szCs w:val="22"/>
        </w:rPr>
        <w:t>una persona de manera anónima</w:t>
      </w:r>
      <w:r w:rsidR="00930CF8" w:rsidRPr="007B4961">
        <w:rPr>
          <w:b/>
          <w:bCs/>
          <w:szCs w:val="22"/>
        </w:rPr>
        <w:t xml:space="preserve"> </w:t>
      </w:r>
      <w:r w:rsidRPr="007B4961">
        <w:rPr>
          <w:szCs w:val="22"/>
        </w:rPr>
        <w:t xml:space="preserve">a quien en lo subsecuente se le denominará </w:t>
      </w:r>
      <w:r w:rsidRPr="007B4961">
        <w:rPr>
          <w:b/>
          <w:bCs/>
          <w:szCs w:val="22"/>
        </w:rPr>
        <w:t>LA PARTE RECURRENTE</w:t>
      </w:r>
      <w:r w:rsidRPr="007B4961">
        <w:rPr>
          <w:szCs w:val="22"/>
        </w:rPr>
        <w:t>, en contra de la</w:t>
      </w:r>
      <w:r w:rsidR="00A21FF1" w:rsidRPr="007B4961">
        <w:rPr>
          <w:szCs w:val="22"/>
        </w:rPr>
        <w:t>s</w:t>
      </w:r>
      <w:r w:rsidRPr="007B4961">
        <w:rPr>
          <w:szCs w:val="22"/>
        </w:rPr>
        <w:t xml:space="preserve"> respuesta</w:t>
      </w:r>
      <w:r w:rsidR="00A21FF1" w:rsidRPr="007B4961">
        <w:rPr>
          <w:szCs w:val="22"/>
        </w:rPr>
        <w:t>s</w:t>
      </w:r>
      <w:r w:rsidRPr="007B4961">
        <w:rPr>
          <w:szCs w:val="22"/>
        </w:rPr>
        <w:t xml:space="preserve"> emitida</w:t>
      </w:r>
      <w:r w:rsidR="00A21FF1" w:rsidRPr="007B4961">
        <w:rPr>
          <w:szCs w:val="22"/>
        </w:rPr>
        <w:t>s</w:t>
      </w:r>
      <w:r w:rsidRPr="007B4961">
        <w:rPr>
          <w:szCs w:val="22"/>
        </w:rPr>
        <w:t xml:space="preserve"> por</w:t>
      </w:r>
      <w:r w:rsidR="00DB6004" w:rsidRPr="007B4961">
        <w:rPr>
          <w:szCs w:val="22"/>
        </w:rPr>
        <w:t xml:space="preserve"> </w:t>
      </w:r>
      <w:r w:rsidR="00A451E6" w:rsidRPr="007B4961">
        <w:rPr>
          <w:szCs w:val="22"/>
        </w:rPr>
        <w:t>el</w:t>
      </w:r>
      <w:r w:rsidRPr="007B4961">
        <w:rPr>
          <w:szCs w:val="22"/>
        </w:rPr>
        <w:t xml:space="preserve"> </w:t>
      </w:r>
      <w:r w:rsidR="00352E9A" w:rsidRPr="007B4961">
        <w:rPr>
          <w:b/>
          <w:bCs/>
          <w:szCs w:val="22"/>
        </w:rPr>
        <w:t>Ayuntamiento de Huixquilucan</w:t>
      </w:r>
      <w:r w:rsidR="00DB6004" w:rsidRPr="007B4961">
        <w:rPr>
          <w:b/>
          <w:bCs/>
          <w:szCs w:val="22"/>
        </w:rPr>
        <w:t xml:space="preserve">, </w:t>
      </w:r>
      <w:r w:rsidRPr="007B4961">
        <w:rPr>
          <w:szCs w:val="22"/>
        </w:rPr>
        <w:t xml:space="preserve">en adelante </w:t>
      </w:r>
      <w:r w:rsidRPr="007B4961">
        <w:rPr>
          <w:b/>
          <w:bCs/>
          <w:szCs w:val="22"/>
        </w:rPr>
        <w:t>EL SUJETO OBLIGADO</w:t>
      </w:r>
      <w:r w:rsidRPr="007B4961">
        <w:rPr>
          <w:rFonts w:eastAsia="Calibri"/>
          <w:szCs w:val="22"/>
          <w:lang w:eastAsia="en-US"/>
        </w:rPr>
        <w:t xml:space="preserve">, </w:t>
      </w:r>
      <w:r w:rsidRPr="007B4961">
        <w:rPr>
          <w:szCs w:val="22"/>
        </w:rPr>
        <w:t>se emite la presente Resolución con base en los Antecedentes y Considerandos que se exponen a continuación:</w:t>
      </w:r>
    </w:p>
    <w:p w14:paraId="2116968C" w14:textId="33FF576A" w:rsidR="00775BFC" w:rsidRPr="007B4961" w:rsidRDefault="00775BFC" w:rsidP="007B4961">
      <w:pPr>
        <w:rPr>
          <w:szCs w:val="22"/>
        </w:rPr>
      </w:pPr>
    </w:p>
    <w:p w14:paraId="5A444FB6" w14:textId="639D3567" w:rsidR="00664420" w:rsidRPr="007B4961" w:rsidRDefault="00664420" w:rsidP="007B4961">
      <w:pPr>
        <w:pStyle w:val="Ttulo1"/>
        <w:rPr>
          <w:szCs w:val="22"/>
        </w:rPr>
      </w:pPr>
      <w:bookmarkStart w:id="3" w:name="_Toc184225328"/>
      <w:r w:rsidRPr="007B4961">
        <w:rPr>
          <w:szCs w:val="22"/>
        </w:rPr>
        <w:t>ANTECEDENTES</w:t>
      </w:r>
      <w:bookmarkEnd w:id="3"/>
    </w:p>
    <w:p w14:paraId="5CB5034E" w14:textId="77777777" w:rsidR="00AC2DB8" w:rsidRPr="007B4961" w:rsidRDefault="00AC2DB8" w:rsidP="007B4961">
      <w:pPr>
        <w:rPr>
          <w:szCs w:val="22"/>
        </w:rPr>
      </w:pPr>
    </w:p>
    <w:p w14:paraId="09B2D38F" w14:textId="72C0806A" w:rsidR="00664420" w:rsidRPr="007B4961" w:rsidRDefault="00E37A3F" w:rsidP="007B4961">
      <w:pPr>
        <w:pStyle w:val="Ttulo2"/>
        <w:rPr>
          <w:szCs w:val="22"/>
        </w:rPr>
      </w:pPr>
      <w:bookmarkStart w:id="4" w:name="_Toc184225329"/>
      <w:r w:rsidRPr="007B4961">
        <w:rPr>
          <w:szCs w:val="22"/>
        </w:rPr>
        <w:t>DE LA</w:t>
      </w:r>
      <w:r w:rsidR="00AA27F9" w:rsidRPr="007B4961">
        <w:rPr>
          <w:szCs w:val="22"/>
        </w:rPr>
        <w:t>S</w:t>
      </w:r>
      <w:r w:rsidRPr="007B4961">
        <w:rPr>
          <w:szCs w:val="22"/>
        </w:rPr>
        <w:t xml:space="preserve"> SOLICITUD</w:t>
      </w:r>
      <w:r w:rsidR="00AA27F9" w:rsidRPr="007B4961">
        <w:rPr>
          <w:szCs w:val="22"/>
        </w:rPr>
        <w:t>ES</w:t>
      </w:r>
      <w:r w:rsidRPr="007B4961">
        <w:rPr>
          <w:szCs w:val="22"/>
        </w:rPr>
        <w:t xml:space="preserve"> DE INFORMACIÓN</w:t>
      </w:r>
      <w:bookmarkEnd w:id="4"/>
    </w:p>
    <w:p w14:paraId="7B7535DF" w14:textId="77777777" w:rsidR="00E37A3F" w:rsidRPr="007B4961" w:rsidRDefault="00E37A3F" w:rsidP="007B4961">
      <w:pPr>
        <w:rPr>
          <w:szCs w:val="22"/>
        </w:rPr>
      </w:pPr>
    </w:p>
    <w:p w14:paraId="2C6AD1A5" w14:textId="34D34D63" w:rsidR="00664420" w:rsidRPr="007B4961" w:rsidRDefault="00E37A3F" w:rsidP="007B4961">
      <w:pPr>
        <w:pStyle w:val="Ttulo3"/>
        <w:rPr>
          <w:szCs w:val="22"/>
        </w:rPr>
      </w:pPr>
      <w:bookmarkStart w:id="5" w:name="_Toc184225330"/>
      <w:r w:rsidRPr="007B4961">
        <w:rPr>
          <w:szCs w:val="22"/>
        </w:rPr>
        <w:t xml:space="preserve">a) </w:t>
      </w:r>
      <w:r w:rsidR="006B10B0" w:rsidRPr="007B4961">
        <w:rPr>
          <w:szCs w:val="22"/>
        </w:rPr>
        <w:t>S</w:t>
      </w:r>
      <w:r w:rsidR="00664420" w:rsidRPr="007B4961">
        <w:rPr>
          <w:szCs w:val="22"/>
        </w:rPr>
        <w:t>olicitud</w:t>
      </w:r>
      <w:r w:rsidR="00947134" w:rsidRPr="007B4961">
        <w:rPr>
          <w:szCs w:val="22"/>
        </w:rPr>
        <w:t>es</w:t>
      </w:r>
      <w:r w:rsidR="00664420" w:rsidRPr="007B4961">
        <w:rPr>
          <w:szCs w:val="22"/>
        </w:rPr>
        <w:t xml:space="preserve"> de </w:t>
      </w:r>
      <w:r w:rsidR="006B10B0" w:rsidRPr="007B4961">
        <w:rPr>
          <w:szCs w:val="22"/>
        </w:rPr>
        <w:t>i</w:t>
      </w:r>
      <w:r w:rsidR="00664420" w:rsidRPr="007B4961">
        <w:rPr>
          <w:szCs w:val="22"/>
        </w:rPr>
        <w:t>nformación</w:t>
      </w:r>
      <w:r w:rsidR="00DB6004" w:rsidRPr="007B4961">
        <w:rPr>
          <w:szCs w:val="22"/>
        </w:rPr>
        <w:t>.</w:t>
      </w:r>
      <w:bookmarkEnd w:id="5"/>
    </w:p>
    <w:p w14:paraId="44640CA9" w14:textId="5EF37A9B" w:rsidR="00FC23B8" w:rsidRPr="007B4961" w:rsidRDefault="006B10B0" w:rsidP="007B4961">
      <w:pPr>
        <w:tabs>
          <w:tab w:val="left" w:pos="0"/>
        </w:tabs>
        <w:rPr>
          <w:rFonts w:cs="Tahoma"/>
          <w:b/>
          <w:bCs/>
          <w:szCs w:val="22"/>
        </w:rPr>
      </w:pPr>
      <w:proofErr w:type="gramStart"/>
      <w:r w:rsidRPr="007B4961">
        <w:rPr>
          <w:rFonts w:cs="Tahoma"/>
          <w:szCs w:val="22"/>
        </w:rPr>
        <w:t>El</w:t>
      </w:r>
      <w:proofErr w:type="gramEnd"/>
      <w:r w:rsidR="00664420" w:rsidRPr="007B4961">
        <w:rPr>
          <w:rFonts w:cs="Tahoma"/>
          <w:szCs w:val="22"/>
        </w:rPr>
        <w:t xml:space="preserve"> </w:t>
      </w:r>
      <w:r w:rsidR="00A049A8" w:rsidRPr="007B4961">
        <w:rPr>
          <w:rFonts w:cs="Tahoma"/>
          <w:b/>
          <w:szCs w:val="22"/>
        </w:rPr>
        <w:t>ocho</w:t>
      </w:r>
      <w:r w:rsidR="00251367" w:rsidRPr="007B4961">
        <w:rPr>
          <w:rFonts w:cs="Tahoma"/>
          <w:b/>
          <w:szCs w:val="22"/>
        </w:rPr>
        <w:t xml:space="preserve"> y nueve</w:t>
      </w:r>
      <w:r w:rsidR="00357C5E" w:rsidRPr="007B4961">
        <w:rPr>
          <w:rFonts w:cs="Tahoma"/>
          <w:b/>
          <w:bCs/>
          <w:szCs w:val="22"/>
        </w:rPr>
        <w:t xml:space="preserve"> </w:t>
      </w:r>
      <w:r w:rsidR="00664420" w:rsidRPr="007B4961">
        <w:rPr>
          <w:rFonts w:cs="Tahoma"/>
          <w:b/>
          <w:bCs/>
          <w:szCs w:val="22"/>
        </w:rPr>
        <w:t xml:space="preserve">de </w:t>
      </w:r>
      <w:r w:rsidR="00A049A8" w:rsidRPr="007B4961">
        <w:rPr>
          <w:rFonts w:cs="Tahoma"/>
          <w:b/>
          <w:bCs/>
          <w:szCs w:val="22"/>
        </w:rPr>
        <w:t>octubre</w:t>
      </w:r>
      <w:r w:rsidR="00664420" w:rsidRPr="007B4961">
        <w:rPr>
          <w:rFonts w:cs="Tahoma"/>
          <w:b/>
          <w:bCs/>
          <w:szCs w:val="22"/>
        </w:rPr>
        <w:t xml:space="preserve"> de dos mil </w:t>
      </w:r>
      <w:r w:rsidR="00A451E6" w:rsidRPr="007B4961">
        <w:rPr>
          <w:rFonts w:cs="Tahoma"/>
          <w:b/>
          <w:bCs/>
          <w:szCs w:val="22"/>
        </w:rPr>
        <w:t>veinticuatro</w:t>
      </w:r>
      <w:r w:rsidR="00664420" w:rsidRPr="007B4961">
        <w:rPr>
          <w:rFonts w:cs="Tahoma"/>
          <w:szCs w:val="22"/>
        </w:rPr>
        <w:t xml:space="preserve"> </w:t>
      </w:r>
      <w:r w:rsidRPr="007B4961">
        <w:rPr>
          <w:b/>
          <w:bCs/>
          <w:szCs w:val="22"/>
        </w:rPr>
        <w:t>LA PARTE RECURRENTE</w:t>
      </w:r>
      <w:r w:rsidR="00664420" w:rsidRPr="007B4961">
        <w:rPr>
          <w:rFonts w:cs="Tahoma"/>
          <w:szCs w:val="22"/>
        </w:rPr>
        <w:t xml:space="preserve"> presentó </w:t>
      </w:r>
      <w:r w:rsidR="00E769E4" w:rsidRPr="007B4961">
        <w:rPr>
          <w:rFonts w:cs="Tahoma"/>
          <w:szCs w:val="22"/>
        </w:rPr>
        <w:t>dos</w:t>
      </w:r>
      <w:r w:rsidR="00664420" w:rsidRPr="007B4961">
        <w:rPr>
          <w:rFonts w:cs="Tahoma"/>
          <w:szCs w:val="22"/>
        </w:rPr>
        <w:t xml:space="preserve"> solicitud</w:t>
      </w:r>
      <w:r w:rsidR="00FC23B8" w:rsidRPr="007B4961">
        <w:rPr>
          <w:rFonts w:cs="Tahoma"/>
          <w:szCs w:val="22"/>
        </w:rPr>
        <w:t>es</w:t>
      </w:r>
      <w:r w:rsidR="00664420" w:rsidRPr="007B4961">
        <w:rPr>
          <w:rFonts w:cs="Tahoma"/>
          <w:szCs w:val="22"/>
        </w:rPr>
        <w:t xml:space="preserve"> de acceso a la información pública </w:t>
      </w:r>
      <w:r w:rsidR="001F3515" w:rsidRPr="007B4961">
        <w:rPr>
          <w:rFonts w:cs="Tahoma"/>
          <w:szCs w:val="22"/>
        </w:rPr>
        <w:t xml:space="preserve">ante el </w:t>
      </w:r>
      <w:r w:rsidR="001F3515" w:rsidRPr="007B4961">
        <w:rPr>
          <w:rFonts w:cs="Tahoma"/>
          <w:b/>
          <w:bCs/>
          <w:szCs w:val="22"/>
        </w:rPr>
        <w:t>SUJETO OBLIGADO</w:t>
      </w:r>
      <w:r w:rsidR="001F3515" w:rsidRPr="007B4961">
        <w:rPr>
          <w:rFonts w:cs="Tahoma"/>
          <w:szCs w:val="22"/>
        </w:rPr>
        <w:t xml:space="preserve">, </w:t>
      </w:r>
      <w:r w:rsidR="00664420" w:rsidRPr="007B4961">
        <w:rPr>
          <w:rFonts w:cs="Tahoma"/>
          <w:szCs w:val="22"/>
        </w:rPr>
        <w:t xml:space="preserve">a través del </w:t>
      </w:r>
      <w:r w:rsidRPr="007B4961">
        <w:rPr>
          <w:rFonts w:cs="Tahoma"/>
          <w:szCs w:val="22"/>
        </w:rPr>
        <w:t>Sistema de Acceso a la Información Mexiquense</w:t>
      </w:r>
      <w:r w:rsidR="009A2D78" w:rsidRPr="007B4961">
        <w:rPr>
          <w:rFonts w:cs="Tahoma"/>
          <w:szCs w:val="22"/>
        </w:rPr>
        <w:t xml:space="preserve"> (</w:t>
      </w:r>
      <w:r w:rsidRPr="007B4961">
        <w:rPr>
          <w:rFonts w:cs="Tahoma"/>
          <w:szCs w:val="22"/>
        </w:rPr>
        <w:t>SAIMEX</w:t>
      </w:r>
      <w:r w:rsidR="00947134" w:rsidRPr="007B4961">
        <w:rPr>
          <w:rFonts w:cs="Tahoma"/>
          <w:szCs w:val="22"/>
        </w:rPr>
        <w:t>). Dicha</w:t>
      </w:r>
      <w:r w:rsidR="00BC5BB6" w:rsidRPr="007B4961">
        <w:rPr>
          <w:rFonts w:cs="Tahoma"/>
          <w:szCs w:val="22"/>
        </w:rPr>
        <w:t>s</w:t>
      </w:r>
      <w:r w:rsidR="00947134" w:rsidRPr="007B4961">
        <w:rPr>
          <w:rFonts w:cs="Tahoma"/>
          <w:szCs w:val="22"/>
        </w:rPr>
        <w:t xml:space="preserve"> solicitud</w:t>
      </w:r>
      <w:r w:rsidR="00BC5BB6" w:rsidRPr="007B4961">
        <w:rPr>
          <w:rFonts w:cs="Tahoma"/>
          <w:szCs w:val="22"/>
        </w:rPr>
        <w:t>es</w:t>
      </w:r>
      <w:r w:rsidR="00947134" w:rsidRPr="007B4961">
        <w:rPr>
          <w:rFonts w:cs="Tahoma"/>
          <w:szCs w:val="22"/>
        </w:rPr>
        <w:t xml:space="preserve"> quedaron</w:t>
      </w:r>
      <w:r w:rsidRPr="007B4961">
        <w:rPr>
          <w:rFonts w:cs="Tahoma"/>
          <w:szCs w:val="22"/>
        </w:rPr>
        <w:t xml:space="preserve"> registrada</w:t>
      </w:r>
      <w:r w:rsidR="00947134" w:rsidRPr="007B4961">
        <w:rPr>
          <w:rFonts w:cs="Tahoma"/>
          <w:szCs w:val="22"/>
        </w:rPr>
        <w:t>s</w:t>
      </w:r>
      <w:r w:rsidRPr="007B4961">
        <w:rPr>
          <w:rFonts w:cs="Tahoma"/>
          <w:szCs w:val="22"/>
        </w:rPr>
        <w:t xml:space="preserve"> c</w:t>
      </w:r>
      <w:r w:rsidR="00664420" w:rsidRPr="007B4961">
        <w:rPr>
          <w:rFonts w:cs="Tahoma"/>
          <w:szCs w:val="22"/>
        </w:rPr>
        <w:t xml:space="preserve">on </w:t>
      </w:r>
      <w:r w:rsidR="00947134" w:rsidRPr="007B4961">
        <w:rPr>
          <w:rFonts w:cs="Tahoma"/>
          <w:szCs w:val="22"/>
        </w:rPr>
        <w:t>los</w:t>
      </w:r>
      <w:r w:rsidR="00664420" w:rsidRPr="007B4961">
        <w:rPr>
          <w:rFonts w:cs="Tahoma"/>
          <w:szCs w:val="22"/>
        </w:rPr>
        <w:t xml:space="preserve"> número</w:t>
      </w:r>
      <w:r w:rsidR="00947134" w:rsidRPr="007B4961">
        <w:rPr>
          <w:rFonts w:cs="Tahoma"/>
          <w:szCs w:val="22"/>
        </w:rPr>
        <w:t>s</w:t>
      </w:r>
      <w:r w:rsidR="00664420" w:rsidRPr="007B4961">
        <w:rPr>
          <w:rFonts w:cs="Tahoma"/>
          <w:szCs w:val="22"/>
        </w:rPr>
        <w:t xml:space="preserve"> de folio</w:t>
      </w:r>
      <w:r w:rsidR="00357C5E" w:rsidRPr="007B4961">
        <w:rPr>
          <w:rFonts w:cs="Tahoma"/>
          <w:b/>
          <w:bCs/>
          <w:szCs w:val="22"/>
        </w:rPr>
        <w:t xml:space="preserve"> </w:t>
      </w:r>
      <w:r w:rsidR="00E0075C" w:rsidRPr="007B4961">
        <w:rPr>
          <w:rFonts w:cs="Tahoma"/>
          <w:b/>
          <w:bCs/>
          <w:szCs w:val="22"/>
        </w:rPr>
        <w:t xml:space="preserve">00286/HUIXQUIL/IP/2024 </w:t>
      </w:r>
      <w:r w:rsidR="00357C5E" w:rsidRPr="007B4961">
        <w:rPr>
          <w:rFonts w:cs="Tahoma"/>
          <w:b/>
          <w:bCs/>
          <w:szCs w:val="22"/>
        </w:rPr>
        <w:t xml:space="preserve">y </w:t>
      </w:r>
      <w:r w:rsidR="00E0075C" w:rsidRPr="007B4961">
        <w:rPr>
          <w:rFonts w:cs="Tahoma"/>
          <w:b/>
          <w:bCs/>
          <w:szCs w:val="22"/>
        </w:rPr>
        <w:t>00287/HUIXQUIL/IP/2024</w:t>
      </w:r>
      <w:r w:rsidR="00357C5E" w:rsidRPr="007B4961">
        <w:rPr>
          <w:rFonts w:cs="Tahoma"/>
          <w:b/>
          <w:bCs/>
          <w:szCs w:val="22"/>
        </w:rPr>
        <w:t>,</w:t>
      </w:r>
      <w:r w:rsidR="004D3411" w:rsidRPr="007B4961">
        <w:rPr>
          <w:rFonts w:cs="Tahoma"/>
          <w:b/>
          <w:bCs/>
          <w:szCs w:val="22"/>
        </w:rPr>
        <w:t xml:space="preserve"> </w:t>
      </w:r>
      <w:r w:rsidR="002A3601" w:rsidRPr="007B4961">
        <w:rPr>
          <w:rFonts w:cs="Tahoma"/>
          <w:szCs w:val="22"/>
        </w:rPr>
        <w:t xml:space="preserve">en </w:t>
      </w:r>
      <w:r w:rsidR="00357C5E" w:rsidRPr="007B4961">
        <w:rPr>
          <w:rFonts w:cs="Tahoma"/>
          <w:szCs w:val="22"/>
        </w:rPr>
        <w:t>las que</w:t>
      </w:r>
      <w:r w:rsidR="002A3601" w:rsidRPr="007B4961">
        <w:rPr>
          <w:rFonts w:cs="Tahoma"/>
          <w:szCs w:val="22"/>
        </w:rPr>
        <w:t xml:space="preserve"> </w:t>
      </w:r>
      <w:r w:rsidR="009A2D78" w:rsidRPr="007B4961">
        <w:rPr>
          <w:rFonts w:cs="Tahoma"/>
          <w:szCs w:val="22"/>
        </w:rPr>
        <w:t>se requirió la siguiente información:</w:t>
      </w:r>
    </w:p>
    <w:p w14:paraId="24AA0461" w14:textId="77777777" w:rsidR="00FC23B8" w:rsidRPr="007B4961" w:rsidRDefault="00FC23B8" w:rsidP="007B4961">
      <w:pPr>
        <w:tabs>
          <w:tab w:val="left" w:pos="4667"/>
        </w:tabs>
        <w:ind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422"/>
      </w:tblGrid>
      <w:tr w:rsidR="007B4961" w:rsidRPr="007B4961" w14:paraId="479608A9" w14:textId="77777777" w:rsidTr="00B86B25">
        <w:trPr>
          <w:trHeight w:val="225"/>
          <w:tblHeader/>
        </w:trPr>
        <w:tc>
          <w:tcPr>
            <w:tcW w:w="2689" w:type="dxa"/>
            <w:shd w:val="clear" w:color="auto" w:fill="F9CB9C"/>
            <w:tcMar>
              <w:top w:w="0" w:type="dxa"/>
              <w:left w:w="45" w:type="dxa"/>
              <w:bottom w:w="0" w:type="dxa"/>
              <w:right w:w="45" w:type="dxa"/>
            </w:tcMar>
            <w:vAlign w:val="center"/>
          </w:tcPr>
          <w:p w14:paraId="6C08B06A" w14:textId="77777777" w:rsidR="00947134" w:rsidRPr="007B4961" w:rsidRDefault="00947134" w:rsidP="007B4961">
            <w:pPr>
              <w:spacing w:line="240" w:lineRule="auto"/>
              <w:jc w:val="center"/>
              <w:rPr>
                <w:b/>
                <w:szCs w:val="22"/>
              </w:rPr>
            </w:pPr>
            <w:r w:rsidRPr="007B4961">
              <w:rPr>
                <w:b/>
                <w:szCs w:val="22"/>
              </w:rPr>
              <w:t>Recursos de revisión.</w:t>
            </w:r>
          </w:p>
        </w:tc>
        <w:tc>
          <w:tcPr>
            <w:tcW w:w="6422" w:type="dxa"/>
            <w:shd w:val="clear" w:color="auto" w:fill="F9CB9C"/>
            <w:tcMar>
              <w:top w:w="0" w:type="dxa"/>
              <w:left w:w="45" w:type="dxa"/>
              <w:bottom w:w="0" w:type="dxa"/>
              <w:right w:w="45" w:type="dxa"/>
            </w:tcMar>
            <w:vAlign w:val="center"/>
          </w:tcPr>
          <w:p w14:paraId="2464BC3C" w14:textId="7A4F58E9" w:rsidR="00947134" w:rsidRPr="007B4961" w:rsidRDefault="00947134" w:rsidP="007B4961">
            <w:pPr>
              <w:spacing w:line="240" w:lineRule="auto"/>
              <w:jc w:val="center"/>
              <w:rPr>
                <w:b/>
                <w:szCs w:val="22"/>
              </w:rPr>
            </w:pPr>
            <w:r w:rsidRPr="007B4961">
              <w:rPr>
                <w:b/>
                <w:szCs w:val="22"/>
              </w:rPr>
              <w:t>Solicitud</w:t>
            </w:r>
            <w:r w:rsidR="000E03AE" w:rsidRPr="007B4961">
              <w:rPr>
                <w:b/>
                <w:szCs w:val="22"/>
              </w:rPr>
              <w:t>es.</w:t>
            </w:r>
          </w:p>
        </w:tc>
      </w:tr>
      <w:tr w:rsidR="007B4961" w:rsidRPr="007B4961" w14:paraId="31829097" w14:textId="77777777" w:rsidTr="00357C5E">
        <w:trPr>
          <w:trHeight w:val="1093"/>
        </w:trPr>
        <w:tc>
          <w:tcPr>
            <w:tcW w:w="2689" w:type="dxa"/>
            <w:tcMar>
              <w:top w:w="0" w:type="dxa"/>
              <w:left w:w="45" w:type="dxa"/>
              <w:bottom w:w="0" w:type="dxa"/>
              <w:right w:w="45" w:type="dxa"/>
            </w:tcMar>
          </w:tcPr>
          <w:p w14:paraId="67FB7CC9" w14:textId="2FC45C97" w:rsidR="00357C5E" w:rsidRPr="007B4961" w:rsidRDefault="00352E9A" w:rsidP="007B4961">
            <w:pPr>
              <w:spacing w:line="240" w:lineRule="auto"/>
              <w:jc w:val="center"/>
              <w:rPr>
                <w:b/>
                <w:sz w:val="20"/>
              </w:rPr>
            </w:pPr>
            <w:r w:rsidRPr="007B4961">
              <w:rPr>
                <w:b/>
                <w:sz w:val="20"/>
              </w:rPr>
              <w:t>06927</w:t>
            </w:r>
            <w:r w:rsidR="00357C5E" w:rsidRPr="007B4961">
              <w:rPr>
                <w:b/>
                <w:sz w:val="20"/>
              </w:rPr>
              <w:t>/INFOEM/IP/RR/2024</w:t>
            </w:r>
          </w:p>
        </w:tc>
        <w:tc>
          <w:tcPr>
            <w:tcW w:w="6422" w:type="dxa"/>
            <w:tcMar>
              <w:top w:w="0" w:type="dxa"/>
              <w:left w:w="45" w:type="dxa"/>
              <w:bottom w:w="0" w:type="dxa"/>
              <w:right w:w="45" w:type="dxa"/>
            </w:tcMar>
          </w:tcPr>
          <w:p w14:paraId="35EF1EEF" w14:textId="5D067387" w:rsidR="00357C5E" w:rsidRPr="007B4961" w:rsidRDefault="00357C5E" w:rsidP="007B4961">
            <w:pPr>
              <w:spacing w:line="240" w:lineRule="auto"/>
              <w:ind w:left="28"/>
              <w:rPr>
                <w:i/>
                <w:szCs w:val="22"/>
              </w:rPr>
            </w:pPr>
            <w:r w:rsidRPr="007B4961">
              <w:rPr>
                <w:i/>
                <w:szCs w:val="22"/>
              </w:rPr>
              <w:t>"</w:t>
            </w:r>
            <w:r w:rsidR="00FA02A3" w:rsidRPr="007B4961">
              <w:rPr>
                <w:i/>
                <w:szCs w:val="22"/>
              </w:rPr>
              <w:t xml:space="preserve">Con fundamento en el Artículo 6 apartado A de la Constitución Política de los Estados Unidos Mexicanos, el artículo 5 de la Ley del Estado Libre y Soberano de México, así como la Ley de Transparencia y </w:t>
            </w:r>
            <w:r w:rsidR="00FA02A3" w:rsidRPr="007B4961">
              <w:rPr>
                <w:i/>
                <w:szCs w:val="22"/>
              </w:rPr>
              <w:lastRenderedPageBreak/>
              <w:t xml:space="preserve">Acceso a la Información Pública del Estado de México y Municipios; y demás ordenamientos jurídicos aplicables a la materia, me permiso solicitar la versión pública de los </w:t>
            </w:r>
            <w:r w:rsidR="00FA02A3" w:rsidRPr="007B4961">
              <w:rPr>
                <w:b/>
                <w:i/>
                <w:szCs w:val="22"/>
              </w:rPr>
              <w:t>recibos de nómina de todos los servidores públicos; correspondientes a la quincena del 16 al 30 de septiembre del presente año</w:t>
            </w:r>
            <w:r w:rsidR="00FA02A3" w:rsidRPr="007B4961">
              <w:rPr>
                <w:i/>
                <w:szCs w:val="22"/>
              </w:rPr>
              <w:t xml:space="preserve">, incluyendo los integrantes del cabildo, presidente (a) municipal, </w:t>
            </w:r>
            <w:proofErr w:type="spellStart"/>
            <w:r w:rsidR="00FA02A3" w:rsidRPr="007B4961">
              <w:rPr>
                <w:i/>
                <w:szCs w:val="22"/>
              </w:rPr>
              <w:t>sindicos</w:t>
            </w:r>
            <w:proofErr w:type="spellEnd"/>
            <w:r w:rsidR="00FA02A3" w:rsidRPr="007B4961">
              <w:rPr>
                <w:i/>
                <w:szCs w:val="22"/>
              </w:rPr>
              <w:t xml:space="preserve"> y regidores, </w:t>
            </w:r>
            <w:r w:rsidR="00FA02A3" w:rsidRPr="007B4961">
              <w:rPr>
                <w:b/>
                <w:i/>
                <w:szCs w:val="22"/>
              </w:rPr>
              <w:t>asimismo requiero conocer la versión pública de las listas de raya</w:t>
            </w:r>
            <w:r w:rsidRPr="007B4961">
              <w:rPr>
                <w:i/>
                <w:szCs w:val="22"/>
              </w:rPr>
              <w:t xml:space="preserve">” </w:t>
            </w:r>
            <w:r w:rsidRPr="007B4961">
              <w:rPr>
                <w:szCs w:val="22"/>
              </w:rPr>
              <w:t>(Sic).</w:t>
            </w:r>
          </w:p>
        </w:tc>
      </w:tr>
      <w:tr w:rsidR="00357C5E" w:rsidRPr="007B4961" w14:paraId="67BFF831" w14:textId="77777777" w:rsidTr="00357C5E">
        <w:trPr>
          <w:trHeight w:val="65"/>
        </w:trPr>
        <w:tc>
          <w:tcPr>
            <w:tcW w:w="2689" w:type="dxa"/>
            <w:tcMar>
              <w:top w:w="0" w:type="dxa"/>
              <w:left w:w="45" w:type="dxa"/>
              <w:bottom w:w="0" w:type="dxa"/>
              <w:right w:w="45" w:type="dxa"/>
            </w:tcMar>
          </w:tcPr>
          <w:p w14:paraId="6CB53A75" w14:textId="7A84AE6C" w:rsidR="00357C5E" w:rsidRPr="007B4961" w:rsidRDefault="00352E9A" w:rsidP="007B4961">
            <w:pPr>
              <w:spacing w:line="240" w:lineRule="auto"/>
              <w:jc w:val="center"/>
              <w:rPr>
                <w:b/>
                <w:sz w:val="20"/>
              </w:rPr>
            </w:pPr>
            <w:r w:rsidRPr="007B4961">
              <w:rPr>
                <w:b/>
                <w:sz w:val="20"/>
              </w:rPr>
              <w:lastRenderedPageBreak/>
              <w:t>06928</w:t>
            </w:r>
            <w:r w:rsidR="00357C5E" w:rsidRPr="007B4961">
              <w:rPr>
                <w:b/>
                <w:sz w:val="20"/>
              </w:rPr>
              <w:t>/INFOEM/IP/RR/2024</w:t>
            </w:r>
          </w:p>
        </w:tc>
        <w:tc>
          <w:tcPr>
            <w:tcW w:w="6422" w:type="dxa"/>
            <w:tcMar>
              <w:top w:w="0" w:type="dxa"/>
              <w:left w:w="45" w:type="dxa"/>
              <w:bottom w:w="0" w:type="dxa"/>
              <w:right w:w="45" w:type="dxa"/>
            </w:tcMar>
          </w:tcPr>
          <w:p w14:paraId="7F908EB7" w14:textId="243597C3" w:rsidR="00357C5E" w:rsidRPr="007B4961" w:rsidRDefault="00A451E6" w:rsidP="007B4961">
            <w:pPr>
              <w:spacing w:line="240" w:lineRule="auto"/>
              <w:rPr>
                <w:i/>
                <w:szCs w:val="22"/>
              </w:rPr>
            </w:pPr>
            <w:r w:rsidRPr="007B4961">
              <w:rPr>
                <w:i/>
                <w:szCs w:val="22"/>
              </w:rPr>
              <w:t>"</w:t>
            </w:r>
            <w:r w:rsidR="00FA02A3" w:rsidRPr="007B4961">
              <w:rPr>
                <w:i/>
                <w:szCs w:val="22"/>
              </w:rPr>
              <w:t xml:space="preserve">Con fundamento en el Artículo 6 apartado A de la Constitución Política de los Estados Unidos Mexicanos, el artículo 5 de la Ley del Estado Libre y Soberano de México, así como la Ley de Transparencia y Acceso a la Información Pública del Estado de México y Municipios; y demás ordenamientos jurídicos aplicables a la materia, me permiso solicitar la versión pública de los </w:t>
            </w:r>
            <w:r w:rsidR="00FA02A3" w:rsidRPr="007B4961">
              <w:rPr>
                <w:b/>
                <w:i/>
                <w:szCs w:val="22"/>
              </w:rPr>
              <w:t xml:space="preserve">recibos de nómina de todos los integrantes del cabildo, presidente (a) municipal, </w:t>
            </w:r>
            <w:proofErr w:type="spellStart"/>
            <w:r w:rsidR="00FA02A3" w:rsidRPr="007B4961">
              <w:rPr>
                <w:b/>
                <w:i/>
                <w:szCs w:val="22"/>
              </w:rPr>
              <w:t>sindicos</w:t>
            </w:r>
            <w:proofErr w:type="spellEnd"/>
            <w:r w:rsidR="00FA02A3" w:rsidRPr="007B4961">
              <w:rPr>
                <w:b/>
                <w:i/>
                <w:szCs w:val="22"/>
              </w:rPr>
              <w:t xml:space="preserve"> y regidores, así como los Directores, Coordinadores, Jefes de departamento, titulares de cada </w:t>
            </w:r>
            <w:proofErr w:type="spellStart"/>
            <w:r w:rsidR="00FA02A3" w:rsidRPr="007B4961">
              <w:rPr>
                <w:b/>
                <w:i/>
                <w:szCs w:val="22"/>
              </w:rPr>
              <w:t>àrea</w:t>
            </w:r>
            <w:proofErr w:type="spellEnd"/>
            <w:r w:rsidR="00FA02A3" w:rsidRPr="007B4961">
              <w:rPr>
                <w:b/>
                <w:i/>
                <w:szCs w:val="22"/>
              </w:rPr>
              <w:t xml:space="preserve"> administrativa; correspondientes a la quincena del 16 al 30 de septiembre del presente año.</w:t>
            </w:r>
            <w:r w:rsidR="00357C5E" w:rsidRPr="007B4961">
              <w:rPr>
                <w:i/>
                <w:szCs w:val="22"/>
              </w:rPr>
              <w:t xml:space="preserve">” </w:t>
            </w:r>
            <w:r w:rsidR="00357C5E" w:rsidRPr="007B4961">
              <w:rPr>
                <w:szCs w:val="22"/>
              </w:rPr>
              <w:t>(Sic).</w:t>
            </w:r>
          </w:p>
        </w:tc>
      </w:tr>
    </w:tbl>
    <w:p w14:paraId="457F1F6B" w14:textId="77777777" w:rsidR="000C6C4B" w:rsidRPr="007B4961" w:rsidRDefault="000C6C4B" w:rsidP="007B4961">
      <w:pPr>
        <w:tabs>
          <w:tab w:val="left" w:pos="4667"/>
        </w:tabs>
        <w:ind w:right="567"/>
        <w:rPr>
          <w:rFonts w:cs="Tahoma"/>
          <w:b/>
          <w:bCs/>
          <w:szCs w:val="22"/>
        </w:rPr>
      </w:pPr>
    </w:p>
    <w:p w14:paraId="0BD6321D" w14:textId="56D9ABBC" w:rsidR="00664420" w:rsidRPr="007B4961" w:rsidRDefault="009A2D78" w:rsidP="007B4961">
      <w:pPr>
        <w:tabs>
          <w:tab w:val="left" w:pos="4667"/>
        </w:tabs>
        <w:ind w:right="567"/>
        <w:rPr>
          <w:rFonts w:cs="Tahoma"/>
          <w:bCs/>
          <w:szCs w:val="22"/>
        </w:rPr>
      </w:pPr>
      <w:r w:rsidRPr="007B4961">
        <w:rPr>
          <w:rFonts w:cs="Tahoma"/>
          <w:b/>
          <w:bCs/>
          <w:szCs w:val="22"/>
        </w:rPr>
        <w:t>Modalidad de entrega</w:t>
      </w:r>
      <w:r w:rsidRPr="007B4961">
        <w:rPr>
          <w:rFonts w:cs="Tahoma"/>
          <w:bCs/>
          <w:szCs w:val="22"/>
        </w:rPr>
        <w:t>: a</w:t>
      </w:r>
      <w:r w:rsidR="00664420" w:rsidRPr="007B4961">
        <w:rPr>
          <w:rFonts w:cs="Tahoma"/>
          <w:bCs/>
          <w:szCs w:val="22"/>
        </w:rPr>
        <w:t xml:space="preserve"> través del SAIMEX</w:t>
      </w:r>
      <w:r w:rsidRPr="007B4961">
        <w:rPr>
          <w:rFonts w:cs="Tahoma"/>
          <w:bCs/>
          <w:szCs w:val="22"/>
        </w:rPr>
        <w:t>.</w:t>
      </w:r>
    </w:p>
    <w:p w14:paraId="7C7D416F" w14:textId="77777777" w:rsidR="00871A57" w:rsidRPr="007B4961" w:rsidRDefault="00871A57" w:rsidP="007B4961">
      <w:pPr>
        <w:rPr>
          <w:szCs w:val="22"/>
          <w:lang w:val="es-ES"/>
        </w:rPr>
      </w:pPr>
    </w:p>
    <w:p w14:paraId="15CD4F80" w14:textId="77777777" w:rsidR="00A451E6" w:rsidRPr="007B4961" w:rsidRDefault="00A451E6" w:rsidP="007B4961">
      <w:pPr>
        <w:pStyle w:val="Ttulo3"/>
      </w:pPr>
      <w:bookmarkStart w:id="6" w:name="_Toc184225331"/>
      <w:r w:rsidRPr="007B4961">
        <w:t>b) Turno de las solicitudes de información.</w:t>
      </w:r>
      <w:bookmarkEnd w:id="6"/>
    </w:p>
    <w:p w14:paraId="3402521E" w14:textId="1410CCD7" w:rsidR="00A451E6" w:rsidRPr="007B4961" w:rsidRDefault="00A451E6" w:rsidP="007B4961">
      <w:r w:rsidRPr="007B4961">
        <w:t xml:space="preserve">En cumplimiento al artículo 162 de la Ley de Transparencia y Acceso a la Información Pública del Estado de México y Municipios, el </w:t>
      </w:r>
      <w:r w:rsidR="00FA02A3" w:rsidRPr="007B4961">
        <w:rPr>
          <w:b/>
        </w:rPr>
        <w:t>nueve</w:t>
      </w:r>
      <w:r w:rsidRPr="007B4961">
        <w:rPr>
          <w:b/>
        </w:rPr>
        <w:t xml:space="preserve"> de </w:t>
      </w:r>
      <w:r w:rsidR="00FA02A3" w:rsidRPr="007B4961">
        <w:rPr>
          <w:b/>
        </w:rPr>
        <w:t>octubre</w:t>
      </w:r>
      <w:r w:rsidRPr="007B4961">
        <w:rPr>
          <w:b/>
        </w:rPr>
        <w:t xml:space="preserve"> de dos mil veinticuatro,</w:t>
      </w:r>
      <w:r w:rsidRPr="007B4961">
        <w:t xml:space="preserve"> el Titular de la Unidad de Transparencia del </w:t>
      </w:r>
      <w:r w:rsidRPr="007B4961">
        <w:rPr>
          <w:b/>
        </w:rPr>
        <w:t>SUJETO OBLIGADO</w:t>
      </w:r>
      <w:r w:rsidRPr="007B4961">
        <w:t xml:space="preserve"> turnó las solicitudes de información a la servidora pública que estimó pertinente.</w:t>
      </w:r>
    </w:p>
    <w:p w14:paraId="708BD4DC" w14:textId="77777777" w:rsidR="00767B22" w:rsidRPr="007B4961" w:rsidRDefault="00767B22" w:rsidP="007B4961">
      <w:pPr>
        <w:rPr>
          <w:szCs w:val="22"/>
          <w:lang w:val="es-ES"/>
        </w:rPr>
      </w:pPr>
    </w:p>
    <w:p w14:paraId="3212BA4D" w14:textId="05476115" w:rsidR="00664420" w:rsidRPr="007B4961" w:rsidRDefault="00FA02A3" w:rsidP="007B4961">
      <w:pPr>
        <w:pStyle w:val="Ttulo3"/>
        <w:rPr>
          <w:rFonts w:eastAsia="Calibri"/>
          <w:szCs w:val="22"/>
          <w:lang w:eastAsia="en-US"/>
        </w:rPr>
      </w:pPr>
      <w:bookmarkStart w:id="7" w:name="_Toc184225332"/>
      <w:r w:rsidRPr="007B4961">
        <w:rPr>
          <w:szCs w:val="22"/>
          <w:lang w:val="es-ES"/>
        </w:rPr>
        <w:t>c</w:t>
      </w:r>
      <w:r w:rsidR="00E37A3F" w:rsidRPr="007B4961">
        <w:rPr>
          <w:szCs w:val="22"/>
          <w:lang w:val="es-ES"/>
        </w:rPr>
        <w:t xml:space="preserve">) </w:t>
      </w:r>
      <w:r w:rsidR="00664420" w:rsidRPr="007B4961">
        <w:rPr>
          <w:szCs w:val="22"/>
          <w:lang w:val="es-ES"/>
        </w:rPr>
        <w:t>Respuesta</w:t>
      </w:r>
      <w:r w:rsidR="00947134" w:rsidRPr="007B4961">
        <w:rPr>
          <w:szCs w:val="22"/>
          <w:lang w:val="es-ES"/>
        </w:rPr>
        <w:t>s</w:t>
      </w:r>
      <w:r w:rsidR="00664420" w:rsidRPr="007B4961">
        <w:rPr>
          <w:szCs w:val="22"/>
          <w:lang w:val="es-ES"/>
        </w:rPr>
        <w:t xml:space="preserve"> </w:t>
      </w:r>
      <w:r w:rsidR="00664420" w:rsidRPr="007B4961">
        <w:rPr>
          <w:rFonts w:eastAsia="Calibri"/>
          <w:szCs w:val="22"/>
          <w:lang w:eastAsia="en-US"/>
        </w:rPr>
        <w:t>del Sujeto Obligado</w:t>
      </w:r>
      <w:r w:rsidR="00A7290A" w:rsidRPr="007B4961">
        <w:rPr>
          <w:rFonts w:eastAsia="Calibri"/>
          <w:szCs w:val="22"/>
          <w:lang w:eastAsia="en-US"/>
        </w:rPr>
        <w:t>.</w:t>
      </w:r>
      <w:bookmarkEnd w:id="7"/>
    </w:p>
    <w:p w14:paraId="3783644C" w14:textId="191DD43C" w:rsidR="00AD1D93" w:rsidRPr="007B4961" w:rsidRDefault="00FE1818" w:rsidP="007B4961">
      <w:pPr>
        <w:pBdr>
          <w:top w:val="nil"/>
          <w:left w:val="nil"/>
          <w:bottom w:val="nil"/>
          <w:right w:val="nil"/>
          <w:between w:val="nil"/>
        </w:pBdr>
        <w:rPr>
          <w:rFonts w:eastAsia="Palatino Linotype" w:cs="Palatino Linotype"/>
          <w:szCs w:val="22"/>
        </w:rPr>
      </w:pPr>
      <w:r w:rsidRPr="007B4961">
        <w:rPr>
          <w:rFonts w:eastAsia="Palatino Linotype" w:cs="Palatino Linotype"/>
          <w:szCs w:val="22"/>
        </w:rPr>
        <w:t xml:space="preserve">El </w:t>
      </w:r>
      <w:r w:rsidR="00FA02A3" w:rsidRPr="007B4961">
        <w:rPr>
          <w:rFonts w:eastAsia="Palatino Linotype" w:cs="Palatino Linotype"/>
          <w:b/>
          <w:szCs w:val="22"/>
        </w:rPr>
        <w:t>veintinueve</w:t>
      </w:r>
      <w:r w:rsidR="002352B5" w:rsidRPr="007B4961">
        <w:rPr>
          <w:rFonts w:eastAsia="Palatino Linotype" w:cs="Palatino Linotype"/>
          <w:b/>
          <w:szCs w:val="22"/>
        </w:rPr>
        <w:t xml:space="preserve"> </w:t>
      </w:r>
      <w:r w:rsidR="00251367" w:rsidRPr="007B4961">
        <w:rPr>
          <w:rFonts w:eastAsia="Palatino Linotype" w:cs="Palatino Linotype"/>
          <w:b/>
          <w:szCs w:val="22"/>
        </w:rPr>
        <w:t xml:space="preserve">y treinta </w:t>
      </w:r>
      <w:r w:rsidRPr="007B4961">
        <w:rPr>
          <w:rFonts w:eastAsia="Palatino Linotype" w:cs="Palatino Linotype"/>
          <w:b/>
          <w:szCs w:val="22"/>
        </w:rPr>
        <w:t xml:space="preserve">de </w:t>
      </w:r>
      <w:r w:rsidR="00FA02A3" w:rsidRPr="007B4961">
        <w:rPr>
          <w:rFonts w:eastAsia="Palatino Linotype" w:cs="Palatino Linotype"/>
          <w:b/>
          <w:szCs w:val="22"/>
        </w:rPr>
        <w:t>octubre</w:t>
      </w:r>
      <w:r w:rsidRPr="007B4961">
        <w:rPr>
          <w:rFonts w:eastAsia="Palatino Linotype" w:cs="Palatino Linotype"/>
          <w:b/>
          <w:szCs w:val="22"/>
        </w:rPr>
        <w:t xml:space="preserve"> de dos mil </w:t>
      </w:r>
      <w:r w:rsidR="002352B5" w:rsidRPr="007B4961">
        <w:rPr>
          <w:rFonts w:eastAsia="Palatino Linotype" w:cs="Palatino Linotype"/>
          <w:b/>
          <w:szCs w:val="22"/>
        </w:rPr>
        <w:t>veinticuatro</w:t>
      </w:r>
      <w:r w:rsidRPr="007B4961">
        <w:rPr>
          <w:rFonts w:eastAsia="Palatino Linotype" w:cs="Palatino Linotype"/>
          <w:b/>
          <w:szCs w:val="22"/>
        </w:rPr>
        <w:t>,</w:t>
      </w:r>
      <w:r w:rsidRPr="007B4961">
        <w:rPr>
          <w:rFonts w:eastAsia="Palatino Linotype" w:cs="Palatino Linotype"/>
          <w:szCs w:val="22"/>
        </w:rPr>
        <w:t xml:space="preserve"> el Titular de la Unidad de Transparencia del </w:t>
      </w:r>
      <w:r w:rsidRPr="007B4961">
        <w:rPr>
          <w:rFonts w:eastAsia="Palatino Linotype" w:cs="Palatino Linotype"/>
          <w:b/>
          <w:szCs w:val="22"/>
        </w:rPr>
        <w:t>SUJETO OBLIGADO</w:t>
      </w:r>
      <w:r w:rsidRPr="007B4961">
        <w:rPr>
          <w:rFonts w:eastAsia="Palatino Linotype" w:cs="Palatino Linotype"/>
          <w:szCs w:val="22"/>
        </w:rPr>
        <w:t xml:space="preserve"> notificó </w:t>
      </w:r>
      <w:r w:rsidR="00FA02A3" w:rsidRPr="007B4961">
        <w:rPr>
          <w:rFonts w:eastAsia="Palatino Linotype" w:cs="Palatino Linotype"/>
          <w:szCs w:val="22"/>
        </w:rPr>
        <w:t xml:space="preserve">sus </w:t>
      </w:r>
      <w:r w:rsidR="007C65D0" w:rsidRPr="007B4961">
        <w:rPr>
          <w:rFonts w:eastAsia="Palatino Linotype" w:cs="Palatino Linotype"/>
          <w:szCs w:val="22"/>
        </w:rPr>
        <w:t xml:space="preserve">respuestas </w:t>
      </w:r>
      <w:r w:rsidR="00781217" w:rsidRPr="007B4961">
        <w:rPr>
          <w:rFonts w:eastAsia="Palatino Linotype" w:cs="Palatino Linotype"/>
          <w:szCs w:val="22"/>
        </w:rPr>
        <w:t xml:space="preserve">de manera homologada a través del SAIMEX, </w:t>
      </w:r>
      <w:r w:rsidR="00FA02A3" w:rsidRPr="007B4961">
        <w:rPr>
          <w:rFonts w:eastAsia="Palatino Linotype" w:cs="Palatino Linotype"/>
          <w:szCs w:val="22"/>
        </w:rPr>
        <w:t>en los siguientes términos</w:t>
      </w:r>
      <w:r w:rsidR="00781217" w:rsidRPr="007B4961">
        <w:rPr>
          <w:rFonts w:eastAsia="Palatino Linotype" w:cs="Palatino Linotype"/>
          <w:szCs w:val="22"/>
        </w:rPr>
        <w:t>:</w:t>
      </w:r>
    </w:p>
    <w:p w14:paraId="067CC2E3" w14:textId="14B2A84E" w:rsidR="00FA02A3" w:rsidRPr="007B4961" w:rsidRDefault="00FA02A3" w:rsidP="007B4961">
      <w:pPr>
        <w:pStyle w:val="Puesto"/>
        <w:rPr>
          <w:rFonts w:eastAsia="Palatino Linotype"/>
        </w:rPr>
      </w:pPr>
      <w:r w:rsidRPr="007B4961">
        <w:rPr>
          <w:rFonts w:eastAsia="Palatino Linotype"/>
        </w:rPr>
        <w:lastRenderedPageBreak/>
        <w:t>“Huixquilucan, México a 29 de Octubre de 2024</w:t>
      </w:r>
    </w:p>
    <w:p w14:paraId="720722D5" w14:textId="77777777" w:rsidR="00FA02A3" w:rsidRPr="007B4961" w:rsidRDefault="00FA02A3" w:rsidP="007B4961">
      <w:pPr>
        <w:pStyle w:val="Puesto"/>
        <w:rPr>
          <w:rFonts w:eastAsia="Palatino Linotype"/>
        </w:rPr>
      </w:pPr>
      <w:r w:rsidRPr="007B4961">
        <w:rPr>
          <w:rFonts w:eastAsia="Palatino Linotype"/>
        </w:rPr>
        <w:t>(…)</w:t>
      </w:r>
    </w:p>
    <w:p w14:paraId="3D7E16DA" w14:textId="77777777" w:rsidR="00FA02A3" w:rsidRPr="007B4961" w:rsidRDefault="00FA02A3" w:rsidP="007B4961">
      <w:pPr>
        <w:pStyle w:val="Puesto"/>
        <w:rPr>
          <w:rFonts w:eastAsia="Palatino Linotype"/>
        </w:rPr>
      </w:pPr>
      <w:r w:rsidRPr="007B4961">
        <w:rPr>
          <w:rFonts w:eastAsia="Palatino Linotype"/>
        </w:rPr>
        <w:t>SOBRE EL PARTICULAR, ESTA UNIDAD DE TRANSPARENCIA EN EJERCICIO DE LAS ATRIBUCIONES QUE LA LEY LE CONFIERE TURNÓ SU SOLICITUD DE INFORMACIÓN A LA SIGUIENTE UNIDAD ADMINISTRATIVA: DIRECCIÓN GENERAL DE ADMINISTRACIÓN, QUE DE CONFORMIDAD CON LO ESTABLECIDO EN EL REGLAMENTO ORGÁNICO DE HUIXQUILUCAN ES COMPETENTE PARA CONTESTAR SU SOLICITUD DE INFORMACIÓN, MISMA QUE MANIFESTÓ LO SIGUIENTE: (…)</w:t>
      </w:r>
    </w:p>
    <w:p w14:paraId="7A3CFD44" w14:textId="32E65BCC" w:rsidR="00FA02A3" w:rsidRPr="007B4961" w:rsidRDefault="00FA02A3" w:rsidP="007B4961">
      <w:pPr>
        <w:pStyle w:val="Puesto"/>
        <w:rPr>
          <w:rFonts w:eastAsia="Palatino Linotype"/>
        </w:rPr>
      </w:pPr>
      <w:r w:rsidRPr="007B4961">
        <w:rPr>
          <w:rFonts w:eastAsia="Palatino Linotype"/>
          <w:b/>
        </w:rPr>
        <w:t>en atención a la solicitud 0286/HUIXQUIL/IP/2024, se adjunta enlace URL a efecto de poder acceder a la información matera del presente: https://drive.google.com/file/d/1djelwM0T-uQOhVW2vPIqKAjSgxIvbv3U/view?usp=sharing</w:t>
      </w:r>
      <w:r w:rsidRPr="007B4961">
        <w:rPr>
          <w:rFonts w:eastAsia="Palatino Linotype"/>
        </w:rPr>
        <w:t xml:space="preserve"> Visto el contenido de la solicitud de mérito, y por cuanto hace a las facultades conferidas en el articulado 124 con relación al 133 establecidos en el Reglamento Orgánico Municipal vigente, con relación al 12 de la Ley en la materia, adjunto al presente oficio SAP/1528/10/2024, emitido por la Subdirección de Administración de Personal, como unidad poseedora y generadora de la información requerida, a efecto de que se tengan por reproducidas todas y cada una de sus manifestaciones, pretensiones y alcances. En consecuencia, y en cumplimiento a los artículos 4 y 129 Ley de Transparencia y Acceso a la Información Pública del Estado de México y Municipios, Capítulo V de los Lineamientos Generales en Materia de Clasificación y Desclasificación de la Información, así como para la Elaboración de Versiones Públicas, y en aras de dar cabal cumplimiento a los principios generales establecidos en la ley de la materia, es menester señalar que la información requerida por el solicitante, incluyen datos personales que requieren el consentimiento de su titular para ser difundidos, ya que comprenden datos de identificación que podrían afectar el derecho a la privacidad e intimidad del titular, los cuales en su conjunto harían a una persona física identificada o identificable. Derivado de lo anterior y con la finalidad de dar cumplimiento a la obligación de proteger los datos personales, me permito someter a consideración del Comité de Transparencia Municipal la clasificación como INFORMACIÓN CONFIDENCIAL de los siguientes datos: el Registro Federal de Contribuyentes (RFC), la Clave Única de Registro de Población (CURP) la cuota de captación, Clave de ISSEMYM y comprobantes fiscales, datos que aparecen el documento materia del presente. (…)</w:t>
      </w:r>
    </w:p>
    <w:p w14:paraId="10CD1F27" w14:textId="77777777" w:rsidR="00FA02A3" w:rsidRPr="007B4961" w:rsidRDefault="00FA02A3" w:rsidP="007B4961">
      <w:pPr>
        <w:pStyle w:val="Puesto"/>
        <w:rPr>
          <w:rFonts w:eastAsia="Palatino Linotype"/>
        </w:rPr>
      </w:pPr>
      <w:r w:rsidRPr="007B4961">
        <w:rPr>
          <w:rFonts w:eastAsia="Palatino Linotype"/>
        </w:rPr>
        <w:t>ATENTAMENTE</w:t>
      </w:r>
    </w:p>
    <w:p w14:paraId="5BEF64BB" w14:textId="217A0137" w:rsidR="00FA02A3" w:rsidRPr="007B4961" w:rsidRDefault="00FA02A3" w:rsidP="007B4961">
      <w:pPr>
        <w:pStyle w:val="Puesto"/>
        <w:rPr>
          <w:rFonts w:eastAsia="Palatino Linotype"/>
        </w:rPr>
      </w:pPr>
      <w:r w:rsidRPr="007B4961">
        <w:rPr>
          <w:rFonts w:eastAsia="Palatino Linotype"/>
        </w:rPr>
        <w:t>C. ULISES MAURICIO SALAZAR FRANCO”</w:t>
      </w:r>
    </w:p>
    <w:p w14:paraId="345DA42F" w14:textId="77777777" w:rsidR="000F17BC" w:rsidRPr="007B4961" w:rsidRDefault="000F17BC" w:rsidP="007B4961">
      <w:pPr>
        <w:tabs>
          <w:tab w:val="left" w:pos="3675"/>
        </w:tabs>
        <w:rPr>
          <w:rFonts w:cs="Calibri"/>
          <w:szCs w:val="22"/>
        </w:rPr>
      </w:pPr>
    </w:p>
    <w:p w14:paraId="0B08B2A3" w14:textId="77777777" w:rsidR="00BB7DAA" w:rsidRPr="007B4961" w:rsidRDefault="00BB7DAA" w:rsidP="007B4961">
      <w:pPr>
        <w:autoSpaceDE w:val="0"/>
        <w:autoSpaceDN w:val="0"/>
        <w:adjustRightInd w:val="0"/>
        <w:ind w:right="-28"/>
        <w:rPr>
          <w:rFonts w:cs="Tahoma"/>
          <w:szCs w:val="22"/>
        </w:rPr>
      </w:pPr>
      <w:r w:rsidRPr="007B4961">
        <w:rPr>
          <w:rFonts w:cs="Tahoma"/>
          <w:szCs w:val="22"/>
        </w:rPr>
        <w:lastRenderedPageBreak/>
        <w:t xml:space="preserve">A las respuestas se anexó el archivo que se describe a continuación: </w:t>
      </w:r>
    </w:p>
    <w:p w14:paraId="5BC48F70" w14:textId="77777777" w:rsidR="00BB7DAA" w:rsidRPr="007B4961" w:rsidRDefault="00BB7DAA" w:rsidP="007B4961">
      <w:pPr>
        <w:autoSpaceDE w:val="0"/>
        <w:autoSpaceDN w:val="0"/>
        <w:adjustRightInd w:val="0"/>
        <w:ind w:right="-28"/>
        <w:rPr>
          <w:rFonts w:cs="Tahoma"/>
          <w:szCs w:val="22"/>
        </w:rPr>
      </w:pPr>
    </w:p>
    <w:p w14:paraId="0ED14607" w14:textId="67617E36" w:rsidR="00A451E6" w:rsidRPr="007B4961" w:rsidRDefault="00BB7DAA" w:rsidP="007B4961">
      <w:pPr>
        <w:pStyle w:val="Prrafodelista"/>
        <w:numPr>
          <w:ilvl w:val="0"/>
          <w:numId w:val="5"/>
        </w:numPr>
        <w:autoSpaceDE w:val="0"/>
        <w:autoSpaceDN w:val="0"/>
        <w:adjustRightInd w:val="0"/>
        <w:ind w:right="-28"/>
        <w:rPr>
          <w:rFonts w:cs="Tahoma"/>
          <w:szCs w:val="22"/>
        </w:rPr>
      </w:pPr>
      <w:r w:rsidRPr="007B4961">
        <w:rPr>
          <w:rFonts w:cs="Tahoma"/>
          <w:b/>
          <w:i/>
          <w:szCs w:val="22"/>
        </w:rPr>
        <w:t>“ACUERDO 45_24 DGA.pdf”</w:t>
      </w:r>
      <w:r w:rsidRPr="007B4961">
        <w:rPr>
          <w:rFonts w:cs="Tahoma"/>
          <w:szCs w:val="22"/>
        </w:rPr>
        <w:t>: documento constante de 6 fojas útiles, que contiene el acuerdo número COMIT/45/ORD/10/2024, suscrito por los integrantes del Comité de Transparencia del Ayuntamiento de Huixquilucan, por medio del cual se aprueba la clasificación de información como confidencial relacionada con las solicitudes 00286/HUIXQUIL/IP/2024 y 00287/HUIXQUIL/IP/2024.</w:t>
      </w:r>
    </w:p>
    <w:p w14:paraId="330DDC24" w14:textId="77777777" w:rsidR="00BB7DAA" w:rsidRPr="007B4961" w:rsidRDefault="00BB7DAA" w:rsidP="007B4961">
      <w:pPr>
        <w:autoSpaceDE w:val="0"/>
        <w:autoSpaceDN w:val="0"/>
        <w:adjustRightInd w:val="0"/>
        <w:ind w:right="-28"/>
        <w:rPr>
          <w:rFonts w:cs="Tahoma"/>
          <w:szCs w:val="22"/>
        </w:rPr>
      </w:pPr>
    </w:p>
    <w:p w14:paraId="5A5DAB9E" w14:textId="77777777" w:rsidR="00E37A3F" w:rsidRPr="007B4961" w:rsidRDefault="00E37A3F" w:rsidP="007B4961">
      <w:pPr>
        <w:pStyle w:val="Ttulo2"/>
        <w:jc w:val="left"/>
        <w:rPr>
          <w:szCs w:val="22"/>
        </w:rPr>
      </w:pPr>
      <w:bookmarkStart w:id="8" w:name="_Toc184225333"/>
      <w:r w:rsidRPr="007B4961">
        <w:rPr>
          <w:szCs w:val="22"/>
        </w:rPr>
        <w:t>DEL RECURSO DE REVISIÓN</w:t>
      </w:r>
      <w:bookmarkEnd w:id="8"/>
    </w:p>
    <w:p w14:paraId="0B17CD08" w14:textId="77777777" w:rsidR="00664420" w:rsidRPr="007B4961" w:rsidRDefault="00664420" w:rsidP="007B4961">
      <w:pPr>
        <w:autoSpaceDE w:val="0"/>
        <w:autoSpaceDN w:val="0"/>
        <w:adjustRightInd w:val="0"/>
        <w:ind w:right="-28"/>
        <w:rPr>
          <w:rFonts w:cs="Tahoma"/>
          <w:bCs/>
          <w:szCs w:val="22"/>
          <w:lang w:val="es-ES"/>
        </w:rPr>
      </w:pPr>
    </w:p>
    <w:p w14:paraId="2B216813" w14:textId="15039AEE" w:rsidR="00664420" w:rsidRPr="007B4961" w:rsidRDefault="000E03AE" w:rsidP="007B4961">
      <w:pPr>
        <w:pStyle w:val="Ttulo3"/>
        <w:rPr>
          <w:szCs w:val="22"/>
        </w:rPr>
      </w:pPr>
      <w:bookmarkStart w:id="9" w:name="_Toc184225334"/>
      <w:r w:rsidRPr="007B4961">
        <w:rPr>
          <w:szCs w:val="22"/>
        </w:rPr>
        <w:t>a</w:t>
      </w:r>
      <w:r w:rsidR="006E25BC" w:rsidRPr="007B4961">
        <w:rPr>
          <w:szCs w:val="22"/>
        </w:rPr>
        <w:t xml:space="preserve">) </w:t>
      </w:r>
      <w:r w:rsidR="00664420" w:rsidRPr="007B4961">
        <w:rPr>
          <w:szCs w:val="22"/>
        </w:rPr>
        <w:t>Interposición de</w:t>
      </w:r>
      <w:r w:rsidR="008C1676" w:rsidRPr="007B4961">
        <w:rPr>
          <w:szCs w:val="22"/>
        </w:rPr>
        <w:t xml:space="preserve"> </w:t>
      </w:r>
      <w:r w:rsidR="00664420" w:rsidRPr="007B4961">
        <w:rPr>
          <w:szCs w:val="22"/>
        </w:rPr>
        <w:t>l</w:t>
      </w:r>
      <w:r w:rsidR="008C1676" w:rsidRPr="007B4961">
        <w:rPr>
          <w:szCs w:val="22"/>
        </w:rPr>
        <w:t>os</w:t>
      </w:r>
      <w:r w:rsidR="00664420" w:rsidRPr="007B4961">
        <w:rPr>
          <w:szCs w:val="22"/>
        </w:rPr>
        <w:t xml:space="preserve"> Recurso</w:t>
      </w:r>
      <w:r w:rsidR="008C1676" w:rsidRPr="007B4961">
        <w:rPr>
          <w:szCs w:val="22"/>
        </w:rPr>
        <w:t>s</w:t>
      </w:r>
      <w:r w:rsidR="00664420" w:rsidRPr="007B4961">
        <w:rPr>
          <w:szCs w:val="22"/>
        </w:rPr>
        <w:t xml:space="preserve"> de Revisión</w:t>
      </w:r>
      <w:r w:rsidR="004A4FD1" w:rsidRPr="007B4961">
        <w:rPr>
          <w:szCs w:val="22"/>
        </w:rPr>
        <w:t>.</w:t>
      </w:r>
      <w:bookmarkEnd w:id="9"/>
    </w:p>
    <w:p w14:paraId="6E024005" w14:textId="12F80EF4" w:rsidR="00BC5BF6" w:rsidRPr="007B4961" w:rsidRDefault="00664420" w:rsidP="007B4961">
      <w:pPr>
        <w:autoSpaceDE w:val="0"/>
        <w:autoSpaceDN w:val="0"/>
        <w:adjustRightInd w:val="0"/>
        <w:ind w:right="-28"/>
        <w:rPr>
          <w:rFonts w:cs="Tahoma"/>
          <w:szCs w:val="22"/>
        </w:rPr>
      </w:pPr>
      <w:r w:rsidRPr="007B4961">
        <w:rPr>
          <w:rFonts w:cs="Tahoma"/>
          <w:szCs w:val="22"/>
        </w:rPr>
        <w:t xml:space="preserve">El </w:t>
      </w:r>
      <w:r w:rsidR="00251367" w:rsidRPr="007B4961">
        <w:rPr>
          <w:rFonts w:cs="Tahoma"/>
          <w:b/>
          <w:bCs/>
          <w:szCs w:val="22"/>
        </w:rPr>
        <w:t xml:space="preserve">treinta </w:t>
      </w:r>
      <w:r w:rsidR="002352B5" w:rsidRPr="007B4961">
        <w:rPr>
          <w:rFonts w:cs="Tahoma"/>
          <w:b/>
          <w:bCs/>
          <w:szCs w:val="22"/>
        </w:rPr>
        <w:t xml:space="preserve">de </w:t>
      </w:r>
      <w:r w:rsidR="000C298D" w:rsidRPr="007B4961">
        <w:rPr>
          <w:rFonts w:cs="Tahoma"/>
          <w:b/>
          <w:bCs/>
          <w:szCs w:val="22"/>
        </w:rPr>
        <w:t>octubre</w:t>
      </w:r>
      <w:r w:rsidR="002352B5" w:rsidRPr="007B4961">
        <w:rPr>
          <w:rFonts w:cs="Tahoma"/>
          <w:b/>
          <w:bCs/>
          <w:szCs w:val="22"/>
        </w:rPr>
        <w:t xml:space="preserve"> </w:t>
      </w:r>
      <w:r w:rsidRPr="007B4961">
        <w:rPr>
          <w:rFonts w:cs="Tahoma"/>
          <w:b/>
          <w:bCs/>
          <w:szCs w:val="22"/>
        </w:rPr>
        <w:t xml:space="preserve">de dos mil </w:t>
      </w:r>
      <w:r w:rsidR="004A4FD1" w:rsidRPr="007B4961">
        <w:rPr>
          <w:rFonts w:cs="Tahoma"/>
          <w:b/>
          <w:bCs/>
          <w:szCs w:val="22"/>
        </w:rPr>
        <w:t>veinticuatro,</w:t>
      </w:r>
      <w:r w:rsidRPr="007B4961">
        <w:rPr>
          <w:rFonts w:cs="Tahoma"/>
          <w:szCs w:val="22"/>
        </w:rPr>
        <w:t xml:space="preserve"> </w:t>
      </w:r>
      <w:r w:rsidR="00F75D23" w:rsidRPr="007B4961">
        <w:rPr>
          <w:rFonts w:cs="Tahoma"/>
          <w:b/>
          <w:bCs/>
          <w:szCs w:val="22"/>
        </w:rPr>
        <w:t>LA PARTE RECURRENTE</w:t>
      </w:r>
      <w:r w:rsidR="00F75D23" w:rsidRPr="007B4961">
        <w:rPr>
          <w:rFonts w:cs="Tahoma"/>
          <w:szCs w:val="22"/>
        </w:rPr>
        <w:t xml:space="preserve"> interpuso </w:t>
      </w:r>
      <w:r w:rsidR="002352B5" w:rsidRPr="007B4961">
        <w:rPr>
          <w:rFonts w:cs="Tahoma"/>
          <w:szCs w:val="22"/>
        </w:rPr>
        <w:t>los recursos</w:t>
      </w:r>
      <w:r w:rsidR="00F75D23" w:rsidRPr="007B4961">
        <w:rPr>
          <w:rFonts w:cs="Tahoma"/>
          <w:szCs w:val="22"/>
        </w:rPr>
        <w:t xml:space="preserve"> de revisión en contra de la</w:t>
      </w:r>
      <w:r w:rsidR="005B7DDA" w:rsidRPr="007B4961">
        <w:rPr>
          <w:rFonts w:cs="Tahoma"/>
          <w:szCs w:val="22"/>
        </w:rPr>
        <w:t>s</w:t>
      </w:r>
      <w:r w:rsidR="00F75D23" w:rsidRPr="007B4961">
        <w:rPr>
          <w:rFonts w:cs="Tahoma"/>
          <w:szCs w:val="22"/>
        </w:rPr>
        <w:t xml:space="preserve"> respuesta</w:t>
      </w:r>
      <w:r w:rsidR="005B7DDA" w:rsidRPr="007B4961">
        <w:rPr>
          <w:rFonts w:cs="Tahoma"/>
          <w:szCs w:val="22"/>
        </w:rPr>
        <w:t>s</w:t>
      </w:r>
      <w:r w:rsidR="00F75D23" w:rsidRPr="007B4961">
        <w:rPr>
          <w:rFonts w:cs="Tahoma"/>
          <w:szCs w:val="22"/>
        </w:rPr>
        <w:t xml:space="preserve"> emitida</w:t>
      </w:r>
      <w:r w:rsidR="005B7DDA" w:rsidRPr="007B4961">
        <w:rPr>
          <w:rFonts w:cs="Tahoma"/>
          <w:szCs w:val="22"/>
        </w:rPr>
        <w:t>s</w:t>
      </w:r>
      <w:r w:rsidR="00F75D23" w:rsidRPr="007B4961">
        <w:rPr>
          <w:rFonts w:cs="Tahoma"/>
          <w:szCs w:val="22"/>
        </w:rPr>
        <w:t xml:space="preserve"> por el </w:t>
      </w:r>
      <w:r w:rsidR="00F75D23" w:rsidRPr="007B4961">
        <w:rPr>
          <w:rFonts w:cs="Tahoma"/>
          <w:b/>
          <w:bCs/>
          <w:szCs w:val="22"/>
        </w:rPr>
        <w:t>SUJETO OBLIGADO</w:t>
      </w:r>
      <w:r w:rsidR="00953430" w:rsidRPr="007B4961">
        <w:rPr>
          <w:rFonts w:cs="Tahoma"/>
          <w:szCs w:val="22"/>
        </w:rPr>
        <w:t>, mismo</w:t>
      </w:r>
      <w:r w:rsidR="005B7DDA" w:rsidRPr="007B4961">
        <w:rPr>
          <w:rFonts w:cs="Tahoma"/>
          <w:szCs w:val="22"/>
        </w:rPr>
        <w:t>s</w:t>
      </w:r>
      <w:r w:rsidR="00953430" w:rsidRPr="007B4961">
        <w:rPr>
          <w:rFonts w:cs="Tahoma"/>
          <w:szCs w:val="22"/>
        </w:rPr>
        <w:t xml:space="preserve"> que fue</w:t>
      </w:r>
      <w:r w:rsidR="005B7DDA" w:rsidRPr="007B4961">
        <w:rPr>
          <w:rFonts w:cs="Tahoma"/>
          <w:szCs w:val="22"/>
        </w:rPr>
        <w:t>ron</w:t>
      </w:r>
      <w:r w:rsidR="00953430" w:rsidRPr="007B4961">
        <w:rPr>
          <w:rFonts w:cs="Tahoma"/>
          <w:szCs w:val="22"/>
        </w:rPr>
        <w:t xml:space="preserve"> registrado</w:t>
      </w:r>
      <w:r w:rsidR="005B7DDA" w:rsidRPr="007B4961">
        <w:rPr>
          <w:rFonts w:cs="Tahoma"/>
          <w:szCs w:val="22"/>
        </w:rPr>
        <w:t>s</w:t>
      </w:r>
      <w:r w:rsidR="00953430" w:rsidRPr="007B4961">
        <w:rPr>
          <w:rFonts w:cs="Tahoma"/>
          <w:szCs w:val="22"/>
        </w:rPr>
        <w:t xml:space="preserve"> en el SAIMEX con </w:t>
      </w:r>
      <w:r w:rsidR="008C1676" w:rsidRPr="007B4961">
        <w:rPr>
          <w:rFonts w:cs="Tahoma"/>
          <w:szCs w:val="22"/>
        </w:rPr>
        <w:t>los</w:t>
      </w:r>
      <w:r w:rsidR="00953430" w:rsidRPr="007B4961">
        <w:rPr>
          <w:rFonts w:cs="Tahoma"/>
          <w:szCs w:val="22"/>
        </w:rPr>
        <w:t xml:space="preserve"> número</w:t>
      </w:r>
      <w:r w:rsidR="008C1676" w:rsidRPr="007B4961">
        <w:rPr>
          <w:rFonts w:cs="Tahoma"/>
          <w:szCs w:val="22"/>
        </w:rPr>
        <w:t>s</w:t>
      </w:r>
      <w:r w:rsidR="00953430" w:rsidRPr="007B4961">
        <w:rPr>
          <w:rFonts w:cs="Tahoma"/>
          <w:szCs w:val="22"/>
        </w:rPr>
        <w:t xml:space="preserve"> de expediente</w:t>
      </w:r>
      <w:r w:rsidR="008C1676" w:rsidRPr="007B4961">
        <w:rPr>
          <w:rFonts w:cs="Tahoma"/>
          <w:szCs w:val="22"/>
        </w:rPr>
        <w:t>s</w:t>
      </w:r>
      <w:r w:rsidR="00953430" w:rsidRPr="007B4961">
        <w:rPr>
          <w:rFonts w:cs="Tahoma"/>
          <w:szCs w:val="22"/>
        </w:rPr>
        <w:t xml:space="preserve"> </w:t>
      </w:r>
      <w:r w:rsidR="003A496B" w:rsidRPr="007B4961">
        <w:rPr>
          <w:rFonts w:cs="Tahoma"/>
          <w:b/>
          <w:bCs/>
          <w:szCs w:val="22"/>
        </w:rPr>
        <w:t>06927/INFOEM/IP/RR/2024 y 06928</w:t>
      </w:r>
      <w:r w:rsidR="00B3126C" w:rsidRPr="007B4961">
        <w:rPr>
          <w:rFonts w:cs="Tahoma"/>
          <w:b/>
          <w:bCs/>
          <w:szCs w:val="22"/>
        </w:rPr>
        <w:t>/INFOEM/IP/RR/2024</w:t>
      </w:r>
      <w:r w:rsidR="00BC5BF6" w:rsidRPr="007B4961">
        <w:rPr>
          <w:rFonts w:cs="Tahoma"/>
          <w:b/>
          <w:bCs/>
          <w:szCs w:val="22"/>
        </w:rPr>
        <w:t xml:space="preserve"> </w:t>
      </w:r>
      <w:r w:rsidR="00953430" w:rsidRPr="007B4961">
        <w:rPr>
          <w:rFonts w:cs="Tahoma"/>
          <w:szCs w:val="22"/>
        </w:rPr>
        <w:t xml:space="preserve">y en </w:t>
      </w:r>
      <w:r w:rsidR="008E0766" w:rsidRPr="007B4961">
        <w:rPr>
          <w:rFonts w:cs="Tahoma"/>
          <w:szCs w:val="22"/>
        </w:rPr>
        <w:t>los</w:t>
      </w:r>
      <w:r w:rsidR="00953430" w:rsidRPr="007B4961">
        <w:rPr>
          <w:rFonts w:cs="Tahoma"/>
          <w:szCs w:val="22"/>
        </w:rPr>
        <w:t xml:space="preserve"> cual</w:t>
      </w:r>
      <w:r w:rsidR="008E0766" w:rsidRPr="007B4961">
        <w:rPr>
          <w:rFonts w:cs="Tahoma"/>
          <w:szCs w:val="22"/>
        </w:rPr>
        <w:t>es se</w:t>
      </w:r>
      <w:r w:rsidR="00BC5BF6" w:rsidRPr="007B4961">
        <w:rPr>
          <w:rFonts w:cs="Tahoma"/>
          <w:szCs w:val="22"/>
        </w:rPr>
        <w:t xml:space="preserve"> manifestó de manera homologada</w:t>
      </w:r>
      <w:r w:rsidR="00953430" w:rsidRPr="007B4961">
        <w:rPr>
          <w:rFonts w:cs="Tahoma"/>
          <w:szCs w:val="22"/>
        </w:rPr>
        <w:t xml:space="preserve"> lo siguiente</w:t>
      </w:r>
      <w:r w:rsidR="00BC5BF6" w:rsidRPr="007B4961">
        <w:rPr>
          <w:rFonts w:cs="Tahoma"/>
          <w:szCs w:val="22"/>
        </w:rPr>
        <w:t>:</w:t>
      </w:r>
    </w:p>
    <w:p w14:paraId="3F911405" w14:textId="77777777" w:rsidR="00BC5BF6" w:rsidRPr="007B4961" w:rsidRDefault="00BC5BF6" w:rsidP="007B4961">
      <w:pPr>
        <w:autoSpaceDE w:val="0"/>
        <w:autoSpaceDN w:val="0"/>
        <w:adjustRightInd w:val="0"/>
        <w:ind w:right="-28"/>
        <w:rPr>
          <w:rFonts w:cs="Tahoma"/>
          <w:szCs w:val="22"/>
        </w:rPr>
      </w:pPr>
    </w:p>
    <w:p w14:paraId="60161CEE" w14:textId="623C6D82" w:rsidR="00BC5BF6" w:rsidRPr="007B4961" w:rsidRDefault="00BC5BF6" w:rsidP="007B4961">
      <w:pPr>
        <w:autoSpaceDE w:val="0"/>
        <w:autoSpaceDN w:val="0"/>
        <w:adjustRightInd w:val="0"/>
        <w:ind w:right="-28"/>
        <w:jc w:val="left"/>
        <w:rPr>
          <w:rFonts w:cs="Calibri"/>
          <w:b/>
          <w:szCs w:val="16"/>
        </w:rPr>
      </w:pPr>
      <w:r w:rsidRPr="007B4961">
        <w:rPr>
          <w:rFonts w:cs="Calibri"/>
          <w:b/>
          <w:szCs w:val="16"/>
        </w:rPr>
        <w:t>ACTO IMPUGNADO:</w:t>
      </w:r>
    </w:p>
    <w:p w14:paraId="1A594B07" w14:textId="77777777" w:rsidR="00B86B25" w:rsidRPr="007B4961" w:rsidRDefault="00B86B25" w:rsidP="007B4961">
      <w:pPr>
        <w:autoSpaceDE w:val="0"/>
        <w:autoSpaceDN w:val="0"/>
        <w:adjustRightInd w:val="0"/>
        <w:ind w:right="-28"/>
        <w:jc w:val="left"/>
        <w:rPr>
          <w:rFonts w:cs="Calibri"/>
          <w:b/>
          <w:szCs w:val="16"/>
        </w:rPr>
      </w:pPr>
    </w:p>
    <w:p w14:paraId="5FC4AA44" w14:textId="7A4C733D" w:rsidR="00BC5BF6" w:rsidRPr="007B4961" w:rsidRDefault="00BC5BF6" w:rsidP="007B4961">
      <w:pPr>
        <w:pStyle w:val="Puesto"/>
      </w:pPr>
      <w:r w:rsidRPr="007B4961">
        <w:t>“</w:t>
      </w:r>
      <w:r w:rsidR="003A496B" w:rsidRPr="007B4961">
        <w:t>Respuesta del sujeto obligado</w:t>
      </w:r>
      <w:r w:rsidRPr="007B4961">
        <w:t>” (Sic).</w:t>
      </w:r>
    </w:p>
    <w:p w14:paraId="224DB659" w14:textId="77777777" w:rsidR="00B86B25" w:rsidRPr="007B4961" w:rsidRDefault="00B86B25" w:rsidP="007B4961"/>
    <w:p w14:paraId="43420571" w14:textId="77777777" w:rsidR="00BC5BF6" w:rsidRPr="007B4961" w:rsidRDefault="00BC5BF6" w:rsidP="007B4961">
      <w:pPr>
        <w:autoSpaceDE w:val="0"/>
        <w:autoSpaceDN w:val="0"/>
        <w:adjustRightInd w:val="0"/>
        <w:ind w:right="-28"/>
        <w:jc w:val="left"/>
        <w:rPr>
          <w:rFonts w:cs="Calibri"/>
          <w:b/>
          <w:szCs w:val="16"/>
        </w:rPr>
      </w:pPr>
      <w:r w:rsidRPr="007B4961">
        <w:rPr>
          <w:rFonts w:cs="Calibri"/>
          <w:b/>
          <w:szCs w:val="16"/>
        </w:rPr>
        <w:t>RAZONES O MOTIVOS DE INCONFORMIDAD:</w:t>
      </w:r>
    </w:p>
    <w:p w14:paraId="6EA00516" w14:textId="77777777" w:rsidR="00B86B25" w:rsidRPr="007B4961" w:rsidRDefault="00B86B25" w:rsidP="007B4961">
      <w:pPr>
        <w:autoSpaceDE w:val="0"/>
        <w:autoSpaceDN w:val="0"/>
        <w:adjustRightInd w:val="0"/>
        <w:ind w:right="-28"/>
        <w:jc w:val="left"/>
        <w:rPr>
          <w:rFonts w:cs="Calibri"/>
          <w:szCs w:val="16"/>
        </w:rPr>
      </w:pPr>
    </w:p>
    <w:p w14:paraId="30BE4B7F" w14:textId="02684AEF" w:rsidR="00F33426" w:rsidRPr="007B4961" w:rsidRDefault="00BC5BF6" w:rsidP="007B4961">
      <w:pPr>
        <w:pStyle w:val="Puesto"/>
        <w:rPr>
          <w:rFonts w:cs="Tahoma"/>
          <w:szCs w:val="22"/>
        </w:rPr>
      </w:pPr>
      <w:r w:rsidRPr="007B4961">
        <w:t>“</w:t>
      </w:r>
      <w:r w:rsidR="003A496B" w:rsidRPr="007B4961">
        <w:t>En mi solicitud de información claramente requerir formato en versión pública, si bien es cierto contiene datos personales, también es cierto que por obligación el sujeto obligado debería elaborar la versión pública que se está solicitando</w:t>
      </w:r>
      <w:r w:rsidR="00B3126C" w:rsidRPr="007B4961">
        <w:t xml:space="preserve">” </w:t>
      </w:r>
      <w:r w:rsidRPr="007B4961">
        <w:t>(Sic).</w:t>
      </w:r>
    </w:p>
    <w:p w14:paraId="6804DEF1" w14:textId="2D78C906" w:rsidR="00664420" w:rsidRPr="007B4961" w:rsidRDefault="006E25BC" w:rsidP="007B4961">
      <w:pPr>
        <w:pStyle w:val="Ttulo3"/>
        <w:rPr>
          <w:szCs w:val="22"/>
        </w:rPr>
      </w:pPr>
      <w:bookmarkStart w:id="10" w:name="_Toc184225335"/>
      <w:r w:rsidRPr="007B4961">
        <w:rPr>
          <w:szCs w:val="22"/>
        </w:rPr>
        <w:lastRenderedPageBreak/>
        <w:t>b</w:t>
      </w:r>
      <w:r w:rsidR="00664420" w:rsidRPr="007B4961">
        <w:rPr>
          <w:szCs w:val="22"/>
        </w:rPr>
        <w:t>) Turno de</w:t>
      </w:r>
      <w:r w:rsidR="008E0766" w:rsidRPr="007B4961">
        <w:rPr>
          <w:szCs w:val="22"/>
        </w:rPr>
        <w:t xml:space="preserve"> </w:t>
      </w:r>
      <w:r w:rsidR="00664420" w:rsidRPr="007B4961">
        <w:rPr>
          <w:szCs w:val="22"/>
        </w:rPr>
        <w:t>l</w:t>
      </w:r>
      <w:r w:rsidR="008E0766" w:rsidRPr="007B4961">
        <w:rPr>
          <w:szCs w:val="22"/>
        </w:rPr>
        <w:t>os</w:t>
      </w:r>
      <w:r w:rsidR="00664420" w:rsidRPr="007B4961">
        <w:rPr>
          <w:szCs w:val="22"/>
        </w:rPr>
        <w:t xml:space="preserve"> Recurso</w:t>
      </w:r>
      <w:r w:rsidR="008E0766" w:rsidRPr="007B4961">
        <w:rPr>
          <w:szCs w:val="22"/>
        </w:rPr>
        <w:t>s</w:t>
      </w:r>
      <w:r w:rsidR="00664420" w:rsidRPr="007B4961">
        <w:rPr>
          <w:szCs w:val="22"/>
        </w:rPr>
        <w:t xml:space="preserve"> de Revisión</w:t>
      </w:r>
      <w:r w:rsidR="004A4FD1" w:rsidRPr="007B4961">
        <w:rPr>
          <w:szCs w:val="22"/>
        </w:rPr>
        <w:t>.</w:t>
      </w:r>
      <w:bookmarkEnd w:id="10"/>
    </w:p>
    <w:p w14:paraId="1173671B" w14:textId="565AF8D0" w:rsidR="00C72DAA" w:rsidRPr="007B4961" w:rsidRDefault="00C72DAA" w:rsidP="007B4961">
      <w:pPr>
        <w:rPr>
          <w:szCs w:val="22"/>
        </w:rPr>
      </w:pPr>
      <w:r w:rsidRPr="007B4961">
        <w:rPr>
          <w:szCs w:val="22"/>
        </w:rPr>
        <w:t>Con fundamento en el artículo 185, fracción I de la Ley de Transparencia y Acceso a la Información Pública del Estado de México y Municipios, el</w:t>
      </w:r>
      <w:r w:rsidRPr="007B4961">
        <w:rPr>
          <w:b/>
          <w:bCs/>
          <w:szCs w:val="22"/>
        </w:rPr>
        <w:t xml:space="preserve"> </w:t>
      </w:r>
      <w:r w:rsidR="003A496B" w:rsidRPr="007B4961">
        <w:rPr>
          <w:rFonts w:cs="Tahoma"/>
          <w:b/>
          <w:bCs/>
          <w:szCs w:val="22"/>
        </w:rPr>
        <w:t>treinta</w:t>
      </w:r>
      <w:r w:rsidR="00B3126C" w:rsidRPr="007B4961">
        <w:rPr>
          <w:rFonts w:cs="Tahoma"/>
          <w:b/>
          <w:bCs/>
          <w:szCs w:val="22"/>
        </w:rPr>
        <w:t xml:space="preserve"> de </w:t>
      </w:r>
      <w:r w:rsidR="003A496B" w:rsidRPr="007B4961">
        <w:rPr>
          <w:rFonts w:cs="Tahoma"/>
          <w:b/>
          <w:bCs/>
          <w:szCs w:val="22"/>
        </w:rPr>
        <w:t>octubre</w:t>
      </w:r>
      <w:r w:rsidR="00B3126C" w:rsidRPr="007B4961">
        <w:rPr>
          <w:rFonts w:cs="Tahoma"/>
          <w:b/>
          <w:bCs/>
          <w:szCs w:val="22"/>
        </w:rPr>
        <w:t xml:space="preserve"> </w:t>
      </w:r>
      <w:r w:rsidRPr="007B4961">
        <w:rPr>
          <w:rFonts w:eastAsia="Palatino Linotype" w:cs="Palatino Linotype"/>
          <w:b/>
          <w:szCs w:val="22"/>
        </w:rPr>
        <w:t xml:space="preserve">de dos mil </w:t>
      </w:r>
      <w:r w:rsidR="004A4FD1" w:rsidRPr="007B4961">
        <w:rPr>
          <w:rFonts w:eastAsia="Palatino Linotype" w:cs="Palatino Linotype"/>
          <w:b/>
          <w:szCs w:val="22"/>
        </w:rPr>
        <w:t>veinticuatro</w:t>
      </w:r>
      <w:r w:rsidR="005B7DDA" w:rsidRPr="007B4961">
        <w:rPr>
          <w:szCs w:val="22"/>
        </w:rPr>
        <w:t xml:space="preserve"> se turnaron los</w:t>
      </w:r>
      <w:r w:rsidRPr="007B4961">
        <w:rPr>
          <w:szCs w:val="22"/>
        </w:rPr>
        <w:t xml:space="preserve"> recurso</w:t>
      </w:r>
      <w:r w:rsidR="005B7DDA" w:rsidRPr="007B4961">
        <w:rPr>
          <w:szCs w:val="22"/>
        </w:rPr>
        <w:t>s</w:t>
      </w:r>
      <w:r w:rsidRPr="007B4961">
        <w:rPr>
          <w:szCs w:val="22"/>
        </w:rPr>
        <w:t xml:space="preserve"> de revisión a través del</w:t>
      </w:r>
      <w:r w:rsidRPr="007B4961">
        <w:rPr>
          <w:rFonts w:eastAsia="Arial Unicode MS"/>
          <w:szCs w:val="22"/>
        </w:rPr>
        <w:t xml:space="preserve"> </w:t>
      </w:r>
      <w:r w:rsidRPr="007B4961">
        <w:rPr>
          <w:rFonts w:eastAsia="Arial Unicode MS"/>
          <w:bCs/>
          <w:szCs w:val="22"/>
        </w:rPr>
        <w:t>SAIMEX</w:t>
      </w:r>
      <w:r w:rsidRPr="007B4961">
        <w:rPr>
          <w:szCs w:val="22"/>
        </w:rPr>
        <w:t xml:space="preserve"> a la</w:t>
      </w:r>
      <w:r w:rsidR="002352B5" w:rsidRPr="007B4961">
        <w:rPr>
          <w:szCs w:val="22"/>
        </w:rPr>
        <w:t>s</w:t>
      </w:r>
      <w:r w:rsidRPr="007B4961">
        <w:rPr>
          <w:szCs w:val="22"/>
        </w:rPr>
        <w:t xml:space="preserve"> </w:t>
      </w:r>
      <w:r w:rsidRPr="007B4961">
        <w:rPr>
          <w:b/>
          <w:szCs w:val="22"/>
        </w:rPr>
        <w:t>Comisionada</w:t>
      </w:r>
      <w:r w:rsidR="00C20A78" w:rsidRPr="007B4961">
        <w:rPr>
          <w:b/>
          <w:szCs w:val="22"/>
        </w:rPr>
        <w:t>s</w:t>
      </w:r>
      <w:r w:rsidRPr="007B4961">
        <w:rPr>
          <w:b/>
          <w:szCs w:val="22"/>
        </w:rPr>
        <w:t xml:space="preserve"> Sharon Cristina Morales</w:t>
      </w:r>
      <w:r w:rsidR="003A496B" w:rsidRPr="007B4961">
        <w:rPr>
          <w:bCs/>
          <w:szCs w:val="22"/>
        </w:rPr>
        <w:t xml:space="preserve"> y</w:t>
      </w:r>
      <w:r w:rsidR="002F13C2" w:rsidRPr="007B4961">
        <w:rPr>
          <w:bCs/>
          <w:szCs w:val="22"/>
        </w:rPr>
        <w:t xml:space="preserve"> </w:t>
      </w:r>
      <w:r w:rsidR="002F13C2" w:rsidRPr="007B4961">
        <w:rPr>
          <w:b/>
          <w:bCs/>
          <w:szCs w:val="22"/>
        </w:rPr>
        <w:t xml:space="preserve">María del Rosario Mejía Ayala </w:t>
      </w:r>
      <w:r w:rsidR="00A21FF1" w:rsidRPr="007B4961">
        <w:rPr>
          <w:bCs/>
          <w:szCs w:val="22"/>
        </w:rPr>
        <w:t xml:space="preserve">respectivamente, </w:t>
      </w:r>
      <w:r w:rsidRPr="007B4961">
        <w:rPr>
          <w:szCs w:val="22"/>
        </w:rPr>
        <w:t xml:space="preserve">a efecto de decretar su admisión o desechamiento. </w:t>
      </w:r>
    </w:p>
    <w:p w14:paraId="18F305CB" w14:textId="77777777" w:rsidR="00664420" w:rsidRPr="007B4961" w:rsidRDefault="00664420" w:rsidP="007B4961">
      <w:pPr>
        <w:rPr>
          <w:rFonts w:eastAsia="Batang" w:cs="Tahoma"/>
          <w:bCs/>
          <w:szCs w:val="22"/>
        </w:rPr>
      </w:pPr>
    </w:p>
    <w:p w14:paraId="3E31EC2D" w14:textId="7F0DA652" w:rsidR="00664420" w:rsidRPr="007B4961" w:rsidRDefault="006E25BC" w:rsidP="007B4961">
      <w:pPr>
        <w:pStyle w:val="Ttulo3"/>
        <w:rPr>
          <w:szCs w:val="22"/>
        </w:rPr>
      </w:pPr>
      <w:bookmarkStart w:id="11" w:name="_Toc184225336"/>
      <w:r w:rsidRPr="007B4961">
        <w:rPr>
          <w:szCs w:val="22"/>
        </w:rPr>
        <w:t>c</w:t>
      </w:r>
      <w:r w:rsidR="008E0766" w:rsidRPr="007B4961">
        <w:rPr>
          <w:szCs w:val="22"/>
        </w:rPr>
        <w:t>) Admisio</w:t>
      </w:r>
      <w:r w:rsidR="00664420" w:rsidRPr="007B4961">
        <w:rPr>
          <w:szCs w:val="22"/>
        </w:rPr>
        <w:t>n</w:t>
      </w:r>
      <w:r w:rsidR="008E0766" w:rsidRPr="007B4961">
        <w:rPr>
          <w:szCs w:val="22"/>
        </w:rPr>
        <w:t>es</w:t>
      </w:r>
      <w:r w:rsidR="00664420" w:rsidRPr="007B4961">
        <w:rPr>
          <w:szCs w:val="22"/>
        </w:rPr>
        <w:t xml:space="preserve"> de</w:t>
      </w:r>
      <w:r w:rsidR="008E0766" w:rsidRPr="007B4961">
        <w:rPr>
          <w:szCs w:val="22"/>
        </w:rPr>
        <w:t xml:space="preserve"> </w:t>
      </w:r>
      <w:r w:rsidR="00664420" w:rsidRPr="007B4961">
        <w:rPr>
          <w:szCs w:val="22"/>
        </w:rPr>
        <w:t>l</w:t>
      </w:r>
      <w:r w:rsidR="008E0766" w:rsidRPr="007B4961">
        <w:rPr>
          <w:szCs w:val="22"/>
        </w:rPr>
        <w:t>os</w:t>
      </w:r>
      <w:r w:rsidR="00664420" w:rsidRPr="007B4961">
        <w:rPr>
          <w:szCs w:val="22"/>
        </w:rPr>
        <w:t xml:space="preserve"> Recurso</w:t>
      </w:r>
      <w:r w:rsidR="00A21FF1" w:rsidRPr="007B4961">
        <w:rPr>
          <w:szCs w:val="22"/>
        </w:rPr>
        <w:t>s</w:t>
      </w:r>
      <w:r w:rsidR="00664420" w:rsidRPr="007B4961">
        <w:rPr>
          <w:szCs w:val="22"/>
        </w:rPr>
        <w:t xml:space="preserve"> de Revisión</w:t>
      </w:r>
      <w:r w:rsidR="004A4FD1" w:rsidRPr="007B4961">
        <w:rPr>
          <w:szCs w:val="22"/>
        </w:rPr>
        <w:t>.</w:t>
      </w:r>
      <w:bookmarkEnd w:id="11"/>
    </w:p>
    <w:p w14:paraId="015C239D" w14:textId="62E3EFD9" w:rsidR="008E0766" w:rsidRPr="007B4961" w:rsidRDefault="000E09C4" w:rsidP="007B4961">
      <w:pPr>
        <w:rPr>
          <w:rFonts w:cs="Arial"/>
          <w:szCs w:val="22"/>
        </w:rPr>
      </w:pPr>
      <w:r w:rsidRPr="007B4961">
        <w:rPr>
          <w:rFonts w:cs="Arial"/>
          <w:szCs w:val="22"/>
        </w:rPr>
        <w:t xml:space="preserve">El </w:t>
      </w:r>
      <w:r w:rsidR="003A496B" w:rsidRPr="007B4961">
        <w:rPr>
          <w:rFonts w:cs="Arial"/>
          <w:b/>
          <w:szCs w:val="22"/>
        </w:rPr>
        <w:t>cuatro</w:t>
      </w:r>
      <w:r w:rsidR="00447A0A" w:rsidRPr="007B4961">
        <w:rPr>
          <w:rFonts w:cs="Arial"/>
          <w:b/>
          <w:szCs w:val="22"/>
        </w:rPr>
        <w:t xml:space="preserve"> y </w:t>
      </w:r>
      <w:r w:rsidR="003A496B" w:rsidRPr="007B4961">
        <w:rPr>
          <w:rFonts w:cs="Arial"/>
          <w:b/>
          <w:szCs w:val="22"/>
        </w:rPr>
        <w:t>cinco</w:t>
      </w:r>
      <w:r w:rsidR="00447A0A" w:rsidRPr="007B4961">
        <w:rPr>
          <w:rFonts w:cs="Arial"/>
          <w:b/>
          <w:szCs w:val="22"/>
        </w:rPr>
        <w:t xml:space="preserve"> de </w:t>
      </w:r>
      <w:r w:rsidR="00536AEC" w:rsidRPr="007B4961">
        <w:rPr>
          <w:rFonts w:cs="Arial"/>
          <w:b/>
          <w:szCs w:val="22"/>
        </w:rPr>
        <w:t>noviembre</w:t>
      </w:r>
      <w:r w:rsidR="002F13C2" w:rsidRPr="007B4961">
        <w:rPr>
          <w:rFonts w:cs="Arial"/>
          <w:b/>
          <w:szCs w:val="22"/>
        </w:rPr>
        <w:t xml:space="preserve"> </w:t>
      </w:r>
      <w:r w:rsidRPr="007B4961">
        <w:rPr>
          <w:rFonts w:eastAsia="Palatino Linotype" w:cs="Palatino Linotype"/>
          <w:b/>
          <w:szCs w:val="22"/>
        </w:rPr>
        <w:t xml:space="preserve">de dos mil </w:t>
      </w:r>
      <w:r w:rsidR="004A4FD1" w:rsidRPr="007B4961">
        <w:rPr>
          <w:rFonts w:eastAsia="Palatino Linotype" w:cs="Palatino Linotype"/>
          <w:b/>
          <w:szCs w:val="22"/>
        </w:rPr>
        <w:t>veinticuatro</w:t>
      </w:r>
      <w:r w:rsidRPr="007B4961">
        <w:rPr>
          <w:rFonts w:cs="Arial"/>
          <w:szCs w:val="22"/>
        </w:rPr>
        <w:t xml:space="preserve"> se acordó la admisión a trámite de</w:t>
      </w:r>
      <w:r w:rsidR="008E0766" w:rsidRPr="007B4961">
        <w:rPr>
          <w:rFonts w:cs="Arial"/>
          <w:szCs w:val="22"/>
        </w:rPr>
        <w:t xml:space="preserve"> </w:t>
      </w:r>
      <w:r w:rsidRPr="007B4961">
        <w:rPr>
          <w:rFonts w:cs="Arial"/>
          <w:szCs w:val="22"/>
        </w:rPr>
        <w:t>l</w:t>
      </w:r>
      <w:r w:rsidR="008E0766" w:rsidRPr="007B4961">
        <w:rPr>
          <w:rFonts w:cs="Arial"/>
          <w:szCs w:val="22"/>
        </w:rPr>
        <w:t>os</w:t>
      </w:r>
      <w:r w:rsidRPr="007B4961">
        <w:rPr>
          <w:rFonts w:cs="Arial"/>
          <w:szCs w:val="22"/>
        </w:rPr>
        <w:t xml:space="preserve"> Recurso</w:t>
      </w:r>
      <w:r w:rsidR="008E0766" w:rsidRPr="007B4961">
        <w:rPr>
          <w:rFonts w:cs="Arial"/>
          <w:szCs w:val="22"/>
        </w:rPr>
        <w:t>s de Revisión y se integraron</w:t>
      </w:r>
      <w:r w:rsidRPr="007B4961">
        <w:rPr>
          <w:rFonts w:cs="Arial"/>
          <w:szCs w:val="22"/>
        </w:rPr>
        <w:t xml:space="preserve"> </w:t>
      </w:r>
      <w:r w:rsidR="008E0766" w:rsidRPr="007B4961">
        <w:rPr>
          <w:rFonts w:cs="Arial"/>
          <w:szCs w:val="22"/>
        </w:rPr>
        <w:t>los</w:t>
      </w:r>
      <w:r w:rsidRPr="007B4961">
        <w:rPr>
          <w:rFonts w:cs="Arial"/>
          <w:szCs w:val="22"/>
        </w:rPr>
        <w:t xml:space="preserve"> expediente</w:t>
      </w:r>
      <w:r w:rsidR="008E0766" w:rsidRPr="007B4961">
        <w:rPr>
          <w:rFonts w:cs="Arial"/>
          <w:szCs w:val="22"/>
        </w:rPr>
        <w:t>s</w:t>
      </w:r>
      <w:r w:rsidRPr="007B4961">
        <w:rPr>
          <w:rFonts w:cs="Arial"/>
          <w:szCs w:val="22"/>
        </w:rPr>
        <w:t xml:space="preserve"> respectivo</w:t>
      </w:r>
      <w:r w:rsidR="008E0766" w:rsidRPr="007B4961">
        <w:rPr>
          <w:rFonts w:cs="Arial"/>
          <w:szCs w:val="22"/>
        </w:rPr>
        <w:t>s</w:t>
      </w:r>
      <w:r w:rsidRPr="007B4961">
        <w:rPr>
          <w:rFonts w:cs="Arial"/>
          <w:szCs w:val="22"/>
        </w:rPr>
        <w:t>, mismo</w:t>
      </w:r>
      <w:r w:rsidR="008E0766" w:rsidRPr="007B4961">
        <w:rPr>
          <w:rFonts w:cs="Arial"/>
          <w:szCs w:val="22"/>
        </w:rPr>
        <w:t>s que se pusieron</w:t>
      </w:r>
      <w:r w:rsidRPr="007B4961">
        <w:rPr>
          <w:rFonts w:cs="Arial"/>
          <w:szCs w:val="22"/>
        </w:rPr>
        <w:t xml:space="preserve"> a disposición de las partes para que, en un plazo de siete días hábiles, manifestaran lo que a su derecho conviniera, conforme a lo dispuesto por el artículo 185</w:t>
      </w:r>
      <w:r w:rsidR="00865CF4" w:rsidRPr="007B4961">
        <w:rPr>
          <w:rFonts w:cs="Arial"/>
          <w:szCs w:val="22"/>
        </w:rPr>
        <w:t>, fracción II</w:t>
      </w:r>
      <w:r w:rsidRPr="007B4961">
        <w:rPr>
          <w:rFonts w:cs="Arial"/>
          <w:szCs w:val="22"/>
        </w:rPr>
        <w:t xml:space="preserve"> de la Ley de Transparencia y Acceso a la Información Pública del Estado de México y Municipios.</w:t>
      </w:r>
    </w:p>
    <w:p w14:paraId="5D754FCA" w14:textId="77777777" w:rsidR="00536AEC" w:rsidRPr="007B4961" w:rsidRDefault="00536AEC" w:rsidP="007B4961">
      <w:pPr>
        <w:rPr>
          <w:rFonts w:cs="Arial"/>
          <w:szCs w:val="22"/>
        </w:rPr>
      </w:pPr>
    </w:p>
    <w:p w14:paraId="35752286" w14:textId="0DEFFE45" w:rsidR="00DB1C09" w:rsidRPr="007B4961" w:rsidRDefault="00A57230" w:rsidP="007B4961">
      <w:pPr>
        <w:pStyle w:val="Ttulo3"/>
        <w:rPr>
          <w:szCs w:val="22"/>
        </w:rPr>
      </w:pPr>
      <w:bookmarkStart w:id="12" w:name="_Toc184225337"/>
      <w:r w:rsidRPr="007B4961">
        <w:rPr>
          <w:szCs w:val="22"/>
        </w:rPr>
        <w:t>d</w:t>
      </w:r>
      <w:r w:rsidR="00664420" w:rsidRPr="007B4961">
        <w:rPr>
          <w:szCs w:val="22"/>
        </w:rPr>
        <w:t xml:space="preserve">) </w:t>
      </w:r>
      <w:r w:rsidR="00A1405A" w:rsidRPr="007B4961">
        <w:rPr>
          <w:szCs w:val="22"/>
        </w:rPr>
        <w:t>Manifestaciones</w:t>
      </w:r>
      <w:r w:rsidR="00865CF4" w:rsidRPr="007B4961">
        <w:rPr>
          <w:szCs w:val="22"/>
        </w:rPr>
        <w:t xml:space="preserve"> del Sujeto Obligado</w:t>
      </w:r>
      <w:r w:rsidR="004A4FD1" w:rsidRPr="007B4961">
        <w:rPr>
          <w:szCs w:val="22"/>
        </w:rPr>
        <w:t>.</w:t>
      </w:r>
      <w:bookmarkEnd w:id="12"/>
    </w:p>
    <w:p w14:paraId="045E2F6E" w14:textId="06C7FCDD" w:rsidR="00536AEC" w:rsidRPr="007B4961" w:rsidRDefault="00536AEC" w:rsidP="007B4961">
      <w:r w:rsidRPr="007B4961">
        <w:t xml:space="preserve">El </w:t>
      </w:r>
      <w:r w:rsidRPr="007B4961">
        <w:rPr>
          <w:b/>
        </w:rPr>
        <w:t>once de noviembre de dos mil veinticuatro EL SUJETO OBLIGADO</w:t>
      </w:r>
      <w:r w:rsidRPr="007B4961">
        <w:t xml:space="preserve"> remitió conforme a su derecho los archivos digitales que a continuación se describen:</w:t>
      </w:r>
    </w:p>
    <w:p w14:paraId="1125995A" w14:textId="77777777" w:rsidR="00447A0A" w:rsidRPr="007B4961" w:rsidRDefault="00447A0A" w:rsidP="007B4961"/>
    <w:p w14:paraId="7CC99D81" w14:textId="2CCF2FBF" w:rsidR="00536AEC" w:rsidRPr="007B4961" w:rsidRDefault="00536AEC" w:rsidP="007B4961">
      <w:pPr>
        <w:pStyle w:val="Prrafodelista"/>
        <w:numPr>
          <w:ilvl w:val="0"/>
          <w:numId w:val="5"/>
        </w:numPr>
      </w:pPr>
      <w:r w:rsidRPr="007B4961">
        <w:rPr>
          <w:b/>
          <w:i/>
        </w:rPr>
        <w:t>“ALEGATOS 6927 Y 6928.pdf”</w:t>
      </w:r>
      <w:r w:rsidRPr="007B4961">
        <w:t>: documento constante de 3 fojas útiles, que contiene el oficio número DGA/SPAI/1985/11/2024, suscrito por la Directora General de Administración, por medio del cual exhibe sus alegatos en atención a los recursos de revisión 06927/INFOEM/IP/RR/2024 y   06928/INFOEM/IP/RR/2024, manifestando que a través del enlace electrónico https://drive.google.com/file/d/1djelwM0T-</w:t>
      </w:r>
      <w:r w:rsidRPr="007B4961">
        <w:lastRenderedPageBreak/>
        <w:t xml:space="preserve">uQOhVW2vPIqKAjSgxIvbv3U/view, se remitió en versión pública la información solicitada, ratificando así su respuesta primigenia. </w:t>
      </w:r>
    </w:p>
    <w:p w14:paraId="5DAC5E24" w14:textId="77777777" w:rsidR="00536AEC" w:rsidRPr="007B4961" w:rsidRDefault="00536AEC" w:rsidP="007B4961"/>
    <w:p w14:paraId="38A13487" w14:textId="13E063C3" w:rsidR="00447A0A" w:rsidRPr="007B4961" w:rsidRDefault="00536AEC" w:rsidP="007B4961">
      <w:pPr>
        <w:pStyle w:val="Prrafodelista"/>
        <w:numPr>
          <w:ilvl w:val="0"/>
          <w:numId w:val="5"/>
        </w:numPr>
      </w:pPr>
      <w:proofErr w:type="spellStart"/>
      <w:r w:rsidRPr="007B4961">
        <w:rPr>
          <w:b/>
          <w:i/>
        </w:rPr>
        <w:t>Inf</w:t>
      </w:r>
      <w:proofErr w:type="spellEnd"/>
      <w:r w:rsidRPr="007B4961">
        <w:rPr>
          <w:b/>
          <w:i/>
        </w:rPr>
        <w:t>. Justificado 6928_24.pdf”</w:t>
      </w:r>
      <w:r w:rsidRPr="007B4961">
        <w:t>: documento constante de 2 fojas útiles, que contiene el informe justificado del Titular de la Unidad de Transparencia, por el que señala que, se dio seguimiento y trámite ante las unidades administrativas competentes, así como la entrega de la información en tiempo y forma al solicitante; asimismo indicó que, la Dirección General de Administración emitió sus manifestaciones a través del oficio DGA/SPAI/1985/11/2024.</w:t>
      </w:r>
    </w:p>
    <w:p w14:paraId="441DC89F" w14:textId="77777777" w:rsidR="00A1405A" w:rsidRPr="007B4961" w:rsidRDefault="00A1405A" w:rsidP="007B4961">
      <w:pPr>
        <w:ind w:right="539"/>
        <w:rPr>
          <w:rFonts w:cs="Tahoma"/>
          <w:bCs/>
          <w:szCs w:val="22"/>
        </w:rPr>
      </w:pPr>
    </w:p>
    <w:p w14:paraId="412C8C8D" w14:textId="5E449B0A" w:rsidR="00251367" w:rsidRPr="007B4961" w:rsidRDefault="00251367" w:rsidP="007B4961">
      <w:pPr>
        <w:rPr>
          <w:rFonts w:cs="Tahoma"/>
          <w:bCs/>
          <w:szCs w:val="24"/>
        </w:rPr>
      </w:pPr>
      <w:r w:rsidRPr="007B4961">
        <w:rPr>
          <w:rFonts w:cs="Tahoma"/>
          <w:bCs/>
          <w:szCs w:val="24"/>
        </w:rPr>
        <w:t xml:space="preserve">Esta información fue puesta a la vista de </w:t>
      </w:r>
      <w:r w:rsidRPr="007B4961">
        <w:rPr>
          <w:rFonts w:cs="Tahoma"/>
          <w:b/>
          <w:szCs w:val="24"/>
        </w:rPr>
        <w:t xml:space="preserve">LA PARTE RECURRENTE </w:t>
      </w:r>
      <w:r w:rsidRPr="007B4961">
        <w:rPr>
          <w:rFonts w:cs="Tahoma"/>
          <w:bCs/>
          <w:szCs w:val="24"/>
        </w:rPr>
        <w:t xml:space="preserve">el </w:t>
      </w:r>
      <w:r w:rsidRPr="007B4961">
        <w:rPr>
          <w:rFonts w:cs="Tahoma"/>
          <w:b/>
          <w:szCs w:val="24"/>
        </w:rPr>
        <w:t>veintiséis de noviembre de dos mil veinticuatro</w:t>
      </w:r>
      <w:r w:rsidRPr="007B4961">
        <w:rPr>
          <w:rFonts w:cs="Tahoma"/>
          <w:bCs/>
          <w:szCs w:val="24"/>
        </w:rPr>
        <w:t xml:space="preserve"> para que, en un plazo de tres días hábiles, manifestara lo que a su derecho conviniera, de conformidad con lo establecido en el </w:t>
      </w:r>
      <w:r w:rsidRPr="007B4961">
        <w:rPr>
          <w:rFonts w:cs="Arial"/>
        </w:rPr>
        <w:t>artículo 185, fracción III de la Ley de Transparencia y Acceso a la Información Pública del Estado de México y Municipios</w:t>
      </w:r>
      <w:r w:rsidRPr="007B4961">
        <w:rPr>
          <w:rFonts w:cs="Tahoma"/>
          <w:bCs/>
          <w:szCs w:val="24"/>
        </w:rPr>
        <w:t>.</w:t>
      </w:r>
    </w:p>
    <w:p w14:paraId="0004548E" w14:textId="77777777" w:rsidR="00251367" w:rsidRPr="007B4961" w:rsidRDefault="00251367" w:rsidP="007B4961">
      <w:pPr>
        <w:ind w:right="539"/>
        <w:rPr>
          <w:rFonts w:cs="Tahoma"/>
          <w:bCs/>
          <w:szCs w:val="22"/>
        </w:rPr>
      </w:pPr>
    </w:p>
    <w:p w14:paraId="755B7730" w14:textId="22EAC55C" w:rsidR="00664420" w:rsidRPr="007B4961" w:rsidRDefault="00213142" w:rsidP="007B4961">
      <w:pPr>
        <w:pStyle w:val="Ttulo3"/>
        <w:rPr>
          <w:szCs w:val="22"/>
          <w:lang w:val="es-ES"/>
        </w:rPr>
      </w:pPr>
      <w:bookmarkStart w:id="13" w:name="_Toc184225338"/>
      <w:r w:rsidRPr="007B4961">
        <w:rPr>
          <w:rFonts w:eastAsia="Calibri"/>
          <w:bCs/>
          <w:szCs w:val="22"/>
          <w:lang w:eastAsia="en-US"/>
        </w:rPr>
        <w:t>e</w:t>
      </w:r>
      <w:r w:rsidR="00664420" w:rsidRPr="007B4961">
        <w:rPr>
          <w:rFonts w:eastAsia="Calibri"/>
          <w:bCs/>
          <w:szCs w:val="22"/>
          <w:lang w:eastAsia="en-US"/>
        </w:rPr>
        <w:t>)</w:t>
      </w:r>
      <w:r w:rsidR="00664420" w:rsidRPr="007B4961">
        <w:rPr>
          <w:szCs w:val="22"/>
        </w:rPr>
        <w:t xml:space="preserve"> </w:t>
      </w:r>
      <w:r w:rsidR="00865CF4" w:rsidRPr="007B4961">
        <w:rPr>
          <w:szCs w:val="22"/>
          <w:lang w:val="es-ES"/>
        </w:rPr>
        <w:t>Manifestaciones de la Parte Recurrente</w:t>
      </w:r>
      <w:r w:rsidR="00A1405A" w:rsidRPr="007B4961">
        <w:rPr>
          <w:szCs w:val="22"/>
          <w:lang w:val="es-ES"/>
        </w:rPr>
        <w:t>.</w:t>
      </w:r>
      <w:bookmarkEnd w:id="13"/>
    </w:p>
    <w:p w14:paraId="4E8AF011" w14:textId="15C1F5A7" w:rsidR="00865CF4" w:rsidRPr="007B4961" w:rsidRDefault="00865CF4" w:rsidP="007B4961">
      <w:pPr>
        <w:rPr>
          <w:rFonts w:eastAsia="Arial Unicode MS" w:cs="Arial"/>
          <w:szCs w:val="22"/>
        </w:rPr>
      </w:pPr>
      <w:r w:rsidRPr="007B4961">
        <w:rPr>
          <w:rFonts w:cs="Tahoma"/>
          <w:b/>
          <w:szCs w:val="22"/>
        </w:rPr>
        <w:t xml:space="preserve">LA PARTE RECURRENTE </w:t>
      </w:r>
      <w:r w:rsidR="00015208" w:rsidRPr="007B4961">
        <w:rPr>
          <w:rFonts w:eastAsia="Arial Unicode MS" w:cs="Arial"/>
          <w:szCs w:val="22"/>
        </w:rPr>
        <w:t>no realizó manifestacio</w:t>
      </w:r>
      <w:r w:rsidRPr="007B4961">
        <w:rPr>
          <w:rFonts w:eastAsia="Arial Unicode MS" w:cs="Arial"/>
          <w:szCs w:val="22"/>
        </w:rPr>
        <w:t>n</w:t>
      </w:r>
      <w:r w:rsidR="00015208" w:rsidRPr="007B4961">
        <w:rPr>
          <w:rFonts w:eastAsia="Arial Unicode MS" w:cs="Arial"/>
          <w:szCs w:val="22"/>
        </w:rPr>
        <w:t>es</w:t>
      </w:r>
      <w:r w:rsidRPr="007B4961">
        <w:rPr>
          <w:rFonts w:eastAsia="Arial Unicode MS" w:cs="Arial"/>
          <w:szCs w:val="22"/>
        </w:rPr>
        <w:t xml:space="preserve"> dentro del término legalmente concedido para tal efecto, ni presentó pruebas o alegatos.</w:t>
      </w:r>
    </w:p>
    <w:p w14:paraId="6923684C" w14:textId="77777777" w:rsidR="00664420" w:rsidRPr="007B4961" w:rsidRDefault="00664420" w:rsidP="007B4961">
      <w:pPr>
        <w:rPr>
          <w:rFonts w:cs="Tahoma"/>
          <w:szCs w:val="22"/>
        </w:rPr>
      </w:pPr>
    </w:p>
    <w:p w14:paraId="1A46D23C" w14:textId="23A21445" w:rsidR="008E0766" w:rsidRPr="007B4961" w:rsidRDefault="00543E56" w:rsidP="007B4961">
      <w:pPr>
        <w:pStyle w:val="Ttulo3"/>
        <w:rPr>
          <w:szCs w:val="22"/>
        </w:rPr>
      </w:pPr>
      <w:bookmarkStart w:id="14" w:name="_Toc174008765"/>
      <w:bookmarkStart w:id="15" w:name="_Toc184225339"/>
      <w:r w:rsidRPr="007B4961">
        <w:rPr>
          <w:szCs w:val="22"/>
        </w:rPr>
        <w:t>f</w:t>
      </w:r>
      <w:r w:rsidR="008E0766" w:rsidRPr="007B4961">
        <w:rPr>
          <w:szCs w:val="22"/>
        </w:rPr>
        <w:t>) Acumulación de los Recursos de Revisión</w:t>
      </w:r>
      <w:bookmarkEnd w:id="14"/>
      <w:r w:rsidR="00A1405A" w:rsidRPr="007B4961">
        <w:rPr>
          <w:szCs w:val="22"/>
        </w:rPr>
        <w:t>.</w:t>
      </w:r>
      <w:bookmarkEnd w:id="15"/>
    </w:p>
    <w:p w14:paraId="64F9559F" w14:textId="042443AB" w:rsidR="008E0766" w:rsidRPr="007B4961" w:rsidRDefault="008E0766" w:rsidP="007B4961">
      <w:pPr>
        <w:ind w:left="-57"/>
        <w:rPr>
          <w:rFonts w:cs="Tahoma"/>
          <w:b/>
          <w:bCs/>
          <w:szCs w:val="22"/>
        </w:rPr>
      </w:pPr>
      <w:bookmarkStart w:id="16" w:name="_heading=h.3rdcrjn" w:colFirst="0" w:colLast="0"/>
      <w:bookmarkEnd w:id="16"/>
      <w:r w:rsidRPr="007B4961">
        <w:rPr>
          <w:szCs w:val="22"/>
        </w:rPr>
        <w:t xml:space="preserve">Por economía procesal y con la finalidad de evitar </w:t>
      </w:r>
      <w:r w:rsidR="000E03AE" w:rsidRPr="007B4961">
        <w:rPr>
          <w:szCs w:val="22"/>
        </w:rPr>
        <w:t xml:space="preserve">resolución contradictoria, en la </w:t>
      </w:r>
      <w:r w:rsidR="00536AEC" w:rsidRPr="007B4961">
        <w:rPr>
          <w:b/>
          <w:szCs w:val="22"/>
        </w:rPr>
        <w:t>Trigésima Novena</w:t>
      </w:r>
      <w:r w:rsidR="00BD792E" w:rsidRPr="007B4961">
        <w:rPr>
          <w:b/>
          <w:szCs w:val="22"/>
        </w:rPr>
        <w:t xml:space="preserve"> </w:t>
      </w:r>
      <w:r w:rsidR="000E03AE" w:rsidRPr="007B4961">
        <w:rPr>
          <w:b/>
          <w:szCs w:val="22"/>
        </w:rPr>
        <w:t>Sesión Ordinaria</w:t>
      </w:r>
      <w:r w:rsidR="000E03AE" w:rsidRPr="007B4961">
        <w:rPr>
          <w:szCs w:val="22"/>
        </w:rPr>
        <w:t>, celebrada</w:t>
      </w:r>
      <w:r w:rsidRPr="007B4961">
        <w:rPr>
          <w:szCs w:val="22"/>
        </w:rPr>
        <w:t xml:space="preserve"> el</w:t>
      </w:r>
      <w:r w:rsidRPr="007B4961">
        <w:rPr>
          <w:b/>
          <w:szCs w:val="22"/>
        </w:rPr>
        <w:t xml:space="preserve"> </w:t>
      </w:r>
      <w:r w:rsidR="00536AEC" w:rsidRPr="007B4961">
        <w:rPr>
          <w:b/>
          <w:szCs w:val="22"/>
        </w:rPr>
        <w:t xml:space="preserve">trece </w:t>
      </w:r>
      <w:r w:rsidR="00FD1DDB" w:rsidRPr="007B4961">
        <w:rPr>
          <w:b/>
          <w:szCs w:val="22"/>
        </w:rPr>
        <w:t xml:space="preserve">de </w:t>
      </w:r>
      <w:r w:rsidR="00536AEC" w:rsidRPr="007B4961">
        <w:rPr>
          <w:b/>
          <w:szCs w:val="22"/>
        </w:rPr>
        <w:t>noviembre</w:t>
      </w:r>
      <w:r w:rsidR="00FD1DDB" w:rsidRPr="007B4961">
        <w:rPr>
          <w:b/>
          <w:szCs w:val="22"/>
        </w:rPr>
        <w:t xml:space="preserve"> de dos mil veinticuatro, </w:t>
      </w:r>
      <w:r w:rsidRPr="007B4961">
        <w:rPr>
          <w:szCs w:val="22"/>
        </w:rPr>
        <w:t>el Pleno de este Instituto determinó acumular los Recursos de Revisión</w:t>
      </w:r>
      <w:r w:rsidRPr="007B4961">
        <w:rPr>
          <w:b/>
          <w:szCs w:val="22"/>
        </w:rPr>
        <w:t xml:space="preserve"> </w:t>
      </w:r>
      <w:r w:rsidR="00536AEC" w:rsidRPr="007B4961">
        <w:rPr>
          <w:rFonts w:cs="Tahoma"/>
          <w:b/>
          <w:bCs/>
          <w:szCs w:val="22"/>
        </w:rPr>
        <w:t>06927/INFOEM/IP/RR/2024 y 06928</w:t>
      </w:r>
      <w:r w:rsidR="00CE5E92" w:rsidRPr="007B4961">
        <w:rPr>
          <w:rFonts w:cs="Tahoma"/>
          <w:b/>
          <w:bCs/>
          <w:szCs w:val="22"/>
        </w:rPr>
        <w:t>/INFOEM/IP/RR/2024</w:t>
      </w:r>
      <w:r w:rsidRPr="007B4961">
        <w:rPr>
          <w:rFonts w:cs="Tahoma"/>
          <w:b/>
          <w:bCs/>
          <w:szCs w:val="22"/>
        </w:rPr>
        <w:t>.</w:t>
      </w:r>
    </w:p>
    <w:p w14:paraId="0E651988" w14:textId="6BF86F9D" w:rsidR="00664420" w:rsidRPr="007B4961" w:rsidRDefault="00EB262C" w:rsidP="007B4961">
      <w:pPr>
        <w:pStyle w:val="Ttulo3"/>
        <w:rPr>
          <w:szCs w:val="22"/>
        </w:rPr>
      </w:pPr>
      <w:bookmarkStart w:id="17" w:name="_Toc184225340"/>
      <w:r w:rsidRPr="007B4961">
        <w:rPr>
          <w:szCs w:val="22"/>
        </w:rPr>
        <w:lastRenderedPageBreak/>
        <w:t>h</w:t>
      </w:r>
      <w:r w:rsidR="00664420" w:rsidRPr="007B4961">
        <w:rPr>
          <w:szCs w:val="22"/>
        </w:rPr>
        <w:t>) Cierre</w:t>
      </w:r>
      <w:r w:rsidR="008E0766" w:rsidRPr="007B4961">
        <w:rPr>
          <w:szCs w:val="22"/>
        </w:rPr>
        <w:t>s</w:t>
      </w:r>
      <w:r w:rsidR="00664420" w:rsidRPr="007B4961">
        <w:rPr>
          <w:szCs w:val="22"/>
        </w:rPr>
        <w:t xml:space="preserve"> de instrucción</w:t>
      </w:r>
      <w:r w:rsidR="006F1FEE" w:rsidRPr="007B4961">
        <w:rPr>
          <w:szCs w:val="22"/>
        </w:rPr>
        <w:t>.</w:t>
      </w:r>
      <w:bookmarkEnd w:id="17"/>
    </w:p>
    <w:p w14:paraId="79AF95DC" w14:textId="1CAE7F6A" w:rsidR="00664420" w:rsidRPr="007B4961" w:rsidRDefault="00BF091A" w:rsidP="007B4961">
      <w:pPr>
        <w:rPr>
          <w:szCs w:val="22"/>
        </w:rPr>
      </w:pPr>
      <w:r w:rsidRPr="007B4961">
        <w:rPr>
          <w:rFonts w:cs="Tahoma"/>
          <w:szCs w:val="22"/>
        </w:rPr>
        <w:t>Al no existir diligencias pendientes por desahogar</w:t>
      </w:r>
      <w:r w:rsidRPr="007B4961">
        <w:rPr>
          <w:rFonts w:cs="Arial"/>
          <w:szCs w:val="22"/>
        </w:rPr>
        <w:t xml:space="preserve">, el </w:t>
      </w:r>
      <w:bookmarkStart w:id="18" w:name="_Hlk104892386"/>
      <w:r w:rsidR="00536AEC" w:rsidRPr="007B4961">
        <w:rPr>
          <w:rFonts w:cs="Arial"/>
          <w:b/>
          <w:szCs w:val="22"/>
        </w:rPr>
        <w:t>tres</w:t>
      </w:r>
      <w:r w:rsidR="00B86B25" w:rsidRPr="007B4961">
        <w:rPr>
          <w:rFonts w:cs="Arial"/>
          <w:b/>
          <w:szCs w:val="22"/>
        </w:rPr>
        <w:t xml:space="preserve"> de </w:t>
      </w:r>
      <w:r w:rsidR="00536AEC" w:rsidRPr="007B4961">
        <w:rPr>
          <w:rFonts w:cs="Arial"/>
          <w:b/>
          <w:szCs w:val="22"/>
        </w:rPr>
        <w:t>diciembre</w:t>
      </w:r>
      <w:r w:rsidR="00B86B25" w:rsidRPr="007B4961">
        <w:rPr>
          <w:rFonts w:cs="Arial"/>
          <w:b/>
          <w:szCs w:val="22"/>
        </w:rPr>
        <w:t xml:space="preserve"> </w:t>
      </w:r>
      <w:bookmarkEnd w:id="18"/>
      <w:r w:rsidRPr="007B4961">
        <w:rPr>
          <w:rFonts w:cs="Arial"/>
          <w:b/>
          <w:szCs w:val="22"/>
        </w:rPr>
        <w:t xml:space="preserve">de dos mil </w:t>
      </w:r>
      <w:r w:rsidR="001B777A" w:rsidRPr="007B4961">
        <w:rPr>
          <w:rFonts w:cs="Arial"/>
          <w:b/>
          <w:szCs w:val="22"/>
        </w:rPr>
        <w:t>veinticuatro</w:t>
      </w:r>
      <w:r w:rsidRPr="007B4961">
        <w:rPr>
          <w:rFonts w:cs="Arial"/>
          <w:szCs w:val="22"/>
        </w:rPr>
        <w:t xml:space="preserve"> la </w:t>
      </w:r>
      <w:r w:rsidRPr="007B4961">
        <w:rPr>
          <w:rFonts w:cs="Arial"/>
          <w:b/>
          <w:bCs/>
          <w:szCs w:val="22"/>
        </w:rPr>
        <w:t xml:space="preserve">Comisionada </w:t>
      </w:r>
      <w:r w:rsidRPr="007B4961">
        <w:rPr>
          <w:b/>
          <w:szCs w:val="22"/>
        </w:rPr>
        <w:t xml:space="preserve">Sharon Cristina Morales Martínez </w:t>
      </w:r>
      <w:r w:rsidRPr="007B4961">
        <w:rPr>
          <w:rFonts w:cs="Arial"/>
          <w:szCs w:val="22"/>
        </w:rPr>
        <w:t>acordó el cierre de instrucción</w:t>
      </w:r>
      <w:r w:rsidR="0011350D" w:rsidRPr="007B4961">
        <w:rPr>
          <w:rFonts w:cs="Arial"/>
          <w:szCs w:val="22"/>
        </w:rPr>
        <w:t xml:space="preserve"> y</w:t>
      </w:r>
      <w:r w:rsidRPr="007B4961">
        <w:rPr>
          <w:rFonts w:cs="Arial"/>
          <w:szCs w:val="22"/>
        </w:rPr>
        <w:t xml:space="preserve"> </w:t>
      </w:r>
      <w:r w:rsidR="0011350D" w:rsidRPr="007B4961">
        <w:rPr>
          <w:rFonts w:cs="Arial"/>
          <w:szCs w:val="22"/>
        </w:rPr>
        <w:t xml:space="preserve">la </w:t>
      </w:r>
      <w:r w:rsidRPr="007B4961">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7B4961">
        <w:rPr>
          <w:szCs w:val="22"/>
        </w:rPr>
        <w:t>.</w:t>
      </w:r>
      <w:r w:rsidR="0011350D" w:rsidRPr="007B4961">
        <w:rPr>
          <w:szCs w:val="22"/>
        </w:rPr>
        <w:t xml:space="preserve"> Dicho acuerdo </w:t>
      </w:r>
      <w:r w:rsidR="00664420" w:rsidRPr="007B4961">
        <w:rPr>
          <w:rFonts w:cs="Tahoma"/>
          <w:szCs w:val="22"/>
        </w:rPr>
        <w:t xml:space="preserve">fue notificado a las partes el mismo día a través del </w:t>
      </w:r>
      <w:r w:rsidR="00664420" w:rsidRPr="007B4961">
        <w:rPr>
          <w:rFonts w:cs="Tahoma"/>
          <w:szCs w:val="22"/>
          <w:lang w:val="es-ES"/>
        </w:rPr>
        <w:t>SAIMEX</w:t>
      </w:r>
      <w:r w:rsidR="00664420" w:rsidRPr="007B4961">
        <w:rPr>
          <w:rFonts w:cs="Tahoma"/>
          <w:szCs w:val="22"/>
        </w:rPr>
        <w:t>.</w:t>
      </w:r>
    </w:p>
    <w:p w14:paraId="741683E3" w14:textId="77777777" w:rsidR="0011350D" w:rsidRPr="007B4961" w:rsidRDefault="0011350D" w:rsidP="007B4961">
      <w:pPr>
        <w:rPr>
          <w:rFonts w:cs="Tahoma"/>
          <w:szCs w:val="22"/>
        </w:rPr>
      </w:pPr>
    </w:p>
    <w:p w14:paraId="7A9629DE" w14:textId="77777777" w:rsidR="00664420" w:rsidRPr="007B4961" w:rsidRDefault="00664420" w:rsidP="007B4961">
      <w:pPr>
        <w:pStyle w:val="Ttulo1"/>
        <w:rPr>
          <w:rFonts w:eastAsiaTheme="minorHAnsi"/>
          <w:szCs w:val="22"/>
          <w:lang w:eastAsia="en-US"/>
        </w:rPr>
      </w:pPr>
      <w:bookmarkStart w:id="19" w:name="_Toc184225341"/>
      <w:r w:rsidRPr="007B4961">
        <w:rPr>
          <w:rFonts w:eastAsiaTheme="minorHAnsi"/>
          <w:szCs w:val="22"/>
          <w:lang w:eastAsia="en-US"/>
        </w:rPr>
        <w:t>CONSIDERANDOS</w:t>
      </w:r>
      <w:bookmarkEnd w:id="19"/>
    </w:p>
    <w:p w14:paraId="6DD1243B" w14:textId="77777777" w:rsidR="00664420" w:rsidRPr="007B4961" w:rsidRDefault="00664420" w:rsidP="007B4961">
      <w:pPr>
        <w:contextualSpacing/>
        <w:jc w:val="center"/>
        <w:rPr>
          <w:rFonts w:eastAsiaTheme="minorHAnsi" w:cs="Tahoma"/>
          <w:b/>
          <w:szCs w:val="22"/>
          <w:lang w:eastAsia="en-US"/>
        </w:rPr>
      </w:pPr>
    </w:p>
    <w:p w14:paraId="0B67CB92" w14:textId="2E307D3B" w:rsidR="00664420" w:rsidRPr="007B4961" w:rsidRDefault="00664420" w:rsidP="007B4961">
      <w:pPr>
        <w:pStyle w:val="Ttulo2"/>
        <w:rPr>
          <w:rFonts w:eastAsia="Batang"/>
          <w:szCs w:val="22"/>
        </w:rPr>
      </w:pPr>
      <w:bookmarkStart w:id="20" w:name="_Toc184225342"/>
      <w:r w:rsidRPr="007B4961">
        <w:rPr>
          <w:rFonts w:eastAsia="Batang"/>
          <w:szCs w:val="22"/>
        </w:rPr>
        <w:t xml:space="preserve">PRIMERO. </w:t>
      </w:r>
      <w:r w:rsidR="00BA55A8" w:rsidRPr="007B4961">
        <w:rPr>
          <w:rFonts w:eastAsia="Batang"/>
          <w:szCs w:val="22"/>
        </w:rPr>
        <w:t>Procedibilidad</w:t>
      </w:r>
      <w:bookmarkEnd w:id="20"/>
    </w:p>
    <w:p w14:paraId="39C52BC1" w14:textId="27B89A70" w:rsidR="00BA55A8" w:rsidRPr="007B4961" w:rsidRDefault="00BA55A8" w:rsidP="007B4961">
      <w:pPr>
        <w:pStyle w:val="Ttulo3"/>
        <w:rPr>
          <w:szCs w:val="22"/>
        </w:rPr>
      </w:pPr>
      <w:bookmarkStart w:id="21" w:name="_Toc184225343"/>
      <w:r w:rsidRPr="007B4961">
        <w:rPr>
          <w:szCs w:val="22"/>
        </w:rPr>
        <w:t>a) Competencia</w:t>
      </w:r>
      <w:r w:rsidR="00150C49" w:rsidRPr="007B4961">
        <w:rPr>
          <w:szCs w:val="22"/>
        </w:rPr>
        <w:t xml:space="preserve"> del Instituto</w:t>
      </w:r>
      <w:r w:rsidR="001B777A" w:rsidRPr="007B4961">
        <w:rPr>
          <w:szCs w:val="22"/>
        </w:rPr>
        <w:t>.</w:t>
      </w:r>
      <w:bookmarkEnd w:id="21"/>
    </w:p>
    <w:p w14:paraId="56E64942" w14:textId="6572EDF7" w:rsidR="0011350D" w:rsidRPr="007B4961" w:rsidRDefault="0011350D" w:rsidP="007B4961">
      <w:pPr>
        <w:rPr>
          <w:rFonts w:cs="Arial"/>
          <w:szCs w:val="22"/>
        </w:rPr>
      </w:pPr>
      <w:r w:rsidRPr="007B4961">
        <w:rPr>
          <w:szCs w:val="22"/>
        </w:rPr>
        <w:t xml:space="preserve">Este Instituto de Transparencia, Acceso a la Información Pública y Protección de Datos Personales del Estado de México y Municipios es competente para conocer y resolver </w:t>
      </w:r>
      <w:r w:rsidR="005F65B7" w:rsidRPr="007B4961">
        <w:rPr>
          <w:szCs w:val="22"/>
        </w:rPr>
        <w:t xml:space="preserve">el </w:t>
      </w:r>
      <w:r w:rsidRPr="007B4961">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B4961">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7B4961" w:rsidRDefault="00DB1C09" w:rsidP="007B4961">
      <w:pPr>
        <w:rPr>
          <w:rFonts w:cs="Arial"/>
          <w:szCs w:val="22"/>
        </w:rPr>
      </w:pPr>
    </w:p>
    <w:p w14:paraId="517A2DD6" w14:textId="18BD0D6C" w:rsidR="00664420" w:rsidRPr="007B4961" w:rsidRDefault="00BA55A8" w:rsidP="007B4961">
      <w:pPr>
        <w:pStyle w:val="Ttulo3"/>
        <w:rPr>
          <w:szCs w:val="22"/>
        </w:rPr>
      </w:pPr>
      <w:bookmarkStart w:id="22" w:name="_Toc184225344"/>
      <w:r w:rsidRPr="007B4961">
        <w:rPr>
          <w:szCs w:val="22"/>
        </w:rPr>
        <w:lastRenderedPageBreak/>
        <w:t>b)</w:t>
      </w:r>
      <w:r w:rsidR="00664420" w:rsidRPr="007B4961">
        <w:rPr>
          <w:szCs w:val="22"/>
        </w:rPr>
        <w:t xml:space="preserve"> </w:t>
      </w:r>
      <w:r w:rsidR="00D91CB4" w:rsidRPr="007B4961">
        <w:rPr>
          <w:szCs w:val="22"/>
        </w:rPr>
        <w:t>Legitimidad</w:t>
      </w:r>
      <w:r w:rsidRPr="007B4961">
        <w:rPr>
          <w:szCs w:val="22"/>
        </w:rPr>
        <w:t xml:space="preserve"> de la parte recurrente</w:t>
      </w:r>
      <w:r w:rsidR="001B777A" w:rsidRPr="007B4961">
        <w:rPr>
          <w:szCs w:val="22"/>
        </w:rPr>
        <w:t>.</w:t>
      </w:r>
      <w:bookmarkEnd w:id="22"/>
    </w:p>
    <w:p w14:paraId="26FEA382" w14:textId="0B06695C" w:rsidR="00D91CB4" w:rsidRPr="007B4961" w:rsidRDefault="00D91CB4" w:rsidP="007B4961">
      <w:pPr>
        <w:rPr>
          <w:rFonts w:cs="Arial"/>
          <w:bCs/>
          <w:szCs w:val="22"/>
        </w:rPr>
      </w:pPr>
      <w:r w:rsidRPr="007B4961">
        <w:rPr>
          <w:rFonts w:cs="Arial"/>
          <w:bCs/>
          <w:szCs w:val="22"/>
        </w:rPr>
        <w:t>El recurso de revisión fue interpuesto por parte legítima, ya que se presentó por la misma persona que formuló la solicitud de acceso a la Información Pública,</w:t>
      </w:r>
      <w:r w:rsidRPr="007B4961">
        <w:rPr>
          <w:rFonts w:cs="Arial"/>
          <w:b/>
          <w:bCs/>
          <w:szCs w:val="22"/>
        </w:rPr>
        <w:t xml:space="preserve"> </w:t>
      </w:r>
      <w:r w:rsidRPr="007B4961">
        <w:rPr>
          <w:rFonts w:cs="Arial"/>
          <w:szCs w:val="22"/>
        </w:rPr>
        <w:t>debido a que los datos de acceso</w:t>
      </w:r>
      <w:r w:rsidRPr="007B4961">
        <w:rPr>
          <w:rFonts w:cs="Arial"/>
          <w:b/>
          <w:bCs/>
          <w:szCs w:val="22"/>
        </w:rPr>
        <w:t xml:space="preserve"> </w:t>
      </w:r>
      <w:r w:rsidRPr="007B4961">
        <w:rPr>
          <w:rFonts w:cs="Arial"/>
          <w:szCs w:val="22"/>
        </w:rPr>
        <w:t>SAIMEX</w:t>
      </w:r>
      <w:r w:rsidRPr="007B4961">
        <w:rPr>
          <w:rFonts w:eastAsia="Calibri" w:cs="Arial"/>
          <w:szCs w:val="22"/>
          <w:lang w:eastAsia="en-US"/>
        </w:rPr>
        <w:t xml:space="preserve"> son personales e irrepetibles.</w:t>
      </w:r>
    </w:p>
    <w:p w14:paraId="2C367810" w14:textId="77777777" w:rsidR="00D91CB4" w:rsidRPr="007B4961" w:rsidRDefault="00D91CB4" w:rsidP="007B4961">
      <w:pPr>
        <w:rPr>
          <w:szCs w:val="22"/>
        </w:rPr>
      </w:pPr>
    </w:p>
    <w:p w14:paraId="496490FC" w14:textId="5A4EB686" w:rsidR="00D91CB4" w:rsidRPr="007B4961" w:rsidRDefault="00BA55A8" w:rsidP="007B4961">
      <w:pPr>
        <w:pStyle w:val="Ttulo3"/>
        <w:rPr>
          <w:rFonts w:eastAsia="Calibri"/>
          <w:szCs w:val="22"/>
          <w:lang w:eastAsia="es-ES_tradnl"/>
        </w:rPr>
      </w:pPr>
      <w:bookmarkStart w:id="23" w:name="_Toc184225345"/>
      <w:r w:rsidRPr="007B4961">
        <w:rPr>
          <w:rFonts w:eastAsia="Calibri"/>
          <w:szCs w:val="22"/>
          <w:lang w:eastAsia="es-ES_tradnl"/>
        </w:rPr>
        <w:t>c)</w:t>
      </w:r>
      <w:r w:rsidR="00664420" w:rsidRPr="007B4961">
        <w:rPr>
          <w:rFonts w:eastAsia="Calibri"/>
          <w:szCs w:val="22"/>
          <w:lang w:eastAsia="es-ES_tradnl"/>
        </w:rPr>
        <w:t xml:space="preserve"> </w:t>
      </w:r>
      <w:r w:rsidR="00D91CB4" w:rsidRPr="007B4961">
        <w:rPr>
          <w:rFonts w:eastAsia="Calibri"/>
          <w:szCs w:val="22"/>
          <w:lang w:eastAsia="es-ES_tradnl"/>
        </w:rPr>
        <w:t>Plazo para interponer el recurso</w:t>
      </w:r>
      <w:r w:rsidR="001B777A" w:rsidRPr="007B4961">
        <w:rPr>
          <w:rFonts w:eastAsia="Calibri"/>
          <w:szCs w:val="22"/>
          <w:lang w:eastAsia="es-ES_tradnl"/>
        </w:rPr>
        <w:t>.</w:t>
      </w:r>
      <w:bookmarkEnd w:id="23"/>
    </w:p>
    <w:p w14:paraId="106D37EE" w14:textId="7213D5B9" w:rsidR="00D91CB4" w:rsidRPr="007B4961" w:rsidRDefault="00D91CB4" w:rsidP="007B4961">
      <w:pPr>
        <w:rPr>
          <w:rFonts w:eastAsiaTheme="minorEastAsia" w:cs="Arial"/>
          <w:szCs w:val="22"/>
          <w:lang w:val="es-ES_tradnl"/>
        </w:rPr>
      </w:pPr>
      <w:r w:rsidRPr="007B4961">
        <w:rPr>
          <w:rFonts w:cs="Arial"/>
          <w:b/>
          <w:szCs w:val="22"/>
        </w:rPr>
        <w:t>EL SUJETO OBLIGADO</w:t>
      </w:r>
      <w:r w:rsidRPr="007B4961">
        <w:rPr>
          <w:rFonts w:cs="Arial"/>
          <w:szCs w:val="22"/>
        </w:rPr>
        <w:t xml:space="preserve"> notificó la</w:t>
      </w:r>
      <w:r w:rsidR="00FC24D4" w:rsidRPr="007B4961">
        <w:rPr>
          <w:rFonts w:cs="Arial"/>
          <w:szCs w:val="22"/>
        </w:rPr>
        <w:t>s</w:t>
      </w:r>
      <w:r w:rsidRPr="007B4961">
        <w:rPr>
          <w:rFonts w:cs="Arial"/>
          <w:szCs w:val="22"/>
        </w:rPr>
        <w:t xml:space="preserve"> respuesta</w:t>
      </w:r>
      <w:r w:rsidR="00FC24D4" w:rsidRPr="007B4961">
        <w:rPr>
          <w:rFonts w:cs="Arial"/>
          <w:szCs w:val="22"/>
        </w:rPr>
        <w:t>s</w:t>
      </w:r>
      <w:r w:rsidRPr="007B4961">
        <w:rPr>
          <w:rFonts w:cs="Arial"/>
          <w:szCs w:val="22"/>
        </w:rPr>
        <w:t xml:space="preserve"> a la</w:t>
      </w:r>
      <w:r w:rsidR="00FC24D4" w:rsidRPr="007B4961">
        <w:rPr>
          <w:rFonts w:cs="Arial"/>
          <w:szCs w:val="22"/>
        </w:rPr>
        <w:t>s</w:t>
      </w:r>
      <w:r w:rsidRPr="007B4961">
        <w:rPr>
          <w:rFonts w:cs="Arial"/>
          <w:szCs w:val="22"/>
        </w:rPr>
        <w:t xml:space="preserve"> solicitud</w:t>
      </w:r>
      <w:r w:rsidR="00FC24D4" w:rsidRPr="007B4961">
        <w:rPr>
          <w:rFonts w:cs="Arial"/>
          <w:szCs w:val="22"/>
        </w:rPr>
        <w:t>es</w:t>
      </w:r>
      <w:r w:rsidRPr="007B4961">
        <w:rPr>
          <w:rFonts w:cs="Arial"/>
          <w:szCs w:val="22"/>
        </w:rPr>
        <w:t xml:space="preserve"> de acceso a la Información Pública el </w:t>
      </w:r>
      <w:r w:rsidR="00594CDE" w:rsidRPr="007B4961">
        <w:rPr>
          <w:rFonts w:eastAsia="Palatino Linotype" w:cs="Palatino Linotype"/>
          <w:b/>
          <w:szCs w:val="22"/>
        </w:rPr>
        <w:t>veintinueve</w:t>
      </w:r>
      <w:r w:rsidR="00251367" w:rsidRPr="007B4961">
        <w:rPr>
          <w:rFonts w:eastAsia="Palatino Linotype" w:cs="Palatino Linotype"/>
          <w:b/>
          <w:szCs w:val="22"/>
        </w:rPr>
        <w:t xml:space="preserve"> y treinta </w:t>
      </w:r>
      <w:r w:rsidRPr="007B4961">
        <w:rPr>
          <w:rFonts w:eastAsia="Palatino Linotype" w:cs="Palatino Linotype"/>
          <w:b/>
          <w:szCs w:val="22"/>
        </w:rPr>
        <w:t xml:space="preserve">de </w:t>
      </w:r>
      <w:r w:rsidR="00594CDE" w:rsidRPr="007B4961">
        <w:rPr>
          <w:rFonts w:eastAsia="Palatino Linotype" w:cs="Palatino Linotype"/>
          <w:b/>
          <w:szCs w:val="22"/>
        </w:rPr>
        <w:t>octubre</w:t>
      </w:r>
      <w:r w:rsidRPr="007B4961">
        <w:rPr>
          <w:rFonts w:eastAsia="Palatino Linotype" w:cs="Palatino Linotype"/>
          <w:b/>
          <w:szCs w:val="22"/>
        </w:rPr>
        <w:t xml:space="preserve"> de dos mil </w:t>
      </w:r>
      <w:r w:rsidR="001B777A" w:rsidRPr="007B4961">
        <w:rPr>
          <w:rFonts w:eastAsia="Palatino Linotype" w:cs="Palatino Linotype"/>
          <w:b/>
          <w:szCs w:val="22"/>
        </w:rPr>
        <w:t>veinticuatro</w:t>
      </w:r>
      <w:r w:rsidRPr="007B4961">
        <w:rPr>
          <w:rFonts w:cs="Arial"/>
          <w:szCs w:val="22"/>
        </w:rPr>
        <w:t xml:space="preserve"> </w:t>
      </w:r>
      <w:r w:rsidR="00A53315" w:rsidRPr="007B4961">
        <w:rPr>
          <w:rFonts w:cs="Arial"/>
          <w:szCs w:val="22"/>
        </w:rPr>
        <w:t xml:space="preserve">y </w:t>
      </w:r>
      <w:r w:rsidR="00FC24D4" w:rsidRPr="007B4961">
        <w:rPr>
          <w:rFonts w:cs="Arial"/>
          <w:szCs w:val="22"/>
        </w:rPr>
        <w:t>los</w:t>
      </w:r>
      <w:r w:rsidR="00A53315" w:rsidRPr="007B4961">
        <w:rPr>
          <w:rFonts w:cs="Arial"/>
          <w:szCs w:val="22"/>
        </w:rPr>
        <w:t xml:space="preserve"> recurso</w:t>
      </w:r>
      <w:r w:rsidR="00FC24D4" w:rsidRPr="007B4961">
        <w:rPr>
          <w:rFonts w:cs="Arial"/>
          <w:szCs w:val="22"/>
        </w:rPr>
        <w:t>s</w:t>
      </w:r>
      <w:r w:rsidR="00A53315" w:rsidRPr="007B4961">
        <w:rPr>
          <w:rFonts w:cs="Arial"/>
          <w:szCs w:val="22"/>
        </w:rPr>
        <w:t xml:space="preserve"> </w:t>
      </w:r>
      <w:r w:rsidR="00A53315" w:rsidRPr="007B4961">
        <w:rPr>
          <w:rFonts w:eastAsia="Palatino Linotype" w:cs="Palatino Linotype"/>
          <w:szCs w:val="22"/>
        </w:rPr>
        <w:t>que nos ocupa</w:t>
      </w:r>
      <w:r w:rsidR="00FC24D4" w:rsidRPr="007B4961">
        <w:rPr>
          <w:rFonts w:eastAsia="Palatino Linotype" w:cs="Palatino Linotype"/>
          <w:szCs w:val="22"/>
        </w:rPr>
        <w:t>n se interpusieron</w:t>
      </w:r>
      <w:r w:rsidR="00A53315" w:rsidRPr="007B4961">
        <w:rPr>
          <w:rFonts w:eastAsia="Palatino Linotype" w:cs="Palatino Linotype"/>
          <w:szCs w:val="22"/>
        </w:rPr>
        <w:t xml:space="preserve"> el </w:t>
      </w:r>
      <w:r w:rsidR="00594CDE" w:rsidRPr="007B4961">
        <w:rPr>
          <w:rFonts w:eastAsia="Palatino Linotype" w:cs="Palatino Linotype"/>
          <w:b/>
          <w:szCs w:val="22"/>
        </w:rPr>
        <w:t>treinta</w:t>
      </w:r>
      <w:r w:rsidR="00D455DE" w:rsidRPr="007B4961">
        <w:rPr>
          <w:rFonts w:eastAsia="Palatino Linotype" w:cs="Palatino Linotype"/>
          <w:b/>
          <w:szCs w:val="22"/>
        </w:rPr>
        <w:t xml:space="preserve"> de </w:t>
      </w:r>
      <w:r w:rsidR="00594CDE" w:rsidRPr="007B4961">
        <w:rPr>
          <w:rFonts w:eastAsia="Palatino Linotype" w:cs="Palatino Linotype"/>
          <w:b/>
          <w:szCs w:val="22"/>
        </w:rPr>
        <w:t>octubre</w:t>
      </w:r>
      <w:r w:rsidR="00A53315" w:rsidRPr="007B4961">
        <w:rPr>
          <w:rFonts w:eastAsia="Palatino Linotype" w:cs="Palatino Linotype"/>
          <w:b/>
          <w:szCs w:val="22"/>
        </w:rPr>
        <w:t xml:space="preserve"> de dos mil </w:t>
      </w:r>
      <w:r w:rsidR="001B777A" w:rsidRPr="007B4961">
        <w:rPr>
          <w:rFonts w:eastAsia="Palatino Linotype" w:cs="Palatino Linotype"/>
          <w:b/>
          <w:szCs w:val="22"/>
        </w:rPr>
        <w:t>veinticuatro,</w:t>
      </w:r>
      <w:r w:rsidR="00A53315" w:rsidRPr="007B4961">
        <w:rPr>
          <w:rFonts w:eastAsia="Palatino Linotype" w:cs="Palatino Linotype"/>
          <w:szCs w:val="22"/>
        </w:rPr>
        <w:t xml:space="preserve"> por lo tanto, éste se encuentra dentro del margen temporal previsto en el artículo 178 de la </w:t>
      </w:r>
      <w:r w:rsidR="00A53315" w:rsidRPr="007B4961">
        <w:rPr>
          <w:rFonts w:cs="Arial"/>
          <w:szCs w:val="22"/>
        </w:rPr>
        <w:t>Ley de Transparencia y Acceso a la Información Pública del Estado de México y Municipios</w:t>
      </w:r>
      <w:r w:rsidR="00CB7E9A" w:rsidRPr="007B4961">
        <w:rPr>
          <w:rFonts w:eastAsiaTheme="minorEastAsia" w:cs="Arial"/>
          <w:szCs w:val="22"/>
          <w:lang w:val="es-ES_tradnl"/>
        </w:rPr>
        <w:t>.</w:t>
      </w:r>
    </w:p>
    <w:p w14:paraId="49076992" w14:textId="77777777" w:rsidR="00D91CB4" w:rsidRPr="007B4961" w:rsidRDefault="00D91CB4" w:rsidP="007B4961">
      <w:pPr>
        <w:rPr>
          <w:rFonts w:eastAsia="Palatino Linotype" w:cs="Palatino Linotype"/>
          <w:szCs w:val="22"/>
        </w:rPr>
      </w:pPr>
    </w:p>
    <w:p w14:paraId="46C0EB3A" w14:textId="520AFABB" w:rsidR="00A53315" w:rsidRPr="007B4961" w:rsidRDefault="00BA55A8" w:rsidP="007B4961">
      <w:pPr>
        <w:pStyle w:val="Ttulo3"/>
        <w:rPr>
          <w:rFonts w:eastAsia="Calibri"/>
          <w:szCs w:val="22"/>
          <w:lang w:eastAsia="es-ES_tradnl"/>
        </w:rPr>
      </w:pPr>
      <w:bookmarkStart w:id="24" w:name="_Toc184225346"/>
      <w:r w:rsidRPr="007B4961">
        <w:rPr>
          <w:rFonts w:eastAsia="Calibri"/>
          <w:szCs w:val="22"/>
          <w:lang w:eastAsia="es-ES_tradnl"/>
        </w:rPr>
        <w:t>d)</w:t>
      </w:r>
      <w:r w:rsidR="00D91CB4" w:rsidRPr="007B4961">
        <w:rPr>
          <w:rFonts w:eastAsia="Calibri"/>
          <w:szCs w:val="22"/>
          <w:lang w:eastAsia="es-ES_tradnl"/>
        </w:rPr>
        <w:t xml:space="preserve"> </w:t>
      </w:r>
      <w:r w:rsidR="00D7596A" w:rsidRPr="007B4961">
        <w:rPr>
          <w:rFonts w:eastAsia="Calibri"/>
          <w:szCs w:val="22"/>
          <w:lang w:eastAsia="es-ES_tradnl"/>
        </w:rPr>
        <w:t>Causal</w:t>
      </w:r>
      <w:r w:rsidR="005D51E9" w:rsidRPr="007B4961">
        <w:rPr>
          <w:rFonts w:eastAsia="Calibri"/>
          <w:szCs w:val="22"/>
          <w:lang w:eastAsia="es-ES_tradnl"/>
        </w:rPr>
        <w:t>es</w:t>
      </w:r>
      <w:r w:rsidR="00D7596A" w:rsidRPr="007B4961">
        <w:rPr>
          <w:rFonts w:eastAsia="Calibri"/>
          <w:szCs w:val="22"/>
          <w:lang w:eastAsia="es-ES_tradnl"/>
        </w:rPr>
        <w:t xml:space="preserve"> de procedencia</w:t>
      </w:r>
      <w:r w:rsidR="001B777A" w:rsidRPr="007B4961">
        <w:rPr>
          <w:rFonts w:eastAsia="Calibri"/>
          <w:szCs w:val="22"/>
          <w:lang w:eastAsia="es-ES_tradnl"/>
        </w:rPr>
        <w:t>.</w:t>
      </w:r>
      <w:bookmarkEnd w:id="24"/>
    </w:p>
    <w:p w14:paraId="190404A6" w14:textId="1B59E95B" w:rsidR="00BA55A8" w:rsidRPr="007B4961" w:rsidRDefault="00BA55A8" w:rsidP="007B4961">
      <w:pPr>
        <w:rPr>
          <w:szCs w:val="22"/>
        </w:rPr>
      </w:pPr>
      <w:r w:rsidRPr="007B4961">
        <w:rPr>
          <w:rFonts w:cs="Arial"/>
          <w:szCs w:val="22"/>
        </w:rPr>
        <w:t>Resulta procedente la interposición de</w:t>
      </w:r>
      <w:r w:rsidR="008E0766" w:rsidRPr="007B4961">
        <w:rPr>
          <w:rFonts w:cs="Arial"/>
          <w:szCs w:val="22"/>
        </w:rPr>
        <w:t xml:space="preserve"> </w:t>
      </w:r>
      <w:r w:rsidRPr="007B4961">
        <w:rPr>
          <w:rFonts w:cs="Arial"/>
          <w:szCs w:val="22"/>
        </w:rPr>
        <w:t>l</w:t>
      </w:r>
      <w:r w:rsidR="008E0766" w:rsidRPr="007B4961">
        <w:rPr>
          <w:rFonts w:cs="Arial"/>
          <w:szCs w:val="22"/>
        </w:rPr>
        <w:t>os</w:t>
      </w:r>
      <w:r w:rsidRPr="007B4961">
        <w:rPr>
          <w:rFonts w:cs="Arial"/>
          <w:szCs w:val="22"/>
        </w:rPr>
        <w:t xml:space="preserve"> recurso</w:t>
      </w:r>
      <w:r w:rsidR="008E0766" w:rsidRPr="007B4961">
        <w:rPr>
          <w:rFonts w:cs="Arial"/>
          <w:szCs w:val="22"/>
        </w:rPr>
        <w:t>s</w:t>
      </w:r>
      <w:r w:rsidRPr="007B4961">
        <w:rPr>
          <w:rFonts w:cs="Arial"/>
          <w:szCs w:val="22"/>
        </w:rPr>
        <w:t xml:space="preserve"> de revisión, ya que </w:t>
      </w:r>
      <w:r w:rsidRPr="007B4961">
        <w:rPr>
          <w:rFonts w:eastAsia="Calibri" w:cs="Tahoma"/>
          <w:szCs w:val="22"/>
          <w:lang w:eastAsia="es-MX"/>
        </w:rPr>
        <w:t>se actualiza la</w:t>
      </w:r>
      <w:r w:rsidR="008E0766" w:rsidRPr="007B4961">
        <w:rPr>
          <w:rFonts w:eastAsia="Calibri" w:cs="Tahoma"/>
          <w:szCs w:val="22"/>
          <w:lang w:eastAsia="es-MX"/>
        </w:rPr>
        <w:t>s</w:t>
      </w:r>
      <w:r w:rsidRPr="007B4961">
        <w:rPr>
          <w:rFonts w:eastAsia="Calibri" w:cs="Tahoma"/>
          <w:szCs w:val="22"/>
          <w:lang w:eastAsia="es-MX"/>
        </w:rPr>
        <w:t xml:space="preserve"> causal</w:t>
      </w:r>
      <w:r w:rsidR="008E0766" w:rsidRPr="007B4961">
        <w:rPr>
          <w:rFonts w:eastAsia="Calibri" w:cs="Tahoma"/>
          <w:szCs w:val="22"/>
          <w:lang w:eastAsia="es-MX"/>
        </w:rPr>
        <w:t>es</w:t>
      </w:r>
      <w:r w:rsidRPr="007B4961">
        <w:rPr>
          <w:rFonts w:eastAsia="Calibri" w:cs="Tahoma"/>
          <w:szCs w:val="22"/>
          <w:lang w:eastAsia="es-MX"/>
        </w:rPr>
        <w:t xml:space="preserve"> de procedencia señalada</w:t>
      </w:r>
      <w:r w:rsidR="008E0766" w:rsidRPr="007B4961">
        <w:rPr>
          <w:rFonts w:eastAsia="Calibri" w:cs="Tahoma"/>
          <w:szCs w:val="22"/>
          <w:lang w:eastAsia="es-MX"/>
        </w:rPr>
        <w:t>s</w:t>
      </w:r>
      <w:r w:rsidRPr="007B4961">
        <w:rPr>
          <w:rFonts w:eastAsia="Calibri" w:cs="Tahoma"/>
          <w:szCs w:val="22"/>
          <w:lang w:eastAsia="es-MX"/>
        </w:rPr>
        <w:t xml:space="preserve"> en </w:t>
      </w:r>
      <w:r w:rsidR="008E0766" w:rsidRPr="007B4961">
        <w:rPr>
          <w:rFonts w:eastAsia="Calibri" w:cs="Tahoma"/>
          <w:szCs w:val="22"/>
          <w:lang w:eastAsia="es-MX"/>
        </w:rPr>
        <w:t>el artículo 179, fracciones</w:t>
      </w:r>
      <w:r w:rsidRPr="007B4961">
        <w:rPr>
          <w:rFonts w:eastAsia="Calibri" w:cs="Tahoma"/>
          <w:szCs w:val="22"/>
          <w:lang w:eastAsia="es-MX"/>
        </w:rPr>
        <w:t xml:space="preserve"> </w:t>
      </w:r>
      <w:r w:rsidR="00594CDE" w:rsidRPr="007B4961">
        <w:rPr>
          <w:rFonts w:eastAsia="Calibri" w:cs="Tahoma"/>
          <w:szCs w:val="22"/>
          <w:lang w:eastAsia="es-MX"/>
        </w:rPr>
        <w:t>I</w:t>
      </w:r>
      <w:r w:rsidR="00A1405A" w:rsidRPr="007B4961">
        <w:rPr>
          <w:rFonts w:eastAsia="Calibri" w:cs="Tahoma"/>
          <w:szCs w:val="22"/>
          <w:lang w:eastAsia="es-MX"/>
        </w:rPr>
        <w:t xml:space="preserve"> </w:t>
      </w:r>
      <w:r w:rsidRPr="007B4961">
        <w:rPr>
          <w:rFonts w:cs="Arial"/>
          <w:szCs w:val="22"/>
        </w:rPr>
        <w:t xml:space="preserve">de la </w:t>
      </w:r>
      <w:r w:rsidRPr="007B4961">
        <w:rPr>
          <w:szCs w:val="22"/>
        </w:rPr>
        <w:t>Ley de Transparencia y Acceso a la Información Pública del Estado de México y Municipios.</w:t>
      </w:r>
    </w:p>
    <w:p w14:paraId="0EFF7141" w14:textId="77777777" w:rsidR="00362A11" w:rsidRPr="007B4961" w:rsidRDefault="00362A11" w:rsidP="007B4961">
      <w:pPr>
        <w:rPr>
          <w:szCs w:val="22"/>
        </w:rPr>
      </w:pPr>
    </w:p>
    <w:p w14:paraId="2284D7EB" w14:textId="3928E4AB" w:rsidR="00BA55A8" w:rsidRPr="007B4961" w:rsidRDefault="00362A11" w:rsidP="007B4961">
      <w:pPr>
        <w:pStyle w:val="Ttulo3"/>
        <w:rPr>
          <w:szCs w:val="22"/>
        </w:rPr>
      </w:pPr>
      <w:bookmarkStart w:id="25" w:name="_Toc184225347"/>
      <w:r w:rsidRPr="007B4961">
        <w:rPr>
          <w:szCs w:val="22"/>
        </w:rPr>
        <w:t>e) Requisitos formales para la interposición del recurso</w:t>
      </w:r>
      <w:r w:rsidR="001B777A" w:rsidRPr="007B4961">
        <w:rPr>
          <w:szCs w:val="22"/>
        </w:rPr>
        <w:t>.</w:t>
      </w:r>
      <w:bookmarkEnd w:id="25"/>
    </w:p>
    <w:p w14:paraId="29ABCEB4" w14:textId="77777777" w:rsidR="00D455DE" w:rsidRPr="007B4961" w:rsidRDefault="00D455DE" w:rsidP="007B4961">
      <w:pPr>
        <w:rPr>
          <w:rFonts w:cs="Arial"/>
          <w:lang w:val="es-ES"/>
        </w:rPr>
      </w:pPr>
      <w:r w:rsidRPr="007B4961">
        <w:rPr>
          <w:lang w:val="es-ES"/>
        </w:rPr>
        <w:t xml:space="preserve">Es importante mencionar que, de la revisión del expediente electrónico del </w:t>
      </w:r>
      <w:r w:rsidRPr="007B4961">
        <w:rPr>
          <w:bCs/>
          <w:lang w:val="es-ES"/>
        </w:rPr>
        <w:t>SAIMEX,</w:t>
      </w:r>
      <w:r w:rsidRPr="007B4961">
        <w:rPr>
          <w:lang w:val="es-ES"/>
        </w:rPr>
        <w:t xml:space="preserve"> se observa que </w:t>
      </w:r>
      <w:r w:rsidRPr="007B4961">
        <w:rPr>
          <w:b/>
          <w:bCs/>
          <w:lang w:val="es-ES"/>
        </w:rPr>
        <w:t>LA PARTE RECURRENTE</w:t>
      </w:r>
      <w:r w:rsidRPr="007B4961">
        <w:rPr>
          <w:lang w:val="es-ES"/>
        </w:rPr>
        <w:t xml:space="preserve"> no proporcionó su nombre para ser identificado, lo que en estricto sentido provoca que </w:t>
      </w:r>
      <w:r w:rsidRPr="007B4961">
        <w:rPr>
          <w:rFonts w:cs="Arial"/>
          <w:lang w:val="es-ES"/>
        </w:rPr>
        <w:t>no</w:t>
      </w:r>
      <w:r w:rsidRPr="007B4961">
        <w:rPr>
          <w:lang w:val="es-ES"/>
        </w:rPr>
        <w:t xml:space="preserve"> se colmen los requisitos establecidos en el artículo 180 de la Ley de Transparencia; sin embargo, el artículo 15 de </w:t>
      </w:r>
      <w:r w:rsidRPr="007B4961">
        <w:rPr>
          <w:rFonts w:cs="Arial"/>
          <w:lang w:val="es-ES" w:eastAsia="es-MX"/>
        </w:rPr>
        <w:t xml:space="preserve">Ley de Transparencia y Acceso a la </w:t>
      </w:r>
      <w:r w:rsidRPr="007B4961">
        <w:rPr>
          <w:rFonts w:cs="Arial"/>
          <w:lang w:val="es-ES"/>
        </w:rPr>
        <w:t>Información</w:t>
      </w:r>
      <w:r w:rsidRPr="007B4961">
        <w:rPr>
          <w:rFonts w:cs="Arial"/>
          <w:lang w:val="es-ES" w:eastAsia="es-MX"/>
        </w:rPr>
        <w:t xml:space="preserve"> Pública del Estado de México y Municipios </w:t>
      </w:r>
      <w:r w:rsidRPr="007B4961">
        <w:rPr>
          <w:rFonts w:cs="Arial"/>
          <w:iCs/>
          <w:lang w:val="es-ES"/>
        </w:rPr>
        <w:t xml:space="preserve">prevé que </w:t>
      </w:r>
      <w:r w:rsidRPr="007B4961">
        <w:rPr>
          <w:lang w:val="es-ES"/>
        </w:rPr>
        <w:t xml:space="preserve">toda persona tendrá acceso a la información </w:t>
      </w:r>
      <w:r w:rsidRPr="007B4961">
        <w:rPr>
          <w:rFonts w:cs="Arial"/>
          <w:lang w:val="es-ES"/>
        </w:rPr>
        <w:t xml:space="preserve">sin necesidad de acreditar interés alguno o justificar su utilización, de lo que </w:t>
      </w:r>
      <w:r w:rsidRPr="007B4961">
        <w:rPr>
          <w:rFonts w:cs="Arial"/>
          <w:lang w:val="es-ES"/>
        </w:rPr>
        <w:lastRenderedPageBreak/>
        <w:t xml:space="preserve">se infiere que </w:t>
      </w:r>
      <w:r w:rsidRPr="007B4961">
        <w:rPr>
          <w:rFonts w:cs="Arial"/>
          <w:b/>
          <w:u w:val="single"/>
          <w:lang w:val="es-ES"/>
        </w:rPr>
        <w:t xml:space="preserve">el nombre no es un requisito </w:t>
      </w:r>
      <w:r w:rsidRPr="007B4961">
        <w:rPr>
          <w:rFonts w:cs="Arial"/>
          <w:b/>
          <w:iCs/>
          <w:u w:val="single"/>
          <w:lang w:val="es-ES"/>
        </w:rPr>
        <w:t>indispensable</w:t>
      </w:r>
      <w:r w:rsidRPr="007B4961">
        <w:rPr>
          <w:rFonts w:cs="Arial"/>
          <w:lang w:val="es-ES"/>
        </w:rPr>
        <w:t xml:space="preserve"> para que las y los ciudadanos ejerzan el derecho de acceso a la información pública. </w:t>
      </w:r>
    </w:p>
    <w:p w14:paraId="3F25A389" w14:textId="77777777" w:rsidR="00D455DE" w:rsidRPr="007B4961" w:rsidRDefault="00D455DE" w:rsidP="007B4961">
      <w:pPr>
        <w:rPr>
          <w:rFonts w:cs="Arial"/>
          <w:lang w:val="es-ES"/>
        </w:rPr>
      </w:pPr>
    </w:p>
    <w:p w14:paraId="21FF97F0" w14:textId="77777777" w:rsidR="00D455DE" w:rsidRPr="007B4961" w:rsidRDefault="00D455DE" w:rsidP="007B4961">
      <w:pPr>
        <w:rPr>
          <w:lang w:val="es-ES"/>
        </w:rPr>
      </w:pPr>
      <w:r w:rsidRPr="007B4961">
        <w:rPr>
          <w:rFonts w:cs="Arial"/>
          <w:lang w:val="es-ES"/>
        </w:rPr>
        <w:t>Asimismo, la Ley de la materia prevé en su artículo 155, párrafo segundo la posibilidad de que las solicitudes de información sean anónimas, al utilizar un nombre incompleto o, inclusive un seudónimo.</w:t>
      </w:r>
      <w:r w:rsidRPr="007B4961">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7B4961">
        <w:rPr>
          <w:b/>
          <w:bCs/>
          <w:lang w:val="es-ES"/>
        </w:rPr>
        <w:t>LA PARTE RECURRENTE</w:t>
      </w:r>
      <w:r w:rsidRPr="007B4961">
        <w:rPr>
          <w:rFonts w:cs="Arial"/>
          <w:b/>
          <w:lang w:val="es-ES"/>
        </w:rPr>
        <w:t>;</w:t>
      </w:r>
      <w:r w:rsidRPr="007B4961">
        <w:rPr>
          <w:lang w:val="es-ES"/>
        </w:rPr>
        <w:t xml:space="preserve"> por lo que, en el presente caso, al haber sido presentado el recurso de revisión vía </w:t>
      </w:r>
      <w:r w:rsidRPr="007B4961">
        <w:rPr>
          <w:bCs/>
          <w:lang w:val="es-ES"/>
        </w:rPr>
        <w:t>SAIMEX</w:t>
      </w:r>
      <w:r w:rsidRPr="007B4961">
        <w:rPr>
          <w:lang w:val="es-ES"/>
        </w:rPr>
        <w:t>, dicho requisito resulta innecesario.</w:t>
      </w:r>
    </w:p>
    <w:p w14:paraId="1DFFC5C1" w14:textId="77777777" w:rsidR="008E0766" w:rsidRPr="007B4961" w:rsidRDefault="008E0766" w:rsidP="007B4961">
      <w:pPr>
        <w:rPr>
          <w:szCs w:val="22"/>
          <w:lang w:val="es-ES"/>
        </w:rPr>
      </w:pPr>
    </w:p>
    <w:p w14:paraId="03F0E49A" w14:textId="77777777" w:rsidR="008E0766" w:rsidRPr="007B4961" w:rsidRDefault="008E0766" w:rsidP="007B4961">
      <w:pPr>
        <w:pStyle w:val="Ttulo3"/>
        <w:rPr>
          <w:szCs w:val="22"/>
        </w:rPr>
      </w:pPr>
      <w:bookmarkStart w:id="26" w:name="_Toc174008777"/>
      <w:bookmarkStart w:id="27" w:name="_Toc184225348"/>
      <w:r w:rsidRPr="007B4961">
        <w:rPr>
          <w:szCs w:val="22"/>
        </w:rPr>
        <w:t>f) Acumulación de los Recursos de Revisión</w:t>
      </w:r>
      <w:bookmarkEnd w:id="26"/>
      <w:bookmarkEnd w:id="27"/>
    </w:p>
    <w:p w14:paraId="78522F63" w14:textId="679182B2" w:rsidR="008E0766" w:rsidRPr="007B4961" w:rsidRDefault="008E0766" w:rsidP="007B4961">
      <w:pPr>
        <w:rPr>
          <w:szCs w:val="22"/>
        </w:rPr>
      </w:pPr>
      <w:r w:rsidRPr="007B4961">
        <w:rPr>
          <w:szCs w:val="22"/>
        </w:rPr>
        <w:t xml:space="preserve">De las constancias que obran en los expedientes acumulados, se advierte que los recursos de revisión </w:t>
      </w:r>
      <w:r w:rsidR="00594CDE" w:rsidRPr="007B4961">
        <w:rPr>
          <w:rFonts w:cs="Tahoma"/>
          <w:b/>
          <w:bCs/>
          <w:szCs w:val="22"/>
        </w:rPr>
        <w:t>06927/INFOEM/IP/RR/2024 y 06928</w:t>
      </w:r>
      <w:r w:rsidR="00C868BB" w:rsidRPr="007B4961">
        <w:rPr>
          <w:rFonts w:cs="Tahoma"/>
          <w:b/>
          <w:bCs/>
          <w:szCs w:val="22"/>
        </w:rPr>
        <w:t>/INFOEM/IP/RR/2024</w:t>
      </w:r>
      <w:r w:rsidRPr="007B4961">
        <w:rPr>
          <w:rFonts w:cs="Tahoma"/>
          <w:b/>
          <w:bCs/>
          <w:szCs w:val="22"/>
        </w:rPr>
        <w:t>,</w:t>
      </w:r>
      <w:r w:rsidRPr="007B4961">
        <w:rPr>
          <w:b/>
          <w:szCs w:val="22"/>
        </w:rPr>
        <w:t xml:space="preserve"> </w:t>
      </w:r>
      <w:r w:rsidRPr="007B4961">
        <w:rPr>
          <w:szCs w:val="22"/>
        </w:rPr>
        <w:t xml:space="preserve">fueron presentados por la misma </w:t>
      </w:r>
      <w:r w:rsidRPr="007B4961">
        <w:rPr>
          <w:b/>
          <w:szCs w:val="22"/>
        </w:rPr>
        <w:t>PARTE RECURRENTE</w:t>
      </w:r>
      <w:r w:rsidRPr="007B4961">
        <w:rPr>
          <w:szCs w:val="22"/>
        </w:rPr>
        <w:t xml:space="preserve"> respecto de actos u omisiones similares, realizados por el mismo </w:t>
      </w:r>
      <w:r w:rsidRPr="007B4961">
        <w:rPr>
          <w:b/>
          <w:szCs w:val="22"/>
        </w:rPr>
        <w:t>SUJETO OBLIGADO</w:t>
      </w:r>
      <w:r w:rsidRPr="007B4961">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7B4961" w:rsidRDefault="00A84BB5" w:rsidP="007B4961">
      <w:pPr>
        <w:rPr>
          <w:bCs/>
          <w:szCs w:val="22"/>
          <w:lang w:val="es-ES_tradnl"/>
        </w:rPr>
      </w:pPr>
    </w:p>
    <w:p w14:paraId="457548E9" w14:textId="5D058E17" w:rsidR="00C71CEF" w:rsidRPr="007B4961" w:rsidRDefault="00C71CEF" w:rsidP="007B4961">
      <w:pPr>
        <w:pStyle w:val="Ttulo2"/>
        <w:rPr>
          <w:szCs w:val="22"/>
        </w:rPr>
      </w:pPr>
      <w:bookmarkStart w:id="28" w:name="_Toc184225349"/>
      <w:r w:rsidRPr="007B4961">
        <w:rPr>
          <w:szCs w:val="22"/>
        </w:rPr>
        <w:lastRenderedPageBreak/>
        <w:t>SEGUNDO. Estudio de Fondo</w:t>
      </w:r>
      <w:r w:rsidR="001B777A" w:rsidRPr="007B4961">
        <w:rPr>
          <w:szCs w:val="22"/>
        </w:rPr>
        <w:t>.</w:t>
      </w:r>
      <w:bookmarkEnd w:id="28"/>
    </w:p>
    <w:p w14:paraId="2A308F59" w14:textId="0FF373F0" w:rsidR="00C049E2" w:rsidRPr="007B4961" w:rsidRDefault="00C71CEF" w:rsidP="007B4961">
      <w:pPr>
        <w:pStyle w:val="Ttulo3"/>
        <w:rPr>
          <w:szCs w:val="22"/>
        </w:rPr>
      </w:pPr>
      <w:bookmarkStart w:id="29" w:name="_Toc184225350"/>
      <w:r w:rsidRPr="007B4961">
        <w:rPr>
          <w:szCs w:val="22"/>
        </w:rPr>
        <w:t>a</w:t>
      </w:r>
      <w:r w:rsidR="00C049E2" w:rsidRPr="007B4961">
        <w:rPr>
          <w:szCs w:val="22"/>
        </w:rPr>
        <w:t>) Mandato de transparencia y responsabilidad del Sujeto Obligado</w:t>
      </w:r>
      <w:bookmarkEnd w:id="29"/>
    </w:p>
    <w:p w14:paraId="6901A889" w14:textId="59EEDAE1" w:rsidR="00C049E2" w:rsidRPr="007B4961" w:rsidRDefault="00C049E2" w:rsidP="007B4961">
      <w:pPr>
        <w:rPr>
          <w:rFonts w:eastAsia="Palatino Linotype"/>
          <w:szCs w:val="22"/>
        </w:rPr>
      </w:pPr>
      <w:r w:rsidRPr="007B4961">
        <w:rPr>
          <w:rFonts w:eastAsia="Palatino Linotype"/>
          <w:szCs w:val="22"/>
        </w:rPr>
        <w:t xml:space="preserve">El </w:t>
      </w:r>
      <w:r w:rsidR="00717E59" w:rsidRPr="007B4961">
        <w:rPr>
          <w:rFonts w:eastAsia="Palatino Linotype"/>
          <w:szCs w:val="22"/>
        </w:rPr>
        <w:t>d</w:t>
      </w:r>
      <w:r w:rsidRPr="007B4961">
        <w:rPr>
          <w:rFonts w:eastAsia="Palatino Linotype"/>
          <w:szCs w:val="22"/>
        </w:rPr>
        <w:t xml:space="preserve">erecho de </w:t>
      </w:r>
      <w:r w:rsidR="00717E59" w:rsidRPr="007B4961">
        <w:rPr>
          <w:rFonts w:eastAsia="Palatino Linotype"/>
          <w:szCs w:val="22"/>
        </w:rPr>
        <w:t>a</w:t>
      </w:r>
      <w:r w:rsidRPr="007B4961">
        <w:rPr>
          <w:rFonts w:eastAsia="Palatino Linotype"/>
          <w:szCs w:val="22"/>
        </w:rPr>
        <w:t xml:space="preserve">cceso a la </w:t>
      </w:r>
      <w:r w:rsidR="00717E59" w:rsidRPr="007B4961">
        <w:rPr>
          <w:rFonts w:eastAsia="Palatino Linotype"/>
          <w:szCs w:val="22"/>
        </w:rPr>
        <w:t>i</w:t>
      </w:r>
      <w:r w:rsidRPr="007B4961">
        <w:rPr>
          <w:rFonts w:eastAsia="Palatino Linotype"/>
          <w:szCs w:val="22"/>
        </w:rPr>
        <w:t xml:space="preserve">nformación </w:t>
      </w:r>
      <w:r w:rsidR="00717E59" w:rsidRPr="007B4961">
        <w:rPr>
          <w:rFonts w:eastAsia="Palatino Linotype"/>
          <w:szCs w:val="22"/>
        </w:rPr>
        <w:t>p</w:t>
      </w:r>
      <w:r w:rsidRPr="007B4961">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7B4961">
        <w:rPr>
          <w:rFonts w:eastAsia="Palatino Linotype"/>
          <w:szCs w:val="22"/>
        </w:rPr>
        <w:t>:</w:t>
      </w:r>
    </w:p>
    <w:p w14:paraId="7FAB8D32" w14:textId="77777777" w:rsidR="00C049E2" w:rsidRPr="007B4961" w:rsidRDefault="00C049E2" w:rsidP="007B4961">
      <w:pPr>
        <w:rPr>
          <w:rFonts w:eastAsia="Palatino Linotype"/>
          <w:szCs w:val="22"/>
        </w:rPr>
      </w:pPr>
    </w:p>
    <w:p w14:paraId="05320813" w14:textId="77777777" w:rsidR="00C049E2" w:rsidRPr="007B4961" w:rsidRDefault="00C049E2" w:rsidP="007B4961">
      <w:pPr>
        <w:spacing w:line="240" w:lineRule="auto"/>
        <w:ind w:left="567" w:right="539"/>
        <w:rPr>
          <w:rFonts w:eastAsia="Palatino Linotype"/>
          <w:b/>
          <w:i/>
          <w:szCs w:val="22"/>
        </w:rPr>
      </w:pPr>
      <w:r w:rsidRPr="007B4961">
        <w:rPr>
          <w:rFonts w:eastAsia="Palatino Linotype"/>
          <w:b/>
          <w:i/>
          <w:szCs w:val="22"/>
        </w:rPr>
        <w:t>Constitución Política de los Estados Unidos Mexicanos</w:t>
      </w:r>
    </w:p>
    <w:p w14:paraId="6B6C67B6" w14:textId="77777777" w:rsidR="00C049E2" w:rsidRPr="007B4961" w:rsidRDefault="00C049E2" w:rsidP="007B4961">
      <w:pPr>
        <w:spacing w:line="240" w:lineRule="auto"/>
        <w:ind w:left="567" w:right="539"/>
        <w:rPr>
          <w:rFonts w:eastAsia="Palatino Linotype"/>
          <w:b/>
          <w:i/>
          <w:szCs w:val="22"/>
        </w:rPr>
      </w:pPr>
      <w:r w:rsidRPr="007B4961">
        <w:rPr>
          <w:rFonts w:eastAsia="Palatino Linotype"/>
          <w:b/>
          <w:i/>
          <w:szCs w:val="22"/>
        </w:rPr>
        <w:t>“Artículo 6.</w:t>
      </w:r>
    </w:p>
    <w:p w14:paraId="38D3B4C4" w14:textId="77777777" w:rsidR="00C049E2" w:rsidRPr="007B4961" w:rsidRDefault="00C049E2" w:rsidP="007B4961">
      <w:pPr>
        <w:spacing w:line="240" w:lineRule="auto"/>
        <w:ind w:left="567" w:right="539"/>
        <w:rPr>
          <w:rFonts w:eastAsia="Palatino Linotype"/>
          <w:i/>
          <w:szCs w:val="22"/>
        </w:rPr>
      </w:pPr>
      <w:r w:rsidRPr="007B4961">
        <w:rPr>
          <w:rFonts w:eastAsia="Palatino Linotype"/>
          <w:i/>
          <w:szCs w:val="22"/>
        </w:rPr>
        <w:t>(…)</w:t>
      </w:r>
    </w:p>
    <w:p w14:paraId="2CCAA297" w14:textId="6602827B" w:rsidR="00C049E2" w:rsidRPr="007B4961" w:rsidRDefault="00C049E2" w:rsidP="007B4961">
      <w:pPr>
        <w:spacing w:line="240" w:lineRule="auto"/>
        <w:ind w:left="567" w:right="539"/>
        <w:rPr>
          <w:rFonts w:eastAsia="Palatino Linotype"/>
          <w:i/>
          <w:szCs w:val="22"/>
        </w:rPr>
      </w:pPr>
      <w:r w:rsidRPr="007B4961">
        <w:rPr>
          <w:rFonts w:eastAsia="Palatino Linotype"/>
          <w:i/>
          <w:szCs w:val="22"/>
        </w:rPr>
        <w:t>Para efectos de lo dispuesto en el presente artículo se observará lo siguiente:</w:t>
      </w:r>
    </w:p>
    <w:p w14:paraId="74CC3718" w14:textId="77777777" w:rsidR="00C049E2" w:rsidRPr="007B4961" w:rsidRDefault="00C049E2" w:rsidP="007B4961">
      <w:pPr>
        <w:spacing w:line="240" w:lineRule="auto"/>
        <w:ind w:left="567" w:right="539"/>
        <w:rPr>
          <w:rFonts w:eastAsia="Palatino Linotype"/>
          <w:b/>
          <w:i/>
          <w:szCs w:val="22"/>
        </w:rPr>
      </w:pPr>
      <w:r w:rsidRPr="007B4961">
        <w:rPr>
          <w:rFonts w:eastAsia="Palatino Linotype"/>
          <w:b/>
          <w:i/>
          <w:szCs w:val="22"/>
        </w:rPr>
        <w:t>A</w:t>
      </w:r>
      <w:r w:rsidRPr="007B4961">
        <w:rPr>
          <w:rFonts w:eastAsia="Palatino Linotype"/>
          <w:i/>
          <w:szCs w:val="22"/>
        </w:rPr>
        <w:t xml:space="preserve">. </w:t>
      </w:r>
      <w:r w:rsidRPr="007B4961">
        <w:rPr>
          <w:rFonts w:eastAsia="Palatino Linotype"/>
          <w:b/>
          <w:i/>
          <w:szCs w:val="22"/>
        </w:rPr>
        <w:t>Para el ejercicio del derecho de acceso a la información</w:t>
      </w:r>
      <w:r w:rsidRPr="007B4961">
        <w:rPr>
          <w:rFonts w:eastAsia="Palatino Linotype"/>
          <w:i/>
          <w:szCs w:val="22"/>
        </w:rPr>
        <w:t xml:space="preserve">, la Federación y </w:t>
      </w:r>
      <w:r w:rsidRPr="007B4961">
        <w:rPr>
          <w:rFonts w:eastAsia="Palatino Linotype"/>
          <w:b/>
          <w:i/>
          <w:szCs w:val="22"/>
        </w:rPr>
        <w:t>las entidades federativas, en el ámbito de sus respectivas competencias, se regirán por los siguientes principios y bases:</w:t>
      </w:r>
    </w:p>
    <w:p w14:paraId="596A956B" w14:textId="77777777" w:rsidR="00C049E2" w:rsidRPr="007B4961" w:rsidRDefault="00C049E2" w:rsidP="007B4961">
      <w:pPr>
        <w:spacing w:line="240" w:lineRule="auto"/>
        <w:ind w:left="567" w:right="539"/>
        <w:rPr>
          <w:rFonts w:eastAsia="Palatino Linotype"/>
          <w:i/>
          <w:szCs w:val="22"/>
        </w:rPr>
      </w:pPr>
      <w:r w:rsidRPr="007B4961">
        <w:rPr>
          <w:rFonts w:eastAsia="Palatino Linotype"/>
          <w:b/>
          <w:i/>
          <w:szCs w:val="22"/>
        </w:rPr>
        <w:t xml:space="preserve">I. </w:t>
      </w:r>
      <w:r w:rsidRPr="007B4961">
        <w:rPr>
          <w:rFonts w:eastAsia="Palatino Linotype"/>
          <w:b/>
          <w:i/>
          <w:szCs w:val="22"/>
        </w:rPr>
        <w:tab/>
        <w:t>Toda la información en posesión de cualquier</w:t>
      </w:r>
      <w:r w:rsidRPr="007B4961">
        <w:rPr>
          <w:rFonts w:eastAsia="Palatino Linotype"/>
          <w:i/>
          <w:szCs w:val="22"/>
        </w:rPr>
        <w:t xml:space="preserve"> </w:t>
      </w:r>
      <w:r w:rsidRPr="007B4961">
        <w:rPr>
          <w:rFonts w:eastAsia="Palatino Linotype"/>
          <w:b/>
          <w:i/>
          <w:szCs w:val="22"/>
        </w:rPr>
        <w:t>autoridad</w:t>
      </w:r>
      <w:r w:rsidRPr="007B4961">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4961">
        <w:rPr>
          <w:rFonts w:eastAsia="Palatino Linotype"/>
          <w:b/>
          <w:i/>
          <w:szCs w:val="22"/>
        </w:rPr>
        <w:t>municipal</w:t>
      </w:r>
      <w:r w:rsidRPr="007B4961">
        <w:rPr>
          <w:rFonts w:eastAsia="Palatino Linotype"/>
          <w:i/>
          <w:szCs w:val="22"/>
        </w:rPr>
        <w:t xml:space="preserve">, </w:t>
      </w:r>
      <w:r w:rsidRPr="007B4961">
        <w:rPr>
          <w:rFonts w:eastAsia="Palatino Linotype"/>
          <w:b/>
          <w:i/>
          <w:szCs w:val="22"/>
        </w:rPr>
        <w:t>es pública</w:t>
      </w:r>
      <w:r w:rsidRPr="007B4961">
        <w:rPr>
          <w:rFonts w:eastAsia="Palatino Linotype"/>
          <w:i/>
          <w:szCs w:val="22"/>
        </w:rPr>
        <w:t xml:space="preserve"> y sólo podrá ser reservada temporalmente por razones de interés público y seguridad nacional, en los términos que fijen las leyes. </w:t>
      </w:r>
      <w:r w:rsidRPr="007B4961">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7B4961">
        <w:rPr>
          <w:rFonts w:eastAsia="Palatino Linotype"/>
          <w:i/>
          <w:szCs w:val="22"/>
        </w:rPr>
        <w:t>, la ley determinará los supuestos específicos bajo los cuales procederá la declaración de inexistencia de la información.”</w:t>
      </w:r>
    </w:p>
    <w:p w14:paraId="68F313E4" w14:textId="77777777" w:rsidR="00C049E2" w:rsidRPr="007B4961" w:rsidRDefault="00C049E2" w:rsidP="007B4961">
      <w:pPr>
        <w:spacing w:line="240" w:lineRule="auto"/>
        <w:ind w:left="567" w:right="539"/>
        <w:rPr>
          <w:rFonts w:eastAsia="Palatino Linotype"/>
          <w:b/>
          <w:i/>
          <w:szCs w:val="22"/>
        </w:rPr>
      </w:pPr>
    </w:p>
    <w:p w14:paraId="504F12DB" w14:textId="77777777" w:rsidR="00C049E2" w:rsidRPr="007B4961" w:rsidRDefault="00C049E2" w:rsidP="007B4961">
      <w:pPr>
        <w:spacing w:line="240" w:lineRule="auto"/>
        <w:ind w:left="567" w:right="539"/>
        <w:rPr>
          <w:rFonts w:eastAsia="Palatino Linotype"/>
          <w:b/>
          <w:i/>
          <w:szCs w:val="22"/>
        </w:rPr>
      </w:pPr>
      <w:r w:rsidRPr="007B4961">
        <w:rPr>
          <w:rFonts w:eastAsia="Palatino Linotype"/>
          <w:b/>
          <w:i/>
          <w:szCs w:val="22"/>
        </w:rPr>
        <w:t>Constitución Política del Estado Libre y Soberano de México</w:t>
      </w:r>
    </w:p>
    <w:p w14:paraId="04932D29" w14:textId="77777777" w:rsidR="00C049E2" w:rsidRPr="007B4961" w:rsidRDefault="00C049E2" w:rsidP="007B4961">
      <w:pPr>
        <w:spacing w:line="240" w:lineRule="auto"/>
        <w:ind w:left="567" w:right="539"/>
        <w:rPr>
          <w:rFonts w:eastAsia="Palatino Linotype"/>
          <w:i/>
          <w:szCs w:val="22"/>
        </w:rPr>
      </w:pPr>
      <w:r w:rsidRPr="007B4961">
        <w:rPr>
          <w:rFonts w:eastAsia="Palatino Linotype"/>
          <w:b/>
          <w:i/>
          <w:szCs w:val="22"/>
        </w:rPr>
        <w:t>“Artículo 5</w:t>
      </w:r>
      <w:r w:rsidRPr="007B4961">
        <w:rPr>
          <w:rFonts w:eastAsia="Palatino Linotype"/>
          <w:i/>
          <w:szCs w:val="22"/>
        </w:rPr>
        <w:t xml:space="preserve">.- </w:t>
      </w:r>
    </w:p>
    <w:p w14:paraId="1D3829F4" w14:textId="77777777" w:rsidR="00C049E2" w:rsidRPr="007B4961" w:rsidRDefault="00C049E2" w:rsidP="007B4961">
      <w:pPr>
        <w:spacing w:line="240" w:lineRule="auto"/>
        <w:ind w:left="567" w:right="539"/>
        <w:rPr>
          <w:rFonts w:eastAsia="Palatino Linotype"/>
          <w:i/>
          <w:szCs w:val="22"/>
        </w:rPr>
      </w:pPr>
      <w:r w:rsidRPr="007B4961">
        <w:rPr>
          <w:rFonts w:eastAsia="Palatino Linotype"/>
          <w:i/>
          <w:szCs w:val="22"/>
        </w:rPr>
        <w:t>(…)</w:t>
      </w:r>
    </w:p>
    <w:p w14:paraId="0EAE47FD" w14:textId="77777777" w:rsidR="00C049E2" w:rsidRPr="007B4961" w:rsidRDefault="00C049E2" w:rsidP="007B4961">
      <w:pPr>
        <w:spacing w:line="240" w:lineRule="auto"/>
        <w:ind w:left="567" w:right="539"/>
        <w:rPr>
          <w:rFonts w:eastAsia="Palatino Linotype"/>
          <w:i/>
          <w:szCs w:val="22"/>
        </w:rPr>
      </w:pPr>
      <w:r w:rsidRPr="007B4961">
        <w:rPr>
          <w:rFonts w:eastAsia="Palatino Linotype"/>
          <w:b/>
          <w:i/>
          <w:szCs w:val="22"/>
        </w:rPr>
        <w:t>El derecho a la información será garantizado por el Estado. La ley establecerá las previsiones que permitan asegurar la protección, el respeto y la difusión de este derecho</w:t>
      </w:r>
      <w:r w:rsidRPr="007B4961">
        <w:rPr>
          <w:rFonts w:eastAsia="Palatino Linotype"/>
          <w:i/>
          <w:szCs w:val="22"/>
        </w:rPr>
        <w:t>.</w:t>
      </w:r>
    </w:p>
    <w:p w14:paraId="4F0C804A" w14:textId="77777777" w:rsidR="00C049E2" w:rsidRPr="007B4961" w:rsidRDefault="00C049E2" w:rsidP="007B4961">
      <w:pPr>
        <w:spacing w:line="240" w:lineRule="auto"/>
        <w:ind w:left="567" w:right="539"/>
        <w:rPr>
          <w:rFonts w:eastAsia="Palatino Linotype"/>
          <w:i/>
          <w:szCs w:val="22"/>
        </w:rPr>
      </w:pPr>
      <w:r w:rsidRPr="007B4961">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B4961" w:rsidRDefault="00C049E2" w:rsidP="007B4961">
      <w:pPr>
        <w:spacing w:line="240" w:lineRule="auto"/>
        <w:ind w:left="567" w:right="539"/>
        <w:rPr>
          <w:rFonts w:eastAsia="Palatino Linotype"/>
          <w:i/>
          <w:szCs w:val="22"/>
        </w:rPr>
      </w:pPr>
      <w:r w:rsidRPr="007B4961">
        <w:rPr>
          <w:rFonts w:eastAsia="Palatino Linotype"/>
          <w:b/>
          <w:i/>
          <w:szCs w:val="22"/>
        </w:rPr>
        <w:lastRenderedPageBreak/>
        <w:t>Este derecho se regirá por los principios y bases siguientes</w:t>
      </w:r>
      <w:r w:rsidRPr="007B4961">
        <w:rPr>
          <w:rFonts w:eastAsia="Palatino Linotype"/>
          <w:i/>
          <w:szCs w:val="22"/>
        </w:rPr>
        <w:t>:</w:t>
      </w:r>
    </w:p>
    <w:p w14:paraId="4A3E8CBA" w14:textId="77777777" w:rsidR="00C049E2" w:rsidRPr="007B4961" w:rsidRDefault="00C049E2" w:rsidP="007B4961">
      <w:pPr>
        <w:spacing w:line="240" w:lineRule="auto"/>
        <w:ind w:left="567" w:right="539"/>
        <w:rPr>
          <w:rFonts w:eastAsia="Palatino Linotype"/>
          <w:i/>
          <w:szCs w:val="22"/>
        </w:rPr>
      </w:pPr>
      <w:r w:rsidRPr="007B4961">
        <w:rPr>
          <w:rFonts w:eastAsia="Palatino Linotype"/>
          <w:b/>
          <w:i/>
          <w:szCs w:val="22"/>
        </w:rPr>
        <w:t>I. Toda la información en posesión de cualquier autoridad, entidad, órgano y organismos de los</w:t>
      </w:r>
      <w:r w:rsidRPr="007B4961">
        <w:rPr>
          <w:rFonts w:eastAsia="Palatino Linotype"/>
          <w:i/>
          <w:szCs w:val="22"/>
        </w:rPr>
        <w:t xml:space="preserve"> Poderes Ejecutivo, Legislativo y Judicial, órganos autónomos, partidos políticos, fideicomisos y fondos públicos estatales y </w:t>
      </w:r>
      <w:r w:rsidRPr="007B4961">
        <w:rPr>
          <w:rFonts w:eastAsia="Palatino Linotype"/>
          <w:b/>
          <w:i/>
          <w:szCs w:val="22"/>
        </w:rPr>
        <w:t>municipales</w:t>
      </w:r>
      <w:r w:rsidRPr="007B4961">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B4961">
        <w:rPr>
          <w:rFonts w:eastAsia="Palatino Linotype"/>
          <w:b/>
          <w:i/>
          <w:szCs w:val="22"/>
        </w:rPr>
        <w:t>es pública</w:t>
      </w:r>
      <w:r w:rsidRPr="007B4961">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7B4961">
        <w:rPr>
          <w:rFonts w:eastAsia="Palatino Linotype"/>
          <w:b/>
          <w:i/>
          <w:szCs w:val="22"/>
        </w:rPr>
        <w:t>En la interpretación de este derecho deberá prevalecer el principio de máxima publicidad</w:t>
      </w:r>
      <w:r w:rsidRPr="007B4961">
        <w:rPr>
          <w:rFonts w:eastAsia="Palatino Linotype"/>
          <w:i/>
          <w:szCs w:val="22"/>
        </w:rPr>
        <w:t xml:space="preserve">. </w:t>
      </w:r>
      <w:r w:rsidRPr="007B4961">
        <w:rPr>
          <w:rFonts w:eastAsia="Palatino Linotype"/>
          <w:b/>
          <w:i/>
          <w:szCs w:val="22"/>
        </w:rPr>
        <w:t>Los sujetos obligados deberán documentar todo acto que derive del ejercicio de sus facultades, competencias o funciones</w:t>
      </w:r>
      <w:r w:rsidRPr="007B4961">
        <w:rPr>
          <w:rFonts w:eastAsia="Palatino Linotype"/>
          <w:i/>
          <w:szCs w:val="22"/>
        </w:rPr>
        <w:t>, la ley determinará los supuestos específicos bajo los cuales procederá la declaración de inexistencia de la información.”</w:t>
      </w:r>
    </w:p>
    <w:p w14:paraId="5CA98E37" w14:textId="77777777" w:rsidR="00C049E2" w:rsidRPr="007B4961" w:rsidRDefault="00C049E2" w:rsidP="007B4961">
      <w:pPr>
        <w:rPr>
          <w:rFonts w:eastAsia="Palatino Linotype"/>
          <w:b/>
          <w:i/>
          <w:szCs w:val="22"/>
        </w:rPr>
      </w:pPr>
    </w:p>
    <w:p w14:paraId="6FC1BB3B" w14:textId="3BF4A33D" w:rsidR="00C049E2" w:rsidRPr="007B4961" w:rsidRDefault="00717E59" w:rsidP="007B4961">
      <w:pPr>
        <w:rPr>
          <w:rFonts w:eastAsia="Palatino Linotype"/>
          <w:i/>
          <w:szCs w:val="22"/>
        </w:rPr>
      </w:pPr>
      <w:r w:rsidRPr="007B4961">
        <w:rPr>
          <w:rFonts w:eastAsia="Palatino Linotype"/>
          <w:szCs w:val="22"/>
        </w:rPr>
        <w:t xml:space="preserve">Asimismo, </w:t>
      </w:r>
      <w:r w:rsidR="00C049E2" w:rsidRPr="007B4961">
        <w:rPr>
          <w:rFonts w:eastAsia="Palatino Linotype"/>
          <w:szCs w:val="22"/>
        </w:rPr>
        <w:t>el artículo 150 de la Ley de Transparencia y Acceso a la Información Pública del Estado de México y Municipios</w:t>
      </w:r>
      <w:r w:rsidR="00057B2D" w:rsidRPr="007B4961">
        <w:rPr>
          <w:rFonts w:eastAsia="Palatino Linotype"/>
          <w:szCs w:val="22"/>
        </w:rPr>
        <w:t xml:space="preserve"> </w:t>
      </w:r>
      <w:r w:rsidR="00E9335C" w:rsidRPr="007B4961">
        <w:rPr>
          <w:rFonts w:eastAsia="Palatino Linotype"/>
          <w:szCs w:val="22"/>
        </w:rPr>
        <w:t xml:space="preserve">indica </w:t>
      </w:r>
      <w:r w:rsidR="00057B2D" w:rsidRPr="007B4961">
        <w:rPr>
          <w:rFonts w:eastAsia="Palatino Linotype"/>
          <w:szCs w:val="22"/>
        </w:rPr>
        <w:t>que</w:t>
      </w:r>
      <w:r w:rsidR="00C049E2" w:rsidRPr="007B4961">
        <w:rPr>
          <w:rFonts w:eastAsia="Palatino Linotype"/>
          <w:szCs w:val="22"/>
        </w:rPr>
        <w:t xml:space="preserve"> la solicitud es la garantía primaria del Derecho de Acceso a la Información, además, establece que se regirá </w:t>
      </w:r>
      <w:r w:rsidR="00C049E2" w:rsidRPr="007B4961">
        <w:rPr>
          <w:rFonts w:eastAsia="Palatino Linotype"/>
          <w:i/>
          <w:szCs w:val="22"/>
        </w:rPr>
        <w:t>por los principios de simplicidad, rapidez</w:t>
      </w:r>
      <w:r w:rsidR="005F65B7" w:rsidRPr="007B4961">
        <w:rPr>
          <w:rFonts w:eastAsia="Palatino Linotype"/>
          <w:i/>
          <w:szCs w:val="22"/>
        </w:rPr>
        <w:t>,</w:t>
      </w:r>
      <w:r w:rsidR="00C049E2" w:rsidRPr="007B4961">
        <w:rPr>
          <w:rFonts w:eastAsia="Palatino Linotype"/>
          <w:i/>
          <w:szCs w:val="22"/>
        </w:rPr>
        <w:t xml:space="preserve"> gratuidad del procedimiento, auxilio y orientación a los particulare</w:t>
      </w:r>
      <w:r w:rsidR="001A58B3" w:rsidRPr="007B4961">
        <w:rPr>
          <w:rFonts w:eastAsia="Palatino Linotype"/>
          <w:i/>
          <w:szCs w:val="22"/>
        </w:rPr>
        <w:t>s.</w:t>
      </w:r>
    </w:p>
    <w:p w14:paraId="033466A6" w14:textId="77777777" w:rsidR="001A58B3" w:rsidRPr="007B4961" w:rsidRDefault="001A58B3" w:rsidP="007B4961">
      <w:pPr>
        <w:rPr>
          <w:rFonts w:eastAsia="Palatino Linotype"/>
          <w:i/>
          <w:szCs w:val="22"/>
        </w:rPr>
      </w:pPr>
    </w:p>
    <w:p w14:paraId="04ADA10B" w14:textId="574A944A" w:rsidR="001A58B3" w:rsidRPr="007B4961" w:rsidRDefault="00233F17" w:rsidP="007B4961">
      <w:pPr>
        <w:rPr>
          <w:rFonts w:eastAsia="Palatino Linotype" w:cs="Palatino Linotype"/>
          <w:i/>
          <w:szCs w:val="22"/>
        </w:rPr>
      </w:pPr>
      <w:r w:rsidRPr="007B4961">
        <w:rPr>
          <w:rFonts w:eastAsia="Palatino Linotype" w:cs="Palatino Linotype"/>
          <w:szCs w:val="22"/>
        </w:rPr>
        <w:t xml:space="preserve">Por su parte, el artículo 4 de </w:t>
      </w:r>
      <w:r w:rsidR="001A58B3" w:rsidRPr="007B4961">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B4961">
        <w:rPr>
          <w:rFonts w:eastAsia="Palatino Linotype" w:cs="Palatino Linotype"/>
          <w:szCs w:val="22"/>
        </w:rPr>
        <w:t>.</w:t>
      </w:r>
    </w:p>
    <w:p w14:paraId="1407DBB8" w14:textId="77777777" w:rsidR="001A58B3" w:rsidRPr="007B4961" w:rsidRDefault="001A58B3" w:rsidP="007B4961">
      <w:pPr>
        <w:rPr>
          <w:rFonts w:eastAsia="Palatino Linotype" w:cs="Palatino Linotype"/>
          <w:szCs w:val="22"/>
        </w:rPr>
      </w:pPr>
    </w:p>
    <w:p w14:paraId="7552AA79" w14:textId="5C52E4A4" w:rsidR="001A58B3" w:rsidRPr="007B4961" w:rsidRDefault="001A58B3" w:rsidP="007B4961">
      <w:pPr>
        <w:rPr>
          <w:rFonts w:eastAsia="Palatino Linotype" w:cs="Palatino Linotype"/>
          <w:szCs w:val="22"/>
        </w:rPr>
      </w:pPr>
      <w:r w:rsidRPr="007B4961">
        <w:rPr>
          <w:rFonts w:eastAsia="Palatino Linotype" w:cs="Palatino Linotype"/>
          <w:szCs w:val="22"/>
        </w:rPr>
        <w:t xml:space="preserve">Esto es, que los Sujetos Obligados </w:t>
      </w:r>
      <w:r w:rsidR="00FA5957" w:rsidRPr="007B4961">
        <w:rPr>
          <w:rFonts w:eastAsia="Palatino Linotype" w:cs="Palatino Linotype"/>
          <w:szCs w:val="22"/>
        </w:rPr>
        <w:t>deben</w:t>
      </w:r>
      <w:r w:rsidRPr="007B4961">
        <w:rPr>
          <w:rFonts w:eastAsia="Palatino Linotype" w:cs="Palatino Linotype"/>
          <w:szCs w:val="22"/>
        </w:rPr>
        <w:t xml:space="preserve"> atender las solicitudes de acceso a la información pública que se les </w:t>
      </w:r>
      <w:r w:rsidR="00FA5957" w:rsidRPr="007B4961">
        <w:rPr>
          <w:rFonts w:eastAsia="Palatino Linotype" w:cs="Palatino Linotype"/>
          <w:szCs w:val="22"/>
        </w:rPr>
        <w:t>sean realizadas,</w:t>
      </w:r>
      <w:r w:rsidRPr="007B4961">
        <w:rPr>
          <w:rFonts w:eastAsia="Palatino Linotype" w:cs="Palatino Linotype"/>
          <w:szCs w:val="22"/>
        </w:rPr>
        <w:t xml:space="preserve"> y proporcionar la información pública que obre en su poder</w:t>
      </w:r>
      <w:r w:rsidR="00FA5957" w:rsidRPr="007B4961">
        <w:rPr>
          <w:rFonts w:eastAsia="Palatino Linotype" w:cs="Palatino Linotype"/>
          <w:szCs w:val="22"/>
        </w:rPr>
        <w:t>,</w:t>
      </w:r>
      <w:r w:rsidRPr="007B4961">
        <w:rPr>
          <w:rFonts w:eastAsia="Palatino Linotype" w:cs="Palatino Linotype"/>
          <w:szCs w:val="22"/>
        </w:rPr>
        <w:t xml:space="preserve"> conforme </w:t>
      </w:r>
      <w:r w:rsidR="00FA5957" w:rsidRPr="007B4961">
        <w:rPr>
          <w:rFonts w:eastAsia="Palatino Linotype" w:cs="Palatino Linotype"/>
          <w:szCs w:val="22"/>
        </w:rPr>
        <w:t>a</w:t>
      </w:r>
      <w:r w:rsidRPr="007B4961">
        <w:rPr>
          <w:rFonts w:eastAsia="Palatino Linotype" w:cs="Palatino Linotype"/>
          <w:szCs w:val="22"/>
        </w:rPr>
        <w:t xml:space="preserve">l estado </w:t>
      </w:r>
      <w:r w:rsidR="00FA5957" w:rsidRPr="007B4961">
        <w:rPr>
          <w:rFonts w:eastAsia="Palatino Linotype" w:cs="Palatino Linotype"/>
          <w:szCs w:val="22"/>
        </w:rPr>
        <w:t xml:space="preserve">en </w:t>
      </w:r>
      <w:r w:rsidRPr="007B4961">
        <w:rPr>
          <w:rFonts w:eastAsia="Palatino Linotype" w:cs="Palatino Linotype"/>
          <w:szCs w:val="22"/>
        </w:rPr>
        <w:t>que se encuentr</w:t>
      </w:r>
      <w:r w:rsidR="00FA5957" w:rsidRPr="007B4961">
        <w:rPr>
          <w:rFonts w:eastAsia="Palatino Linotype" w:cs="Palatino Linotype"/>
          <w:szCs w:val="22"/>
        </w:rPr>
        <w:t>e, sin que sea necesario</w:t>
      </w:r>
      <w:r w:rsidRPr="007B4961">
        <w:rPr>
          <w:rFonts w:eastAsia="Palatino Linotype" w:cs="Palatino Linotype"/>
          <w:szCs w:val="22"/>
        </w:rPr>
        <w:t xml:space="preserve"> </w:t>
      </w:r>
      <w:r w:rsidR="00FA5957" w:rsidRPr="007B4961">
        <w:rPr>
          <w:rFonts w:eastAsia="Palatino Linotype" w:cs="Palatino Linotype"/>
          <w:szCs w:val="22"/>
        </w:rPr>
        <w:t>procesar</w:t>
      </w:r>
      <w:r w:rsidRPr="007B4961">
        <w:rPr>
          <w:rFonts w:eastAsia="Palatino Linotype" w:cs="Palatino Linotype"/>
          <w:szCs w:val="22"/>
        </w:rPr>
        <w:t xml:space="preserve"> la misma, ni presentarla conforme al interés del solicitante; </w:t>
      </w:r>
      <w:r w:rsidR="00FA5957" w:rsidRPr="007B4961">
        <w:rPr>
          <w:rFonts w:eastAsia="Palatino Linotype" w:cs="Palatino Linotype"/>
          <w:szCs w:val="22"/>
        </w:rPr>
        <w:t>tal y como</w:t>
      </w:r>
      <w:r w:rsidRPr="007B4961">
        <w:rPr>
          <w:rFonts w:eastAsia="Palatino Linotype" w:cs="Palatino Linotype"/>
          <w:szCs w:val="22"/>
        </w:rPr>
        <w:t xml:space="preserve"> lo establece el artículo 12 de la Ley de Transparencia y Acceso a la Información Pública del Estado de México y Municipios</w:t>
      </w:r>
      <w:r w:rsidR="00970EB3" w:rsidRPr="007B4961">
        <w:rPr>
          <w:rFonts w:eastAsia="Palatino Linotype" w:cs="Palatino Linotype"/>
          <w:szCs w:val="22"/>
        </w:rPr>
        <w:t>.</w:t>
      </w:r>
    </w:p>
    <w:p w14:paraId="73245195" w14:textId="77777777" w:rsidR="00970EB3" w:rsidRPr="007B4961" w:rsidRDefault="00970EB3" w:rsidP="007B4961">
      <w:pPr>
        <w:rPr>
          <w:rFonts w:eastAsia="Palatino Linotype" w:cs="Palatino Linotype"/>
          <w:szCs w:val="22"/>
        </w:rPr>
      </w:pPr>
    </w:p>
    <w:p w14:paraId="7F62D4DF" w14:textId="775730E1" w:rsidR="001A58B3" w:rsidRPr="007B4961" w:rsidRDefault="001A58B3" w:rsidP="007B4961">
      <w:pPr>
        <w:rPr>
          <w:rFonts w:eastAsia="Palatino Linotype" w:cs="Palatino Linotype"/>
          <w:szCs w:val="22"/>
        </w:rPr>
      </w:pPr>
      <w:r w:rsidRPr="007B4961">
        <w:rPr>
          <w:rFonts w:eastAsia="Palatino Linotype" w:cs="Palatino Linotype"/>
          <w:szCs w:val="22"/>
        </w:rPr>
        <w:lastRenderedPageBreak/>
        <w:t>Es decir, que todo sujeto obligado que genere, recopile, administre, procese, archive, posea o conserven, son responsables de la misma</w:t>
      </w:r>
      <w:r w:rsidR="00970EB3" w:rsidRPr="007B4961">
        <w:rPr>
          <w:rFonts w:eastAsia="Palatino Linotype" w:cs="Palatino Linotype"/>
          <w:szCs w:val="22"/>
        </w:rPr>
        <w:t>,</w:t>
      </w:r>
      <w:r w:rsidRPr="007B4961">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7B4961">
        <w:rPr>
          <w:rFonts w:eastAsia="Palatino Linotype" w:cs="Palatino Linotype"/>
          <w:szCs w:val="22"/>
        </w:rPr>
        <w:t>o</w:t>
      </w:r>
      <w:r w:rsidRPr="007B4961">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B4961" w:rsidRDefault="001A58B3" w:rsidP="007B4961">
      <w:pPr>
        <w:rPr>
          <w:rFonts w:eastAsia="Palatino Linotype" w:cs="Palatino Linotype"/>
          <w:szCs w:val="22"/>
        </w:rPr>
      </w:pPr>
    </w:p>
    <w:p w14:paraId="04E42DFE" w14:textId="573F1198" w:rsidR="001A58B3" w:rsidRPr="007B4961" w:rsidRDefault="001A58B3" w:rsidP="007B4961">
      <w:pPr>
        <w:rPr>
          <w:rFonts w:eastAsia="Palatino Linotype" w:cs="Palatino Linotype"/>
          <w:szCs w:val="22"/>
        </w:rPr>
      </w:pPr>
      <w:r w:rsidRPr="007B4961">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B4961">
        <w:rPr>
          <w:rFonts w:eastAsia="Palatino Linotype" w:cs="Palatino Linotype"/>
          <w:szCs w:val="22"/>
        </w:rPr>
        <w:t>, s</w:t>
      </w:r>
      <w:r w:rsidRPr="007B4961">
        <w:rPr>
          <w:rFonts w:eastAsia="Palatino Linotype" w:cs="Palatino Linotype"/>
          <w:szCs w:val="22"/>
        </w:rPr>
        <w:t xml:space="preserve">iempre y cuando no se trate de información reservada o </w:t>
      </w:r>
      <w:r w:rsidR="00331F35" w:rsidRPr="007B4961">
        <w:rPr>
          <w:rFonts w:eastAsia="Palatino Linotype" w:cs="Palatino Linotype"/>
          <w:szCs w:val="22"/>
        </w:rPr>
        <w:t>confidencial.</w:t>
      </w:r>
    </w:p>
    <w:p w14:paraId="40C5219F" w14:textId="77777777" w:rsidR="001A58B3" w:rsidRPr="007B4961" w:rsidRDefault="001A58B3" w:rsidP="007B4961">
      <w:pPr>
        <w:rPr>
          <w:rFonts w:eastAsia="Palatino Linotype" w:cs="Palatino Linotype"/>
          <w:szCs w:val="22"/>
        </w:rPr>
      </w:pPr>
    </w:p>
    <w:p w14:paraId="2E629608" w14:textId="01727E15" w:rsidR="00C049E2" w:rsidRPr="007B4961" w:rsidRDefault="006067C7" w:rsidP="007B4961">
      <w:pPr>
        <w:rPr>
          <w:rFonts w:eastAsia="Palatino Linotype"/>
          <w:szCs w:val="22"/>
        </w:rPr>
      </w:pPr>
      <w:bookmarkStart w:id="30" w:name="_heading=h.2s8eyo1" w:colFirst="0" w:colLast="0"/>
      <w:bookmarkEnd w:id="30"/>
      <w:r w:rsidRPr="007B4961">
        <w:rPr>
          <w:rFonts w:eastAsia="Palatino Linotype"/>
          <w:szCs w:val="22"/>
        </w:rPr>
        <w:t>Con base en lo anterior</w:t>
      </w:r>
      <w:r w:rsidR="00B22A80" w:rsidRPr="007B4961">
        <w:rPr>
          <w:rFonts w:eastAsia="Palatino Linotype"/>
          <w:szCs w:val="22"/>
        </w:rPr>
        <w:t>, se considera que</w:t>
      </w:r>
      <w:r w:rsidR="00C049E2" w:rsidRPr="007B4961">
        <w:rPr>
          <w:rFonts w:eastAsia="Palatino Linotype"/>
          <w:szCs w:val="22"/>
        </w:rPr>
        <w:t xml:space="preserve"> </w:t>
      </w:r>
      <w:r w:rsidR="00B22A80" w:rsidRPr="007B4961">
        <w:rPr>
          <w:rFonts w:eastAsia="Palatino Linotype"/>
          <w:b/>
          <w:bCs/>
          <w:szCs w:val="22"/>
        </w:rPr>
        <w:t>EL</w:t>
      </w:r>
      <w:r w:rsidR="00C049E2" w:rsidRPr="007B4961">
        <w:rPr>
          <w:rFonts w:eastAsia="Palatino Linotype"/>
          <w:szCs w:val="22"/>
        </w:rPr>
        <w:t xml:space="preserve"> </w:t>
      </w:r>
      <w:r w:rsidR="00C049E2" w:rsidRPr="007B4961">
        <w:rPr>
          <w:rFonts w:eastAsia="Palatino Linotype"/>
          <w:b/>
          <w:szCs w:val="22"/>
        </w:rPr>
        <w:t>SUJETO OBLIGADO</w:t>
      </w:r>
      <w:r w:rsidR="00C049E2" w:rsidRPr="007B4961">
        <w:rPr>
          <w:rFonts w:eastAsia="Palatino Linotype"/>
          <w:szCs w:val="22"/>
        </w:rPr>
        <w:t xml:space="preserve"> </w:t>
      </w:r>
      <w:r w:rsidR="00B22A80" w:rsidRPr="007B4961">
        <w:rPr>
          <w:rFonts w:eastAsia="Palatino Linotype"/>
          <w:szCs w:val="22"/>
        </w:rPr>
        <w:t xml:space="preserve">se </w:t>
      </w:r>
      <w:r w:rsidR="00717E59" w:rsidRPr="007B4961">
        <w:rPr>
          <w:rFonts w:eastAsia="Palatino Linotype"/>
          <w:szCs w:val="22"/>
        </w:rPr>
        <w:t>encontraba</w:t>
      </w:r>
      <w:r w:rsidR="00B22A80" w:rsidRPr="007B4961">
        <w:rPr>
          <w:rFonts w:eastAsia="Palatino Linotype"/>
          <w:szCs w:val="22"/>
        </w:rPr>
        <w:t xml:space="preserve"> compelido a</w:t>
      </w:r>
      <w:r w:rsidR="00C049E2" w:rsidRPr="007B4961">
        <w:rPr>
          <w:rFonts w:eastAsia="Palatino Linotype"/>
          <w:szCs w:val="22"/>
        </w:rPr>
        <w:t xml:space="preserve"> atender la solicitud de acceso a la información </w:t>
      </w:r>
      <w:r w:rsidR="00B22A80" w:rsidRPr="007B4961">
        <w:rPr>
          <w:rFonts w:eastAsia="Palatino Linotype"/>
          <w:szCs w:val="22"/>
        </w:rPr>
        <w:t xml:space="preserve">realizada por </w:t>
      </w:r>
      <w:r w:rsidR="00B22A80" w:rsidRPr="007B4961">
        <w:rPr>
          <w:rFonts w:eastAsia="Palatino Linotype"/>
          <w:b/>
          <w:bCs/>
          <w:szCs w:val="22"/>
        </w:rPr>
        <w:t>LA PARTE RECURRENTE</w:t>
      </w:r>
      <w:r w:rsidR="00331F35" w:rsidRPr="007B4961">
        <w:rPr>
          <w:rFonts w:eastAsia="Palatino Linotype"/>
          <w:szCs w:val="22"/>
        </w:rPr>
        <w:t>.</w:t>
      </w:r>
    </w:p>
    <w:p w14:paraId="1611F147" w14:textId="77777777" w:rsidR="00BD5A7C" w:rsidRPr="007B4961" w:rsidRDefault="00BD5A7C" w:rsidP="007B4961">
      <w:pPr>
        <w:rPr>
          <w:rFonts w:eastAsia="Palatino Linotype"/>
          <w:szCs w:val="22"/>
        </w:rPr>
      </w:pPr>
    </w:p>
    <w:p w14:paraId="51A0E8B4" w14:textId="68A3EEF1" w:rsidR="00664420" w:rsidRPr="007B4961" w:rsidRDefault="00C71CEF" w:rsidP="007B4961">
      <w:pPr>
        <w:pStyle w:val="Ttulo3"/>
        <w:rPr>
          <w:rFonts w:eastAsia="Calibri"/>
          <w:szCs w:val="22"/>
          <w:lang w:eastAsia="es-ES_tradnl"/>
        </w:rPr>
      </w:pPr>
      <w:bookmarkStart w:id="31" w:name="_Toc184225351"/>
      <w:r w:rsidRPr="007B4961">
        <w:rPr>
          <w:rFonts w:eastAsia="Calibri"/>
          <w:szCs w:val="22"/>
          <w:lang w:eastAsia="es-ES_tradnl"/>
        </w:rPr>
        <w:t>b)</w:t>
      </w:r>
      <w:r w:rsidR="00A53315" w:rsidRPr="007B4961">
        <w:rPr>
          <w:rFonts w:eastAsia="Calibri"/>
          <w:szCs w:val="22"/>
          <w:lang w:eastAsia="es-ES_tradnl"/>
        </w:rPr>
        <w:t xml:space="preserve"> </w:t>
      </w:r>
      <w:r w:rsidR="00A21A20" w:rsidRPr="007B4961">
        <w:rPr>
          <w:rFonts w:eastAsia="Calibri"/>
          <w:szCs w:val="22"/>
          <w:lang w:eastAsia="es-ES_tradnl"/>
        </w:rPr>
        <w:t>Controversia a resolver</w:t>
      </w:r>
      <w:r w:rsidR="00507B2E" w:rsidRPr="007B4961">
        <w:rPr>
          <w:rFonts w:eastAsia="Calibri"/>
          <w:szCs w:val="22"/>
          <w:lang w:eastAsia="es-ES_tradnl"/>
        </w:rPr>
        <w:t>.</w:t>
      </w:r>
      <w:bookmarkEnd w:id="31"/>
    </w:p>
    <w:p w14:paraId="5DAE2A65" w14:textId="544FD123" w:rsidR="00664420" w:rsidRPr="007B4961" w:rsidRDefault="00664420" w:rsidP="007B4961">
      <w:pPr>
        <w:rPr>
          <w:rFonts w:eastAsia="Calibri"/>
          <w:szCs w:val="22"/>
          <w:lang w:eastAsia="es-ES_tradnl"/>
        </w:rPr>
      </w:pPr>
      <w:r w:rsidRPr="007B4961">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7B4961">
        <w:rPr>
          <w:rFonts w:eastAsia="Calibri"/>
          <w:szCs w:val="22"/>
          <w:lang w:eastAsia="es-ES_tradnl"/>
        </w:rPr>
        <w:t>entiende</w:t>
      </w:r>
      <w:r w:rsidR="008E17B8" w:rsidRPr="007B4961">
        <w:rPr>
          <w:rFonts w:eastAsia="Calibri"/>
          <w:szCs w:val="22"/>
          <w:lang w:eastAsia="es-ES_tradnl"/>
        </w:rPr>
        <w:t xml:space="preserve"> que</w:t>
      </w:r>
      <w:r w:rsidRPr="007B4961">
        <w:rPr>
          <w:rFonts w:eastAsia="Calibri"/>
          <w:szCs w:val="22"/>
          <w:lang w:eastAsia="es-ES_tradnl"/>
        </w:rPr>
        <w:t xml:space="preserve"> </w:t>
      </w:r>
      <w:r w:rsidR="005D5A50" w:rsidRPr="007B4961">
        <w:rPr>
          <w:rFonts w:eastAsia="Calibri"/>
          <w:b/>
          <w:bCs/>
          <w:szCs w:val="22"/>
          <w:lang w:eastAsia="es-ES_tradnl"/>
        </w:rPr>
        <w:t>LA PARTE RECURRENTE</w:t>
      </w:r>
      <w:r w:rsidRPr="007B4961">
        <w:rPr>
          <w:rFonts w:eastAsia="Calibri"/>
          <w:szCs w:val="22"/>
          <w:lang w:eastAsia="es-ES_tradnl"/>
        </w:rPr>
        <w:t xml:space="preserve"> </w:t>
      </w:r>
      <w:r w:rsidR="00F44420" w:rsidRPr="007B4961">
        <w:rPr>
          <w:rFonts w:eastAsia="Calibri"/>
          <w:szCs w:val="22"/>
          <w:lang w:eastAsia="es-ES_tradnl"/>
        </w:rPr>
        <w:t>lo siguiente</w:t>
      </w:r>
      <w:r w:rsidRPr="007B4961">
        <w:rPr>
          <w:rFonts w:eastAsia="Calibri"/>
          <w:szCs w:val="22"/>
          <w:lang w:eastAsia="es-ES_tradnl"/>
        </w:rPr>
        <w:t>:</w:t>
      </w:r>
    </w:p>
    <w:p w14:paraId="2FE0C2E3" w14:textId="77777777" w:rsidR="00594CDE" w:rsidRPr="007B4961" w:rsidRDefault="00594CDE" w:rsidP="007B4961">
      <w:pPr>
        <w:rPr>
          <w:rFonts w:eastAsia="Calibri"/>
          <w:szCs w:val="22"/>
          <w:lang w:eastAsia="es-ES_tradnl"/>
        </w:rPr>
      </w:pPr>
    </w:p>
    <w:p w14:paraId="1770231A" w14:textId="1DC4494E" w:rsidR="00A94088" w:rsidRPr="007B4961" w:rsidRDefault="00594CDE" w:rsidP="007B4961">
      <w:pPr>
        <w:pStyle w:val="Prrafodelista"/>
        <w:numPr>
          <w:ilvl w:val="0"/>
          <w:numId w:val="6"/>
        </w:numPr>
        <w:rPr>
          <w:rFonts w:eastAsia="Calibri"/>
          <w:szCs w:val="22"/>
          <w:lang w:eastAsia="es-ES_tradnl"/>
        </w:rPr>
      </w:pPr>
      <w:r w:rsidRPr="007B4961">
        <w:rPr>
          <w:rFonts w:eastAsia="Calibri"/>
          <w:szCs w:val="22"/>
          <w:lang w:eastAsia="es-ES_tradnl"/>
        </w:rPr>
        <w:t xml:space="preserve">Recibos de nómina y lista de raya de todos los servidores públicos del periodo correspondiente a la segunda quincena de septiembre del año </w:t>
      </w:r>
      <w:r w:rsidR="00251367" w:rsidRPr="007B4961">
        <w:rPr>
          <w:rFonts w:eastAsia="Calibri"/>
          <w:szCs w:val="22"/>
          <w:lang w:eastAsia="es-ES_tradnl"/>
        </w:rPr>
        <w:t>2024</w:t>
      </w:r>
      <w:r w:rsidRPr="007B4961">
        <w:rPr>
          <w:rFonts w:eastAsia="Calibri"/>
          <w:szCs w:val="22"/>
          <w:lang w:eastAsia="es-ES_tradnl"/>
        </w:rPr>
        <w:t>.</w:t>
      </w:r>
    </w:p>
    <w:p w14:paraId="53F5B9C7" w14:textId="77777777" w:rsidR="00E36D21" w:rsidRPr="007B4961" w:rsidRDefault="00E36D21" w:rsidP="007B4961">
      <w:pPr>
        <w:rPr>
          <w:rFonts w:eastAsia="Calibri"/>
          <w:szCs w:val="22"/>
          <w:lang w:eastAsia="es-ES_tradnl"/>
        </w:rPr>
      </w:pPr>
    </w:p>
    <w:p w14:paraId="10FF6969" w14:textId="0CB3815D" w:rsidR="00E36D21" w:rsidRPr="007B4961" w:rsidRDefault="00E36D21" w:rsidP="007B4961">
      <w:pPr>
        <w:tabs>
          <w:tab w:val="left" w:pos="4962"/>
        </w:tabs>
        <w:contextualSpacing/>
        <w:rPr>
          <w:rFonts w:eastAsia="Calibri" w:cs="Tahoma"/>
          <w:szCs w:val="22"/>
          <w:lang w:eastAsia="en-US"/>
        </w:rPr>
      </w:pPr>
      <w:r w:rsidRPr="007B4961">
        <w:rPr>
          <w:rFonts w:eastAsiaTheme="minorHAnsi" w:cs="Tahoma"/>
          <w:bCs/>
          <w:iCs/>
          <w:szCs w:val="22"/>
          <w:lang w:eastAsia="en-US"/>
        </w:rPr>
        <w:t>E</w:t>
      </w:r>
      <w:r w:rsidR="001C411D" w:rsidRPr="007B4961">
        <w:rPr>
          <w:rFonts w:eastAsiaTheme="minorHAnsi" w:cs="Tahoma"/>
          <w:bCs/>
          <w:iCs/>
          <w:szCs w:val="22"/>
          <w:lang w:eastAsia="en-US"/>
        </w:rPr>
        <w:t xml:space="preserve">n las respuestas de los recursos de revisión </w:t>
      </w:r>
      <w:r w:rsidR="001C411D" w:rsidRPr="007B4961">
        <w:rPr>
          <w:rFonts w:eastAsia="Calibri" w:cs="Tahoma"/>
          <w:szCs w:val="22"/>
          <w:lang w:eastAsia="en-US"/>
        </w:rPr>
        <w:t xml:space="preserve">se </w:t>
      </w:r>
      <w:r w:rsidR="00594CDE" w:rsidRPr="007B4961">
        <w:rPr>
          <w:rFonts w:eastAsia="Calibri" w:cs="Tahoma"/>
          <w:szCs w:val="22"/>
          <w:lang w:eastAsia="en-US"/>
        </w:rPr>
        <w:t xml:space="preserve">pronunció </w:t>
      </w:r>
      <w:r w:rsidR="00594CDE" w:rsidRPr="007B4961">
        <w:rPr>
          <w:rFonts w:eastAsia="Calibri" w:cs="Tahoma"/>
          <w:b/>
          <w:szCs w:val="22"/>
          <w:lang w:eastAsia="en-US"/>
        </w:rPr>
        <w:t xml:space="preserve">EL SUJETO OBLIGADO </w:t>
      </w:r>
      <w:r w:rsidR="00594CDE" w:rsidRPr="007B4961">
        <w:rPr>
          <w:rFonts w:eastAsia="Calibri" w:cs="Tahoma"/>
          <w:szCs w:val="22"/>
          <w:lang w:eastAsia="en-US"/>
        </w:rPr>
        <w:t>por conducto del Titular de la Unidad de Transparencia, quien señaló que las solicitud</w:t>
      </w:r>
      <w:r w:rsidR="00C012B0" w:rsidRPr="007B4961">
        <w:rPr>
          <w:rFonts w:eastAsia="Calibri" w:cs="Tahoma"/>
          <w:szCs w:val="22"/>
          <w:lang w:eastAsia="en-US"/>
        </w:rPr>
        <w:t>es de mérito se habían turnado las solicitudes a la Dirección General de Administración, unidad administrativa que refirió que, se puede acceder a la información requerida a través de</w:t>
      </w:r>
      <w:r w:rsidR="00251367" w:rsidRPr="007B4961">
        <w:rPr>
          <w:rFonts w:eastAsia="Calibri" w:cs="Tahoma"/>
          <w:szCs w:val="22"/>
          <w:lang w:eastAsia="en-US"/>
        </w:rPr>
        <w:t xml:space="preserve"> link</w:t>
      </w:r>
      <w:r w:rsidR="00C012B0" w:rsidRPr="007B4961">
        <w:rPr>
          <w:rFonts w:eastAsia="Calibri" w:cs="Tahoma"/>
          <w:szCs w:val="22"/>
          <w:lang w:eastAsia="en-US"/>
        </w:rPr>
        <w:t xml:space="preserve"> </w:t>
      </w:r>
      <w:hyperlink r:id="rId14" w:history="1">
        <w:r w:rsidR="00C012B0" w:rsidRPr="007B4961">
          <w:rPr>
            <w:rStyle w:val="Hipervnculo"/>
            <w:rFonts w:eastAsia="Calibri" w:cs="Tahoma"/>
            <w:i/>
            <w:color w:val="auto"/>
            <w:szCs w:val="22"/>
            <w:lang w:eastAsia="en-US"/>
          </w:rPr>
          <w:t>https://drive.google.com/file/d/1djelwM0T-uQOhVW2vPIqKAjSgxIvbv3U/view?usp=sharing</w:t>
        </w:r>
      </w:hyperlink>
      <w:r w:rsidR="00C012B0" w:rsidRPr="007B4961">
        <w:rPr>
          <w:rFonts w:eastAsia="Calibri" w:cs="Tahoma"/>
          <w:szCs w:val="22"/>
          <w:lang w:eastAsia="en-US"/>
        </w:rPr>
        <w:t>; asimismo señaló que, se remite un oficio emitido por la Subdirección de Administración de Personal como poseedora y generadora de las documentales solicitadas en versión pública.</w:t>
      </w:r>
    </w:p>
    <w:p w14:paraId="69451872" w14:textId="77777777" w:rsidR="005E1378" w:rsidRPr="007B4961" w:rsidRDefault="005E1378" w:rsidP="007B4961">
      <w:pPr>
        <w:tabs>
          <w:tab w:val="left" w:pos="4962"/>
        </w:tabs>
        <w:contextualSpacing/>
        <w:rPr>
          <w:rFonts w:cs="Calibri"/>
        </w:rPr>
      </w:pPr>
    </w:p>
    <w:p w14:paraId="31DD81D7" w14:textId="3A045713" w:rsidR="00664420" w:rsidRPr="007B4961" w:rsidRDefault="00CF7586" w:rsidP="007B4961">
      <w:pPr>
        <w:tabs>
          <w:tab w:val="left" w:pos="4962"/>
        </w:tabs>
        <w:contextualSpacing/>
        <w:rPr>
          <w:rFonts w:eastAsiaTheme="minorHAnsi" w:cs="Tahoma"/>
          <w:bCs/>
          <w:iCs/>
          <w:szCs w:val="22"/>
          <w:lang w:eastAsia="en-US"/>
        </w:rPr>
      </w:pPr>
      <w:r w:rsidRPr="007B4961">
        <w:rPr>
          <w:rFonts w:eastAsiaTheme="minorHAnsi" w:cs="Tahoma"/>
          <w:bCs/>
          <w:iCs/>
          <w:szCs w:val="22"/>
          <w:lang w:eastAsia="en-US"/>
        </w:rPr>
        <w:t>Ahora bien, en la interposición de</w:t>
      </w:r>
      <w:r w:rsidR="00012D84" w:rsidRPr="007B4961">
        <w:rPr>
          <w:rFonts w:eastAsiaTheme="minorHAnsi" w:cs="Tahoma"/>
          <w:bCs/>
          <w:iCs/>
          <w:szCs w:val="22"/>
          <w:lang w:eastAsia="en-US"/>
        </w:rPr>
        <w:t xml:space="preserve"> </w:t>
      </w:r>
      <w:r w:rsidRPr="007B4961">
        <w:rPr>
          <w:rFonts w:eastAsiaTheme="minorHAnsi" w:cs="Tahoma"/>
          <w:bCs/>
          <w:iCs/>
          <w:szCs w:val="22"/>
          <w:lang w:eastAsia="en-US"/>
        </w:rPr>
        <w:t>l</w:t>
      </w:r>
      <w:r w:rsidR="00012D84" w:rsidRPr="007B4961">
        <w:rPr>
          <w:rFonts w:eastAsiaTheme="minorHAnsi" w:cs="Tahoma"/>
          <w:bCs/>
          <w:iCs/>
          <w:szCs w:val="22"/>
          <w:lang w:eastAsia="en-US"/>
        </w:rPr>
        <w:t>os</w:t>
      </w:r>
      <w:r w:rsidRPr="007B4961">
        <w:rPr>
          <w:rFonts w:eastAsiaTheme="minorHAnsi" w:cs="Tahoma"/>
          <w:bCs/>
          <w:iCs/>
          <w:szCs w:val="22"/>
          <w:lang w:eastAsia="en-US"/>
        </w:rPr>
        <w:t xml:space="preserve"> recurso</w:t>
      </w:r>
      <w:r w:rsidR="00012D84" w:rsidRPr="007B4961">
        <w:rPr>
          <w:rFonts w:eastAsiaTheme="minorHAnsi" w:cs="Tahoma"/>
          <w:bCs/>
          <w:iCs/>
          <w:szCs w:val="22"/>
          <w:lang w:eastAsia="en-US"/>
        </w:rPr>
        <w:t>s de revisión</w:t>
      </w:r>
      <w:r w:rsidRPr="007B4961">
        <w:rPr>
          <w:rFonts w:eastAsiaTheme="minorHAnsi" w:cs="Tahoma"/>
          <w:bCs/>
          <w:iCs/>
          <w:szCs w:val="22"/>
          <w:lang w:eastAsia="en-US"/>
        </w:rPr>
        <w:t xml:space="preserve"> </w:t>
      </w:r>
      <w:r w:rsidRPr="007B4961">
        <w:rPr>
          <w:rFonts w:eastAsiaTheme="minorHAnsi" w:cs="Tahoma"/>
          <w:b/>
          <w:iCs/>
          <w:szCs w:val="22"/>
          <w:lang w:eastAsia="en-US"/>
        </w:rPr>
        <w:t>LA PARTE RECURRENTE</w:t>
      </w:r>
      <w:r w:rsidR="00664420" w:rsidRPr="007B4961">
        <w:rPr>
          <w:rFonts w:eastAsiaTheme="minorHAnsi" w:cs="Tahoma"/>
          <w:bCs/>
          <w:iCs/>
          <w:szCs w:val="22"/>
          <w:lang w:eastAsia="en-US"/>
        </w:rPr>
        <w:t xml:space="preserve"> se inconformó </w:t>
      </w:r>
      <w:r w:rsidR="005D1A4A" w:rsidRPr="007B4961">
        <w:rPr>
          <w:rFonts w:eastAsiaTheme="minorHAnsi" w:cs="Tahoma"/>
          <w:bCs/>
          <w:iCs/>
          <w:szCs w:val="22"/>
          <w:lang w:eastAsia="en-US"/>
        </w:rPr>
        <w:t xml:space="preserve">sobre la </w:t>
      </w:r>
      <w:r w:rsidR="00C012B0" w:rsidRPr="007B4961">
        <w:rPr>
          <w:rFonts w:eastAsiaTheme="minorHAnsi" w:cs="Tahoma"/>
          <w:bCs/>
          <w:iCs/>
          <w:szCs w:val="22"/>
          <w:lang w:eastAsia="en-US"/>
        </w:rPr>
        <w:t>negativa a la</w:t>
      </w:r>
      <w:r w:rsidR="00911907" w:rsidRPr="007B4961">
        <w:rPr>
          <w:rFonts w:eastAsiaTheme="minorHAnsi" w:cs="Tahoma"/>
          <w:bCs/>
          <w:iCs/>
          <w:szCs w:val="22"/>
          <w:lang w:eastAsia="en-US"/>
        </w:rPr>
        <w:t xml:space="preserve"> información </w:t>
      </w:r>
      <w:r w:rsidR="00C012B0" w:rsidRPr="007B4961">
        <w:rPr>
          <w:rFonts w:eastAsiaTheme="minorHAnsi" w:cs="Tahoma"/>
          <w:bCs/>
          <w:iCs/>
          <w:szCs w:val="22"/>
          <w:lang w:eastAsia="en-US"/>
        </w:rPr>
        <w:t>solicitada</w:t>
      </w:r>
      <w:r w:rsidR="009E09C3" w:rsidRPr="007B4961">
        <w:rPr>
          <w:rFonts w:eastAsiaTheme="minorHAnsi" w:cs="Tahoma"/>
          <w:bCs/>
          <w:iCs/>
          <w:szCs w:val="22"/>
          <w:lang w:eastAsia="en-US"/>
        </w:rPr>
        <w:t>; precisando que si bien la información requerida contiene datos personales, lo cierto también es que el Sujeto Obligado puede elaborar la versión pública de las documentales de mérito</w:t>
      </w:r>
      <w:r w:rsidR="002E36AB" w:rsidRPr="007B4961">
        <w:rPr>
          <w:rFonts w:eastAsiaTheme="minorHAnsi" w:cs="Tahoma"/>
          <w:bCs/>
          <w:iCs/>
          <w:szCs w:val="22"/>
          <w:lang w:eastAsia="en-US"/>
        </w:rPr>
        <w:t>;</w:t>
      </w:r>
      <w:r w:rsidR="00C158A8" w:rsidRPr="007B4961">
        <w:rPr>
          <w:rFonts w:eastAsiaTheme="minorHAnsi" w:cs="Tahoma"/>
          <w:bCs/>
          <w:iCs/>
          <w:szCs w:val="22"/>
          <w:lang w:eastAsia="en-US"/>
        </w:rPr>
        <w:t xml:space="preserve"> por </w:t>
      </w:r>
      <w:r w:rsidRPr="007B4961">
        <w:rPr>
          <w:rFonts w:eastAsiaTheme="minorHAnsi" w:cs="Tahoma"/>
          <w:bCs/>
          <w:iCs/>
          <w:szCs w:val="22"/>
          <w:lang w:eastAsia="en-US"/>
        </w:rPr>
        <w:t xml:space="preserve">lo cual, el estudio </w:t>
      </w:r>
      <w:r w:rsidR="005B18AF" w:rsidRPr="007B4961">
        <w:rPr>
          <w:rFonts w:eastAsiaTheme="minorHAnsi" w:cs="Tahoma"/>
          <w:bCs/>
          <w:iCs/>
          <w:szCs w:val="22"/>
          <w:lang w:eastAsia="en-US"/>
        </w:rPr>
        <w:t xml:space="preserve">se centrará en determinar si </w:t>
      </w:r>
      <w:r w:rsidR="0017786B" w:rsidRPr="007B4961">
        <w:rPr>
          <w:rFonts w:eastAsiaTheme="minorHAnsi" w:cs="Tahoma"/>
          <w:b/>
          <w:bCs/>
          <w:iCs/>
          <w:szCs w:val="22"/>
          <w:lang w:eastAsia="en-US"/>
        </w:rPr>
        <w:t>EL SUJETO OBLIGADO</w:t>
      </w:r>
      <w:r w:rsidR="00C158A8" w:rsidRPr="007B4961">
        <w:rPr>
          <w:rFonts w:eastAsiaTheme="minorHAnsi" w:cs="Tahoma"/>
          <w:bCs/>
          <w:iCs/>
          <w:szCs w:val="22"/>
          <w:lang w:eastAsia="en-US"/>
        </w:rPr>
        <w:t xml:space="preserve"> </w:t>
      </w:r>
      <w:r w:rsidR="009E09C3" w:rsidRPr="007B4961">
        <w:rPr>
          <w:rFonts w:eastAsiaTheme="minorHAnsi" w:cs="Tahoma"/>
          <w:bCs/>
          <w:iCs/>
          <w:szCs w:val="22"/>
          <w:lang w:eastAsia="en-US"/>
        </w:rPr>
        <w:t>colmó con su respuesta, el derecho de acceso a la información pública del solicitante</w:t>
      </w:r>
      <w:r w:rsidR="00E36D21" w:rsidRPr="007B4961">
        <w:rPr>
          <w:rFonts w:eastAsiaTheme="minorHAnsi" w:cs="Tahoma"/>
          <w:bCs/>
          <w:iCs/>
          <w:szCs w:val="22"/>
          <w:lang w:eastAsia="en-US"/>
        </w:rPr>
        <w:t>.</w:t>
      </w:r>
    </w:p>
    <w:p w14:paraId="69148B12" w14:textId="0F3C9DA2" w:rsidR="00AF48AA" w:rsidRPr="007B4961" w:rsidRDefault="00AF48AA" w:rsidP="007B4961">
      <w:pPr>
        <w:tabs>
          <w:tab w:val="left" w:pos="4962"/>
        </w:tabs>
        <w:contextualSpacing/>
        <w:rPr>
          <w:rFonts w:eastAsiaTheme="minorHAnsi" w:cs="Tahoma"/>
          <w:bCs/>
          <w:iCs/>
          <w:szCs w:val="22"/>
          <w:lang w:eastAsia="en-US"/>
        </w:rPr>
      </w:pPr>
    </w:p>
    <w:p w14:paraId="669644A2" w14:textId="750C963B" w:rsidR="009E09C3" w:rsidRPr="007B4961" w:rsidRDefault="002F1878" w:rsidP="007B4961">
      <w:pPr>
        <w:tabs>
          <w:tab w:val="left" w:pos="4962"/>
        </w:tabs>
        <w:contextualSpacing/>
        <w:rPr>
          <w:rFonts w:eastAsiaTheme="minorHAnsi" w:cs="Tahoma"/>
          <w:bCs/>
          <w:iCs/>
          <w:szCs w:val="22"/>
          <w:lang w:eastAsia="en-US"/>
        </w:rPr>
      </w:pPr>
      <w:r w:rsidRPr="007B4961">
        <w:rPr>
          <w:rFonts w:eastAsiaTheme="minorHAnsi" w:cs="Tahoma"/>
          <w:bCs/>
          <w:iCs/>
          <w:szCs w:val="22"/>
          <w:lang w:eastAsia="en-US"/>
        </w:rPr>
        <w:t xml:space="preserve">No pasa desapercibido </w:t>
      </w:r>
      <w:r w:rsidR="00E36D21" w:rsidRPr="007B4961">
        <w:rPr>
          <w:rFonts w:eastAsiaTheme="minorHAnsi" w:cs="Tahoma"/>
          <w:bCs/>
          <w:iCs/>
          <w:szCs w:val="22"/>
          <w:lang w:eastAsia="en-US"/>
        </w:rPr>
        <w:t xml:space="preserve">señalar que a través de sus informes justificados, </w:t>
      </w:r>
      <w:r w:rsidR="009E09C3" w:rsidRPr="007B4961">
        <w:rPr>
          <w:rFonts w:eastAsiaTheme="minorHAnsi" w:cs="Tahoma"/>
          <w:b/>
          <w:bCs/>
          <w:iCs/>
          <w:szCs w:val="22"/>
          <w:lang w:eastAsia="en-US"/>
        </w:rPr>
        <w:t>EL SUJET</w:t>
      </w:r>
      <w:r w:rsidR="00E36D21" w:rsidRPr="007B4961">
        <w:rPr>
          <w:rFonts w:eastAsiaTheme="minorHAnsi" w:cs="Tahoma"/>
          <w:b/>
          <w:bCs/>
          <w:iCs/>
          <w:szCs w:val="22"/>
          <w:lang w:eastAsia="en-US"/>
        </w:rPr>
        <w:t xml:space="preserve">O OBLIGADO </w:t>
      </w:r>
      <w:r w:rsidR="00E36D21" w:rsidRPr="007B4961">
        <w:rPr>
          <w:rFonts w:eastAsiaTheme="minorHAnsi" w:cs="Tahoma"/>
          <w:bCs/>
          <w:iCs/>
          <w:szCs w:val="22"/>
          <w:lang w:eastAsia="en-US"/>
        </w:rPr>
        <w:t>ma</w:t>
      </w:r>
      <w:r w:rsidR="009E09C3" w:rsidRPr="007B4961">
        <w:rPr>
          <w:rFonts w:eastAsiaTheme="minorHAnsi" w:cs="Tahoma"/>
          <w:bCs/>
          <w:iCs/>
          <w:szCs w:val="22"/>
          <w:lang w:eastAsia="en-US"/>
        </w:rPr>
        <w:t>nifestó ratificar las respuestas primigenias.</w:t>
      </w:r>
    </w:p>
    <w:p w14:paraId="32AD3ACF" w14:textId="77777777" w:rsidR="009E09C3" w:rsidRPr="007B4961" w:rsidRDefault="009E09C3" w:rsidP="007B4961">
      <w:pPr>
        <w:tabs>
          <w:tab w:val="left" w:pos="4962"/>
        </w:tabs>
        <w:contextualSpacing/>
        <w:rPr>
          <w:rFonts w:eastAsiaTheme="minorHAnsi" w:cs="Tahoma"/>
          <w:bCs/>
          <w:iCs/>
          <w:szCs w:val="22"/>
          <w:lang w:eastAsia="en-US"/>
        </w:rPr>
      </w:pPr>
    </w:p>
    <w:p w14:paraId="237809C6" w14:textId="3AB5F1DD" w:rsidR="00AF48AA" w:rsidRPr="007B4961" w:rsidRDefault="00E36D21" w:rsidP="007B4961">
      <w:pPr>
        <w:tabs>
          <w:tab w:val="left" w:pos="4962"/>
        </w:tabs>
        <w:contextualSpacing/>
        <w:rPr>
          <w:rFonts w:eastAsiaTheme="minorHAnsi" w:cs="Tahoma"/>
          <w:bCs/>
          <w:iCs/>
          <w:szCs w:val="22"/>
          <w:lang w:eastAsia="en-US"/>
        </w:rPr>
      </w:pPr>
      <w:r w:rsidRPr="007B4961">
        <w:rPr>
          <w:rFonts w:eastAsiaTheme="minorHAnsi" w:cs="Tahoma"/>
          <w:bCs/>
          <w:iCs/>
          <w:szCs w:val="22"/>
          <w:lang w:eastAsia="en-US"/>
        </w:rPr>
        <w:t xml:space="preserve">Por otro lado, </w:t>
      </w:r>
      <w:r w:rsidRPr="007B4961">
        <w:rPr>
          <w:rFonts w:eastAsiaTheme="minorHAnsi" w:cs="Tahoma"/>
          <w:b/>
          <w:bCs/>
          <w:iCs/>
          <w:szCs w:val="22"/>
          <w:lang w:eastAsia="en-US"/>
        </w:rPr>
        <w:t>LA PARTE RECURRENTE,</w:t>
      </w:r>
      <w:r w:rsidRPr="007B4961">
        <w:rPr>
          <w:rFonts w:eastAsiaTheme="minorHAnsi" w:cs="Tahoma"/>
          <w:bCs/>
          <w:iCs/>
          <w:szCs w:val="22"/>
          <w:lang w:eastAsia="en-US"/>
        </w:rPr>
        <w:t xml:space="preserve"> omitió realizar pronunciamiento en la etapa procesal oportuna.</w:t>
      </w:r>
    </w:p>
    <w:p w14:paraId="54282DD8" w14:textId="77777777" w:rsidR="00AF48AA" w:rsidRPr="007B4961" w:rsidRDefault="00AF48AA" w:rsidP="007B4961">
      <w:pPr>
        <w:tabs>
          <w:tab w:val="left" w:pos="4962"/>
        </w:tabs>
        <w:contextualSpacing/>
        <w:rPr>
          <w:rFonts w:eastAsiaTheme="minorHAnsi" w:cs="Tahoma"/>
          <w:bCs/>
          <w:iCs/>
          <w:szCs w:val="22"/>
          <w:lang w:eastAsia="en-US"/>
        </w:rPr>
      </w:pPr>
    </w:p>
    <w:p w14:paraId="414FD2D5" w14:textId="5B7192AA" w:rsidR="00664420" w:rsidRPr="007B4961" w:rsidRDefault="00A21A20" w:rsidP="007B4961">
      <w:pPr>
        <w:pStyle w:val="Ttulo3"/>
        <w:rPr>
          <w:szCs w:val="22"/>
        </w:rPr>
      </w:pPr>
      <w:bookmarkStart w:id="32" w:name="_Toc184225352"/>
      <w:r w:rsidRPr="007B4961">
        <w:rPr>
          <w:szCs w:val="22"/>
        </w:rPr>
        <w:t>c)</w:t>
      </w:r>
      <w:r w:rsidR="00664420" w:rsidRPr="007B4961">
        <w:rPr>
          <w:szCs w:val="22"/>
        </w:rPr>
        <w:t xml:space="preserve"> </w:t>
      </w:r>
      <w:r w:rsidRPr="007B4961">
        <w:rPr>
          <w:szCs w:val="22"/>
        </w:rPr>
        <w:t>Estudio de la controversia</w:t>
      </w:r>
      <w:r w:rsidR="0029336C" w:rsidRPr="007B4961">
        <w:rPr>
          <w:szCs w:val="22"/>
        </w:rPr>
        <w:t>.</w:t>
      </w:r>
      <w:bookmarkEnd w:id="32"/>
    </w:p>
    <w:p w14:paraId="30298642" w14:textId="4CEAF680" w:rsidR="0064403B" w:rsidRPr="007B4961" w:rsidRDefault="0064403B" w:rsidP="007B4961">
      <w:pPr>
        <w:ind w:right="-93"/>
        <w:rPr>
          <w:szCs w:val="22"/>
        </w:rPr>
      </w:pPr>
      <w:r w:rsidRPr="007B4961">
        <w:rPr>
          <w:szCs w:val="22"/>
        </w:rPr>
        <w:t xml:space="preserve">Una vez precisado lo anterior, resulta necesario comenzar con el estudio señalando que para dar atención al requerimiento de </w:t>
      </w:r>
      <w:r w:rsidRPr="007B4961">
        <w:rPr>
          <w:b/>
          <w:szCs w:val="22"/>
        </w:rPr>
        <w:t>LA PARTE RECURRENTE</w:t>
      </w:r>
      <w:r w:rsidRPr="007B4961">
        <w:rPr>
          <w:szCs w:val="22"/>
        </w:rPr>
        <w:t xml:space="preserve"> se pronunció el servidor público </w:t>
      </w:r>
      <w:r w:rsidRPr="007B4961">
        <w:rPr>
          <w:szCs w:val="22"/>
        </w:rPr>
        <w:lastRenderedPageBreak/>
        <w:t>habilitado que se estima pertinente dada la propia y especial naturaleza de lo solicitado y de conformidad con lo previsto en el artículo 124 fracción XX del Reglamento Orgánico de la administración pública municipal de Huixquilucan, Estado de México, fragmento normativo que se transcribe a continuación para una mayor referencia:</w:t>
      </w:r>
    </w:p>
    <w:p w14:paraId="44104D78" w14:textId="77777777" w:rsidR="0064403B" w:rsidRPr="007B4961" w:rsidRDefault="0064403B" w:rsidP="007B4961">
      <w:pPr>
        <w:ind w:right="-93"/>
        <w:rPr>
          <w:szCs w:val="22"/>
        </w:rPr>
      </w:pPr>
    </w:p>
    <w:p w14:paraId="3E97D9D1" w14:textId="6F876929" w:rsidR="0064403B" w:rsidRPr="007B4961" w:rsidRDefault="0064403B" w:rsidP="007B4961">
      <w:pPr>
        <w:pStyle w:val="Puesto"/>
      </w:pPr>
      <w:r w:rsidRPr="007B4961">
        <w:t>“</w:t>
      </w:r>
      <w:r w:rsidRPr="007B4961">
        <w:rPr>
          <w:b/>
        </w:rPr>
        <w:t>Artículo 124.</w:t>
      </w:r>
      <w:r w:rsidRPr="007B4961">
        <w:t xml:space="preserve"> La Dirección General de Administración tendrá las siguientes atribuciones:</w:t>
      </w:r>
    </w:p>
    <w:p w14:paraId="25DF5EC7" w14:textId="628BF5E6" w:rsidR="0064403B" w:rsidRPr="007B4961" w:rsidRDefault="0064403B" w:rsidP="007B4961">
      <w:pPr>
        <w:pStyle w:val="Puesto"/>
      </w:pPr>
      <w:r w:rsidRPr="007B4961">
        <w:t>(…)</w:t>
      </w:r>
    </w:p>
    <w:p w14:paraId="7042BC8F" w14:textId="27204C70" w:rsidR="0064403B" w:rsidRPr="007B4961" w:rsidRDefault="0064403B" w:rsidP="007B4961">
      <w:pPr>
        <w:pStyle w:val="Puesto"/>
        <w:rPr>
          <w:b/>
        </w:rPr>
      </w:pPr>
      <w:r w:rsidRPr="007B4961">
        <w:rPr>
          <w:b/>
        </w:rPr>
        <w:t xml:space="preserve">XX. </w:t>
      </w:r>
      <w:r w:rsidRPr="007B4961">
        <w:t>Elaborar y controlar la nómina de pago, y coordinar con el área correspondiente el pago oportuno de los salarios a los servidores públicos;”</w:t>
      </w:r>
    </w:p>
    <w:p w14:paraId="4B48B2F5" w14:textId="77777777" w:rsidR="0064403B" w:rsidRPr="007B4961" w:rsidRDefault="0064403B" w:rsidP="007B4961">
      <w:pPr>
        <w:pStyle w:val="Puesto"/>
      </w:pPr>
    </w:p>
    <w:p w14:paraId="3F064855" w14:textId="62E688E2" w:rsidR="0064403B" w:rsidRPr="007B4961" w:rsidRDefault="0064403B" w:rsidP="007B4961">
      <w:pPr>
        <w:rPr>
          <w:szCs w:val="22"/>
        </w:rPr>
      </w:pPr>
      <w:r w:rsidRPr="007B4961">
        <w:rPr>
          <w:szCs w:val="22"/>
        </w:rPr>
        <w:t xml:space="preserve">Por otra parte, es importante mencionar que la parte solicitada asumió poseer la información </w:t>
      </w:r>
      <w:r w:rsidR="00201C2F" w:rsidRPr="007B4961">
        <w:rPr>
          <w:szCs w:val="22"/>
        </w:rPr>
        <w:t>nominal</w:t>
      </w:r>
      <w:r w:rsidRPr="007B4961">
        <w:rPr>
          <w:szCs w:val="22"/>
        </w:rPr>
        <w:t xml:space="preserve"> requerida por el particular, al indicar que la información se encuentra disponible para su consulta directa a través del enlace electrónico </w:t>
      </w:r>
      <w:hyperlink r:id="rId15" w:history="1">
        <w:r w:rsidR="00201C2F" w:rsidRPr="007B4961">
          <w:rPr>
            <w:rStyle w:val="Hipervnculo"/>
            <w:color w:val="auto"/>
            <w:szCs w:val="22"/>
          </w:rPr>
          <w:t>https://drive.google.com/file/d/1djelwM0T-uQOhVW2vPIqKAjSgxIvbv3U/view?usp=sharing</w:t>
        </w:r>
      </w:hyperlink>
      <w:r w:rsidR="00201C2F" w:rsidRPr="007B4961">
        <w:rPr>
          <w:rStyle w:val="Hipervnculo"/>
          <w:color w:val="auto"/>
          <w:szCs w:val="22"/>
        </w:rPr>
        <w:t xml:space="preserve"> </w:t>
      </w:r>
      <w:r w:rsidRPr="007B4961">
        <w:rPr>
          <w:szCs w:val="22"/>
        </w:rPr>
        <w:t>.</w:t>
      </w:r>
    </w:p>
    <w:p w14:paraId="6F11AADC" w14:textId="77777777" w:rsidR="0064403B" w:rsidRPr="007B4961" w:rsidRDefault="0064403B" w:rsidP="007B4961">
      <w:pPr>
        <w:rPr>
          <w:szCs w:val="22"/>
        </w:rPr>
      </w:pPr>
    </w:p>
    <w:p w14:paraId="13D4ACCA" w14:textId="1F57E8C0" w:rsidR="0064403B" w:rsidRPr="007B4961" w:rsidRDefault="0064403B" w:rsidP="007B4961">
      <w:pPr>
        <w:rPr>
          <w:rFonts w:eastAsia="Calibri" w:cs="Tahoma"/>
          <w:bCs/>
        </w:rPr>
      </w:pPr>
      <w:r w:rsidRPr="007B4961">
        <w:rPr>
          <w:rFonts w:eastAsia="Calibri" w:cs="Tahoma"/>
          <w:bCs/>
        </w:rPr>
        <w:t xml:space="preserve">Ante tal situación, se debe precisar que dicho medio electrónico se encuentra en un formato </w:t>
      </w:r>
      <w:r w:rsidR="00B95163" w:rsidRPr="007B4961">
        <w:rPr>
          <w:rFonts w:eastAsia="Calibri" w:cs="Tahoma"/>
          <w:bCs/>
        </w:rPr>
        <w:t>abierto</w:t>
      </w:r>
      <w:r w:rsidRPr="007B4961">
        <w:rPr>
          <w:rFonts w:eastAsia="Calibri" w:cs="Tahoma"/>
          <w:bCs/>
        </w:rPr>
        <w:t xml:space="preserve">, es decir que, para </w:t>
      </w:r>
      <w:r w:rsidRPr="007B4961">
        <w:rPr>
          <w:rFonts w:eastAsia="Calibri" w:cs="Tahoma"/>
          <w:b/>
          <w:bCs/>
        </w:rPr>
        <w:t xml:space="preserve">LA PARTE RECURRENTE </w:t>
      </w:r>
      <w:r w:rsidR="00B95163" w:rsidRPr="007B4961">
        <w:rPr>
          <w:rFonts w:eastAsia="Calibri" w:cs="Tahoma"/>
          <w:bCs/>
        </w:rPr>
        <w:t xml:space="preserve">no </w:t>
      </w:r>
      <w:r w:rsidRPr="007B4961">
        <w:rPr>
          <w:rFonts w:eastAsia="Calibri" w:cs="Tahoma"/>
          <w:bCs/>
        </w:rPr>
        <w:t>implica realizar una transcripción de la totalidad de los c</w:t>
      </w:r>
      <w:r w:rsidR="00B95163" w:rsidRPr="007B4961">
        <w:rPr>
          <w:rFonts w:eastAsia="Calibri" w:cs="Tahoma"/>
          <w:bCs/>
        </w:rPr>
        <w:t xml:space="preserve">aracteres que integran el link, por lo que resulta viable para su consulta. </w:t>
      </w:r>
    </w:p>
    <w:p w14:paraId="60F58664" w14:textId="77777777" w:rsidR="0064403B" w:rsidRPr="007B4961" w:rsidRDefault="0064403B" w:rsidP="007B4961">
      <w:pPr>
        <w:rPr>
          <w:rFonts w:eastAsia="Calibri" w:cs="Tahoma"/>
          <w:bCs/>
        </w:rPr>
      </w:pPr>
    </w:p>
    <w:p w14:paraId="46318F55" w14:textId="77777777" w:rsidR="0064403B" w:rsidRPr="007B4961" w:rsidRDefault="0064403B" w:rsidP="007B4961">
      <w:pPr>
        <w:rPr>
          <w:rFonts w:cs="Tahoma"/>
          <w:b/>
          <w:bCs/>
          <w:i/>
        </w:rPr>
      </w:pPr>
      <w:r w:rsidRPr="007B4961">
        <w:rPr>
          <w:rFonts w:eastAsia="Calibri" w:cs="Tahoma"/>
          <w:bCs/>
        </w:rPr>
        <w:t xml:space="preserve">Al respecto </w:t>
      </w:r>
      <w:r w:rsidRPr="007B4961">
        <w:rPr>
          <w:rFonts w:cs="Tahoma"/>
          <w:bCs/>
        </w:rPr>
        <w:t>la Carta Internacional de Datos Abiertos; prevé que: “</w:t>
      </w:r>
      <w:r w:rsidRPr="007B4961">
        <w:rPr>
          <w:rFonts w:cs="Tahoma"/>
          <w:bCs/>
          <w:i/>
        </w:rPr>
        <w:t>los</w:t>
      </w:r>
      <w:r w:rsidRPr="007B4961">
        <w:rPr>
          <w:rFonts w:cs="Tahoma"/>
          <w:bCs/>
        </w:rPr>
        <w:t xml:space="preserve"> </w:t>
      </w:r>
      <w:r w:rsidRPr="007B4961">
        <w:rPr>
          <w:rFonts w:cs="Tahoma"/>
          <w:bCs/>
          <w:i/>
        </w:rPr>
        <w:t>Datos abiertos son datos digitales que son puestos a disposición con las características técnicas y jurídicas necesarias para que puedan ser usados, reutilizados y redistribuidos libremente por cualquier persona, en cualquier momento y en cualquier lugar”.</w:t>
      </w:r>
    </w:p>
    <w:p w14:paraId="76548405" w14:textId="77777777" w:rsidR="0064403B" w:rsidRPr="007B4961" w:rsidRDefault="0064403B" w:rsidP="007B4961">
      <w:pPr>
        <w:rPr>
          <w:rFonts w:cs="Tahoma"/>
          <w:b/>
          <w:bCs/>
          <w:i/>
        </w:rPr>
      </w:pPr>
    </w:p>
    <w:p w14:paraId="2359B359" w14:textId="77777777" w:rsidR="0064403B" w:rsidRPr="007B4961" w:rsidRDefault="0064403B" w:rsidP="007B4961">
      <w:pPr>
        <w:rPr>
          <w:rFonts w:cs="Tahoma"/>
          <w:bCs/>
        </w:rPr>
      </w:pPr>
      <w:r w:rsidRPr="007B4961">
        <w:rPr>
          <w:rFonts w:cs="Tahoma"/>
          <w:bCs/>
        </w:rPr>
        <w:lastRenderedPageBreak/>
        <w:t>Por su parte, el Decreto por el que se establece la regulación en materia de Datos Abiertos, publicado en el Diario Oficial de la Federación el veinte de febrero de dos mil quince, indica en su artículo segundo lo siguiente:</w:t>
      </w:r>
    </w:p>
    <w:p w14:paraId="434216CD" w14:textId="77777777" w:rsidR="0064403B" w:rsidRPr="007B4961" w:rsidRDefault="0064403B" w:rsidP="007B4961">
      <w:pPr>
        <w:rPr>
          <w:rFonts w:cs="Tahoma"/>
          <w:bCs/>
        </w:rPr>
      </w:pPr>
    </w:p>
    <w:p w14:paraId="59719C86" w14:textId="77777777" w:rsidR="0064403B" w:rsidRPr="007B4961" w:rsidRDefault="0064403B" w:rsidP="007B4961">
      <w:pPr>
        <w:pStyle w:val="Puesto"/>
      </w:pPr>
      <w:r w:rsidRPr="007B4961">
        <w:rPr>
          <w:b/>
        </w:rPr>
        <w:t>ARTÍCULO SEGUNDO. -Para los efectos del presente Decreto</w:t>
      </w:r>
      <w:r w:rsidRPr="007B4961">
        <w:t>, se entenderá por:</w:t>
      </w:r>
    </w:p>
    <w:p w14:paraId="768EA9A7" w14:textId="77777777" w:rsidR="0064403B" w:rsidRPr="007B4961" w:rsidRDefault="0064403B" w:rsidP="007B4961">
      <w:pPr>
        <w:pStyle w:val="Puesto"/>
      </w:pPr>
      <w:r w:rsidRPr="007B4961">
        <w:t>I al IV…</w:t>
      </w:r>
    </w:p>
    <w:p w14:paraId="5A0F57DD" w14:textId="77777777" w:rsidR="0064403B" w:rsidRPr="007B4961" w:rsidRDefault="0064403B" w:rsidP="007B4961">
      <w:pPr>
        <w:pStyle w:val="Puesto"/>
      </w:pPr>
      <w:r w:rsidRPr="007B4961">
        <w:rPr>
          <w:b/>
        </w:rPr>
        <w:t>V. Datos abiertos</w:t>
      </w:r>
      <w:r w:rsidRPr="007B4961">
        <w:t xml:space="preserve">: los datos digitales de carácter público que son accesibles en línea, y pueden </w:t>
      </w:r>
      <w:r w:rsidRPr="007B4961">
        <w:rPr>
          <w:b/>
        </w:rPr>
        <w:t>ser usados, reutilizados y redistribuidos</w:t>
      </w:r>
      <w:r w:rsidRPr="007B4961">
        <w:t>, por cualquier interesado</w:t>
      </w:r>
    </w:p>
    <w:p w14:paraId="19AA9E37" w14:textId="77777777" w:rsidR="0064403B" w:rsidRPr="007B4961" w:rsidRDefault="0064403B" w:rsidP="007B4961">
      <w:pPr>
        <w:pStyle w:val="Puesto"/>
      </w:pPr>
      <w:r w:rsidRPr="007B4961">
        <w:t>VI al VIII…</w:t>
      </w:r>
    </w:p>
    <w:p w14:paraId="41847128" w14:textId="77777777" w:rsidR="0064403B" w:rsidRPr="007B4961" w:rsidRDefault="0064403B" w:rsidP="007B4961">
      <w:pPr>
        <w:pStyle w:val="Puesto"/>
      </w:pPr>
      <w:r w:rsidRPr="007B4961">
        <w:rPr>
          <w:b/>
        </w:rPr>
        <w:t>IX. Formato Abierto:</w:t>
      </w:r>
      <w:r w:rsidRPr="007B4961">
        <w:t xml:space="preserve"> el conjunto de características técnicas y de presentación que corresponden a la estructura lógica usada para almacenar datos en un archivo digital, cuyas especificaciones técnicas están disponibles públicamente, </w:t>
      </w:r>
      <w:r w:rsidRPr="007B4961">
        <w:rPr>
          <w:b/>
        </w:rPr>
        <w:t>que no suponen una dificultad de acceso y que su aplicación y reproducción no estén condicionadas a contraprestación alguna</w:t>
      </w:r>
      <w:r w:rsidRPr="007B4961">
        <w:t>;</w:t>
      </w:r>
    </w:p>
    <w:p w14:paraId="10F5E8D2" w14:textId="77777777" w:rsidR="0064403B" w:rsidRPr="007B4961" w:rsidRDefault="0064403B" w:rsidP="007B4961">
      <w:pPr>
        <w:ind w:left="567" w:right="616"/>
        <w:rPr>
          <w:rFonts w:cs="Tahoma"/>
          <w:bCs/>
          <w:i/>
        </w:rPr>
      </w:pPr>
      <w:r w:rsidRPr="007B4961">
        <w:rPr>
          <w:rFonts w:cs="Tahoma"/>
          <w:bCs/>
          <w:i/>
        </w:rPr>
        <w:t>X al XII…</w:t>
      </w:r>
    </w:p>
    <w:p w14:paraId="4D923024" w14:textId="77777777" w:rsidR="0064403B" w:rsidRPr="007B4961" w:rsidRDefault="0064403B" w:rsidP="007B4961">
      <w:pPr>
        <w:rPr>
          <w:szCs w:val="22"/>
        </w:rPr>
      </w:pPr>
    </w:p>
    <w:p w14:paraId="7C4DA3C0" w14:textId="73447B1D" w:rsidR="0064403B" w:rsidRPr="007B4961" w:rsidRDefault="00B95163" w:rsidP="007B4961">
      <w:pPr>
        <w:rPr>
          <w:szCs w:val="22"/>
        </w:rPr>
      </w:pPr>
      <w:r w:rsidRPr="007B4961">
        <w:rPr>
          <w:szCs w:val="22"/>
        </w:rPr>
        <w:t>Por otra parte</w:t>
      </w:r>
      <w:r w:rsidR="0064403B" w:rsidRPr="007B4961">
        <w:rPr>
          <w:szCs w:val="22"/>
        </w:rPr>
        <w:t xml:space="preserve">, este Instituto consultó el link proporcionado por el </w:t>
      </w:r>
      <w:r w:rsidR="0064403B" w:rsidRPr="007B4961">
        <w:rPr>
          <w:b/>
          <w:szCs w:val="22"/>
        </w:rPr>
        <w:t>SUJETO OBLIGADO</w:t>
      </w:r>
      <w:r w:rsidR="0064403B" w:rsidRPr="007B4961">
        <w:rPr>
          <w:szCs w:val="22"/>
        </w:rPr>
        <w:t xml:space="preserve">, advirtiendo </w:t>
      </w:r>
      <w:r w:rsidR="006E240F" w:rsidRPr="007B4961">
        <w:rPr>
          <w:szCs w:val="22"/>
        </w:rPr>
        <w:t>tras</w:t>
      </w:r>
      <w:r w:rsidRPr="007B4961">
        <w:rPr>
          <w:szCs w:val="22"/>
        </w:rPr>
        <w:t xml:space="preserve"> la descarga del archivo al</w:t>
      </w:r>
      <w:r w:rsidR="006E240F" w:rsidRPr="007B4961">
        <w:rPr>
          <w:szCs w:val="22"/>
        </w:rPr>
        <w:t xml:space="preserve"> que te remite el enlace digital lo siguiente:</w:t>
      </w:r>
    </w:p>
    <w:p w14:paraId="537A491B" w14:textId="6FED52CC" w:rsidR="00B95163" w:rsidRPr="007B4961" w:rsidRDefault="00B95163" w:rsidP="007B4961">
      <w:pPr>
        <w:rPr>
          <w:szCs w:val="22"/>
        </w:rPr>
      </w:pPr>
      <w:r w:rsidRPr="007B4961">
        <w:rPr>
          <w:noProof/>
          <w:szCs w:val="22"/>
          <w:lang w:eastAsia="es-MX"/>
        </w:rPr>
        <w:drawing>
          <wp:inline distT="0" distB="0" distL="0" distR="0" wp14:anchorId="7E8E3E56" wp14:editId="223C26E4">
            <wp:extent cx="5727268" cy="2962656"/>
            <wp:effectExtent l="0" t="0" r="698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3209" cy="2970902"/>
                    </a:xfrm>
                    <a:prstGeom prst="rect">
                      <a:avLst/>
                    </a:prstGeom>
                  </pic:spPr>
                </pic:pic>
              </a:graphicData>
            </a:graphic>
          </wp:inline>
        </w:drawing>
      </w:r>
    </w:p>
    <w:p w14:paraId="003DB235" w14:textId="5F8DFC15" w:rsidR="006E240F" w:rsidRPr="007B4961" w:rsidRDefault="006E240F" w:rsidP="007B4961">
      <w:pPr>
        <w:pBdr>
          <w:top w:val="nil"/>
          <w:left w:val="nil"/>
          <w:bottom w:val="nil"/>
          <w:right w:val="nil"/>
          <w:between w:val="nil"/>
        </w:pBdr>
        <w:ind w:right="-150"/>
        <w:rPr>
          <w:rFonts w:eastAsia="Palatino Linotype" w:cs="Palatino Linotype"/>
        </w:rPr>
      </w:pPr>
      <w:r w:rsidRPr="007B4961">
        <w:rPr>
          <w:rFonts w:eastAsia="Palatino Linotype" w:cs="Palatino Linotype"/>
        </w:rPr>
        <w:lastRenderedPageBreak/>
        <w:t xml:space="preserve">En virtud del contenido de la información remitida como respuesta, se advierte que </w:t>
      </w:r>
      <w:r w:rsidRPr="007B4961">
        <w:rPr>
          <w:rFonts w:eastAsia="Palatino Linotype" w:cs="Palatino Linotype"/>
          <w:b/>
        </w:rPr>
        <w:t xml:space="preserve">EL SUJETO OBLIGADO </w:t>
      </w:r>
      <w:r w:rsidRPr="007B4961">
        <w:rPr>
          <w:rFonts w:eastAsia="Palatino Linotype" w:cs="Palatino Linotype"/>
        </w:rPr>
        <w:t>testó de manera excesiva los recibos de nómina facilitados.</w:t>
      </w:r>
    </w:p>
    <w:p w14:paraId="59EA5732" w14:textId="77777777" w:rsidR="006E240F" w:rsidRPr="007B4961" w:rsidRDefault="006E240F" w:rsidP="007B4961">
      <w:pPr>
        <w:pBdr>
          <w:top w:val="nil"/>
          <w:left w:val="nil"/>
          <w:bottom w:val="nil"/>
          <w:right w:val="nil"/>
          <w:between w:val="nil"/>
        </w:pBdr>
        <w:ind w:right="-150"/>
        <w:rPr>
          <w:rFonts w:eastAsia="Palatino Linotype" w:cs="Palatino Linotype"/>
        </w:rPr>
      </w:pPr>
    </w:p>
    <w:p w14:paraId="19A8DAE4" w14:textId="77777777" w:rsidR="006E240F" w:rsidRPr="007B4961" w:rsidRDefault="006E240F" w:rsidP="007B4961">
      <w:pPr>
        <w:pBdr>
          <w:top w:val="nil"/>
          <w:left w:val="nil"/>
          <w:bottom w:val="nil"/>
          <w:right w:val="nil"/>
          <w:between w:val="nil"/>
        </w:pBdr>
        <w:ind w:right="-150"/>
        <w:rPr>
          <w:rFonts w:eastAsia="Palatino Linotype" w:cs="Palatino Linotype"/>
        </w:rPr>
      </w:pPr>
      <w:r w:rsidRPr="007B4961">
        <w:rPr>
          <w:rFonts w:eastAsia="Palatino Linotype" w:cs="Palatino Linotype"/>
        </w:rPr>
        <w:t>Una vez señalado lo anterior, para los casos que nos ocupan se estima prudente precisar cuáles son los datos que por la naturaleza de la información requerida por el particular deben ser clasificados o bien deben mantenerse públicos.</w:t>
      </w:r>
    </w:p>
    <w:p w14:paraId="7DE210FA" w14:textId="77777777" w:rsidR="006E240F" w:rsidRPr="007B4961" w:rsidRDefault="006E240F" w:rsidP="007B4961">
      <w:pPr>
        <w:ind w:right="-91"/>
        <w:rPr>
          <w:rFonts w:eastAsia="Palatino Linotype" w:cs="Palatino Linotype"/>
        </w:rPr>
      </w:pPr>
    </w:p>
    <w:p w14:paraId="64B230D8" w14:textId="77777777" w:rsidR="006E240F" w:rsidRPr="007B4961" w:rsidRDefault="006E240F" w:rsidP="007B4961">
      <w:pPr>
        <w:rPr>
          <w:rFonts w:eastAsia="Palatino Linotype" w:cs="Palatino Linotype"/>
          <w:b/>
          <w:u w:val="single"/>
        </w:rPr>
      </w:pPr>
      <w:r w:rsidRPr="007B4961">
        <w:rPr>
          <w:rFonts w:eastAsia="Palatino Linotype" w:cs="Palatino Linotype"/>
          <w:b/>
          <w:u w:val="single"/>
        </w:rPr>
        <w:t>INFORMACIÓN CONFIDENCIAL:</w:t>
      </w:r>
    </w:p>
    <w:p w14:paraId="2308A936" w14:textId="77777777" w:rsidR="006E240F" w:rsidRPr="007B4961" w:rsidRDefault="006E240F" w:rsidP="007B4961">
      <w:pPr>
        <w:pStyle w:val="Prrafodelista"/>
        <w:numPr>
          <w:ilvl w:val="0"/>
          <w:numId w:val="7"/>
        </w:numPr>
        <w:spacing w:before="240"/>
        <w:ind w:left="284" w:hanging="284"/>
        <w:rPr>
          <w:rFonts w:eastAsia="Palatino Linotype" w:cs="Palatino Linotype"/>
          <w:b/>
        </w:rPr>
      </w:pPr>
      <w:r w:rsidRPr="007B4961">
        <w:rPr>
          <w:rFonts w:eastAsia="Palatino Linotype" w:cs="Palatino Linotype"/>
          <w:b/>
        </w:rPr>
        <w:t>El Registro Federal de Contribuyentes (RFC):</w:t>
      </w:r>
    </w:p>
    <w:p w14:paraId="1E502ED2" w14:textId="77777777" w:rsidR="006E240F" w:rsidRPr="007B4961" w:rsidRDefault="006E240F" w:rsidP="007B4961">
      <w:pPr>
        <w:ind w:right="49"/>
        <w:rPr>
          <w:rFonts w:eastAsia="Palatino Linotype" w:cs="Palatino Linotype"/>
        </w:rPr>
      </w:pPr>
    </w:p>
    <w:p w14:paraId="0520FC98" w14:textId="77777777" w:rsidR="006E240F" w:rsidRPr="007B4961" w:rsidRDefault="006E240F" w:rsidP="007B4961">
      <w:pPr>
        <w:ind w:right="49"/>
        <w:rPr>
          <w:rFonts w:eastAsia="Palatino Linotype" w:cs="Palatino Linotype"/>
        </w:rPr>
      </w:pPr>
      <w:r w:rsidRPr="007B4961">
        <w:rPr>
          <w:rFonts w:eastAsia="Palatino Linotype" w:cs="Palatino Linotype"/>
        </w:rPr>
        <w:t>El RFC constituye un dato personal, ya que para su obtención es necesario acreditar ante la autoridad fiscal previamente la identidad de la persona, su fecha de nacimiento, entre otros aspectos.</w:t>
      </w:r>
    </w:p>
    <w:p w14:paraId="5D86FF93" w14:textId="77777777" w:rsidR="006E240F" w:rsidRPr="007B4961" w:rsidRDefault="006E240F" w:rsidP="007B4961">
      <w:pPr>
        <w:ind w:right="49"/>
        <w:rPr>
          <w:rFonts w:eastAsia="Palatino Linotype" w:cs="Palatino Linotype"/>
        </w:rPr>
      </w:pPr>
    </w:p>
    <w:p w14:paraId="1F0798A0" w14:textId="77777777" w:rsidR="006E240F" w:rsidRPr="007B4961" w:rsidRDefault="006E240F" w:rsidP="007B4961">
      <w:pPr>
        <w:rPr>
          <w:rFonts w:eastAsia="Palatino Linotype" w:cs="Palatino Linotype"/>
        </w:rPr>
      </w:pPr>
      <w:r w:rsidRPr="007B4961">
        <w:rPr>
          <w:rFonts w:eastAsia="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176ED06" w14:textId="77777777" w:rsidR="006E240F" w:rsidRPr="007B4961" w:rsidRDefault="006E240F" w:rsidP="007B4961">
      <w:pPr>
        <w:rPr>
          <w:rFonts w:eastAsia="Palatino Linotype" w:cs="Palatino Linotype"/>
        </w:rPr>
      </w:pPr>
      <w:r w:rsidRPr="007B4961">
        <w:rPr>
          <w:rFonts w:eastAsia="Palatino Linotype" w:cs="Palatino Linotype"/>
        </w:rPr>
        <w:t>Lo anterior es compartido por el Instituto Nacional de Transparencia, Acceso a la Información y Protección de Datos (INAI) a través del Criterio 19/17, el cual es del tenor literal siguiente:</w:t>
      </w:r>
    </w:p>
    <w:p w14:paraId="4A6FA9D0" w14:textId="77777777" w:rsidR="006E240F" w:rsidRPr="007B4961" w:rsidRDefault="006E240F" w:rsidP="007B4961">
      <w:pPr>
        <w:rPr>
          <w:rFonts w:eastAsia="Palatino Linotype" w:cs="Palatino Linotype"/>
        </w:rPr>
      </w:pPr>
    </w:p>
    <w:p w14:paraId="38D277F7" w14:textId="77777777" w:rsidR="006E240F" w:rsidRPr="007B4961" w:rsidRDefault="006E240F" w:rsidP="007B4961">
      <w:pPr>
        <w:pStyle w:val="Puesto"/>
        <w:rPr>
          <w:rFonts w:eastAsia="Palatino Linotype"/>
        </w:rPr>
      </w:pPr>
      <w:r w:rsidRPr="007B4961">
        <w:rPr>
          <w:rFonts w:eastAsia="Palatino Linotype"/>
          <w:b/>
        </w:rPr>
        <w:t xml:space="preserve">“Registro Federal de Contribuyentes (RFC) de personas físicas. </w:t>
      </w:r>
      <w:r w:rsidRPr="007B4961">
        <w:rPr>
          <w:rFonts w:eastAsia="Palatino Linotype"/>
        </w:rPr>
        <w:t>El RFC es una clave de carácter fiscal, única e irrepetible, que permite identificar al titular, su edad y fecha de nacimiento, por lo que es un dato personal de carácter confidencial.” (Sic)</w:t>
      </w:r>
    </w:p>
    <w:p w14:paraId="7D511724" w14:textId="77777777" w:rsidR="006E240F" w:rsidRPr="007B4961" w:rsidRDefault="006E240F" w:rsidP="007B4961">
      <w:pPr>
        <w:ind w:left="851" w:right="902"/>
        <w:rPr>
          <w:rFonts w:eastAsia="Arial" w:cs="Arial"/>
        </w:rPr>
      </w:pPr>
    </w:p>
    <w:p w14:paraId="2AF1CD2B" w14:textId="77777777" w:rsidR="006E240F" w:rsidRPr="007B4961" w:rsidRDefault="006E240F" w:rsidP="007B4961">
      <w:pPr>
        <w:pBdr>
          <w:top w:val="nil"/>
          <w:left w:val="nil"/>
          <w:bottom w:val="nil"/>
          <w:right w:val="nil"/>
          <w:between w:val="nil"/>
        </w:pBdr>
        <w:rPr>
          <w:rFonts w:eastAsia="Palatino Linotype" w:cs="Palatino Linotype"/>
        </w:rPr>
      </w:pPr>
      <w:r w:rsidRPr="007B4961">
        <w:rPr>
          <w:rFonts w:eastAsia="Palatino Linotype" w:cs="Palatino Linotype"/>
        </w:rPr>
        <w:t xml:space="preserve">Así, el RFC se vincula al nombre de su titular y permite identificar la edad de la persona, su fecha de nacimiento, así como su homoclave, la cual es única e irrepetible y determina la </w:t>
      </w:r>
      <w:r w:rsidRPr="007B4961">
        <w:rPr>
          <w:rFonts w:eastAsia="Palatino Linotype" w:cs="Palatino Linotype"/>
        </w:rPr>
        <w:lastRenderedPageBreak/>
        <w:t>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 por lo que se actualiza la procedencia de la clasificación en términos de los dispuesto por el artículo 143 fracción I de la Ley de la Materia.</w:t>
      </w:r>
    </w:p>
    <w:p w14:paraId="1958C5A9" w14:textId="77777777" w:rsidR="006E240F" w:rsidRPr="007B4961" w:rsidRDefault="006E240F" w:rsidP="007B4961">
      <w:pPr>
        <w:pBdr>
          <w:top w:val="nil"/>
          <w:left w:val="nil"/>
          <w:bottom w:val="nil"/>
          <w:right w:val="nil"/>
          <w:between w:val="nil"/>
        </w:pBdr>
        <w:rPr>
          <w:rFonts w:eastAsia="Palatino Linotype" w:cs="Palatino Linotype"/>
        </w:rPr>
      </w:pPr>
    </w:p>
    <w:p w14:paraId="7DA3B277" w14:textId="77777777" w:rsidR="006E240F" w:rsidRPr="007B4961" w:rsidRDefault="006E240F" w:rsidP="007B4961">
      <w:pPr>
        <w:pStyle w:val="Prrafodelista"/>
        <w:numPr>
          <w:ilvl w:val="0"/>
          <w:numId w:val="7"/>
        </w:numPr>
        <w:pBdr>
          <w:top w:val="nil"/>
          <w:left w:val="nil"/>
          <w:bottom w:val="nil"/>
          <w:right w:val="nil"/>
          <w:between w:val="nil"/>
        </w:pBdr>
        <w:ind w:left="426"/>
        <w:rPr>
          <w:rFonts w:eastAsia="Palatino Linotype" w:cs="Palatino Linotype"/>
          <w:b/>
        </w:rPr>
      </w:pPr>
      <w:r w:rsidRPr="007B4961">
        <w:rPr>
          <w:rFonts w:eastAsia="Palatino Linotype" w:cs="Palatino Linotype"/>
          <w:b/>
        </w:rPr>
        <w:t>Clave Única del Registro de Población (CURP):</w:t>
      </w:r>
    </w:p>
    <w:p w14:paraId="78ACB811" w14:textId="77777777" w:rsidR="00561243" w:rsidRPr="007B4961" w:rsidRDefault="00561243" w:rsidP="007B4961">
      <w:pPr>
        <w:pStyle w:val="Prrafodelista"/>
        <w:pBdr>
          <w:top w:val="nil"/>
          <w:left w:val="nil"/>
          <w:bottom w:val="nil"/>
          <w:right w:val="nil"/>
          <w:between w:val="nil"/>
        </w:pBdr>
        <w:ind w:left="426"/>
        <w:rPr>
          <w:rFonts w:eastAsia="Palatino Linotype" w:cs="Palatino Linotype"/>
          <w:b/>
        </w:rPr>
      </w:pPr>
    </w:p>
    <w:p w14:paraId="0C0289C7" w14:textId="77777777" w:rsidR="006E240F" w:rsidRPr="007B4961" w:rsidRDefault="006E240F" w:rsidP="007B4961">
      <w:pPr>
        <w:pBdr>
          <w:top w:val="nil"/>
          <w:left w:val="nil"/>
          <w:bottom w:val="nil"/>
          <w:right w:val="nil"/>
          <w:between w:val="nil"/>
        </w:pBdr>
        <w:rPr>
          <w:rFonts w:eastAsia="Palatino Linotype" w:cs="Palatino Linotype"/>
        </w:rPr>
      </w:pPr>
      <w:r w:rsidRPr="007B4961">
        <w:rPr>
          <w:rFonts w:eastAsia="Palatino Linotype" w:cs="Palatino Linotype"/>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por lo que se actualiza la procedencia de la clasificación en términos de los dispuesto por el artículo 143 fracción I de la Ley de la Materia.</w:t>
      </w:r>
    </w:p>
    <w:p w14:paraId="586C4539" w14:textId="77777777" w:rsidR="006E240F" w:rsidRPr="007B4961" w:rsidRDefault="006E240F" w:rsidP="007B4961">
      <w:pPr>
        <w:rPr>
          <w:rFonts w:eastAsia="Palatino Linotype" w:cs="Palatino Linotype"/>
        </w:rPr>
      </w:pPr>
      <w:r w:rsidRPr="007B4961">
        <w:rPr>
          <w:rFonts w:eastAsia="Palatino Linotype" w:cs="Palatino Linotype"/>
        </w:rPr>
        <w:t>Argumento que es compartido por el Instituto Nacional de Transparencia, Acceso a la Información y Protección de Datos (INAI)</w:t>
      </w:r>
      <w:r w:rsidRPr="007B4961">
        <w:rPr>
          <w:rFonts w:eastAsia="Palatino Linotype" w:cs="Palatino Linotype"/>
          <w:b/>
        </w:rPr>
        <w:t xml:space="preserve">, conforme al </w:t>
      </w:r>
      <w:r w:rsidRPr="007B4961">
        <w:rPr>
          <w:rFonts w:eastAsia="Palatino Linotype" w:cs="Palatino Linotype"/>
        </w:rPr>
        <w:t xml:space="preserve">criterio número 18/17, el cual refiere: </w:t>
      </w:r>
    </w:p>
    <w:p w14:paraId="4CA882CF" w14:textId="77777777" w:rsidR="006E240F" w:rsidRPr="007B4961" w:rsidRDefault="006E240F" w:rsidP="007B4961">
      <w:pPr>
        <w:rPr>
          <w:rFonts w:eastAsia="Palatino Linotype" w:cs="Palatino Linotype"/>
        </w:rPr>
      </w:pPr>
    </w:p>
    <w:p w14:paraId="77AF16A3" w14:textId="77777777" w:rsidR="006E240F" w:rsidRPr="007B4961" w:rsidRDefault="006E240F" w:rsidP="007B4961">
      <w:pPr>
        <w:pStyle w:val="Puesto"/>
        <w:rPr>
          <w:rFonts w:eastAsia="Palatino Linotype"/>
        </w:rPr>
      </w:pPr>
      <w:r w:rsidRPr="007B4961">
        <w:rPr>
          <w:rFonts w:eastAsia="Palatino Linotype"/>
          <w:b/>
        </w:rPr>
        <w:t xml:space="preserve">“Clave Única de Registro de Población (CURP). </w:t>
      </w:r>
      <w:r w:rsidRPr="007B4961">
        <w:rPr>
          <w:rFonts w:eastAsia="Palatino Linotype"/>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13046A72" w14:textId="77777777" w:rsidR="006E240F" w:rsidRPr="007B4961" w:rsidRDefault="006E240F" w:rsidP="007B4961">
      <w:pPr>
        <w:pBdr>
          <w:top w:val="nil"/>
          <w:left w:val="nil"/>
          <w:bottom w:val="nil"/>
          <w:right w:val="nil"/>
          <w:between w:val="nil"/>
        </w:pBdr>
        <w:ind w:left="851" w:right="902"/>
        <w:rPr>
          <w:rFonts w:eastAsia="Palatino Linotype" w:cs="Palatino Linotype"/>
          <w:i/>
        </w:rPr>
      </w:pPr>
    </w:p>
    <w:p w14:paraId="29E2420D" w14:textId="77777777" w:rsidR="006E240F" w:rsidRPr="007B4961" w:rsidRDefault="006E240F" w:rsidP="007B4961">
      <w:pPr>
        <w:pStyle w:val="Prrafodelista"/>
        <w:numPr>
          <w:ilvl w:val="0"/>
          <w:numId w:val="7"/>
        </w:numPr>
        <w:ind w:left="284" w:hanging="284"/>
        <w:rPr>
          <w:rFonts w:eastAsia="Palatino Linotype" w:cs="Palatino Linotype"/>
          <w:b/>
        </w:rPr>
      </w:pPr>
      <w:r w:rsidRPr="007B4961">
        <w:rPr>
          <w:rFonts w:eastAsia="Palatino Linotype" w:cs="Palatino Linotype"/>
          <w:b/>
        </w:rPr>
        <w:t>Clave ISSEMYM:</w:t>
      </w:r>
    </w:p>
    <w:p w14:paraId="680CADD5" w14:textId="77777777" w:rsidR="006E240F" w:rsidRPr="007B4961" w:rsidRDefault="006E240F" w:rsidP="007B4961">
      <w:pPr>
        <w:rPr>
          <w:rFonts w:eastAsia="Palatino Linotype" w:cs="Palatino Linotype"/>
          <w:b/>
        </w:rPr>
      </w:pPr>
    </w:p>
    <w:p w14:paraId="4975BEA9" w14:textId="77777777" w:rsidR="006E240F" w:rsidRPr="007B4961" w:rsidRDefault="006E240F" w:rsidP="007B4961">
      <w:pPr>
        <w:rPr>
          <w:rFonts w:eastAsia="Palatino Linotype" w:cs="Palatino Linotype"/>
        </w:rPr>
      </w:pPr>
      <w:r w:rsidRPr="007B4961">
        <w:rPr>
          <w:rFonts w:eastAsia="Palatino Linotype" w:cs="Palatino Linotype"/>
        </w:rPr>
        <w:lastRenderedPageBreak/>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 </w:t>
      </w:r>
    </w:p>
    <w:p w14:paraId="45204404" w14:textId="77777777" w:rsidR="006E240F" w:rsidRPr="007B4961" w:rsidRDefault="006E240F" w:rsidP="007B4961">
      <w:pPr>
        <w:rPr>
          <w:rFonts w:eastAsia="Palatino Linotype" w:cs="Palatino Linotype"/>
        </w:rPr>
      </w:pPr>
    </w:p>
    <w:p w14:paraId="01DE3981" w14:textId="77777777" w:rsidR="006E240F" w:rsidRPr="007B4961" w:rsidRDefault="006E240F" w:rsidP="007B4961">
      <w:pPr>
        <w:rPr>
          <w:rFonts w:eastAsia="Palatino Linotype" w:cs="Palatino Linotype"/>
        </w:rPr>
      </w:pPr>
      <w:r w:rsidRPr="007B4961">
        <w:rPr>
          <w:rFonts w:eastAsia="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 </w:t>
      </w:r>
    </w:p>
    <w:p w14:paraId="4550BA7E" w14:textId="77777777" w:rsidR="006E240F" w:rsidRPr="007B4961" w:rsidRDefault="006E240F" w:rsidP="007B4961">
      <w:pPr>
        <w:rPr>
          <w:rFonts w:eastAsia="Palatino Linotype" w:cs="Palatino Linotype"/>
        </w:rPr>
      </w:pPr>
    </w:p>
    <w:p w14:paraId="450F4932" w14:textId="77777777" w:rsidR="006E240F" w:rsidRPr="007B4961" w:rsidRDefault="006E240F" w:rsidP="007B4961">
      <w:pPr>
        <w:rPr>
          <w:rFonts w:eastAsia="Palatino Linotype" w:cs="Palatino Linotype"/>
        </w:rPr>
      </w:pPr>
      <w:r w:rsidRPr="007B4961">
        <w:rPr>
          <w:rFonts w:eastAsia="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7677D056" w14:textId="77777777" w:rsidR="006E240F" w:rsidRPr="007B4961" w:rsidRDefault="006E240F" w:rsidP="007B4961">
      <w:pPr>
        <w:rPr>
          <w:rFonts w:eastAsia="Palatino Linotype" w:cs="Palatino Linotype"/>
        </w:rPr>
      </w:pPr>
    </w:p>
    <w:p w14:paraId="6D8076E4" w14:textId="77777777" w:rsidR="006E240F" w:rsidRPr="007B4961" w:rsidRDefault="006E240F" w:rsidP="007B4961">
      <w:pPr>
        <w:rPr>
          <w:rFonts w:eastAsia="Palatino Linotype" w:cs="Palatino Linotype"/>
        </w:rPr>
      </w:pPr>
      <w:r w:rsidRPr="007B4961">
        <w:rPr>
          <w:rFonts w:eastAsia="Palatino Linotype" w:cs="Palatino Linotype"/>
        </w:rPr>
        <w:t xml:space="preserve">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w:t>
      </w:r>
      <w:r w:rsidRPr="007B4961">
        <w:rPr>
          <w:rFonts w:eastAsia="Palatino Linotype" w:cs="Palatino Linotype"/>
        </w:rPr>
        <w:lastRenderedPageBreak/>
        <w:t>actualiza el supuesto de confidencialidad del artículo 143, fracción I de la Ley de Transparencia y Acceso a la Información Pública del Estado de México y Municipios.</w:t>
      </w:r>
    </w:p>
    <w:p w14:paraId="745DE835" w14:textId="77777777" w:rsidR="006E240F" w:rsidRPr="007B4961" w:rsidRDefault="006E240F" w:rsidP="007B4961">
      <w:pPr>
        <w:rPr>
          <w:rFonts w:eastAsia="Palatino Linotype" w:cs="Palatino Linotype"/>
        </w:rPr>
      </w:pPr>
    </w:p>
    <w:p w14:paraId="51A2424C" w14:textId="77777777" w:rsidR="006E240F" w:rsidRPr="007B4961" w:rsidRDefault="006E240F" w:rsidP="007B4961">
      <w:pPr>
        <w:pStyle w:val="Prrafodelista"/>
        <w:numPr>
          <w:ilvl w:val="0"/>
          <w:numId w:val="7"/>
        </w:numPr>
        <w:ind w:left="426" w:hanging="426"/>
        <w:rPr>
          <w:rFonts w:eastAsia="Palatino Linotype" w:cs="Palatino Linotype"/>
          <w:b/>
        </w:rPr>
      </w:pPr>
      <w:r w:rsidRPr="007B4961">
        <w:rPr>
          <w:rFonts w:eastAsia="Palatino Linotype" w:cs="Palatino Linotype"/>
          <w:b/>
        </w:rPr>
        <w:t>Deducciones Personales:</w:t>
      </w:r>
    </w:p>
    <w:p w14:paraId="58D63FFD" w14:textId="77777777" w:rsidR="006E240F" w:rsidRPr="007B4961" w:rsidRDefault="006E240F" w:rsidP="007B4961">
      <w:pPr>
        <w:rPr>
          <w:rFonts w:eastAsia="Palatino Linotype" w:cs="Palatino Linotype"/>
        </w:rPr>
      </w:pPr>
    </w:p>
    <w:p w14:paraId="2E61B9B5" w14:textId="77777777" w:rsidR="006E240F" w:rsidRPr="007B4961" w:rsidRDefault="006E240F" w:rsidP="007B4961">
      <w:pPr>
        <w:rPr>
          <w:rFonts w:eastAsia="Palatino Linotype" w:cs="Palatino Linotype"/>
        </w:rPr>
      </w:pPr>
      <w:r w:rsidRPr="007B4961">
        <w:rPr>
          <w:rFonts w:eastAsia="Palatino Linotype" w:cs="Palatino Linotype"/>
        </w:rPr>
        <w:t xml:space="preserve">Respecto de los </w:t>
      </w:r>
      <w:r w:rsidRPr="007B4961">
        <w:rPr>
          <w:rFonts w:eastAsia="Palatino Linotype" w:cs="Palatino Linotype"/>
          <w:b/>
        </w:rPr>
        <w:t>préstamos o descuentos</w:t>
      </w:r>
      <w:r w:rsidRPr="007B4961">
        <w:rPr>
          <w:rFonts w:eastAsia="Palatino Linotype" w:cs="Palatino Linotype"/>
        </w:rPr>
        <w:t xml:space="preserve"> </w:t>
      </w:r>
      <w:r w:rsidRPr="007B4961">
        <w:rPr>
          <w:rFonts w:eastAsia="Palatino Linotype" w:cs="Palatino Linotype"/>
          <w:b/>
        </w:rPr>
        <w:t>de carácter personal</w:t>
      </w:r>
      <w:r w:rsidRPr="007B4961">
        <w:rPr>
          <w:rFonts w:eastAsia="Palatino Linotype" w:cs="Palatino Linotype"/>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761E24B3" w14:textId="77777777" w:rsidR="006E240F" w:rsidRPr="007B4961" w:rsidRDefault="006E240F" w:rsidP="007B4961">
      <w:pPr>
        <w:rPr>
          <w:rFonts w:eastAsia="Palatino Linotype" w:cs="Palatino Linotype"/>
        </w:rPr>
      </w:pPr>
    </w:p>
    <w:p w14:paraId="7D72DFF5" w14:textId="77777777" w:rsidR="006E240F" w:rsidRPr="007B4961" w:rsidRDefault="006E240F" w:rsidP="007B4961">
      <w:pPr>
        <w:pBdr>
          <w:top w:val="nil"/>
          <w:left w:val="nil"/>
          <w:bottom w:val="nil"/>
          <w:right w:val="nil"/>
          <w:between w:val="nil"/>
        </w:pBdr>
        <w:rPr>
          <w:rFonts w:eastAsia="Palatino Linotype" w:cs="Palatino Linotype"/>
        </w:rPr>
      </w:pPr>
      <w:r w:rsidRPr="007B4961">
        <w:rPr>
          <w:rFonts w:eastAsia="Palatino Linotype" w:cs="Palatino Linotype"/>
        </w:rPr>
        <w:t>Por cuanto hace a las deducciones, para entender los límites y alcances de esta restricción, es oportuno recurrir al artículo 84 de la Ley del Trabajo de los Servidores Públicos del Estado y Municipios:</w:t>
      </w:r>
    </w:p>
    <w:p w14:paraId="3B06C0CD" w14:textId="77777777" w:rsidR="006E240F" w:rsidRPr="007B4961" w:rsidRDefault="006E240F" w:rsidP="007B4961">
      <w:pPr>
        <w:pBdr>
          <w:top w:val="nil"/>
          <w:left w:val="nil"/>
          <w:bottom w:val="nil"/>
          <w:right w:val="nil"/>
          <w:between w:val="nil"/>
        </w:pBdr>
        <w:rPr>
          <w:rFonts w:eastAsia="Palatino Linotype" w:cs="Palatino Linotype"/>
        </w:rPr>
      </w:pPr>
    </w:p>
    <w:p w14:paraId="0D1F49A0" w14:textId="77777777" w:rsidR="006E240F" w:rsidRPr="007B4961" w:rsidRDefault="006E240F" w:rsidP="007B4961">
      <w:pPr>
        <w:pStyle w:val="Puesto"/>
        <w:rPr>
          <w:rFonts w:eastAsia="Palatino Linotype"/>
          <w:b/>
        </w:rPr>
      </w:pPr>
      <w:r w:rsidRPr="007B4961">
        <w:rPr>
          <w:rFonts w:eastAsia="Palatino Linotype"/>
          <w:b/>
        </w:rPr>
        <w:t xml:space="preserve">“ARTÍCULO 84. </w:t>
      </w:r>
      <w:r w:rsidRPr="007B4961">
        <w:rPr>
          <w:rFonts w:eastAsia="Palatino Linotype"/>
        </w:rPr>
        <w:t>Sólo podrán hacerse retenciones, descuentos o deducciones al sueldo de los servidores públicos por concepto de:</w:t>
      </w:r>
    </w:p>
    <w:p w14:paraId="045827BD" w14:textId="77777777" w:rsidR="006E240F" w:rsidRPr="007B4961" w:rsidRDefault="006E240F" w:rsidP="007B4961">
      <w:pPr>
        <w:pStyle w:val="Puesto"/>
        <w:rPr>
          <w:rFonts w:eastAsia="Palatino Linotype"/>
        </w:rPr>
      </w:pPr>
      <w:r w:rsidRPr="007B4961">
        <w:rPr>
          <w:rFonts w:eastAsia="Palatino Linotype"/>
        </w:rPr>
        <w:t>I. Gravámenes fiscales relacionados con el sueldo;</w:t>
      </w:r>
    </w:p>
    <w:p w14:paraId="44F9425F" w14:textId="77777777" w:rsidR="006E240F" w:rsidRPr="007B4961" w:rsidRDefault="006E240F" w:rsidP="007B4961">
      <w:pPr>
        <w:pStyle w:val="Puesto"/>
        <w:rPr>
          <w:rFonts w:eastAsia="Palatino Linotype"/>
          <w:b/>
        </w:rPr>
      </w:pPr>
      <w:r w:rsidRPr="007B4961">
        <w:rPr>
          <w:rFonts w:eastAsia="Palatino Linotype"/>
          <w:b/>
        </w:rPr>
        <w:t>II. Deudas contraídas con las instituciones públicas o dependencias por concepto de anticipos de sueldo, pagos hechos con exceso, errores o pérdidas debidamente comprobados;</w:t>
      </w:r>
    </w:p>
    <w:p w14:paraId="2973FFA5" w14:textId="77777777" w:rsidR="006E240F" w:rsidRPr="007B4961" w:rsidRDefault="006E240F" w:rsidP="007B4961">
      <w:pPr>
        <w:pStyle w:val="Puesto"/>
        <w:rPr>
          <w:rFonts w:eastAsia="Palatino Linotype"/>
        </w:rPr>
      </w:pPr>
      <w:r w:rsidRPr="007B4961">
        <w:rPr>
          <w:rFonts w:eastAsia="Palatino Linotype"/>
        </w:rPr>
        <w:t>III. Cuotas sindicales;</w:t>
      </w:r>
    </w:p>
    <w:p w14:paraId="62231B34" w14:textId="77777777" w:rsidR="006E240F" w:rsidRPr="007B4961" w:rsidRDefault="006E240F" w:rsidP="007B4961">
      <w:pPr>
        <w:pStyle w:val="Puesto"/>
        <w:rPr>
          <w:rFonts w:eastAsia="Palatino Linotype"/>
        </w:rPr>
      </w:pPr>
      <w:r w:rsidRPr="007B4961">
        <w:rPr>
          <w:rFonts w:eastAsia="Palatino Linotype"/>
        </w:rPr>
        <w:t>IV. Cuotas de aportación a fondos para la constitución de cooperativas y de cajas de ahorro, siempre que el servidor público hubiese manifestado previamente, de manera expresa, su conformidad;</w:t>
      </w:r>
    </w:p>
    <w:p w14:paraId="77D797EB" w14:textId="77777777" w:rsidR="006E240F" w:rsidRPr="007B4961" w:rsidRDefault="006E240F" w:rsidP="007B4961">
      <w:pPr>
        <w:pStyle w:val="Puesto"/>
        <w:rPr>
          <w:rFonts w:eastAsia="Palatino Linotype"/>
        </w:rPr>
      </w:pPr>
      <w:r w:rsidRPr="007B4961">
        <w:rPr>
          <w:rFonts w:eastAsia="Palatino Linotype"/>
        </w:rPr>
        <w:t>V. Descuentos ordenados por el Instituto de Seguridad Social del Estado de México y Municipios, con motivo de cuotas y obligaciones contraídas con éste por los servidores públicos;</w:t>
      </w:r>
    </w:p>
    <w:p w14:paraId="24EC0025" w14:textId="77777777" w:rsidR="006E240F" w:rsidRPr="007B4961" w:rsidRDefault="006E240F" w:rsidP="007B4961">
      <w:pPr>
        <w:pStyle w:val="Puesto"/>
        <w:rPr>
          <w:rFonts w:eastAsia="Palatino Linotype"/>
        </w:rPr>
      </w:pPr>
      <w:r w:rsidRPr="007B4961">
        <w:rPr>
          <w:rFonts w:eastAsia="Palatino Linotype"/>
        </w:rPr>
        <w:lastRenderedPageBreak/>
        <w:t>VI. Obligaciones a cargo del servidor público con las que haya consentido, derivadas de la adquisición o del uso de habitaciones consideradas como de interés social;</w:t>
      </w:r>
    </w:p>
    <w:p w14:paraId="0CCE42F7" w14:textId="77777777" w:rsidR="006E240F" w:rsidRPr="007B4961" w:rsidRDefault="006E240F" w:rsidP="007B4961">
      <w:pPr>
        <w:pStyle w:val="Puesto"/>
        <w:rPr>
          <w:rFonts w:eastAsia="Palatino Linotype"/>
        </w:rPr>
      </w:pPr>
      <w:r w:rsidRPr="007B4961">
        <w:rPr>
          <w:rFonts w:eastAsia="Palatino Linotype"/>
        </w:rPr>
        <w:t>VII. Faltas de puntualidad o de asistencia injustificadas;</w:t>
      </w:r>
    </w:p>
    <w:p w14:paraId="5FEBC80F" w14:textId="77777777" w:rsidR="006E240F" w:rsidRPr="007B4961" w:rsidRDefault="006E240F" w:rsidP="007B4961">
      <w:pPr>
        <w:pStyle w:val="Puesto"/>
        <w:rPr>
          <w:rFonts w:eastAsia="Palatino Linotype"/>
        </w:rPr>
      </w:pPr>
      <w:r w:rsidRPr="007B4961">
        <w:rPr>
          <w:rFonts w:eastAsia="Palatino Linotype"/>
          <w:b/>
        </w:rPr>
        <w:t>VIII. Pensiones alimenticias ordenadas por la autoridad judicial;</w:t>
      </w:r>
      <w:r w:rsidRPr="007B4961">
        <w:rPr>
          <w:rFonts w:eastAsia="Palatino Linotype"/>
        </w:rPr>
        <w:t xml:space="preserve"> o</w:t>
      </w:r>
    </w:p>
    <w:p w14:paraId="7366C87B" w14:textId="77777777" w:rsidR="006E240F" w:rsidRPr="007B4961" w:rsidRDefault="006E240F" w:rsidP="007B4961">
      <w:pPr>
        <w:pStyle w:val="Puesto"/>
        <w:rPr>
          <w:rFonts w:eastAsia="Palatino Linotype"/>
          <w:b/>
        </w:rPr>
      </w:pPr>
      <w:r w:rsidRPr="007B4961">
        <w:rPr>
          <w:rFonts w:eastAsia="Palatino Linotype"/>
          <w:b/>
        </w:rPr>
        <w:t>IX. Cualquier otro convenido con instituciones de servicios y aceptado por el servidor público.</w:t>
      </w:r>
    </w:p>
    <w:p w14:paraId="4925F924" w14:textId="77777777" w:rsidR="006E240F" w:rsidRPr="007B4961" w:rsidRDefault="006E240F" w:rsidP="007B4961">
      <w:pPr>
        <w:pStyle w:val="Puesto"/>
        <w:rPr>
          <w:rFonts w:eastAsia="Palatino Linotype"/>
        </w:rPr>
      </w:pPr>
      <w:r w:rsidRPr="007B4961">
        <w:rPr>
          <w:rFonts w:eastAsia="Palatino Linotype"/>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50D3A7A1" w14:textId="77777777" w:rsidR="006E240F" w:rsidRPr="007B4961" w:rsidRDefault="006E240F" w:rsidP="007B4961">
      <w:pPr>
        <w:ind w:left="851" w:right="851"/>
        <w:rPr>
          <w:rFonts w:eastAsia="Palatino Linotype" w:cs="Palatino Linotype"/>
          <w:i/>
        </w:rPr>
      </w:pPr>
    </w:p>
    <w:p w14:paraId="62D2A540" w14:textId="77777777" w:rsidR="006E240F" w:rsidRPr="007B4961" w:rsidRDefault="006E240F" w:rsidP="007B4961">
      <w:pPr>
        <w:pBdr>
          <w:top w:val="nil"/>
          <w:left w:val="nil"/>
          <w:bottom w:val="nil"/>
          <w:right w:val="nil"/>
          <w:between w:val="nil"/>
        </w:pBdr>
        <w:rPr>
          <w:rFonts w:eastAsia="Palatino Linotype" w:cs="Palatino Linotype"/>
        </w:rPr>
      </w:pPr>
      <w:r w:rsidRPr="007B4961">
        <w:rPr>
          <w:rFonts w:eastAsia="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461A7951" w14:textId="77777777" w:rsidR="006E240F" w:rsidRPr="007B4961" w:rsidRDefault="006E240F" w:rsidP="007B4961">
      <w:pPr>
        <w:pBdr>
          <w:top w:val="nil"/>
          <w:left w:val="nil"/>
          <w:bottom w:val="nil"/>
          <w:right w:val="nil"/>
          <w:between w:val="nil"/>
        </w:pBdr>
        <w:rPr>
          <w:rFonts w:eastAsia="Palatino Linotype" w:cs="Palatino Linotype"/>
        </w:rPr>
      </w:pPr>
    </w:p>
    <w:p w14:paraId="00ACF5F1" w14:textId="77777777" w:rsidR="006E240F" w:rsidRPr="007B4961" w:rsidRDefault="006E240F" w:rsidP="007B4961">
      <w:pPr>
        <w:pBdr>
          <w:top w:val="nil"/>
          <w:left w:val="nil"/>
          <w:bottom w:val="nil"/>
          <w:right w:val="nil"/>
          <w:between w:val="nil"/>
        </w:pBdr>
        <w:rPr>
          <w:rFonts w:eastAsia="Palatino Linotype" w:cs="Palatino Linotype"/>
        </w:rPr>
      </w:pPr>
      <w:r w:rsidRPr="007B4961">
        <w:rPr>
          <w:rFonts w:eastAsia="Palatino Linotype" w:cs="Palatino Linotype"/>
        </w:rPr>
        <w:t>En conclusión, los préstamos o descuentos de carácter personal, en virtud de no tener relación con la prestación del servicio y al no involucrar instituciones públicas, se consideran datos confidenciales en términos de la fracción I del artículo 143 de la Ley de Transparencia Local.</w:t>
      </w:r>
    </w:p>
    <w:p w14:paraId="0663C60B" w14:textId="77777777" w:rsidR="006E240F" w:rsidRPr="007B4961" w:rsidRDefault="006E240F" w:rsidP="007B4961">
      <w:pPr>
        <w:pBdr>
          <w:top w:val="nil"/>
          <w:left w:val="nil"/>
          <w:bottom w:val="nil"/>
          <w:right w:val="nil"/>
          <w:between w:val="nil"/>
        </w:pBdr>
        <w:rPr>
          <w:rFonts w:eastAsia="Palatino Linotype" w:cs="Palatino Linotype"/>
        </w:rPr>
      </w:pPr>
    </w:p>
    <w:p w14:paraId="3CB13CE9" w14:textId="77777777" w:rsidR="006E240F" w:rsidRPr="007B4961" w:rsidRDefault="006E240F" w:rsidP="007B4961">
      <w:pPr>
        <w:pStyle w:val="Prrafodelista"/>
        <w:numPr>
          <w:ilvl w:val="0"/>
          <w:numId w:val="7"/>
        </w:numPr>
        <w:ind w:left="284" w:hanging="284"/>
        <w:rPr>
          <w:rFonts w:eastAsia="Palatino Linotype" w:cs="Palatino Linotype"/>
        </w:rPr>
      </w:pPr>
      <w:r w:rsidRPr="007B4961">
        <w:rPr>
          <w:rFonts w:eastAsia="Palatino Linotype" w:cs="Palatino Linotype"/>
          <w:b/>
        </w:rPr>
        <w:t>De la información fiscal</w:t>
      </w:r>
      <w:r w:rsidRPr="007B4961">
        <w:rPr>
          <w:rFonts w:eastAsia="Palatino Linotype" w:cs="Palatino Linotype"/>
        </w:rPr>
        <w:t xml:space="preserve">: </w:t>
      </w:r>
    </w:p>
    <w:p w14:paraId="5401BB79" w14:textId="77777777" w:rsidR="006E240F" w:rsidRPr="007B4961" w:rsidRDefault="006E240F" w:rsidP="007B4961">
      <w:pPr>
        <w:rPr>
          <w:rFonts w:eastAsia="Palatino Linotype" w:cs="Palatino Linotype"/>
        </w:rPr>
      </w:pPr>
      <w:r w:rsidRPr="007B4961">
        <w:rPr>
          <w:rFonts w:eastAsia="Palatino Linotype" w:cs="Palatino Linotype"/>
        </w:rPr>
        <w:t xml:space="preserve">La </w:t>
      </w:r>
      <w:r w:rsidRPr="007B4961">
        <w:rPr>
          <w:rFonts w:eastAsia="Palatino Linotype" w:cs="Palatino Linotype"/>
          <w:b/>
        </w:rPr>
        <w:t>Cadena Original</w:t>
      </w:r>
      <w:r w:rsidRPr="007B4961">
        <w:rPr>
          <w:rFonts w:eastAsia="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7B4961">
        <w:rPr>
          <w:rFonts w:eastAsia="Palatino Linotype" w:cs="Palatino Linotype"/>
          <w:b/>
        </w:rPr>
        <w:lastRenderedPageBreak/>
        <w:t>Sujeto Obligado</w:t>
      </w:r>
      <w:r w:rsidRPr="007B4961">
        <w:rPr>
          <w:rFonts w:eastAsia="Palatino Linotype" w:cs="Palatino Linotype"/>
        </w:rPr>
        <w:t xml:space="preserve"> analizar dicha circunstancia con la finalidad de proteger, de ser el caso, la información a través de su clasificación por actualizarse el supuesto de confidencialidad.</w:t>
      </w:r>
    </w:p>
    <w:p w14:paraId="6181FA14" w14:textId="77777777" w:rsidR="006E240F" w:rsidRPr="007B4961" w:rsidRDefault="006E240F" w:rsidP="007B4961">
      <w:pPr>
        <w:rPr>
          <w:rFonts w:eastAsia="Palatino Linotype" w:cs="Palatino Linotype"/>
        </w:rPr>
      </w:pPr>
    </w:p>
    <w:p w14:paraId="5263CB66" w14:textId="77777777" w:rsidR="006E240F" w:rsidRPr="007B4961" w:rsidRDefault="006E240F" w:rsidP="007B4961">
      <w:pPr>
        <w:rPr>
          <w:rFonts w:eastAsia="Palatino Linotype" w:cs="Palatino Linotype"/>
        </w:rPr>
      </w:pPr>
      <w:r w:rsidRPr="007B4961">
        <w:rPr>
          <w:rFonts w:eastAsia="Palatino Linotype" w:cs="Palatino Linotype"/>
        </w:rPr>
        <w:t xml:space="preserve">Misma cuestión con los </w:t>
      </w:r>
      <w:r w:rsidRPr="007B4961">
        <w:rPr>
          <w:rFonts w:eastAsia="Palatino Linotype" w:cs="Palatino Linotype"/>
          <w:b/>
        </w:rPr>
        <w:t>Sellos Digitales</w:t>
      </w:r>
      <w:r w:rsidRPr="007B4961">
        <w:rPr>
          <w:rFonts w:eastAsia="Palatino Linotype" w:cs="Palatino Linotype"/>
        </w:rPr>
        <w:t xml:space="preserve">, corresponde al </w:t>
      </w:r>
      <w:r w:rsidRPr="007B4961">
        <w:rPr>
          <w:rFonts w:eastAsia="Palatino Linotype" w:cs="Palatino Linotype"/>
          <w:b/>
        </w:rPr>
        <w:t>Sujeto Obligado</w:t>
      </w:r>
      <w:r w:rsidRPr="007B4961">
        <w:rPr>
          <w:rFonts w:eastAsia="Palatino Linotype" w:cs="Palatino Linotype"/>
        </w:rPr>
        <w:t xml:space="preserve"> valorar si el mismo se conforma por información que arroja datos de índole confidencial se deberán clasificar.</w:t>
      </w:r>
    </w:p>
    <w:p w14:paraId="597EE4BD" w14:textId="77777777" w:rsidR="006E240F" w:rsidRPr="007B4961" w:rsidRDefault="006E240F" w:rsidP="007B4961">
      <w:pPr>
        <w:rPr>
          <w:rFonts w:eastAsia="Palatino Linotype" w:cs="Palatino Linotype"/>
        </w:rPr>
      </w:pPr>
    </w:p>
    <w:p w14:paraId="741A1AF2" w14:textId="77777777" w:rsidR="006E240F" w:rsidRPr="007B4961" w:rsidRDefault="006E240F" w:rsidP="007B4961">
      <w:pPr>
        <w:rPr>
          <w:rFonts w:eastAsia="Palatino Linotype" w:cs="Palatino Linotype"/>
        </w:rPr>
      </w:pPr>
      <w:r w:rsidRPr="007B4961">
        <w:rPr>
          <w:rFonts w:eastAsia="Palatino Linotype" w:cs="Palatino Linotype"/>
        </w:rPr>
        <w:t xml:space="preserve">Los </w:t>
      </w:r>
      <w:r w:rsidRPr="007B4961">
        <w:rPr>
          <w:rFonts w:eastAsia="Palatino Linotype" w:cs="Palatino Linotype"/>
          <w:b/>
        </w:rPr>
        <w:t>códigos bidimensionales</w:t>
      </w:r>
      <w:r w:rsidRPr="007B4961">
        <w:rPr>
          <w:rFonts w:eastAsia="Palatino Linotype" w:cs="Palatino Linotype"/>
        </w:rPr>
        <w:t xml:space="preserve"> o </w:t>
      </w:r>
      <w:r w:rsidRPr="007B4961">
        <w:rPr>
          <w:rFonts w:eastAsia="Palatino Linotype" w:cs="Palatino Linotype"/>
          <w:b/>
        </w:rPr>
        <w:t xml:space="preserve">códigos QR, </w:t>
      </w:r>
      <w:r w:rsidRPr="007B4961">
        <w:rPr>
          <w:rFonts w:eastAsia="Palatino Linotype" w:cs="Palatino Linotype"/>
        </w:rPr>
        <w:t>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lo que actualiza algún supuesto de confidencialidad.</w:t>
      </w:r>
    </w:p>
    <w:p w14:paraId="2888B286" w14:textId="77777777" w:rsidR="006E240F" w:rsidRPr="007B4961" w:rsidRDefault="006E240F" w:rsidP="007B4961">
      <w:pPr>
        <w:rPr>
          <w:rFonts w:eastAsia="Palatino Linotype" w:cs="Palatino Linotype"/>
        </w:rPr>
      </w:pPr>
    </w:p>
    <w:p w14:paraId="2382E2A4" w14:textId="77777777" w:rsidR="006E240F" w:rsidRPr="007B4961" w:rsidRDefault="006E240F" w:rsidP="007B4961">
      <w:pPr>
        <w:pStyle w:val="Prrafodelista"/>
        <w:numPr>
          <w:ilvl w:val="0"/>
          <w:numId w:val="7"/>
        </w:numPr>
        <w:ind w:left="284" w:hanging="284"/>
        <w:rPr>
          <w:rFonts w:eastAsia="Palatino Linotype" w:cs="Palatino Linotype"/>
          <w:b/>
        </w:rPr>
      </w:pPr>
      <w:r w:rsidRPr="007B4961">
        <w:rPr>
          <w:rFonts w:eastAsia="Palatino Linotype" w:cs="Palatino Linotype"/>
          <w:b/>
        </w:rPr>
        <w:t>Cuenta bancaria:</w:t>
      </w:r>
    </w:p>
    <w:p w14:paraId="6F3D6CAA" w14:textId="77777777" w:rsidR="006E240F" w:rsidRPr="007B4961" w:rsidRDefault="006E240F" w:rsidP="007B4961">
      <w:pPr>
        <w:rPr>
          <w:rFonts w:eastAsia="Palatino Linotype" w:cs="Palatino Linotype"/>
        </w:rPr>
      </w:pPr>
    </w:p>
    <w:p w14:paraId="227EB3B7" w14:textId="77777777" w:rsidR="006E240F" w:rsidRPr="007B4961" w:rsidRDefault="006E240F" w:rsidP="007B4961">
      <w:pPr>
        <w:rPr>
          <w:rFonts w:eastAsia="Palatino Linotype" w:cs="Palatino Linotype"/>
        </w:rPr>
      </w:pPr>
      <w:r w:rsidRPr="007B4961">
        <w:rPr>
          <w:rFonts w:eastAsia="Palatino Linotype" w:cs="Palatino Linotype"/>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1C133FE" w14:textId="77777777" w:rsidR="006E240F" w:rsidRPr="007B4961" w:rsidRDefault="006E240F" w:rsidP="007B4961">
      <w:pPr>
        <w:ind w:right="50"/>
        <w:rPr>
          <w:rFonts w:eastAsia="Palatino Linotype" w:cs="Palatino Linotype"/>
        </w:rPr>
      </w:pPr>
    </w:p>
    <w:p w14:paraId="1BF4802D" w14:textId="77777777" w:rsidR="006E240F" w:rsidRPr="007B4961" w:rsidRDefault="006E240F" w:rsidP="007B4961">
      <w:pPr>
        <w:ind w:right="51"/>
        <w:rPr>
          <w:rFonts w:eastAsia="Palatino Linotype" w:cs="Palatino Linotype"/>
        </w:rPr>
      </w:pPr>
      <w:r w:rsidRPr="007B4961">
        <w:rPr>
          <w:rFonts w:eastAsia="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w:t>
      </w:r>
      <w:r w:rsidRPr="007B4961">
        <w:rPr>
          <w:rFonts w:eastAsia="Palatino Linotype" w:cs="Palatino Linotype"/>
        </w:rPr>
        <w:lastRenderedPageBreak/>
        <w:t xml:space="preserve">información no puede ser del dominio público, toda vez que se podría dar un uso inadecuado a la misma o cometer algún ilícito o fraude en contra del patrimonio de los particulares. </w:t>
      </w:r>
    </w:p>
    <w:p w14:paraId="0DE5FD37" w14:textId="77777777" w:rsidR="006E240F" w:rsidRPr="007B4961" w:rsidRDefault="006E240F" w:rsidP="007B4961">
      <w:pPr>
        <w:ind w:right="51"/>
        <w:rPr>
          <w:rFonts w:eastAsia="Palatino Linotype" w:cs="Palatino Linotype"/>
        </w:rPr>
      </w:pPr>
    </w:p>
    <w:p w14:paraId="4B2FE9AB" w14:textId="77777777" w:rsidR="006E240F" w:rsidRPr="007B4961" w:rsidRDefault="006E240F" w:rsidP="007B4961">
      <w:pPr>
        <w:ind w:right="50"/>
        <w:rPr>
          <w:rFonts w:eastAsia="Palatino Linotype" w:cs="Palatino Linotype"/>
        </w:rPr>
      </w:pPr>
      <w:r w:rsidRPr="007B4961">
        <w:rPr>
          <w:rFonts w:eastAsia="Palatino Linotype" w:cs="Palatino Linotype"/>
        </w:rPr>
        <w:t>Lo anterior encuentra sustento en el criterio 10/17 emitido por el Instituto Nacional de Transparencia y Acceso a la Información Pública del Estado de México y Municipios, que a la letra dicen:</w:t>
      </w:r>
    </w:p>
    <w:p w14:paraId="082411ED" w14:textId="77777777" w:rsidR="006E240F" w:rsidRPr="007B4961" w:rsidRDefault="006E240F" w:rsidP="007B4961">
      <w:pPr>
        <w:ind w:right="50"/>
        <w:rPr>
          <w:rFonts w:eastAsia="Palatino Linotype" w:cs="Palatino Linotype"/>
        </w:rPr>
      </w:pPr>
    </w:p>
    <w:p w14:paraId="6AD06B8A" w14:textId="77777777" w:rsidR="006E240F" w:rsidRPr="007B4961" w:rsidRDefault="006E240F" w:rsidP="007B4961">
      <w:pPr>
        <w:pStyle w:val="Puesto"/>
        <w:rPr>
          <w:rFonts w:eastAsia="Palatino Linotype"/>
        </w:rPr>
      </w:pPr>
      <w:r w:rsidRPr="007B4961">
        <w:rPr>
          <w:rFonts w:eastAsia="Palatino Linotype"/>
          <w:b/>
        </w:rPr>
        <w:t>“Cuentas bancarias y/o CLABE interbancaria de personas físicas y morales privadas.</w:t>
      </w:r>
      <w:r w:rsidRPr="007B4961">
        <w:rPr>
          <w:rFonts w:eastAsia="Palatino Linotype"/>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8BA810C" w14:textId="77777777" w:rsidR="006E240F" w:rsidRPr="007B4961" w:rsidRDefault="006E240F" w:rsidP="007B4961">
      <w:pPr>
        <w:ind w:left="851" w:right="899"/>
        <w:jc w:val="center"/>
        <w:rPr>
          <w:rFonts w:eastAsia="Palatino Linotype" w:cs="Palatino Linotype"/>
          <w:b/>
          <w:i/>
        </w:rPr>
      </w:pPr>
    </w:p>
    <w:p w14:paraId="05F58334" w14:textId="77777777" w:rsidR="006E240F" w:rsidRPr="007B4961" w:rsidRDefault="006E240F" w:rsidP="007B4961">
      <w:pPr>
        <w:rPr>
          <w:rFonts w:eastAsia="Palatino Linotype" w:cs="Palatino Linotype"/>
          <w:b/>
          <w:u w:val="single"/>
        </w:rPr>
      </w:pPr>
      <w:r w:rsidRPr="007B4961">
        <w:rPr>
          <w:rFonts w:eastAsia="Palatino Linotype" w:cs="Palatino Linotype"/>
          <w:b/>
          <w:u w:val="single"/>
        </w:rPr>
        <w:t>INFORMACIÓN PÚBLICA:</w:t>
      </w:r>
    </w:p>
    <w:p w14:paraId="36B70D33" w14:textId="77777777" w:rsidR="006E240F" w:rsidRPr="007B4961" w:rsidRDefault="006E240F" w:rsidP="007B4961">
      <w:pPr>
        <w:rPr>
          <w:rFonts w:eastAsia="Palatino Linotype" w:cs="Palatino Linotype"/>
          <w:b/>
          <w:u w:val="single"/>
        </w:rPr>
      </w:pPr>
    </w:p>
    <w:p w14:paraId="278236EB" w14:textId="77777777" w:rsidR="006E240F" w:rsidRPr="007B4961" w:rsidRDefault="006E240F" w:rsidP="007B4961">
      <w:pPr>
        <w:pStyle w:val="Prrafodelista"/>
        <w:numPr>
          <w:ilvl w:val="0"/>
          <w:numId w:val="7"/>
        </w:numPr>
        <w:ind w:left="284" w:hanging="284"/>
        <w:rPr>
          <w:rFonts w:eastAsia="Palatino Linotype" w:cs="Palatino Linotype"/>
          <w:b/>
        </w:rPr>
      </w:pPr>
      <w:r w:rsidRPr="007B4961">
        <w:rPr>
          <w:rFonts w:eastAsia="Palatino Linotype" w:cs="Palatino Linotype"/>
          <w:b/>
        </w:rPr>
        <w:t>Número de Empleado:</w:t>
      </w:r>
    </w:p>
    <w:p w14:paraId="4981A399" w14:textId="77777777" w:rsidR="006E240F" w:rsidRPr="007B4961" w:rsidRDefault="006E240F" w:rsidP="007B4961">
      <w:pPr>
        <w:rPr>
          <w:rFonts w:eastAsia="Palatino Linotype" w:cs="Palatino Linotype"/>
        </w:rPr>
      </w:pPr>
    </w:p>
    <w:p w14:paraId="0D6DF057" w14:textId="77777777" w:rsidR="006E240F" w:rsidRPr="007B4961" w:rsidRDefault="006E240F" w:rsidP="007B4961">
      <w:pPr>
        <w:rPr>
          <w:rFonts w:eastAsia="Palatino Linotype" w:cs="Palatino Linotype"/>
        </w:rPr>
      </w:pPr>
      <w:r w:rsidRPr="007B4961">
        <w:rPr>
          <w:rFonts w:eastAsia="Palatino Linotype" w:cs="Palatino Linotype"/>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4DA9DF38" w14:textId="77777777" w:rsidR="006E240F" w:rsidRPr="007B4961" w:rsidRDefault="006E240F" w:rsidP="007B4961">
      <w:pPr>
        <w:rPr>
          <w:rFonts w:eastAsia="Palatino Linotype" w:cs="Palatino Linotype"/>
        </w:rPr>
      </w:pPr>
    </w:p>
    <w:p w14:paraId="08E5483B" w14:textId="77777777" w:rsidR="006E240F" w:rsidRPr="007B4961" w:rsidRDefault="006E240F" w:rsidP="007B4961">
      <w:pPr>
        <w:rPr>
          <w:rFonts w:eastAsia="Palatino Linotype" w:cs="Palatino Linotype"/>
        </w:rPr>
      </w:pPr>
      <w:r w:rsidRPr="007B4961">
        <w:rPr>
          <w:rFonts w:eastAsia="Palatino Linotype" w:cs="Palatino Linotype"/>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w:t>
      </w:r>
      <w:r w:rsidRPr="007B4961">
        <w:rPr>
          <w:rFonts w:eastAsia="Palatino Linotype" w:cs="Palatino Linotype"/>
        </w:rPr>
        <w:lastRenderedPageBreak/>
        <w:t>Municipios; sin embargo, cuando dicho dato se conforma de dígitos, letras o símbolos que no revelan datos personales, no reviste el carácter de confidencial, al no dar por sí solo acceso a datos personales.</w:t>
      </w:r>
    </w:p>
    <w:p w14:paraId="5F10AD96" w14:textId="77777777" w:rsidR="006E240F" w:rsidRPr="007B4961" w:rsidRDefault="006E240F" w:rsidP="007B4961">
      <w:pPr>
        <w:rPr>
          <w:rFonts w:eastAsia="Palatino Linotype" w:cs="Palatino Linotype"/>
        </w:rPr>
      </w:pPr>
    </w:p>
    <w:p w14:paraId="1DE04F80" w14:textId="77777777" w:rsidR="006E240F" w:rsidRPr="007B4961" w:rsidRDefault="006E240F" w:rsidP="007B4961">
      <w:pPr>
        <w:rPr>
          <w:rFonts w:eastAsia="Palatino Linotype" w:cs="Palatino Linotype"/>
        </w:rPr>
      </w:pPr>
      <w:r w:rsidRPr="007B4961">
        <w:rPr>
          <w:rFonts w:eastAsia="Palatino Linotype" w:cs="Palatino Linotype"/>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4156AC94" w14:textId="77777777" w:rsidR="006E240F" w:rsidRPr="007B4961" w:rsidRDefault="006E240F" w:rsidP="007B4961">
      <w:pPr>
        <w:rPr>
          <w:rFonts w:eastAsia="Palatino Linotype" w:cs="Palatino Linotype"/>
        </w:rPr>
      </w:pPr>
    </w:p>
    <w:p w14:paraId="352783C1" w14:textId="77777777" w:rsidR="006E240F" w:rsidRPr="007B4961" w:rsidRDefault="006E240F" w:rsidP="007B4961">
      <w:pPr>
        <w:pStyle w:val="Puesto"/>
        <w:rPr>
          <w:rFonts w:eastAsia="Palatino Linotype"/>
        </w:rPr>
      </w:pPr>
      <w:r w:rsidRPr="007B4961">
        <w:rPr>
          <w:rFonts w:eastAsia="Palatino Linotype"/>
        </w:rPr>
        <w:t>“</w:t>
      </w:r>
      <w:r w:rsidRPr="007B4961">
        <w:rPr>
          <w:rFonts w:eastAsia="Palatino Linotype"/>
          <w:b/>
        </w:rPr>
        <w:t>Número de empleado</w:t>
      </w:r>
      <w:r w:rsidRPr="007B4961">
        <w:rPr>
          <w:rFonts w:eastAsia="Palatino Linotype"/>
        </w:rPr>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confidencial.”(Sic)</w:t>
      </w:r>
    </w:p>
    <w:p w14:paraId="04945497" w14:textId="77777777" w:rsidR="00561243" w:rsidRPr="007B4961" w:rsidRDefault="00561243" w:rsidP="007B4961">
      <w:pPr>
        <w:ind w:left="851" w:right="851"/>
        <w:rPr>
          <w:rFonts w:eastAsia="Palatino Linotype" w:cs="Palatino Linotype"/>
          <w:i/>
        </w:rPr>
      </w:pPr>
    </w:p>
    <w:p w14:paraId="47F662B9" w14:textId="77777777" w:rsidR="006E240F" w:rsidRPr="007B4961" w:rsidRDefault="006E240F" w:rsidP="007B4961">
      <w:pPr>
        <w:rPr>
          <w:rFonts w:eastAsia="Palatino Linotype" w:cs="Palatino Linotype"/>
        </w:rPr>
      </w:pPr>
      <w:r w:rsidRPr="007B4961">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5236245B" w14:textId="77777777" w:rsidR="006E240F" w:rsidRPr="007B4961" w:rsidRDefault="006E240F" w:rsidP="007B4961">
      <w:pPr>
        <w:rPr>
          <w:rFonts w:eastAsia="Palatino Linotype" w:cs="Palatino Linotype"/>
        </w:rPr>
      </w:pPr>
    </w:p>
    <w:p w14:paraId="021D860A" w14:textId="77777777" w:rsidR="006E240F" w:rsidRPr="007B4961" w:rsidRDefault="006E240F" w:rsidP="007B4961">
      <w:pPr>
        <w:rPr>
          <w:rFonts w:eastAsia="Palatino Linotype" w:cs="Palatino Linotype"/>
        </w:rPr>
      </w:pPr>
      <w:r w:rsidRPr="007B4961">
        <w:rPr>
          <w:rFonts w:eastAsia="Palatino Linotype" w:cs="Palatino Linotype"/>
        </w:rPr>
        <w:t xml:space="preserve">De tales circunstancias, se considera que el </w:t>
      </w:r>
      <w:r w:rsidRPr="007B4961">
        <w:rPr>
          <w:rFonts w:eastAsia="Palatino Linotype" w:cs="Palatino Linotype"/>
          <w:b/>
        </w:rPr>
        <w:t>Sujeto Obligado</w:t>
      </w:r>
      <w:r w:rsidRPr="007B4961">
        <w:rPr>
          <w:rFonts w:eastAsia="Palatino Linotype" w:cs="Palatino Linotype"/>
        </w:rPr>
        <w:t xml:space="preserve">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41ABCBFB" w14:textId="77777777" w:rsidR="006E240F" w:rsidRPr="007B4961" w:rsidRDefault="006E240F" w:rsidP="007B4961">
      <w:pPr>
        <w:rPr>
          <w:rFonts w:eastAsia="Palatino Linotype" w:cs="Palatino Linotype"/>
          <w:b/>
        </w:rPr>
      </w:pPr>
    </w:p>
    <w:p w14:paraId="103F3A58" w14:textId="77777777" w:rsidR="006E240F" w:rsidRPr="007B4961" w:rsidRDefault="006E240F" w:rsidP="007B4961">
      <w:pPr>
        <w:pStyle w:val="Prrafodelista"/>
        <w:numPr>
          <w:ilvl w:val="0"/>
          <w:numId w:val="7"/>
        </w:numPr>
        <w:ind w:left="284" w:hanging="284"/>
        <w:rPr>
          <w:rFonts w:eastAsia="Palatino Linotype" w:cs="Palatino Linotype"/>
          <w:b/>
        </w:rPr>
      </w:pPr>
      <w:r w:rsidRPr="007B4961">
        <w:rPr>
          <w:rFonts w:eastAsia="Palatino Linotype" w:cs="Palatino Linotype"/>
          <w:b/>
        </w:rPr>
        <w:t xml:space="preserve">Inicio de Labores y Antigüedad: </w:t>
      </w:r>
    </w:p>
    <w:p w14:paraId="64ADFF1C" w14:textId="77777777" w:rsidR="006E240F" w:rsidRPr="007B4961" w:rsidRDefault="006E240F" w:rsidP="007B4961">
      <w:pPr>
        <w:pStyle w:val="Prrafodelista"/>
        <w:ind w:left="284"/>
        <w:rPr>
          <w:rFonts w:eastAsia="Palatino Linotype" w:cs="Palatino Linotype"/>
          <w:b/>
        </w:rPr>
      </w:pPr>
    </w:p>
    <w:p w14:paraId="0220B768" w14:textId="77777777" w:rsidR="006E240F" w:rsidRPr="007B4961" w:rsidRDefault="006E240F" w:rsidP="007B4961">
      <w:pPr>
        <w:rPr>
          <w:rFonts w:eastAsia="Palatino Linotype" w:cs="Palatino Linotype"/>
        </w:rPr>
      </w:pPr>
      <w:r w:rsidRPr="007B4961">
        <w:rPr>
          <w:rFonts w:eastAsia="Palatino Linotype" w:cs="Palatino Linotype"/>
        </w:rPr>
        <w:t xml:space="preserve">Se considera como información pública por no actualizar alguna hipótesis del artículo 143 de la Ley de la Materia, ya que al dar a conocer dichos datos no se revela alguna información </w:t>
      </w:r>
      <w:r w:rsidRPr="007B4961">
        <w:rPr>
          <w:rFonts w:eastAsia="Palatino Linotype" w:cs="Palatino Linotype"/>
        </w:rPr>
        <w:lastRenderedPageBreak/>
        <w:t>privada o que le afecten a su esfera personal del servidor público, pues únicamente se trata de la fecha en que el servidor público ingreso a laborar en el ente público, así como el tiempo que lleva laborando, o bien, su antigüedad.</w:t>
      </w:r>
    </w:p>
    <w:p w14:paraId="3C28C947" w14:textId="77777777" w:rsidR="006E240F" w:rsidRPr="007B4961" w:rsidRDefault="006E240F" w:rsidP="007B4961">
      <w:pPr>
        <w:rPr>
          <w:rFonts w:eastAsia="Palatino Linotype" w:cs="Palatino Linotype"/>
        </w:rPr>
      </w:pPr>
    </w:p>
    <w:p w14:paraId="03BE80FD" w14:textId="77777777" w:rsidR="006E240F" w:rsidRPr="007B4961" w:rsidRDefault="006E240F" w:rsidP="007B4961">
      <w:pPr>
        <w:pStyle w:val="Prrafodelista"/>
        <w:numPr>
          <w:ilvl w:val="0"/>
          <w:numId w:val="7"/>
        </w:numPr>
        <w:tabs>
          <w:tab w:val="left" w:pos="284"/>
        </w:tabs>
        <w:ind w:left="426" w:hanging="426"/>
        <w:rPr>
          <w:rFonts w:eastAsia="Palatino Linotype" w:cs="Palatino Linotype"/>
          <w:b/>
        </w:rPr>
      </w:pPr>
      <w:r w:rsidRPr="007B4961">
        <w:rPr>
          <w:rFonts w:eastAsia="Palatino Linotype" w:cs="Palatino Linotype"/>
          <w:b/>
        </w:rPr>
        <w:t>Número de certificado del emisor y número de certificado del SAT:</w:t>
      </w:r>
    </w:p>
    <w:p w14:paraId="3E672C5F" w14:textId="77777777" w:rsidR="006E240F" w:rsidRPr="007B4961" w:rsidRDefault="006E240F" w:rsidP="007B4961">
      <w:pPr>
        <w:rPr>
          <w:rFonts w:eastAsia="Palatino Linotype" w:cs="Palatino Linotype"/>
        </w:rPr>
      </w:pPr>
    </w:p>
    <w:p w14:paraId="171E16C6" w14:textId="77777777" w:rsidR="006E240F" w:rsidRPr="007B4961" w:rsidRDefault="006E240F" w:rsidP="007B4961">
      <w:pPr>
        <w:rPr>
          <w:rFonts w:eastAsia="Palatino Linotype" w:cs="Palatino Linotype"/>
        </w:rPr>
      </w:pPr>
      <w:r w:rsidRPr="007B4961">
        <w:rPr>
          <w:rFonts w:eastAsia="Palatino Linotype" w:cs="Palatino Linotype"/>
        </w:rPr>
        <w:t xml:space="preserve">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en la página electrónica </w:t>
      </w:r>
      <w:hyperlink r:id="rId17">
        <w:r w:rsidRPr="007B4961">
          <w:rPr>
            <w:rFonts w:eastAsia="Palatino Linotype" w:cs="Palatino Linotype"/>
            <w:u w:val="single"/>
          </w:rPr>
          <w:t>https://portalanterior.ine.mx/archivos2/tutoriales/sistemas/ApoyoInstitucional/SIF/docs/candidatos/folioFiscalFactura.pdf</w:t>
        </w:r>
      </w:hyperlink>
      <w:r w:rsidRPr="007B4961">
        <w:rPr>
          <w:rFonts w:eastAsia="Palatino Linotype" w:cs="Palatino Linotype"/>
        </w:rPr>
        <w:t>), en la cual se advierte que únicamente se encuentra conformado por números, se muestra a continuación:</w:t>
      </w:r>
    </w:p>
    <w:p w14:paraId="785C70BC" w14:textId="77777777" w:rsidR="006E240F" w:rsidRPr="007B4961" w:rsidRDefault="006E240F" w:rsidP="007B4961">
      <w:pPr>
        <w:rPr>
          <w:rFonts w:eastAsia="Palatino Linotype" w:cs="Palatino Linotype"/>
        </w:rPr>
      </w:pPr>
    </w:p>
    <w:p w14:paraId="0D5DCF17" w14:textId="77777777" w:rsidR="006E240F" w:rsidRPr="007B4961" w:rsidRDefault="006E240F" w:rsidP="007B4961">
      <w:pPr>
        <w:jc w:val="center"/>
        <w:rPr>
          <w:rFonts w:eastAsia="Palatino Linotype" w:cs="Palatino Linotype"/>
        </w:rPr>
      </w:pPr>
      <w:r w:rsidRPr="007B4961">
        <w:rPr>
          <w:noProof/>
          <w:lang w:eastAsia="es-MX"/>
        </w:rPr>
        <w:drawing>
          <wp:inline distT="0" distB="0" distL="0" distR="0" wp14:anchorId="34787A94" wp14:editId="0D03569C">
            <wp:extent cx="5456959" cy="1061076"/>
            <wp:effectExtent l="0" t="0" r="0" b="0"/>
            <wp:docPr id="1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5456959" cy="1061076"/>
                    </a:xfrm>
                    <a:prstGeom prst="rect">
                      <a:avLst/>
                    </a:prstGeom>
                    <a:ln/>
                  </pic:spPr>
                </pic:pic>
              </a:graphicData>
            </a:graphic>
          </wp:inline>
        </w:drawing>
      </w:r>
      <w:r w:rsidRPr="007B4961">
        <w:rPr>
          <w:noProof/>
          <w:lang w:eastAsia="es-MX"/>
        </w:rPr>
        <mc:AlternateContent>
          <mc:Choice Requires="wps">
            <w:drawing>
              <wp:anchor distT="0" distB="0" distL="114300" distR="114300" simplePos="0" relativeHeight="251659264" behindDoc="0" locked="0" layoutInCell="1" hidden="0" allowOverlap="1" wp14:anchorId="541E6627" wp14:editId="2D41CAF3">
                <wp:simplePos x="0" y="0"/>
                <wp:positionH relativeFrom="column">
                  <wp:posOffset>292100</wp:posOffset>
                </wp:positionH>
                <wp:positionV relativeFrom="paragraph">
                  <wp:posOffset>812800</wp:posOffset>
                </wp:positionV>
                <wp:extent cx="3486150" cy="247650"/>
                <wp:effectExtent l="0" t="0" r="0" b="0"/>
                <wp:wrapNone/>
                <wp:docPr id="146" name="Rectángulo 146"/>
                <wp:cNvGraphicFramePr/>
                <a:graphic xmlns:a="http://schemas.openxmlformats.org/drawingml/2006/main">
                  <a:graphicData uri="http://schemas.microsoft.com/office/word/2010/wordprocessingShape">
                    <wps:wsp>
                      <wps:cNvSpPr/>
                      <wps:spPr>
                        <a:xfrm>
                          <a:off x="3617213" y="3670463"/>
                          <a:ext cx="3457575" cy="219075"/>
                        </a:xfrm>
                        <a:prstGeom prst="rect">
                          <a:avLst/>
                        </a:prstGeom>
                        <a:noFill/>
                        <a:ln w="28575" cap="flat" cmpd="sng">
                          <a:solidFill>
                            <a:srgbClr val="000000"/>
                          </a:solidFill>
                          <a:prstDash val="solid"/>
                          <a:miter lim="800000"/>
                          <a:headEnd type="none" w="sm" len="sm"/>
                          <a:tailEnd type="none" w="sm" len="sm"/>
                        </a:ln>
                      </wps:spPr>
                      <wps:txbx>
                        <w:txbxContent>
                          <w:p w14:paraId="0E712688" w14:textId="77777777" w:rsidR="00776E42" w:rsidRDefault="00776E42" w:rsidP="006E240F">
                            <w:pPr>
                              <w:textDirection w:val="btLr"/>
                            </w:pPr>
                          </w:p>
                        </w:txbxContent>
                      </wps:txbx>
                      <wps:bodyPr spcFirstLastPara="1" wrap="square" lIns="91425" tIns="91425" rIns="91425" bIns="91425" anchor="ctr" anchorCtr="0">
                        <a:noAutofit/>
                      </wps:bodyPr>
                    </wps:wsp>
                  </a:graphicData>
                </a:graphic>
              </wp:anchor>
            </w:drawing>
          </mc:Choice>
          <mc:Fallback>
            <w:pict>
              <v:rect w14:anchorId="541E6627" id="Rectángulo 146" o:spid="_x0000_s1026" style="position:absolute;left:0;text-align:left;margin-left:23pt;margin-top:64pt;width:274.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" filled="f" strokeweight="2.25pt">
                <v:stroke startarrowwidth="narrow" startarrowlength="short" endarrowwidth="narrow" endarrowlength="short"/>
                <v:textbox inset="2.53958mm,2.53958mm,2.53958mm,2.53958mm">
                  <w:txbxContent>
                    <w:p w14:paraId="0E712688" w14:textId="77777777" w:rsidR="00776E42" w:rsidRDefault="00776E42" w:rsidP="006E240F">
                      <w:pPr>
                        <w:textDirection w:val="btLr"/>
                      </w:pPr>
                    </w:p>
                  </w:txbxContent>
                </v:textbox>
              </v:rect>
            </w:pict>
          </mc:Fallback>
        </mc:AlternateContent>
      </w:r>
    </w:p>
    <w:p w14:paraId="62DE6352" w14:textId="77777777" w:rsidR="006E240F" w:rsidRPr="007B4961" w:rsidRDefault="006E240F" w:rsidP="007B4961">
      <w:pPr>
        <w:rPr>
          <w:rFonts w:eastAsia="Palatino Linotype" w:cs="Palatino Linotype"/>
        </w:rPr>
      </w:pPr>
    </w:p>
    <w:p w14:paraId="089522F3" w14:textId="77777777" w:rsidR="006E240F" w:rsidRPr="007B4961" w:rsidRDefault="006E240F" w:rsidP="007B4961">
      <w:pPr>
        <w:rPr>
          <w:rFonts w:eastAsia="Palatino Linotype" w:cs="Palatino Linotype"/>
        </w:rPr>
      </w:pPr>
      <w:r w:rsidRPr="007B4961">
        <w:rPr>
          <w:rFonts w:eastAsia="Palatino Linotype" w:cs="Palatino Linotype"/>
        </w:rPr>
        <w:t xml:space="preserve">Así,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w:t>
      </w:r>
      <w:r w:rsidRPr="007B4961">
        <w:rPr>
          <w:rFonts w:eastAsia="Palatino Linotype" w:cs="Palatino Linotype"/>
        </w:rPr>
        <w:lastRenderedPageBreak/>
        <w:t>máxime que permite corroborar la legitimidad a la factura, pues amparan la utilización de los certificados de sellos digitales válidos.</w:t>
      </w:r>
    </w:p>
    <w:p w14:paraId="5C6A75CE" w14:textId="77777777" w:rsidR="006E240F" w:rsidRPr="007B4961" w:rsidRDefault="006E240F" w:rsidP="007B4961">
      <w:pPr>
        <w:rPr>
          <w:rFonts w:eastAsia="Palatino Linotype" w:cs="Palatino Linotype"/>
        </w:rPr>
      </w:pPr>
    </w:p>
    <w:p w14:paraId="7B363C25" w14:textId="77777777" w:rsidR="006E240F" w:rsidRPr="007B4961" w:rsidRDefault="006E240F" w:rsidP="007B4961">
      <w:pPr>
        <w:rPr>
          <w:rFonts w:eastAsia="Palatino Linotype" w:cs="Palatino Linotype"/>
        </w:rPr>
      </w:pPr>
      <w:r w:rsidRPr="007B4961">
        <w:rPr>
          <w:rFonts w:eastAsia="Palatino Linotype" w:cs="Palatino Linotype"/>
        </w:rPr>
        <w:t>Para el caso de que dichos números certificados, al ser copiados e ingresados a una plataforma electrónica, revelen datos personales del servidor público, deberán ser protegidos en términos del artículo 143, fracción I, de la Ley de la materia.</w:t>
      </w:r>
    </w:p>
    <w:p w14:paraId="6AAE4F40" w14:textId="77777777" w:rsidR="006E240F" w:rsidRPr="007B4961" w:rsidRDefault="006E240F" w:rsidP="007B4961">
      <w:pPr>
        <w:rPr>
          <w:rFonts w:eastAsia="Palatino Linotype" w:cs="Palatino Linotype"/>
        </w:rPr>
      </w:pPr>
    </w:p>
    <w:p w14:paraId="3C23352C" w14:textId="77777777" w:rsidR="006E240F" w:rsidRPr="007B4961" w:rsidRDefault="006E240F" w:rsidP="007B4961">
      <w:pPr>
        <w:pStyle w:val="Prrafodelista"/>
        <w:numPr>
          <w:ilvl w:val="0"/>
          <w:numId w:val="7"/>
        </w:numPr>
        <w:ind w:left="284" w:hanging="284"/>
        <w:rPr>
          <w:rFonts w:eastAsia="Palatino Linotype" w:cs="Palatino Linotype"/>
          <w:b/>
        </w:rPr>
      </w:pPr>
      <w:r w:rsidRPr="007B4961">
        <w:rPr>
          <w:rFonts w:eastAsia="Palatino Linotype" w:cs="Palatino Linotype"/>
          <w:b/>
        </w:rPr>
        <w:t>Folio Fiscal:</w:t>
      </w:r>
    </w:p>
    <w:p w14:paraId="2DBBBA8B" w14:textId="77777777" w:rsidR="006E240F" w:rsidRPr="007B4961" w:rsidRDefault="006E240F" w:rsidP="007B4961">
      <w:pPr>
        <w:contextualSpacing/>
        <w:rPr>
          <w:rFonts w:eastAsia="Palatino Linotype" w:cs="Palatino Linotype"/>
          <w:b/>
        </w:rPr>
      </w:pPr>
    </w:p>
    <w:p w14:paraId="15F02D02" w14:textId="77777777" w:rsidR="006E240F" w:rsidRPr="007B4961" w:rsidRDefault="006E240F" w:rsidP="007B4961">
      <w:pPr>
        <w:rPr>
          <w:rFonts w:eastAsia="Palatino Linotype" w:cs="Palatino Linotype"/>
        </w:rPr>
      </w:pPr>
      <w:r w:rsidRPr="007B4961">
        <w:rPr>
          <w:rFonts w:eastAsia="Palatino Linotype" w:cs="Palatino Linotype"/>
        </w:rPr>
        <w:t>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39FB5648" w14:textId="77777777" w:rsidR="006E240F" w:rsidRPr="007B4961" w:rsidRDefault="006E240F" w:rsidP="007B4961">
      <w:pPr>
        <w:rPr>
          <w:rFonts w:eastAsia="Palatino Linotype" w:cs="Palatino Linotype"/>
        </w:rPr>
      </w:pPr>
    </w:p>
    <w:p w14:paraId="7A29D69A" w14:textId="77777777" w:rsidR="006E240F" w:rsidRPr="007B4961" w:rsidRDefault="006E240F" w:rsidP="007B4961">
      <w:pPr>
        <w:jc w:val="center"/>
        <w:rPr>
          <w:rFonts w:eastAsia="Palatino Linotype" w:cs="Palatino Linotype"/>
        </w:rPr>
      </w:pPr>
      <w:r w:rsidRPr="007B4961">
        <w:rPr>
          <w:noProof/>
          <w:lang w:eastAsia="es-MX"/>
        </w:rPr>
        <w:drawing>
          <wp:inline distT="0" distB="0" distL="0" distR="0" wp14:anchorId="50138B84" wp14:editId="18DC2C7C">
            <wp:extent cx="5457825" cy="1562100"/>
            <wp:effectExtent l="0" t="0" r="0" b="0"/>
            <wp:docPr id="17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b="32787"/>
                    <a:stretch>
                      <a:fillRect/>
                    </a:stretch>
                  </pic:blipFill>
                  <pic:spPr>
                    <a:xfrm>
                      <a:off x="0" y="0"/>
                      <a:ext cx="5457825" cy="1562100"/>
                    </a:xfrm>
                    <a:prstGeom prst="rect">
                      <a:avLst/>
                    </a:prstGeom>
                    <a:ln/>
                  </pic:spPr>
                </pic:pic>
              </a:graphicData>
            </a:graphic>
          </wp:inline>
        </w:drawing>
      </w:r>
    </w:p>
    <w:p w14:paraId="321AD8F8" w14:textId="77777777" w:rsidR="006E240F" w:rsidRPr="007B4961" w:rsidRDefault="006E240F" w:rsidP="007B4961">
      <w:pPr>
        <w:rPr>
          <w:rFonts w:eastAsia="Palatino Linotype" w:cs="Palatino Linotype"/>
          <w:b/>
          <w:u w:val="single"/>
        </w:rPr>
      </w:pPr>
    </w:p>
    <w:p w14:paraId="4B0261DB" w14:textId="77777777" w:rsidR="006E240F" w:rsidRPr="007B4961" w:rsidRDefault="006E240F" w:rsidP="007B4961">
      <w:pPr>
        <w:rPr>
          <w:rFonts w:eastAsia="Palatino Linotype" w:cs="Palatino Linotype"/>
        </w:rPr>
      </w:pPr>
      <w:r w:rsidRPr="007B4961">
        <w:rPr>
          <w:rFonts w:eastAsia="Palatino Linotype" w:cs="Palatino Linotype"/>
        </w:rPr>
        <w:t xml:space="preserve">En ese contexto, de la misma manera que en los casos previamente analizados, el folio fiscal, no contiene datos personales del emisor y tampoco se puede obtener información confidencial </w:t>
      </w:r>
      <w:r w:rsidRPr="007B4961">
        <w:rPr>
          <w:rFonts w:eastAsia="Palatino Linotype" w:cs="Palatino Linotype"/>
        </w:rPr>
        <w:lastRenderedPageBreak/>
        <w:t>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3570FE81" w14:textId="77777777" w:rsidR="006E240F" w:rsidRPr="007B4961" w:rsidRDefault="006E240F" w:rsidP="007B4961">
      <w:pPr>
        <w:rPr>
          <w:rFonts w:eastAsia="Palatino Linotype" w:cs="Palatino Linotype"/>
        </w:rPr>
      </w:pPr>
    </w:p>
    <w:p w14:paraId="4AE05C93" w14:textId="77777777" w:rsidR="006E240F" w:rsidRPr="007B4961" w:rsidRDefault="006E240F" w:rsidP="007B4961">
      <w:pPr>
        <w:rPr>
          <w:rFonts w:eastAsia="Palatino Linotype" w:cs="Palatino Linotype"/>
        </w:rPr>
      </w:pPr>
      <w:r w:rsidRPr="007B4961">
        <w:rPr>
          <w:rFonts w:eastAsia="Palatino Linotype" w:cs="Palatino Linotype"/>
        </w:rPr>
        <w:t>Para el caso de que dicho folio fiscal, al ser copiado e ingresado a una plataforma electrónica, revelen datos personales del servidor público, deberán ser protegidos en términos del artículo 143, fracción I, de la Ley de la materia.</w:t>
      </w:r>
    </w:p>
    <w:p w14:paraId="1C4C58B5" w14:textId="77777777" w:rsidR="006E240F" w:rsidRPr="007B4961" w:rsidRDefault="006E240F" w:rsidP="007B4961">
      <w:pPr>
        <w:rPr>
          <w:rFonts w:eastAsia="Palatino Linotype" w:cs="Palatino Linotype"/>
        </w:rPr>
      </w:pPr>
    </w:p>
    <w:p w14:paraId="37F3E169" w14:textId="77777777" w:rsidR="006E240F" w:rsidRPr="007B4961" w:rsidRDefault="006E240F" w:rsidP="007B4961">
      <w:pPr>
        <w:pStyle w:val="Prrafodelista"/>
        <w:numPr>
          <w:ilvl w:val="0"/>
          <w:numId w:val="7"/>
        </w:numPr>
        <w:ind w:left="426"/>
        <w:rPr>
          <w:rFonts w:eastAsia="Palatino Linotype" w:cs="Palatino Linotype"/>
          <w:b/>
        </w:rPr>
      </w:pPr>
      <w:r w:rsidRPr="007B4961">
        <w:rPr>
          <w:rFonts w:eastAsia="Palatino Linotype" w:cs="Palatino Linotype"/>
          <w:b/>
        </w:rPr>
        <w:t>Lugar y fecha de emisión del comprobante:</w:t>
      </w:r>
    </w:p>
    <w:p w14:paraId="221B41D4" w14:textId="77777777" w:rsidR="006E240F" w:rsidRPr="007B4961" w:rsidRDefault="006E240F" w:rsidP="007B4961">
      <w:pPr>
        <w:rPr>
          <w:rFonts w:eastAsia="Palatino Linotype" w:cs="Palatino Linotype"/>
        </w:rPr>
      </w:pPr>
    </w:p>
    <w:p w14:paraId="0AB91CD7" w14:textId="77777777" w:rsidR="006E240F" w:rsidRPr="007B4961" w:rsidRDefault="006E240F" w:rsidP="007B4961">
      <w:pPr>
        <w:rPr>
          <w:rFonts w:eastAsia="Palatino Linotype" w:cs="Palatino Linotype"/>
        </w:rPr>
      </w:pPr>
      <w:r w:rsidRPr="007B4961">
        <w:rPr>
          <w:rFonts w:eastAsia="Palatino Linotype" w:cs="Palatino Linotype"/>
        </w:rPr>
        <w:t>Se considera que dichos datos son públicos, en virtud de que únicamente revelan el municipio y entidad federativa donde se expidió el comprobante por parte de la institución pública; por tanto, no es procedente su clasificación como información confidencial.</w:t>
      </w:r>
    </w:p>
    <w:p w14:paraId="7A9407C5" w14:textId="77777777" w:rsidR="006E240F" w:rsidRPr="007B4961" w:rsidRDefault="006E240F" w:rsidP="007B4961">
      <w:pPr>
        <w:rPr>
          <w:rFonts w:eastAsia="Palatino Linotype" w:cs="Palatino Linotype"/>
        </w:rPr>
      </w:pPr>
    </w:p>
    <w:p w14:paraId="1BFAFC17" w14:textId="77777777" w:rsidR="006E240F" w:rsidRPr="007B4961" w:rsidRDefault="006E240F" w:rsidP="007B4961">
      <w:pPr>
        <w:pStyle w:val="Prrafodelista"/>
        <w:numPr>
          <w:ilvl w:val="0"/>
          <w:numId w:val="7"/>
        </w:numPr>
        <w:ind w:left="426"/>
        <w:rPr>
          <w:rFonts w:eastAsia="Palatino Linotype" w:cs="Palatino Linotype"/>
          <w:b/>
        </w:rPr>
      </w:pPr>
      <w:r w:rsidRPr="007B4961">
        <w:rPr>
          <w:rFonts w:eastAsia="Palatino Linotype" w:cs="Palatino Linotype"/>
          <w:b/>
        </w:rPr>
        <w:t>Régimen Fiscal del Emisor:</w:t>
      </w:r>
    </w:p>
    <w:p w14:paraId="06A5CB03" w14:textId="77777777" w:rsidR="006E240F" w:rsidRPr="007B4961" w:rsidRDefault="006E240F" w:rsidP="007B4961">
      <w:pPr>
        <w:pStyle w:val="Prrafodelista"/>
        <w:ind w:left="426"/>
        <w:rPr>
          <w:rFonts w:eastAsia="Palatino Linotype" w:cs="Palatino Linotype"/>
          <w:b/>
        </w:rPr>
      </w:pPr>
    </w:p>
    <w:p w14:paraId="2169DE99" w14:textId="77777777" w:rsidR="006E240F" w:rsidRPr="007B4961" w:rsidRDefault="006E240F" w:rsidP="007B4961">
      <w:pPr>
        <w:ind w:left="66"/>
        <w:rPr>
          <w:rFonts w:eastAsia="Palatino Linotype" w:cs="Palatino Linotype"/>
        </w:rPr>
      </w:pPr>
      <w:r w:rsidRPr="007B4961">
        <w:rPr>
          <w:rFonts w:eastAsia="Palatino Linotype" w:cs="Palatino Linotype"/>
        </w:rPr>
        <w:t>Constituye información relativa al régimen fiscal bajo el cual se encuentra tributando el ente público, en este caso el Ayuntamiento de Rayón, ejemplo: Régimen Personas Morales con Fines no Lucrativos, el cual constituye un dato público, en razón de que no arroja ningún tipo de información que actualice la hipótesis prevista en la fracción I del artículo 143 de la Ley de la materia.</w:t>
      </w:r>
    </w:p>
    <w:p w14:paraId="758D695F" w14:textId="77777777" w:rsidR="006E240F" w:rsidRPr="007B4961" w:rsidRDefault="006E240F" w:rsidP="007B4961">
      <w:pPr>
        <w:ind w:left="66"/>
        <w:rPr>
          <w:rFonts w:eastAsia="Palatino Linotype" w:cs="Palatino Linotype"/>
        </w:rPr>
      </w:pPr>
    </w:p>
    <w:p w14:paraId="4D1060E4" w14:textId="77777777" w:rsidR="006E240F" w:rsidRPr="007B4961" w:rsidRDefault="006E240F" w:rsidP="007B4961">
      <w:pPr>
        <w:pStyle w:val="Prrafodelista"/>
        <w:numPr>
          <w:ilvl w:val="0"/>
          <w:numId w:val="7"/>
        </w:numPr>
        <w:ind w:left="426"/>
        <w:rPr>
          <w:rFonts w:eastAsia="Palatino Linotype" w:cs="Palatino Linotype"/>
          <w:b/>
        </w:rPr>
      </w:pPr>
      <w:r w:rsidRPr="007B4961">
        <w:rPr>
          <w:rFonts w:eastAsia="Palatino Linotype" w:cs="Palatino Linotype"/>
          <w:b/>
        </w:rPr>
        <w:t>Tipo de comprobante:</w:t>
      </w:r>
    </w:p>
    <w:p w14:paraId="0861DC94" w14:textId="77777777" w:rsidR="006E240F" w:rsidRPr="007B4961" w:rsidRDefault="006E240F" w:rsidP="007B4961">
      <w:pPr>
        <w:rPr>
          <w:rFonts w:eastAsia="Palatino Linotype" w:cs="Palatino Linotype"/>
        </w:rPr>
      </w:pPr>
    </w:p>
    <w:p w14:paraId="2D57D3C3" w14:textId="77777777" w:rsidR="006E240F" w:rsidRPr="007B4961" w:rsidRDefault="006E240F" w:rsidP="007B4961">
      <w:pPr>
        <w:rPr>
          <w:rFonts w:eastAsia="Palatino Linotype" w:cs="Palatino Linotype"/>
        </w:rPr>
      </w:pPr>
      <w:r w:rsidRPr="007B4961">
        <w:rPr>
          <w:rFonts w:eastAsia="Palatino Linotype" w:cs="Palatino Linotype"/>
        </w:rPr>
        <w:lastRenderedPageBreak/>
        <w:t>Es información relativa al tipo de factura que se está emitiendo, encontrándonos dentro de la tipología de comprobantes a los de egresos, ingresos y nómina, el cual constituye un dato público, en razón de que no arroja ningún tipo de información que actualice la hipótesis prevista en la fracción I del artículo 143 de la Ley de la materia.</w:t>
      </w:r>
    </w:p>
    <w:p w14:paraId="1D63A9F2" w14:textId="77777777" w:rsidR="006E240F" w:rsidRPr="007B4961" w:rsidRDefault="006E240F" w:rsidP="007B4961">
      <w:pPr>
        <w:rPr>
          <w:rFonts w:eastAsia="Palatino Linotype" w:cs="Palatino Linotype"/>
        </w:rPr>
      </w:pPr>
    </w:p>
    <w:p w14:paraId="137B750B" w14:textId="77777777" w:rsidR="006E240F" w:rsidRPr="007B4961" w:rsidRDefault="006E240F" w:rsidP="007B4961">
      <w:pPr>
        <w:rPr>
          <w:rFonts w:eastAsia="Palatino Linotype" w:cs="Palatino Linotype"/>
          <w:b/>
        </w:rPr>
      </w:pPr>
      <w:r w:rsidRPr="007B4961">
        <w:rPr>
          <w:rFonts w:eastAsia="Palatino Linotype" w:cs="Palatino Linotype"/>
          <w:b/>
        </w:rPr>
        <w:t>Forma y método de pago:</w:t>
      </w:r>
    </w:p>
    <w:p w14:paraId="0245EF75" w14:textId="77777777" w:rsidR="006E240F" w:rsidRPr="007B4961" w:rsidRDefault="006E240F" w:rsidP="007B4961">
      <w:pPr>
        <w:rPr>
          <w:rFonts w:eastAsia="Palatino Linotype" w:cs="Palatino Linotype"/>
          <w:b/>
        </w:rPr>
      </w:pPr>
    </w:p>
    <w:p w14:paraId="5000016B" w14:textId="77777777" w:rsidR="006E240F" w:rsidRPr="007B4961" w:rsidRDefault="006E240F" w:rsidP="007B4961">
      <w:pPr>
        <w:pStyle w:val="Prrafodelista"/>
        <w:numPr>
          <w:ilvl w:val="0"/>
          <w:numId w:val="7"/>
        </w:numPr>
        <w:ind w:left="284" w:hanging="284"/>
        <w:rPr>
          <w:rFonts w:eastAsia="Palatino Linotype" w:cs="Palatino Linotype"/>
        </w:rPr>
      </w:pPr>
      <w:r w:rsidRPr="007B4961">
        <w:rPr>
          <w:rFonts w:eastAsia="Palatino Linotype" w:cs="Palatino Linotype"/>
        </w:rPr>
        <w:t>Se refiere a las parcialidades en que se efectuará el pago del comprobante (una exhibición o parcialidades); así como, la modalidad en que se efectúa: efectivo, transferencia, tarjeta de débito o crédito; información que es susceptible de entregarse, al no actualizar la hipótesis prevista en la fracción I del artículo 143 de la Ley de la materia.</w:t>
      </w:r>
    </w:p>
    <w:p w14:paraId="2B433C44" w14:textId="77777777" w:rsidR="006E240F" w:rsidRPr="007B4961" w:rsidRDefault="006E240F" w:rsidP="007B4961">
      <w:pPr>
        <w:rPr>
          <w:rFonts w:eastAsia="Palatino Linotype" w:cs="Palatino Linotype"/>
          <w:b/>
        </w:rPr>
      </w:pPr>
    </w:p>
    <w:p w14:paraId="4D6BD7BE" w14:textId="77777777" w:rsidR="006E240F" w:rsidRPr="007B4961" w:rsidRDefault="006E240F" w:rsidP="007B4961">
      <w:pPr>
        <w:pStyle w:val="Prrafodelista"/>
        <w:numPr>
          <w:ilvl w:val="0"/>
          <w:numId w:val="7"/>
        </w:numPr>
        <w:spacing w:after="160" w:line="259" w:lineRule="auto"/>
        <w:ind w:left="284" w:hanging="284"/>
        <w:jc w:val="left"/>
        <w:rPr>
          <w:rFonts w:eastAsia="Palatino Linotype" w:cs="Palatino Linotype"/>
          <w:b/>
        </w:rPr>
      </w:pPr>
      <w:r w:rsidRPr="007B4961">
        <w:rPr>
          <w:rFonts w:eastAsia="Palatino Linotype" w:cs="Palatino Linotype"/>
          <w:b/>
        </w:rPr>
        <w:t>Firma de servidores públicos:</w:t>
      </w:r>
    </w:p>
    <w:p w14:paraId="3D406219" w14:textId="77777777" w:rsidR="006E240F" w:rsidRPr="007B4961" w:rsidRDefault="006E240F" w:rsidP="007B4961">
      <w:pPr>
        <w:pBdr>
          <w:top w:val="nil"/>
          <w:left w:val="nil"/>
          <w:bottom w:val="nil"/>
          <w:right w:val="nil"/>
          <w:between w:val="nil"/>
        </w:pBdr>
        <w:tabs>
          <w:tab w:val="center" w:pos="4252"/>
          <w:tab w:val="right" w:pos="8504"/>
          <w:tab w:val="left" w:pos="7770"/>
          <w:tab w:val="right" w:pos="8838"/>
        </w:tabs>
        <w:rPr>
          <w:rFonts w:eastAsia="Palatino Linotype" w:cs="Palatino Linotype"/>
        </w:rPr>
      </w:pPr>
    </w:p>
    <w:p w14:paraId="6A003D42" w14:textId="77777777" w:rsidR="006E240F" w:rsidRPr="007B4961" w:rsidRDefault="006E240F" w:rsidP="007B4961">
      <w:pPr>
        <w:pBdr>
          <w:top w:val="nil"/>
          <w:left w:val="nil"/>
          <w:bottom w:val="nil"/>
          <w:right w:val="nil"/>
          <w:between w:val="nil"/>
        </w:pBdr>
        <w:tabs>
          <w:tab w:val="center" w:pos="4252"/>
          <w:tab w:val="right" w:pos="8504"/>
          <w:tab w:val="left" w:pos="7770"/>
          <w:tab w:val="right" w:pos="8838"/>
        </w:tabs>
        <w:rPr>
          <w:rFonts w:eastAsia="Palatino Linotype" w:cs="Palatino Linotype"/>
        </w:rPr>
      </w:pPr>
      <w:r w:rsidRPr="007B4961">
        <w:rPr>
          <w:rFonts w:eastAsia="Palatino Linotype" w:cs="Palatino Linotype"/>
        </w:rPr>
        <w:t xml:space="preserve">Así mismo, se advierte que el recibo de agüinado remitido en informe, fue firmado por el servidor público de recibido y de manera autógrafa pero se eliminó la misma de la versión pública entregada, no obstante se considera que la misma era susceptible de dejarse a la vista, ello en aras de darle validez del acto jurídico del pago respectivo de aguinaldo, que se paga con recursos públicos; y, por tanto no se debió de clasificar como confidencial.     </w:t>
      </w:r>
    </w:p>
    <w:p w14:paraId="263B0790" w14:textId="77777777" w:rsidR="006E240F" w:rsidRPr="007B4961" w:rsidRDefault="006E240F" w:rsidP="007B4961">
      <w:pPr>
        <w:pBdr>
          <w:top w:val="nil"/>
          <w:left w:val="nil"/>
          <w:bottom w:val="nil"/>
          <w:right w:val="nil"/>
          <w:between w:val="nil"/>
        </w:pBdr>
        <w:tabs>
          <w:tab w:val="center" w:pos="4252"/>
          <w:tab w:val="right" w:pos="8504"/>
          <w:tab w:val="left" w:pos="7770"/>
          <w:tab w:val="right" w:pos="8838"/>
        </w:tabs>
        <w:rPr>
          <w:rFonts w:eastAsia="Palatino Linotype" w:cs="Palatino Linotype"/>
        </w:rPr>
      </w:pPr>
    </w:p>
    <w:p w14:paraId="419DD915" w14:textId="77777777" w:rsidR="006E240F" w:rsidRPr="007B4961" w:rsidRDefault="006E240F" w:rsidP="007B4961">
      <w:pPr>
        <w:pBdr>
          <w:top w:val="nil"/>
          <w:left w:val="nil"/>
          <w:bottom w:val="nil"/>
          <w:right w:val="nil"/>
          <w:between w:val="nil"/>
        </w:pBdr>
        <w:rPr>
          <w:rFonts w:eastAsia="Palatino Linotype" w:cs="Palatino Linotype"/>
        </w:rPr>
      </w:pPr>
      <w:r w:rsidRPr="007B4961">
        <w:rPr>
          <w:rFonts w:eastAsia="Palatino Linotype" w:cs="Palatino Linotype"/>
        </w:rPr>
        <w:t>La publicidad de dicho dato, se robustece, con el Criterio de Interpretación, de la Segunda Época, con clave de control SO/002/2019, emitido por el Instituto Nacional de Transparencia, Acceso a la Información y Protección de Datos Personales, que establece lo siguiente:</w:t>
      </w:r>
    </w:p>
    <w:p w14:paraId="5F9DD631" w14:textId="77777777" w:rsidR="006E240F" w:rsidRPr="007B4961" w:rsidRDefault="006E240F" w:rsidP="007B4961">
      <w:pPr>
        <w:pBdr>
          <w:top w:val="nil"/>
          <w:left w:val="nil"/>
          <w:bottom w:val="nil"/>
          <w:right w:val="nil"/>
          <w:between w:val="nil"/>
        </w:pBdr>
        <w:rPr>
          <w:rFonts w:eastAsia="Palatino Linotype" w:cs="Palatino Linotype"/>
        </w:rPr>
      </w:pPr>
    </w:p>
    <w:p w14:paraId="1ED9DA69" w14:textId="2AFD4E79" w:rsidR="006E240F" w:rsidRPr="007B4961" w:rsidRDefault="006E240F" w:rsidP="007B4961">
      <w:pPr>
        <w:pStyle w:val="Puesto"/>
        <w:rPr>
          <w:rFonts w:eastAsia="Palatino Linotype"/>
        </w:rPr>
      </w:pPr>
      <w:r w:rsidRPr="007B4961">
        <w:rPr>
          <w:rFonts w:eastAsia="Palatino Linotype"/>
        </w:rPr>
        <w:t> </w:t>
      </w:r>
      <w:r w:rsidRPr="007B4961">
        <w:rPr>
          <w:rFonts w:eastAsia="Palatino Linotype"/>
          <w:b/>
        </w:rPr>
        <w:t>“Firma y rúbrica de servidores públicos.</w:t>
      </w:r>
      <w:r w:rsidRPr="007B4961">
        <w:rPr>
          <w:rFonts w:eastAsia="Palatino Linotype"/>
        </w:rPr>
        <w:t xml:space="preserve"> Si bien la firma y la rúbrica son datos personales confidenciales, cuando un servidor público emite un acto como autoridad, en </w:t>
      </w:r>
      <w:r w:rsidRPr="007B4961">
        <w:rPr>
          <w:rFonts w:eastAsia="Palatino Linotype"/>
        </w:rPr>
        <w:lastRenderedPageBreak/>
        <w:t>ejercicio de las funciones que tiene conferidas, la firma o rúbrica mediante la cual se valida dicho acto es pública.”</w:t>
      </w:r>
    </w:p>
    <w:p w14:paraId="0879D4CF" w14:textId="77777777" w:rsidR="007D7D16" w:rsidRPr="007B4961" w:rsidRDefault="007D7D16" w:rsidP="007B4961">
      <w:pPr>
        <w:rPr>
          <w:rFonts w:eastAsia="Palatino Linotype"/>
        </w:rPr>
      </w:pPr>
    </w:p>
    <w:p w14:paraId="4FE80FD8" w14:textId="4F394D32" w:rsidR="00A917A7" w:rsidRPr="007B4961" w:rsidRDefault="00092EF0" w:rsidP="007B4961">
      <w:pPr>
        <w:pBdr>
          <w:top w:val="nil"/>
          <w:left w:val="nil"/>
          <w:bottom w:val="nil"/>
          <w:right w:val="nil"/>
          <w:between w:val="nil"/>
        </w:pBdr>
        <w:ind w:right="49"/>
        <w:contextualSpacing/>
        <w:rPr>
          <w:rFonts w:eastAsia="Palatino Linotype" w:cs="Palatino Linotype"/>
          <w:lang w:eastAsia="es-MX"/>
        </w:rPr>
      </w:pPr>
      <w:r w:rsidRPr="007B4961">
        <w:rPr>
          <w:szCs w:val="22"/>
        </w:rPr>
        <w:t>Por otra parte, respecto a</w:t>
      </w:r>
      <w:r w:rsidR="00A917A7" w:rsidRPr="007B4961">
        <w:rPr>
          <w:szCs w:val="22"/>
        </w:rPr>
        <w:t xml:space="preserve">l requerimiento relacionado con la lista de raya del personal del ayuntamiento de Huixquilucan, se debe traer a colación lo previsto en el </w:t>
      </w:r>
      <w:r w:rsidR="00A917A7" w:rsidRPr="007B4961">
        <w:rPr>
          <w:rFonts w:eastAsia="Palatino Linotype" w:cs="Palatino Linotype"/>
          <w:lang w:eastAsia="es-MX"/>
        </w:rPr>
        <w:t>Glosario de Términos Administrativos, de la Coordinación General de Estudios Administrativos del Instituto Nacional de Administración Pública, A. C, el concepto de personal de “lista de raya”, resulta aplicable para trabajadores temporales, tal como se infiere el término que se cita a continuación:</w:t>
      </w:r>
    </w:p>
    <w:p w14:paraId="14B4AE4F" w14:textId="77777777" w:rsidR="00A917A7" w:rsidRPr="007B4961" w:rsidRDefault="00A917A7" w:rsidP="007B4961">
      <w:pPr>
        <w:rPr>
          <w:rFonts w:eastAsia="Palatino Linotype" w:cs="Palatino Linotype"/>
          <w:lang w:eastAsia="es-MX"/>
        </w:rPr>
      </w:pPr>
    </w:p>
    <w:p w14:paraId="728FC232" w14:textId="77777777" w:rsidR="00A917A7" w:rsidRPr="007B4961" w:rsidRDefault="00A917A7" w:rsidP="007B4961">
      <w:pPr>
        <w:spacing w:line="276" w:lineRule="auto"/>
        <w:ind w:left="566" w:right="912"/>
        <w:rPr>
          <w:rFonts w:eastAsia="Palatino Linotype" w:cs="Palatino Linotype"/>
          <w:b/>
          <w:i/>
          <w:szCs w:val="22"/>
          <w:lang w:eastAsia="es-MX"/>
        </w:rPr>
      </w:pPr>
      <w:r w:rsidRPr="007B4961">
        <w:rPr>
          <w:rFonts w:eastAsia="Palatino Linotype" w:cs="Palatino Linotype"/>
          <w:b/>
          <w:i/>
          <w:szCs w:val="22"/>
          <w:lang w:eastAsia="es-MX"/>
        </w:rPr>
        <w:t xml:space="preserve">“PERSONAL A LISTA DE RAYA. Lo integran los trabajadores temporales cuya relación laboral se formaliza por su inclusión en nómina o documentos denominados "Lista de Raya" y que, por lo tanto, carecen de nombramiento.” </w:t>
      </w:r>
      <w:r w:rsidRPr="007B4961">
        <w:rPr>
          <w:rFonts w:eastAsia="Palatino Linotype" w:cs="Palatino Linotype"/>
          <w:i/>
          <w:szCs w:val="22"/>
          <w:lang w:eastAsia="es-MX"/>
        </w:rPr>
        <w:t xml:space="preserve">(Énfasis añadido) </w:t>
      </w:r>
    </w:p>
    <w:p w14:paraId="1019EC88" w14:textId="77777777" w:rsidR="00A917A7" w:rsidRPr="007B4961" w:rsidRDefault="00A917A7" w:rsidP="007B4961">
      <w:pPr>
        <w:rPr>
          <w:rFonts w:eastAsia="Palatino Linotype" w:cs="Palatino Linotype"/>
          <w:lang w:eastAsia="es-MX"/>
        </w:rPr>
      </w:pPr>
    </w:p>
    <w:p w14:paraId="4D93D454" w14:textId="77777777" w:rsidR="00A917A7" w:rsidRPr="007B4961" w:rsidRDefault="00A917A7" w:rsidP="007B4961">
      <w:pPr>
        <w:pBdr>
          <w:top w:val="nil"/>
          <w:left w:val="nil"/>
          <w:bottom w:val="nil"/>
          <w:right w:val="nil"/>
          <w:between w:val="nil"/>
        </w:pBdr>
        <w:ind w:right="49"/>
        <w:contextualSpacing/>
        <w:rPr>
          <w:rFonts w:eastAsia="Palatino Linotype" w:cs="Palatino Linotype"/>
          <w:lang w:eastAsia="es-MX"/>
        </w:rPr>
      </w:pPr>
      <w:r w:rsidRPr="007B4961">
        <w:rPr>
          <w:rFonts w:eastAsia="Palatino Linotype" w:cs="Palatino Linotype"/>
        </w:rPr>
        <w:t>Así</w:t>
      </w:r>
      <w:r w:rsidRPr="007B4961">
        <w:rPr>
          <w:rFonts w:eastAsia="Palatino Linotype" w:cs="Palatino Linotype"/>
          <w:lang w:eastAsia="es-MX"/>
        </w:rPr>
        <w:t xml:space="preserve"> como se apuntó, si bien nuestra legislación no establece la definición de “lista de raya” o “nómina de personal”, estos términos son mencionados en diferentes ordenamientos legales; por ejemplo, en el artículo 804 en su fracción II de la Ley Federal de Trabajo señala: </w:t>
      </w:r>
    </w:p>
    <w:p w14:paraId="3B4579D3" w14:textId="77777777" w:rsidR="00A917A7" w:rsidRPr="007B4961" w:rsidRDefault="00A917A7" w:rsidP="007B4961">
      <w:pPr>
        <w:rPr>
          <w:rFonts w:eastAsia="Palatino Linotype" w:cs="Palatino Linotype"/>
          <w:lang w:eastAsia="es-MX"/>
        </w:rPr>
      </w:pPr>
    </w:p>
    <w:p w14:paraId="735F6F49" w14:textId="77777777" w:rsidR="00A917A7" w:rsidRPr="007B4961" w:rsidRDefault="00A917A7" w:rsidP="007B4961">
      <w:pPr>
        <w:pStyle w:val="Puesto"/>
        <w:rPr>
          <w:rFonts w:eastAsia="Palatino Linotype"/>
          <w:lang w:eastAsia="es-MX"/>
        </w:rPr>
      </w:pPr>
      <w:r w:rsidRPr="007B4961">
        <w:rPr>
          <w:rFonts w:eastAsia="Palatino Linotype"/>
          <w:lang w:eastAsia="es-MX"/>
        </w:rPr>
        <w:t>“</w:t>
      </w:r>
      <w:r w:rsidRPr="007B4961">
        <w:rPr>
          <w:rFonts w:eastAsia="Palatino Linotype"/>
          <w:b/>
          <w:lang w:eastAsia="es-MX"/>
        </w:rPr>
        <w:t>Artículo 804.-</w:t>
      </w:r>
      <w:r w:rsidRPr="007B4961">
        <w:rPr>
          <w:rFonts w:eastAsia="Palatino Linotype"/>
          <w:lang w:eastAsia="es-MX"/>
        </w:rPr>
        <w:t xml:space="preserve"> El patrón tiene obligación de conservar y exhibir en juicio los documentos que a continuación se precisan: </w:t>
      </w:r>
    </w:p>
    <w:p w14:paraId="2F3D4958" w14:textId="77777777" w:rsidR="00A917A7" w:rsidRPr="007B4961" w:rsidRDefault="00A917A7" w:rsidP="007B4961">
      <w:pPr>
        <w:pStyle w:val="Puesto"/>
        <w:rPr>
          <w:rFonts w:eastAsia="Palatino Linotype"/>
          <w:lang w:eastAsia="es-MX"/>
        </w:rPr>
      </w:pPr>
      <w:r w:rsidRPr="007B4961">
        <w:rPr>
          <w:rFonts w:eastAsia="Palatino Linotype"/>
          <w:lang w:eastAsia="es-MX"/>
        </w:rPr>
        <w:t xml:space="preserve">… </w:t>
      </w:r>
    </w:p>
    <w:p w14:paraId="5D337854" w14:textId="77777777" w:rsidR="00A917A7" w:rsidRPr="007B4961" w:rsidRDefault="00A917A7" w:rsidP="007B4961">
      <w:pPr>
        <w:pStyle w:val="Puesto"/>
        <w:rPr>
          <w:rFonts w:eastAsia="Palatino Linotype"/>
          <w:lang w:eastAsia="es-MX"/>
        </w:rPr>
      </w:pPr>
      <w:r w:rsidRPr="007B4961">
        <w:rPr>
          <w:rFonts w:eastAsia="Palatino Linotype"/>
          <w:b/>
          <w:u w:val="single"/>
          <w:lang w:eastAsia="es-MX"/>
        </w:rPr>
        <w:t>II. Listas de raya</w:t>
      </w:r>
      <w:r w:rsidRPr="007B4961">
        <w:rPr>
          <w:rFonts w:eastAsia="Palatino Linotype"/>
          <w:lang w:eastAsia="es-MX"/>
        </w:rPr>
        <w:t xml:space="preserve"> o nómina de personal, cuando se lleven en el centro de trabajo; o recibos de pagos de salarios; </w:t>
      </w:r>
    </w:p>
    <w:p w14:paraId="1A9C13AC" w14:textId="77777777" w:rsidR="00A917A7" w:rsidRPr="007B4961" w:rsidRDefault="00A917A7" w:rsidP="007B4961">
      <w:pPr>
        <w:pStyle w:val="Puesto"/>
        <w:rPr>
          <w:rFonts w:eastAsia="Palatino Linotype"/>
          <w:lang w:eastAsia="es-MX"/>
        </w:rPr>
      </w:pPr>
      <w:r w:rsidRPr="007B4961">
        <w:rPr>
          <w:rFonts w:eastAsia="Palatino Linotype"/>
          <w:lang w:eastAsia="es-MX"/>
        </w:rPr>
        <w:t xml:space="preserve">… </w:t>
      </w:r>
    </w:p>
    <w:p w14:paraId="70AB6933" w14:textId="77777777" w:rsidR="00A917A7" w:rsidRPr="007B4961" w:rsidRDefault="00A917A7" w:rsidP="007B4961">
      <w:pPr>
        <w:pStyle w:val="Puesto"/>
        <w:rPr>
          <w:rFonts w:eastAsia="Palatino Linotype"/>
          <w:lang w:eastAsia="es-MX"/>
        </w:rPr>
      </w:pPr>
      <w:r w:rsidRPr="007B4961">
        <w:rPr>
          <w:rFonts w:eastAsia="Palatino Linotype"/>
          <w:lang w:eastAsia="es-MX"/>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 (Énfasis añadido)</w:t>
      </w:r>
    </w:p>
    <w:p w14:paraId="7AEFC0CF" w14:textId="77777777" w:rsidR="00A917A7" w:rsidRPr="007B4961" w:rsidRDefault="00A917A7" w:rsidP="007B4961">
      <w:pPr>
        <w:rPr>
          <w:rFonts w:eastAsia="Palatino Linotype" w:cs="Palatino Linotype"/>
          <w:lang w:eastAsia="es-MX"/>
        </w:rPr>
      </w:pPr>
    </w:p>
    <w:p w14:paraId="5AC4CBFE" w14:textId="77777777" w:rsidR="00A917A7" w:rsidRPr="007B4961" w:rsidRDefault="00A917A7" w:rsidP="007B4961">
      <w:pPr>
        <w:pBdr>
          <w:top w:val="nil"/>
          <w:left w:val="nil"/>
          <w:bottom w:val="nil"/>
          <w:right w:val="nil"/>
          <w:between w:val="nil"/>
        </w:pBdr>
        <w:ind w:right="49"/>
        <w:contextualSpacing/>
        <w:rPr>
          <w:rFonts w:eastAsia="Palatino Linotype" w:cs="Palatino Linotype"/>
          <w:lang w:eastAsia="es-MX"/>
        </w:rPr>
      </w:pPr>
      <w:r w:rsidRPr="007B4961">
        <w:rPr>
          <w:rFonts w:eastAsia="Palatino Linotype" w:cs="Palatino Linotype"/>
          <w:lang w:eastAsia="es-MX"/>
        </w:rPr>
        <w:lastRenderedPageBreak/>
        <w:t>De lo establecido en dicho precepto legal, se advierte que la lista de raya consiste en registros conformados por el conjunto de trabajadores a los cuales se les va a remunerar por los servicios que éstos le prestan al patrón, en el cual se asientan las percepciones brutas, deducciones y el neto a recibir de dichos trabajadores, con la única especificación de que la lista de raya refiere únicamente a los trabajadores temporales.</w:t>
      </w:r>
    </w:p>
    <w:p w14:paraId="4AD2C6C9" w14:textId="77777777" w:rsidR="00A917A7" w:rsidRPr="007B4961" w:rsidRDefault="00A917A7" w:rsidP="007B4961">
      <w:pPr>
        <w:rPr>
          <w:rFonts w:eastAsia="Palatino Linotype" w:cs="Palatino Linotype"/>
          <w:lang w:eastAsia="es-MX"/>
        </w:rPr>
      </w:pPr>
    </w:p>
    <w:p w14:paraId="1320DBFF" w14:textId="77777777" w:rsidR="00A917A7" w:rsidRPr="007B4961" w:rsidRDefault="00A917A7" w:rsidP="007B4961">
      <w:pPr>
        <w:pBdr>
          <w:top w:val="nil"/>
          <w:left w:val="nil"/>
          <w:bottom w:val="nil"/>
          <w:right w:val="nil"/>
          <w:between w:val="nil"/>
        </w:pBdr>
        <w:ind w:right="49"/>
        <w:contextualSpacing/>
        <w:rPr>
          <w:rFonts w:eastAsia="Palatino Linotype" w:cs="Palatino Linotype"/>
          <w:lang w:eastAsia="es-MX"/>
        </w:rPr>
      </w:pPr>
      <w:r w:rsidRPr="007B4961">
        <w:rPr>
          <w:rFonts w:eastAsia="Palatino Linotype" w:cs="Palatino Linotype"/>
          <w:lang w:eastAsia="es-MX"/>
        </w:rPr>
        <w:t xml:space="preserve">En relación a ello, el artículo 50 de la Ley del Trabajo de los Servidores Públicos del Estado y Municipios, señala: </w:t>
      </w:r>
    </w:p>
    <w:p w14:paraId="6EA48A58" w14:textId="77777777" w:rsidR="00A917A7" w:rsidRPr="007B4961" w:rsidRDefault="00A917A7" w:rsidP="007B4961">
      <w:pPr>
        <w:rPr>
          <w:rFonts w:eastAsia="Palatino Linotype" w:cs="Palatino Linotype"/>
          <w:lang w:eastAsia="es-MX"/>
        </w:rPr>
      </w:pPr>
    </w:p>
    <w:p w14:paraId="395C4176" w14:textId="77777777" w:rsidR="00A917A7" w:rsidRPr="007B4961" w:rsidRDefault="00A917A7" w:rsidP="007B4961">
      <w:pPr>
        <w:pStyle w:val="Puesto"/>
        <w:rPr>
          <w:rFonts w:eastAsia="Palatino Linotype"/>
          <w:lang w:eastAsia="es-MX"/>
        </w:rPr>
      </w:pPr>
      <w:r w:rsidRPr="007B4961">
        <w:rPr>
          <w:rFonts w:eastAsia="Palatino Linotype"/>
          <w:b/>
          <w:lang w:eastAsia="es-MX"/>
        </w:rPr>
        <w:t>“Artículo 50.-</w:t>
      </w:r>
      <w:r w:rsidRPr="007B4961">
        <w:rPr>
          <w:rFonts w:eastAsia="Palatino Linotype"/>
          <w:lang w:eastAsia="es-MX"/>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2348307F" w14:textId="77777777" w:rsidR="00A917A7" w:rsidRPr="007B4961" w:rsidRDefault="00A917A7" w:rsidP="007B4961">
      <w:pPr>
        <w:pStyle w:val="Puesto"/>
        <w:rPr>
          <w:rFonts w:eastAsia="Palatino Linotype"/>
          <w:lang w:eastAsia="es-MX"/>
        </w:rPr>
      </w:pPr>
      <w:r w:rsidRPr="007B4961">
        <w:rPr>
          <w:rFonts w:eastAsia="Palatino Linotype"/>
          <w:lang w:eastAsia="es-MX"/>
        </w:rPr>
        <w:t>I</w:t>
      </w:r>
      <w:r w:rsidRPr="007B4961">
        <w:rPr>
          <w:rFonts w:eastAsia="Palatino Linotype"/>
          <w:b/>
          <w:u w:val="single"/>
          <w:lang w:eastAsia="es-MX"/>
        </w:rPr>
        <w:t>guales consecuencias se generarán para todos los servidores públicos, cuando la relación de trabajo se formalice mediante un contrato o por encontrarse en lista de raya</w:t>
      </w:r>
      <w:r w:rsidRPr="007B4961">
        <w:rPr>
          <w:rFonts w:eastAsia="Palatino Linotype"/>
          <w:lang w:eastAsia="es-MX"/>
        </w:rPr>
        <w:t xml:space="preserve">.” </w:t>
      </w:r>
    </w:p>
    <w:p w14:paraId="23794FCE" w14:textId="77777777" w:rsidR="00A917A7" w:rsidRPr="007B4961" w:rsidRDefault="00A917A7" w:rsidP="007B4961">
      <w:pPr>
        <w:pStyle w:val="Puesto"/>
        <w:rPr>
          <w:rFonts w:eastAsia="Palatino Linotype"/>
          <w:lang w:eastAsia="es-MX"/>
        </w:rPr>
      </w:pPr>
      <w:r w:rsidRPr="007B4961">
        <w:rPr>
          <w:rFonts w:eastAsia="Palatino Linotype"/>
          <w:lang w:eastAsia="es-MX"/>
        </w:rPr>
        <w:t xml:space="preserve">(Énfasis añadido) </w:t>
      </w:r>
    </w:p>
    <w:p w14:paraId="7FF7593D" w14:textId="77777777" w:rsidR="00A917A7" w:rsidRPr="007B4961" w:rsidRDefault="00A917A7" w:rsidP="007B4961">
      <w:pPr>
        <w:rPr>
          <w:rFonts w:eastAsia="Palatino Linotype" w:cs="Palatino Linotype"/>
          <w:lang w:eastAsia="es-MX"/>
        </w:rPr>
      </w:pPr>
    </w:p>
    <w:p w14:paraId="4F277D55" w14:textId="77777777" w:rsidR="00A917A7" w:rsidRPr="007B4961" w:rsidRDefault="00A917A7" w:rsidP="007B4961">
      <w:pPr>
        <w:pBdr>
          <w:top w:val="nil"/>
          <w:left w:val="nil"/>
          <w:bottom w:val="nil"/>
          <w:right w:val="nil"/>
          <w:between w:val="nil"/>
        </w:pBdr>
        <w:ind w:right="49"/>
        <w:contextualSpacing/>
        <w:rPr>
          <w:rFonts w:eastAsia="Palatino Linotype" w:cs="Palatino Linotype"/>
          <w:lang w:eastAsia="es-MX"/>
        </w:rPr>
      </w:pPr>
      <w:r w:rsidRPr="007B4961">
        <w:rPr>
          <w:rFonts w:eastAsia="Palatino Linotype" w:cs="Palatino Linotype"/>
          <w:lang w:eastAsia="es-MX"/>
        </w:rPr>
        <w:t xml:space="preserve">De lo anterior, se advierte que la relación de trabajo de un servidor público se formaliza mediante nombramiento, contrato, formato único de movimientos de personal y lo referente a la lista de raya es por cuanto a la forma de pago del personal por contrato. Una vez puntualizado lo anterior, se colige que la lista de raya contiene la información relativa a las remuneraciones de los servidores públicos temporales. </w:t>
      </w:r>
    </w:p>
    <w:p w14:paraId="39000F9A" w14:textId="77777777" w:rsidR="00A917A7" w:rsidRPr="007B4961" w:rsidRDefault="00A917A7" w:rsidP="007B4961">
      <w:pPr>
        <w:rPr>
          <w:rFonts w:eastAsia="Palatino Linotype" w:cs="Palatino Linotype"/>
          <w:lang w:eastAsia="es-MX"/>
        </w:rPr>
      </w:pPr>
    </w:p>
    <w:p w14:paraId="52636C19" w14:textId="1C0792E3" w:rsidR="00A917A7" w:rsidRPr="007B4961" w:rsidRDefault="00B25C07" w:rsidP="007B4961">
      <w:pPr>
        <w:pBdr>
          <w:top w:val="nil"/>
          <w:left w:val="nil"/>
          <w:bottom w:val="nil"/>
          <w:right w:val="nil"/>
          <w:between w:val="nil"/>
        </w:pBdr>
        <w:ind w:right="49"/>
        <w:contextualSpacing/>
        <w:rPr>
          <w:rFonts w:ascii="Times New Roman" w:hAnsi="Times New Roman"/>
          <w:lang w:eastAsia="es-MX"/>
        </w:rPr>
      </w:pPr>
      <w:r w:rsidRPr="007B4961">
        <w:rPr>
          <w:rFonts w:eastAsia="Palatino Linotype" w:cs="Palatino Linotype"/>
        </w:rPr>
        <w:t xml:space="preserve">Ahora bien, dado que </w:t>
      </w:r>
      <w:r w:rsidRPr="007B4961">
        <w:rPr>
          <w:rFonts w:eastAsia="Palatino Linotype" w:cs="Palatino Linotype"/>
          <w:b/>
        </w:rPr>
        <w:t xml:space="preserve">EL SUJETO OBLIGADO </w:t>
      </w:r>
      <w:r w:rsidRPr="007B4961">
        <w:rPr>
          <w:rFonts w:eastAsia="Palatino Linotype" w:cs="Palatino Linotype"/>
        </w:rPr>
        <w:t>omitió pronunciarse respecto al personal de lista de raya, este Órgano Garante determina ordenar su entrega; s</w:t>
      </w:r>
      <w:r w:rsidR="00A917A7" w:rsidRPr="007B4961">
        <w:rPr>
          <w:rFonts w:eastAsia="Palatino Linotype" w:cs="Palatino Linotype"/>
        </w:rPr>
        <w:t>in</w:t>
      </w:r>
      <w:r w:rsidR="00A917A7" w:rsidRPr="007B4961">
        <w:rPr>
          <w:lang w:eastAsia="es-MX"/>
        </w:rPr>
        <w:t xml:space="preserve"> embargo, toda vez que la normatividad aplicable al caso concreto no establece de manera precisa como una obligación el contar con personal eventual para la generación de listas de raya, en el caso de </w:t>
      </w:r>
      <w:r w:rsidR="00A917A7" w:rsidRPr="007B4961">
        <w:rPr>
          <w:lang w:eastAsia="es-MX"/>
        </w:rPr>
        <w:lastRenderedPageBreak/>
        <w:t>que no se llegara a localizar información por no actualizarse el supuesto,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5FC43F9B" w14:textId="77777777" w:rsidR="00526A50" w:rsidRPr="007B4961" w:rsidRDefault="00526A50" w:rsidP="007B4961">
      <w:pPr>
        <w:ind w:right="-93"/>
        <w:rPr>
          <w:szCs w:val="22"/>
        </w:rPr>
      </w:pPr>
    </w:p>
    <w:p w14:paraId="25683F47" w14:textId="56321DBC" w:rsidR="00655072" w:rsidRPr="007B4961" w:rsidRDefault="00526A50" w:rsidP="007B4961">
      <w:pPr>
        <w:ind w:right="-93"/>
        <w:rPr>
          <w:szCs w:val="22"/>
        </w:rPr>
      </w:pPr>
      <w:r w:rsidRPr="007B4961">
        <w:rPr>
          <w:szCs w:val="22"/>
        </w:rPr>
        <w:t xml:space="preserve">Llegados a este punto, este Instituto determinar ordenar al </w:t>
      </w:r>
      <w:r w:rsidRPr="007B4961">
        <w:rPr>
          <w:b/>
          <w:szCs w:val="22"/>
        </w:rPr>
        <w:t xml:space="preserve">SUJETO OBLIGADO </w:t>
      </w:r>
      <w:r w:rsidRPr="007B4961">
        <w:rPr>
          <w:szCs w:val="22"/>
        </w:rPr>
        <w:t xml:space="preserve">la entrega de </w:t>
      </w:r>
      <w:r w:rsidR="00E0075C" w:rsidRPr="007B4961">
        <w:rPr>
          <w:szCs w:val="22"/>
        </w:rPr>
        <w:t>los recibos de nómina remitidos en respuesta en una correcta versión pública, así como la lista de raya de la segunda quincena de septiembre del año en curso.</w:t>
      </w:r>
    </w:p>
    <w:p w14:paraId="47E9EC7F" w14:textId="77777777" w:rsidR="001E28C5" w:rsidRPr="007B4961" w:rsidRDefault="001E28C5" w:rsidP="007B4961">
      <w:r w:rsidRPr="007B4961">
        <w:rPr>
          <w:rFonts w:eastAsia="Calibri"/>
          <w:lang w:val="es-ES"/>
        </w:rPr>
        <w:t xml:space="preserve">Por lo anterior, es importante traer a contexto </w:t>
      </w:r>
      <w:r w:rsidRPr="007B4961">
        <w:t>lo establecido en los artículos 4, fracción III, 6, 7, 8, 12, 13, 49, fracciones II y III, 54, primer párrafo, 56, fracción I, de la Ley del Trabajo de los Servidores Públicos del Estado y Municipios:</w:t>
      </w:r>
    </w:p>
    <w:p w14:paraId="7422B1E7" w14:textId="77777777" w:rsidR="001E28C5" w:rsidRPr="007B4961" w:rsidRDefault="001E28C5" w:rsidP="007B4961"/>
    <w:p w14:paraId="720FEF17" w14:textId="77777777" w:rsidR="001E28C5" w:rsidRPr="007B4961" w:rsidRDefault="001E28C5" w:rsidP="007B4961">
      <w:pPr>
        <w:tabs>
          <w:tab w:val="left" w:pos="8222"/>
        </w:tabs>
        <w:ind w:left="851" w:right="899"/>
        <w:rPr>
          <w:rFonts w:cs="Arial"/>
          <w:i/>
          <w:lang w:val="es-ES"/>
        </w:rPr>
      </w:pPr>
      <w:r w:rsidRPr="007B4961">
        <w:rPr>
          <w:rFonts w:cs="Arial"/>
          <w:i/>
          <w:lang w:val="es-ES"/>
        </w:rPr>
        <w:t>“</w:t>
      </w:r>
      <w:r w:rsidRPr="007B4961">
        <w:rPr>
          <w:rFonts w:cs="Arial"/>
          <w:b/>
          <w:i/>
          <w:lang w:val="es-ES"/>
        </w:rPr>
        <w:t>Artículo 4. Para efectos de esta ley se entiende</w:t>
      </w:r>
      <w:r w:rsidRPr="007B4961">
        <w:rPr>
          <w:rFonts w:cs="Arial"/>
          <w:i/>
          <w:lang w:val="es-ES"/>
        </w:rPr>
        <w:t>:</w:t>
      </w:r>
    </w:p>
    <w:p w14:paraId="68542F14" w14:textId="77777777" w:rsidR="001E28C5" w:rsidRPr="007B4961" w:rsidRDefault="001E28C5" w:rsidP="007B4961">
      <w:pPr>
        <w:tabs>
          <w:tab w:val="left" w:pos="8222"/>
        </w:tabs>
        <w:ind w:left="851" w:right="899"/>
        <w:rPr>
          <w:rFonts w:cs="Arial"/>
          <w:i/>
          <w:lang w:val="es-ES"/>
        </w:rPr>
      </w:pPr>
      <w:r w:rsidRPr="007B4961">
        <w:rPr>
          <w:rFonts w:cs="Arial"/>
          <w:i/>
          <w:lang w:val="es-ES"/>
        </w:rPr>
        <w:t>[…]</w:t>
      </w:r>
    </w:p>
    <w:p w14:paraId="009EF77F" w14:textId="77777777" w:rsidR="001E28C5" w:rsidRPr="007B4961" w:rsidRDefault="001E28C5" w:rsidP="007B4961">
      <w:pPr>
        <w:tabs>
          <w:tab w:val="left" w:pos="8222"/>
        </w:tabs>
        <w:ind w:left="851" w:right="899"/>
        <w:rPr>
          <w:rFonts w:cs="Arial"/>
          <w:i/>
          <w:lang w:val="es-ES"/>
        </w:rPr>
      </w:pPr>
      <w:r w:rsidRPr="007B4961">
        <w:rPr>
          <w:rFonts w:cs="Arial"/>
          <w:b/>
          <w:i/>
          <w:lang w:val="es-ES"/>
        </w:rPr>
        <w:t>III. Institución Pública</w:t>
      </w:r>
      <w:r w:rsidRPr="007B4961">
        <w:rPr>
          <w:rFonts w:cs="Arial"/>
          <w:i/>
          <w:lang w:val="es-ES"/>
        </w:rPr>
        <w:t xml:space="preserve">: A cada uno de los poderes públicos del Estado, </w:t>
      </w:r>
      <w:r w:rsidRPr="007B4961">
        <w:rPr>
          <w:rFonts w:cs="Arial"/>
          <w:b/>
          <w:i/>
          <w:lang w:val="es-ES"/>
        </w:rPr>
        <w:t>los municipios</w:t>
      </w:r>
      <w:r w:rsidRPr="007B4961">
        <w:rPr>
          <w:rFonts w:cs="Arial"/>
          <w:i/>
          <w:lang w:val="es-ES"/>
        </w:rPr>
        <w:t xml:space="preserve"> y los tribunales administrativos; así como los organismos descentralizados, fideicomisos de carácter estatal y municipal, y los órganos autónomos que sus leyes de creación así lo determinen.</w:t>
      </w:r>
    </w:p>
    <w:p w14:paraId="6D8985D2" w14:textId="77777777" w:rsidR="001E28C5" w:rsidRPr="007B4961" w:rsidRDefault="001E28C5" w:rsidP="007B4961">
      <w:pPr>
        <w:tabs>
          <w:tab w:val="left" w:pos="8222"/>
        </w:tabs>
        <w:ind w:left="851" w:right="899"/>
        <w:rPr>
          <w:rFonts w:cs="Arial"/>
          <w:i/>
          <w:lang w:val="es-ES"/>
        </w:rPr>
      </w:pPr>
      <w:r w:rsidRPr="007B4961">
        <w:rPr>
          <w:rFonts w:cs="Arial"/>
          <w:b/>
          <w:i/>
          <w:lang w:val="es-ES"/>
        </w:rPr>
        <w:t>Artículo 6.</w:t>
      </w:r>
      <w:r w:rsidRPr="007B4961">
        <w:rPr>
          <w:rFonts w:cs="Arial"/>
          <w:i/>
          <w:lang w:val="es-ES"/>
        </w:rPr>
        <w:t xml:space="preserve"> </w:t>
      </w:r>
      <w:r w:rsidRPr="007B4961">
        <w:rPr>
          <w:rFonts w:cs="Arial"/>
          <w:b/>
          <w:i/>
          <w:u w:val="single"/>
          <w:lang w:val="es-ES"/>
        </w:rPr>
        <w:t>Los servidores públicos se clasifican en generales y de confianza</w:t>
      </w:r>
      <w:r w:rsidRPr="007B4961">
        <w:rPr>
          <w:rFonts w:cs="Arial"/>
          <w:i/>
          <w:lang w:val="es-ES"/>
        </w:rPr>
        <w:t xml:space="preserve">, los cuales, de acuerdo con la duración de sus relaciones de trabajo </w:t>
      </w:r>
      <w:r w:rsidRPr="007B4961">
        <w:rPr>
          <w:rFonts w:cs="Arial"/>
          <w:b/>
          <w:i/>
          <w:u w:val="single"/>
          <w:lang w:val="es-ES"/>
        </w:rPr>
        <w:t>pueden ser: por tiempo u obra determinados o por tiempo indeterminado</w:t>
      </w:r>
      <w:r w:rsidRPr="007B4961">
        <w:rPr>
          <w:rFonts w:cs="Arial"/>
          <w:i/>
          <w:lang w:val="es-ES"/>
        </w:rPr>
        <w:t xml:space="preserve">. </w:t>
      </w:r>
    </w:p>
    <w:p w14:paraId="4FDFBC74" w14:textId="77777777" w:rsidR="001E28C5" w:rsidRPr="007B4961" w:rsidRDefault="001E28C5" w:rsidP="007B4961">
      <w:pPr>
        <w:tabs>
          <w:tab w:val="left" w:pos="8222"/>
        </w:tabs>
        <w:ind w:left="851" w:right="899"/>
        <w:rPr>
          <w:rFonts w:cs="Arial"/>
          <w:i/>
          <w:lang w:val="es-ES"/>
        </w:rPr>
      </w:pPr>
      <w:r w:rsidRPr="007B4961">
        <w:rPr>
          <w:rFonts w:cs="Arial"/>
          <w:b/>
          <w:i/>
          <w:lang w:val="es-ES"/>
        </w:rPr>
        <w:t>Artículo 7.</w:t>
      </w:r>
      <w:r w:rsidRPr="007B4961">
        <w:rPr>
          <w:rFonts w:cs="Arial"/>
          <w:i/>
          <w:lang w:val="es-ES"/>
        </w:rPr>
        <w:t xml:space="preserve"> </w:t>
      </w:r>
      <w:r w:rsidRPr="007B4961">
        <w:rPr>
          <w:rFonts w:cs="Arial"/>
          <w:b/>
          <w:i/>
          <w:lang w:val="es-ES"/>
        </w:rPr>
        <w:t xml:space="preserve">Son servidores públicos generales </w:t>
      </w:r>
      <w:r w:rsidRPr="007B4961">
        <w:rPr>
          <w:rFonts w:cs="Arial"/>
          <w:i/>
          <w:lang w:val="es-ES"/>
        </w:rPr>
        <w:t xml:space="preserve">los que prestan sus servicios en funciones operativas de carácter manual, material, administrativo, técnico, profesional o de apoyo, realizando tareas asignadas por sus superiores o </w:t>
      </w:r>
      <w:r w:rsidRPr="007B4961">
        <w:rPr>
          <w:rFonts w:cs="Arial"/>
          <w:i/>
          <w:lang w:val="es-ES"/>
        </w:rPr>
        <w:lastRenderedPageBreak/>
        <w:t xml:space="preserve">determinadas en los manuales internos de procedimientos o guías de trabajo, no comprendidos dentro del siguiente artículo. </w:t>
      </w:r>
    </w:p>
    <w:p w14:paraId="554D9A90" w14:textId="77777777" w:rsidR="001E28C5" w:rsidRPr="007B4961" w:rsidRDefault="001E28C5" w:rsidP="007B4961">
      <w:pPr>
        <w:tabs>
          <w:tab w:val="left" w:pos="8222"/>
        </w:tabs>
        <w:ind w:left="851" w:right="899"/>
        <w:rPr>
          <w:rFonts w:cs="Arial"/>
          <w:i/>
          <w:lang w:val="es-ES"/>
        </w:rPr>
      </w:pPr>
      <w:r w:rsidRPr="007B4961">
        <w:rPr>
          <w:rFonts w:cs="Arial"/>
          <w:b/>
          <w:i/>
          <w:lang w:val="es-ES"/>
        </w:rPr>
        <w:t>Artículo 8. Se entiende por servidores públicos de confianza</w:t>
      </w:r>
      <w:r w:rsidRPr="007B4961">
        <w:rPr>
          <w:rFonts w:cs="Arial"/>
          <w:i/>
          <w:lang w:val="es-ES"/>
        </w:rPr>
        <w:t>:</w:t>
      </w:r>
    </w:p>
    <w:p w14:paraId="1D2F59C9" w14:textId="77777777" w:rsidR="001E28C5" w:rsidRPr="007B4961" w:rsidRDefault="001E28C5" w:rsidP="007B4961">
      <w:pPr>
        <w:tabs>
          <w:tab w:val="left" w:pos="8222"/>
        </w:tabs>
        <w:ind w:left="851" w:right="899"/>
        <w:rPr>
          <w:rFonts w:cs="Arial"/>
          <w:i/>
          <w:lang w:val="es-ES"/>
        </w:rPr>
      </w:pPr>
      <w:r w:rsidRPr="007B4961">
        <w:rPr>
          <w:rFonts w:cs="Arial"/>
          <w:b/>
          <w:i/>
          <w:lang w:val="es-ES"/>
        </w:rPr>
        <w:t>I.</w:t>
      </w:r>
      <w:r w:rsidRPr="007B4961">
        <w:rPr>
          <w:rFonts w:cs="Arial"/>
          <w:i/>
          <w:lang w:val="es-ES"/>
        </w:rPr>
        <w:t xml:space="preserve">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14:paraId="3C9434D5" w14:textId="77777777" w:rsidR="001E28C5" w:rsidRPr="007B4961" w:rsidRDefault="001E28C5" w:rsidP="007B4961">
      <w:pPr>
        <w:tabs>
          <w:tab w:val="left" w:pos="8222"/>
        </w:tabs>
        <w:ind w:left="851" w:right="899"/>
        <w:rPr>
          <w:rFonts w:cs="Arial"/>
          <w:i/>
          <w:lang w:val="es-ES"/>
        </w:rPr>
      </w:pPr>
      <w:r w:rsidRPr="007B4961">
        <w:rPr>
          <w:rFonts w:cs="Arial"/>
          <w:b/>
          <w:i/>
          <w:lang w:val="es-ES"/>
        </w:rPr>
        <w:t>II.</w:t>
      </w:r>
      <w:r w:rsidRPr="007B4961">
        <w:rPr>
          <w:rFonts w:cs="Arial"/>
          <w:i/>
          <w:lang w:val="es-ES"/>
        </w:rPr>
        <w:t xml:space="preserve"> Aquéllos que tengan esa calidad en razón de la naturaleza de las funciones que desempeñen y no de la designación que se dé al puesto.</w:t>
      </w:r>
    </w:p>
    <w:p w14:paraId="1CBBADCB" w14:textId="77777777" w:rsidR="001E28C5" w:rsidRPr="007B4961" w:rsidRDefault="001E28C5" w:rsidP="007B4961">
      <w:pPr>
        <w:tabs>
          <w:tab w:val="left" w:pos="8222"/>
        </w:tabs>
        <w:ind w:left="851" w:right="899"/>
        <w:rPr>
          <w:rFonts w:cs="Arial"/>
          <w:i/>
          <w:lang w:val="es-ES"/>
        </w:rPr>
      </w:pPr>
      <w:r w:rsidRPr="007B4961">
        <w:rPr>
          <w:rFonts w:cs="Arial"/>
          <w:i/>
          <w:lang w:val="es-ES"/>
        </w:rPr>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 </w:t>
      </w:r>
    </w:p>
    <w:p w14:paraId="6706F320" w14:textId="77777777" w:rsidR="001E28C5" w:rsidRPr="007B4961" w:rsidRDefault="001E28C5" w:rsidP="007B4961">
      <w:pPr>
        <w:tabs>
          <w:tab w:val="left" w:pos="8222"/>
        </w:tabs>
        <w:ind w:left="851" w:right="899"/>
        <w:rPr>
          <w:rFonts w:cs="Arial"/>
          <w:i/>
          <w:lang w:val="es-ES"/>
        </w:rPr>
      </w:pPr>
      <w:r w:rsidRPr="007B4961">
        <w:rPr>
          <w:rFonts w:cs="Arial"/>
          <w:i/>
          <w:lang w:val="es-ES"/>
        </w:rPr>
        <w:t xml:space="preserve">Sin que lo anterior implique o signifique transgredir derechos laborales, sociales o colectivos adquiridos por los trabajadores. </w:t>
      </w:r>
    </w:p>
    <w:p w14:paraId="10A9FD2D" w14:textId="77777777" w:rsidR="001E28C5" w:rsidRPr="007B4961" w:rsidRDefault="001E28C5" w:rsidP="007B4961">
      <w:pPr>
        <w:tabs>
          <w:tab w:val="left" w:pos="8222"/>
        </w:tabs>
        <w:ind w:left="851" w:right="899"/>
        <w:rPr>
          <w:rFonts w:cs="Arial"/>
          <w:i/>
          <w:lang w:val="es-ES"/>
        </w:rPr>
      </w:pPr>
      <w:r w:rsidRPr="007B4961">
        <w:rPr>
          <w:rFonts w:cs="Arial"/>
          <w:i/>
          <w:lang w:val="es-ES"/>
        </w:rPr>
        <w:t>No se consideran funciones de confianza las de dirección, supervisión e inspección que realizan los integrantes del Sistema Educativo Estatal en los planteles educativos del propio sistema.</w:t>
      </w:r>
    </w:p>
    <w:p w14:paraId="64626610" w14:textId="77777777" w:rsidR="001E28C5" w:rsidRPr="007B4961" w:rsidRDefault="001E28C5" w:rsidP="007B4961">
      <w:pPr>
        <w:tabs>
          <w:tab w:val="left" w:pos="8222"/>
        </w:tabs>
        <w:ind w:left="851" w:right="899"/>
        <w:rPr>
          <w:rFonts w:cs="Arial"/>
          <w:i/>
          <w:lang w:val="es-ES"/>
        </w:rPr>
      </w:pPr>
      <w:r w:rsidRPr="007B4961">
        <w:rPr>
          <w:rFonts w:cs="Arial"/>
          <w:b/>
          <w:i/>
          <w:lang w:val="es-ES"/>
        </w:rPr>
        <w:t>Artículo 12.</w:t>
      </w:r>
      <w:r w:rsidRPr="007B4961">
        <w:rPr>
          <w:rFonts w:cs="Arial"/>
          <w:i/>
          <w:lang w:val="es-ES"/>
        </w:rPr>
        <w:t xml:space="preserve"> </w:t>
      </w:r>
      <w:r w:rsidRPr="007B4961">
        <w:rPr>
          <w:rFonts w:cs="Arial"/>
          <w:b/>
          <w:i/>
          <w:lang w:val="es-ES"/>
        </w:rPr>
        <w:t>Son servidores públicos por tiempo indeterminado quienes sean nombrados con tal carácter en plazas presupuestales</w:t>
      </w:r>
      <w:r w:rsidRPr="007B4961">
        <w:rPr>
          <w:rFonts w:cs="Arial"/>
          <w:i/>
          <w:lang w:val="es-ES"/>
        </w:rPr>
        <w:t xml:space="preserve">. </w:t>
      </w:r>
    </w:p>
    <w:p w14:paraId="2DF24EED" w14:textId="77777777" w:rsidR="001E28C5" w:rsidRPr="007B4961" w:rsidRDefault="001E28C5" w:rsidP="007B4961">
      <w:pPr>
        <w:tabs>
          <w:tab w:val="left" w:pos="8222"/>
        </w:tabs>
        <w:ind w:left="851" w:right="899"/>
        <w:rPr>
          <w:rFonts w:cs="Arial"/>
          <w:i/>
          <w:lang w:val="es-ES"/>
        </w:rPr>
      </w:pPr>
      <w:r w:rsidRPr="007B4961">
        <w:rPr>
          <w:rFonts w:cs="Arial"/>
          <w:b/>
          <w:i/>
          <w:lang w:val="es-ES"/>
        </w:rPr>
        <w:lastRenderedPageBreak/>
        <w:t>Artículo 13.</w:t>
      </w:r>
      <w:r w:rsidRPr="007B4961">
        <w:rPr>
          <w:rFonts w:cs="Arial"/>
          <w:i/>
          <w:lang w:val="es-ES"/>
        </w:rPr>
        <w:t xml:space="preserve"> </w:t>
      </w:r>
      <w:r w:rsidRPr="007B4961">
        <w:rPr>
          <w:rFonts w:cs="Arial"/>
          <w:b/>
          <w:i/>
          <w:lang w:val="es-ES"/>
        </w:rPr>
        <w:t>Son servidores públicos sujetos a una relación laboral por tiempo u obra determinados, aquéllos que presten sus servicios bajo esas condiciones</w:t>
      </w:r>
      <w:r w:rsidRPr="007B4961">
        <w:rPr>
          <w:rFonts w:cs="Arial"/>
          <w:i/>
          <w:lang w:val="es-ES"/>
        </w:rPr>
        <w:t xml:space="preserve">, en razón de que la naturaleza del servicio así lo exija. </w:t>
      </w:r>
    </w:p>
    <w:p w14:paraId="43CAAF24" w14:textId="77777777" w:rsidR="001E28C5" w:rsidRPr="007B4961" w:rsidRDefault="001E28C5" w:rsidP="007B4961">
      <w:pPr>
        <w:tabs>
          <w:tab w:val="left" w:pos="8222"/>
        </w:tabs>
        <w:ind w:left="851" w:right="899"/>
        <w:rPr>
          <w:rFonts w:cs="Arial"/>
          <w:i/>
          <w:lang w:val="es-ES"/>
        </w:rPr>
      </w:pPr>
      <w:r w:rsidRPr="007B4961">
        <w:rPr>
          <w:rFonts w:cs="Arial"/>
          <w:b/>
          <w:i/>
          <w:lang w:val="es-ES"/>
        </w:rPr>
        <w:t>Artículo 49</w:t>
      </w:r>
      <w:r w:rsidRPr="007B4961">
        <w:rPr>
          <w:rFonts w:cs="Arial"/>
          <w:i/>
          <w:lang w:val="es-ES"/>
        </w:rPr>
        <w:t xml:space="preserve">.- </w:t>
      </w:r>
      <w:r w:rsidRPr="007B4961">
        <w:rPr>
          <w:rFonts w:cs="Arial"/>
          <w:b/>
          <w:i/>
          <w:lang w:val="es-ES"/>
        </w:rPr>
        <w:t>Los nombramientos, contratos o formato único de Movimientos de Personal</w:t>
      </w:r>
      <w:r w:rsidRPr="007B4961">
        <w:rPr>
          <w:rFonts w:cs="Arial"/>
          <w:i/>
          <w:lang w:val="es-ES"/>
        </w:rPr>
        <w:t xml:space="preserve"> de los servidores públicos </w:t>
      </w:r>
      <w:r w:rsidRPr="007B4961">
        <w:rPr>
          <w:rFonts w:cs="Arial"/>
          <w:b/>
          <w:i/>
          <w:lang w:val="es-ES"/>
        </w:rPr>
        <w:t>deberán contener</w:t>
      </w:r>
      <w:r w:rsidRPr="007B4961">
        <w:rPr>
          <w:rFonts w:cs="Arial"/>
          <w:i/>
          <w:lang w:val="es-ES"/>
        </w:rPr>
        <w:t xml:space="preserve">: </w:t>
      </w:r>
    </w:p>
    <w:p w14:paraId="51ADD823" w14:textId="77777777" w:rsidR="001E28C5" w:rsidRPr="007B4961" w:rsidRDefault="001E28C5" w:rsidP="007B4961">
      <w:pPr>
        <w:tabs>
          <w:tab w:val="left" w:pos="8222"/>
        </w:tabs>
        <w:ind w:left="851" w:right="899"/>
        <w:rPr>
          <w:rFonts w:cs="Arial"/>
          <w:i/>
          <w:lang w:val="es-ES"/>
        </w:rPr>
      </w:pPr>
      <w:r w:rsidRPr="007B4961">
        <w:rPr>
          <w:rFonts w:cs="Arial"/>
          <w:i/>
          <w:lang w:val="es-ES"/>
        </w:rPr>
        <w:t>[…]</w:t>
      </w:r>
    </w:p>
    <w:p w14:paraId="15498B50" w14:textId="77777777" w:rsidR="001E28C5" w:rsidRPr="007B4961" w:rsidRDefault="001E28C5" w:rsidP="007B4961">
      <w:pPr>
        <w:tabs>
          <w:tab w:val="left" w:pos="8222"/>
        </w:tabs>
        <w:ind w:left="851" w:right="899"/>
        <w:rPr>
          <w:rFonts w:cs="Arial"/>
          <w:i/>
          <w:lang w:val="es-ES"/>
        </w:rPr>
      </w:pPr>
      <w:r w:rsidRPr="007B4961">
        <w:rPr>
          <w:rFonts w:cs="Arial"/>
          <w:b/>
          <w:i/>
          <w:lang w:val="es-ES"/>
        </w:rPr>
        <w:t>II.</w:t>
      </w:r>
      <w:r w:rsidRPr="007B4961">
        <w:rPr>
          <w:rFonts w:cs="Arial"/>
          <w:i/>
          <w:lang w:val="es-ES"/>
        </w:rPr>
        <w:t xml:space="preserve"> </w:t>
      </w:r>
      <w:r w:rsidRPr="007B4961">
        <w:rPr>
          <w:rFonts w:cs="Arial"/>
          <w:b/>
          <w:i/>
          <w:lang w:val="es-ES"/>
        </w:rPr>
        <w:t>Cargo para el que es designado, fecha de inicio de sus servicios</w:t>
      </w:r>
      <w:r w:rsidRPr="007B4961">
        <w:rPr>
          <w:rFonts w:cs="Arial"/>
          <w:i/>
          <w:lang w:val="es-ES"/>
        </w:rPr>
        <w:t xml:space="preserve"> y lugar de adscripción;</w:t>
      </w:r>
    </w:p>
    <w:p w14:paraId="41723250" w14:textId="77777777" w:rsidR="001E28C5" w:rsidRPr="007B4961" w:rsidRDefault="001E28C5" w:rsidP="007B4961">
      <w:pPr>
        <w:tabs>
          <w:tab w:val="left" w:pos="8222"/>
        </w:tabs>
        <w:ind w:left="851" w:right="899"/>
        <w:rPr>
          <w:rFonts w:cs="Arial"/>
          <w:i/>
          <w:lang w:val="es-ES"/>
        </w:rPr>
      </w:pPr>
      <w:r w:rsidRPr="007B4961">
        <w:rPr>
          <w:rFonts w:cs="Arial"/>
          <w:b/>
          <w:i/>
          <w:lang w:val="es-ES"/>
        </w:rPr>
        <w:t>III.</w:t>
      </w:r>
      <w:r w:rsidRPr="007B4961">
        <w:rPr>
          <w:rFonts w:cs="Arial"/>
          <w:i/>
          <w:lang w:val="es-ES"/>
        </w:rPr>
        <w:t xml:space="preserve"> </w:t>
      </w:r>
      <w:r w:rsidRPr="007B4961">
        <w:rPr>
          <w:rFonts w:cs="Arial"/>
          <w:b/>
          <w:i/>
          <w:lang w:val="es-ES"/>
        </w:rPr>
        <w:t>Carácter del nombramiento</w:t>
      </w:r>
      <w:r w:rsidRPr="007B4961">
        <w:rPr>
          <w:rFonts w:cs="Arial"/>
          <w:i/>
          <w:lang w:val="es-ES"/>
        </w:rPr>
        <w:t xml:space="preserve">, ya sea de servidores públicos </w:t>
      </w:r>
      <w:r w:rsidRPr="007B4961">
        <w:rPr>
          <w:rFonts w:cs="Arial"/>
          <w:b/>
          <w:i/>
          <w:lang w:val="es-ES"/>
        </w:rPr>
        <w:t>generales o de confianza, así como la temporalidad del mismo</w:t>
      </w:r>
      <w:r w:rsidRPr="007B4961">
        <w:rPr>
          <w:rFonts w:cs="Arial"/>
          <w:i/>
          <w:lang w:val="es-ES"/>
        </w:rPr>
        <w:t>;”</w:t>
      </w:r>
    </w:p>
    <w:p w14:paraId="5500EE05" w14:textId="77777777" w:rsidR="001E28C5" w:rsidRPr="007B4961" w:rsidRDefault="001E28C5" w:rsidP="007B4961">
      <w:pPr>
        <w:tabs>
          <w:tab w:val="left" w:pos="8222"/>
        </w:tabs>
        <w:ind w:left="851" w:right="899"/>
      </w:pPr>
      <w:r w:rsidRPr="007B4961">
        <w:t>(Énfasis añadido)</w:t>
      </w:r>
    </w:p>
    <w:p w14:paraId="1FB8102F" w14:textId="77777777" w:rsidR="001E28C5" w:rsidRPr="007B4961" w:rsidRDefault="001E28C5" w:rsidP="007B4961">
      <w:pPr>
        <w:widowControl w:val="0"/>
        <w:autoSpaceDE w:val="0"/>
        <w:autoSpaceDN w:val="0"/>
        <w:adjustRightInd w:val="0"/>
        <w:rPr>
          <w:rFonts w:cs="Arial"/>
        </w:rPr>
      </w:pPr>
    </w:p>
    <w:p w14:paraId="735190CC" w14:textId="77777777" w:rsidR="001E28C5" w:rsidRPr="007B4961" w:rsidRDefault="001E28C5" w:rsidP="007B4961">
      <w:pPr>
        <w:autoSpaceDE w:val="0"/>
        <w:autoSpaceDN w:val="0"/>
        <w:adjustRightInd w:val="0"/>
        <w:rPr>
          <w:rFonts w:cs="Arial"/>
        </w:rPr>
      </w:pPr>
      <w:r w:rsidRPr="007B4961">
        <w:t xml:space="preserve">Por su parte el Glosario de Términos Administrativos, de la </w:t>
      </w:r>
      <w:r w:rsidRPr="007B4961">
        <w:rPr>
          <w:rFonts w:cs="Arial"/>
        </w:rPr>
        <w:t xml:space="preserve">Coordinación General de Estudios Administrativos del Instituto Nacional de Administración Pública, A. C. establece el concepto de personal a “lista de raya”, del cual se infiere el término que nos ocupa, tal y como se aprecia a continuación </w:t>
      </w:r>
    </w:p>
    <w:p w14:paraId="1B2CC504" w14:textId="77777777" w:rsidR="001E28C5" w:rsidRPr="007B4961" w:rsidRDefault="001E28C5" w:rsidP="007B4961">
      <w:pPr>
        <w:autoSpaceDE w:val="0"/>
        <w:autoSpaceDN w:val="0"/>
        <w:adjustRightInd w:val="0"/>
      </w:pPr>
    </w:p>
    <w:p w14:paraId="1F8EFB4E" w14:textId="77777777" w:rsidR="001E28C5" w:rsidRPr="007B4961" w:rsidRDefault="001E28C5" w:rsidP="007B4961">
      <w:pPr>
        <w:autoSpaceDE w:val="0"/>
        <w:autoSpaceDN w:val="0"/>
        <w:adjustRightInd w:val="0"/>
        <w:ind w:left="851" w:right="899"/>
        <w:rPr>
          <w:rFonts w:cs="Arial"/>
          <w:i/>
          <w:szCs w:val="22"/>
          <w:lang w:eastAsia="es-MX"/>
        </w:rPr>
      </w:pPr>
      <w:r w:rsidRPr="007B4961">
        <w:rPr>
          <w:rFonts w:cs="Arial"/>
          <w:b/>
          <w:bCs/>
          <w:i/>
          <w:szCs w:val="22"/>
          <w:lang w:eastAsia="es-MX"/>
        </w:rPr>
        <w:t xml:space="preserve">“PERSONAL A LISTA DE RAYA. </w:t>
      </w:r>
      <w:r w:rsidRPr="007B4961">
        <w:rPr>
          <w:rFonts w:cs="Arial"/>
          <w:i/>
          <w:szCs w:val="22"/>
          <w:lang w:eastAsia="es-MX"/>
        </w:rPr>
        <w:t xml:space="preserve">Lo integran los trabajadores temporales cuya relación laboral se formaliza por su inclusión en </w:t>
      </w:r>
      <w:r w:rsidRPr="007B4961">
        <w:rPr>
          <w:rFonts w:cs="Arial"/>
          <w:b/>
          <w:i/>
          <w:szCs w:val="22"/>
          <w:lang w:eastAsia="es-MX"/>
        </w:rPr>
        <w:t>nómina</w:t>
      </w:r>
      <w:r w:rsidRPr="007B4961">
        <w:rPr>
          <w:rFonts w:cs="Arial"/>
          <w:i/>
          <w:szCs w:val="22"/>
          <w:lang w:eastAsia="es-MX"/>
        </w:rPr>
        <w:t xml:space="preserve"> o documentos denominados </w:t>
      </w:r>
      <w:r w:rsidRPr="007B4961">
        <w:rPr>
          <w:rFonts w:cs="Arial"/>
          <w:b/>
          <w:i/>
          <w:szCs w:val="22"/>
          <w:lang w:eastAsia="es-MX"/>
        </w:rPr>
        <w:t>"Lista de Raya"</w:t>
      </w:r>
      <w:r w:rsidRPr="007B4961">
        <w:rPr>
          <w:rFonts w:cs="Arial"/>
          <w:i/>
          <w:szCs w:val="22"/>
          <w:lang w:eastAsia="es-MX"/>
        </w:rPr>
        <w:t xml:space="preserve"> y que, por lo tanto, carecen de nombramiento.”</w:t>
      </w:r>
    </w:p>
    <w:p w14:paraId="4B4B9270" w14:textId="77777777" w:rsidR="001E28C5" w:rsidRPr="007B4961" w:rsidRDefault="001E28C5" w:rsidP="007B4961">
      <w:pPr>
        <w:autoSpaceDE w:val="0"/>
        <w:autoSpaceDN w:val="0"/>
        <w:adjustRightInd w:val="0"/>
        <w:ind w:left="851"/>
        <w:rPr>
          <w:rFonts w:cs="Arial"/>
          <w:lang w:eastAsia="es-MX"/>
        </w:rPr>
      </w:pPr>
      <w:r w:rsidRPr="007B4961">
        <w:rPr>
          <w:rFonts w:cs="Arial"/>
          <w:lang w:eastAsia="es-MX"/>
        </w:rPr>
        <w:t>(Énfasis añadido)</w:t>
      </w:r>
    </w:p>
    <w:p w14:paraId="2D3DA7E2" w14:textId="77777777" w:rsidR="001E28C5" w:rsidRPr="007B4961" w:rsidRDefault="001E28C5" w:rsidP="007B4961">
      <w:pPr>
        <w:autoSpaceDE w:val="0"/>
        <w:autoSpaceDN w:val="0"/>
        <w:adjustRightInd w:val="0"/>
        <w:ind w:left="851"/>
        <w:rPr>
          <w:rFonts w:cs="Arial"/>
          <w:lang w:eastAsia="es-MX"/>
        </w:rPr>
      </w:pPr>
    </w:p>
    <w:p w14:paraId="315E50BC" w14:textId="77777777" w:rsidR="001E28C5" w:rsidRPr="007B4961" w:rsidRDefault="001E28C5" w:rsidP="007B4961">
      <w:pPr>
        <w:autoSpaceDE w:val="0"/>
        <w:autoSpaceDN w:val="0"/>
        <w:adjustRightInd w:val="0"/>
        <w:rPr>
          <w:rFonts w:cs="Arial"/>
          <w:lang w:eastAsia="es-MX"/>
        </w:rPr>
      </w:pPr>
      <w:r w:rsidRPr="007B4961">
        <w:rPr>
          <w:rFonts w:cs="Arial"/>
        </w:rPr>
        <w:t>Así como se apuntó, si bien nuestra legislación no establece la definición de “lista de raya” o “nómina de personal”,</w:t>
      </w:r>
      <w:r w:rsidRPr="007B4961">
        <w:rPr>
          <w:rFonts w:cs="Arial"/>
          <w:b/>
        </w:rPr>
        <w:t xml:space="preserve"> </w:t>
      </w:r>
      <w:r w:rsidRPr="007B4961">
        <w:rPr>
          <w:rFonts w:cs="Arial"/>
          <w:lang w:eastAsia="es-MX"/>
        </w:rPr>
        <w:t xml:space="preserve">estos términos son mencionados en diferentes ordenamientos legales; por ejemplo en el artículo 804 en su fracción II de la Ley Federal de Trabajo señala: </w:t>
      </w:r>
    </w:p>
    <w:p w14:paraId="0A4C08A7" w14:textId="77777777" w:rsidR="001E28C5" w:rsidRPr="007B4961" w:rsidRDefault="001E28C5" w:rsidP="007B4961">
      <w:pPr>
        <w:autoSpaceDE w:val="0"/>
        <w:autoSpaceDN w:val="0"/>
        <w:adjustRightInd w:val="0"/>
        <w:rPr>
          <w:rFonts w:cs="Arial"/>
          <w:lang w:eastAsia="es-MX"/>
        </w:rPr>
      </w:pPr>
    </w:p>
    <w:p w14:paraId="21F4A5AB" w14:textId="77777777" w:rsidR="001E28C5" w:rsidRPr="007B4961" w:rsidRDefault="001E28C5" w:rsidP="007B4961">
      <w:pPr>
        <w:tabs>
          <w:tab w:val="right" w:leader="dot" w:pos="8505"/>
        </w:tabs>
        <w:ind w:left="851" w:right="902"/>
        <w:rPr>
          <w:rFonts w:eastAsia="MS Mincho" w:cs="Arial"/>
          <w:b/>
          <w:i/>
          <w:szCs w:val="22"/>
        </w:rPr>
      </w:pPr>
      <w:r w:rsidRPr="007B4961">
        <w:rPr>
          <w:rFonts w:eastAsia="MS Mincho" w:cs="Arial"/>
          <w:b/>
          <w:bCs/>
          <w:i/>
          <w:szCs w:val="22"/>
        </w:rPr>
        <w:t>“Artículo 804.-</w:t>
      </w:r>
      <w:r w:rsidRPr="007B4961">
        <w:rPr>
          <w:rFonts w:eastAsia="MS Mincho" w:cs="Arial"/>
          <w:i/>
          <w:szCs w:val="22"/>
        </w:rPr>
        <w:t xml:space="preserve"> El patrón tiene obligación de conservar y exhibir en juicio los documentos que a continuación se precisan:</w:t>
      </w:r>
    </w:p>
    <w:p w14:paraId="41845109" w14:textId="77777777" w:rsidR="001E28C5" w:rsidRPr="007B4961" w:rsidRDefault="001E28C5" w:rsidP="007B4961">
      <w:pPr>
        <w:tabs>
          <w:tab w:val="right" w:leader="dot" w:pos="8505"/>
        </w:tabs>
        <w:ind w:left="851" w:right="902"/>
        <w:rPr>
          <w:rFonts w:eastAsia="MS Mincho" w:cs="Arial"/>
          <w:i/>
          <w:szCs w:val="22"/>
        </w:rPr>
      </w:pPr>
      <w:r w:rsidRPr="007B4961">
        <w:rPr>
          <w:rFonts w:eastAsia="MS Mincho" w:cs="Arial"/>
          <w:i/>
          <w:szCs w:val="22"/>
        </w:rPr>
        <w:t>…</w:t>
      </w:r>
    </w:p>
    <w:p w14:paraId="0C259DCA" w14:textId="77777777" w:rsidR="001E28C5" w:rsidRPr="007B4961" w:rsidRDefault="001E28C5" w:rsidP="007B4961">
      <w:pPr>
        <w:tabs>
          <w:tab w:val="right" w:leader="dot" w:pos="8505"/>
        </w:tabs>
        <w:ind w:left="851" w:right="902"/>
        <w:rPr>
          <w:rFonts w:eastAsia="MS Mincho" w:cs="Arial"/>
          <w:i/>
          <w:szCs w:val="22"/>
          <w:u w:val="single"/>
        </w:rPr>
      </w:pPr>
      <w:r w:rsidRPr="007B4961">
        <w:rPr>
          <w:rFonts w:eastAsia="MS Mincho" w:cs="Arial"/>
          <w:b/>
          <w:i/>
          <w:szCs w:val="22"/>
        </w:rPr>
        <w:t>II. Listas de raya o nómina de personal</w:t>
      </w:r>
      <w:r w:rsidRPr="007B4961">
        <w:rPr>
          <w:rFonts w:eastAsia="MS Mincho" w:cs="Arial"/>
          <w:i/>
          <w:szCs w:val="22"/>
        </w:rPr>
        <w:t>, cuando se lleven en el centro de trabajo; o recibos de pagos de salarios;</w:t>
      </w:r>
    </w:p>
    <w:p w14:paraId="1A2307DB" w14:textId="77777777" w:rsidR="001E28C5" w:rsidRPr="007B4961" w:rsidRDefault="001E28C5" w:rsidP="007B4961">
      <w:pPr>
        <w:tabs>
          <w:tab w:val="right" w:leader="dot" w:pos="8505"/>
        </w:tabs>
        <w:ind w:left="851" w:right="902"/>
        <w:rPr>
          <w:rFonts w:eastAsia="MS Mincho" w:cs="Arial"/>
          <w:i/>
          <w:szCs w:val="22"/>
        </w:rPr>
      </w:pPr>
      <w:r w:rsidRPr="007B4961">
        <w:rPr>
          <w:rFonts w:eastAsia="MS Mincho" w:cs="Arial"/>
          <w:i/>
          <w:szCs w:val="22"/>
        </w:rPr>
        <w:t>…</w:t>
      </w:r>
    </w:p>
    <w:p w14:paraId="4CF11C3F" w14:textId="77777777" w:rsidR="001E28C5" w:rsidRPr="007B4961" w:rsidRDefault="001E28C5" w:rsidP="007B4961">
      <w:pPr>
        <w:tabs>
          <w:tab w:val="right" w:leader="dot" w:pos="8505"/>
        </w:tabs>
        <w:ind w:left="851" w:right="899"/>
        <w:rPr>
          <w:rFonts w:cs="Arial"/>
          <w:i/>
          <w:szCs w:val="22"/>
        </w:rPr>
      </w:pPr>
      <w:r w:rsidRPr="007B4961">
        <w:rPr>
          <w:rFonts w:cs="Arial"/>
          <w:i/>
          <w:szCs w:val="22"/>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14:paraId="58D585DC" w14:textId="77777777" w:rsidR="001E28C5" w:rsidRPr="007B4961" w:rsidRDefault="001E28C5" w:rsidP="007B4961">
      <w:pPr>
        <w:tabs>
          <w:tab w:val="right" w:leader="dot" w:pos="8505"/>
        </w:tabs>
        <w:ind w:left="851"/>
        <w:rPr>
          <w:rFonts w:cs="Arial"/>
        </w:rPr>
      </w:pPr>
      <w:r w:rsidRPr="007B4961">
        <w:rPr>
          <w:rFonts w:cs="Arial"/>
        </w:rPr>
        <w:t>(Énfasis añadido)</w:t>
      </w:r>
    </w:p>
    <w:p w14:paraId="127D351F" w14:textId="77777777" w:rsidR="001E28C5" w:rsidRPr="007B4961" w:rsidRDefault="001E28C5" w:rsidP="007B4961">
      <w:pPr>
        <w:tabs>
          <w:tab w:val="right" w:leader="dot" w:pos="8505"/>
        </w:tabs>
        <w:ind w:left="851"/>
        <w:rPr>
          <w:rFonts w:cs="Arial"/>
        </w:rPr>
      </w:pPr>
    </w:p>
    <w:p w14:paraId="686BA4D3" w14:textId="77777777" w:rsidR="001E28C5" w:rsidRPr="007B4961" w:rsidRDefault="001E28C5" w:rsidP="007B4961">
      <w:pPr>
        <w:rPr>
          <w:rFonts w:cs="Arial"/>
          <w:lang w:eastAsia="es-MX"/>
        </w:rPr>
      </w:pPr>
      <w:r w:rsidRPr="007B4961">
        <w:rPr>
          <w:rFonts w:cs="Arial"/>
          <w:lang w:eastAsia="es-MX"/>
        </w:rPr>
        <w:t xml:space="preserve">De lo establecido en dicho precepto legal, se advierte que la lista de raya consiste en registros conformados por el conjunto de trabajadores a los cuales se les va a remunerar por los </w:t>
      </w:r>
      <w:hyperlink r:id="rId20" w:history="1">
        <w:r w:rsidRPr="007B4961">
          <w:rPr>
            <w:rFonts w:cs="Arial"/>
            <w:lang w:eastAsia="es-MX"/>
          </w:rPr>
          <w:t>servicios</w:t>
        </w:r>
      </w:hyperlink>
      <w:r w:rsidRPr="007B4961">
        <w:rPr>
          <w:rFonts w:cs="Arial"/>
          <w:lang w:eastAsia="es-MX"/>
        </w:rPr>
        <w:t xml:space="preserve"> que éstos le prestan al patrón, en el cual se asientan las percepciones brutas, deducciones y el neto a recibir de dichos trabajadores, con la única especificación de que la lista de raya refiere únicamente a los trabajadores temporales.</w:t>
      </w:r>
    </w:p>
    <w:p w14:paraId="049F2632" w14:textId="77777777" w:rsidR="001E28C5" w:rsidRPr="007B4961" w:rsidRDefault="001E28C5" w:rsidP="007B4961">
      <w:pPr>
        <w:rPr>
          <w:rFonts w:cs="Arial"/>
        </w:rPr>
      </w:pPr>
      <w:r w:rsidRPr="007B4961">
        <w:rPr>
          <w:rFonts w:cs="Arial"/>
          <w:lang w:eastAsia="es-MX"/>
        </w:rPr>
        <w:t xml:space="preserve">En relación a ello, </w:t>
      </w:r>
      <w:r w:rsidRPr="007B4961">
        <w:rPr>
          <w:rFonts w:cs="Arial"/>
        </w:rPr>
        <w:t>el artículo 50 de la Ley del Trabajo de los Servidores Públicos del Estado y Municipios, señala:</w:t>
      </w:r>
    </w:p>
    <w:p w14:paraId="68890316" w14:textId="77777777" w:rsidR="001E28C5" w:rsidRPr="007B4961" w:rsidRDefault="001E28C5" w:rsidP="007B4961">
      <w:pPr>
        <w:rPr>
          <w:rFonts w:cs="Arial"/>
        </w:rPr>
      </w:pPr>
    </w:p>
    <w:p w14:paraId="6B48424C" w14:textId="77777777" w:rsidR="001E28C5" w:rsidRPr="007B4961" w:rsidRDefault="001E28C5" w:rsidP="007B4961">
      <w:pPr>
        <w:ind w:left="851" w:right="899"/>
        <w:rPr>
          <w:i/>
          <w:szCs w:val="22"/>
        </w:rPr>
      </w:pPr>
      <w:r w:rsidRPr="007B4961">
        <w:rPr>
          <w:i/>
          <w:szCs w:val="22"/>
        </w:rPr>
        <w:t>“</w:t>
      </w:r>
      <w:r w:rsidRPr="007B4961">
        <w:rPr>
          <w:b/>
          <w:i/>
          <w:szCs w:val="22"/>
        </w:rPr>
        <w:t>Artículo 50</w:t>
      </w:r>
      <w:r w:rsidRPr="007B4961">
        <w:rPr>
          <w:i/>
          <w:szCs w:val="22"/>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4E245F9C" w14:textId="77777777" w:rsidR="001E28C5" w:rsidRPr="007B4961" w:rsidRDefault="001E28C5" w:rsidP="007B4961">
      <w:pPr>
        <w:ind w:left="851" w:right="899"/>
        <w:rPr>
          <w:i/>
          <w:szCs w:val="22"/>
        </w:rPr>
      </w:pPr>
      <w:r w:rsidRPr="007B4961">
        <w:rPr>
          <w:i/>
          <w:szCs w:val="22"/>
        </w:rPr>
        <w:lastRenderedPageBreak/>
        <w:t xml:space="preserve">Iguales consecuencias se generarán para todos los </w:t>
      </w:r>
      <w:r w:rsidRPr="007B4961">
        <w:rPr>
          <w:b/>
          <w:i/>
          <w:szCs w:val="22"/>
        </w:rPr>
        <w:t>servidores públicos, cuando la relación de trabajo se formalice mediante un contrato o por encontrarse en lista de raya</w:t>
      </w:r>
      <w:r w:rsidRPr="007B4961">
        <w:rPr>
          <w:i/>
          <w:szCs w:val="22"/>
        </w:rPr>
        <w:t>.”</w:t>
      </w:r>
    </w:p>
    <w:p w14:paraId="6474C334" w14:textId="77777777" w:rsidR="001E28C5" w:rsidRPr="007B4961" w:rsidRDefault="001E28C5" w:rsidP="007B4961">
      <w:pPr>
        <w:ind w:left="851"/>
      </w:pPr>
      <w:r w:rsidRPr="007B4961">
        <w:t>(Énfasis añadido)</w:t>
      </w:r>
    </w:p>
    <w:p w14:paraId="6E71926E" w14:textId="77777777" w:rsidR="001E28C5" w:rsidRPr="007B4961" w:rsidRDefault="001E28C5" w:rsidP="007B4961">
      <w:pPr>
        <w:ind w:left="851"/>
      </w:pPr>
    </w:p>
    <w:p w14:paraId="160B7F6C" w14:textId="77777777" w:rsidR="001E28C5" w:rsidRPr="007B4961" w:rsidRDefault="001E28C5" w:rsidP="007B4961">
      <w:pPr>
        <w:rPr>
          <w:rFonts w:cs="Arial"/>
          <w:lang w:eastAsia="es-MX"/>
        </w:rPr>
      </w:pPr>
      <w:r w:rsidRPr="007B4961">
        <w:rPr>
          <w:rFonts w:cs="Arial"/>
          <w:lang w:eastAsia="es-MX"/>
        </w:rPr>
        <w:t>De lo anterior, se advierte que la relación de trabajo de un servidor público se formaliza mediante nombramiento, contrato, formato único de movimientos de personal y lo referente a la lista de raya es por cuanto a la forma de pago del personal por contrato.</w:t>
      </w:r>
    </w:p>
    <w:p w14:paraId="06C9162C" w14:textId="77777777" w:rsidR="00526A50" w:rsidRPr="007B4961" w:rsidRDefault="00526A50" w:rsidP="007B4961">
      <w:pPr>
        <w:ind w:right="-93"/>
        <w:rPr>
          <w:szCs w:val="22"/>
        </w:rPr>
      </w:pPr>
    </w:p>
    <w:p w14:paraId="18C947AC" w14:textId="77777777" w:rsidR="00551512" w:rsidRPr="007B4961" w:rsidRDefault="00551512" w:rsidP="007B4961">
      <w:pPr>
        <w:pStyle w:val="Ttulo3"/>
        <w:rPr>
          <w:szCs w:val="22"/>
        </w:rPr>
      </w:pPr>
      <w:bookmarkStart w:id="33" w:name="_Toc184225353"/>
      <w:r w:rsidRPr="007B4961">
        <w:rPr>
          <w:szCs w:val="22"/>
        </w:rPr>
        <w:t>d) Versión pública.</w:t>
      </w:r>
      <w:bookmarkEnd w:id="33"/>
    </w:p>
    <w:p w14:paraId="130C5D23" w14:textId="77777777" w:rsidR="00E769E4" w:rsidRPr="007B4961" w:rsidRDefault="00E769E4" w:rsidP="007B4961">
      <w:pPr>
        <w:rPr>
          <w:rFonts w:cs="Arial"/>
          <w:bCs/>
        </w:rPr>
      </w:pPr>
      <w:r w:rsidRPr="007B4961">
        <w:t xml:space="preserve">No </w:t>
      </w:r>
      <w:r w:rsidRPr="007B4961">
        <w:rPr>
          <w:rFonts w:cs="Arial"/>
        </w:rPr>
        <w:t xml:space="preserve">se omite comentar que para el caso de que el o los documentos de los cuales se ordenará su entrega, contengan datos personales susceptibles de ser testados, deberán ser entregados en </w:t>
      </w:r>
      <w:r w:rsidRPr="007B4961">
        <w:rPr>
          <w:rFonts w:cs="Arial"/>
          <w:b/>
        </w:rPr>
        <w:t>versión pública</w:t>
      </w:r>
      <w:r w:rsidRPr="007B4961">
        <w:rPr>
          <w:rFonts w:cs="Arial"/>
        </w:rPr>
        <w:t>; pues, el</w:t>
      </w:r>
      <w:r w:rsidRPr="007B4961">
        <w:rPr>
          <w:rFonts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5DCED2" w14:textId="77777777" w:rsidR="00E769E4" w:rsidRPr="007B4961" w:rsidRDefault="00E769E4" w:rsidP="007B4961">
      <w:pPr>
        <w:rPr>
          <w:rFonts w:eastAsia="Calibri" w:cs="Arial"/>
          <w:bCs/>
          <w:lang w:eastAsia="en-US"/>
        </w:rPr>
      </w:pPr>
    </w:p>
    <w:p w14:paraId="15D43698" w14:textId="77777777" w:rsidR="00E769E4" w:rsidRPr="007B4961" w:rsidRDefault="00E769E4" w:rsidP="007B4961">
      <w:pPr>
        <w:rPr>
          <w:rFonts w:cs="Arial"/>
          <w:bCs/>
        </w:rPr>
      </w:pPr>
      <w:r w:rsidRPr="007B4961">
        <w:rPr>
          <w:rFonts w:cs="Arial"/>
          <w:bCs/>
        </w:rPr>
        <w:t>A este respecto, los artículos 3, fracciones IX, XX, XXI y XLV; 51 y 52 de la Ley de Transparencia y Acceso a la Información Pública del Estado de México y Municipios establecen:</w:t>
      </w:r>
    </w:p>
    <w:p w14:paraId="093F12B4" w14:textId="77777777" w:rsidR="00E769E4" w:rsidRPr="007B4961" w:rsidRDefault="00E769E4" w:rsidP="007B4961">
      <w:pPr>
        <w:autoSpaceDE w:val="0"/>
        <w:autoSpaceDN w:val="0"/>
        <w:adjustRightInd w:val="0"/>
        <w:ind w:right="899"/>
        <w:rPr>
          <w:rFonts w:cs="Arial"/>
        </w:rPr>
      </w:pPr>
    </w:p>
    <w:p w14:paraId="53BD40AE" w14:textId="77777777" w:rsidR="00E769E4" w:rsidRPr="007B4961" w:rsidRDefault="00E769E4" w:rsidP="007B4961">
      <w:pPr>
        <w:spacing w:line="276" w:lineRule="auto"/>
        <w:ind w:left="851" w:right="901"/>
        <w:rPr>
          <w:i/>
        </w:rPr>
      </w:pPr>
      <w:r w:rsidRPr="007B4961">
        <w:rPr>
          <w:rFonts w:cs="Arial"/>
          <w:b/>
          <w:bCs/>
          <w:i/>
          <w:noProof/>
        </w:rPr>
        <w:t>“</w:t>
      </w:r>
      <w:r w:rsidRPr="007B4961">
        <w:rPr>
          <w:rFonts w:cs="Arial"/>
          <w:b/>
          <w:bCs/>
          <w:i/>
        </w:rPr>
        <w:t xml:space="preserve">Artículo 3. </w:t>
      </w:r>
      <w:r w:rsidRPr="007B4961">
        <w:rPr>
          <w:i/>
        </w:rPr>
        <w:t xml:space="preserve">Para los efectos de la presente Ley se entenderá por: </w:t>
      </w:r>
    </w:p>
    <w:p w14:paraId="1E674362" w14:textId="77777777" w:rsidR="00E769E4" w:rsidRPr="007B4961" w:rsidRDefault="00E769E4" w:rsidP="007B4961">
      <w:pPr>
        <w:spacing w:line="276" w:lineRule="auto"/>
        <w:ind w:left="851" w:right="901"/>
        <w:rPr>
          <w:i/>
        </w:rPr>
      </w:pPr>
    </w:p>
    <w:p w14:paraId="7A90B6DA" w14:textId="77777777" w:rsidR="00E769E4" w:rsidRPr="007B4961" w:rsidRDefault="00E769E4" w:rsidP="007B4961">
      <w:pPr>
        <w:spacing w:line="276" w:lineRule="auto"/>
        <w:ind w:left="851" w:right="899"/>
        <w:rPr>
          <w:rFonts w:cs="Arial"/>
          <w:i/>
        </w:rPr>
      </w:pPr>
      <w:r w:rsidRPr="007B4961">
        <w:rPr>
          <w:rFonts w:cs="Arial"/>
          <w:b/>
          <w:i/>
        </w:rPr>
        <w:t>IX.</w:t>
      </w:r>
      <w:r w:rsidRPr="007B4961">
        <w:rPr>
          <w:rFonts w:cs="Arial"/>
          <w:i/>
        </w:rPr>
        <w:t xml:space="preserve"> </w:t>
      </w:r>
      <w:r w:rsidRPr="007B4961">
        <w:rPr>
          <w:rFonts w:cs="Arial"/>
          <w:b/>
          <w:i/>
        </w:rPr>
        <w:t xml:space="preserve">Datos personales: </w:t>
      </w:r>
      <w:r w:rsidRPr="007B4961">
        <w:rPr>
          <w:rFonts w:cs="Arial"/>
          <w:i/>
        </w:rPr>
        <w:t xml:space="preserve">La información concerniente a una persona, identificada o identificable según lo dispuesto por la Ley de </w:t>
      </w:r>
      <w:r w:rsidRPr="007B4961">
        <w:rPr>
          <w:i/>
        </w:rPr>
        <w:t>Protección</w:t>
      </w:r>
      <w:r w:rsidRPr="007B4961">
        <w:rPr>
          <w:rFonts w:cs="Arial"/>
          <w:i/>
        </w:rPr>
        <w:t xml:space="preserve"> de Datos Personales del Estado de México; </w:t>
      </w:r>
    </w:p>
    <w:p w14:paraId="1CC3C880" w14:textId="77777777" w:rsidR="00E769E4" w:rsidRPr="007B4961" w:rsidRDefault="00E769E4" w:rsidP="007B4961">
      <w:pPr>
        <w:spacing w:line="276" w:lineRule="auto"/>
        <w:ind w:left="851" w:right="899"/>
        <w:rPr>
          <w:rFonts w:cs="Arial"/>
          <w:i/>
        </w:rPr>
      </w:pPr>
      <w:r w:rsidRPr="007B4961">
        <w:rPr>
          <w:rFonts w:cs="Arial"/>
          <w:b/>
          <w:i/>
        </w:rPr>
        <w:t>XX.</w:t>
      </w:r>
      <w:r w:rsidRPr="007B4961">
        <w:rPr>
          <w:rFonts w:cs="Arial"/>
          <w:i/>
        </w:rPr>
        <w:t xml:space="preserve"> </w:t>
      </w:r>
      <w:r w:rsidRPr="007B4961">
        <w:rPr>
          <w:rFonts w:cs="Arial"/>
          <w:b/>
          <w:i/>
        </w:rPr>
        <w:t>Información clasificada:</w:t>
      </w:r>
      <w:r w:rsidRPr="007B4961">
        <w:rPr>
          <w:rFonts w:cs="Arial"/>
          <w:i/>
        </w:rPr>
        <w:t xml:space="preserve"> Aquella considerada por la presente Ley como reservada o confidencial; </w:t>
      </w:r>
    </w:p>
    <w:p w14:paraId="1DEFA15B" w14:textId="77777777" w:rsidR="00E769E4" w:rsidRPr="007B4961" w:rsidRDefault="00E769E4" w:rsidP="007B4961">
      <w:pPr>
        <w:spacing w:line="276" w:lineRule="auto"/>
        <w:ind w:left="851" w:right="899"/>
        <w:rPr>
          <w:rFonts w:cs="Arial"/>
          <w:i/>
        </w:rPr>
      </w:pPr>
      <w:r w:rsidRPr="007B4961">
        <w:rPr>
          <w:rFonts w:cs="Arial"/>
          <w:b/>
          <w:i/>
        </w:rPr>
        <w:t>XXI.</w:t>
      </w:r>
      <w:r w:rsidRPr="007B4961">
        <w:rPr>
          <w:rFonts w:cs="Arial"/>
          <w:i/>
        </w:rPr>
        <w:t xml:space="preserve"> </w:t>
      </w:r>
      <w:r w:rsidRPr="007B4961">
        <w:rPr>
          <w:rFonts w:cs="Arial"/>
          <w:b/>
          <w:i/>
        </w:rPr>
        <w:t>Información confidencial</w:t>
      </w:r>
      <w:r w:rsidRPr="007B4961">
        <w:rPr>
          <w:rFonts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D0DE525" w14:textId="77777777" w:rsidR="00E769E4" w:rsidRPr="007B4961" w:rsidRDefault="00E769E4" w:rsidP="007B4961">
      <w:pPr>
        <w:spacing w:line="276" w:lineRule="auto"/>
        <w:ind w:left="851" w:right="899"/>
        <w:rPr>
          <w:rFonts w:cs="Arial"/>
          <w:i/>
        </w:rPr>
      </w:pPr>
      <w:r w:rsidRPr="007B4961">
        <w:rPr>
          <w:rFonts w:cs="Arial"/>
          <w:b/>
          <w:i/>
        </w:rPr>
        <w:t>XLV. Versión pública:</w:t>
      </w:r>
      <w:r w:rsidRPr="007B4961">
        <w:rPr>
          <w:rFonts w:cs="Arial"/>
          <w:i/>
        </w:rPr>
        <w:t xml:space="preserve"> Documento en el que se elimine, suprime o borra la información clasificada como reservada o confidencial para permitir su acceso. </w:t>
      </w:r>
    </w:p>
    <w:p w14:paraId="691C820C" w14:textId="77777777" w:rsidR="00E769E4" w:rsidRPr="007B4961" w:rsidRDefault="00E769E4" w:rsidP="007B4961">
      <w:pPr>
        <w:spacing w:line="276" w:lineRule="auto"/>
        <w:ind w:left="851" w:right="899"/>
        <w:rPr>
          <w:rFonts w:cs="Arial"/>
          <w:i/>
        </w:rPr>
      </w:pPr>
    </w:p>
    <w:p w14:paraId="05B5FCC0" w14:textId="77777777" w:rsidR="00E769E4" w:rsidRPr="007B4961" w:rsidRDefault="00E769E4" w:rsidP="007B4961">
      <w:pPr>
        <w:spacing w:line="276" w:lineRule="auto"/>
        <w:ind w:left="851" w:right="899"/>
        <w:rPr>
          <w:rFonts w:cs="Arial"/>
          <w:i/>
        </w:rPr>
      </w:pPr>
      <w:r w:rsidRPr="007B4961">
        <w:rPr>
          <w:rFonts w:cs="Arial"/>
          <w:b/>
          <w:i/>
        </w:rPr>
        <w:t>Artículo 51.</w:t>
      </w:r>
      <w:r w:rsidRPr="007B4961">
        <w:rPr>
          <w:rFonts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B4961">
        <w:rPr>
          <w:rFonts w:cs="Arial"/>
          <w:b/>
          <w:i/>
        </w:rPr>
        <w:t xml:space="preserve">y tendrá la responsabilidad de verificar en cada caso que la misma no sea confidencial o reservada. </w:t>
      </w:r>
      <w:r w:rsidRPr="007B4961">
        <w:rPr>
          <w:rFonts w:cs="Arial"/>
          <w:i/>
        </w:rPr>
        <w:t xml:space="preserve">Dicha Unidad contará con las facultades internas necesarias para gestionar la atención a las solicitudes de información en los términos de la Ley General y la presente Ley. </w:t>
      </w:r>
    </w:p>
    <w:p w14:paraId="31AE04ED" w14:textId="77777777" w:rsidR="00E769E4" w:rsidRPr="007B4961" w:rsidRDefault="00E769E4" w:rsidP="007B4961">
      <w:pPr>
        <w:spacing w:line="276" w:lineRule="auto"/>
        <w:ind w:left="851" w:right="899"/>
        <w:rPr>
          <w:rFonts w:cs="Arial"/>
          <w:i/>
        </w:rPr>
      </w:pPr>
    </w:p>
    <w:p w14:paraId="7BFFD442" w14:textId="77777777" w:rsidR="00E769E4" w:rsidRPr="007B4961" w:rsidRDefault="00E769E4" w:rsidP="007B4961">
      <w:pPr>
        <w:spacing w:line="276" w:lineRule="auto"/>
        <w:ind w:left="851" w:right="899"/>
        <w:rPr>
          <w:rFonts w:cs="Arial"/>
          <w:i/>
        </w:rPr>
      </w:pPr>
      <w:r w:rsidRPr="007B4961">
        <w:rPr>
          <w:rFonts w:cs="Arial"/>
          <w:b/>
          <w:i/>
        </w:rPr>
        <w:t>Artículo 52.</w:t>
      </w:r>
      <w:r w:rsidRPr="007B4961">
        <w:rPr>
          <w:rFonts w:cs="Arial"/>
          <w:i/>
        </w:rPr>
        <w:t xml:space="preserve"> Las solicitudes de acceso a la información y las respuestas que se les dé, incluyendo, en su caso, </w:t>
      </w:r>
      <w:r w:rsidRPr="007B4961">
        <w:rPr>
          <w:rFonts w:cs="Arial"/>
          <w:i/>
          <w:u w:val="single"/>
        </w:rPr>
        <w:t>la información entregada, así como las resoluciones a los recursos que en su caso se promuevan serán públicas, y de ser el caso que contenga datos personales que deban ser protegidos se podrá dar su acceso en su versión pública</w:t>
      </w:r>
      <w:r w:rsidRPr="007B4961">
        <w:rPr>
          <w:rFonts w:cs="Arial"/>
          <w:i/>
        </w:rPr>
        <w:t>, siempre y cuando la resolución de referencia se someta a un proceso de disociación, es decir, no haga identificable al titular de tales datos personales.</w:t>
      </w:r>
      <w:r w:rsidRPr="007B4961">
        <w:rPr>
          <w:rFonts w:cs="Arial"/>
          <w:bCs/>
          <w:i/>
          <w:noProof/>
        </w:rPr>
        <w:t>”</w:t>
      </w:r>
    </w:p>
    <w:p w14:paraId="207ED1DA" w14:textId="77777777" w:rsidR="00E769E4" w:rsidRPr="007B4961" w:rsidRDefault="00E769E4" w:rsidP="007B4961">
      <w:pPr>
        <w:ind w:right="899" w:firstLine="708"/>
        <w:rPr>
          <w:rFonts w:cs="Arial"/>
        </w:rPr>
      </w:pPr>
    </w:p>
    <w:p w14:paraId="3C4564FF" w14:textId="77777777" w:rsidR="00E769E4" w:rsidRPr="007B4961" w:rsidRDefault="00E769E4" w:rsidP="007B4961">
      <w:pPr>
        <w:rPr>
          <w:rFonts w:cs="Arial"/>
        </w:rPr>
      </w:pPr>
      <w:r w:rsidRPr="007B4961">
        <w:rPr>
          <w:rFonts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7B4961">
        <w:rPr>
          <w:rFonts w:cs="Arial"/>
        </w:rPr>
        <w:lastRenderedPageBreak/>
        <w:t xml:space="preserve">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D406B72" w14:textId="77777777" w:rsidR="00E769E4" w:rsidRPr="007B4961" w:rsidRDefault="00E769E4" w:rsidP="007B4961">
      <w:pPr>
        <w:rPr>
          <w:rFonts w:cs="Arial"/>
        </w:rPr>
      </w:pPr>
    </w:p>
    <w:p w14:paraId="3B66C1F7" w14:textId="77777777" w:rsidR="00E769E4" w:rsidRPr="007B4961" w:rsidRDefault="00E769E4" w:rsidP="007B4961">
      <w:pPr>
        <w:spacing w:line="276" w:lineRule="auto"/>
        <w:ind w:left="851" w:right="902"/>
        <w:rPr>
          <w:rFonts w:eastAsia="Arial Unicode MS" w:cs="Arial"/>
          <w:i/>
        </w:rPr>
      </w:pPr>
      <w:r w:rsidRPr="007B4961">
        <w:rPr>
          <w:rFonts w:eastAsia="Arial Unicode MS" w:cs="Arial"/>
          <w:b/>
          <w:i/>
        </w:rPr>
        <w:t>“Artículo 22.</w:t>
      </w:r>
      <w:r w:rsidRPr="007B4961">
        <w:rPr>
          <w:rFonts w:eastAsia="Arial Unicode MS"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702BFA7E" w14:textId="77777777" w:rsidR="00E769E4" w:rsidRPr="007B4961" w:rsidRDefault="00E769E4" w:rsidP="007B4961">
      <w:pPr>
        <w:ind w:left="851" w:right="902"/>
        <w:rPr>
          <w:rFonts w:eastAsia="Arial Unicode MS" w:cs="Arial"/>
          <w:i/>
        </w:rPr>
      </w:pPr>
    </w:p>
    <w:p w14:paraId="6235A4D7" w14:textId="77777777" w:rsidR="00E769E4" w:rsidRPr="007B4961" w:rsidRDefault="00E769E4" w:rsidP="007B4961">
      <w:pPr>
        <w:spacing w:line="276" w:lineRule="auto"/>
        <w:ind w:left="851" w:right="902"/>
        <w:rPr>
          <w:rFonts w:eastAsia="Arial Unicode MS" w:cs="Arial"/>
          <w:i/>
        </w:rPr>
      </w:pPr>
      <w:r w:rsidRPr="007B4961">
        <w:rPr>
          <w:rFonts w:eastAsia="Arial Unicode MS" w:cs="Arial"/>
          <w:b/>
          <w:i/>
        </w:rPr>
        <w:t>Artículo 38.</w:t>
      </w:r>
      <w:r w:rsidRPr="007B4961">
        <w:rPr>
          <w:rFonts w:eastAsia="Arial Unicode MS"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B4961">
        <w:rPr>
          <w:rFonts w:eastAsia="Arial Unicode MS" w:cs="Arial"/>
          <w:b/>
          <w:i/>
        </w:rPr>
        <w:t>”</w:t>
      </w:r>
      <w:r w:rsidRPr="007B4961">
        <w:rPr>
          <w:rFonts w:eastAsia="Arial Unicode MS" w:cs="Arial"/>
          <w:i/>
        </w:rPr>
        <w:t xml:space="preserve"> </w:t>
      </w:r>
    </w:p>
    <w:p w14:paraId="3F01A9B1" w14:textId="77777777" w:rsidR="00E769E4" w:rsidRPr="007B4961" w:rsidRDefault="00E769E4" w:rsidP="007B4961">
      <w:pPr>
        <w:ind w:left="851" w:right="850"/>
        <w:rPr>
          <w:rFonts w:eastAsia="Arial Unicode MS" w:cs="Arial"/>
          <w:i/>
        </w:rPr>
      </w:pPr>
    </w:p>
    <w:p w14:paraId="3DD7C01F" w14:textId="77777777" w:rsidR="00E769E4" w:rsidRPr="007B4961" w:rsidRDefault="00E769E4" w:rsidP="007B4961">
      <w:pPr>
        <w:rPr>
          <w:rFonts w:cs="Arial"/>
        </w:rPr>
      </w:pPr>
      <w:r w:rsidRPr="007B4961">
        <w:rPr>
          <w:rFonts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8F2306B" w14:textId="77777777" w:rsidR="00E769E4" w:rsidRPr="007B4961" w:rsidRDefault="00E769E4" w:rsidP="007B4961">
      <w:pPr>
        <w:rPr>
          <w:rFonts w:cs="Arial"/>
        </w:rPr>
      </w:pPr>
    </w:p>
    <w:p w14:paraId="1E383378" w14:textId="77777777" w:rsidR="00E769E4" w:rsidRPr="007B4961" w:rsidRDefault="00E769E4" w:rsidP="007B4961">
      <w:pPr>
        <w:rPr>
          <w:rFonts w:cs="Arial"/>
        </w:rPr>
      </w:pPr>
      <w:r w:rsidRPr="007B4961">
        <w:rPr>
          <w:rFonts w:cs="Arial"/>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7B4961">
        <w:rPr>
          <w:rFonts w:cs="Arial"/>
        </w:rPr>
        <w:lastRenderedPageBreak/>
        <w:t>información confidencial</w:t>
      </w:r>
      <w:r w:rsidRPr="007B4961">
        <w:rPr>
          <w:rFonts w:eastAsia="Arial Unicode MS" w:cs="Arial"/>
        </w:rPr>
        <w:t xml:space="preserve"> que debe ser protegida por </w:t>
      </w:r>
      <w:r w:rsidRPr="007B4961">
        <w:rPr>
          <w:rFonts w:eastAsia="Arial Unicode MS" w:cs="Arial"/>
          <w:b/>
        </w:rPr>
        <w:t>EL SUJETO OBLIGADO,</w:t>
      </w:r>
      <w:r w:rsidRPr="007B4961">
        <w:rPr>
          <w:rFonts w:eastAsia="Arial Unicode MS" w:cs="Arial"/>
        </w:rPr>
        <w:t xml:space="preserve"> por lo </w:t>
      </w:r>
      <w:r w:rsidRPr="007B4961">
        <w:rPr>
          <w:rFonts w:cs="Arial"/>
        </w:rPr>
        <w:t>que, todo dato personal susceptible de clasificación debe ser protegido.</w:t>
      </w:r>
    </w:p>
    <w:p w14:paraId="6D1B37B7" w14:textId="77777777" w:rsidR="00E769E4" w:rsidRPr="007B4961" w:rsidRDefault="00E769E4" w:rsidP="007B4961">
      <w:pPr>
        <w:rPr>
          <w:rFonts w:cs="Arial"/>
        </w:rPr>
      </w:pPr>
    </w:p>
    <w:p w14:paraId="48355F5E" w14:textId="77777777" w:rsidR="00E769E4" w:rsidRPr="007B4961" w:rsidRDefault="00E769E4" w:rsidP="007B4961">
      <w:pPr>
        <w:rPr>
          <w:rFonts w:cs="Arial"/>
        </w:rPr>
      </w:pPr>
      <w:r w:rsidRPr="007B4961">
        <w:rPr>
          <w:rFonts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298649A" w14:textId="77777777" w:rsidR="00E769E4" w:rsidRPr="007B4961" w:rsidRDefault="00E769E4" w:rsidP="007B4961">
      <w:pPr>
        <w:rPr>
          <w:rFonts w:cs="Arial"/>
        </w:rPr>
      </w:pPr>
    </w:p>
    <w:p w14:paraId="6B583E69" w14:textId="77777777" w:rsidR="00E769E4" w:rsidRPr="007B4961" w:rsidRDefault="00E769E4" w:rsidP="007B4961">
      <w:pPr>
        <w:rPr>
          <w:rFonts w:cs="Arial"/>
        </w:rPr>
      </w:pPr>
      <w:r w:rsidRPr="007B4961">
        <w:rPr>
          <w:rFonts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35F3383" w14:textId="77777777" w:rsidR="00E769E4" w:rsidRPr="007B4961" w:rsidRDefault="00E769E4" w:rsidP="007B4961">
      <w:pPr>
        <w:rPr>
          <w:rFonts w:cs="Arial"/>
        </w:rPr>
      </w:pPr>
    </w:p>
    <w:p w14:paraId="6647FBAF" w14:textId="77777777" w:rsidR="00E769E4" w:rsidRPr="007B4961" w:rsidRDefault="00E769E4" w:rsidP="007B4961">
      <w:pPr>
        <w:tabs>
          <w:tab w:val="left" w:pos="8222"/>
        </w:tabs>
        <w:spacing w:line="276" w:lineRule="auto"/>
        <w:ind w:left="851" w:right="899"/>
        <w:jc w:val="center"/>
        <w:rPr>
          <w:rFonts w:cs="Arial"/>
          <w:b/>
          <w:i/>
        </w:rPr>
      </w:pPr>
      <w:r w:rsidRPr="007B4961">
        <w:rPr>
          <w:rFonts w:cs="Arial"/>
          <w:b/>
          <w:i/>
          <w:lang w:val="es-ES_tradnl"/>
        </w:rPr>
        <w:t>Ley de Transparencia y Acceso a la Información Pública del Estado de México y Municipios</w:t>
      </w:r>
    </w:p>
    <w:p w14:paraId="728F5345" w14:textId="77777777" w:rsidR="00E769E4" w:rsidRPr="007B4961" w:rsidRDefault="00E769E4" w:rsidP="007B4961">
      <w:pPr>
        <w:spacing w:line="276" w:lineRule="auto"/>
        <w:rPr>
          <w:rFonts w:cs="Arial"/>
        </w:rPr>
      </w:pPr>
    </w:p>
    <w:p w14:paraId="7F7A7114" w14:textId="77777777" w:rsidR="00E769E4" w:rsidRPr="007B4961" w:rsidRDefault="00E769E4" w:rsidP="007B4961">
      <w:pPr>
        <w:spacing w:line="276" w:lineRule="auto"/>
        <w:ind w:left="851" w:right="902"/>
        <w:rPr>
          <w:rFonts w:cs="Arial"/>
          <w:i/>
        </w:rPr>
      </w:pPr>
      <w:r w:rsidRPr="007B4961">
        <w:rPr>
          <w:rFonts w:cs="Arial"/>
          <w:b/>
          <w:i/>
        </w:rPr>
        <w:t xml:space="preserve">“Artículo 49. </w:t>
      </w:r>
      <w:r w:rsidRPr="007B4961">
        <w:rPr>
          <w:rFonts w:cs="Arial"/>
          <w:i/>
        </w:rPr>
        <w:t>Los Comités de Transparencia tendrán las siguientes atribuciones:</w:t>
      </w:r>
    </w:p>
    <w:p w14:paraId="17510594" w14:textId="77777777" w:rsidR="00E769E4" w:rsidRPr="007B4961" w:rsidRDefault="00E769E4" w:rsidP="007B4961">
      <w:pPr>
        <w:spacing w:line="276" w:lineRule="auto"/>
        <w:ind w:left="851" w:right="902"/>
        <w:rPr>
          <w:rFonts w:cs="Arial"/>
          <w:i/>
        </w:rPr>
      </w:pPr>
      <w:r w:rsidRPr="007B4961">
        <w:rPr>
          <w:rFonts w:cs="Arial"/>
          <w:b/>
          <w:i/>
        </w:rPr>
        <w:t>VIII.</w:t>
      </w:r>
      <w:r w:rsidRPr="007B4961">
        <w:rPr>
          <w:rFonts w:cs="Arial"/>
          <w:i/>
        </w:rPr>
        <w:t xml:space="preserve"> Aprobar, modificar o revocar la clasificación de la información;</w:t>
      </w:r>
    </w:p>
    <w:p w14:paraId="1A4FB53E" w14:textId="77777777" w:rsidR="00E769E4" w:rsidRPr="007B4961" w:rsidRDefault="00E769E4" w:rsidP="007B4961">
      <w:pPr>
        <w:spacing w:line="276" w:lineRule="auto"/>
        <w:ind w:left="851" w:right="902"/>
        <w:rPr>
          <w:rFonts w:cs="Arial"/>
          <w:i/>
        </w:rPr>
      </w:pPr>
      <w:r w:rsidRPr="007B4961">
        <w:rPr>
          <w:rFonts w:cs="Arial"/>
          <w:b/>
          <w:i/>
        </w:rPr>
        <w:t>Artículo 132.</w:t>
      </w:r>
      <w:r w:rsidRPr="007B4961">
        <w:rPr>
          <w:rFonts w:cs="Arial"/>
          <w:i/>
        </w:rPr>
        <w:t xml:space="preserve"> La clasificación de la información se llevará a cabo en el momento en que:</w:t>
      </w:r>
    </w:p>
    <w:p w14:paraId="7EE8C105" w14:textId="77777777" w:rsidR="00E769E4" w:rsidRPr="007B4961" w:rsidRDefault="00E769E4" w:rsidP="007B4961">
      <w:pPr>
        <w:spacing w:line="276" w:lineRule="auto"/>
        <w:ind w:left="851" w:right="902"/>
        <w:rPr>
          <w:rFonts w:cs="Arial"/>
          <w:i/>
        </w:rPr>
      </w:pPr>
      <w:r w:rsidRPr="007B4961">
        <w:rPr>
          <w:rFonts w:cs="Arial"/>
          <w:b/>
          <w:i/>
        </w:rPr>
        <w:t>I.</w:t>
      </w:r>
      <w:r w:rsidRPr="007B4961">
        <w:rPr>
          <w:rFonts w:cs="Arial"/>
          <w:i/>
        </w:rPr>
        <w:t xml:space="preserve"> Se reciba una solicitud de acceso a la información;</w:t>
      </w:r>
    </w:p>
    <w:p w14:paraId="4241D12E" w14:textId="77777777" w:rsidR="00E769E4" w:rsidRPr="007B4961" w:rsidRDefault="00E769E4" w:rsidP="007B4961">
      <w:pPr>
        <w:spacing w:line="276" w:lineRule="auto"/>
        <w:ind w:left="851" w:right="902"/>
        <w:rPr>
          <w:rFonts w:cs="Arial"/>
          <w:i/>
        </w:rPr>
      </w:pPr>
      <w:r w:rsidRPr="007B4961">
        <w:rPr>
          <w:rFonts w:cs="Arial"/>
          <w:b/>
          <w:i/>
        </w:rPr>
        <w:t>II.</w:t>
      </w:r>
      <w:r w:rsidRPr="007B4961">
        <w:rPr>
          <w:rFonts w:cs="Arial"/>
          <w:i/>
        </w:rPr>
        <w:t xml:space="preserve"> Se determine mediante resolución de autoridad competente; o</w:t>
      </w:r>
    </w:p>
    <w:p w14:paraId="7202AEFE" w14:textId="77777777" w:rsidR="00E769E4" w:rsidRPr="007B4961" w:rsidRDefault="00E769E4" w:rsidP="007B4961">
      <w:pPr>
        <w:spacing w:line="276" w:lineRule="auto"/>
        <w:ind w:left="851" w:right="902"/>
        <w:rPr>
          <w:rFonts w:cs="Arial"/>
          <w:b/>
          <w:i/>
        </w:rPr>
      </w:pPr>
      <w:r w:rsidRPr="007B4961">
        <w:rPr>
          <w:rFonts w:cs="Arial"/>
          <w:i/>
        </w:rPr>
        <w:lastRenderedPageBreak/>
        <w:t>III. Se generen versiones públicas para dar cumplimiento a las obligaciones de transparencia previstas en esta Ley.</w:t>
      </w:r>
      <w:r w:rsidRPr="007B4961">
        <w:rPr>
          <w:rFonts w:cs="Arial"/>
          <w:b/>
          <w:i/>
        </w:rPr>
        <w:t>”</w:t>
      </w:r>
    </w:p>
    <w:p w14:paraId="6C004BF1" w14:textId="77777777" w:rsidR="00E769E4" w:rsidRPr="007B4961" w:rsidRDefault="00E769E4" w:rsidP="007B4961">
      <w:pPr>
        <w:spacing w:line="276" w:lineRule="auto"/>
        <w:ind w:left="851" w:right="902"/>
        <w:rPr>
          <w:rFonts w:cs="Arial"/>
          <w:i/>
        </w:rPr>
      </w:pPr>
      <w:r w:rsidRPr="007B4961">
        <w:rPr>
          <w:rFonts w:cs="Arial"/>
          <w:b/>
          <w:i/>
        </w:rPr>
        <w:t>“Segundo.-</w:t>
      </w:r>
      <w:r w:rsidRPr="007B4961">
        <w:rPr>
          <w:rFonts w:cs="Arial"/>
          <w:i/>
        </w:rPr>
        <w:t xml:space="preserve"> Para efectos de los presentes Lineamientos Generales, se entenderá por:</w:t>
      </w:r>
    </w:p>
    <w:p w14:paraId="626E5E8D" w14:textId="77777777" w:rsidR="00E769E4" w:rsidRPr="007B4961" w:rsidRDefault="00E769E4" w:rsidP="007B4961">
      <w:pPr>
        <w:spacing w:line="276" w:lineRule="auto"/>
        <w:ind w:left="851" w:right="902"/>
        <w:rPr>
          <w:rFonts w:cs="Arial"/>
          <w:i/>
        </w:rPr>
      </w:pPr>
      <w:r w:rsidRPr="007B4961">
        <w:rPr>
          <w:rFonts w:cs="Arial"/>
          <w:b/>
          <w:i/>
        </w:rPr>
        <w:t>XVIII.</w:t>
      </w:r>
      <w:r w:rsidRPr="007B4961">
        <w:rPr>
          <w:rFonts w:cs="Arial"/>
          <w:i/>
        </w:rPr>
        <w:t xml:space="preserve">  </w:t>
      </w:r>
      <w:r w:rsidRPr="007B4961">
        <w:rPr>
          <w:rFonts w:cs="Arial"/>
          <w:b/>
          <w:i/>
        </w:rPr>
        <w:t>Versión pública:</w:t>
      </w:r>
      <w:r w:rsidRPr="007B4961">
        <w:rPr>
          <w:rFonts w:cs="Arial"/>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F2E26C2" w14:textId="77777777" w:rsidR="00E769E4" w:rsidRPr="007B4961" w:rsidRDefault="00E769E4" w:rsidP="007B4961">
      <w:pPr>
        <w:spacing w:line="276" w:lineRule="auto"/>
        <w:ind w:left="851" w:right="902"/>
        <w:rPr>
          <w:rFonts w:cs="Arial"/>
          <w:i/>
        </w:rPr>
      </w:pPr>
    </w:p>
    <w:p w14:paraId="6891AAA7" w14:textId="77777777" w:rsidR="00E769E4" w:rsidRPr="007B4961" w:rsidRDefault="00E769E4" w:rsidP="007B4961">
      <w:pPr>
        <w:tabs>
          <w:tab w:val="left" w:pos="8222"/>
        </w:tabs>
        <w:spacing w:line="276" w:lineRule="auto"/>
        <w:ind w:left="851" w:right="899"/>
        <w:jc w:val="center"/>
        <w:rPr>
          <w:rFonts w:cs="Arial"/>
          <w:b/>
          <w:i/>
          <w:lang w:val="es-ES_tradnl" w:eastAsia="es-MX"/>
        </w:rPr>
      </w:pPr>
      <w:r w:rsidRPr="007B4961">
        <w:rPr>
          <w:rFonts w:cs="Arial"/>
          <w:b/>
          <w:i/>
          <w:lang w:val="es-ES_tradnl" w:eastAsia="es-MX"/>
        </w:rPr>
        <w:t xml:space="preserve">Lineamientos Generales en materia de Clasificación y Desclasificación de la </w:t>
      </w:r>
      <w:r w:rsidRPr="007B4961">
        <w:rPr>
          <w:rFonts w:cs="Arial"/>
          <w:b/>
          <w:i/>
          <w:lang w:val="es-ES_tradnl"/>
        </w:rPr>
        <w:t>Información</w:t>
      </w:r>
    </w:p>
    <w:p w14:paraId="374CC221" w14:textId="77777777" w:rsidR="00E769E4" w:rsidRPr="007B4961" w:rsidRDefault="00E769E4" w:rsidP="007B4961">
      <w:pPr>
        <w:spacing w:line="276" w:lineRule="auto"/>
        <w:ind w:left="851" w:right="902"/>
        <w:rPr>
          <w:rFonts w:cs="Arial"/>
          <w:i/>
        </w:rPr>
      </w:pPr>
    </w:p>
    <w:p w14:paraId="16C03053" w14:textId="77777777" w:rsidR="00E769E4" w:rsidRPr="007B4961" w:rsidRDefault="00E769E4" w:rsidP="007B4961">
      <w:pPr>
        <w:spacing w:line="276" w:lineRule="auto"/>
        <w:ind w:left="851" w:right="902"/>
        <w:rPr>
          <w:rFonts w:cs="Arial"/>
          <w:i/>
        </w:rPr>
      </w:pPr>
      <w:r w:rsidRPr="007B4961">
        <w:rPr>
          <w:rFonts w:cs="Arial"/>
          <w:b/>
          <w:i/>
        </w:rPr>
        <w:t>Cuarto.</w:t>
      </w:r>
      <w:r w:rsidRPr="007B4961">
        <w:rPr>
          <w:rFonts w:cs="Arial"/>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60AACCD" w14:textId="77777777" w:rsidR="00E769E4" w:rsidRPr="007B4961" w:rsidRDefault="00E769E4" w:rsidP="007B4961">
      <w:pPr>
        <w:spacing w:line="276" w:lineRule="auto"/>
        <w:ind w:left="851" w:right="902"/>
        <w:rPr>
          <w:rFonts w:cs="Arial"/>
          <w:i/>
        </w:rPr>
      </w:pPr>
      <w:r w:rsidRPr="007B4961">
        <w:rPr>
          <w:rFonts w:cs="Arial"/>
          <w:i/>
        </w:rPr>
        <w:t>Los sujetos obligados deberán aplicar, de manera estricta, las excepciones al derecho de acceso a la información y sólo podrán invocarlas cuando acrediten su procedencia.</w:t>
      </w:r>
    </w:p>
    <w:p w14:paraId="42942DB5" w14:textId="77777777" w:rsidR="00E769E4" w:rsidRPr="007B4961" w:rsidRDefault="00E769E4" w:rsidP="007B4961">
      <w:pPr>
        <w:spacing w:line="276" w:lineRule="auto"/>
        <w:ind w:left="851" w:right="902"/>
        <w:rPr>
          <w:rFonts w:cs="Arial"/>
          <w:i/>
        </w:rPr>
      </w:pPr>
      <w:r w:rsidRPr="007B4961">
        <w:rPr>
          <w:rFonts w:cs="Arial"/>
          <w:b/>
          <w:i/>
        </w:rPr>
        <w:t>Quinto.</w:t>
      </w:r>
      <w:r w:rsidRPr="007B4961">
        <w:rPr>
          <w:rFonts w:cs="Arial"/>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9AA4E8C" w14:textId="77777777" w:rsidR="00E769E4" w:rsidRPr="007B4961" w:rsidRDefault="00E769E4" w:rsidP="007B4961">
      <w:pPr>
        <w:spacing w:line="276" w:lineRule="auto"/>
        <w:ind w:left="851" w:right="902"/>
        <w:rPr>
          <w:rFonts w:cs="Arial"/>
          <w:i/>
        </w:rPr>
      </w:pPr>
      <w:r w:rsidRPr="007B4961">
        <w:rPr>
          <w:rFonts w:cs="Arial"/>
          <w:b/>
          <w:i/>
        </w:rPr>
        <w:t>Sexto.</w:t>
      </w:r>
      <w:r w:rsidRPr="007B4961">
        <w:rPr>
          <w:rFonts w:cs="Arial"/>
          <w:i/>
        </w:rPr>
        <w:t xml:space="preserve"> Se deroga.</w:t>
      </w:r>
    </w:p>
    <w:p w14:paraId="259429E0" w14:textId="77777777" w:rsidR="00E769E4" w:rsidRPr="007B4961" w:rsidRDefault="00E769E4" w:rsidP="007B4961">
      <w:pPr>
        <w:spacing w:line="276" w:lineRule="auto"/>
        <w:ind w:left="851" w:right="902"/>
        <w:rPr>
          <w:rFonts w:cs="Arial"/>
          <w:i/>
        </w:rPr>
      </w:pPr>
      <w:r w:rsidRPr="007B4961">
        <w:rPr>
          <w:rFonts w:cs="Arial"/>
          <w:b/>
          <w:i/>
        </w:rPr>
        <w:t>Séptimo.</w:t>
      </w:r>
      <w:r w:rsidRPr="007B4961">
        <w:rPr>
          <w:rFonts w:cs="Arial"/>
          <w:i/>
        </w:rPr>
        <w:t xml:space="preserve"> La clasificación de la información se llevará a cabo en el momento en que:</w:t>
      </w:r>
    </w:p>
    <w:p w14:paraId="4017481F" w14:textId="77777777" w:rsidR="00E769E4" w:rsidRPr="007B4961" w:rsidRDefault="00E769E4" w:rsidP="007B4961">
      <w:pPr>
        <w:spacing w:line="276" w:lineRule="auto"/>
        <w:ind w:left="851" w:right="902"/>
        <w:rPr>
          <w:rFonts w:cs="Arial"/>
          <w:i/>
        </w:rPr>
      </w:pPr>
      <w:r w:rsidRPr="007B4961">
        <w:rPr>
          <w:rFonts w:cs="Arial"/>
          <w:b/>
          <w:i/>
        </w:rPr>
        <w:t>I.</w:t>
      </w:r>
      <w:r w:rsidRPr="007B4961">
        <w:rPr>
          <w:rFonts w:cs="Arial"/>
          <w:i/>
        </w:rPr>
        <w:t xml:space="preserve">        Se reciba una solicitud de acceso a la información;</w:t>
      </w:r>
    </w:p>
    <w:p w14:paraId="5836AD9E" w14:textId="77777777" w:rsidR="00E769E4" w:rsidRPr="007B4961" w:rsidRDefault="00E769E4" w:rsidP="007B4961">
      <w:pPr>
        <w:spacing w:line="276" w:lineRule="auto"/>
        <w:ind w:left="851" w:right="902"/>
        <w:rPr>
          <w:rFonts w:cs="Arial"/>
          <w:i/>
        </w:rPr>
      </w:pPr>
      <w:r w:rsidRPr="007B4961">
        <w:rPr>
          <w:rFonts w:cs="Arial"/>
          <w:b/>
          <w:i/>
        </w:rPr>
        <w:t>II.</w:t>
      </w:r>
      <w:r w:rsidRPr="007B4961">
        <w:rPr>
          <w:rFonts w:cs="Arial"/>
          <w:i/>
        </w:rPr>
        <w:t xml:space="preserve">       Se determine mediante resolución del Comité de Transparencia, el órgano garante competente, o en cumplimiento a una sentencia del Poder Judicial; o</w:t>
      </w:r>
    </w:p>
    <w:p w14:paraId="44AF76DE" w14:textId="77777777" w:rsidR="00E769E4" w:rsidRPr="007B4961" w:rsidRDefault="00E769E4" w:rsidP="007B4961">
      <w:pPr>
        <w:spacing w:line="276" w:lineRule="auto"/>
        <w:ind w:left="851" w:right="902"/>
        <w:rPr>
          <w:rFonts w:cs="Arial"/>
          <w:i/>
        </w:rPr>
      </w:pPr>
      <w:r w:rsidRPr="007B4961">
        <w:rPr>
          <w:rFonts w:cs="Arial"/>
          <w:b/>
          <w:i/>
        </w:rPr>
        <w:lastRenderedPageBreak/>
        <w:t>III.</w:t>
      </w:r>
      <w:r w:rsidRPr="007B4961">
        <w:rPr>
          <w:rFonts w:cs="Arial"/>
          <w:i/>
        </w:rPr>
        <w:t xml:space="preserve">      Se generen versiones públicas para dar cumplimiento a las obligaciones de transparencia previstas en la Ley General, la Ley Federal y las correspondientes de las entidades federativas.</w:t>
      </w:r>
    </w:p>
    <w:p w14:paraId="1A6FEEC7" w14:textId="77777777" w:rsidR="00E769E4" w:rsidRPr="007B4961" w:rsidRDefault="00E769E4" w:rsidP="007B4961">
      <w:pPr>
        <w:spacing w:line="276" w:lineRule="auto"/>
        <w:ind w:left="851" w:right="902"/>
        <w:rPr>
          <w:rFonts w:cs="Arial"/>
          <w:i/>
        </w:rPr>
      </w:pPr>
      <w:r w:rsidRPr="007B4961">
        <w:rPr>
          <w:rFonts w:cs="Arial"/>
          <w:i/>
        </w:rPr>
        <w:t xml:space="preserve">Los titulares de las áreas deberán revisar la información requerida al momento de la recepción de una solicitud de acceso, para verificar, conforme a su naturaleza, si encuadra en una causal de reserva o de confidencialidad. </w:t>
      </w:r>
    </w:p>
    <w:p w14:paraId="532810BF" w14:textId="77777777" w:rsidR="00E769E4" w:rsidRPr="007B4961" w:rsidRDefault="00E769E4" w:rsidP="007B4961">
      <w:pPr>
        <w:spacing w:line="276" w:lineRule="auto"/>
        <w:ind w:left="851" w:right="902"/>
        <w:rPr>
          <w:rFonts w:cs="Arial"/>
          <w:i/>
        </w:rPr>
      </w:pPr>
      <w:r w:rsidRPr="007B4961">
        <w:rPr>
          <w:rFonts w:cs="Arial"/>
          <w:b/>
          <w:i/>
        </w:rPr>
        <w:t>Octavo.</w:t>
      </w:r>
      <w:r w:rsidRPr="007B4961">
        <w:rPr>
          <w:rFonts w:cs="Arial"/>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3176207" w14:textId="77777777" w:rsidR="00E769E4" w:rsidRPr="007B4961" w:rsidRDefault="00E769E4" w:rsidP="007B4961">
      <w:pPr>
        <w:spacing w:line="276" w:lineRule="auto"/>
        <w:ind w:left="851" w:right="902"/>
        <w:rPr>
          <w:rFonts w:cs="Arial"/>
          <w:i/>
        </w:rPr>
      </w:pPr>
      <w:r w:rsidRPr="007B4961">
        <w:rPr>
          <w:rFonts w:cs="Arial"/>
          <w:i/>
        </w:rPr>
        <w:t>Para motivar la clasificación se deberán señalar las razones o circunstancias especiales que lo llevaron a concluir que el caso particular se ajusta al supuesto previsto por la norma legal invocada como fundamento.</w:t>
      </w:r>
    </w:p>
    <w:p w14:paraId="73187CEF" w14:textId="77777777" w:rsidR="00E769E4" w:rsidRPr="007B4961" w:rsidRDefault="00E769E4" w:rsidP="007B4961">
      <w:pPr>
        <w:spacing w:line="276" w:lineRule="auto"/>
        <w:ind w:left="851" w:right="902"/>
        <w:rPr>
          <w:rFonts w:cs="Arial"/>
          <w:i/>
        </w:rPr>
      </w:pPr>
      <w:r w:rsidRPr="007B4961">
        <w:rPr>
          <w:rFonts w:cs="Arial"/>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D7DC73A" w14:textId="77777777" w:rsidR="00E769E4" w:rsidRPr="007B4961" w:rsidRDefault="00E769E4" w:rsidP="007B4961">
      <w:pPr>
        <w:spacing w:line="276" w:lineRule="auto"/>
        <w:ind w:left="851" w:right="902"/>
        <w:rPr>
          <w:rFonts w:cs="Arial"/>
          <w:i/>
        </w:rPr>
      </w:pPr>
      <w:r w:rsidRPr="007B4961">
        <w:rPr>
          <w:rFonts w:cs="Arial"/>
          <w:b/>
          <w:i/>
        </w:rPr>
        <w:t>Noveno.</w:t>
      </w:r>
      <w:r w:rsidRPr="007B4961">
        <w:rPr>
          <w:rFonts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D50ACDA" w14:textId="77777777" w:rsidR="00E769E4" w:rsidRPr="007B4961" w:rsidRDefault="00E769E4" w:rsidP="007B4961">
      <w:pPr>
        <w:spacing w:line="276" w:lineRule="auto"/>
        <w:ind w:left="851" w:right="902"/>
        <w:rPr>
          <w:rFonts w:cs="Arial"/>
          <w:i/>
        </w:rPr>
      </w:pPr>
      <w:r w:rsidRPr="007B4961">
        <w:rPr>
          <w:rFonts w:cs="Arial"/>
          <w:b/>
          <w:i/>
        </w:rPr>
        <w:t>Décimo.</w:t>
      </w:r>
      <w:r w:rsidRPr="007B4961">
        <w:rPr>
          <w:rFonts w:cs="Arial"/>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B03E431" w14:textId="77777777" w:rsidR="00E769E4" w:rsidRPr="007B4961" w:rsidRDefault="00E769E4" w:rsidP="007B4961">
      <w:pPr>
        <w:spacing w:line="276" w:lineRule="auto"/>
        <w:ind w:left="851" w:right="902"/>
        <w:rPr>
          <w:rFonts w:cs="Arial"/>
          <w:i/>
        </w:rPr>
      </w:pPr>
      <w:r w:rsidRPr="007B4961">
        <w:rPr>
          <w:rFonts w:cs="Arial"/>
          <w:i/>
        </w:rPr>
        <w:t>En ausencia de los titulares de las áreas, la información será clasificada o desclasificada por la persona que lo supla, en términos de la normativa que rija la actuación del sujeto obligado.</w:t>
      </w:r>
    </w:p>
    <w:p w14:paraId="2F55D9BC" w14:textId="77777777" w:rsidR="00E769E4" w:rsidRPr="007B4961" w:rsidRDefault="00E769E4" w:rsidP="007B4961">
      <w:pPr>
        <w:spacing w:line="276" w:lineRule="auto"/>
        <w:ind w:left="851" w:right="899"/>
        <w:rPr>
          <w:rFonts w:cs="Arial"/>
          <w:b/>
          <w:i/>
        </w:rPr>
      </w:pPr>
      <w:r w:rsidRPr="007B4961">
        <w:rPr>
          <w:rFonts w:cs="Arial"/>
          <w:b/>
          <w:i/>
        </w:rPr>
        <w:lastRenderedPageBreak/>
        <w:t>Décimo primero.</w:t>
      </w:r>
      <w:r w:rsidRPr="007B4961">
        <w:rPr>
          <w:rFonts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B4961">
        <w:rPr>
          <w:rFonts w:cs="Arial"/>
          <w:b/>
          <w:i/>
        </w:rPr>
        <w:t>”</w:t>
      </w:r>
    </w:p>
    <w:p w14:paraId="0B8EC20A" w14:textId="77777777" w:rsidR="00E769E4" w:rsidRPr="007B4961" w:rsidRDefault="00E769E4" w:rsidP="007B4961">
      <w:pPr>
        <w:ind w:right="-93"/>
        <w:rPr>
          <w:rFonts w:cs="Arial"/>
          <w:lang w:eastAsia="es-MX"/>
        </w:rPr>
      </w:pPr>
    </w:p>
    <w:p w14:paraId="7EB6AAB5" w14:textId="77777777" w:rsidR="00E769E4" w:rsidRPr="007B4961" w:rsidRDefault="00E769E4" w:rsidP="007B4961">
      <w:pPr>
        <w:ind w:right="-93"/>
        <w:rPr>
          <w:rFonts w:cs="Arial"/>
          <w:bCs/>
          <w:lang w:eastAsia="es-MX"/>
        </w:rPr>
      </w:pPr>
      <w:r w:rsidRPr="007B4961">
        <w:rPr>
          <w:rFonts w:cs="Arial"/>
          <w:bCs/>
          <w:lang w:eastAsia="es-MX"/>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40BFE0FC" w14:textId="77777777" w:rsidR="00E769E4" w:rsidRPr="007B4961" w:rsidRDefault="00E769E4" w:rsidP="007B4961">
      <w:pPr>
        <w:ind w:right="-93"/>
        <w:rPr>
          <w:rFonts w:cs="Arial"/>
          <w:bCs/>
          <w:lang w:eastAsia="es-MX"/>
        </w:rPr>
      </w:pPr>
    </w:p>
    <w:p w14:paraId="1C26E782" w14:textId="77777777" w:rsidR="00E769E4" w:rsidRPr="007B4961" w:rsidRDefault="00E769E4" w:rsidP="007B4961">
      <w:pPr>
        <w:ind w:right="-93"/>
        <w:rPr>
          <w:rFonts w:cs="Arial"/>
          <w:lang w:eastAsia="es-MX"/>
        </w:rPr>
      </w:pPr>
      <w:r w:rsidRPr="007B4961">
        <w:rPr>
          <w:rFonts w:cs="Arial"/>
          <w:bCs/>
          <w:lang w:eastAsia="es-MX"/>
        </w:rPr>
        <w:t xml:space="preserve">No obstante, resulta necesario traer a colación por analogía, el Criterio 06/09, emitido por </w:t>
      </w:r>
      <w:r w:rsidRPr="007B4961">
        <w:rPr>
          <w:rFonts w:cs="Arial"/>
          <w:lang w:eastAsia="es-MX"/>
        </w:rPr>
        <w:t>el entonces Instituto Federal de Acceso a la Información y Protección de Datos ahora Instituto Nacional de Transparencia, Acceso a la Información y Protección de Datos Personales, que establece lo siguiente:</w:t>
      </w:r>
    </w:p>
    <w:p w14:paraId="1B8C3667" w14:textId="77777777" w:rsidR="00E769E4" w:rsidRPr="007B4961" w:rsidRDefault="00E769E4" w:rsidP="007B4961">
      <w:pPr>
        <w:ind w:right="-93"/>
        <w:rPr>
          <w:rFonts w:cs="Arial"/>
          <w:i/>
          <w:lang w:eastAsia="es-MX"/>
        </w:rPr>
      </w:pPr>
    </w:p>
    <w:p w14:paraId="6D0FCE87" w14:textId="77777777" w:rsidR="00E769E4" w:rsidRPr="007B4961" w:rsidRDefault="00E769E4" w:rsidP="007B4961">
      <w:pPr>
        <w:pStyle w:val="Puesto"/>
        <w:rPr>
          <w:lang w:eastAsia="es-MX"/>
        </w:rPr>
      </w:pPr>
      <w:r w:rsidRPr="007B4961">
        <w:rPr>
          <w:lang w:eastAsia="es-MX"/>
        </w:rPr>
        <w:t>“</w:t>
      </w:r>
      <w:r w:rsidRPr="007B4961">
        <w:rPr>
          <w:b/>
          <w:lang w:eastAsia="es-MX"/>
        </w:rPr>
        <w:t>Nombres de servidores públicos dedicados a actividades en materia de seguridad, por excepción pueden considerarse información reservada</w:t>
      </w:r>
      <w:r w:rsidRPr="007B4961">
        <w:rPr>
          <w:lang w:eastAsia="es-MX"/>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w:t>
      </w:r>
      <w:r w:rsidRPr="007B4961">
        <w:rPr>
          <w:lang w:eastAsia="es-MX"/>
        </w:rPr>
        <w:lastRenderedPageBreak/>
        <w:t>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12730B54" w14:textId="77777777" w:rsidR="00E769E4" w:rsidRPr="007B4961" w:rsidRDefault="00E769E4" w:rsidP="007B4961">
      <w:pPr>
        <w:ind w:right="-93"/>
        <w:rPr>
          <w:rFonts w:cs="Arial"/>
          <w:bCs/>
          <w:lang w:eastAsia="es-MX"/>
        </w:rPr>
      </w:pPr>
    </w:p>
    <w:p w14:paraId="628659C6" w14:textId="77777777" w:rsidR="00E769E4" w:rsidRPr="007B4961" w:rsidRDefault="00E769E4" w:rsidP="007B4961">
      <w:pPr>
        <w:ind w:right="-93"/>
        <w:rPr>
          <w:rFonts w:cs="Arial"/>
          <w:bCs/>
          <w:lang w:eastAsia="es-MX"/>
        </w:rPr>
      </w:pPr>
      <w:r w:rsidRPr="007B4961">
        <w:rPr>
          <w:rFonts w:cs="Arial"/>
          <w:bCs/>
          <w:lang w:eastAsia="es-MX"/>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572EECFA" w14:textId="77777777" w:rsidR="00E769E4" w:rsidRPr="007B4961" w:rsidRDefault="00E769E4" w:rsidP="007B4961">
      <w:pPr>
        <w:ind w:right="-93"/>
        <w:rPr>
          <w:rFonts w:cs="Arial"/>
          <w:bCs/>
          <w:lang w:eastAsia="es-MX"/>
        </w:rPr>
      </w:pPr>
    </w:p>
    <w:p w14:paraId="3E4609D0" w14:textId="77777777" w:rsidR="00E769E4" w:rsidRPr="007B4961" w:rsidRDefault="00E769E4" w:rsidP="007B4961">
      <w:pPr>
        <w:ind w:right="-93"/>
        <w:rPr>
          <w:rFonts w:cs="Arial"/>
          <w:bCs/>
          <w:lang w:eastAsia="es-MX"/>
        </w:rPr>
      </w:pPr>
      <w:r w:rsidRPr="007B4961">
        <w:rPr>
          <w:rFonts w:cs="Arial"/>
          <w:bCs/>
          <w:lang w:eastAsia="es-MX"/>
        </w:rPr>
        <w:t xml:space="preserve">En ese orden de ideas, si bien por regla general los nombres de los trabajadores gubernamentales son información pública de oficio, existe una excepción relativa a </w:t>
      </w:r>
      <w:r w:rsidRPr="007B4961">
        <w:rPr>
          <w:rFonts w:cs="Arial"/>
          <w:b/>
          <w:bCs/>
          <w:lang w:eastAsia="es-MX"/>
        </w:rPr>
        <w:t>aquellos que realicen actividades operativas en materia de seguridad,</w:t>
      </w:r>
      <w:r w:rsidRPr="007B4961">
        <w:rPr>
          <w:rFonts w:cs="Arial"/>
          <w:bCs/>
          <w:lang w:eastAsia="es-MX"/>
        </w:rPr>
        <w:t xml:space="preserve"> como es el caso de los elementos operativos y la policía municipal.</w:t>
      </w:r>
    </w:p>
    <w:p w14:paraId="1FF345FC" w14:textId="77777777" w:rsidR="00E769E4" w:rsidRPr="007B4961" w:rsidRDefault="00E769E4" w:rsidP="007B4961">
      <w:pPr>
        <w:ind w:right="-93"/>
        <w:rPr>
          <w:rFonts w:cs="Arial"/>
          <w:bCs/>
          <w:lang w:eastAsia="es-MX"/>
        </w:rPr>
      </w:pPr>
    </w:p>
    <w:p w14:paraId="52D08AB8" w14:textId="77777777" w:rsidR="00E769E4" w:rsidRPr="007B4961" w:rsidRDefault="00E769E4" w:rsidP="007B4961">
      <w:pPr>
        <w:ind w:right="-93"/>
        <w:rPr>
          <w:rFonts w:cs="Arial"/>
          <w:bCs/>
          <w:lang w:eastAsia="es-MX"/>
        </w:rPr>
      </w:pPr>
      <w:r w:rsidRPr="007B4961">
        <w:rPr>
          <w:rFonts w:cs="Arial"/>
          <w:bCs/>
          <w:lang w:eastAsia="es-MX"/>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25669B33" w14:textId="77777777" w:rsidR="00E769E4" w:rsidRPr="007B4961" w:rsidRDefault="00E769E4" w:rsidP="007B4961">
      <w:pPr>
        <w:ind w:right="-93"/>
        <w:rPr>
          <w:rFonts w:cs="Arial"/>
          <w:bCs/>
          <w:lang w:eastAsia="es-MX"/>
        </w:rPr>
      </w:pPr>
    </w:p>
    <w:p w14:paraId="6C5CABA5" w14:textId="77777777" w:rsidR="00E769E4" w:rsidRPr="007B4961" w:rsidRDefault="00E769E4" w:rsidP="007B4961">
      <w:pPr>
        <w:ind w:right="-93"/>
        <w:rPr>
          <w:rFonts w:cs="Arial"/>
          <w:bCs/>
          <w:lang w:eastAsia="es-MX"/>
        </w:rPr>
      </w:pPr>
      <w:r w:rsidRPr="007B4961">
        <w:rPr>
          <w:rFonts w:cs="Arial"/>
          <w:bCs/>
          <w:lang w:eastAsia="es-MX"/>
        </w:rPr>
        <w:t>En ese contexto, el artículo 6, fracciones XI y XII de dicho ordenamiento jurídico, establece los siguientes conceptos:</w:t>
      </w:r>
    </w:p>
    <w:p w14:paraId="3A31DB05" w14:textId="77777777" w:rsidR="00E769E4" w:rsidRPr="007B4961" w:rsidRDefault="00E769E4" w:rsidP="007B4961">
      <w:pPr>
        <w:ind w:right="-93"/>
        <w:rPr>
          <w:rFonts w:cs="Arial"/>
          <w:bCs/>
          <w:lang w:eastAsia="es-MX"/>
        </w:rPr>
      </w:pPr>
    </w:p>
    <w:p w14:paraId="25AC0EE2" w14:textId="77777777" w:rsidR="00E769E4" w:rsidRPr="007B4961" w:rsidRDefault="00E769E4" w:rsidP="007B4961">
      <w:pPr>
        <w:numPr>
          <w:ilvl w:val="0"/>
          <w:numId w:val="10"/>
        </w:numPr>
        <w:ind w:right="-93"/>
        <w:rPr>
          <w:rFonts w:cs="Arial"/>
          <w:b/>
          <w:bCs/>
          <w:lang w:eastAsia="es-MX"/>
        </w:rPr>
      </w:pPr>
      <w:r w:rsidRPr="007B4961">
        <w:rPr>
          <w:rFonts w:cs="Arial"/>
          <w:b/>
          <w:bCs/>
          <w:lang w:eastAsia="es-MX"/>
        </w:rPr>
        <w:t xml:space="preserve">Instituciones Policiales: </w:t>
      </w:r>
      <w:r w:rsidRPr="007B4961">
        <w:rPr>
          <w:rFonts w:cs="Arial"/>
          <w:bCs/>
          <w:lang w:eastAsia="es-MX"/>
        </w:rPr>
        <w:t xml:space="preserve">Son los cuerpos de policía, de vigilancia y custodia de los establecimientos penitenciarios, detención preventiva, centros de arraigo y en general, </w:t>
      </w:r>
      <w:r w:rsidRPr="007B4961">
        <w:rPr>
          <w:rFonts w:cs="Arial"/>
          <w:b/>
          <w:bCs/>
          <w:lang w:eastAsia="es-MX"/>
        </w:rPr>
        <w:t>todas las dependencias encargadas de la seguridad pública a nivel</w:t>
      </w:r>
      <w:r w:rsidRPr="007B4961">
        <w:rPr>
          <w:rFonts w:cs="Arial"/>
          <w:bCs/>
          <w:lang w:eastAsia="es-MX"/>
        </w:rPr>
        <w:t xml:space="preserve"> estatal y </w:t>
      </w:r>
      <w:r w:rsidRPr="007B4961">
        <w:rPr>
          <w:rFonts w:cs="Arial"/>
          <w:b/>
          <w:bCs/>
          <w:lang w:eastAsia="es-MX"/>
        </w:rPr>
        <w:t>municipal.</w:t>
      </w:r>
    </w:p>
    <w:p w14:paraId="54C3B331" w14:textId="77777777" w:rsidR="00E769E4" w:rsidRPr="007B4961" w:rsidRDefault="00E769E4" w:rsidP="007B4961">
      <w:pPr>
        <w:numPr>
          <w:ilvl w:val="0"/>
          <w:numId w:val="10"/>
        </w:numPr>
        <w:ind w:right="-93"/>
        <w:rPr>
          <w:rFonts w:cs="Arial"/>
          <w:b/>
          <w:bCs/>
          <w:lang w:eastAsia="es-MX"/>
        </w:rPr>
      </w:pPr>
      <w:r w:rsidRPr="007B4961">
        <w:rPr>
          <w:rFonts w:cs="Arial"/>
          <w:b/>
          <w:bCs/>
          <w:lang w:eastAsia="es-MX"/>
        </w:rPr>
        <w:t xml:space="preserve">Instituciones de Seguridad Pública: </w:t>
      </w:r>
      <w:r w:rsidRPr="007B4961">
        <w:rPr>
          <w:rFonts w:cs="Arial"/>
          <w:bCs/>
          <w:lang w:eastAsia="es-MX"/>
        </w:rPr>
        <w:t xml:space="preserve">Instituciones Policiales, Procuración de Justicia, Sistema Penitenciario y </w:t>
      </w:r>
      <w:r w:rsidRPr="007B4961">
        <w:rPr>
          <w:rFonts w:cs="Arial"/>
          <w:b/>
          <w:bCs/>
          <w:lang w:eastAsia="es-MX"/>
        </w:rPr>
        <w:t xml:space="preserve">dependencias encargadas de la seguridad pública a nivel </w:t>
      </w:r>
      <w:r w:rsidRPr="007B4961">
        <w:rPr>
          <w:rFonts w:cs="Arial"/>
          <w:bCs/>
          <w:lang w:eastAsia="es-MX"/>
        </w:rPr>
        <w:t xml:space="preserve">estatal y </w:t>
      </w:r>
      <w:r w:rsidRPr="007B4961">
        <w:rPr>
          <w:rFonts w:cs="Arial"/>
          <w:b/>
          <w:bCs/>
          <w:lang w:eastAsia="es-MX"/>
        </w:rPr>
        <w:t>municipal.</w:t>
      </w:r>
    </w:p>
    <w:p w14:paraId="72BE3664" w14:textId="77777777" w:rsidR="00E769E4" w:rsidRPr="007B4961" w:rsidRDefault="00E769E4" w:rsidP="007B4961">
      <w:pPr>
        <w:ind w:right="-93"/>
        <w:rPr>
          <w:rFonts w:cs="Arial"/>
          <w:b/>
          <w:bCs/>
          <w:lang w:eastAsia="es-MX"/>
        </w:rPr>
      </w:pPr>
    </w:p>
    <w:p w14:paraId="06398122" w14:textId="77777777" w:rsidR="00E769E4" w:rsidRPr="007B4961" w:rsidRDefault="00E769E4" w:rsidP="007B4961">
      <w:pPr>
        <w:ind w:right="-93"/>
        <w:rPr>
          <w:rFonts w:cs="Arial"/>
          <w:bCs/>
          <w:lang w:eastAsia="es-MX"/>
        </w:rPr>
      </w:pPr>
      <w:r w:rsidRPr="007B4961">
        <w:rPr>
          <w:rFonts w:cs="Arial"/>
          <w:iCs/>
          <w:lang w:val="es-ES" w:eastAsia="es-MX"/>
        </w:rPr>
        <w:t>Conforme a lo anterior</w:t>
      </w:r>
      <w:r w:rsidRPr="007B4961">
        <w:rPr>
          <w:rFonts w:cs="Arial"/>
          <w:bCs/>
          <w:lang w:eastAsia="es-MX"/>
        </w:rPr>
        <w:t xml:space="preserve">, se puede deducir que la </w:t>
      </w:r>
      <w:r w:rsidRPr="007B4961">
        <w:rPr>
          <w:rFonts w:cs="Arial"/>
          <w:bCs/>
          <w:lang w:val="es-ES_tradnl" w:eastAsia="es-MX"/>
        </w:rPr>
        <w:t>Dirección de Seguridad Pública y Tránsito</w:t>
      </w:r>
      <w:r w:rsidRPr="007B4961">
        <w:rPr>
          <w:rFonts w:cs="Arial"/>
          <w:bCs/>
          <w:lang w:eastAsia="es-MX"/>
        </w:rPr>
        <w:t xml:space="preserve">, es una institución de seguridad pública, pues tiene como atribución principal, la prevención de delitos </w:t>
      </w:r>
      <w:r w:rsidRPr="007B4961">
        <w:rPr>
          <w:rFonts w:cs="Arial"/>
          <w:lang w:eastAsia="es-MX"/>
        </w:rPr>
        <w:t>y proteger a las personas, sus propiedades, posesiones y derechos</w:t>
      </w:r>
    </w:p>
    <w:p w14:paraId="671BB0EB" w14:textId="77777777" w:rsidR="00E769E4" w:rsidRPr="007B4961" w:rsidRDefault="00E769E4" w:rsidP="007B4961">
      <w:pPr>
        <w:ind w:right="-93"/>
        <w:rPr>
          <w:rFonts w:cs="Arial"/>
          <w:bCs/>
          <w:lang w:val="es-ES" w:eastAsia="es-MX"/>
        </w:rPr>
      </w:pPr>
    </w:p>
    <w:p w14:paraId="2C5F10B9" w14:textId="77777777" w:rsidR="00E769E4" w:rsidRPr="007B4961" w:rsidRDefault="00E769E4" w:rsidP="007B4961">
      <w:pPr>
        <w:ind w:right="-93"/>
        <w:rPr>
          <w:rFonts w:cs="Arial"/>
          <w:bCs/>
          <w:lang w:eastAsia="es-MX"/>
        </w:rPr>
      </w:pPr>
      <w:r w:rsidRPr="007B4961">
        <w:rPr>
          <w:rFonts w:cs="Arial"/>
          <w:bCs/>
          <w:lang w:val="es-ES" w:eastAsia="es-MX"/>
        </w:rPr>
        <w:t xml:space="preserve">Además, </w:t>
      </w:r>
      <w:r w:rsidRPr="007B4961">
        <w:rPr>
          <w:rFonts w:cs="Arial"/>
          <w:bCs/>
          <w:lang w:eastAsia="es-MX"/>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21" w:history="1">
        <w:r w:rsidRPr="007B4961">
          <w:rPr>
            <w:rStyle w:val="Hipervnculo"/>
            <w:rFonts w:eastAsiaTheme="majorEastAsia" w:cs="Arial"/>
            <w:bCs/>
            <w:color w:val="auto"/>
            <w:lang w:eastAsia="es-MX"/>
          </w:rPr>
          <w:t>http://secretariadoejecutivo.gob.mx/work/models/SecretariadoEjecutivo/Resource/328/1/images/instructivo_final_edo_fuerza(1).pdf</w:t>
        </w:r>
      </w:hyperlink>
      <w:r w:rsidRPr="007B4961">
        <w:rPr>
          <w:rFonts w:cs="Arial"/>
          <w:bCs/>
          <w:lang w:eastAsia="es-MX"/>
        </w:rPr>
        <w:t xml:space="preserve">), establece que los elementos operativos de seguridad pública, son aquellos que desempeñan funciones de campo (policiacas, especializadas o equivalentes y que no </w:t>
      </w:r>
      <w:r w:rsidRPr="007B4961">
        <w:rPr>
          <w:rFonts w:cs="Arial"/>
          <w:b/>
          <w:bCs/>
          <w:lang w:eastAsia="es-MX"/>
        </w:rPr>
        <w:t>desempeña funciones de mando</w:t>
      </w:r>
      <w:r w:rsidRPr="007B4961">
        <w:rPr>
          <w:rFonts w:cs="Arial"/>
          <w:bCs/>
          <w:lang w:eastAsia="es-MX"/>
        </w:rPr>
        <w:t xml:space="preserve">), entre los cuales, se encuentra </w:t>
      </w:r>
      <w:r w:rsidRPr="007B4961">
        <w:rPr>
          <w:rFonts w:cs="Arial"/>
          <w:b/>
          <w:bCs/>
          <w:lang w:eastAsia="es-MX"/>
        </w:rPr>
        <w:t>la Policía Municipal</w:t>
      </w:r>
      <w:r w:rsidRPr="007B4961">
        <w:rPr>
          <w:rFonts w:cs="Arial"/>
          <w:bCs/>
          <w:lang w:eastAsia="es-MX"/>
        </w:rPr>
        <w:t>.</w:t>
      </w:r>
    </w:p>
    <w:p w14:paraId="56114B84" w14:textId="77777777" w:rsidR="00E769E4" w:rsidRPr="007B4961" w:rsidRDefault="00E769E4" w:rsidP="007B4961">
      <w:pPr>
        <w:ind w:right="-93"/>
        <w:rPr>
          <w:rFonts w:cs="Arial"/>
          <w:bCs/>
          <w:lang w:eastAsia="es-MX"/>
        </w:rPr>
      </w:pPr>
    </w:p>
    <w:p w14:paraId="708AFDA3" w14:textId="77777777" w:rsidR="00E769E4" w:rsidRPr="007B4961" w:rsidRDefault="00E769E4" w:rsidP="007B4961">
      <w:pPr>
        <w:ind w:right="-93"/>
        <w:rPr>
          <w:rFonts w:cs="Arial"/>
          <w:bCs/>
          <w:lang w:eastAsia="es-MX"/>
        </w:rPr>
      </w:pPr>
      <w:r w:rsidRPr="007B4961">
        <w:rPr>
          <w:rFonts w:cs="Arial"/>
          <w:bCs/>
          <w:lang w:eastAsia="es-MX"/>
        </w:rPr>
        <w:t xml:space="preserve">Además, que las Instituciones Policiales, se conforman del personal administrativo, que son los trabajadores de apoyo (chofer, personal de mantenimiento, servicios generales y área secretaria); así como, el personal de mando (alto, medio y superior), que es aquel que realiza </w:t>
      </w:r>
      <w:r w:rsidRPr="007B4961">
        <w:rPr>
          <w:rFonts w:cs="Arial"/>
          <w:bCs/>
          <w:lang w:eastAsia="es-MX"/>
        </w:rPr>
        <w:lastRenderedPageBreak/>
        <w:t>funciones de dirección, coordinación y supervisión, por lo cual, corresponde a aquel que tenga trabajadores a su cargo.</w:t>
      </w:r>
    </w:p>
    <w:p w14:paraId="1F314BA1" w14:textId="77777777" w:rsidR="00E769E4" w:rsidRPr="007B4961" w:rsidRDefault="00E769E4" w:rsidP="007B4961">
      <w:pPr>
        <w:ind w:right="-93"/>
        <w:rPr>
          <w:rFonts w:cs="Arial"/>
          <w:lang w:eastAsia="es-MX"/>
        </w:rPr>
      </w:pPr>
    </w:p>
    <w:p w14:paraId="412F2B3E" w14:textId="77777777" w:rsidR="00E769E4" w:rsidRPr="007B4961" w:rsidRDefault="00E769E4" w:rsidP="007B4961">
      <w:pPr>
        <w:ind w:right="-93"/>
        <w:rPr>
          <w:rFonts w:cs="Arial"/>
          <w:bCs/>
          <w:lang w:eastAsia="es-MX"/>
        </w:rPr>
      </w:pPr>
      <w:r w:rsidRPr="007B4961">
        <w:rPr>
          <w:rFonts w:cs="Arial"/>
          <w:bCs/>
          <w:lang w:eastAsia="es-MX"/>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499AB580" w14:textId="77777777" w:rsidR="00E769E4" w:rsidRPr="007B4961" w:rsidRDefault="00E769E4" w:rsidP="007B4961">
      <w:pPr>
        <w:ind w:right="-93"/>
        <w:rPr>
          <w:rFonts w:cs="Arial"/>
          <w:bCs/>
          <w:lang w:eastAsia="es-MX"/>
        </w:rPr>
      </w:pPr>
    </w:p>
    <w:p w14:paraId="4F31D062" w14:textId="77777777" w:rsidR="00E769E4" w:rsidRPr="007B4961" w:rsidRDefault="00E769E4" w:rsidP="007B4961">
      <w:pPr>
        <w:ind w:right="-93"/>
        <w:rPr>
          <w:rFonts w:cs="Arial"/>
          <w:bCs/>
          <w:lang w:eastAsia="es-MX"/>
        </w:rPr>
      </w:pPr>
      <w:r w:rsidRPr="007B4961">
        <w:rPr>
          <w:rFonts w:cs="Arial"/>
          <w:bCs/>
          <w:lang w:eastAsia="es-MX"/>
        </w:rPr>
        <w:t xml:space="preserve">Lo anterior, se robustece con las Cifras de Incidencia Delictiva Municipal 2015-2021, publicado por el Secretariado Ejecutivo del Sistema Nacional de Seguridad Pública, en la página </w:t>
      </w:r>
      <w:hyperlink r:id="rId22" w:history="1">
        <w:r w:rsidRPr="007B4961">
          <w:rPr>
            <w:rStyle w:val="Hipervnculo"/>
            <w:rFonts w:eastAsiaTheme="majorEastAsia" w:cs="Arial"/>
            <w:color w:val="auto"/>
            <w:lang w:eastAsia="es-MX"/>
          </w:rPr>
          <w:t>https://www.gob.mx/sesnsp/acciones-y-programas/incidencia-delictiva-del-fuero-comun-nueva-metodologia?state=published</w:t>
        </w:r>
      </w:hyperlink>
      <w:r w:rsidRPr="007B4961">
        <w:rPr>
          <w:rFonts w:cs="Arial"/>
          <w:bCs/>
          <w:lang w:eastAsia="es-MX"/>
        </w:rPr>
        <w:t xml:space="preserve"> (consultado el diecisiete de noviembre de dos mil veintidós, a las dieciocho horas con tres minutos) de cual se desprenden algunos delitos que se han cometido en el Municipio de Metepec, tales como </w:t>
      </w:r>
      <w:r w:rsidRPr="007B4961">
        <w:rPr>
          <w:rFonts w:cs="Arial"/>
          <w:b/>
          <w:lang w:eastAsia="es-MX"/>
        </w:rPr>
        <w:t>homicidio,</w:t>
      </w:r>
      <w:r w:rsidRPr="007B4961">
        <w:rPr>
          <w:rFonts w:cs="Arial"/>
          <w:bCs/>
          <w:lang w:eastAsia="es-MX"/>
        </w:rPr>
        <w:t xml:space="preserve"> </w:t>
      </w:r>
      <w:r w:rsidRPr="007B4961">
        <w:rPr>
          <w:rFonts w:cs="Arial"/>
          <w:b/>
          <w:lang w:eastAsia="es-MX"/>
        </w:rPr>
        <w:t>lesiones,</w:t>
      </w:r>
      <w:r w:rsidRPr="007B4961">
        <w:rPr>
          <w:rFonts w:cs="Arial"/>
          <w:bCs/>
          <w:lang w:eastAsia="es-MX"/>
        </w:rPr>
        <w:t xml:space="preserve"> </w:t>
      </w:r>
      <w:r w:rsidRPr="007B4961">
        <w:rPr>
          <w:rFonts w:cs="Arial"/>
          <w:b/>
          <w:bCs/>
          <w:lang w:eastAsia="es-MX"/>
        </w:rPr>
        <w:t>robo, abuso de confianza, extorsión, daño a propiedad, violencia familiar, trata de personas y narcomenudeo,</w:t>
      </w:r>
      <w:r w:rsidRPr="007B4961">
        <w:rPr>
          <w:rFonts w:cs="Arial"/>
          <w:bCs/>
          <w:lang w:eastAsia="es-MX"/>
        </w:rPr>
        <w:t xml:space="preserve"> hechos que pueden llegar a ser atendidos directamente por este personal operativo en apoyo de los afectados o incluso de las autoridades encargadas de la procuración de justicia. </w:t>
      </w:r>
    </w:p>
    <w:p w14:paraId="4514141F" w14:textId="77777777" w:rsidR="00E769E4" w:rsidRPr="007B4961" w:rsidRDefault="00E769E4" w:rsidP="007B4961">
      <w:pPr>
        <w:ind w:right="-93"/>
        <w:rPr>
          <w:rFonts w:cs="Arial"/>
          <w:bCs/>
          <w:lang w:eastAsia="es-MX"/>
        </w:rPr>
      </w:pPr>
    </w:p>
    <w:p w14:paraId="2E54BEE8" w14:textId="77777777" w:rsidR="00E769E4" w:rsidRPr="007B4961" w:rsidRDefault="00E769E4" w:rsidP="007B4961">
      <w:pPr>
        <w:ind w:right="-93"/>
        <w:rPr>
          <w:rFonts w:cs="Arial"/>
          <w:bCs/>
          <w:lang w:eastAsia="es-MX"/>
        </w:rPr>
      </w:pPr>
      <w:r w:rsidRPr="007B4961">
        <w:rPr>
          <w:rFonts w:cs="Arial"/>
          <w:bCs/>
          <w:lang w:eastAsia="es-MX"/>
        </w:rPr>
        <w:lastRenderedPageBreak/>
        <w:t>De tal situación, se considera que dar a conocer el nombre, cargo y fotografía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042C955D" w14:textId="77777777" w:rsidR="00E769E4" w:rsidRPr="007B4961" w:rsidRDefault="00E769E4" w:rsidP="007B4961">
      <w:pPr>
        <w:ind w:right="-93"/>
        <w:rPr>
          <w:rFonts w:cs="Arial"/>
          <w:bCs/>
          <w:lang w:eastAsia="es-MX"/>
        </w:rPr>
      </w:pPr>
    </w:p>
    <w:p w14:paraId="3D6AC469" w14:textId="77777777" w:rsidR="00E769E4" w:rsidRPr="007B4961" w:rsidRDefault="00E769E4" w:rsidP="007B4961">
      <w:pPr>
        <w:ind w:right="-93"/>
        <w:rPr>
          <w:rFonts w:cs="Arial"/>
          <w:iCs/>
          <w:lang w:val="es-ES" w:eastAsia="es-MX"/>
        </w:rPr>
      </w:pPr>
      <w:r w:rsidRPr="007B4961">
        <w:rPr>
          <w:rFonts w:cs="Arial"/>
          <w:iCs/>
          <w:lang w:val="es-ES" w:eastAsia="es-MX"/>
        </w:rPr>
        <w:t>Sobre el particular, cabe traer a colación el artículo 141 de la Ley de Transparencia y local, que establece que las causales de reserva se deberán fundar y motivar, a través de la aplicación de la prueba de daño establecida en el artículo 129 de dicho ordenamiento, que se debe justificar de la siguiente manera:</w:t>
      </w:r>
    </w:p>
    <w:p w14:paraId="43FDCFC1" w14:textId="77777777" w:rsidR="00E769E4" w:rsidRPr="007B4961" w:rsidRDefault="00E769E4" w:rsidP="007B4961">
      <w:pPr>
        <w:ind w:right="-93"/>
        <w:rPr>
          <w:rFonts w:cs="Arial"/>
          <w:iCs/>
          <w:lang w:val="es-ES" w:eastAsia="es-MX"/>
        </w:rPr>
      </w:pPr>
    </w:p>
    <w:p w14:paraId="7B17F042" w14:textId="77777777" w:rsidR="00E769E4" w:rsidRPr="007B4961" w:rsidRDefault="00E769E4" w:rsidP="007B4961">
      <w:pPr>
        <w:numPr>
          <w:ilvl w:val="0"/>
          <w:numId w:val="11"/>
        </w:numPr>
        <w:ind w:right="-93"/>
        <w:rPr>
          <w:rFonts w:cs="Arial"/>
          <w:iCs/>
          <w:lang w:val="es-ES_tradnl" w:eastAsia="es-MX"/>
        </w:rPr>
      </w:pPr>
      <w:r w:rsidRPr="007B4961">
        <w:rPr>
          <w:rFonts w:cs="Arial"/>
          <w:iCs/>
          <w:lang w:val="es-ES_tradnl" w:eastAsia="es-MX"/>
        </w:rPr>
        <w:t>La divulgación de la información representa un riesgo real, demostrable e identificable de perjuicio significativo al interés público o a la seguridad nacional.</w:t>
      </w:r>
    </w:p>
    <w:p w14:paraId="60690950" w14:textId="77777777" w:rsidR="00E769E4" w:rsidRPr="007B4961" w:rsidRDefault="00E769E4" w:rsidP="007B4961">
      <w:pPr>
        <w:numPr>
          <w:ilvl w:val="0"/>
          <w:numId w:val="11"/>
        </w:numPr>
        <w:ind w:right="-93"/>
        <w:rPr>
          <w:rFonts w:cs="Arial"/>
          <w:iCs/>
          <w:lang w:val="es-ES_tradnl" w:eastAsia="es-MX"/>
        </w:rPr>
      </w:pPr>
      <w:r w:rsidRPr="007B4961">
        <w:rPr>
          <w:rFonts w:cs="Arial"/>
          <w:iCs/>
          <w:lang w:val="es-ES_tradnl" w:eastAsia="es-MX"/>
        </w:rPr>
        <w:t>El riesgo de perjuicio supera el interés público general de que se difunda.</w:t>
      </w:r>
    </w:p>
    <w:p w14:paraId="38972D49" w14:textId="77777777" w:rsidR="00E769E4" w:rsidRPr="007B4961" w:rsidRDefault="00E769E4" w:rsidP="007B4961">
      <w:pPr>
        <w:numPr>
          <w:ilvl w:val="0"/>
          <w:numId w:val="11"/>
        </w:numPr>
        <w:ind w:right="-93"/>
        <w:rPr>
          <w:rFonts w:cs="Arial"/>
          <w:iCs/>
          <w:lang w:val="es-ES_tradnl" w:eastAsia="es-MX"/>
        </w:rPr>
      </w:pPr>
      <w:r w:rsidRPr="007B4961">
        <w:rPr>
          <w:rFonts w:cs="Arial"/>
          <w:iCs/>
          <w:lang w:val="es-ES_tradnl" w:eastAsia="es-MX"/>
        </w:rPr>
        <w:t>Que la limitación se adecua al principio de proporcionalidad y representa el medio menos restrictivo disponible para evitar el perjuicio.</w:t>
      </w:r>
    </w:p>
    <w:p w14:paraId="1AB12097" w14:textId="77777777" w:rsidR="00E769E4" w:rsidRPr="007B4961" w:rsidRDefault="00E769E4" w:rsidP="007B4961">
      <w:pPr>
        <w:ind w:right="-93"/>
        <w:rPr>
          <w:rFonts w:cs="Arial"/>
          <w:iCs/>
          <w:lang w:eastAsia="es-MX"/>
        </w:rPr>
      </w:pPr>
    </w:p>
    <w:p w14:paraId="183BF6E2" w14:textId="77777777" w:rsidR="00E769E4" w:rsidRPr="007B4961" w:rsidRDefault="00E769E4" w:rsidP="007B4961">
      <w:pPr>
        <w:ind w:right="-93"/>
        <w:rPr>
          <w:rFonts w:cs="Arial"/>
          <w:iCs/>
          <w:lang w:eastAsia="es-MX"/>
        </w:rPr>
      </w:pPr>
      <w:r w:rsidRPr="007B4961">
        <w:rPr>
          <w:rFonts w:cs="Arial"/>
          <w:iCs/>
          <w:lang w:eastAsia="es-MX"/>
        </w:rPr>
        <w:t>Al respecto, este Instituto advierte lo siguiente:</w:t>
      </w:r>
    </w:p>
    <w:p w14:paraId="4F7AEE27" w14:textId="77777777" w:rsidR="00E769E4" w:rsidRPr="007B4961" w:rsidRDefault="00E769E4" w:rsidP="007B4961">
      <w:pPr>
        <w:ind w:right="-93"/>
        <w:rPr>
          <w:rFonts w:cs="Arial"/>
          <w:iCs/>
          <w:lang w:eastAsia="es-MX"/>
        </w:rPr>
      </w:pPr>
    </w:p>
    <w:p w14:paraId="3A0F34E5" w14:textId="77777777" w:rsidR="00E769E4" w:rsidRPr="007B4961" w:rsidRDefault="00E769E4" w:rsidP="007B4961">
      <w:pPr>
        <w:numPr>
          <w:ilvl w:val="0"/>
          <w:numId w:val="12"/>
        </w:numPr>
        <w:ind w:right="-93"/>
        <w:rPr>
          <w:rFonts w:cs="Arial"/>
          <w:bCs/>
          <w:lang w:eastAsia="es-MX"/>
        </w:rPr>
      </w:pPr>
      <w:r w:rsidRPr="007B4961">
        <w:rPr>
          <w:rFonts w:cs="Arial"/>
          <w:bCs/>
          <w:lang w:eastAsia="es-MX"/>
        </w:rPr>
        <w:t xml:space="preserve">Que existe un </w:t>
      </w:r>
      <w:r w:rsidRPr="007B4961">
        <w:rPr>
          <w:rFonts w:cs="Arial"/>
          <w:b/>
          <w:bCs/>
          <w:lang w:eastAsia="es-MX"/>
        </w:rPr>
        <w:t xml:space="preserve">riesgo real, demostrable e identificable, </w:t>
      </w:r>
      <w:r w:rsidRPr="007B4961">
        <w:rPr>
          <w:rFonts w:cs="Arial"/>
          <w:bCs/>
          <w:lang w:eastAsia="es-MX"/>
        </w:rPr>
        <w:t xml:space="preserve">toda vez que dar a conocer los nombres de la policía municipal, pone en riesgo su vida, salud y seguridad, dado que los hace identificables, lo cual provocaría que utilicen dicha información para amenazar, intimidar o extorsionar al servidor público, a su familia e inclusive a su entorno social. Además, que podría ocasionar que los integrantes de organizaciones </w:t>
      </w:r>
      <w:r w:rsidRPr="007B4961">
        <w:rPr>
          <w:rFonts w:cs="Arial"/>
          <w:bCs/>
          <w:lang w:eastAsia="es-MX"/>
        </w:rPr>
        <w:lastRenderedPageBreak/>
        <w:t xml:space="preserve">criminales los contacten para presionar en entregar información, estrategias para aumentar la inseguridad y los actos ilícitos en el Municipio. Además, que comprometería el cumplimiento de los objetivos de la </w:t>
      </w:r>
      <w:r w:rsidRPr="007B4961">
        <w:rPr>
          <w:rFonts w:cs="Arial"/>
          <w:bCs/>
          <w:lang w:val="es-ES_tradnl" w:eastAsia="es-MX"/>
        </w:rPr>
        <w:t>Dirección de Seguridad Pública y Tránsito</w:t>
      </w:r>
      <w:r w:rsidRPr="007B4961">
        <w:rPr>
          <w:rFonts w:cs="Arial"/>
          <w:bCs/>
          <w:lang w:eastAsia="es-MX"/>
        </w:rPr>
        <w:t>.</w:t>
      </w:r>
    </w:p>
    <w:p w14:paraId="746D1027" w14:textId="77777777" w:rsidR="00E769E4" w:rsidRPr="007B4961" w:rsidRDefault="00E769E4" w:rsidP="007B4961">
      <w:pPr>
        <w:ind w:right="-93"/>
        <w:rPr>
          <w:rFonts w:cs="Arial"/>
          <w:bCs/>
          <w:lang w:eastAsia="es-MX"/>
        </w:rPr>
      </w:pPr>
    </w:p>
    <w:p w14:paraId="171195A4" w14:textId="77777777" w:rsidR="00E769E4" w:rsidRPr="007B4961" w:rsidRDefault="00E769E4" w:rsidP="007B4961">
      <w:pPr>
        <w:numPr>
          <w:ilvl w:val="0"/>
          <w:numId w:val="12"/>
        </w:numPr>
        <w:ind w:right="-93"/>
        <w:rPr>
          <w:rFonts w:cs="Arial"/>
          <w:b/>
          <w:bCs/>
          <w:lang w:eastAsia="es-MX"/>
        </w:rPr>
      </w:pPr>
      <w:r w:rsidRPr="007B4961">
        <w:rPr>
          <w:rFonts w:cs="Arial"/>
          <w:b/>
          <w:bCs/>
          <w:lang w:eastAsia="es-MX"/>
        </w:rPr>
        <w:t>Que el riesgo de perjuicio que supone la divulgación de la información supera el interés público general</w:t>
      </w:r>
      <w:r w:rsidRPr="007B4961">
        <w:rPr>
          <w:rFonts w:cs="Arial"/>
          <w:bCs/>
          <w:lang w:eastAsia="es-MX"/>
        </w:rPr>
        <w:t xml:space="preserve">, ya que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w:t>
      </w:r>
      <w:r w:rsidRPr="007B4961">
        <w:rPr>
          <w:rFonts w:cs="Arial"/>
          <w:b/>
          <w:bCs/>
          <w:lang w:eastAsia="es-MX"/>
        </w:rPr>
        <w:t>vulnerando así, el interés general.</w:t>
      </w:r>
    </w:p>
    <w:p w14:paraId="18A67698" w14:textId="77777777" w:rsidR="00E769E4" w:rsidRPr="007B4961" w:rsidRDefault="00E769E4" w:rsidP="007B4961">
      <w:pPr>
        <w:pStyle w:val="Prrafodelista"/>
        <w:rPr>
          <w:rFonts w:cs="Arial"/>
          <w:b/>
          <w:bCs/>
          <w:lang w:eastAsia="es-MX"/>
        </w:rPr>
      </w:pPr>
    </w:p>
    <w:p w14:paraId="452059AB" w14:textId="77777777" w:rsidR="00E769E4" w:rsidRPr="007B4961" w:rsidRDefault="00E769E4" w:rsidP="007B4961">
      <w:pPr>
        <w:numPr>
          <w:ilvl w:val="0"/>
          <w:numId w:val="12"/>
        </w:numPr>
        <w:ind w:right="-93"/>
        <w:rPr>
          <w:rFonts w:cs="Arial"/>
          <w:bCs/>
          <w:lang w:eastAsia="es-MX"/>
        </w:rPr>
      </w:pPr>
      <w:r w:rsidRPr="007B4961">
        <w:rPr>
          <w:rFonts w:cs="Arial"/>
          <w:b/>
          <w:bCs/>
          <w:lang w:eastAsia="es-MX"/>
        </w:rPr>
        <w:t xml:space="preserve">Que la reserva no se traduzca en un medio restrictivo al derecho de acceso a la información, </w:t>
      </w:r>
      <w:r w:rsidRPr="007B4961">
        <w:rPr>
          <w:rFonts w:cs="Arial"/>
          <w:bCs/>
          <w:lang w:eastAsia="es-MX"/>
        </w:rPr>
        <w:t xml:space="preserve">en virtud de que la misma prevalece al proteger alguno de los derechos más importantes, como lo son la vida, la salud y la seguridad de </w:t>
      </w:r>
      <w:r w:rsidRPr="007B4961">
        <w:rPr>
          <w:rFonts w:cs="Arial"/>
          <w:b/>
          <w:bCs/>
          <w:lang w:eastAsia="es-MX"/>
        </w:rPr>
        <w:t>los servidores públicos,</w:t>
      </w:r>
      <w:r w:rsidRPr="007B4961">
        <w:rPr>
          <w:rFonts w:cs="Arial"/>
          <w:bCs/>
          <w:lang w:eastAsia="es-MX"/>
        </w:rPr>
        <w:t xml:space="preserve"> sus familiares e inclusive de su entorno social, ya que la policía municipal ayuda a mantener el orden público y la paz social, así como la prevención de la comisión de cualquier delito, inhibiendo la manifestación de conductas antisociales.</w:t>
      </w:r>
    </w:p>
    <w:p w14:paraId="051CD4A9" w14:textId="77777777" w:rsidR="00E769E4" w:rsidRPr="007B4961" w:rsidRDefault="00E769E4" w:rsidP="007B4961">
      <w:pPr>
        <w:ind w:right="-93"/>
        <w:rPr>
          <w:rFonts w:cs="Arial"/>
          <w:bCs/>
          <w:lang w:eastAsia="es-MX"/>
        </w:rPr>
      </w:pPr>
    </w:p>
    <w:p w14:paraId="3E16FB36" w14:textId="77777777" w:rsidR="00E769E4" w:rsidRPr="007B4961" w:rsidRDefault="00E769E4" w:rsidP="007B4961">
      <w:pPr>
        <w:ind w:right="-93"/>
        <w:rPr>
          <w:rFonts w:cs="Arial"/>
          <w:b/>
          <w:iCs/>
          <w:lang w:val="es-ES" w:eastAsia="es-MX"/>
        </w:rPr>
      </w:pPr>
      <w:r w:rsidRPr="007B4961">
        <w:rPr>
          <w:rFonts w:cs="Arial"/>
          <w:bCs/>
          <w:lang w:eastAsia="es-MX"/>
        </w:rPr>
        <w:t xml:space="preserve">Por tales consideraciones, </w:t>
      </w:r>
      <w:r w:rsidRPr="007B4961">
        <w:rPr>
          <w:rFonts w:cs="Arial"/>
          <w:b/>
          <w:bCs/>
          <w:lang w:eastAsia="es-MX"/>
        </w:rPr>
        <w:t xml:space="preserve">resulta procedente la reserva del nombre, cargo y fotografía de los elementos operativos de la Dirección de Seguridad Pública, en términos del artículo 140, fracción IV, de </w:t>
      </w:r>
      <w:r w:rsidRPr="007B4961">
        <w:rPr>
          <w:rFonts w:cs="Arial"/>
          <w:b/>
          <w:iCs/>
          <w:lang w:val="es-ES" w:eastAsia="es-MX"/>
        </w:rPr>
        <w:t>de la Ley de Transparencia y Acceso a la Información Pública del Estado de México y Municipios.</w:t>
      </w:r>
    </w:p>
    <w:p w14:paraId="12B019B7" w14:textId="77777777" w:rsidR="00E769E4" w:rsidRPr="007B4961" w:rsidRDefault="00E769E4" w:rsidP="007B4961">
      <w:pPr>
        <w:ind w:right="-93"/>
        <w:rPr>
          <w:rFonts w:cs="Arial"/>
          <w:bCs/>
          <w:iCs/>
          <w:lang w:val="es-ES" w:eastAsia="es-MX"/>
        </w:rPr>
      </w:pPr>
    </w:p>
    <w:p w14:paraId="64686942" w14:textId="459E2F94" w:rsidR="00C45168" w:rsidRPr="007B4961" w:rsidRDefault="00E769E4" w:rsidP="007B4961">
      <w:pPr>
        <w:autoSpaceDE w:val="0"/>
        <w:autoSpaceDN w:val="0"/>
        <w:adjustRightInd w:val="0"/>
        <w:ind w:right="-91"/>
        <w:rPr>
          <w:rFonts w:cs="Arial"/>
          <w:lang w:eastAsia="es-CO"/>
        </w:rPr>
      </w:pPr>
      <w:r w:rsidRPr="007B4961">
        <w:rPr>
          <w:rFonts w:cs="Arial"/>
        </w:rPr>
        <w:lastRenderedPageBreak/>
        <w:t xml:space="preserve">Consecuentemente, se destaca que la versión pública que elabore </w:t>
      </w:r>
      <w:r w:rsidRPr="007B4961">
        <w:rPr>
          <w:rFonts w:cs="Arial"/>
          <w:b/>
        </w:rPr>
        <w:t>EL SUJETO OBLIGADO</w:t>
      </w:r>
      <w:r w:rsidRPr="007B4961">
        <w:rPr>
          <w:rFonts w:cs="Arial"/>
        </w:rPr>
        <w:t xml:space="preserve"> debe cumplir con las formalidades exigidas en la Ley, por lo que para tal efecto emitirá el </w:t>
      </w:r>
      <w:r w:rsidRPr="007B4961">
        <w:rPr>
          <w:rFonts w:cs="Arial"/>
          <w:b/>
        </w:rPr>
        <w:t>Acuerdo del Comité de Transparencia</w:t>
      </w:r>
      <w:r w:rsidRPr="007B4961">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B4961">
        <w:rPr>
          <w:rFonts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09413A2" w14:textId="77777777" w:rsidR="00E769E4" w:rsidRPr="007B4961" w:rsidRDefault="00E769E4" w:rsidP="007B4961">
      <w:pPr>
        <w:autoSpaceDE w:val="0"/>
        <w:autoSpaceDN w:val="0"/>
        <w:adjustRightInd w:val="0"/>
        <w:ind w:right="-91"/>
        <w:rPr>
          <w:rFonts w:cs="Arial"/>
          <w:lang w:eastAsia="es-CO"/>
        </w:rPr>
      </w:pPr>
    </w:p>
    <w:p w14:paraId="32F88C34" w14:textId="7E053ACF" w:rsidR="00551512" w:rsidRPr="007B4961" w:rsidRDefault="0001031A" w:rsidP="007B4961">
      <w:pPr>
        <w:pStyle w:val="Ttulo3"/>
        <w:rPr>
          <w:szCs w:val="22"/>
        </w:rPr>
      </w:pPr>
      <w:bookmarkStart w:id="34" w:name="_Toc184225354"/>
      <w:r w:rsidRPr="007B4961">
        <w:rPr>
          <w:szCs w:val="22"/>
        </w:rPr>
        <w:t>f</w:t>
      </w:r>
      <w:r w:rsidR="00551512" w:rsidRPr="007B4961">
        <w:rPr>
          <w:szCs w:val="22"/>
        </w:rPr>
        <w:t>) Conclusión.</w:t>
      </w:r>
      <w:bookmarkEnd w:id="34"/>
    </w:p>
    <w:p w14:paraId="042781A2" w14:textId="457FEFEE" w:rsidR="00551512" w:rsidRPr="007B4961" w:rsidRDefault="00551512" w:rsidP="007B4961">
      <w:pPr>
        <w:widowControl w:val="0"/>
        <w:tabs>
          <w:tab w:val="left" w:pos="1701"/>
          <w:tab w:val="left" w:pos="1843"/>
        </w:tabs>
      </w:pPr>
      <w:r w:rsidRPr="007B4961">
        <w:t xml:space="preserve">En razón de lo anteriormente expuesto, este Instituto estima que las razones o motivos de inconformidad hechos valer por </w:t>
      </w:r>
      <w:r w:rsidR="00D13408" w:rsidRPr="007B4961">
        <w:rPr>
          <w:b/>
        </w:rPr>
        <w:t>LA PARTE</w:t>
      </w:r>
      <w:r w:rsidRPr="007B4961">
        <w:rPr>
          <w:b/>
        </w:rPr>
        <w:t xml:space="preserve"> RECURRENTE</w:t>
      </w:r>
      <w:r w:rsidRPr="007B4961">
        <w:t xml:space="preserve"> devienen fundados, por lo cual es procedente </w:t>
      </w:r>
      <w:r w:rsidR="0040238C" w:rsidRPr="007B4961">
        <w:rPr>
          <w:b/>
        </w:rPr>
        <w:t>MODIFICAN</w:t>
      </w:r>
      <w:r w:rsidRPr="007B4961">
        <w:t xml:space="preserve"> las respuestas del </w:t>
      </w:r>
      <w:r w:rsidRPr="007B4961">
        <w:rPr>
          <w:b/>
        </w:rPr>
        <w:t>SUJETO OBLIGADO</w:t>
      </w:r>
      <w:r w:rsidRPr="007B4961">
        <w:t>.</w:t>
      </w:r>
    </w:p>
    <w:p w14:paraId="7AA4D60D" w14:textId="77777777" w:rsidR="00551512" w:rsidRPr="007B4961" w:rsidRDefault="00551512" w:rsidP="007B4961">
      <w:pPr>
        <w:ind w:right="-93"/>
        <w:rPr>
          <w:rFonts w:cs="Tahoma"/>
          <w:bCs/>
          <w:szCs w:val="22"/>
        </w:rPr>
      </w:pPr>
    </w:p>
    <w:p w14:paraId="0F1F5D9F" w14:textId="05310295" w:rsidR="00BE0476" w:rsidRPr="007B4961" w:rsidRDefault="00BE0476" w:rsidP="007B4961">
      <w:pPr>
        <w:ind w:right="49"/>
        <w:rPr>
          <w:rFonts w:eastAsia="Palatino Linotype" w:cs="Palatino Linotype"/>
          <w:b/>
          <w:lang w:val="es-ES" w:eastAsia="es-MX"/>
        </w:rPr>
      </w:pPr>
      <w:r w:rsidRPr="007B4961">
        <w:rPr>
          <w:rFonts w:cs="Arial"/>
        </w:rPr>
        <w:t xml:space="preserve">No pasa desapercibido señalar que, </w:t>
      </w:r>
      <w:r w:rsidRPr="007B4961">
        <w:rPr>
          <w:rFonts w:cs="Arial"/>
          <w:b/>
        </w:rPr>
        <w:t xml:space="preserve">SUJETO OBLIGADO </w:t>
      </w:r>
      <w:r w:rsidRPr="007B4961">
        <w:rPr>
          <w:rFonts w:cs="Arial"/>
        </w:rPr>
        <w:t>al momento de proporcionar su respuesta dejó a la vista</w:t>
      </w:r>
      <w:r w:rsidR="003C43E1" w:rsidRPr="007B4961">
        <w:rPr>
          <w:rFonts w:cs="Arial"/>
        </w:rPr>
        <w:t xml:space="preserve"> información susceptible de ser clasificada como reserva conforme al criterio mayoritario del Pleno de este Instituto, de manera enunciativa más no limitativa </w:t>
      </w:r>
      <w:r w:rsidRPr="007B4961">
        <w:rPr>
          <w:rFonts w:cs="Arial"/>
        </w:rPr>
        <w:t>el nombre y puesto de</w:t>
      </w:r>
      <w:r w:rsidR="003C43E1" w:rsidRPr="007B4961">
        <w:rPr>
          <w:rFonts w:cs="Arial"/>
        </w:rPr>
        <w:t>l personal de seguridad pública</w:t>
      </w:r>
      <w:r w:rsidRPr="007B4961">
        <w:t>;</w:t>
      </w:r>
      <w:r w:rsidRPr="007B4961">
        <w:rPr>
          <w:rFonts w:eastAsia="Palatino Linotype" w:cs="Palatino Linotype"/>
          <w:lang w:val="es-ES" w:eastAsia="es-MX"/>
        </w:rPr>
        <w:t xml:space="preserve"> motivo por el cual </w:t>
      </w:r>
      <w:r w:rsidRPr="007B4961">
        <w:rPr>
          <w:rFonts w:eastAsia="Palatino Linotype" w:cs="Palatino Linotype"/>
          <w:b/>
          <w:lang w:val="es-ES" w:eastAsia="es-MX"/>
        </w:rPr>
        <w:t xml:space="preserve">se ordena girar oficio a la Secretaría Técnica del Pleno de este Instituto para hacer del conocimiento del Órgano Interno de Control competente, para que resuelva lo conducente y determine en su caso el </w:t>
      </w:r>
      <w:r w:rsidRPr="007B4961">
        <w:rPr>
          <w:rFonts w:eastAsia="Palatino Linotype" w:cs="Palatino Linotype"/>
          <w:b/>
          <w:lang w:val="es-ES" w:eastAsia="es-MX"/>
        </w:rPr>
        <w:lastRenderedPageBreak/>
        <w:t>grado de responsabilidad en el incumplimiento de las obligaciones establecidas en la misma</w:t>
      </w:r>
      <w:r w:rsidRPr="007B4961">
        <w:rPr>
          <w:rFonts w:eastAsia="Palatino Linotype" w:cs="Palatino Linotype"/>
          <w:lang w:val="es-ES" w:eastAsia="es-MX"/>
        </w:rPr>
        <w:t>.</w:t>
      </w:r>
    </w:p>
    <w:p w14:paraId="41575DBA" w14:textId="77777777" w:rsidR="00BE0476" w:rsidRPr="007B4961" w:rsidRDefault="00BE0476" w:rsidP="007B4961">
      <w:pPr>
        <w:ind w:right="-93"/>
        <w:rPr>
          <w:rFonts w:cs="Tahoma"/>
          <w:bCs/>
          <w:szCs w:val="22"/>
        </w:rPr>
      </w:pPr>
    </w:p>
    <w:p w14:paraId="20B4A563" w14:textId="77777777" w:rsidR="00551512" w:rsidRPr="007B4961" w:rsidRDefault="00551512" w:rsidP="007B4961">
      <w:pPr>
        <w:ind w:right="-93"/>
        <w:rPr>
          <w:rFonts w:cs="Tahoma"/>
          <w:bCs/>
          <w:szCs w:val="22"/>
        </w:rPr>
      </w:pPr>
      <w:r w:rsidRPr="007B4961">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D3999C3" w14:textId="77777777" w:rsidR="00551512" w:rsidRPr="007B4961" w:rsidRDefault="00551512" w:rsidP="007B4961">
      <w:pPr>
        <w:rPr>
          <w:szCs w:val="22"/>
        </w:rPr>
      </w:pPr>
    </w:p>
    <w:p w14:paraId="35CC9CAA" w14:textId="7C3D3EE0" w:rsidR="00551512" w:rsidRPr="007B4961" w:rsidRDefault="00551512" w:rsidP="007B4961">
      <w:pPr>
        <w:pStyle w:val="Ttulo1"/>
        <w:rPr>
          <w:szCs w:val="22"/>
        </w:rPr>
      </w:pPr>
      <w:bookmarkStart w:id="35" w:name="_Toc184225355"/>
      <w:r w:rsidRPr="007B4961">
        <w:rPr>
          <w:szCs w:val="22"/>
        </w:rPr>
        <w:t>RESUELVE</w:t>
      </w:r>
      <w:bookmarkEnd w:id="35"/>
    </w:p>
    <w:p w14:paraId="05A302E6" w14:textId="77777777" w:rsidR="00551512" w:rsidRPr="007B4961" w:rsidRDefault="00551512" w:rsidP="007B4961">
      <w:pPr>
        <w:ind w:right="113"/>
        <w:rPr>
          <w:rFonts w:cs="Arial"/>
          <w:b/>
          <w:szCs w:val="22"/>
        </w:rPr>
      </w:pPr>
    </w:p>
    <w:p w14:paraId="59B2DC90" w14:textId="5532592F" w:rsidR="00551512" w:rsidRPr="007B4961" w:rsidRDefault="00551512" w:rsidP="007B4961">
      <w:pPr>
        <w:tabs>
          <w:tab w:val="right" w:pos="8838"/>
        </w:tabs>
        <w:ind w:left="-74" w:right="-105"/>
        <w:rPr>
          <w:rFonts w:eastAsia="Calibri" w:cs="Tahoma"/>
          <w:bCs/>
          <w:szCs w:val="22"/>
          <w:lang w:eastAsia="en-US"/>
        </w:rPr>
      </w:pPr>
      <w:r w:rsidRPr="007B4961">
        <w:rPr>
          <w:b/>
          <w:bCs/>
          <w:szCs w:val="22"/>
        </w:rPr>
        <w:t>PRIMERO.</w:t>
      </w:r>
      <w:r w:rsidRPr="007B4961">
        <w:rPr>
          <w:szCs w:val="22"/>
        </w:rPr>
        <w:t xml:space="preserve"> </w:t>
      </w:r>
      <w:r w:rsidRPr="007B4961">
        <w:rPr>
          <w:rFonts w:cs="Tahoma"/>
          <w:szCs w:val="22"/>
        </w:rPr>
        <w:t xml:space="preserve">Se </w:t>
      </w:r>
      <w:r w:rsidR="0040238C" w:rsidRPr="007B4961">
        <w:rPr>
          <w:rFonts w:cs="Tahoma"/>
          <w:b/>
          <w:bCs/>
          <w:szCs w:val="22"/>
        </w:rPr>
        <w:t>MODIFICAN</w:t>
      </w:r>
      <w:r w:rsidRPr="007B4961">
        <w:rPr>
          <w:rFonts w:cs="Tahoma"/>
          <w:b/>
          <w:bCs/>
          <w:szCs w:val="22"/>
        </w:rPr>
        <w:t xml:space="preserve"> </w:t>
      </w:r>
      <w:r w:rsidRPr="007B4961">
        <w:rPr>
          <w:rFonts w:cs="Tahoma"/>
          <w:szCs w:val="22"/>
        </w:rPr>
        <w:t xml:space="preserve">las respuestas entregadas por el </w:t>
      </w:r>
      <w:r w:rsidRPr="007B4961">
        <w:rPr>
          <w:rFonts w:cs="Tahoma"/>
          <w:b/>
          <w:bCs/>
          <w:szCs w:val="22"/>
        </w:rPr>
        <w:t>SUJETO OBLIGADO</w:t>
      </w:r>
      <w:r w:rsidRPr="007B4961">
        <w:rPr>
          <w:rFonts w:cs="Tahoma"/>
          <w:szCs w:val="22"/>
        </w:rPr>
        <w:t xml:space="preserve"> en las solicitudes de información </w:t>
      </w:r>
      <w:r w:rsidR="00E0075C" w:rsidRPr="007B4961">
        <w:rPr>
          <w:rFonts w:cs="Tahoma"/>
          <w:b/>
          <w:bCs/>
          <w:szCs w:val="22"/>
        </w:rPr>
        <w:t>00286/HUIXQUIL/IP/2024 y 00287/HUIXQUIL/IP/2024</w:t>
      </w:r>
      <w:r w:rsidR="00B86B25" w:rsidRPr="007B4961">
        <w:rPr>
          <w:rFonts w:cs="Tahoma"/>
          <w:b/>
          <w:szCs w:val="22"/>
        </w:rPr>
        <w:t>,</w:t>
      </w:r>
      <w:r w:rsidRPr="007B4961">
        <w:rPr>
          <w:rFonts w:cs="Tahoma"/>
          <w:bCs/>
          <w:szCs w:val="22"/>
        </w:rPr>
        <w:t xml:space="preserve"> </w:t>
      </w:r>
      <w:r w:rsidRPr="007B4961">
        <w:rPr>
          <w:rFonts w:eastAsia="Calibri" w:cs="Tahoma"/>
          <w:bCs/>
          <w:szCs w:val="22"/>
          <w:lang w:eastAsia="en-US"/>
        </w:rPr>
        <w:t xml:space="preserve">por resultar </w:t>
      </w:r>
      <w:r w:rsidRPr="007B4961">
        <w:rPr>
          <w:rFonts w:eastAsia="Calibri" w:cs="Tahoma"/>
          <w:b/>
          <w:bCs/>
          <w:szCs w:val="22"/>
          <w:lang w:eastAsia="en-US"/>
        </w:rPr>
        <w:t>FUNDADAS</w:t>
      </w:r>
      <w:r w:rsidRPr="007B4961">
        <w:rPr>
          <w:rFonts w:eastAsia="Calibri" w:cs="Tahoma"/>
          <w:bCs/>
          <w:szCs w:val="22"/>
          <w:lang w:eastAsia="en-US"/>
        </w:rPr>
        <w:t xml:space="preserve"> las razones o motivos de inconformidad hechos valer por </w:t>
      </w:r>
      <w:r w:rsidRPr="007B4961">
        <w:rPr>
          <w:rFonts w:eastAsia="Calibri" w:cs="Tahoma"/>
          <w:b/>
          <w:szCs w:val="22"/>
          <w:lang w:eastAsia="en-US"/>
        </w:rPr>
        <w:t>LA PARTE RECURRENTE</w:t>
      </w:r>
      <w:r w:rsidRPr="007B4961">
        <w:rPr>
          <w:rFonts w:eastAsia="Calibri" w:cs="Tahoma"/>
          <w:bCs/>
          <w:szCs w:val="22"/>
          <w:lang w:eastAsia="en-US"/>
        </w:rPr>
        <w:t xml:space="preserve"> en </w:t>
      </w:r>
      <w:r w:rsidR="00E01754" w:rsidRPr="007B4961">
        <w:rPr>
          <w:rFonts w:eastAsia="Calibri" w:cs="Tahoma"/>
          <w:bCs/>
          <w:szCs w:val="22"/>
          <w:lang w:eastAsia="en-US"/>
        </w:rPr>
        <w:t>los</w:t>
      </w:r>
      <w:r w:rsidRPr="007B4961">
        <w:rPr>
          <w:rFonts w:eastAsia="Calibri" w:cs="Tahoma"/>
          <w:bCs/>
          <w:szCs w:val="22"/>
          <w:lang w:eastAsia="en-US"/>
        </w:rPr>
        <w:t xml:space="preserve"> Recurso</w:t>
      </w:r>
      <w:r w:rsidR="00E01754" w:rsidRPr="007B4961">
        <w:rPr>
          <w:rFonts w:eastAsia="Calibri" w:cs="Tahoma"/>
          <w:bCs/>
          <w:szCs w:val="22"/>
          <w:lang w:eastAsia="en-US"/>
        </w:rPr>
        <w:t>s</w:t>
      </w:r>
      <w:r w:rsidRPr="007B4961">
        <w:rPr>
          <w:rFonts w:eastAsia="Calibri" w:cs="Tahoma"/>
          <w:bCs/>
          <w:szCs w:val="22"/>
          <w:lang w:eastAsia="en-US"/>
        </w:rPr>
        <w:t xml:space="preserve"> de Revisión </w:t>
      </w:r>
      <w:r w:rsidR="00E0075C" w:rsidRPr="007B4961">
        <w:rPr>
          <w:rFonts w:cs="Tahoma"/>
          <w:b/>
          <w:bCs/>
          <w:szCs w:val="22"/>
        </w:rPr>
        <w:t>06927/INFOEM/IP/RR/2024 y 06928</w:t>
      </w:r>
      <w:r w:rsidR="00E36D21" w:rsidRPr="007B4961">
        <w:rPr>
          <w:rFonts w:cs="Tahoma"/>
          <w:b/>
          <w:bCs/>
          <w:szCs w:val="22"/>
        </w:rPr>
        <w:t>/INFOEM/IP/RR/2024</w:t>
      </w:r>
      <w:r w:rsidRPr="007B4961">
        <w:rPr>
          <w:rFonts w:eastAsia="Calibri" w:cs="Tahoma"/>
          <w:szCs w:val="22"/>
          <w:lang w:eastAsia="en-US"/>
        </w:rPr>
        <w:t xml:space="preserve">, </w:t>
      </w:r>
      <w:r w:rsidRPr="007B4961">
        <w:rPr>
          <w:rFonts w:eastAsia="Calibri" w:cs="Tahoma"/>
          <w:bCs/>
          <w:szCs w:val="22"/>
          <w:lang w:eastAsia="en-US"/>
        </w:rPr>
        <w:t xml:space="preserve">en términos del considerando </w:t>
      </w:r>
      <w:r w:rsidRPr="007B4961">
        <w:rPr>
          <w:rFonts w:eastAsia="Calibri" w:cs="Tahoma"/>
          <w:b/>
          <w:szCs w:val="22"/>
          <w:lang w:eastAsia="en-US"/>
        </w:rPr>
        <w:t>SEGUNDO</w:t>
      </w:r>
      <w:r w:rsidRPr="007B4961">
        <w:rPr>
          <w:rFonts w:eastAsia="Calibri" w:cs="Tahoma"/>
          <w:bCs/>
          <w:szCs w:val="22"/>
          <w:lang w:eastAsia="en-US"/>
        </w:rPr>
        <w:t xml:space="preserve"> de la presente Resolución.</w:t>
      </w:r>
    </w:p>
    <w:p w14:paraId="3DC46431" w14:textId="77777777" w:rsidR="00551512" w:rsidRPr="007B4961" w:rsidRDefault="00551512" w:rsidP="007B4961">
      <w:pPr>
        <w:widowControl w:val="0"/>
        <w:rPr>
          <w:rFonts w:eastAsia="Calibri" w:cs="Tahoma"/>
          <w:bCs/>
          <w:szCs w:val="22"/>
          <w:lang w:eastAsia="en-US"/>
        </w:rPr>
      </w:pPr>
    </w:p>
    <w:p w14:paraId="29F1B95C" w14:textId="313708BD" w:rsidR="00E0075C" w:rsidRPr="007B4961" w:rsidRDefault="00551512" w:rsidP="007B4961">
      <w:pPr>
        <w:tabs>
          <w:tab w:val="left" w:pos="709"/>
        </w:tabs>
        <w:ind w:right="-93"/>
        <w:rPr>
          <w:rFonts w:eastAsia="Calibri" w:cs="Tahoma"/>
          <w:bCs/>
          <w:szCs w:val="22"/>
          <w:lang w:eastAsia="en-US"/>
        </w:rPr>
      </w:pPr>
      <w:r w:rsidRPr="007B4961">
        <w:rPr>
          <w:rFonts w:eastAsia="Calibri" w:cs="Tahoma"/>
          <w:b/>
          <w:bCs/>
          <w:szCs w:val="22"/>
          <w:lang w:eastAsia="en-US"/>
        </w:rPr>
        <w:t>SEGUNDO.</w:t>
      </w:r>
      <w:r w:rsidRPr="007B4961">
        <w:rPr>
          <w:rFonts w:eastAsia="Calibri" w:cs="Tahoma"/>
          <w:szCs w:val="22"/>
          <w:lang w:eastAsia="es-MX"/>
        </w:rPr>
        <w:t xml:space="preserve"> Se </w:t>
      </w:r>
      <w:r w:rsidRPr="007B4961">
        <w:rPr>
          <w:rFonts w:eastAsia="Calibri" w:cs="Tahoma"/>
          <w:b/>
          <w:szCs w:val="22"/>
          <w:lang w:eastAsia="es-MX"/>
        </w:rPr>
        <w:t xml:space="preserve">ORDENA </w:t>
      </w:r>
      <w:r w:rsidRPr="007B4961">
        <w:rPr>
          <w:rFonts w:eastAsia="Calibri" w:cs="Tahoma"/>
          <w:szCs w:val="22"/>
          <w:lang w:eastAsia="es-MX"/>
        </w:rPr>
        <w:t xml:space="preserve">al </w:t>
      </w:r>
      <w:r w:rsidRPr="007B4961">
        <w:rPr>
          <w:rFonts w:eastAsia="Calibri" w:cs="Tahoma"/>
          <w:b/>
          <w:bCs/>
          <w:szCs w:val="22"/>
          <w:lang w:eastAsia="es-MX"/>
        </w:rPr>
        <w:t>SUJETO OBLIGADO</w:t>
      </w:r>
      <w:r w:rsidRPr="007B4961">
        <w:rPr>
          <w:rFonts w:eastAsia="Calibri" w:cs="Tahoma"/>
          <w:szCs w:val="22"/>
          <w:lang w:eastAsia="es-MX"/>
        </w:rPr>
        <w:t xml:space="preserve"> </w:t>
      </w:r>
      <w:r w:rsidRPr="007B4961">
        <w:rPr>
          <w:rFonts w:eastAsia="Calibri" w:cs="Tahoma"/>
          <w:bCs/>
          <w:szCs w:val="22"/>
          <w:lang w:eastAsia="en-US"/>
        </w:rPr>
        <w:t xml:space="preserve">a efecto de que, previa búsqueda exhaustiva y razonable de la información, entregue a través del </w:t>
      </w:r>
      <w:r w:rsidRPr="007B4961">
        <w:rPr>
          <w:rFonts w:eastAsia="Calibri" w:cs="Tahoma"/>
          <w:b/>
          <w:bCs/>
          <w:szCs w:val="22"/>
          <w:lang w:eastAsia="en-US"/>
        </w:rPr>
        <w:t>SAIMEX</w:t>
      </w:r>
      <w:r w:rsidRPr="007B4961">
        <w:rPr>
          <w:rFonts w:eastAsia="Calibri" w:cs="Tahoma"/>
          <w:bCs/>
          <w:szCs w:val="22"/>
          <w:lang w:eastAsia="en-US"/>
        </w:rPr>
        <w:t>,</w:t>
      </w:r>
      <w:r w:rsidR="00E0075C" w:rsidRPr="007B4961">
        <w:rPr>
          <w:rFonts w:eastAsia="Calibri" w:cs="Tahoma"/>
          <w:bCs/>
          <w:szCs w:val="22"/>
          <w:lang w:eastAsia="en-US"/>
        </w:rPr>
        <w:t xml:space="preserve"> en </w:t>
      </w:r>
      <w:r w:rsidR="00E0075C" w:rsidRPr="007B4961">
        <w:rPr>
          <w:rFonts w:eastAsia="Calibri" w:cs="Tahoma"/>
          <w:b/>
          <w:bCs/>
          <w:szCs w:val="22"/>
          <w:lang w:eastAsia="en-US"/>
        </w:rPr>
        <w:t>versión pública</w:t>
      </w:r>
      <w:r w:rsidRPr="007B4961">
        <w:rPr>
          <w:rFonts w:eastAsia="Calibri" w:cs="Tahoma"/>
          <w:bCs/>
          <w:szCs w:val="22"/>
          <w:lang w:eastAsia="en-US"/>
        </w:rPr>
        <w:t xml:space="preserve"> </w:t>
      </w:r>
      <w:r w:rsidR="00E0075C" w:rsidRPr="007B4961">
        <w:rPr>
          <w:rFonts w:eastAsia="Calibri" w:cs="Tahoma"/>
          <w:bCs/>
          <w:szCs w:val="22"/>
          <w:lang w:eastAsia="en-US"/>
        </w:rPr>
        <w:t>lo siguiente:</w:t>
      </w:r>
    </w:p>
    <w:p w14:paraId="48C455C3" w14:textId="77777777" w:rsidR="00E36D21" w:rsidRPr="007B4961" w:rsidRDefault="00E36D21" w:rsidP="007B4961">
      <w:pPr>
        <w:tabs>
          <w:tab w:val="left" w:pos="709"/>
        </w:tabs>
        <w:ind w:right="-93"/>
        <w:rPr>
          <w:rFonts w:eastAsia="Calibri" w:cs="Tahoma"/>
          <w:bCs/>
          <w:szCs w:val="22"/>
          <w:lang w:eastAsia="en-US"/>
        </w:rPr>
      </w:pPr>
    </w:p>
    <w:p w14:paraId="0BC8F64F" w14:textId="1D802587" w:rsidR="007D7D16" w:rsidRPr="007B4961" w:rsidRDefault="00E0075C" w:rsidP="007B4961">
      <w:pPr>
        <w:pStyle w:val="Prrafodelista"/>
        <w:numPr>
          <w:ilvl w:val="0"/>
          <w:numId w:val="9"/>
        </w:numPr>
        <w:tabs>
          <w:tab w:val="left" w:pos="709"/>
        </w:tabs>
        <w:ind w:right="-93"/>
        <w:rPr>
          <w:rFonts w:eastAsia="Calibri" w:cs="Tahoma"/>
          <w:b/>
          <w:bCs/>
          <w:szCs w:val="22"/>
          <w:lang w:eastAsia="en-US"/>
        </w:rPr>
      </w:pPr>
      <w:r w:rsidRPr="007B4961">
        <w:rPr>
          <w:rFonts w:eastAsia="Calibri" w:cs="Tahoma"/>
          <w:b/>
          <w:bCs/>
          <w:szCs w:val="22"/>
          <w:lang w:eastAsia="en-US"/>
        </w:rPr>
        <w:t>Los recibos de nómina</w:t>
      </w:r>
      <w:r w:rsidR="007D7D16" w:rsidRPr="007B4961">
        <w:rPr>
          <w:rFonts w:eastAsia="Calibri" w:cs="Tahoma"/>
          <w:b/>
          <w:bCs/>
          <w:szCs w:val="22"/>
          <w:lang w:eastAsia="en-US"/>
        </w:rPr>
        <w:t xml:space="preserve"> y lista de raya, correspondientes a la segunda quincena de septiembre de 2024. </w:t>
      </w:r>
    </w:p>
    <w:p w14:paraId="582C5FD1" w14:textId="77777777" w:rsidR="007D7D16" w:rsidRPr="007B4961" w:rsidRDefault="007D7D16" w:rsidP="007B4961">
      <w:pPr>
        <w:pBdr>
          <w:top w:val="nil"/>
          <w:left w:val="nil"/>
          <w:bottom w:val="nil"/>
          <w:right w:val="nil"/>
          <w:between w:val="nil"/>
        </w:pBdr>
        <w:ind w:right="-93"/>
      </w:pPr>
    </w:p>
    <w:p w14:paraId="0EB7D811" w14:textId="77777777" w:rsidR="00C45168" w:rsidRPr="007B4961" w:rsidRDefault="00C45168" w:rsidP="007B4961">
      <w:pPr>
        <w:pBdr>
          <w:top w:val="nil"/>
          <w:left w:val="nil"/>
          <w:bottom w:val="nil"/>
          <w:right w:val="nil"/>
          <w:between w:val="nil"/>
        </w:pBdr>
        <w:ind w:right="-93"/>
      </w:pPr>
      <w:r w:rsidRPr="007B4961">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DE8ACA4" w14:textId="77777777" w:rsidR="00C45168" w:rsidRPr="007B4961" w:rsidRDefault="00C45168" w:rsidP="007B4961">
      <w:pPr>
        <w:pBdr>
          <w:top w:val="nil"/>
          <w:left w:val="nil"/>
          <w:bottom w:val="nil"/>
          <w:right w:val="nil"/>
          <w:between w:val="nil"/>
        </w:pBdr>
        <w:ind w:right="-93"/>
      </w:pPr>
    </w:p>
    <w:p w14:paraId="1AFC815C" w14:textId="7F4763D9" w:rsidR="00E36D21" w:rsidRPr="007B4961" w:rsidRDefault="00C45168" w:rsidP="007B4961">
      <w:pPr>
        <w:pBdr>
          <w:top w:val="nil"/>
          <w:left w:val="nil"/>
          <w:bottom w:val="nil"/>
          <w:right w:val="nil"/>
          <w:between w:val="nil"/>
        </w:pBdr>
        <w:ind w:right="-93"/>
        <w:rPr>
          <w:b/>
        </w:rPr>
      </w:pPr>
      <w:r w:rsidRPr="007B4961">
        <w:t xml:space="preserve">Para el </w:t>
      </w:r>
      <w:r w:rsidR="00E36D21" w:rsidRPr="007B4961">
        <w:t>caso en q</w:t>
      </w:r>
      <w:r w:rsidR="00E0075C" w:rsidRPr="007B4961">
        <w:t xml:space="preserve">ue </w:t>
      </w:r>
      <w:r w:rsidR="00B25C07" w:rsidRPr="007B4961">
        <w:t>no cuente con personal de lista de raya</w:t>
      </w:r>
      <w:r w:rsidR="00E0075C" w:rsidRPr="007B4961">
        <w:t>,</w:t>
      </w:r>
      <w:r w:rsidR="00B25C07" w:rsidRPr="007B4961">
        <w:t xml:space="preserve"> </w:t>
      </w:r>
      <w:r w:rsidR="00B25C07" w:rsidRPr="007B4961">
        <w:rPr>
          <w:b/>
        </w:rPr>
        <w:t>EL</w:t>
      </w:r>
      <w:r w:rsidR="00E0075C" w:rsidRPr="007B4961">
        <w:t xml:space="preserve"> </w:t>
      </w:r>
      <w:r w:rsidR="000B5FA8" w:rsidRPr="007B4961">
        <w:rPr>
          <w:b/>
        </w:rPr>
        <w:t>SUJETO OBLIGADO</w:t>
      </w:r>
      <w:r w:rsidR="00E0075C" w:rsidRPr="007B4961">
        <w:t xml:space="preserve">, bastará con que se haga del conocimiento </w:t>
      </w:r>
      <w:r w:rsidR="000B5FA8" w:rsidRPr="007B4961">
        <w:t xml:space="preserve">de </w:t>
      </w:r>
      <w:r w:rsidR="000B5FA8" w:rsidRPr="007B4961">
        <w:rPr>
          <w:b/>
        </w:rPr>
        <w:t>LA PARTE RECURRENTE.</w:t>
      </w:r>
    </w:p>
    <w:p w14:paraId="22B1F070" w14:textId="77777777" w:rsidR="003D3941" w:rsidRPr="007B4961" w:rsidRDefault="003D3941" w:rsidP="007B4961">
      <w:pPr>
        <w:ind w:right="-28"/>
        <w:rPr>
          <w:rFonts w:eastAsia="Calibri" w:cs="Tahoma"/>
          <w:bCs/>
          <w:iCs/>
          <w:szCs w:val="22"/>
          <w:lang w:eastAsia="en-US"/>
        </w:rPr>
      </w:pPr>
    </w:p>
    <w:p w14:paraId="00C7E0A9" w14:textId="77777777" w:rsidR="00551512" w:rsidRPr="007B4961" w:rsidRDefault="00551512" w:rsidP="007B4961">
      <w:pPr>
        <w:rPr>
          <w:szCs w:val="22"/>
        </w:rPr>
      </w:pPr>
      <w:r w:rsidRPr="007B4961">
        <w:rPr>
          <w:b/>
          <w:bCs/>
          <w:szCs w:val="22"/>
        </w:rPr>
        <w:t>TERCERO.</w:t>
      </w:r>
      <w:r w:rsidRPr="007B4961">
        <w:rPr>
          <w:szCs w:val="22"/>
        </w:rPr>
        <w:t xml:space="preserve"> Notifíquese la presente resolución al Titular de la Unidad de Transparencia del </w:t>
      </w:r>
      <w:r w:rsidRPr="007B4961">
        <w:rPr>
          <w:b/>
          <w:bCs/>
          <w:szCs w:val="22"/>
        </w:rPr>
        <w:t xml:space="preserve">SUJETO OBLIGADO </w:t>
      </w:r>
      <w:r w:rsidRPr="007B4961">
        <w:rPr>
          <w:szCs w:val="22"/>
        </w:rPr>
        <w:t xml:space="preserve">vía Sistema de Acceso a la Información Mexiquense </w:t>
      </w:r>
      <w:r w:rsidRPr="007B4961">
        <w:rPr>
          <w:b/>
          <w:bCs/>
          <w:szCs w:val="22"/>
        </w:rPr>
        <w:t>(SAIMEX),</w:t>
      </w:r>
      <w:r w:rsidRPr="007B4961">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7B4961">
        <w:rPr>
          <w:b/>
          <w:bCs/>
          <w:szCs w:val="22"/>
        </w:rPr>
        <w:t>diez días hábiles</w:t>
      </w:r>
      <w:r w:rsidRPr="007B4961">
        <w:rPr>
          <w:szCs w:val="22"/>
        </w:rPr>
        <w:t xml:space="preserve">, e informe a este Instituto en un plazo de </w:t>
      </w:r>
      <w:r w:rsidRPr="007B4961">
        <w:rPr>
          <w:b/>
          <w:bCs/>
          <w:szCs w:val="22"/>
        </w:rPr>
        <w:t>tres días hábiles</w:t>
      </w:r>
      <w:r w:rsidRPr="007B4961">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026081" w14:textId="77777777" w:rsidR="00551512" w:rsidRPr="007B4961" w:rsidRDefault="00551512" w:rsidP="007B4961">
      <w:pPr>
        <w:rPr>
          <w:szCs w:val="22"/>
        </w:rPr>
      </w:pPr>
    </w:p>
    <w:p w14:paraId="693CF5AD" w14:textId="77777777" w:rsidR="00551512" w:rsidRPr="007B4961" w:rsidRDefault="00551512" w:rsidP="007B4961">
      <w:pPr>
        <w:rPr>
          <w:szCs w:val="22"/>
        </w:rPr>
      </w:pPr>
      <w:r w:rsidRPr="007B4961">
        <w:rPr>
          <w:b/>
          <w:bCs/>
          <w:szCs w:val="22"/>
        </w:rPr>
        <w:t>CUARTO.</w:t>
      </w:r>
      <w:r w:rsidRPr="007B4961">
        <w:rPr>
          <w:szCs w:val="22"/>
        </w:rPr>
        <w:t xml:space="preserve"> Notifíquese a </w:t>
      </w:r>
      <w:r w:rsidRPr="007B4961">
        <w:rPr>
          <w:b/>
          <w:bCs/>
          <w:szCs w:val="22"/>
        </w:rPr>
        <w:t>LA PARTE RECURRENTE</w:t>
      </w:r>
      <w:r w:rsidRPr="007B4961">
        <w:rPr>
          <w:szCs w:val="22"/>
        </w:rPr>
        <w:t xml:space="preserve"> la presente resolución vía Sistema de Acceso a la Información Mexiquense (SAIMEX).</w:t>
      </w:r>
    </w:p>
    <w:p w14:paraId="62A9D7C2" w14:textId="77777777" w:rsidR="00551512" w:rsidRPr="007B4961" w:rsidRDefault="00551512" w:rsidP="007B4961">
      <w:pPr>
        <w:rPr>
          <w:szCs w:val="22"/>
        </w:rPr>
      </w:pPr>
    </w:p>
    <w:p w14:paraId="28C710D5" w14:textId="77777777" w:rsidR="00551512" w:rsidRPr="007B4961" w:rsidRDefault="00551512" w:rsidP="007B4961">
      <w:pPr>
        <w:rPr>
          <w:szCs w:val="22"/>
        </w:rPr>
      </w:pPr>
      <w:r w:rsidRPr="007B4961">
        <w:rPr>
          <w:b/>
          <w:bCs/>
          <w:szCs w:val="22"/>
        </w:rPr>
        <w:t>QUINTO</w:t>
      </w:r>
      <w:r w:rsidRPr="007B4961">
        <w:rPr>
          <w:szCs w:val="22"/>
        </w:rPr>
        <w:t xml:space="preserve">. Hágase del conocimiento a </w:t>
      </w:r>
      <w:r w:rsidRPr="007B4961">
        <w:rPr>
          <w:b/>
          <w:bCs/>
          <w:szCs w:val="22"/>
        </w:rPr>
        <w:t>LA PARTE RECURRENTE</w:t>
      </w:r>
      <w:r w:rsidRPr="007B4961">
        <w:rPr>
          <w:szCs w:val="22"/>
        </w:rPr>
        <w:t xml:space="preserve"> que, de conformidad con lo establecido en el artículo 196 de la Ley de Transparencia y Acceso a la Información Pública </w:t>
      </w:r>
      <w:r w:rsidRPr="007B4961">
        <w:rPr>
          <w:szCs w:val="22"/>
        </w:rPr>
        <w:lastRenderedPageBreak/>
        <w:t>del Estado de México y Municipios, podrá impugnar la presente resolución vía Juicio de Amparo en los términos de las leyes aplicables.</w:t>
      </w:r>
    </w:p>
    <w:p w14:paraId="77DD8FAC" w14:textId="77777777" w:rsidR="00551512" w:rsidRPr="007B4961" w:rsidRDefault="00551512" w:rsidP="007B4961">
      <w:pPr>
        <w:rPr>
          <w:szCs w:val="22"/>
        </w:rPr>
      </w:pPr>
    </w:p>
    <w:p w14:paraId="09DDA097" w14:textId="77777777" w:rsidR="00551512" w:rsidRPr="007B4961" w:rsidRDefault="00551512" w:rsidP="007B4961">
      <w:pPr>
        <w:rPr>
          <w:szCs w:val="22"/>
        </w:rPr>
      </w:pPr>
      <w:r w:rsidRPr="007B4961">
        <w:rPr>
          <w:b/>
          <w:bCs/>
          <w:szCs w:val="22"/>
        </w:rPr>
        <w:t>SEXTO.</w:t>
      </w:r>
      <w:r w:rsidRPr="007B4961">
        <w:rPr>
          <w:szCs w:val="22"/>
        </w:rPr>
        <w:t xml:space="preserve"> De conformidad con el artículo 198 de la Ley de Transparencia y Acceso a la Información Pública del Estado de México y Municipios, el </w:t>
      </w:r>
      <w:r w:rsidRPr="007B4961">
        <w:rPr>
          <w:b/>
          <w:bCs/>
          <w:szCs w:val="22"/>
        </w:rPr>
        <w:t>SUJETO OBLIGADO</w:t>
      </w:r>
      <w:r w:rsidRPr="007B4961">
        <w:rPr>
          <w:szCs w:val="22"/>
        </w:rPr>
        <w:t xml:space="preserve"> podrá solicitar una ampliación de plazo de manera fundada y motivada, para el cumplimiento de la presente resolución.</w:t>
      </w:r>
    </w:p>
    <w:p w14:paraId="26FF5CF3" w14:textId="77777777" w:rsidR="00BE0476" w:rsidRPr="007B4961" w:rsidRDefault="00BE0476" w:rsidP="007B4961">
      <w:pPr>
        <w:rPr>
          <w:szCs w:val="22"/>
        </w:rPr>
      </w:pPr>
    </w:p>
    <w:p w14:paraId="2D9DAB9F" w14:textId="02F536CE" w:rsidR="00BE0476" w:rsidRPr="007B4961" w:rsidRDefault="00BE0476" w:rsidP="007B4961">
      <w:pPr>
        <w:rPr>
          <w:rFonts w:eastAsia="Calibri"/>
          <w:lang w:eastAsia="es-MX"/>
        </w:rPr>
      </w:pPr>
      <w:r w:rsidRPr="007B4961">
        <w:rPr>
          <w:rFonts w:cs="Arial"/>
          <w:b/>
          <w:bCs/>
          <w:lang w:eastAsia="es-MX"/>
        </w:rPr>
        <w:t>SÉPTIMO</w:t>
      </w:r>
      <w:r w:rsidRPr="007B4961">
        <w:rPr>
          <w:rFonts w:eastAsia="Calibri" w:cs="Arial"/>
          <w:b/>
          <w:bCs/>
        </w:rPr>
        <w:t xml:space="preserve">. </w:t>
      </w:r>
      <w:r w:rsidRPr="007B4961">
        <w:rPr>
          <w:b/>
          <w:szCs w:val="17"/>
          <w:lang w:eastAsia="es-ES_tradnl"/>
        </w:rPr>
        <w:t>Gírese oficio</w:t>
      </w:r>
      <w:r w:rsidRPr="007B4961">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7B4961">
        <w:rPr>
          <w:b/>
          <w:szCs w:val="17"/>
          <w:lang w:eastAsia="es-ES_tradnl"/>
        </w:rPr>
        <w:t>SEGUNDO</w:t>
      </w:r>
      <w:r w:rsidRPr="007B4961">
        <w:rPr>
          <w:bCs/>
          <w:szCs w:val="17"/>
          <w:lang w:eastAsia="es-ES_tradnl"/>
        </w:rPr>
        <w:t xml:space="preserve"> de la presente resolución</w:t>
      </w:r>
      <w:r w:rsidRPr="007B4961">
        <w:rPr>
          <w:szCs w:val="17"/>
          <w:lang w:eastAsia="es-ES_tradnl"/>
        </w:rPr>
        <w:t>.</w:t>
      </w:r>
    </w:p>
    <w:p w14:paraId="0E8CFEB6" w14:textId="77777777" w:rsidR="000E03AE" w:rsidRPr="007B4961" w:rsidRDefault="000E03AE" w:rsidP="007B4961">
      <w:pPr>
        <w:ind w:right="113"/>
        <w:rPr>
          <w:rFonts w:cs="Arial"/>
          <w:b/>
          <w:szCs w:val="22"/>
        </w:rPr>
      </w:pPr>
    </w:p>
    <w:p w14:paraId="521432EE" w14:textId="72418427" w:rsidR="000E03AE" w:rsidRPr="007B4961" w:rsidRDefault="000E03AE" w:rsidP="007B4961">
      <w:pPr>
        <w:rPr>
          <w:rFonts w:eastAsia="Palatino Linotype" w:cs="Palatino Linotype"/>
          <w:szCs w:val="22"/>
        </w:rPr>
      </w:pPr>
      <w:r w:rsidRPr="007B496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D2E8D" w:rsidRPr="007B4961">
        <w:rPr>
          <w:rFonts w:eastAsia="Palatino Linotype" w:cs="Palatino Linotype"/>
          <w:szCs w:val="22"/>
        </w:rPr>
        <w:t xml:space="preserve">EMITIENDO VOTO PARTICULAR </w:t>
      </w:r>
      <w:r w:rsidRPr="007B4961">
        <w:rPr>
          <w:rFonts w:eastAsia="Palatino Linotype" w:cs="Palatino Linotype"/>
          <w:szCs w:val="22"/>
        </w:rPr>
        <w:t>Y GUADALUPE RAMÍREZ PEÑA</w:t>
      </w:r>
      <w:r w:rsidR="002D2E8D" w:rsidRPr="007B4961">
        <w:rPr>
          <w:rFonts w:eastAsia="Palatino Linotype" w:cs="Palatino Linotype"/>
          <w:szCs w:val="22"/>
        </w:rPr>
        <w:t xml:space="preserve"> EMITIENDO VOTO PARTICULAR</w:t>
      </w:r>
      <w:r w:rsidRPr="007B4961">
        <w:rPr>
          <w:rFonts w:eastAsia="Palatino Linotype" w:cs="Palatino Linotype"/>
          <w:szCs w:val="22"/>
        </w:rPr>
        <w:t xml:space="preserve">, EN LA </w:t>
      </w:r>
      <w:r w:rsidR="00E36D21" w:rsidRPr="007B4961">
        <w:rPr>
          <w:rFonts w:eastAsia="Palatino Linotype" w:cs="Palatino Linotype"/>
          <w:szCs w:val="22"/>
        </w:rPr>
        <w:t>CUADRAGÉSIMA</w:t>
      </w:r>
      <w:r w:rsidRPr="007B4961">
        <w:rPr>
          <w:rFonts w:eastAsia="Palatino Linotype" w:cs="Palatino Linotype"/>
          <w:szCs w:val="22"/>
        </w:rPr>
        <w:t xml:space="preserve"> </w:t>
      </w:r>
      <w:r w:rsidR="000B5FA8" w:rsidRPr="007B4961">
        <w:rPr>
          <w:rFonts w:eastAsia="Palatino Linotype" w:cs="Palatino Linotype"/>
          <w:szCs w:val="22"/>
        </w:rPr>
        <w:t xml:space="preserve">SEGUNDA </w:t>
      </w:r>
      <w:r w:rsidRPr="007B4961">
        <w:rPr>
          <w:rFonts w:eastAsia="Palatino Linotype" w:cs="Palatino Linotype"/>
          <w:szCs w:val="22"/>
        </w:rPr>
        <w:t xml:space="preserve">SESIÓN ORDINARIA, CELEBRADA EL </w:t>
      </w:r>
      <w:r w:rsidR="000B5FA8" w:rsidRPr="007B4961">
        <w:rPr>
          <w:rFonts w:eastAsia="Palatino Linotype" w:cs="Palatino Linotype"/>
          <w:szCs w:val="22"/>
        </w:rPr>
        <w:t>CUATRO</w:t>
      </w:r>
      <w:r w:rsidRPr="007B4961">
        <w:rPr>
          <w:rFonts w:eastAsia="Palatino Linotype" w:cs="Palatino Linotype"/>
          <w:szCs w:val="22"/>
        </w:rPr>
        <w:t xml:space="preserve"> DE </w:t>
      </w:r>
      <w:r w:rsidR="000B5FA8" w:rsidRPr="007B4961">
        <w:rPr>
          <w:rFonts w:eastAsia="Palatino Linotype" w:cs="Palatino Linotype"/>
          <w:szCs w:val="22"/>
        </w:rPr>
        <w:t>DICIEMBRE</w:t>
      </w:r>
      <w:r w:rsidRPr="007B4961">
        <w:rPr>
          <w:rFonts w:eastAsia="Palatino Linotype" w:cs="Palatino Linotype"/>
          <w:szCs w:val="22"/>
        </w:rPr>
        <w:t xml:space="preserve"> DE DOS MIL VEINTICUATRO ANTE EL SECRETARIO TÉCNICO DEL PLENO, ALEXIS TAPIA RAMÍREZ.</w:t>
      </w:r>
    </w:p>
    <w:p w14:paraId="6BF2B1BF" w14:textId="77777777" w:rsidR="000E03AE" w:rsidRPr="007B4961" w:rsidRDefault="000E03AE" w:rsidP="007B4961">
      <w:pPr>
        <w:tabs>
          <w:tab w:val="left" w:pos="2325"/>
        </w:tabs>
        <w:rPr>
          <w:sz w:val="14"/>
          <w:szCs w:val="22"/>
        </w:rPr>
      </w:pPr>
      <w:r w:rsidRPr="007B4961">
        <w:rPr>
          <w:sz w:val="14"/>
          <w:szCs w:val="22"/>
        </w:rPr>
        <w:t>SCMM/AGZ/DEMF/DLM</w:t>
      </w:r>
    </w:p>
    <w:p w14:paraId="2E89CBD2" w14:textId="77777777" w:rsidR="00BA3C86" w:rsidRPr="007B4961" w:rsidRDefault="00BA3C86" w:rsidP="007B4961">
      <w:pPr>
        <w:tabs>
          <w:tab w:val="left" w:pos="2325"/>
        </w:tabs>
        <w:rPr>
          <w:sz w:val="14"/>
          <w:szCs w:val="22"/>
        </w:rPr>
      </w:pPr>
    </w:p>
    <w:p w14:paraId="775D1253" w14:textId="77777777" w:rsidR="00BA3C86" w:rsidRPr="007B4961" w:rsidRDefault="00BA3C86" w:rsidP="007B4961">
      <w:pPr>
        <w:tabs>
          <w:tab w:val="left" w:pos="2325"/>
        </w:tabs>
        <w:rPr>
          <w:sz w:val="14"/>
          <w:szCs w:val="22"/>
        </w:rPr>
      </w:pPr>
    </w:p>
    <w:p w14:paraId="4894EE97" w14:textId="77777777" w:rsidR="00BA3C86" w:rsidRPr="007B4961" w:rsidRDefault="00BA3C86" w:rsidP="007B4961">
      <w:pPr>
        <w:tabs>
          <w:tab w:val="left" w:pos="2325"/>
        </w:tabs>
        <w:rPr>
          <w:sz w:val="14"/>
          <w:szCs w:val="22"/>
        </w:rPr>
      </w:pPr>
    </w:p>
    <w:p w14:paraId="1491FB30" w14:textId="77777777" w:rsidR="00BA3C86" w:rsidRPr="007B4961" w:rsidRDefault="00BA3C86" w:rsidP="007B4961">
      <w:pPr>
        <w:tabs>
          <w:tab w:val="left" w:pos="2325"/>
        </w:tabs>
        <w:rPr>
          <w:sz w:val="14"/>
          <w:szCs w:val="22"/>
        </w:rPr>
      </w:pPr>
    </w:p>
    <w:p w14:paraId="3F5E1C3B" w14:textId="77777777" w:rsidR="00BA3C86" w:rsidRPr="007B4961" w:rsidRDefault="00BA3C86" w:rsidP="007B4961">
      <w:pPr>
        <w:tabs>
          <w:tab w:val="left" w:pos="2325"/>
        </w:tabs>
        <w:rPr>
          <w:sz w:val="14"/>
          <w:szCs w:val="22"/>
        </w:rPr>
      </w:pPr>
    </w:p>
    <w:p w14:paraId="186DDB54" w14:textId="77777777" w:rsidR="00BA3C86" w:rsidRPr="007B4961" w:rsidRDefault="00BA3C86" w:rsidP="007B4961">
      <w:pPr>
        <w:tabs>
          <w:tab w:val="left" w:pos="2325"/>
        </w:tabs>
        <w:rPr>
          <w:szCs w:val="22"/>
        </w:rPr>
      </w:pPr>
    </w:p>
    <w:p w14:paraId="5B4ADFF3" w14:textId="77777777" w:rsidR="00A131AC" w:rsidRPr="007B4961" w:rsidRDefault="00A131AC" w:rsidP="007B4961">
      <w:pPr>
        <w:ind w:left="851" w:right="680"/>
        <w:rPr>
          <w:szCs w:val="22"/>
        </w:rPr>
      </w:pPr>
    </w:p>
    <w:sectPr w:rsidR="00A131AC" w:rsidRPr="007B4961" w:rsidSect="00EE2AF2">
      <w:footerReference w:type="default" r:id="rId23"/>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776E42" w:rsidRDefault="00776E42" w:rsidP="00664420">
      <w:pPr>
        <w:spacing w:line="240" w:lineRule="auto"/>
      </w:pPr>
      <w:r>
        <w:separator/>
      </w:r>
    </w:p>
  </w:endnote>
  <w:endnote w:type="continuationSeparator" w:id="0">
    <w:p w14:paraId="162A9BFF" w14:textId="77777777" w:rsidR="00776E42" w:rsidRDefault="00776E4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76E42" w:rsidRDefault="00776E42">
    <w:pPr>
      <w:tabs>
        <w:tab w:val="center" w:pos="4550"/>
        <w:tab w:val="left" w:pos="5818"/>
      </w:tabs>
      <w:ind w:right="260"/>
      <w:jc w:val="right"/>
      <w:rPr>
        <w:color w:val="071320" w:themeColor="text2" w:themeShade="80"/>
        <w:sz w:val="24"/>
        <w:szCs w:val="24"/>
      </w:rPr>
    </w:pPr>
  </w:p>
  <w:p w14:paraId="1BCA7F23" w14:textId="77777777" w:rsidR="00776E42" w:rsidRDefault="00776E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6E42" w:rsidRDefault="00776E4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01F26" w:rsidRPr="00901F26">
      <w:rPr>
        <w:noProof/>
        <w:color w:val="0A1D30" w:themeColor="text2" w:themeShade="BF"/>
        <w:lang w:val="es-ES"/>
      </w:rPr>
      <w:t>49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01F26" w:rsidRPr="00901F26">
      <w:rPr>
        <w:noProof/>
        <w:color w:val="0A1D30" w:themeColor="text2" w:themeShade="BF"/>
        <w:lang w:val="es-ES"/>
      </w:rPr>
      <w:t>52</w:t>
    </w:r>
    <w:r>
      <w:rPr>
        <w:color w:val="0A1D30" w:themeColor="text2" w:themeShade="BF"/>
        <w:sz w:val="24"/>
        <w:szCs w:val="24"/>
      </w:rPr>
      <w:fldChar w:fldCharType="end"/>
    </w:r>
  </w:p>
  <w:p w14:paraId="310E15C0" w14:textId="77777777" w:rsidR="00776E42" w:rsidRDefault="00776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776E42" w:rsidRDefault="00776E42" w:rsidP="00664420">
      <w:pPr>
        <w:spacing w:line="240" w:lineRule="auto"/>
      </w:pPr>
      <w:r>
        <w:separator/>
      </w:r>
    </w:p>
  </w:footnote>
  <w:footnote w:type="continuationSeparator" w:id="0">
    <w:p w14:paraId="51EDB179" w14:textId="77777777" w:rsidR="00776E42" w:rsidRDefault="00776E42"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835"/>
      <w:gridCol w:w="3294"/>
    </w:tblGrid>
    <w:tr w:rsidR="00776E42" w:rsidRPr="00330DA7" w14:paraId="070A4B18" w14:textId="77777777" w:rsidTr="00B226D5">
      <w:trPr>
        <w:trHeight w:val="144"/>
        <w:jc w:val="right"/>
      </w:trPr>
      <w:tc>
        <w:tcPr>
          <w:tcW w:w="2835" w:type="dxa"/>
        </w:tcPr>
        <w:p w14:paraId="62B7493A" w14:textId="77777777" w:rsidR="00776E42" w:rsidRPr="00330DA7" w:rsidRDefault="00776E4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294" w:type="dxa"/>
        </w:tcPr>
        <w:p w14:paraId="2C8124F7" w14:textId="12771051" w:rsidR="00776E42" w:rsidRPr="00A90C72" w:rsidRDefault="00776E42" w:rsidP="00352E9A">
          <w:pPr>
            <w:tabs>
              <w:tab w:val="right" w:pos="8838"/>
            </w:tabs>
            <w:ind w:left="-74" w:right="-105"/>
            <w:rPr>
              <w:rFonts w:eastAsia="Calibri" w:cs="Tahoma"/>
              <w:szCs w:val="22"/>
              <w:lang w:eastAsia="en-US"/>
            </w:rPr>
          </w:pPr>
          <w:r>
            <w:rPr>
              <w:rFonts w:eastAsia="Calibri" w:cs="Tahoma"/>
              <w:szCs w:val="22"/>
              <w:lang w:eastAsia="en-US"/>
            </w:rPr>
            <w:t>06927/</w:t>
          </w:r>
          <w:r w:rsidRPr="00A90C72">
            <w:rPr>
              <w:rFonts w:eastAsia="Calibri" w:cs="Tahoma"/>
              <w:szCs w:val="22"/>
              <w:lang w:eastAsia="en-US"/>
            </w:rPr>
            <w:t>INFOEM/IP/RR</w:t>
          </w:r>
          <w:r>
            <w:rPr>
              <w:rFonts w:eastAsia="Calibri" w:cs="Tahoma"/>
              <w:szCs w:val="22"/>
              <w:lang w:eastAsia="en-US"/>
            </w:rPr>
            <w:t>/2024 y acumulado</w:t>
          </w:r>
        </w:p>
      </w:tc>
    </w:tr>
    <w:tr w:rsidR="00776E42" w:rsidRPr="00330DA7" w14:paraId="4521E058" w14:textId="77777777" w:rsidTr="00B226D5">
      <w:trPr>
        <w:trHeight w:val="283"/>
        <w:jc w:val="right"/>
      </w:trPr>
      <w:tc>
        <w:tcPr>
          <w:tcW w:w="2835" w:type="dxa"/>
        </w:tcPr>
        <w:p w14:paraId="0B68C086" w14:textId="77777777" w:rsidR="00776E42" w:rsidRPr="00330DA7" w:rsidRDefault="00776E4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294" w:type="dxa"/>
        </w:tcPr>
        <w:p w14:paraId="4CAE8ADA" w14:textId="522C77B8" w:rsidR="00776E42" w:rsidRPr="00952DD0" w:rsidRDefault="00776E42" w:rsidP="003F35FD">
          <w:pPr>
            <w:tabs>
              <w:tab w:val="left" w:pos="2834"/>
              <w:tab w:val="right" w:pos="8838"/>
            </w:tabs>
            <w:ind w:left="-108" w:right="-105"/>
            <w:rPr>
              <w:rFonts w:eastAsia="Calibri" w:cs="Tahoma"/>
              <w:szCs w:val="22"/>
              <w:lang w:eastAsia="en-US"/>
            </w:rPr>
          </w:pPr>
          <w:r w:rsidRPr="00352E9A">
            <w:rPr>
              <w:rFonts w:eastAsia="Calibri" w:cs="Tahoma"/>
              <w:szCs w:val="22"/>
              <w:lang w:eastAsia="en-US"/>
            </w:rPr>
            <w:t>Ayuntamiento de Huixquilucan</w:t>
          </w:r>
        </w:p>
      </w:tc>
    </w:tr>
    <w:tr w:rsidR="00776E42" w:rsidRPr="00330DA7" w14:paraId="6331D9B6" w14:textId="77777777" w:rsidTr="00B226D5">
      <w:trPr>
        <w:trHeight w:val="283"/>
        <w:jc w:val="right"/>
      </w:trPr>
      <w:tc>
        <w:tcPr>
          <w:tcW w:w="2835" w:type="dxa"/>
        </w:tcPr>
        <w:p w14:paraId="3FA86BAE" w14:textId="2A92F133" w:rsidR="00776E42" w:rsidRPr="00330DA7" w:rsidRDefault="00776E42"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294" w:type="dxa"/>
        </w:tcPr>
        <w:p w14:paraId="3B37D8A3" w14:textId="77777777" w:rsidR="00776E42" w:rsidRPr="00EA66FC" w:rsidRDefault="00776E4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76E42" w:rsidRPr="00443C6B" w:rsidRDefault="00776E4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76E42" w:rsidRPr="00330DA7" w14:paraId="29CFF901" w14:textId="77777777" w:rsidTr="00DB6004">
      <w:trPr>
        <w:trHeight w:val="1435"/>
      </w:trPr>
      <w:tc>
        <w:tcPr>
          <w:tcW w:w="283" w:type="dxa"/>
          <w:shd w:val="clear" w:color="auto" w:fill="auto"/>
        </w:tcPr>
        <w:p w14:paraId="046B9F8F" w14:textId="77777777" w:rsidR="00776E42" w:rsidRPr="00330DA7" w:rsidRDefault="00776E42"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76E42" w:rsidRPr="00330DA7" w14:paraId="04F272D2" w14:textId="77777777" w:rsidTr="00DB6004">
            <w:trPr>
              <w:trHeight w:val="144"/>
            </w:trPr>
            <w:tc>
              <w:tcPr>
                <w:tcW w:w="2727" w:type="dxa"/>
              </w:tcPr>
              <w:p w14:paraId="2FD4DBF6" w14:textId="77777777" w:rsidR="00776E42" w:rsidRPr="00330DA7" w:rsidRDefault="00776E42" w:rsidP="00DB600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A389EE9" w:rsidR="00776E42" w:rsidRPr="00A90C72" w:rsidRDefault="00776E42" w:rsidP="00352E9A">
                <w:pPr>
                  <w:tabs>
                    <w:tab w:val="right" w:pos="8838"/>
                  </w:tabs>
                  <w:ind w:left="-74" w:right="-105"/>
                  <w:rPr>
                    <w:rFonts w:eastAsia="Calibri" w:cs="Tahoma"/>
                    <w:szCs w:val="22"/>
                    <w:lang w:eastAsia="en-US"/>
                  </w:rPr>
                </w:pPr>
                <w:r>
                  <w:rPr>
                    <w:rFonts w:eastAsia="Calibri" w:cs="Tahoma"/>
                    <w:szCs w:val="22"/>
                    <w:lang w:eastAsia="en-US"/>
                  </w:rPr>
                  <w:t>06927/</w:t>
                </w:r>
                <w:r w:rsidRPr="00A90C72">
                  <w:rPr>
                    <w:rFonts w:eastAsia="Calibri" w:cs="Tahoma"/>
                    <w:szCs w:val="22"/>
                    <w:lang w:eastAsia="en-US"/>
                  </w:rPr>
                  <w:t>INFOEM/IP/RR</w:t>
                </w:r>
                <w:r>
                  <w:rPr>
                    <w:rFonts w:eastAsia="Calibri" w:cs="Tahoma"/>
                    <w:szCs w:val="22"/>
                    <w:lang w:eastAsia="en-US"/>
                  </w:rPr>
                  <w:t>/2024 y acumulado</w:t>
                </w:r>
              </w:p>
            </w:tc>
            <w:tc>
              <w:tcPr>
                <w:tcW w:w="3402" w:type="dxa"/>
              </w:tcPr>
              <w:p w14:paraId="71DEA1CF" w14:textId="77777777" w:rsidR="00776E42" w:rsidRDefault="00776E42" w:rsidP="00DB6004">
                <w:pPr>
                  <w:tabs>
                    <w:tab w:val="right" w:pos="8838"/>
                  </w:tabs>
                  <w:ind w:left="-74" w:right="-105"/>
                  <w:rPr>
                    <w:rFonts w:eastAsia="Calibri" w:cs="Tahoma"/>
                    <w:szCs w:val="22"/>
                    <w:lang w:eastAsia="en-US"/>
                  </w:rPr>
                </w:pPr>
              </w:p>
            </w:tc>
          </w:tr>
          <w:tr w:rsidR="00776E42" w:rsidRPr="00330DA7" w14:paraId="05C58951" w14:textId="77777777" w:rsidTr="00DB6004">
            <w:trPr>
              <w:trHeight w:val="144"/>
            </w:trPr>
            <w:tc>
              <w:tcPr>
                <w:tcW w:w="2727" w:type="dxa"/>
              </w:tcPr>
              <w:p w14:paraId="642B9610" w14:textId="77777777" w:rsidR="00776E42" w:rsidRPr="00330DA7" w:rsidRDefault="00776E42" w:rsidP="00DB600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9CDD302" w:rsidR="00776E42" w:rsidRPr="005F19B1" w:rsidRDefault="00776E42" w:rsidP="004D3411">
                <w:pPr>
                  <w:tabs>
                    <w:tab w:val="left" w:pos="3122"/>
                    <w:tab w:val="right" w:pos="8838"/>
                  </w:tabs>
                  <w:ind w:right="-105"/>
                  <w:rPr>
                    <w:rFonts w:eastAsia="Calibri" w:cs="Tahoma"/>
                    <w:szCs w:val="22"/>
                    <w:lang w:eastAsia="en-US"/>
                  </w:rPr>
                </w:pPr>
              </w:p>
            </w:tc>
            <w:tc>
              <w:tcPr>
                <w:tcW w:w="3402" w:type="dxa"/>
              </w:tcPr>
              <w:p w14:paraId="73F47F53" w14:textId="77777777" w:rsidR="00776E42" w:rsidRPr="005F19B1" w:rsidRDefault="00776E42" w:rsidP="00DB6004">
                <w:pPr>
                  <w:tabs>
                    <w:tab w:val="left" w:pos="3122"/>
                    <w:tab w:val="right" w:pos="8838"/>
                  </w:tabs>
                  <w:ind w:left="-105" w:right="-105"/>
                  <w:rPr>
                    <w:rFonts w:eastAsia="Calibri" w:cs="Tahoma"/>
                    <w:szCs w:val="22"/>
                    <w:lang w:eastAsia="en-US"/>
                  </w:rPr>
                </w:pPr>
              </w:p>
            </w:tc>
          </w:tr>
          <w:bookmarkEnd w:id="2"/>
          <w:tr w:rsidR="00776E42" w:rsidRPr="00330DA7" w14:paraId="00E6CDC1" w14:textId="77777777" w:rsidTr="00DB6004">
            <w:trPr>
              <w:trHeight w:val="283"/>
            </w:trPr>
            <w:tc>
              <w:tcPr>
                <w:tcW w:w="2727" w:type="dxa"/>
              </w:tcPr>
              <w:p w14:paraId="0631AD24" w14:textId="77777777" w:rsidR="00776E42" w:rsidRPr="00330DA7" w:rsidRDefault="00776E42"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BD2BA82" w:rsidR="00776E42" w:rsidRPr="00952DD0" w:rsidRDefault="00776E42" w:rsidP="00DB6004">
                <w:pPr>
                  <w:tabs>
                    <w:tab w:val="left" w:pos="2834"/>
                    <w:tab w:val="right" w:pos="8838"/>
                  </w:tabs>
                  <w:ind w:left="-108" w:right="-105"/>
                  <w:rPr>
                    <w:rFonts w:eastAsia="Calibri" w:cs="Tahoma"/>
                    <w:szCs w:val="22"/>
                    <w:lang w:eastAsia="en-US"/>
                  </w:rPr>
                </w:pPr>
                <w:r w:rsidRPr="00352E9A">
                  <w:rPr>
                    <w:rFonts w:eastAsia="Calibri" w:cs="Tahoma"/>
                    <w:szCs w:val="22"/>
                    <w:lang w:eastAsia="en-US"/>
                  </w:rPr>
                  <w:t>Ayuntamiento de Huixquilucan</w:t>
                </w:r>
              </w:p>
            </w:tc>
            <w:tc>
              <w:tcPr>
                <w:tcW w:w="3402" w:type="dxa"/>
              </w:tcPr>
              <w:p w14:paraId="3A7DA319" w14:textId="77777777" w:rsidR="00776E42" w:rsidRPr="00A90C72" w:rsidRDefault="00776E42" w:rsidP="00DB6004">
                <w:pPr>
                  <w:tabs>
                    <w:tab w:val="left" w:pos="2834"/>
                    <w:tab w:val="right" w:pos="8838"/>
                  </w:tabs>
                  <w:ind w:left="-108" w:right="-105"/>
                  <w:rPr>
                    <w:rFonts w:eastAsia="Calibri" w:cs="Tahoma"/>
                    <w:szCs w:val="22"/>
                    <w:lang w:eastAsia="en-US"/>
                  </w:rPr>
                </w:pPr>
              </w:p>
            </w:tc>
          </w:tr>
          <w:tr w:rsidR="00776E42" w:rsidRPr="00330DA7" w14:paraId="0F6CD8D2" w14:textId="77777777" w:rsidTr="00DB6004">
            <w:trPr>
              <w:trHeight w:val="283"/>
            </w:trPr>
            <w:tc>
              <w:tcPr>
                <w:tcW w:w="2727" w:type="dxa"/>
              </w:tcPr>
              <w:p w14:paraId="31700628" w14:textId="41E81ADF" w:rsidR="00776E42" w:rsidRPr="00330DA7" w:rsidRDefault="00776E42"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76E42" w:rsidRPr="00EA66FC" w:rsidRDefault="00776E42"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76E42" w:rsidRPr="00330DA7" w:rsidRDefault="00776E42" w:rsidP="00DB6004">
                <w:pPr>
                  <w:tabs>
                    <w:tab w:val="right" w:pos="8838"/>
                  </w:tabs>
                  <w:ind w:left="-108" w:right="-105"/>
                  <w:rPr>
                    <w:rFonts w:eastAsia="Calibri" w:cs="Tahoma"/>
                    <w:szCs w:val="22"/>
                    <w:lang w:eastAsia="en-US"/>
                  </w:rPr>
                </w:pPr>
              </w:p>
            </w:tc>
          </w:tr>
        </w:tbl>
        <w:p w14:paraId="5DC6AC61" w14:textId="77777777" w:rsidR="00776E42" w:rsidRPr="00330DA7" w:rsidRDefault="00776E42" w:rsidP="00DB6004">
          <w:pPr>
            <w:tabs>
              <w:tab w:val="right" w:pos="8838"/>
            </w:tabs>
            <w:ind w:left="-28"/>
            <w:rPr>
              <w:rFonts w:ascii="Arial" w:eastAsia="Calibri" w:hAnsi="Arial" w:cs="Arial"/>
              <w:b/>
              <w:szCs w:val="22"/>
              <w:lang w:eastAsia="en-US"/>
            </w:rPr>
          </w:pPr>
        </w:p>
      </w:tc>
    </w:tr>
  </w:tbl>
  <w:p w14:paraId="2A906731" w14:textId="77777777" w:rsidR="00776E42" w:rsidRPr="00765661" w:rsidRDefault="00901F26"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78.65pt;margin-top:-168.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0511"/>
    <w:multiLevelType w:val="multilevel"/>
    <w:tmpl w:val="39CCCF04"/>
    <w:lvl w:ilvl="0">
      <w:start w:val="1"/>
      <w:numFmt w:val="decimal"/>
      <w:lvlText w:val="%1."/>
      <w:lvlJc w:val="left"/>
      <w:pPr>
        <w:ind w:left="360" w:hanging="360"/>
      </w:pPr>
      <w:rPr>
        <w:rFonts w:ascii="Palatino Linotype" w:eastAsia="Palatino Linotype" w:hAnsi="Palatino Linotype" w:cs="Palatino Linotype"/>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F3B8F"/>
    <w:multiLevelType w:val="hybridMultilevel"/>
    <w:tmpl w:val="9AFC1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955D52"/>
    <w:multiLevelType w:val="hybridMultilevel"/>
    <w:tmpl w:val="FE48D394"/>
    <w:lvl w:ilvl="0" w:tplc="CABC128C">
      <w:start w:val="1"/>
      <w:numFmt w:val="decimal"/>
      <w:lvlText w:val="%1."/>
      <w:lvlJc w:val="left"/>
      <w:pPr>
        <w:ind w:left="252" w:hanging="360"/>
      </w:pPr>
      <w:rPr>
        <w:rFonts w:cs="Times New Roman"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5" w15:restartNumberingAfterBreak="0">
    <w:nsid w:val="3D367EBE"/>
    <w:multiLevelType w:val="hybridMultilevel"/>
    <w:tmpl w:val="89784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5F704C"/>
    <w:multiLevelType w:val="hybridMultilevel"/>
    <w:tmpl w:val="2774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676436"/>
    <w:multiLevelType w:val="hybridMultilevel"/>
    <w:tmpl w:val="85942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5B4FFE"/>
    <w:multiLevelType w:val="hybridMultilevel"/>
    <w:tmpl w:val="F3326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D17D08"/>
    <w:multiLevelType w:val="hybridMultilevel"/>
    <w:tmpl w:val="6602EF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2"/>
  </w:num>
  <w:num w:numId="6">
    <w:abstractNumId w:val="10"/>
  </w:num>
  <w:num w:numId="7">
    <w:abstractNumId w:val="1"/>
  </w:num>
  <w:num w:numId="8">
    <w:abstractNumId w:val="0"/>
  </w:num>
  <w:num w:numId="9">
    <w:abstractNumId w:val="7"/>
  </w:num>
  <w:num w:numId="10">
    <w:abstractNumId w:val="11"/>
  </w:num>
  <w:num w:numId="11">
    <w:abstractNumId w:val="6"/>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mailMerge>
    <w:mainDocumentType w:val="mailingLabels"/>
    <w:dataType w:val="textFile"/>
    <w:activeRecord w:val="-1"/>
    <w:odso/>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4E5"/>
    <w:rsid w:val="0001031A"/>
    <w:rsid w:val="00012D84"/>
    <w:rsid w:val="00015208"/>
    <w:rsid w:val="00025464"/>
    <w:rsid w:val="000318BC"/>
    <w:rsid w:val="00033E42"/>
    <w:rsid w:val="00057B2D"/>
    <w:rsid w:val="00073B84"/>
    <w:rsid w:val="0007738C"/>
    <w:rsid w:val="00080071"/>
    <w:rsid w:val="00086B8E"/>
    <w:rsid w:val="0009002D"/>
    <w:rsid w:val="00092EF0"/>
    <w:rsid w:val="000978F2"/>
    <w:rsid w:val="000B3CAE"/>
    <w:rsid w:val="000B5FA8"/>
    <w:rsid w:val="000C298D"/>
    <w:rsid w:val="000C2AA2"/>
    <w:rsid w:val="000C6C4B"/>
    <w:rsid w:val="000D0D67"/>
    <w:rsid w:val="000D21BB"/>
    <w:rsid w:val="000D5882"/>
    <w:rsid w:val="000D5D8A"/>
    <w:rsid w:val="000D623E"/>
    <w:rsid w:val="000E03AE"/>
    <w:rsid w:val="000E09C4"/>
    <w:rsid w:val="000E2BA7"/>
    <w:rsid w:val="000E7C79"/>
    <w:rsid w:val="000F17BC"/>
    <w:rsid w:val="000F699F"/>
    <w:rsid w:val="00113060"/>
    <w:rsid w:val="0011350D"/>
    <w:rsid w:val="0012653A"/>
    <w:rsid w:val="00141876"/>
    <w:rsid w:val="0014207B"/>
    <w:rsid w:val="00150C49"/>
    <w:rsid w:val="00160C7E"/>
    <w:rsid w:val="0016371B"/>
    <w:rsid w:val="00166E6E"/>
    <w:rsid w:val="00171216"/>
    <w:rsid w:val="00171D9C"/>
    <w:rsid w:val="0017786B"/>
    <w:rsid w:val="00184503"/>
    <w:rsid w:val="00195748"/>
    <w:rsid w:val="001A58B3"/>
    <w:rsid w:val="001B4FF2"/>
    <w:rsid w:val="001B6006"/>
    <w:rsid w:val="001B777A"/>
    <w:rsid w:val="001C3329"/>
    <w:rsid w:val="001C379F"/>
    <w:rsid w:val="001C411D"/>
    <w:rsid w:val="001C48E7"/>
    <w:rsid w:val="001C5C6F"/>
    <w:rsid w:val="001C7688"/>
    <w:rsid w:val="001D37A1"/>
    <w:rsid w:val="001D746D"/>
    <w:rsid w:val="001E1ACD"/>
    <w:rsid w:val="001E28C5"/>
    <w:rsid w:val="001F3515"/>
    <w:rsid w:val="00201C2F"/>
    <w:rsid w:val="002129F3"/>
    <w:rsid w:val="00213142"/>
    <w:rsid w:val="00221C43"/>
    <w:rsid w:val="0022753A"/>
    <w:rsid w:val="00233005"/>
    <w:rsid w:val="00233F17"/>
    <w:rsid w:val="002352B5"/>
    <w:rsid w:val="00251367"/>
    <w:rsid w:val="00256353"/>
    <w:rsid w:val="00262FF5"/>
    <w:rsid w:val="00267EA7"/>
    <w:rsid w:val="00277160"/>
    <w:rsid w:val="00277E93"/>
    <w:rsid w:val="002857F5"/>
    <w:rsid w:val="00290FCA"/>
    <w:rsid w:val="00292286"/>
    <w:rsid w:val="0029336C"/>
    <w:rsid w:val="002953E7"/>
    <w:rsid w:val="002A127C"/>
    <w:rsid w:val="002A2C68"/>
    <w:rsid w:val="002A3601"/>
    <w:rsid w:val="002A37A0"/>
    <w:rsid w:val="002B14FB"/>
    <w:rsid w:val="002B2078"/>
    <w:rsid w:val="002B7C6F"/>
    <w:rsid w:val="002D111C"/>
    <w:rsid w:val="002D2E8D"/>
    <w:rsid w:val="002E026D"/>
    <w:rsid w:val="002E12E4"/>
    <w:rsid w:val="002E36AB"/>
    <w:rsid w:val="002E61F8"/>
    <w:rsid w:val="002E6BD3"/>
    <w:rsid w:val="002F13C2"/>
    <w:rsid w:val="002F1878"/>
    <w:rsid w:val="002F53DB"/>
    <w:rsid w:val="00302209"/>
    <w:rsid w:val="00302476"/>
    <w:rsid w:val="00310A1C"/>
    <w:rsid w:val="00324215"/>
    <w:rsid w:val="00324BDD"/>
    <w:rsid w:val="00326E80"/>
    <w:rsid w:val="00331F35"/>
    <w:rsid w:val="00335CDF"/>
    <w:rsid w:val="003368DB"/>
    <w:rsid w:val="0034579B"/>
    <w:rsid w:val="00352E9A"/>
    <w:rsid w:val="00354474"/>
    <w:rsid w:val="00357C5E"/>
    <w:rsid w:val="00362A11"/>
    <w:rsid w:val="00373F77"/>
    <w:rsid w:val="003959B2"/>
    <w:rsid w:val="003A40C1"/>
    <w:rsid w:val="003A496B"/>
    <w:rsid w:val="003B47E7"/>
    <w:rsid w:val="003B5D3E"/>
    <w:rsid w:val="003C0D71"/>
    <w:rsid w:val="003C132C"/>
    <w:rsid w:val="003C43E1"/>
    <w:rsid w:val="003D3941"/>
    <w:rsid w:val="003E0076"/>
    <w:rsid w:val="003E6CE9"/>
    <w:rsid w:val="003E7EFE"/>
    <w:rsid w:val="003F01B8"/>
    <w:rsid w:val="003F35FD"/>
    <w:rsid w:val="003F54D8"/>
    <w:rsid w:val="0040238C"/>
    <w:rsid w:val="00412D96"/>
    <w:rsid w:val="0041385B"/>
    <w:rsid w:val="00424882"/>
    <w:rsid w:val="0042511E"/>
    <w:rsid w:val="0042646E"/>
    <w:rsid w:val="00431EAE"/>
    <w:rsid w:val="00437D10"/>
    <w:rsid w:val="00437ECE"/>
    <w:rsid w:val="00441BFA"/>
    <w:rsid w:val="00444101"/>
    <w:rsid w:val="00447A0A"/>
    <w:rsid w:val="004502AA"/>
    <w:rsid w:val="00454FBD"/>
    <w:rsid w:val="00457DA2"/>
    <w:rsid w:val="00463888"/>
    <w:rsid w:val="00476972"/>
    <w:rsid w:val="00482979"/>
    <w:rsid w:val="00491DFF"/>
    <w:rsid w:val="004A4FD1"/>
    <w:rsid w:val="004B06B7"/>
    <w:rsid w:val="004B69F4"/>
    <w:rsid w:val="004B76FD"/>
    <w:rsid w:val="004C383A"/>
    <w:rsid w:val="004C6675"/>
    <w:rsid w:val="004C6BC2"/>
    <w:rsid w:val="004D0D84"/>
    <w:rsid w:val="004D3411"/>
    <w:rsid w:val="004D69A6"/>
    <w:rsid w:val="004D7CD8"/>
    <w:rsid w:val="004D7D89"/>
    <w:rsid w:val="004E502B"/>
    <w:rsid w:val="004E5068"/>
    <w:rsid w:val="004F43DC"/>
    <w:rsid w:val="004F7A00"/>
    <w:rsid w:val="00507B2E"/>
    <w:rsid w:val="00517287"/>
    <w:rsid w:val="005211CF"/>
    <w:rsid w:val="00523F48"/>
    <w:rsid w:val="00526543"/>
    <w:rsid w:val="00526A50"/>
    <w:rsid w:val="00533381"/>
    <w:rsid w:val="005365FA"/>
    <w:rsid w:val="00536AEC"/>
    <w:rsid w:val="00542C3F"/>
    <w:rsid w:val="00543E56"/>
    <w:rsid w:val="00546195"/>
    <w:rsid w:val="00551512"/>
    <w:rsid w:val="00561243"/>
    <w:rsid w:val="005671B4"/>
    <w:rsid w:val="005723CB"/>
    <w:rsid w:val="0057303D"/>
    <w:rsid w:val="00575400"/>
    <w:rsid w:val="005775D8"/>
    <w:rsid w:val="00594CDE"/>
    <w:rsid w:val="00596665"/>
    <w:rsid w:val="005A060B"/>
    <w:rsid w:val="005A3ED9"/>
    <w:rsid w:val="005A4CD5"/>
    <w:rsid w:val="005B14BE"/>
    <w:rsid w:val="005B18AF"/>
    <w:rsid w:val="005B329D"/>
    <w:rsid w:val="005B7DDA"/>
    <w:rsid w:val="005D1A4A"/>
    <w:rsid w:val="005D51E9"/>
    <w:rsid w:val="005D5A50"/>
    <w:rsid w:val="005E1378"/>
    <w:rsid w:val="005E2E07"/>
    <w:rsid w:val="005E61B9"/>
    <w:rsid w:val="005E7FE0"/>
    <w:rsid w:val="005F0237"/>
    <w:rsid w:val="005F31A5"/>
    <w:rsid w:val="005F5301"/>
    <w:rsid w:val="005F65B7"/>
    <w:rsid w:val="006067C7"/>
    <w:rsid w:val="0061197D"/>
    <w:rsid w:val="006159AD"/>
    <w:rsid w:val="00620187"/>
    <w:rsid w:val="0064125A"/>
    <w:rsid w:val="0064403B"/>
    <w:rsid w:val="00646436"/>
    <w:rsid w:val="00646593"/>
    <w:rsid w:val="00652474"/>
    <w:rsid w:val="00655072"/>
    <w:rsid w:val="00662C3C"/>
    <w:rsid w:val="00664420"/>
    <w:rsid w:val="00680994"/>
    <w:rsid w:val="006A3961"/>
    <w:rsid w:val="006A646A"/>
    <w:rsid w:val="006A7F25"/>
    <w:rsid w:val="006B10B0"/>
    <w:rsid w:val="006B13E3"/>
    <w:rsid w:val="006D130D"/>
    <w:rsid w:val="006D2C41"/>
    <w:rsid w:val="006D451D"/>
    <w:rsid w:val="006E0BED"/>
    <w:rsid w:val="006E240F"/>
    <w:rsid w:val="006E25BC"/>
    <w:rsid w:val="006E288C"/>
    <w:rsid w:val="006E6BBC"/>
    <w:rsid w:val="006F1FEE"/>
    <w:rsid w:val="006F7768"/>
    <w:rsid w:val="007038F7"/>
    <w:rsid w:val="00703EED"/>
    <w:rsid w:val="00704C76"/>
    <w:rsid w:val="00717E59"/>
    <w:rsid w:val="00720857"/>
    <w:rsid w:val="00724762"/>
    <w:rsid w:val="0072571E"/>
    <w:rsid w:val="00731C33"/>
    <w:rsid w:val="00734C06"/>
    <w:rsid w:val="007515EF"/>
    <w:rsid w:val="00752412"/>
    <w:rsid w:val="00767B22"/>
    <w:rsid w:val="00775BFC"/>
    <w:rsid w:val="00776E42"/>
    <w:rsid w:val="007803DA"/>
    <w:rsid w:val="00781217"/>
    <w:rsid w:val="007A3459"/>
    <w:rsid w:val="007A381A"/>
    <w:rsid w:val="007B4355"/>
    <w:rsid w:val="007B4961"/>
    <w:rsid w:val="007B49FA"/>
    <w:rsid w:val="007B6074"/>
    <w:rsid w:val="007B763C"/>
    <w:rsid w:val="007C65D0"/>
    <w:rsid w:val="007D1C55"/>
    <w:rsid w:val="007D317F"/>
    <w:rsid w:val="007D7135"/>
    <w:rsid w:val="007D7D16"/>
    <w:rsid w:val="007E02CE"/>
    <w:rsid w:val="007E10BB"/>
    <w:rsid w:val="007F032D"/>
    <w:rsid w:val="007F4A35"/>
    <w:rsid w:val="007F5D06"/>
    <w:rsid w:val="00804A94"/>
    <w:rsid w:val="00805A6E"/>
    <w:rsid w:val="008167EC"/>
    <w:rsid w:val="00841A69"/>
    <w:rsid w:val="008468ED"/>
    <w:rsid w:val="008476AD"/>
    <w:rsid w:val="00852628"/>
    <w:rsid w:val="00862D50"/>
    <w:rsid w:val="00864256"/>
    <w:rsid w:val="00865882"/>
    <w:rsid w:val="00865CF4"/>
    <w:rsid w:val="00871A57"/>
    <w:rsid w:val="00876DBC"/>
    <w:rsid w:val="00891B79"/>
    <w:rsid w:val="008954EF"/>
    <w:rsid w:val="008A0E11"/>
    <w:rsid w:val="008A6003"/>
    <w:rsid w:val="008A6F88"/>
    <w:rsid w:val="008B1E16"/>
    <w:rsid w:val="008B54A7"/>
    <w:rsid w:val="008C1676"/>
    <w:rsid w:val="008C51A1"/>
    <w:rsid w:val="008E0766"/>
    <w:rsid w:val="008E0778"/>
    <w:rsid w:val="008E1316"/>
    <w:rsid w:val="008E17B8"/>
    <w:rsid w:val="008E6F11"/>
    <w:rsid w:val="008F1DB1"/>
    <w:rsid w:val="008F595C"/>
    <w:rsid w:val="00901F26"/>
    <w:rsid w:val="00910FD2"/>
    <w:rsid w:val="00911907"/>
    <w:rsid w:val="00913FF3"/>
    <w:rsid w:val="00926880"/>
    <w:rsid w:val="00930CF8"/>
    <w:rsid w:val="00930F93"/>
    <w:rsid w:val="00931437"/>
    <w:rsid w:val="0093350B"/>
    <w:rsid w:val="00947134"/>
    <w:rsid w:val="00953430"/>
    <w:rsid w:val="00955190"/>
    <w:rsid w:val="00970E07"/>
    <w:rsid w:val="00970EB3"/>
    <w:rsid w:val="00972ECA"/>
    <w:rsid w:val="009766AA"/>
    <w:rsid w:val="00977152"/>
    <w:rsid w:val="00980BB8"/>
    <w:rsid w:val="0098599B"/>
    <w:rsid w:val="00986D2B"/>
    <w:rsid w:val="009A03B4"/>
    <w:rsid w:val="009A2D78"/>
    <w:rsid w:val="009A4E20"/>
    <w:rsid w:val="009A7C10"/>
    <w:rsid w:val="009B2945"/>
    <w:rsid w:val="009C4F06"/>
    <w:rsid w:val="009D38CA"/>
    <w:rsid w:val="009D47ED"/>
    <w:rsid w:val="009E09C3"/>
    <w:rsid w:val="009E2DEE"/>
    <w:rsid w:val="009E657B"/>
    <w:rsid w:val="009F2D06"/>
    <w:rsid w:val="009F797C"/>
    <w:rsid w:val="00A00C83"/>
    <w:rsid w:val="00A049A8"/>
    <w:rsid w:val="00A11569"/>
    <w:rsid w:val="00A131AC"/>
    <w:rsid w:val="00A1405A"/>
    <w:rsid w:val="00A16D85"/>
    <w:rsid w:val="00A17071"/>
    <w:rsid w:val="00A21A20"/>
    <w:rsid w:val="00A21FF1"/>
    <w:rsid w:val="00A24623"/>
    <w:rsid w:val="00A32231"/>
    <w:rsid w:val="00A36A99"/>
    <w:rsid w:val="00A451E6"/>
    <w:rsid w:val="00A45F98"/>
    <w:rsid w:val="00A53315"/>
    <w:rsid w:val="00A543F5"/>
    <w:rsid w:val="00A54616"/>
    <w:rsid w:val="00A57230"/>
    <w:rsid w:val="00A61853"/>
    <w:rsid w:val="00A70EF0"/>
    <w:rsid w:val="00A7290A"/>
    <w:rsid w:val="00A73ACA"/>
    <w:rsid w:val="00A75462"/>
    <w:rsid w:val="00A84BB5"/>
    <w:rsid w:val="00A917A7"/>
    <w:rsid w:val="00A9208D"/>
    <w:rsid w:val="00A94088"/>
    <w:rsid w:val="00AA27F9"/>
    <w:rsid w:val="00AA6EA9"/>
    <w:rsid w:val="00AC2DB8"/>
    <w:rsid w:val="00AC3CA0"/>
    <w:rsid w:val="00AC5873"/>
    <w:rsid w:val="00AD1D93"/>
    <w:rsid w:val="00AD5B02"/>
    <w:rsid w:val="00AE3DA7"/>
    <w:rsid w:val="00AE73F0"/>
    <w:rsid w:val="00AF03C4"/>
    <w:rsid w:val="00AF48AA"/>
    <w:rsid w:val="00AF7207"/>
    <w:rsid w:val="00B226D5"/>
    <w:rsid w:val="00B22A80"/>
    <w:rsid w:val="00B22EAC"/>
    <w:rsid w:val="00B25C07"/>
    <w:rsid w:val="00B3126C"/>
    <w:rsid w:val="00B328F3"/>
    <w:rsid w:val="00B35E28"/>
    <w:rsid w:val="00B42ED1"/>
    <w:rsid w:val="00B503D6"/>
    <w:rsid w:val="00B75C74"/>
    <w:rsid w:val="00B77C68"/>
    <w:rsid w:val="00B813E4"/>
    <w:rsid w:val="00B82493"/>
    <w:rsid w:val="00B83213"/>
    <w:rsid w:val="00B86B25"/>
    <w:rsid w:val="00B95163"/>
    <w:rsid w:val="00BA3C86"/>
    <w:rsid w:val="00BA55A8"/>
    <w:rsid w:val="00BA7D8D"/>
    <w:rsid w:val="00BB1A35"/>
    <w:rsid w:val="00BB2ABF"/>
    <w:rsid w:val="00BB64F4"/>
    <w:rsid w:val="00BB767D"/>
    <w:rsid w:val="00BB7DAA"/>
    <w:rsid w:val="00BB7F6C"/>
    <w:rsid w:val="00BC130F"/>
    <w:rsid w:val="00BC5BB6"/>
    <w:rsid w:val="00BC5BF6"/>
    <w:rsid w:val="00BC791A"/>
    <w:rsid w:val="00BD3F4F"/>
    <w:rsid w:val="00BD5A7C"/>
    <w:rsid w:val="00BD7500"/>
    <w:rsid w:val="00BD792E"/>
    <w:rsid w:val="00BE0476"/>
    <w:rsid w:val="00BE7A1B"/>
    <w:rsid w:val="00BF0221"/>
    <w:rsid w:val="00BF091A"/>
    <w:rsid w:val="00BF4EAD"/>
    <w:rsid w:val="00C012B0"/>
    <w:rsid w:val="00C02465"/>
    <w:rsid w:val="00C049E2"/>
    <w:rsid w:val="00C0510E"/>
    <w:rsid w:val="00C05CDC"/>
    <w:rsid w:val="00C05DAD"/>
    <w:rsid w:val="00C10275"/>
    <w:rsid w:val="00C10F9B"/>
    <w:rsid w:val="00C12EB7"/>
    <w:rsid w:val="00C158A8"/>
    <w:rsid w:val="00C20A30"/>
    <w:rsid w:val="00C20A78"/>
    <w:rsid w:val="00C2631E"/>
    <w:rsid w:val="00C3649E"/>
    <w:rsid w:val="00C36795"/>
    <w:rsid w:val="00C42B70"/>
    <w:rsid w:val="00C43BC1"/>
    <w:rsid w:val="00C4421E"/>
    <w:rsid w:val="00C45168"/>
    <w:rsid w:val="00C461EC"/>
    <w:rsid w:val="00C507D4"/>
    <w:rsid w:val="00C65671"/>
    <w:rsid w:val="00C71CEF"/>
    <w:rsid w:val="00C72DAA"/>
    <w:rsid w:val="00C73E2C"/>
    <w:rsid w:val="00C80B14"/>
    <w:rsid w:val="00C82CC8"/>
    <w:rsid w:val="00C858ED"/>
    <w:rsid w:val="00C868BB"/>
    <w:rsid w:val="00C93E44"/>
    <w:rsid w:val="00C95D0A"/>
    <w:rsid w:val="00CA0416"/>
    <w:rsid w:val="00CA1D08"/>
    <w:rsid w:val="00CB14D8"/>
    <w:rsid w:val="00CB7E9A"/>
    <w:rsid w:val="00CC761E"/>
    <w:rsid w:val="00CD0B92"/>
    <w:rsid w:val="00CD750C"/>
    <w:rsid w:val="00CE29D3"/>
    <w:rsid w:val="00CE5E92"/>
    <w:rsid w:val="00CF2D8B"/>
    <w:rsid w:val="00CF4084"/>
    <w:rsid w:val="00CF7586"/>
    <w:rsid w:val="00D036D3"/>
    <w:rsid w:val="00D13408"/>
    <w:rsid w:val="00D138E1"/>
    <w:rsid w:val="00D15FE2"/>
    <w:rsid w:val="00D20E78"/>
    <w:rsid w:val="00D2790D"/>
    <w:rsid w:val="00D455DE"/>
    <w:rsid w:val="00D51ECD"/>
    <w:rsid w:val="00D6170E"/>
    <w:rsid w:val="00D67166"/>
    <w:rsid w:val="00D7596A"/>
    <w:rsid w:val="00D76084"/>
    <w:rsid w:val="00D76152"/>
    <w:rsid w:val="00D91CB4"/>
    <w:rsid w:val="00DA797D"/>
    <w:rsid w:val="00DB1C09"/>
    <w:rsid w:val="00DB6004"/>
    <w:rsid w:val="00DC0B76"/>
    <w:rsid w:val="00DC0BAA"/>
    <w:rsid w:val="00DC6F7D"/>
    <w:rsid w:val="00DD1221"/>
    <w:rsid w:val="00DD3012"/>
    <w:rsid w:val="00DE1133"/>
    <w:rsid w:val="00DE2427"/>
    <w:rsid w:val="00DF4258"/>
    <w:rsid w:val="00DF72C8"/>
    <w:rsid w:val="00E0075C"/>
    <w:rsid w:val="00E008B2"/>
    <w:rsid w:val="00E01754"/>
    <w:rsid w:val="00E07263"/>
    <w:rsid w:val="00E16BF5"/>
    <w:rsid w:val="00E220C2"/>
    <w:rsid w:val="00E35C0F"/>
    <w:rsid w:val="00E36D21"/>
    <w:rsid w:val="00E37A3F"/>
    <w:rsid w:val="00E37D3C"/>
    <w:rsid w:val="00E62E6A"/>
    <w:rsid w:val="00E6475E"/>
    <w:rsid w:val="00E71D5E"/>
    <w:rsid w:val="00E724BD"/>
    <w:rsid w:val="00E769E4"/>
    <w:rsid w:val="00E83EF5"/>
    <w:rsid w:val="00E9335C"/>
    <w:rsid w:val="00E933EB"/>
    <w:rsid w:val="00E979AE"/>
    <w:rsid w:val="00EA361F"/>
    <w:rsid w:val="00EB262C"/>
    <w:rsid w:val="00EB3DDB"/>
    <w:rsid w:val="00EB6157"/>
    <w:rsid w:val="00ED1C1E"/>
    <w:rsid w:val="00ED2ED2"/>
    <w:rsid w:val="00ED3BC2"/>
    <w:rsid w:val="00ED4C1D"/>
    <w:rsid w:val="00ED6786"/>
    <w:rsid w:val="00ED6CBD"/>
    <w:rsid w:val="00EE0DBB"/>
    <w:rsid w:val="00EE1C5D"/>
    <w:rsid w:val="00EE2AF2"/>
    <w:rsid w:val="00EE7417"/>
    <w:rsid w:val="00EF16D7"/>
    <w:rsid w:val="00F03A3B"/>
    <w:rsid w:val="00F07EE6"/>
    <w:rsid w:val="00F130F4"/>
    <w:rsid w:val="00F26467"/>
    <w:rsid w:val="00F33426"/>
    <w:rsid w:val="00F33CC8"/>
    <w:rsid w:val="00F44420"/>
    <w:rsid w:val="00F4481C"/>
    <w:rsid w:val="00F51A4F"/>
    <w:rsid w:val="00F5313F"/>
    <w:rsid w:val="00F701EF"/>
    <w:rsid w:val="00F75D23"/>
    <w:rsid w:val="00F90936"/>
    <w:rsid w:val="00F9111A"/>
    <w:rsid w:val="00FA02A3"/>
    <w:rsid w:val="00FA3644"/>
    <w:rsid w:val="00FA5957"/>
    <w:rsid w:val="00FC0F67"/>
    <w:rsid w:val="00FC23B8"/>
    <w:rsid w:val="00FC24D4"/>
    <w:rsid w:val="00FC3CE0"/>
    <w:rsid w:val="00FC3FCC"/>
    <w:rsid w:val="00FD06A8"/>
    <w:rsid w:val="00FD1DDB"/>
    <w:rsid w:val="00FE1818"/>
    <w:rsid w:val="00FF4657"/>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7375575D-36ED-4F3B-B185-B63F5E4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D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299">
      <w:bodyDiv w:val="1"/>
      <w:marLeft w:val="0"/>
      <w:marRight w:val="0"/>
      <w:marTop w:val="0"/>
      <w:marBottom w:val="0"/>
      <w:divBdr>
        <w:top w:val="none" w:sz="0" w:space="0" w:color="auto"/>
        <w:left w:val="none" w:sz="0" w:space="0" w:color="auto"/>
        <w:bottom w:val="none" w:sz="0" w:space="0" w:color="auto"/>
        <w:right w:val="none" w:sz="0" w:space="0" w:color="auto"/>
      </w:divBdr>
    </w:div>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458691700">
      <w:bodyDiv w:val="1"/>
      <w:marLeft w:val="0"/>
      <w:marRight w:val="0"/>
      <w:marTop w:val="0"/>
      <w:marBottom w:val="0"/>
      <w:divBdr>
        <w:top w:val="none" w:sz="0" w:space="0" w:color="auto"/>
        <w:left w:val="none" w:sz="0" w:space="0" w:color="auto"/>
        <w:bottom w:val="none" w:sz="0" w:space="0" w:color="auto"/>
        <w:right w:val="none" w:sz="0" w:space="0" w:color="auto"/>
      </w:divBdr>
    </w:div>
    <w:div w:id="682129116">
      <w:bodyDiv w:val="1"/>
      <w:marLeft w:val="0"/>
      <w:marRight w:val="0"/>
      <w:marTop w:val="0"/>
      <w:marBottom w:val="0"/>
      <w:divBdr>
        <w:top w:val="none" w:sz="0" w:space="0" w:color="auto"/>
        <w:left w:val="none" w:sz="0" w:space="0" w:color="auto"/>
        <w:bottom w:val="none" w:sz="0" w:space="0" w:color="auto"/>
        <w:right w:val="none" w:sz="0" w:space="0" w:color="auto"/>
      </w:divBdr>
    </w:div>
    <w:div w:id="803930453">
      <w:bodyDiv w:val="1"/>
      <w:marLeft w:val="0"/>
      <w:marRight w:val="0"/>
      <w:marTop w:val="0"/>
      <w:marBottom w:val="0"/>
      <w:divBdr>
        <w:top w:val="none" w:sz="0" w:space="0" w:color="auto"/>
        <w:left w:val="none" w:sz="0" w:space="0" w:color="auto"/>
        <w:bottom w:val="none" w:sz="0" w:space="0" w:color="auto"/>
        <w:right w:val="none" w:sz="0" w:space="0" w:color="auto"/>
      </w:divBdr>
    </w:div>
    <w:div w:id="1135562164">
      <w:bodyDiv w:val="1"/>
      <w:marLeft w:val="0"/>
      <w:marRight w:val="0"/>
      <w:marTop w:val="0"/>
      <w:marBottom w:val="0"/>
      <w:divBdr>
        <w:top w:val="none" w:sz="0" w:space="0" w:color="auto"/>
        <w:left w:val="none" w:sz="0" w:space="0" w:color="auto"/>
        <w:bottom w:val="none" w:sz="0" w:space="0" w:color="auto"/>
        <w:right w:val="none" w:sz="0" w:space="0" w:color="auto"/>
      </w:divBdr>
    </w:div>
    <w:div w:id="1279944807">
      <w:bodyDiv w:val="1"/>
      <w:marLeft w:val="0"/>
      <w:marRight w:val="0"/>
      <w:marTop w:val="0"/>
      <w:marBottom w:val="0"/>
      <w:divBdr>
        <w:top w:val="none" w:sz="0" w:space="0" w:color="auto"/>
        <w:left w:val="none" w:sz="0" w:space="0" w:color="auto"/>
        <w:bottom w:val="none" w:sz="0" w:space="0" w:color="auto"/>
        <w:right w:val="none" w:sz="0" w:space="0" w:color="auto"/>
      </w:divBdr>
    </w:div>
    <w:div w:id="1284388011">
      <w:bodyDiv w:val="1"/>
      <w:marLeft w:val="0"/>
      <w:marRight w:val="0"/>
      <w:marTop w:val="0"/>
      <w:marBottom w:val="0"/>
      <w:divBdr>
        <w:top w:val="none" w:sz="0" w:space="0" w:color="auto"/>
        <w:left w:val="none" w:sz="0" w:space="0" w:color="auto"/>
        <w:bottom w:val="none" w:sz="0" w:space="0" w:color="auto"/>
        <w:right w:val="none" w:sz="0" w:space="0" w:color="auto"/>
      </w:divBdr>
    </w:div>
    <w:div w:id="1753622762">
      <w:bodyDiv w:val="1"/>
      <w:marLeft w:val="0"/>
      <w:marRight w:val="0"/>
      <w:marTop w:val="0"/>
      <w:marBottom w:val="0"/>
      <w:divBdr>
        <w:top w:val="none" w:sz="0" w:space="0" w:color="auto"/>
        <w:left w:val="none" w:sz="0" w:space="0" w:color="auto"/>
        <w:bottom w:val="none" w:sz="0" w:space="0" w:color="auto"/>
        <w:right w:val="none" w:sz="0" w:space="0" w:color="auto"/>
      </w:divBdr>
    </w:div>
    <w:div w:id="1837530430">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ecretariadoejecutivo.gob.mx/work/models/SecretariadoEjecutivo/Resource/328/1/images/instructivo_final_edo_fuerza(1).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ortalanterior.ine.mx/archivos2/tutoriales/sistemas/ApoyoInstitucional/SIF/docs/candidatos/folioFiscalFactur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monografias.com/trabajos14/verific-servicios/verific-servicio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rive.google.com/file/d/1djelwM0T-uQOhVW2vPIqKAjSgxIvbv3U/view?usp=shar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djelwM0T-uQOhVW2vPIqKAjSgxIvbv3U/view?usp=sharing" TargetMode="External"/><Relationship Id="rId22" Type="http://schemas.openxmlformats.org/officeDocument/2006/relationships/hyperlink" Target="https://www.gob.mx/sesnsp/acciones-y-programas/incidencia-delictiva-del-fuero-comun-nueva-metodologia?state=publish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76b08bab-a17d-419c-8fa8-b7b9c3c33fde"/>
    <ds:schemaRef ds:uri="http://schemas.microsoft.com/office/2006/metadata/properties"/>
  </ds:schemaRefs>
</ds:datastoreItem>
</file>

<file path=customXml/itemProps4.xml><?xml version="1.0" encoding="utf-8"?>
<ds:datastoreItem xmlns:ds="http://schemas.openxmlformats.org/officeDocument/2006/customXml" ds:itemID="{98B4B6A9-BB83-48DE-A318-8E3BAB28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13193</Words>
  <Characters>72566</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2024-12-06T16:03:00Z</cp:lastPrinted>
  <dcterms:created xsi:type="dcterms:W3CDTF">2024-12-02T23:06:00Z</dcterms:created>
  <dcterms:modified xsi:type="dcterms:W3CDTF">2024-12-06T16:03:00Z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