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82DC" w14:textId="77777777" w:rsidR="00A44253" w:rsidRDefault="00B34C9B">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6B22B5">
        <w:rPr>
          <w:rFonts w:ascii="Palatino Linotype" w:eastAsia="Palatino Linotype" w:hAnsi="Palatino Linotype" w:cs="Palatino Linotype"/>
          <w:b/>
          <w:bCs/>
        </w:rPr>
        <w:t>veintiuno de agosto de dos mil veinticuatro</w:t>
      </w:r>
      <w:r>
        <w:rPr>
          <w:rFonts w:ascii="Palatino Linotype" w:eastAsia="Palatino Linotype" w:hAnsi="Palatino Linotype" w:cs="Palatino Linotype"/>
        </w:rPr>
        <w:t xml:space="preserve">. </w:t>
      </w:r>
    </w:p>
    <w:p w14:paraId="28AC2264" w14:textId="77777777" w:rsidR="00A44253" w:rsidRDefault="00A44253">
      <w:pPr>
        <w:spacing w:after="0" w:line="360" w:lineRule="auto"/>
        <w:ind w:right="49"/>
        <w:jc w:val="both"/>
        <w:rPr>
          <w:rFonts w:ascii="Palatino Linotype" w:eastAsia="Palatino Linotype" w:hAnsi="Palatino Linotype" w:cs="Palatino Linotype"/>
        </w:rPr>
      </w:pPr>
    </w:p>
    <w:p w14:paraId="6EB02274" w14:textId="10DA8A52" w:rsidR="00A44253" w:rsidRDefault="00B34C9B">
      <w:pPr>
        <w:spacing w:after="0" w:line="360" w:lineRule="auto"/>
        <w:ind w:right="27"/>
        <w:jc w:val="both"/>
        <w:rPr>
          <w:rFonts w:ascii="Palatino Linotype" w:eastAsia="Palatino Linotype" w:hAnsi="Palatino Linotype" w:cs="Palatino Linotype"/>
          <w:b/>
        </w:rPr>
      </w:pPr>
      <w:r>
        <w:rPr>
          <w:rFonts w:ascii="Palatino Linotype" w:eastAsia="Palatino Linotype" w:hAnsi="Palatino Linotype" w:cs="Palatino Linotype"/>
        </w:rPr>
        <w:t xml:space="preserve">Visto el expediente relativo al recurso de revisión </w:t>
      </w:r>
      <w:r>
        <w:rPr>
          <w:rFonts w:ascii="Palatino Linotype" w:eastAsia="Palatino Linotype" w:hAnsi="Palatino Linotype" w:cs="Palatino Linotype"/>
          <w:b/>
        </w:rPr>
        <w:t>04019/INFOEM/IP/RR/2024</w:t>
      </w:r>
      <w:r>
        <w:rPr>
          <w:rFonts w:ascii="Palatino Linotype" w:eastAsia="Palatino Linotype" w:hAnsi="Palatino Linotype" w:cs="Palatino Linotype"/>
        </w:rPr>
        <w:t>, interpuesto por</w:t>
      </w:r>
      <w:r>
        <w:rPr>
          <w:rFonts w:ascii="Palatino Linotype" w:eastAsia="Palatino Linotype" w:hAnsi="Palatino Linotype" w:cs="Palatino Linotype"/>
          <w:b/>
        </w:rPr>
        <w:t xml:space="preserve"> </w:t>
      </w:r>
      <w:r w:rsidR="00945930" w:rsidRPr="00945930">
        <w:rPr>
          <w:rFonts w:ascii="Palatino Linotype" w:eastAsia="Palatino Linotype" w:hAnsi="Palatino Linotype" w:cs="Palatino Linotype"/>
          <w:b/>
        </w:rPr>
        <w:t>XXXX XXXXXX XXXXXXX XXXXXXXXX</w:t>
      </w:r>
      <w:r>
        <w:rPr>
          <w:rFonts w:ascii="Palatino Linotype" w:eastAsia="Palatino Linotype" w:hAnsi="Palatino Linotype" w:cs="Palatino Linotype"/>
        </w:rPr>
        <w:t xml:space="preserve">, al cual en lo sucesivo se le denominará 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a su solicitud de información identificada con número de folio </w:t>
      </w:r>
      <w:r>
        <w:rPr>
          <w:rFonts w:ascii="Palatino Linotype" w:eastAsia="Palatino Linotype" w:hAnsi="Palatino Linotype" w:cs="Palatino Linotype"/>
          <w:b/>
        </w:rPr>
        <w:t xml:space="preserve">00105/JIQUIPIL/IP/2024 </w:t>
      </w:r>
      <w:r>
        <w:rPr>
          <w:rFonts w:ascii="Palatino Linotype" w:eastAsia="Palatino Linotype" w:hAnsi="Palatino Linotype" w:cs="Palatino Linotype"/>
        </w:rPr>
        <w:t xml:space="preserve">proporcionada por parte del </w:t>
      </w:r>
      <w:r>
        <w:rPr>
          <w:rFonts w:ascii="Palatino Linotype" w:eastAsia="Palatino Linotype" w:hAnsi="Palatino Linotype" w:cs="Palatino Linotype"/>
          <w:b/>
        </w:rPr>
        <w:t xml:space="preserve">Ayuntamiento de Jiquipilco, </w:t>
      </w:r>
      <w:r>
        <w:rPr>
          <w:rFonts w:ascii="Palatino Linotype" w:eastAsia="Palatino Linotype" w:hAnsi="Palatino Linotype" w:cs="Palatino Linotype"/>
        </w:rPr>
        <w:t xml:space="preserve">en lo sucesivo el </w:t>
      </w:r>
      <w:r>
        <w:rPr>
          <w:rFonts w:ascii="Palatino Linotype" w:eastAsia="Palatino Linotype" w:hAnsi="Palatino Linotype" w:cs="Palatino Linotype"/>
          <w:b/>
        </w:rPr>
        <w:t>Sujeto Obligado</w:t>
      </w:r>
      <w:r>
        <w:rPr>
          <w:rFonts w:ascii="Palatino Linotype" w:eastAsia="Palatino Linotype" w:hAnsi="Palatino Linotype" w:cs="Palatino Linotype"/>
        </w:rPr>
        <w:t>; se procede a dictar la presente resolución, con base en los siguientes:</w:t>
      </w:r>
      <w:r>
        <w:rPr>
          <w:rFonts w:ascii="Palatino Linotype" w:eastAsia="Palatino Linotype" w:hAnsi="Palatino Linotype" w:cs="Palatino Linotype"/>
          <w:b/>
        </w:rPr>
        <w:t xml:space="preserve"> </w:t>
      </w:r>
    </w:p>
    <w:p w14:paraId="7626AAF5" w14:textId="77777777" w:rsidR="00A44253" w:rsidRDefault="00A44253">
      <w:pPr>
        <w:spacing w:after="0" w:line="360" w:lineRule="auto"/>
        <w:ind w:right="27"/>
        <w:jc w:val="both"/>
        <w:rPr>
          <w:rFonts w:ascii="Palatino Linotype" w:eastAsia="Palatino Linotype" w:hAnsi="Palatino Linotype" w:cs="Palatino Linotype"/>
          <w:b/>
        </w:rPr>
      </w:pPr>
    </w:p>
    <w:p w14:paraId="44796BB8" w14:textId="77777777" w:rsidR="00A44253" w:rsidRDefault="00B34C9B">
      <w:pPr>
        <w:numPr>
          <w:ilvl w:val="0"/>
          <w:numId w:val="4"/>
        </w:numPr>
        <w:pBdr>
          <w:top w:val="nil"/>
          <w:left w:val="nil"/>
          <w:bottom w:val="nil"/>
          <w:right w:val="nil"/>
          <w:between w:val="nil"/>
        </w:pBdr>
        <w:spacing w:after="0" w:line="360" w:lineRule="auto"/>
        <w:ind w:right="49"/>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 N T E C E D E N T E S</w:t>
      </w:r>
    </w:p>
    <w:p w14:paraId="01264F49" w14:textId="77777777" w:rsidR="00A44253" w:rsidRDefault="00A44253">
      <w:pPr>
        <w:pBdr>
          <w:top w:val="nil"/>
          <w:left w:val="nil"/>
          <w:bottom w:val="nil"/>
          <w:right w:val="nil"/>
          <w:between w:val="nil"/>
        </w:pBdr>
        <w:spacing w:after="0" w:line="360" w:lineRule="auto"/>
        <w:ind w:left="1080" w:right="49"/>
        <w:rPr>
          <w:rFonts w:ascii="Palatino Linotype" w:eastAsia="Palatino Linotype" w:hAnsi="Palatino Linotype" w:cs="Palatino Linotype"/>
          <w:b/>
          <w:color w:val="000000"/>
        </w:rPr>
      </w:pPr>
    </w:p>
    <w:p w14:paraId="35BC440A" w14:textId="77777777" w:rsidR="00A44253" w:rsidRDefault="00B34C9B">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b/>
        </w:rPr>
        <w:t>Solicitud de acceso a la información.</w:t>
      </w:r>
      <w:r>
        <w:rPr>
          <w:rFonts w:ascii="Palatino Linotype" w:eastAsia="Palatino Linotype" w:hAnsi="Palatino Linotype" w:cs="Palatino Linotype"/>
        </w:rPr>
        <w:t xml:space="preserve"> Con fecha</w:t>
      </w:r>
      <w:r>
        <w:rPr>
          <w:rFonts w:ascii="Palatino Linotype" w:eastAsia="Palatino Linotype" w:hAnsi="Palatino Linotype" w:cs="Palatino Linotype"/>
          <w:b/>
        </w:rPr>
        <w:t xml:space="preserve"> doce de junio de dos mil veinticuatro </w:t>
      </w:r>
      <w:r>
        <w:rPr>
          <w:rFonts w:ascii="Palatino Linotype" w:eastAsia="Palatino Linotype" w:hAnsi="Palatino Linotype" w:cs="Palatino Linotype"/>
        </w:rPr>
        <w:t xml:space="preserve">la parte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formuló solicitud de acceso a información pública al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xml:space="preserve"> a través del Sistema de Acceso a la Información Mexiquense, en adelante SAIMEX, en la que requirió lo siguiente: </w:t>
      </w:r>
    </w:p>
    <w:p w14:paraId="128B0708" w14:textId="77777777" w:rsidR="00A44253" w:rsidRDefault="00A4425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A998336" w14:textId="77777777" w:rsidR="00A44253" w:rsidRDefault="00B34C9B">
      <w:pPr>
        <w:spacing w:after="0" w:line="276" w:lineRule="auto"/>
        <w:ind w:left="567" w:right="616"/>
        <w:jc w:val="both"/>
        <w:rPr>
          <w:rFonts w:ascii="Palatino Linotype" w:eastAsia="Palatino Linotype" w:hAnsi="Palatino Linotype" w:cs="Palatino Linotype"/>
          <w:i/>
        </w:rPr>
      </w:pPr>
      <w:bookmarkStart w:id="0" w:name="_heading=h.gjdgxs" w:colFirst="0" w:colLast="0"/>
      <w:bookmarkEnd w:id="0"/>
      <w:r>
        <w:rPr>
          <w:rFonts w:ascii="Palatino Linotype" w:eastAsia="Palatino Linotype" w:hAnsi="Palatino Linotype" w:cs="Palatino Linotype"/>
          <w:i/>
        </w:rPr>
        <w:t xml:space="preserve">“Con fundamento en lo dispuesto en los artículos 4, 7, 15, 23 fracción IV, 150, 152, 155 y 160 de la Ley de Transparencia y Acceso a la Información Pública del Estado de México y Municipios y demás disposiciones relativas y aplicables, solicito se me proporcione vía SAIMEX la </w:t>
      </w:r>
      <w:r>
        <w:rPr>
          <w:rFonts w:ascii="Palatino Linotype" w:eastAsia="Palatino Linotype" w:hAnsi="Palatino Linotype" w:cs="Palatino Linotype"/>
          <w:b/>
          <w:i/>
        </w:rPr>
        <w:t>versión pública del oficio número DOP/175/2024 de fecha veintisiete (27) de mayo del año dos mil veinticuatro (2024) suscrito por el ING. ENRIQUE TORRES MEDINA en su carácter de Director de Obras Públicas del Ayuntamiento de Jiquipilco</w:t>
      </w:r>
      <w:r>
        <w:rPr>
          <w:rFonts w:ascii="Palatino Linotype" w:eastAsia="Palatino Linotype" w:hAnsi="Palatino Linotype" w:cs="Palatino Linotype"/>
          <w:i/>
        </w:rPr>
        <w:t>.”</w:t>
      </w:r>
    </w:p>
    <w:p w14:paraId="6E4BAF7E" w14:textId="77777777" w:rsidR="00A44253" w:rsidRDefault="00A44253">
      <w:pPr>
        <w:spacing w:after="0" w:line="276" w:lineRule="auto"/>
        <w:ind w:left="567" w:right="616"/>
        <w:jc w:val="both"/>
        <w:rPr>
          <w:rFonts w:ascii="Palatino Linotype" w:eastAsia="Palatino Linotype" w:hAnsi="Palatino Linotype" w:cs="Palatino Linotype"/>
          <w:i/>
        </w:rPr>
      </w:pPr>
    </w:p>
    <w:p w14:paraId="68985ECB" w14:textId="77777777" w:rsidR="00A44253" w:rsidRDefault="00B34C9B">
      <w:pPr>
        <w:spacing w:after="0"/>
        <w:ind w:right="1183"/>
        <w:jc w:val="both"/>
        <w:rPr>
          <w:rFonts w:ascii="Palatino Linotype" w:eastAsia="Palatino Linotype" w:hAnsi="Palatino Linotype" w:cs="Palatino Linotype"/>
        </w:rPr>
      </w:pPr>
      <w:r>
        <w:rPr>
          <w:rFonts w:ascii="Palatino Linotype" w:eastAsia="Palatino Linotype" w:hAnsi="Palatino Linotype" w:cs="Palatino Linotype"/>
          <w:b/>
        </w:rPr>
        <w:lastRenderedPageBreak/>
        <w:t>Modalidad elegida para la entrega de la información:</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a través de </w:t>
      </w:r>
      <w:r>
        <w:rPr>
          <w:rFonts w:ascii="Palatino Linotype" w:eastAsia="Palatino Linotype" w:hAnsi="Palatino Linotype" w:cs="Palatino Linotype"/>
        </w:rPr>
        <w:t>SAIMEX.</w:t>
      </w:r>
    </w:p>
    <w:p w14:paraId="387992D9" w14:textId="77777777" w:rsidR="00A44253" w:rsidRDefault="00A44253">
      <w:pPr>
        <w:spacing w:after="0"/>
        <w:ind w:right="1183"/>
        <w:jc w:val="both"/>
        <w:rPr>
          <w:rFonts w:ascii="Palatino Linotype" w:eastAsia="Palatino Linotype" w:hAnsi="Palatino Linotype" w:cs="Palatino Linotype"/>
        </w:rPr>
      </w:pPr>
    </w:p>
    <w:p w14:paraId="2B036766" w14:textId="77777777" w:rsidR="00A44253" w:rsidRDefault="00B34C9B">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i/>
        </w:rPr>
      </w:pPr>
      <w:r>
        <w:rPr>
          <w:rFonts w:ascii="Palatino Linotype" w:eastAsia="Palatino Linotype" w:hAnsi="Palatino Linotype" w:cs="Palatino Linotype"/>
          <w:b/>
        </w:rPr>
        <w:t>Respuesta.</w:t>
      </w:r>
      <w:r>
        <w:rPr>
          <w:rFonts w:ascii="Palatino Linotype" w:eastAsia="Palatino Linotype" w:hAnsi="Palatino Linotype" w:cs="Palatino Linotype"/>
        </w:rPr>
        <w:t xml:space="preserve"> El </w:t>
      </w:r>
      <w:r>
        <w:rPr>
          <w:rFonts w:ascii="Palatino Linotype" w:eastAsia="Palatino Linotype" w:hAnsi="Palatino Linotype" w:cs="Palatino Linotype"/>
          <w:b/>
        </w:rPr>
        <w:t>uno de julio de dos mil veinticuatro</w:t>
      </w:r>
      <w:r>
        <w:rPr>
          <w:rFonts w:ascii="Palatino Linotype" w:eastAsia="Palatino Linotype" w:hAnsi="Palatino Linotype" w:cs="Palatino Linotype"/>
        </w:rPr>
        <w:t xml:space="preserve">,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emitió respuesta al tenor de lo siguiente: </w:t>
      </w:r>
    </w:p>
    <w:p w14:paraId="3CA2825B" w14:textId="77777777" w:rsidR="00A44253" w:rsidRDefault="00A44253">
      <w:pPr>
        <w:pBdr>
          <w:top w:val="nil"/>
          <w:left w:val="nil"/>
          <w:bottom w:val="nil"/>
          <w:right w:val="nil"/>
          <w:between w:val="nil"/>
        </w:pBdr>
        <w:spacing w:after="0" w:line="360" w:lineRule="auto"/>
        <w:ind w:right="49"/>
        <w:jc w:val="both"/>
        <w:rPr>
          <w:rFonts w:ascii="Palatino Linotype" w:eastAsia="Palatino Linotype" w:hAnsi="Palatino Linotype" w:cs="Palatino Linotype"/>
          <w:i/>
        </w:rPr>
      </w:pPr>
    </w:p>
    <w:p w14:paraId="416FAFC8" w14:textId="77777777" w:rsidR="00A44253" w:rsidRDefault="00B34C9B">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4B75382" w14:textId="77777777" w:rsidR="00A44253" w:rsidRDefault="00B34C9B">
      <w:pPr>
        <w:pBdr>
          <w:top w:val="nil"/>
          <w:left w:val="nil"/>
          <w:bottom w:val="nil"/>
          <w:right w:val="nil"/>
          <w:between w:val="nil"/>
        </w:pBd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se remite la respuesta entregada por el área responsable.</w:t>
      </w:r>
    </w:p>
    <w:p w14:paraId="380BA9D9" w14:textId="77777777" w:rsidR="00A44253" w:rsidRDefault="00A44253">
      <w:pPr>
        <w:pBdr>
          <w:top w:val="nil"/>
          <w:left w:val="nil"/>
          <w:bottom w:val="nil"/>
          <w:right w:val="nil"/>
          <w:between w:val="nil"/>
        </w:pBdr>
        <w:spacing w:after="0" w:line="360" w:lineRule="auto"/>
        <w:ind w:right="49"/>
        <w:jc w:val="both"/>
        <w:rPr>
          <w:rFonts w:ascii="Palatino Linotype" w:eastAsia="Palatino Linotype" w:hAnsi="Palatino Linotype" w:cs="Palatino Linotype"/>
          <w:i/>
        </w:rPr>
      </w:pPr>
    </w:p>
    <w:p w14:paraId="327FBAD5" w14:textId="77777777" w:rsidR="00A44253" w:rsidRDefault="00B34C9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Asimismo, adjuntó los archivos que se describen a continuación: </w:t>
      </w:r>
    </w:p>
    <w:p w14:paraId="692F3E6A" w14:textId="77777777" w:rsidR="00A44253" w:rsidRDefault="00A4425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47A5BD2" w14:textId="77777777" w:rsidR="00A44253" w:rsidRDefault="00B34C9B">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de fecha veintiséis de junio de dos mil veinticuatro, signado por el Director de Obras Públicas, mediante el cual informa que, se adjunta el oficio solicitado.</w:t>
      </w:r>
    </w:p>
    <w:p w14:paraId="75217608" w14:textId="77777777" w:rsidR="00A44253" w:rsidRDefault="00B34C9B">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de fecha veintisiete de mayo de dos mil veinticuatro, signado por el director de Obras Públicas.</w:t>
      </w:r>
    </w:p>
    <w:p w14:paraId="1FB9FC95" w14:textId="77777777" w:rsidR="00A44253" w:rsidRDefault="00A44253">
      <w:pPr>
        <w:pBdr>
          <w:top w:val="nil"/>
          <w:left w:val="nil"/>
          <w:bottom w:val="nil"/>
          <w:right w:val="nil"/>
          <w:between w:val="nil"/>
        </w:pBdr>
        <w:spacing w:after="0" w:line="360" w:lineRule="auto"/>
        <w:ind w:right="49"/>
        <w:jc w:val="both"/>
        <w:rPr>
          <w:rFonts w:ascii="Palatino Linotype" w:eastAsia="Palatino Linotype" w:hAnsi="Palatino Linotype" w:cs="Palatino Linotype"/>
          <w:i/>
        </w:rPr>
      </w:pPr>
    </w:p>
    <w:p w14:paraId="3D1B945B" w14:textId="77777777" w:rsidR="00A44253" w:rsidRDefault="00B34C9B">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i/>
        </w:rPr>
      </w:pPr>
      <w:r>
        <w:rPr>
          <w:rFonts w:ascii="Palatino Linotype" w:eastAsia="Palatino Linotype" w:hAnsi="Palatino Linotype" w:cs="Palatino Linotype"/>
          <w:b/>
          <w:color w:val="000000"/>
        </w:rPr>
        <w:t xml:space="preserve">Recurso de Revisión.  </w:t>
      </w:r>
      <w:r>
        <w:rPr>
          <w:rFonts w:ascii="Palatino Linotype" w:eastAsia="Palatino Linotype" w:hAnsi="Palatino Linotype" w:cs="Palatino Linotype"/>
        </w:rPr>
        <w:t xml:space="preserve">Inconforme la parte solicitante con la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interpuso recurso de revisión a través del SAIMEX el </w:t>
      </w:r>
      <w:r>
        <w:rPr>
          <w:rFonts w:ascii="Palatino Linotype" w:eastAsia="Palatino Linotype" w:hAnsi="Palatino Linotype" w:cs="Palatino Linotype"/>
          <w:b/>
        </w:rPr>
        <w:t>dos de julio de dos mil veinticuatro,</w:t>
      </w:r>
      <w:r>
        <w:rPr>
          <w:rFonts w:ascii="Palatino Linotype" w:eastAsia="Palatino Linotype" w:hAnsi="Palatino Linotype" w:cs="Palatino Linotype"/>
        </w:rPr>
        <w:t xml:space="preserve"> expresando lo siguiente:</w:t>
      </w:r>
    </w:p>
    <w:p w14:paraId="661731AF" w14:textId="77777777" w:rsidR="00A44253" w:rsidRDefault="00A44253">
      <w:pPr>
        <w:pBdr>
          <w:top w:val="nil"/>
          <w:left w:val="nil"/>
          <w:bottom w:val="nil"/>
          <w:right w:val="nil"/>
          <w:between w:val="nil"/>
        </w:pBdr>
        <w:spacing w:after="0" w:line="360" w:lineRule="auto"/>
        <w:ind w:left="567" w:right="49"/>
        <w:jc w:val="both"/>
        <w:rPr>
          <w:rFonts w:ascii="Palatino Linotype" w:eastAsia="Palatino Linotype" w:hAnsi="Palatino Linotype" w:cs="Palatino Linotype"/>
          <w:i/>
        </w:rPr>
      </w:pPr>
    </w:p>
    <w:p w14:paraId="22DA037B" w14:textId="77777777" w:rsidR="00A44253" w:rsidRDefault="00B34C9B">
      <w:pPr>
        <w:spacing w:after="0" w:line="360" w:lineRule="auto"/>
        <w:ind w:left="567"/>
        <w:jc w:val="both"/>
        <w:rPr>
          <w:rFonts w:ascii="Palatino Linotype" w:eastAsia="Palatino Linotype" w:hAnsi="Palatino Linotype" w:cs="Palatino Linotype"/>
          <w:i/>
        </w:rPr>
      </w:pPr>
      <w:r>
        <w:rPr>
          <w:rFonts w:ascii="Palatino Linotype" w:eastAsia="Palatino Linotype" w:hAnsi="Palatino Linotype" w:cs="Palatino Linotype"/>
          <w:b/>
        </w:rPr>
        <w:t>Acto impugnado.</w:t>
      </w:r>
      <w:r>
        <w:t xml:space="preserve"> </w:t>
      </w:r>
      <w:r>
        <w:rPr>
          <w:rFonts w:ascii="Palatino Linotype" w:eastAsia="Palatino Linotype" w:hAnsi="Palatino Linotype" w:cs="Palatino Linotype"/>
          <w:i/>
        </w:rPr>
        <w:t>“EL OFICIO NÚMERO DOP/175/2024 DE FECHA VEINTISIETE (27) DE MAYO DEL AÑO DOS MIL VEINTICUATRO (2024) Y SUSCRITO POR EL ING. ENRIQUE TORRES MEDINA EN SU CARACTER DE DIRECTOR DE OBRAS PÚBLICAS DEL AYUNTAMIENTO DE JIQUIPILCO.”</w:t>
      </w:r>
    </w:p>
    <w:p w14:paraId="20C457A8" w14:textId="77777777" w:rsidR="00A44253" w:rsidRDefault="00A44253">
      <w:pPr>
        <w:spacing w:after="0" w:line="360" w:lineRule="auto"/>
        <w:ind w:left="567"/>
        <w:jc w:val="both"/>
        <w:rPr>
          <w:rFonts w:ascii="Palatino Linotype" w:eastAsia="Palatino Linotype" w:hAnsi="Palatino Linotype" w:cs="Palatino Linotype"/>
          <w:b/>
        </w:rPr>
      </w:pPr>
    </w:p>
    <w:p w14:paraId="276396EF" w14:textId="77777777" w:rsidR="00A44253" w:rsidRDefault="00B34C9B">
      <w:pPr>
        <w:spacing w:after="0" w:line="360" w:lineRule="auto"/>
        <w:ind w:left="567"/>
        <w:jc w:val="both"/>
        <w:rPr>
          <w:rFonts w:ascii="Palatino Linotype" w:eastAsia="Palatino Linotype" w:hAnsi="Palatino Linotype" w:cs="Palatino Linotype"/>
          <w:i/>
          <w:color w:val="000000"/>
        </w:rPr>
      </w:pPr>
      <w:r>
        <w:rPr>
          <w:rFonts w:ascii="Palatino Linotype" w:eastAsia="Palatino Linotype" w:hAnsi="Palatino Linotype" w:cs="Palatino Linotype"/>
          <w:b/>
        </w:rPr>
        <w:lastRenderedPageBreak/>
        <w:t xml:space="preserve">Motivos de inconformidad. </w:t>
      </w:r>
      <w:r>
        <w:rPr>
          <w:rFonts w:ascii="Palatino Linotype" w:eastAsia="Palatino Linotype" w:hAnsi="Palatino Linotype" w:cs="Palatino Linotype"/>
          <w:i/>
          <w:color w:val="000000"/>
        </w:rPr>
        <w:t>“EL SUJETO OBLIGADO OMITE FUNDAR Y MOTIVAR LA CLASIFICACIÓN DE LA INFORMACIÓN CONTENIDA EN EL ACTO IMPUGNADO.”</w:t>
      </w:r>
    </w:p>
    <w:p w14:paraId="32A20C91" w14:textId="77777777" w:rsidR="00A44253" w:rsidRDefault="00B34C9B">
      <w:pPr>
        <w:spacing w:after="0" w:line="360" w:lineRule="auto"/>
        <w:ind w:left="567"/>
        <w:jc w:val="both"/>
        <w:rPr>
          <w:rFonts w:ascii="Palatino Linotype" w:eastAsia="Palatino Linotype" w:hAnsi="Palatino Linotype" w:cs="Palatino Linotype"/>
          <w:b/>
        </w:rPr>
      </w:pPr>
      <w:r>
        <w:rPr>
          <w:rFonts w:ascii="Palatino Linotype" w:eastAsia="Palatino Linotype" w:hAnsi="Palatino Linotype" w:cs="Palatino Linotype"/>
          <w:i/>
          <w:color w:val="000000"/>
        </w:rPr>
        <w:t xml:space="preserve"> </w:t>
      </w:r>
    </w:p>
    <w:p w14:paraId="0DC8E3EE" w14:textId="77777777" w:rsidR="00A44253" w:rsidRDefault="00B34C9B">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b/>
        </w:rPr>
        <w:t>Turno.</w:t>
      </w:r>
      <w:r>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Pr>
          <w:rFonts w:ascii="Palatino Linotype" w:eastAsia="Palatino Linotype" w:hAnsi="Palatino Linotype" w:cs="Palatino Linotype"/>
          <w:b/>
        </w:rPr>
        <w:t>04019/INFOEM/IP/RR/2024</w:t>
      </w:r>
      <w:r>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6EDCDF59" w14:textId="77777777" w:rsidR="00A44253" w:rsidRDefault="00A4425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A715AE2" w14:textId="77777777" w:rsidR="00A44253" w:rsidRDefault="00B34C9B">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b/>
        </w:rPr>
        <w:t>Admisión del recurso de revisión</w:t>
      </w:r>
      <w:r>
        <w:rPr>
          <w:rFonts w:ascii="Palatino Linotype" w:eastAsia="Palatino Linotype" w:hAnsi="Palatino Linotype" w:cs="Palatino Linotype"/>
        </w:rPr>
        <w:t>: En fecha</w:t>
      </w:r>
      <w:r>
        <w:rPr>
          <w:rFonts w:ascii="Palatino Linotype" w:eastAsia="Palatino Linotype" w:hAnsi="Palatino Linotype" w:cs="Palatino Linotype"/>
          <w:b/>
        </w:rPr>
        <w:t xml:space="preserve"> cinco de julio de dos mil veinticuatro</w:t>
      </w:r>
      <w:r>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59B86C30" w14:textId="77777777" w:rsidR="00A44253" w:rsidRDefault="00A4425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31B5059" w14:textId="77777777" w:rsidR="00A44253" w:rsidRDefault="00B34C9B">
      <w:pPr>
        <w:numPr>
          <w:ilvl w:val="0"/>
          <w:numId w:val="5"/>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Pr>
          <w:rFonts w:ascii="Palatino Linotype" w:eastAsia="Palatino Linotype" w:hAnsi="Palatino Linotype" w:cs="Palatino Linotype"/>
          <w:b/>
        </w:rPr>
        <w:t xml:space="preserve">Manifestaciones. </w:t>
      </w:r>
      <w:r>
        <w:rPr>
          <w:rFonts w:ascii="Palatino Linotype" w:eastAsia="Palatino Linotype" w:hAnsi="Palatino Linotype" w:cs="Palatino Linotype"/>
        </w:rPr>
        <w:t>Las partes no realizaron manifestaciones.</w:t>
      </w:r>
    </w:p>
    <w:p w14:paraId="19E610D2" w14:textId="77777777" w:rsidR="00A44253" w:rsidRDefault="00A4425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A1FFB64" w14:textId="77777777" w:rsidR="00A44253" w:rsidRDefault="00B34C9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8. Cierre de instrucción</w:t>
      </w:r>
      <w:r>
        <w:rPr>
          <w:rFonts w:ascii="Palatino Linotype" w:eastAsia="Palatino Linotype" w:hAnsi="Palatino Linotype" w:cs="Palatino Linotype"/>
        </w:rPr>
        <w:t xml:space="preserve">. En fecha </w:t>
      </w:r>
      <w:r>
        <w:rPr>
          <w:rFonts w:ascii="Palatino Linotype" w:eastAsia="Palatino Linotype" w:hAnsi="Palatino Linotype" w:cs="Palatino Linotype"/>
          <w:b/>
        </w:rPr>
        <w:t>catorce de agosto de dos mil veinticuatro</w:t>
      </w:r>
      <w:r>
        <w:rPr>
          <w:rFonts w:ascii="Palatino Linotype" w:eastAsia="Palatino Linotype" w:hAnsi="Palatino Linotype" w:cs="Palatino Linotype"/>
          <w:color w:val="FF0000"/>
        </w:rPr>
        <w:t xml:space="preserve"> </w:t>
      </w:r>
      <w:r>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27FC0086" w14:textId="77777777" w:rsidR="00A44253" w:rsidRDefault="00A44253">
      <w:pPr>
        <w:spacing w:after="0" w:line="360" w:lineRule="auto"/>
        <w:jc w:val="both"/>
        <w:rPr>
          <w:rFonts w:ascii="Palatino Linotype" w:eastAsia="Palatino Linotype" w:hAnsi="Palatino Linotype" w:cs="Palatino Linotype"/>
        </w:rPr>
      </w:pPr>
    </w:p>
    <w:p w14:paraId="09ACDC51" w14:textId="77777777" w:rsidR="00A44253" w:rsidRDefault="00B34C9B">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Debido a que fue debidamente sustanciado el expediente electrónico y no existe diligencia pendiente de desahogo, se emite la Resolución que conforme a Derecho proceda, de acuerdo con los siguientes: </w:t>
      </w:r>
    </w:p>
    <w:p w14:paraId="478CB56A" w14:textId="77777777" w:rsidR="00A44253" w:rsidRDefault="00A44253">
      <w:pPr>
        <w:spacing w:after="0" w:line="360" w:lineRule="auto"/>
        <w:ind w:right="49"/>
        <w:jc w:val="both"/>
        <w:rPr>
          <w:rFonts w:ascii="Palatino Linotype" w:eastAsia="Palatino Linotype" w:hAnsi="Palatino Linotype" w:cs="Palatino Linotype"/>
        </w:rPr>
      </w:pPr>
    </w:p>
    <w:p w14:paraId="7C1880DD" w14:textId="77777777" w:rsidR="00A44253" w:rsidRDefault="00B34C9B">
      <w:pPr>
        <w:spacing w:after="0" w:line="360" w:lineRule="auto"/>
        <w:ind w:right="49"/>
        <w:jc w:val="center"/>
        <w:rPr>
          <w:rFonts w:ascii="Palatino Linotype" w:eastAsia="Palatino Linotype" w:hAnsi="Palatino Linotype" w:cs="Palatino Linotype"/>
          <w:b/>
        </w:rPr>
      </w:pPr>
      <w:r>
        <w:rPr>
          <w:rFonts w:ascii="Palatino Linotype" w:eastAsia="Palatino Linotype" w:hAnsi="Palatino Linotype" w:cs="Palatino Linotype"/>
          <w:b/>
        </w:rPr>
        <w:t>II.</w:t>
      </w:r>
      <w:r>
        <w:rPr>
          <w:rFonts w:ascii="Palatino Linotype" w:eastAsia="Palatino Linotype" w:hAnsi="Palatino Linotype" w:cs="Palatino Linotype"/>
          <w:b/>
        </w:rPr>
        <w:tab/>
        <w:t>C O N S I D E R A N D O:</w:t>
      </w:r>
    </w:p>
    <w:p w14:paraId="5314AAED" w14:textId="77777777" w:rsidR="00A44253" w:rsidRDefault="00A44253">
      <w:pPr>
        <w:spacing w:after="0" w:line="360" w:lineRule="auto"/>
        <w:ind w:right="49"/>
        <w:jc w:val="center"/>
        <w:rPr>
          <w:rFonts w:ascii="Palatino Linotype" w:eastAsia="Palatino Linotype" w:hAnsi="Palatino Linotype" w:cs="Palatino Linotype"/>
          <w:b/>
        </w:rPr>
      </w:pPr>
    </w:p>
    <w:p w14:paraId="5AEE1DB0" w14:textId="77777777" w:rsidR="00A44253" w:rsidRDefault="00B34C9B">
      <w:pPr>
        <w:spacing w:after="0" w:line="360" w:lineRule="auto"/>
        <w:jc w:val="both"/>
        <w:rPr>
          <w:rFonts w:ascii="Palatino Linotype" w:eastAsia="Palatino Linotype" w:hAnsi="Palatino Linotype" w:cs="Palatino Linotype"/>
          <w:b/>
        </w:rPr>
      </w:pPr>
      <w:bookmarkStart w:id="1" w:name="_heading=h.30j0zll" w:colFirst="0" w:colLast="0"/>
      <w:bookmarkEnd w:id="1"/>
      <w:r>
        <w:rPr>
          <w:rFonts w:ascii="Palatino Linotype" w:eastAsia="Palatino Linotype" w:hAnsi="Palatino Linotype" w:cs="Palatino Linotype"/>
          <w:b/>
        </w:rPr>
        <w:t>Primero. Competencia. </w:t>
      </w:r>
      <w:r>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BF5CFBC" w14:textId="77777777" w:rsidR="00A44253" w:rsidRDefault="00A44253">
      <w:pPr>
        <w:spacing w:after="0" w:line="360" w:lineRule="auto"/>
        <w:jc w:val="both"/>
        <w:rPr>
          <w:rFonts w:ascii="Palatino Linotype" w:eastAsia="Palatino Linotype" w:hAnsi="Palatino Linotype" w:cs="Palatino Linotype"/>
        </w:rPr>
      </w:pPr>
    </w:p>
    <w:p w14:paraId="202F6798" w14:textId="77777777" w:rsidR="00A44253" w:rsidRDefault="00B34C9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Segundo. Oportunidad y Procedibilidad del Recurso de Revisión</w:t>
      </w:r>
      <w:r>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5A5F547" w14:textId="77777777" w:rsidR="00A44253" w:rsidRDefault="00B34C9B">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proporcionó su respuesta a la solicitud de </w:t>
      </w:r>
      <w:r>
        <w:rPr>
          <w:rFonts w:ascii="Palatino Linotype" w:eastAsia="Palatino Linotype" w:hAnsi="Palatino Linotype" w:cs="Palatino Linotype"/>
        </w:rPr>
        <w:lastRenderedPageBreak/>
        <w:t xml:space="preserve">información el </w:t>
      </w:r>
      <w:r>
        <w:rPr>
          <w:rFonts w:ascii="Palatino Linotype" w:eastAsia="Palatino Linotype" w:hAnsi="Palatino Linotype" w:cs="Palatino Linotype"/>
          <w:b/>
        </w:rPr>
        <w:t>uno de julio de dos mil veinticuatro</w:t>
      </w:r>
      <w:r>
        <w:rPr>
          <w:rFonts w:ascii="Palatino Linotype" w:eastAsia="Palatino Linotype" w:hAnsi="Palatino Linotype" w:cs="Palatino Linotype"/>
        </w:rPr>
        <w:t xml:space="preserve">, y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presentó su Recurso de Revisión el </w:t>
      </w:r>
      <w:r>
        <w:rPr>
          <w:rFonts w:ascii="Palatino Linotype" w:eastAsia="Palatino Linotype" w:hAnsi="Palatino Linotype" w:cs="Palatino Linotype"/>
          <w:b/>
        </w:rPr>
        <w:t>dos de julio de dos mil veinticuatro</w:t>
      </w:r>
      <w:r>
        <w:rPr>
          <w:rFonts w:ascii="Palatino Linotype" w:eastAsia="Palatino Linotype" w:hAnsi="Palatino Linotype" w:cs="Palatino Linotype"/>
        </w:rPr>
        <w:t xml:space="preserve">. </w:t>
      </w:r>
    </w:p>
    <w:p w14:paraId="5ABF946F" w14:textId="77777777" w:rsidR="00A44253" w:rsidRDefault="00A44253">
      <w:pPr>
        <w:spacing w:after="0" w:line="360" w:lineRule="auto"/>
        <w:jc w:val="both"/>
        <w:rPr>
          <w:rFonts w:ascii="Palatino Linotype" w:eastAsia="Palatino Linotype" w:hAnsi="Palatino Linotype" w:cs="Palatino Linotype"/>
          <w:color w:val="000000"/>
        </w:rPr>
      </w:pPr>
    </w:p>
    <w:p w14:paraId="02AE58E5" w14:textId="77777777" w:rsidR="00A44253" w:rsidRDefault="00B34C9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Asimismo, resulta procedente la interposición del recurso de revisión al rubro anotado, toda vez que se actualizan las hipótesis previstas en el artículo 179, fracción XIII de la ley de la materia, que a la letra dice:</w:t>
      </w:r>
    </w:p>
    <w:p w14:paraId="7594F240" w14:textId="77777777" w:rsidR="00A44253" w:rsidRDefault="00A44253">
      <w:pPr>
        <w:spacing w:after="0" w:line="360" w:lineRule="auto"/>
        <w:jc w:val="both"/>
        <w:rPr>
          <w:rFonts w:ascii="Palatino Linotype" w:eastAsia="Palatino Linotype" w:hAnsi="Palatino Linotype" w:cs="Palatino Linotype"/>
        </w:rPr>
      </w:pPr>
    </w:p>
    <w:p w14:paraId="6E1E6FC5" w14:textId="77777777" w:rsidR="00A44253" w:rsidRDefault="00B34C9B">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b/>
          <w:i/>
        </w:rPr>
        <w:t xml:space="preserve">Artículo 179. </w:t>
      </w:r>
      <w:r>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20B2C657" w14:textId="77777777" w:rsidR="00A44253" w:rsidRDefault="00B34C9B">
      <w:pPr>
        <w:spacing w:after="0" w:line="276"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w:t>
      </w:r>
    </w:p>
    <w:p w14:paraId="056FAF22" w14:textId="77777777" w:rsidR="00A44253" w:rsidRDefault="00B34C9B">
      <w:pPr>
        <w:spacing w:after="0" w:line="360" w:lineRule="auto"/>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XIII. La falta, deficiencia o insuficiencia de la fundamentación y/o motivación en la respuesta; y; </w:t>
      </w:r>
    </w:p>
    <w:p w14:paraId="289E4F52" w14:textId="77777777" w:rsidR="00A44253" w:rsidRDefault="00B34C9B">
      <w:pPr>
        <w:spacing w:after="0" w:line="360" w:lineRule="auto"/>
        <w:ind w:left="567" w:right="616"/>
        <w:jc w:val="both"/>
        <w:rPr>
          <w:rFonts w:ascii="Palatino Linotype" w:eastAsia="Palatino Linotype" w:hAnsi="Palatino Linotype" w:cs="Palatino Linotype"/>
          <w:b/>
          <w:i/>
        </w:rPr>
      </w:pPr>
      <w:r>
        <w:rPr>
          <w:rFonts w:ascii="Palatino Linotype" w:eastAsia="Palatino Linotype" w:hAnsi="Palatino Linotype" w:cs="Palatino Linotype"/>
          <w:i/>
        </w:rPr>
        <w:t xml:space="preserve">…” </w:t>
      </w:r>
    </w:p>
    <w:p w14:paraId="5C55B775" w14:textId="77777777" w:rsidR="00A44253" w:rsidRDefault="00A44253">
      <w:pPr>
        <w:spacing w:after="0" w:line="360" w:lineRule="auto"/>
        <w:ind w:left="567" w:right="616"/>
        <w:jc w:val="both"/>
        <w:rPr>
          <w:rFonts w:ascii="Palatino Linotype" w:eastAsia="Palatino Linotype" w:hAnsi="Palatino Linotype" w:cs="Palatino Linotype"/>
          <w:b/>
          <w:i/>
        </w:rPr>
      </w:pPr>
    </w:p>
    <w:p w14:paraId="5F6BE5F5" w14:textId="77777777" w:rsidR="00A44253" w:rsidRDefault="00B34C9B">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Tercero. Materia de la revisión</w:t>
      </w:r>
      <w:r>
        <w:rPr>
          <w:rFonts w:ascii="Palatino Linotype" w:eastAsia="Palatino Linotype" w:hAnsi="Palatino Linotype" w:cs="Palatino Linotype"/>
        </w:rPr>
        <w:t xml:space="preserve">. De la revisión a las constancias y documentos que obran en el expediente electrónico se advierte, que el tema sobre el que este Organismo Garante de Transparencia y Acceso a la Información se pronunciará será en determinar, si se actualiza la hipótesis prevista en la fracción XIII del artículo 179 de la Ley en la materia. </w:t>
      </w:r>
    </w:p>
    <w:p w14:paraId="4961DBC5" w14:textId="77777777" w:rsidR="00A44253" w:rsidRDefault="00A44253">
      <w:pPr>
        <w:spacing w:after="0" w:line="360" w:lineRule="auto"/>
        <w:ind w:right="49"/>
        <w:jc w:val="both"/>
        <w:rPr>
          <w:rFonts w:ascii="Palatino Linotype" w:eastAsia="Palatino Linotype" w:hAnsi="Palatino Linotype" w:cs="Palatino Linotype"/>
        </w:rPr>
      </w:pPr>
    </w:p>
    <w:p w14:paraId="4A38E065" w14:textId="77777777" w:rsidR="00A44253" w:rsidRDefault="00B34C9B">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Cuarto.</w:t>
      </w:r>
      <w:r>
        <w:rPr>
          <w:rFonts w:ascii="Palatino Linotype" w:eastAsia="Palatino Linotype" w:hAnsi="Palatino Linotype" w:cs="Palatino Linotype"/>
        </w:rPr>
        <w:t xml:space="preserve"> </w:t>
      </w:r>
      <w:r>
        <w:rPr>
          <w:rFonts w:ascii="Palatino Linotype" w:eastAsia="Palatino Linotype" w:hAnsi="Palatino Linotype" w:cs="Palatino Linotype"/>
          <w:b/>
        </w:rPr>
        <w:t>Estudio de fondo del asunto.</w:t>
      </w:r>
      <w:r>
        <w:rPr>
          <w:rFonts w:ascii="Palatino Linotype" w:eastAsia="Palatino Linotype" w:hAnsi="Palatino Linotype" w:cs="Palatino Linotype"/>
        </w:rPr>
        <w:t xml:space="preserve">  En principio,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30555A4" w14:textId="77777777" w:rsidR="00A44253" w:rsidRDefault="00A44253">
      <w:pPr>
        <w:spacing w:after="0" w:line="360" w:lineRule="auto"/>
        <w:ind w:right="843"/>
        <w:jc w:val="both"/>
        <w:rPr>
          <w:rFonts w:ascii="Palatino Linotype" w:eastAsia="Palatino Linotype" w:hAnsi="Palatino Linotype" w:cs="Palatino Linotype"/>
        </w:rPr>
      </w:pPr>
    </w:p>
    <w:p w14:paraId="7EB32AF9" w14:textId="77777777" w:rsidR="00A44253" w:rsidRDefault="00B34C9B">
      <w:pPr>
        <w:spacing w:after="0" w:line="276"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b/>
          <w:i/>
        </w:rPr>
        <w:t>Artículo 1o.</w:t>
      </w:r>
      <w:r>
        <w:rPr>
          <w:rFonts w:ascii="Palatino Linotype" w:eastAsia="Palatino Linotype" w:hAnsi="Palatino Linotype" w:cs="Palatino Linotype"/>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A848DB8" w14:textId="77777777" w:rsidR="00A44253" w:rsidRDefault="00B34C9B">
      <w:pPr>
        <w:spacing w:after="0" w:line="276"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14:paraId="0A3D8E9C" w14:textId="77777777" w:rsidR="00A44253" w:rsidRDefault="00B34C9B">
      <w:pPr>
        <w:spacing w:after="0" w:line="276"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694A413" w14:textId="77777777" w:rsidR="00A44253" w:rsidRDefault="00B34C9B">
      <w:pPr>
        <w:spacing w:after="0" w:line="276"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w:t>
      </w:r>
    </w:p>
    <w:p w14:paraId="3F676FF4" w14:textId="77777777" w:rsidR="00A44253" w:rsidRDefault="00B34C9B">
      <w:pPr>
        <w:spacing w:after="0" w:line="276" w:lineRule="auto"/>
        <w:ind w:left="567" w:right="843"/>
        <w:jc w:val="both"/>
        <w:rPr>
          <w:rFonts w:ascii="Palatino Linotype" w:eastAsia="Palatino Linotype" w:hAnsi="Palatino Linotype" w:cs="Palatino Linotype"/>
          <w:b/>
          <w:i/>
        </w:rPr>
      </w:pPr>
      <w:r>
        <w:rPr>
          <w:rFonts w:ascii="Palatino Linotype" w:eastAsia="Palatino Linotype" w:hAnsi="Palatino Linotype" w:cs="Palatino Linotype"/>
          <w:b/>
          <w:i/>
        </w:rPr>
        <w:t>“Artículo 6o.</w:t>
      </w:r>
    </w:p>
    <w:p w14:paraId="7E3EB1A3" w14:textId="77777777" w:rsidR="00A44253" w:rsidRDefault="00B34C9B">
      <w:pPr>
        <w:spacing w:after="0" w:line="276"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631BDCA" w14:textId="77777777" w:rsidR="00A44253" w:rsidRDefault="00B34C9B">
      <w:pPr>
        <w:spacing w:after="0" w:line="276"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7D4AC6B8" w14:textId="77777777" w:rsidR="00A44253" w:rsidRDefault="00B34C9B">
      <w:pPr>
        <w:spacing w:after="0" w:line="276"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 xml:space="preserve">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8B686F7" w14:textId="77777777" w:rsidR="00A44253" w:rsidRDefault="00B34C9B">
      <w:pPr>
        <w:spacing w:after="0" w:line="276"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 xml:space="preserve"> II. La información que se refiere a la vida privada y los datos personales será protegida en los términos y con las excepciones que fijen las leyes.</w:t>
      </w:r>
    </w:p>
    <w:p w14:paraId="4D6490D0" w14:textId="77777777" w:rsidR="00A44253" w:rsidRDefault="00B34C9B">
      <w:pPr>
        <w:spacing w:after="0" w:line="276"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 III. Toda persona, sin necesidad de acreditar interés alguno o justificar su utilización, tendrá acceso gratuito a la información pública, a sus datos personales o a la rectificación de éstos.</w:t>
      </w:r>
    </w:p>
    <w:p w14:paraId="261468A9" w14:textId="77777777" w:rsidR="00A44253" w:rsidRDefault="00B34C9B">
      <w:pPr>
        <w:spacing w:after="0" w:line="276"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 xml:space="preserve"> IV. Se establecerán mecanismos de acceso a la información y procedimientos de revisión expeditos que se sustanciarán ante los organismos autónomos especializados e imparciales que establece esta Constitución.</w:t>
      </w:r>
    </w:p>
    <w:p w14:paraId="77FFE0DA" w14:textId="77777777" w:rsidR="00A44253" w:rsidRDefault="00B34C9B">
      <w:pPr>
        <w:spacing w:after="0" w:line="276"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2E61F3A6" w14:textId="77777777" w:rsidR="00A44253" w:rsidRDefault="00B34C9B">
      <w:pPr>
        <w:spacing w:after="0" w:line="276"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 xml:space="preserve"> VI. Las leyes determinarán la manera en que los sujetos obligados deberán hacer pública la información relativa a los recursos públicos que entreguen a personas físicas o morales.</w:t>
      </w:r>
    </w:p>
    <w:p w14:paraId="7ECCE2B8" w14:textId="77777777" w:rsidR="00A44253" w:rsidRDefault="00B34C9B">
      <w:pPr>
        <w:spacing w:after="0" w:line="276"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 xml:space="preserve"> VII. La inobservancia a las disposiciones en materia de acceso a la información pública será sancionada en los términos que dispongan las leyes. [...]</w:t>
      </w:r>
    </w:p>
    <w:p w14:paraId="1522AE9F" w14:textId="77777777" w:rsidR="00A44253" w:rsidRDefault="00A44253">
      <w:pPr>
        <w:spacing w:after="0" w:line="360" w:lineRule="auto"/>
        <w:ind w:right="49"/>
        <w:jc w:val="both"/>
        <w:rPr>
          <w:rFonts w:ascii="Palatino Linotype" w:eastAsia="Palatino Linotype" w:hAnsi="Palatino Linotype" w:cs="Palatino Linotype"/>
        </w:rPr>
      </w:pPr>
    </w:p>
    <w:p w14:paraId="6E91D450" w14:textId="77777777" w:rsidR="00A44253" w:rsidRDefault="00B34C9B">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w:t>
      </w:r>
    </w:p>
    <w:p w14:paraId="6B8AF6FF" w14:textId="77777777" w:rsidR="00A44253" w:rsidRDefault="00A44253">
      <w:pPr>
        <w:spacing w:after="0" w:line="360" w:lineRule="auto"/>
        <w:ind w:right="49"/>
        <w:jc w:val="both"/>
        <w:rPr>
          <w:rFonts w:ascii="Palatino Linotype" w:eastAsia="Palatino Linotype" w:hAnsi="Palatino Linotype" w:cs="Palatino Linotype"/>
        </w:rPr>
      </w:pPr>
    </w:p>
    <w:p w14:paraId="4D329118" w14:textId="77777777" w:rsidR="00A44253" w:rsidRDefault="00B34C9B">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Del mismo modo, es de mencionar que, los Sujetos Obligados tienen la obligación o deber de atender las solicitudes de acceso a la información pública que se les hagan de su conocimiento y proporcionar la información pública que obren en su poder como así lo </w:t>
      </w:r>
      <w:r>
        <w:rPr>
          <w:rFonts w:ascii="Palatino Linotype" w:eastAsia="Palatino Linotype" w:hAnsi="Palatino Linotype" w:cs="Palatino Linotype"/>
        </w:rPr>
        <w:lastRenderedPageBreak/>
        <w:t xml:space="preserve">establece el artículo 12 de la Ley de Transparencia y Acceso a la Información Pública del Estado de México y Municipios. </w:t>
      </w:r>
    </w:p>
    <w:p w14:paraId="27F51452" w14:textId="77777777" w:rsidR="00A44253" w:rsidRDefault="00A44253">
      <w:pPr>
        <w:spacing w:after="0" w:line="360" w:lineRule="auto"/>
        <w:ind w:right="49"/>
        <w:jc w:val="both"/>
        <w:rPr>
          <w:rFonts w:ascii="Palatino Linotype" w:eastAsia="Palatino Linotype" w:hAnsi="Palatino Linotype" w:cs="Palatino Linotype"/>
        </w:rPr>
      </w:pPr>
    </w:p>
    <w:p w14:paraId="00195606" w14:textId="77777777" w:rsidR="00A44253" w:rsidRDefault="00B34C9B">
      <w:pPr>
        <w:spacing w:after="0" w:line="360" w:lineRule="auto"/>
        <w:ind w:right="49"/>
        <w:jc w:val="both"/>
        <w:rPr>
          <w:rFonts w:ascii="Palatino Linotype" w:eastAsia="Palatino Linotype" w:hAnsi="Palatino Linotype" w:cs="Palatino Linotype"/>
          <w:b/>
          <w:i/>
        </w:rPr>
      </w:pPr>
      <w:r>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 no tienen el deber de generar, poseer o administrar la información pública con el grado de detalle solicitado; esto es, que no tienen el deber de generar un documento ad hoc, para satisfacer el derecho de acceso a la información pública, como así lo establece el Criterio 03/17 emitido por el Instituto Nacional de Transparencia, Acceso a la Información Pública y Protección de Datos Personales.</w:t>
      </w:r>
    </w:p>
    <w:p w14:paraId="6705DB8D" w14:textId="77777777" w:rsidR="00A44253" w:rsidRDefault="00A44253">
      <w:pPr>
        <w:spacing w:after="0" w:line="360" w:lineRule="auto"/>
        <w:ind w:left="567" w:right="560"/>
        <w:jc w:val="both"/>
        <w:rPr>
          <w:rFonts w:ascii="Palatino Linotype" w:eastAsia="Palatino Linotype" w:hAnsi="Palatino Linotype" w:cs="Palatino Linotype"/>
          <w:b/>
          <w:i/>
        </w:rPr>
      </w:pPr>
    </w:p>
    <w:p w14:paraId="66C492FA" w14:textId="77777777" w:rsidR="00A44253" w:rsidRDefault="00B34C9B">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E4777BC" w14:textId="77777777" w:rsidR="00A44253" w:rsidRDefault="00B34C9B">
      <w:pPr>
        <w:spacing w:after="0" w:line="360" w:lineRule="auto"/>
        <w:ind w:right="49"/>
        <w:jc w:val="both"/>
        <w:rPr>
          <w:rFonts w:ascii="Palatino Linotype" w:eastAsia="Palatino Linotype" w:hAnsi="Palatino Linotype" w:cs="Palatino Linotype"/>
          <w:i/>
        </w:rPr>
      </w:pPr>
      <w:r>
        <w:rPr>
          <w:rFonts w:ascii="Palatino Linotype" w:eastAsia="Palatino Linotype" w:hAnsi="Palatino Linotype" w:cs="Palatino Linotype"/>
        </w:rPr>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w:t>
      </w:r>
      <w:r>
        <w:rPr>
          <w:rFonts w:ascii="Palatino Linotype" w:eastAsia="Palatino Linotype" w:hAnsi="Palatino Linotype" w:cs="Palatino Linotype"/>
          <w:i/>
        </w:rPr>
        <w:t xml:space="preserve"> </w:t>
      </w:r>
    </w:p>
    <w:p w14:paraId="36C924E4" w14:textId="77777777" w:rsidR="00A44253" w:rsidRDefault="00A44253">
      <w:pPr>
        <w:spacing w:after="0" w:line="360" w:lineRule="auto"/>
        <w:ind w:right="49"/>
        <w:jc w:val="both"/>
        <w:rPr>
          <w:rFonts w:ascii="Palatino Linotype" w:eastAsia="Palatino Linotype" w:hAnsi="Palatino Linotype" w:cs="Palatino Linotype"/>
          <w:i/>
        </w:rPr>
      </w:pPr>
    </w:p>
    <w:p w14:paraId="5D98FE24" w14:textId="77777777" w:rsidR="00A44253" w:rsidRDefault="00B34C9B">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15A9793" w14:textId="77777777" w:rsidR="00A44253" w:rsidRDefault="00A44253">
      <w:pPr>
        <w:spacing w:after="0" w:line="360" w:lineRule="auto"/>
        <w:ind w:right="49"/>
        <w:jc w:val="both"/>
        <w:rPr>
          <w:rFonts w:ascii="Palatino Linotype" w:eastAsia="Palatino Linotype" w:hAnsi="Palatino Linotype" w:cs="Palatino Linotype"/>
        </w:rPr>
      </w:pPr>
    </w:p>
    <w:p w14:paraId="1B75BCD8" w14:textId="77777777" w:rsidR="00A44253" w:rsidRDefault="00B34C9B">
      <w:pPr>
        <w:spacing w:after="0" w:line="276" w:lineRule="auto"/>
        <w:ind w:left="567" w:right="560"/>
        <w:jc w:val="both"/>
        <w:rPr>
          <w:rFonts w:ascii="Palatino Linotype" w:eastAsia="Palatino Linotype" w:hAnsi="Palatino Linotype" w:cs="Palatino Linotype"/>
          <w:b/>
          <w:i/>
        </w:rPr>
      </w:pPr>
      <w:r>
        <w:rPr>
          <w:rFonts w:ascii="Palatino Linotype" w:eastAsia="Palatino Linotype" w:hAnsi="Palatino Linotype" w:cs="Palatino Linotype"/>
          <w:i/>
        </w:rPr>
        <w:t>“</w:t>
      </w:r>
      <w:r>
        <w:rPr>
          <w:rFonts w:ascii="Palatino Linotype" w:eastAsia="Palatino Linotype" w:hAnsi="Palatino Linotype" w:cs="Palatino Linotype"/>
          <w:b/>
          <w:i/>
        </w:rPr>
        <w:t>CRITERIO 0002-11. INFORMACIÓN PÚBLICA, CONCEPTO DE, EN MATERIA DE TRANSPARENCIA. INTERPRETACIÓN SISTEMÁTICA DE LOS ARTÍCULOS 2°, FRACCIÓN V, XV, Y XVI, 3°, 4°, 11 Y 41.</w:t>
      </w:r>
      <w:r>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EDA672A" w14:textId="77777777" w:rsidR="00A44253" w:rsidRDefault="00B34C9B">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En consecuencia el acceso a la información se refiere a que se cumplan cualquiera de los siguientes tres supuestos:</w:t>
      </w:r>
    </w:p>
    <w:p w14:paraId="6BB46EAD" w14:textId="77777777" w:rsidR="00A44253" w:rsidRDefault="00B34C9B">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1)</w:t>
      </w:r>
      <w:r>
        <w:rPr>
          <w:rFonts w:ascii="Palatino Linotype" w:eastAsia="Palatino Linotype" w:hAnsi="Palatino Linotype" w:cs="Palatino Linotype"/>
          <w:i/>
        </w:rPr>
        <w:tab/>
        <w:t>Que se trate de información registrada en cualquier soporte documental, que en ejercicio de las atribuciones conferidas, sea generada por los Sujetos Obligados;</w:t>
      </w:r>
    </w:p>
    <w:p w14:paraId="0406DA70" w14:textId="77777777" w:rsidR="00A44253" w:rsidRDefault="00B34C9B">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2)</w:t>
      </w:r>
      <w:r>
        <w:rPr>
          <w:rFonts w:ascii="Palatino Linotype" w:eastAsia="Palatino Linotype" w:hAnsi="Palatino Linotype" w:cs="Palatino Linotype"/>
          <w:i/>
        </w:rPr>
        <w:tab/>
        <w:t>Que se trate de información registrada en cualquier soporte documental, que en ejercicio de las atribuciones conferidas, sea administrada por los Sujetos Obligados, y</w:t>
      </w:r>
    </w:p>
    <w:p w14:paraId="15F6AA45" w14:textId="77777777" w:rsidR="00A44253" w:rsidRDefault="00B34C9B">
      <w:pPr>
        <w:spacing w:after="0" w:line="276" w:lineRule="auto"/>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32EED9A8" w14:textId="77777777" w:rsidR="00A44253" w:rsidRDefault="00A44253">
      <w:pPr>
        <w:spacing w:after="0" w:line="360" w:lineRule="auto"/>
        <w:ind w:left="567" w:right="560"/>
        <w:jc w:val="both"/>
        <w:rPr>
          <w:rFonts w:ascii="Palatino Linotype" w:eastAsia="Palatino Linotype" w:hAnsi="Palatino Linotype" w:cs="Palatino Linotype"/>
          <w:i/>
        </w:rPr>
      </w:pPr>
    </w:p>
    <w:p w14:paraId="1020CB8A" w14:textId="77777777" w:rsidR="00A44253" w:rsidRDefault="00B34C9B">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De ahí que el Sujeto Obligado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w:t>
      </w:r>
      <w:r>
        <w:rPr>
          <w:rFonts w:ascii="Palatino Linotype" w:eastAsia="Palatino Linotype" w:hAnsi="Palatino Linotype" w:cs="Palatino Linotype"/>
        </w:rPr>
        <w:lastRenderedPageBreak/>
        <w:t>beneficiosa para la sociedad y no simplemente de interés individual y cuya divulgación resulta útil para que el público comprenda las actividades que llevan a cabo los Sujetos Obligados.</w:t>
      </w:r>
    </w:p>
    <w:p w14:paraId="552D27E0" w14:textId="77777777" w:rsidR="00A44253" w:rsidRDefault="00A44253">
      <w:pPr>
        <w:spacing w:after="0" w:line="360" w:lineRule="auto"/>
        <w:ind w:right="49"/>
        <w:jc w:val="both"/>
        <w:rPr>
          <w:rFonts w:ascii="Palatino Linotype" w:eastAsia="Palatino Linotype" w:hAnsi="Palatino Linotype" w:cs="Palatino Linotype"/>
        </w:rPr>
      </w:pPr>
    </w:p>
    <w:p w14:paraId="405FA5CD" w14:textId="77777777" w:rsidR="00A44253" w:rsidRDefault="00B34C9B">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Para ello, es de recordar que la parte Recurrente, solicitó la versión pública del oficio número DOP/175/2024 de fecha veintisiete (27) de mayo del año dos mil veinticuatro (2024) suscrito por el Ing. Enrique Torres Medina en su carácter de Director de Obras Públicas del Ayuntamiento de Jiquipilco. </w:t>
      </w:r>
    </w:p>
    <w:p w14:paraId="306872C1" w14:textId="77777777" w:rsidR="00A44253" w:rsidRDefault="00A4425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2072251" w14:textId="77777777" w:rsidR="00A44253" w:rsidRDefault="00B34C9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respuesta, el Sujeto Obligado remitió lo siguiente:</w:t>
      </w:r>
    </w:p>
    <w:p w14:paraId="56BC4CD9" w14:textId="77777777" w:rsidR="00A44253" w:rsidRDefault="00A4425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0DD0F5B" w14:textId="77777777" w:rsidR="00A44253" w:rsidRDefault="00B34C9B">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de fecha veintiséis de junio de dos mil veinticuatro, signado por el Director de Obras Públicas, mediante el cual informa que, se adjunta el oficio solicitado.</w:t>
      </w:r>
    </w:p>
    <w:p w14:paraId="0BA2C677" w14:textId="77777777" w:rsidR="00A44253" w:rsidRDefault="00B34C9B">
      <w:pPr>
        <w:numPr>
          <w:ilvl w:val="0"/>
          <w:numId w:val="6"/>
        </w:num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Oficio de fecha veintisiete de mayo de dos mil veinticuatro, signado por el Director de Obras Públicas.</w:t>
      </w:r>
    </w:p>
    <w:p w14:paraId="7EA483BD" w14:textId="77777777" w:rsidR="00A44253" w:rsidRDefault="00A4425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85EF8ED" w14:textId="77777777" w:rsidR="00A44253" w:rsidRDefault="00B34C9B">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Derivado de ello, la parte Recurrente se inconformó porque el Sujeto Obligado había omitido fundar y motivar la clasificación de la información remitida en respuesta.</w:t>
      </w:r>
    </w:p>
    <w:p w14:paraId="3E805AF7" w14:textId="77777777" w:rsidR="00A44253" w:rsidRDefault="00A4425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D2E786A" w14:textId="77777777" w:rsidR="00A44253" w:rsidRDefault="00B34C9B">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Dicho esto, se procede a contextualizar la información requerida, para ello, es menester referir que la palabra </w:t>
      </w:r>
      <w:r>
        <w:rPr>
          <w:rFonts w:ascii="Palatino Linotype" w:eastAsia="Palatino Linotype" w:hAnsi="Palatino Linotype" w:cs="Palatino Linotype"/>
          <w:i/>
        </w:rPr>
        <w:t>“oficio”,</w:t>
      </w:r>
      <w:r>
        <w:rPr>
          <w:rFonts w:ascii="Palatino Linotype" w:eastAsia="Palatino Linotype" w:hAnsi="Palatino Linotype" w:cs="Palatino Linotype"/>
        </w:rPr>
        <w:t xml:space="preserve"> es entendida como aquel documento que emite un organismo oficial, cuyo fin es comunicar una actuación administrativa, en lo que respecta a nuestra materia, se tiene que la Ley de Transparencia y Acceso a la Información Pública del Estado de México y Municipios, prevé en su artículo 3, fracción XI, lo siguiente: </w:t>
      </w:r>
    </w:p>
    <w:p w14:paraId="5ACE6DAC" w14:textId="77777777" w:rsidR="00A44253" w:rsidRDefault="00A44253">
      <w:pPr>
        <w:spacing w:after="0" w:line="360" w:lineRule="auto"/>
        <w:ind w:right="49"/>
        <w:jc w:val="both"/>
        <w:rPr>
          <w:rFonts w:ascii="Palatino Linotype" w:eastAsia="Palatino Linotype" w:hAnsi="Palatino Linotype" w:cs="Palatino Linotype"/>
        </w:rPr>
      </w:pPr>
    </w:p>
    <w:p w14:paraId="3C52404B" w14:textId="77777777" w:rsidR="00A44253" w:rsidRDefault="00B34C9B">
      <w:pPr>
        <w:spacing w:after="0" w:line="276"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3.</w:t>
      </w:r>
      <w:r>
        <w:rPr>
          <w:rFonts w:ascii="Palatino Linotype" w:eastAsia="Palatino Linotype" w:hAnsi="Palatino Linotype" w:cs="Palatino Linotype"/>
          <w:i/>
        </w:rPr>
        <w:t xml:space="preserve"> Para los efectos de la presente Ley se entenderá por:</w:t>
      </w:r>
    </w:p>
    <w:p w14:paraId="3A794ACC" w14:textId="77777777" w:rsidR="00A44253" w:rsidRDefault="00B34C9B">
      <w:pPr>
        <w:spacing w:after="0" w:line="276"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w:t>
      </w:r>
    </w:p>
    <w:p w14:paraId="5A374DDF" w14:textId="77777777" w:rsidR="00A44253" w:rsidRDefault="00B34C9B">
      <w:pPr>
        <w:spacing w:after="0" w:line="276" w:lineRule="auto"/>
        <w:ind w:left="567" w:right="843"/>
        <w:jc w:val="both"/>
        <w:rPr>
          <w:rFonts w:ascii="Palatino Linotype" w:eastAsia="Palatino Linotype" w:hAnsi="Palatino Linotype" w:cs="Palatino Linotype"/>
          <w:b/>
          <w:i/>
          <w:u w:val="single"/>
        </w:rPr>
      </w:pPr>
      <w:r>
        <w:rPr>
          <w:rFonts w:ascii="Palatino Linotype" w:eastAsia="Palatino Linotype" w:hAnsi="Palatino Linotype" w:cs="Palatino Linotype"/>
          <w:i/>
        </w:rPr>
        <w:t>XI.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6B35515" w14:textId="77777777" w:rsidR="00A44253" w:rsidRDefault="00B34C9B">
      <w:pPr>
        <w:spacing w:after="0" w:line="276" w:lineRule="auto"/>
        <w:ind w:left="567" w:right="843"/>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8D3BDC6" w14:textId="77777777" w:rsidR="00A44253" w:rsidRDefault="00A44253">
      <w:pPr>
        <w:spacing w:after="0" w:line="276" w:lineRule="auto"/>
        <w:ind w:left="567" w:right="843"/>
        <w:jc w:val="both"/>
        <w:rPr>
          <w:rFonts w:ascii="Palatino Linotype" w:eastAsia="Palatino Linotype" w:hAnsi="Palatino Linotype" w:cs="Palatino Linotype"/>
          <w:i/>
        </w:rPr>
      </w:pPr>
    </w:p>
    <w:p w14:paraId="6E244924" w14:textId="77777777" w:rsidR="00A44253" w:rsidRDefault="00B34C9B">
      <w:pPr>
        <w:spacing w:after="0" w:line="360" w:lineRule="auto"/>
        <w:ind w:right="49"/>
        <w:jc w:val="both"/>
        <w:rPr>
          <w:rFonts w:ascii="Palatino Linotype" w:eastAsia="Palatino Linotype" w:hAnsi="Palatino Linotype" w:cs="Palatino Linotype"/>
          <w:b/>
          <w:u w:val="single"/>
        </w:rPr>
      </w:pPr>
      <w:r>
        <w:rPr>
          <w:rFonts w:ascii="Palatino Linotype" w:eastAsia="Palatino Linotype" w:hAnsi="Palatino Linotype" w:cs="Palatino Linotype"/>
          <w:b/>
          <w:u w:val="single"/>
        </w:rPr>
        <w:t xml:space="preserve">Es así que se entiende como documento a cualquier registro que documente el ejercicio de las facultades, funciones y competencias de los sujetos obligados, sus servidores públicos e integrantes, sin importar su fuente o fecha de elaboración, entre los cuales se encuentran los “oficios”. </w:t>
      </w:r>
    </w:p>
    <w:p w14:paraId="0116DFCB" w14:textId="77777777" w:rsidR="00A44253" w:rsidRDefault="00A44253">
      <w:pPr>
        <w:spacing w:after="0" w:line="360" w:lineRule="auto"/>
        <w:ind w:right="49"/>
        <w:jc w:val="both"/>
        <w:rPr>
          <w:rFonts w:ascii="Palatino Linotype" w:eastAsia="Palatino Linotype" w:hAnsi="Palatino Linotype" w:cs="Palatino Linotype"/>
        </w:rPr>
      </w:pPr>
    </w:p>
    <w:p w14:paraId="65943002" w14:textId="77777777" w:rsidR="00A44253" w:rsidRDefault="00B34C9B">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Por otro lado, es importante destacar que el artículo 12 de la Ley en la materia, establece que los sujetos obligados proporcionarán la información pública que se les requiera y que obre en sus archivos, en el estado en que esta se encuentre, de tal forma que, lo solicitado, al tratarse de documentación, es información que puede obrar en los archivos del Sujeto Obligado y, que, por ende, es de acceso público. </w:t>
      </w:r>
    </w:p>
    <w:p w14:paraId="01029E97" w14:textId="77777777" w:rsidR="00A44253" w:rsidRDefault="00A44253">
      <w:pPr>
        <w:spacing w:after="0" w:line="360" w:lineRule="auto"/>
        <w:ind w:right="49"/>
        <w:jc w:val="both"/>
        <w:rPr>
          <w:rFonts w:ascii="Palatino Linotype" w:eastAsia="Palatino Linotype" w:hAnsi="Palatino Linotype" w:cs="Palatino Linotype"/>
          <w:color w:val="000000"/>
        </w:rPr>
      </w:pPr>
    </w:p>
    <w:p w14:paraId="5C8AA7F9" w14:textId="77777777" w:rsidR="00A44253" w:rsidRDefault="00B34C9B">
      <w:pP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otro lado, resulta de suma importancia, referir que, quien dio atención a la solicitud de información fue el Director de Obras Públicas, por lo que, resulta necesario referir que </w:t>
      </w:r>
      <w:r>
        <w:rPr>
          <w:rFonts w:ascii="Palatino Linotype" w:eastAsia="Palatino Linotype" w:hAnsi="Palatino Linotype" w:cs="Palatino Linotype"/>
        </w:rPr>
        <w:t xml:space="preserve">para la atención de las solicitudes de acceso a la información, debe privilegiarse el </w:t>
      </w:r>
      <w:r>
        <w:rPr>
          <w:rFonts w:ascii="Palatino Linotype" w:eastAsia="Palatino Linotype" w:hAnsi="Palatino Linotype" w:cs="Palatino Linotype"/>
          <w:b/>
        </w:rPr>
        <w:t>principio de máxima publicidad</w:t>
      </w:r>
      <w:r>
        <w:rPr>
          <w:rFonts w:ascii="Palatino Linotype" w:eastAsia="Palatino Linotype" w:hAnsi="Palatino Linotype" w:cs="Palatino Linotype"/>
        </w:rPr>
        <w:t xml:space="preserve"> el cual dispone que toda la información en posesión de los sujetos obligados será pública, completa, oportuna y accesible, sujeta a un claro régimen de </w:t>
      </w:r>
      <w:r>
        <w:rPr>
          <w:rFonts w:ascii="Palatino Linotype" w:eastAsia="Palatino Linotype" w:hAnsi="Palatino Linotype" w:cs="Palatino Linotype"/>
        </w:rPr>
        <w:lastRenderedPageBreak/>
        <w:t>excepciones que deberán estar definidas y ser legítimas y estrictamente necesarias en una sociedad democrática.</w:t>
      </w:r>
    </w:p>
    <w:p w14:paraId="4E5AE03C" w14:textId="77777777" w:rsidR="00A44253" w:rsidRDefault="00A44253">
      <w:pPr>
        <w:spacing w:after="0" w:line="360" w:lineRule="auto"/>
        <w:jc w:val="both"/>
        <w:rPr>
          <w:rFonts w:ascii="Palatino Linotype" w:eastAsia="Palatino Linotype" w:hAnsi="Palatino Linotype" w:cs="Palatino Linotype"/>
          <w:color w:val="000000"/>
        </w:rPr>
      </w:pPr>
    </w:p>
    <w:p w14:paraId="0F594EDE" w14:textId="77777777" w:rsidR="00A44253" w:rsidRDefault="00B34C9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Para lograr esto,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703351CB" w14:textId="77777777" w:rsidR="00A44253" w:rsidRDefault="00A44253">
      <w:pPr>
        <w:spacing w:after="0" w:line="360" w:lineRule="auto"/>
        <w:jc w:val="both"/>
        <w:rPr>
          <w:rFonts w:ascii="Palatino Linotype" w:eastAsia="Palatino Linotype" w:hAnsi="Palatino Linotype" w:cs="Palatino Linotype"/>
        </w:rPr>
      </w:pPr>
    </w:p>
    <w:p w14:paraId="7BD5CCF5" w14:textId="77777777" w:rsidR="00A44253" w:rsidRDefault="00B34C9B">
      <w:pPr>
        <w:numPr>
          <w:ilvl w:val="0"/>
          <w:numId w:val="1"/>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5424C8B7" w14:textId="77777777" w:rsidR="00A44253" w:rsidRDefault="00B34C9B">
      <w:pPr>
        <w:numPr>
          <w:ilvl w:val="0"/>
          <w:numId w:val="1"/>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2234FC1C" w14:textId="77777777" w:rsidR="00A44253" w:rsidRDefault="00B34C9B">
      <w:pPr>
        <w:numPr>
          <w:ilvl w:val="0"/>
          <w:numId w:val="1"/>
        </w:num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Las respuestas a los requerimientos informativos deberán notificarse al interesado en el menor tiempo posible, que no podrá exceder </w:t>
      </w:r>
      <w:r>
        <w:rPr>
          <w:rFonts w:ascii="Palatino Linotype" w:eastAsia="Palatino Linotype" w:hAnsi="Palatino Linotype" w:cs="Palatino Linotype"/>
          <w:b/>
        </w:rPr>
        <w:t>quince días, contados a partir del día siguiente a la presentación de ésta.</w:t>
      </w:r>
      <w:r>
        <w:rPr>
          <w:rFonts w:ascii="Palatino Linotype" w:eastAsia="Palatino Linotype" w:hAnsi="Palatino Linotype" w:cs="Palatino Linotype"/>
        </w:rPr>
        <w:t xml:space="preserve"> Excepcionalmente, el plazo referido podrá ampliarse por siete días hábiles más, cuando existan razones fundadas y motivadas, a través del Comité de Transparencia;</w:t>
      </w:r>
    </w:p>
    <w:p w14:paraId="65B879AA" w14:textId="77777777" w:rsidR="00A44253" w:rsidRDefault="00B34C9B">
      <w:pPr>
        <w:numPr>
          <w:ilvl w:val="0"/>
          <w:numId w:val="1"/>
        </w:numPr>
        <w:spacing w:after="0" w:line="360" w:lineRule="auto"/>
        <w:jc w:val="both"/>
        <w:rPr>
          <w:rFonts w:ascii="Palatino Linotype" w:eastAsia="Palatino Linotype" w:hAnsi="Palatino Linotype" w:cs="Palatino Linotype"/>
          <w:b/>
          <w:u w:val="single"/>
        </w:rPr>
      </w:pPr>
      <w:r>
        <w:rPr>
          <w:rFonts w:ascii="Palatino Linotype" w:eastAsia="Palatino Linotype" w:hAnsi="Palatino Linotype" w:cs="Palatino Linotype"/>
          <w:b/>
          <w:u w:val="single"/>
        </w:rPr>
        <w:t xml:space="preserve">Las Unidades de Transparencia garantizarán que las solicitudes se turnen a todas las áreas competentes que cuenten con la información o deban tenerla de acuerdo </w:t>
      </w:r>
      <w:r>
        <w:rPr>
          <w:rFonts w:ascii="Palatino Linotype" w:eastAsia="Palatino Linotype" w:hAnsi="Palatino Linotype" w:cs="Palatino Linotype"/>
          <w:b/>
          <w:u w:val="single"/>
        </w:rPr>
        <w:lastRenderedPageBreak/>
        <w:t>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71205123" w14:textId="77777777" w:rsidR="00A44253" w:rsidRDefault="00B34C9B">
      <w:pPr>
        <w:numPr>
          <w:ilvl w:val="0"/>
          <w:numId w:val="1"/>
        </w:num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7FD59882" w14:textId="77777777" w:rsidR="00A44253" w:rsidRDefault="00B34C9B">
      <w:pPr>
        <w:numPr>
          <w:ilvl w:val="0"/>
          <w:numId w:val="1"/>
        </w:numPr>
        <w:spacing w:after="0" w:line="360" w:lineRule="auto"/>
        <w:jc w:val="both"/>
        <w:rPr>
          <w:rFonts w:ascii="Palatino Linotype" w:eastAsia="Palatino Linotype" w:hAnsi="Palatino Linotype" w:cs="Palatino Linotype"/>
          <w:b/>
        </w:rPr>
      </w:pPr>
      <w:r>
        <w:rPr>
          <w:rFonts w:ascii="Palatino Linotype" w:eastAsia="Palatino Linotype" w:hAnsi="Palatino Linotype" w:cs="Palatino Linotyp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4048A98A" w14:textId="77777777" w:rsidR="00A44253" w:rsidRDefault="00A44253">
      <w:pPr>
        <w:spacing w:after="0" w:line="360" w:lineRule="auto"/>
        <w:ind w:right="49"/>
        <w:jc w:val="both"/>
        <w:rPr>
          <w:rFonts w:ascii="Palatino Linotype" w:eastAsia="Palatino Linotype" w:hAnsi="Palatino Linotype" w:cs="Palatino Linotype"/>
        </w:rPr>
      </w:pPr>
    </w:p>
    <w:p w14:paraId="3E9CE5C7" w14:textId="77777777" w:rsidR="00A44253" w:rsidRDefault="00B34C9B">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Por ello, se colige que la Unidad de Transparencia, turnó la solicitud a la unidad administrativa competente a saber, la Dirección de Obra Pública, siendo que de esta área es de quien se solicitó el oficio, por ello, se colige que, el Sujeto Obligado siguió el procedimiento establecido por la Ley en la materia para dar atención a la solicitud de información.</w:t>
      </w:r>
    </w:p>
    <w:p w14:paraId="2427EA8C" w14:textId="77777777" w:rsidR="00A44253" w:rsidRDefault="00A44253">
      <w:pPr>
        <w:spacing w:after="0" w:line="360" w:lineRule="auto"/>
        <w:ind w:right="49"/>
        <w:jc w:val="both"/>
        <w:rPr>
          <w:rFonts w:ascii="Palatino Linotype" w:eastAsia="Palatino Linotype" w:hAnsi="Palatino Linotype" w:cs="Palatino Linotype"/>
        </w:rPr>
      </w:pPr>
    </w:p>
    <w:p w14:paraId="2A5DBBE0" w14:textId="77777777" w:rsidR="00A44253" w:rsidRDefault="00B34C9B">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Ahora bien, en cuanto hace al agravio hecho valer por la parte Recurrente, en primera instancia es de mencionar que se advierte que el sujeto obligado remitió el oficio que corresponde con el solicitado por el particular, como se puede observar a continuación:</w:t>
      </w:r>
    </w:p>
    <w:p w14:paraId="68FD50FF" w14:textId="77777777" w:rsidR="00A44253" w:rsidRDefault="00A44253">
      <w:pPr>
        <w:spacing w:line="360" w:lineRule="auto"/>
        <w:ind w:right="49"/>
        <w:jc w:val="both"/>
        <w:rPr>
          <w:rFonts w:ascii="Palatino Linotype" w:eastAsia="Palatino Linotype" w:hAnsi="Palatino Linotype" w:cs="Palatino Linotype"/>
        </w:rPr>
      </w:pPr>
    </w:p>
    <w:p w14:paraId="5919318F" w14:textId="77777777" w:rsidR="00A44253" w:rsidRDefault="00B34C9B">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14:anchorId="7891B786" wp14:editId="093A7DC1">
            <wp:extent cx="5612130" cy="1932940"/>
            <wp:effectExtent l="0" t="0" r="0" b="0"/>
            <wp:docPr id="518119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93294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23F70226" wp14:editId="561A25A6">
                <wp:simplePos x="0" y="0"/>
                <wp:positionH relativeFrom="column">
                  <wp:posOffset>3467100</wp:posOffset>
                </wp:positionH>
                <wp:positionV relativeFrom="paragraph">
                  <wp:posOffset>50800</wp:posOffset>
                </wp:positionV>
                <wp:extent cx="2088173" cy="971550"/>
                <wp:effectExtent l="0" t="0" r="0" b="0"/>
                <wp:wrapNone/>
                <wp:docPr id="51811909" name="Rectángulo 51811909"/>
                <wp:cNvGraphicFramePr/>
                <a:graphic xmlns:a="http://schemas.openxmlformats.org/drawingml/2006/main">
                  <a:graphicData uri="http://schemas.microsoft.com/office/word/2010/wordprocessingShape">
                    <wps:wsp>
                      <wps:cNvSpPr/>
                      <wps:spPr>
                        <a:xfrm>
                          <a:off x="4330489" y="3322800"/>
                          <a:ext cx="2031023" cy="914400"/>
                        </a:xfrm>
                        <a:prstGeom prst="rect">
                          <a:avLst/>
                        </a:prstGeom>
                        <a:noFill/>
                        <a:ln w="28575" cap="flat" cmpd="sng">
                          <a:solidFill>
                            <a:srgbClr val="FF0000"/>
                          </a:solidFill>
                          <a:prstDash val="solid"/>
                          <a:miter lim="800000"/>
                          <a:headEnd type="none" w="sm" len="sm"/>
                          <a:tailEnd type="none" w="sm" len="sm"/>
                        </a:ln>
                      </wps:spPr>
                      <wps:txbx>
                        <w:txbxContent>
                          <w:p w14:paraId="3E643540" w14:textId="77777777" w:rsidR="00A44253" w:rsidRDefault="00A4425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3467100</wp:posOffset>
                </wp:positionH>
                <wp:positionV relativeFrom="paragraph">
                  <wp:posOffset>50800</wp:posOffset>
                </wp:positionV>
                <wp:extent cx="2088173" cy="971550"/>
                <wp:effectExtent b="0" l="0" r="0" t="0"/>
                <wp:wrapNone/>
                <wp:docPr id="5181190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088173" cy="971550"/>
                        </a:xfrm>
                        <a:prstGeom prst="rect"/>
                        <a:ln/>
                      </pic:spPr>
                    </pic:pic>
                  </a:graphicData>
                </a:graphic>
              </wp:anchor>
            </w:drawing>
          </mc:Fallback>
        </mc:AlternateContent>
      </w:r>
    </w:p>
    <w:p w14:paraId="368F1C82" w14:textId="77777777" w:rsidR="00A44253" w:rsidRDefault="00B34C9B">
      <w:pPr>
        <w:spacing w:line="360" w:lineRule="auto"/>
        <w:ind w:right="49"/>
        <w:jc w:val="center"/>
        <w:rPr>
          <w:rFonts w:ascii="Palatino Linotype" w:eastAsia="Palatino Linotype" w:hAnsi="Palatino Linotype" w:cs="Palatino Linotype"/>
        </w:rPr>
      </w:pPr>
      <w:r>
        <w:rPr>
          <w:rFonts w:ascii="Palatino Linotype" w:eastAsia="Palatino Linotype" w:hAnsi="Palatino Linotype" w:cs="Palatino Linotype"/>
        </w:rPr>
        <w:t>…</w:t>
      </w:r>
    </w:p>
    <w:p w14:paraId="2B456DBC" w14:textId="77777777" w:rsidR="00A44253" w:rsidRDefault="00B34C9B">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No obstante, clasificó un dato en el oficio, sin remitir el respectivo acuerdo emitido por el Comité de Trasparencia y, el cual se relaciona con:</w:t>
      </w:r>
    </w:p>
    <w:p w14:paraId="218F9C37" w14:textId="77777777" w:rsidR="00A44253" w:rsidRDefault="00B34C9B">
      <w:pPr>
        <w:numPr>
          <w:ilvl w:val="0"/>
          <w:numId w:val="2"/>
        </w:numPr>
        <w:pBdr>
          <w:top w:val="nil"/>
          <w:left w:val="nil"/>
          <w:bottom w:val="nil"/>
          <w:right w:val="nil"/>
          <w:between w:val="nil"/>
        </w:pBdr>
        <w:spacing w:after="0"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Nombre de personas físicas. </w:t>
      </w:r>
      <w:r>
        <w:rPr>
          <w:rFonts w:ascii="Palatino Linotype" w:eastAsia="Palatino Linotype" w:hAnsi="Palatino Linotype" w:cs="Palatino Linotype"/>
          <w:color w:val="000000"/>
        </w:rPr>
        <w:t xml:space="preserve">En términos de los artículos 2.3, 2.13 y 2.14 del Código civil del Estado de México, el nombre es un atributo de la personalidad que designa e individualiza a una persona, conformado por el sustantivo propio y el primer apellido del padre y el primer apellido de la madre, en el orden que, de común acuerdo determinen. En ese sentido el nombre permite identificar a una persona y conocer su filiación, ya que mediante los apellidos puede determinarse su parentesco. Razones por las cuales se considera un dato </w:t>
      </w:r>
      <w:r>
        <w:rPr>
          <w:rFonts w:ascii="Palatino Linotype" w:eastAsia="Palatino Linotype" w:hAnsi="Palatino Linotype" w:cs="Palatino Linotype"/>
        </w:rPr>
        <w:t>personal</w:t>
      </w:r>
      <w:r>
        <w:rPr>
          <w:rFonts w:ascii="Palatino Linotype" w:eastAsia="Palatino Linotype" w:hAnsi="Palatino Linotype" w:cs="Palatino Linotype"/>
          <w:color w:val="000000"/>
        </w:rPr>
        <w:t xml:space="preserve"> susceptible de clasificarse como dato personal en términos del artículo 143, fracción I, de la Ley de Transparencia y Acceso a la Información Pública del Estado de México y Municipios.</w:t>
      </w:r>
    </w:p>
    <w:p w14:paraId="1D68B86F" w14:textId="77777777" w:rsidR="00A44253" w:rsidRDefault="00A44253">
      <w:pPr>
        <w:spacing w:after="0" w:line="360" w:lineRule="auto"/>
        <w:jc w:val="both"/>
        <w:rPr>
          <w:rFonts w:ascii="Palatino Linotype" w:eastAsia="Palatino Linotype" w:hAnsi="Palatino Linotype" w:cs="Palatino Linotype"/>
        </w:rPr>
      </w:pPr>
    </w:p>
    <w:p w14:paraId="5578349E" w14:textId="77777777" w:rsidR="00A44253" w:rsidRDefault="00B34C9B">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De lo anterior, se advierte que el dato que fue protegido por el sujeto obligado, en efecto actualiza una causal de clasificación, prevista en el artículo 143 de la Ley de Transparencia, no obstante, el sujeto obligado, no remitió su Acuerdo de Clasificación, con la finalidad de sustentar la versión pública del documento.</w:t>
      </w:r>
    </w:p>
    <w:p w14:paraId="7F87775F" w14:textId="77777777" w:rsidR="00A44253" w:rsidRDefault="00B34C9B">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lastRenderedPageBreak/>
        <w:t>Por ello, es conveniente referir que la entrega de documentos en su versión pública debe acompañarse necesariamente del Acuerdo del Comité de Transparencia que la sustente, el cual debe estar debidamente fundado y motivado y, deberá exponer los fundamentos y razonamientos que llevaron al Sujeto Obligado a testar, suprimir o eliminar datos de dicho soporte documental, ya que de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 qué no aparecen en la documentación respectiva.</w:t>
      </w:r>
    </w:p>
    <w:p w14:paraId="0AFB7FE3" w14:textId="77777777" w:rsidR="00A44253" w:rsidRDefault="00B34C9B">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ese sentido, el Acuerdo de Clasificación deberá estar debidamente fundado y motivado, observando lo dispuesto por los artículos 49, fracción VIII, 122, 130, 132, fracciones I, II y III, 143 en su fracción primera y 149 de la Ley de Transparencia y Acceso a la Información Pública del Estado de México y Municipios en vigor Lineamientos Cuarto al Octavo, Décimo, Décimo Primero, Quincuagésimo y Quincuagésimo Tercero de los Lineamientos Generales en materia de Clasificación y Desclasificación de la Información, así como para la elaboración de Versiones Públicas, que literalmente expresan:</w:t>
      </w:r>
    </w:p>
    <w:p w14:paraId="6D65CB0E" w14:textId="77777777" w:rsidR="00A44253" w:rsidRDefault="00A44253">
      <w:pPr>
        <w:spacing w:after="0" w:line="360" w:lineRule="auto"/>
        <w:ind w:right="49"/>
        <w:jc w:val="both"/>
        <w:rPr>
          <w:rFonts w:ascii="Palatino Linotype" w:eastAsia="Palatino Linotype" w:hAnsi="Palatino Linotype" w:cs="Palatino Linotype"/>
        </w:rPr>
      </w:pPr>
    </w:p>
    <w:p w14:paraId="752BBCA3" w14:textId="77777777" w:rsidR="00A44253" w:rsidRDefault="00B34C9B">
      <w:pPr>
        <w:spacing w:after="0" w:line="276" w:lineRule="auto"/>
        <w:ind w:left="567" w:right="851"/>
        <w:jc w:val="center"/>
        <w:rPr>
          <w:rFonts w:ascii="Palatino Linotype" w:eastAsia="Palatino Linotype" w:hAnsi="Palatino Linotype" w:cs="Palatino Linotype"/>
          <w:b/>
          <w:i/>
        </w:rPr>
      </w:pPr>
      <w:r>
        <w:rPr>
          <w:rFonts w:ascii="Palatino Linotype" w:eastAsia="Palatino Linotype" w:hAnsi="Palatino Linotype" w:cs="Palatino Linotype"/>
          <w:b/>
          <w:i/>
        </w:rPr>
        <w:t>Ley de Transparencia y Acceso a la Información Pública del Estado de México y Municipios</w:t>
      </w:r>
    </w:p>
    <w:p w14:paraId="29F0B047" w14:textId="77777777" w:rsidR="00A44253" w:rsidRDefault="00A44253">
      <w:pPr>
        <w:spacing w:after="0" w:line="276" w:lineRule="auto"/>
        <w:ind w:left="567" w:right="851"/>
        <w:jc w:val="both"/>
        <w:rPr>
          <w:rFonts w:ascii="Palatino Linotype" w:eastAsia="Palatino Linotype" w:hAnsi="Palatino Linotype" w:cs="Palatino Linotype"/>
        </w:rPr>
      </w:pPr>
    </w:p>
    <w:p w14:paraId="11A75F66"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“Artículo 49. Los Comités de Transparencia tendrán las siguientes atribuciones:</w:t>
      </w:r>
    </w:p>
    <w:p w14:paraId="5D038A18"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VIII. Aprobar, modificar o revocar la clasificación de la información;</w:t>
      </w:r>
    </w:p>
    <w:p w14:paraId="6BD5A3D7"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DFB693C"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Artículo 122. La clasificación es el proceso mediante el cual el sujeto obligado determina que la información en su poder actualiza alguno de los supuestos de reserva o confidencialidad, de conformidad con lo dispuesto en el presente título.</w:t>
      </w:r>
    </w:p>
    <w:p w14:paraId="310125D9"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Los supuestos de reserva o confidencialidad previstos en las leyes deberán ser acordes con las bases, principios y disposiciones establecidos en la Ley General y, en ningún caso, podrán contravenirla.</w:t>
      </w:r>
    </w:p>
    <w:p w14:paraId="1415C3D6"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Los titulares de las áreas de los sujetos obligados serán los responsables de clasificar la información, de conformidad con lo dispuesto en la presente Ley y demás disposiciones jurídicas aplicables.</w:t>
      </w:r>
    </w:p>
    <w:p w14:paraId="22069F98"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3253C31"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Artículo 130. Los sujetos obligados deberán aplicar, de manera restrictiva y limitada, las excepciones al derecho de acceso a la información y sólo podrán invocarlas cuando acrediten su procedencia, sin ampliar las excepciones o supuestos de reserva o confidencialidad previstos en la Ley General y la presente Ley, aduciendo analogía o mayoría de razón.</w:t>
      </w:r>
    </w:p>
    <w:p w14:paraId="768329EB"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Artículo 132. La clasificación de la información se llevará a cabo en el momento en que:</w:t>
      </w:r>
    </w:p>
    <w:p w14:paraId="20EC21D2"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I. Se reciba una solicitud de acceso a la información;</w:t>
      </w:r>
    </w:p>
    <w:p w14:paraId="1DDA3C19"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II. Se determine mediante resolución de autoridad competente; o</w:t>
      </w:r>
    </w:p>
    <w:p w14:paraId="58405782"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III. Se generen versiones públicas para dar cumplimiento a las obligaciones de transparencia previstas en esta Ley.</w:t>
      </w:r>
    </w:p>
    <w:p w14:paraId="3769FA8E"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w:t>
      </w:r>
    </w:p>
    <w:p w14:paraId="77BDFBBD"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Artículo 143. Para los efectos de esta Ley se considera información confidencial, la clasificada como tal, de manera permanente, por su naturaleza, cuando:</w:t>
      </w:r>
    </w:p>
    <w:p w14:paraId="4E6F7FEA"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I. Se refiera a la información privada y los datos personales concernientes a una persona física o jurídico colectiva identificada o identificable;</w:t>
      </w:r>
    </w:p>
    <w:p w14:paraId="268B1065"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w:t>
      </w:r>
    </w:p>
    <w:p w14:paraId="4000CB1B"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Artículo 149. El acuerdo que clasifique la información como confidencial deberá contener un razonamiento lógico en el que demuestre que la información se encuentra en alguna o algunas de las hipótesis previstas en la presente Ley.”</w:t>
      </w:r>
    </w:p>
    <w:p w14:paraId="797CB188" w14:textId="77777777" w:rsidR="00A44253" w:rsidRDefault="00B34C9B">
      <w:pPr>
        <w:spacing w:after="0" w:line="276" w:lineRule="auto"/>
        <w:ind w:left="567" w:right="851"/>
        <w:jc w:val="both"/>
        <w:rPr>
          <w:rFonts w:ascii="Palatino Linotype" w:eastAsia="Palatino Linotype" w:hAnsi="Palatino Linotype" w:cs="Palatino Linotype"/>
        </w:rPr>
      </w:pPr>
      <w:r>
        <w:rPr>
          <w:rFonts w:ascii="Palatino Linotype" w:eastAsia="Palatino Linotype" w:hAnsi="Palatino Linotype" w:cs="Palatino Linotype"/>
        </w:rPr>
        <w:t>Lineamientos Generales en materia de Clasificación y Desclasificación de la Información, así como para la elaboración de Versiones Públicas</w:t>
      </w:r>
    </w:p>
    <w:p w14:paraId="3FB3AFBC" w14:textId="77777777" w:rsidR="00A44253" w:rsidRDefault="00A44253">
      <w:pPr>
        <w:spacing w:after="0" w:line="276" w:lineRule="auto"/>
        <w:ind w:left="567" w:right="851"/>
        <w:jc w:val="both"/>
        <w:rPr>
          <w:rFonts w:ascii="Palatino Linotype" w:eastAsia="Palatino Linotype" w:hAnsi="Palatino Linotype" w:cs="Palatino Linotype"/>
          <w:i/>
        </w:rPr>
      </w:pPr>
    </w:p>
    <w:p w14:paraId="6B698667"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Cuarto. Para clasificar la información como reservada o confidencial, de manera total o parcial, el titular del área del sujeto obligado deberá atender lo dispuesto por el Título Sexto de la Ley General, en relación con las disposiciones contenidas en los </w:t>
      </w:r>
      <w:r>
        <w:rPr>
          <w:rFonts w:ascii="Palatino Linotype" w:eastAsia="Palatino Linotype" w:hAnsi="Palatino Linotype" w:cs="Palatino Linotype"/>
          <w:i/>
        </w:rPr>
        <w:lastRenderedPageBreak/>
        <w:t>presentes lineamientos, así como en aquellas disposiciones legales aplicables a la materia en el ámbito de sus respectivas competencias, en tanto estas últimas no contravengan lo dispuesto en la Ley General.</w:t>
      </w:r>
    </w:p>
    <w:p w14:paraId="4A5605B8"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612637B0" w14:textId="77777777" w:rsidR="00A44253" w:rsidRDefault="00A44253">
      <w:pPr>
        <w:spacing w:after="0" w:line="276" w:lineRule="auto"/>
        <w:ind w:left="567" w:right="851"/>
        <w:jc w:val="both"/>
        <w:rPr>
          <w:rFonts w:ascii="Palatino Linotype" w:eastAsia="Palatino Linotype" w:hAnsi="Palatino Linotype" w:cs="Palatino Linotype"/>
          <w:i/>
        </w:rPr>
      </w:pPr>
    </w:p>
    <w:p w14:paraId="12333E98"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Quinto.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2F51706"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w:t>
      </w:r>
    </w:p>
    <w:p w14:paraId="1F8117CD"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Séptimo. La clasificación de la información se llevará a cabo en el momento en que:</w:t>
      </w:r>
    </w:p>
    <w:p w14:paraId="367AC60D"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I. Se reciba una solicitud de acceso a la información;</w:t>
      </w:r>
    </w:p>
    <w:p w14:paraId="1F0CAB81"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II. Se determine mediante resolución de autoridad competente, o</w:t>
      </w:r>
    </w:p>
    <w:p w14:paraId="441C31FB"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III. Se generen versiones públicas para dar cumplimiento a las obligaciones de transparencia previstas en la Ley General, la Ley Federal y las correspondientes de las entidades federativas.</w:t>
      </w:r>
    </w:p>
    <w:p w14:paraId="08B633EB"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50F267A8" w14:textId="77777777" w:rsidR="00A44253" w:rsidRDefault="00A44253">
      <w:pPr>
        <w:spacing w:after="0" w:line="276" w:lineRule="auto"/>
        <w:ind w:left="567" w:right="851"/>
        <w:jc w:val="both"/>
        <w:rPr>
          <w:rFonts w:ascii="Palatino Linotype" w:eastAsia="Palatino Linotype" w:hAnsi="Palatino Linotype" w:cs="Palatino Linotype"/>
          <w:i/>
        </w:rPr>
      </w:pPr>
    </w:p>
    <w:p w14:paraId="7E7F7517"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Octavo. Para fundar la clasificación de la información se debe señalar el artículo, fracción, inciso, párrafo o numeral de la ley o tratado internacional suscrito por el Estado mexicano que expresamente le otorga el carácter de reservada o confidencial.</w:t>
      </w:r>
    </w:p>
    <w:p w14:paraId="7ABBE41F" w14:textId="77777777" w:rsidR="00A44253" w:rsidRDefault="00A44253">
      <w:pPr>
        <w:spacing w:after="0" w:line="276" w:lineRule="auto"/>
        <w:ind w:left="567" w:right="851"/>
        <w:jc w:val="both"/>
        <w:rPr>
          <w:rFonts w:ascii="Palatino Linotype" w:eastAsia="Palatino Linotype" w:hAnsi="Palatino Linotype" w:cs="Palatino Linotype"/>
          <w:i/>
        </w:rPr>
      </w:pPr>
    </w:p>
    <w:p w14:paraId="152B6157"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3C42059F" w14:textId="77777777" w:rsidR="00A44253" w:rsidRDefault="00A44253">
      <w:pPr>
        <w:spacing w:after="0" w:line="276" w:lineRule="auto"/>
        <w:ind w:left="567" w:right="851"/>
        <w:jc w:val="both"/>
        <w:rPr>
          <w:rFonts w:ascii="Palatino Linotype" w:eastAsia="Palatino Linotype" w:hAnsi="Palatino Linotype" w:cs="Palatino Linotype"/>
          <w:i/>
        </w:rPr>
      </w:pPr>
    </w:p>
    <w:p w14:paraId="4BDE7562"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En caso de referirse a información reservada, la motivación de la clasificación también deberá comprender las circunstancias que justifican el establecimiento de determinado plazo de reserva.</w:t>
      </w:r>
    </w:p>
    <w:p w14:paraId="304A1B87" w14:textId="77777777" w:rsidR="00A44253" w:rsidRDefault="00A44253">
      <w:pPr>
        <w:spacing w:after="0" w:line="276" w:lineRule="auto"/>
        <w:ind w:left="567" w:right="851"/>
        <w:jc w:val="both"/>
        <w:rPr>
          <w:rFonts w:ascii="Palatino Linotype" w:eastAsia="Palatino Linotype" w:hAnsi="Palatino Linotype" w:cs="Palatino Linotype"/>
          <w:i/>
        </w:rPr>
      </w:pPr>
    </w:p>
    <w:p w14:paraId="260EC53D"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1FB17BAC" w14:textId="77777777" w:rsidR="00A44253" w:rsidRDefault="00A44253">
      <w:pPr>
        <w:spacing w:after="0" w:line="276" w:lineRule="auto"/>
        <w:ind w:left="567" w:right="851"/>
        <w:jc w:val="both"/>
        <w:rPr>
          <w:rFonts w:ascii="Palatino Linotype" w:eastAsia="Palatino Linotype" w:hAnsi="Palatino Linotype" w:cs="Palatino Linotype"/>
          <w:i/>
        </w:rPr>
      </w:pPr>
    </w:p>
    <w:p w14:paraId="76E22609"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Los documentos contenidos en los archivos históricos y los identificados como históricos confidenciales no serán susceptibles de clasificación como reservados.</w:t>
      </w:r>
    </w:p>
    <w:p w14:paraId="5CDA1C15"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674325D"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Décimo.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22BCE05F"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42F85409"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 xml:space="preserve">Décimo primero.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4BBCA799" w14:textId="77777777" w:rsidR="00A44253" w:rsidRDefault="00A44253">
      <w:pPr>
        <w:spacing w:after="0" w:line="360" w:lineRule="auto"/>
        <w:ind w:left="567" w:right="851"/>
        <w:jc w:val="both"/>
        <w:rPr>
          <w:rFonts w:ascii="Palatino Linotype" w:eastAsia="Palatino Linotype" w:hAnsi="Palatino Linotype" w:cs="Palatino Linotype"/>
          <w:i/>
        </w:rPr>
      </w:pPr>
    </w:p>
    <w:p w14:paraId="1F76799E" w14:textId="77777777" w:rsidR="00A44253" w:rsidRDefault="00B34C9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Como se advierte dicho Acuerdo debe exponer de manera clara las razones por las que se encuadra en los supuestos de clasificación de la información, de conformidad con en el artículo 135 de la Ley de Transparencia y Acceso a la Información del Estado de México y </w:t>
      </w:r>
      <w:r>
        <w:rPr>
          <w:rFonts w:ascii="Palatino Linotype" w:eastAsia="Palatino Linotype" w:hAnsi="Palatino Linotype" w:cs="Palatino Linotype"/>
        </w:rPr>
        <w:lastRenderedPageBreak/>
        <w:t>Municipios en relación con el Numeral Octavo de los Lineamientos Generales en Materia de Clasificación y Desclasificación de la información, así como para la elaboración de Versiones Públicas,  los cuales para mayor referencia en la parte que nos interesa, señalan:</w:t>
      </w:r>
    </w:p>
    <w:p w14:paraId="1F245E7E" w14:textId="77777777" w:rsidR="00A44253" w:rsidRDefault="00A44253">
      <w:pPr>
        <w:spacing w:after="0" w:line="360" w:lineRule="auto"/>
        <w:jc w:val="both"/>
        <w:rPr>
          <w:rFonts w:ascii="Palatino Linotype" w:eastAsia="Palatino Linotype" w:hAnsi="Palatino Linotype" w:cs="Palatino Linotype"/>
        </w:rPr>
      </w:pPr>
    </w:p>
    <w:p w14:paraId="5149D52C" w14:textId="77777777" w:rsidR="00A44253" w:rsidRDefault="00B34C9B">
      <w:pPr>
        <w:spacing w:after="0" w:line="276" w:lineRule="auto"/>
        <w:ind w:left="567" w:right="851"/>
        <w:jc w:val="both"/>
        <w:rPr>
          <w:rFonts w:ascii="Palatino Linotype" w:eastAsia="Palatino Linotype" w:hAnsi="Palatino Linotype" w:cs="Palatino Linotype"/>
          <w:i/>
        </w:rPr>
      </w:pPr>
      <w:r>
        <w:rPr>
          <w:rFonts w:ascii="Palatino Linotype" w:eastAsia="Palatino Linotype" w:hAnsi="Palatino Linotype" w:cs="Palatino Linotype"/>
          <w:i/>
        </w:rPr>
        <w:t>“Artículo 135. Los lineamientos generales que se emitan al respecto en materia de clasificación de la información reservada y confidencial y, para la elaboración de versiones públicas, serán de observancia obligatoria para los sujetos obligados…”</w:t>
      </w:r>
    </w:p>
    <w:p w14:paraId="1883EB2E" w14:textId="77777777" w:rsidR="00A44253" w:rsidRDefault="00A44253">
      <w:pPr>
        <w:spacing w:after="0" w:line="276" w:lineRule="auto"/>
        <w:ind w:left="567" w:right="851"/>
        <w:jc w:val="both"/>
        <w:rPr>
          <w:rFonts w:ascii="Palatino Linotype" w:eastAsia="Palatino Linotype" w:hAnsi="Palatino Linotype" w:cs="Palatino Linotype"/>
          <w:i/>
        </w:rPr>
      </w:pPr>
    </w:p>
    <w:p w14:paraId="17E1F04C" w14:textId="77777777" w:rsidR="00A44253" w:rsidRDefault="00B34C9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tal virtud, el acuerdo emitido por el Comité de Transparencia, en términos de los artículos 122, 132  y 143 fracción I  de la  Ley de Transparencia y Acceso a la Información Pública del Estado de México y Municipios, deberá contener un razonamiento lógico, acorde a lo previsto  en los ordenamientos jurídicos en la Materia, que permita conocer al particular las condiciones y circunstancias que determinaron negar el acceso a la información; a través de la adecuada fundamentación y motivación, en el entendido de que, todo acto que la autoridad pronuncie en el ejercicio de sus atribuciones, debe expresar los fundamentos legales que le dieron origen y las razones por las que se deben aplicar al caso concreto.</w:t>
      </w:r>
    </w:p>
    <w:p w14:paraId="51CC4A02" w14:textId="77777777" w:rsidR="00A44253" w:rsidRDefault="00A44253">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14:paraId="2540039F" w14:textId="77777777" w:rsidR="00A44253" w:rsidRDefault="00B34C9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Es decir, el acuerdo deberá contener un razonamiento lógico con el que se demuestre que la información solicitada por la parte Recurrente se encuentra en alguna de las hipótesis que contempla la misma ley; toda vez que de acuerdo con la referida Ley la carga de la prueba para justificar toda negativa de acceso a la información por actualizarse cualquiera de los supuestos previstos en la Ley, corresponde a los Sujetos Obligados fundando y motivando debidamente la clasificación.</w:t>
      </w:r>
    </w:p>
    <w:p w14:paraId="23D7BCE3" w14:textId="77777777" w:rsidR="00A44253" w:rsidRDefault="00A44253">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14:paraId="267606F1" w14:textId="77777777" w:rsidR="00A44253" w:rsidRDefault="00B34C9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Respecto de la fundamentación y motivación, debe recordarse que la primera de ellas consiste en la expresión de los dispositivos jurídicos en los que se sustenten los supuestos </w:t>
      </w:r>
      <w:r>
        <w:rPr>
          <w:rFonts w:ascii="Palatino Linotype" w:eastAsia="Palatino Linotype" w:hAnsi="Palatino Linotype" w:cs="Palatino Linotype"/>
          <w:color w:val="000000"/>
        </w:rPr>
        <w:lastRenderedPageBreak/>
        <w:t>propios del asunto; y por motivación el señalamiento de las causas inmediatas, las razones específicas y los motivos particulares que se tomaron en consideración para llegar a la determinación obtenida, debiendo existir además una correspondencia lógica entre ambos supuestos.</w:t>
      </w:r>
    </w:p>
    <w:p w14:paraId="18F5010D" w14:textId="77777777" w:rsidR="00A44253" w:rsidRDefault="00A44253">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14:paraId="0A361DBA" w14:textId="77777777" w:rsidR="00A44253" w:rsidRDefault="00B34C9B">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Sirven de sustento a lo anterior las tesis jurisprudenciales número I.4º.A. J/43 y VI. 2º. J/43, publicadas en el Semanario Judicial de la Federación y su Gaceta, bajo el número de registro 175,082 y 203,143, respectivamente, cuyo texto y sentido literal es el siguiente:</w:t>
      </w:r>
    </w:p>
    <w:p w14:paraId="591F1F6B" w14:textId="77777777" w:rsidR="00A44253" w:rsidRDefault="00A44253">
      <w:pPr>
        <w:pBdr>
          <w:top w:val="nil"/>
          <w:left w:val="nil"/>
          <w:bottom w:val="nil"/>
          <w:right w:val="nil"/>
          <w:between w:val="nil"/>
        </w:pBdr>
        <w:spacing w:after="0" w:line="360" w:lineRule="auto"/>
        <w:ind w:left="851" w:right="902"/>
        <w:jc w:val="both"/>
        <w:rPr>
          <w:rFonts w:ascii="Palatino Linotype" w:eastAsia="Palatino Linotype" w:hAnsi="Palatino Linotype" w:cs="Palatino Linotype"/>
          <w:i/>
          <w:color w:val="000000"/>
        </w:rPr>
      </w:pPr>
    </w:p>
    <w:p w14:paraId="1A052437" w14:textId="77777777" w:rsidR="00A44253" w:rsidRDefault="00B34C9B">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“FUNDAMENTACIÓN Y MOTIVACIÓN. EL ASPECTO FORMAL DE LA GARANTÍA Y SU FINALIDAD SE TRADUCEN EN EXPLICAR, JUSTIFICAR, POSIBILITAR LA DEFENSA Y COMUNICAR LA DECISIÓN.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24B0B60" w14:textId="77777777" w:rsidR="00A44253" w:rsidRDefault="00A44253">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color w:val="000000"/>
        </w:rPr>
      </w:pPr>
    </w:p>
    <w:p w14:paraId="240040F6" w14:textId="77777777" w:rsidR="00A44253" w:rsidRDefault="00B34C9B">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 xml:space="preserve">“FUNDAMENTACION Y MOTIVACION.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p>
    <w:p w14:paraId="38C8E41A" w14:textId="77777777" w:rsidR="00A44253" w:rsidRDefault="00A44253">
      <w:pPr>
        <w:spacing w:after="0" w:line="360" w:lineRule="auto"/>
        <w:ind w:right="49"/>
        <w:jc w:val="both"/>
        <w:rPr>
          <w:rFonts w:ascii="Palatino Linotype" w:eastAsia="Palatino Linotype" w:hAnsi="Palatino Linotype" w:cs="Palatino Linotype"/>
          <w:color w:val="000000"/>
        </w:rPr>
      </w:pPr>
    </w:p>
    <w:p w14:paraId="0DE37EE8" w14:textId="77777777" w:rsidR="00A44253" w:rsidRDefault="00B34C9B">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Es por ello que se estima que los agravios hechos valer por el Particular devienen </w:t>
      </w:r>
      <w:r>
        <w:rPr>
          <w:rFonts w:ascii="Palatino Linotype" w:eastAsia="Palatino Linotype" w:hAnsi="Palatino Linotype" w:cs="Palatino Linotype"/>
          <w:b/>
        </w:rPr>
        <w:t>FUNDADOS,</w:t>
      </w:r>
      <w:r>
        <w:rPr>
          <w:rFonts w:ascii="Palatino Linotype" w:eastAsia="Palatino Linotype" w:hAnsi="Palatino Linotype" w:cs="Palatino Linotype"/>
        </w:rPr>
        <w:t xml:space="preserve"> por lo que, es pertinente ordenar al Sujeto Obligado, la entrega de lo siguiente: </w:t>
      </w:r>
    </w:p>
    <w:p w14:paraId="6B884C5E" w14:textId="77777777" w:rsidR="00A44253" w:rsidRDefault="00A44253">
      <w:pPr>
        <w:spacing w:after="0" w:line="360" w:lineRule="auto"/>
        <w:ind w:right="49"/>
        <w:jc w:val="both"/>
        <w:rPr>
          <w:rFonts w:ascii="Palatino Linotype" w:eastAsia="Palatino Linotype" w:hAnsi="Palatino Linotype" w:cs="Palatino Linotype"/>
        </w:rPr>
      </w:pPr>
    </w:p>
    <w:p w14:paraId="66E693EE" w14:textId="77777777" w:rsidR="00A44253" w:rsidRDefault="00B34C9B">
      <w:pPr>
        <w:numPr>
          <w:ilvl w:val="0"/>
          <w:numId w:val="3"/>
        </w:numPr>
        <w:pBdr>
          <w:top w:val="nil"/>
          <w:left w:val="nil"/>
          <w:bottom w:val="nil"/>
          <w:right w:val="nil"/>
          <w:between w:val="nil"/>
        </w:pBdr>
        <w:tabs>
          <w:tab w:val="left" w:pos="4962"/>
        </w:tabs>
        <w:spacing w:after="0" w:line="360" w:lineRule="auto"/>
        <w:ind w:left="567" w:right="616" w:hanging="425"/>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Acuerdo emitido por el Comité de Transparencia </w:t>
      </w:r>
      <w:r>
        <w:rPr>
          <w:rFonts w:ascii="Palatino Linotype" w:eastAsia="Palatino Linotype" w:hAnsi="Palatino Linotype" w:cs="Palatino Linotype"/>
        </w:rPr>
        <w:t>donde confirme la clasificación, de manera fundada y motivada</w:t>
      </w:r>
      <w:r>
        <w:rPr>
          <w:rFonts w:ascii="Palatino Linotype" w:eastAsia="Palatino Linotype" w:hAnsi="Palatino Linotype" w:cs="Palatino Linotype"/>
          <w:color w:val="000000"/>
        </w:rPr>
        <w:t xml:space="preserve"> del dato contenido en el oficio DOP/175/2024 remitido en respuesta, </w:t>
      </w:r>
      <w:r>
        <w:rPr>
          <w:rFonts w:ascii="Palatino Linotype" w:eastAsia="Palatino Linotype" w:hAnsi="Palatino Linotype" w:cs="Palatino Linotype"/>
        </w:rPr>
        <w:t xml:space="preserve">en términos del artículo 143, fracción I, de la Ley de Transparencia y Acceso a la Información Pública del Estado de México y Municipios. </w:t>
      </w:r>
    </w:p>
    <w:p w14:paraId="36C5ECF3" w14:textId="77777777" w:rsidR="00A44253" w:rsidRDefault="00A44253">
      <w:pPr>
        <w:pBdr>
          <w:top w:val="nil"/>
          <w:left w:val="nil"/>
          <w:bottom w:val="nil"/>
          <w:right w:val="nil"/>
          <w:between w:val="nil"/>
        </w:pBdr>
        <w:tabs>
          <w:tab w:val="left" w:pos="4962"/>
        </w:tabs>
        <w:spacing w:after="0" w:line="360" w:lineRule="auto"/>
        <w:ind w:left="567" w:right="616"/>
        <w:jc w:val="both"/>
        <w:rPr>
          <w:rFonts w:ascii="Palatino Linotype" w:eastAsia="Palatino Linotype" w:hAnsi="Palatino Linotype" w:cs="Palatino Linotype"/>
          <w:color w:val="000000"/>
        </w:rPr>
      </w:pPr>
    </w:p>
    <w:p w14:paraId="621FF7CC" w14:textId="77777777" w:rsidR="00A44253" w:rsidRDefault="00B34C9B">
      <w:pP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F723EEC" w14:textId="77777777" w:rsidR="00A44253" w:rsidRDefault="00B34C9B">
      <w:pPr>
        <w:pBdr>
          <w:top w:val="nil"/>
          <w:left w:val="nil"/>
          <w:bottom w:val="nil"/>
          <w:right w:val="nil"/>
          <w:between w:val="nil"/>
        </w:pBdr>
        <w:spacing w:after="0" w:line="360" w:lineRule="auto"/>
        <w:jc w:val="center"/>
        <w:rPr>
          <w:rFonts w:ascii="Palatino Linotype" w:eastAsia="Palatino Linotype" w:hAnsi="Palatino Linotype" w:cs="Palatino Linotype"/>
          <w:b/>
        </w:rPr>
      </w:pPr>
      <w:r>
        <w:rPr>
          <w:rFonts w:ascii="Palatino Linotype" w:eastAsia="Palatino Linotype" w:hAnsi="Palatino Linotype" w:cs="Palatino Linotype"/>
          <w:b/>
        </w:rPr>
        <w:t>III. R E S U E L V E:</w:t>
      </w:r>
    </w:p>
    <w:p w14:paraId="5CE4E090" w14:textId="77777777" w:rsidR="00A44253" w:rsidRDefault="00A44253">
      <w:pPr>
        <w:pBdr>
          <w:top w:val="nil"/>
          <w:left w:val="nil"/>
          <w:bottom w:val="nil"/>
          <w:right w:val="nil"/>
          <w:between w:val="nil"/>
        </w:pBdr>
        <w:spacing w:after="0" w:line="360" w:lineRule="auto"/>
        <w:jc w:val="center"/>
        <w:rPr>
          <w:rFonts w:ascii="Palatino Linotype" w:eastAsia="Palatino Linotype" w:hAnsi="Palatino Linotype" w:cs="Palatino Linotype"/>
          <w:b/>
        </w:rPr>
      </w:pPr>
    </w:p>
    <w:p w14:paraId="5387E5AE" w14:textId="77777777" w:rsidR="00A44253" w:rsidRDefault="00B34C9B">
      <w:pPr>
        <w:spacing w:after="0" w:line="360" w:lineRule="auto"/>
        <w:ind w:right="49"/>
        <w:jc w:val="both"/>
        <w:rPr>
          <w:rFonts w:ascii="Palatino Linotype" w:eastAsia="Palatino Linotype" w:hAnsi="Palatino Linotype" w:cs="Palatino Linotype"/>
        </w:rPr>
      </w:pPr>
      <w:bookmarkStart w:id="2" w:name="_heading=h.3dy6vkm" w:colFirst="0" w:colLast="0"/>
      <w:bookmarkEnd w:id="2"/>
      <w:r>
        <w:rPr>
          <w:rFonts w:ascii="Palatino Linotype" w:eastAsia="Palatino Linotype" w:hAnsi="Palatino Linotype" w:cs="Palatino Linotype"/>
          <w:b/>
        </w:rPr>
        <w:t xml:space="preserve">PRIMERO. </w:t>
      </w:r>
      <w:r>
        <w:rPr>
          <w:rFonts w:ascii="Palatino Linotype" w:eastAsia="Palatino Linotype" w:hAnsi="Palatino Linotype" w:cs="Palatino Linotype"/>
        </w:rPr>
        <w:t>Se</w:t>
      </w:r>
      <w:r>
        <w:rPr>
          <w:rFonts w:ascii="Palatino Linotype" w:eastAsia="Palatino Linotype" w:hAnsi="Palatino Linotype" w:cs="Palatino Linotype"/>
          <w:b/>
        </w:rPr>
        <w:t xml:space="preserve"> MODIFICA </w:t>
      </w:r>
      <w:r>
        <w:rPr>
          <w:rFonts w:ascii="Palatino Linotype" w:eastAsia="Palatino Linotype" w:hAnsi="Palatino Linotype" w:cs="Palatino Linotype"/>
        </w:rPr>
        <w:t xml:space="preserve">la respuesta entregada por </w:t>
      </w:r>
      <w:r>
        <w:rPr>
          <w:rFonts w:ascii="Palatino Linotype" w:eastAsia="Palatino Linotype" w:hAnsi="Palatino Linotype" w:cs="Palatino Linotype"/>
          <w:b/>
        </w:rPr>
        <w:t xml:space="preserve">EL SUJETO OBLIGADO </w:t>
      </w:r>
      <w:r>
        <w:rPr>
          <w:rFonts w:ascii="Palatino Linotype" w:eastAsia="Palatino Linotype" w:hAnsi="Palatino Linotype" w:cs="Palatino Linotype"/>
        </w:rPr>
        <w:t xml:space="preserve">a la solicitud de información </w:t>
      </w:r>
      <w:r>
        <w:rPr>
          <w:rFonts w:ascii="Palatino Linotype" w:eastAsia="Palatino Linotype" w:hAnsi="Palatino Linotype" w:cs="Palatino Linotype"/>
          <w:b/>
        </w:rPr>
        <w:t xml:space="preserve">00105/JIQUIPIL/IP/2024, </w:t>
      </w:r>
      <w:r>
        <w:rPr>
          <w:rFonts w:ascii="Palatino Linotype" w:eastAsia="Palatino Linotype" w:hAnsi="Palatino Linotype" w:cs="Palatino Linotype"/>
        </w:rPr>
        <w:t xml:space="preserve">por resultar fundadas las razones o motivos de inconformidad hechos valer por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en el Recurso de </w:t>
      </w:r>
      <w:r>
        <w:rPr>
          <w:rFonts w:ascii="Palatino Linotype" w:eastAsia="Palatino Linotype" w:hAnsi="Palatino Linotype" w:cs="Palatino Linotype"/>
        </w:rPr>
        <w:lastRenderedPageBreak/>
        <w:t xml:space="preserve">Revisión </w:t>
      </w:r>
      <w:r>
        <w:rPr>
          <w:rFonts w:ascii="Palatino Linotype" w:eastAsia="Palatino Linotype" w:hAnsi="Palatino Linotype" w:cs="Palatino Linotype"/>
          <w:b/>
        </w:rPr>
        <w:t>04019/INFOEM/IP/RR/2024,</w:t>
      </w:r>
      <w:r>
        <w:rPr>
          <w:rFonts w:ascii="Palatino Linotype" w:eastAsia="Palatino Linotype" w:hAnsi="Palatino Linotype" w:cs="Palatino Linotype"/>
        </w:rPr>
        <w:t xml:space="preserve"> en términos del considerando </w:t>
      </w:r>
      <w:r>
        <w:rPr>
          <w:rFonts w:ascii="Palatino Linotype" w:eastAsia="Palatino Linotype" w:hAnsi="Palatino Linotype" w:cs="Palatino Linotype"/>
          <w:b/>
        </w:rPr>
        <w:t>Cuarto</w:t>
      </w:r>
      <w:r>
        <w:rPr>
          <w:rFonts w:ascii="Palatino Linotype" w:eastAsia="Palatino Linotype" w:hAnsi="Palatino Linotype" w:cs="Palatino Linotype"/>
        </w:rPr>
        <w:t xml:space="preserve"> de la presente Resolución.</w:t>
      </w:r>
    </w:p>
    <w:p w14:paraId="1F83173C" w14:textId="77777777" w:rsidR="00A44253" w:rsidRDefault="00A44253">
      <w:pPr>
        <w:spacing w:after="0" w:line="360" w:lineRule="auto"/>
        <w:ind w:right="49"/>
        <w:jc w:val="both"/>
        <w:rPr>
          <w:rFonts w:ascii="Palatino Linotype" w:eastAsia="Palatino Linotype" w:hAnsi="Palatino Linotype" w:cs="Palatino Linotype"/>
        </w:rPr>
      </w:pPr>
    </w:p>
    <w:p w14:paraId="031F162B" w14:textId="77777777" w:rsidR="00A44253" w:rsidRDefault="00B34C9B">
      <w:pPr>
        <w:pBdr>
          <w:top w:val="nil"/>
          <w:left w:val="nil"/>
          <w:bottom w:val="nil"/>
          <w:right w:val="nil"/>
          <w:between w:val="nil"/>
        </w:pBdr>
        <w:spacing w:after="0"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SEGUNDO. </w:t>
      </w:r>
      <w:r>
        <w:rPr>
          <w:rFonts w:ascii="Palatino Linotype" w:eastAsia="Palatino Linotype" w:hAnsi="Palatino Linotype" w:cs="Palatino Linotype"/>
        </w:rPr>
        <w:t>Se</w:t>
      </w:r>
      <w:r>
        <w:rPr>
          <w:rFonts w:ascii="Palatino Linotype" w:eastAsia="Palatino Linotype" w:hAnsi="Palatino Linotype" w:cs="Palatino Linotype"/>
          <w:b/>
        </w:rPr>
        <w:t xml:space="preserve"> ORDENA </w:t>
      </w:r>
      <w:r>
        <w:rPr>
          <w:rFonts w:ascii="Palatino Linotype" w:eastAsia="Palatino Linotype" w:hAnsi="Palatino Linotype" w:cs="Palatino Linotype"/>
        </w:rPr>
        <w:t xml:space="preserve">al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que,</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del Considerando Cuarto, haga entrega, vía Sistema de Acceso a la Información Mexiquense (SAIMEX), de lo siguiente: </w:t>
      </w:r>
    </w:p>
    <w:p w14:paraId="5AA21A07" w14:textId="77777777" w:rsidR="00A44253" w:rsidRDefault="00A44253">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17CD7768" w14:textId="77777777" w:rsidR="00A44253" w:rsidRDefault="00B34C9B">
      <w:pPr>
        <w:numPr>
          <w:ilvl w:val="0"/>
          <w:numId w:val="3"/>
        </w:numPr>
        <w:pBdr>
          <w:top w:val="nil"/>
          <w:left w:val="nil"/>
          <w:bottom w:val="nil"/>
          <w:right w:val="nil"/>
          <w:between w:val="nil"/>
        </w:pBdr>
        <w:tabs>
          <w:tab w:val="left" w:pos="4962"/>
        </w:tabs>
        <w:spacing w:after="0" w:line="360" w:lineRule="auto"/>
        <w:ind w:left="567" w:right="616" w:hanging="425"/>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Acuerdo emitido por el Comité de Transparencia </w:t>
      </w:r>
      <w:r>
        <w:rPr>
          <w:rFonts w:ascii="Palatino Linotype" w:eastAsia="Palatino Linotype" w:hAnsi="Palatino Linotype" w:cs="Palatino Linotype"/>
        </w:rPr>
        <w:t>donde confirme la clasificación, de manera fundada y motivada</w:t>
      </w:r>
      <w:r>
        <w:rPr>
          <w:rFonts w:ascii="Palatino Linotype" w:eastAsia="Palatino Linotype" w:hAnsi="Palatino Linotype" w:cs="Palatino Linotype"/>
          <w:color w:val="000000"/>
        </w:rPr>
        <w:t xml:space="preserve"> del dato contenido en el oficio DOP/175/2024 remitido en respuesta, </w:t>
      </w:r>
      <w:r>
        <w:rPr>
          <w:rFonts w:ascii="Palatino Linotype" w:eastAsia="Palatino Linotype" w:hAnsi="Palatino Linotype" w:cs="Palatino Linotype"/>
        </w:rPr>
        <w:t xml:space="preserve">en términos del artículo 143, fracción I, de la Ley de Transparencia y Acceso a la Información Pública del Estado de México y Municipios. </w:t>
      </w:r>
    </w:p>
    <w:p w14:paraId="406A9ABC" w14:textId="77777777" w:rsidR="00A44253" w:rsidRDefault="00A44253">
      <w:pPr>
        <w:pBdr>
          <w:top w:val="nil"/>
          <w:left w:val="nil"/>
          <w:bottom w:val="nil"/>
          <w:right w:val="nil"/>
          <w:between w:val="nil"/>
        </w:pBdr>
        <w:spacing w:after="0" w:line="360" w:lineRule="auto"/>
        <w:ind w:left="567" w:right="560"/>
        <w:jc w:val="both"/>
        <w:rPr>
          <w:rFonts w:ascii="Palatino Linotype" w:eastAsia="Palatino Linotype" w:hAnsi="Palatino Linotype" w:cs="Palatino Linotype"/>
          <w:i/>
          <w:color w:val="000000"/>
        </w:rPr>
      </w:pPr>
    </w:p>
    <w:p w14:paraId="54BF02DA" w14:textId="77777777" w:rsidR="00A44253" w:rsidRDefault="00B34C9B">
      <w:pPr>
        <w:spacing w:after="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TERCERO. Notifíquese vía SAIMEX</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EDD35E5" w14:textId="77777777" w:rsidR="00A44253" w:rsidRDefault="00A44253">
      <w:pPr>
        <w:spacing w:after="0" w:line="360" w:lineRule="auto"/>
        <w:jc w:val="both"/>
        <w:rPr>
          <w:rFonts w:ascii="Palatino Linotype" w:eastAsia="Palatino Linotype" w:hAnsi="Palatino Linotype" w:cs="Palatino Linotype"/>
          <w:b/>
          <w:highlight w:val="cyan"/>
        </w:rPr>
      </w:pPr>
    </w:p>
    <w:p w14:paraId="47695DB8" w14:textId="77777777" w:rsidR="00A44253" w:rsidRDefault="00B34C9B">
      <w:pPr>
        <w:spacing w:line="360" w:lineRule="auto"/>
        <w:ind w:right="49"/>
        <w:jc w:val="both"/>
        <w:rPr>
          <w:rFonts w:ascii="Palatino Linotype" w:eastAsia="Palatino Linotype" w:hAnsi="Palatino Linotype" w:cs="Palatino Linotype"/>
          <w:b/>
          <w:strike/>
        </w:rPr>
      </w:pPr>
      <w:bookmarkStart w:id="3" w:name="_heading=h.2et92p0" w:colFirst="0" w:colLast="0"/>
      <w:bookmarkEnd w:id="3"/>
      <w:r w:rsidRPr="006B22B5">
        <w:rPr>
          <w:rFonts w:ascii="Palatino Linotype" w:eastAsia="Palatino Linotype" w:hAnsi="Palatino Linotype" w:cs="Palatino Linotype"/>
          <w:b/>
        </w:rPr>
        <w:lastRenderedPageBreak/>
        <w:t>CUARTO.</w:t>
      </w:r>
      <w:r w:rsidRPr="006B22B5">
        <w:rPr>
          <w:rFonts w:ascii="Palatino Linotype" w:eastAsia="Palatino Linotype" w:hAnsi="Palatino Linotype" w:cs="Palatino Linotype"/>
        </w:rPr>
        <w:t xml:space="preserve"> </w:t>
      </w:r>
      <w:r w:rsidRPr="006B22B5">
        <w:rPr>
          <w:rFonts w:ascii="Palatino Linotype" w:eastAsia="Palatino Linotype" w:hAnsi="Palatino Linotype" w:cs="Palatino Linotype"/>
          <w:b/>
        </w:rPr>
        <w:t>Notifíquese vía SAIMEX</w:t>
      </w:r>
      <w:r w:rsidRPr="006B22B5">
        <w:rPr>
          <w:rFonts w:ascii="Palatino Linotype" w:eastAsia="Palatino Linotype" w:hAnsi="Palatino Linotype" w:cs="Palatino Linotype"/>
        </w:rPr>
        <w:t xml:space="preserve"> a la persona Recurrente la presente Resolución,</w:t>
      </w:r>
      <w:r w:rsidRPr="006B22B5">
        <w:rPr>
          <w:rFonts w:ascii="Palatino Linotype" w:eastAsia="Palatino Linotype" w:hAnsi="Palatino Linotype" w:cs="Palatino Linotype"/>
          <w:b/>
        </w:rPr>
        <w:t xml:space="preserve"> </w:t>
      </w:r>
      <w:r w:rsidRPr="006B22B5">
        <w:rPr>
          <w:rFonts w:ascii="Palatino Linotype" w:eastAsia="Palatino Linotype" w:hAnsi="Palatino Linotype" w:cs="Palatino Linotype"/>
        </w:rPr>
        <w:t>asimismo, se hace de su conocimiento que de conformidad con lo establecido en el artículo</w:t>
      </w:r>
      <w:r w:rsidRPr="006B22B5">
        <w:rPr>
          <w:rFonts w:ascii="Palatino Linotype" w:eastAsia="Palatino Linotype" w:hAnsi="Palatino Linotype" w:cs="Palatino Linotype"/>
          <w:b/>
        </w:rPr>
        <w:t xml:space="preserve"> </w:t>
      </w:r>
      <w:r w:rsidRPr="006B22B5">
        <w:rPr>
          <w:rFonts w:ascii="Palatino Linotype" w:eastAsia="Palatino Linotype" w:hAnsi="Palatino Linotype" w:cs="Palatino Linotype"/>
        </w:rPr>
        <w:t>196 de la Ley de Transparencia y Acceso a la Información Pública del Estado de México y</w:t>
      </w:r>
      <w:r w:rsidRPr="006B22B5">
        <w:rPr>
          <w:rFonts w:ascii="Palatino Linotype" w:eastAsia="Palatino Linotype" w:hAnsi="Palatino Linotype" w:cs="Palatino Linotype"/>
          <w:b/>
        </w:rPr>
        <w:t xml:space="preserve"> </w:t>
      </w:r>
      <w:r w:rsidRPr="006B22B5">
        <w:rPr>
          <w:rFonts w:ascii="Palatino Linotype" w:eastAsia="Palatino Linotype" w:hAnsi="Palatino Linotype" w:cs="Palatino Linotype"/>
        </w:rPr>
        <w:t>Municipios podrá promover el Juicio de Amparo en los términos de las leyes aplicables.</w:t>
      </w:r>
    </w:p>
    <w:p w14:paraId="303D3948" w14:textId="77777777" w:rsidR="00A44253" w:rsidRDefault="00A44253">
      <w:pPr>
        <w:spacing w:after="0" w:line="360" w:lineRule="auto"/>
        <w:jc w:val="both"/>
        <w:rPr>
          <w:rFonts w:ascii="Palatino Linotype" w:eastAsia="Palatino Linotype" w:hAnsi="Palatino Linotype" w:cs="Palatino Linotype"/>
        </w:rPr>
      </w:pPr>
    </w:p>
    <w:p w14:paraId="37CB460A" w14:textId="77777777" w:rsidR="00A44253" w:rsidRDefault="00B34C9B">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0C4AC108" w14:textId="77777777" w:rsidR="00A44253" w:rsidRDefault="00A44253">
      <w:pPr>
        <w:spacing w:after="0" w:line="360" w:lineRule="auto"/>
        <w:jc w:val="both"/>
        <w:rPr>
          <w:rFonts w:ascii="Palatino Linotype" w:eastAsia="Palatino Linotype" w:hAnsi="Palatino Linotype" w:cs="Palatino Linotype"/>
        </w:rPr>
      </w:pPr>
    </w:p>
    <w:p w14:paraId="2ADC09C1" w14:textId="77777777" w:rsidR="00A44253" w:rsidRDefault="00B34C9B">
      <w:pPr>
        <w:spacing w:after="0" w:line="360" w:lineRule="auto"/>
        <w:jc w:val="both"/>
        <w:rPr>
          <w:rFonts w:ascii="Palatino Linotype" w:eastAsia="Palatino Linotype" w:hAnsi="Palatino Linotype" w:cs="Palatino Linotype"/>
        </w:rPr>
        <w:sectPr w:rsidR="00A44253">
          <w:headerReference w:type="default" r:id="rId10"/>
          <w:footerReference w:type="default" r:id="rId11"/>
          <w:headerReference w:type="first" r:id="rId12"/>
          <w:footerReference w:type="first" r:id="rId13"/>
          <w:pgSz w:w="12240" w:h="15840"/>
          <w:pgMar w:top="2041" w:right="1701" w:bottom="1701" w:left="1701" w:header="709" w:footer="709" w:gutter="0"/>
          <w:pgNumType w:start="1"/>
          <w:cols w:space="720"/>
          <w:titlePg/>
        </w:sectPr>
      </w:pPr>
      <w:bookmarkStart w:id="5" w:name="_heading=h.1fob9te" w:colFirst="0" w:colLast="0"/>
      <w:bookmarkEnd w:id="5"/>
      <w:r>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VIGÉSIMA NOVENA SESIÓN ORDINARIA CELEBRADA EL VEINTIUNO DE AGOSTO DE DOS MIL VEINTICUATRO, ANTE EL SECRETARIO TÉCNICO DEL PLENO ALEXIS TAPIA RAMÍREZ</w:t>
      </w:r>
    </w:p>
    <w:p w14:paraId="566EED48" w14:textId="77777777" w:rsidR="00A44253" w:rsidRDefault="00A44253">
      <w:pPr>
        <w:spacing w:after="0" w:line="360" w:lineRule="auto"/>
        <w:ind w:right="60"/>
        <w:jc w:val="both"/>
        <w:rPr>
          <w:rFonts w:ascii="Palatino Linotype" w:eastAsia="Palatino Linotype" w:hAnsi="Palatino Linotype" w:cs="Palatino Linotype"/>
          <w:b/>
        </w:rPr>
      </w:pPr>
    </w:p>
    <w:sectPr w:rsidR="00A44253">
      <w:headerReference w:type="default" r:id="rId14"/>
      <w:headerReference w:type="first" r:id="rId15"/>
      <w:pgSz w:w="12240" w:h="15840"/>
      <w:pgMar w:top="1417" w:right="1701" w:bottom="1417"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016D6" w14:textId="77777777" w:rsidR="00FD5CDD" w:rsidRDefault="00FD5CDD">
      <w:pPr>
        <w:spacing w:after="0" w:line="240" w:lineRule="auto"/>
      </w:pPr>
      <w:r>
        <w:separator/>
      </w:r>
    </w:p>
  </w:endnote>
  <w:endnote w:type="continuationSeparator" w:id="0">
    <w:p w14:paraId="2FA3E3B0" w14:textId="77777777" w:rsidR="00FD5CDD" w:rsidRDefault="00FD5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96CE" w14:textId="77777777" w:rsidR="00A44253" w:rsidRDefault="00B34C9B">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70B16">
      <w:rPr>
        <w:rFonts w:ascii="Arial" w:eastAsia="Arial" w:hAnsi="Arial" w:cs="Arial"/>
        <w:b/>
        <w:noProof/>
        <w:color w:val="000000"/>
        <w:sz w:val="20"/>
        <w:szCs w:val="20"/>
      </w:rPr>
      <w:t>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70B16">
      <w:rPr>
        <w:rFonts w:ascii="Arial" w:eastAsia="Arial" w:hAnsi="Arial" w:cs="Arial"/>
        <w:b/>
        <w:noProof/>
        <w:color w:val="000000"/>
        <w:sz w:val="20"/>
        <w:szCs w:val="20"/>
      </w:rPr>
      <w:t>24</w:t>
    </w:r>
    <w:r>
      <w:rPr>
        <w:rFonts w:ascii="Arial" w:eastAsia="Arial" w:hAnsi="Arial" w:cs="Arial"/>
        <w:b/>
        <w:color w:val="000000"/>
        <w:sz w:val="20"/>
        <w:szCs w:val="20"/>
      </w:rPr>
      <w:fldChar w:fldCharType="end"/>
    </w:r>
  </w:p>
  <w:p w14:paraId="6D6644D5" w14:textId="77777777" w:rsidR="00A44253" w:rsidRDefault="00A44253">
    <w:pPr>
      <w:pBdr>
        <w:top w:val="nil"/>
        <w:left w:val="nil"/>
        <w:bottom w:val="nil"/>
        <w:right w:val="nil"/>
        <w:between w:val="nil"/>
      </w:pBdr>
      <w:tabs>
        <w:tab w:val="center" w:pos="4252"/>
        <w:tab w:val="right" w:pos="8504"/>
      </w:tabs>
      <w:rPr>
        <w:color w:val="000000"/>
      </w:rPr>
    </w:pPr>
  </w:p>
  <w:p w14:paraId="076BA415" w14:textId="77777777" w:rsidR="00A44253" w:rsidRDefault="00A44253">
    <w:pPr>
      <w:pBdr>
        <w:top w:val="nil"/>
        <w:left w:val="nil"/>
        <w:bottom w:val="nil"/>
        <w:right w:val="nil"/>
        <w:between w:val="nil"/>
      </w:pBdr>
      <w:tabs>
        <w:tab w:val="center" w:pos="4252"/>
        <w:tab w:val="right" w:pos="8504"/>
      </w:tabs>
      <w:ind w:firstLine="70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8818" w14:textId="77777777" w:rsidR="00A44253" w:rsidRDefault="00B34C9B">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70B16">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70B16">
      <w:rPr>
        <w:rFonts w:ascii="Arial" w:eastAsia="Arial" w:hAnsi="Arial" w:cs="Arial"/>
        <w:b/>
        <w:noProof/>
        <w:color w:val="000000"/>
        <w:sz w:val="20"/>
        <w:szCs w:val="20"/>
      </w:rPr>
      <w:t>24</w:t>
    </w:r>
    <w:r>
      <w:rPr>
        <w:rFonts w:ascii="Arial" w:eastAsia="Arial" w:hAnsi="Arial" w:cs="Arial"/>
        <w:b/>
        <w:color w:val="000000"/>
        <w:sz w:val="20"/>
        <w:szCs w:val="20"/>
      </w:rPr>
      <w:fldChar w:fldCharType="end"/>
    </w:r>
  </w:p>
  <w:p w14:paraId="7A20B145" w14:textId="77777777" w:rsidR="00A44253" w:rsidRDefault="00A4425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CEDF" w14:textId="77777777" w:rsidR="00FD5CDD" w:rsidRDefault="00FD5CDD">
      <w:pPr>
        <w:spacing w:after="0" w:line="240" w:lineRule="auto"/>
      </w:pPr>
      <w:r>
        <w:separator/>
      </w:r>
    </w:p>
  </w:footnote>
  <w:footnote w:type="continuationSeparator" w:id="0">
    <w:p w14:paraId="7E9F1754" w14:textId="77777777" w:rsidR="00FD5CDD" w:rsidRDefault="00FD5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DC43" w14:textId="77777777" w:rsidR="00A44253" w:rsidRDefault="00B34C9B">
    <w:pPr>
      <w:widowControl w:val="0"/>
      <w:pBdr>
        <w:top w:val="nil"/>
        <w:left w:val="nil"/>
        <w:bottom w:val="nil"/>
        <w:right w:val="nil"/>
        <w:between w:val="nil"/>
      </w:pBdr>
      <w:rPr>
        <w:color w:val="000000"/>
      </w:rPr>
    </w:pPr>
    <w:r>
      <w:rPr>
        <w:noProof/>
      </w:rPr>
      <w:drawing>
        <wp:anchor distT="0" distB="0" distL="0" distR="0" simplePos="0" relativeHeight="251658240" behindDoc="1" locked="0" layoutInCell="1" hidden="0" allowOverlap="1" wp14:anchorId="637F1561" wp14:editId="1D640D85">
          <wp:simplePos x="0" y="0"/>
          <wp:positionH relativeFrom="column">
            <wp:posOffset>-718183</wp:posOffset>
          </wp:positionH>
          <wp:positionV relativeFrom="paragraph">
            <wp:posOffset>-269873</wp:posOffset>
          </wp:positionV>
          <wp:extent cx="7809876" cy="10165823"/>
          <wp:effectExtent l="0" t="0" r="0" b="0"/>
          <wp:wrapNone/>
          <wp:docPr id="518119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3"/>
      <w:tblW w:w="7229" w:type="dxa"/>
      <w:tblInd w:w="3309" w:type="dxa"/>
      <w:tblLayout w:type="fixed"/>
      <w:tblLook w:val="0400" w:firstRow="0" w:lastRow="0" w:firstColumn="0" w:lastColumn="0" w:noHBand="0" w:noVBand="1"/>
    </w:tblPr>
    <w:tblGrid>
      <w:gridCol w:w="2551"/>
      <w:gridCol w:w="4678"/>
    </w:tblGrid>
    <w:tr w:rsidR="00A44253" w14:paraId="7D4CC889" w14:textId="77777777">
      <w:tc>
        <w:tcPr>
          <w:tcW w:w="2551" w:type="dxa"/>
          <w:shd w:val="clear" w:color="auto" w:fill="auto"/>
          <w:vAlign w:val="center"/>
        </w:tcPr>
        <w:p w14:paraId="4DA6B3B5" w14:textId="77777777" w:rsidR="00A44253" w:rsidRDefault="00B34C9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678" w:type="dxa"/>
          <w:shd w:val="clear" w:color="auto" w:fill="auto"/>
          <w:vAlign w:val="center"/>
        </w:tcPr>
        <w:p w14:paraId="0F48F788" w14:textId="77777777" w:rsidR="00A44253" w:rsidRDefault="00B34C9B">
          <w:pPr>
            <w:tabs>
              <w:tab w:val="left" w:pos="3153"/>
            </w:tabs>
            <w:spacing w:after="0" w:line="240" w:lineRule="auto"/>
            <w:ind w:left="-45" w:right="1758"/>
            <w:jc w:val="both"/>
            <w:rPr>
              <w:rFonts w:ascii="Palatino Linotype" w:eastAsia="Palatino Linotype" w:hAnsi="Palatino Linotype" w:cs="Palatino Linotype"/>
              <w:b/>
            </w:rPr>
          </w:pPr>
          <w:r>
            <w:rPr>
              <w:rFonts w:ascii="Palatino Linotype" w:eastAsia="Palatino Linotype" w:hAnsi="Palatino Linotype" w:cs="Palatino Linotype"/>
              <w:b/>
            </w:rPr>
            <w:t>04019/INFOEM/IP/RR/2024</w:t>
          </w:r>
        </w:p>
      </w:tc>
    </w:tr>
    <w:tr w:rsidR="00A44253" w14:paraId="77252724" w14:textId="77777777">
      <w:trPr>
        <w:trHeight w:val="228"/>
      </w:trPr>
      <w:tc>
        <w:tcPr>
          <w:tcW w:w="2551" w:type="dxa"/>
          <w:shd w:val="clear" w:color="auto" w:fill="auto"/>
          <w:vAlign w:val="center"/>
        </w:tcPr>
        <w:p w14:paraId="05B62F74" w14:textId="77777777" w:rsidR="00A44253" w:rsidRDefault="00B34C9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678" w:type="dxa"/>
          <w:shd w:val="clear" w:color="auto" w:fill="auto"/>
          <w:vAlign w:val="center"/>
        </w:tcPr>
        <w:p w14:paraId="39471609" w14:textId="77777777" w:rsidR="00A44253" w:rsidRDefault="00B34C9B">
          <w:pPr>
            <w:spacing w:after="0" w:line="240" w:lineRule="auto"/>
            <w:ind w:left="-45" w:right="1758"/>
            <w:jc w:val="both"/>
            <w:rPr>
              <w:rFonts w:ascii="Palatino Linotype" w:eastAsia="Palatino Linotype" w:hAnsi="Palatino Linotype" w:cs="Palatino Linotype"/>
              <w:b/>
            </w:rPr>
          </w:pPr>
          <w:r>
            <w:rPr>
              <w:rFonts w:ascii="Palatino Linotype" w:eastAsia="Palatino Linotype" w:hAnsi="Palatino Linotype" w:cs="Palatino Linotype"/>
              <w:b/>
            </w:rPr>
            <w:t>Ayuntamiento de Jiqupilco</w:t>
          </w:r>
        </w:p>
      </w:tc>
    </w:tr>
    <w:tr w:rsidR="00A44253" w14:paraId="4BB6460D" w14:textId="77777777">
      <w:tc>
        <w:tcPr>
          <w:tcW w:w="2551" w:type="dxa"/>
          <w:shd w:val="clear" w:color="auto" w:fill="auto"/>
          <w:vAlign w:val="center"/>
        </w:tcPr>
        <w:p w14:paraId="675B820B" w14:textId="77777777" w:rsidR="00A44253" w:rsidRDefault="00B34C9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678" w:type="dxa"/>
          <w:shd w:val="clear" w:color="auto" w:fill="auto"/>
          <w:vAlign w:val="center"/>
        </w:tcPr>
        <w:p w14:paraId="3C98C47A" w14:textId="77777777" w:rsidR="00A44253" w:rsidRDefault="00B34C9B">
          <w:pPr>
            <w:spacing w:after="0" w:line="240" w:lineRule="auto"/>
            <w:ind w:left="-45"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2AAA3060" w14:textId="77777777" w:rsidR="00A44253" w:rsidRDefault="00B34C9B">
    <w:pPr>
      <w:pBdr>
        <w:top w:val="nil"/>
        <w:left w:val="nil"/>
        <w:bottom w:val="nil"/>
        <w:right w:val="nil"/>
        <w:between w:val="nil"/>
      </w:pBdr>
      <w:tabs>
        <w:tab w:val="center" w:pos="4252"/>
        <w:tab w:val="right" w:pos="8504"/>
        <w:tab w:val="left" w:pos="2326"/>
      </w:tabs>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8B2C" w14:textId="77777777" w:rsidR="00A44253" w:rsidRDefault="00B34C9B">
    <w:pPr>
      <w:widowControl w:val="0"/>
      <w:pBdr>
        <w:top w:val="nil"/>
        <w:left w:val="nil"/>
        <w:bottom w:val="nil"/>
        <w:right w:val="nil"/>
        <w:between w:val="nil"/>
      </w:pBdr>
      <w:spacing w:after="0" w:line="276" w:lineRule="auto"/>
      <w:rPr>
        <w:rFonts w:ascii="Cambria" w:eastAsia="Cambria" w:hAnsi="Cambria" w:cs="Cambria"/>
        <w:color w:val="000000"/>
        <w:sz w:val="16"/>
        <w:szCs w:val="16"/>
      </w:rPr>
    </w:pPr>
    <w:r>
      <w:rPr>
        <w:noProof/>
      </w:rPr>
      <w:drawing>
        <wp:anchor distT="0" distB="0" distL="0" distR="0" simplePos="0" relativeHeight="251659264" behindDoc="1" locked="0" layoutInCell="1" hidden="0" allowOverlap="1" wp14:anchorId="226774A5" wp14:editId="75F2A2CC">
          <wp:simplePos x="0" y="0"/>
          <wp:positionH relativeFrom="column">
            <wp:posOffset>-711198</wp:posOffset>
          </wp:positionH>
          <wp:positionV relativeFrom="paragraph">
            <wp:posOffset>-71118</wp:posOffset>
          </wp:positionV>
          <wp:extent cx="7809876" cy="10165823"/>
          <wp:effectExtent l="0" t="0" r="0" b="0"/>
          <wp:wrapNone/>
          <wp:docPr id="518119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4"/>
      <w:tblW w:w="5872" w:type="dxa"/>
      <w:tblInd w:w="2952" w:type="dxa"/>
      <w:tblLayout w:type="fixed"/>
      <w:tblLook w:val="0400" w:firstRow="0" w:lastRow="0" w:firstColumn="0" w:lastColumn="0" w:noHBand="0" w:noVBand="1"/>
    </w:tblPr>
    <w:tblGrid>
      <w:gridCol w:w="2551"/>
      <w:gridCol w:w="3321"/>
    </w:tblGrid>
    <w:tr w:rsidR="00A44253" w14:paraId="10118393" w14:textId="77777777">
      <w:tc>
        <w:tcPr>
          <w:tcW w:w="2551" w:type="dxa"/>
          <w:shd w:val="clear" w:color="auto" w:fill="auto"/>
          <w:vAlign w:val="center"/>
        </w:tcPr>
        <w:p w14:paraId="47EBF791" w14:textId="77777777" w:rsidR="00A44253" w:rsidRDefault="00B34C9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21" w:type="dxa"/>
          <w:shd w:val="clear" w:color="auto" w:fill="auto"/>
          <w:vAlign w:val="center"/>
        </w:tcPr>
        <w:p w14:paraId="428554C3" w14:textId="77777777" w:rsidR="00A44253" w:rsidRDefault="00B34C9B">
          <w:pPr>
            <w:tabs>
              <w:tab w:val="left" w:pos="3153"/>
            </w:tabs>
            <w:spacing w:after="0" w:line="240" w:lineRule="auto"/>
            <w:ind w:left="-45"/>
            <w:jc w:val="both"/>
            <w:rPr>
              <w:rFonts w:ascii="Palatino Linotype" w:eastAsia="Palatino Linotype" w:hAnsi="Palatino Linotype" w:cs="Palatino Linotype"/>
              <w:b/>
            </w:rPr>
          </w:pPr>
          <w:r>
            <w:rPr>
              <w:rFonts w:ascii="Palatino Linotype" w:eastAsia="Palatino Linotype" w:hAnsi="Palatino Linotype" w:cs="Palatino Linotype"/>
              <w:b/>
            </w:rPr>
            <w:t>04019/INFOEM/IP/RR/2024</w:t>
          </w:r>
        </w:p>
      </w:tc>
    </w:tr>
    <w:tr w:rsidR="00A44253" w14:paraId="74A3394A" w14:textId="77777777">
      <w:trPr>
        <w:trHeight w:val="130"/>
      </w:trPr>
      <w:tc>
        <w:tcPr>
          <w:tcW w:w="2551" w:type="dxa"/>
          <w:shd w:val="clear" w:color="auto" w:fill="auto"/>
          <w:vAlign w:val="center"/>
        </w:tcPr>
        <w:p w14:paraId="0AF163DD" w14:textId="77777777" w:rsidR="00A44253" w:rsidRDefault="00B34C9B">
          <w:pPr>
            <w:spacing w:after="0" w:line="240" w:lineRule="auto"/>
            <w:rPr>
              <w:rFonts w:ascii="Palatino Linotype" w:eastAsia="Palatino Linotype" w:hAnsi="Palatino Linotype" w:cs="Palatino Linotype"/>
              <w:b/>
            </w:rPr>
          </w:pPr>
          <w:bookmarkStart w:id="4" w:name="_heading=h.3znysh7" w:colFirst="0" w:colLast="0"/>
          <w:bookmarkEnd w:id="4"/>
          <w:r>
            <w:rPr>
              <w:rFonts w:ascii="Palatino Linotype" w:eastAsia="Palatino Linotype" w:hAnsi="Palatino Linotype" w:cs="Palatino Linotype"/>
              <w:b/>
            </w:rPr>
            <w:t>Recurrente:</w:t>
          </w:r>
        </w:p>
      </w:tc>
      <w:tc>
        <w:tcPr>
          <w:tcW w:w="3321" w:type="dxa"/>
          <w:shd w:val="clear" w:color="auto" w:fill="auto"/>
          <w:vAlign w:val="center"/>
        </w:tcPr>
        <w:p w14:paraId="6990D75F" w14:textId="30A4D9C0" w:rsidR="00A44253" w:rsidRDefault="00945930">
          <w:pPr>
            <w:spacing w:after="0" w:line="240" w:lineRule="auto"/>
            <w:ind w:left="-45" w:right="62"/>
            <w:jc w:val="both"/>
            <w:rPr>
              <w:rFonts w:ascii="Palatino Linotype" w:eastAsia="Palatino Linotype" w:hAnsi="Palatino Linotype" w:cs="Palatino Linotype"/>
              <w:b/>
            </w:rPr>
          </w:pPr>
          <w:r>
            <w:rPr>
              <w:rFonts w:ascii="Palatino Linotype" w:eastAsia="Palatino Linotype" w:hAnsi="Palatino Linotype" w:cs="Palatino Linotype"/>
              <w:b/>
            </w:rPr>
            <w:t xml:space="preserve">XXXX XXXXXX XXXXXXX XXXXXXXXX </w:t>
          </w:r>
        </w:p>
      </w:tc>
    </w:tr>
    <w:tr w:rsidR="00A44253" w14:paraId="5EB2B7DA" w14:textId="77777777">
      <w:trPr>
        <w:trHeight w:val="228"/>
      </w:trPr>
      <w:tc>
        <w:tcPr>
          <w:tcW w:w="2551" w:type="dxa"/>
          <w:shd w:val="clear" w:color="auto" w:fill="auto"/>
          <w:vAlign w:val="center"/>
        </w:tcPr>
        <w:p w14:paraId="34D9CDA9" w14:textId="77777777" w:rsidR="00A44253" w:rsidRDefault="00B34C9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21" w:type="dxa"/>
          <w:shd w:val="clear" w:color="auto" w:fill="auto"/>
          <w:vAlign w:val="center"/>
        </w:tcPr>
        <w:p w14:paraId="22B396F3" w14:textId="77777777" w:rsidR="00A44253" w:rsidRDefault="00B34C9B">
          <w:pPr>
            <w:spacing w:after="0" w:line="240" w:lineRule="auto"/>
            <w:ind w:left="-45" w:right="34"/>
            <w:jc w:val="both"/>
            <w:rPr>
              <w:rFonts w:ascii="Palatino Linotype" w:eastAsia="Palatino Linotype" w:hAnsi="Palatino Linotype" w:cs="Palatino Linotype"/>
              <w:b/>
            </w:rPr>
          </w:pPr>
          <w:r>
            <w:rPr>
              <w:rFonts w:ascii="Palatino Linotype" w:eastAsia="Palatino Linotype" w:hAnsi="Palatino Linotype" w:cs="Palatino Linotype"/>
              <w:b/>
            </w:rPr>
            <w:t>Ayuntamiento de Jiquipilco</w:t>
          </w:r>
        </w:p>
      </w:tc>
    </w:tr>
    <w:tr w:rsidR="00A44253" w14:paraId="7A358A67" w14:textId="77777777">
      <w:tc>
        <w:tcPr>
          <w:tcW w:w="2551" w:type="dxa"/>
          <w:shd w:val="clear" w:color="auto" w:fill="auto"/>
          <w:vAlign w:val="center"/>
        </w:tcPr>
        <w:p w14:paraId="0943FC4B" w14:textId="77777777" w:rsidR="00A44253" w:rsidRDefault="00B34C9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21" w:type="dxa"/>
          <w:shd w:val="clear" w:color="auto" w:fill="auto"/>
          <w:vAlign w:val="center"/>
        </w:tcPr>
        <w:p w14:paraId="10327169" w14:textId="77777777" w:rsidR="00A44253" w:rsidRDefault="00B34C9B">
          <w:pPr>
            <w:spacing w:after="0" w:line="240" w:lineRule="auto"/>
            <w:ind w:left="-45" w:right="1386"/>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730B99A3" w14:textId="77777777" w:rsidR="00A44253" w:rsidRDefault="00B34C9B">
    <w:pPr>
      <w:pBdr>
        <w:top w:val="nil"/>
        <w:left w:val="nil"/>
        <w:bottom w:val="nil"/>
        <w:right w:val="nil"/>
        <w:between w:val="nil"/>
      </w:pBdr>
      <w:tabs>
        <w:tab w:val="left" w:pos="3240"/>
      </w:tabs>
      <w:jc w:val="both"/>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D078" w14:textId="77777777" w:rsidR="00A44253" w:rsidRDefault="00A44253">
    <w:pPr>
      <w:widowControl w:val="0"/>
      <w:pBdr>
        <w:top w:val="nil"/>
        <w:left w:val="nil"/>
        <w:bottom w:val="nil"/>
        <w:right w:val="nil"/>
        <w:between w:val="nil"/>
      </w:pBdr>
      <w:spacing w:after="0" w:line="276" w:lineRule="auto"/>
      <w:rPr>
        <w:color w:val="000000"/>
      </w:rPr>
    </w:pPr>
  </w:p>
  <w:tbl>
    <w:tblPr>
      <w:tblStyle w:val="a5"/>
      <w:tblW w:w="6099" w:type="dxa"/>
      <w:tblInd w:w="2950" w:type="dxa"/>
      <w:tblLayout w:type="fixed"/>
      <w:tblLook w:val="0400" w:firstRow="0" w:lastRow="0" w:firstColumn="0" w:lastColumn="0" w:noHBand="0" w:noVBand="1"/>
    </w:tblPr>
    <w:tblGrid>
      <w:gridCol w:w="2541"/>
      <w:gridCol w:w="3558"/>
    </w:tblGrid>
    <w:tr w:rsidR="00A44253" w14:paraId="19AB9E26" w14:textId="77777777">
      <w:trPr>
        <w:trHeight w:val="496"/>
      </w:trPr>
      <w:tc>
        <w:tcPr>
          <w:tcW w:w="2541" w:type="dxa"/>
        </w:tcPr>
        <w:p w14:paraId="2230788B" w14:textId="77777777" w:rsidR="00A44253" w:rsidRDefault="00B34C9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58" w:type="dxa"/>
        </w:tcPr>
        <w:p w14:paraId="388D2405" w14:textId="77777777" w:rsidR="00A44253" w:rsidRDefault="00B34C9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00154/INFOEM/IP/RR/2024</w:t>
          </w:r>
        </w:p>
      </w:tc>
    </w:tr>
    <w:tr w:rsidR="00A44253" w14:paraId="79EF711A" w14:textId="77777777">
      <w:trPr>
        <w:trHeight w:val="223"/>
      </w:trPr>
      <w:tc>
        <w:tcPr>
          <w:tcW w:w="2541" w:type="dxa"/>
          <w:vAlign w:val="center"/>
        </w:tcPr>
        <w:p w14:paraId="67DED279" w14:textId="77777777" w:rsidR="00A44253" w:rsidRDefault="00B34C9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p w14:paraId="6A3D4E69" w14:textId="77777777" w:rsidR="00A44253" w:rsidRDefault="00A44253">
          <w:pPr>
            <w:spacing w:after="0" w:line="240" w:lineRule="auto"/>
            <w:rPr>
              <w:rFonts w:ascii="Palatino Linotype" w:eastAsia="Palatino Linotype" w:hAnsi="Palatino Linotype" w:cs="Palatino Linotype"/>
              <w:b/>
            </w:rPr>
          </w:pPr>
        </w:p>
        <w:p w14:paraId="4CF605E9" w14:textId="77777777" w:rsidR="00A44253" w:rsidRDefault="00A44253">
          <w:pPr>
            <w:spacing w:after="0" w:line="240" w:lineRule="auto"/>
            <w:rPr>
              <w:rFonts w:ascii="Palatino Linotype" w:eastAsia="Palatino Linotype" w:hAnsi="Palatino Linotype" w:cs="Palatino Linotype"/>
              <w:b/>
            </w:rPr>
          </w:pPr>
        </w:p>
        <w:p w14:paraId="154D877A" w14:textId="77777777" w:rsidR="00A44253" w:rsidRDefault="00A44253">
          <w:pPr>
            <w:spacing w:after="0" w:line="240" w:lineRule="auto"/>
            <w:rPr>
              <w:rFonts w:ascii="Palatino Linotype" w:eastAsia="Palatino Linotype" w:hAnsi="Palatino Linotype" w:cs="Palatino Linotype"/>
              <w:b/>
            </w:rPr>
          </w:pPr>
        </w:p>
        <w:p w14:paraId="5A52FFE7" w14:textId="77777777" w:rsidR="00A44253" w:rsidRDefault="00A44253">
          <w:pPr>
            <w:spacing w:after="0" w:line="240" w:lineRule="auto"/>
            <w:rPr>
              <w:rFonts w:ascii="Palatino Linotype" w:eastAsia="Palatino Linotype" w:hAnsi="Palatino Linotype" w:cs="Palatino Linotype"/>
              <w:b/>
            </w:rPr>
          </w:pPr>
        </w:p>
      </w:tc>
      <w:tc>
        <w:tcPr>
          <w:tcW w:w="3558" w:type="dxa"/>
          <w:vAlign w:val="center"/>
        </w:tcPr>
        <w:p w14:paraId="3D301DAE" w14:textId="77777777" w:rsidR="00A44253" w:rsidRDefault="00B34C9B">
          <w:pPr>
            <w:spacing w:after="0" w:line="240" w:lineRule="auto"/>
            <w:ind w:right="10"/>
            <w:jc w:val="both"/>
            <w:rPr>
              <w:rFonts w:ascii="Palatino Linotype" w:eastAsia="Palatino Linotype" w:hAnsi="Palatino Linotype" w:cs="Palatino Linotype"/>
              <w:b/>
            </w:rPr>
          </w:pPr>
          <w:r>
            <w:rPr>
              <w:rFonts w:ascii="Palatino Linotype" w:eastAsia="Palatino Linotype" w:hAnsi="Palatino Linotype" w:cs="Palatino Linotype"/>
              <w:b/>
            </w:rPr>
            <w:t>Ayuntamiento de Toluca</w:t>
          </w:r>
        </w:p>
      </w:tc>
    </w:tr>
    <w:tr w:rsidR="00A44253" w14:paraId="5B1F048C" w14:textId="77777777">
      <w:trPr>
        <w:trHeight w:val="249"/>
      </w:trPr>
      <w:tc>
        <w:tcPr>
          <w:tcW w:w="2541" w:type="dxa"/>
          <w:vAlign w:val="center"/>
        </w:tcPr>
        <w:p w14:paraId="71D2EAED" w14:textId="77777777" w:rsidR="00A44253" w:rsidRDefault="00B34C9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58" w:type="dxa"/>
          <w:vAlign w:val="center"/>
        </w:tcPr>
        <w:p w14:paraId="438B894C" w14:textId="77777777" w:rsidR="00A44253" w:rsidRDefault="00B34C9B">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4FFE43D4" w14:textId="77777777" w:rsidR="00A44253" w:rsidRDefault="00B34C9B">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60288" behindDoc="1" locked="0" layoutInCell="1" hidden="0" allowOverlap="1" wp14:anchorId="785C6989" wp14:editId="0C49AF86">
          <wp:simplePos x="0" y="0"/>
          <wp:positionH relativeFrom="column">
            <wp:posOffset>-669286</wp:posOffset>
          </wp:positionH>
          <wp:positionV relativeFrom="paragraph">
            <wp:posOffset>-1515740</wp:posOffset>
          </wp:positionV>
          <wp:extent cx="7809865" cy="10165715"/>
          <wp:effectExtent l="0" t="0" r="0" b="0"/>
          <wp:wrapNone/>
          <wp:docPr id="518119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E587" w14:textId="77777777" w:rsidR="00A44253" w:rsidRDefault="00A44253">
    <w:pPr>
      <w:widowControl w:val="0"/>
      <w:pBdr>
        <w:top w:val="nil"/>
        <w:left w:val="nil"/>
        <w:bottom w:val="nil"/>
        <w:right w:val="nil"/>
        <w:between w:val="nil"/>
      </w:pBdr>
      <w:spacing w:after="0" w:line="276" w:lineRule="auto"/>
      <w:rPr>
        <w:color w:val="000000"/>
      </w:rPr>
    </w:pPr>
  </w:p>
  <w:tbl>
    <w:tblPr>
      <w:tblStyle w:val="a6"/>
      <w:tblW w:w="5892" w:type="dxa"/>
      <w:tblInd w:w="3834" w:type="dxa"/>
      <w:tblLayout w:type="fixed"/>
      <w:tblLook w:val="0400" w:firstRow="0" w:lastRow="0" w:firstColumn="0" w:lastColumn="0" w:noHBand="0" w:noVBand="1"/>
    </w:tblPr>
    <w:tblGrid>
      <w:gridCol w:w="2551"/>
      <w:gridCol w:w="3341"/>
    </w:tblGrid>
    <w:tr w:rsidR="00A44253" w14:paraId="23DBB9CE" w14:textId="77777777">
      <w:tc>
        <w:tcPr>
          <w:tcW w:w="2551" w:type="dxa"/>
          <w:shd w:val="clear" w:color="auto" w:fill="auto"/>
          <w:vAlign w:val="center"/>
        </w:tcPr>
        <w:p w14:paraId="081921EC" w14:textId="77777777" w:rsidR="00A44253" w:rsidRDefault="00B34C9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41" w:type="dxa"/>
          <w:shd w:val="clear" w:color="auto" w:fill="auto"/>
          <w:vAlign w:val="center"/>
        </w:tcPr>
        <w:p w14:paraId="4736FEDA" w14:textId="77777777" w:rsidR="00A44253" w:rsidRDefault="00B34C9B">
          <w:pPr>
            <w:tabs>
              <w:tab w:val="left" w:pos="3153"/>
            </w:tabs>
            <w:spacing w:after="0" w:line="240" w:lineRule="auto"/>
            <w:ind w:left="-45" w:right="175"/>
            <w:jc w:val="both"/>
            <w:rPr>
              <w:rFonts w:ascii="Palatino Linotype" w:eastAsia="Palatino Linotype" w:hAnsi="Palatino Linotype" w:cs="Palatino Linotype"/>
              <w:b/>
            </w:rPr>
          </w:pPr>
          <w:r>
            <w:rPr>
              <w:rFonts w:ascii="Palatino Linotype" w:eastAsia="Palatino Linotype" w:hAnsi="Palatino Linotype" w:cs="Palatino Linotype"/>
              <w:b/>
            </w:rPr>
            <w:t>02429/INFOEM/IP/RR/2024</w:t>
          </w:r>
        </w:p>
      </w:tc>
    </w:tr>
    <w:tr w:rsidR="00A44253" w14:paraId="1E94312E" w14:textId="77777777">
      <w:trPr>
        <w:trHeight w:val="228"/>
      </w:trPr>
      <w:tc>
        <w:tcPr>
          <w:tcW w:w="2551" w:type="dxa"/>
          <w:shd w:val="clear" w:color="auto" w:fill="auto"/>
          <w:vAlign w:val="center"/>
        </w:tcPr>
        <w:p w14:paraId="3F73C7B0" w14:textId="77777777" w:rsidR="00A44253" w:rsidRDefault="00B34C9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p w14:paraId="57C07916" w14:textId="77777777" w:rsidR="00A44253" w:rsidRDefault="00A44253">
          <w:pPr>
            <w:spacing w:after="0" w:line="240" w:lineRule="auto"/>
            <w:rPr>
              <w:rFonts w:ascii="Palatino Linotype" w:eastAsia="Palatino Linotype" w:hAnsi="Palatino Linotype" w:cs="Palatino Linotype"/>
              <w:b/>
            </w:rPr>
          </w:pPr>
        </w:p>
      </w:tc>
      <w:tc>
        <w:tcPr>
          <w:tcW w:w="3341" w:type="dxa"/>
          <w:shd w:val="clear" w:color="auto" w:fill="auto"/>
          <w:vAlign w:val="center"/>
        </w:tcPr>
        <w:p w14:paraId="0DF22C25" w14:textId="77777777" w:rsidR="00A44253" w:rsidRDefault="00B34C9B">
          <w:pPr>
            <w:spacing w:after="0" w:line="240" w:lineRule="auto"/>
            <w:ind w:left="-45" w:right="175"/>
            <w:jc w:val="both"/>
            <w:rPr>
              <w:rFonts w:ascii="Palatino Linotype" w:eastAsia="Palatino Linotype" w:hAnsi="Palatino Linotype" w:cs="Palatino Linotype"/>
              <w:b/>
            </w:rPr>
          </w:pPr>
          <w:r>
            <w:rPr>
              <w:rFonts w:ascii="Palatino Linotype" w:eastAsia="Palatino Linotype" w:hAnsi="Palatino Linotype" w:cs="Palatino Linotype"/>
              <w:b/>
            </w:rPr>
            <w:t>Ayuntamiento de Ecatepec de Morelos.</w:t>
          </w:r>
        </w:p>
      </w:tc>
    </w:tr>
    <w:tr w:rsidR="00A44253" w14:paraId="240A3FD5" w14:textId="77777777">
      <w:tc>
        <w:tcPr>
          <w:tcW w:w="2551" w:type="dxa"/>
          <w:shd w:val="clear" w:color="auto" w:fill="auto"/>
          <w:vAlign w:val="center"/>
        </w:tcPr>
        <w:p w14:paraId="362F6BDB" w14:textId="77777777" w:rsidR="00A44253" w:rsidRDefault="00B34C9B">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41" w:type="dxa"/>
          <w:shd w:val="clear" w:color="auto" w:fill="auto"/>
          <w:vAlign w:val="center"/>
        </w:tcPr>
        <w:p w14:paraId="54498899" w14:textId="77777777" w:rsidR="00A44253" w:rsidRDefault="00B34C9B">
          <w:pPr>
            <w:spacing w:after="0" w:line="240" w:lineRule="auto"/>
            <w:ind w:left="-45" w:right="175"/>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383F9796" w14:textId="77777777" w:rsidR="00A44253" w:rsidRDefault="00B34C9B">
    <w:pPr>
      <w:widowControl w:val="0"/>
      <w:pBdr>
        <w:top w:val="nil"/>
        <w:left w:val="nil"/>
        <w:bottom w:val="nil"/>
        <w:right w:val="nil"/>
        <w:between w:val="nil"/>
      </w:pBdr>
      <w:rPr>
        <w:color w:val="000000"/>
      </w:rPr>
    </w:pPr>
    <w:r>
      <w:rPr>
        <w:noProof/>
      </w:rPr>
      <w:drawing>
        <wp:anchor distT="0" distB="0" distL="0" distR="0" simplePos="0" relativeHeight="251661312" behindDoc="1" locked="0" layoutInCell="1" hidden="0" allowOverlap="1" wp14:anchorId="01DF59D0" wp14:editId="70852187">
          <wp:simplePos x="0" y="0"/>
          <wp:positionH relativeFrom="column">
            <wp:posOffset>-713103</wp:posOffset>
          </wp:positionH>
          <wp:positionV relativeFrom="paragraph">
            <wp:posOffset>-1203323</wp:posOffset>
          </wp:positionV>
          <wp:extent cx="7809876" cy="10165823"/>
          <wp:effectExtent l="0" t="0" r="0" b="0"/>
          <wp:wrapNone/>
          <wp:docPr id="518119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p w14:paraId="7AA71AB9" w14:textId="77777777" w:rsidR="00A44253" w:rsidRDefault="00B34C9B">
    <w:pPr>
      <w:pBdr>
        <w:top w:val="nil"/>
        <w:left w:val="nil"/>
        <w:bottom w:val="nil"/>
        <w:right w:val="nil"/>
        <w:between w:val="nil"/>
      </w:pBdr>
      <w:tabs>
        <w:tab w:val="center" w:pos="4252"/>
        <w:tab w:val="right" w:pos="8504"/>
        <w:tab w:val="left" w:pos="2326"/>
      </w:tabs>
      <w:rPr>
        <w:color w:val="000000"/>
      </w:rPr>
    </w:pPr>
    <w:r>
      <w:rPr>
        <w:color w:val="000000"/>
      </w:rPr>
      <w:tab/>
    </w:r>
  </w:p>
  <w:p w14:paraId="77B9251D" w14:textId="77777777" w:rsidR="00A44253" w:rsidRDefault="00A4425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789A"/>
    <w:multiLevelType w:val="multilevel"/>
    <w:tmpl w:val="EAC06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713196"/>
    <w:multiLevelType w:val="multilevel"/>
    <w:tmpl w:val="E7BA8D2C"/>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C93CF2"/>
    <w:multiLevelType w:val="multilevel"/>
    <w:tmpl w:val="9F029870"/>
    <w:lvl w:ilvl="0">
      <w:start w:val="1"/>
      <w:numFmt w:val="decimal"/>
      <w:lvlText w:val="%1."/>
      <w:lvlJc w:val="left"/>
      <w:pPr>
        <w:ind w:left="2062"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595BD5"/>
    <w:multiLevelType w:val="multilevel"/>
    <w:tmpl w:val="6B90CF7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0A3383"/>
    <w:multiLevelType w:val="multilevel"/>
    <w:tmpl w:val="C14E3EB8"/>
    <w:lvl w:ilvl="0">
      <w:start w:val="100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E120B2"/>
    <w:multiLevelType w:val="multilevel"/>
    <w:tmpl w:val="F9B07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73363C"/>
    <w:multiLevelType w:val="multilevel"/>
    <w:tmpl w:val="ABE05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253"/>
    <w:rsid w:val="006B22B5"/>
    <w:rsid w:val="00747C75"/>
    <w:rsid w:val="00945930"/>
    <w:rsid w:val="00A44253"/>
    <w:rsid w:val="00B34C9B"/>
    <w:rsid w:val="00D41E39"/>
    <w:rsid w:val="00F70B16"/>
    <w:rsid w:val="00FD5C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1A9F"/>
  <w15:docId w15:val="{00C08072-DCAA-4925-98FF-4C33E9AE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C8C"/>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DB3C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C8C"/>
    <w:rPr>
      <w:rFonts w:ascii="Calibri" w:eastAsia="Calibri" w:hAnsi="Calibri" w:cs="Calibri"/>
      <w:lang w:eastAsia="es-MX"/>
    </w:rPr>
  </w:style>
  <w:style w:type="paragraph" w:styleId="Piedepgina">
    <w:name w:val="footer"/>
    <w:basedOn w:val="Normal"/>
    <w:link w:val="PiedepginaCar"/>
    <w:uiPriority w:val="99"/>
    <w:unhideWhenUsed/>
    <w:rsid w:val="00DB3C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C8C"/>
    <w:rPr>
      <w:rFonts w:ascii="Calibri" w:eastAsia="Calibri" w:hAnsi="Calibri" w:cs="Calibri"/>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D6C2D"/>
    <w:pPr>
      <w:spacing w:after="200" w:line="276" w:lineRule="auto"/>
      <w:ind w:left="720"/>
      <w:contextualSpacing/>
    </w:pPr>
    <w:rPr>
      <w:rFonts w:eastAsia="Times New Roman" w:cs="Times New Roman"/>
    </w:rPr>
  </w:style>
  <w:style w:type="character" w:styleId="Hipervnculo">
    <w:name w:val="Hyperlink"/>
    <w:basedOn w:val="Fuentedeprrafopredeter"/>
    <w:uiPriority w:val="99"/>
    <w:unhideWhenUsed/>
    <w:rsid w:val="001D6C2D"/>
    <w:rPr>
      <w:color w:val="0000FF"/>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D6C2D"/>
    <w:rPr>
      <w:rFonts w:ascii="Calibri" w:eastAsia="Times New Roman" w:hAnsi="Calibri" w:cs="Times New Roman"/>
      <w:lang w:eastAsia="es-MX"/>
    </w:rPr>
  </w:style>
  <w:style w:type="paragraph" w:styleId="Listaconvietas3">
    <w:name w:val="List Bullet 3"/>
    <w:basedOn w:val="Normal"/>
    <w:uiPriority w:val="99"/>
    <w:unhideWhenUsed/>
    <w:rsid w:val="00C62FEB"/>
    <w:pPr>
      <w:numPr>
        <w:numId w:val="7"/>
      </w:numPr>
      <w:spacing w:after="0" w:line="240" w:lineRule="auto"/>
      <w:contextualSpacing/>
    </w:pPr>
    <w:rPr>
      <w:rFonts w:ascii="Times New Roman" w:eastAsia="Times New Roman" w:hAnsi="Times New Roman" w:cs="Times New Roman"/>
      <w:sz w:val="24"/>
      <w:szCs w:val="24"/>
      <w:lang w:val="es-ES"/>
    </w:rPr>
  </w:style>
  <w:style w:type="paragraph" w:styleId="NormalWeb">
    <w:name w:val="Normal (Web)"/>
    <w:basedOn w:val="Normal"/>
    <w:uiPriority w:val="99"/>
    <w:semiHidden/>
    <w:unhideWhenUsed/>
    <w:rsid w:val="00D82D5B"/>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604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y6B2OU9KfJLilhIEoIEiB+vcTw==">CgMxLjAyCGguZ2pkZ3hzMgloLjMwajB6bGwyCWguM2R5NnZrbTIJaC4yZXQ5MnAwMgloLjFmb2I5dGUyCWguM3pueXNoNzgAciExbUNYRDNrd1I2bDJzSWo4MF9WNS03c3VZTWMzWFI1cVY=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6058</Words>
  <Characters>33323</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2024-08-23T17:14:00Z</cp:lastPrinted>
  <dcterms:created xsi:type="dcterms:W3CDTF">2024-08-27T23:44:00Z</dcterms:created>
  <dcterms:modified xsi:type="dcterms:W3CDTF">2024-08-27T23:44:00Z</dcterms:modified>
</cp:coreProperties>
</file>