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34867" w14:textId="77777777" w:rsidR="007675E2" w:rsidRDefault="007675E2" w:rsidP="00DA2D9B">
      <w:pPr>
        <w:tabs>
          <w:tab w:val="left" w:pos="8931"/>
        </w:tabs>
        <w:spacing w:after="0" w:line="360" w:lineRule="auto"/>
        <w:contextualSpacing/>
        <w:rPr>
          <w:rFonts w:cs="Tahoma"/>
          <w:bCs/>
        </w:rPr>
      </w:pPr>
    </w:p>
    <w:p w14:paraId="3530C0FA" w14:textId="39483202" w:rsidR="00DB3DC5" w:rsidRPr="00F703C9" w:rsidRDefault="00DB3DC5" w:rsidP="00DA2D9B">
      <w:pPr>
        <w:tabs>
          <w:tab w:val="left" w:pos="8931"/>
        </w:tabs>
        <w:spacing w:after="0" w:line="360" w:lineRule="auto"/>
        <w:contextualSpacing/>
        <w:rPr>
          <w:rFonts w:eastAsia="Calibri" w:cs="Tahoma"/>
          <w:lang w:val="es-ES"/>
        </w:rPr>
      </w:pPr>
      <w:r w:rsidRPr="00F703C9">
        <w:rPr>
          <w:rFonts w:cs="Tahoma"/>
          <w:bCs/>
        </w:rPr>
        <w:t xml:space="preserve">Resolución del Pleno del Instituto de Transparencia, Acceso a la Información Pública y Protección de Datos Personales del Estado de México y Municipios, con domicilio en Metepec, </w:t>
      </w:r>
      <w:r w:rsidRPr="00F703C9">
        <w:rPr>
          <w:rFonts w:eastAsia="Calibri" w:cs="Tahoma"/>
          <w:lang w:val="es-ES"/>
        </w:rPr>
        <w:t xml:space="preserve">Estado de México, de fecha </w:t>
      </w:r>
      <w:r w:rsidR="009777A3" w:rsidRPr="00F703C9">
        <w:rPr>
          <w:rFonts w:eastAsia="Calibri" w:cs="Tahoma"/>
          <w:lang w:val="es-ES"/>
        </w:rPr>
        <w:t>seis de noviembre</w:t>
      </w:r>
      <w:r w:rsidRPr="00F703C9">
        <w:rPr>
          <w:rFonts w:eastAsia="Calibri" w:cs="Tahoma"/>
          <w:lang w:val="es-ES"/>
        </w:rPr>
        <w:t xml:space="preserve"> de dos mil veinti</w:t>
      </w:r>
      <w:r w:rsidR="00B34D94" w:rsidRPr="00F703C9">
        <w:rPr>
          <w:rFonts w:eastAsia="Calibri" w:cs="Tahoma"/>
          <w:lang w:val="es-ES"/>
        </w:rPr>
        <w:t>cuatro</w:t>
      </w:r>
      <w:r w:rsidRPr="00F703C9">
        <w:rPr>
          <w:rFonts w:eastAsia="Calibri" w:cs="Tahoma"/>
          <w:lang w:val="es-ES"/>
        </w:rPr>
        <w:t xml:space="preserve">. </w:t>
      </w:r>
    </w:p>
    <w:p w14:paraId="2A681408" w14:textId="77777777" w:rsidR="00DB3DC5" w:rsidRPr="00F703C9" w:rsidRDefault="00DB3DC5" w:rsidP="00DA2D9B">
      <w:pPr>
        <w:spacing w:after="0" w:line="360" w:lineRule="auto"/>
        <w:contextualSpacing/>
        <w:rPr>
          <w:rFonts w:eastAsia="Calibri" w:cs="Tahoma"/>
          <w:b/>
          <w:bCs/>
          <w:lang w:val="es-ES"/>
        </w:rPr>
      </w:pPr>
    </w:p>
    <w:p w14:paraId="279D79D8" w14:textId="77777777" w:rsidR="00A831E0" w:rsidRDefault="00DB3DC5" w:rsidP="00DA2D9B">
      <w:pPr>
        <w:spacing w:after="0" w:line="360" w:lineRule="auto"/>
        <w:contextualSpacing/>
        <w:rPr>
          <w:rFonts w:eastAsia="Calibri" w:cs="Tahoma"/>
          <w:b/>
        </w:rPr>
      </w:pPr>
      <w:r w:rsidRPr="00F703C9">
        <w:rPr>
          <w:rFonts w:eastAsia="Calibri" w:cs="Tahoma"/>
          <w:b/>
          <w:bCs/>
          <w:lang w:val="es-ES"/>
        </w:rPr>
        <w:t xml:space="preserve">VISTO </w:t>
      </w:r>
      <w:r w:rsidRPr="00F703C9">
        <w:rPr>
          <w:rFonts w:eastAsia="Calibri" w:cs="Tahoma"/>
          <w:lang w:val="es-ES"/>
        </w:rPr>
        <w:t>el expediente electrónico conformado con motivo de</w:t>
      </w:r>
      <w:r w:rsidR="00F26F2D" w:rsidRPr="00F703C9">
        <w:rPr>
          <w:rFonts w:eastAsia="Calibri" w:cs="Tahoma"/>
          <w:lang w:val="es-ES"/>
        </w:rPr>
        <w:t xml:space="preserve"> los</w:t>
      </w:r>
      <w:r w:rsidRPr="00F703C9">
        <w:rPr>
          <w:rFonts w:eastAsia="Calibri" w:cs="Tahoma"/>
          <w:lang w:val="es-ES"/>
        </w:rPr>
        <w:t xml:space="preserve"> Recurso</w:t>
      </w:r>
      <w:r w:rsidR="00F26F2D" w:rsidRPr="00F703C9">
        <w:rPr>
          <w:rFonts w:eastAsia="Calibri" w:cs="Tahoma"/>
          <w:lang w:val="es-ES"/>
        </w:rPr>
        <w:t>s</w:t>
      </w:r>
      <w:r w:rsidRPr="00F703C9">
        <w:rPr>
          <w:rFonts w:eastAsia="Calibri" w:cs="Tahoma"/>
          <w:lang w:val="es-ES"/>
        </w:rPr>
        <w:t xml:space="preserve"> de Revisión </w:t>
      </w:r>
      <w:r w:rsidR="00AF2068" w:rsidRPr="00DD151E">
        <w:rPr>
          <w:b/>
        </w:rPr>
        <w:t>0</w:t>
      </w:r>
      <w:r w:rsidR="009777A3" w:rsidRPr="00DD151E">
        <w:rPr>
          <w:b/>
        </w:rPr>
        <w:t>5</w:t>
      </w:r>
      <w:r w:rsidR="00C9544F" w:rsidRPr="00DD151E">
        <w:rPr>
          <w:b/>
        </w:rPr>
        <w:t>481</w:t>
      </w:r>
      <w:r w:rsidR="00AF2068" w:rsidRPr="00DD151E">
        <w:rPr>
          <w:b/>
        </w:rPr>
        <w:t>/INFOEM/IP/RR/2024</w:t>
      </w:r>
      <w:r w:rsidR="00C9544F" w:rsidRPr="00DD151E">
        <w:rPr>
          <w:b/>
        </w:rPr>
        <w:t xml:space="preserve"> y </w:t>
      </w:r>
      <w:r w:rsidR="009777A3" w:rsidRPr="00DD151E">
        <w:rPr>
          <w:rFonts w:eastAsia="Calibri" w:cs="Tahoma"/>
          <w:b/>
        </w:rPr>
        <w:t>05</w:t>
      </w:r>
      <w:r w:rsidR="00C9544F" w:rsidRPr="00DD151E">
        <w:rPr>
          <w:rFonts w:eastAsia="Calibri" w:cs="Tahoma"/>
          <w:b/>
        </w:rPr>
        <w:t>482</w:t>
      </w:r>
      <w:r w:rsidR="009777A3" w:rsidRPr="00DD151E">
        <w:rPr>
          <w:rFonts w:eastAsia="Calibri" w:cs="Tahoma"/>
          <w:b/>
        </w:rPr>
        <w:t>/INFOEM/IP/RR/2024</w:t>
      </w:r>
      <w:r w:rsidR="009777A3" w:rsidRPr="00F703C9">
        <w:rPr>
          <w:rFonts w:eastAsia="Calibri" w:cs="Tahoma"/>
        </w:rPr>
        <w:t>,</w:t>
      </w:r>
      <w:r w:rsidR="00C9544F" w:rsidRPr="00F703C9">
        <w:rPr>
          <w:rFonts w:eastAsia="Calibri" w:cs="Tahoma"/>
        </w:rPr>
        <w:t xml:space="preserve"> </w:t>
      </w:r>
      <w:r w:rsidRPr="00F703C9">
        <w:rPr>
          <w:rFonts w:eastAsia="Calibri" w:cs="Tahoma"/>
        </w:rPr>
        <w:t>interpuesto</w:t>
      </w:r>
      <w:r w:rsidR="00B83C05" w:rsidRPr="00F703C9">
        <w:rPr>
          <w:rFonts w:eastAsia="Calibri" w:cs="Tahoma"/>
        </w:rPr>
        <w:t>s</w:t>
      </w:r>
      <w:r w:rsidRPr="00F703C9">
        <w:rPr>
          <w:rFonts w:eastAsia="Calibri" w:cs="Tahoma"/>
        </w:rPr>
        <w:t xml:space="preserve"> por</w:t>
      </w:r>
      <w:r w:rsidR="00F26F2D" w:rsidRPr="00F703C9">
        <w:rPr>
          <w:rFonts w:eastAsia="Calibri" w:cs="Tahoma"/>
        </w:rPr>
        <w:t xml:space="preserve"> </w:t>
      </w:r>
      <w:r w:rsidR="00A831E0" w:rsidRPr="00A831E0">
        <w:rPr>
          <w:rFonts w:eastAsia="Calibri" w:cs="Tahoma"/>
          <w:b/>
          <w:highlight w:val="black"/>
        </w:rPr>
        <w:t>XXXXXXXXXX</w:t>
      </w:r>
    </w:p>
    <w:p w14:paraId="75D54F3E" w14:textId="3D3497C5" w:rsidR="00DB3DC5" w:rsidRPr="00F703C9" w:rsidRDefault="00A831E0" w:rsidP="00DA2D9B">
      <w:pPr>
        <w:spacing w:after="0" w:line="360" w:lineRule="auto"/>
        <w:contextualSpacing/>
        <w:rPr>
          <w:rFonts w:cs="Tahoma"/>
          <w:color w:val="0D0D0D" w:themeColor="text1" w:themeTint="F2"/>
        </w:rPr>
      </w:pPr>
      <w:r w:rsidRPr="00A831E0">
        <w:rPr>
          <w:rFonts w:eastAsia="Calibri" w:cs="Tahoma"/>
          <w:b/>
          <w:highlight w:val="black"/>
        </w:rPr>
        <w:t>XXXXXXXXXXXXXX</w:t>
      </w:r>
      <w:r w:rsidR="009777A3" w:rsidRPr="00F703C9">
        <w:rPr>
          <w:rFonts w:eastAsia="Calibri" w:cs="Tahoma"/>
        </w:rPr>
        <w:t xml:space="preserve">, en lo sucesivo, </w:t>
      </w:r>
      <w:r w:rsidR="00B83C05" w:rsidRPr="00F703C9">
        <w:rPr>
          <w:rFonts w:eastAsia="Calibri" w:cs="Tahoma"/>
        </w:rPr>
        <w:t>la persona</w:t>
      </w:r>
      <w:r w:rsidR="00DB3DC5" w:rsidRPr="00F703C9">
        <w:rPr>
          <w:rFonts w:eastAsia="Calibri" w:cs="Tahoma"/>
        </w:rPr>
        <w:t xml:space="preserve"> </w:t>
      </w:r>
      <w:r w:rsidR="00DB3DC5" w:rsidRPr="00F703C9">
        <w:rPr>
          <w:rFonts w:cs="Tahoma"/>
          <w:color w:val="0D0D0D" w:themeColor="text1" w:themeTint="F2"/>
        </w:rPr>
        <w:t xml:space="preserve">Recurrente o Particular, en contra de la respuesta del Sujeto Obligado, </w:t>
      </w:r>
      <w:r w:rsidR="00AF2068" w:rsidRPr="00DD151E">
        <w:rPr>
          <w:b/>
          <w:bCs/>
          <w:color w:val="000000"/>
          <w:szCs w:val="14"/>
        </w:rPr>
        <w:t>Ayuntamiento de</w:t>
      </w:r>
      <w:r w:rsidR="009777A3" w:rsidRPr="00DD151E">
        <w:rPr>
          <w:b/>
          <w:bCs/>
          <w:color w:val="000000"/>
          <w:szCs w:val="14"/>
        </w:rPr>
        <w:t xml:space="preserve"> Valle de Chalco Solidaridad</w:t>
      </w:r>
      <w:r w:rsidR="00DB3DC5" w:rsidRPr="00F703C9">
        <w:rPr>
          <w:rFonts w:cs="Tahoma"/>
          <w:color w:val="0D0D0D" w:themeColor="text1" w:themeTint="F2"/>
        </w:rPr>
        <w:t>, a la</w:t>
      </w:r>
      <w:r w:rsidR="00345BB5" w:rsidRPr="00F703C9">
        <w:rPr>
          <w:rFonts w:cs="Tahoma"/>
          <w:color w:val="0D0D0D" w:themeColor="text1" w:themeTint="F2"/>
        </w:rPr>
        <w:t>s</w:t>
      </w:r>
      <w:r w:rsidR="00DB3DC5" w:rsidRPr="00F703C9">
        <w:rPr>
          <w:rFonts w:cs="Tahoma"/>
          <w:color w:val="0D0D0D" w:themeColor="text1" w:themeTint="F2"/>
        </w:rPr>
        <w:t xml:space="preserve"> solicitud</w:t>
      </w:r>
      <w:r w:rsidR="00345BB5" w:rsidRPr="00F703C9">
        <w:rPr>
          <w:rFonts w:cs="Tahoma"/>
          <w:color w:val="0D0D0D" w:themeColor="text1" w:themeTint="F2"/>
        </w:rPr>
        <w:t>es</w:t>
      </w:r>
      <w:r w:rsidR="00DB3DC5" w:rsidRPr="00F703C9">
        <w:rPr>
          <w:rFonts w:cs="Tahoma"/>
          <w:color w:val="0D0D0D" w:themeColor="text1" w:themeTint="F2"/>
        </w:rPr>
        <w:t xml:space="preserve"> de acceso a la información pública</w:t>
      </w:r>
      <w:r w:rsidR="00DB3DC5" w:rsidRPr="00F703C9">
        <w:rPr>
          <w:rFonts w:ascii="Verdana" w:hAnsi="Verdana"/>
          <w:b/>
          <w:bCs/>
          <w:color w:val="FF0000"/>
        </w:rPr>
        <w:t xml:space="preserve"> </w:t>
      </w:r>
      <w:r w:rsidR="00235D0D" w:rsidRPr="00F703C9">
        <w:t>00</w:t>
      </w:r>
      <w:r w:rsidR="00C9544F" w:rsidRPr="00F703C9">
        <w:t>441</w:t>
      </w:r>
      <w:r w:rsidR="00235D0D" w:rsidRPr="00F703C9">
        <w:t>/</w:t>
      </w:r>
      <w:r w:rsidR="009777A3" w:rsidRPr="00F703C9">
        <w:t>VACHASO</w:t>
      </w:r>
      <w:r w:rsidR="00235D0D" w:rsidRPr="00F703C9">
        <w:t>/IP/2024</w:t>
      </w:r>
      <w:r w:rsidR="00C9544F" w:rsidRPr="00F703C9">
        <w:t xml:space="preserve"> y</w:t>
      </w:r>
      <w:r w:rsidR="00235D0D" w:rsidRPr="00F703C9">
        <w:t xml:space="preserve"> </w:t>
      </w:r>
      <w:r w:rsidR="009777A3" w:rsidRPr="00F703C9">
        <w:t>00</w:t>
      </w:r>
      <w:r w:rsidR="00C9544F" w:rsidRPr="00F703C9">
        <w:t>442</w:t>
      </w:r>
      <w:r w:rsidR="009777A3" w:rsidRPr="00F703C9">
        <w:t>/VACHASO/IP/2024</w:t>
      </w:r>
      <w:r w:rsidR="004C37C3" w:rsidRPr="00F703C9">
        <w:t xml:space="preserve">, </w:t>
      </w:r>
      <w:r w:rsidR="00DB3DC5" w:rsidRPr="00F703C9">
        <w:rPr>
          <w:rFonts w:cs="Tahoma"/>
          <w:color w:val="0D0D0D" w:themeColor="text1" w:themeTint="F2"/>
        </w:rPr>
        <w:t>se emite</w:t>
      </w:r>
      <w:r w:rsidR="00DB3DC5" w:rsidRPr="00F703C9">
        <w:rPr>
          <w:rFonts w:cs="Tahoma"/>
          <w:bCs/>
          <w:color w:val="0D0D0D" w:themeColor="text1" w:themeTint="F2"/>
        </w:rPr>
        <w:t xml:space="preserve"> la presente Resolución, con base en los Antecedentes y Considerandos que se exponen a continuación:</w:t>
      </w:r>
    </w:p>
    <w:p w14:paraId="134E03A6" w14:textId="77777777" w:rsidR="00DB3DC5" w:rsidRPr="00F703C9" w:rsidRDefault="00DB3DC5" w:rsidP="00DA2D9B">
      <w:pPr>
        <w:spacing w:after="0" w:line="360" w:lineRule="auto"/>
        <w:contextualSpacing/>
        <w:rPr>
          <w:rFonts w:eastAsia="Calibri" w:cs="Tahoma"/>
          <w:b/>
          <w:bCs/>
          <w:lang w:val="es-ES"/>
        </w:rPr>
      </w:pPr>
    </w:p>
    <w:p w14:paraId="32EEB02D" w14:textId="685749E3" w:rsidR="00DB3DC5" w:rsidRPr="00F703C9" w:rsidRDefault="00DB3DC5" w:rsidP="00DA2D9B">
      <w:pPr>
        <w:spacing w:after="0" w:line="360" w:lineRule="auto"/>
        <w:contextualSpacing/>
        <w:jc w:val="center"/>
        <w:rPr>
          <w:rFonts w:eastAsia="Calibri" w:cs="Tahoma"/>
          <w:b/>
          <w:bCs/>
          <w:lang w:val="es-ES"/>
        </w:rPr>
      </w:pPr>
      <w:r w:rsidRPr="00F703C9">
        <w:rPr>
          <w:rFonts w:eastAsia="Calibri" w:cs="Tahoma"/>
          <w:b/>
          <w:bCs/>
          <w:lang w:val="es-ES"/>
        </w:rPr>
        <w:t>A N T E C E D E N T E S</w:t>
      </w:r>
    </w:p>
    <w:p w14:paraId="09E98305" w14:textId="77777777" w:rsidR="00DB3DC5" w:rsidRPr="00F703C9" w:rsidRDefault="00DB3DC5" w:rsidP="00DA2D9B">
      <w:pPr>
        <w:spacing w:after="0" w:line="360" w:lineRule="auto"/>
        <w:contextualSpacing/>
        <w:jc w:val="center"/>
        <w:rPr>
          <w:rFonts w:eastAsia="Calibri" w:cs="Tahoma"/>
          <w:b/>
          <w:bCs/>
          <w:lang w:val="es-ES"/>
        </w:rPr>
      </w:pPr>
    </w:p>
    <w:p w14:paraId="5E541408" w14:textId="32A9C54B" w:rsidR="00DB3DC5" w:rsidRPr="00F703C9" w:rsidRDefault="00DB3DC5" w:rsidP="00DA2D9B">
      <w:pPr>
        <w:spacing w:after="0" w:line="360" w:lineRule="auto"/>
        <w:contextualSpacing/>
        <w:rPr>
          <w:rFonts w:eastAsia="Calibri" w:cs="Tahoma"/>
          <w:b/>
          <w:bCs/>
          <w:lang w:val="es-ES"/>
        </w:rPr>
      </w:pPr>
      <w:r w:rsidRPr="00F703C9">
        <w:rPr>
          <w:rFonts w:eastAsia="Calibri" w:cs="Tahoma"/>
          <w:b/>
          <w:bCs/>
          <w:lang w:val="es-ES"/>
        </w:rPr>
        <w:t>I. Presentación de la</w:t>
      </w:r>
      <w:r w:rsidR="00345BB5" w:rsidRPr="00F703C9">
        <w:rPr>
          <w:rFonts w:eastAsia="Calibri" w:cs="Tahoma"/>
          <w:b/>
          <w:bCs/>
          <w:lang w:val="es-ES"/>
        </w:rPr>
        <w:t>s</w:t>
      </w:r>
      <w:r w:rsidRPr="00F703C9">
        <w:rPr>
          <w:rFonts w:eastAsia="Calibri" w:cs="Tahoma"/>
          <w:b/>
          <w:bCs/>
          <w:lang w:val="es-ES"/>
        </w:rPr>
        <w:t xml:space="preserve"> solicitud</w:t>
      </w:r>
      <w:r w:rsidR="00345BB5" w:rsidRPr="00F703C9">
        <w:rPr>
          <w:rFonts w:eastAsia="Calibri" w:cs="Tahoma"/>
          <w:b/>
          <w:bCs/>
          <w:lang w:val="es-ES"/>
        </w:rPr>
        <w:t>es</w:t>
      </w:r>
      <w:r w:rsidRPr="00F703C9">
        <w:rPr>
          <w:rFonts w:eastAsia="Calibri" w:cs="Tahoma"/>
          <w:b/>
          <w:bCs/>
          <w:lang w:val="es-ES"/>
        </w:rPr>
        <w:t xml:space="preserve"> de información</w:t>
      </w:r>
    </w:p>
    <w:p w14:paraId="5A91601B" w14:textId="77777777" w:rsidR="00DB3DC5" w:rsidRPr="00F703C9" w:rsidRDefault="00DB3DC5" w:rsidP="00DA2D9B">
      <w:pPr>
        <w:spacing w:after="0" w:line="360" w:lineRule="auto"/>
        <w:contextualSpacing/>
        <w:rPr>
          <w:rFonts w:eastAsia="Calibri" w:cs="Tahoma"/>
          <w:b/>
          <w:bCs/>
          <w:lang w:val="es-ES"/>
        </w:rPr>
      </w:pPr>
    </w:p>
    <w:p w14:paraId="1620C68D" w14:textId="2C9BD687" w:rsidR="00DB3DC5" w:rsidRPr="00F703C9" w:rsidRDefault="00B83C05" w:rsidP="00DA2D9B">
      <w:pPr>
        <w:spacing w:after="0" w:line="360" w:lineRule="auto"/>
        <w:contextualSpacing/>
        <w:rPr>
          <w:rFonts w:cs="Tahoma"/>
        </w:rPr>
      </w:pPr>
      <w:r w:rsidRPr="00F703C9">
        <w:rPr>
          <w:rFonts w:eastAsia="Calibri" w:cs="Tahoma"/>
          <w:lang w:val="es-ES"/>
        </w:rPr>
        <w:t xml:space="preserve">El </w:t>
      </w:r>
      <w:r w:rsidR="003C6FDF" w:rsidRPr="00F703C9">
        <w:rPr>
          <w:rFonts w:eastAsia="Calibri" w:cs="Tahoma"/>
          <w:lang w:val="es-ES"/>
        </w:rPr>
        <w:t xml:space="preserve">cinco de agosto </w:t>
      </w:r>
      <w:r w:rsidR="00654698" w:rsidRPr="00F703C9">
        <w:rPr>
          <w:rFonts w:eastAsia="Calibri" w:cs="Tahoma"/>
          <w:lang w:val="es-ES"/>
        </w:rPr>
        <w:t>de dos mil veinticuatro</w:t>
      </w:r>
      <w:r w:rsidR="00DB3DC5" w:rsidRPr="00F703C9">
        <w:rPr>
          <w:rFonts w:eastAsia="Calibri" w:cs="Tahoma"/>
          <w:lang w:val="es-ES"/>
        </w:rPr>
        <w:t xml:space="preserve">, el Particular presentó </w:t>
      </w:r>
      <w:r w:rsidR="003C6FDF" w:rsidRPr="00F703C9">
        <w:rPr>
          <w:rFonts w:eastAsia="Calibri" w:cs="Tahoma"/>
          <w:lang w:val="es-ES"/>
        </w:rPr>
        <w:t>do</w:t>
      </w:r>
      <w:r w:rsidR="00C9544F" w:rsidRPr="00F703C9">
        <w:rPr>
          <w:rFonts w:eastAsia="Calibri" w:cs="Tahoma"/>
          <w:lang w:val="es-ES"/>
        </w:rPr>
        <w:t>s</w:t>
      </w:r>
      <w:r w:rsidR="00DB3DC5" w:rsidRPr="00F703C9">
        <w:rPr>
          <w:rFonts w:eastAsia="Calibri" w:cs="Tahoma"/>
          <w:lang w:val="es-ES"/>
        </w:rPr>
        <w:t xml:space="preserve"> solicitud</w:t>
      </w:r>
      <w:r w:rsidR="00345BB5" w:rsidRPr="00F703C9">
        <w:rPr>
          <w:rFonts w:eastAsia="Calibri" w:cs="Tahoma"/>
          <w:lang w:val="es-ES"/>
        </w:rPr>
        <w:t>es</w:t>
      </w:r>
      <w:r w:rsidR="00DB3DC5" w:rsidRPr="00F703C9">
        <w:rPr>
          <w:rFonts w:eastAsia="Calibri" w:cs="Tahoma"/>
          <w:lang w:val="es-ES"/>
        </w:rPr>
        <w:t xml:space="preserve"> de acceso a la información, a través del Sistema de Acceso a la Información Mexiquense (SAIMEX), ante </w:t>
      </w:r>
      <w:r w:rsidR="00235D0D" w:rsidRPr="00F703C9">
        <w:rPr>
          <w:bCs/>
          <w:color w:val="000000"/>
          <w:szCs w:val="14"/>
        </w:rPr>
        <w:t>Ayuntamiento de</w:t>
      </w:r>
      <w:r w:rsidR="003C6FDF" w:rsidRPr="00F703C9">
        <w:rPr>
          <w:bCs/>
          <w:color w:val="000000"/>
          <w:szCs w:val="14"/>
        </w:rPr>
        <w:t xml:space="preserve"> Valle de Chalco Solidaridad</w:t>
      </w:r>
      <w:r w:rsidR="007F0FB2" w:rsidRPr="00F703C9">
        <w:rPr>
          <w:rFonts w:eastAsia="Calibri" w:cs="Times New Roman"/>
        </w:rPr>
        <w:t>,</w:t>
      </w:r>
      <w:r w:rsidR="003C6FDF" w:rsidRPr="00F703C9">
        <w:rPr>
          <w:rFonts w:eastAsia="Calibri" w:cs="Times New Roman"/>
        </w:rPr>
        <w:t xml:space="preserve"> </w:t>
      </w:r>
      <w:r w:rsidR="003C6FDF" w:rsidRPr="00F703C9">
        <w:rPr>
          <w:rFonts w:eastAsia="Calibri" w:cs="Times New Roman"/>
          <w:color w:val="000000"/>
        </w:rPr>
        <w:t>(ya que si bien, se registró, el veint</w:t>
      </w:r>
      <w:r w:rsidR="00C9544F" w:rsidRPr="00F703C9">
        <w:rPr>
          <w:rFonts w:eastAsia="Calibri" w:cs="Times New Roman"/>
          <w:color w:val="000000"/>
        </w:rPr>
        <w:t>itrés</w:t>
      </w:r>
      <w:r w:rsidR="003C6FDF" w:rsidRPr="00F703C9">
        <w:rPr>
          <w:rFonts w:eastAsia="Calibri" w:cs="Times New Roman"/>
          <w:color w:val="000000"/>
        </w:rPr>
        <w:t xml:space="preserve"> de julio del mismo año, también lo es, que fue día inhábil),</w:t>
      </w:r>
      <w:r w:rsidR="007F0FB2" w:rsidRPr="00F703C9">
        <w:rPr>
          <w:rFonts w:eastAsia="Calibri" w:cs="Times New Roman"/>
          <w:b/>
        </w:rPr>
        <w:t xml:space="preserve"> </w:t>
      </w:r>
      <w:r w:rsidR="00DB3DC5" w:rsidRPr="00F703C9">
        <w:rPr>
          <w:rFonts w:cs="Tahoma"/>
        </w:rPr>
        <w:t>en los siguientes términos:</w:t>
      </w:r>
    </w:p>
    <w:p w14:paraId="7514E3BA" w14:textId="77777777" w:rsidR="0069765E" w:rsidRPr="00F703C9" w:rsidRDefault="0069765E" w:rsidP="00DA2D9B">
      <w:pPr>
        <w:pStyle w:val="Prrafodelista"/>
        <w:tabs>
          <w:tab w:val="left" w:pos="567"/>
        </w:tabs>
        <w:spacing w:after="0" w:line="360" w:lineRule="auto"/>
        <w:ind w:left="0"/>
        <w:rPr>
          <w:rFonts w:cs="Tahoma"/>
          <w:lang w:val="es-ES"/>
        </w:rPr>
      </w:pPr>
    </w:p>
    <w:tbl>
      <w:tblPr>
        <w:tblStyle w:val="Tablaconcuadrcula"/>
        <w:tblW w:w="9067" w:type="dxa"/>
        <w:tblLook w:val="04A0" w:firstRow="1" w:lastRow="0" w:firstColumn="1" w:lastColumn="0" w:noHBand="0" w:noVBand="1"/>
      </w:tblPr>
      <w:tblGrid>
        <w:gridCol w:w="477"/>
        <w:gridCol w:w="2661"/>
        <w:gridCol w:w="5929"/>
      </w:tblGrid>
      <w:tr w:rsidR="007F0FB2" w:rsidRPr="00F703C9" w14:paraId="2CBB2887" w14:textId="77777777" w:rsidTr="00917685">
        <w:tc>
          <w:tcPr>
            <w:tcW w:w="4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8A84CF9" w14:textId="77777777" w:rsidR="007F0FB2" w:rsidRPr="00F703C9" w:rsidRDefault="007F0FB2" w:rsidP="00DA2D9B">
            <w:pPr>
              <w:tabs>
                <w:tab w:val="left" w:pos="567"/>
              </w:tabs>
              <w:spacing w:line="360" w:lineRule="auto"/>
              <w:ind w:right="-28"/>
              <w:contextualSpacing/>
              <w:rPr>
                <w:rFonts w:cs="Tahoma"/>
                <w:color w:val="auto"/>
                <w:sz w:val="20"/>
                <w:szCs w:val="20"/>
                <w:lang w:val="es-MX"/>
              </w:rPr>
            </w:pPr>
            <w:bookmarkStart w:id="0" w:name="_Hlk168659039"/>
          </w:p>
        </w:tc>
        <w:tc>
          <w:tcPr>
            <w:tcW w:w="26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9DC0D3" w14:textId="77777777" w:rsidR="007F0FB2" w:rsidRPr="00F703C9" w:rsidRDefault="007F0FB2" w:rsidP="00DA2D9B">
            <w:pPr>
              <w:tabs>
                <w:tab w:val="left" w:pos="567"/>
              </w:tabs>
              <w:spacing w:line="360" w:lineRule="auto"/>
              <w:ind w:right="-28"/>
              <w:contextualSpacing/>
              <w:rPr>
                <w:rFonts w:cs="Tahoma"/>
                <w:b/>
                <w:sz w:val="20"/>
                <w:szCs w:val="20"/>
                <w:lang w:val="es-MX"/>
              </w:rPr>
            </w:pPr>
            <w:r w:rsidRPr="00F703C9">
              <w:rPr>
                <w:rFonts w:cs="Tahoma"/>
                <w:b/>
                <w:sz w:val="20"/>
                <w:szCs w:val="20"/>
                <w:lang w:val="es-MX"/>
              </w:rPr>
              <w:t>FOLIO DE SOLICITUD</w:t>
            </w:r>
          </w:p>
        </w:tc>
        <w:tc>
          <w:tcPr>
            <w:tcW w:w="5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DFB4CB8" w14:textId="77777777" w:rsidR="007F0FB2" w:rsidRPr="00F703C9" w:rsidRDefault="007F0FB2" w:rsidP="00DA2D9B">
            <w:pPr>
              <w:tabs>
                <w:tab w:val="left" w:pos="567"/>
              </w:tabs>
              <w:spacing w:line="360" w:lineRule="auto"/>
              <w:contextualSpacing/>
              <w:rPr>
                <w:rFonts w:cs="Tahoma"/>
                <w:b/>
                <w:sz w:val="20"/>
                <w:szCs w:val="20"/>
                <w:lang w:val="es-MX"/>
              </w:rPr>
            </w:pPr>
            <w:r w:rsidRPr="00F703C9">
              <w:rPr>
                <w:rFonts w:cs="Tahoma"/>
                <w:b/>
                <w:sz w:val="20"/>
                <w:szCs w:val="20"/>
                <w:lang w:val="es-MX"/>
              </w:rPr>
              <w:t>DESCRIPCIÓN CLARA Y PRECISA DE LA INFORMACIÓN SOLICITADA</w:t>
            </w:r>
          </w:p>
        </w:tc>
      </w:tr>
      <w:tr w:rsidR="007F0FB2" w:rsidRPr="00F703C9" w14:paraId="3BEA5A65" w14:textId="77777777" w:rsidTr="00917685">
        <w:tc>
          <w:tcPr>
            <w:tcW w:w="477" w:type="dxa"/>
            <w:tcBorders>
              <w:top w:val="single" w:sz="4" w:space="0" w:color="auto"/>
              <w:left w:val="single" w:sz="4" w:space="0" w:color="auto"/>
              <w:bottom w:val="single" w:sz="4" w:space="0" w:color="auto"/>
              <w:right w:val="single" w:sz="4" w:space="0" w:color="auto"/>
            </w:tcBorders>
            <w:hideMark/>
          </w:tcPr>
          <w:p w14:paraId="230E9C49" w14:textId="77777777" w:rsidR="007F0FB2" w:rsidRPr="00F703C9" w:rsidRDefault="007F0FB2" w:rsidP="00DA2D9B">
            <w:pPr>
              <w:tabs>
                <w:tab w:val="left" w:pos="567"/>
              </w:tabs>
              <w:spacing w:line="360" w:lineRule="auto"/>
              <w:ind w:right="-28"/>
              <w:contextualSpacing/>
              <w:rPr>
                <w:rFonts w:cs="Tahoma"/>
                <w:sz w:val="20"/>
                <w:szCs w:val="20"/>
                <w:lang w:val="es-MX"/>
              </w:rPr>
            </w:pPr>
            <w:r w:rsidRPr="00F703C9">
              <w:rPr>
                <w:rFonts w:cs="Tahoma"/>
                <w:sz w:val="20"/>
                <w:szCs w:val="20"/>
                <w:lang w:val="es-MX"/>
              </w:rPr>
              <w:lastRenderedPageBreak/>
              <w:t>1</w:t>
            </w:r>
          </w:p>
        </w:tc>
        <w:tc>
          <w:tcPr>
            <w:tcW w:w="2661" w:type="dxa"/>
            <w:tcBorders>
              <w:top w:val="single" w:sz="4" w:space="0" w:color="auto"/>
              <w:left w:val="single" w:sz="4" w:space="0" w:color="auto"/>
              <w:bottom w:val="single" w:sz="4" w:space="0" w:color="auto"/>
              <w:right w:val="single" w:sz="4" w:space="0" w:color="auto"/>
            </w:tcBorders>
            <w:hideMark/>
          </w:tcPr>
          <w:p w14:paraId="028E5CD0" w14:textId="084B7BCE" w:rsidR="007F0FB2" w:rsidRPr="00F703C9" w:rsidRDefault="00C9544F" w:rsidP="00DA2D9B">
            <w:pPr>
              <w:spacing w:line="360" w:lineRule="auto"/>
              <w:rPr>
                <w:b/>
                <w:bCs/>
                <w:i/>
                <w:iCs/>
                <w:sz w:val="20"/>
                <w:szCs w:val="20"/>
                <w:lang w:val="es-MX"/>
              </w:rPr>
            </w:pPr>
            <w:r w:rsidRPr="00F703C9">
              <w:rPr>
                <w:b/>
                <w:bCs/>
                <w:i/>
                <w:iCs/>
                <w:sz w:val="20"/>
                <w:szCs w:val="20"/>
              </w:rPr>
              <w:t>00441/VACHASO/IP/2024</w:t>
            </w:r>
          </w:p>
        </w:tc>
        <w:tc>
          <w:tcPr>
            <w:tcW w:w="5929" w:type="dxa"/>
            <w:tcBorders>
              <w:top w:val="single" w:sz="4" w:space="0" w:color="auto"/>
              <w:left w:val="single" w:sz="4" w:space="0" w:color="auto"/>
              <w:bottom w:val="single" w:sz="4" w:space="0" w:color="auto"/>
              <w:right w:val="single" w:sz="4" w:space="0" w:color="auto"/>
            </w:tcBorders>
            <w:hideMark/>
          </w:tcPr>
          <w:p w14:paraId="2A8B4532" w14:textId="02E092CE" w:rsidR="00771EED" w:rsidRPr="00F703C9" w:rsidRDefault="00771EED" w:rsidP="00DA2D9B">
            <w:pPr>
              <w:tabs>
                <w:tab w:val="left" w:pos="567"/>
              </w:tabs>
              <w:spacing w:line="360" w:lineRule="auto"/>
              <w:contextualSpacing/>
              <w:rPr>
                <w:i/>
                <w:color w:val="000000"/>
                <w:sz w:val="20"/>
                <w:szCs w:val="20"/>
                <w:lang w:val="es-MX"/>
              </w:rPr>
            </w:pPr>
            <w:r w:rsidRPr="00F703C9">
              <w:rPr>
                <w:i/>
                <w:color w:val="000000"/>
                <w:sz w:val="20"/>
                <w:szCs w:val="20"/>
                <w:lang w:val="es-MX"/>
              </w:rPr>
              <w:t>A efecto de garantizar el derecho a la información pública, solicito a usted, remita a través de este medio, en formato PDF, los equipos de bienes informáticos a los que les fuera dado mantenimiento por la empresa GURIK SA DE CV, y por la cual, le fueran pagados $1,716,800.00 (UN MILLON SETECIENTOS DIECISEIS MIL OCHOCIENTOS PESOS 00/100 M.N.)</w:t>
            </w:r>
            <w:r w:rsidR="007F0FB2" w:rsidRPr="00F703C9">
              <w:rPr>
                <w:i/>
                <w:color w:val="000000"/>
                <w:sz w:val="20"/>
                <w:szCs w:val="20"/>
                <w:lang w:val="es-MX"/>
              </w:rPr>
              <w:t xml:space="preserve">” </w:t>
            </w:r>
          </w:p>
        </w:tc>
      </w:tr>
      <w:tr w:rsidR="007F0FB2" w:rsidRPr="00F703C9" w14:paraId="7B9390CE" w14:textId="77777777" w:rsidTr="00917685">
        <w:tc>
          <w:tcPr>
            <w:tcW w:w="477" w:type="dxa"/>
            <w:tcBorders>
              <w:top w:val="single" w:sz="4" w:space="0" w:color="auto"/>
              <w:left w:val="single" w:sz="4" w:space="0" w:color="auto"/>
              <w:bottom w:val="single" w:sz="4" w:space="0" w:color="auto"/>
              <w:right w:val="single" w:sz="4" w:space="0" w:color="auto"/>
            </w:tcBorders>
            <w:hideMark/>
          </w:tcPr>
          <w:p w14:paraId="289AAD42" w14:textId="77777777" w:rsidR="007F0FB2" w:rsidRPr="00F703C9" w:rsidRDefault="007F0FB2" w:rsidP="00DA2D9B">
            <w:pPr>
              <w:tabs>
                <w:tab w:val="left" w:pos="567"/>
              </w:tabs>
              <w:spacing w:line="360" w:lineRule="auto"/>
              <w:ind w:right="-28"/>
              <w:contextualSpacing/>
              <w:rPr>
                <w:rFonts w:cs="Tahoma"/>
                <w:sz w:val="20"/>
                <w:szCs w:val="20"/>
                <w:lang w:val="es-MX"/>
              </w:rPr>
            </w:pPr>
            <w:r w:rsidRPr="00F703C9">
              <w:rPr>
                <w:rFonts w:cs="Tahoma"/>
                <w:sz w:val="20"/>
                <w:szCs w:val="20"/>
                <w:lang w:val="es-MX"/>
              </w:rPr>
              <w:t>2</w:t>
            </w:r>
          </w:p>
        </w:tc>
        <w:tc>
          <w:tcPr>
            <w:tcW w:w="2661" w:type="dxa"/>
            <w:tcBorders>
              <w:top w:val="single" w:sz="4" w:space="0" w:color="auto"/>
              <w:left w:val="single" w:sz="4" w:space="0" w:color="auto"/>
              <w:bottom w:val="single" w:sz="4" w:space="0" w:color="auto"/>
              <w:right w:val="single" w:sz="4" w:space="0" w:color="auto"/>
            </w:tcBorders>
            <w:hideMark/>
          </w:tcPr>
          <w:p w14:paraId="50F58B47" w14:textId="24D045AD" w:rsidR="007F0FB2" w:rsidRPr="00F703C9" w:rsidRDefault="00C9544F" w:rsidP="00DA2D9B">
            <w:pPr>
              <w:spacing w:line="360" w:lineRule="auto"/>
              <w:rPr>
                <w:b/>
                <w:bCs/>
                <w:i/>
                <w:iCs/>
                <w:sz w:val="20"/>
                <w:szCs w:val="20"/>
                <w:lang w:val="es-MX"/>
              </w:rPr>
            </w:pPr>
            <w:r w:rsidRPr="00F703C9">
              <w:rPr>
                <w:b/>
                <w:bCs/>
                <w:i/>
                <w:iCs/>
                <w:sz w:val="20"/>
                <w:szCs w:val="20"/>
              </w:rPr>
              <w:t>00442/VACHASO/IP/2024</w:t>
            </w:r>
          </w:p>
        </w:tc>
        <w:tc>
          <w:tcPr>
            <w:tcW w:w="5929" w:type="dxa"/>
            <w:tcBorders>
              <w:top w:val="single" w:sz="4" w:space="0" w:color="auto"/>
              <w:left w:val="single" w:sz="4" w:space="0" w:color="auto"/>
              <w:bottom w:val="single" w:sz="4" w:space="0" w:color="auto"/>
              <w:right w:val="single" w:sz="4" w:space="0" w:color="auto"/>
            </w:tcBorders>
            <w:hideMark/>
          </w:tcPr>
          <w:p w14:paraId="76ECF583" w14:textId="16652142" w:rsidR="007F0FB2" w:rsidRPr="00F703C9" w:rsidRDefault="00D252D9" w:rsidP="00DA2D9B">
            <w:pPr>
              <w:spacing w:line="360" w:lineRule="auto"/>
              <w:contextualSpacing/>
              <w:rPr>
                <w:rFonts w:eastAsia="Times New Roman" w:cs="Arial"/>
                <w:bCs/>
                <w:i/>
                <w:sz w:val="20"/>
                <w:szCs w:val="20"/>
                <w:lang w:val="es-MX" w:eastAsia="es-ES"/>
              </w:rPr>
            </w:pPr>
            <w:r w:rsidRPr="00F703C9">
              <w:rPr>
                <w:rFonts w:eastAsia="Times New Roman" w:cs="Arial"/>
                <w:bCs/>
                <w:i/>
                <w:sz w:val="20"/>
                <w:szCs w:val="20"/>
                <w:lang w:val="es-MX" w:eastAsia="es-ES"/>
              </w:rPr>
              <w:t>A efecto de garantizar el derecho a la información pública, solicito a usted, remita a través de este medio, en formato PDF, cuales fueron las cámaras de video a las que la empresa GURIK, SA DE CV les diera mantenimiento, y por la cual, le fueran pagados $4,408,000.00 (CUATRO MILLONES CUATROCIENTOS OCHO MIL PESOS 00/100 M.N.)</w:t>
            </w:r>
            <w:r w:rsidR="007F0FB2" w:rsidRPr="00F703C9">
              <w:rPr>
                <w:rFonts w:eastAsia="Times New Roman" w:cs="Arial"/>
                <w:bCs/>
                <w:i/>
                <w:sz w:val="20"/>
                <w:szCs w:val="20"/>
                <w:lang w:val="es-MX" w:eastAsia="es-ES"/>
              </w:rPr>
              <w:t xml:space="preserve">” </w:t>
            </w:r>
            <w:r w:rsidR="007F0FB2" w:rsidRPr="00F703C9">
              <w:rPr>
                <w:i/>
                <w:color w:val="000000"/>
                <w:sz w:val="20"/>
                <w:szCs w:val="20"/>
                <w:lang w:val="es-MX"/>
              </w:rPr>
              <w:t xml:space="preserve">(Sic) </w:t>
            </w:r>
          </w:p>
        </w:tc>
      </w:tr>
      <w:bookmarkEnd w:id="0"/>
    </w:tbl>
    <w:p w14:paraId="3157961E" w14:textId="77777777" w:rsidR="007F0FB2" w:rsidRPr="00F703C9" w:rsidRDefault="007F0FB2" w:rsidP="00DA2D9B">
      <w:pPr>
        <w:spacing w:after="0" w:line="360" w:lineRule="auto"/>
        <w:contextualSpacing/>
        <w:rPr>
          <w:rFonts w:eastAsia="Calibri" w:cs="Tahoma"/>
          <w:b/>
          <w:bCs/>
        </w:rPr>
      </w:pPr>
    </w:p>
    <w:p w14:paraId="143ECF6C" w14:textId="1F98CC16" w:rsidR="00345BB5" w:rsidRPr="00F703C9" w:rsidRDefault="00345BB5" w:rsidP="00DA2D9B">
      <w:pPr>
        <w:tabs>
          <w:tab w:val="left" w:pos="4667"/>
        </w:tabs>
        <w:spacing w:after="0" w:line="360" w:lineRule="auto"/>
        <w:rPr>
          <w:rFonts w:cs="Tahoma"/>
          <w:bCs/>
          <w:i/>
        </w:rPr>
      </w:pPr>
      <w:r w:rsidRPr="00F703C9">
        <w:rPr>
          <w:rFonts w:cs="Tahoma"/>
          <w:bCs/>
          <w:iCs/>
        </w:rPr>
        <w:t xml:space="preserve">Es de señalar que en las </w:t>
      </w:r>
      <w:r w:rsidR="00A7566F" w:rsidRPr="00F703C9">
        <w:rPr>
          <w:rFonts w:cs="Tahoma"/>
          <w:bCs/>
          <w:iCs/>
        </w:rPr>
        <w:t>d</w:t>
      </w:r>
      <w:r w:rsidR="00301814" w:rsidRPr="00F703C9">
        <w:rPr>
          <w:rFonts w:cs="Tahoma"/>
          <w:bCs/>
          <w:iCs/>
        </w:rPr>
        <w:t>os</w:t>
      </w:r>
      <w:r w:rsidRPr="00F703C9">
        <w:rPr>
          <w:rFonts w:cs="Tahoma"/>
          <w:bCs/>
          <w:iCs/>
        </w:rPr>
        <w:t xml:space="preserve"> solicitudes de acceso a la información el ahora Recurrente </w:t>
      </w:r>
      <w:r w:rsidR="00AF57D5" w:rsidRPr="00F703C9">
        <w:rPr>
          <w:rFonts w:cs="Tahoma"/>
          <w:bCs/>
          <w:iCs/>
        </w:rPr>
        <w:t>eligió</w:t>
      </w:r>
      <w:r w:rsidRPr="00F703C9">
        <w:rPr>
          <w:rFonts w:cs="Tahoma"/>
          <w:bCs/>
          <w:iCs/>
        </w:rPr>
        <w:t xml:space="preserve"> </w:t>
      </w:r>
      <w:r w:rsidR="00AF57D5" w:rsidRPr="00F703C9">
        <w:rPr>
          <w:rFonts w:cs="Tahoma"/>
          <w:bCs/>
          <w:iCs/>
        </w:rPr>
        <w:t xml:space="preserve">como </w:t>
      </w:r>
      <w:r w:rsidRPr="00F703C9">
        <w:rPr>
          <w:rFonts w:cs="Tahoma"/>
          <w:bCs/>
          <w:iCs/>
        </w:rPr>
        <w:t xml:space="preserve">modalidad de entrega de la información </w:t>
      </w:r>
      <w:r w:rsidRPr="00F703C9">
        <w:rPr>
          <w:rFonts w:cs="Tahoma"/>
          <w:bCs/>
          <w:i/>
        </w:rPr>
        <w:t>“A través del SAIMEX”.</w:t>
      </w:r>
    </w:p>
    <w:p w14:paraId="05388F14" w14:textId="77777777" w:rsidR="00F5739B" w:rsidRPr="00F703C9" w:rsidRDefault="00F5739B" w:rsidP="00DA2D9B">
      <w:pPr>
        <w:spacing w:after="0" w:line="360" w:lineRule="auto"/>
        <w:contextualSpacing/>
        <w:rPr>
          <w:rFonts w:eastAsia="Calibri" w:cs="Tahoma"/>
          <w:bCs/>
        </w:rPr>
      </w:pPr>
    </w:p>
    <w:p w14:paraId="675E2DC0" w14:textId="77BA791B" w:rsidR="00DB3DC5" w:rsidRPr="00F703C9" w:rsidRDefault="00DB3DC5" w:rsidP="00DA2D9B">
      <w:pPr>
        <w:spacing w:after="0" w:line="360" w:lineRule="auto"/>
        <w:contextualSpacing/>
        <w:rPr>
          <w:rFonts w:eastAsia="Calibri" w:cs="Tahoma"/>
          <w:b/>
          <w:bCs/>
        </w:rPr>
      </w:pPr>
      <w:r w:rsidRPr="00F703C9">
        <w:rPr>
          <w:rFonts w:eastAsia="Calibri" w:cs="Tahoma"/>
          <w:b/>
          <w:bCs/>
        </w:rPr>
        <w:t xml:space="preserve"> </w:t>
      </w:r>
      <w:r w:rsidR="008757F1" w:rsidRPr="00F703C9">
        <w:rPr>
          <w:rFonts w:eastAsia="Calibri" w:cs="Tahoma"/>
          <w:b/>
          <w:bCs/>
        </w:rPr>
        <w:t>I</w:t>
      </w:r>
      <w:r w:rsidRPr="00F703C9">
        <w:rPr>
          <w:rFonts w:eastAsia="Calibri" w:cs="Tahoma"/>
          <w:b/>
          <w:bCs/>
        </w:rPr>
        <w:t xml:space="preserve">I. </w:t>
      </w:r>
      <w:r w:rsidRPr="00F703C9">
        <w:rPr>
          <w:rFonts w:eastAsia="Calibri" w:cs="Tahoma"/>
          <w:b/>
        </w:rPr>
        <w:t>Respuesta</w:t>
      </w:r>
      <w:r w:rsidRPr="00F703C9">
        <w:rPr>
          <w:rFonts w:eastAsia="Calibri" w:cs="Tahoma"/>
          <w:b/>
          <w:bCs/>
        </w:rPr>
        <w:t xml:space="preserve"> del Sujeto Obligado</w:t>
      </w:r>
    </w:p>
    <w:p w14:paraId="6BDD54F7" w14:textId="77777777" w:rsidR="00345BB5" w:rsidRPr="00F703C9" w:rsidRDefault="00345BB5" w:rsidP="00DA2D9B">
      <w:pPr>
        <w:spacing w:after="0" w:line="360" w:lineRule="auto"/>
        <w:contextualSpacing/>
        <w:rPr>
          <w:rFonts w:eastAsia="Calibri" w:cs="Tahoma"/>
          <w:b/>
          <w:bCs/>
        </w:rPr>
      </w:pPr>
    </w:p>
    <w:p w14:paraId="12EEC53D" w14:textId="7D825EEA" w:rsidR="00345BB5" w:rsidRPr="00F703C9" w:rsidRDefault="00441DFE" w:rsidP="00DA2D9B">
      <w:pPr>
        <w:autoSpaceDE w:val="0"/>
        <w:autoSpaceDN w:val="0"/>
        <w:adjustRightInd w:val="0"/>
        <w:spacing w:after="0" w:line="360" w:lineRule="auto"/>
        <w:rPr>
          <w:rFonts w:cs="Tahoma"/>
          <w:bCs/>
          <w:lang w:val="es-ES_tradnl"/>
        </w:rPr>
      </w:pPr>
      <w:r w:rsidRPr="00F703C9">
        <w:rPr>
          <w:rFonts w:cs="Tahoma"/>
          <w:bCs/>
          <w:lang w:val="es-ES_tradnl"/>
        </w:rPr>
        <w:t xml:space="preserve">El </w:t>
      </w:r>
      <w:r w:rsidR="00A7566F" w:rsidRPr="00F703C9">
        <w:rPr>
          <w:rFonts w:cs="Tahoma"/>
          <w:bCs/>
          <w:lang w:val="es-ES_tradnl"/>
        </w:rPr>
        <w:t xml:space="preserve">veintiséis de agosto </w:t>
      </w:r>
      <w:r w:rsidR="00F5739B" w:rsidRPr="00F703C9">
        <w:rPr>
          <w:rFonts w:cs="Tahoma"/>
          <w:bCs/>
          <w:lang w:val="es-ES_tradnl"/>
        </w:rPr>
        <w:t>de dos mil veinticuatro</w:t>
      </w:r>
      <w:r w:rsidR="00345BB5" w:rsidRPr="00F703C9">
        <w:rPr>
          <w:rFonts w:cs="Tahoma"/>
          <w:bCs/>
          <w:lang w:val="es-ES_tradnl"/>
        </w:rPr>
        <w:t xml:space="preserve">, </w:t>
      </w:r>
      <w:r w:rsidRPr="00F703C9">
        <w:rPr>
          <w:rFonts w:cs="Tahoma"/>
          <w:bCs/>
          <w:lang w:val="es-ES_tradnl"/>
        </w:rPr>
        <w:t xml:space="preserve">el </w:t>
      </w:r>
      <w:r w:rsidR="001C619B" w:rsidRPr="00F703C9">
        <w:rPr>
          <w:bCs/>
          <w:color w:val="000000"/>
          <w:szCs w:val="14"/>
        </w:rPr>
        <w:t>Ayuntamiento de</w:t>
      </w:r>
      <w:r w:rsidR="00A7566F" w:rsidRPr="00F703C9">
        <w:rPr>
          <w:bCs/>
          <w:color w:val="000000"/>
          <w:szCs w:val="14"/>
        </w:rPr>
        <w:t xml:space="preserve"> Valle de Chalco Solidaridad</w:t>
      </w:r>
      <w:r w:rsidR="00345BB5" w:rsidRPr="00F703C9">
        <w:rPr>
          <w:rFonts w:cs="Tahoma"/>
          <w:bCs/>
          <w:lang w:val="es-ES_tradnl"/>
        </w:rPr>
        <w:t xml:space="preserve">, notificó la respuesta a las </w:t>
      </w:r>
      <w:r w:rsidR="00301814" w:rsidRPr="00F703C9">
        <w:rPr>
          <w:rFonts w:cs="Tahoma"/>
          <w:bCs/>
          <w:lang w:val="es-ES_tradnl"/>
        </w:rPr>
        <w:t xml:space="preserve">dos </w:t>
      </w:r>
      <w:r w:rsidR="00345BB5" w:rsidRPr="00F703C9">
        <w:rPr>
          <w:rFonts w:cs="Tahoma"/>
          <w:bCs/>
          <w:lang w:val="es-ES_tradnl"/>
        </w:rPr>
        <w:t>solicitudes, a través del Sistema de Acceso a la Información Mexiquense (SAIMEX), mediante los documentos siguientes:</w:t>
      </w:r>
      <w:bookmarkStart w:id="1" w:name="_Hlk101903429"/>
    </w:p>
    <w:p w14:paraId="134F23B4" w14:textId="77777777" w:rsidR="002A55C6" w:rsidRPr="00F703C9" w:rsidRDefault="002A55C6" w:rsidP="00DA2D9B">
      <w:pPr>
        <w:autoSpaceDE w:val="0"/>
        <w:autoSpaceDN w:val="0"/>
        <w:adjustRightInd w:val="0"/>
        <w:spacing w:after="0" w:line="360" w:lineRule="auto"/>
        <w:rPr>
          <w:rFonts w:cs="Tahoma"/>
          <w:bCs/>
          <w:lang w:val="es-ES_tradnl"/>
        </w:rPr>
      </w:pPr>
    </w:p>
    <w:tbl>
      <w:tblPr>
        <w:tblStyle w:val="Tablaconcuadrcula"/>
        <w:tblW w:w="9067" w:type="dxa"/>
        <w:tblLook w:val="04A0" w:firstRow="1" w:lastRow="0" w:firstColumn="1" w:lastColumn="0" w:noHBand="0" w:noVBand="1"/>
      </w:tblPr>
      <w:tblGrid>
        <w:gridCol w:w="477"/>
        <w:gridCol w:w="2661"/>
        <w:gridCol w:w="5929"/>
      </w:tblGrid>
      <w:tr w:rsidR="002A55C6" w:rsidRPr="00F703C9" w14:paraId="3A7D12AA" w14:textId="77777777" w:rsidTr="006A779A">
        <w:tc>
          <w:tcPr>
            <w:tcW w:w="4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80DDC0" w14:textId="77777777" w:rsidR="002A55C6" w:rsidRPr="00F703C9" w:rsidRDefault="002A55C6" w:rsidP="00DA2D9B">
            <w:pPr>
              <w:tabs>
                <w:tab w:val="left" w:pos="567"/>
              </w:tabs>
              <w:spacing w:line="360" w:lineRule="auto"/>
              <w:ind w:right="-28"/>
              <w:contextualSpacing/>
              <w:rPr>
                <w:rFonts w:cs="Tahoma"/>
                <w:color w:val="auto"/>
                <w:sz w:val="20"/>
                <w:szCs w:val="20"/>
                <w:lang w:val="es-MX"/>
              </w:rPr>
            </w:pPr>
          </w:p>
        </w:tc>
        <w:tc>
          <w:tcPr>
            <w:tcW w:w="26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C7E452" w14:textId="77777777" w:rsidR="002A55C6" w:rsidRPr="00F703C9" w:rsidRDefault="002A55C6" w:rsidP="00DA2D9B">
            <w:pPr>
              <w:tabs>
                <w:tab w:val="left" w:pos="567"/>
              </w:tabs>
              <w:spacing w:line="360" w:lineRule="auto"/>
              <w:ind w:right="-28"/>
              <w:contextualSpacing/>
              <w:rPr>
                <w:rFonts w:cs="Tahoma"/>
                <w:b/>
                <w:sz w:val="20"/>
                <w:szCs w:val="20"/>
                <w:lang w:val="es-MX"/>
              </w:rPr>
            </w:pPr>
            <w:r w:rsidRPr="00F703C9">
              <w:rPr>
                <w:rFonts w:cs="Tahoma"/>
                <w:b/>
                <w:sz w:val="20"/>
                <w:szCs w:val="20"/>
                <w:lang w:val="es-MX"/>
              </w:rPr>
              <w:t>FOLIO DE SOLICITUD</w:t>
            </w:r>
          </w:p>
        </w:tc>
        <w:tc>
          <w:tcPr>
            <w:tcW w:w="5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E8EE1E6" w14:textId="71F31DFB" w:rsidR="002A55C6" w:rsidRPr="00F703C9" w:rsidRDefault="002A55C6" w:rsidP="00DA2D9B">
            <w:pPr>
              <w:tabs>
                <w:tab w:val="left" w:pos="567"/>
              </w:tabs>
              <w:spacing w:line="360" w:lineRule="auto"/>
              <w:contextualSpacing/>
              <w:rPr>
                <w:rFonts w:cs="Tahoma"/>
                <w:b/>
                <w:sz w:val="20"/>
                <w:szCs w:val="20"/>
                <w:lang w:val="es-MX"/>
              </w:rPr>
            </w:pPr>
            <w:r w:rsidRPr="00F703C9">
              <w:rPr>
                <w:rFonts w:cs="Tahoma"/>
                <w:b/>
                <w:sz w:val="20"/>
                <w:szCs w:val="20"/>
                <w:lang w:val="es-MX"/>
              </w:rPr>
              <w:t>RESPUESTA</w:t>
            </w:r>
          </w:p>
        </w:tc>
      </w:tr>
      <w:tr w:rsidR="002A55C6" w:rsidRPr="00F703C9" w14:paraId="222D65EE" w14:textId="77777777" w:rsidTr="006A779A">
        <w:tc>
          <w:tcPr>
            <w:tcW w:w="477" w:type="dxa"/>
            <w:tcBorders>
              <w:top w:val="single" w:sz="4" w:space="0" w:color="auto"/>
              <w:left w:val="single" w:sz="4" w:space="0" w:color="auto"/>
              <w:bottom w:val="single" w:sz="4" w:space="0" w:color="auto"/>
              <w:right w:val="single" w:sz="4" w:space="0" w:color="auto"/>
            </w:tcBorders>
            <w:hideMark/>
          </w:tcPr>
          <w:p w14:paraId="6B41E2FD" w14:textId="77777777" w:rsidR="002A55C6" w:rsidRPr="00F703C9" w:rsidRDefault="002A55C6" w:rsidP="00DA2D9B">
            <w:pPr>
              <w:tabs>
                <w:tab w:val="left" w:pos="567"/>
              </w:tabs>
              <w:spacing w:line="360" w:lineRule="auto"/>
              <w:ind w:right="-28"/>
              <w:contextualSpacing/>
              <w:rPr>
                <w:rFonts w:cs="Tahoma"/>
                <w:sz w:val="20"/>
                <w:szCs w:val="20"/>
                <w:lang w:val="es-MX"/>
              </w:rPr>
            </w:pPr>
            <w:r w:rsidRPr="00F703C9">
              <w:rPr>
                <w:rFonts w:cs="Tahoma"/>
                <w:sz w:val="20"/>
                <w:szCs w:val="20"/>
                <w:lang w:val="es-MX"/>
              </w:rPr>
              <w:t>1</w:t>
            </w:r>
          </w:p>
        </w:tc>
        <w:tc>
          <w:tcPr>
            <w:tcW w:w="2661" w:type="dxa"/>
            <w:tcBorders>
              <w:top w:val="single" w:sz="4" w:space="0" w:color="auto"/>
              <w:left w:val="single" w:sz="4" w:space="0" w:color="auto"/>
              <w:bottom w:val="single" w:sz="4" w:space="0" w:color="auto"/>
              <w:right w:val="single" w:sz="4" w:space="0" w:color="auto"/>
            </w:tcBorders>
            <w:hideMark/>
          </w:tcPr>
          <w:p w14:paraId="59ADFEF1" w14:textId="3B881D1D" w:rsidR="002A55C6" w:rsidRPr="00F703C9" w:rsidRDefault="00301814" w:rsidP="00DA2D9B">
            <w:pPr>
              <w:spacing w:line="360" w:lineRule="auto"/>
              <w:rPr>
                <w:b/>
                <w:bCs/>
                <w:i/>
                <w:iCs/>
                <w:sz w:val="20"/>
                <w:szCs w:val="20"/>
                <w:lang w:val="es-MX"/>
              </w:rPr>
            </w:pPr>
            <w:r w:rsidRPr="00F703C9">
              <w:rPr>
                <w:b/>
                <w:bCs/>
                <w:i/>
                <w:iCs/>
                <w:sz w:val="20"/>
                <w:szCs w:val="20"/>
              </w:rPr>
              <w:t>00441/VACHASO/IP/2024</w:t>
            </w:r>
          </w:p>
        </w:tc>
        <w:tc>
          <w:tcPr>
            <w:tcW w:w="5929" w:type="dxa"/>
            <w:tcBorders>
              <w:top w:val="single" w:sz="4" w:space="0" w:color="auto"/>
              <w:left w:val="single" w:sz="4" w:space="0" w:color="auto"/>
              <w:bottom w:val="single" w:sz="4" w:space="0" w:color="auto"/>
              <w:right w:val="single" w:sz="4" w:space="0" w:color="auto"/>
            </w:tcBorders>
            <w:hideMark/>
          </w:tcPr>
          <w:p w14:paraId="77CE5A16" w14:textId="7993677D" w:rsidR="00843854" w:rsidRPr="00F703C9" w:rsidRDefault="00843854" w:rsidP="00A7566F">
            <w:pPr>
              <w:autoSpaceDE w:val="0"/>
              <w:autoSpaceDN w:val="0"/>
              <w:adjustRightInd w:val="0"/>
              <w:spacing w:line="360" w:lineRule="auto"/>
              <w:rPr>
                <w:rFonts w:cs="Tahoma"/>
                <w:lang w:val="es-ES_tradnl"/>
              </w:rPr>
            </w:pPr>
            <w:r w:rsidRPr="00F703C9">
              <w:rPr>
                <w:rFonts w:cs="Tahoma"/>
                <w:lang w:val="es-ES_tradnl"/>
              </w:rPr>
              <w:t>A través del Titular de la Unidad de Transparencia, mencionó lo siguiente:</w:t>
            </w:r>
          </w:p>
          <w:p w14:paraId="4993850B" w14:textId="77777777" w:rsidR="00843854" w:rsidRPr="00F703C9" w:rsidRDefault="00843854" w:rsidP="00A7566F">
            <w:pPr>
              <w:autoSpaceDE w:val="0"/>
              <w:autoSpaceDN w:val="0"/>
              <w:adjustRightInd w:val="0"/>
              <w:spacing w:line="360" w:lineRule="auto"/>
              <w:rPr>
                <w:rFonts w:cs="Tahoma"/>
                <w:lang w:val="es-ES_tradnl"/>
              </w:rPr>
            </w:pPr>
          </w:p>
          <w:p w14:paraId="473A73BB" w14:textId="35C5E542" w:rsidR="00843854" w:rsidRPr="00F703C9" w:rsidRDefault="00843854" w:rsidP="00843854">
            <w:pPr>
              <w:autoSpaceDE w:val="0"/>
              <w:autoSpaceDN w:val="0"/>
              <w:adjustRightInd w:val="0"/>
              <w:spacing w:line="360" w:lineRule="auto"/>
              <w:ind w:left="708"/>
              <w:rPr>
                <w:rFonts w:cs="Tahoma"/>
                <w:bCs/>
                <w:i/>
                <w:iCs/>
                <w:sz w:val="20"/>
                <w:szCs w:val="20"/>
              </w:rPr>
            </w:pPr>
            <w:r w:rsidRPr="00F703C9">
              <w:rPr>
                <w:rFonts w:cs="Tahoma"/>
                <w:bCs/>
                <w:i/>
                <w:iCs/>
                <w:sz w:val="20"/>
                <w:szCs w:val="20"/>
                <w:lang w:val="es-ES_tradnl"/>
              </w:rPr>
              <w:lastRenderedPageBreak/>
              <w:t>“…</w:t>
            </w:r>
            <w:r w:rsidR="00D06BB0" w:rsidRPr="00F703C9">
              <w:rPr>
                <w:rFonts w:cs="Tahoma"/>
                <w:bCs/>
                <w:i/>
                <w:iCs/>
                <w:sz w:val="20"/>
                <w:szCs w:val="20"/>
                <w:lang w:val="es-MX"/>
              </w:rPr>
              <w:t>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CTM/VACHASO/A/00312/2024 de fecha 15 de agosto del año dos mil veinticuatro, en el que se determina la reserva de dicha información.</w:t>
            </w:r>
          </w:p>
          <w:p w14:paraId="0112BF1D" w14:textId="2876AF9E" w:rsidR="00843854" w:rsidRPr="00F703C9" w:rsidRDefault="00843854" w:rsidP="00843854">
            <w:pPr>
              <w:autoSpaceDE w:val="0"/>
              <w:autoSpaceDN w:val="0"/>
              <w:adjustRightInd w:val="0"/>
              <w:spacing w:line="360" w:lineRule="auto"/>
              <w:ind w:left="708"/>
              <w:rPr>
                <w:rFonts w:cs="Tahoma"/>
                <w:bCs/>
                <w:i/>
                <w:iCs/>
                <w:sz w:val="20"/>
                <w:szCs w:val="20"/>
                <w:lang w:val="es-ES_tradnl"/>
              </w:rPr>
            </w:pPr>
            <w:r w:rsidRPr="00F703C9">
              <w:rPr>
                <w:rFonts w:cs="Tahoma"/>
                <w:bCs/>
                <w:i/>
                <w:iCs/>
                <w:sz w:val="20"/>
                <w:szCs w:val="20"/>
                <w:lang w:val="es-ES_tradnl"/>
              </w:rPr>
              <w:t>…”</w:t>
            </w:r>
          </w:p>
          <w:p w14:paraId="071F2A85" w14:textId="77777777" w:rsidR="0027109D" w:rsidRPr="00F703C9" w:rsidRDefault="0027109D" w:rsidP="00843854">
            <w:pPr>
              <w:autoSpaceDE w:val="0"/>
              <w:autoSpaceDN w:val="0"/>
              <w:adjustRightInd w:val="0"/>
              <w:spacing w:line="360" w:lineRule="auto"/>
              <w:ind w:left="708"/>
              <w:rPr>
                <w:rFonts w:cs="Tahoma"/>
                <w:lang w:val="es-ES_tradnl"/>
              </w:rPr>
            </w:pPr>
          </w:p>
          <w:p w14:paraId="43A458D2" w14:textId="1260955C" w:rsidR="00D321EA" w:rsidRPr="00F703C9" w:rsidRDefault="002A55C6" w:rsidP="00DA2D9B">
            <w:pPr>
              <w:autoSpaceDE w:val="0"/>
              <w:autoSpaceDN w:val="0"/>
              <w:adjustRightInd w:val="0"/>
              <w:spacing w:line="360" w:lineRule="auto"/>
              <w:rPr>
                <w:rFonts w:cs="Tahoma"/>
                <w:lang w:val="es-ES_tradnl"/>
              </w:rPr>
            </w:pPr>
            <w:r w:rsidRPr="00F703C9">
              <w:rPr>
                <w:rFonts w:cs="Tahoma"/>
                <w:lang w:val="es-ES_tradnl"/>
              </w:rPr>
              <w:t>i</w:t>
            </w:r>
            <w:r w:rsidR="00C415FA" w:rsidRPr="00F703C9">
              <w:rPr>
                <w:rFonts w:cs="Tahoma"/>
                <w:lang w:val="es-ES_tradnl"/>
              </w:rPr>
              <w:t xml:space="preserve">. </w:t>
            </w:r>
            <w:r w:rsidR="00D321EA" w:rsidRPr="00F703C9">
              <w:rPr>
                <w:rFonts w:cs="Tahoma"/>
                <w:lang w:val="es-ES_tradnl"/>
              </w:rPr>
              <w:t>Acta de la Décima Sexta Sesión Extraordinaria, del quince de agosto de dos mil veinticuatro.</w:t>
            </w:r>
          </w:p>
          <w:p w14:paraId="4CD226C6" w14:textId="77777777" w:rsidR="00D321EA" w:rsidRPr="00F703C9" w:rsidRDefault="00D321EA" w:rsidP="00DA2D9B">
            <w:pPr>
              <w:autoSpaceDE w:val="0"/>
              <w:autoSpaceDN w:val="0"/>
              <w:adjustRightInd w:val="0"/>
              <w:spacing w:line="360" w:lineRule="auto"/>
              <w:rPr>
                <w:rFonts w:cs="Tahoma"/>
                <w:lang w:val="es-ES_tradnl"/>
              </w:rPr>
            </w:pPr>
          </w:p>
          <w:p w14:paraId="031A4749" w14:textId="4A694BE8" w:rsidR="002A55C6" w:rsidRPr="00F703C9" w:rsidRDefault="00D321EA" w:rsidP="00D06BB0">
            <w:pPr>
              <w:autoSpaceDE w:val="0"/>
              <w:autoSpaceDN w:val="0"/>
              <w:adjustRightInd w:val="0"/>
              <w:spacing w:line="360" w:lineRule="auto"/>
              <w:rPr>
                <w:rFonts w:cs="Tahoma"/>
                <w:lang w:val="es-ES_tradnl"/>
              </w:rPr>
            </w:pPr>
            <w:r w:rsidRPr="00F703C9">
              <w:rPr>
                <w:rFonts w:cs="Tahoma"/>
                <w:lang w:val="es-ES_tradnl"/>
              </w:rPr>
              <w:t xml:space="preserve">ii. </w:t>
            </w:r>
            <w:r w:rsidR="00C415FA" w:rsidRPr="00F703C9">
              <w:rPr>
                <w:rFonts w:cs="Tahoma"/>
                <w:lang w:val="es-ES_tradnl"/>
              </w:rPr>
              <w:t>Acuerdo número CTM/VACHASO/A/00</w:t>
            </w:r>
            <w:r w:rsidR="00D06BB0" w:rsidRPr="00F703C9">
              <w:rPr>
                <w:rFonts w:cs="Tahoma"/>
                <w:lang w:val="es-ES_tradnl"/>
              </w:rPr>
              <w:t>312</w:t>
            </w:r>
            <w:r w:rsidR="00C415FA" w:rsidRPr="00F703C9">
              <w:rPr>
                <w:rFonts w:cs="Tahoma"/>
                <w:lang w:val="es-ES_tradnl"/>
              </w:rPr>
              <w:t>/2024, de la Décima Sexta Sesión Extraordinaria, del quince de agosto de dos mil veinticuatro, por medio del cual se confirma la clasificación de la información como reservada</w:t>
            </w:r>
            <w:r w:rsidR="00843854" w:rsidRPr="00F703C9">
              <w:rPr>
                <w:rFonts w:cs="Tahoma"/>
                <w:lang w:val="es-ES_tradnl"/>
              </w:rPr>
              <w:t>.</w:t>
            </w:r>
          </w:p>
        </w:tc>
      </w:tr>
      <w:tr w:rsidR="002A55C6" w:rsidRPr="00F703C9" w14:paraId="32DFB6AB" w14:textId="77777777" w:rsidTr="006A779A">
        <w:tc>
          <w:tcPr>
            <w:tcW w:w="477" w:type="dxa"/>
            <w:tcBorders>
              <w:top w:val="single" w:sz="4" w:space="0" w:color="auto"/>
              <w:left w:val="single" w:sz="4" w:space="0" w:color="auto"/>
              <w:bottom w:val="single" w:sz="4" w:space="0" w:color="auto"/>
              <w:right w:val="single" w:sz="4" w:space="0" w:color="auto"/>
            </w:tcBorders>
            <w:hideMark/>
          </w:tcPr>
          <w:p w14:paraId="42AC2DF6" w14:textId="77777777" w:rsidR="002A55C6" w:rsidRPr="00F703C9" w:rsidRDefault="002A55C6" w:rsidP="00DA2D9B">
            <w:pPr>
              <w:tabs>
                <w:tab w:val="left" w:pos="567"/>
              </w:tabs>
              <w:spacing w:line="360" w:lineRule="auto"/>
              <w:ind w:right="-28"/>
              <w:contextualSpacing/>
              <w:rPr>
                <w:rFonts w:cs="Tahoma"/>
                <w:sz w:val="20"/>
                <w:szCs w:val="20"/>
                <w:lang w:val="es-MX"/>
              </w:rPr>
            </w:pPr>
            <w:r w:rsidRPr="00F703C9">
              <w:rPr>
                <w:rFonts w:cs="Tahoma"/>
                <w:sz w:val="20"/>
                <w:szCs w:val="20"/>
                <w:lang w:val="es-MX"/>
              </w:rPr>
              <w:lastRenderedPageBreak/>
              <w:t>2</w:t>
            </w:r>
          </w:p>
        </w:tc>
        <w:tc>
          <w:tcPr>
            <w:tcW w:w="2661" w:type="dxa"/>
            <w:tcBorders>
              <w:top w:val="single" w:sz="4" w:space="0" w:color="auto"/>
              <w:left w:val="single" w:sz="4" w:space="0" w:color="auto"/>
              <w:bottom w:val="single" w:sz="4" w:space="0" w:color="auto"/>
              <w:right w:val="single" w:sz="4" w:space="0" w:color="auto"/>
            </w:tcBorders>
            <w:hideMark/>
          </w:tcPr>
          <w:p w14:paraId="626C0052" w14:textId="77D4F18F" w:rsidR="002A55C6" w:rsidRPr="00F703C9" w:rsidRDefault="00301814" w:rsidP="00DA2D9B">
            <w:pPr>
              <w:spacing w:line="360" w:lineRule="auto"/>
              <w:rPr>
                <w:b/>
                <w:bCs/>
                <w:i/>
                <w:iCs/>
                <w:sz w:val="20"/>
                <w:szCs w:val="20"/>
                <w:lang w:val="es-MX"/>
              </w:rPr>
            </w:pPr>
            <w:r w:rsidRPr="00F703C9">
              <w:rPr>
                <w:b/>
                <w:bCs/>
                <w:i/>
                <w:iCs/>
                <w:sz w:val="20"/>
                <w:szCs w:val="20"/>
              </w:rPr>
              <w:t>00442/VACHASO/IP/2024</w:t>
            </w:r>
          </w:p>
        </w:tc>
        <w:tc>
          <w:tcPr>
            <w:tcW w:w="5929" w:type="dxa"/>
            <w:tcBorders>
              <w:top w:val="single" w:sz="4" w:space="0" w:color="auto"/>
              <w:left w:val="single" w:sz="4" w:space="0" w:color="auto"/>
              <w:bottom w:val="single" w:sz="4" w:space="0" w:color="auto"/>
              <w:right w:val="single" w:sz="4" w:space="0" w:color="auto"/>
            </w:tcBorders>
            <w:hideMark/>
          </w:tcPr>
          <w:p w14:paraId="76817957" w14:textId="77777777" w:rsidR="004D5410" w:rsidRPr="00F703C9" w:rsidRDefault="004D5410" w:rsidP="004D5410">
            <w:pPr>
              <w:autoSpaceDE w:val="0"/>
              <w:autoSpaceDN w:val="0"/>
              <w:adjustRightInd w:val="0"/>
              <w:spacing w:line="360" w:lineRule="auto"/>
              <w:rPr>
                <w:rFonts w:cs="Tahoma"/>
                <w:lang w:val="es-ES_tradnl"/>
              </w:rPr>
            </w:pPr>
            <w:r w:rsidRPr="00F703C9">
              <w:rPr>
                <w:rFonts w:cs="Tahoma"/>
                <w:lang w:val="es-ES_tradnl"/>
              </w:rPr>
              <w:t>A través del Titular de la Unidad de Transparencia, mencionó lo siguiente:</w:t>
            </w:r>
          </w:p>
          <w:p w14:paraId="6018E960" w14:textId="77777777" w:rsidR="004D5410" w:rsidRPr="00F703C9" w:rsidRDefault="004D5410" w:rsidP="004D5410">
            <w:pPr>
              <w:autoSpaceDE w:val="0"/>
              <w:autoSpaceDN w:val="0"/>
              <w:adjustRightInd w:val="0"/>
              <w:spacing w:line="360" w:lineRule="auto"/>
              <w:rPr>
                <w:rFonts w:cs="Tahoma"/>
                <w:lang w:val="es-ES_tradnl"/>
              </w:rPr>
            </w:pPr>
          </w:p>
          <w:p w14:paraId="36BE01EF" w14:textId="0FF57041" w:rsidR="004D5410" w:rsidRPr="00F703C9" w:rsidRDefault="004D5410" w:rsidP="004D5410">
            <w:pPr>
              <w:autoSpaceDE w:val="0"/>
              <w:autoSpaceDN w:val="0"/>
              <w:adjustRightInd w:val="0"/>
              <w:spacing w:line="360" w:lineRule="auto"/>
              <w:ind w:left="708"/>
              <w:rPr>
                <w:rFonts w:cs="Tahoma"/>
                <w:bCs/>
                <w:i/>
                <w:iCs/>
                <w:sz w:val="20"/>
                <w:szCs w:val="20"/>
              </w:rPr>
            </w:pPr>
            <w:r w:rsidRPr="00F703C9">
              <w:rPr>
                <w:rFonts w:cs="Tahoma"/>
                <w:bCs/>
                <w:i/>
                <w:iCs/>
                <w:sz w:val="20"/>
                <w:szCs w:val="20"/>
                <w:lang w:val="es-ES_tradnl"/>
              </w:rPr>
              <w:t>“…</w:t>
            </w:r>
            <w:r w:rsidRPr="00F703C9">
              <w:rPr>
                <w:rFonts w:cs="Tahoma"/>
                <w:bCs/>
                <w:i/>
                <w:iCs/>
                <w:sz w:val="20"/>
                <w:szCs w:val="20"/>
                <w:lang w:val="es-MX"/>
              </w:rPr>
              <w:t>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w:t>
            </w:r>
            <w:r w:rsidR="00370B83" w:rsidRPr="00F703C9">
              <w:rPr>
                <w:rFonts w:cs="Tahoma"/>
                <w:bCs/>
                <w:i/>
                <w:iCs/>
                <w:sz w:val="20"/>
                <w:szCs w:val="20"/>
                <w:lang w:val="es-MX"/>
              </w:rPr>
              <w:t>311</w:t>
            </w:r>
            <w:r w:rsidRPr="00F703C9">
              <w:rPr>
                <w:rFonts w:cs="Tahoma"/>
                <w:bCs/>
                <w:i/>
                <w:iCs/>
                <w:sz w:val="20"/>
                <w:szCs w:val="20"/>
                <w:lang w:val="es-MX"/>
              </w:rPr>
              <w:t>/2024 de fecha 15 de agosto del año dos mil veinticuatro, en el que se determina la reserva de dicha información</w:t>
            </w:r>
            <w:r w:rsidRPr="00F703C9">
              <w:rPr>
                <w:rFonts w:cs="Tahoma"/>
                <w:bCs/>
                <w:i/>
                <w:iCs/>
                <w:sz w:val="20"/>
                <w:szCs w:val="20"/>
              </w:rPr>
              <w:t>.</w:t>
            </w:r>
          </w:p>
          <w:p w14:paraId="325D038B" w14:textId="77777777" w:rsidR="004D5410" w:rsidRPr="00F703C9" w:rsidRDefault="004D5410" w:rsidP="004D5410">
            <w:pPr>
              <w:autoSpaceDE w:val="0"/>
              <w:autoSpaceDN w:val="0"/>
              <w:adjustRightInd w:val="0"/>
              <w:spacing w:line="360" w:lineRule="auto"/>
              <w:ind w:left="708"/>
              <w:rPr>
                <w:rFonts w:cs="Tahoma"/>
                <w:bCs/>
                <w:i/>
                <w:iCs/>
                <w:sz w:val="20"/>
                <w:szCs w:val="20"/>
                <w:lang w:val="es-ES_tradnl"/>
              </w:rPr>
            </w:pPr>
            <w:r w:rsidRPr="00F703C9">
              <w:rPr>
                <w:rFonts w:cs="Tahoma"/>
                <w:bCs/>
                <w:i/>
                <w:iCs/>
                <w:sz w:val="20"/>
                <w:szCs w:val="20"/>
                <w:lang w:val="es-ES_tradnl"/>
              </w:rPr>
              <w:t>…”</w:t>
            </w:r>
          </w:p>
          <w:p w14:paraId="355DBD8B" w14:textId="77777777" w:rsidR="004D5410" w:rsidRPr="00F703C9" w:rsidRDefault="004D5410" w:rsidP="004D5410">
            <w:pPr>
              <w:autoSpaceDE w:val="0"/>
              <w:autoSpaceDN w:val="0"/>
              <w:adjustRightInd w:val="0"/>
              <w:spacing w:line="360" w:lineRule="auto"/>
              <w:ind w:left="708"/>
              <w:rPr>
                <w:rFonts w:cs="Tahoma"/>
                <w:lang w:val="es-ES_tradnl"/>
              </w:rPr>
            </w:pPr>
          </w:p>
          <w:p w14:paraId="683D535D" w14:textId="77777777" w:rsidR="004D5410" w:rsidRPr="00F703C9" w:rsidRDefault="004D5410" w:rsidP="004D5410">
            <w:pPr>
              <w:autoSpaceDE w:val="0"/>
              <w:autoSpaceDN w:val="0"/>
              <w:adjustRightInd w:val="0"/>
              <w:spacing w:line="360" w:lineRule="auto"/>
              <w:rPr>
                <w:rFonts w:cs="Tahoma"/>
                <w:lang w:val="es-ES_tradnl"/>
              </w:rPr>
            </w:pPr>
            <w:r w:rsidRPr="00F703C9">
              <w:rPr>
                <w:rFonts w:cs="Tahoma"/>
                <w:lang w:val="es-ES_tradnl"/>
              </w:rPr>
              <w:t>i. Acta de la Décima Sexta Sesión Extraordinaria, del quince de agosto de dos mil veinticuatro.</w:t>
            </w:r>
          </w:p>
          <w:p w14:paraId="13B3F6C5" w14:textId="77777777" w:rsidR="004D5410" w:rsidRPr="00F703C9" w:rsidRDefault="004D5410" w:rsidP="004D5410">
            <w:pPr>
              <w:autoSpaceDE w:val="0"/>
              <w:autoSpaceDN w:val="0"/>
              <w:adjustRightInd w:val="0"/>
              <w:spacing w:line="360" w:lineRule="auto"/>
              <w:rPr>
                <w:rFonts w:cs="Tahoma"/>
                <w:lang w:val="es-ES_tradnl"/>
              </w:rPr>
            </w:pPr>
          </w:p>
          <w:p w14:paraId="769D0C7B" w14:textId="076B0630" w:rsidR="004D5410" w:rsidRPr="00F703C9" w:rsidRDefault="004D5410" w:rsidP="004D5410">
            <w:pPr>
              <w:autoSpaceDE w:val="0"/>
              <w:autoSpaceDN w:val="0"/>
              <w:adjustRightInd w:val="0"/>
              <w:spacing w:line="360" w:lineRule="auto"/>
              <w:rPr>
                <w:rFonts w:cs="Tahoma"/>
                <w:lang w:val="es-ES_tradnl"/>
              </w:rPr>
            </w:pPr>
            <w:r w:rsidRPr="00F703C9">
              <w:rPr>
                <w:rFonts w:cs="Tahoma"/>
                <w:lang w:val="es-ES_tradnl"/>
              </w:rPr>
              <w:t>ii. Acuerdo número CTM/VACHASO/A/00</w:t>
            </w:r>
            <w:r w:rsidR="00370B83" w:rsidRPr="00F703C9">
              <w:rPr>
                <w:rFonts w:cs="Tahoma"/>
                <w:lang w:val="es-ES_tradnl"/>
              </w:rPr>
              <w:t>311</w:t>
            </w:r>
            <w:r w:rsidRPr="00F703C9">
              <w:rPr>
                <w:rFonts w:cs="Tahoma"/>
                <w:lang w:val="es-ES_tradnl"/>
              </w:rPr>
              <w:t>/2024, de la Décima Sexta Sesión Extraordinaria, del quince de agosto de dos mil veinticuatro, por medio del cual se confirma la clasificación de la información como reservada.</w:t>
            </w:r>
          </w:p>
          <w:p w14:paraId="64552E57" w14:textId="2CBBF7F2" w:rsidR="002A55C6" w:rsidRPr="00F703C9" w:rsidRDefault="002A55C6" w:rsidP="00DA2D9B">
            <w:pPr>
              <w:spacing w:line="360" w:lineRule="auto"/>
              <w:contextualSpacing/>
              <w:rPr>
                <w:rFonts w:eastAsia="Times New Roman" w:cs="Arial"/>
                <w:bCs/>
                <w:iCs/>
                <w:sz w:val="20"/>
                <w:szCs w:val="20"/>
                <w:lang w:val="es-MX" w:eastAsia="es-ES"/>
              </w:rPr>
            </w:pPr>
          </w:p>
        </w:tc>
      </w:tr>
      <w:bookmarkEnd w:id="1"/>
    </w:tbl>
    <w:p w14:paraId="1E9BE625" w14:textId="77777777" w:rsidR="00CE71FB" w:rsidRPr="00F703C9" w:rsidRDefault="00CE71FB" w:rsidP="00DA2D9B">
      <w:pPr>
        <w:autoSpaceDE w:val="0"/>
        <w:autoSpaceDN w:val="0"/>
        <w:adjustRightInd w:val="0"/>
        <w:spacing w:after="0" w:line="360" w:lineRule="auto"/>
        <w:contextualSpacing/>
        <w:rPr>
          <w:rFonts w:eastAsia="Calibri" w:cs="Tahoma"/>
          <w:b/>
          <w:color w:val="000000"/>
        </w:rPr>
      </w:pPr>
    </w:p>
    <w:p w14:paraId="6867D521" w14:textId="37206BB9" w:rsidR="00DB3DC5" w:rsidRPr="00F703C9" w:rsidRDefault="00DB3DC5" w:rsidP="00DA2D9B">
      <w:pPr>
        <w:autoSpaceDE w:val="0"/>
        <w:autoSpaceDN w:val="0"/>
        <w:adjustRightInd w:val="0"/>
        <w:spacing w:after="0" w:line="360" w:lineRule="auto"/>
        <w:contextualSpacing/>
        <w:rPr>
          <w:rFonts w:eastAsia="Calibri" w:cs="Tahoma"/>
          <w:b/>
          <w:color w:val="000000"/>
        </w:rPr>
      </w:pPr>
      <w:r w:rsidRPr="00F703C9">
        <w:rPr>
          <w:rFonts w:eastAsia="Calibri" w:cs="Tahoma"/>
          <w:b/>
          <w:color w:val="000000"/>
        </w:rPr>
        <w:lastRenderedPageBreak/>
        <w:t>III. Interpo</w:t>
      </w:r>
      <w:r w:rsidR="00C21E45" w:rsidRPr="00F703C9">
        <w:rPr>
          <w:rFonts w:eastAsia="Calibri" w:cs="Tahoma"/>
          <w:b/>
          <w:color w:val="000000"/>
        </w:rPr>
        <w:t>sición del Recurso de Revisión</w:t>
      </w:r>
    </w:p>
    <w:p w14:paraId="72683D89" w14:textId="77777777" w:rsidR="00DB3DC5" w:rsidRPr="00F703C9" w:rsidRDefault="00DB3DC5" w:rsidP="00DA2D9B">
      <w:pPr>
        <w:spacing w:after="0" w:line="360" w:lineRule="auto"/>
        <w:contextualSpacing/>
        <w:rPr>
          <w:rFonts w:eastAsia="Times New Roman" w:cs="Tahoma"/>
          <w:bCs/>
          <w:color w:val="auto"/>
          <w:lang w:eastAsia="es-ES"/>
        </w:rPr>
      </w:pPr>
    </w:p>
    <w:p w14:paraId="240D95DA" w14:textId="21486EC8" w:rsidR="00DB3DC5" w:rsidRPr="00F703C9" w:rsidRDefault="004C2401" w:rsidP="00DA2D9B">
      <w:pPr>
        <w:widowControl w:val="0"/>
        <w:spacing w:after="0" w:line="360" w:lineRule="auto"/>
        <w:contextualSpacing/>
        <w:rPr>
          <w:rFonts w:eastAsia="Calibri" w:cs="Times New Roman"/>
          <w:bCs/>
        </w:rPr>
      </w:pPr>
      <w:r w:rsidRPr="00F703C9">
        <w:rPr>
          <w:rFonts w:eastAsia="Calibri" w:cs="Times New Roman"/>
          <w:bCs/>
        </w:rPr>
        <w:t xml:space="preserve">El </w:t>
      </w:r>
      <w:r w:rsidR="00E5556F" w:rsidRPr="00F703C9">
        <w:rPr>
          <w:rFonts w:eastAsia="Calibri" w:cs="Times New Roman"/>
          <w:bCs/>
        </w:rPr>
        <w:t xml:space="preserve">cuatro de septiembre </w:t>
      </w:r>
      <w:r w:rsidR="00C340FF" w:rsidRPr="00F703C9">
        <w:rPr>
          <w:rFonts w:eastAsia="Calibri" w:cs="Times New Roman"/>
          <w:bCs/>
        </w:rPr>
        <w:t>de dos mil veinticuatro</w:t>
      </w:r>
      <w:r w:rsidR="00DB3DC5" w:rsidRPr="00F703C9">
        <w:rPr>
          <w:rFonts w:eastAsia="Calibri" w:cs="Times New Roman"/>
          <w:bCs/>
        </w:rPr>
        <w:t xml:space="preserve">, </w:t>
      </w:r>
      <w:r w:rsidR="00DB3DC5" w:rsidRPr="00F703C9">
        <w:rPr>
          <w:rFonts w:eastAsia="Calibri" w:cs="Times New Roman"/>
          <w:bCs/>
          <w:lang w:val="es-ES"/>
        </w:rPr>
        <w:t>se recibió en este Instituto, a través del Sistema de Acceso a la Información Mexiquense (SAIMEX),</w:t>
      </w:r>
      <w:r w:rsidR="0031474C" w:rsidRPr="00F703C9">
        <w:rPr>
          <w:rFonts w:eastAsia="Calibri" w:cs="Times New Roman"/>
          <w:bCs/>
          <w:lang w:val="es-ES"/>
        </w:rPr>
        <w:t xml:space="preserve"> </w:t>
      </w:r>
      <w:r w:rsidR="00E5556F" w:rsidRPr="00F703C9">
        <w:rPr>
          <w:rFonts w:eastAsia="Calibri" w:cs="Times New Roman"/>
          <w:bCs/>
          <w:lang w:val="es-ES"/>
        </w:rPr>
        <w:t>do</w:t>
      </w:r>
      <w:r w:rsidR="009D02A0" w:rsidRPr="00F703C9">
        <w:rPr>
          <w:rFonts w:eastAsia="Calibri" w:cs="Times New Roman"/>
          <w:bCs/>
          <w:lang w:val="es-ES"/>
        </w:rPr>
        <w:t>s</w:t>
      </w:r>
      <w:r w:rsidR="006A0867" w:rsidRPr="00F703C9">
        <w:rPr>
          <w:rFonts w:eastAsia="Calibri" w:cs="Times New Roman"/>
          <w:bCs/>
          <w:lang w:val="es-ES"/>
        </w:rPr>
        <w:t xml:space="preserve"> </w:t>
      </w:r>
      <w:r w:rsidR="00DB3DC5" w:rsidRPr="00F703C9">
        <w:rPr>
          <w:rFonts w:eastAsia="Calibri" w:cs="Times New Roman"/>
          <w:bCs/>
          <w:lang w:val="es-ES"/>
        </w:rPr>
        <w:t>Recurso</w:t>
      </w:r>
      <w:r w:rsidR="006A0867" w:rsidRPr="00F703C9">
        <w:rPr>
          <w:rFonts w:eastAsia="Calibri" w:cs="Times New Roman"/>
          <w:bCs/>
          <w:lang w:val="es-ES"/>
        </w:rPr>
        <w:t>s</w:t>
      </w:r>
      <w:r w:rsidR="00DB3DC5" w:rsidRPr="00F703C9">
        <w:rPr>
          <w:rFonts w:eastAsia="Calibri" w:cs="Times New Roman"/>
          <w:bCs/>
          <w:lang w:val="es-ES"/>
        </w:rPr>
        <w:t xml:space="preserve"> de Revisión interpuesto</w:t>
      </w:r>
      <w:r w:rsidR="006A0867" w:rsidRPr="00F703C9">
        <w:rPr>
          <w:rFonts w:eastAsia="Calibri" w:cs="Times New Roman"/>
          <w:bCs/>
          <w:lang w:val="es-ES"/>
        </w:rPr>
        <w:t>s</w:t>
      </w:r>
      <w:r w:rsidR="00DB3DC5" w:rsidRPr="00F703C9">
        <w:rPr>
          <w:rFonts w:eastAsia="Calibri" w:cs="Times New Roman"/>
          <w:bCs/>
          <w:lang w:val="es-ES"/>
        </w:rPr>
        <w:t xml:space="preserve"> por la p</w:t>
      </w:r>
      <w:r w:rsidRPr="00F703C9">
        <w:rPr>
          <w:rFonts w:eastAsia="Calibri" w:cs="Times New Roman"/>
          <w:bCs/>
          <w:lang w:val="es-ES"/>
        </w:rPr>
        <w:t>ersona</w:t>
      </w:r>
      <w:r w:rsidR="00DB3DC5" w:rsidRPr="00F703C9">
        <w:rPr>
          <w:rFonts w:eastAsia="Calibri" w:cs="Times New Roman"/>
          <w:bCs/>
          <w:lang w:val="es-ES"/>
        </w:rPr>
        <w:t xml:space="preserve"> Recurrente, en contra de la</w:t>
      </w:r>
      <w:r w:rsidR="006A0867" w:rsidRPr="00F703C9">
        <w:rPr>
          <w:rFonts w:eastAsia="Calibri" w:cs="Times New Roman"/>
          <w:bCs/>
          <w:lang w:val="es-ES"/>
        </w:rPr>
        <w:t>s</w:t>
      </w:r>
      <w:r w:rsidR="00DB3DC5" w:rsidRPr="00F703C9">
        <w:rPr>
          <w:rFonts w:eastAsia="Calibri" w:cs="Times New Roman"/>
          <w:bCs/>
          <w:lang w:val="es-ES"/>
        </w:rPr>
        <w:t xml:space="preserve"> respuesta</w:t>
      </w:r>
      <w:r w:rsidR="006A0867" w:rsidRPr="00F703C9">
        <w:rPr>
          <w:rFonts w:eastAsia="Calibri" w:cs="Times New Roman"/>
          <w:bCs/>
          <w:lang w:val="es-ES"/>
        </w:rPr>
        <w:t>s</w:t>
      </w:r>
      <w:r w:rsidR="00DB3DC5" w:rsidRPr="00F703C9">
        <w:rPr>
          <w:rFonts w:eastAsia="Calibri" w:cs="Times New Roman"/>
          <w:bCs/>
          <w:lang w:val="es-ES"/>
        </w:rPr>
        <w:t xml:space="preserve"> del Sujeto Obligado</w:t>
      </w:r>
      <w:r w:rsidR="00DB3DC5" w:rsidRPr="00F703C9">
        <w:rPr>
          <w:rFonts w:eastAsia="Calibri" w:cs="Times New Roman"/>
        </w:rPr>
        <w:t>,</w:t>
      </w:r>
      <w:r w:rsidR="00C340FF" w:rsidRPr="00F703C9">
        <w:rPr>
          <w:rFonts w:eastAsia="Calibri" w:cs="Times New Roman"/>
        </w:rPr>
        <w:t xml:space="preserve"> </w:t>
      </w:r>
      <w:r w:rsidR="00DB3DC5" w:rsidRPr="00F703C9">
        <w:rPr>
          <w:rFonts w:eastAsia="Times New Roman" w:cs="Tahoma"/>
          <w:bCs/>
          <w:color w:val="auto"/>
          <w:lang w:val="es-ES" w:eastAsia="es-ES"/>
        </w:rPr>
        <w:t>en los términos</w:t>
      </w:r>
      <w:r w:rsidR="00E5556F" w:rsidRPr="00F703C9">
        <w:rPr>
          <w:rFonts w:eastAsia="Times New Roman" w:cs="Tahoma"/>
          <w:bCs/>
          <w:color w:val="auto"/>
          <w:lang w:val="es-ES" w:eastAsia="es-ES"/>
        </w:rPr>
        <w:t xml:space="preserve"> </w:t>
      </w:r>
      <w:r w:rsidR="000D1C9F" w:rsidRPr="00F703C9">
        <w:rPr>
          <w:rFonts w:eastAsia="Times New Roman" w:cs="Tahoma"/>
          <w:bCs/>
          <w:color w:val="auto"/>
          <w:lang w:val="es-ES" w:eastAsia="es-ES"/>
        </w:rPr>
        <w:t>siguientes</w:t>
      </w:r>
      <w:r w:rsidR="00DB3DC5" w:rsidRPr="00F703C9">
        <w:rPr>
          <w:rFonts w:eastAsia="Times New Roman" w:cs="Tahoma"/>
          <w:bCs/>
          <w:color w:val="auto"/>
          <w:lang w:val="es-ES" w:eastAsia="es-ES"/>
        </w:rPr>
        <w:t>:</w:t>
      </w:r>
    </w:p>
    <w:p w14:paraId="383A8105" w14:textId="77777777" w:rsidR="00DB3DC5" w:rsidRPr="00F703C9" w:rsidRDefault="00DB3DC5" w:rsidP="00DA2D9B">
      <w:pPr>
        <w:tabs>
          <w:tab w:val="left" w:pos="4667"/>
        </w:tabs>
        <w:spacing w:after="0" w:line="360" w:lineRule="auto"/>
        <w:ind w:left="567" w:right="567"/>
        <w:contextualSpacing/>
        <w:rPr>
          <w:rFonts w:cs="Tahoma"/>
          <w:b/>
          <w:bCs/>
          <w:i/>
          <w:sz w:val="20"/>
          <w:szCs w:val="20"/>
        </w:rPr>
      </w:pPr>
    </w:p>
    <w:p w14:paraId="6B479A72" w14:textId="5F1158EC" w:rsidR="006D15F3" w:rsidRPr="00F703C9" w:rsidRDefault="006D15F3" w:rsidP="00DA2D9B">
      <w:pPr>
        <w:spacing w:after="0" w:line="360" w:lineRule="auto"/>
        <w:ind w:left="567" w:right="567"/>
        <w:contextualSpacing/>
        <w:rPr>
          <w:rFonts w:cs="Tahoma"/>
          <w:b/>
          <w:bCs/>
          <w:i/>
          <w:sz w:val="20"/>
          <w:szCs w:val="20"/>
        </w:rPr>
      </w:pPr>
      <w:r w:rsidRPr="00F703C9">
        <w:rPr>
          <w:rFonts w:cs="Tahoma"/>
          <w:b/>
          <w:bCs/>
          <w:i/>
          <w:sz w:val="20"/>
          <w:szCs w:val="20"/>
        </w:rPr>
        <w:t xml:space="preserve">Recurso de Revisión </w:t>
      </w:r>
      <w:r w:rsidRPr="00F703C9">
        <w:rPr>
          <w:b/>
          <w:bCs/>
          <w:i/>
          <w:iCs/>
          <w:sz w:val="20"/>
          <w:szCs w:val="20"/>
        </w:rPr>
        <w:t>05481/INFOEM/IP/RR/2024</w:t>
      </w:r>
    </w:p>
    <w:p w14:paraId="0E422949" w14:textId="0C2B1169" w:rsidR="006A0867" w:rsidRPr="00F703C9" w:rsidRDefault="006A0867" w:rsidP="00DA2D9B">
      <w:pPr>
        <w:spacing w:after="0" w:line="360" w:lineRule="auto"/>
        <w:ind w:left="567" w:right="567"/>
        <w:contextualSpacing/>
        <w:rPr>
          <w:rFonts w:cs="Tahoma"/>
          <w:b/>
          <w:bCs/>
          <w:i/>
          <w:sz w:val="20"/>
          <w:szCs w:val="20"/>
        </w:rPr>
      </w:pPr>
      <w:r w:rsidRPr="00F703C9">
        <w:rPr>
          <w:rFonts w:cs="Tahoma"/>
          <w:b/>
          <w:bCs/>
          <w:i/>
          <w:sz w:val="20"/>
          <w:szCs w:val="20"/>
        </w:rPr>
        <w:t>ACTO IMPUGNADO</w:t>
      </w:r>
    </w:p>
    <w:p w14:paraId="199F28DE" w14:textId="38129427" w:rsidR="006A0867" w:rsidRPr="00F703C9" w:rsidRDefault="006D15F3" w:rsidP="00DA2D9B">
      <w:pPr>
        <w:tabs>
          <w:tab w:val="left" w:pos="4667"/>
        </w:tabs>
        <w:spacing w:after="0" w:line="360" w:lineRule="auto"/>
        <w:ind w:left="567" w:right="567"/>
        <w:rPr>
          <w:rFonts w:cs="Tahoma"/>
          <w:bCs/>
          <w:i/>
          <w:sz w:val="20"/>
          <w:szCs w:val="20"/>
        </w:rPr>
      </w:pPr>
      <w:r w:rsidRPr="00F703C9">
        <w:rPr>
          <w:rFonts w:cs="Tahoma"/>
          <w:bCs/>
          <w:i/>
          <w:sz w:val="20"/>
          <w:szCs w:val="20"/>
        </w:rPr>
        <w:t>A efecto de garantizar el derecho a la información pública, solicito a usted, remita a través de este medio, en formato PDF, los equipos de bienes informáticos a los que les fuera dado mantenimiento por la empresa GURIK SA DE CV, y por la cual, le fueran pagados $1,716,800.00 (UN MILLON SETECIENTOS DIECISEIS MIL OCHOCIENTOS PESOS 00/100 M.N.)</w:t>
      </w:r>
      <w:r w:rsidR="006A0867" w:rsidRPr="00F703C9">
        <w:rPr>
          <w:rFonts w:cs="Tahoma"/>
          <w:bCs/>
          <w:i/>
          <w:sz w:val="20"/>
          <w:szCs w:val="20"/>
        </w:rPr>
        <w:t xml:space="preserve">” </w:t>
      </w:r>
    </w:p>
    <w:p w14:paraId="349885DE" w14:textId="77777777" w:rsidR="006A0867" w:rsidRPr="00F703C9" w:rsidRDefault="006A0867" w:rsidP="00DA2D9B">
      <w:pPr>
        <w:tabs>
          <w:tab w:val="left" w:pos="4667"/>
        </w:tabs>
        <w:spacing w:after="0" w:line="360" w:lineRule="auto"/>
        <w:ind w:left="567" w:right="567"/>
        <w:rPr>
          <w:rFonts w:cs="Tahoma"/>
          <w:bCs/>
          <w:i/>
          <w:sz w:val="20"/>
          <w:szCs w:val="20"/>
        </w:rPr>
      </w:pPr>
    </w:p>
    <w:p w14:paraId="09EF88BF" w14:textId="2FAF3435" w:rsidR="006A0867" w:rsidRPr="00F703C9" w:rsidRDefault="006A0867" w:rsidP="00DA2D9B">
      <w:pPr>
        <w:tabs>
          <w:tab w:val="left" w:pos="4667"/>
        </w:tabs>
        <w:spacing w:after="0" w:line="360" w:lineRule="auto"/>
        <w:ind w:left="567" w:right="567"/>
        <w:rPr>
          <w:rFonts w:cs="Tahoma"/>
          <w:b/>
          <w:bCs/>
          <w:i/>
          <w:sz w:val="20"/>
          <w:szCs w:val="20"/>
        </w:rPr>
      </w:pPr>
      <w:r w:rsidRPr="00F703C9">
        <w:rPr>
          <w:rFonts w:cs="Tahoma"/>
          <w:b/>
          <w:bCs/>
          <w:i/>
          <w:sz w:val="20"/>
          <w:szCs w:val="20"/>
        </w:rPr>
        <w:t>RAZONES O MOTIVOS DE LA INCONFORMIDAD</w:t>
      </w:r>
    </w:p>
    <w:p w14:paraId="4B0AE814" w14:textId="39C00906" w:rsidR="0036188C" w:rsidRPr="00F703C9" w:rsidRDefault="00E5556F" w:rsidP="00E5556F">
      <w:pPr>
        <w:tabs>
          <w:tab w:val="left" w:pos="4667"/>
        </w:tabs>
        <w:spacing w:after="0" w:line="360" w:lineRule="auto"/>
        <w:ind w:left="567" w:right="567"/>
        <w:rPr>
          <w:rFonts w:cs="Tahoma"/>
          <w:i/>
          <w:sz w:val="20"/>
          <w:szCs w:val="20"/>
        </w:rPr>
      </w:pPr>
      <w:r w:rsidRPr="00F703C9">
        <w:rPr>
          <w:rFonts w:cs="Tahoma"/>
          <w:i/>
          <w:sz w:val="20"/>
          <w:szCs w:val="20"/>
        </w:rPr>
        <w:t>La institución no entrega la información solicitada.</w:t>
      </w:r>
      <w:r w:rsidR="006A0867" w:rsidRPr="00F703C9">
        <w:rPr>
          <w:rFonts w:cs="Tahoma"/>
          <w:i/>
          <w:sz w:val="20"/>
          <w:szCs w:val="20"/>
        </w:rPr>
        <w:t xml:space="preserve">” </w:t>
      </w:r>
    </w:p>
    <w:p w14:paraId="72C61E1B" w14:textId="77777777" w:rsidR="00E5556F" w:rsidRPr="00F703C9" w:rsidRDefault="00E5556F" w:rsidP="00E5556F">
      <w:pPr>
        <w:tabs>
          <w:tab w:val="left" w:pos="4667"/>
        </w:tabs>
        <w:spacing w:after="0" w:line="360" w:lineRule="auto"/>
        <w:ind w:left="567" w:right="567"/>
        <w:rPr>
          <w:rFonts w:cs="Tahoma"/>
          <w:i/>
          <w:sz w:val="20"/>
          <w:szCs w:val="20"/>
        </w:rPr>
      </w:pPr>
    </w:p>
    <w:p w14:paraId="777C0AF5" w14:textId="3FFD5989" w:rsidR="006D15F3" w:rsidRPr="00F703C9" w:rsidRDefault="006D15F3" w:rsidP="006D15F3">
      <w:pPr>
        <w:spacing w:after="0" w:line="360" w:lineRule="auto"/>
        <w:ind w:left="567" w:right="567"/>
        <w:contextualSpacing/>
        <w:rPr>
          <w:rFonts w:cs="Tahoma"/>
          <w:b/>
          <w:bCs/>
          <w:i/>
          <w:sz w:val="20"/>
          <w:szCs w:val="20"/>
        </w:rPr>
      </w:pPr>
      <w:r w:rsidRPr="00F703C9">
        <w:rPr>
          <w:rFonts w:cs="Tahoma"/>
          <w:b/>
          <w:bCs/>
          <w:i/>
          <w:sz w:val="20"/>
          <w:szCs w:val="20"/>
        </w:rPr>
        <w:t xml:space="preserve">Recurso de Revisión </w:t>
      </w:r>
      <w:r w:rsidRPr="00F703C9">
        <w:rPr>
          <w:b/>
          <w:bCs/>
          <w:i/>
          <w:iCs/>
          <w:sz w:val="20"/>
          <w:szCs w:val="20"/>
        </w:rPr>
        <w:t>05482/INFOEM/IP/RR/2024</w:t>
      </w:r>
    </w:p>
    <w:p w14:paraId="6CBD4559" w14:textId="77777777" w:rsidR="006D15F3" w:rsidRPr="00F703C9" w:rsidRDefault="006D15F3" w:rsidP="006D15F3">
      <w:pPr>
        <w:spacing w:after="0" w:line="360" w:lineRule="auto"/>
        <w:ind w:left="567" w:right="567"/>
        <w:contextualSpacing/>
        <w:rPr>
          <w:rFonts w:cs="Tahoma"/>
          <w:b/>
          <w:bCs/>
          <w:i/>
          <w:sz w:val="20"/>
          <w:szCs w:val="20"/>
        </w:rPr>
      </w:pPr>
      <w:r w:rsidRPr="00F703C9">
        <w:rPr>
          <w:rFonts w:cs="Tahoma"/>
          <w:b/>
          <w:bCs/>
          <w:i/>
          <w:sz w:val="20"/>
          <w:szCs w:val="20"/>
        </w:rPr>
        <w:t>ACTO IMPUGNADO</w:t>
      </w:r>
    </w:p>
    <w:p w14:paraId="341A5A59" w14:textId="00BA5F63" w:rsidR="006D15F3" w:rsidRPr="00F703C9" w:rsidRDefault="005B03EC" w:rsidP="006D15F3">
      <w:pPr>
        <w:tabs>
          <w:tab w:val="left" w:pos="4667"/>
        </w:tabs>
        <w:spacing w:after="0" w:line="360" w:lineRule="auto"/>
        <w:ind w:left="567" w:right="567"/>
        <w:rPr>
          <w:rFonts w:cs="Tahoma"/>
          <w:bCs/>
          <w:i/>
          <w:sz w:val="20"/>
          <w:szCs w:val="20"/>
        </w:rPr>
      </w:pPr>
      <w:r w:rsidRPr="00F703C9">
        <w:rPr>
          <w:rFonts w:cs="Tahoma"/>
          <w:bCs/>
          <w:i/>
          <w:sz w:val="20"/>
          <w:szCs w:val="20"/>
        </w:rPr>
        <w:t>A efecto de garantizar el derecho a la información pública, solicito a usted, remita a través de este medio, en formato PDF, cuales fueron las cámaras de video a las que la empresa GURIK, SA DE CV les diera mantenimiento, y por la cual, le fueran pagados $4,408,000.00 (CUATRO MILLONES CUATROCIENTOS OCHO MIL PESOS 00/100 M.N.)</w:t>
      </w:r>
      <w:r w:rsidR="006D15F3" w:rsidRPr="00F703C9">
        <w:rPr>
          <w:rFonts w:cs="Tahoma"/>
          <w:bCs/>
          <w:i/>
          <w:sz w:val="20"/>
          <w:szCs w:val="20"/>
        </w:rPr>
        <w:t xml:space="preserve">” </w:t>
      </w:r>
    </w:p>
    <w:p w14:paraId="7208DB46" w14:textId="77777777" w:rsidR="006D15F3" w:rsidRPr="00F703C9" w:rsidRDefault="006D15F3" w:rsidP="006D15F3">
      <w:pPr>
        <w:tabs>
          <w:tab w:val="left" w:pos="4667"/>
        </w:tabs>
        <w:spacing w:after="0" w:line="360" w:lineRule="auto"/>
        <w:ind w:left="567" w:right="567"/>
        <w:rPr>
          <w:rFonts w:cs="Tahoma"/>
          <w:bCs/>
          <w:i/>
          <w:sz w:val="20"/>
          <w:szCs w:val="20"/>
        </w:rPr>
      </w:pPr>
    </w:p>
    <w:p w14:paraId="58D10F8E" w14:textId="77777777" w:rsidR="006D15F3" w:rsidRPr="00F703C9" w:rsidRDefault="006D15F3" w:rsidP="006D15F3">
      <w:pPr>
        <w:tabs>
          <w:tab w:val="left" w:pos="4667"/>
        </w:tabs>
        <w:spacing w:after="0" w:line="360" w:lineRule="auto"/>
        <w:ind w:left="567" w:right="567"/>
        <w:rPr>
          <w:rFonts w:cs="Tahoma"/>
          <w:b/>
          <w:bCs/>
          <w:i/>
          <w:sz w:val="20"/>
          <w:szCs w:val="20"/>
        </w:rPr>
      </w:pPr>
      <w:r w:rsidRPr="00F703C9">
        <w:rPr>
          <w:rFonts w:cs="Tahoma"/>
          <w:b/>
          <w:bCs/>
          <w:i/>
          <w:sz w:val="20"/>
          <w:szCs w:val="20"/>
        </w:rPr>
        <w:t>RAZONES O MOTIVOS DE LA INCONFORMIDAD</w:t>
      </w:r>
    </w:p>
    <w:p w14:paraId="674E8FA1" w14:textId="77777777" w:rsidR="006D15F3" w:rsidRPr="00F703C9" w:rsidRDefault="006D15F3" w:rsidP="006D15F3">
      <w:pPr>
        <w:tabs>
          <w:tab w:val="left" w:pos="4667"/>
        </w:tabs>
        <w:spacing w:after="0" w:line="360" w:lineRule="auto"/>
        <w:ind w:left="567" w:right="567"/>
        <w:rPr>
          <w:rFonts w:cs="Tahoma"/>
          <w:i/>
          <w:sz w:val="20"/>
          <w:szCs w:val="20"/>
        </w:rPr>
      </w:pPr>
      <w:r w:rsidRPr="00F703C9">
        <w:rPr>
          <w:rFonts w:cs="Tahoma"/>
          <w:i/>
          <w:sz w:val="20"/>
          <w:szCs w:val="20"/>
        </w:rPr>
        <w:t xml:space="preserve">La institución no entrega la información solicitada.” </w:t>
      </w:r>
    </w:p>
    <w:p w14:paraId="3F81F40A" w14:textId="77777777" w:rsidR="006D15F3" w:rsidRPr="00F703C9" w:rsidRDefault="006D15F3" w:rsidP="00E5556F">
      <w:pPr>
        <w:tabs>
          <w:tab w:val="left" w:pos="4667"/>
        </w:tabs>
        <w:spacing w:after="0" w:line="360" w:lineRule="auto"/>
        <w:ind w:left="567" w:right="567"/>
        <w:rPr>
          <w:rFonts w:cs="Tahoma"/>
          <w:i/>
          <w:sz w:val="20"/>
          <w:szCs w:val="20"/>
        </w:rPr>
      </w:pPr>
    </w:p>
    <w:p w14:paraId="2D3CE335" w14:textId="60A48B09" w:rsidR="00DB3DC5" w:rsidRPr="00F703C9" w:rsidRDefault="00DB3DC5" w:rsidP="00DA2D9B">
      <w:pPr>
        <w:spacing w:after="0" w:line="360" w:lineRule="auto"/>
        <w:contextualSpacing/>
        <w:rPr>
          <w:rFonts w:eastAsia="Batang" w:cs="Tahoma"/>
          <w:b/>
          <w:bCs/>
          <w:color w:val="000000"/>
        </w:rPr>
      </w:pPr>
      <w:r w:rsidRPr="00F703C9">
        <w:rPr>
          <w:rFonts w:eastAsia="Calibri" w:cs="Tahoma"/>
          <w:b/>
          <w:color w:val="000000"/>
        </w:rPr>
        <w:t xml:space="preserve">IV. </w:t>
      </w:r>
      <w:r w:rsidRPr="00F703C9">
        <w:rPr>
          <w:rFonts w:eastAsia="Batang" w:cs="Tahoma"/>
          <w:b/>
          <w:bCs/>
          <w:color w:val="000000"/>
        </w:rPr>
        <w:t>Trámite del Recurso de Revisión</w:t>
      </w:r>
      <w:r w:rsidRPr="00F703C9">
        <w:rPr>
          <w:rFonts w:eastAsia="Calibri" w:cs="Tahoma"/>
          <w:b/>
          <w:color w:val="000000"/>
        </w:rPr>
        <w:t xml:space="preserve"> </w:t>
      </w:r>
      <w:r w:rsidRPr="00F703C9">
        <w:rPr>
          <w:rFonts w:eastAsia="Batang" w:cs="Tahoma"/>
          <w:b/>
          <w:bCs/>
          <w:color w:val="000000"/>
        </w:rPr>
        <w:t xml:space="preserve">ante este </w:t>
      </w:r>
      <w:r w:rsidR="00C21E45" w:rsidRPr="00F703C9">
        <w:rPr>
          <w:rFonts w:eastAsia="Batang" w:cs="Tahoma"/>
          <w:b/>
          <w:bCs/>
          <w:color w:val="000000"/>
        </w:rPr>
        <w:t>Instituto</w:t>
      </w:r>
    </w:p>
    <w:p w14:paraId="13E537D5" w14:textId="77777777" w:rsidR="00DB3DC5" w:rsidRPr="00F703C9" w:rsidRDefault="00DB3DC5" w:rsidP="00DA2D9B">
      <w:pPr>
        <w:spacing w:after="0" w:line="360" w:lineRule="auto"/>
        <w:contextualSpacing/>
        <w:rPr>
          <w:rFonts w:eastAsia="Batang" w:cs="Tahoma"/>
          <w:b/>
          <w:bCs/>
          <w:color w:val="000000"/>
        </w:rPr>
      </w:pPr>
    </w:p>
    <w:p w14:paraId="5B9B961B" w14:textId="6F588828" w:rsidR="00DB3DC5" w:rsidRPr="00F703C9" w:rsidRDefault="00DB3DC5" w:rsidP="00DA2D9B">
      <w:pPr>
        <w:spacing w:after="0" w:line="360" w:lineRule="auto"/>
        <w:contextualSpacing/>
        <w:rPr>
          <w:rFonts w:eastAsia="Batang" w:cs="Tahoma"/>
          <w:b/>
          <w:bCs/>
          <w:color w:val="000000"/>
        </w:rPr>
      </w:pPr>
      <w:r w:rsidRPr="00F703C9">
        <w:rPr>
          <w:rFonts w:eastAsia="Batang" w:cs="Tahoma"/>
          <w:b/>
          <w:bCs/>
          <w:color w:val="000000"/>
        </w:rPr>
        <w:t xml:space="preserve">a) Turno del Medio de Impugnación. </w:t>
      </w:r>
      <w:r w:rsidRPr="00F703C9">
        <w:rPr>
          <w:rFonts w:eastAsia="Batang" w:cs="Tahoma"/>
          <w:bCs/>
          <w:color w:val="000000"/>
        </w:rPr>
        <w:t xml:space="preserve">El </w:t>
      </w:r>
      <w:r w:rsidR="00B709E8" w:rsidRPr="00F703C9">
        <w:rPr>
          <w:rFonts w:eastAsia="Calibri" w:cs="Times New Roman"/>
          <w:bCs/>
        </w:rPr>
        <w:t xml:space="preserve">cuatro de septiembre </w:t>
      </w:r>
      <w:r w:rsidR="00FE097D" w:rsidRPr="00F703C9">
        <w:rPr>
          <w:rFonts w:eastAsia="Times New Roman" w:cs="Tahoma"/>
          <w:bCs/>
          <w:color w:val="auto"/>
          <w:lang w:eastAsia="es-ES"/>
        </w:rPr>
        <w:t>de dos mil veinticuatro</w:t>
      </w:r>
      <w:r w:rsidRPr="00F703C9">
        <w:rPr>
          <w:rFonts w:eastAsia="Batang" w:cs="Tahoma"/>
          <w:bCs/>
          <w:color w:val="000000"/>
        </w:rPr>
        <w:t xml:space="preserve">, el </w:t>
      </w:r>
      <w:r w:rsidRPr="00F703C9">
        <w:rPr>
          <w:rFonts w:eastAsia="Calibri" w:cs="Tahoma"/>
          <w:color w:val="000000"/>
          <w:lang w:val="es-ES"/>
        </w:rPr>
        <w:t>Sistema de Acceso a la Información Mexiquense (SAIMEX),</w:t>
      </w:r>
      <w:r w:rsidRPr="00F703C9">
        <w:rPr>
          <w:rFonts w:eastAsia="Batang" w:cs="Tahoma"/>
          <w:bCs/>
          <w:color w:val="000000"/>
        </w:rPr>
        <w:t xml:space="preserve"> </w:t>
      </w:r>
      <w:r w:rsidR="0089704B" w:rsidRPr="00F703C9">
        <w:rPr>
          <w:rFonts w:eastAsia="Batang" w:cs="Tahoma"/>
          <w:bCs/>
          <w:lang w:val="es-ES_tradnl"/>
        </w:rPr>
        <w:t>asignó los números de expedientes</w:t>
      </w:r>
      <w:r w:rsidR="00B709E8" w:rsidRPr="00F703C9">
        <w:rPr>
          <w:b/>
        </w:rPr>
        <w:t xml:space="preserve"> </w:t>
      </w:r>
      <w:r w:rsidR="00B709E8" w:rsidRPr="00F703C9">
        <w:rPr>
          <w:rFonts w:eastAsia="Calibri" w:cs="Tahoma"/>
          <w:b/>
          <w:bCs/>
        </w:rPr>
        <w:t>05</w:t>
      </w:r>
      <w:r w:rsidR="00816119" w:rsidRPr="00F703C9">
        <w:rPr>
          <w:rFonts w:eastAsia="Calibri" w:cs="Tahoma"/>
          <w:b/>
          <w:bCs/>
        </w:rPr>
        <w:t>481</w:t>
      </w:r>
      <w:r w:rsidR="00B709E8" w:rsidRPr="00F703C9">
        <w:rPr>
          <w:rFonts w:eastAsia="Calibri" w:cs="Tahoma"/>
          <w:b/>
          <w:bCs/>
        </w:rPr>
        <w:t>/</w:t>
      </w:r>
      <w:r w:rsidR="00B709E8" w:rsidRPr="00F703C9">
        <w:rPr>
          <w:b/>
          <w:bCs/>
        </w:rPr>
        <w:t>INFOEM/IP/RR/2024</w:t>
      </w:r>
      <w:r w:rsidR="00816119" w:rsidRPr="00F703C9">
        <w:rPr>
          <w:b/>
          <w:bCs/>
        </w:rPr>
        <w:t xml:space="preserve"> y</w:t>
      </w:r>
      <w:r w:rsidR="00B709E8" w:rsidRPr="00F703C9">
        <w:rPr>
          <w:b/>
          <w:bCs/>
        </w:rPr>
        <w:t xml:space="preserve"> </w:t>
      </w:r>
      <w:r w:rsidR="00B709E8" w:rsidRPr="00F703C9">
        <w:rPr>
          <w:rFonts w:eastAsia="Calibri" w:cs="Tahoma"/>
          <w:b/>
          <w:bCs/>
        </w:rPr>
        <w:t>05</w:t>
      </w:r>
      <w:r w:rsidR="00816119" w:rsidRPr="00F703C9">
        <w:rPr>
          <w:rFonts w:eastAsia="Calibri" w:cs="Tahoma"/>
          <w:b/>
          <w:bCs/>
        </w:rPr>
        <w:t>482</w:t>
      </w:r>
      <w:r w:rsidR="00B709E8" w:rsidRPr="00F703C9">
        <w:rPr>
          <w:rFonts w:eastAsia="Calibri" w:cs="Tahoma"/>
          <w:b/>
          <w:bCs/>
        </w:rPr>
        <w:t>/INFOEM/IP/RR/2024</w:t>
      </w:r>
      <w:r w:rsidRPr="00F703C9">
        <w:rPr>
          <w:rFonts w:eastAsia="Batang" w:cs="Tahoma"/>
          <w:bCs/>
          <w:color w:val="000000"/>
        </w:rPr>
        <w:t xml:space="preserve">, al Medio de Impugnación que nos ocupa, con base en el sistema aprobado por el Pleno de este </w:t>
      </w:r>
      <w:r w:rsidR="00086A5E" w:rsidRPr="00F703C9">
        <w:rPr>
          <w:rFonts w:eastAsia="Batang" w:cs="Tahoma"/>
          <w:bCs/>
          <w:color w:val="000000"/>
        </w:rPr>
        <w:t xml:space="preserve">Organismo </w:t>
      </w:r>
      <w:r w:rsidRPr="00F703C9">
        <w:rPr>
          <w:rFonts w:eastAsia="Batang" w:cs="Tahoma"/>
          <w:bCs/>
          <w:color w:val="000000"/>
        </w:rPr>
        <w:t>Garante y lo</w:t>
      </w:r>
      <w:r w:rsidR="004C2401" w:rsidRPr="00F703C9">
        <w:rPr>
          <w:rFonts w:eastAsia="Batang" w:cs="Tahoma"/>
          <w:bCs/>
          <w:color w:val="000000"/>
        </w:rPr>
        <w:t>s</w:t>
      </w:r>
      <w:r w:rsidRPr="00F703C9">
        <w:rPr>
          <w:rFonts w:eastAsia="Batang" w:cs="Tahoma"/>
          <w:bCs/>
          <w:color w:val="000000"/>
        </w:rPr>
        <w:t xml:space="preserve"> turnó a</w:t>
      </w:r>
      <w:r w:rsidR="00086A5E" w:rsidRPr="00F703C9">
        <w:rPr>
          <w:rFonts w:eastAsia="Batang" w:cs="Tahoma"/>
          <w:bCs/>
          <w:color w:val="000000"/>
        </w:rPr>
        <w:t xml:space="preserve"> los</w:t>
      </w:r>
      <w:r w:rsidR="00AD2A74" w:rsidRPr="00F703C9">
        <w:rPr>
          <w:rFonts w:eastAsia="Batang" w:cs="Tahoma"/>
          <w:bCs/>
          <w:color w:val="000000"/>
        </w:rPr>
        <w:t xml:space="preserve"> </w:t>
      </w:r>
      <w:r w:rsidR="00AD2A74" w:rsidRPr="00F703C9">
        <w:rPr>
          <w:rFonts w:eastAsia="Batang" w:cs="Tahoma"/>
          <w:bCs/>
          <w:color w:val="000000"/>
          <w:lang w:val="es-ES_tradnl"/>
        </w:rPr>
        <w:t>Comisionado</w:t>
      </w:r>
      <w:r w:rsidR="00AD2A74" w:rsidRPr="00F703C9">
        <w:rPr>
          <w:rFonts w:eastAsia="Times New Roman" w:cs="Tahoma"/>
          <w:bCs/>
          <w:lang w:eastAsia="es-ES"/>
        </w:rPr>
        <w:t>s Sharon Cristina Morales Martínez</w:t>
      </w:r>
      <w:r w:rsidR="00816119" w:rsidRPr="00F703C9">
        <w:rPr>
          <w:rFonts w:eastAsia="Times New Roman" w:cs="Tahoma"/>
          <w:bCs/>
          <w:lang w:eastAsia="es-ES"/>
        </w:rPr>
        <w:t xml:space="preserve"> y</w:t>
      </w:r>
      <w:r w:rsidR="00AD2A74" w:rsidRPr="00F703C9">
        <w:rPr>
          <w:rFonts w:eastAsia="Times New Roman" w:cs="Tahoma"/>
          <w:bCs/>
          <w:lang w:eastAsia="es-ES"/>
        </w:rPr>
        <w:t xml:space="preserve"> Luis Gustavo Parra Noriega</w:t>
      </w:r>
      <w:r w:rsidRPr="00F703C9">
        <w:rPr>
          <w:rFonts w:eastAsia="Batang" w:cs="Tahoma"/>
          <w:bCs/>
          <w:color w:val="000000"/>
        </w:rPr>
        <w:t>,</w:t>
      </w:r>
      <w:r w:rsidR="00086A5E" w:rsidRPr="00F703C9">
        <w:rPr>
          <w:rFonts w:eastAsia="Batang" w:cs="Tahoma"/>
          <w:bCs/>
          <w:color w:val="000000"/>
        </w:rPr>
        <w:t xml:space="preserve"> </w:t>
      </w:r>
      <w:r w:rsidRPr="00F703C9">
        <w:rPr>
          <w:rFonts w:eastAsia="Batang" w:cs="Tahoma"/>
          <w:bCs/>
          <w:color w:val="000000"/>
        </w:rPr>
        <w:t xml:space="preserve"> para los efectos del artículo 185, fracción I de la Ley de Transparencia y Acceso a la Información Pública del Estado de México y Municipios.</w:t>
      </w:r>
    </w:p>
    <w:p w14:paraId="7ADA7EB2" w14:textId="77777777" w:rsidR="00DB3DC5" w:rsidRPr="00F703C9" w:rsidRDefault="00DB3DC5" w:rsidP="00DA2D9B">
      <w:pPr>
        <w:spacing w:after="0" w:line="360" w:lineRule="auto"/>
        <w:contextualSpacing/>
        <w:rPr>
          <w:rFonts w:eastAsia="Batang" w:cs="Tahoma"/>
          <w:bCs/>
          <w:color w:val="000000"/>
        </w:rPr>
      </w:pPr>
    </w:p>
    <w:p w14:paraId="2B3B5A4B" w14:textId="31FAFE79" w:rsidR="00DB3DC5" w:rsidRPr="00F703C9" w:rsidRDefault="00DB3DC5" w:rsidP="00DA2D9B">
      <w:pPr>
        <w:spacing w:after="0" w:line="360" w:lineRule="auto"/>
        <w:contextualSpacing/>
        <w:rPr>
          <w:rFonts w:eastAsia="Times New Roman" w:cs="Tahoma"/>
          <w:b/>
          <w:bCs/>
          <w:color w:val="auto"/>
          <w:lang w:eastAsia="es-ES"/>
        </w:rPr>
      </w:pPr>
      <w:r w:rsidRPr="00F703C9">
        <w:rPr>
          <w:rFonts w:eastAsia="Times New Roman" w:cs="Tahoma"/>
          <w:b/>
          <w:bCs/>
          <w:color w:val="auto"/>
          <w:lang w:eastAsia="es-ES"/>
        </w:rPr>
        <w:t>b) Admisión de</w:t>
      </w:r>
      <w:r w:rsidR="0089704B" w:rsidRPr="00F703C9">
        <w:rPr>
          <w:rFonts w:eastAsia="Times New Roman" w:cs="Tahoma"/>
          <w:b/>
          <w:bCs/>
          <w:color w:val="auto"/>
          <w:lang w:eastAsia="es-ES"/>
        </w:rPr>
        <w:t xml:space="preserve"> los</w:t>
      </w:r>
      <w:r w:rsidRPr="00F703C9">
        <w:rPr>
          <w:rFonts w:eastAsia="Times New Roman" w:cs="Tahoma"/>
          <w:b/>
          <w:bCs/>
          <w:color w:val="auto"/>
          <w:lang w:eastAsia="es-ES"/>
        </w:rPr>
        <w:t xml:space="preserve"> Recurso</w:t>
      </w:r>
      <w:r w:rsidR="0089704B" w:rsidRPr="00F703C9">
        <w:rPr>
          <w:rFonts w:eastAsia="Times New Roman" w:cs="Tahoma"/>
          <w:b/>
          <w:bCs/>
          <w:color w:val="auto"/>
          <w:lang w:eastAsia="es-ES"/>
        </w:rPr>
        <w:t>s</w:t>
      </w:r>
      <w:r w:rsidRPr="00F703C9">
        <w:rPr>
          <w:rFonts w:eastAsia="Times New Roman" w:cs="Tahoma"/>
          <w:b/>
          <w:bCs/>
          <w:color w:val="auto"/>
          <w:lang w:eastAsia="es-ES"/>
        </w:rPr>
        <w:t xml:space="preserve"> de Revisión</w:t>
      </w:r>
      <w:r w:rsidRPr="00F703C9">
        <w:rPr>
          <w:rFonts w:eastAsia="Times New Roman" w:cs="Tahoma"/>
          <w:b/>
          <w:bCs/>
          <w:color w:val="auto"/>
          <w:lang w:val="es-ES_tradnl" w:eastAsia="es-ES"/>
        </w:rPr>
        <w:t xml:space="preserve">. </w:t>
      </w:r>
      <w:r w:rsidRPr="00F703C9">
        <w:rPr>
          <w:rFonts w:eastAsia="Times New Roman" w:cs="Tahoma"/>
          <w:bCs/>
          <w:color w:val="auto"/>
          <w:lang w:val="es-ES_tradnl" w:eastAsia="es-ES"/>
        </w:rPr>
        <w:t xml:space="preserve">El </w:t>
      </w:r>
      <w:r w:rsidR="002E2D12" w:rsidRPr="00F703C9">
        <w:rPr>
          <w:rFonts w:eastAsia="Times New Roman" w:cs="Tahoma"/>
          <w:bCs/>
          <w:color w:val="auto"/>
          <w:lang w:val="es-ES_tradnl" w:eastAsia="es-ES"/>
        </w:rPr>
        <w:t xml:space="preserve">seis y </w:t>
      </w:r>
      <w:r w:rsidR="00B709E8" w:rsidRPr="00F703C9">
        <w:rPr>
          <w:rFonts w:eastAsia="Times New Roman" w:cs="Tahoma"/>
          <w:bCs/>
          <w:color w:val="auto"/>
          <w:lang w:val="es-ES_tradnl" w:eastAsia="es-ES"/>
        </w:rPr>
        <w:t xml:space="preserve">nueve de septiembre </w:t>
      </w:r>
      <w:r w:rsidR="00FE097D" w:rsidRPr="00F703C9">
        <w:rPr>
          <w:rFonts w:eastAsia="Batang" w:cs="Tahoma"/>
          <w:bCs/>
          <w:color w:val="000000"/>
        </w:rPr>
        <w:t>de dos mil veinticuatro</w:t>
      </w:r>
      <w:r w:rsidRPr="00F703C9">
        <w:rPr>
          <w:rFonts w:eastAsia="Times New Roman" w:cs="Tahoma"/>
          <w:bCs/>
          <w:color w:val="auto"/>
          <w:lang w:val="es-ES_tradnl" w:eastAsia="es-ES"/>
        </w:rPr>
        <w:t>, se acordó la admisión de</w:t>
      </w:r>
      <w:r w:rsidR="0089704B" w:rsidRPr="00F703C9">
        <w:rPr>
          <w:rFonts w:eastAsia="Times New Roman" w:cs="Tahoma"/>
          <w:bCs/>
          <w:color w:val="auto"/>
          <w:lang w:val="es-ES_tradnl" w:eastAsia="es-ES"/>
        </w:rPr>
        <w:t xml:space="preserve"> los</w:t>
      </w:r>
      <w:r w:rsidRPr="00F703C9">
        <w:rPr>
          <w:rFonts w:eastAsia="Times New Roman" w:cs="Tahoma"/>
          <w:bCs/>
          <w:color w:val="auto"/>
          <w:lang w:val="es-ES_tradnl" w:eastAsia="es-ES"/>
        </w:rPr>
        <w:t xml:space="preserve"> Recurso</w:t>
      </w:r>
      <w:r w:rsidR="0089704B" w:rsidRPr="00F703C9">
        <w:rPr>
          <w:rFonts w:eastAsia="Times New Roman" w:cs="Tahoma"/>
          <w:bCs/>
          <w:color w:val="auto"/>
          <w:lang w:val="es-ES_tradnl" w:eastAsia="es-ES"/>
        </w:rPr>
        <w:t>s</w:t>
      </w:r>
      <w:r w:rsidRPr="00F703C9">
        <w:rPr>
          <w:rFonts w:eastAsia="Times New Roman" w:cs="Tahoma"/>
          <w:bCs/>
          <w:color w:val="auto"/>
          <w:lang w:val="es-ES_tradnl" w:eastAsia="es-ES"/>
        </w:rPr>
        <w:t xml:space="preserve"> de Revisión interpuesto por la Recurrente en contra del Sujeto Obligado, en términos del artículo 185, fracciones I y II de la Ley de Transparencia y Acceso a la Información Pública del Estado de México y Municipios, </w:t>
      </w:r>
      <w:r w:rsidR="0089704B" w:rsidRPr="00F703C9">
        <w:rPr>
          <w:rFonts w:eastAsia="Times New Roman" w:cs="Tahoma"/>
          <w:bCs/>
          <w:color w:val="auto"/>
          <w:lang w:val="es-ES_tradnl" w:eastAsia="es-ES"/>
        </w:rPr>
        <w:t>los</w:t>
      </w:r>
      <w:r w:rsidRPr="00F703C9">
        <w:rPr>
          <w:rFonts w:eastAsia="Times New Roman" w:cs="Tahoma"/>
          <w:bCs/>
          <w:color w:val="auto"/>
          <w:lang w:val="es-ES_tradnl" w:eastAsia="es-ES"/>
        </w:rPr>
        <w:t xml:space="preserve"> cual</w:t>
      </w:r>
      <w:r w:rsidR="0089704B" w:rsidRPr="00F703C9">
        <w:rPr>
          <w:rFonts w:eastAsia="Times New Roman" w:cs="Tahoma"/>
          <w:bCs/>
          <w:color w:val="auto"/>
          <w:lang w:val="es-ES_tradnl" w:eastAsia="es-ES"/>
        </w:rPr>
        <w:t>es</w:t>
      </w:r>
      <w:r w:rsidRPr="00F703C9">
        <w:rPr>
          <w:rFonts w:eastAsia="Times New Roman" w:cs="Tahoma"/>
          <w:bCs/>
          <w:color w:val="auto"/>
          <w:lang w:val="es-ES_tradnl" w:eastAsia="es-ES"/>
        </w:rPr>
        <w:t xml:space="preserve"> fue</w:t>
      </w:r>
      <w:r w:rsidR="0089704B" w:rsidRPr="00F703C9">
        <w:rPr>
          <w:rFonts w:eastAsia="Times New Roman" w:cs="Tahoma"/>
          <w:bCs/>
          <w:color w:val="auto"/>
          <w:lang w:val="es-ES_tradnl" w:eastAsia="es-ES"/>
        </w:rPr>
        <w:t>ron</w:t>
      </w:r>
      <w:r w:rsidRPr="00F703C9">
        <w:rPr>
          <w:rFonts w:eastAsia="Times New Roman" w:cs="Tahoma"/>
          <w:bCs/>
          <w:color w:val="auto"/>
          <w:lang w:val="es-ES_tradnl" w:eastAsia="es-ES"/>
        </w:rPr>
        <w:t xml:space="preserve"> debidamente notificado a las partes </w:t>
      </w:r>
      <w:r w:rsidR="007738F3" w:rsidRPr="00F703C9">
        <w:rPr>
          <w:rFonts w:eastAsia="Times New Roman" w:cs="Tahoma"/>
          <w:bCs/>
          <w:color w:val="auto"/>
          <w:lang w:val="es-ES_tradnl" w:eastAsia="es-ES"/>
        </w:rPr>
        <w:t xml:space="preserve">el </w:t>
      </w:r>
      <w:r w:rsidR="002E2D12" w:rsidRPr="00F703C9">
        <w:rPr>
          <w:rFonts w:eastAsia="Times New Roman" w:cs="Tahoma"/>
          <w:bCs/>
          <w:color w:val="auto"/>
          <w:lang w:val="es-ES_tradnl" w:eastAsia="es-ES"/>
        </w:rPr>
        <w:t xml:space="preserve">seis y </w:t>
      </w:r>
      <w:r w:rsidR="00B709E8" w:rsidRPr="00F703C9">
        <w:rPr>
          <w:rFonts w:eastAsia="Times New Roman" w:cs="Tahoma"/>
          <w:bCs/>
          <w:color w:val="auto"/>
          <w:lang w:val="es-ES_tradnl" w:eastAsia="es-ES"/>
        </w:rPr>
        <w:t xml:space="preserve">nueve </w:t>
      </w:r>
      <w:r w:rsidR="00721B8E" w:rsidRPr="00F703C9">
        <w:rPr>
          <w:rFonts w:eastAsia="Times New Roman" w:cs="Tahoma"/>
          <w:bCs/>
          <w:color w:val="auto"/>
          <w:lang w:val="es-ES_tradnl" w:eastAsia="es-ES"/>
        </w:rPr>
        <w:t xml:space="preserve">de dicho </w:t>
      </w:r>
      <w:r w:rsidR="00B709E8" w:rsidRPr="00F703C9">
        <w:rPr>
          <w:rFonts w:eastAsia="Times New Roman" w:cs="Tahoma"/>
          <w:bCs/>
          <w:color w:val="auto"/>
          <w:lang w:val="es-ES_tradnl" w:eastAsia="es-ES"/>
        </w:rPr>
        <w:t xml:space="preserve">mes y </w:t>
      </w:r>
      <w:r w:rsidRPr="00F703C9">
        <w:rPr>
          <w:rFonts w:eastAsia="Times New Roman" w:cs="Tahoma"/>
          <w:bCs/>
          <w:color w:val="auto"/>
          <w:lang w:val="es-ES_tradnl" w:eastAsia="es-ES"/>
        </w:rPr>
        <w:t xml:space="preserve">año, a través del Sistema de Acceso a la Información Mexiquense (SAIMEX), en el que se les otorgó un plazo de siete días hábiles posteriores a la misma, para que manifestaran lo que a su derecho conviniera y formularan alegatos. </w:t>
      </w:r>
    </w:p>
    <w:p w14:paraId="1F03AAD1" w14:textId="77777777" w:rsidR="00DB3DC5" w:rsidRPr="00F703C9" w:rsidRDefault="00DB3DC5" w:rsidP="00DA2D9B">
      <w:pPr>
        <w:spacing w:after="0" w:line="360" w:lineRule="auto"/>
        <w:contextualSpacing/>
        <w:rPr>
          <w:rFonts w:cs="Tahoma"/>
        </w:rPr>
      </w:pPr>
    </w:p>
    <w:p w14:paraId="4F8F2F9F" w14:textId="4185AC0A" w:rsidR="006778B9" w:rsidRPr="00F703C9" w:rsidRDefault="006778B9" w:rsidP="00DA2D9B">
      <w:pPr>
        <w:spacing w:after="0" w:line="360" w:lineRule="auto"/>
        <w:rPr>
          <w:bCs/>
          <w:lang w:val="es-ES_tradnl"/>
        </w:rPr>
      </w:pPr>
      <w:r w:rsidRPr="00F703C9">
        <w:rPr>
          <w:rFonts w:cs="Tahoma"/>
          <w:b/>
        </w:rPr>
        <w:t xml:space="preserve">c) </w:t>
      </w:r>
      <w:r w:rsidRPr="00F703C9">
        <w:rPr>
          <w:rFonts w:cs="Tahoma"/>
          <w:b/>
          <w:bCs/>
          <w:iCs/>
          <w:lang w:val="es-ES"/>
        </w:rPr>
        <w:t>Informe Justificado.</w:t>
      </w:r>
      <w:r w:rsidRPr="00F703C9">
        <w:rPr>
          <w:rFonts w:cs="Tahoma"/>
          <w:bCs/>
          <w:iCs/>
          <w:lang w:val="es-ES"/>
        </w:rPr>
        <w:t xml:space="preserve"> </w:t>
      </w:r>
      <w:r w:rsidR="00094584" w:rsidRPr="00F703C9">
        <w:rPr>
          <w:bCs/>
          <w:lang w:val="es-ES_tradnl"/>
        </w:rPr>
        <w:t xml:space="preserve">El </w:t>
      </w:r>
      <w:r w:rsidR="000B6729" w:rsidRPr="00F703C9">
        <w:rPr>
          <w:bCs/>
          <w:lang w:val="es-ES_tradnl"/>
        </w:rPr>
        <w:t>d</w:t>
      </w:r>
      <w:r w:rsidR="00B709E8" w:rsidRPr="00F703C9">
        <w:rPr>
          <w:bCs/>
          <w:lang w:val="es-ES_tradnl"/>
        </w:rPr>
        <w:t>iez de septiembre</w:t>
      </w:r>
      <w:r w:rsidR="009F7F44" w:rsidRPr="00F703C9">
        <w:rPr>
          <w:bCs/>
          <w:lang w:val="es-ES_tradnl"/>
        </w:rPr>
        <w:t xml:space="preserve"> </w:t>
      </w:r>
      <w:r w:rsidR="00FE097D" w:rsidRPr="00F703C9">
        <w:rPr>
          <w:bCs/>
          <w:lang w:val="es-ES_tradnl"/>
        </w:rPr>
        <w:t>de dos mil veinticuatro</w:t>
      </w:r>
      <w:r w:rsidR="00094584" w:rsidRPr="00F703C9">
        <w:rPr>
          <w:bCs/>
          <w:lang w:val="es-ES_tradnl"/>
        </w:rPr>
        <w:t xml:space="preserve"> se recibió</w:t>
      </w:r>
      <w:r w:rsidRPr="00F703C9">
        <w:rPr>
          <w:bCs/>
          <w:lang w:val="es-ES_tradnl"/>
        </w:rPr>
        <w:t xml:space="preserve">, a través de Sistema de Acceso a la Información Mexiquense (SAIMEX), </w:t>
      </w:r>
      <w:r w:rsidR="000A0A70" w:rsidRPr="00F703C9">
        <w:rPr>
          <w:bCs/>
          <w:lang w:val="es-ES_tradnl"/>
        </w:rPr>
        <w:t>los</w:t>
      </w:r>
      <w:r w:rsidRPr="00F703C9">
        <w:rPr>
          <w:bCs/>
          <w:lang w:val="es-ES_tradnl"/>
        </w:rPr>
        <w:t xml:space="preserve"> Informe</w:t>
      </w:r>
      <w:r w:rsidR="000A0A70" w:rsidRPr="00F703C9">
        <w:rPr>
          <w:bCs/>
          <w:lang w:val="es-ES_tradnl"/>
        </w:rPr>
        <w:t>s</w:t>
      </w:r>
      <w:r w:rsidRPr="00F703C9">
        <w:rPr>
          <w:bCs/>
          <w:lang w:val="es-ES_tradnl"/>
        </w:rPr>
        <w:t xml:space="preserve"> Justificado</w:t>
      </w:r>
      <w:r w:rsidR="000A0A70" w:rsidRPr="00F703C9">
        <w:rPr>
          <w:bCs/>
          <w:lang w:val="es-ES_tradnl"/>
        </w:rPr>
        <w:t>s</w:t>
      </w:r>
      <w:r w:rsidRPr="00F703C9">
        <w:rPr>
          <w:bCs/>
          <w:lang w:val="es-ES_tradnl"/>
        </w:rPr>
        <w:t xml:space="preserve"> del Sujeto Obligado, a través de la digitalización de los documentos siguientes:</w:t>
      </w:r>
    </w:p>
    <w:p w14:paraId="0792F0F3" w14:textId="77777777" w:rsidR="000A0A70" w:rsidRPr="00F703C9" w:rsidRDefault="000A0A70" w:rsidP="00DA2D9B">
      <w:pPr>
        <w:spacing w:after="0" w:line="360" w:lineRule="auto"/>
        <w:rPr>
          <w:bCs/>
          <w:lang w:val="es-ES_tradnl"/>
        </w:rPr>
      </w:pPr>
    </w:p>
    <w:tbl>
      <w:tblPr>
        <w:tblStyle w:val="Tablaconcuadrcula"/>
        <w:tblW w:w="9067" w:type="dxa"/>
        <w:tblLook w:val="04A0" w:firstRow="1" w:lastRow="0" w:firstColumn="1" w:lastColumn="0" w:noHBand="0" w:noVBand="1"/>
      </w:tblPr>
      <w:tblGrid>
        <w:gridCol w:w="469"/>
        <w:gridCol w:w="2929"/>
        <w:gridCol w:w="5669"/>
      </w:tblGrid>
      <w:tr w:rsidR="00271133" w:rsidRPr="00F703C9" w14:paraId="411F3E6B" w14:textId="77777777" w:rsidTr="001A23F4">
        <w:tc>
          <w:tcPr>
            <w:tcW w:w="46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A69760" w14:textId="77777777" w:rsidR="00271133" w:rsidRPr="00F703C9" w:rsidRDefault="00271133" w:rsidP="00DA2D9B">
            <w:pPr>
              <w:tabs>
                <w:tab w:val="left" w:pos="567"/>
              </w:tabs>
              <w:spacing w:line="360" w:lineRule="auto"/>
              <w:ind w:right="-28"/>
              <w:contextualSpacing/>
              <w:rPr>
                <w:rFonts w:cs="Tahoma"/>
                <w:color w:val="auto"/>
                <w:sz w:val="20"/>
                <w:szCs w:val="20"/>
                <w:lang w:val="es-MX"/>
              </w:rPr>
            </w:pPr>
          </w:p>
        </w:tc>
        <w:tc>
          <w:tcPr>
            <w:tcW w:w="2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E0A1672" w14:textId="476B9EDE" w:rsidR="00271133" w:rsidRPr="00F703C9" w:rsidRDefault="00271133" w:rsidP="00DA2D9B">
            <w:pPr>
              <w:tabs>
                <w:tab w:val="left" w:pos="567"/>
              </w:tabs>
              <w:spacing w:line="360" w:lineRule="auto"/>
              <w:ind w:right="-28"/>
              <w:contextualSpacing/>
              <w:rPr>
                <w:rFonts w:cs="Tahoma"/>
                <w:b/>
                <w:sz w:val="20"/>
                <w:szCs w:val="20"/>
                <w:lang w:val="es-MX"/>
              </w:rPr>
            </w:pPr>
            <w:r w:rsidRPr="00F703C9">
              <w:rPr>
                <w:rFonts w:cs="Tahoma"/>
                <w:b/>
                <w:bCs/>
                <w:color w:val="0D0D0D" w:themeColor="text1" w:themeTint="F2"/>
                <w:sz w:val="20"/>
                <w:szCs w:val="20"/>
                <w:lang w:val="es-MX"/>
              </w:rPr>
              <w:t xml:space="preserve">RECURSO DE REVISIÓN </w:t>
            </w:r>
          </w:p>
        </w:tc>
        <w:tc>
          <w:tcPr>
            <w:tcW w:w="566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40BBB5A" w14:textId="3F426102" w:rsidR="00271133" w:rsidRPr="00F703C9" w:rsidRDefault="00271133" w:rsidP="00DA2D9B">
            <w:pPr>
              <w:tabs>
                <w:tab w:val="left" w:pos="567"/>
              </w:tabs>
              <w:spacing w:line="360" w:lineRule="auto"/>
              <w:contextualSpacing/>
              <w:rPr>
                <w:rFonts w:cs="Tahoma"/>
                <w:b/>
                <w:sz w:val="20"/>
                <w:szCs w:val="20"/>
                <w:lang w:val="es-MX"/>
              </w:rPr>
            </w:pPr>
            <w:r w:rsidRPr="00F703C9">
              <w:rPr>
                <w:rFonts w:cs="Tahoma"/>
                <w:b/>
                <w:bCs/>
                <w:color w:val="0D0D0D" w:themeColor="text1" w:themeTint="F2"/>
                <w:sz w:val="20"/>
                <w:szCs w:val="20"/>
                <w:lang w:val="es-MX"/>
              </w:rPr>
              <w:t>INFORME JUSTIFICADO</w:t>
            </w:r>
          </w:p>
        </w:tc>
      </w:tr>
      <w:tr w:rsidR="00271133" w:rsidRPr="00F703C9" w14:paraId="1C2912E2" w14:textId="77777777" w:rsidTr="001A23F4">
        <w:tc>
          <w:tcPr>
            <w:tcW w:w="469" w:type="dxa"/>
            <w:tcBorders>
              <w:top w:val="single" w:sz="4" w:space="0" w:color="auto"/>
              <w:left w:val="single" w:sz="4" w:space="0" w:color="auto"/>
              <w:bottom w:val="single" w:sz="4" w:space="0" w:color="auto"/>
              <w:right w:val="single" w:sz="4" w:space="0" w:color="auto"/>
            </w:tcBorders>
            <w:hideMark/>
          </w:tcPr>
          <w:p w14:paraId="66AA56BA" w14:textId="77777777" w:rsidR="00271133" w:rsidRPr="00F703C9" w:rsidRDefault="00271133" w:rsidP="00DA2D9B">
            <w:pPr>
              <w:tabs>
                <w:tab w:val="left" w:pos="567"/>
              </w:tabs>
              <w:spacing w:line="360" w:lineRule="auto"/>
              <w:ind w:right="-28"/>
              <w:contextualSpacing/>
              <w:rPr>
                <w:rFonts w:cs="Tahoma"/>
                <w:sz w:val="20"/>
                <w:szCs w:val="20"/>
                <w:lang w:val="es-MX"/>
              </w:rPr>
            </w:pPr>
            <w:r w:rsidRPr="00F703C9">
              <w:rPr>
                <w:rFonts w:cs="Tahoma"/>
                <w:sz w:val="20"/>
                <w:szCs w:val="20"/>
                <w:lang w:val="es-MX"/>
              </w:rPr>
              <w:t>1</w:t>
            </w:r>
          </w:p>
        </w:tc>
        <w:tc>
          <w:tcPr>
            <w:tcW w:w="2929" w:type="dxa"/>
            <w:tcBorders>
              <w:top w:val="single" w:sz="4" w:space="0" w:color="auto"/>
              <w:left w:val="single" w:sz="4" w:space="0" w:color="auto"/>
              <w:bottom w:val="single" w:sz="4" w:space="0" w:color="auto"/>
              <w:right w:val="single" w:sz="4" w:space="0" w:color="auto"/>
            </w:tcBorders>
            <w:hideMark/>
          </w:tcPr>
          <w:p w14:paraId="2FCDFED4" w14:textId="29EC4D9A" w:rsidR="00271133" w:rsidRPr="00F703C9" w:rsidRDefault="00ED7D1E" w:rsidP="00DA2D9B">
            <w:pPr>
              <w:spacing w:line="360" w:lineRule="auto"/>
              <w:rPr>
                <w:b/>
                <w:bCs/>
                <w:i/>
                <w:iCs/>
                <w:sz w:val="20"/>
                <w:szCs w:val="20"/>
                <w:lang w:val="es-MX"/>
              </w:rPr>
            </w:pPr>
            <w:r w:rsidRPr="00F703C9">
              <w:rPr>
                <w:rFonts w:eastAsia="Calibri" w:cs="Tahoma"/>
                <w:b/>
                <w:bCs/>
              </w:rPr>
              <w:t>05</w:t>
            </w:r>
            <w:r w:rsidR="001A23F4" w:rsidRPr="00F703C9">
              <w:rPr>
                <w:rFonts w:eastAsia="Calibri" w:cs="Tahoma"/>
                <w:b/>
                <w:bCs/>
              </w:rPr>
              <w:t>481</w:t>
            </w:r>
            <w:r w:rsidRPr="00F703C9">
              <w:rPr>
                <w:rFonts w:eastAsia="Calibri" w:cs="Tahoma"/>
                <w:b/>
                <w:bCs/>
              </w:rPr>
              <w:t>/</w:t>
            </w:r>
            <w:r w:rsidRPr="00F703C9">
              <w:rPr>
                <w:b/>
                <w:bCs/>
              </w:rPr>
              <w:t>INFOEM/IP/RR/2024</w:t>
            </w:r>
          </w:p>
        </w:tc>
        <w:tc>
          <w:tcPr>
            <w:tcW w:w="5669" w:type="dxa"/>
            <w:tcBorders>
              <w:top w:val="single" w:sz="4" w:space="0" w:color="auto"/>
              <w:left w:val="single" w:sz="4" w:space="0" w:color="auto"/>
              <w:bottom w:val="single" w:sz="4" w:space="0" w:color="auto"/>
              <w:right w:val="single" w:sz="4" w:space="0" w:color="auto"/>
            </w:tcBorders>
            <w:hideMark/>
          </w:tcPr>
          <w:p w14:paraId="1475C267" w14:textId="795F08E3" w:rsidR="00271133" w:rsidRPr="00F703C9" w:rsidRDefault="00271133" w:rsidP="00DA2D9B">
            <w:pPr>
              <w:autoSpaceDE w:val="0"/>
              <w:autoSpaceDN w:val="0"/>
              <w:adjustRightInd w:val="0"/>
              <w:spacing w:line="360" w:lineRule="auto"/>
              <w:rPr>
                <w:rFonts w:cs="Tahoma"/>
                <w:lang w:val="es-ES_tradnl"/>
              </w:rPr>
            </w:pPr>
            <w:r w:rsidRPr="00F703C9">
              <w:rPr>
                <w:rFonts w:cs="Tahoma"/>
                <w:lang w:val="es-ES_tradnl"/>
              </w:rPr>
              <w:t xml:space="preserve">i) </w:t>
            </w:r>
            <w:r w:rsidR="003051E9" w:rsidRPr="00F703C9">
              <w:rPr>
                <w:rFonts w:cs="Tahoma"/>
                <w:lang w:val="es-ES_tradnl"/>
              </w:rPr>
              <w:t>Oficio n</w:t>
            </w:r>
            <w:r w:rsidR="00ED7D1E" w:rsidRPr="00F703C9">
              <w:rPr>
                <w:rFonts w:cs="Tahoma"/>
                <w:lang w:val="es-ES_tradnl"/>
              </w:rPr>
              <w:t>úmero</w:t>
            </w:r>
            <w:r w:rsidR="003D4A16" w:rsidRPr="00F703C9">
              <w:rPr>
                <w:rFonts w:cs="Tahoma"/>
                <w:lang w:val="es-ES_tradnl"/>
              </w:rPr>
              <w:t xml:space="preserve"> MVCHS/TM/DGRAL/ET/09/3</w:t>
            </w:r>
            <w:r w:rsidR="00E42505" w:rsidRPr="00F703C9">
              <w:rPr>
                <w:rFonts w:cs="Tahoma"/>
                <w:lang w:val="es-ES_tradnl"/>
              </w:rPr>
              <w:t>963</w:t>
            </w:r>
            <w:r w:rsidR="003D4A16" w:rsidRPr="00F703C9">
              <w:rPr>
                <w:rFonts w:cs="Tahoma"/>
                <w:lang w:val="es-ES_tradnl"/>
              </w:rPr>
              <w:t xml:space="preserve">/2024, del cinco de septiembre de dos mil veinticuatro, suscrito por el Tesorero Municipal y dirigido al Titular de la </w:t>
            </w:r>
            <w:r w:rsidR="003D4A16" w:rsidRPr="00F703C9">
              <w:rPr>
                <w:rFonts w:cs="Tahoma"/>
                <w:lang w:val="es-ES_tradnl"/>
              </w:rPr>
              <w:lastRenderedPageBreak/>
              <w:t>Unidad de Transparencia, por medio del cual mencionó lo siguiente:</w:t>
            </w:r>
          </w:p>
          <w:p w14:paraId="498BB1BB" w14:textId="77777777" w:rsidR="003D4A16" w:rsidRPr="00F703C9" w:rsidRDefault="003D4A16" w:rsidP="00DA2D9B">
            <w:pPr>
              <w:autoSpaceDE w:val="0"/>
              <w:autoSpaceDN w:val="0"/>
              <w:adjustRightInd w:val="0"/>
              <w:spacing w:line="360" w:lineRule="auto"/>
              <w:rPr>
                <w:rFonts w:cs="Tahoma"/>
                <w:iCs/>
                <w:sz w:val="20"/>
                <w:szCs w:val="20"/>
                <w:lang w:val="es-MX"/>
              </w:rPr>
            </w:pPr>
          </w:p>
          <w:p w14:paraId="223F5EB3" w14:textId="4601720A" w:rsidR="003D4A16" w:rsidRPr="00F703C9" w:rsidRDefault="003D4A16" w:rsidP="00751B82">
            <w:pPr>
              <w:autoSpaceDE w:val="0"/>
              <w:autoSpaceDN w:val="0"/>
              <w:adjustRightInd w:val="0"/>
              <w:spacing w:line="360" w:lineRule="auto"/>
              <w:ind w:left="708"/>
              <w:rPr>
                <w:rFonts w:cs="Tahoma"/>
                <w:i/>
                <w:sz w:val="20"/>
                <w:szCs w:val="20"/>
                <w:lang w:val="es-MX"/>
              </w:rPr>
            </w:pPr>
            <w:r w:rsidRPr="00F703C9">
              <w:rPr>
                <w:rFonts w:cs="Tahoma"/>
                <w:i/>
                <w:sz w:val="20"/>
                <w:szCs w:val="20"/>
                <w:lang w:val="es-MX"/>
              </w:rPr>
              <w:t>“…Al respecto hago de su conocimiento que el Ayuntamiento se encuentra sometido a actividades de fiscalización, verificación, inspección, comprobación en la auditoria número 917 con título “Participaciones Federales a Entidades Federativas”, la cual fue autorizada mediante el Programa Anual de Auditorias 2023, para la fiscalización y revisión de las cuentas públicas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w:t>
            </w:r>
            <w:r w:rsidR="00E42505" w:rsidRPr="00F703C9">
              <w:rPr>
                <w:rFonts w:cs="Tahoma"/>
                <w:i/>
                <w:sz w:val="20"/>
                <w:szCs w:val="20"/>
                <w:lang w:val="es-MX"/>
              </w:rPr>
              <w:t>312</w:t>
            </w:r>
            <w:r w:rsidRPr="00F703C9">
              <w:rPr>
                <w:rFonts w:cs="Tahoma"/>
                <w:i/>
                <w:sz w:val="20"/>
                <w:szCs w:val="20"/>
                <w:lang w:val="es-MX"/>
              </w:rPr>
              <w:t>/2024 de fecha 15 de agosto del año dos mil veinticuatro, en el que se determina la reserva de dicha información.</w:t>
            </w:r>
          </w:p>
          <w:p w14:paraId="427108DE" w14:textId="1ED33FAC" w:rsidR="00751B82" w:rsidRPr="00F703C9" w:rsidRDefault="00751B82" w:rsidP="00751B82">
            <w:pPr>
              <w:autoSpaceDE w:val="0"/>
              <w:autoSpaceDN w:val="0"/>
              <w:adjustRightInd w:val="0"/>
              <w:spacing w:line="360" w:lineRule="auto"/>
              <w:ind w:left="708"/>
              <w:rPr>
                <w:rFonts w:cs="Tahoma"/>
                <w:i/>
                <w:sz w:val="20"/>
                <w:szCs w:val="20"/>
                <w:lang w:val="es-MX"/>
              </w:rPr>
            </w:pPr>
            <w:r w:rsidRPr="00F703C9">
              <w:rPr>
                <w:rFonts w:cs="Tahoma"/>
                <w:i/>
                <w:sz w:val="20"/>
                <w:szCs w:val="20"/>
                <w:lang w:val="es-MX"/>
              </w:rPr>
              <w:t>…”</w:t>
            </w:r>
          </w:p>
          <w:p w14:paraId="29F8C3D0" w14:textId="77777777" w:rsidR="00801E20" w:rsidRPr="00F703C9" w:rsidRDefault="00801E20" w:rsidP="00DA2D9B">
            <w:pPr>
              <w:autoSpaceDE w:val="0"/>
              <w:autoSpaceDN w:val="0"/>
              <w:adjustRightInd w:val="0"/>
              <w:spacing w:line="360" w:lineRule="auto"/>
              <w:rPr>
                <w:rFonts w:cs="Tahoma"/>
                <w:iCs/>
                <w:sz w:val="20"/>
                <w:szCs w:val="20"/>
                <w:lang w:val="es-MX"/>
              </w:rPr>
            </w:pPr>
          </w:p>
          <w:p w14:paraId="2CCE7730" w14:textId="77777777" w:rsidR="00801E20" w:rsidRPr="00F703C9" w:rsidRDefault="00801E20" w:rsidP="00DA2D9B">
            <w:pPr>
              <w:autoSpaceDE w:val="0"/>
              <w:autoSpaceDN w:val="0"/>
              <w:adjustRightInd w:val="0"/>
              <w:spacing w:line="360" w:lineRule="auto"/>
              <w:rPr>
                <w:rFonts w:cs="Tahoma"/>
                <w:iCs/>
                <w:sz w:val="20"/>
                <w:szCs w:val="20"/>
                <w:lang w:val="es-MX"/>
              </w:rPr>
            </w:pPr>
            <w:r w:rsidRPr="00F703C9">
              <w:rPr>
                <w:rFonts w:cs="Tahoma"/>
                <w:iCs/>
                <w:sz w:val="20"/>
                <w:szCs w:val="20"/>
                <w:lang w:val="es-MX"/>
              </w:rPr>
              <w:t xml:space="preserve">ii. Acta de la Décimo Sexta Sesión Extraordinaria del Comité de Transparencia </w:t>
            </w:r>
            <w:r w:rsidR="00B95FC8" w:rsidRPr="00F703C9">
              <w:rPr>
                <w:rFonts w:cs="Tahoma"/>
                <w:iCs/>
                <w:sz w:val="20"/>
                <w:szCs w:val="20"/>
                <w:lang w:val="es-MX"/>
              </w:rPr>
              <w:t>del quince de agosto de dos mil veinticuatro.</w:t>
            </w:r>
          </w:p>
          <w:p w14:paraId="4B129BDA" w14:textId="77777777" w:rsidR="00B95FC8" w:rsidRPr="00F703C9" w:rsidRDefault="00B95FC8" w:rsidP="00DA2D9B">
            <w:pPr>
              <w:autoSpaceDE w:val="0"/>
              <w:autoSpaceDN w:val="0"/>
              <w:adjustRightInd w:val="0"/>
              <w:spacing w:line="360" w:lineRule="auto"/>
              <w:rPr>
                <w:rFonts w:cs="Tahoma"/>
                <w:iCs/>
                <w:sz w:val="20"/>
                <w:szCs w:val="20"/>
                <w:lang w:val="es-MX"/>
              </w:rPr>
            </w:pPr>
          </w:p>
          <w:p w14:paraId="0670458E" w14:textId="7A18E107" w:rsidR="00B95FC8" w:rsidRPr="00F703C9" w:rsidRDefault="00B95FC8" w:rsidP="00DA2D9B">
            <w:pPr>
              <w:autoSpaceDE w:val="0"/>
              <w:autoSpaceDN w:val="0"/>
              <w:adjustRightInd w:val="0"/>
              <w:spacing w:line="360" w:lineRule="auto"/>
              <w:rPr>
                <w:rFonts w:cs="Tahoma"/>
                <w:iCs/>
                <w:sz w:val="20"/>
                <w:szCs w:val="20"/>
                <w:lang w:val="es-MX"/>
              </w:rPr>
            </w:pPr>
            <w:r w:rsidRPr="00F703C9">
              <w:rPr>
                <w:rFonts w:cs="Tahoma"/>
                <w:iCs/>
                <w:sz w:val="20"/>
                <w:szCs w:val="20"/>
                <w:lang w:val="es-MX"/>
              </w:rPr>
              <w:t>iii. Acuerdo número CTM/VACHASO/A/00</w:t>
            </w:r>
            <w:r w:rsidR="000E6C1E" w:rsidRPr="00F703C9">
              <w:rPr>
                <w:rFonts w:cs="Tahoma"/>
                <w:iCs/>
                <w:sz w:val="20"/>
                <w:szCs w:val="20"/>
                <w:lang w:val="es-MX"/>
              </w:rPr>
              <w:t>312</w:t>
            </w:r>
            <w:r w:rsidRPr="00F703C9">
              <w:rPr>
                <w:rFonts w:cs="Tahoma"/>
                <w:iCs/>
                <w:sz w:val="20"/>
                <w:szCs w:val="20"/>
                <w:lang w:val="es-MX"/>
              </w:rPr>
              <w:t xml:space="preserve">/2024 de la Décimo Sexta Sesión Extraordinaria del Comité de </w:t>
            </w:r>
            <w:r w:rsidRPr="00F703C9">
              <w:rPr>
                <w:rFonts w:cs="Tahoma"/>
                <w:iCs/>
                <w:sz w:val="20"/>
                <w:szCs w:val="20"/>
                <w:lang w:val="es-MX"/>
              </w:rPr>
              <w:lastRenderedPageBreak/>
              <w:t>Transparencia del quince de agosto de dos mil veinticuatro, por medio de cual se confirma la clasificación de la información como reservada.</w:t>
            </w:r>
          </w:p>
        </w:tc>
      </w:tr>
      <w:tr w:rsidR="00271133" w:rsidRPr="00F703C9" w14:paraId="3D8D8124" w14:textId="77777777" w:rsidTr="001A23F4">
        <w:tc>
          <w:tcPr>
            <w:tcW w:w="469" w:type="dxa"/>
            <w:tcBorders>
              <w:top w:val="single" w:sz="4" w:space="0" w:color="auto"/>
              <w:left w:val="single" w:sz="4" w:space="0" w:color="auto"/>
              <w:bottom w:val="single" w:sz="4" w:space="0" w:color="auto"/>
              <w:right w:val="single" w:sz="4" w:space="0" w:color="auto"/>
            </w:tcBorders>
            <w:hideMark/>
          </w:tcPr>
          <w:p w14:paraId="6EC627B7" w14:textId="77777777" w:rsidR="00271133" w:rsidRPr="00F703C9" w:rsidRDefault="00271133" w:rsidP="00DA2D9B">
            <w:pPr>
              <w:tabs>
                <w:tab w:val="left" w:pos="567"/>
              </w:tabs>
              <w:spacing w:line="360" w:lineRule="auto"/>
              <w:ind w:right="-28"/>
              <w:contextualSpacing/>
              <w:rPr>
                <w:rFonts w:cs="Tahoma"/>
                <w:sz w:val="20"/>
                <w:szCs w:val="20"/>
                <w:lang w:val="es-MX"/>
              </w:rPr>
            </w:pPr>
            <w:r w:rsidRPr="00F703C9">
              <w:rPr>
                <w:rFonts w:cs="Tahoma"/>
                <w:sz w:val="20"/>
                <w:szCs w:val="20"/>
                <w:lang w:val="es-MX"/>
              </w:rPr>
              <w:lastRenderedPageBreak/>
              <w:t>2</w:t>
            </w:r>
          </w:p>
        </w:tc>
        <w:tc>
          <w:tcPr>
            <w:tcW w:w="2929" w:type="dxa"/>
            <w:tcBorders>
              <w:top w:val="single" w:sz="4" w:space="0" w:color="auto"/>
              <w:left w:val="single" w:sz="4" w:space="0" w:color="auto"/>
              <w:bottom w:val="single" w:sz="4" w:space="0" w:color="auto"/>
              <w:right w:val="single" w:sz="4" w:space="0" w:color="auto"/>
            </w:tcBorders>
            <w:hideMark/>
          </w:tcPr>
          <w:p w14:paraId="42EE797D" w14:textId="5849F907" w:rsidR="00271133" w:rsidRPr="00F703C9" w:rsidRDefault="00ED7D1E" w:rsidP="00DA2D9B">
            <w:pPr>
              <w:spacing w:line="360" w:lineRule="auto"/>
              <w:rPr>
                <w:b/>
                <w:bCs/>
                <w:i/>
                <w:iCs/>
                <w:sz w:val="20"/>
                <w:szCs w:val="20"/>
                <w:lang w:val="es-MX"/>
              </w:rPr>
            </w:pPr>
            <w:r w:rsidRPr="00F703C9">
              <w:rPr>
                <w:rFonts w:eastAsia="Calibri" w:cs="Tahoma"/>
                <w:b/>
                <w:bCs/>
              </w:rPr>
              <w:t>05</w:t>
            </w:r>
            <w:r w:rsidR="001A23F4" w:rsidRPr="00F703C9">
              <w:rPr>
                <w:rFonts w:eastAsia="Calibri" w:cs="Tahoma"/>
                <w:b/>
                <w:bCs/>
              </w:rPr>
              <w:t>482</w:t>
            </w:r>
            <w:r w:rsidRPr="00F703C9">
              <w:rPr>
                <w:rFonts w:eastAsia="Calibri" w:cs="Tahoma"/>
                <w:b/>
                <w:bCs/>
              </w:rPr>
              <w:t>/</w:t>
            </w:r>
            <w:r w:rsidRPr="00F703C9">
              <w:rPr>
                <w:b/>
                <w:bCs/>
              </w:rPr>
              <w:t>INFOEM/IP/RR/2024</w:t>
            </w:r>
          </w:p>
        </w:tc>
        <w:tc>
          <w:tcPr>
            <w:tcW w:w="5669" w:type="dxa"/>
            <w:tcBorders>
              <w:top w:val="single" w:sz="4" w:space="0" w:color="auto"/>
              <w:left w:val="single" w:sz="4" w:space="0" w:color="auto"/>
              <w:bottom w:val="single" w:sz="4" w:space="0" w:color="auto"/>
              <w:right w:val="single" w:sz="4" w:space="0" w:color="auto"/>
            </w:tcBorders>
            <w:hideMark/>
          </w:tcPr>
          <w:p w14:paraId="15A427DE" w14:textId="67681FB5" w:rsidR="002A1789" w:rsidRPr="00F703C9" w:rsidRDefault="002A1789" w:rsidP="002A1789">
            <w:pPr>
              <w:autoSpaceDE w:val="0"/>
              <w:autoSpaceDN w:val="0"/>
              <w:adjustRightInd w:val="0"/>
              <w:spacing w:line="360" w:lineRule="auto"/>
              <w:rPr>
                <w:rFonts w:cs="Tahoma"/>
                <w:lang w:val="es-ES_tradnl"/>
              </w:rPr>
            </w:pPr>
            <w:r w:rsidRPr="00F703C9">
              <w:rPr>
                <w:rFonts w:cs="Tahoma"/>
                <w:lang w:val="es-ES_tradnl"/>
              </w:rPr>
              <w:t>i) Oficio número MVCHS/TM/DGRAL/ET/09/3</w:t>
            </w:r>
            <w:r w:rsidR="00182ADC" w:rsidRPr="00F703C9">
              <w:rPr>
                <w:rFonts w:cs="Tahoma"/>
                <w:lang w:val="es-ES_tradnl"/>
              </w:rPr>
              <w:t>964</w:t>
            </w:r>
            <w:r w:rsidRPr="00F703C9">
              <w:rPr>
                <w:rFonts w:cs="Tahoma"/>
                <w:lang w:val="es-ES_tradnl"/>
              </w:rPr>
              <w:t>/2024, del cinco de septiembre de dos mil veinticuatro, suscrito por el Tesorero Municipal y dirigido al Titular de la Unidad de Transparencia, por medio del cual mencionó lo siguiente:</w:t>
            </w:r>
          </w:p>
          <w:p w14:paraId="559A1A5B" w14:textId="77777777" w:rsidR="002A1789" w:rsidRPr="00F703C9" w:rsidRDefault="002A1789" w:rsidP="002A1789">
            <w:pPr>
              <w:autoSpaceDE w:val="0"/>
              <w:autoSpaceDN w:val="0"/>
              <w:adjustRightInd w:val="0"/>
              <w:spacing w:line="360" w:lineRule="auto"/>
              <w:rPr>
                <w:rFonts w:cs="Tahoma"/>
                <w:iCs/>
                <w:sz w:val="20"/>
                <w:szCs w:val="20"/>
                <w:lang w:val="es-MX"/>
              </w:rPr>
            </w:pPr>
          </w:p>
          <w:p w14:paraId="13F2036E" w14:textId="19CBF510" w:rsidR="002A1789" w:rsidRPr="00F703C9" w:rsidRDefault="002A1789" w:rsidP="00182ADC">
            <w:pPr>
              <w:autoSpaceDE w:val="0"/>
              <w:autoSpaceDN w:val="0"/>
              <w:adjustRightInd w:val="0"/>
              <w:spacing w:line="360" w:lineRule="auto"/>
              <w:ind w:left="708"/>
              <w:rPr>
                <w:rFonts w:cs="Tahoma"/>
                <w:i/>
                <w:sz w:val="20"/>
                <w:szCs w:val="20"/>
                <w:lang w:val="es-MX"/>
              </w:rPr>
            </w:pPr>
            <w:r w:rsidRPr="00F703C9">
              <w:rPr>
                <w:rFonts w:cs="Tahoma"/>
                <w:i/>
                <w:sz w:val="20"/>
                <w:szCs w:val="20"/>
                <w:lang w:val="es-MX"/>
              </w:rPr>
              <w:t>“…Al respecto hago de su conocimiento que el Ayuntamiento se encuentra sometido a actividades de fiscalización, verificación, inspección, comprobación en la auditoria número 917 con título “Participaciones Federales a Entidades Federativas”, la cual fue autorizada mediante el Programa Anual de Auditorias 2023, para la fiscalización y revisión de las cuentas públicas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w:t>
            </w:r>
            <w:r w:rsidR="006860F2" w:rsidRPr="00F703C9">
              <w:rPr>
                <w:rFonts w:cs="Tahoma"/>
                <w:i/>
                <w:sz w:val="20"/>
                <w:szCs w:val="20"/>
                <w:lang w:val="es-MX"/>
              </w:rPr>
              <w:t>311</w:t>
            </w:r>
            <w:r w:rsidRPr="00F703C9">
              <w:rPr>
                <w:rFonts w:cs="Tahoma"/>
                <w:i/>
                <w:sz w:val="20"/>
                <w:szCs w:val="20"/>
                <w:lang w:val="es-MX"/>
              </w:rPr>
              <w:t>/2024 de fecha 15 de agosto del año dos mil veinticuatro, en el que se determina la reserva de dicha información.</w:t>
            </w:r>
          </w:p>
          <w:p w14:paraId="1A7302AD" w14:textId="217B66C8" w:rsidR="00182ADC" w:rsidRPr="00F703C9" w:rsidRDefault="00182ADC" w:rsidP="00182ADC">
            <w:pPr>
              <w:autoSpaceDE w:val="0"/>
              <w:autoSpaceDN w:val="0"/>
              <w:adjustRightInd w:val="0"/>
              <w:spacing w:line="360" w:lineRule="auto"/>
              <w:ind w:left="708"/>
              <w:rPr>
                <w:rFonts w:cs="Tahoma"/>
                <w:i/>
                <w:sz w:val="20"/>
                <w:szCs w:val="20"/>
                <w:lang w:val="es-MX"/>
              </w:rPr>
            </w:pPr>
            <w:r w:rsidRPr="00F703C9">
              <w:rPr>
                <w:rFonts w:cs="Tahoma"/>
                <w:i/>
                <w:sz w:val="20"/>
                <w:szCs w:val="20"/>
                <w:lang w:val="es-MX"/>
              </w:rPr>
              <w:t>…”</w:t>
            </w:r>
          </w:p>
          <w:p w14:paraId="5F204380" w14:textId="77777777" w:rsidR="002A1789" w:rsidRPr="00F703C9" w:rsidRDefault="002A1789" w:rsidP="002A1789">
            <w:pPr>
              <w:autoSpaceDE w:val="0"/>
              <w:autoSpaceDN w:val="0"/>
              <w:adjustRightInd w:val="0"/>
              <w:spacing w:line="360" w:lineRule="auto"/>
              <w:rPr>
                <w:rFonts w:cs="Tahoma"/>
                <w:iCs/>
                <w:sz w:val="20"/>
                <w:szCs w:val="20"/>
                <w:lang w:val="es-MX"/>
              </w:rPr>
            </w:pPr>
            <w:r w:rsidRPr="00F703C9">
              <w:rPr>
                <w:rFonts w:cs="Tahoma"/>
                <w:iCs/>
                <w:sz w:val="20"/>
                <w:szCs w:val="20"/>
                <w:lang w:val="es-MX"/>
              </w:rPr>
              <w:lastRenderedPageBreak/>
              <w:t>ii. Acta de la Décimo Sexta Sesión Extraordinaria del Comité de Transparencia del quince de agosto de dos mil veinticuatro.</w:t>
            </w:r>
          </w:p>
          <w:p w14:paraId="73CA6DA6" w14:textId="77777777" w:rsidR="002A1789" w:rsidRPr="00F703C9" w:rsidRDefault="002A1789" w:rsidP="002A1789">
            <w:pPr>
              <w:autoSpaceDE w:val="0"/>
              <w:autoSpaceDN w:val="0"/>
              <w:adjustRightInd w:val="0"/>
              <w:spacing w:line="360" w:lineRule="auto"/>
              <w:rPr>
                <w:rFonts w:cs="Tahoma"/>
                <w:iCs/>
                <w:sz w:val="20"/>
                <w:szCs w:val="20"/>
                <w:lang w:val="es-MX"/>
              </w:rPr>
            </w:pPr>
          </w:p>
          <w:p w14:paraId="52706989" w14:textId="3351178A" w:rsidR="00271133" w:rsidRPr="00F703C9" w:rsidRDefault="002A1789" w:rsidP="002A1789">
            <w:pPr>
              <w:spacing w:line="360" w:lineRule="auto"/>
              <w:contextualSpacing/>
              <w:rPr>
                <w:rFonts w:eastAsia="Times New Roman" w:cs="Arial"/>
                <w:bCs/>
                <w:iCs/>
                <w:sz w:val="20"/>
                <w:szCs w:val="20"/>
                <w:lang w:val="es-MX" w:eastAsia="es-ES"/>
              </w:rPr>
            </w:pPr>
            <w:r w:rsidRPr="00F703C9">
              <w:rPr>
                <w:rFonts w:cs="Tahoma"/>
                <w:iCs/>
                <w:sz w:val="20"/>
                <w:szCs w:val="20"/>
                <w:lang w:val="es-MX"/>
              </w:rPr>
              <w:t>iii. Acuerdo número CTM/VACHASO/A/00</w:t>
            </w:r>
            <w:r w:rsidR="006860F2" w:rsidRPr="00F703C9">
              <w:rPr>
                <w:rFonts w:cs="Tahoma"/>
                <w:iCs/>
                <w:sz w:val="20"/>
                <w:szCs w:val="20"/>
                <w:lang w:val="es-MX"/>
              </w:rPr>
              <w:t>311</w:t>
            </w:r>
            <w:r w:rsidRPr="00F703C9">
              <w:rPr>
                <w:rFonts w:cs="Tahoma"/>
                <w:iCs/>
                <w:sz w:val="20"/>
                <w:szCs w:val="20"/>
                <w:lang w:val="es-MX"/>
              </w:rPr>
              <w:t>/2024 de la Décimo Sexta Sesión Extraordinaria del Comité de Transparencia del quince de agosto de dos mil veinticuatro, por medio de cual se confirma la clasificación de la información como reservada.</w:t>
            </w:r>
          </w:p>
        </w:tc>
      </w:tr>
    </w:tbl>
    <w:p w14:paraId="2C930AC4" w14:textId="77777777" w:rsidR="00271133" w:rsidRPr="00F703C9" w:rsidRDefault="00271133" w:rsidP="00DA2D9B">
      <w:pPr>
        <w:autoSpaceDE w:val="0"/>
        <w:autoSpaceDN w:val="0"/>
        <w:adjustRightInd w:val="0"/>
        <w:spacing w:after="0" w:line="360" w:lineRule="auto"/>
        <w:rPr>
          <w:rFonts w:cs="Tahoma"/>
          <w:b/>
        </w:rPr>
      </w:pPr>
    </w:p>
    <w:p w14:paraId="7DD32914" w14:textId="5F321787" w:rsidR="0014339D" w:rsidRPr="00F703C9" w:rsidRDefault="00C605C9" w:rsidP="00DA2D9B">
      <w:pPr>
        <w:autoSpaceDE w:val="0"/>
        <w:autoSpaceDN w:val="0"/>
        <w:adjustRightInd w:val="0"/>
        <w:spacing w:after="0" w:line="360" w:lineRule="auto"/>
        <w:rPr>
          <w:rFonts w:eastAsia="Times New Roman" w:cs="Tahoma"/>
          <w:color w:val="auto"/>
          <w:lang w:eastAsia="es-ES"/>
        </w:rPr>
      </w:pPr>
      <w:r w:rsidRPr="00F703C9">
        <w:rPr>
          <w:rFonts w:cs="Tahoma"/>
          <w:b/>
        </w:rPr>
        <w:t>d</w:t>
      </w:r>
      <w:r w:rsidR="00DB3DC5" w:rsidRPr="00F703C9">
        <w:rPr>
          <w:rFonts w:cs="Tahoma"/>
          <w:b/>
        </w:rPr>
        <w:t xml:space="preserve">) </w:t>
      </w:r>
      <w:r w:rsidR="0014339D" w:rsidRPr="00F703C9">
        <w:rPr>
          <w:rFonts w:eastAsia="Times New Roman" w:cs="Tahoma"/>
          <w:b/>
          <w:bCs/>
          <w:color w:val="auto"/>
          <w:lang w:eastAsia="es-ES"/>
        </w:rPr>
        <w:t xml:space="preserve">Vista del </w:t>
      </w:r>
      <w:r w:rsidR="00B709E8" w:rsidRPr="00F703C9">
        <w:rPr>
          <w:rFonts w:eastAsia="Times New Roman" w:cs="Tahoma"/>
          <w:b/>
          <w:bCs/>
          <w:color w:val="auto"/>
          <w:lang w:eastAsia="es-ES"/>
        </w:rPr>
        <w:t>I</w:t>
      </w:r>
      <w:r w:rsidR="0014339D" w:rsidRPr="00F703C9">
        <w:rPr>
          <w:rFonts w:eastAsia="Times New Roman" w:cs="Tahoma"/>
          <w:b/>
          <w:bCs/>
          <w:color w:val="auto"/>
          <w:lang w:eastAsia="es-ES"/>
        </w:rPr>
        <w:t>nforme Justificado</w:t>
      </w:r>
      <w:r w:rsidR="00DD3A8B" w:rsidRPr="00F703C9">
        <w:rPr>
          <w:rFonts w:eastAsia="Times New Roman" w:cs="Tahoma"/>
          <w:b/>
          <w:bCs/>
          <w:color w:val="auto"/>
          <w:lang w:eastAsia="es-ES"/>
        </w:rPr>
        <w:t>.</w:t>
      </w:r>
      <w:r w:rsidR="0014339D" w:rsidRPr="00F703C9">
        <w:rPr>
          <w:rFonts w:eastAsia="Times New Roman" w:cs="Tahoma"/>
          <w:b/>
          <w:bCs/>
          <w:color w:val="auto"/>
          <w:lang w:eastAsia="es-ES"/>
        </w:rPr>
        <w:t xml:space="preserve"> </w:t>
      </w:r>
      <w:r w:rsidR="0014339D" w:rsidRPr="00F703C9">
        <w:rPr>
          <w:rFonts w:eastAsia="Times New Roman" w:cs="Tahoma"/>
          <w:color w:val="auto"/>
          <w:lang w:eastAsia="es-ES"/>
        </w:rPr>
        <w:t>El</w:t>
      </w:r>
      <w:r w:rsidR="009E562A" w:rsidRPr="00F703C9">
        <w:rPr>
          <w:rFonts w:eastAsia="Times New Roman" w:cs="Tahoma"/>
          <w:color w:val="auto"/>
          <w:lang w:eastAsia="es-ES"/>
        </w:rPr>
        <w:t xml:space="preserve"> </w:t>
      </w:r>
      <w:r w:rsidR="006936CC" w:rsidRPr="00F703C9">
        <w:rPr>
          <w:rFonts w:eastAsia="Times New Roman" w:cs="Tahoma"/>
          <w:color w:val="auto"/>
          <w:lang w:eastAsia="es-ES"/>
        </w:rPr>
        <w:t>treinta</w:t>
      </w:r>
      <w:r w:rsidR="006E5791" w:rsidRPr="00F703C9">
        <w:rPr>
          <w:rFonts w:eastAsia="Times New Roman" w:cs="Tahoma"/>
          <w:color w:val="auto"/>
          <w:lang w:eastAsia="es-ES"/>
        </w:rPr>
        <w:t xml:space="preserve"> </w:t>
      </w:r>
      <w:r w:rsidR="00B709E8" w:rsidRPr="00F703C9">
        <w:rPr>
          <w:rFonts w:eastAsia="Times New Roman" w:cs="Tahoma"/>
          <w:color w:val="auto"/>
          <w:lang w:eastAsia="es-ES"/>
        </w:rPr>
        <w:t xml:space="preserve">de octubre </w:t>
      </w:r>
      <w:r w:rsidR="009E562A" w:rsidRPr="00F703C9">
        <w:rPr>
          <w:rFonts w:eastAsia="Times New Roman" w:cs="Tahoma"/>
          <w:color w:val="auto"/>
          <w:lang w:eastAsia="es-ES"/>
        </w:rPr>
        <w:t>de dos mil veinticuatro</w:t>
      </w:r>
      <w:r w:rsidR="0014339D" w:rsidRPr="00F703C9">
        <w:rPr>
          <w:rFonts w:eastAsia="Times New Roman" w:cs="Tahoma"/>
          <w:color w:val="auto"/>
          <w:lang w:eastAsia="es-ES"/>
        </w:rPr>
        <w:t xml:space="preserve">, se dictó acuerdo por medio del cual </w:t>
      </w:r>
      <w:r w:rsidR="0014339D" w:rsidRPr="00F703C9">
        <w:rPr>
          <w:rFonts w:eastAsia="Times New Roman" w:cs="Tahoma"/>
          <w:bCs/>
          <w:color w:val="auto"/>
          <w:lang w:eastAsia="es-ES"/>
        </w:rPr>
        <w:t>se puso a la vista del Recurrente el Informe Justificado</w:t>
      </w:r>
      <w:r w:rsidR="0014339D" w:rsidRPr="00F703C9">
        <w:rPr>
          <w:rFonts w:eastAsia="Times New Roman" w:cs="Tahoma"/>
          <w:b/>
          <w:bCs/>
          <w:color w:val="auto"/>
          <w:lang w:eastAsia="es-ES"/>
        </w:rPr>
        <w:t xml:space="preserve"> </w:t>
      </w:r>
      <w:r w:rsidR="0014339D" w:rsidRPr="00F703C9">
        <w:rPr>
          <w:rFonts w:eastAsia="Times New Roman" w:cs="Tahoma"/>
          <w:color w:val="auto"/>
          <w:lang w:eastAsia="es-ES"/>
        </w:rPr>
        <w:t>entregado por el Sujeto Obligado, el cual fue notificado a las partes, a través del Sistema de Acceso a la Información Mexiquense (SAIMEX), e</w:t>
      </w:r>
      <w:r w:rsidRPr="00F703C9">
        <w:rPr>
          <w:rFonts w:eastAsia="Times New Roman" w:cs="Tahoma"/>
          <w:color w:val="auto"/>
          <w:lang w:eastAsia="es-ES"/>
        </w:rPr>
        <w:t>l mismo día</w:t>
      </w:r>
      <w:r w:rsidR="0014339D" w:rsidRPr="00F703C9">
        <w:rPr>
          <w:rFonts w:eastAsia="Times New Roman" w:cs="Tahoma"/>
          <w:color w:val="auto"/>
          <w:lang w:eastAsia="es-ES"/>
        </w:rPr>
        <w:t>. Cabe señalar que el Particular fue omiso en realizar manifestación alguna.</w:t>
      </w:r>
    </w:p>
    <w:p w14:paraId="1D401FF3" w14:textId="77777777" w:rsidR="001334D1" w:rsidRPr="00F703C9" w:rsidRDefault="001334D1" w:rsidP="00DA2D9B">
      <w:pPr>
        <w:autoSpaceDE w:val="0"/>
        <w:autoSpaceDN w:val="0"/>
        <w:adjustRightInd w:val="0"/>
        <w:spacing w:after="0" w:line="360" w:lineRule="auto"/>
        <w:rPr>
          <w:rFonts w:eastAsia="Times New Roman" w:cs="Tahoma"/>
          <w:color w:val="auto"/>
          <w:lang w:eastAsia="es-ES"/>
        </w:rPr>
      </w:pPr>
    </w:p>
    <w:p w14:paraId="380BA0F2" w14:textId="186EFA2F" w:rsidR="001334D1" w:rsidRPr="00F703C9" w:rsidRDefault="007B0396" w:rsidP="00DA2D9B">
      <w:pPr>
        <w:spacing w:after="0" w:line="360" w:lineRule="auto"/>
        <w:rPr>
          <w:rFonts w:eastAsia="Calibri" w:cs="Tahoma"/>
        </w:rPr>
      </w:pPr>
      <w:r w:rsidRPr="00F703C9">
        <w:rPr>
          <w:rFonts w:cs="Tahoma"/>
          <w:b/>
        </w:rPr>
        <w:t>e</w:t>
      </w:r>
      <w:r w:rsidR="001334D1" w:rsidRPr="00F703C9">
        <w:rPr>
          <w:rFonts w:cs="Tahoma"/>
          <w:b/>
        </w:rPr>
        <w:t xml:space="preserve">) </w:t>
      </w:r>
      <w:r w:rsidR="001334D1" w:rsidRPr="00F703C9">
        <w:rPr>
          <w:rFonts w:eastAsia="Calibri" w:cs="Tahoma"/>
          <w:b/>
        </w:rPr>
        <w:t>Acumulación de los asuntos.</w:t>
      </w:r>
      <w:r w:rsidR="001334D1" w:rsidRPr="00F703C9">
        <w:rPr>
          <w:rFonts w:eastAsia="Calibri" w:cs="Tahoma"/>
        </w:rPr>
        <w:t xml:space="preserve"> </w:t>
      </w:r>
      <w:r w:rsidR="00C605C9" w:rsidRPr="00F703C9">
        <w:rPr>
          <w:rFonts w:eastAsia="Calibri" w:cs="Tahoma"/>
        </w:rPr>
        <w:t xml:space="preserve">El </w:t>
      </w:r>
      <w:r w:rsidR="006936CC" w:rsidRPr="00F703C9">
        <w:rPr>
          <w:rFonts w:eastAsia="Calibri" w:cs="Tahoma"/>
        </w:rPr>
        <w:t>treinta</w:t>
      </w:r>
      <w:r w:rsidR="00B709E8" w:rsidRPr="00F703C9">
        <w:rPr>
          <w:rFonts w:eastAsia="Calibri" w:cs="Tahoma"/>
        </w:rPr>
        <w:t xml:space="preserve"> de octubre </w:t>
      </w:r>
      <w:r w:rsidR="008C7D0C" w:rsidRPr="00F703C9">
        <w:rPr>
          <w:rFonts w:eastAsia="Calibri" w:cs="Tahoma"/>
        </w:rPr>
        <w:t>de dos mil veinticuatro</w:t>
      </w:r>
      <w:r w:rsidR="00C605C9" w:rsidRPr="00F703C9">
        <w:rPr>
          <w:rFonts w:eastAsia="Calibri" w:cs="Tahoma"/>
        </w:rPr>
        <w:t>, el Pleno del Instituto de Transparencia, Acceso a la Información Pública y Protección de Datos Personales del Estado de México y Municipios, durante la</w:t>
      </w:r>
      <w:r w:rsidR="00B709E8" w:rsidRPr="00F703C9">
        <w:rPr>
          <w:rFonts w:eastAsia="Calibri" w:cs="Tahoma"/>
        </w:rPr>
        <w:t xml:space="preserve"> Trigésima Tercera Sesión Ordinaria celebrada el diecinueve de septiembre de dos mil veinticuatro</w:t>
      </w:r>
      <w:r w:rsidR="00C605C9" w:rsidRPr="00F703C9">
        <w:rPr>
          <w:rFonts w:eastAsia="Calibri" w:cs="Tahoma"/>
        </w:rPr>
        <w:t xml:space="preserve">,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w:t>
      </w:r>
      <w:r w:rsidR="00C605C9" w:rsidRPr="00F703C9">
        <w:rPr>
          <w:rFonts w:eastAsia="Calibri" w:cs="Tahoma"/>
          <w:b/>
          <w:bCs/>
        </w:rPr>
        <w:t xml:space="preserve">decretó </w:t>
      </w:r>
      <w:r w:rsidR="00C605C9" w:rsidRPr="00F703C9">
        <w:rPr>
          <w:rFonts w:eastAsia="Calibri" w:cs="Tahoma"/>
        </w:rPr>
        <w:t>la acumulación de</w:t>
      </w:r>
      <w:r w:rsidR="006936CC" w:rsidRPr="00F703C9">
        <w:rPr>
          <w:rFonts w:eastAsia="Calibri" w:cs="Tahoma"/>
        </w:rPr>
        <w:t>l</w:t>
      </w:r>
      <w:r w:rsidR="00C605C9" w:rsidRPr="00F703C9">
        <w:rPr>
          <w:rFonts w:eastAsia="Calibri" w:cs="Tahoma"/>
        </w:rPr>
        <w:t xml:space="preserve"> Recurso de Revisión</w:t>
      </w:r>
      <w:r w:rsidR="00C605C9" w:rsidRPr="00F703C9">
        <w:rPr>
          <w:rFonts w:cs="Tahoma"/>
          <w:color w:val="0D0D0D" w:themeColor="text1" w:themeTint="F2"/>
          <w:lang w:val="es-ES_tradnl"/>
        </w:rPr>
        <w:t>,</w:t>
      </w:r>
      <w:r w:rsidR="00B709E8" w:rsidRPr="00F703C9">
        <w:rPr>
          <w:rFonts w:cs="Tahoma"/>
          <w:color w:val="0D0D0D" w:themeColor="text1" w:themeTint="F2"/>
          <w:lang w:val="es-ES_tradnl"/>
        </w:rPr>
        <w:t xml:space="preserve"> </w:t>
      </w:r>
      <w:r w:rsidR="00B709E8" w:rsidRPr="00F703C9">
        <w:rPr>
          <w:rFonts w:eastAsia="Calibri" w:cs="Tahoma"/>
          <w:b/>
          <w:bCs/>
        </w:rPr>
        <w:t>05</w:t>
      </w:r>
      <w:r w:rsidR="006936CC" w:rsidRPr="00F703C9">
        <w:rPr>
          <w:rFonts w:eastAsia="Calibri" w:cs="Tahoma"/>
          <w:b/>
          <w:bCs/>
        </w:rPr>
        <w:t>482</w:t>
      </w:r>
      <w:r w:rsidR="00B709E8" w:rsidRPr="00F703C9">
        <w:rPr>
          <w:rFonts w:eastAsia="Calibri" w:cs="Tahoma"/>
          <w:b/>
          <w:bCs/>
        </w:rPr>
        <w:t>/INFOEM/IP/RR/202</w:t>
      </w:r>
      <w:r w:rsidR="006936CC" w:rsidRPr="00F703C9">
        <w:rPr>
          <w:rFonts w:eastAsia="Calibri" w:cs="Tahoma"/>
          <w:b/>
          <w:bCs/>
        </w:rPr>
        <w:t xml:space="preserve"> </w:t>
      </w:r>
      <w:r w:rsidR="00C605C9" w:rsidRPr="00F703C9">
        <w:rPr>
          <w:rFonts w:eastAsia="Calibri" w:cs="Tahoma"/>
        </w:rPr>
        <w:t>al diverso</w:t>
      </w:r>
      <w:r w:rsidR="00C605C9" w:rsidRPr="00F703C9">
        <w:rPr>
          <w:rFonts w:cs="Tahoma"/>
          <w:b/>
          <w:bCs/>
          <w:color w:val="0D0D0D" w:themeColor="text1" w:themeTint="F2"/>
          <w:lang w:val="es-ES_tradnl"/>
        </w:rPr>
        <w:t xml:space="preserve"> </w:t>
      </w:r>
      <w:r w:rsidR="00F638F3" w:rsidRPr="00F703C9">
        <w:rPr>
          <w:b/>
        </w:rPr>
        <w:t>0</w:t>
      </w:r>
      <w:r w:rsidR="00B709E8" w:rsidRPr="00F703C9">
        <w:rPr>
          <w:b/>
        </w:rPr>
        <w:t>5</w:t>
      </w:r>
      <w:r w:rsidR="006936CC" w:rsidRPr="00F703C9">
        <w:rPr>
          <w:b/>
        </w:rPr>
        <w:t>481</w:t>
      </w:r>
      <w:r w:rsidR="00F638F3" w:rsidRPr="00F703C9">
        <w:rPr>
          <w:b/>
        </w:rPr>
        <w:t>/INFOEM/IP/RR/2024</w:t>
      </w:r>
      <w:r w:rsidR="00C605C9" w:rsidRPr="00F703C9">
        <w:rPr>
          <w:rFonts w:eastAsia="Calibri" w:cs="Tahoma"/>
          <w:b/>
          <w:bCs/>
        </w:rPr>
        <w:t>,</w:t>
      </w:r>
      <w:r w:rsidR="00C605C9" w:rsidRPr="00F703C9">
        <w:rPr>
          <w:rFonts w:eastAsia="Calibri" w:cs="Tahoma"/>
        </w:rPr>
        <w:t xml:space="preserve"> por ser este último el más antiguo, sustanciado bajo el índice de esta Ponencia.</w:t>
      </w:r>
    </w:p>
    <w:p w14:paraId="5BDD2319" w14:textId="77777777" w:rsidR="00740744" w:rsidRPr="00F703C9" w:rsidRDefault="00740744" w:rsidP="00DA2D9B">
      <w:pPr>
        <w:spacing w:after="0" w:line="360" w:lineRule="auto"/>
        <w:rPr>
          <w:rFonts w:eastAsia="Calibri" w:cs="Tahoma"/>
        </w:rPr>
      </w:pPr>
    </w:p>
    <w:p w14:paraId="51917167" w14:textId="0CD06A0E" w:rsidR="00740744" w:rsidRPr="00F703C9" w:rsidRDefault="00B709E8" w:rsidP="00DA2D9B">
      <w:pPr>
        <w:widowControl w:val="0"/>
        <w:spacing w:after="0" w:line="360" w:lineRule="auto"/>
        <w:contextualSpacing/>
        <w:rPr>
          <w:rFonts w:eastAsia="Palatino Linotype" w:cs="Palatino Linotype"/>
          <w:color w:val="auto"/>
          <w:lang w:val="es-ES" w:eastAsia="es-MX"/>
        </w:rPr>
      </w:pPr>
      <w:r w:rsidRPr="00F703C9">
        <w:rPr>
          <w:rFonts w:eastAsia="Calibri" w:cs="Tahoma"/>
          <w:b/>
          <w:bCs/>
          <w:color w:val="000000"/>
        </w:rPr>
        <w:lastRenderedPageBreak/>
        <w:t>f</w:t>
      </w:r>
      <w:r w:rsidR="00740744" w:rsidRPr="00F703C9">
        <w:rPr>
          <w:rFonts w:eastAsia="Calibri" w:cs="Tahoma"/>
          <w:b/>
          <w:bCs/>
          <w:color w:val="000000"/>
        </w:rPr>
        <w:t xml:space="preserve">) </w:t>
      </w:r>
      <w:r w:rsidR="00740744" w:rsidRPr="00F703C9">
        <w:rPr>
          <w:rFonts w:eastAsia="Times New Roman" w:cs="Tahoma"/>
          <w:b/>
          <w:bCs/>
          <w:lang w:val="es-ES" w:eastAsia="es-ES"/>
        </w:rPr>
        <w:t xml:space="preserve">Ampliación de plazo para resolver. </w:t>
      </w:r>
      <w:r w:rsidR="00740744" w:rsidRPr="00F703C9">
        <w:rPr>
          <w:rFonts w:eastAsia="Palatino Linotype" w:cs="Palatino Linotype"/>
          <w:color w:val="auto"/>
          <w:lang w:val="es-ES" w:eastAsia="es-MX"/>
        </w:rPr>
        <w:t xml:space="preserve">El </w:t>
      </w:r>
      <w:r w:rsidR="007B356B" w:rsidRPr="00F703C9">
        <w:rPr>
          <w:rFonts w:eastAsia="Palatino Linotype" w:cs="Palatino Linotype"/>
          <w:color w:val="auto"/>
          <w:lang w:val="es-ES" w:eastAsia="es-MX"/>
        </w:rPr>
        <w:t>treinta</w:t>
      </w:r>
      <w:r w:rsidR="00740744" w:rsidRPr="00F703C9">
        <w:rPr>
          <w:rFonts w:eastAsia="Palatino Linotype" w:cs="Palatino Linotype"/>
          <w:color w:val="auto"/>
          <w:lang w:val="es-ES" w:eastAsia="es-MX"/>
        </w:rPr>
        <w:t xml:space="preserve"> de octubre de dos mil veinticuatro, el Comisionado Ponente, con fundamento en lo dispuesto por el artículo 181, párrafo tercero, de la Ley de Transparencia y Acceso a la Información Pública del Estado de México y Municipios, acordó ampliar por un periodo</w:t>
      </w:r>
      <w:r w:rsidRPr="00F703C9">
        <w:rPr>
          <w:rFonts w:eastAsia="Palatino Linotype" w:cs="Palatino Linotype"/>
          <w:color w:val="auto"/>
          <w:lang w:val="es-ES" w:eastAsia="es-MX"/>
        </w:rPr>
        <w:t xml:space="preserve"> de quince días hábiles</w:t>
      </w:r>
      <w:r w:rsidR="00740744" w:rsidRPr="00F703C9">
        <w:rPr>
          <w:rFonts w:eastAsia="Palatino Linotype" w:cs="Palatino Linotype"/>
          <w:color w:val="auto"/>
          <w:lang w:val="es-ES" w:eastAsia="es-MX"/>
        </w:rPr>
        <w:t>, el plazo para resolver el Recurso de Revisión que nos ocupa; acto que fue notificado a las partes el mismo día, mediante el Sistema de Acceso a la Información Mexiquense (SAIMEX).</w:t>
      </w:r>
    </w:p>
    <w:p w14:paraId="20E5ABC2" w14:textId="77777777" w:rsidR="007B0396" w:rsidRPr="00F703C9" w:rsidRDefault="007B0396" w:rsidP="00DA2D9B">
      <w:pPr>
        <w:autoSpaceDE w:val="0"/>
        <w:autoSpaceDN w:val="0"/>
        <w:adjustRightInd w:val="0"/>
        <w:spacing w:after="0" w:line="360" w:lineRule="auto"/>
        <w:ind w:right="-28"/>
        <w:contextualSpacing/>
        <w:rPr>
          <w:rFonts w:eastAsia="Times New Roman" w:cs="Tahoma"/>
          <w:b/>
          <w:color w:val="auto"/>
          <w:szCs w:val="24"/>
          <w:lang w:eastAsia="es-ES"/>
        </w:rPr>
      </w:pPr>
    </w:p>
    <w:p w14:paraId="403F7296" w14:textId="7D57F1B7" w:rsidR="00DB3DC5" w:rsidRPr="00F703C9" w:rsidRDefault="00B709E8" w:rsidP="00DA2D9B">
      <w:pPr>
        <w:autoSpaceDE w:val="0"/>
        <w:autoSpaceDN w:val="0"/>
        <w:adjustRightInd w:val="0"/>
        <w:spacing w:after="0" w:line="360" w:lineRule="auto"/>
        <w:ind w:right="-28"/>
        <w:contextualSpacing/>
        <w:rPr>
          <w:rFonts w:eastAsia="Calibri" w:cs="Tahoma"/>
          <w:bCs/>
        </w:rPr>
      </w:pPr>
      <w:r w:rsidRPr="00F703C9">
        <w:rPr>
          <w:rFonts w:eastAsia="Times New Roman" w:cs="Tahoma"/>
          <w:b/>
          <w:color w:val="auto"/>
          <w:szCs w:val="24"/>
          <w:lang w:eastAsia="es-ES"/>
        </w:rPr>
        <w:t>g</w:t>
      </w:r>
      <w:r w:rsidR="0014339D" w:rsidRPr="00F703C9">
        <w:rPr>
          <w:rFonts w:eastAsia="Times New Roman" w:cs="Tahoma"/>
          <w:b/>
          <w:color w:val="auto"/>
          <w:szCs w:val="24"/>
          <w:lang w:eastAsia="es-ES"/>
        </w:rPr>
        <w:t xml:space="preserve">) </w:t>
      </w:r>
      <w:r w:rsidR="00DB3DC5" w:rsidRPr="00F703C9">
        <w:rPr>
          <w:rFonts w:eastAsia="Times New Roman" w:cs="Tahoma"/>
          <w:b/>
          <w:color w:val="auto"/>
          <w:szCs w:val="24"/>
          <w:lang w:eastAsia="es-ES"/>
        </w:rPr>
        <w:t>Cierre de instrucción.</w:t>
      </w:r>
      <w:r w:rsidR="00DB3DC5" w:rsidRPr="00F703C9">
        <w:rPr>
          <w:rFonts w:eastAsia="Times New Roman" w:cs="Tahoma"/>
          <w:color w:val="auto"/>
          <w:szCs w:val="24"/>
          <w:lang w:eastAsia="es-ES"/>
        </w:rPr>
        <w:t xml:space="preserve"> El</w:t>
      </w:r>
      <w:r w:rsidR="00145862" w:rsidRPr="00F703C9">
        <w:rPr>
          <w:rFonts w:eastAsia="Times New Roman" w:cs="Tahoma"/>
          <w:color w:val="auto"/>
          <w:szCs w:val="24"/>
          <w:lang w:eastAsia="es-ES"/>
        </w:rPr>
        <w:t xml:space="preserve"> </w:t>
      </w:r>
      <w:r w:rsidR="00450DE3" w:rsidRPr="00F703C9">
        <w:rPr>
          <w:rFonts w:eastAsia="Times New Roman" w:cs="Tahoma"/>
          <w:color w:val="auto"/>
          <w:szCs w:val="24"/>
          <w:lang w:eastAsia="es-ES"/>
        </w:rPr>
        <w:t>seis</w:t>
      </w:r>
      <w:r w:rsidRPr="00F703C9">
        <w:rPr>
          <w:rFonts w:eastAsia="Times New Roman" w:cs="Tahoma"/>
          <w:color w:val="auto"/>
          <w:szCs w:val="24"/>
          <w:lang w:eastAsia="es-ES"/>
        </w:rPr>
        <w:t xml:space="preserve"> </w:t>
      </w:r>
      <w:r w:rsidR="005C599D" w:rsidRPr="00F703C9">
        <w:rPr>
          <w:rFonts w:eastAsia="Times New Roman" w:cs="Tahoma"/>
          <w:color w:val="auto"/>
          <w:szCs w:val="24"/>
          <w:lang w:eastAsia="es-ES"/>
        </w:rPr>
        <w:t xml:space="preserve">de </w:t>
      </w:r>
      <w:r w:rsidRPr="00F703C9">
        <w:rPr>
          <w:rFonts w:eastAsia="Times New Roman" w:cs="Tahoma"/>
          <w:color w:val="auto"/>
          <w:szCs w:val="24"/>
          <w:lang w:eastAsia="es-ES"/>
        </w:rPr>
        <w:t>noviembre</w:t>
      </w:r>
      <w:r w:rsidR="00145862" w:rsidRPr="00F703C9">
        <w:rPr>
          <w:rFonts w:eastAsia="Times New Roman" w:cs="Tahoma"/>
          <w:color w:val="auto"/>
          <w:szCs w:val="24"/>
          <w:lang w:eastAsia="es-ES"/>
        </w:rPr>
        <w:t xml:space="preserve"> de dos mil </w:t>
      </w:r>
      <w:r w:rsidR="0068713F" w:rsidRPr="00F703C9">
        <w:rPr>
          <w:rFonts w:eastAsia="Times New Roman" w:cs="Tahoma"/>
          <w:color w:val="auto"/>
          <w:szCs w:val="24"/>
          <w:lang w:eastAsia="es-ES"/>
        </w:rPr>
        <w:t>veinticuatro</w:t>
      </w:r>
      <w:r w:rsidR="00DB3DC5" w:rsidRPr="00F703C9">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DB3DC5" w:rsidRPr="00F703C9">
        <w:rPr>
          <w:rFonts w:eastAsia="Times New Roman" w:cs="Tahoma"/>
          <w:color w:val="auto"/>
          <w:szCs w:val="20"/>
          <w:lang w:val="es-ES" w:eastAsia="es-ES"/>
        </w:rPr>
        <w:t>Sistema de Acceso a la Información Mexiquense (SAIMEX)</w:t>
      </w:r>
      <w:r w:rsidR="00DB3DC5" w:rsidRPr="00F703C9">
        <w:rPr>
          <w:rFonts w:eastAsia="Times New Roman" w:cs="Tahoma"/>
          <w:color w:val="auto"/>
          <w:szCs w:val="24"/>
          <w:lang w:eastAsia="es-ES"/>
        </w:rPr>
        <w:t xml:space="preserve">. </w:t>
      </w:r>
    </w:p>
    <w:p w14:paraId="44D053F7" w14:textId="77777777" w:rsidR="0014339D" w:rsidRPr="00F703C9" w:rsidRDefault="0014339D" w:rsidP="00DA2D9B">
      <w:pPr>
        <w:autoSpaceDE w:val="0"/>
        <w:autoSpaceDN w:val="0"/>
        <w:adjustRightInd w:val="0"/>
        <w:spacing w:after="0" w:line="360" w:lineRule="auto"/>
        <w:ind w:right="-28"/>
        <w:contextualSpacing/>
        <w:rPr>
          <w:rFonts w:eastAsia="Calibri" w:cs="Tahoma"/>
          <w:bCs/>
        </w:rPr>
      </w:pPr>
    </w:p>
    <w:p w14:paraId="5D1BB03E" w14:textId="77777777" w:rsidR="00DB3DC5" w:rsidRPr="00F703C9" w:rsidRDefault="00DB3DC5" w:rsidP="00DA2D9B">
      <w:pPr>
        <w:spacing w:after="0" w:line="360" w:lineRule="auto"/>
        <w:contextualSpacing/>
        <w:rPr>
          <w:rFonts w:eastAsia="Times New Roman" w:cs="Tahoma"/>
          <w:color w:val="000000"/>
          <w:szCs w:val="24"/>
          <w:lang w:eastAsia="es-ES"/>
        </w:rPr>
      </w:pPr>
      <w:r w:rsidRPr="00F703C9">
        <w:rPr>
          <w:rFonts w:eastAsia="Times New Roman" w:cs="Tahoma"/>
          <w:color w:val="000000"/>
          <w:szCs w:val="24"/>
          <w:lang w:eastAsia="es-ES"/>
        </w:rPr>
        <w:t>En razón de que fue debidamente sustanciado e integrado el expediente electrónico y no existe diligencia pendiente de desahogo, se emite la resolución que conforme a Derecho proceda, de acuerdo a los siguientes:</w:t>
      </w:r>
    </w:p>
    <w:p w14:paraId="0A452CDE" w14:textId="77777777" w:rsidR="00DB3DC5" w:rsidRPr="00F703C9" w:rsidRDefault="00DB3DC5" w:rsidP="00DA2D9B">
      <w:pPr>
        <w:spacing w:after="0" w:line="360" w:lineRule="auto"/>
        <w:contextualSpacing/>
        <w:rPr>
          <w:rFonts w:eastAsia="Times New Roman" w:cs="Tahoma"/>
          <w:b/>
          <w:color w:val="auto"/>
          <w:lang w:val="es-ES" w:eastAsia="es-ES"/>
        </w:rPr>
      </w:pPr>
    </w:p>
    <w:p w14:paraId="1AD6FB2C" w14:textId="73721A3B" w:rsidR="00DB3DC5" w:rsidRPr="00F703C9" w:rsidRDefault="00DB3DC5" w:rsidP="00DA2D9B">
      <w:pPr>
        <w:spacing w:after="0" w:line="360" w:lineRule="auto"/>
        <w:contextualSpacing/>
        <w:jc w:val="center"/>
        <w:rPr>
          <w:rFonts w:eastAsia="Times New Roman" w:cs="Tahoma"/>
          <w:b/>
          <w:color w:val="auto"/>
          <w:lang w:val="es-ES" w:eastAsia="es-ES"/>
        </w:rPr>
      </w:pPr>
      <w:r w:rsidRPr="00F703C9">
        <w:rPr>
          <w:rFonts w:eastAsia="Times New Roman" w:cs="Tahoma"/>
          <w:b/>
          <w:color w:val="auto"/>
          <w:lang w:val="es-ES" w:eastAsia="es-ES"/>
        </w:rPr>
        <w:t>C O N S I D E R A N D O S</w:t>
      </w:r>
    </w:p>
    <w:p w14:paraId="446E7524" w14:textId="77777777" w:rsidR="00DB3DC5" w:rsidRPr="00F703C9" w:rsidRDefault="00DB3DC5" w:rsidP="00DA2D9B">
      <w:pPr>
        <w:spacing w:after="0" w:line="360" w:lineRule="auto"/>
        <w:contextualSpacing/>
        <w:jc w:val="center"/>
        <w:rPr>
          <w:rFonts w:eastAsia="Times New Roman" w:cs="Tahoma"/>
          <w:b/>
          <w:color w:val="auto"/>
          <w:lang w:val="es-ES" w:eastAsia="es-ES"/>
        </w:rPr>
      </w:pPr>
    </w:p>
    <w:p w14:paraId="5C90BBB8" w14:textId="775988DF" w:rsidR="00DB3DC5" w:rsidRPr="00F703C9" w:rsidRDefault="00DB3DC5" w:rsidP="00DA2D9B">
      <w:pPr>
        <w:autoSpaceDE w:val="0"/>
        <w:autoSpaceDN w:val="0"/>
        <w:adjustRightInd w:val="0"/>
        <w:spacing w:after="0" w:line="360" w:lineRule="auto"/>
        <w:contextualSpacing/>
        <w:rPr>
          <w:rFonts w:eastAsia="Times New Roman" w:cs="Tahoma"/>
          <w:b/>
          <w:color w:val="auto"/>
          <w:szCs w:val="24"/>
          <w:lang w:val="es-ES" w:eastAsia="es-ES"/>
        </w:rPr>
      </w:pPr>
      <w:r w:rsidRPr="00F703C9">
        <w:rPr>
          <w:rFonts w:eastAsia="Calibri" w:cs="Tahoma"/>
          <w:b/>
          <w:color w:val="000000"/>
          <w:szCs w:val="24"/>
          <w:lang w:val="es-ES" w:eastAsia="es-MX"/>
        </w:rPr>
        <w:t>PRIMERO</w:t>
      </w:r>
      <w:r w:rsidRPr="00F703C9">
        <w:rPr>
          <w:rFonts w:eastAsia="Calibri" w:cs="Tahoma"/>
          <w:color w:val="000000"/>
          <w:szCs w:val="24"/>
          <w:lang w:val="es-ES" w:eastAsia="es-MX"/>
        </w:rPr>
        <w:t xml:space="preserve">. </w:t>
      </w:r>
      <w:r w:rsidRPr="00F703C9">
        <w:rPr>
          <w:rFonts w:eastAsia="Times New Roman" w:cs="Tahoma"/>
          <w:b/>
          <w:color w:val="auto"/>
          <w:szCs w:val="24"/>
          <w:lang w:val="es-ES" w:eastAsia="es-ES"/>
        </w:rPr>
        <w:t>Competencia</w:t>
      </w:r>
    </w:p>
    <w:p w14:paraId="377E7349" w14:textId="77777777" w:rsidR="00DB3DC5" w:rsidRPr="00F703C9" w:rsidRDefault="00DB3DC5" w:rsidP="00DA2D9B">
      <w:pPr>
        <w:autoSpaceDE w:val="0"/>
        <w:autoSpaceDN w:val="0"/>
        <w:adjustRightInd w:val="0"/>
        <w:spacing w:after="0" w:line="360" w:lineRule="auto"/>
        <w:contextualSpacing/>
        <w:rPr>
          <w:rFonts w:eastAsia="Times New Roman" w:cs="Tahoma"/>
          <w:b/>
          <w:color w:val="auto"/>
          <w:szCs w:val="24"/>
          <w:lang w:val="es-ES" w:eastAsia="es-ES"/>
        </w:rPr>
      </w:pPr>
    </w:p>
    <w:p w14:paraId="09199183" w14:textId="13572322" w:rsidR="00DB3DC5" w:rsidRPr="00F703C9" w:rsidRDefault="00DB3DC5" w:rsidP="00DA2D9B">
      <w:pPr>
        <w:spacing w:after="0" w:line="360" w:lineRule="auto"/>
        <w:contextualSpacing/>
        <w:rPr>
          <w:rFonts w:eastAsia="Times New Roman" w:cs="Tahoma"/>
          <w:bCs/>
          <w:color w:val="auto"/>
          <w:lang w:eastAsia="es-ES"/>
        </w:rPr>
      </w:pPr>
      <w:bookmarkStart w:id="2" w:name="_Hlk63334754"/>
      <w:r w:rsidRPr="00F703C9">
        <w:rPr>
          <w:rFonts w:eastAsia="Times New Roman" w:cs="Tahoma"/>
          <w:bCs/>
          <w:color w:val="auto"/>
          <w:lang w:eastAsia="es-ES"/>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w:t>
      </w:r>
      <w:r w:rsidRPr="00F703C9">
        <w:rPr>
          <w:rFonts w:eastAsia="Times New Roman" w:cs="Tahoma"/>
          <w:bCs/>
          <w:color w:val="auto"/>
          <w:lang w:eastAsia="es-ES"/>
        </w:rPr>
        <w:lastRenderedPageBreak/>
        <w:t>párrafos trigésimo</w:t>
      </w:r>
      <w:r w:rsidR="003905B1" w:rsidRPr="00F703C9">
        <w:rPr>
          <w:rFonts w:eastAsia="Times New Roman" w:cs="Tahoma"/>
          <w:bCs/>
          <w:color w:val="auto"/>
          <w:lang w:eastAsia="es-ES"/>
        </w:rPr>
        <w:t xml:space="preserve"> segundo</w:t>
      </w:r>
      <w:r w:rsidRPr="00F703C9">
        <w:rPr>
          <w:rFonts w:eastAsia="Times New Roman" w:cs="Tahoma"/>
          <w:bCs/>
          <w:color w:val="auto"/>
          <w:lang w:eastAsia="es-ES"/>
        </w:rPr>
        <w:t xml:space="preserve">, trigésimo </w:t>
      </w:r>
      <w:r w:rsidR="003905B1" w:rsidRPr="00F703C9">
        <w:rPr>
          <w:rFonts w:eastAsia="Times New Roman" w:cs="Tahoma"/>
          <w:bCs/>
          <w:color w:val="auto"/>
          <w:lang w:eastAsia="es-ES"/>
        </w:rPr>
        <w:t>tercero</w:t>
      </w:r>
      <w:r w:rsidRPr="00F703C9">
        <w:rPr>
          <w:rFonts w:eastAsia="Times New Roman" w:cs="Tahoma"/>
          <w:bCs/>
          <w:color w:val="auto"/>
          <w:lang w:eastAsia="es-ES"/>
        </w:rPr>
        <w:t xml:space="preserve"> y trigésimo </w:t>
      </w:r>
      <w:r w:rsidR="003905B1" w:rsidRPr="00F703C9">
        <w:rPr>
          <w:rFonts w:eastAsia="Times New Roman" w:cs="Tahoma"/>
          <w:bCs/>
          <w:color w:val="auto"/>
          <w:lang w:eastAsia="es-ES"/>
        </w:rPr>
        <w:t>cuarto</w:t>
      </w:r>
      <w:r w:rsidRPr="00F703C9">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F703C9">
        <w:rPr>
          <w:rFonts w:eastAsia="Times New Roman" w:cs="Times New Roman"/>
          <w:bCs/>
          <w:color w:val="auto"/>
          <w:lang w:eastAsia="es-ES"/>
        </w:rPr>
        <w:t xml:space="preserve"> 7°, </w:t>
      </w:r>
      <w:r w:rsidRPr="00F703C9">
        <w:rPr>
          <w:rFonts w:eastAsia="Times New Roman" w:cs="Tahoma"/>
          <w:bCs/>
          <w:color w:val="auto"/>
          <w:lang w:eastAsia="es-ES"/>
        </w:rPr>
        <w:t>9°, fracciones I y XXIII y 11 del Reglamento Interior del Instituto de Transparencia, Acceso a la Información Pública y Protección de Datos Personales del Estado de México y Municipios.</w:t>
      </w:r>
      <w:bookmarkEnd w:id="2"/>
    </w:p>
    <w:p w14:paraId="34F007D6" w14:textId="77777777" w:rsidR="00DB3DC5" w:rsidRPr="00F703C9" w:rsidRDefault="00DB3DC5" w:rsidP="00DA2D9B">
      <w:pPr>
        <w:autoSpaceDE w:val="0"/>
        <w:autoSpaceDN w:val="0"/>
        <w:adjustRightInd w:val="0"/>
        <w:spacing w:after="0" w:line="360" w:lineRule="auto"/>
        <w:contextualSpacing/>
        <w:rPr>
          <w:rFonts w:eastAsia="Calibri" w:cs="Tahoma"/>
          <w:b/>
          <w:color w:val="000000"/>
          <w:szCs w:val="24"/>
          <w:lang w:val="es-ES" w:eastAsia="es-MX"/>
        </w:rPr>
      </w:pPr>
    </w:p>
    <w:p w14:paraId="77696DE3" w14:textId="40E4DCF4" w:rsidR="00DB3DC5" w:rsidRPr="00F703C9" w:rsidRDefault="00DB3DC5" w:rsidP="00DA2D9B">
      <w:pPr>
        <w:autoSpaceDE w:val="0"/>
        <w:autoSpaceDN w:val="0"/>
        <w:adjustRightInd w:val="0"/>
        <w:spacing w:after="0" w:line="360" w:lineRule="auto"/>
        <w:contextualSpacing/>
        <w:rPr>
          <w:rFonts w:eastAsia="Times New Roman" w:cs="Tahoma"/>
          <w:color w:val="auto"/>
          <w:szCs w:val="24"/>
          <w:lang w:val="es-ES" w:eastAsia="es-ES"/>
        </w:rPr>
      </w:pPr>
      <w:r w:rsidRPr="00F703C9">
        <w:rPr>
          <w:rFonts w:eastAsia="Calibri" w:cs="Tahoma"/>
          <w:b/>
          <w:color w:val="000000"/>
          <w:szCs w:val="24"/>
          <w:lang w:val="es-ES" w:eastAsia="es-MX"/>
        </w:rPr>
        <w:t>SEGUNDO</w:t>
      </w:r>
      <w:r w:rsidRPr="00F703C9">
        <w:rPr>
          <w:rFonts w:eastAsia="Calibri" w:cs="Tahoma"/>
          <w:color w:val="000000"/>
          <w:szCs w:val="24"/>
          <w:lang w:val="es-ES" w:eastAsia="es-MX"/>
        </w:rPr>
        <w:t xml:space="preserve">. </w:t>
      </w:r>
      <w:r w:rsidRPr="00F703C9">
        <w:rPr>
          <w:rFonts w:eastAsia="Times New Roman" w:cs="Tahoma"/>
          <w:b/>
          <w:color w:val="auto"/>
          <w:szCs w:val="24"/>
          <w:lang w:val="es-ES" w:eastAsia="es-ES"/>
        </w:rPr>
        <w:t>Causales de improcedencia y sobreseimiento</w:t>
      </w:r>
      <w:r w:rsidRPr="00F703C9">
        <w:rPr>
          <w:rFonts w:eastAsia="Times New Roman" w:cs="Tahoma"/>
          <w:color w:val="auto"/>
          <w:szCs w:val="24"/>
          <w:lang w:val="es-ES" w:eastAsia="es-ES"/>
        </w:rPr>
        <w:t xml:space="preserve"> </w:t>
      </w:r>
    </w:p>
    <w:p w14:paraId="22A992CE" w14:textId="77777777" w:rsidR="00DB3DC5" w:rsidRPr="00F703C9" w:rsidRDefault="00DB3DC5" w:rsidP="00DA2D9B">
      <w:pPr>
        <w:autoSpaceDE w:val="0"/>
        <w:autoSpaceDN w:val="0"/>
        <w:adjustRightInd w:val="0"/>
        <w:spacing w:after="0" w:line="360" w:lineRule="auto"/>
        <w:contextualSpacing/>
        <w:rPr>
          <w:rFonts w:eastAsia="Times New Roman" w:cs="Tahoma"/>
          <w:color w:val="auto"/>
          <w:szCs w:val="24"/>
          <w:lang w:val="es-ES" w:eastAsia="es-ES"/>
        </w:rPr>
      </w:pPr>
    </w:p>
    <w:p w14:paraId="5E71ADB2" w14:textId="77777777" w:rsidR="00DB3DC5" w:rsidRPr="00F703C9" w:rsidRDefault="00DB3DC5" w:rsidP="00DA2D9B">
      <w:pPr>
        <w:autoSpaceDE w:val="0"/>
        <w:autoSpaceDN w:val="0"/>
        <w:adjustRightInd w:val="0"/>
        <w:spacing w:after="0" w:line="360" w:lineRule="auto"/>
        <w:contextualSpacing/>
        <w:rPr>
          <w:rFonts w:eastAsia="Times New Roman" w:cs="Tahoma"/>
          <w:color w:val="auto"/>
          <w:szCs w:val="24"/>
          <w:lang w:val="es-ES" w:eastAsia="es-ES"/>
        </w:rPr>
      </w:pPr>
      <w:r w:rsidRPr="00F703C9">
        <w:rPr>
          <w:rFonts w:eastAsia="Times New Roman" w:cs="Tahoma"/>
          <w:color w:val="auto"/>
          <w:szCs w:val="24"/>
          <w:lang w:val="es-ES" w:eastAsia="es-ES"/>
        </w:rPr>
        <w:t xml:space="preserve">De las constancias que forma parte del Recurso de Revisión que se analiza, se advierte que previo al estudio del fondo de la </w:t>
      </w:r>
      <w:r w:rsidRPr="00F703C9">
        <w:rPr>
          <w:rFonts w:eastAsia="Times New Roman" w:cs="Tahoma"/>
          <w:i/>
          <w:color w:val="auto"/>
          <w:szCs w:val="24"/>
          <w:lang w:val="es-ES" w:eastAsia="es-ES"/>
        </w:rPr>
        <w:t>litis</w:t>
      </w:r>
      <w:r w:rsidRPr="00F703C9">
        <w:rPr>
          <w:rFonts w:eastAsia="Times New Roman" w:cs="Tahoma"/>
          <w:color w:val="auto"/>
          <w:szCs w:val="24"/>
          <w:lang w:val="es-ES" w:eastAsia="es-ES"/>
        </w:rPr>
        <w:t>, es necesario estudiar las causales de improcedencia y sobreseimiento que se adviertan, para determinar lo que en Derecho proceda.</w:t>
      </w:r>
    </w:p>
    <w:p w14:paraId="4A215CBB" w14:textId="77777777" w:rsidR="00DB3DC5" w:rsidRPr="00F703C9" w:rsidRDefault="00DB3DC5" w:rsidP="00DA2D9B">
      <w:pPr>
        <w:spacing w:after="0" w:line="360" w:lineRule="auto"/>
        <w:contextualSpacing/>
        <w:rPr>
          <w:b/>
          <w:lang w:val="es-ES"/>
        </w:rPr>
      </w:pPr>
    </w:p>
    <w:p w14:paraId="7CEF4E51" w14:textId="77777777" w:rsidR="00DB3DC5" w:rsidRPr="00F703C9" w:rsidRDefault="00DB3DC5" w:rsidP="00DA2D9B">
      <w:pPr>
        <w:spacing w:after="0" w:line="360" w:lineRule="auto"/>
        <w:contextualSpacing/>
        <w:rPr>
          <w:b/>
          <w:lang w:val="es-ES"/>
        </w:rPr>
      </w:pPr>
      <w:r w:rsidRPr="00F703C9">
        <w:rPr>
          <w:b/>
          <w:lang w:val="es-ES"/>
        </w:rPr>
        <w:t>Causales de improcedencia</w:t>
      </w:r>
    </w:p>
    <w:p w14:paraId="039C7835" w14:textId="77777777" w:rsidR="00DB3DC5" w:rsidRPr="00F703C9" w:rsidRDefault="00DB3DC5" w:rsidP="00DA2D9B">
      <w:pPr>
        <w:spacing w:after="0" w:line="360" w:lineRule="auto"/>
        <w:contextualSpacing/>
      </w:pPr>
    </w:p>
    <w:p w14:paraId="24BC499F" w14:textId="77777777" w:rsidR="00DB3DC5" w:rsidRPr="00F703C9" w:rsidRDefault="00DB3DC5" w:rsidP="00DA2D9B">
      <w:pPr>
        <w:spacing w:after="0" w:line="360" w:lineRule="auto"/>
        <w:contextualSpacing/>
        <w:rPr>
          <w:rFonts w:eastAsia="Times New Roman" w:cs="Tahoma"/>
          <w:color w:val="auto"/>
          <w:lang w:eastAsia="es-ES"/>
        </w:rPr>
      </w:pPr>
      <w:r w:rsidRPr="00F703C9">
        <w:rPr>
          <w:rFonts w:eastAsia="Times New Roman" w:cs="Tahoma"/>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6610D5C" w14:textId="77777777" w:rsidR="00DB3DC5" w:rsidRPr="00F703C9" w:rsidRDefault="00DB3DC5" w:rsidP="00DA2D9B">
      <w:pPr>
        <w:spacing w:after="0" w:line="360" w:lineRule="auto"/>
        <w:contextualSpacing/>
        <w:rPr>
          <w:rFonts w:eastAsia="Times New Roman" w:cs="Tahoma"/>
          <w:color w:val="auto"/>
          <w:lang w:eastAsia="es-ES"/>
        </w:rPr>
      </w:pPr>
    </w:p>
    <w:p w14:paraId="344A6FE5" w14:textId="77777777" w:rsidR="00DB3DC5" w:rsidRPr="00F703C9" w:rsidRDefault="00DB3DC5" w:rsidP="00DA2D9B">
      <w:pPr>
        <w:spacing w:after="0" w:line="360" w:lineRule="auto"/>
        <w:contextualSpacing/>
        <w:rPr>
          <w:rFonts w:eastAsia="Times New Roman" w:cs="Tahoma"/>
          <w:color w:val="auto"/>
          <w:lang w:eastAsia="es-ES"/>
        </w:rPr>
      </w:pPr>
      <w:r w:rsidRPr="00F703C9">
        <w:rPr>
          <w:rFonts w:eastAsia="Times New Roman" w:cs="Tahoma"/>
          <w:color w:val="auto"/>
          <w:lang w:eastAsia="es-ES"/>
        </w:rPr>
        <w:lastRenderedPageBreak/>
        <w:t>En el presente caso, </w:t>
      </w:r>
      <w:r w:rsidRPr="00F703C9">
        <w:rPr>
          <w:rFonts w:eastAsia="Times New Roman" w:cs="Tahoma"/>
          <w:b/>
          <w:bCs/>
          <w:color w:val="auto"/>
          <w:lang w:eastAsia="es-ES"/>
        </w:rPr>
        <w:t>no se actualiza ninguna de las causales de improcedencia</w:t>
      </w:r>
      <w:r w:rsidRPr="00F703C9">
        <w:rPr>
          <w:rFonts w:eastAsia="Times New Roman" w:cs="Tahoma"/>
          <w:color w:val="auto"/>
          <w:lang w:eastAsia="es-ES"/>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0308760A" w14:textId="77777777" w:rsidR="00DB3DC5" w:rsidRPr="00F703C9" w:rsidRDefault="00DB3DC5" w:rsidP="00DA2D9B">
      <w:pPr>
        <w:spacing w:after="0" w:line="360" w:lineRule="auto"/>
        <w:contextualSpacing/>
        <w:rPr>
          <w:rFonts w:eastAsia="Times New Roman" w:cs="Tahoma"/>
          <w:color w:val="auto"/>
          <w:lang w:val="es-ES" w:eastAsia="es-ES"/>
        </w:rPr>
      </w:pPr>
    </w:p>
    <w:p w14:paraId="02892483" w14:textId="0BEB2AE5" w:rsidR="00D94EE7" w:rsidRPr="00F703C9" w:rsidRDefault="00DB3DC5" w:rsidP="00DA2D9B">
      <w:pPr>
        <w:spacing w:after="0" w:line="360" w:lineRule="auto"/>
        <w:contextualSpacing/>
        <w:rPr>
          <w:rFonts w:eastAsia="Times New Roman" w:cs="Tahoma"/>
          <w:bCs/>
          <w:color w:val="auto"/>
          <w:lang w:val="es-ES" w:eastAsia="es-ES"/>
        </w:rPr>
      </w:pPr>
      <w:r w:rsidRPr="00F703C9">
        <w:rPr>
          <w:rFonts w:eastAsia="Times New Roman" w:cs="Tahoma"/>
          <w:color w:val="auto"/>
          <w:lang w:val="es-ES" w:eastAsia="es-ES"/>
        </w:rPr>
        <w:t>Conforme a lo anterior, se actualiza la causal de procedencia señalad</w:t>
      </w:r>
      <w:r w:rsidR="00BB36D2" w:rsidRPr="00F703C9">
        <w:rPr>
          <w:rFonts w:eastAsia="Times New Roman" w:cs="Tahoma"/>
          <w:color w:val="auto"/>
          <w:lang w:val="es-ES" w:eastAsia="es-ES"/>
        </w:rPr>
        <w:t>a en el artículo 179, fracción</w:t>
      </w:r>
      <w:r w:rsidR="006720F9" w:rsidRPr="00F703C9">
        <w:rPr>
          <w:rFonts w:eastAsia="Times New Roman" w:cs="Tahoma"/>
          <w:color w:val="auto"/>
          <w:lang w:val="es-ES" w:eastAsia="es-ES"/>
        </w:rPr>
        <w:t xml:space="preserve"> VI</w:t>
      </w:r>
      <w:r w:rsidRPr="00F703C9">
        <w:rPr>
          <w:rFonts w:eastAsia="Times New Roman" w:cs="Tahoma"/>
          <w:color w:val="auto"/>
          <w:lang w:val="es-ES" w:eastAsia="es-ES"/>
        </w:rPr>
        <w:t>, de la Ley de la materia</w:t>
      </w:r>
      <w:r w:rsidRPr="00F703C9">
        <w:rPr>
          <w:rFonts w:eastAsia="Times New Roman" w:cs="Tahoma"/>
          <w:bCs/>
          <w:color w:val="auto"/>
          <w:lang w:val="es-ES" w:eastAsia="es-ES"/>
        </w:rPr>
        <w:t xml:space="preserve">, toda vez que el Solicitante se inconformó con </w:t>
      </w:r>
      <w:r w:rsidR="001067F6" w:rsidRPr="00F703C9">
        <w:rPr>
          <w:rFonts w:eastAsia="Times New Roman" w:cs="Tahoma"/>
          <w:bCs/>
          <w:color w:val="auto"/>
          <w:lang w:val="es-ES" w:eastAsia="es-ES"/>
        </w:rPr>
        <w:t>la</w:t>
      </w:r>
      <w:r w:rsidRPr="00F703C9">
        <w:rPr>
          <w:rFonts w:eastAsia="Times New Roman" w:cs="Tahoma"/>
          <w:bCs/>
          <w:color w:val="auto"/>
          <w:lang w:val="es-ES" w:eastAsia="es-ES"/>
        </w:rPr>
        <w:t xml:space="preserve"> </w:t>
      </w:r>
      <w:r w:rsidR="00E75043" w:rsidRPr="00F703C9">
        <w:rPr>
          <w:rFonts w:eastAsia="Times New Roman" w:cs="Tahoma"/>
          <w:bCs/>
          <w:color w:val="auto"/>
          <w:lang w:val="es-ES" w:eastAsia="es-ES"/>
        </w:rPr>
        <w:t xml:space="preserve">entrega de información </w:t>
      </w:r>
      <w:r w:rsidR="006720F9" w:rsidRPr="00F703C9">
        <w:rPr>
          <w:rFonts w:eastAsia="Times New Roman" w:cs="Tahoma"/>
          <w:bCs/>
          <w:color w:val="auto"/>
          <w:lang w:val="es-ES" w:eastAsia="es-ES"/>
        </w:rPr>
        <w:t>que no corresponde con lo solicitado.</w:t>
      </w:r>
    </w:p>
    <w:p w14:paraId="0D958195" w14:textId="77777777" w:rsidR="00727FAC" w:rsidRPr="00F703C9" w:rsidRDefault="00727FAC" w:rsidP="00DA2D9B">
      <w:pPr>
        <w:spacing w:after="0" w:line="360" w:lineRule="auto"/>
        <w:contextualSpacing/>
        <w:rPr>
          <w:rFonts w:cs="Tahoma"/>
          <w:lang w:val="es-ES"/>
        </w:rPr>
      </w:pPr>
    </w:p>
    <w:p w14:paraId="7C183A55" w14:textId="47C4F360" w:rsidR="00DB3DC5" w:rsidRPr="00F703C9" w:rsidRDefault="00DB3DC5" w:rsidP="00DA2D9B">
      <w:pPr>
        <w:spacing w:after="0" w:line="360" w:lineRule="auto"/>
        <w:contextualSpacing/>
        <w:rPr>
          <w:rFonts w:eastAsia="Times New Roman" w:cs="Tahoma"/>
          <w:bCs/>
          <w:color w:val="0D0D0D" w:themeColor="text1" w:themeTint="F2"/>
          <w:lang w:eastAsia="es-ES"/>
        </w:rPr>
      </w:pPr>
      <w:r w:rsidRPr="00F703C9">
        <w:rPr>
          <w:rFonts w:eastAsia="Times New Roman" w:cs="Tahoma"/>
          <w:b/>
          <w:bCs/>
          <w:color w:val="0D0D0D" w:themeColor="text1" w:themeTint="F2"/>
          <w:lang w:eastAsia="es-ES"/>
        </w:rPr>
        <w:t>Causales de sobreseimiento</w:t>
      </w:r>
    </w:p>
    <w:p w14:paraId="4882BDEC" w14:textId="77777777" w:rsidR="00DB3DC5" w:rsidRPr="00F703C9" w:rsidRDefault="00DB3DC5" w:rsidP="00DA2D9B">
      <w:pPr>
        <w:spacing w:after="0" w:line="360" w:lineRule="auto"/>
        <w:contextualSpacing/>
        <w:rPr>
          <w:rFonts w:eastAsia="Times New Roman" w:cs="Tahoma"/>
          <w:bCs/>
          <w:color w:val="0D0D0D" w:themeColor="text1" w:themeTint="F2"/>
          <w:lang w:eastAsia="es-ES"/>
        </w:rPr>
      </w:pPr>
    </w:p>
    <w:p w14:paraId="1C1FAC25" w14:textId="5560238B" w:rsidR="00DB3DC5" w:rsidRPr="00F703C9" w:rsidRDefault="00DB3DC5" w:rsidP="00DA2D9B">
      <w:pPr>
        <w:spacing w:after="0" w:line="360" w:lineRule="auto"/>
        <w:contextualSpacing/>
        <w:rPr>
          <w:rFonts w:eastAsia="Times New Roman" w:cs="Tahoma"/>
          <w:bCs/>
          <w:color w:val="0D0D0D" w:themeColor="text1" w:themeTint="F2"/>
          <w:lang w:eastAsia="es-ES"/>
        </w:rPr>
      </w:pPr>
      <w:r w:rsidRPr="00F703C9">
        <w:rPr>
          <w:rFonts w:eastAsia="Times New Roman" w:cs="Tahoma"/>
          <w:bCs/>
          <w:color w:val="0D0D0D" w:themeColor="text1" w:themeTint="F2"/>
          <w:lang w:eastAsia="es-ES"/>
        </w:rPr>
        <w:t>Por ser de previo y especial pronunciamiento, este Instituto analiza si se actualiza alguna causal de sobreseimiento.</w:t>
      </w:r>
    </w:p>
    <w:p w14:paraId="23736C10" w14:textId="77777777" w:rsidR="00F063F0" w:rsidRPr="00F703C9" w:rsidRDefault="00F063F0" w:rsidP="00DA2D9B">
      <w:pPr>
        <w:spacing w:after="0" w:line="360" w:lineRule="auto"/>
        <w:contextualSpacing/>
        <w:rPr>
          <w:rFonts w:eastAsia="Times New Roman" w:cs="Tahoma"/>
          <w:bCs/>
          <w:color w:val="0D0D0D" w:themeColor="text1" w:themeTint="F2"/>
          <w:lang w:eastAsia="es-ES"/>
        </w:rPr>
      </w:pPr>
    </w:p>
    <w:p w14:paraId="061BC45D" w14:textId="77777777" w:rsidR="00DB3DC5" w:rsidRPr="00F703C9" w:rsidRDefault="00DB3DC5" w:rsidP="00DA2D9B">
      <w:pPr>
        <w:spacing w:after="0" w:line="360" w:lineRule="auto"/>
        <w:contextualSpacing/>
        <w:rPr>
          <w:rFonts w:eastAsia="Times New Roman" w:cs="Tahoma"/>
          <w:color w:val="auto"/>
          <w:szCs w:val="24"/>
          <w:lang w:eastAsia="es-ES"/>
        </w:rPr>
      </w:pPr>
      <w:r w:rsidRPr="00F703C9">
        <w:rPr>
          <w:rFonts w:eastAsia="Times New Roman" w:cs="Tahoma"/>
          <w:bCs/>
          <w:color w:val="0D0D0D" w:themeColor="text1" w:themeTint="F2"/>
          <w:lang w:eastAsia="es-ES"/>
        </w:rPr>
        <w:t>Sobre el tema, e</w:t>
      </w:r>
      <w:r w:rsidRPr="00F703C9">
        <w:rPr>
          <w:rFonts w:eastAsia="Times New Roman" w:cs="Tahoma"/>
          <w:color w:val="auto"/>
          <w:szCs w:val="24"/>
          <w:lang w:eastAsia="es-ES"/>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7248CABF" w14:textId="77777777" w:rsidR="00DB3DC5" w:rsidRPr="00F703C9" w:rsidRDefault="00DB3DC5" w:rsidP="00DA2D9B">
      <w:pPr>
        <w:spacing w:after="0" w:line="360" w:lineRule="auto"/>
        <w:contextualSpacing/>
        <w:rPr>
          <w:rFonts w:eastAsia="Times New Roman" w:cs="Tahoma"/>
          <w:color w:val="auto"/>
          <w:szCs w:val="24"/>
          <w:lang w:eastAsia="es-ES"/>
        </w:rPr>
      </w:pPr>
    </w:p>
    <w:p w14:paraId="6D96EC9B" w14:textId="77777777" w:rsidR="00DB3DC5" w:rsidRPr="00F703C9" w:rsidRDefault="00DB3DC5" w:rsidP="00DA2D9B">
      <w:pPr>
        <w:spacing w:after="0" w:line="360" w:lineRule="auto"/>
        <w:contextualSpacing/>
        <w:rPr>
          <w:rFonts w:eastAsia="Times New Roman" w:cs="Tahoma"/>
          <w:bCs/>
          <w:color w:val="0D0D0D" w:themeColor="text1" w:themeTint="F2"/>
          <w:lang w:eastAsia="es-ES"/>
        </w:rPr>
      </w:pPr>
      <w:r w:rsidRPr="00F703C9">
        <w:rPr>
          <w:rFonts w:eastAsia="Times New Roman" w:cs="Tahoma"/>
          <w:bCs/>
          <w:color w:val="0D0D0D" w:themeColor="text1" w:themeTint="F2"/>
          <w:lang w:eastAsia="es-ES"/>
        </w:rPr>
        <w:t xml:space="preserve">Por tales motivos, se considera procedente entrar al fondo del presente asunto. </w:t>
      </w:r>
    </w:p>
    <w:p w14:paraId="51FFF3D0" w14:textId="77777777" w:rsidR="00DB3DC5" w:rsidRPr="00F703C9" w:rsidRDefault="00DB3DC5" w:rsidP="00DA2D9B">
      <w:pPr>
        <w:spacing w:after="0" w:line="360" w:lineRule="auto"/>
        <w:contextualSpacing/>
        <w:rPr>
          <w:rFonts w:eastAsia="Times New Roman" w:cs="Tahoma"/>
          <w:b/>
          <w:bCs/>
          <w:iCs/>
          <w:color w:val="auto"/>
          <w:lang w:val="es-ES" w:eastAsia="es-ES"/>
        </w:rPr>
      </w:pPr>
    </w:p>
    <w:p w14:paraId="633955FE" w14:textId="0B722701" w:rsidR="00DB3DC5" w:rsidRPr="00F703C9" w:rsidRDefault="00DB3DC5" w:rsidP="00DA2D9B">
      <w:pPr>
        <w:spacing w:after="0" w:line="360" w:lineRule="auto"/>
        <w:contextualSpacing/>
        <w:rPr>
          <w:rFonts w:eastAsia="Times New Roman" w:cs="Tahoma"/>
          <w:b/>
          <w:bCs/>
          <w:iCs/>
          <w:color w:val="auto"/>
          <w:lang w:val="es-ES" w:eastAsia="es-ES"/>
        </w:rPr>
      </w:pPr>
      <w:r w:rsidRPr="00F703C9">
        <w:rPr>
          <w:rFonts w:eastAsia="Times New Roman" w:cs="Tahoma"/>
          <w:b/>
          <w:bCs/>
          <w:iCs/>
          <w:color w:val="auto"/>
          <w:lang w:val="es-ES" w:eastAsia="es-ES"/>
        </w:rPr>
        <w:lastRenderedPageBreak/>
        <w:t>TERCERO. Determinación de la Controversia</w:t>
      </w:r>
    </w:p>
    <w:p w14:paraId="29A4CC8A" w14:textId="77777777" w:rsidR="00DB3DC5" w:rsidRPr="00F703C9" w:rsidRDefault="00DB3DC5" w:rsidP="00DA2D9B">
      <w:pPr>
        <w:autoSpaceDE w:val="0"/>
        <w:autoSpaceDN w:val="0"/>
        <w:adjustRightInd w:val="0"/>
        <w:spacing w:after="0" w:line="360" w:lineRule="auto"/>
        <w:contextualSpacing/>
        <w:rPr>
          <w:rFonts w:eastAsia="Calibri" w:cs="Tahoma"/>
          <w:color w:val="000000"/>
          <w:lang w:val="es-ES" w:eastAsia="es-MX"/>
        </w:rPr>
      </w:pPr>
    </w:p>
    <w:p w14:paraId="47229CBE" w14:textId="191E7BBB" w:rsidR="006F36F7" w:rsidRPr="00F703C9" w:rsidRDefault="00594710" w:rsidP="00DA2D9B">
      <w:pPr>
        <w:spacing w:after="0" w:line="360" w:lineRule="auto"/>
        <w:rPr>
          <w:rFonts w:cs="Tahoma"/>
        </w:rPr>
      </w:pPr>
      <w:bookmarkStart w:id="3" w:name="_Hlk181139484"/>
      <w:r w:rsidRPr="00F703C9">
        <w:rPr>
          <w:rFonts w:cs="Tahoma"/>
        </w:rPr>
        <w:t xml:space="preserve">Con el objetivo de ilustrar la controversia planteada, resulta conveniente precisar, que una vez realizado el estudio de las constancias que integran el expediente en el que se actúa, se desprende que el Particular requirió, </w:t>
      </w:r>
      <w:r w:rsidR="006F36F7" w:rsidRPr="00F703C9">
        <w:rPr>
          <w:rFonts w:cs="Tahoma"/>
        </w:rPr>
        <w:t>del servicio que dio la Empresa GURIK S.A. de C.V., lo siguiente:</w:t>
      </w:r>
    </w:p>
    <w:p w14:paraId="4388160D" w14:textId="77777777" w:rsidR="006F36F7" w:rsidRPr="00F703C9" w:rsidRDefault="006F36F7" w:rsidP="00DA2D9B">
      <w:pPr>
        <w:spacing w:after="0" w:line="360" w:lineRule="auto"/>
        <w:rPr>
          <w:rFonts w:cs="Tahoma"/>
        </w:rPr>
      </w:pPr>
    </w:p>
    <w:p w14:paraId="7A674257" w14:textId="0E4B3474" w:rsidR="006F36F7" w:rsidRPr="00F703C9" w:rsidRDefault="000C23EC" w:rsidP="00881817">
      <w:pPr>
        <w:pStyle w:val="Prrafodelista"/>
        <w:numPr>
          <w:ilvl w:val="0"/>
          <w:numId w:val="13"/>
        </w:numPr>
        <w:spacing w:after="0" w:line="360" w:lineRule="auto"/>
        <w:rPr>
          <w:rFonts w:cs="Tahoma"/>
        </w:rPr>
      </w:pPr>
      <w:r w:rsidRPr="00F703C9">
        <w:rPr>
          <w:rFonts w:cs="Tahoma"/>
        </w:rPr>
        <w:t>El tipo de e</w:t>
      </w:r>
      <w:r w:rsidR="006F36F7" w:rsidRPr="00F703C9">
        <w:rPr>
          <w:rFonts w:cs="Tahoma"/>
        </w:rPr>
        <w:t xml:space="preserve">quipos informáticos que se les dio mantenimiento, por los cuales pagaron </w:t>
      </w:r>
      <w:r w:rsidR="006F36F7" w:rsidRPr="00F703C9">
        <w:rPr>
          <w:iCs/>
          <w:color w:val="000000"/>
        </w:rPr>
        <w:t>$1,716,800.00 (un millón setecientos dieciséis mil ochocientos pesos 00/100 M.N.)</w:t>
      </w:r>
      <w:r w:rsidR="0069765E" w:rsidRPr="00F703C9">
        <w:rPr>
          <w:iCs/>
          <w:color w:val="000000"/>
        </w:rPr>
        <w:t>, y</w:t>
      </w:r>
    </w:p>
    <w:p w14:paraId="7572D12C" w14:textId="7627F4D1" w:rsidR="006F36F7" w:rsidRPr="00F703C9" w:rsidRDefault="00083012" w:rsidP="00881817">
      <w:pPr>
        <w:pStyle w:val="Prrafodelista"/>
        <w:numPr>
          <w:ilvl w:val="0"/>
          <w:numId w:val="13"/>
        </w:numPr>
        <w:spacing w:after="0" w:line="360" w:lineRule="auto"/>
        <w:rPr>
          <w:rFonts w:cs="Tahoma"/>
          <w:iCs/>
          <w:sz w:val="24"/>
          <w:szCs w:val="24"/>
        </w:rPr>
      </w:pPr>
      <w:r w:rsidRPr="00F703C9">
        <w:rPr>
          <w:iCs/>
          <w:color w:val="000000"/>
        </w:rPr>
        <w:t>El tipo de c</w:t>
      </w:r>
      <w:r w:rsidR="006F36F7" w:rsidRPr="00F703C9">
        <w:rPr>
          <w:iCs/>
          <w:color w:val="000000"/>
        </w:rPr>
        <w:t xml:space="preserve">ámaras de video </w:t>
      </w:r>
      <w:r w:rsidR="006F36F7" w:rsidRPr="00F703C9">
        <w:rPr>
          <w:rFonts w:cs="Tahoma"/>
        </w:rPr>
        <w:t>que se les dio mantenimiento, por los cuales pagaron</w:t>
      </w:r>
      <w:r w:rsidR="006F36F7" w:rsidRPr="00F703C9">
        <w:rPr>
          <w:rFonts w:eastAsia="Times New Roman" w:cs="Arial"/>
          <w:bCs/>
          <w:i/>
          <w:sz w:val="20"/>
          <w:szCs w:val="20"/>
          <w:lang w:eastAsia="es-ES"/>
        </w:rPr>
        <w:t xml:space="preserve"> </w:t>
      </w:r>
      <w:r w:rsidR="006F36F7" w:rsidRPr="00F703C9">
        <w:rPr>
          <w:rFonts w:eastAsia="Times New Roman" w:cs="Arial"/>
          <w:bCs/>
          <w:iCs/>
          <w:lang w:eastAsia="es-ES"/>
        </w:rPr>
        <w:t>$4,408,000.00 (cuatro millones cuatrocientos ocho mil pesos 00/100 M.N.)</w:t>
      </w:r>
      <w:r w:rsidR="0069765E" w:rsidRPr="00F703C9">
        <w:rPr>
          <w:rFonts w:eastAsia="Times New Roman" w:cs="Arial"/>
          <w:bCs/>
          <w:iCs/>
          <w:lang w:eastAsia="es-ES"/>
        </w:rPr>
        <w:t>.</w:t>
      </w:r>
    </w:p>
    <w:p w14:paraId="1D6E9E5C" w14:textId="77777777" w:rsidR="00C2089F" w:rsidRPr="00F703C9" w:rsidRDefault="00C2089F" w:rsidP="00DA2D9B">
      <w:pPr>
        <w:spacing w:after="0" w:line="360" w:lineRule="auto"/>
        <w:rPr>
          <w:i/>
          <w:iCs/>
          <w:color w:val="000000"/>
          <w:sz w:val="20"/>
          <w:szCs w:val="20"/>
        </w:rPr>
      </w:pPr>
    </w:p>
    <w:p w14:paraId="4FAADC73" w14:textId="5162E309" w:rsidR="000A0C40" w:rsidRPr="00F703C9" w:rsidRDefault="00E722D9" w:rsidP="00881817">
      <w:pPr>
        <w:spacing w:after="0" w:line="360" w:lineRule="auto"/>
        <w:rPr>
          <w:color w:val="000000"/>
        </w:rPr>
      </w:pPr>
      <w:r w:rsidRPr="00F703C9">
        <w:rPr>
          <w:color w:val="000000"/>
        </w:rPr>
        <w:t xml:space="preserve">En respuesta, el Sujeto Obligado, a través del Titular de la Unidad de Transparencia, mencionó que la información solicitada </w:t>
      </w:r>
      <w:r w:rsidR="000A0C40" w:rsidRPr="00F703C9">
        <w:rPr>
          <w:rFonts w:cs="Tahoma"/>
          <w:bCs/>
        </w:rPr>
        <w:t>se encuentra sometida a actividades de fiscalización, verificación, inspección, comprobación en la Auditoría número 917 con título "Participaciones Federales a Entidades Federativas", la cual fue autorizada mediante el Programa Anual de Auditorías dos mil veintitrés, para la Fiscalización y Revisión de la Cuenta Pública</w:t>
      </w:r>
      <w:r w:rsidR="00A11436" w:rsidRPr="00F703C9">
        <w:rPr>
          <w:rFonts w:cs="Tahoma"/>
          <w:bCs/>
        </w:rPr>
        <w:t xml:space="preserve"> dos mil veintitrés</w:t>
      </w:r>
      <w:r w:rsidR="000A0C40" w:rsidRPr="00F703C9">
        <w:rPr>
          <w:rFonts w:cs="Tahoma"/>
          <w:bCs/>
        </w:rPr>
        <w:t xml:space="preserve">, motivo por el cual se clasificó como información reservada mediante el </w:t>
      </w:r>
      <w:r w:rsidR="000A0C40" w:rsidRPr="00F703C9">
        <w:rPr>
          <w:rFonts w:cs="Tahoma"/>
          <w:lang w:val="es-ES_tradnl"/>
        </w:rPr>
        <w:t>Acta de la Décima Sexta Sesión Extraordinaria, del quince de agosto de dos mil veinticuatro</w:t>
      </w:r>
      <w:r w:rsidRPr="00F703C9">
        <w:rPr>
          <w:rFonts w:cs="Tahoma"/>
        </w:rPr>
        <w:t>;</w:t>
      </w:r>
      <w:r w:rsidRPr="00F703C9">
        <w:t xml:space="preserve"> </w:t>
      </w:r>
      <w:r w:rsidRPr="00F703C9">
        <w:rPr>
          <w:rFonts w:cs="Tahoma"/>
          <w:lang w:val="es-ES"/>
        </w:rPr>
        <w:t xml:space="preserve">ante dicha circunstancia, el Particular se inconformó de que no le entregaron la información solicitada, lo cual </w:t>
      </w:r>
      <w:r w:rsidRPr="00F703C9">
        <w:rPr>
          <w:rFonts w:eastAsia="Calibri" w:cs="Tahoma"/>
        </w:rPr>
        <w:t>actualiza la causal de procedencia prevista en la fracción VI, del artículo 179 de la Ley de Transparencia y Acceso a la Información Pública del Estado de México y Municipios</w:t>
      </w:r>
      <w:r w:rsidRPr="00F703C9">
        <w:rPr>
          <w:color w:val="0D0D0D"/>
        </w:rPr>
        <w:t xml:space="preserve">. </w:t>
      </w:r>
      <w:r w:rsidRPr="00F703C9">
        <w:rPr>
          <w:rFonts w:eastAsia="Calibri" w:cs="Tahoma"/>
        </w:rPr>
        <w:t xml:space="preserve">Así, las cosas, una vez admitido y notificado el Recurso de Revisión a las partes, el Sujeto Obligado </w:t>
      </w:r>
      <w:r w:rsidRPr="00F703C9">
        <w:rPr>
          <w:color w:val="000000"/>
        </w:rPr>
        <w:t xml:space="preserve">a través del </w:t>
      </w:r>
      <w:r w:rsidR="000A0C40" w:rsidRPr="00F703C9">
        <w:rPr>
          <w:color w:val="000000"/>
        </w:rPr>
        <w:t>Tesorero Municipal ratificó su respuesta.</w:t>
      </w:r>
      <w:bookmarkEnd w:id="3"/>
    </w:p>
    <w:p w14:paraId="5B88E8E3" w14:textId="77777777" w:rsidR="009F4878" w:rsidRPr="00F703C9" w:rsidRDefault="009F4878" w:rsidP="00DA2D9B">
      <w:pPr>
        <w:tabs>
          <w:tab w:val="left" w:pos="4962"/>
        </w:tabs>
        <w:spacing w:after="0" w:line="360" w:lineRule="auto"/>
        <w:contextualSpacing/>
        <w:rPr>
          <w:rFonts w:cs="Tahoma"/>
          <w:lang w:val="es-ES"/>
        </w:rPr>
      </w:pPr>
    </w:p>
    <w:p w14:paraId="3A6521F2" w14:textId="6B8B73E0" w:rsidR="00DB3DC5" w:rsidRPr="00F703C9" w:rsidRDefault="00DB3DC5" w:rsidP="00DA2D9B">
      <w:pPr>
        <w:tabs>
          <w:tab w:val="left" w:pos="4962"/>
        </w:tabs>
        <w:spacing w:after="0" w:line="360" w:lineRule="auto"/>
        <w:contextualSpacing/>
        <w:rPr>
          <w:rFonts w:eastAsia="Calibri" w:cs="Tahoma"/>
          <w:bCs/>
          <w:szCs w:val="24"/>
        </w:rPr>
      </w:pPr>
      <w:r w:rsidRPr="00F703C9">
        <w:rPr>
          <w:rFonts w:eastAsia="Calibri" w:cs="Tahoma"/>
          <w:iCs/>
          <w:lang w:val="es-ES" w:eastAsia="es-ES_tradnl"/>
        </w:rPr>
        <w:lastRenderedPageBreak/>
        <w:t>Lo anterior, se desprende de las documentales que obran en el expediente de referencia, materia de la presente resolución, consistente en: la solicitud de acceso a la información</w:t>
      </w:r>
      <w:r w:rsidR="001F3934" w:rsidRPr="00F703C9">
        <w:rPr>
          <w:rFonts w:eastAsia="Calibri" w:cs="Tahoma"/>
          <w:iCs/>
          <w:lang w:val="es-ES" w:eastAsia="es-ES_tradnl"/>
        </w:rPr>
        <w:t>,</w:t>
      </w:r>
      <w:r w:rsidRPr="00F703C9">
        <w:rPr>
          <w:rFonts w:eastAsia="Calibri" w:cs="Tahoma"/>
          <w:iCs/>
          <w:lang w:eastAsia="es-ES_tradnl"/>
        </w:rPr>
        <w:t xml:space="preserve"> el escrito recursal</w:t>
      </w:r>
      <w:r w:rsidR="001F3934" w:rsidRPr="00F703C9">
        <w:rPr>
          <w:rFonts w:eastAsia="Calibri" w:cs="Tahoma"/>
          <w:iCs/>
          <w:lang w:eastAsia="es-ES_tradnl"/>
        </w:rPr>
        <w:t xml:space="preserve"> y</w:t>
      </w:r>
      <w:r w:rsidRPr="00F703C9">
        <w:rPr>
          <w:rFonts w:eastAsia="Calibri" w:cs="Tahoma"/>
          <w:iCs/>
          <w:lang w:eastAsia="es-ES_tradnl"/>
        </w:rPr>
        <w:t xml:space="preserve"> el Informe Justificado; </w:t>
      </w:r>
      <w:r w:rsidRPr="00F703C9">
        <w:rPr>
          <w:rFonts w:eastAsia="Calibri" w:cs="Tahoma"/>
          <w:bCs/>
          <w:szCs w:val="24"/>
        </w:rPr>
        <w:t>instrumentales que se toman en cuenta a efecto de resolver el presente medio de impugnación, conforme a lo dispuesto por el artículo 185, fracción IV, de la Ley de Transparencia y Acceso a la Información Pública del Estado de México y Municipios.</w:t>
      </w:r>
    </w:p>
    <w:p w14:paraId="54D41AE7" w14:textId="77777777" w:rsidR="00DB3DC5" w:rsidRPr="00F703C9" w:rsidRDefault="00DB3DC5" w:rsidP="00DA2D9B">
      <w:pPr>
        <w:autoSpaceDE w:val="0"/>
        <w:autoSpaceDN w:val="0"/>
        <w:adjustRightInd w:val="0"/>
        <w:spacing w:after="0" w:line="360" w:lineRule="auto"/>
        <w:contextualSpacing/>
        <w:rPr>
          <w:rFonts w:eastAsia="Times New Roman" w:cs="Tahoma"/>
          <w:b/>
          <w:bCs/>
          <w:iCs/>
          <w:color w:val="auto"/>
          <w:lang w:val="es-ES" w:eastAsia="es-ES"/>
        </w:rPr>
      </w:pPr>
    </w:p>
    <w:p w14:paraId="6818EF86" w14:textId="26FD65EB" w:rsidR="00DB3DC5" w:rsidRPr="00F703C9" w:rsidRDefault="00DB3DC5" w:rsidP="00DA2D9B">
      <w:pPr>
        <w:spacing w:after="0" w:line="360" w:lineRule="auto"/>
        <w:contextualSpacing/>
        <w:rPr>
          <w:rFonts w:eastAsia="Times New Roman" w:cs="Tahoma"/>
          <w:b/>
          <w:bCs/>
          <w:iCs/>
          <w:color w:val="auto"/>
          <w:lang w:eastAsia="es-ES"/>
        </w:rPr>
      </w:pPr>
      <w:r w:rsidRPr="00F703C9">
        <w:rPr>
          <w:rFonts w:eastAsia="Times New Roman" w:cs="Tahoma"/>
          <w:b/>
          <w:bCs/>
          <w:iCs/>
          <w:color w:val="auto"/>
          <w:lang w:val="es-ES" w:eastAsia="es-ES"/>
        </w:rPr>
        <w:t xml:space="preserve">CUARTO. </w:t>
      </w:r>
      <w:r w:rsidRPr="00F703C9">
        <w:rPr>
          <w:rFonts w:eastAsia="Times New Roman" w:cs="Tahoma"/>
          <w:b/>
          <w:bCs/>
          <w:iCs/>
          <w:color w:val="auto"/>
          <w:lang w:eastAsia="es-ES"/>
        </w:rPr>
        <w:t>Marco normativo aplicable en materia de transparencia y acceso a la información pública</w:t>
      </w:r>
    </w:p>
    <w:p w14:paraId="1FA9DF31" w14:textId="77777777" w:rsidR="00DB3DC5" w:rsidRPr="00F703C9" w:rsidRDefault="00DB3DC5" w:rsidP="00DA2D9B">
      <w:pPr>
        <w:autoSpaceDE w:val="0"/>
        <w:autoSpaceDN w:val="0"/>
        <w:adjustRightInd w:val="0"/>
        <w:spacing w:after="0" w:line="360" w:lineRule="auto"/>
        <w:contextualSpacing/>
        <w:rPr>
          <w:rFonts w:eastAsia="Times New Roman" w:cs="Tahoma"/>
          <w:bCs/>
          <w:iCs/>
          <w:color w:val="auto"/>
          <w:lang w:val="es-ES" w:eastAsia="es-ES"/>
        </w:rPr>
      </w:pPr>
    </w:p>
    <w:p w14:paraId="52E429C6" w14:textId="77777777" w:rsidR="00DB3DC5" w:rsidRPr="00F703C9" w:rsidRDefault="00DB3DC5" w:rsidP="00DA2D9B">
      <w:pPr>
        <w:spacing w:after="0" w:line="360" w:lineRule="auto"/>
        <w:contextualSpacing/>
        <w:rPr>
          <w:rFonts w:eastAsia="Times New Roman" w:cs="Tahoma"/>
          <w:bCs/>
          <w:iCs/>
          <w:color w:val="auto"/>
          <w:lang w:eastAsia="es-ES"/>
        </w:rPr>
      </w:pPr>
      <w:r w:rsidRPr="00F703C9">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6237C01" w14:textId="77777777" w:rsidR="00DB3DC5" w:rsidRPr="00F703C9" w:rsidRDefault="00DB3DC5" w:rsidP="00DA2D9B">
      <w:pPr>
        <w:spacing w:after="0" w:line="360" w:lineRule="auto"/>
        <w:contextualSpacing/>
        <w:rPr>
          <w:rFonts w:eastAsia="Times New Roman" w:cs="Tahoma"/>
          <w:bCs/>
          <w:iCs/>
          <w:color w:val="auto"/>
          <w:lang w:eastAsia="es-ES"/>
        </w:rPr>
      </w:pPr>
    </w:p>
    <w:p w14:paraId="6A58FB7E" w14:textId="77777777" w:rsidR="00DB3DC5" w:rsidRPr="00F703C9" w:rsidRDefault="00DB3DC5" w:rsidP="00DA2D9B">
      <w:pPr>
        <w:spacing w:after="0" w:line="360" w:lineRule="auto"/>
        <w:contextualSpacing/>
        <w:rPr>
          <w:rFonts w:eastAsia="Times New Roman" w:cs="Tahoma"/>
          <w:bCs/>
          <w:iCs/>
          <w:color w:val="auto"/>
          <w:lang w:eastAsia="es-ES"/>
        </w:rPr>
      </w:pPr>
      <w:r w:rsidRPr="00F703C9">
        <w:rPr>
          <w:rFonts w:eastAsia="Times New Roman" w:cs="Tahoma"/>
          <w:bCs/>
          <w:iCs/>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2B4F566" w14:textId="77777777" w:rsidR="00DB3DC5" w:rsidRPr="00F703C9" w:rsidRDefault="00DB3DC5" w:rsidP="00DA2D9B">
      <w:pPr>
        <w:spacing w:after="0" w:line="360" w:lineRule="auto"/>
        <w:contextualSpacing/>
        <w:rPr>
          <w:rFonts w:eastAsia="Times New Roman" w:cs="Tahoma"/>
          <w:bCs/>
          <w:iCs/>
          <w:color w:val="auto"/>
          <w:lang w:eastAsia="es-ES"/>
        </w:rPr>
      </w:pPr>
    </w:p>
    <w:p w14:paraId="23374816" w14:textId="77777777" w:rsidR="00DB3DC5" w:rsidRPr="00F703C9" w:rsidRDefault="00DB3DC5" w:rsidP="00DA2D9B">
      <w:pPr>
        <w:spacing w:after="0" w:line="360" w:lineRule="auto"/>
        <w:contextualSpacing/>
        <w:rPr>
          <w:rFonts w:eastAsia="Times New Roman" w:cs="Tahoma"/>
          <w:bCs/>
          <w:iCs/>
          <w:color w:val="auto"/>
          <w:lang w:eastAsia="es-ES"/>
        </w:rPr>
      </w:pPr>
      <w:r w:rsidRPr="00F703C9">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AD53B8D" w14:textId="77777777" w:rsidR="00DB3DC5" w:rsidRPr="00F703C9" w:rsidRDefault="00DB3DC5" w:rsidP="00DA2D9B">
      <w:pPr>
        <w:spacing w:after="0" w:line="360" w:lineRule="auto"/>
        <w:contextualSpacing/>
        <w:rPr>
          <w:rFonts w:eastAsia="Times New Roman" w:cs="Tahoma"/>
          <w:bCs/>
          <w:iCs/>
          <w:color w:val="auto"/>
          <w:lang w:eastAsia="es-ES"/>
        </w:rPr>
      </w:pPr>
    </w:p>
    <w:p w14:paraId="015A559C" w14:textId="77777777" w:rsidR="00DB3DC5" w:rsidRPr="00F703C9" w:rsidRDefault="00DB3DC5" w:rsidP="00DA2D9B">
      <w:pPr>
        <w:spacing w:after="0" w:line="360" w:lineRule="auto"/>
        <w:contextualSpacing/>
        <w:rPr>
          <w:rFonts w:eastAsia="Times New Roman" w:cs="Tahoma"/>
          <w:bCs/>
          <w:iCs/>
          <w:color w:val="auto"/>
          <w:lang w:eastAsia="es-ES"/>
        </w:rPr>
      </w:pPr>
      <w:r w:rsidRPr="00F703C9">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0192FCCB" w14:textId="77777777" w:rsidR="00DB3DC5" w:rsidRPr="00F703C9" w:rsidRDefault="00DB3DC5" w:rsidP="00DA2D9B">
      <w:pPr>
        <w:spacing w:after="0" w:line="360" w:lineRule="auto"/>
        <w:contextualSpacing/>
        <w:rPr>
          <w:rFonts w:eastAsia="Times New Roman" w:cs="Tahoma"/>
          <w:bCs/>
          <w:iCs/>
          <w:color w:val="auto"/>
          <w:lang w:eastAsia="es-ES"/>
        </w:rPr>
      </w:pPr>
    </w:p>
    <w:p w14:paraId="269C520F" w14:textId="03AF8747" w:rsidR="00DB3DC5" w:rsidRPr="00F703C9" w:rsidRDefault="00DB3DC5" w:rsidP="00DA2D9B">
      <w:pPr>
        <w:spacing w:after="0" w:line="360" w:lineRule="auto"/>
        <w:contextualSpacing/>
        <w:rPr>
          <w:rFonts w:eastAsia="Times New Roman" w:cs="Tahoma"/>
          <w:bCs/>
          <w:iCs/>
          <w:color w:val="auto"/>
          <w:lang w:eastAsia="es-ES"/>
        </w:rPr>
      </w:pPr>
      <w:r w:rsidRPr="00F703C9">
        <w:rPr>
          <w:rFonts w:eastAsia="Times New Roman" w:cs="Tahoma"/>
          <w:bCs/>
          <w:iCs/>
          <w:color w:val="auto"/>
          <w:lang w:eastAsia="es-ES"/>
        </w:rPr>
        <w:t>El artículo 12, que, quienes generen, recopilen, administren, manejen, procesen, archiven o conserven información pública serán responsables de la misma.</w:t>
      </w:r>
    </w:p>
    <w:p w14:paraId="5C3680CC" w14:textId="77777777" w:rsidR="00DE3357" w:rsidRPr="00F703C9" w:rsidRDefault="00DE3357" w:rsidP="00DA2D9B">
      <w:pPr>
        <w:spacing w:after="0" w:line="360" w:lineRule="auto"/>
        <w:contextualSpacing/>
        <w:rPr>
          <w:rFonts w:eastAsia="Times New Roman" w:cs="Tahoma"/>
          <w:bCs/>
          <w:iCs/>
          <w:color w:val="auto"/>
          <w:lang w:eastAsia="es-ES"/>
        </w:rPr>
      </w:pPr>
    </w:p>
    <w:p w14:paraId="5604CF35" w14:textId="77777777" w:rsidR="00DB3DC5" w:rsidRPr="00F703C9" w:rsidRDefault="00DB3DC5" w:rsidP="00DA2D9B">
      <w:pPr>
        <w:widowControl w:val="0"/>
        <w:spacing w:after="0" w:line="360" w:lineRule="auto"/>
        <w:contextualSpacing/>
        <w:rPr>
          <w:rFonts w:eastAsia="Times New Roman" w:cs="Tahoma"/>
          <w:bCs/>
          <w:iCs/>
          <w:color w:val="auto"/>
          <w:lang w:eastAsia="es-ES"/>
        </w:rPr>
      </w:pPr>
      <w:r w:rsidRPr="00F703C9">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118E0238" w14:textId="77777777" w:rsidR="00DB3DC5" w:rsidRPr="00F703C9" w:rsidRDefault="00DB3DC5" w:rsidP="00DA2D9B">
      <w:pPr>
        <w:spacing w:after="0" w:line="360" w:lineRule="auto"/>
        <w:contextualSpacing/>
        <w:rPr>
          <w:rFonts w:eastAsia="Times New Roman" w:cs="Tahoma"/>
          <w:bCs/>
          <w:iCs/>
          <w:color w:val="auto"/>
          <w:lang w:eastAsia="es-ES"/>
        </w:rPr>
      </w:pPr>
    </w:p>
    <w:p w14:paraId="0FF7C948" w14:textId="77777777" w:rsidR="00DB3DC5" w:rsidRPr="00F703C9" w:rsidRDefault="00DB3DC5" w:rsidP="00DA2D9B">
      <w:pPr>
        <w:spacing w:after="0" w:line="360" w:lineRule="auto"/>
        <w:contextualSpacing/>
        <w:rPr>
          <w:rFonts w:eastAsia="Times New Roman" w:cs="Tahoma"/>
          <w:bCs/>
          <w:iCs/>
          <w:color w:val="auto"/>
          <w:lang w:eastAsia="es-ES"/>
        </w:rPr>
      </w:pPr>
      <w:r w:rsidRPr="00F703C9">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20AAD97" w14:textId="77777777" w:rsidR="00DB3DC5" w:rsidRPr="00F703C9" w:rsidRDefault="00DB3DC5" w:rsidP="00DA2D9B">
      <w:pPr>
        <w:spacing w:after="0" w:line="360" w:lineRule="auto"/>
        <w:contextualSpacing/>
        <w:rPr>
          <w:rFonts w:cs="Tahoma"/>
          <w:bCs/>
          <w:iCs/>
          <w:lang w:val="es-ES"/>
        </w:rPr>
      </w:pPr>
    </w:p>
    <w:p w14:paraId="3EB23114" w14:textId="77ECB38F" w:rsidR="00DB3DC5" w:rsidRPr="00F703C9" w:rsidRDefault="00DB3DC5" w:rsidP="00DA2D9B">
      <w:pPr>
        <w:spacing w:after="0" w:line="360" w:lineRule="auto"/>
        <w:contextualSpacing/>
        <w:rPr>
          <w:rFonts w:eastAsia="Times New Roman" w:cs="Tahoma"/>
          <w:b/>
          <w:bCs/>
          <w:iCs/>
          <w:color w:val="auto"/>
          <w:lang w:val="es-ES" w:eastAsia="es-ES"/>
        </w:rPr>
      </w:pPr>
      <w:r w:rsidRPr="00F703C9">
        <w:rPr>
          <w:rFonts w:eastAsia="Times New Roman" w:cs="Tahoma"/>
          <w:b/>
          <w:bCs/>
          <w:iCs/>
          <w:color w:val="auto"/>
          <w:lang w:val="es-ES" w:eastAsia="es-ES"/>
        </w:rPr>
        <w:t>Q</w:t>
      </w:r>
      <w:r w:rsidR="0043429F" w:rsidRPr="00F703C9">
        <w:rPr>
          <w:rFonts w:eastAsia="Times New Roman" w:cs="Tahoma"/>
          <w:b/>
          <w:bCs/>
          <w:iCs/>
          <w:color w:val="auto"/>
          <w:lang w:val="es-ES" w:eastAsia="es-ES"/>
        </w:rPr>
        <w:t>UINTO</w:t>
      </w:r>
      <w:r w:rsidRPr="00F703C9">
        <w:rPr>
          <w:rFonts w:eastAsia="Times New Roman" w:cs="Tahoma"/>
          <w:b/>
          <w:bCs/>
          <w:iCs/>
          <w:color w:val="auto"/>
          <w:lang w:val="es-ES" w:eastAsia="es-ES"/>
        </w:rPr>
        <w:t>. Estudio de Fondo</w:t>
      </w:r>
    </w:p>
    <w:p w14:paraId="5511A115" w14:textId="77777777" w:rsidR="00DB3DC5" w:rsidRPr="00F703C9" w:rsidRDefault="00DB3DC5" w:rsidP="00DA2D9B">
      <w:pPr>
        <w:spacing w:after="0" w:line="360" w:lineRule="auto"/>
        <w:contextualSpacing/>
        <w:rPr>
          <w:rFonts w:eastAsia="Times New Roman" w:cs="Tahoma"/>
          <w:b/>
          <w:bCs/>
          <w:iCs/>
          <w:color w:val="auto"/>
          <w:lang w:val="es-ES" w:eastAsia="es-ES"/>
        </w:rPr>
      </w:pPr>
    </w:p>
    <w:p w14:paraId="62C8FEE8" w14:textId="44D0455A" w:rsidR="001F3934" w:rsidRPr="00F703C9" w:rsidRDefault="001F3934" w:rsidP="00DA2D9B">
      <w:pPr>
        <w:widowControl w:val="0"/>
        <w:autoSpaceDE w:val="0"/>
        <w:autoSpaceDN w:val="0"/>
        <w:adjustRightInd w:val="0"/>
        <w:spacing w:after="0" w:line="360" w:lineRule="auto"/>
        <w:contextualSpacing/>
        <w:rPr>
          <w:rFonts w:eastAsia="Times New Roman" w:cs="Times New Roman"/>
          <w:color w:val="auto"/>
          <w:lang w:eastAsia="es-ES"/>
        </w:rPr>
      </w:pPr>
      <w:r w:rsidRPr="00F703C9">
        <w:rPr>
          <w:rFonts w:eastAsia="Times New Roman" w:cs="Tahoma"/>
          <w:bCs/>
          <w:iCs/>
          <w:color w:val="auto"/>
          <w:lang w:eastAsia="es-ES"/>
        </w:rPr>
        <w:t xml:space="preserve">Expuestas las posturas de las partes, se procede al análisis del agravio hecho valer por el Recurrente, concerniente </w:t>
      </w:r>
      <w:r w:rsidRPr="00F703C9">
        <w:rPr>
          <w:rFonts w:eastAsia="Times New Roman" w:cs="Tahoma"/>
          <w:lang w:eastAsia="es-MX"/>
        </w:rPr>
        <w:t xml:space="preserve">a </w:t>
      </w:r>
      <w:r w:rsidR="00232980" w:rsidRPr="00F703C9">
        <w:rPr>
          <w:rFonts w:eastAsia="Times New Roman" w:cs="Tahoma"/>
          <w:lang w:eastAsia="es-MX"/>
        </w:rPr>
        <w:t>la entrega de información</w:t>
      </w:r>
      <w:r w:rsidR="00AB2746" w:rsidRPr="00F703C9">
        <w:rPr>
          <w:rFonts w:eastAsia="Times New Roman" w:cs="Tahoma"/>
          <w:lang w:eastAsia="es-MX"/>
        </w:rPr>
        <w:t xml:space="preserve"> que no corresponde con lo solicitado</w:t>
      </w:r>
      <w:r w:rsidRPr="00F703C9">
        <w:rPr>
          <w:rFonts w:eastAsia="Times New Roman" w:cs="Times New Roman"/>
          <w:color w:val="auto"/>
          <w:lang w:eastAsia="es-ES"/>
        </w:rPr>
        <w:t>, para lo cual, en principio es necesario contextualizar la solicitud de información.</w:t>
      </w:r>
    </w:p>
    <w:p w14:paraId="213E6C55" w14:textId="77777777" w:rsidR="00AB2746" w:rsidRPr="00F703C9" w:rsidRDefault="00AB2746" w:rsidP="00DA2D9B">
      <w:pPr>
        <w:widowControl w:val="0"/>
        <w:autoSpaceDE w:val="0"/>
        <w:autoSpaceDN w:val="0"/>
        <w:adjustRightInd w:val="0"/>
        <w:spacing w:after="0" w:line="360" w:lineRule="auto"/>
        <w:contextualSpacing/>
        <w:rPr>
          <w:rFonts w:eastAsia="Times New Roman" w:cs="Times New Roman"/>
          <w:color w:val="auto"/>
          <w:lang w:eastAsia="es-ES"/>
        </w:rPr>
      </w:pPr>
    </w:p>
    <w:p w14:paraId="3B22D897" w14:textId="77777777" w:rsidR="00AB2746" w:rsidRPr="00F703C9" w:rsidRDefault="00AB2746" w:rsidP="00AB2746">
      <w:pPr>
        <w:spacing w:after="0" w:line="360" w:lineRule="auto"/>
      </w:pPr>
      <w:r w:rsidRPr="00F703C9">
        <w:rPr>
          <w:color w:val="0D0D0D"/>
        </w:rPr>
        <w:t>Sobre el tema</w:t>
      </w:r>
      <w:r w:rsidRPr="00F703C9">
        <w:t xml:space="preserve">, López Olvera, Miguel Alejandro Cancino Gómez, Rodolfo. (2020). “La Contratación Pública y el Sistema Nacional Anticorrupción”. (p. 4) la </w:t>
      </w:r>
      <w:r w:rsidRPr="00F703C9">
        <w:rPr>
          <w:b/>
        </w:rPr>
        <w:t>contratación pública</w:t>
      </w:r>
      <w:r w:rsidRPr="00F703C9">
        <w:t xml:space="preserve">, es el procedimiento de carácter administrativo, por medio del cual, un ente público selecciona y posteriormente, celebra un acuerdo de voluntades, con una persona física o jurídica colectiva, para que ésta, entregue o arrende un bien, </w:t>
      </w:r>
      <w:r w:rsidRPr="00F703C9">
        <w:rPr>
          <w:b/>
        </w:rPr>
        <w:t>preste algún servicio público</w:t>
      </w:r>
      <w:r w:rsidRPr="00F703C9">
        <w:t xml:space="preserve"> o lleve a cabo la ejecución de una obra pública, con recursos públicos del Estado y en beneficio de la colectividad.</w:t>
      </w:r>
    </w:p>
    <w:p w14:paraId="0831886A" w14:textId="77777777" w:rsidR="00AB2746" w:rsidRPr="00F703C9" w:rsidRDefault="00AB2746" w:rsidP="00AB2746">
      <w:pPr>
        <w:spacing w:after="0" w:line="360" w:lineRule="auto"/>
      </w:pPr>
      <w:r w:rsidRPr="00F703C9">
        <w:lastRenderedPageBreak/>
        <w:t xml:space="preserve">Por otra parte, los artículos 1°, fracción III, y 4°de la Ley de la de Contratación Pública del Estado de México y Municipios, especifica que los Ayuntamientos serán los encargados de realizar los actos relativos a la planeación, programación, presupuestación, ejecución y control de la adquisición (bienes muebles e inmuebles), arrendamiento (bienes muebles e inmuebles), y la </w:t>
      </w:r>
      <w:r w:rsidRPr="00F703C9">
        <w:rPr>
          <w:b/>
        </w:rPr>
        <w:t>contratación de servicios</w:t>
      </w:r>
      <w:r w:rsidRPr="00F703C9">
        <w:t xml:space="preserve"> de cualquier naturaleza. </w:t>
      </w:r>
    </w:p>
    <w:p w14:paraId="6F4AEFBF" w14:textId="77777777" w:rsidR="00AB2746" w:rsidRPr="00F703C9" w:rsidRDefault="00AB2746" w:rsidP="00AB2746">
      <w:pPr>
        <w:spacing w:after="0" w:line="360" w:lineRule="auto"/>
      </w:pPr>
    </w:p>
    <w:p w14:paraId="28DC56CB" w14:textId="77777777" w:rsidR="00AB2746" w:rsidRPr="00F703C9" w:rsidRDefault="00AB2746" w:rsidP="00AB2746">
      <w:pPr>
        <w:spacing w:after="0" w:line="360" w:lineRule="auto"/>
      </w:pPr>
      <w:r w:rsidRPr="00F703C9">
        <w:t xml:space="preserve">En ese contexto, conforme a los artículos 26 y 27 de dicho ordenamiento jurídico, las adquisiciones, arrendamientos y </w:t>
      </w:r>
      <w:r w:rsidRPr="00F703C9">
        <w:rPr>
          <w:b/>
        </w:rPr>
        <w:t>servicios</w:t>
      </w:r>
      <w:r w:rsidRPr="00F703C9">
        <w:t>, se adjudicarán a través de procedimientos de licitación pública, invitación restringida y adjudicación directa.</w:t>
      </w:r>
    </w:p>
    <w:p w14:paraId="27FA6C82" w14:textId="77777777" w:rsidR="00AB2746" w:rsidRPr="00F703C9" w:rsidRDefault="00AB2746" w:rsidP="00AB2746">
      <w:pPr>
        <w:spacing w:after="0" w:line="360" w:lineRule="auto"/>
      </w:pPr>
    </w:p>
    <w:p w14:paraId="4D218AFF" w14:textId="77777777" w:rsidR="00AB2746" w:rsidRPr="00F703C9" w:rsidRDefault="00AB2746" w:rsidP="00AB2746">
      <w:pPr>
        <w:spacing w:after="0" w:line="360" w:lineRule="auto"/>
      </w:pPr>
      <w:r w:rsidRPr="00F703C9">
        <w:t xml:space="preserve">En ese orden de ideas, conforme al artículo 65 de la Ley de Contratación Pública del Estado de México y Municipios, la adjudicación de un procedimiento de adquisición y arrendamiento de bienes y </w:t>
      </w:r>
      <w:r w:rsidRPr="00F703C9">
        <w:rPr>
          <w:b/>
        </w:rPr>
        <w:t>contratación de servicios</w:t>
      </w:r>
      <w:r w:rsidRPr="00F703C9">
        <w:t xml:space="preserve"> se realizará mediante la suscripción de un </w:t>
      </w:r>
      <w:r w:rsidRPr="00F703C9">
        <w:rPr>
          <w:b/>
          <w:bCs/>
        </w:rPr>
        <w:t>contrato,</w:t>
      </w:r>
      <w:r w:rsidRPr="00F703C9">
        <w:t xml:space="preserve"> entre el Ayuntamiento y la persona a la cual haya ganado el procedimiento respectivo, dentro de los diez días hábiles siguientes a la notificación del fallo.</w:t>
      </w:r>
    </w:p>
    <w:p w14:paraId="1ADE3553" w14:textId="77777777" w:rsidR="00AB2746" w:rsidRPr="00F703C9" w:rsidRDefault="00AB2746" w:rsidP="00AB2746">
      <w:pPr>
        <w:spacing w:after="0" w:line="360" w:lineRule="auto"/>
      </w:pPr>
    </w:p>
    <w:p w14:paraId="59B07F14" w14:textId="77777777" w:rsidR="00AB2746" w:rsidRPr="00F703C9" w:rsidRDefault="00AB2746" w:rsidP="00AB2746">
      <w:pPr>
        <w:spacing w:after="0" w:line="360" w:lineRule="auto"/>
        <w:rPr>
          <w:b/>
        </w:rPr>
      </w:pPr>
      <w:r w:rsidRPr="00F703C9">
        <w:t xml:space="preserve">Ahora bien, conforme al artículo 120 del Reglamento de la Ley de Contratación Pública del Estado de México y Municipios y diverso 104 el Reglamento del Libro Décimo Segundo del Código Administrativo del Estado de México, dichos actos jurídicos se conforman por diversos datos, entre los cuales, se encuentran los datos de identificación de las partes y del contrato, </w:t>
      </w:r>
      <w:r w:rsidRPr="00F703C9">
        <w:rPr>
          <w:b/>
        </w:rPr>
        <w:t>así como el importe total.</w:t>
      </w:r>
    </w:p>
    <w:p w14:paraId="6307F882" w14:textId="77777777" w:rsidR="00AB2746" w:rsidRPr="00F703C9" w:rsidRDefault="00AB2746" w:rsidP="00AB2746">
      <w:pPr>
        <w:spacing w:after="0" w:line="360" w:lineRule="auto"/>
        <w:rPr>
          <w:b/>
        </w:rPr>
      </w:pPr>
    </w:p>
    <w:p w14:paraId="43D56FB0" w14:textId="77777777" w:rsidR="00AB2746" w:rsidRPr="00F703C9" w:rsidRDefault="00AB2746" w:rsidP="00AB2746">
      <w:pPr>
        <w:spacing w:after="0" w:line="360" w:lineRule="auto"/>
      </w:pPr>
      <w:r w:rsidRPr="00F703C9">
        <w:t xml:space="preserve">En ese contexto, los artículos 70 fracción VI y 94 fracción III, del Reglamento de la Ley antes mencionada, establece que en cuanto al </w:t>
      </w:r>
      <w:r w:rsidRPr="00F703C9">
        <w:rPr>
          <w:b/>
        </w:rPr>
        <w:t>finiquito</w:t>
      </w:r>
      <w:r w:rsidRPr="00F703C9">
        <w:t xml:space="preserve"> de la Licitación Pública, Invitación Restringida y Adjudicación Directa, la solicitud de participación contendrá, como mínimo, la descripción y cantidad de los bienes o servicios requeridos, lugar, plazo de entrega o </w:t>
      </w:r>
      <w:r w:rsidRPr="00F703C9">
        <w:lastRenderedPageBreak/>
        <w:t>duración del servicio y forma de pago, además de, las condiciones de pago y la indicación de si se otorgará o no anticipo; en cuyo caso, deberá señalarse el porcentaje respectivo, el cual no podrá exceder del cincuenta por ciento del importe total del contrato.</w:t>
      </w:r>
    </w:p>
    <w:p w14:paraId="6E2A9252" w14:textId="77777777" w:rsidR="00AB2746" w:rsidRPr="00F703C9" w:rsidRDefault="00AB2746" w:rsidP="00AB2746">
      <w:pPr>
        <w:spacing w:after="0" w:line="360" w:lineRule="auto"/>
        <w:rPr>
          <w:b/>
        </w:rPr>
      </w:pPr>
    </w:p>
    <w:p w14:paraId="723C3664" w14:textId="77777777" w:rsidR="00AB2746" w:rsidRPr="00F703C9" w:rsidRDefault="00AB2746" w:rsidP="00AB2746">
      <w:pPr>
        <w:widowControl w:val="0"/>
        <w:spacing w:after="0" w:line="360" w:lineRule="auto"/>
        <w:rPr>
          <w:color w:val="000000"/>
        </w:rPr>
      </w:pPr>
      <w:r w:rsidRPr="00F703C9">
        <w:rPr>
          <w:color w:val="000000"/>
        </w:rPr>
        <w:t xml:space="preserve">Así mismo,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w:t>
      </w:r>
      <w:r w:rsidRPr="00F703C9">
        <w:rPr>
          <w:b/>
          <w:color w:val="000000"/>
        </w:rPr>
        <w:t>que incluye la versión pública del expediente respectivo y de los contratos celebrados.</w:t>
      </w:r>
      <w:r w:rsidRPr="00F703C9">
        <w:rPr>
          <w:color w:val="000000"/>
        </w:rPr>
        <w:t xml:space="preserve"> </w:t>
      </w:r>
    </w:p>
    <w:p w14:paraId="0AFF9C08" w14:textId="77777777" w:rsidR="00AB2746" w:rsidRPr="00F703C9" w:rsidRDefault="00AB2746" w:rsidP="00AB2746">
      <w:pPr>
        <w:spacing w:after="0" w:line="360" w:lineRule="auto"/>
        <w:rPr>
          <w:color w:val="000000"/>
        </w:rPr>
      </w:pPr>
    </w:p>
    <w:p w14:paraId="0B11A292" w14:textId="77777777" w:rsidR="00AB2746" w:rsidRPr="00F703C9" w:rsidRDefault="00AB2746" w:rsidP="00AB2746">
      <w:pPr>
        <w:spacing w:after="0" w:line="360" w:lineRule="auto"/>
        <w:ind w:right="-93"/>
      </w:pPr>
      <w:r w:rsidRPr="00F703C9">
        <w:t>Lo anterior, se robustece con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 a continuación:</w:t>
      </w:r>
    </w:p>
    <w:p w14:paraId="3E966F57" w14:textId="77777777" w:rsidR="00AB2746" w:rsidRPr="00F703C9" w:rsidRDefault="00AB2746" w:rsidP="00AB2746">
      <w:pPr>
        <w:spacing w:after="0" w:line="360" w:lineRule="auto"/>
        <w:ind w:right="-93"/>
      </w:pPr>
    </w:p>
    <w:p w14:paraId="2C3A2E34" w14:textId="77777777" w:rsidR="00AB2746" w:rsidRPr="00F703C9" w:rsidRDefault="00AB2746" w:rsidP="00AB2746">
      <w:pPr>
        <w:spacing w:after="0" w:line="360" w:lineRule="auto"/>
        <w:ind w:right="-93"/>
        <w:jc w:val="center"/>
      </w:pPr>
      <w:r w:rsidRPr="00F703C9">
        <w:rPr>
          <w:noProof/>
          <w:lang w:eastAsia="es-MX"/>
        </w:rPr>
        <mc:AlternateContent>
          <mc:Choice Requires="wps">
            <w:drawing>
              <wp:anchor distT="0" distB="0" distL="114300" distR="114300" simplePos="0" relativeHeight="251660288" behindDoc="0" locked="0" layoutInCell="1" allowOverlap="1" wp14:anchorId="2F91B29A" wp14:editId="037D95FD">
                <wp:simplePos x="0" y="0"/>
                <wp:positionH relativeFrom="column">
                  <wp:posOffset>796290</wp:posOffset>
                </wp:positionH>
                <wp:positionV relativeFrom="paragraph">
                  <wp:posOffset>212725</wp:posOffset>
                </wp:positionV>
                <wp:extent cx="676275" cy="1133475"/>
                <wp:effectExtent l="19050" t="19050" r="9525" b="9525"/>
                <wp:wrapNone/>
                <wp:docPr id="280703470"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1133475"/>
                        </a:xfrm>
                        <a:prstGeom prst="rect">
                          <a:avLst/>
                        </a:prstGeom>
                        <a:noFill/>
                        <a:ln w="28575" cap="flat" cmpd="sng">
                          <a:solidFill>
                            <a:srgbClr val="FFFF00"/>
                          </a:solidFill>
                          <a:prstDash val="solid"/>
                          <a:miter lim="800000"/>
                          <a:headEnd type="none" w="sm" len="sm"/>
                          <a:tailEnd type="none" w="sm" len="sm"/>
                        </a:ln>
                      </wps:spPr>
                      <wps:txbx>
                        <w:txbxContent>
                          <w:p w14:paraId="4935A026" w14:textId="77777777" w:rsidR="00AB2746" w:rsidRDefault="00AB2746" w:rsidP="00AB2746">
                            <w:pPr>
                              <w:spacing w:after="0" w:line="240" w:lineRule="auto"/>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F91B29A" id="Rectángulo 2" o:spid="_x0000_s1026" style="position:absolute;left:0;text-align:left;margin-left:62.7pt;margin-top:16.75pt;width:53.2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" filled="f" strokecolor="yellow" strokeweight="2.25pt">
                <v:stroke startarrowwidth="narrow" startarrowlength="short" endarrowwidth="narrow" endarrowlength="short"/>
                <v:path arrowok="t"/>
                <v:textbox inset="2.53958mm,2.53958mm,2.53958mm,2.53958mm">
                  <w:txbxContent>
                    <w:p w14:paraId="4935A026" w14:textId="77777777" w:rsidR="00AB2746" w:rsidRDefault="00AB2746" w:rsidP="00AB2746">
                      <w:pPr>
                        <w:spacing w:after="0" w:line="240" w:lineRule="auto"/>
                        <w:jc w:val="left"/>
                        <w:textDirection w:val="btLr"/>
                      </w:pPr>
                    </w:p>
                  </w:txbxContent>
                </v:textbox>
              </v:rect>
            </w:pict>
          </mc:Fallback>
        </mc:AlternateContent>
      </w:r>
      <w:r w:rsidRPr="00F703C9">
        <w:rPr>
          <w:noProof/>
          <w:lang w:eastAsia="es-MX"/>
        </w:rPr>
        <w:drawing>
          <wp:inline distT="0" distB="0" distL="0" distR="0" wp14:anchorId="03EFCECD" wp14:editId="21DD3151">
            <wp:extent cx="4069687" cy="1447800"/>
            <wp:effectExtent l="0" t="0" r="7620" b="0"/>
            <wp:docPr id="657181426"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181426" name="Imagen 1" descr="Tabl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4076991" cy="1450398"/>
                    </a:xfrm>
                    <a:prstGeom prst="rect">
                      <a:avLst/>
                    </a:prstGeom>
                  </pic:spPr>
                </pic:pic>
              </a:graphicData>
            </a:graphic>
          </wp:inline>
        </w:drawing>
      </w:r>
    </w:p>
    <w:p w14:paraId="4F0B5350" w14:textId="77777777" w:rsidR="00AB2746" w:rsidRPr="00F703C9" w:rsidRDefault="00AB2746" w:rsidP="00AB2746">
      <w:pPr>
        <w:spacing w:after="0" w:line="360" w:lineRule="auto"/>
        <w:ind w:right="-93"/>
        <w:jc w:val="center"/>
      </w:pPr>
      <w:r w:rsidRPr="00F703C9">
        <w:rPr>
          <w:noProof/>
          <w:lang w:eastAsia="es-MX"/>
        </w:rPr>
        <w:lastRenderedPageBreak/>
        <mc:AlternateContent>
          <mc:Choice Requires="wps">
            <w:drawing>
              <wp:anchor distT="0" distB="0" distL="114300" distR="114300" simplePos="0" relativeHeight="251659264" behindDoc="0" locked="0" layoutInCell="1" allowOverlap="1" wp14:anchorId="3DB9B5A9" wp14:editId="187AE7F1">
                <wp:simplePos x="0" y="0"/>
                <wp:positionH relativeFrom="column">
                  <wp:posOffset>4629150</wp:posOffset>
                </wp:positionH>
                <wp:positionV relativeFrom="paragraph">
                  <wp:posOffset>590550</wp:posOffset>
                </wp:positionV>
                <wp:extent cx="581025" cy="676275"/>
                <wp:effectExtent l="19050" t="19050" r="9525" b="9525"/>
                <wp:wrapNone/>
                <wp:docPr id="2080412047"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676275"/>
                        </a:xfrm>
                        <a:prstGeom prst="rect">
                          <a:avLst/>
                        </a:prstGeom>
                        <a:noFill/>
                        <a:ln w="28575" cap="flat" cmpd="sng">
                          <a:solidFill>
                            <a:srgbClr val="FFFF00"/>
                          </a:solidFill>
                          <a:prstDash val="solid"/>
                          <a:miter lim="800000"/>
                          <a:headEnd type="none" w="sm" len="sm"/>
                          <a:tailEnd type="none" w="sm" len="sm"/>
                        </a:ln>
                      </wps:spPr>
                      <wps:txbx>
                        <w:txbxContent>
                          <w:p w14:paraId="253A198B" w14:textId="77777777" w:rsidR="00AB2746" w:rsidRDefault="00AB2746" w:rsidP="00AB2746">
                            <w:pPr>
                              <w:spacing w:after="0" w:line="240" w:lineRule="auto"/>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DB9B5A9" id="Rectángulo 1" o:spid="_x0000_s1027" style="position:absolute;left:0;text-align:left;margin-left:364.5pt;margin-top:46.5pt;width:45.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" filled="f" strokecolor="yellow" strokeweight="2.25pt">
                <v:stroke startarrowwidth="narrow" startarrowlength="short" endarrowwidth="narrow" endarrowlength="short"/>
                <v:path arrowok="t"/>
                <v:textbox inset="2.53958mm,2.53958mm,2.53958mm,2.53958mm">
                  <w:txbxContent>
                    <w:p w14:paraId="253A198B" w14:textId="77777777" w:rsidR="00AB2746" w:rsidRDefault="00AB2746" w:rsidP="00AB2746">
                      <w:pPr>
                        <w:spacing w:after="0" w:line="240" w:lineRule="auto"/>
                        <w:jc w:val="left"/>
                        <w:textDirection w:val="btLr"/>
                      </w:pPr>
                    </w:p>
                  </w:txbxContent>
                </v:textbox>
              </v:rect>
            </w:pict>
          </mc:Fallback>
        </mc:AlternateContent>
      </w:r>
      <w:r w:rsidRPr="00F703C9">
        <w:rPr>
          <w:noProof/>
          <w:lang w:eastAsia="es-MX"/>
        </w:rPr>
        <w:drawing>
          <wp:inline distT="0" distB="0" distL="0" distR="0" wp14:anchorId="3E20D055" wp14:editId="0BE5272C">
            <wp:extent cx="4629150" cy="2028825"/>
            <wp:effectExtent l="0" t="0" r="0" b="9525"/>
            <wp:docPr id="4" name="image1.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abla&#10;&#10;Descripción generada automáticamente"/>
                    <pic:cNvPicPr preferRelativeResize="0"/>
                  </pic:nvPicPr>
                  <pic:blipFill>
                    <a:blip r:embed="rId9"/>
                    <a:srcRect/>
                    <a:stretch>
                      <a:fillRect/>
                    </a:stretch>
                  </pic:blipFill>
                  <pic:spPr>
                    <a:xfrm>
                      <a:off x="0" y="0"/>
                      <a:ext cx="4629799" cy="2029109"/>
                    </a:xfrm>
                    <a:prstGeom prst="rect">
                      <a:avLst/>
                    </a:prstGeom>
                    <a:ln/>
                  </pic:spPr>
                </pic:pic>
              </a:graphicData>
            </a:graphic>
          </wp:inline>
        </w:drawing>
      </w:r>
    </w:p>
    <w:p w14:paraId="0087F66A" w14:textId="77777777" w:rsidR="00AB2746" w:rsidRPr="00F703C9" w:rsidRDefault="00AB2746" w:rsidP="00AB2746">
      <w:pPr>
        <w:spacing w:after="0" w:line="360" w:lineRule="auto"/>
      </w:pPr>
    </w:p>
    <w:p w14:paraId="7B04E585" w14:textId="77777777" w:rsidR="00AB2746" w:rsidRPr="00F703C9" w:rsidRDefault="00AB2746" w:rsidP="00AB2746">
      <w:pPr>
        <w:spacing w:after="0" w:line="360" w:lineRule="auto"/>
        <w:rPr>
          <w:color w:val="0D0D0D"/>
        </w:rPr>
      </w:pPr>
      <w:r w:rsidRPr="00F703C9">
        <w:rPr>
          <w:color w:val="0D0D0D"/>
        </w:rPr>
        <w:t xml:space="preserve">En ese orden de ideas, por lo que hace al monto erogado, </w:t>
      </w:r>
      <w:r w:rsidRPr="00F703C9">
        <w:t xml:space="preserve">el artículo 4°, fracción XVIII, de la Ley General de Contabilidad Gubernamental, establece que la información financiera consiste en información presupuestaria y contable que se expresa en unidades monetarias las </w:t>
      </w:r>
      <w:r w:rsidRPr="00F703C9">
        <w:rPr>
          <w:b/>
        </w:rPr>
        <w:t>transacciones que realiza un ente público y los eventos económicos identificables y cuantificable</w:t>
      </w:r>
      <w:r w:rsidRPr="00F703C9">
        <w:t xml:space="preserve"> la cual puede representarse por reportes, informes, estados y notas que expresan su situación financiera, los resultados de su operación y los cambios en su patrimonio. </w:t>
      </w:r>
    </w:p>
    <w:p w14:paraId="05E6152F" w14:textId="77777777" w:rsidR="00AB2746" w:rsidRPr="00F703C9" w:rsidRDefault="00AB2746" w:rsidP="00AB2746">
      <w:pPr>
        <w:spacing w:after="0" w:line="360" w:lineRule="auto"/>
      </w:pPr>
    </w:p>
    <w:p w14:paraId="66C76072" w14:textId="77777777" w:rsidR="00AB2746" w:rsidRPr="00F703C9" w:rsidRDefault="00AB2746" w:rsidP="00AB2746">
      <w:pPr>
        <w:spacing w:after="0" w:line="360" w:lineRule="auto"/>
      </w:pPr>
      <w:r w:rsidRPr="00F703C9">
        <w:t>En esa misma tesitura, los artículos 16, 18, 19, fracción V, y 34 de la Ley General en comento, estableen que los entes públicos deben contar con un sistema de contabilidad gubernamental en el cual se registrarán operaciones presupuestarias y contables derivadas de la gestión pública, así como otros flujos económicos, los cuales serán expresados en términos monetarios. Dichos registros contables se llevarán con base acumulativa, por lo que contabilización de las transacciones de gasto se hará conforme a la fecha de su realización, independientemente de la de su pago, y la del ingreso se registrará cuando exista jurídicamente el derecho de cobro.</w:t>
      </w:r>
    </w:p>
    <w:p w14:paraId="09CBF459" w14:textId="77777777" w:rsidR="00AB2746" w:rsidRPr="00F703C9" w:rsidRDefault="00AB2746" w:rsidP="00AB2746">
      <w:pPr>
        <w:spacing w:after="0" w:line="360" w:lineRule="auto"/>
      </w:pPr>
    </w:p>
    <w:p w14:paraId="7069A244" w14:textId="77777777" w:rsidR="00AB2746" w:rsidRPr="00F703C9" w:rsidRDefault="00AB2746" w:rsidP="00AB2746">
      <w:pPr>
        <w:spacing w:after="0" w:line="360" w:lineRule="auto"/>
        <w:rPr>
          <w:color w:val="0D0D0D"/>
        </w:rPr>
      </w:pPr>
      <w:r w:rsidRPr="00F703C9">
        <w:rPr>
          <w:color w:val="0D0D0D"/>
        </w:rPr>
        <w:lastRenderedPageBreak/>
        <w:t>En ese contexto, la Guía técnica 05 “La contabilidad y la cuenta pública municipal”, emitida por el Instituto Nacional de Administración Pública, establece que la contabilidad municipal es la técnica que permite registrar en forma ordenada, completa y detallada de los ingresos y gastos, con el fin de poder determinar en cualquier momento la situación financiera de la hacienda pública municipal.</w:t>
      </w:r>
    </w:p>
    <w:p w14:paraId="1F8303CA" w14:textId="77777777" w:rsidR="00AB2746" w:rsidRPr="00F703C9" w:rsidRDefault="00AB2746" w:rsidP="00AB2746">
      <w:pPr>
        <w:spacing w:after="0" w:line="360" w:lineRule="auto"/>
        <w:rPr>
          <w:color w:val="0D0D0D"/>
        </w:rPr>
      </w:pPr>
    </w:p>
    <w:p w14:paraId="0035243E" w14:textId="4BBE0624" w:rsidR="00AB2746" w:rsidRPr="00F703C9" w:rsidRDefault="00AB2746" w:rsidP="00AB2746">
      <w:pPr>
        <w:spacing w:after="0" w:line="360" w:lineRule="auto"/>
        <w:rPr>
          <w:color w:val="0D0D0D"/>
        </w:rPr>
      </w:pPr>
      <w:r w:rsidRPr="00F703C9">
        <w:rPr>
          <w:color w:val="0D0D0D"/>
        </w:rPr>
        <w:t xml:space="preserve">De este modo, de acuerdo a la naturaleza de información solicitada, </w:t>
      </w:r>
      <w:r w:rsidRPr="00F703C9">
        <w:t xml:space="preserve">resulta necesario traer a colación, la Resolución Miscelánea Fiscal para el dos mil veintitrés, establece que la </w:t>
      </w:r>
      <w:r w:rsidRPr="00F703C9">
        <w:rPr>
          <w:b/>
        </w:rPr>
        <w:t>factura</w:t>
      </w:r>
      <w:r w:rsidRPr="00F703C9">
        <w:t xml:space="preserve"> es lo mismo, que un Comprobante Fiscal Digital por Internet, por lo que, se puede considerar como el documento que comprueba la realización de una </w:t>
      </w:r>
      <w:r w:rsidRPr="00F703C9">
        <w:rPr>
          <w:b/>
        </w:rPr>
        <w:t>transacción comercial</w:t>
      </w:r>
      <w:r w:rsidRPr="00F703C9">
        <w:t xml:space="preserve">, entre un comprador y un vendedor, mediante el cual, el primero queda obligado a realizar un pago, mientras que el segundo, a entregar o brindar un producto o </w:t>
      </w:r>
      <w:r w:rsidRPr="00F703C9">
        <w:rPr>
          <w:b/>
        </w:rPr>
        <w:t>servicio</w:t>
      </w:r>
      <w:r w:rsidRPr="00F703C9">
        <w:t>.</w:t>
      </w:r>
    </w:p>
    <w:p w14:paraId="11BC196C" w14:textId="77777777" w:rsidR="00AB2746" w:rsidRPr="00F703C9" w:rsidRDefault="00AB2746" w:rsidP="00AB2746">
      <w:pPr>
        <w:spacing w:after="0" w:line="360" w:lineRule="auto"/>
      </w:pPr>
    </w:p>
    <w:p w14:paraId="00D32CE9" w14:textId="0AD12E3A" w:rsidR="00AB2746" w:rsidRPr="00F703C9" w:rsidRDefault="00AB2746" w:rsidP="00AB2746">
      <w:pPr>
        <w:spacing w:after="0" w:line="360" w:lineRule="auto"/>
      </w:pPr>
      <w:r w:rsidRPr="00F703C9">
        <w:t xml:space="preserve">En ese orden de ideas, los Lineamientos para la Integración y Entrega del Informe Trimestral Municipal, dos mil veinticuatro, entre los formatos que maneja en el </w:t>
      </w:r>
      <w:r w:rsidRPr="00F703C9">
        <w:rPr>
          <w:b/>
        </w:rPr>
        <w:t>Módulo 1</w:t>
      </w:r>
      <w:r w:rsidRPr="00F703C9">
        <w:t>, se advierte que se encuentran Póliza de Egresos y Póliza Cheque, con los documentos comprobatorios, mismos que serán entregados al Órgano Superior de Fiscalización del Estado de México. Además</w:t>
      </w:r>
      <w:r w:rsidRPr="00F703C9">
        <w:rPr>
          <w:b/>
        </w:rPr>
        <w:t xml:space="preserve">, </w:t>
      </w:r>
      <w:r w:rsidRPr="00F703C9">
        <w:t xml:space="preserve">se precisa que dichos documentos deberán contener las imágenes de la documentación comprobatoria y justificativa de los egresos y de las respectivas pólizas, los cuales incluyen los Comprobantes Fiscales Digitales por Internet, facturas o recibos. </w:t>
      </w:r>
    </w:p>
    <w:p w14:paraId="5E50BD66" w14:textId="77777777" w:rsidR="00AB2746" w:rsidRPr="00F703C9" w:rsidRDefault="00AB2746" w:rsidP="00AB2746">
      <w:pPr>
        <w:spacing w:after="0" w:line="360" w:lineRule="auto"/>
      </w:pPr>
    </w:p>
    <w:p w14:paraId="70D5155B" w14:textId="5B068050" w:rsidR="00B7341F" w:rsidRPr="00F703C9" w:rsidRDefault="00AB2746" w:rsidP="00B7341F">
      <w:pPr>
        <w:spacing w:after="0" w:line="360" w:lineRule="auto"/>
        <w:contextualSpacing/>
        <w:rPr>
          <w:bCs/>
          <w:color w:val="000000"/>
          <w:szCs w:val="14"/>
        </w:rPr>
      </w:pPr>
      <w:r w:rsidRPr="00F703C9">
        <w:t xml:space="preserve">Ahora bien, los artículos </w:t>
      </w:r>
      <w:r w:rsidR="00B7341F" w:rsidRPr="00F703C9">
        <w:t xml:space="preserve">51, 85 y 145, del Bando Municipal de </w:t>
      </w:r>
      <w:r w:rsidR="00B7341F" w:rsidRPr="00F703C9">
        <w:rPr>
          <w:bCs/>
          <w:color w:val="000000"/>
          <w:szCs w:val="14"/>
        </w:rPr>
        <w:t>Valle de Chalco Solidaridad, dos mil veinticuatro, para el despacho, estudio y planeación de los diversos asuntos de la administración pública municipal, se auxiliará de una Tesorería Municipal y una Dirección de Administración, quienes tendrán las atribuciones siguientes:</w:t>
      </w:r>
    </w:p>
    <w:p w14:paraId="2A74FD2D" w14:textId="77777777" w:rsidR="000A0310" w:rsidRPr="00F703C9" w:rsidRDefault="000A0310" w:rsidP="00DA2D9B">
      <w:pPr>
        <w:spacing w:after="0" w:line="360" w:lineRule="auto"/>
        <w:contextualSpacing/>
        <w:rPr>
          <w:bCs/>
          <w:color w:val="000000"/>
          <w:szCs w:val="14"/>
        </w:rPr>
      </w:pPr>
    </w:p>
    <w:p w14:paraId="506EAB3B" w14:textId="2AD3B50E" w:rsidR="000A0310" w:rsidRPr="00F703C9" w:rsidRDefault="000A0310" w:rsidP="00881817">
      <w:pPr>
        <w:pStyle w:val="Prrafodelista"/>
        <w:numPr>
          <w:ilvl w:val="0"/>
          <w:numId w:val="1"/>
        </w:numPr>
        <w:spacing w:after="0" w:line="360" w:lineRule="auto"/>
        <w:rPr>
          <w:rFonts w:cs="Tahoma"/>
          <w:bCs/>
          <w:iCs/>
          <w:szCs w:val="24"/>
        </w:rPr>
      </w:pPr>
      <w:r w:rsidRPr="00F703C9">
        <w:rPr>
          <w:rFonts w:cs="Tahoma"/>
          <w:b/>
          <w:iCs/>
          <w:szCs w:val="24"/>
        </w:rPr>
        <w:lastRenderedPageBreak/>
        <w:t xml:space="preserve">Tesorería Municipal: </w:t>
      </w:r>
      <w:r w:rsidR="00B7341F" w:rsidRPr="00F703C9">
        <w:rPr>
          <w:rFonts w:cs="Tahoma"/>
          <w:bCs/>
          <w:iCs/>
          <w:szCs w:val="24"/>
        </w:rPr>
        <w:t>Se encargará</w:t>
      </w:r>
      <w:r w:rsidR="00B7341F" w:rsidRPr="00F703C9">
        <w:rPr>
          <w:rFonts w:cs="Tahoma"/>
          <w:b/>
          <w:iCs/>
          <w:szCs w:val="24"/>
        </w:rPr>
        <w:t xml:space="preserve"> </w:t>
      </w:r>
      <w:r w:rsidR="00B7341F" w:rsidRPr="00F703C9">
        <w:rPr>
          <w:rFonts w:cs="Tahoma"/>
          <w:bCs/>
          <w:iCs/>
          <w:szCs w:val="24"/>
        </w:rPr>
        <w:t xml:space="preserve">de administrar la Hacienda pública Municipal, de recaudar los ingresos municipales, así como realizar el registro contable de las erogaciones que se lleven a cabo durante la administración, dentro de un marco de austeridad. </w:t>
      </w:r>
    </w:p>
    <w:p w14:paraId="16F9C43F" w14:textId="77777777" w:rsidR="000A0310" w:rsidRPr="00F703C9" w:rsidRDefault="000A0310" w:rsidP="00DA2D9B">
      <w:pPr>
        <w:pStyle w:val="Prrafodelista"/>
        <w:spacing w:after="0" w:line="360" w:lineRule="auto"/>
        <w:rPr>
          <w:rFonts w:cs="Tahoma"/>
          <w:b/>
          <w:iCs/>
          <w:szCs w:val="24"/>
        </w:rPr>
      </w:pPr>
    </w:p>
    <w:p w14:paraId="0F6B07C9" w14:textId="7F43EA5E" w:rsidR="00B7341F" w:rsidRPr="00F703C9" w:rsidRDefault="000A0310" w:rsidP="00881817">
      <w:pPr>
        <w:pStyle w:val="Prrafodelista"/>
        <w:numPr>
          <w:ilvl w:val="0"/>
          <w:numId w:val="1"/>
        </w:numPr>
        <w:spacing w:after="0" w:line="360" w:lineRule="auto"/>
        <w:rPr>
          <w:rFonts w:cs="Tahoma"/>
          <w:bCs/>
          <w:iCs/>
          <w:szCs w:val="24"/>
        </w:rPr>
      </w:pPr>
      <w:r w:rsidRPr="00F703C9">
        <w:rPr>
          <w:rFonts w:cs="Tahoma"/>
          <w:b/>
          <w:iCs/>
          <w:szCs w:val="24"/>
        </w:rPr>
        <w:t xml:space="preserve">Dirección de Administración: </w:t>
      </w:r>
      <w:r w:rsidR="00B7341F" w:rsidRPr="00F703C9">
        <w:rPr>
          <w:rFonts w:cs="Tahoma"/>
          <w:bCs/>
          <w:iCs/>
          <w:szCs w:val="24"/>
        </w:rPr>
        <w:t>A través del Departamento de Recursos Materiales, se encargará de coordinar y supervisar la elaboración del programa anual de adquisiciones y servicios del municipio y vigilar su aplicación y vigilar que se lleve a cabo, de manera oportuna y apropiada en base a la planeación, programación, presupuestación y ejecución sobre la adquisición de bienes muebles, equipo, refacciones, materiales y la contratación de servicios.</w:t>
      </w:r>
    </w:p>
    <w:p w14:paraId="2E2FB394" w14:textId="77777777" w:rsidR="00B7341F" w:rsidRPr="00F703C9" w:rsidRDefault="00B7341F" w:rsidP="00B7341F">
      <w:pPr>
        <w:spacing w:after="0" w:line="360" w:lineRule="auto"/>
        <w:rPr>
          <w:rFonts w:cs="Tahoma"/>
          <w:bCs/>
          <w:iCs/>
          <w:szCs w:val="24"/>
        </w:rPr>
      </w:pPr>
    </w:p>
    <w:p w14:paraId="3EA8E8FA" w14:textId="24D9E5A2" w:rsidR="00881817" w:rsidRPr="00F703C9" w:rsidRDefault="0037035C" w:rsidP="00881817">
      <w:pPr>
        <w:spacing w:after="0" w:line="360" w:lineRule="auto"/>
        <w:rPr>
          <w:rFonts w:cs="Tahoma"/>
        </w:rPr>
      </w:pPr>
      <w:r w:rsidRPr="00F703C9">
        <w:rPr>
          <w:rFonts w:eastAsia="Times New Roman" w:cs="Tahoma"/>
          <w:bCs/>
          <w:iCs/>
          <w:color w:val="auto"/>
          <w:lang w:eastAsia="es-ES"/>
        </w:rPr>
        <w:t xml:space="preserve">Conforme a lo anterior se logra vislumbrar que la pretensión de la persona </w:t>
      </w:r>
      <w:r w:rsidR="00881817" w:rsidRPr="00F703C9">
        <w:rPr>
          <w:rFonts w:eastAsia="Times New Roman" w:cs="Tahoma"/>
          <w:bCs/>
          <w:iCs/>
          <w:color w:val="auto"/>
          <w:lang w:eastAsia="es-ES"/>
        </w:rPr>
        <w:t>Recurrente</w:t>
      </w:r>
      <w:r w:rsidRPr="00F703C9">
        <w:rPr>
          <w:rFonts w:eastAsia="Times New Roman" w:cs="Tahoma"/>
          <w:bCs/>
          <w:iCs/>
          <w:color w:val="auto"/>
          <w:lang w:eastAsia="es-ES"/>
        </w:rPr>
        <w:t xml:space="preserve"> es obtener, </w:t>
      </w:r>
      <w:r w:rsidR="00881817" w:rsidRPr="00F703C9">
        <w:rPr>
          <w:rFonts w:cs="Tahoma"/>
        </w:rPr>
        <w:t>del servicio</w:t>
      </w:r>
      <w:r w:rsidR="00164F45" w:rsidRPr="00F703C9">
        <w:rPr>
          <w:rFonts w:cs="Tahoma"/>
        </w:rPr>
        <w:t xml:space="preserve"> de mantenimiento</w:t>
      </w:r>
      <w:r w:rsidR="00881817" w:rsidRPr="00F703C9">
        <w:rPr>
          <w:rFonts w:cs="Tahoma"/>
        </w:rPr>
        <w:t xml:space="preserve"> que dio la Empresa GURIK S.A. de C.V., </w:t>
      </w:r>
      <w:r w:rsidR="0069765E" w:rsidRPr="00F703C9">
        <w:rPr>
          <w:rFonts w:cs="Tahoma"/>
        </w:rPr>
        <w:t>los documentos con los que contara al cinco de agosto de dos mil veinticuatro</w:t>
      </w:r>
      <w:r w:rsidR="00881817" w:rsidRPr="00F703C9">
        <w:rPr>
          <w:rFonts w:cs="Tahoma"/>
        </w:rPr>
        <w:t>, lo siguiente:</w:t>
      </w:r>
    </w:p>
    <w:p w14:paraId="70FE8DA4" w14:textId="77777777" w:rsidR="00881817" w:rsidRPr="00F703C9" w:rsidRDefault="00881817" w:rsidP="00881817">
      <w:pPr>
        <w:spacing w:after="0" w:line="360" w:lineRule="auto"/>
        <w:rPr>
          <w:rFonts w:cs="Tahoma"/>
        </w:rPr>
      </w:pPr>
    </w:p>
    <w:p w14:paraId="708CD013" w14:textId="1CCECE24" w:rsidR="00881817" w:rsidRPr="00F703C9" w:rsidRDefault="00164F45" w:rsidP="00881817">
      <w:pPr>
        <w:pStyle w:val="Prrafodelista"/>
        <w:numPr>
          <w:ilvl w:val="0"/>
          <w:numId w:val="14"/>
        </w:numPr>
        <w:spacing w:after="0" w:line="360" w:lineRule="auto"/>
        <w:rPr>
          <w:rFonts w:cs="Tahoma"/>
        </w:rPr>
      </w:pPr>
      <w:r w:rsidRPr="00F703C9">
        <w:rPr>
          <w:rFonts w:cs="Tahoma"/>
        </w:rPr>
        <w:t>El tipo de e</w:t>
      </w:r>
      <w:r w:rsidR="00881817" w:rsidRPr="00F703C9">
        <w:rPr>
          <w:rFonts w:cs="Tahoma"/>
        </w:rPr>
        <w:t xml:space="preserve">quipos de bienes de informáticos, por los cuales pagaron </w:t>
      </w:r>
      <w:r w:rsidR="00881817" w:rsidRPr="00F703C9">
        <w:rPr>
          <w:iCs/>
          <w:color w:val="000000"/>
        </w:rPr>
        <w:t>$1,716,800.00 (un millón setecientos dieciséis mil ochocientos pesos 00/100 M.N.)</w:t>
      </w:r>
    </w:p>
    <w:p w14:paraId="356C202D" w14:textId="4CA4EDCD" w:rsidR="00EE0222" w:rsidRPr="00F703C9" w:rsidRDefault="00164F45" w:rsidP="00881817">
      <w:pPr>
        <w:pStyle w:val="Prrafodelista"/>
        <w:numPr>
          <w:ilvl w:val="0"/>
          <w:numId w:val="14"/>
        </w:numPr>
        <w:spacing w:after="0" w:line="360" w:lineRule="auto"/>
        <w:rPr>
          <w:rFonts w:cs="Tahoma"/>
          <w:iCs/>
          <w:sz w:val="24"/>
          <w:szCs w:val="24"/>
        </w:rPr>
      </w:pPr>
      <w:r w:rsidRPr="00F703C9">
        <w:rPr>
          <w:iCs/>
          <w:color w:val="000000"/>
        </w:rPr>
        <w:t>El tipo de c</w:t>
      </w:r>
      <w:r w:rsidR="00881817" w:rsidRPr="00F703C9">
        <w:rPr>
          <w:iCs/>
          <w:color w:val="000000"/>
        </w:rPr>
        <w:t>ámaras de video</w:t>
      </w:r>
      <w:r w:rsidR="0069765E" w:rsidRPr="00F703C9">
        <w:rPr>
          <w:iCs/>
          <w:color w:val="000000"/>
        </w:rPr>
        <w:t>vigilancia</w:t>
      </w:r>
      <w:r w:rsidR="00881817" w:rsidRPr="00F703C9">
        <w:rPr>
          <w:rFonts w:cs="Tahoma"/>
        </w:rPr>
        <w:t>, por los cuales pagaron</w:t>
      </w:r>
      <w:r w:rsidR="00881817" w:rsidRPr="00F703C9">
        <w:rPr>
          <w:rFonts w:eastAsia="Times New Roman" w:cs="Arial"/>
          <w:bCs/>
          <w:i/>
          <w:sz w:val="20"/>
          <w:szCs w:val="20"/>
          <w:lang w:eastAsia="es-ES"/>
        </w:rPr>
        <w:t xml:space="preserve"> </w:t>
      </w:r>
      <w:r w:rsidR="00881817" w:rsidRPr="00F703C9">
        <w:rPr>
          <w:rFonts w:eastAsia="Times New Roman" w:cs="Arial"/>
          <w:bCs/>
          <w:iCs/>
          <w:lang w:eastAsia="es-ES"/>
        </w:rPr>
        <w:t>$4,408,000.00 (cuatro millones cuatrocientos ocho mil pesos 00/100 M.N.)</w:t>
      </w:r>
    </w:p>
    <w:p w14:paraId="58DDE0AF" w14:textId="77777777" w:rsidR="001D6ABD" w:rsidRPr="00F703C9" w:rsidRDefault="001D6ABD" w:rsidP="00DA2D9B">
      <w:pPr>
        <w:spacing w:after="0" w:line="360" w:lineRule="auto"/>
        <w:contextualSpacing/>
        <w:rPr>
          <w:rFonts w:cs="Tahoma"/>
          <w:bCs/>
          <w:iCs/>
          <w:szCs w:val="24"/>
        </w:rPr>
      </w:pPr>
    </w:p>
    <w:p w14:paraId="30E1E693" w14:textId="0349126A" w:rsidR="0037035C" w:rsidRPr="00F703C9" w:rsidRDefault="0037035C" w:rsidP="00DA2D9B">
      <w:pPr>
        <w:spacing w:after="0" w:line="360" w:lineRule="auto"/>
        <w:rPr>
          <w:rFonts w:cs="Tahoma"/>
          <w:bCs/>
          <w:color w:val="0D0D0D"/>
        </w:rPr>
      </w:pPr>
      <w:bookmarkStart w:id="4" w:name="_Hlk144889465"/>
      <w:r w:rsidRPr="00F703C9">
        <w:rPr>
          <w:rFonts w:eastAsia="Calibri" w:cs="Tahoma"/>
          <w:color w:val="000000"/>
        </w:rPr>
        <w:t>Ahora bien, de las constancias que obran en el expediente electrónico, se advierte que el Sujeto Obligado</w:t>
      </w:r>
      <w:r w:rsidRPr="00F703C9">
        <w:rPr>
          <w:rFonts w:cs="Tahoma"/>
          <w:bCs/>
          <w:color w:val="0D0D0D"/>
        </w:rPr>
        <w:t>, turnó la solicitud de información a la Tesorería Municipa</w:t>
      </w:r>
      <w:r w:rsidR="00F2230B" w:rsidRPr="00F703C9">
        <w:rPr>
          <w:rFonts w:cs="Tahoma"/>
          <w:bCs/>
          <w:color w:val="0D0D0D"/>
        </w:rPr>
        <w:t>l</w:t>
      </w:r>
      <w:r w:rsidRPr="00F703C9">
        <w:rPr>
          <w:rFonts w:eastAsia="Calibri" w:cs="Arial"/>
          <w:bCs/>
          <w:color w:val="000000"/>
          <w:lang w:val="es-ES"/>
        </w:rPr>
        <w:t xml:space="preserve">; </w:t>
      </w:r>
      <w:r w:rsidRPr="00F703C9">
        <w:rPr>
          <w:bCs/>
          <w:lang w:val="es-ES"/>
        </w:rPr>
        <w:t xml:space="preserve">por lo que, es oportuno </w:t>
      </w:r>
      <w:r w:rsidRPr="00F703C9">
        <w:rPr>
          <w:bCs/>
        </w:rPr>
        <w:t xml:space="preserve">hacer referencia al </w:t>
      </w:r>
      <w:r w:rsidRPr="00F703C9">
        <w:rPr>
          <w:b/>
          <w:bCs/>
        </w:rPr>
        <w:t>procedimiento de búsqueda que deben de seguir los Sujetos Obligados para localizar la información</w:t>
      </w:r>
      <w:r w:rsidRPr="00F703C9">
        <w:rPr>
          <w:bCs/>
        </w:rPr>
        <w:t xml:space="preserve">, el cual se encuentra previsto en los artículos 160 y </w:t>
      </w:r>
      <w:r w:rsidRPr="00F703C9">
        <w:rPr>
          <w:bCs/>
        </w:rPr>
        <w:lastRenderedPageBreak/>
        <w:t xml:space="preserve">162 de la Ley de Transparencia y Acceso a la Información Pública del Estado de México y Municipios, mismo que es el </w:t>
      </w:r>
      <w:r w:rsidRPr="00F703C9">
        <w:rPr>
          <w:rFonts w:eastAsia="Calibri" w:cs="Tahoma"/>
          <w:bCs/>
          <w:color w:val="000000"/>
        </w:rPr>
        <w:t>siguiente:</w:t>
      </w:r>
    </w:p>
    <w:p w14:paraId="6557717D" w14:textId="77777777" w:rsidR="0037035C" w:rsidRPr="00F703C9" w:rsidRDefault="0037035C" w:rsidP="00DA2D9B">
      <w:pPr>
        <w:spacing w:after="0" w:line="360" w:lineRule="auto"/>
        <w:rPr>
          <w:rFonts w:eastAsia="Calibri" w:cs="Tahoma"/>
          <w:bCs/>
          <w:color w:val="000000"/>
        </w:rPr>
      </w:pPr>
    </w:p>
    <w:p w14:paraId="66A9AB50" w14:textId="2B9EC19F" w:rsidR="0037035C" w:rsidRPr="00F703C9" w:rsidRDefault="0037035C" w:rsidP="00881817">
      <w:pPr>
        <w:numPr>
          <w:ilvl w:val="0"/>
          <w:numId w:val="2"/>
        </w:numPr>
        <w:spacing w:after="0" w:line="360" w:lineRule="auto"/>
        <w:jc w:val="left"/>
        <w:rPr>
          <w:bCs/>
          <w:lang w:val="es-ES"/>
        </w:rPr>
      </w:pPr>
      <w:r w:rsidRPr="00F703C9">
        <w:rPr>
          <w:bCs/>
          <w:lang w:val="es-ES"/>
        </w:rPr>
        <w:t>Las Unidades de Transparencia garantizarán que las solicitudes de acceso a la información se turnen a todas las áreas competentes que cuenten con la información o deban tenerla -</w:t>
      </w:r>
      <w:r w:rsidR="0069765E" w:rsidRPr="00F703C9">
        <w:rPr>
          <w:bCs/>
          <w:lang w:val="es-ES"/>
        </w:rPr>
        <w:t>de acuerdo con</w:t>
      </w:r>
      <w:r w:rsidRPr="00F703C9">
        <w:rPr>
          <w:bCs/>
          <w:lang w:val="es-ES"/>
        </w:rPr>
        <w:t xml:space="preserve"> las facultades, competencias y funciones-, con el objeto de que dichas áreas realicen una búsqueda exhaustiva y razonable de la información requerida, y</w:t>
      </w:r>
    </w:p>
    <w:p w14:paraId="161E1347" w14:textId="77777777" w:rsidR="0037035C" w:rsidRPr="00F703C9" w:rsidRDefault="0037035C" w:rsidP="00DA2D9B">
      <w:pPr>
        <w:spacing w:after="0" w:line="360" w:lineRule="auto"/>
        <w:ind w:left="720"/>
        <w:rPr>
          <w:bCs/>
          <w:lang w:val="es-ES"/>
        </w:rPr>
      </w:pPr>
    </w:p>
    <w:p w14:paraId="1AD63DE6" w14:textId="77777777" w:rsidR="0037035C" w:rsidRPr="00F703C9" w:rsidRDefault="0037035C" w:rsidP="00881817">
      <w:pPr>
        <w:numPr>
          <w:ilvl w:val="0"/>
          <w:numId w:val="2"/>
        </w:numPr>
        <w:spacing w:after="0" w:line="360" w:lineRule="auto"/>
        <w:jc w:val="left"/>
        <w:rPr>
          <w:bCs/>
          <w:lang w:val="es-ES"/>
        </w:rPr>
      </w:pPr>
      <w:r w:rsidRPr="00F703C9">
        <w:rPr>
          <w:bCs/>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28114F63" w14:textId="77777777" w:rsidR="0037035C" w:rsidRPr="00F703C9" w:rsidRDefault="0037035C" w:rsidP="00DA2D9B">
      <w:pPr>
        <w:spacing w:after="0" w:line="360" w:lineRule="auto"/>
        <w:rPr>
          <w:rFonts w:eastAsia="Times New Roman" w:cs="Tahoma"/>
          <w:color w:val="auto"/>
          <w:lang w:eastAsia="es-ES"/>
        </w:rPr>
      </w:pPr>
    </w:p>
    <w:p w14:paraId="3B1F5099" w14:textId="24DCC1B9" w:rsidR="0037035C" w:rsidRPr="00F703C9" w:rsidRDefault="0037035C" w:rsidP="00DA2D9B">
      <w:pPr>
        <w:spacing w:after="0" w:line="360" w:lineRule="auto"/>
        <w:rPr>
          <w:rFonts w:eastAsia="Calibri" w:cs="Tahoma"/>
          <w:color w:val="000000"/>
          <w:szCs w:val="24"/>
          <w:lang w:val="es-ES" w:eastAsia="es-MX"/>
        </w:rPr>
      </w:pPr>
      <w:r w:rsidRPr="00F703C9">
        <w:rPr>
          <w:rFonts w:eastAsia="Times New Roman" w:cs="Tahoma"/>
          <w:bCs/>
          <w:iCs/>
          <w:color w:val="auto"/>
          <w:lang w:eastAsia="es-ES"/>
        </w:rPr>
        <w:t xml:space="preserve">Así y conforme a lo establecido en párrafos anteriores, </w:t>
      </w:r>
      <w:r w:rsidRPr="00F703C9">
        <w:rPr>
          <w:rFonts w:cs="Tahoma"/>
          <w:bCs/>
          <w:iCs/>
        </w:rPr>
        <w:t>se logra colegir que el Sujeto Obligado cumplió</w:t>
      </w:r>
      <w:r w:rsidR="00F2230B" w:rsidRPr="00F703C9">
        <w:rPr>
          <w:rFonts w:cs="Tahoma"/>
          <w:bCs/>
          <w:iCs/>
        </w:rPr>
        <w:t xml:space="preserve"> parcialmente</w:t>
      </w:r>
      <w:r w:rsidRPr="00F703C9">
        <w:rPr>
          <w:rFonts w:cs="Tahoma"/>
          <w:bCs/>
          <w:iCs/>
        </w:rPr>
        <w:t xml:space="preserve"> con el procedimiento de búsqueda </w:t>
      </w:r>
      <w:r w:rsidRPr="00F703C9">
        <w:rPr>
          <w:rFonts w:eastAsia="Calibri" w:cs="Tahoma"/>
          <w:color w:val="000000"/>
          <w:szCs w:val="24"/>
          <w:lang w:val="es-ES" w:eastAsia="es-MX"/>
        </w:rPr>
        <w:t xml:space="preserve">establecido en el artículo 162 de la Ley de Transparencia y Acceso a la Información Pública del Estado de México y Municipios, toda vez, que </w:t>
      </w:r>
      <w:r w:rsidR="00F2230B" w:rsidRPr="00F703C9">
        <w:rPr>
          <w:rFonts w:eastAsia="Calibri" w:cs="Tahoma"/>
          <w:color w:val="000000"/>
          <w:szCs w:val="24"/>
          <w:lang w:val="es-ES" w:eastAsia="es-MX"/>
        </w:rPr>
        <w:t xml:space="preserve">no </w:t>
      </w:r>
      <w:r w:rsidRPr="00F703C9">
        <w:rPr>
          <w:rFonts w:eastAsia="Calibri" w:cs="Tahoma"/>
          <w:color w:val="000000"/>
          <w:szCs w:val="24"/>
          <w:lang w:val="es-ES" w:eastAsia="es-MX"/>
        </w:rPr>
        <w:t>gestionó el requerimiento de información a</w:t>
      </w:r>
      <w:r w:rsidR="00F2230B" w:rsidRPr="00F703C9">
        <w:rPr>
          <w:rFonts w:eastAsia="Calibri" w:cs="Tahoma"/>
          <w:color w:val="000000"/>
          <w:szCs w:val="24"/>
          <w:lang w:val="es-ES" w:eastAsia="es-MX"/>
        </w:rPr>
        <w:t xml:space="preserve"> la Dirección de Administración encargada de todo lo relacionado con la contratación de servicios.</w:t>
      </w:r>
      <w:r w:rsidRPr="00F703C9">
        <w:rPr>
          <w:rFonts w:eastAsia="Calibri" w:cs="Tahoma"/>
          <w:color w:val="000000"/>
          <w:szCs w:val="24"/>
          <w:lang w:val="es-ES" w:eastAsia="es-MX"/>
        </w:rPr>
        <w:t xml:space="preserve"> </w:t>
      </w:r>
    </w:p>
    <w:p w14:paraId="4B88EC57" w14:textId="77777777" w:rsidR="00CA4534" w:rsidRPr="00F703C9" w:rsidRDefault="00CA4534" w:rsidP="00DA2D9B">
      <w:pPr>
        <w:spacing w:after="0" w:line="360" w:lineRule="auto"/>
        <w:rPr>
          <w:rFonts w:eastAsia="Calibri" w:cs="Tahoma"/>
          <w:b/>
          <w:bCs/>
          <w:color w:val="000000"/>
          <w:szCs w:val="24"/>
          <w:lang w:val="es-ES" w:eastAsia="es-MX"/>
        </w:rPr>
      </w:pPr>
    </w:p>
    <w:p w14:paraId="44046774" w14:textId="00FBB8DF" w:rsidR="006C7941" w:rsidRPr="00F703C9" w:rsidRDefault="006C7941" w:rsidP="00DA2D9B">
      <w:pPr>
        <w:spacing w:after="0" w:line="360" w:lineRule="auto"/>
        <w:rPr>
          <w:color w:val="000000"/>
        </w:rPr>
      </w:pPr>
      <w:r w:rsidRPr="00F703C9">
        <w:rPr>
          <w:color w:val="000000"/>
        </w:rPr>
        <w:t xml:space="preserve">Ahora bien, tanto en respuesta, como en Informe Justificado, la Tesorería Municipal mencionó que la información solicitada </w:t>
      </w:r>
      <w:r w:rsidR="00BA58BA" w:rsidRPr="00F703C9">
        <w:rPr>
          <w:rFonts w:cs="Tahoma"/>
          <w:bCs/>
        </w:rPr>
        <w:t xml:space="preserve">se encuentra sometida a actividades de fiscalización, verificación, inspección, comprobación en la Auditoría número 917 con título "Participaciones Federales a Entidades Federativas", la cual fue autorizada mediante el Programa Anual de Auditorías dos mil veintitrés, para la Fiscalización y Revisión de las Cuentas Públicas, motivo por el cual se clasificó como información reservada mediante el </w:t>
      </w:r>
      <w:r w:rsidR="00BA58BA" w:rsidRPr="00F703C9">
        <w:rPr>
          <w:rFonts w:cs="Tahoma"/>
          <w:lang w:val="es-ES_tradnl"/>
        </w:rPr>
        <w:lastRenderedPageBreak/>
        <w:t>Acta de la Décima Sexta Sesión Extraordinaria, del quince de agosto de dos mil veinticuatro</w:t>
      </w:r>
      <w:r w:rsidRPr="00F703C9">
        <w:rPr>
          <w:color w:val="000000"/>
        </w:rPr>
        <w:t xml:space="preserve">; </w:t>
      </w:r>
      <w:r w:rsidRPr="00F703C9">
        <w:rPr>
          <w:rFonts w:eastAsia="Times New Roman" w:cs="Tahoma"/>
          <w:bCs/>
          <w:color w:val="000000"/>
          <w:lang w:eastAsia="es-ES"/>
        </w:rPr>
        <w:t xml:space="preserve">sobre el tema, </w:t>
      </w:r>
      <w:r w:rsidRPr="00F703C9">
        <w:rPr>
          <w:rFonts w:eastAsia="Times New Roman" w:cs="Tahoma"/>
          <w:bCs/>
          <w:iCs/>
          <w:color w:val="000000"/>
          <w:lang w:eastAsia="es-ES"/>
        </w:rPr>
        <w:t xml:space="preserve">cabe precisar, que conforme al artículo 20 de la Ley de Transparencia y Acceso a la Información Pública del Estado de México y Municipios, </w:t>
      </w:r>
      <w:r w:rsidRPr="00F703C9">
        <w:rPr>
          <w:rFonts w:eastAsia="Times New Roman" w:cs="Tahoma"/>
          <w:b/>
          <w:bCs/>
          <w:iCs/>
          <w:color w:val="000000"/>
          <w:lang w:eastAsia="es-ES"/>
        </w:rPr>
        <w:t>ante la negativa de acceso a la información o su inexistencia, el sujeto obligado deberá demostrar que encuentra en alguna de las excepciones establecidas en la normatividad aplicable.</w:t>
      </w:r>
    </w:p>
    <w:p w14:paraId="188C2D44" w14:textId="77777777" w:rsidR="006C7941" w:rsidRPr="00F703C9" w:rsidRDefault="006C7941" w:rsidP="00DA2D9B">
      <w:pPr>
        <w:spacing w:after="0" w:line="360" w:lineRule="auto"/>
        <w:rPr>
          <w:rFonts w:eastAsia="Times New Roman" w:cs="Tahoma"/>
          <w:b/>
          <w:bCs/>
          <w:iCs/>
          <w:color w:val="000000"/>
          <w:lang w:eastAsia="es-ES"/>
        </w:rPr>
      </w:pPr>
    </w:p>
    <w:p w14:paraId="05D547C4" w14:textId="77777777" w:rsidR="006C7941" w:rsidRPr="00F703C9" w:rsidRDefault="006C7941" w:rsidP="00DA2D9B">
      <w:pPr>
        <w:spacing w:after="0" w:line="360" w:lineRule="auto"/>
        <w:rPr>
          <w:rFonts w:eastAsia="Times New Roman" w:cs="Tahoma"/>
          <w:bCs/>
          <w:iCs/>
          <w:color w:val="000000"/>
          <w:lang w:eastAsia="es-ES"/>
        </w:rPr>
      </w:pPr>
      <w:r w:rsidRPr="00F703C9">
        <w:rPr>
          <w:rFonts w:eastAsia="Times New Roman" w:cs="Tahoma"/>
          <w:bCs/>
          <w:iCs/>
          <w:color w:val="000000"/>
          <w:lang w:eastAsia="es-ES"/>
        </w:rPr>
        <w:t xml:space="preserve">En ese sentido, según Trujillo, Humberto (2019), en el “Diccionario de Transparencia y Acceso a la Información Pública” (p. 201), </w:t>
      </w:r>
      <w:r w:rsidRPr="00F703C9">
        <w:rPr>
          <w:rFonts w:eastAsia="Times New Roman" w:cs="Tahoma"/>
          <w:b/>
          <w:bCs/>
          <w:iCs/>
          <w:color w:val="000000"/>
          <w:lang w:eastAsia="es-ES"/>
        </w:rPr>
        <w:t xml:space="preserve">la negativa de acceso a la información </w:t>
      </w:r>
      <w:r w:rsidRPr="00F703C9">
        <w:rPr>
          <w:rFonts w:eastAsia="Times New Roman" w:cs="Tahoma"/>
          <w:bCs/>
          <w:iCs/>
          <w:color w:val="000000"/>
          <w:lang w:eastAsia="es-ES"/>
        </w:rPr>
        <w:t xml:space="preserve">ocurre cuanto de manera fundada y motivada, una autoridad la niega o la limita, por alguna de las siguientes razones: </w:t>
      </w:r>
    </w:p>
    <w:p w14:paraId="622EE745" w14:textId="77777777" w:rsidR="006C7941" w:rsidRPr="00F703C9" w:rsidRDefault="006C7941" w:rsidP="00DA2D9B">
      <w:pPr>
        <w:spacing w:after="0" w:line="360" w:lineRule="auto"/>
        <w:rPr>
          <w:rFonts w:eastAsia="Times New Roman" w:cs="Tahoma"/>
          <w:bCs/>
          <w:iCs/>
          <w:color w:val="000000"/>
          <w:lang w:eastAsia="es-ES"/>
        </w:rPr>
      </w:pPr>
    </w:p>
    <w:p w14:paraId="3C6B1D54" w14:textId="77777777" w:rsidR="006C7941" w:rsidRPr="00F703C9" w:rsidRDefault="006C7941" w:rsidP="00881817">
      <w:pPr>
        <w:numPr>
          <w:ilvl w:val="0"/>
          <w:numId w:val="3"/>
        </w:numPr>
        <w:spacing w:after="0" w:line="360" w:lineRule="auto"/>
        <w:rPr>
          <w:rFonts w:eastAsia="Times New Roman" w:cs="Tahoma"/>
          <w:b/>
          <w:bCs/>
          <w:iCs/>
          <w:color w:val="000000"/>
          <w:lang w:eastAsia="es-ES"/>
        </w:rPr>
      </w:pPr>
      <w:r w:rsidRPr="00F703C9">
        <w:rPr>
          <w:rFonts w:eastAsia="Times New Roman" w:cs="Tahoma"/>
          <w:b/>
          <w:bCs/>
          <w:iCs/>
          <w:color w:val="000000"/>
          <w:lang w:eastAsia="es-ES"/>
        </w:rPr>
        <w:t xml:space="preserve">La inexistencia de la información (p. 171): </w:t>
      </w:r>
      <w:r w:rsidRPr="00F703C9">
        <w:rPr>
          <w:rFonts w:eastAsia="Times New Roman" w:cs="Tahoma"/>
          <w:bCs/>
          <w:iCs/>
          <w:color w:val="000000"/>
          <w:lang w:eastAsia="es-ES"/>
        </w:rPr>
        <w:t>Sucede cuando la información solicitada no se encuentra en los archivos públicos o clasificados, de los entes sujetos a las Leyes de Transparencia.</w:t>
      </w:r>
    </w:p>
    <w:p w14:paraId="7451027E" w14:textId="77777777" w:rsidR="006C7941" w:rsidRPr="00F703C9" w:rsidRDefault="006C7941" w:rsidP="00DA2D9B">
      <w:pPr>
        <w:spacing w:after="0" w:line="360" w:lineRule="auto"/>
        <w:rPr>
          <w:rFonts w:eastAsia="Times New Roman" w:cs="Tahoma"/>
          <w:b/>
          <w:bCs/>
          <w:iCs/>
          <w:color w:val="000000"/>
          <w:lang w:eastAsia="es-ES"/>
        </w:rPr>
      </w:pPr>
    </w:p>
    <w:p w14:paraId="62D999F3" w14:textId="77777777" w:rsidR="006C7941" w:rsidRPr="00F703C9" w:rsidRDefault="006C7941" w:rsidP="00881817">
      <w:pPr>
        <w:numPr>
          <w:ilvl w:val="0"/>
          <w:numId w:val="3"/>
        </w:numPr>
        <w:spacing w:after="0" w:line="360" w:lineRule="auto"/>
        <w:rPr>
          <w:rFonts w:eastAsia="Times New Roman" w:cs="Tahoma"/>
          <w:b/>
          <w:bCs/>
          <w:iCs/>
          <w:color w:val="000000"/>
          <w:lang w:eastAsia="es-ES"/>
        </w:rPr>
      </w:pPr>
      <w:r w:rsidRPr="00F703C9">
        <w:rPr>
          <w:rFonts w:eastAsia="Times New Roman" w:cs="Tahoma"/>
          <w:b/>
          <w:bCs/>
          <w:iCs/>
          <w:color w:val="000000"/>
          <w:lang w:eastAsia="es-ES"/>
        </w:rPr>
        <w:t xml:space="preserve">La incompetencia del Sujeto Obligado (p. 171): </w:t>
      </w:r>
      <w:r w:rsidRPr="00F703C9">
        <w:rPr>
          <w:rFonts w:eastAsia="Times New Roman" w:cs="Tahoma"/>
          <w:bCs/>
          <w:iCs/>
          <w:color w:val="000000"/>
          <w:lang w:eastAsia="es-ES"/>
        </w:rPr>
        <w:t>Ocurre cuando el Sujeto Obligado carece de atribuciones para poseer la información peticionada.</w:t>
      </w:r>
    </w:p>
    <w:p w14:paraId="50F3FAFC" w14:textId="77777777" w:rsidR="006C7941" w:rsidRPr="00F703C9" w:rsidRDefault="006C7941" w:rsidP="00DA2D9B">
      <w:pPr>
        <w:spacing w:after="0" w:line="360" w:lineRule="auto"/>
        <w:rPr>
          <w:rFonts w:eastAsia="Times New Roman" w:cs="Tahoma"/>
          <w:b/>
          <w:bCs/>
          <w:iCs/>
          <w:color w:val="000000"/>
          <w:lang w:eastAsia="es-ES"/>
        </w:rPr>
      </w:pPr>
    </w:p>
    <w:p w14:paraId="3AF06B1E" w14:textId="77777777" w:rsidR="006C7941" w:rsidRPr="00F703C9" w:rsidRDefault="006C7941" w:rsidP="00881817">
      <w:pPr>
        <w:numPr>
          <w:ilvl w:val="0"/>
          <w:numId w:val="3"/>
        </w:numPr>
        <w:spacing w:after="0" w:line="360" w:lineRule="auto"/>
        <w:rPr>
          <w:rFonts w:eastAsia="Times New Roman" w:cs="Tahoma"/>
          <w:b/>
          <w:bCs/>
          <w:iCs/>
          <w:color w:val="000000"/>
          <w:lang w:eastAsia="es-ES"/>
        </w:rPr>
      </w:pPr>
      <w:r w:rsidRPr="00F703C9">
        <w:rPr>
          <w:rFonts w:eastAsia="Times New Roman" w:cs="Tahoma"/>
          <w:b/>
          <w:bCs/>
          <w:iCs/>
          <w:color w:val="000000"/>
          <w:lang w:eastAsia="es-ES"/>
        </w:rPr>
        <w:t xml:space="preserve">La clasificación de la información (p. 70): </w:t>
      </w:r>
      <w:r w:rsidRPr="00F703C9">
        <w:rPr>
          <w:rFonts w:eastAsia="Times New Roman" w:cs="Tahoma"/>
          <w:bCs/>
          <w:iCs/>
          <w:color w:val="000000"/>
          <w:lang w:eastAsia="es-ES"/>
        </w:rPr>
        <w:t>Es el proceso o conjunto de acciones que realizan los sujetos obligados para establecer que determinada información se encuentra en alguno de los supuestos de reserva o confidencialidad establecidos en la legislación en materia de transparencia.</w:t>
      </w:r>
    </w:p>
    <w:p w14:paraId="2DADE667" w14:textId="77777777" w:rsidR="006C7941" w:rsidRPr="00F703C9" w:rsidRDefault="006C7941" w:rsidP="00DA2D9B">
      <w:pPr>
        <w:spacing w:after="0" w:line="360" w:lineRule="auto"/>
        <w:rPr>
          <w:rFonts w:eastAsia="Times New Roman" w:cs="Tahoma"/>
          <w:b/>
          <w:bCs/>
          <w:iCs/>
          <w:color w:val="000000"/>
          <w:lang w:eastAsia="es-ES"/>
        </w:rPr>
      </w:pPr>
    </w:p>
    <w:p w14:paraId="344A2202" w14:textId="77777777" w:rsidR="006C7941" w:rsidRPr="00F703C9" w:rsidRDefault="006C7941" w:rsidP="00DA2D9B">
      <w:pPr>
        <w:spacing w:after="0" w:line="360" w:lineRule="auto"/>
        <w:rPr>
          <w:rFonts w:eastAsia="Times New Roman" w:cs="Tahoma"/>
          <w:bCs/>
          <w:iCs/>
          <w:color w:val="000000"/>
          <w:lang w:val="es-ES" w:eastAsia="es-ES"/>
        </w:rPr>
      </w:pPr>
      <w:r w:rsidRPr="00F703C9">
        <w:rPr>
          <w:rFonts w:eastAsia="Times New Roman" w:cs="Tahoma"/>
          <w:bCs/>
          <w:iCs/>
          <w:color w:val="000000"/>
          <w:lang w:eastAsia="es-ES"/>
        </w:rPr>
        <w:t>En ese orden de ideas y en atención a lo anterior, es de señalar que l</w:t>
      </w:r>
      <w:r w:rsidRPr="00F703C9">
        <w:rPr>
          <w:rFonts w:eastAsia="Times New Roman" w:cs="Tahoma"/>
          <w:bCs/>
          <w:iCs/>
          <w:color w:val="000000"/>
          <w:lang w:val="es-ES" w:eastAsia="es-ES"/>
        </w:rPr>
        <w:t xml:space="preserve">as excepciones al derecho de acceso a la información, consisten en que la documentación sea inexistente, </w:t>
      </w:r>
      <w:r w:rsidRPr="00F703C9">
        <w:rPr>
          <w:rFonts w:eastAsia="Times New Roman" w:cs="Tahoma"/>
          <w:b/>
          <w:bCs/>
          <w:iCs/>
          <w:color w:val="000000"/>
          <w:lang w:val="es-ES" w:eastAsia="es-ES"/>
        </w:rPr>
        <w:t>se encuentre clasificada</w:t>
      </w:r>
      <w:r w:rsidRPr="00F703C9">
        <w:rPr>
          <w:rFonts w:eastAsia="Times New Roman" w:cs="Tahoma"/>
          <w:bCs/>
          <w:iCs/>
          <w:color w:val="000000"/>
          <w:lang w:val="es-ES" w:eastAsia="es-ES"/>
        </w:rPr>
        <w:t xml:space="preserve">, o bien, el Sujeto Obligado sea incompetente para contar con esta; esto es, la </w:t>
      </w:r>
      <w:r w:rsidRPr="00F703C9">
        <w:rPr>
          <w:rFonts w:eastAsia="Times New Roman" w:cs="Tahoma"/>
          <w:bCs/>
          <w:iCs/>
          <w:color w:val="000000"/>
          <w:lang w:val="es-ES" w:eastAsia="es-ES"/>
        </w:rPr>
        <w:lastRenderedPageBreak/>
        <w:t xml:space="preserve">negativa de acceso a la información, recae cuando la documentación no se encuentre en los archivos del sujeto obligado, o bien exista, pero no pueda proporcionarse por contener datos </w:t>
      </w:r>
      <w:r w:rsidRPr="00F703C9">
        <w:rPr>
          <w:rFonts w:eastAsia="Times New Roman" w:cs="Tahoma"/>
          <w:b/>
          <w:bCs/>
          <w:iCs/>
          <w:color w:val="000000"/>
          <w:lang w:val="es-ES" w:eastAsia="es-ES"/>
        </w:rPr>
        <w:t>confidenciales o reservados.</w:t>
      </w:r>
    </w:p>
    <w:p w14:paraId="1B0784D7" w14:textId="77777777" w:rsidR="006C7941" w:rsidRPr="00F703C9" w:rsidRDefault="006C7941" w:rsidP="00DA2D9B">
      <w:pPr>
        <w:spacing w:after="0" w:line="360" w:lineRule="auto"/>
        <w:rPr>
          <w:rFonts w:eastAsia="Times New Roman" w:cs="Tahoma"/>
          <w:b/>
          <w:bCs/>
          <w:iCs/>
          <w:color w:val="000000"/>
          <w:lang w:eastAsia="es-ES"/>
        </w:rPr>
      </w:pPr>
    </w:p>
    <w:p w14:paraId="0A7FE4FB" w14:textId="77777777" w:rsidR="006C7941" w:rsidRPr="00F703C9" w:rsidRDefault="006C7941" w:rsidP="00DA2D9B">
      <w:pPr>
        <w:spacing w:after="0" w:line="360" w:lineRule="auto"/>
        <w:rPr>
          <w:rFonts w:eastAsia="Times New Roman" w:cs="Tahoma"/>
          <w:bCs/>
          <w:iCs/>
          <w:color w:val="000000"/>
          <w:lang w:val="es-ES" w:eastAsia="es-ES"/>
        </w:rPr>
      </w:pPr>
      <w:r w:rsidRPr="00F703C9">
        <w:rPr>
          <w:rFonts w:eastAsia="Times New Roman" w:cs="Tahoma"/>
          <w:bCs/>
          <w:iCs/>
          <w:color w:val="000000"/>
          <w:lang w:eastAsia="es-ES"/>
        </w:rPr>
        <w:t xml:space="preserve">Así, en los artículos 122, 128 y 130 de la Ley Transparencia y Acceso a la Información Pública del Estado de México y Municipios, se prevé que </w:t>
      </w:r>
      <w:r w:rsidRPr="00F703C9">
        <w:rPr>
          <w:rFonts w:eastAsia="Times New Roman" w:cs="Tahoma"/>
          <w:b/>
          <w:bCs/>
          <w:iCs/>
          <w:color w:val="000000"/>
          <w:lang w:eastAsia="es-ES"/>
        </w:rPr>
        <w:t xml:space="preserve">la clasificación </w:t>
      </w:r>
      <w:r w:rsidRPr="00F703C9">
        <w:rPr>
          <w:rFonts w:eastAsia="Times New Roman" w:cs="Tahoma"/>
          <w:bCs/>
          <w:iCs/>
          <w:color w:val="000000"/>
          <w:lang w:eastAsia="es-ES"/>
        </w:rPr>
        <w:t xml:space="preserve">es el proceso mediante el cual los sujetos obligados determinan que la información en su poder, actualiza alguno de los supuestos de reserva o confidencialidad. </w:t>
      </w:r>
      <w:r w:rsidRPr="00F703C9">
        <w:rPr>
          <w:rFonts w:eastAsia="Times New Roman" w:cs="Tahoma"/>
          <w:bCs/>
          <w:iCs/>
          <w:color w:val="000000"/>
          <w:lang w:val="es-ES" w:eastAsia="es-ES"/>
        </w:rPr>
        <w:t>Además, que dichos entes deberán aplicar de manera restrictiva y limitada, las excepciones al derecho de acceso a la información, por lo que, tendrán que acreditar la procedencia.</w:t>
      </w:r>
    </w:p>
    <w:p w14:paraId="67801F7D" w14:textId="77777777" w:rsidR="006C7941" w:rsidRPr="00F703C9" w:rsidRDefault="006C7941" w:rsidP="00DA2D9B">
      <w:pPr>
        <w:spacing w:after="0" w:line="360" w:lineRule="auto"/>
        <w:rPr>
          <w:rFonts w:eastAsia="Times New Roman" w:cs="Tahoma"/>
          <w:bCs/>
          <w:iCs/>
          <w:color w:val="000000"/>
          <w:lang w:eastAsia="es-ES"/>
        </w:rPr>
      </w:pPr>
    </w:p>
    <w:p w14:paraId="3944E1FE" w14:textId="77777777" w:rsidR="006C7941" w:rsidRPr="00F703C9" w:rsidRDefault="006C7941" w:rsidP="00DA2D9B">
      <w:pPr>
        <w:spacing w:after="0" w:line="360" w:lineRule="auto"/>
        <w:rPr>
          <w:rFonts w:eastAsia="Times New Roman" w:cs="Tahoma"/>
          <w:bCs/>
          <w:iCs/>
          <w:color w:val="000000"/>
          <w:lang w:val="es-ES" w:eastAsia="es-ES"/>
        </w:rPr>
      </w:pPr>
      <w:r w:rsidRPr="00F703C9">
        <w:rPr>
          <w:rFonts w:eastAsia="Times New Roman" w:cs="Tahoma"/>
          <w:bCs/>
          <w:iCs/>
          <w:color w:val="000000"/>
          <w:lang w:val="es-ES" w:eastAsia="es-ES"/>
        </w:rPr>
        <w:t xml:space="preserve">Por lo cual, en los casos en que se niegue el acceso a la información, por actualizarse alguno de los supuestos de clasificación, </w:t>
      </w:r>
      <w:r w:rsidRPr="00F703C9">
        <w:rPr>
          <w:rFonts w:eastAsia="Times New Roman" w:cs="Tahoma"/>
          <w:b/>
          <w:bCs/>
          <w:iCs/>
          <w:color w:val="000000"/>
          <w:lang w:val="es-ES" w:eastAsia="es-ES"/>
        </w:rPr>
        <w:t xml:space="preserve">el Comité de Transparencia deberá confirmar, modificar o revocar la decisión; </w:t>
      </w:r>
      <w:r w:rsidRPr="00F703C9">
        <w:rPr>
          <w:rFonts w:eastAsia="Times New Roman" w:cs="Tahoma"/>
          <w:bCs/>
          <w:iCs/>
          <w:color w:val="000000"/>
          <w:lang w:val="es-ES" w:eastAsia="es-ES"/>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229E901D" w14:textId="77777777" w:rsidR="006C7941" w:rsidRPr="00F703C9" w:rsidRDefault="006C7941" w:rsidP="00DA2D9B">
      <w:pPr>
        <w:spacing w:after="0" w:line="360" w:lineRule="auto"/>
        <w:rPr>
          <w:rFonts w:eastAsia="Times New Roman" w:cs="Tahoma"/>
          <w:bCs/>
          <w:iCs/>
          <w:color w:val="000000"/>
          <w:lang w:val="es-ES" w:eastAsia="es-ES"/>
        </w:rPr>
      </w:pPr>
    </w:p>
    <w:p w14:paraId="380B5CE9" w14:textId="77777777" w:rsidR="006C7941" w:rsidRPr="00F703C9" w:rsidRDefault="006C7941" w:rsidP="00DA2D9B">
      <w:pPr>
        <w:spacing w:after="0" w:line="360" w:lineRule="auto"/>
        <w:rPr>
          <w:rFonts w:eastAsia="Times New Roman" w:cs="Tahoma"/>
          <w:b/>
          <w:bCs/>
          <w:iCs/>
          <w:color w:val="000000"/>
          <w:lang w:eastAsia="es-ES"/>
        </w:rPr>
      </w:pPr>
      <w:r w:rsidRPr="00F703C9">
        <w:rPr>
          <w:rFonts w:eastAsia="Times New Roman" w:cs="Tahoma"/>
          <w:bCs/>
          <w:iCs/>
          <w:color w:val="000000"/>
          <w:lang w:val="es-ES" w:eastAsia="es-ES"/>
        </w:rPr>
        <w:t xml:space="preserve">Por su parte, </w:t>
      </w:r>
      <w:r w:rsidRPr="00F703C9">
        <w:rPr>
          <w:rFonts w:eastAsia="Times New Roman" w:cs="Tahoma"/>
          <w:bCs/>
          <w:iCs/>
          <w:color w:val="000000"/>
          <w:lang w:eastAsia="es-ES"/>
        </w:rPr>
        <w:t xml:space="preserve">según Bonifaz, Leticia (2016), en la “Ley General de Transparencia y Acceso a la Información Pública Comentada” (p. 342), la </w:t>
      </w:r>
      <w:r w:rsidRPr="00F703C9">
        <w:rPr>
          <w:rFonts w:eastAsia="Times New Roman" w:cs="Tahoma"/>
          <w:b/>
          <w:bCs/>
          <w:iCs/>
          <w:color w:val="000000"/>
          <w:lang w:eastAsia="es-ES"/>
        </w:rPr>
        <w:t>clasificación de la información</w:t>
      </w:r>
      <w:r w:rsidRPr="00F703C9">
        <w:rPr>
          <w:rFonts w:eastAsia="Times New Roman" w:cs="Tahoma"/>
          <w:bCs/>
          <w:iCs/>
          <w:color w:val="000000"/>
          <w:lang w:eastAsia="es-ES"/>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F703C9">
        <w:rPr>
          <w:rFonts w:eastAsia="Times New Roman" w:cs="Tahoma"/>
          <w:b/>
          <w:bCs/>
          <w:iCs/>
          <w:color w:val="000000"/>
          <w:lang w:eastAsia="es-ES"/>
        </w:rPr>
        <w:t>de manera adecuada la negativa de información.</w:t>
      </w:r>
    </w:p>
    <w:p w14:paraId="26F82F36" w14:textId="77777777" w:rsidR="006C7941" w:rsidRPr="00F703C9" w:rsidRDefault="006C7941" w:rsidP="00DA2D9B">
      <w:pPr>
        <w:spacing w:after="0" w:line="360" w:lineRule="auto"/>
        <w:rPr>
          <w:rFonts w:eastAsia="Times New Roman" w:cs="Tahoma"/>
          <w:b/>
          <w:bCs/>
          <w:iCs/>
          <w:color w:val="000000"/>
          <w:lang w:eastAsia="es-ES"/>
        </w:rPr>
      </w:pPr>
    </w:p>
    <w:p w14:paraId="1A37F8EB" w14:textId="665EB9D5" w:rsidR="006C7941" w:rsidRPr="00F703C9" w:rsidRDefault="006C7941" w:rsidP="00DA2D9B">
      <w:pPr>
        <w:spacing w:after="0" w:line="360" w:lineRule="auto"/>
        <w:rPr>
          <w:rFonts w:eastAsia="Times New Roman" w:cs="Tahoma"/>
          <w:iCs/>
          <w:color w:val="000000"/>
          <w:lang w:eastAsia="es-ES"/>
        </w:rPr>
      </w:pPr>
      <w:r w:rsidRPr="00F703C9">
        <w:rPr>
          <w:rFonts w:eastAsia="Times New Roman" w:cs="Tahoma"/>
          <w:iCs/>
          <w:color w:val="000000"/>
          <w:lang w:eastAsia="es-ES"/>
        </w:rPr>
        <w:lastRenderedPageBreak/>
        <w:t>Conforme a lo anterior, en el presente caso el Ayuntamiento de</w:t>
      </w:r>
      <w:r w:rsidR="00036E16" w:rsidRPr="00F703C9">
        <w:rPr>
          <w:rFonts w:eastAsia="Times New Roman" w:cs="Tahoma"/>
          <w:iCs/>
          <w:color w:val="000000"/>
          <w:lang w:eastAsia="es-ES"/>
        </w:rPr>
        <w:t xml:space="preserve"> </w:t>
      </w:r>
      <w:r w:rsidR="00036E16" w:rsidRPr="00F703C9">
        <w:rPr>
          <w:bCs/>
          <w:color w:val="000000"/>
          <w:szCs w:val="14"/>
        </w:rPr>
        <w:t>Valle de Chalco Solidaridad</w:t>
      </w:r>
      <w:r w:rsidRPr="00F703C9">
        <w:rPr>
          <w:rFonts w:eastAsia="Times New Roman" w:cs="Tahoma"/>
          <w:iCs/>
          <w:color w:val="000000"/>
          <w:lang w:eastAsia="es-ES"/>
        </w:rPr>
        <w:t xml:space="preserve">, señaló que la información no podía ser proporcionada al ser reservada, por lo que </w:t>
      </w:r>
      <w:r w:rsidRPr="00F703C9">
        <w:rPr>
          <w:rFonts w:eastAsia="Calibri" w:cs="Tahoma"/>
          <w:bCs/>
          <w:color w:val="000000"/>
        </w:rPr>
        <w:t>se negó el acceso a la información peticionada por la persona Recurrente, al considerar que estaba clasificada; tan es así, que consideró que actualizaba la causal de reserva establecida en el artículo 140, fracci</w:t>
      </w:r>
      <w:r w:rsidR="00036E16" w:rsidRPr="00F703C9">
        <w:rPr>
          <w:rFonts w:eastAsia="Calibri" w:cs="Tahoma"/>
          <w:bCs/>
          <w:color w:val="000000"/>
        </w:rPr>
        <w:t>ón</w:t>
      </w:r>
      <w:r w:rsidRPr="00F703C9">
        <w:rPr>
          <w:rFonts w:eastAsia="Calibri" w:cs="Tahoma"/>
          <w:bCs/>
          <w:color w:val="000000"/>
        </w:rPr>
        <w:t xml:space="preserve"> V numeral 1, de la Ley </w:t>
      </w:r>
      <w:r w:rsidRPr="00F703C9">
        <w:rPr>
          <w:rFonts w:eastAsia="Times New Roman" w:cs="Tahoma"/>
          <w:bCs/>
          <w:iCs/>
          <w:color w:val="000000"/>
          <w:lang w:val="es-ES" w:eastAsia="es-ES"/>
        </w:rPr>
        <w:t xml:space="preserve">de Transparencia y Acceso a la Información Pública del Estado de México y Municipios. </w:t>
      </w:r>
      <w:r w:rsidRPr="00F703C9">
        <w:rPr>
          <w:rFonts w:eastAsia="Times New Roman" w:cs="Tahoma"/>
          <w:iCs/>
          <w:color w:val="000000"/>
          <w:lang w:eastAsia="es-ES"/>
        </w:rPr>
        <w:t xml:space="preserve"> </w:t>
      </w:r>
    </w:p>
    <w:p w14:paraId="70552217" w14:textId="77777777" w:rsidR="006C7941" w:rsidRPr="00F703C9" w:rsidRDefault="006C7941" w:rsidP="00DA2D9B">
      <w:pPr>
        <w:spacing w:after="0" w:line="360" w:lineRule="auto"/>
        <w:rPr>
          <w:rFonts w:eastAsia="Times New Roman" w:cs="Tahoma"/>
          <w:iCs/>
          <w:color w:val="000000"/>
          <w:lang w:eastAsia="es-ES"/>
        </w:rPr>
      </w:pPr>
    </w:p>
    <w:p w14:paraId="0D09BA94" w14:textId="77777777" w:rsidR="006C7941" w:rsidRPr="00F703C9" w:rsidRDefault="006C7941" w:rsidP="00DA2D9B">
      <w:pPr>
        <w:spacing w:after="0" w:line="360" w:lineRule="auto"/>
        <w:rPr>
          <w:rFonts w:eastAsia="Times New Roman" w:cs="Tahoma"/>
          <w:b/>
          <w:bCs/>
          <w:iCs/>
          <w:color w:val="000000"/>
          <w:lang w:eastAsia="es-ES"/>
        </w:rPr>
      </w:pPr>
      <w:r w:rsidRPr="00F703C9">
        <w:rPr>
          <w:rFonts w:eastAsia="Times New Roman" w:cs="Tahoma"/>
          <w:bCs/>
          <w:iCs/>
          <w:color w:val="000000"/>
          <w:lang w:eastAsia="es-ES"/>
        </w:rPr>
        <w:t xml:space="preserve">En ese sentido, conforme al artículo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por lo que, la clasificación de información se llevará a cabo mediante un </w:t>
      </w:r>
      <w:r w:rsidRPr="00F703C9">
        <w:rPr>
          <w:rFonts w:eastAsia="Times New Roman" w:cs="Tahoma"/>
          <w:b/>
          <w:bCs/>
          <w:iCs/>
          <w:color w:val="000000"/>
          <w:lang w:eastAsia="es-ES"/>
        </w:rPr>
        <w:t>análisis caso por caso.</w:t>
      </w:r>
    </w:p>
    <w:p w14:paraId="49477ABC" w14:textId="77777777" w:rsidR="006C7941" w:rsidRPr="00F703C9" w:rsidRDefault="006C7941" w:rsidP="00DA2D9B">
      <w:pPr>
        <w:spacing w:after="0" w:line="360" w:lineRule="auto"/>
        <w:rPr>
          <w:rFonts w:eastAsia="Times New Roman" w:cs="Tahoma"/>
          <w:b/>
          <w:bCs/>
          <w:iCs/>
          <w:color w:val="000000"/>
          <w:lang w:eastAsia="es-ES"/>
        </w:rPr>
      </w:pPr>
    </w:p>
    <w:p w14:paraId="563C5643" w14:textId="77777777" w:rsidR="006C7941" w:rsidRPr="00F703C9" w:rsidRDefault="006C7941" w:rsidP="00DA2D9B">
      <w:pPr>
        <w:spacing w:after="0" w:line="360" w:lineRule="auto"/>
        <w:rPr>
          <w:rFonts w:eastAsia="Times New Roman" w:cs="Tahoma"/>
          <w:bCs/>
          <w:iCs/>
          <w:color w:val="000000"/>
          <w:lang w:eastAsia="es-ES"/>
        </w:rPr>
      </w:pPr>
      <w:r w:rsidRPr="00F703C9">
        <w:rPr>
          <w:rFonts w:eastAsia="Times New Roman" w:cs="Tahoma"/>
          <w:bCs/>
          <w:iCs/>
          <w:color w:val="000000"/>
          <w:lang w:eastAsia="es-ES"/>
        </w:rPr>
        <w:t xml:space="preserve">Además, el artículo 131 de la Ley referida, así como el Quinto de los Lineamientos Generales, establecen que los sujetos obligados </w:t>
      </w:r>
      <w:r w:rsidRPr="00F703C9">
        <w:rPr>
          <w:rFonts w:eastAsia="Times New Roman" w:cs="Tahoma"/>
          <w:b/>
          <w:bCs/>
          <w:iCs/>
          <w:color w:val="000000"/>
          <w:lang w:eastAsia="es-ES"/>
        </w:rPr>
        <w:t>deberán fundar y motivar</w:t>
      </w:r>
      <w:r w:rsidRPr="00F703C9">
        <w:rPr>
          <w:rFonts w:eastAsia="Times New Roman" w:cs="Tahoma"/>
          <w:bCs/>
          <w:iCs/>
          <w:color w:val="000000"/>
          <w:lang w:eastAsia="es-ES"/>
        </w:rPr>
        <w:t xml:space="preserve"> debidamente la clasificación de la información.</w:t>
      </w:r>
    </w:p>
    <w:p w14:paraId="63C62B9E" w14:textId="77777777" w:rsidR="006C7941" w:rsidRPr="00F703C9" w:rsidRDefault="006C7941" w:rsidP="00DA2D9B">
      <w:pPr>
        <w:spacing w:after="0" w:line="360" w:lineRule="auto"/>
        <w:rPr>
          <w:rFonts w:eastAsia="Times New Roman" w:cs="Tahoma"/>
          <w:b/>
          <w:bCs/>
          <w:iCs/>
          <w:color w:val="000000"/>
          <w:lang w:eastAsia="es-ES"/>
        </w:rPr>
      </w:pPr>
    </w:p>
    <w:p w14:paraId="44844016" w14:textId="77777777" w:rsidR="006C7941" w:rsidRPr="00F703C9" w:rsidRDefault="006C7941" w:rsidP="00DA2D9B">
      <w:pPr>
        <w:spacing w:after="0" w:line="360" w:lineRule="auto"/>
        <w:rPr>
          <w:rFonts w:eastAsia="Times New Roman" w:cs="Tahoma"/>
          <w:bCs/>
          <w:iCs/>
          <w:color w:val="000000"/>
          <w:lang w:eastAsia="es-ES"/>
        </w:rPr>
      </w:pPr>
      <w:r w:rsidRPr="00F703C9">
        <w:rPr>
          <w:rFonts w:eastAsia="Times New Roman" w:cs="Tahoma"/>
          <w:bCs/>
          <w:iCs/>
          <w:color w:val="000000"/>
          <w:lang w:eastAsia="es-ES"/>
        </w:rPr>
        <w:t>Al respecto, el Octavo de los Lineamientos Generales, precisa lo siguiente:</w:t>
      </w:r>
    </w:p>
    <w:p w14:paraId="209B7738" w14:textId="77777777" w:rsidR="006C7941" w:rsidRPr="00F703C9" w:rsidRDefault="006C7941" w:rsidP="00DA2D9B">
      <w:pPr>
        <w:spacing w:after="0" w:line="360" w:lineRule="auto"/>
        <w:rPr>
          <w:rFonts w:eastAsia="Times New Roman" w:cs="Tahoma"/>
          <w:bCs/>
          <w:iCs/>
          <w:color w:val="000000"/>
          <w:lang w:eastAsia="es-ES"/>
        </w:rPr>
      </w:pPr>
    </w:p>
    <w:p w14:paraId="0739500D" w14:textId="77777777" w:rsidR="006C7941" w:rsidRPr="00F703C9" w:rsidRDefault="006C7941" w:rsidP="00881817">
      <w:pPr>
        <w:numPr>
          <w:ilvl w:val="0"/>
          <w:numId w:val="4"/>
        </w:numPr>
        <w:spacing w:after="0" w:line="360" w:lineRule="auto"/>
        <w:rPr>
          <w:rFonts w:eastAsia="Times New Roman" w:cs="Tahoma"/>
          <w:bCs/>
          <w:iCs/>
          <w:color w:val="000000"/>
          <w:lang w:eastAsia="es-ES"/>
        </w:rPr>
      </w:pPr>
      <w:r w:rsidRPr="00F703C9">
        <w:rPr>
          <w:rFonts w:eastAsia="Times New Roman" w:cs="Tahoma"/>
          <w:b/>
          <w:bCs/>
          <w:iCs/>
          <w:color w:val="000000"/>
          <w:lang w:eastAsia="es-ES"/>
        </w:rPr>
        <w:t>Para fundar la clasificación</w:t>
      </w:r>
      <w:r w:rsidRPr="00F703C9">
        <w:rPr>
          <w:rFonts w:eastAsia="Times New Roman" w:cs="Tahoma"/>
          <w:bCs/>
          <w:iCs/>
          <w:color w:val="000000"/>
          <w:lang w:eastAsia="es-ES"/>
        </w:rPr>
        <w:t xml:space="preserve"> de la información se deberán señalar el artículo, fracción, inciso, párrafo o numeral de la Ley aplicable;</w:t>
      </w:r>
    </w:p>
    <w:p w14:paraId="3CC0B8BF" w14:textId="77777777" w:rsidR="006C7941" w:rsidRPr="00F703C9" w:rsidRDefault="006C7941" w:rsidP="00DA2D9B">
      <w:pPr>
        <w:spacing w:after="0" w:line="360" w:lineRule="auto"/>
        <w:rPr>
          <w:rFonts w:eastAsia="Times New Roman" w:cs="Tahoma"/>
          <w:bCs/>
          <w:iCs/>
          <w:color w:val="000000"/>
          <w:lang w:eastAsia="es-ES"/>
        </w:rPr>
      </w:pPr>
    </w:p>
    <w:p w14:paraId="487C4FCD" w14:textId="77777777" w:rsidR="006C7941" w:rsidRPr="00F703C9" w:rsidRDefault="006C7941" w:rsidP="00881817">
      <w:pPr>
        <w:numPr>
          <w:ilvl w:val="0"/>
          <w:numId w:val="4"/>
        </w:numPr>
        <w:spacing w:after="0" w:line="360" w:lineRule="auto"/>
        <w:rPr>
          <w:rFonts w:eastAsia="Times New Roman" w:cs="Tahoma"/>
          <w:bCs/>
          <w:iCs/>
          <w:color w:val="000000"/>
          <w:lang w:eastAsia="es-ES"/>
        </w:rPr>
      </w:pPr>
      <w:r w:rsidRPr="00F703C9">
        <w:rPr>
          <w:rFonts w:eastAsia="Times New Roman" w:cs="Tahoma"/>
          <w:b/>
          <w:bCs/>
          <w:iCs/>
          <w:color w:val="000000"/>
          <w:lang w:eastAsia="es-ES"/>
        </w:rPr>
        <w:t>Para motivar la clasificación</w:t>
      </w:r>
      <w:r w:rsidRPr="00F703C9">
        <w:rPr>
          <w:rFonts w:eastAsia="Times New Roman" w:cs="Tahoma"/>
          <w:bCs/>
          <w:iCs/>
          <w:color w:val="000000"/>
          <w:lang w:eastAsia="es-ES"/>
        </w:rPr>
        <w:t xml:space="preserve"> se deberán indicar las razones y circunstancias especiales que lo llevaron a concluir que el caso particular se ajusta al supuesto previsto por la norma legal invocada; la cual, en el caso de que se trate de información </w:t>
      </w:r>
      <w:r w:rsidRPr="00F703C9">
        <w:rPr>
          <w:rFonts w:eastAsia="Times New Roman" w:cs="Tahoma"/>
          <w:bCs/>
          <w:iCs/>
          <w:color w:val="000000"/>
          <w:lang w:eastAsia="es-ES"/>
        </w:rPr>
        <w:lastRenderedPageBreak/>
        <w:t>reservada, la motivación, deberá comprender las circunstancias que justifican el establecimiento de un determinado plazo de reserva.</w:t>
      </w:r>
    </w:p>
    <w:p w14:paraId="640E5233" w14:textId="77777777" w:rsidR="006C7941" w:rsidRPr="00F703C9" w:rsidRDefault="006C7941" w:rsidP="00DA2D9B">
      <w:pPr>
        <w:spacing w:after="0" w:line="360" w:lineRule="auto"/>
        <w:rPr>
          <w:rFonts w:eastAsia="Times New Roman" w:cs="Tahoma"/>
          <w:bCs/>
          <w:iCs/>
          <w:color w:val="000000"/>
          <w:lang w:eastAsia="es-ES"/>
        </w:rPr>
      </w:pPr>
    </w:p>
    <w:p w14:paraId="1474497E" w14:textId="77777777" w:rsidR="006C7941" w:rsidRPr="00F703C9" w:rsidRDefault="006C7941" w:rsidP="00DA2D9B">
      <w:pPr>
        <w:spacing w:after="0" w:line="360" w:lineRule="auto"/>
        <w:rPr>
          <w:rFonts w:eastAsia="Times New Roman" w:cs="Tahoma"/>
          <w:bCs/>
          <w:iCs/>
          <w:color w:val="000000"/>
          <w:lang w:eastAsia="es-ES"/>
        </w:rPr>
      </w:pPr>
      <w:r w:rsidRPr="00F703C9">
        <w:rPr>
          <w:rFonts w:eastAsia="Times New Roman" w:cs="Tahoma"/>
          <w:bCs/>
          <w:iCs/>
          <w:color w:val="000000"/>
          <w:lang w:eastAsia="es-ES"/>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14:paraId="4C342DE1" w14:textId="77777777" w:rsidR="006C7941" w:rsidRPr="00F703C9" w:rsidRDefault="006C7941" w:rsidP="00DA2D9B">
      <w:pPr>
        <w:spacing w:after="0" w:line="360" w:lineRule="auto"/>
        <w:rPr>
          <w:rFonts w:eastAsia="Times New Roman" w:cs="Tahoma"/>
          <w:bCs/>
          <w:iCs/>
          <w:color w:val="000000"/>
          <w:sz w:val="20"/>
          <w:szCs w:val="20"/>
          <w:lang w:eastAsia="es-ES"/>
        </w:rPr>
      </w:pPr>
    </w:p>
    <w:p w14:paraId="08D0F90B" w14:textId="77777777" w:rsidR="006C7941" w:rsidRPr="00F703C9" w:rsidRDefault="006C7941" w:rsidP="00DA2D9B">
      <w:pPr>
        <w:spacing w:after="0" w:line="360" w:lineRule="auto"/>
        <w:ind w:left="567" w:right="567"/>
        <w:rPr>
          <w:rFonts w:eastAsia="Times New Roman" w:cs="Tahoma"/>
          <w:bCs/>
          <w:i/>
          <w:iCs/>
          <w:color w:val="000000"/>
          <w:sz w:val="20"/>
          <w:szCs w:val="20"/>
          <w:lang w:eastAsia="es-ES"/>
        </w:rPr>
      </w:pPr>
      <w:r w:rsidRPr="00F703C9">
        <w:rPr>
          <w:rFonts w:eastAsia="Times New Roman" w:cs="Tahoma"/>
          <w:b/>
          <w:bCs/>
          <w:i/>
          <w:iCs/>
          <w:color w:val="000000"/>
          <w:sz w:val="20"/>
          <w:szCs w:val="20"/>
          <w:lang w:eastAsia="es-ES"/>
        </w:rPr>
        <w:t xml:space="preserve">“FUNDAMENTACION Y MOTIVACION, CONCEPTO DE. </w:t>
      </w:r>
      <w:r w:rsidRPr="00F703C9">
        <w:rPr>
          <w:rFonts w:eastAsia="Times New Roman" w:cs="Tahoma"/>
          <w:bCs/>
          <w:i/>
          <w:iCs/>
          <w:color w:val="000000"/>
          <w:sz w:val="20"/>
          <w:szCs w:val="20"/>
          <w:lang w:eastAsia="es-ES"/>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53EEC87A" w14:textId="77777777" w:rsidR="006C7941" w:rsidRPr="00F703C9" w:rsidRDefault="006C7941" w:rsidP="00DA2D9B">
      <w:pPr>
        <w:spacing w:after="0" w:line="360" w:lineRule="auto"/>
        <w:rPr>
          <w:rFonts w:eastAsia="Times New Roman" w:cs="Tahoma"/>
          <w:bCs/>
          <w:iCs/>
          <w:color w:val="000000"/>
          <w:lang w:eastAsia="es-ES"/>
        </w:rPr>
      </w:pPr>
    </w:p>
    <w:p w14:paraId="0A8DD3FB" w14:textId="77777777" w:rsidR="006C7941" w:rsidRPr="00F703C9" w:rsidRDefault="006C7941" w:rsidP="00DA2D9B">
      <w:pPr>
        <w:spacing w:after="0" w:line="360" w:lineRule="auto"/>
        <w:rPr>
          <w:rFonts w:eastAsia="Times New Roman" w:cs="Tahoma"/>
          <w:bCs/>
          <w:iCs/>
          <w:color w:val="000000"/>
          <w:lang w:eastAsia="es-ES"/>
        </w:rPr>
      </w:pPr>
      <w:r w:rsidRPr="00F703C9">
        <w:rPr>
          <w:rFonts w:eastAsia="Times New Roman" w:cs="Tahoma"/>
          <w:bCs/>
          <w:iCs/>
          <w:color w:val="000000"/>
          <w:lang w:eastAsia="es-ES"/>
        </w:rPr>
        <w:t>Conforme a lo anterior, se advierte lo siguiente:</w:t>
      </w:r>
    </w:p>
    <w:p w14:paraId="7E09E79F" w14:textId="77777777" w:rsidR="006C7941" w:rsidRPr="00F703C9" w:rsidRDefault="006C7941" w:rsidP="00DA2D9B">
      <w:pPr>
        <w:spacing w:after="0" w:line="360" w:lineRule="auto"/>
        <w:rPr>
          <w:rFonts w:eastAsia="Times New Roman" w:cs="Tahoma"/>
          <w:bCs/>
          <w:iCs/>
          <w:color w:val="000000"/>
          <w:lang w:eastAsia="es-ES"/>
        </w:rPr>
      </w:pPr>
    </w:p>
    <w:p w14:paraId="5D07BBBE" w14:textId="77777777" w:rsidR="006C7941" w:rsidRPr="00F703C9" w:rsidRDefault="006C7941" w:rsidP="00881817">
      <w:pPr>
        <w:numPr>
          <w:ilvl w:val="0"/>
          <w:numId w:val="5"/>
        </w:numPr>
        <w:spacing w:after="0" w:line="360" w:lineRule="auto"/>
        <w:rPr>
          <w:rFonts w:eastAsia="Times New Roman" w:cs="Tahoma"/>
          <w:b/>
          <w:bCs/>
          <w:iCs/>
          <w:color w:val="000000"/>
          <w:lang w:eastAsia="es-ES"/>
        </w:rPr>
      </w:pPr>
      <w:r w:rsidRPr="00F703C9">
        <w:rPr>
          <w:rFonts w:eastAsia="Times New Roman" w:cs="Tahoma"/>
          <w:b/>
          <w:bCs/>
          <w:iCs/>
          <w:color w:val="000000"/>
          <w:lang w:eastAsia="es-ES"/>
        </w:rPr>
        <w:t xml:space="preserve">Fundamentación: </w:t>
      </w:r>
      <w:r w:rsidRPr="00F703C9">
        <w:rPr>
          <w:rFonts w:eastAsia="Times New Roman" w:cs="Tahoma"/>
          <w:bCs/>
          <w:iCs/>
          <w:color w:val="000000"/>
          <w:lang w:eastAsia="es-ES"/>
        </w:rPr>
        <w:t>Obligación de la autoridad que emite un acto, para citar los preceptos legales, sustantivos y adjetivos, en que se apoye para la determinación tomada.</w:t>
      </w:r>
    </w:p>
    <w:p w14:paraId="0CBA40F7" w14:textId="77777777" w:rsidR="006C7941" w:rsidRPr="00F703C9" w:rsidRDefault="006C7941" w:rsidP="00DA2D9B">
      <w:pPr>
        <w:spacing w:after="0" w:line="360" w:lineRule="auto"/>
        <w:rPr>
          <w:rFonts w:eastAsia="Times New Roman" w:cs="Tahoma"/>
          <w:b/>
          <w:bCs/>
          <w:iCs/>
          <w:color w:val="000000"/>
          <w:lang w:eastAsia="es-ES"/>
        </w:rPr>
      </w:pPr>
    </w:p>
    <w:p w14:paraId="605B0E82" w14:textId="77777777" w:rsidR="006C7941" w:rsidRPr="00F703C9" w:rsidRDefault="006C7941" w:rsidP="00881817">
      <w:pPr>
        <w:numPr>
          <w:ilvl w:val="0"/>
          <w:numId w:val="5"/>
        </w:numPr>
        <w:spacing w:after="0" w:line="360" w:lineRule="auto"/>
        <w:rPr>
          <w:rFonts w:eastAsia="Times New Roman" w:cs="Tahoma"/>
          <w:b/>
          <w:bCs/>
          <w:iCs/>
          <w:color w:val="000000"/>
          <w:lang w:eastAsia="es-ES"/>
        </w:rPr>
      </w:pPr>
      <w:r w:rsidRPr="00F703C9">
        <w:rPr>
          <w:rFonts w:eastAsia="Times New Roman" w:cs="Tahoma"/>
          <w:b/>
          <w:bCs/>
          <w:iCs/>
          <w:color w:val="000000"/>
          <w:lang w:eastAsia="es-ES"/>
        </w:rPr>
        <w:t xml:space="preserve">Motivación: </w:t>
      </w:r>
      <w:r w:rsidRPr="00F703C9">
        <w:rPr>
          <w:rFonts w:eastAsia="Times New Roman" w:cs="Tahoma"/>
          <w:bCs/>
          <w:iCs/>
          <w:color w:val="000000"/>
          <w:lang w:eastAsia="es-ES"/>
        </w:rPr>
        <w:t>Razonamientos lógico-jurídicos sobre porque se consideró en el caso en concreto, que se ajusta a la hipótesis normativa.</w:t>
      </w:r>
    </w:p>
    <w:p w14:paraId="204875B5" w14:textId="77777777" w:rsidR="006C7941" w:rsidRPr="00F703C9" w:rsidRDefault="006C7941" w:rsidP="00DA2D9B">
      <w:pPr>
        <w:spacing w:after="0" w:line="360" w:lineRule="auto"/>
        <w:rPr>
          <w:rFonts w:eastAsia="Times New Roman" w:cs="Tahoma"/>
          <w:bCs/>
          <w:iCs/>
          <w:color w:val="000000"/>
          <w:lang w:eastAsia="es-ES"/>
        </w:rPr>
      </w:pPr>
    </w:p>
    <w:p w14:paraId="16D86A7C" w14:textId="77777777" w:rsidR="006C7941" w:rsidRPr="00F703C9" w:rsidRDefault="006C7941" w:rsidP="00DA2D9B">
      <w:pPr>
        <w:spacing w:after="0" w:line="360" w:lineRule="auto"/>
        <w:rPr>
          <w:rFonts w:eastAsia="Times New Roman" w:cs="Tahoma"/>
          <w:bCs/>
          <w:iCs/>
          <w:color w:val="000000"/>
          <w:lang w:val="es-ES" w:eastAsia="es-ES"/>
        </w:rPr>
      </w:pPr>
      <w:r w:rsidRPr="00F703C9">
        <w:rPr>
          <w:rFonts w:eastAsia="Times New Roman" w:cs="Tahoma"/>
          <w:bCs/>
          <w:iCs/>
          <w:color w:val="000000"/>
          <w:lang w:val="es-ES" w:eastAsia="es-ES"/>
        </w:rPr>
        <w:lastRenderedPageBreak/>
        <w:t>En ese orden de ideas, el Trigésimo tercero de los Lineamientos Generales establece la forma en que se debe fundamentar y motivar la reserva de la información, es decir, a través de los siguientes pasos:</w:t>
      </w:r>
    </w:p>
    <w:p w14:paraId="0779E6B3" w14:textId="77777777" w:rsidR="006C7941" w:rsidRPr="00F703C9" w:rsidRDefault="006C7941" w:rsidP="00DA2D9B">
      <w:pPr>
        <w:spacing w:after="0" w:line="360" w:lineRule="auto"/>
        <w:rPr>
          <w:rFonts w:eastAsia="Times New Roman" w:cs="Tahoma"/>
          <w:bCs/>
          <w:iCs/>
          <w:color w:val="000000"/>
          <w:lang w:eastAsia="es-ES"/>
        </w:rPr>
      </w:pPr>
    </w:p>
    <w:p w14:paraId="6A9417B9" w14:textId="77777777" w:rsidR="006C7941" w:rsidRPr="00F703C9" w:rsidRDefault="006C7941" w:rsidP="00881817">
      <w:pPr>
        <w:numPr>
          <w:ilvl w:val="0"/>
          <w:numId w:val="6"/>
        </w:numPr>
        <w:spacing w:after="0" w:line="360" w:lineRule="auto"/>
        <w:rPr>
          <w:rFonts w:eastAsia="Times New Roman" w:cs="Tahoma"/>
          <w:bCs/>
          <w:iCs/>
          <w:color w:val="000000"/>
          <w:lang w:eastAsia="es-ES"/>
        </w:rPr>
      </w:pPr>
      <w:r w:rsidRPr="00F703C9">
        <w:rPr>
          <w:rFonts w:eastAsia="Times New Roman" w:cs="Tahoma"/>
          <w:bCs/>
          <w:iCs/>
          <w:color w:val="000000"/>
          <w:lang w:eastAsia="es-ES"/>
        </w:rPr>
        <w:t xml:space="preserve">Se deberá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14:paraId="4E5F04F9" w14:textId="77777777" w:rsidR="006C7941" w:rsidRPr="00F703C9" w:rsidRDefault="006C7941" w:rsidP="00DA2D9B">
      <w:pPr>
        <w:spacing w:after="0" w:line="360" w:lineRule="auto"/>
        <w:rPr>
          <w:rFonts w:eastAsia="Times New Roman" w:cs="Tahoma"/>
          <w:bCs/>
          <w:iCs/>
          <w:color w:val="000000"/>
          <w:lang w:eastAsia="es-ES"/>
        </w:rPr>
      </w:pPr>
    </w:p>
    <w:p w14:paraId="2E4EAC75" w14:textId="77777777" w:rsidR="006C7941" w:rsidRPr="00F703C9" w:rsidRDefault="006C7941" w:rsidP="00881817">
      <w:pPr>
        <w:numPr>
          <w:ilvl w:val="0"/>
          <w:numId w:val="6"/>
        </w:numPr>
        <w:spacing w:after="0" w:line="360" w:lineRule="auto"/>
        <w:rPr>
          <w:rFonts w:eastAsia="Times New Roman" w:cs="Tahoma"/>
          <w:bCs/>
          <w:iCs/>
          <w:color w:val="000000"/>
          <w:lang w:val="es-ES" w:eastAsia="es-ES"/>
        </w:rPr>
      </w:pPr>
      <w:r w:rsidRPr="00F703C9">
        <w:rPr>
          <w:rFonts w:eastAsia="Times New Roman" w:cs="Tahoma"/>
          <w:bCs/>
          <w:iCs/>
          <w:color w:val="000000"/>
          <w:lang w:val="es-ES" w:eastAsia="es-ES"/>
        </w:rPr>
        <w:t>Se deberá demostrar que la publicidad de la información generaría un riesgo de perjuicio, que rebasa el interés público;</w:t>
      </w:r>
    </w:p>
    <w:p w14:paraId="1B3AE2D7" w14:textId="77777777" w:rsidR="006C7941" w:rsidRPr="00F703C9" w:rsidRDefault="006C7941" w:rsidP="00DA2D9B">
      <w:pPr>
        <w:spacing w:after="0" w:line="360" w:lineRule="auto"/>
        <w:rPr>
          <w:rFonts w:eastAsia="Times New Roman" w:cs="Tahoma"/>
          <w:bCs/>
          <w:iCs/>
          <w:color w:val="000000"/>
          <w:lang w:val="es-ES" w:eastAsia="es-ES"/>
        </w:rPr>
      </w:pPr>
    </w:p>
    <w:p w14:paraId="3D1D1FE2" w14:textId="77777777" w:rsidR="006C7941" w:rsidRPr="00F703C9" w:rsidRDefault="006C7941" w:rsidP="00881817">
      <w:pPr>
        <w:numPr>
          <w:ilvl w:val="0"/>
          <w:numId w:val="6"/>
        </w:numPr>
        <w:spacing w:after="0" w:line="360" w:lineRule="auto"/>
        <w:rPr>
          <w:rFonts w:eastAsia="Times New Roman" w:cs="Tahoma"/>
          <w:bCs/>
          <w:iCs/>
          <w:color w:val="000000"/>
          <w:lang w:val="es-ES" w:eastAsia="es-ES"/>
        </w:rPr>
      </w:pPr>
      <w:r w:rsidRPr="00F703C9">
        <w:rPr>
          <w:rFonts w:eastAsia="Times New Roman" w:cs="Tahoma"/>
          <w:bCs/>
          <w:iCs/>
          <w:color w:val="000000"/>
          <w:lang w:val="es-ES" w:eastAsia="es-ES"/>
        </w:rPr>
        <w:t>Se acreditará el vínculo entre la difusión de la información y la afectación del interés jurídico tutelado;</w:t>
      </w:r>
    </w:p>
    <w:p w14:paraId="215CE969" w14:textId="77777777" w:rsidR="006C7941" w:rsidRPr="00F703C9" w:rsidRDefault="006C7941" w:rsidP="00DA2D9B">
      <w:pPr>
        <w:spacing w:after="0" w:line="360" w:lineRule="auto"/>
        <w:rPr>
          <w:rFonts w:eastAsia="Times New Roman" w:cs="Tahoma"/>
          <w:bCs/>
          <w:iCs/>
          <w:color w:val="000000"/>
          <w:lang w:val="es-ES" w:eastAsia="es-ES"/>
        </w:rPr>
      </w:pPr>
    </w:p>
    <w:p w14:paraId="04731F7D" w14:textId="77777777" w:rsidR="006C7941" w:rsidRPr="00F703C9" w:rsidRDefault="006C7941" w:rsidP="00881817">
      <w:pPr>
        <w:numPr>
          <w:ilvl w:val="0"/>
          <w:numId w:val="6"/>
        </w:numPr>
        <w:spacing w:after="0" w:line="360" w:lineRule="auto"/>
        <w:rPr>
          <w:rFonts w:eastAsia="Times New Roman" w:cs="Tahoma"/>
          <w:bCs/>
          <w:iCs/>
          <w:color w:val="000000"/>
          <w:lang w:val="es-ES" w:eastAsia="es-ES"/>
        </w:rPr>
      </w:pPr>
      <w:r w:rsidRPr="00F703C9">
        <w:rPr>
          <w:rFonts w:eastAsia="Times New Roman" w:cs="Tahoma"/>
          <w:bCs/>
          <w:iCs/>
          <w:color w:val="000000"/>
          <w:lang w:val="es-ES" w:eastAsia="es-ES"/>
        </w:rPr>
        <w:t>Se precisará las razones objetivas por las que la apertura de la información generaría una afectación, por medio del riesgo real, demostrable e identificable;</w:t>
      </w:r>
    </w:p>
    <w:p w14:paraId="4F8BB6AE" w14:textId="77777777" w:rsidR="006C7941" w:rsidRPr="00F703C9" w:rsidRDefault="006C7941" w:rsidP="00DA2D9B">
      <w:pPr>
        <w:spacing w:after="0" w:line="360" w:lineRule="auto"/>
        <w:rPr>
          <w:rFonts w:eastAsia="Times New Roman" w:cs="Tahoma"/>
          <w:bCs/>
          <w:iCs/>
          <w:color w:val="000000"/>
          <w:lang w:val="es-ES" w:eastAsia="es-ES"/>
        </w:rPr>
      </w:pPr>
    </w:p>
    <w:p w14:paraId="3DEC1ADC" w14:textId="77777777" w:rsidR="006C7941" w:rsidRPr="00F703C9" w:rsidRDefault="006C7941" w:rsidP="00881817">
      <w:pPr>
        <w:numPr>
          <w:ilvl w:val="0"/>
          <w:numId w:val="6"/>
        </w:numPr>
        <w:spacing w:after="0" w:line="360" w:lineRule="auto"/>
        <w:rPr>
          <w:rFonts w:eastAsia="Times New Roman" w:cs="Tahoma"/>
          <w:bCs/>
          <w:iCs/>
          <w:color w:val="000000"/>
          <w:lang w:val="es-ES" w:eastAsia="es-ES"/>
        </w:rPr>
      </w:pPr>
      <w:r w:rsidRPr="00F703C9">
        <w:rPr>
          <w:rFonts w:eastAsia="Times New Roman" w:cs="Tahoma"/>
          <w:bCs/>
          <w:iCs/>
          <w:color w:val="000000"/>
          <w:lang w:val="es-ES" w:eastAsia="es-ES"/>
        </w:rPr>
        <w:t>Se deberán señalar las circunstancias de modo, tiempo y lugar del daño, y</w:t>
      </w:r>
    </w:p>
    <w:p w14:paraId="25CF481C" w14:textId="77777777" w:rsidR="006C7941" w:rsidRPr="00F703C9" w:rsidRDefault="006C7941" w:rsidP="00DA2D9B">
      <w:pPr>
        <w:spacing w:after="0" w:line="360" w:lineRule="auto"/>
        <w:rPr>
          <w:rFonts w:eastAsia="Times New Roman" w:cs="Tahoma"/>
          <w:bCs/>
          <w:iCs/>
          <w:color w:val="000000"/>
          <w:lang w:val="es-ES" w:eastAsia="es-ES"/>
        </w:rPr>
      </w:pPr>
    </w:p>
    <w:p w14:paraId="1C0E1A03" w14:textId="77777777" w:rsidR="006C7941" w:rsidRPr="00F703C9" w:rsidRDefault="006C7941" w:rsidP="00881817">
      <w:pPr>
        <w:numPr>
          <w:ilvl w:val="0"/>
          <w:numId w:val="6"/>
        </w:numPr>
        <w:spacing w:after="0" w:line="360" w:lineRule="auto"/>
        <w:rPr>
          <w:rFonts w:eastAsia="Times New Roman" w:cs="Tahoma"/>
          <w:bCs/>
          <w:iCs/>
          <w:color w:val="000000"/>
          <w:lang w:val="es-ES" w:eastAsia="es-ES"/>
        </w:rPr>
      </w:pPr>
      <w:r w:rsidRPr="00F703C9">
        <w:rPr>
          <w:rFonts w:eastAsia="Times New Roman" w:cs="Tahoma"/>
          <w:bCs/>
          <w:iCs/>
          <w:color w:val="000000"/>
          <w:lang w:val="es-ES" w:eastAsia="es-ES"/>
        </w:rPr>
        <w:t>Se elegirá la opción de excepción al acceso a la información que menos restrinja, la cual será adecuada y proporcional para la protección del interés público.</w:t>
      </w:r>
    </w:p>
    <w:p w14:paraId="6408B5A3" w14:textId="77777777" w:rsidR="006C7941" w:rsidRPr="00F703C9" w:rsidRDefault="006C7941" w:rsidP="00DA2D9B">
      <w:pPr>
        <w:spacing w:after="0" w:line="360" w:lineRule="auto"/>
        <w:rPr>
          <w:rFonts w:eastAsia="Times New Roman" w:cs="Tahoma"/>
          <w:bCs/>
          <w:iCs/>
          <w:color w:val="000000"/>
          <w:lang w:val="es-ES" w:eastAsia="es-ES"/>
        </w:rPr>
      </w:pPr>
    </w:p>
    <w:p w14:paraId="3D2D122B" w14:textId="77777777" w:rsidR="006C7941" w:rsidRPr="00F703C9" w:rsidRDefault="006C7941" w:rsidP="00DA2D9B">
      <w:pPr>
        <w:spacing w:after="0" w:line="360" w:lineRule="auto"/>
        <w:rPr>
          <w:rFonts w:eastAsia="Times New Roman" w:cs="Tahoma"/>
          <w:bCs/>
          <w:iCs/>
          <w:color w:val="000000"/>
          <w:lang w:eastAsia="es-ES"/>
        </w:rPr>
      </w:pPr>
      <w:r w:rsidRPr="00F703C9">
        <w:rPr>
          <w:rFonts w:eastAsia="Times New Roman" w:cs="Tahoma"/>
          <w:bCs/>
          <w:iCs/>
          <w:color w:val="000000"/>
          <w:lang w:val="es-ES" w:eastAsia="es-ES"/>
        </w:rPr>
        <w:t xml:space="preserve">Conforme lo anterior, de las formalidades previstas por la Ley de la Materia y de los Lineamientos Generales, así como del análisis de las constancias se logra advertir que el </w:t>
      </w:r>
      <w:r w:rsidRPr="00F703C9">
        <w:rPr>
          <w:rFonts w:eastAsia="Times New Roman" w:cs="Tahoma"/>
          <w:bCs/>
          <w:iCs/>
          <w:color w:val="000000"/>
          <w:lang w:val="es-ES" w:eastAsia="es-ES"/>
        </w:rPr>
        <w:lastRenderedPageBreak/>
        <w:t xml:space="preserve">Sujeto Obligado </w:t>
      </w:r>
      <w:r w:rsidRPr="00F703C9">
        <w:rPr>
          <w:rFonts w:eastAsia="Times New Roman" w:cs="Tahoma"/>
          <w:bCs/>
          <w:iCs/>
          <w:color w:val="000000"/>
          <w:lang w:eastAsia="es-ES"/>
        </w:rPr>
        <w:t>no fundamentó, ni motivó la clasificación de la información, por las siguientes consideraciones:</w:t>
      </w:r>
    </w:p>
    <w:p w14:paraId="051EE14D" w14:textId="77777777" w:rsidR="006C7941" w:rsidRPr="00F703C9" w:rsidRDefault="006C7941" w:rsidP="00DA2D9B">
      <w:pPr>
        <w:spacing w:after="0" w:line="360" w:lineRule="auto"/>
        <w:rPr>
          <w:rFonts w:eastAsia="Times New Roman" w:cs="Tahoma"/>
          <w:bCs/>
          <w:color w:val="auto"/>
          <w:lang w:eastAsia="es-ES"/>
        </w:rPr>
      </w:pPr>
    </w:p>
    <w:p w14:paraId="0CB60D1C" w14:textId="77777777" w:rsidR="006C7941" w:rsidRPr="00F703C9" w:rsidRDefault="006C7941" w:rsidP="00881817">
      <w:pPr>
        <w:numPr>
          <w:ilvl w:val="0"/>
          <w:numId w:val="7"/>
        </w:numPr>
        <w:spacing w:after="0" w:line="360" w:lineRule="auto"/>
        <w:contextualSpacing/>
        <w:rPr>
          <w:rFonts w:eastAsia="Times New Roman" w:cs="Tahoma"/>
          <w:bCs/>
          <w:iCs/>
          <w:color w:val="000000"/>
          <w:szCs w:val="24"/>
          <w:lang w:val="es-ES" w:eastAsia="es-ES"/>
        </w:rPr>
      </w:pPr>
      <w:r w:rsidRPr="00F703C9">
        <w:rPr>
          <w:rFonts w:eastAsia="Calibri" w:cs="Tahoma"/>
          <w:bCs/>
          <w:color w:val="000000"/>
        </w:rPr>
        <w:t>Si bien señaló los fundamentos aplicables de la Ley de Transparencia y Acceso a la Información Pública del Estado de México y Municipios y la Ley General de Transparencia y Acceso a la Información Pública, omitió acreditar los requisitos establecidos en el Vigésimo Cuarto de los Lineamientos Generales, tal como se analizará en párrafos posteriores.</w:t>
      </w:r>
    </w:p>
    <w:p w14:paraId="3F219F3F" w14:textId="77777777" w:rsidR="006C7941" w:rsidRPr="00F703C9" w:rsidRDefault="006C7941" w:rsidP="00DA2D9B">
      <w:pPr>
        <w:spacing w:after="0" w:line="360" w:lineRule="auto"/>
        <w:ind w:left="720"/>
        <w:contextualSpacing/>
        <w:rPr>
          <w:rFonts w:eastAsia="Times New Roman" w:cs="Tahoma"/>
          <w:bCs/>
          <w:iCs/>
          <w:color w:val="000000"/>
          <w:szCs w:val="24"/>
          <w:lang w:val="es-ES" w:eastAsia="es-ES"/>
        </w:rPr>
      </w:pPr>
    </w:p>
    <w:p w14:paraId="07E716F2" w14:textId="77777777" w:rsidR="006C7941" w:rsidRPr="00F703C9" w:rsidRDefault="006C7941" w:rsidP="00881817">
      <w:pPr>
        <w:numPr>
          <w:ilvl w:val="0"/>
          <w:numId w:val="7"/>
        </w:numPr>
        <w:spacing w:after="0" w:line="360" w:lineRule="auto"/>
        <w:contextualSpacing/>
        <w:rPr>
          <w:rFonts w:eastAsia="Times New Roman" w:cs="Tahoma"/>
          <w:bCs/>
          <w:iCs/>
          <w:color w:val="000000"/>
          <w:szCs w:val="24"/>
          <w:lang w:val="es-ES" w:eastAsia="es-ES"/>
        </w:rPr>
      </w:pPr>
      <w:r w:rsidRPr="00F703C9">
        <w:rPr>
          <w:rFonts w:eastAsia="Times New Roman" w:cs="Tahoma"/>
          <w:bCs/>
          <w:iCs/>
          <w:color w:val="000000"/>
          <w:szCs w:val="24"/>
          <w:lang w:val="es-ES" w:eastAsia="es-ES"/>
        </w:rPr>
        <w:t>El Ente Recurrido no señalo las razones objetivas, concretas y específicas por las cuales la apertura de la información generaría una afectación que rebase el interés público, toda vez que el Sujeto Obligado aludió que la información podría afectar a una auditoría, cuando la pretensión de la persona Recurrente, únicamente es obtener documentos específicos y no todos aquellos que forman parte del procedimiento de fiscalización.</w:t>
      </w:r>
    </w:p>
    <w:p w14:paraId="4767FA56" w14:textId="77777777" w:rsidR="006C7941" w:rsidRPr="00F703C9" w:rsidRDefault="006C7941" w:rsidP="00DA2D9B">
      <w:pPr>
        <w:spacing w:after="0" w:line="360" w:lineRule="auto"/>
        <w:rPr>
          <w:rFonts w:eastAsia="Times New Roman" w:cs="Tahoma"/>
          <w:bCs/>
          <w:iCs/>
          <w:color w:val="000000"/>
          <w:lang w:val="es-ES" w:eastAsia="es-ES"/>
        </w:rPr>
      </w:pPr>
    </w:p>
    <w:p w14:paraId="7AFB8676" w14:textId="77777777" w:rsidR="006C7941" w:rsidRPr="00F703C9" w:rsidRDefault="006C7941" w:rsidP="00881817">
      <w:pPr>
        <w:numPr>
          <w:ilvl w:val="0"/>
          <w:numId w:val="7"/>
        </w:numPr>
        <w:spacing w:after="0" w:line="360" w:lineRule="auto"/>
        <w:contextualSpacing/>
        <w:rPr>
          <w:rFonts w:eastAsia="Times New Roman" w:cs="Tahoma"/>
          <w:bCs/>
          <w:iCs/>
          <w:color w:val="000000"/>
          <w:szCs w:val="24"/>
          <w:lang w:val="es-ES" w:eastAsia="es-ES"/>
        </w:rPr>
      </w:pPr>
      <w:r w:rsidRPr="00F703C9">
        <w:rPr>
          <w:rFonts w:eastAsia="Times New Roman" w:cs="Tahoma"/>
          <w:bCs/>
          <w:iCs/>
          <w:color w:val="000000"/>
          <w:szCs w:val="24"/>
          <w:lang w:val="es-ES" w:eastAsia="es-ES"/>
        </w:rPr>
        <w:t>No acreditó el vínculo entre la información peticionada y la afectación que podría ocasionar la entrega de la información, pues como se refirió la auditoría no solamente fue a los documentos solicitados, sino a un ejercicio fiscal completo.</w:t>
      </w:r>
    </w:p>
    <w:p w14:paraId="1E62592D" w14:textId="77777777" w:rsidR="006C7941" w:rsidRPr="00F703C9" w:rsidRDefault="006C7941" w:rsidP="00DA2D9B">
      <w:pPr>
        <w:spacing w:after="0" w:line="360" w:lineRule="auto"/>
        <w:rPr>
          <w:rFonts w:eastAsia="Times New Roman" w:cs="Tahoma"/>
          <w:bCs/>
          <w:iCs/>
          <w:color w:val="000000"/>
          <w:lang w:val="es-ES" w:eastAsia="es-ES"/>
        </w:rPr>
      </w:pPr>
    </w:p>
    <w:p w14:paraId="3E03D403" w14:textId="77777777" w:rsidR="006C7941" w:rsidRPr="00F703C9" w:rsidRDefault="006C7941" w:rsidP="00881817">
      <w:pPr>
        <w:numPr>
          <w:ilvl w:val="0"/>
          <w:numId w:val="7"/>
        </w:numPr>
        <w:spacing w:after="0" w:line="360" w:lineRule="auto"/>
        <w:contextualSpacing/>
        <w:rPr>
          <w:rFonts w:eastAsia="Times New Roman" w:cs="Tahoma"/>
          <w:bCs/>
          <w:iCs/>
          <w:color w:val="000000"/>
          <w:szCs w:val="24"/>
          <w:lang w:val="es-ES" w:eastAsia="es-ES"/>
        </w:rPr>
      </w:pPr>
      <w:r w:rsidRPr="00F703C9">
        <w:rPr>
          <w:rFonts w:eastAsia="Times New Roman" w:cs="Tahoma"/>
          <w:bCs/>
          <w:iCs/>
          <w:color w:val="000000"/>
          <w:szCs w:val="24"/>
          <w:lang w:val="es-ES" w:eastAsia="es-ES"/>
        </w:rPr>
        <w:t>Omitió señalar, las circunstancias de tiempo, modo y lugar del daño que produciría entregar la información peticionada, pues únicamente señaló que la información</w:t>
      </w:r>
      <w:r w:rsidRPr="00F703C9">
        <w:rPr>
          <w:rFonts w:eastAsia="Times New Roman" w:cs="Tahoma"/>
          <w:bCs/>
          <w:iCs/>
          <w:color w:val="000000"/>
          <w:szCs w:val="24"/>
          <w:lang w:val="x-none" w:eastAsia="es-ES"/>
        </w:rPr>
        <w:t xml:space="preserve"> formaba parte de una auditoría</w:t>
      </w:r>
      <w:r w:rsidRPr="00F703C9">
        <w:rPr>
          <w:rFonts w:eastAsia="Times New Roman" w:cs="Tahoma"/>
          <w:bCs/>
          <w:iCs/>
          <w:color w:val="000000"/>
          <w:szCs w:val="24"/>
          <w:lang w:val="es-ES" w:eastAsia="es-ES"/>
        </w:rPr>
        <w:t>.</w:t>
      </w:r>
    </w:p>
    <w:p w14:paraId="33E94790" w14:textId="77777777" w:rsidR="006C7941" w:rsidRPr="00F703C9" w:rsidRDefault="006C7941" w:rsidP="00DA2D9B">
      <w:pPr>
        <w:spacing w:after="0" w:line="360" w:lineRule="auto"/>
        <w:rPr>
          <w:rFonts w:eastAsia="Times New Roman" w:cs="Tahoma"/>
          <w:bCs/>
          <w:iCs/>
          <w:color w:val="000000"/>
          <w:lang w:val="es-ES" w:eastAsia="es-ES"/>
        </w:rPr>
      </w:pPr>
    </w:p>
    <w:p w14:paraId="176B3C4D" w14:textId="77777777" w:rsidR="006C7941" w:rsidRPr="00F703C9" w:rsidRDefault="006C7941" w:rsidP="00881817">
      <w:pPr>
        <w:numPr>
          <w:ilvl w:val="0"/>
          <w:numId w:val="7"/>
        </w:numPr>
        <w:spacing w:after="0" w:line="360" w:lineRule="auto"/>
        <w:contextualSpacing/>
        <w:rPr>
          <w:rFonts w:eastAsia="Times New Roman" w:cs="Tahoma"/>
          <w:bCs/>
          <w:iCs/>
          <w:color w:val="000000"/>
          <w:szCs w:val="24"/>
          <w:lang w:val="es-ES" w:eastAsia="es-ES"/>
        </w:rPr>
      </w:pPr>
      <w:r w:rsidRPr="00F703C9">
        <w:rPr>
          <w:rFonts w:eastAsia="Times New Roman" w:cs="Tahoma"/>
          <w:bCs/>
          <w:iCs/>
          <w:color w:val="000000"/>
          <w:szCs w:val="24"/>
          <w:lang w:val="es-ES" w:eastAsia="es-ES"/>
        </w:rPr>
        <w:t>No se establecieron las razones, por las cuales la reserva era el medio menos restrictivo, para la protección del interés jurídico.</w:t>
      </w:r>
    </w:p>
    <w:p w14:paraId="60DC96E7" w14:textId="3441FB62" w:rsidR="006C7941" w:rsidRPr="00F703C9" w:rsidRDefault="006C7941" w:rsidP="00DA2D9B">
      <w:pPr>
        <w:spacing w:after="0" w:line="360" w:lineRule="auto"/>
        <w:rPr>
          <w:rFonts w:eastAsia="Calibri" w:cs="Tahoma"/>
          <w:bCs/>
          <w:color w:val="0D0D0D"/>
          <w:lang w:val="es-ES_tradnl"/>
        </w:rPr>
      </w:pPr>
      <w:r w:rsidRPr="00F703C9">
        <w:rPr>
          <w:rFonts w:eastAsia="Calibri" w:cs="Tahoma"/>
          <w:bCs/>
          <w:color w:val="0D0D0D"/>
          <w:lang w:val="es-ES_tradnl"/>
        </w:rPr>
        <w:lastRenderedPageBreak/>
        <w:t xml:space="preserve">Así, se advierte que la Tesorería Municipal y el </w:t>
      </w:r>
      <w:r w:rsidR="00CE52A0" w:rsidRPr="00F703C9">
        <w:rPr>
          <w:rFonts w:eastAsia="Calibri" w:cs="Tahoma"/>
          <w:bCs/>
          <w:color w:val="0D0D0D"/>
          <w:lang w:val="es-ES_tradnl"/>
        </w:rPr>
        <w:t>Comité</w:t>
      </w:r>
      <w:r w:rsidRPr="00F703C9">
        <w:rPr>
          <w:rFonts w:eastAsia="Calibri" w:cs="Tahoma"/>
          <w:bCs/>
          <w:color w:val="0D0D0D"/>
          <w:lang w:val="x-none"/>
        </w:rPr>
        <w:t xml:space="preserve"> de Transparencia</w:t>
      </w:r>
      <w:r w:rsidRPr="00F703C9">
        <w:rPr>
          <w:rFonts w:eastAsia="Calibri" w:cs="Tahoma"/>
          <w:bCs/>
          <w:color w:val="0D0D0D"/>
          <w:lang w:val="es-ES_tradnl"/>
        </w:rPr>
        <w:t>, no fundamentaron y motivaron la reserva, pues no realizaron de manera correcta, la prueba de daño, señalada en el Trigésimo tercero de los Lineamientos Generales, relacionado con el artículo 129 de la Ley de Transparencia y Acceso a la Información Pública del Estado de México y Municipios, que es la argumentación fundada y motivada que se debe realizar para acreditar que la divulgación de la información lesiona el interés jurídicamente protegido por la normatividad aplicable y que el daño que puede producirse con la publicidad de la información es mayor que el interés de conocerla;</w:t>
      </w:r>
      <w:r w:rsidRPr="00F703C9">
        <w:rPr>
          <w:rFonts w:eastAsia="Calibri" w:cs="Tahoma"/>
          <w:bCs/>
          <w:iCs/>
          <w:color w:val="000000"/>
        </w:rPr>
        <w:t xml:space="preserve"> por lo que no se puede validar la respuesta.</w:t>
      </w:r>
    </w:p>
    <w:p w14:paraId="0995F9E2" w14:textId="77777777" w:rsidR="006C7941" w:rsidRPr="00F703C9" w:rsidRDefault="006C7941" w:rsidP="00DA2D9B">
      <w:pPr>
        <w:spacing w:after="0" w:line="360" w:lineRule="auto"/>
        <w:rPr>
          <w:rFonts w:eastAsia="Times New Roman" w:cs="Tahoma"/>
          <w:color w:val="auto"/>
          <w:lang w:val="es-ES_tradnl" w:eastAsia="es-ES"/>
        </w:rPr>
      </w:pPr>
    </w:p>
    <w:p w14:paraId="599FFE09" w14:textId="77777777" w:rsidR="006C7941" w:rsidRPr="00F703C9" w:rsidRDefault="006C7941" w:rsidP="00DA2D9B">
      <w:pPr>
        <w:spacing w:after="0" w:line="360" w:lineRule="auto"/>
        <w:rPr>
          <w:rFonts w:eastAsia="Times New Roman" w:cs="Tahoma"/>
          <w:bCs/>
          <w:iCs/>
          <w:lang w:val="es-ES" w:eastAsia="es-ES"/>
        </w:rPr>
      </w:pPr>
      <w:r w:rsidRPr="00F703C9">
        <w:rPr>
          <w:rFonts w:eastAsia="Times New Roman" w:cs="Tahoma"/>
          <w:bCs/>
          <w:iCs/>
          <w:lang w:val="es-ES" w:eastAsia="es-ES"/>
        </w:rPr>
        <w:t>Ahora bien, sin menospreciar lo anterior, este Instituto procederá al análisis de la causal de reserva aludida por el Sujeto Obligado; para lo cual, es de señalar que se debe realizar una evaluación, caso por caso, a través de una prueba de daño, tomando como referencia, el principio de máxima publicidad y el interés público de dar a conocer la información requerida.</w:t>
      </w:r>
    </w:p>
    <w:p w14:paraId="69E17C2E" w14:textId="77777777" w:rsidR="006C7941" w:rsidRPr="00F703C9" w:rsidRDefault="006C7941" w:rsidP="00DA2D9B">
      <w:pPr>
        <w:spacing w:after="0" w:line="360" w:lineRule="auto"/>
        <w:rPr>
          <w:rFonts w:eastAsia="Times New Roman" w:cs="Tahoma"/>
          <w:bCs/>
          <w:iCs/>
          <w:lang w:val="es-ES" w:eastAsia="es-ES"/>
        </w:rPr>
      </w:pPr>
    </w:p>
    <w:p w14:paraId="0A65D38C" w14:textId="77777777" w:rsidR="006C7941" w:rsidRPr="00F703C9" w:rsidRDefault="006C7941" w:rsidP="00DA2D9B">
      <w:pPr>
        <w:spacing w:after="0" w:line="360" w:lineRule="auto"/>
        <w:rPr>
          <w:rFonts w:eastAsia="Times New Roman" w:cs="Tahoma"/>
          <w:lang w:val="es-ES" w:eastAsia="es-ES"/>
        </w:rPr>
      </w:pPr>
      <w:r w:rsidRPr="00F703C9">
        <w:rPr>
          <w:rFonts w:eastAsia="Times New Roman" w:cs="Tahoma"/>
          <w:lang w:val="es-ES" w:eastAsia="es-ES"/>
        </w:rPr>
        <w:t>En ese contexto, respecto a los conceptos señalados, los artículos 3°, fracción XII y 8°, fracción VI, de la Ley General de Transparencia y Acceso a la Información Pública, relacionados con los diversos 3°, fracción XXII y 9°, fracción VII, de la Ley de Transparencia y Acceso a la Información Pública del Estado de México, establecen lo siguiente:</w:t>
      </w:r>
    </w:p>
    <w:p w14:paraId="7F71455F" w14:textId="77777777" w:rsidR="006C7941" w:rsidRPr="00F703C9" w:rsidRDefault="006C7941" w:rsidP="00DA2D9B">
      <w:pPr>
        <w:spacing w:after="0" w:line="360" w:lineRule="auto"/>
        <w:rPr>
          <w:rFonts w:eastAsia="Times New Roman" w:cs="Tahoma"/>
          <w:lang w:val="es-ES" w:eastAsia="es-ES"/>
        </w:rPr>
      </w:pPr>
    </w:p>
    <w:p w14:paraId="377F5176" w14:textId="77777777" w:rsidR="006C7941" w:rsidRPr="00F703C9" w:rsidRDefault="006C7941" w:rsidP="00881817">
      <w:pPr>
        <w:numPr>
          <w:ilvl w:val="0"/>
          <w:numId w:val="8"/>
        </w:numPr>
        <w:spacing w:after="0" w:line="360" w:lineRule="auto"/>
        <w:contextualSpacing/>
        <w:rPr>
          <w:rFonts w:eastAsia="Times New Roman" w:cs="Tahoma"/>
          <w:b/>
          <w:lang w:val="es-ES" w:eastAsia="es-ES"/>
        </w:rPr>
      </w:pPr>
      <w:r w:rsidRPr="00F703C9">
        <w:rPr>
          <w:rFonts w:eastAsia="Times New Roman" w:cs="Tahoma"/>
          <w:b/>
          <w:lang w:val="es-ES" w:eastAsia="es-ES"/>
        </w:rPr>
        <w:t xml:space="preserve">Principio de Máxima Publicidad: </w:t>
      </w:r>
      <w:r w:rsidRPr="00F703C9">
        <w:rPr>
          <w:rFonts w:eastAsia="Times New Roman" w:cs="Tahoma"/>
          <w:lang w:val="es-ES" w:eastAsia="es-ES"/>
        </w:rPr>
        <w:t>Precisa que toda la información en posesión de los entes sujetos a las Leyes de Transparencia es pública, completa, oportuna y accesible, sujeta a un claro régimen de excepciones.</w:t>
      </w:r>
    </w:p>
    <w:p w14:paraId="7D753AF5" w14:textId="77777777" w:rsidR="006C7941" w:rsidRPr="00F703C9" w:rsidRDefault="006C7941" w:rsidP="00881817">
      <w:pPr>
        <w:numPr>
          <w:ilvl w:val="0"/>
          <w:numId w:val="8"/>
        </w:numPr>
        <w:spacing w:after="0" w:line="360" w:lineRule="auto"/>
        <w:contextualSpacing/>
        <w:rPr>
          <w:rFonts w:eastAsia="Times New Roman" w:cs="Tahoma"/>
          <w:b/>
          <w:lang w:val="es-ES" w:eastAsia="es-ES"/>
        </w:rPr>
      </w:pPr>
      <w:r w:rsidRPr="00F703C9">
        <w:rPr>
          <w:rFonts w:eastAsia="Times New Roman" w:cs="Tahoma"/>
          <w:b/>
          <w:lang w:val="es-ES" w:eastAsia="es-ES"/>
        </w:rPr>
        <w:t xml:space="preserve">Información de Interés Público: </w:t>
      </w:r>
      <w:r w:rsidRPr="00F703C9">
        <w:rPr>
          <w:rFonts w:eastAsia="Times New Roman" w:cs="Tahoma"/>
          <w:lang w:val="es-ES" w:eastAsia="es-ES"/>
        </w:rPr>
        <w:t>Es aquella que resulta relevante o beneficiosa para la sociedad y no simplemente de interés individual, cuya divulgación resulta útil para que el público comprenda las actividades que llevan a cabo los sujetos obligados.</w:t>
      </w:r>
    </w:p>
    <w:p w14:paraId="309DC2D4" w14:textId="77777777" w:rsidR="006C7941" w:rsidRPr="00F703C9" w:rsidRDefault="006C7941" w:rsidP="00DA2D9B">
      <w:pPr>
        <w:spacing w:after="0" w:line="360" w:lineRule="auto"/>
        <w:rPr>
          <w:rFonts w:eastAsia="Times New Roman" w:cs="Tahoma"/>
          <w:bCs/>
          <w:iCs/>
          <w:lang w:val="es-ES" w:eastAsia="es-ES"/>
        </w:rPr>
      </w:pPr>
      <w:r w:rsidRPr="00F703C9">
        <w:rPr>
          <w:rFonts w:eastAsia="Times New Roman" w:cs="Tahoma"/>
          <w:bCs/>
          <w:iCs/>
          <w:lang w:val="es-ES" w:eastAsia="es-ES"/>
        </w:rPr>
        <w:lastRenderedPageBreak/>
        <w:t>Así, el análisis de la reserva de la información será realizado tomando en consideración, el interés público que existe para entregar la información solicitada, con el fin dar cumplimiento cabal, al principio máxima publicidad; cabe señalar, si bien el Sujeto Obligado aludió a la causal de reserva, establecida en el artículo 140, fracciones V, numeral 1, de la Ley de la materia, por lo tanto, se procede a su análisis.</w:t>
      </w:r>
    </w:p>
    <w:p w14:paraId="2F4813FC" w14:textId="77777777" w:rsidR="006C7941" w:rsidRPr="00F703C9" w:rsidRDefault="006C7941" w:rsidP="00DA2D9B">
      <w:pPr>
        <w:spacing w:after="0" w:line="360" w:lineRule="auto"/>
        <w:rPr>
          <w:rFonts w:eastAsia="Times New Roman" w:cs="Tahoma"/>
          <w:bCs/>
          <w:lang w:val="es-ES" w:eastAsia="es-ES"/>
        </w:rPr>
      </w:pPr>
    </w:p>
    <w:p w14:paraId="7B3383A2" w14:textId="77777777" w:rsidR="006C7941" w:rsidRPr="00F703C9" w:rsidRDefault="006C7941" w:rsidP="00DA2D9B">
      <w:pPr>
        <w:tabs>
          <w:tab w:val="left" w:pos="4962"/>
        </w:tabs>
        <w:spacing w:after="0" w:line="360" w:lineRule="auto"/>
        <w:rPr>
          <w:rFonts w:eastAsia="Calibri" w:cs="Tahoma"/>
          <w:iCs/>
          <w:lang w:val="es-ES" w:eastAsia="es-ES_tradnl"/>
        </w:rPr>
      </w:pPr>
      <w:r w:rsidRPr="00F703C9">
        <w:rPr>
          <w:rFonts w:eastAsia="Calibri" w:cs="Tahoma"/>
          <w:iCs/>
          <w:lang w:val="es-ES" w:eastAsia="es-ES_tradnl"/>
        </w:rPr>
        <w:t>Ahora bien, el artículo 140, fracción V, numeral 1, de la Ley de Transparencia y Acceso a la Información Pública del Estado de México y Municipios, (homólogo del artículo 113, fracción VI de la Ley General de Transparencia y Acceso a la Información Pública), prevé lo siguiente:</w:t>
      </w:r>
    </w:p>
    <w:p w14:paraId="024DDCEF" w14:textId="77777777" w:rsidR="006C7941" w:rsidRPr="00F703C9" w:rsidRDefault="006C7941" w:rsidP="00DA2D9B">
      <w:pPr>
        <w:spacing w:after="0" w:line="360" w:lineRule="auto"/>
        <w:ind w:right="-93"/>
        <w:rPr>
          <w:rFonts w:eastAsia="Calibri" w:cs="Tahoma"/>
          <w:bCs/>
        </w:rPr>
      </w:pPr>
    </w:p>
    <w:p w14:paraId="002172B4" w14:textId="77777777" w:rsidR="006C7941" w:rsidRPr="00F703C9" w:rsidRDefault="006C7941" w:rsidP="00DA2D9B">
      <w:pPr>
        <w:tabs>
          <w:tab w:val="left" w:pos="4962"/>
        </w:tabs>
        <w:spacing w:after="0" w:line="360" w:lineRule="auto"/>
        <w:ind w:left="567" w:right="567"/>
        <w:rPr>
          <w:rFonts w:eastAsia="Calibri" w:cs="Tahoma"/>
          <w:i/>
          <w:iCs/>
          <w:sz w:val="20"/>
          <w:szCs w:val="20"/>
          <w:lang w:val="es-ES" w:eastAsia="es-ES_tradnl"/>
        </w:rPr>
      </w:pPr>
      <w:r w:rsidRPr="00F703C9">
        <w:rPr>
          <w:rFonts w:eastAsia="Calibri" w:cs="Tahoma"/>
          <w:i/>
          <w:iCs/>
          <w:sz w:val="20"/>
          <w:szCs w:val="20"/>
          <w:lang w:val="es-ES" w:eastAsia="es-ES_tradnl"/>
        </w:rPr>
        <w:t>“</w:t>
      </w:r>
      <w:r w:rsidRPr="00F703C9">
        <w:rPr>
          <w:rFonts w:eastAsia="Calibri" w:cs="Tahoma"/>
          <w:b/>
          <w:i/>
          <w:iCs/>
          <w:sz w:val="20"/>
          <w:szCs w:val="20"/>
          <w:lang w:val="es-ES" w:eastAsia="es-ES_tradnl"/>
        </w:rPr>
        <w:t>Artículo 140.</w:t>
      </w:r>
      <w:r w:rsidRPr="00F703C9">
        <w:rPr>
          <w:rFonts w:eastAsia="Calibri" w:cs="Tahoma"/>
          <w:i/>
          <w:iCs/>
          <w:sz w:val="20"/>
          <w:szCs w:val="20"/>
          <w:lang w:val="es-ES" w:eastAsia="es-ES_tradnl"/>
        </w:rPr>
        <w:t xml:space="preserve"> El acceso a la información pública será restringido excepcionalmente, cuando por razones de interés público, ésta sea clasificada como reservada, conforme a los criterios siguientes: </w:t>
      </w:r>
    </w:p>
    <w:p w14:paraId="1E3A0783" w14:textId="77777777" w:rsidR="006C7941" w:rsidRPr="00F703C9" w:rsidRDefault="006C7941" w:rsidP="00DA2D9B">
      <w:pPr>
        <w:tabs>
          <w:tab w:val="left" w:pos="4962"/>
        </w:tabs>
        <w:spacing w:after="0" w:line="360" w:lineRule="auto"/>
        <w:ind w:left="567" w:right="567"/>
        <w:rPr>
          <w:rFonts w:eastAsia="Calibri" w:cs="Tahoma"/>
          <w:i/>
          <w:iCs/>
          <w:sz w:val="20"/>
          <w:szCs w:val="20"/>
          <w:lang w:val="es-ES" w:eastAsia="es-ES_tradnl"/>
        </w:rPr>
      </w:pPr>
      <w:r w:rsidRPr="00F703C9">
        <w:rPr>
          <w:rFonts w:eastAsia="Calibri" w:cs="Tahoma"/>
          <w:i/>
          <w:iCs/>
          <w:sz w:val="20"/>
          <w:szCs w:val="20"/>
          <w:lang w:val="es-ES" w:eastAsia="es-ES_tradnl"/>
        </w:rPr>
        <w:t>…</w:t>
      </w:r>
    </w:p>
    <w:p w14:paraId="333EE5D5" w14:textId="77777777" w:rsidR="006C7941" w:rsidRPr="00F703C9" w:rsidRDefault="006C7941" w:rsidP="00DA2D9B">
      <w:pPr>
        <w:tabs>
          <w:tab w:val="left" w:pos="4962"/>
        </w:tabs>
        <w:spacing w:after="0" w:line="360" w:lineRule="auto"/>
        <w:ind w:left="567" w:right="567"/>
        <w:rPr>
          <w:rFonts w:eastAsia="Calibri" w:cs="Tahoma"/>
          <w:i/>
          <w:iCs/>
          <w:sz w:val="20"/>
          <w:szCs w:val="20"/>
          <w:lang w:eastAsia="es-ES_tradnl"/>
        </w:rPr>
      </w:pPr>
      <w:r w:rsidRPr="00F703C9">
        <w:rPr>
          <w:rFonts w:eastAsia="Calibri" w:cs="Tahoma"/>
          <w:i/>
          <w:iCs/>
          <w:sz w:val="20"/>
          <w:szCs w:val="20"/>
          <w:lang w:eastAsia="es-ES_tradnl"/>
        </w:rPr>
        <w:t>V. Aquella cuya divulgación obstruya o pueda causar un serio perjuicio a:</w:t>
      </w:r>
    </w:p>
    <w:p w14:paraId="0F03DD45" w14:textId="77777777" w:rsidR="006C7941" w:rsidRPr="00F703C9" w:rsidRDefault="006C7941" w:rsidP="00DA2D9B">
      <w:pPr>
        <w:tabs>
          <w:tab w:val="left" w:pos="4962"/>
        </w:tabs>
        <w:spacing w:after="0" w:line="360" w:lineRule="auto"/>
        <w:ind w:left="567" w:right="567"/>
        <w:rPr>
          <w:rFonts w:eastAsia="Calibri" w:cs="Tahoma"/>
          <w:i/>
          <w:iCs/>
          <w:sz w:val="20"/>
          <w:szCs w:val="20"/>
          <w:lang w:eastAsia="es-ES_tradnl"/>
        </w:rPr>
      </w:pPr>
    </w:p>
    <w:p w14:paraId="224C5F15" w14:textId="77777777" w:rsidR="006C7941" w:rsidRPr="00F703C9" w:rsidRDefault="006C7941" w:rsidP="00DA2D9B">
      <w:pPr>
        <w:tabs>
          <w:tab w:val="left" w:pos="4962"/>
        </w:tabs>
        <w:spacing w:after="0" w:line="360" w:lineRule="auto"/>
        <w:ind w:left="567" w:right="567"/>
        <w:rPr>
          <w:rFonts w:eastAsia="Calibri" w:cs="Tahoma"/>
          <w:i/>
          <w:iCs/>
          <w:sz w:val="20"/>
          <w:szCs w:val="20"/>
          <w:lang w:eastAsia="es-ES_tradnl"/>
        </w:rPr>
      </w:pPr>
      <w:r w:rsidRPr="00F703C9">
        <w:rPr>
          <w:rFonts w:eastAsia="Calibri" w:cs="Tahoma"/>
          <w:i/>
          <w:iCs/>
          <w:sz w:val="20"/>
          <w:szCs w:val="20"/>
          <w:lang w:eastAsia="es-ES_tradnl"/>
        </w:rPr>
        <w:t>1. Las actividades de fiscalización, verificación, inspección, comprobación y auditoría sobre el cumplimiento de las Leyes; o</w:t>
      </w:r>
    </w:p>
    <w:p w14:paraId="66E87940" w14:textId="77777777" w:rsidR="006C7941" w:rsidRPr="00F703C9" w:rsidRDefault="006C7941" w:rsidP="00DA2D9B">
      <w:pPr>
        <w:tabs>
          <w:tab w:val="left" w:pos="4962"/>
        </w:tabs>
        <w:spacing w:after="0" w:line="360" w:lineRule="auto"/>
        <w:ind w:left="567" w:right="567"/>
        <w:rPr>
          <w:rFonts w:eastAsia="Calibri" w:cs="Tahoma"/>
          <w:i/>
          <w:iCs/>
          <w:sz w:val="20"/>
          <w:szCs w:val="20"/>
          <w:lang w:val="es-ES" w:eastAsia="es-ES_tradnl"/>
        </w:rPr>
      </w:pPr>
      <w:r w:rsidRPr="00F703C9">
        <w:rPr>
          <w:rFonts w:eastAsia="Calibri" w:cs="Tahoma"/>
          <w:i/>
          <w:iCs/>
          <w:sz w:val="20"/>
          <w:szCs w:val="20"/>
          <w:lang w:val="es-ES" w:eastAsia="es-ES_tradnl"/>
        </w:rPr>
        <w:t>…”</w:t>
      </w:r>
    </w:p>
    <w:p w14:paraId="7F80772B" w14:textId="77777777" w:rsidR="006C7941" w:rsidRPr="00F703C9" w:rsidRDefault="006C7941" w:rsidP="00DA2D9B">
      <w:pPr>
        <w:spacing w:after="0" w:line="360" w:lineRule="auto"/>
        <w:ind w:right="-93"/>
        <w:rPr>
          <w:rFonts w:eastAsia="Calibri" w:cs="Tahoma"/>
          <w:bCs/>
        </w:rPr>
      </w:pPr>
    </w:p>
    <w:p w14:paraId="7E68B48A" w14:textId="77777777" w:rsidR="006C7941" w:rsidRPr="00F703C9" w:rsidRDefault="006C7941" w:rsidP="00DA2D9B">
      <w:pPr>
        <w:spacing w:after="0" w:line="360" w:lineRule="auto"/>
        <w:ind w:right="-93"/>
        <w:rPr>
          <w:rFonts w:eastAsia="Calibri" w:cs="Tahoma"/>
          <w:bCs/>
        </w:rPr>
      </w:pPr>
      <w:r w:rsidRPr="00F703C9">
        <w:rPr>
          <w:rFonts w:eastAsia="Calibri" w:cs="Tahoma"/>
          <w:bCs/>
        </w:rPr>
        <w:t>De dicho precepto normativo se desprende que podrá clasificarse como información reservada aquella cuya publicación obstruya o cause perjuicio en las actividades de fiscalización, verificación, inspección, comprobación y auditoría sobre el cumplimiento de leyes.</w:t>
      </w:r>
    </w:p>
    <w:p w14:paraId="11E2FF28" w14:textId="77777777" w:rsidR="006C7941" w:rsidRPr="00F703C9" w:rsidRDefault="006C7941" w:rsidP="00DA2D9B">
      <w:pPr>
        <w:spacing w:after="0" w:line="360" w:lineRule="auto"/>
        <w:ind w:right="-93"/>
        <w:rPr>
          <w:rFonts w:eastAsia="Calibri" w:cs="Tahoma"/>
          <w:bCs/>
        </w:rPr>
      </w:pPr>
    </w:p>
    <w:p w14:paraId="4C636019" w14:textId="77777777" w:rsidR="006C7941" w:rsidRPr="00F703C9" w:rsidRDefault="006C7941" w:rsidP="00DA2D9B">
      <w:pPr>
        <w:tabs>
          <w:tab w:val="left" w:pos="4962"/>
        </w:tabs>
        <w:spacing w:after="0" w:line="360" w:lineRule="auto"/>
        <w:rPr>
          <w:rFonts w:eastAsia="Calibri" w:cs="Tahoma"/>
          <w:bCs/>
          <w:iCs/>
          <w:lang w:eastAsia="es-ES_tradnl"/>
        </w:rPr>
      </w:pPr>
      <w:r w:rsidRPr="00F703C9">
        <w:rPr>
          <w:rFonts w:eastAsia="Calibri" w:cs="Tahoma"/>
          <w:iCs/>
          <w:lang w:eastAsia="es-ES_tradnl"/>
        </w:rPr>
        <w:t xml:space="preserve">Por su parte, los </w:t>
      </w:r>
      <w:r w:rsidRPr="00F703C9">
        <w:rPr>
          <w:rFonts w:eastAsia="Calibri" w:cs="Tahoma"/>
          <w:bCs/>
          <w:iCs/>
          <w:lang w:eastAsia="es-ES_tradnl"/>
        </w:rPr>
        <w:t>Lineamientos generales en materia de clasificación y desclasificación de la información, así como para la elaboración de versiones públicas -en adelante Lineamientos Generales- disponen:</w:t>
      </w:r>
    </w:p>
    <w:p w14:paraId="5CC7FD43" w14:textId="77777777" w:rsidR="006C7941" w:rsidRPr="00F703C9" w:rsidRDefault="006C7941" w:rsidP="00DA2D9B">
      <w:pPr>
        <w:spacing w:after="0" w:line="360" w:lineRule="auto"/>
        <w:ind w:left="567" w:right="567"/>
        <w:rPr>
          <w:rFonts w:eastAsia="Calibri" w:cs="Tahoma"/>
          <w:bCs/>
          <w:i/>
          <w:sz w:val="20"/>
          <w:szCs w:val="20"/>
          <w:lang w:val="es-ES"/>
        </w:rPr>
      </w:pPr>
      <w:r w:rsidRPr="00F703C9">
        <w:rPr>
          <w:rFonts w:eastAsia="Calibri" w:cs="Tahoma"/>
          <w:b/>
          <w:bCs/>
          <w:i/>
          <w:sz w:val="20"/>
          <w:szCs w:val="20"/>
          <w:lang w:val="es-ES"/>
        </w:rPr>
        <w:lastRenderedPageBreak/>
        <w:t>“Vigésimo cuarto. </w:t>
      </w:r>
      <w:r w:rsidRPr="00F703C9">
        <w:rPr>
          <w:rFonts w:eastAsia="Calibri" w:cs="Tahoma"/>
          <w:bCs/>
          <w:i/>
          <w:sz w:val="20"/>
          <w:szCs w:val="20"/>
          <w:lang w:val="es-ES"/>
        </w:rPr>
        <w:t xml:space="preserve">De conformidad con el artículo 113, fracción VI de la Ley General, podrá considerarse como </w:t>
      </w:r>
      <w:r w:rsidRPr="00F703C9">
        <w:rPr>
          <w:rFonts w:eastAsia="Calibri" w:cs="Tahoma"/>
          <w:b/>
          <w:bCs/>
          <w:i/>
          <w:sz w:val="20"/>
          <w:szCs w:val="20"/>
          <w:lang w:val="es-ES"/>
        </w:rPr>
        <w:t>reservada, aquella información que obstruya las actividades de verificación, inspección y auditoría relativas al cumplimiento de las leyes</w:t>
      </w:r>
      <w:r w:rsidRPr="00F703C9">
        <w:rPr>
          <w:rFonts w:eastAsia="Calibri" w:cs="Tahoma"/>
          <w:bCs/>
          <w:i/>
          <w:sz w:val="20"/>
          <w:szCs w:val="20"/>
          <w:lang w:val="es-ES"/>
        </w:rPr>
        <w:t>, cuando se actualicen los siguientes elementos:</w:t>
      </w:r>
    </w:p>
    <w:p w14:paraId="7F4BD2A5" w14:textId="77777777" w:rsidR="006C7941" w:rsidRPr="00F703C9" w:rsidRDefault="006C7941" w:rsidP="00DA2D9B">
      <w:pPr>
        <w:spacing w:after="0" w:line="360" w:lineRule="auto"/>
        <w:ind w:left="567" w:right="567"/>
        <w:rPr>
          <w:rFonts w:eastAsia="Calibri" w:cs="Tahoma"/>
          <w:bCs/>
          <w:i/>
          <w:sz w:val="20"/>
          <w:szCs w:val="20"/>
          <w:lang w:val="es-ES"/>
        </w:rPr>
      </w:pPr>
    </w:p>
    <w:p w14:paraId="1ADD05F2" w14:textId="77777777" w:rsidR="006C7941" w:rsidRPr="00F703C9" w:rsidRDefault="006C7941" w:rsidP="00DA2D9B">
      <w:pPr>
        <w:spacing w:after="0" w:line="360" w:lineRule="auto"/>
        <w:ind w:left="567" w:right="567"/>
        <w:rPr>
          <w:rFonts w:eastAsia="Calibri" w:cs="Tahoma"/>
          <w:bCs/>
          <w:i/>
          <w:sz w:val="20"/>
          <w:szCs w:val="20"/>
          <w:lang w:val="es-ES"/>
        </w:rPr>
      </w:pPr>
      <w:r w:rsidRPr="00F703C9">
        <w:rPr>
          <w:rFonts w:eastAsia="Calibri" w:cs="Tahoma"/>
          <w:b/>
          <w:bCs/>
          <w:i/>
          <w:sz w:val="20"/>
          <w:szCs w:val="20"/>
          <w:lang w:val="es-ES"/>
        </w:rPr>
        <w:t>I.</w:t>
      </w:r>
      <w:r w:rsidRPr="00F703C9">
        <w:rPr>
          <w:rFonts w:eastAsia="Calibri" w:cs="Tahoma"/>
          <w:bCs/>
          <w:i/>
          <w:sz w:val="20"/>
          <w:szCs w:val="20"/>
          <w:lang w:val="es-ES"/>
        </w:rPr>
        <w:t> La existencia de un procedimiento de verificación del cumplimiento de las leyes;</w:t>
      </w:r>
    </w:p>
    <w:p w14:paraId="2C39CE16" w14:textId="77777777" w:rsidR="006C7941" w:rsidRPr="00F703C9" w:rsidRDefault="006C7941" w:rsidP="00DA2D9B">
      <w:pPr>
        <w:spacing w:after="0" w:line="360" w:lineRule="auto"/>
        <w:ind w:left="567" w:right="567"/>
        <w:rPr>
          <w:rFonts w:eastAsia="Calibri" w:cs="Tahoma"/>
          <w:bCs/>
          <w:i/>
          <w:sz w:val="20"/>
          <w:szCs w:val="20"/>
          <w:lang w:val="es-ES"/>
        </w:rPr>
      </w:pPr>
    </w:p>
    <w:p w14:paraId="40A3EC2C" w14:textId="77777777" w:rsidR="006C7941" w:rsidRPr="00F703C9" w:rsidRDefault="006C7941" w:rsidP="00DA2D9B">
      <w:pPr>
        <w:spacing w:after="0" w:line="360" w:lineRule="auto"/>
        <w:ind w:left="567" w:right="567"/>
        <w:rPr>
          <w:rFonts w:eastAsia="Calibri" w:cs="Tahoma"/>
          <w:bCs/>
          <w:i/>
          <w:sz w:val="20"/>
          <w:szCs w:val="20"/>
          <w:lang w:val="es-ES"/>
        </w:rPr>
      </w:pPr>
      <w:r w:rsidRPr="00F703C9">
        <w:rPr>
          <w:rFonts w:eastAsia="Calibri" w:cs="Tahoma"/>
          <w:b/>
          <w:bCs/>
          <w:i/>
          <w:sz w:val="20"/>
          <w:szCs w:val="20"/>
          <w:lang w:val="es-ES"/>
        </w:rPr>
        <w:t>II</w:t>
      </w:r>
      <w:r w:rsidRPr="00F703C9">
        <w:rPr>
          <w:rFonts w:eastAsia="Calibri" w:cs="Tahoma"/>
          <w:bCs/>
          <w:i/>
          <w:sz w:val="20"/>
          <w:szCs w:val="20"/>
          <w:lang w:val="es-ES"/>
        </w:rPr>
        <w:t>. Que el procedimiento se encuentre en trámite;</w:t>
      </w:r>
    </w:p>
    <w:p w14:paraId="6BA82714" w14:textId="77777777" w:rsidR="006C7941" w:rsidRPr="00F703C9" w:rsidRDefault="006C7941" w:rsidP="00DA2D9B">
      <w:pPr>
        <w:spacing w:after="0" w:line="360" w:lineRule="auto"/>
        <w:ind w:left="567" w:right="567"/>
        <w:rPr>
          <w:rFonts w:eastAsia="Calibri" w:cs="Tahoma"/>
          <w:bCs/>
          <w:i/>
          <w:sz w:val="20"/>
          <w:szCs w:val="20"/>
          <w:lang w:val="es-ES"/>
        </w:rPr>
      </w:pPr>
    </w:p>
    <w:p w14:paraId="2CF014F7" w14:textId="77777777" w:rsidR="006C7941" w:rsidRPr="00F703C9" w:rsidRDefault="006C7941" w:rsidP="00DA2D9B">
      <w:pPr>
        <w:spacing w:after="0" w:line="360" w:lineRule="auto"/>
        <w:ind w:left="567" w:right="567"/>
        <w:rPr>
          <w:rFonts w:eastAsia="Calibri" w:cs="Tahoma"/>
          <w:bCs/>
          <w:i/>
          <w:sz w:val="20"/>
          <w:szCs w:val="20"/>
          <w:lang w:val="es-ES"/>
        </w:rPr>
      </w:pPr>
      <w:r w:rsidRPr="00F703C9">
        <w:rPr>
          <w:rFonts w:eastAsia="Calibri" w:cs="Tahoma"/>
          <w:b/>
          <w:bCs/>
          <w:i/>
          <w:sz w:val="20"/>
          <w:szCs w:val="20"/>
          <w:lang w:val="es-ES"/>
        </w:rPr>
        <w:t>III.</w:t>
      </w:r>
      <w:r w:rsidRPr="00F703C9">
        <w:rPr>
          <w:rFonts w:eastAsia="Calibri" w:cs="Tahoma"/>
          <w:bCs/>
          <w:i/>
          <w:sz w:val="20"/>
          <w:szCs w:val="20"/>
          <w:lang w:val="es-ES"/>
        </w:rPr>
        <w:t> La vinculación directa con las actividades que realiza la autoridad en el procedimiento de verificación del cumplimiento de las leyes, y</w:t>
      </w:r>
    </w:p>
    <w:p w14:paraId="11611463" w14:textId="77777777" w:rsidR="006C7941" w:rsidRPr="00F703C9" w:rsidRDefault="006C7941" w:rsidP="00DA2D9B">
      <w:pPr>
        <w:spacing w:after="0" w:line="360" w:lineRule="auto"/>
        <w:ind w:left="567" w:right="567"/>
        <w:rPr>
          <w:rFonts w:eastAsia="Calibri" w:cs="Tahoma"/>
          <w:bCs/>
          <w:i/>
          <w:sz w:val="20"/>
          <w:szCs w:val="20"/>
          <w:lang w:val="es-ES"/>
        </w:rPr>
      </w:pPr>
    </w:p>
    <w:p w14:paraId="5457C679" w14:textId="77777777" w:rsidR="006C7941" w:rsidRPr="00F703C9" w:rsidRDefault="006C7941" w:rsidP="00DA2D9B">
      <w:pPr>
        <w:spacing w:after="0" w:line="360" w:lineRule="auto"/>
        <w:ind w:left="567" w:right="567"/>
        <w:rPr>
          <w:rFonts w:eastAsia="Calibri" w:cs="Tahoma"/>
          <w:bCs/>
          <w:i/>
          <w:sz w:val="20"/>
          <w:szCs w:val="20"/>
          <w:lang w:val="es-ES"/>
        </w:rPr>
      </w:pPr>
      <w:r w:rsidRPr="00F703C9">
        <w:rPr>
          <w:rFonts w:eastAsia="Calibri" w:cs="Tahoma"/>
          <w:b/>
          <w:bCs/>
          <w:i/>
          <w:sz w:val="20"/>
          <w:szCs w:val="20"/>
          <w:lang w:val="es-ES"/>
        </w:rPr>
        <w:t>IV.</w:t>
      </w:r>
      <w:r w:rsidRPr="00F703C9">
        <w:rPr>
          <w:rFonts w:eastAsia="Calibri" w:cs="Tahoma"/>
          <w:bCs/>
          <w:i/>
          <w:sz w:val="20"/>
          <w:szCs w:val="20"/>
          <w:lang w:val="es-ES"/>
        </w:rPr>
        <w:t> Que la difusión de la información impida u obstaculice las actividades de inspección, supervisión o vigilancia que realicen las autoridades en el procedimiento de verificación del cumplimiento de las leyes.”</w:t>
      </w:r>
    </w:p>
    <w:p w14:paraId="4665E5C0" w14:textId="77777777" w:rsidR="006C7941" w:rsidRPr="00F703C9" w:rsidRDefault="006C7941" w:rsidP="00DA2D9B">
      <w:pPr>
        <w:spacing w:after="0" w:line="360" w:lineRule="auto"/>
        <w:ind w:right="-93"/>
        <w:rPr>
          <w:rFonts w:eastAsia="Calibri" w:cs="Tahoma"/>
          <w:b/>
          <w:bCs/>
          <w:lang w:val="es-ES"/>
        </w:rPr>
      </w:pPr>
    </w:p>
    <w:p w14:paraId="4E2BCFC4" w14:textId="77777777" w:rsidR="006C7941" w:rsidRPr="00F703C9" w:rsidRDefault="006C7941" w:rsidP="00DA2D9B">
      <w:pPr>
        <w:spacing w:after="0" w:line="360" w:lineRule="auto"/>
        <w:ind w:right="-93"/>
        <w:rPr>
          <w:rFonts w:eastAsia="Calibri" w:cs="Tahoma"/>
          <w:bCs/>
          <w:lang w:val="es-ES"/>
        </w:rPr>
      </w:pPr>
      <w:r w:rsidRPr="00F703C9">
        <w:rPr>
          <w:rFonts w:eastAsia="Calibri" w:cs="Tahoma"/>
          <w:bCs/>
          <w:lang w:val="es-ES"/>
        </w:rPr>
        <w:t xml:space="preserve">Del lineamiento en cita, se colige que se trata de información reservada aquella que </w:t>
      </w:r>
      <w:r w:rsidRPr="00F703C9">
        <w:rPr>
          <w:rFonts w:eastAsia="Calibri" w:cs="Tahoma"/>
          <w:b/>
          <w:bCs/>
          <w:lang w:val="es-ES"/>
        </w:rPr>
        <w:t xml:space="preserve">obstruya las actividades de </w:t>
      </w:r>
      <w:r w:rsidRPr="00F703C9">
        <w:rPr>
          <w:rFonts w:eastAsia="Calibri" w:cs="Tahoma"/>
          <w:bCs/>
          <w:lang w:val="es-ES"/>
        </w:rPr>
        <w:t xml:space="preserve">verificación, inspección y </w:t>
      </w:r>
      <w:r w:rsidRPr="00F703C9">
        <w:rPr>
          <w:rFonts w:eastAsia="Calibri" w:cs="Tahoma"/>
          <w:b/>
          <w:bCs/>
          <w:lang w:val="es-ES"/>
        </w:rPr>
        <w:t xml:space="preserve">auditoría relativas al cumplimiento de las leyes, </w:t>
      </w:r>
      <w:r w:rsidRPr="00F703C9">
        <w:rPr>
          <w:rFonts w:eastAsia="Calibri" w:cs="Tahoma"/>
          <w:bCs/>
          <w:lang w:val="es-ES"/>
        </w:rPr>
        <w:t xml:space="preserve">cuando se actualicen los siguientes elementos: </w:t>
      </w:r>
    </w:p>
    <w:p w14:paraId="01CE63F4" w14:textId="77777777" w:rsidR="006C7941" w:rsidRPr="00F703C9" w:rsidRDefault="006C7941" w:rsidP="00DA2D9B">
      <w:pPr>
        <w:spacing w:after="0" w:line="360" w:lineRule="auto"/>
        <w:ind w:right="-93"/>
        <w:rPr>
          <w:rFonts w:eastAsia="Calibri" w:cs="Tahoma"/>
          <w:bCs/>
          <w:lang w:val="es-ES"/>
        </w:rPr>
      </w:pPr>
    </w:p>
    <w:p w14:paraId="65DD41A2" w14:textId="77777777" w:rsidR="006C7941" w:rsidRPr="00F703C9" w:rsidRDefault="006C7941" w:rsidP="00881817">
      <w:pPr>
        <w:numPr>
          <w:ilvl w:val="0"/>
          <w:numId w:val="9"/>
        </w:numPr>
        <w:spacing w:after="0" w:line="360" w:lineRule="auto"/>
        <w:ind w:right="-93"/>
        <w:jc w:val="left"/>
        <w:rPr>
          <w:rFonts w:eastAsia="Calibri" w:cs="Tahoma"/>
          <w:bCs/>
          <w:lang w:val="es-ES"/>
        </w:rPr>
      </w:pPr>
      <w:r w:rsidRPr="00F703C9">
        <w:rPr>
          <w:rFonts w:eastAsia="Calibri" w:cs="Tahoma"/>
          <w:bCs/>
          <w:lang w:val="es-ES"/>
        </w:rPr>
        <w:t xml:space="preserve">La existencia de un procedimiento de verificación del cumplimiento de las leyes. </w:t>
      </w:r>
    </w:p>
    <w:p w14:paraId="507D30EB" w14:textId="77777777" w:rsidR="006C7941" w:rsidRPr="00F703C9" w:rsidRDefault="006C7941" w:rsidP="00881817">
      <w:pPr>
        <w:numPr>
          <w:ilvl w:val="0"/>
          <w:numId w:val="9"/>
        </w:numPr>
        <w:spacing w:after="0" w:line="360" w:lineRule="auto"/>
        <w:ind w:right="-93"/>
        <w:jc w:val="left"/>
        <w:rPr>
          <w:rFonts w:eastAsia="Calibri" w:cs="Tahoma"/>
          <w:bCs/>
          <w:lang w:val="es-ES"/>
        </w:rPr>
      </w:pPr>
      <w:r w:rsidRPr="00F703C9">
        <w:rPr>
          <w:rFonts w:eastAsia="Calibri" w:cs="Tahoma"/>
          <w:bCs/>
          <w:lang w:val="es-ES"/>
        </w:rPr>
        <w:t xml:space="preserve">Que ese procedimiento se encuentre en trámite. </w:t>
      </w:r>
    </w:p>
    <w:p w14:paraId="0E97B19A" w14:textId="77777777" w:rsidR="006C7941" w:rsidRPr="00F703C9" w:rsidRDefault="006C7941" w:rsidP="00881817">
      <w:pPr>
        <w:numPr>
          <w:ilvl w:val="0"/>
          <w:numId w:val="9"/>
        </w:numPr>
        <w:spacing w:after="0" w:line="360" w:lineRule="auto"/>
        <w:ind w:right="-93"/>
        <w:rPr>
          <w:rFonts w:eastAsia="Calibri" w:cs="Tahoma"/>
          <w:bCs/>
          <w:lang w:val="es-ES"/>
        </w:rPr>
      </w:pPr>
      <w:r w:rsidRPr="00F703C9">
        <w:rPr>
          <w:rFonts w:eastAsia="Calibri" w:cs="Tahoma"/>
          <w:bCs/>
          <w:lang w:val="es-ES"/>
        </w:rPr>
        <w:t xml:space="preserve">La vinculación directa con las actividades que realiza la autoridad en el procedimiento de verificación del cumplimiento de las leyes. </w:t>
      </w:r>
    </w:p>
    <w:p w14:paraId="474DD1D7" w14:textId="77777777" w:rsidR="006C7941" w:rsidRPr="00F703C9" w:rsidRDefault="006C7941" w:rsidP="00881817">
      <w:pPr>
        <w:numPr>
          <w:ilvl w:val="0"/>
          <w:numId w:val="9"/>
        </w:numPr>
        <w:spacing w:after="0" w:line="360" w:lineRule="auto"/>
        <w:ind w:right="-93"/>
        <w:rPr>
          <w:rFonts w:eastAsia="Calibri" w:cs="Tahoma"/>
          <w:bCs/>
          <w:lang w:val="es-ES"/>
        </w:rPr>
      </w:pPr>
      <w:r w:rsidRPr="00F703C9">
        <w:rPr>
          <w:rFonts w:eastAsia="Calibri" w:cs="Tahoma"/>
          <w:bCs/>
          <w:lang w:val="es-ES"/>
        </w:rPr>
        <w:t xml:space="preserve">Que la difusión de la información impida u obstaculice las actividades de inspección, supervisión o vigilancia que realicen las autoridades en el proceso de verificación del cumplimiento de las leyes. </w:t>
      </w:r>
    </w:p>
    <w:p w14:paraId="0F77F4C2" w14:textId="77777777" w:rsidR="006C7941" w:rsidRPr="00F703C9" w:rsidRDefault="006C7941" w:rsidP="00DA2D9B">
      <w:pPr>
        <w:spacing w:after="0" w:line="360" w:lineRule="auto"/>
        <w:ind w:right="-93"/>
        <w:rPr>
          <w:rFonts w:eastAsia="Calibri" w:cs="Tahoma"/>
          <w:bCs/>
          <w:lang w:val="es-ES"/>
        </w:rPr>
      </w:pPr>
    </w:p>
    <w:p w14:paraId="07F56D2E" w14:textId="77777777" w:rsidR="006C7941" w:rsidRPr="00F703C9" w:rsidRDefault="006C7941" w:rsidP="00DA2D9B">
      <w:pPr>
        <w:spacing w:after="0" w:line="360" w:lineRule="auto"/>
        <w:ind w:right="-93"/>
        <w:rPr>
          <w:rFonts w:eastAsia="Calibri" w:cs="Tahoma"/>
          <w:bCs/>
          <w:lang w:val="es-ES"/>
        </w:rPr>
      </w:pPr>
      <w:r w:rsidRPr="00F703C9">
        <w:rPr>
          <w:rFonts w:eastAsia="Calibri" w:cs="Tahoma"/>
          <w:bCs/>
          <w:lang w:val="es-ES"/>
        </w:rPr>
        <w:lastRenderedPageBreak/>
        <w:t xml:space="preserve">En ese contexto, de la interpretación de la causal de reserva en análisis, este Instituto estima que consiste en proteger la oportunidad de la autoridad verificadora de realizar las acciones materiales de fiscalización, sin que el sujeto verificado pueda alterar o modificar el escenario, objeto o circunstancias materia de fiscalización. </w:t>
      </w:r>
    </w:p>
    <w:p w14:paraId="6D6A21C0" w14:textId="77777777" w:rsidR="006C7941" w:rsidRPr="00F703C9" w:rsidRDefault="006C7941" w:rsidP="00DA2D9B">
      <w:pPr>
        <w:spacing w:after="0" w:line="360" w:lineRule="auto"/>
        <w:ind w:right="-93"/>
        <w:rPr>
          <w:rFonts w:eastAsia="Calibri" w:cs="Tahoma"/>
          <w:bCs/>
          <w:lang w:val="es-ES"/>
        </w:rPr>
      </w:pPr>
    </w:p>
    <w:p w14:paraId="1B9DAAC1" w14:textId="77777777" w:rsidR="006C7941" w:rsidRPr="00F703C9" w:rsidRDefault="006C7941" w:rsidP="00DA2D9B">
      <w:pPr>
        <w:spacing w:after="0" w:line="360" w:lineRule="auto"/>
        <w:ind w:right="-93"/>
        <w:rPr>
          <w:rFonts w:eastAsia="Calibri" w:cs="Tahoma"/>
          <w:bCs/>
          <w:color w:val="auto"/>
          <w:lang w:val="es-ES"/>
        </w:rPr>
      </w:pPr>
      <w:r w:rsidRPr="00F703C9">
        <w:rPr>
          <w:rFonts w:eastAsia="Calibri" w:cs="Tahoma"/>
          <w:bCs/>
          <w:lang w:val="es-ES"/>
        </w:rPr>
        <w:t>Es decir, con dicha causal de reserva se procura permitir que las autoridades realicen las labores de verificación, inspección o auditoría del cumplimiento de las leyes, en su circunstancia natural, sin que el sujeto verificado, o bien, personas ajenas, puedan influir en el resultado, modificando los hechos, actos u omisiones a fiscalizar.</w:t>
      </w:r>
    </w:p>
    <w:p w14:paraId="0AAC6617" w14:textId="77777777" w:rsidR="006C7941" w:rsidRPr="00F703C9" w:rsidRDefault="006C7941" w:rsidP="00DA2D9B">
      <w:pPr>
        <w:spacing w:after="0" w:line="360" w:lineRule="auto"/>
        <w:ind w:right="-93"/>
        <w:rPr>
          <w:rFonts w:eastAsia="Calibri" w:cs="Tahoma"/>
          <w:bCs/>
          <w:lang w:val="es-ES"/>
        </w:rPr>
      </w:pPr>
    </w:p>
    <w:p w14:paraId="12D527C5" w14:textId="77777777" w:rsidR="006C7941" w:rsidRPr="00F703C9" w:rsidRDefault="006C7941" w:rsidP="00DA2D9B">
      <w:pPr>
        <w:spacing w:after="0" w:line="360" w:lineRule="auto"/>
        <w:ind w:right="-93"/>
        <w:rPr>
          <w:rFonts w:eastAsia="Calibri" w:cs="Tahoma"/>
          <w:bCs/>
          <w:lang w:val="es-ES"/>
        </w:rPr>
      </w:pPr>
      <w:r w:rsidRPr="00F703C9">
        <w:rPr>
          <w:rFonts w:eastAsia="Calibri" w:cs="Tahoma"/>
          <w:bCs/>
          <w:lang w:val="es-ES"/>
        </w:rPr>
        <w:t>Así las cosas, a continuación, se analizarán cada uno de los requisitos señalados anteriormente, con la finalidad de verificar si se configura la hipótesis de reserva en estudio:</w:t>
      </w:r>
    </w:p>
    <w:p w14:paraId="166378E0" w14:textId="77777777" w:rsidR="006C7941" w:rsidRPr="00F703C9" w:rsidRDefault="006C7941" w:rsidP="00DA2D9B">
      <w:pPr>
        <w:spacing w:after="0" w:line="360" w:lineRule="auto"/>
        <w:ind w:right="-93"/>
        <w:rPr>
          <w:rFonts w:eastAsia="Calibri" w:cs="Tahoma"/>
          <w:bCs/>
          <w:lang w:val="es-ES"/>
        </w:rPr>
      </w:pPr>
    </w:p>
    <w:p w14:paraId="0120E7B8" w14:textId="77777777" w:rsidR="006C7941" w:rsidRPr="00F703C9" w:rsidRDefault="006C7941" w:rsidP="00881817">
      <w:pPr>
        <w:numPr>
          <w:ilvl w:val="0"/>
          <w:numId w:val="10"/>
        </w:numPr>
        <w:spacing w:after="0" w:line="360" w:lineRule="auto"/>
        <w:contextualSpacing/>
        <w:jc w:val="left"/>
        <w:rPr>
          <w:rFonts w:eastAsia="Times New Roman" w:cs="Tahoma"/>
          <w:b/>
          <w:iCs/>
          <w:lang w:eastAsia="es-ES"/>
        </w:rPr>
      </w:pPr>
      <w:r w:rsidRPr="00F703C9">
        <w:rPr>
          <w:rFonts w:eastAsia="Times New Roman" w:cs="Tahoma"/>
          <w:b/>
          <w:iCs/>
          <w:lang w:eastAsia="es-ES"/>
        </w:rPr>
        <w:t>La existencia de un procedimiento de verificación del cumplimiento de las leyes</w:t>
      </w:r>
    </w:p>
    <w:p w14:paraId="6666361D" w14:textId="77777777" w:rsidR="006C7941" w:rsidRPr="00F703C9" w:rsidRDefault="006C7941" w:rsidP="00DA2D9B">
      <w:pPr>
        <w:spacing w:after="0" w:line="360" w:lineRule="auto"/>
        <w:rPr>
          <w:rFonts w:eastAsia="Times New Roman" w:cs="Tahoma"/>
          <w:b/>
          <w:lang w:eastAsia="es-ES"/>
        </w:rPr>
      </w:pPr>
    </w:p>
    <w:p w14:paraId="1A84A649" w14:textId="6CAA4BD9" w:rsidR="007B519B" w:rsidRPr="00F703C9" w:rsidRDefault="006C7941" w:rsidP="00DA2D9B">
      <w:pPr>
        <w:spacing w:after="0" w:line="360" w:lineRule="auto"/>
        <w:rPr>
          <w:rFonts w:eastAsia="Times New Roman" w:cs="Tahoma"/>
          <w:bCs/>
          <w:iCs/>
          <w:lang w:eastAsia="es-ES"/>
        </w:rPr>
      </w:pPr>
      <w:r w:rsidRPr="00F703C9">
        <w:rPr>
          <w:rFonts w:eastAsia="Times New Roman" w:cs="Tahoma"/>
          <w:bCs/>
          <w:iCs/>
          <w:lang w:eastAsia="es-ES"/>
        </w:rPr>
        <w:t xml:space="preserve">En ese contexto, el Ayuntamiento de </w:t>
      </w:r>
      <w:r w:rsidR="007B519B" w:rsidRPr="00F703C9">
        <w:rPr>
          <w:bCs/>
          <w:color w:val="000000"/>
          <w:szCs w:val="14"/>
        </w:rPr>
        <w:t>Valle de Chalco Solidaridad</w:t>
      </w:r>
      <w:r w:rsidR="007B519B" w:rsidRPr="00F703C9">
        <w:rPr>
          <w:rFonts w:eastAsia="Times New Roman" w:cs="Tahoma"/>
          <w:bCs/>
          <w:iCs/>
          <w:lang w:eastAsia="es-ES"/>
        </w:rPr>
        <w:t xml:space="preserve"> </w:t>
      </w:r>
      <w:r w:rsidRPr="00F703C9">
        <w:rPr>
          <w:rFonts w:eastAsia="Times New Roman" w:cs="Tahoma"/>
          <w:bCs/>
          <w:iCs/>
          <w:lang w:eastAsia="es-ES"/>
        </w:rPr>
        <w:t xml:space="preserve">señaló que la información formaba parte de la Auditoría </w:t>
      </w:r>
      <w:r w:rsidR="007B519B" w:rsidRPr="00F703C9">
        <w:rPr>
          <w:rFonts w:eastAsia="Times New Roman" w:cs="Tahoma"/>
          <w:bCs/>
          <w:iCs/>
          <w:lang w:eastAsia="es-ES"/>
        </w:rPr>
        <w:t xml:space="preserve">número 917 de </w:t>
      </w:r>
      <w:r w:rsidR="007B519B" w:rsidRPr="00F703C9">
        <w:rPr>
          <w:rFonts w:cs="Tahoma"/>
          <w:bCs/>
        </w:rPr>
        <w:t>Participaciones Federales a Entidades Federativas del ejercicio fiscal dos mil veintitrés.</w:t>
      </w:r>
    </w:p>
    <w:p w14:paraId="264354BA" w14:textId="77777777" w:rsidR="006C7941" w:rsidRPr="00F703C9" w:rsidRDefault="006C7941" w:rsidP="00DA2D9B">
      <w:pPr>
        <w:spacing w:after="0" w:line="360" w:lineRule="auto"/>
        <w:rPr>
          <w:rFonts w:eastAsia="Times New Roman" w:cs="Tahoma"/>
          <w:bCs/>
          <w:iCs/>
          <w:lang w:eastAsia="es-ES"/>
        </w:rPr>
      </w:pPr>
    </w:p>
    <w:p w14:paraId="00161B8C" w14:textId="08152FDC" w:rsidR="006C7941" w:rsidRPr="00F703C9" w:rsidRDefault="006C7941" w:rsidP="00DA2D9B">
      <w:pPr>
        <w:spacing w:after="0" w:line="360" w:lineRule="auto"/>
        <w:rPr>
          <w:rFonts w:eastAsia="Times New Roman" w:cs="Tahoma"/>
          <w:bCs/>
          <w:iCs/>
          <w:lang w:eastAsia="es-ES"/>
        </w:rPr>
      </w:pPr>
      <w:r w:rsidRPr="00F703C9">
        <w:rPr>
          <w:rFonts w:eastAsia="Times New Roman" w:cs="Tahoma"/>
          <w:bCs/>
          <w:iCs/>
          <w:lang w:eastAsia="es-ES"/>
        </w:rPr>
        <w:t xml:space="preserve">Sobre dicha circunstancia, este Instituto localizó el Programa Anual de Auditorías 2023 para la Fiscalización y Revisión de las Cuentas Públicas del Ejercicio Fiscal 2022, la cual </w:t>
      </w:r>
      <w:r w:rsidR="007B519B" w:rsidRPr="00F703C9">
        <w:rPr>
          <w:rFonts w:eastAsia="Times New Roman" w:cs="Tahoma"/>
          <w:bCs/>
          <w:iCs/>
          <w:lang w:eastAsia="es-ES"/>
        </w:rPr>
        <w:t xml:space="preserve">para el Ayuntamiento de </w:t>
      </w:r>
      <w:r w:rsidR="007B519B" w:rsidRPr="00F703C9">
        <w:rPr>
          <w:bCs/>
          <w:color w:val="000000"/>
          <w:szCs w:val="14"/>
        </w:rPr>
        <w:t>Valle de Chalco Solidaridad contiene la Auditoría de Inversión Física AIF-087</w:t>
      </w:r>
      <w:r w:rsidRPr="00F703C9">
        <w:rPr>
          <w:rFonts w:eastAsia="Times New Roman" w:cs="Tahoma"/>
          <w:bCs/>
          <w:iCs/>
          <w:lang w:eastAsia="es-ES"/>
        </w:rPr>
        <w:t>, tal como se muestra a continuación:</w:t>
      </w:r>
    </w:p>
    <w:p w14:paraId="51D424EC" w14:textId="77777777" w:rsidR="007B519B" w:rsidRPr="00F703C9" w:rsidRDefault="007B519B" w:rsidP="00DA2D9B">
      <w:pPr>
        <w:spacing w:after="0" w:line="360" w:lineRule="auto"/>
        <w:rPr>
          <w:rFonts w:eastAsia="Times New Roman" w:cs="Tahoma"/>
          <w:bCs/>
          <w:iCs/>
          <w:lang w:eastAsia="es-ES"/>
        </w:rPr>
      </w:pPr>
    </w:p>
    <w:p w14:paraId="5D56FF30" w14:textId="30227A4C" w:rsidR="007B519B" w:rsidRPr="00F703C9" w:rsidRDefault="00A00402" w:rsidP="00A00402">
      <w:pPr>
        <w:spacing w:after="0" w:line="360" w:lineRule="auto"/>
        <w:jc w:val="center"/>
        <w:rPr>
          <w:rFonts w:eastAsia="Times New Roman" w:cs="Tahoma"/>
          <w:bCs/>
          <w:iCs/>
          <w:lang w:eastAsia="es-ES"/>
        </w:rPr>
      </w:pPr>
      <w:r w:rsidRPr="00F703C9">
        <w:rPr>
          <w:rFonts w:eastAsia="Times New Roman" w:cs="Tahoma"/>
          <w:bCs/>
          <w:iCs/>
          <w:noProof/>
          <w:lang w:eastAsia="es-MX"/>
          <w14:ligatures w14:val="standardContextual"/>
        </w:rPr>
        <w:drawing>
          <wp:inline distT="0" distB="0" distL="0" distR="0" wp14:anchorId="35BA803D" wp14:editId="667E2876">
            <wp:extent cx="4900085" cy="609653"/>
            <wp:effectExtent l="0" t="0" r="0" b="0"/>
            <wp:docPr id="1826438296" name="Imagen 1"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38296" name="Imagen 1" descr="Interfaz de usuario gráfica, Aplicación&#10;&#10;Descripción generada automáticamente con confianza media"/>
                    <pic:cNvPicPr/>
                  </pic:nvPicPr>
                  <pic:blipFill>
                    <a:blip r:embed="rId10">
                      <a:extLst>
                        <a:ext uri="{28A0092B-C50C-407E-A947-70E740481C1C}">
                          <a14:useLocalDpi xmlns:a14="http://schemas.microsoft.com/office/drawing/2010/main" val="0"/>
                        </a:ext>
                      </a:extLst>
                    </a:blip>
                    <a:stretch>
                      <a:fillRect/>
                    </a:stretch>
                  </pic:blipFill>
                  <pic:spPr>
                    <a:xfrm>
                      <a:off x="0" y="0"/>
                      <a:ext cx="4900085" cy="609653"/>
                    </a:xfrm>
                    <a:prstGeom prst="rect">
                      <a:avLst/>
                    </a:prstGeom>
                  </pic:spPr>
                </pic:pic>
              </a:graphicData>
            </a:graphic>
          </wp:inline>
        </w:drawing>
      </w:r>
    </w:p>
    <w:p w14:paraId="6B2B7145" w14:textId="77777777" w:rsidR="006C7941" w:rsidRPr="00F703C9" w:rsidRDefault="006C7941" w:rsidP="00DA2D9B">
      <w:pPr>
        <w:spacing w:after="0" w:line="360" w:lineRule="auto"/>
        <w:rPr>
          <w:rFonts w:eastAsia="Times New Roman" w:cs="Tahoma"/>
          <w:bCs/>
          <w:iCs/>
          <w:lang w:eastAsia="es-ES"/>
        </w:rPr>
      </w:pPr>
    </w:p>
    <w:p w14:paraId="0221C9AC" w14:textId="77777777" w:rsidR="00A00402" w:rsidRPr="00F703C9" w:rsidRDefault="00A00402" w:rsidP="00A00402">
      <w:pPr>
        <w:spacing w:after="0" w:line="360" w:lineRule="auto"/>
        <w:rPr>
          <w:rFonts w:eastAsia="Times New Roman" w:cs="Tahoma"/>
          <w:bCs/>
          <w:iCs/>
          <w:lang w:eastAsia="es-ES"/>
        </w:rPr>
      </w:pPr>
      <w:r w:rsidRPr="00F703C9">
        <w:rPr>
          <w:rFonts w:eastAsia="Times New Roman" w:cs="Tahoma"/>
          <w:bCs/>
          <w:iCs/>
          <w:lang w:eastAsia="es-ES"/>
        </w:rPr>
        <w:t xml:space="preserve">Posteriormente, se localizó el Programa Anual de Auditorías para la Fiscalización Superior Cuenta Pública dos mil veintitrés, la cual para el Ayuntamiento de </w:t>
      </w:r>
      <w:r w:rsidRPr="00F703C9">
        <w:rPr>
          <w:bCs/>
          <w:color w:val="000000"/>
          <w:szCs w:val="14"/>
        </w:rPr>
        <w:t xml:space="preserve">Valle de Chalco Solidaridad contiene la Auditoría número 995 de Cumplimiento, </w:t>
      </w:r>
      <w:r w:rsidRPr="00F703C9">
        <w:rPr>
          <w:rFonts w:eastAsia="Times New Roman" w:cs="Tahoma"/>
          <w:bCs/>
          <w:iCs/>
          <w:lang w:eastAsia="es-ES"/>
        </w:rPr>
        <w:t>tal como se muestra a continuación:</w:t>
      </w:r>
    </w:p>
    <w:p w14:paraId="7CA552BC" w14:textId="6542870D" w:rsidR="006C7941" w:rsidRPr="00F703C9" w:rsidRDefault="006C7941" w:rsidP="00A00402">
      <w:pPr>
        <w:spacing w:after="0" w:line="360" w:lineRule="auto"/>
        <w:rPr>
          <w:rFonts w:eastAsia="Times New Roman" w:cs="Tahoma"/>
          <w:bCs/>
          <w:iCs/>
          <w:lang w:eastAsia="es-ES"/>
        </w:rPr>
      </w:pPr>
    </w:p>
    <w:p w14:paraId="34645EA3" w14:textId="5CA2976A" w:rsidR="00A00402" w:rsidRPr="00F703C9" w:rsidRDefault="00A00402" w:rsidP="00A00402">
      <w:pPr>
        <w:spacing w:after="0" w:line="360" w:lineRule="auto"/>
        <w:jc w:val="center"/>
        <w:rPr>
          <w:rFonts w:eastAsia="Times New Roman" w:cs="Tahoma"/>
          <w:bCs/>
          <w:iCs/>
          <w:lang w:eastAsia="es-ES"/>
        </w:rPr>
      </w:pPr>
      <w:r w:rsidRPr="00F703C9">
        <w:rPr>
          <w:rFonts w:eastAsia="Times New Roman" w:cs="Tahoma"/>
          <w:bCs/>
          <w:iCs/>
          <w:noProof/>
          <w:lang w:eastAsia="es-MX"/>
          <w14:ligatures w14:val="standardContextual"/>
        </w:rPr>
        <w:drawing>
          <wp:inline distT="0" distB="0" distL="0" distR="0" wp14:anchorId="6497A37C" wp14:editId="5F63F722">
            <wp:extent cx="5671185" cy="269875"/>
            <wp:effectExtent l="0" t="0" r="5715" b="0"/>
            <wp:docPr id="98206120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061200" name="Imagen 982061200"/>
                    <pic:cNvPicPr/>
                  </pic:nvPicPr>
                  <pic:blipFill>
                    <a:blip r:embed="rId11">
                      <a:extLst>
                        <a:ext uri="{28A0092B-C50C-407E-A947-70E740481C1C}">
                          <a14:useLocalDpi xmlns:a14="http://schemas.microsoft.com/office/drawing/2010/main" val="0"/>
                        </a:ext>
                      </a:extLst>
                    </a:blip>
                    <a:stretch>
                      <a:fillRect/>
                    </a:stretch>
                  </pic:blipFill>
                  <pic:spPr>
                    <a:xfrm>
                      <a:off x="0" y="0"/>
                      <a:ext cx="5671185" cy="269875"/>
                    </a:xfrm>
                    <a:prstGeom prst="rect">
                      <a:avLst/>
                    </a:prstGeom>
                  </pic:spPr>
                </pic:pic>
              </a:graphicData>
            </a:graphic>
          </wp:inline>
        </w:drawing>
      </w:r>
    </w:p>
    <w:p w14:paraId="19F7B8F6" w14:textId="68CE76A5" w:rsidR="00A00402" w:rsidRPr="00F703C9" w:rsidRDefault="00A00402" w:rsidP="00A00402">
      <w:pPr>
        <w:spacing w:after="0" w:line="360" w:lineRule="auto"/>
        <w:jc w:val="center"/>
        <w:rPr>
          <w:rFonts w:eastAsia="Times New Roman" w:cs="Tahoma"/>
          <w:bCs/>
          <w:iCs/>
          <w:lang w:eastAsia="es-ES"/>
        </w:rPr>
      </w:pPr>
      <w:r w:rsidRPr="00F703C9">
        <w:rPr>
          <w:rFonts w:eastAsia="Times New Roman" w:cs="Tahoma"/>
          <w:bCs/>
          <w:iCs/>
          <w:noProof/>
          <w:lang w:eastAsia="es-MX"/>
          <w14:ligatures w14:val="standardContextual"/>
        </w:rPr>
        <w:drawing>
          <wp:inline distT="0" distB="0" distL="0" distR="0" wp14:anchorId="53AA7826" wp14:editId="12AA2D59">
            <wp:extent cx="5671185" cy="284480"/>
            <wp:effectExtent l="0" t="0" r="5715" b="1270"/>
            <wp:docPr id="130504670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46709" name="Imagen 1305046709"/>
                    <pic:cNvPicPr/>
                  </pic:nvPicPr>
                  <pic:blipFill>
                    <a:blip r:embed="rId12">
                      <a:extLst>
                        <a:ext uri="{28A0092B-C50C-407E-A947-70E740481C1C}">
                          <a14:useLocalDpi xmlns:a14="http://schemas.microsoft.com/office/drawing/2010/main" val="0"/>
                        </a:ext>
                      </a:extLst>
                    </a:blip>
                    <a:stretch>
                      <a:fillRect/>
                    </a:stretch>
                  </pic:blipFill>
                  <pic:spPr>
                    <a:xfrm>
                      <a:off x="0" y="0"/>
                      <a:ext cx="5671185" cy="284480"/>
                    </a:xfrm>
                    <a:prstGeom prst="rect">
                      <a:avLst/>
                    </a:prstGeom>
                  </pic:spPr>
                </pic:pic>
              </a:graphicData>
            </a:graphic>
          </wp:inline>
        </w:drawing>
      </w:r>
    </w:p>
    <w:p w14:paraId="6D63E8B6" w14:textId="77777777" w:rsidR="006C7941" w:rsidRPr="00F703C9" w:rsidRDefault="006C7941" w:rsidP="00DA2D9B">
      <w:pPr>
        <w:spacing w:after="0" w:line="360" w:lineRule="auto"/>
        <w:rPr>
          <w:rFonts w:eastAsia="Times New Roman" w:cs="Tahoma"/>
          <w:bCs/>
          <w:iCs/>
          <w:lang w:eastAsia="es-ES"/>
        </w:rPr>
      </w:pPr>
    </w:p>
    <w:p w14:paraId="5379022D" w14:textId="2952F805" w:rsidR="00A00402" w:rsidRPr="00F703C9" w:rsidRDefault="00A00402" w:rsidP="00A00402">
      <w:pPr>
        <w:spacing w:after="0" w:line="360" w:lineRule="auto"/>
        <w:rPr>
          <w:rFonts w:eastAsia="Times New Roman" w:cs="Tahoma"/>
          <w:bCs/>
          <w:iCs/>
          <w:lang w:eastAsia="es-ES"/>
        </w:rPr>
      </w:pPr>
      <w:r w:rsidRPr="00F703C9">
        <w:rPr>
          <w:rFonts w:eastAsia="Times New Roman" w:cs="Tahoma"/>
          <w:bCs/>
          <w:iCs/>
          <w:lang w:eastAsia="es-ES"/>
        </w:rPr>
        <w:t xml:space="preserve">Además, se localizó el Programa Anual de Auditorías 2024 para la Fiscalización y Revisión de las Cuentas Públicas del Ejercicio Fiscal 2023, la cual para el Ayuntamiento de </w:t>
      </w:r>
      <w:r w:rsidRPr="00F703C9">
        <w:rPr>
          <w:bCs/>
          <w:color w:val="000000"/>
          <w:szCs w:val="14"/>
        </w:rPr>
        <w:t>Valle de Chalco Solidaridad contiene la Auditoría de Inversión Física AIF-063 y la Auditoría de Legalidad AL-062</w:t>
      </w:r>
      <w:r w:rsidRPr="00F703C9">
        <w:rPr>
          <w:rFonts w:eastAsia="Times New Roman" w:cs="Tahoma"/>
          <w:bCs/>
          <w:iCs/>
          <w:lang w:eastAsia="es-ES"/>
        </w:rPr>
        <w:t>, tal como se muestra a continuación:</w:t>
      </w:r>
    </w:p>
    <w:p w14:paraId="2DD2D9AC" w14:textId="77777777" w:rsidR="00A00402" w:rsidRPr="00F703C9" w:rsidRDefault="00A00402" w:rsidP="00A00402">
      <w:pPr>
        <w:spacing w:after="0" w:line="360" w:lineRule="auto"/>
        <w:rPr>
          <w:rFonts w:eastAsia="Times New Roman" w:cs="Tahoma"/>
          <w:bCs/>
          <w:iCs/>
          <w:lang w:eastAsia="es-ES"/>
        </w:rPr>
      </w:pPr>
    </w:p>
    <w:p w14:paraId="3D4CDDB9" w14:textId="4409340C" w:rsidR="00A00402" w:rsidRPr="00F703C9" w:rsidRDefault="00A00402" w:rsidP="00A00402">
      <w:pPr>
        <w:spacing w:after="0" w:line="360" w:lineRule="auto"/>
        <w:jc w:val="center"/>
        <w:rPr>
          <w:rFonts w:eastAsia="Times New Roman" w:cs="Tahoma"/>
          <w:bCs/>
          <w:iCs/>
          <w:lang w:eastAsia="es-ES"/>
        </w:rPr>
      </w:pPr>
      <w:r w:rsidRPr="00F703C9">
        <w:rPr>
          <w:rFonts w:eastAsia="Times New Roman" w:cs="Tahoma"/>
          <w:bCs/>
          <w:iCs/>
          <w:noProof/>
          <w:lang w:eastAsia="es-MX"/>
          <w14:ligatures w14:val="standardContextual"/>
        </w:rPr>
        <w:drawing>
          <wp:inline distT="0" distB="0" distL="0" distR="0" wp14:anchorId="301E7FB6" wp14:editId="3AC7DFAD">
            <wp:extent cx="5671185" cy="198755"/>
            <wp:effectExtent l="0" t="0" r="5715" b="0"/>
            <wp:docPr id="88822285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222857" name="Imagen 888222857"/>
                    <pic:cNvPicPr/>
                  </pic:nvPicPr>
                  <pic:blipFill>
                    <a:blip r:embed="rId13">
                      <a:extLst>
                        <a:ext uri="{28A0092B-C50C-407E-A947-70E740481C1C}">
                          <a14:useLocalDpi xmlns:a14="http://schemas.microsoft.com/office/drawing/2010/main" val="0"/>
                        </a:ext>
                      </a:extLst>
                    </a:blip>
                    <a:stretch>
                      <a:fillRect/>
                    </a:stretch>
                  </pic:blipFill>
                  <pic:spPr>
                    <a:xfrm>
                      <a:off x="0" y="0"/>
                      <a:ext cx="5671185" cy="198755"/>
                    </a:xfrm>
                    <a:prstGeom prst="rect">
                      <a:avLst/>
                    </a:prstGeom>
                  </pic:spPr>
                </pic:pic>
              </a:graphicData>
            </a:graphic>
          </wp:inline>
        </w:drawing>
      </w:r>
    </w:p>
    <w:p w14:paraId="503DE19A" w14:textId="5BC80ACD" w:rsidR="00A00402" w:rsidRPr="00F703C9" w:rsidRDefault="00A00402" w:rsidP="00A00402">
      <w:pPr>
        <w:spacing w:after="0" w:line="360" w:lineRule="auto"/>
        <w:jc w:val="center"/>
        <w:rPr>
          <w:rFonts w:eastAsia="Times New Roman" w:cs="Tahoma"/>
          <w:bCs/>
          <w:iCs/>
          <w:lang w:eastAsia="es-ES"/>
        </w:rPr>
      </w:pPr>
      <w:r w:rsidRPr="00F703C9">
        <w:rPr>
          <w:rFonts w:eastAsia="Times New Roman" w:cs="Tahoma"/>
          <w:bCs/>
          <w:iCs/>
          <w:noProof/>
          <w:lang w:eastAsia="es-MX"/>
          <w14:ligatures w14:val="standardContextual"/>
        </w:rPr>
        <w:drawing>
          <wp:inline distT="0" distB="0" distL="0" distR="0" wp14:anchorId="24534519" wp14:editId="410AA6AA">
            <wp:extent cx="5671185" cy="404495"/>
            <wp:effectExtent l="0" t="0" r="5715" b="0"/>
            <wp:docPr id="122659228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592287" name="Imagen 1226592287"/>
                    <pic:cNvPicPr/>
                  </pic:nvPicPr>
                  <pic:blipFill>
                    <a:blip r:embed="rId14">
                      <a:extLst>
                        <a:ext uri="{28A0092B-C50C-407E-A947-70E740481C1C}">
                          <a14:useLocalDpi xmlns:a14="http://schemas.microsoft.com/office/drawing/2010/main" val="0"/>
                        </a:ext>
                      </a:extLst>
                    </a:blip>
                    <a:stretch>
                      <a:fillRect/>
                    </a:stretch>
                  </pic:blipFill>
                  <pic:spPr>
                    <a:xfrm>
                      <a:off x="0" y="0"/>
                      <a:ext cx="5671185" cy="404495"/>
                    </a:xfrm>
                    <a:prstGeom prst="rect">
                      <a:avLst/>
                    </a:prstGeom>
                  </pic:spPr>
                </pic:pic>
              </a:graphicData>
            </a:graphic>
          </wp:inline>
        </w:drawing>
      </w:r>
    </w:p>
    <w:p w14:paraId="2EB671E8" w14:textId="645569DD" w:rsidR="00A00402" w:rsidRPr="00F703C9" w:rsidRDefault="00A00402" w:rsidP="00DA2D9B">
      <w:pPr>
        <w:spacing w:after="0" w:line="360" w:lineRule="auto"/>
        <w:rPr>
          <w:rFonts w:eastAsia="Times New Roman" w:cs="Tahoma"/>
          <w:bCs/>
          <w:iCs/>
          <w:lang w:eastAsia="es-ES"/>
        </w:rPr>
      </w:pPr>
    </w:p>
    <w:p w14:paraId="105725EA" w14:textId="12503FDC" w:rsidR="00696E28" w:rsidRPr="00F703C9" w:rsidRDefault="00696E28" w:rsidP="00696E28">
      <w:pPr>
        <w:spacing w:after="0" w:line="360" w:lineRule="auto"/>
        <w:rPr>
          <w:rFonts w:eastAsia="Times New Roman" w:cs="Tahoma"/>
          <w:bCs/>
          <w:iCs/>
          <w:lang w:eastAsia="es-ES"/>
        </w:rPr>
      </w:pPr>
      <w:r w:rsidRPr="00F703C9">
        <w:rPr>
          <w:rFonts w:eastAsia="Times New Roman" w:cs="Tahoma"/>
          <w:bCs/>
          <w:iCs/>
          <w:lang w:eastAsia="es-ES"/>
        </w:rPr>
        <w:t xml:space="preserve">Conforme a lo anterior, se logra observar que el Ayuntamiento de </w:t>
      </w:r>
      <w:r w:rsidRPr="00F703C9">
        <w:rPr>
          <w:bCs/>
          <w:color w:val="000000"/>
          <w:szCs w:val="14"/>
        </w:rPr>
        <w:t>Valle de Chalco Solidaridad</w:t>
      </w:r>
      <w:r w:rsidRPr="00F703C9">
        <w:rPr>
          <w:rFonts w:eastAsia="Times New Roman" w:cs="Tahoma"/>
          <w:bCs/>
          <w:iCs/>
          <w:lang w:eastAsia="es-ES"/>
        </w:rPr>
        <w:t xml:space="preserve"> no acreditó correctamente la Auditoría de la cual formaba parte la información solicitada, pues de la búsqueda realizada no se encontró ninguna auditoría con el número y tipo de auditoría proporcionados por el Sujeto Obligado.</w:t>
      </w:r>
    </w:p>
    <w:p w14:paraId="2D345B70" w14:textId="77777777" w:rsidR="006C7941" w:rsidRPr="00F703C9" w:rsidRDefault="006C7941" w:rsidP="00DA2D9B">
      <w:pPr>
        <w:spacing w:after="0" w:line="360" w:lineRule="auto"/>
        <w:rPr>
          <w:rFonts w:eastAsia="Times New Roman" w:cs="Tahoma"/>
          <w:bCs/>
          <w:iCs/>
          <w:lang w:eastAsia="es-ES"/>
        </w:rPr>
      </w:pPr>
    </w:p>
    <w:p w14:paraId="4CA4B08D" w14:textId="77777777" w:rsidR="006C7941" w:rsidRPr="00F703C9" w:rsidRDefault="006C7941" w:rsidP="00881817">
      <w:pPr>
        <w:numPr>
          <w:ilvl w:val="0"/>
          <w:numId w:val="10"/>
        </w:numPr>
        <w:spacing w:after="0" w:line="360" w:lineRule="auto"/>
        <w:contextualSpacing/>
        <w:jc w:val="left"/>
        <w:rPr>
          <w:rFonts w:eastAsia="Times New Roman" w:cs="Tahoma"/>
          <w:b/>
          <w:lang w:eastAsia="es-ES"/>
        </w:rPr>
      </w:pPr>
      <w:r w:rsidRPr="00F703C9">
        <w:rPr>
          <w:rFonts w:eastAsia="Times New Roman" w:cs="Tahoma"/>
          <w:b/>
          <w:lang w:eastAsia="es-ES"/>
        </w:rPr>
        <w:t>Que el procedimiento de fiscalización se encuentre en trámite</w:t>
      </w:r>
    </w:p>
    <w:p w14:paraId="6515FB65" w14:textId="77777777" w:rsidR="006C7941" w:rsidRPr="00F703C9" w:rsidRDefault="006C7941" w:rsidP="00DA2D9B">
      <w:pPr>
        <w:spacing w:after="0" w:line="360" w:lineRule="auto"/>
        <w:rPr>
          <w:rFonts w:eastAsia="Times New Roman" w:cs="Tahoma"/>
          <w:lang w:eastAsia="es-ES"/>
        </w:rPr>
      </w:pPr>
    </w:p>
    <w:p w14:paraId="175A3A4B" w14:textId="39E1F0C0" w:rsidR="006C7941" w:rsidRPr="00F703C9" w:rsidRDefault="006C7941" w:rsidP="00DA2D9B">
      <w:pPr>
        <w:spacing w:after="0" w:line="360" w:lineRule="auto"/>
        <w:rPr>
          <w:rFonts w:eastAsia="Calibri" w:cs="Tahoma"/>
          <w:bCs/>
          <w:lang w:val="es-ES"/>
        </w:rPr>
      </w:pPr>
      <w:r w:rsidRPr="00F703C9">
        <w:rPr>
          <w:rFonts w:eastAsia="Times New Roman" w:cs="Tahoma"/>
          <w:lang w:eastAsia="es-ES"/>
        </w:rPr>
        <w:lastRenderedPageBreak/>
        <w:t>Ahora bien, el Sujeto Obligado refirió que la auditoría se encontraba en trámite y no había concluido</w:t>
      </w:r>
      <w:r w:rsidR="0069765E" w:rsidRPr="00F703C9">
        <w:rPr>
          <w:rFonts w:eastAsia="Times New Roman" w:cs="Tahoma"/>
          <w:lang w:eastAsia="es-ES"/>
        </w:rPr>
        <w:t xml:space="preserve">; sin embargo, al no acreditar la existencia de la Auditoría, no se puede corroborar que este en trámite, por lo </w:t>
      </w:r>
      <w:r w:rsidRPr="00F703C9">
        <w:rPr>
          <w:rFonts w:eastAsia="Times New Roman" w:cs="Tahoma"/>
          <w:lang w:eastAsia="es-ES"/>
        </w:rPr>
        <w:t>que</w:t>
      </w:r>
      <w:r w:rsidR="0069765E" w:rsidRPr="00F703C9">
        <w:rPr>
          <w:rFonts w:eastAsia="Times New Roman" w:cs="Tahoma"/>
          <w:lang w:eastAsia="es-ES"/>
        </w:rPr>
        <w:t xml:space="preserve">, no se </w:t>
      </w:r>
      <w:r w:rsidRPr="00F703C9">
        <w:rPr>
          <w:rFonts w:eastAsia="Times New Roman" w:cs="Tahoma"/>
          <w:lang w:eastAsia="es-ES"/>
        </w:rPr>
        <w:t>acredit</w:t>
      </w:r>
      <w:r w:rsidR="0069765E" w:rsidRPr="00F703C9">
        <w:rPr>
          <w:rFonts w:eastAsia="Times New Roman" w:cs="Tahoma"/>
          <w:lang w:eastAsia="es-ES"/>
        </w:rPr>
        <w:t>a</w:t>
      </w:r>
      <w:r w:rsidRPr="00F703C9">
        <w:rPr>
          <w:rFonts w:eastAsia="Times New Roman" w:cs="Tahoma"/>
          <w:lang w:eastAsia="es-ES"/>
        </w:rPr>
        <w:t xml:space="preserve"> el segundo de los requisitos establecidos en los Lineamientos Generales.</w:t>
      </w:r>
    </w:p>
    <w:p w14:paraId="7B7B1899" w14:textId="77777777" w:rsidR="006C7941" w:rsidRPr="00F703C9" w:rsidRDefault="006C7941" w:rsidP="00DA2D9B">
      <w:pPr>
        <w:spacing w:after="0" w:line="360" w:lineRule="auto"/>
        <w:rPr>
          <w:rFonts w:eastAsia="Calibri" w:cs="Tahoma"/>
          <w:color w:val="000000"/>
          <w:lang w:val="es-ES"/>
        </w:rPr>
      </w:pPr>
    </w:p>
    <w:p w14:paraId="3C6B9F1E" w14:textId="77777777" w:rsidR="006C7941" w:rsidRPr="00F703C9" w:rsidRDefault="006C7941" w:rsidP="00881817">
      <w:pPr>
        <w:numPr>
          <w:ilvl w:val="0"/>
          <w:numId w:val="10"/>
        </w:numPr>
        <w:spacing w:after="0" w:line="360" w:lineRule="auto"/>
        <w:contextualSpacing/>
        <w:rPr>
          <w:rFonts w:eastAsia="Times New Roman" w:cs="Tahoma"/>
          <w:b/>
          <w:iCs/>
          <w:color w:val="auto"/>
          <w:lang w:eastAsia="es-ES"/>
        </w:rPr>
      </w:pPr>
      <w:r w:rsidRPr="00F703C9">
        <w:rPr>
          <w:rFonts w:eastAsia="Times New Roman" w:cs="Tahoma"/>
          <w:b/>
          <w:iCs/>
          <w:lang w:eastAsia="es-ES"/>
        </w:rPr>
        <w:t>La vinculación directa con las actividades que realiza la autoridad en el procedimiento de verificación del cumplimiento de las leyes</w:t>
      </w:r>
    </w:p>
    <w:p w14:paraId="07C40D5B" w14:textId="77777777" w:rsidR="006C7941" w:rsidRPr="00F703C9" w:rsidRDefault="006C7941" w:rsidP="00DA2D9B">
      <w:pPr>
        <w:spacing w:after="0" w:line="360" w:lineRule="auto"/>
        <w:rPr>
          <w:rFonts w:eastAsia="Times New Roman" w:cs="Tahoma"/>
          <w:b/>
          <w:iCs/>
          <w:lang w:eastAsia="es-ES"/>
        </w:rPr>
      </w:pPr>
    </w:p>
    <w:p w14:paraId="07410C2B" w14:textId="772DF9CF" w:rsidR="006C7941" w:rsidRPr="00F703C9" w:rsidRDefault="006C7941" w:rsidP="00DA2D9B">
      <w:pPr>
        <w:spacing w:after="0" w:line="360" w:lineRule="auto"/>
        <w:rPr>
          <w:rFonts w:eastAsia="Times New Roman" w:cs="Tahoma"/>
          <w:bCs/>
          <w:iCs/>
          <w:lang w:eastAsia="es-ES"/>
        </w:rPr>
      </w:pPr>
      <w:r w:rsidRPr="00F703C9">
        <w:rPr>
          <w:rFonts w:eastAsia="Times New Roman" w:cs="Tahoma"/>
          <w:bCs/>
          <w:iCs/>
          <w:lang w:eastAsia="es-ES"/>
        </w:rPr>
        <w:t>En el presente caso, caber señalar, que el Sujeto Obligado refirió que la información solicitada se encontraba dentro de una Auditor</w:t>
      </w:r>
      <w:r w:rsidRPr="00F703C9">
        <w:rPr>
          <w:rFonts w:eastAsia="Times New Roman" w:cs="Tahoma"/>
          <w:bCs/>
          <w:iCs/>
          <w:lang w:val="x-none" w:eastAsia="es-ES"/>
        </w:rPr>
        <w:t xml:space="preserve">ía </w:t>
      </w:r>
      <w:r w:rsidRPr="00F703C9">
        <w:rPr>
          <w:rFonts w:eastAsia="Times New Roman" w:cs="Tahoma"/>
          <w:bCs/>
          <w:iCs/>
          <w:lang w:eastAsia="es-ES"/>
        </w:rPr>
        <w:t>de</w:t>
      </w:r>
      <w:r w:rsidR="0059178F" w:rsidRPr="00F703C9">
        <w:rPr>
          <w:rFonts w:eastAsia="Times New Roman" w:cs="Tahoma"/>
          <w:bCs/>
          <w:iCs/>
          <w:lang w:eastAsia="es-ES"/>
        </w:rPr>
        <w:t xml:space="preserve"> Participaciones Federales a Entidades Federativas</w:t>
      </w:r>
      <w:r w:rsidRPr="00F703C9">
        <w:rPr>
          <w:rFonts w:eastAsia="Times New Roman" w:cs="Tahoma"/>
          <w:bCs/>
          <w:iCs/>
          <w:lang w:val="x-none" w:eastAsia="es-ES"/>
        </w:rPr>
        <w:t>, sin embargo, omitió señalar porque la información solicitada tenía una vinculación directa con las actividades que realizaba la autoridad en el procedimiento</w:t>
      </w:r>
      <w:r w:rsidRPr="00F703C9">
        <w:rPr>
          <w:rFonts w:eastAsia="Times New Roman" w:cs="Tahoma"/>
          <w:bCs/>
          <w:iCs/>
          <w:lang w:eastAsia="es-ES"/>
        </w:rPr>
        <w:t>.</w:t>
      </w:r>
    </w:p>
    <w:p w14:paraId="657C7242" w14:textId="77777777" w:rsidR="006C7941" w:rsidRPr="00F703C9" w:rsidRDefault="006C7941" w:rsidP="00DA2D9B">
      <w:pPr>
        <w:spacing w:after="0" w:line="360" w:lineRule="auto"/>
        <w:rPr>
          <w:rFonts w:eastAsia="Times New Roman" w:cs="Tahoma"/>
          <w:bCs/>
          <w:iCs/>
          <w:lang w:eastAsia="es-ES"/>
        </w:rPr>
      </w:pPr>
    </w:p>
    <w:p w14:paraId="7238475C" w14:textId="6452D405" w:rsidR="006C7941" w:rsidRPr="00F703C9" w:rsidRDefault="006C7941" w:rsidP="00DA2D9B">
      <w:pPr>
        <w:spacing w:after="0" w:line="360" w:lineRule="auto"/>
        <w:rPr>
          <w:rFonts w:eastAsia="Times New Roman" w:cs="Tahoma"/>
          <w:bCs/>
          <w:iCs/>
          <w:lang w:eastAsia="es-ES"/>
        </w:rPr>
      </w:pPr>
      <w:r w:rsidRPr="00F703C9">
        <w:rPr>
          <w:rFonts w:eastAsia="Times New Roman" w:cs="Tahoma"/>
          <w:bCs/>
          <w:iCs/>
          <w:lang w:eastAsia="es-ES"/>
        </w:rPr>
        <w:t>Conforme a lo anterior, se logra observar que el Ayuntamiento de</w:t>
      </w:r>
      <w:r w:rsidR="0059178F" w:rsidRPr="00F703C9">
        <w:rPr>
          <w:rFonts w:eastAsia="Times New Roman" w:cs="Tahoma"/>
          <w:bCs/>
          <w:iCs/>
          <w:lang w:eastAsia="es-ES"/>
        </w:rPr>
        <w:t xml:space="preserve"> </w:t>
      </w:r>
      <w:r w:rsidR="0059178F" w:rsidRPr="00F703C9">
        <w:rPr>
          <w:bCs/>
          <w:color w:val="000000"/>
          <w:szCs w:val="14"/>
        </w:rPr>
        <w:t>Valle de Chalco Solidaridad</w:t>
      </w:r>
      <w:r w:rsidRPr="00F703C9">
        <w:rPr>
          <w:rFonts w:eastAsia="Times New Roman" w:cs="Tahoma"/>
          <w:bCs/>
          <w:iCs/>
          <w:lang w:eastAsia="es-ES"/>
        </w:rPr>
        <w:t xml:space="preserve"> no proporcionó todos elementos necesarios para determinar si la información solicitada, se encontraba vinculada de manera directa con las actividades realizadas por el Ente Auditor, al no saber que está inspeccionando dicho ente y, por lo tanto, no se acredita el tercero de los requisitos establecidos en los Lineamientos Generales; situación que se robustece, con el hecho de que la información no impide u obstaculiza las actividades realizadas por el Órgano Auditor, tal como se analizará a continuación.</w:t>
      </w:r>
    </w:p>
    <w:p w14:paraId="74167826" w14:textId="77777777" w:rsidR="006C7941" w:rsidRPr="00F703C9" w:rsidRDefault="006C7941" w:rsidP="00DA2D9B">
      <w:pPr>
        <w:spacing w:after="0" w:line="360" w:lineRule="auto"/>
        <w:rPr>
          <w:rFonts w:eastAsia="Times New Roman" w:cs="Tahoma"/>
          <w:bCs/>
          <w:iCs/>
          <w:lang w:eastAsia="es-ES"/>
        </w:rPr>
      </w:pPr>
    </w:p>
    <w:p w14:paraId="1D0C4105" w14:textId="77777777" w:rsidR="006C7941" w:rsidRPr="00F703C9" w:rsidRDefault="006C7941" w:rsidP="00881817">
      <w:pPr>
        <w:numPr>
          <w:ilvl w:val="0"/>
          <w:numId w:val="10"/>
        </w:numPr>
        <w:spacing w:after="0" w:line="360" w:lineRule="auto"/>
        <w:contextualSpacing/>
        <w:rPr>
          <w:rFonts w:eastAsia="Times New Roman" w:cs="Tahoma"/>
          <w:b/>
          <w:iCs/>
          <w:lang w:eastAsia="es-ES"/>
        </w:rPr>
      </w:pPr>
      <w:r w:rsidRPr="00F703C9">
        <w:rPr>
          <w:rFonts w:eastAsia="Times New Roman" w:cs="Tahoma"/>
          <w:b/>
          <w:iCs/>
          <w:lang w:eastAsia="es-ES"/>
        </w:rPr>
        <w:t>Que la difusión de la información impida u obstaculice las actividades de inspección, supervisión o vigilancia que realicen las autoridades en el proceso de verificación del cumplimiento de las leyes</w:t>
      </w:r>
    </w:p>
    <w:p w14:paraId="7A270FFD" w14:textId="77777777" w:rsidR="006C7941" w:rsidRPr="00F703C9" w:rsidRDefault="006C7941" w:rsidP="00DA2D9B">
      <w:pPr>
        <w:spacing w:after="0" w:line="360" w:lineRule="auto"/>
        <w:rPr>
          <w:rFonts w:eastAsia="Times New Roman" w:cs="Tahoma"/>
          <w:bCs/>
          <w:iCs/>
          <w:lang w:eastAsia="es-ES"/>
        </w:rPr>
      </w:pPr>
    </w:p>
    <w:p w14:paraId="479D5F6F" w14:textId="29DDB1F9" w:rsidR="006C7941" w:rsidRPr="00F703C9" w:rsidRDefault="006C7941" w:rsidP="00DA2D9B">
      <w:pPr>
        <w:spacing w:after="0" w:line="360" w:lineRule="auto"/>
        <w:rPr>
          <w:rFonts w:eastAsia="Times New Roman" w:cs="Tahoma"/>
          <w:bCs/>
          <w:iCs/>
          <w:lang w:eastAsia="es-ES"/>
        </w:rPr>
      </w:pPr>
      <w:r w:rsidRPr="00F703C9">
        <w:rPr>
          <w:rFonts w:eastAsia="Times New Roman" w:cs="Tahoma"/>
          <w:bCs/>
          <w:iCs/>
          <w:lang w:eastAsia="es-ES"/>
        </w:rPr>
        <w:lastRenderedPageBreak/>
        <w:t xml:space="preserve">En principio, resulta indispensable precisar que los sujetos obligados deben distinguir claramente la información que documenta el proceso de auditoría; esto es, aquellas expresiones documentales, que reflejen las actividades de inspección y fiscalización realizadas por el Órgano Auditor, así como, que contengan el estudio, el análisis realizadas y las inconsistencias encontradas, por las autoridades auditoras; </w:t>
      </w:r>
      <w:r w:rsidRPr="00F703C9">
        <w:rPr>
          <w:rFonts w:eastAsia="Times New Roman" w:cs="Tahoma"/>
          <w:b/>
          <w:iCs/>
          <w:lang w:eastAsia="es-ES"/>
        </w:rPr>
        <w:t>de aquellas otras, que corresponden a la generada por los Entes Fiscalizables, en el presente caso, el Ayuntamiento de</w:t>
      </w:r>
      <w:r w:rsidR="00C7140B" w:rsidRPr="00F703C9">
        <w:rPr>
          <w:rFonts w:eastAsia="Times New Roman" w:cs="Tahoma"/>
          <w:b/>
          <w:iCs/>
          <w:lang w:eastAsia="es-ES"/>
        </w:rPr>
        <w:t xml:space="preserve"> </w:t>
      </w:r>
      <w:r w:rsidR="00C7140B" w:rsidRPr="00F703C9">
        <w:rPr>
          <w:b/>
          <w:color w:val="000000"/>
          <w:szCs w:val="14"/>
        </w:rPr>
        <w:t>Valle de Chalco Solidaridad</w:t>
      </w:r>
      <w:r w:rsidRPr="00F703C9">
        <w:rPr>
          <w:rFonts w:eastAsia="Times New Roman" w:cs="Tahoma"/>
          <w:b/>
          <w:iCs/>
          <w:lang w:eastAsia="es-ES"/>
        </w:rPr>
        <w:t xml:space="preserve">, durante un ejercicio fiscal; esto es, la información generada el Sujeto Obligado, durante un determinado tiempo, y que analizará la autoridad, </w:t>
      </w:r>
      <w:r w:rsidRPr="00F703C9">
        <w:rPr>
          <w:rFonts w:eastAsia="Times New Roman" w:cs="Tahoma"/>
          <w:bCs/>
          <w:iCs/>
          <w:lang w:eastAsia="es-ES"/>
        </w:rPr>
        <w:t>lo cual corresponde a un insumo informativo o de apoyo, en el proceso de fiscalización.</w:t>
      </w:r>
    </w:p>
    <w:p w14:paraId="7B630F58" w14:textId="77777777" w:rsidR="006C7941" w:rsidRPr="00F703C9" w:rsidRDefault="006C7941" w:rsidP="00DA2D9B">
      <w:pPr>
        <w:spacing w:after="0" w:line="360" w:lineRule="auto"/>
        <w:rPr>
          <w:rFonts w:eastAsia="Times New Roman" w:cs="Tahoma"/>
          <w:bCs/>
          <w:iCs/>
          <w:lang w:eastAsia="es-ES"/>
        </w:rPr>
      </w:pPr>
    </w:p>
    <w:p w14:paraId="2250A3FF" w14:textId="77777777" w:rsidR="006C7941" w:rsidRPr="00F703C9" w:rsidRDefault="006C7941" w:rsidP="00DA2D9B">
      <w:pPr>
        <w:spacing w:after="0" w:line="360" w:lineRule="auto"/>
        <w:rPr>
          <w:rFonts w:eastAsia="Times New Roman" w:cs="Tahoma"/>
          <w:lang w:eastAsia="es-ES"/>
        </w:rPr>
      </w:pPr>
      <w:r w:rsidRPr="00F703C9">
        <w:rPr>
          <w:rFonts w:eastAsia="Times New Roman" w:cs="Tahoma"/>
          <w:bCs/>
          <w:iCs/>
          <w:lang w:eastAsia="es-ES"/>
        </w:rPr>
        <w:t>Lo anterior, toma relevancia, pues conforme al Criterio de Interpretación</w:t>
      </w:r>
      <w:r w:rsidRPr="00F703C9">
        <w:rPr>
          <w:rFonts w:eastAsia="Times New Roman" w:cs="Tahoma"/>
          <w:lang w:val="es-ES_tradnl" w:eastAsia="es-ES"/>
        </w:rPr>
        <w:t xml:space="preserve"> con clave de control SO/016/2013, de la Primera Época, emitido por el entonces Instituto Federal de Acceso a la Información y Protección de Datos</w:t>
      </w:r>
      <w:r w:rsidRPr="00F703C9">
        <w:rPr>
          <w:rFonts w:eastAsia="Times New Roman" w:cs="Tahoma"/>
          <w:bCs/>
          <w:iCs/>
          <w:lang w:eastAsia="es-ES"/>
        </w:rPr>
        <w:t>,</w:t>
      </w:r>
      <w:r w:rsidRPr="00F703C9">
        <w:rPr>
          <w:rFonts w:eastAsia="Times New Roman" w:cs="Tahoma"/>
          <w:lang w:eastAsia="es-ES"/>
        </w:rPr>
        <w:t xml:space="preserve"> mismo que se trae por analogía y, del cual, se puede vislumbrar que la difusión de los insumos informativos o de apoyo no afectan a la decisión final que pueda adoptar la autoridad auditora, pues inclusive, en el presente caso, información relacionada con la misma, se debe publicar y hacer del conocimiento a la ciudadanía.</w:t>
      </w:r>
    </w:p>
    <w:p w14:paraId="0AB03F63" w14:textId="77777777" w:rsidR="006C7941" w:rsidRPr="00F703C9" w:rsidRDefault="006C7941" w:rsidP="00DA2D9B">
      <w:pPr>
        <w:spacing w:after="0" w:line="360" w:lineRule="auto"/>
        <w:contextualSpacing/>
        <w:rPr>
          <w:rFonts w:eastAsia="Times New Roman" w:cs="Tahoma"/>
          <w:color w:val="000000"/>
          <w:lang w:val="x-none" w:eastAsia="es-ES"/>
        </w:rPr>
      </w:pPr>
    </w:p>
    <w:p w14:paraId="267C72F6" w14:textId="3E237E25" w:rsidR="006C7941" w:rsidRPr="00F703C9" w:rsidRDefault="006C7941" w:rsidP="00DA2D9B">
      <w:pPr>
        <w:spacing w:after="0" w:line="360" w:lineRule="auto"/>
        <w:rPr>
          <w:rFonts w:eastAsia="Times New Roman" w:cs="Arial"/>
          <w:lang w:val="x-none" w:eastAsia="es-ES"/>
        </w:rPr>
      </w:pPr>
      <w:r w:rsidRPr="00F703C9">
        <w:rPr>
          <w:rFonts w:eastAsia="Times New Roman" w:cs="Arial"/>
          <w:lang w:val="es-ES" w:eastAsia="es-ES"/>
        </w:rPr>
        <w:t>Adem</w:t>
      </w:r>
      <w:r w:rsidRPr="00F703C9">
        <w:rPr>
          <w:rFonts w:eastAsia="Times New Roman" w:cs="Arial"/>
          <w:lang w:val="x-none" w:eastAsia="es-ES"/>
        </w:rPr>
        <w:t xml:space="preserve">ás, </w:t>
      </w:r>
      <w:r w:rsidRPr="00F703C9">
        <w:rPr>
          <w:rFonts w:eastAsia="Times New Roman" w:cs="Arial"/>
          <w:lang w:eastAsia="es-ES"/>
        </w:rPr>
        <w:t>es de señalar que</w:t>
      </w:r>
      <w:r w:rsidRPr="00F703C9">
        <w:rPr>
          <w:rFonts w:eastAsia="Times New Roman" w:cs="Arial"/>
          <w:lang w:val="x-none" w:eastAsia="es-ES"/>
        </w:rPr>
        <w:t xml:space="preserve"> los documentos donde conste la</w:t>
      </w:r>
      <w:r w:rsidR="00C7140B" w:rsidRPr="00F703C9">
        <w:rPr>
          <w:rFonts w:eastAsia="Times New Roman" w:cs="Arial"/>
          <w:lang w:val="x-none" w:eastAsia="es-ES"/>
        </w:rPr>
        <w:t xml:space="preserve"> erogación de recursos por contratación de servicios</w:t>
      </w:r>
      <w:r w:rsidRPr="00F703C9">
        <w:rPr>
          <w:rFonts w:eastAsia="Calibri" w:cs="Tahoma"/>
          <w:bCs/>
          <w:color w:val="000000"/>
        </w:rPr>
        <w:t xml:space="preserve">, </w:t>
      </w:r>
      <w:r w:rsidRPr="00F703C9">
        <w:rPr>
          <w:rFonts w:eastAsia="Calibri" w:cs="Tahoma"/>
          <w:bCs/>
        </w:rPr>
        <w:t>rinde cuentas de la forma en que utiliza el Ayuntamiento los recursos públicos, entregados por la Federación</w:t>
      </w:r>
      <w:r w:rsidRPr="00F703C9">
        <w:rPr>
          <w:rFonts w:eastAsia="Times New Roman" w:cs="Tahoma"/>
          <w:bCs/>
          <w:iCs/>
          <w:lang w:val="es-ES_tradnl" w:eastAsia="es-ES"/>
        </w:rPr>
        <w:t>; sobre</w:t>
      </w:r>
      <w:r w:rsidRPr="00F703C9">
        <w:rPr>
          <w:rFonts w:eastAsia="Times New Roman" w:cs="Tahoma"/>
          <w:lang w:val="es-ES" w:eastAsia="es-ES"/>
        </w:rPr>
        <w:t xml:space="preserve"> el tema, </w:t>
      </w:r>
      <w:r w:rsidRPr="00F703C9">
        <w:rPr>
          <w:rFonts w:eastAsia="Times New Roman" w:cs="Arial"/>
          <w:bCs/>
          <w:lang w:eastAsia="es-ES"/>
        </w:rPr>
        <w:t xml:space="preserve">según Arizmendi, Guillermo (2016), en la “Ley General de Transparencia y Acceso a la Información Pública Comentada” (p. 240 y 241), los recursos públicos, deber ser administrado con responsabilidad y transparencia. </w:t>
      </w:r>
      <w:r w:rsidRPr="00F703C9">
        <w:rPr>
          <w:rFonts w:eastAsia="Times New Roman" w:cs="Tahoma"/>
          <w:lang w:val="es-ES" w:eastAsia="es-ES"/>
        </w:rPr>
        <w:t xml:space="preserve">En ese orden de ideas, según Trujillo, Humberto (2019), en el “Diccionario de Transparencia y Acceso a la Información Pública” (p. 276), </w:t>
      </w:r>
      <w:r w:rsidRPr="00F703C9">
        <w:rPr>
          <w:rFonts w:eastAsia="Times New Roman" w:cs="Tahoma"/>
          <w:b/>
          <w:lang w:val="es-ES" w:eastAsia="es-ES"/>
        </w:rPr>
        <w:t xml:space="preserve">los recursos públicos son los </w:t>
      </w:r>
      <w:r w:rsidRPr="00F703C9">
        <w:rPr>
          <w:rFonts w:eastAsia="Times New Roman" w:cs="Tahoma"/>
          <w:b/>
          <w:lang w:val="es-ES" w:eastAsia="es-ES"/>
        </w:rPr>
        <w:lastRenderedPageBreak/>
        <w:t>ingresos económicos, que obtiene el Estado y que asigna (a partir del presupuesto) al ejercicio de sus actividades, los cuales deben ser asignados de manera transparente y bajo un sistema de rendición de cuentas, para que las personas puedan monitorear, evaluar y cuestionar su gasto.</w:t>
      </w:r>
    </w:p>
    <w:p w14:paraId="0F531179" w14:textId="77777777" w:rsidR="006C7941" w:rsidRPr="00F703C9" w:rsidRDefault="006C7941" w:rsidP="00DA2D9B">
      <w:pPr>
        <w:spacing w:after="0" w:line="360" w:lineRule="auto"/>
        <w:rPr>
          <w:rFonts w:eastAsia="Times New Roman" w:cs="Tahoma"/>
          <w:b/>
          <w:lang w:val="es-ES" w:eastAsia="es-ES"/>
        </w:rPr>
      </w:pPr>
    </w:p>
    <w:p w14:paraId="00D21B17" w14:textId="77777777" w:rsidR="006C7941" w:rsidRPr="00F703C9" w:rsidRDefault="006C7941" w:rsidP="00DA2D9B">
      <w:pPr>
        <w:spacing w:after="0" w:line="360" w:lineRule="auto"/>
        <w:rPr>
          <w:rFonts w:eastAsia="Times New Roman" w:cs="Tahoma"/>
          <w:lang w:eastAsia="es-ES"/>
        </w:rPr>
      </w:pPr>
      <w:r w:rsidRPr="00F703C9">
        <w:rPr>
          <w:rFonts w:eastAsia="Times New Roman" w:cs="Tahoma"/>
          <w:lang w:val="es-ES" w:eastAsia="es-ES"/>
        </w:rPr>
        <w:t xml:space="preserve">Además, los artículos 134 de la Constitución Política de los Estados Unidos Mexicanos y el 129 de la Constitución Política del Estado Libre y Soberano de México, establecen que los recursos públicos de que dispongan, entre otros, los Municipios, se administrarán con eficiencia, eficacia, economía, </w:t>
      </w:r>
      <w:r w:rsidRPr="00F703C9">
        <w:rPr>
          <w:rFonts w:eastAsia="Times New Roman" w:cs="Tahoma"/>
          <w:b/>
          <w:lang w:val="es-ES" w:eastAsia="es-ES"/>
        </w:rPr>
        <w:t xml:space="preserve">transparencia </w:t>
      </w:r>
      <w:r w:rsidRPr="00F703C9">
        <w:rPr>
          <w:rFonts w:eastAsia="Times New Roman" w:cs="Tahoma"/>
          <w:lang w:val="es-ES" w:eastAsia="es-ES"/>
        </w:rPr>
        <w:t xml:space="preserve">y honradez; sobre lo referido,  </w:t>
      </w:r>
      <w:r w:rsidRPr="00F703C9">
        <w:rPr>
          <w:rFonts w:eastAsia="Times New Roman" w:cs="Tahoma"/>
          <w:lang w:eastAsia="es-ES"/>
        </w:rPr>
        <w:t>la Tesis número 1a.CXLV/2009, Novena Época, publicada en el Semanario Judicial de la Federación, Tomo XXX, de septiembre de dos mil nueve, (p. 2712), establece lo siguiente:</w:t>
      </w:r>
    </w:p>
    <w:p w14:paraId="1765E373" w14:textId="77777777" w:rsidR="006C7941" w:rsidRPr="00F703C9" w:rsidRDefault="006C7941" w:rsidP="00DA2D9B">
      <w:pPr>
        <w:spacing w:after="0" w:line="360" w:lineRule="auto"/>
        <w:rPr>
          <w:rFonts w:eastAsia="Times New Roman" w:cs="Tahoma"/>
          <w:lang w:val="es-ES" w:eastAsia="es-ES"/>
        </w:rPr>
      </w:pPr>
    </w:p>
    <w:p w14:paraId="3AD37F0E" w14:textId="77777777" w:rsidR="006C7941" w:rsidRPr="00F703C9" w:rsidRDefault="006C7941" w:rsidP="00DA2D9B">
      <w:pPr>
        <w:spacing w:after="0" w:line="360" w:lineRule="auto"/>
        <w:ind w:left="567" w:right="567"/>
        <w:rPr>
          <w:rFonts w:eastAsia="Times New Roman" w:cs="Tahoma"/>
          <w:bCs/>
          <w:i/>
          <w:iCs/>
          <w:sz w:val="20"/>
          <w:szCs w:val="20"/>
          <w:lang w:val="es-ES" w:eastAsia="es-ES"/>
        </w:rPr>
      </w:pPr>
      <w:r w:rsidRPr="00F703C9">
        <w:rPr>
          <w:rFonts w:eastAsia="Times New Roman" w:cs="Tahoma"/>
          <w:b/>
          <w:bCs/>
          <w:i/>
          <w:iCs/>
          <w:sz w:val="20"/>
          <w:szCs w:val="20"/>
          <w:lang w:val="es-ES" w:eastAsia="es-ES"/>
        </w:rPr>
        <w:t>“</w:t>
      </w:r>
      <w:r w:rsidRPr="00F703C9">
        <w:rPr>
          <w:rFonts w:eastAsia="Times New Roman" w:cs="Tahoma"/>
          <w:b/>
          <w:bCs/>
          <w:i/>
          <w:iCs/>
          <w:sz w:val="20"/>
          <w:szCs w:val="20"/>
          <w:lang w:eastAsia="es-ES"/>
        </w:rPr>
        <w:t xml:space="preserve">GASTO PÚBLICO. EL ARTÍCULO 134 DE LA CONSTITUCIÓN POLÍTICA DE LOS ESTADOS UNIDOS MEXICANOS ELEVA A RANGO CONSTITUCIONAL LOS PRINCIPIOS DE LEGALIDAD, EFICIENCIA, EFICACIA, ECONOMÍA, TRANSPARENCIA Y HONRADEZ EN ESTA MATERIA. </w:t>
      </w:r>
      <w:r w:rsidRPr="00F703C9">
        <w:rPr>
          <w:rFonts w:eastAsia="Times New Roman" w:cs="Tahoma"/>
          <w:bCs/>
          <w:i/>
          <w:iCs/>
          <w:sz w:val="20"/>
          <w:szCs w:val="20"/>
          <w:lang w:eastAsia="es-ES"/>
        </w:rPr>
        <w:t>Del citado precepto constitucional se advierte que el correcto ejercicio del gasto público se salvaguarda por los siguientes principios: 1. Legalidad, en tanto que debe estar prescrito en el Presupuesto de Egresos o, en su defecto, en una ley expedida por el Congreso de la Unión, lo cual significa la sujeción de las autoridades a un modelo normativo previamente establecido; 2. Honradez, pues implica que no debe llevarse a cabo de manera abusiva, ni para un destino diverso al programado; 3. Eficiencia, en el entendido de que las autoridades deben disponer de los medios que estimen convenientes para que el ejercicio del gasto público logre el fin para el cual se programó y destinó; 4. Eficacia, ya que es indispensable contar con la capacidad suficiente para lograr las metas estimadas; 5. Economía, en el sentido de que el gasto público debe ejercerse recta y prudentemente, lo cual implica que los servidores públicos siempre deben buscar las mejores condiciones de contratación para el Estado, y 6. Transparencia, para permitir hacer del conocimiento público el ejercicio del gasto estatal.</w:t>
      </w:r>
      <w:r w:rsidRPr="00F703C9">
        <w:rPr>
          <w:rFonts w:eastAsia="Times New Roman" w:cs="Tahoma"/>
          <w:bCs/>
          <w:i/>
          <w:iCs/>
          <w:sz w:val="20"/>
          <w:szCs w:val="20"/>
          <w:lang w:val="es-ES" w:eastAsia="es-ES"/>
        </w:rPr>
        <w:t>”</w:t>
      </w:r>
    </w:p>
    <w:p w14:paraId="5EBE1DFA" w14:textId="77777777" w:rsidR="006C7941" w:rsidRPr="00F703C9" w:rsidRDefault="006C7941" w:rsidP="00DA2D9B">
      <w:pPr>
        <w:spacing w:after="0" w:line="360" w:lineRule="auto"/>
        <w:rPr>
          <w:rFonts w:eastAsia="Times New Roman" w:cs="Tahoma"/>
          <w:bCs/>
          <w:iCs/>
          <w:lang w:val="es-ES" w:eastAsia="es-ES"/>
        </w:rPr>
      </w:pPr>
    </w:p>
    <w:p w14:paraId="3E90F8E8" w14:textId="77777777" w:rsidR="006C7941" w:rsidRPr="00F703C9" w:rsidRDefault="006C7941" w:rsidP="00DA2D9B">
      <w:pPr>
        <w:spacing w:after="0" w:line="360" w:lineRule="auto"/>
        <w:rPr>
          <w:rFonts w:eastAsia="Times New Roman" w:cs="Tahoma"/>
          <w:bCs/>
          <w:iCs/>
          <w:lang w:val="es-ES" w:eastAsia="es-ES"/>
        </w:rPr>
      </w:pPr>
      <w:r w:rsidRPr="00F703C9">
        <w:rPr>
          <w:rFonts w:eastAsia="Times New Roman" w:cs="Tahoma"/>
          <w:bCs/>
          <w:iCs/>
          <w:lang w:val="es-ES" w:eastAsia="es-ES"/>
        </w:rPr>
        <w:lastRenderedPageBreak/>
        <w:t>Como se logra observar, el ejercicio de recursos públicos por parte de los tres niveles de Gobierno, que incluye a los Municipios, debe seguir el Principio de Transparencia, que implica permitir a la ciudadanía conocer en la forma en que se gasta el Estado, los recursos con los que cuenta para el cumplimiento de sus obligaciones y atribuciones.</w:t>
      </w:r>
    </w:p>
    <w:p w14:paraId="5AA9A423" w14:textId="77777777" w:rsidR="006C7941" w:rsidRPr="00F703C9" w:rsidRDefault="006C7941" w:rsidP="00DA2D9B">
      <w:pPr>
        <w:spacing w:after="0" w:line="360" w:lineRule="auto"/>
        <w:rPr>
          <w:rFonts w:eastAsia="Times New Roman" w:cs="Tahoma"/>
          <w:bCs/>
          <w:iCs/>
          <w:lang w:val="es-ES" w:eastAsia="es-ES"/>
        </w:rPr>
      </w:pPr>
    </w:p>
    <w:p w14:paraId="390AB3F9" w14:textId="770A2A2E" w:rsidR="006C7941" w:rsidRPr="00F703C9" w:rsidRDefault="006C7941" w:rsidP="00DA2D9B">
      <w:pPr>
        <w:spacing w:after="0" w:line="360" w:lineRule="auto"/>
        <w:rPr>
          <w:rFonts w:eastAsia="Times New Roman" w:cs="Tahoma"/>
          <w:lang w:val="es-ES" w:eastAsia="es-ES"/>
        </w:rPr>
      </w:pPr>
      <w:r w:rsidRPr="00F703C9">
        <w:rPr>
          <w:rFonts w:eastAsia="Times New Roman" w:cs="Tahoma"/>
          <w:bCs/>
          <w:iCs/>
          <w:lang w:val="es-ES" w:eastAsia="es-ES"/>
        </w:rPr>
        <w:t xml:space="preserve">Al respecto, </w:t>
      </w:r>
      <w:r w:rsidRPr="00F703C9">
        <w:rPr>
          <w:rFonts w:eastAsia="Times New Roman" w:cs="Tahoma"/>
          <w:lang w:val="es-ES" w:eastAsia="es-ES"/>
        </w:rPr>
        <w:t xml:space="preserve">según Merino, Mauricio (2019), en el “Diccionario de Transparencia y Acceso a la Información Pública” (p. 276), </w:t>
      </w:r>
      <w:r w:rsidRPr="00F703C9">
        <w:rPr>
          <w:rFonts w:eastAsia="Times New Roman" w:cs="Tahoma"/>
          <w:b/>
          <w:lang w:val="es-ES" w:eastAsia="es-ES"/>
        </w:rPr>
        <w:t xml:space="preserve">la rendición de </w:t>
      </w:r>
      <w:r w:rsidR="0069765E" w:rsidRPr="00F703C9">
        <w:rPr>
          <w:rFonts w:eastAsia="Times New Roman" w:cs="Tahoma"/>
          <w:b/>
          <w:lang w:val="es-ES" w:eastAsia="es-ES"/>
        </w:rPr>
        <w:t>cuentas</w:t>
      </w:r>
      <w:r w:rsidRPr="00F703C9">
        <w:rPr>
          <w:rFonts w:eastAsia="Times New Roman" w:cs="Tahoma"/>
          <w:b/>
          <w:lang w:val="es-ES" w:eastAsia="es-ES"/>
        </w:rPr>
        <w:t xml:space="preserve"> </w:t>
      </w:r>
      <w:r w:rsidRPr="00F703C9">
        <w:rPr>
          <w:rFonts w:eastAsia="Times New Roman" w:cs="Tahoma"/>
          <w:lang w:val="es-ES" w:eastAsia="es-ES"/>
        </w:rPr>
        <w:t xml:space="preserve">es un ejercicio de transparencia e información pública; es un medio a través del cual los gobiernos informan al público de sus actividades, </w:t>
      </w:r>
      <w:r w:rsidRPr="00F703C9">
        <w:rPr>
          <w:rFonts w:eastAsia="Times New Roman" w:cs="Tahoma"/>
          <w:b/>
          <w:lang w:val="es-ES" w:eastAsia="es-ES"/>
        </w:rPr>
        <w:t>de los recursos que han ejercido</w:t>
      </w:r>
      <w:r w:rsidRPr="00F703C9">
        <w:rPr>
          <w:rFonts w:eastAsia="Times New Roman" w:cs="Tahoma"/>
          <w:lang w:val="es-ES" w:eastAsia="es-ES"/>
        </w:rPr>
        <w:t xml:space="preserve"> y de los resultados obtenidos.</w:t>
      </w:r>
    </w:p>
    <w:p w14:paraId="6AA72874" w14:textId="77777777" w:rsidR="006C7941" w:rsidRPr="00F703C9" w:rsidRDefault="006C7941" w:rsidP="00DA2D9B">
      <w:pPr>
        <w:spacing w:after="0" w:line="360" w:lineRule="auto"/>
        <w:rPr>
          <w:rFonts w:eastAsia="Times New Roman" w:cs="Tahoma"/>
          <w:lang w:val="es-ES" w:eastAsia="es-ES"/>
        </w:rPr>
      </w:pPr>
    </w:p>
    <w:p w14:paraId="29C7D18B" w14:textId="77777777" w:rsidR="006C7941" w:rsidRPr="00F703C9" w:rsidRDefault="006C7941" w:rsidP="00DA2D9B">
      <w:pPr>
        <w:spacing w:after="0" w:line="360" w:lineRule="auto"/>
        <w:rPr>
          <w:rFonts w:eastAsia="Times New Roman" w:cs="Tahoma"/>
          <w:bCs/>
          <w:iCs/>
          <w:lang w:val="es-ES" w:eastAsia="es-ES"/>
        </w:rPr>
      </w:pPr>
      <w:r w:rsidRPr="00F703C9">
        <w:rPr>
          <w:rFonts w:eastAsia="Times New Roman" w:cs="Tahoma"/>
          <w:bCs/>
          <w:iCs/>
          <w:lang w:val="es-ES" w:eastAsia="es-ES"/>
        </w:rPr>
        <w:t>Además, de manera de referencia, el artículo 6°, fracción XXXVIII, de la Ley de Transparencia, Acceso a la Información Pública y Rendición de Cuentas de la Ciudad de México, establece que la rendición de cuentas, vista desde la perspectiva de la transparencia y acceso a la información, consiste en la potestad del individuo para exigir al poder público, informe y ponga a disposición, las acciones y decisiones emprendidas, así como los indicadores que permitan el conocimiento y la forma en que se llevaron a cabo, que incluya los resultados obtenidos.</w:t>
      </w:r>
    </w:p>
    <w:p w14:paraId="71BE8E72" w14:textId="77777777" w:rsidR="006C7941" w:rsidRPr="00F703C9" w:rsidRDefault="006C7941" w:rsidP="00DA2D9B">
      <w:pPr>
        <w:spacing w:after="0" w:line="360" w:lineRule="auto"/>
        <w:rPr>
          <w:rFonts w:eastAsia="Times New Roman" w:cs="Tahoma"/>
          <w:bCs/>
          <w:iCs/>
          <w:lang w:val="es-ES" w:eastAsia="es-ES"/>
        </w:rPr>
      </w:pPr>
    </w:p>
    <w:p w14:paraId="366B9A29" w14:textId="002EF4C9" w:rsidR="006C7941" w:rsidRPr="00F703C9" w:rsidRDefault="006C7941" w:rsidP="00DA2D9B">
      <w:pPr>
        <w:spacing w:after="0" w:line="360" w:lineRule="auto"/>
        <w:rPr>
          <w:rFonts w:eastAsia="Times New Roman" w:cs="Tahoma"/>
          <w:bCs/>
          <w:iCs/>
          <w:lang w:eastAsia="es-ES"/>
        </w:rPr>
      </w:pPr>
      <w:r w:rsidRPr="00F703C9">
        <w:rPr>
          <w:rFonts w:eastAsia="Times New Roman" w:cs="Tahoma"/>
          <w:bCs/>
          <w:iCs/>
          <w:lang w:val="es-ES" w:eastAsia="es-ES"/>
        </w:rPr>
        <w:t xml:space="preserve">Toma relevancia lo anterior, pues conforme al artículo 2°, fracción VII de la Ley General de Transparencia y Acceso a la Información Pública y de la Ley de Transparencia y Acceso a la Información Pública del Estado de México y Municipios, establece que es un objetivo de dichos ordenamientos jurídicos, promover, fomentar y difundir la cultura de la transparencia en el ejercicio de la función pública, así como, la rendición de cuentas, a través del establecimiento de mecanismos que garanticen la publicidad de la información oportuna, verificable, comprensible, actualizada y completa. </w:t>
      </w:r>
      <w:r w:rsidRPr="00F703C9">
        <w:rPr>
          <w:rFonts w:eastAsia="Times New Roman" w:cs="Tahoma"/>
          <w:bCs/>
          <w:iCs/>
          <w:lang w:eastAsia="es-ES"/>
        </w:rPr>
        <w:t xml:space="preserve">Conforme a lo anterior, se logra </w:t>
      </w:r>
      <w:r w:rsidRPr="00F703C9">
        <w:rPr>
          <w:rFonts w:eastAsia="Times New Roman" w:cs="Tahoma"/>
          <w:bCs/>
          <w:iCs/>
          <w:lang w:eastAsia="es-ES"/>
        </w:rPr>
        <w:lastRenderedPageBreak/>
        <w:t xml:space="preserve">vislumbrar que, en el presente caso, la información solicitada, rinde cuentas de </w:t>
      </w:r>
      <w:r w:rsidR="00C7140B" w:rsidRPr="00F703C9">
        <w:rPr>
          <w:rFonts w:eastAsia="Times New Roman" w:cs="Tahoma"/>
          <w:bCs/>
          <w:iCs/>
          <w:lang w:eastAsia="es-ES"/>
        </w:rPr>
        <w:t xml:space="preserve">la erogación de recursos por contratación de servicios </w:t>
      </w:r>
      <w:r w:rsidRPr="00F703C9">
        <w:rPr>
          <w:rFonts w:eastAsia="Times New Roman" w:cs="Tahoma"/>
          <w:bCs/>
          <w:iCs/>
          <w:lang w:eastAsia="es-ES"/>
        </w:rPr>
        <w:t>que realizó el Ayuntamiento.</w:t>
      </w:r>
    </w:p>
    <w:p w14:paraId="5905DC5A" w14:textId="77777777" w:rsidR="006C7941" w:rsidRPr="00F703C9" w:rsidRDefault="006C7941" w:rsidP="00DA2D9B">
      <w:pPr>
        <w:spacing w:after="0" w:line="360" w:lineRule="auto"/>
        <w:rPr>
          <w:rFonts w:eastAsia="Calibri" w:cs="Times New Roman"/>
          <w:bCs/>
          <w:color w:val="000000"/>
        </w:rPr>
      </w:pPr>
    </w:p>
    <w:p w14:paraId="50E35125" w14:textId="732D4D8B" w:rsidR="006C7941" w:rsidRPr="00F703C9" w:rsidRDefault="006C7941" w:rsidP="00DA2D9B">
      <w:pPr>
        <w:spacing w:after="0" w:line="360" w:lineRule="auto"/>
        <w:rPr>
          <w:rFonts w:eastAsia="Calibri" w:cs="Times New Roman"/>
          <w:bCs/>
          <w:color w:val="000000"/>
        </w:rPr>
      </w:pPr>
      <w:r w:rsidRPr="00F703C9">
        <w:rPr>
          <w:rFonts w:eastAsia="Calibri" w:cs="Times New Roman"/>
          <w:bCs/>
          <w:color w:val="000000"/>
        </w:rPr>
        <w:t xml:space="preserve">Conforme a lo anterior, se logra observar que la información solicitada, corresponde a documentos definitivos, que son aquellos generados por el actuar continuo del Sujeto Obligado y que dan cuenta, de la forma en que se ejercieron los recursos públicos; tan es así, que el Sujeto Obligado </w:t>
      </w:r>
      <w:r w:rsidR="005C77CA" w:rsidRPr="00F703C9">
        <w:rPr>
          <w:rFonts w:eastAsia="Calibri" w:cs="Times New Roman"/>
          <w:bCs/>
          <w:color w:val="000000"/>
        </w:rPr>
        <w:t>debe tener publicada la información relacionada con la contratación de servicios en el Portal de Información Pública de Oficio Mexiquense (IPOMEX), de conformidad con el artículo 92 fracción XXIX de la Ley de Transparencia y Acceso a la Información Pública del Estado de México y Municipios.</w:t>
      </w:r>
    </w:p>
    <w:p w14:paraId="3BACDA39" w14:textId="77777777" w:rsidR="006C7941" w:rsidRPr="00F703C9" w:rsidRDefault="006C7941" w:rsidP="00DA2D9B">
      <w:pPr>
        <w:spacing w:after="0" w:line="360" w:lineRule="auto"/>
        <w:rPr>
          <w:rFonts w:eastAsia="Calibri" w:cs="Times New Roman"/>
          <w:bCs/>
          <w:color w:val="000000"/>
        </w:rPr>
      </w:pPr>
    </w:p>
    <w:p w14:paraId="713C981E" w14:textId="7388F810" w:rsidR="006C7941" w:rsidRPr="00F703C9" w:rsidRDefault="006C7941" w:rsidP="00DA2D9B">
      <w:pPr>
        <w:spacing w:after="0" w:line="360" w:lineRule="auto"/>
        <w:rPr>
          <w:rFonts w:eastAsia="Calibri" w:cs="Times New Roman"/>
          <w:bCs/>
          <w:color w:val="000000"/>
        </w:rPr>
      </w:pPr>
      <w:r w:rsidRPr="00F703C9">
        <w:rPr>
          <w:rFonts w:eastAsia="Calibri" w:cs="Times New Roman"/>
          <w:bCs/>
          <w:color w:val="000000"/>
        </w:rPr>
        <w:t xml:space="preserve">Así, los documentos solicitados no son constancias propias de la Auditoría pues fueron presentadas por el Sujeto Obligado, con el fin de que </w:t>
      </w:r>
      <w:r w:rsidR="001761EE" w:rsidRPr="00F703C9">
        <w:rPr>
          <w:rFonts w:eastAsia="Calibri" w:cs="Times New Roman"/>
          <w:bCs/>
          <w:color w:val="000000"/>
        </w:rPr>
        <w:t>el</w:t>
      </w:r>
      <w:r w:rsidRPr="00F703C9">
        <w:rPr>
          <w:rFonts w:eastAsia="Calibri" w:cs="Times New Roman"/>
          <w:bCs/>
          <w:color w:val="000000"/>
        </w:rPr>
        <w:t xml:space="preserve"> Órgano Superior de Fiscalización del Estado de México, fiscalizará la actuación que ha tenido el Ayuntamiento en el ejercicio de sus recursos, y, por lo tanto, no fueron generados en específico dentro del proceso de verificación; lo cual se robustece con el hecho de que se trata de insumos informativos y de apoyo para la Auditoría.</w:t>
      </w:r>
    </w:p>
    <w:p w14:paraId="3CA4A7D1" w14:textId="77777777" w:rsidR="006C7941" w:rsidRPr="00F703C9" w:rsidRDefault="006C7941" w:rsidP="00DA2D9B">
      <w:pPr>
        <w:spacing w:after="0" w:line="360" w:lineRule="auto"/>
        <w:rPr>
          <w:rFonts w:eastAsia="Calibri" w:cs="Times New Roman"/>
          <w:bCs/>
          <w:color w:val="000000"/>
        </w:rPr>
      </w:pPr>
    </w:p>
    <w:p w14:paraId="13C6CC94" w14:textId="28B07171" w:rsidR="006C7941" w:rsidRPr="00F703C9" w:rsidRDefault="006C7941" w:rsidP="00DA2D9B">
      <w:pPr>
        <w:spacing w:after="0" w:line="360" w:lineRule="auto"/>
        <w:rPr>
          <w:rFonts w:eastAsia="Calibri" w:cs="Times New Roman"/>
          <w:b/>
          <w:color w:val="000000"/>
        </w:rPr>
      </w:pPr>
      <w:r w:rsidRPr="00F703C9">
        <w:rPr>
          <w:rFonts w:eastAsia="Calibri" w:cs="Times New Roman"/>
          <w:bCs/>
          <w:color w:val="000000"/>
        </w:rPr>
        <w:t>Así, se logra advertir que existe un interés público de dar a conocer los documentos mediante los cuales el Sujeto Obligado erogó</w:t>
      </w:r>
      <w:r w:rsidRPr="00F703C9">
        <w:rPr>
          <w:rFonts w:eastAsia="Calibri" w:cs="Times New Roman"/>
          <w:bCs/>
          <w:color w:val="000000"/>
          <w:lang w:val="x-none"/>
        </w:rPr>
        <w:t xml:space="preserve"> recursos</w:t>
      </w:r>
      <w:r w:rsidR="00EE6D1B" w:rsidRPr="00F703C9">
        <w:rPr>
          <w:rFonts w:eastAsia="Calibri" w:cs="Times New Roman"/>
          <w:bCs/>
          <w:color w:val="000000"/>
          <w:lang w:val="x-none"/>
        </w:rPr>
        <w:t xml:space="preserve"> por contratación de servicios</w:t>
      </w:r>
      <w:r w:rsidRPr="00F703C9">
        <w:rPr>
          <w:rFonts w:eastAsia="Calibri" w:cs="Times New Roman"/>
          <w:bCs/>
          <w:color w:val="000000"/>
        </w:rPr>
        <w:t xml:space="preserve">, y, por lo tanto, al ser generados conforme al cumplimiento de atribuciones administrativas, se considera que no se acredita el cuarto requisito establecido en los Lineamientos Generales, pues como se señaló se trata únicamente de insumos informativos y de apoyo, al ser documentos definitivos que de ninguna manera modificarán el resultado de la auditoría, y, por lo tanto, no se actualiza la causal de clasificación establecida en el artículo 140, fracción V, inciso 1, de </w:t>
      </w:r>
      <w:r w:rsidRPr="00F703C9">
        <w:rPr>
          <w:rFonts w:eastAsia="Calibri" w:cs="Times New Roman"/>
          <w:bCs/>
          <w:color w:val="000000"/>
        </w:rPr>
        <w:lastRenderedPageBreak/>
        <w:t>la Ley de Transparencia y Acceso a la Información Pública del Estado de México y Municipios</w:t>
      </w:r>
      <w:r w:rsidR="00C90DF7" w:rsidRPr="00F703C9">
        <w:rPr>
          <w:rFonts w:eastAsia="Calibri" w:cs="Times New Roman"/>
          <w:bCs/>
          <w:color w:val="000000"/>
        </w:rPr>
        <w:t xml:space="preserve">, lo cual da como resultado que el agravio sea </w:t>
      </w:r>
      <w:r w:rsidR="00C90DF7" w:rsidRPr="00F703C9">
        <w:rPr>
          <w:rFonts w:eastAsia="Calibri" w:cs="Times New Roman"/>
          <w:b/>
          <w:color w:val="000000"/>
        </w:rPr>
        <w:t>FUNDADO.</w:t>
      </w:r>
    </w:p>
    <w:p w14:paraId="7965E2B3" w14:textId="77777777" w:rsidR="00C90DF7" w:rsidRPr="00F703C9" w:rsidRDefault="00C90DF7" w:rsidP="00DA2D9B">
      <w:pPr>
        <w:spacing w:after="0" w:line="360" w:lineRule="auto"/>
        <w:rPr>
          <w:rFonts w:eastAsia="Calibri" w:cs="Times New Roman"/>
          <w:b/>
          <w:color w:val="000000"/>
        </w:rPr>
      </w:pPr>
    </w:p>
    <w:p w14:paraId="79467AC4" w14:textId="0DAF090F" w:rsidR="00C90DF7" w:rsidRPr="00F703C9" w:rsidRDefault="00C90DF7" w:rsidP="00C90DF7">
      <w:pPr>
        <w:spacing w:after="0" w:line="360" w:lineRule="auto"/>
        <w:rPr>
          <w:rFonts w:eastAsia="Calibri" w:cs="Times New Roman"/>
          <w:bCs/>
          <w:color w:val="000000"/>
        </w:rPr>
      </w:pPr>
      <w:r w:rsidRPr="00F703C9">
        <w:rPr>
          <w:rFonts w:eastAsia="Calibri" w:cs="Times New Roman"/>
          <w:bCs/>
          <w:color w:val="000000"/>
        </w:rPr>
        <w:t xml:space="preserve">De tal circunstancia para atender el requerimiento de la información, el Sujeto Obligado deberá realizar una búsqueda exhaustiva y razonable, en los archivos de la Tesorería Municipal y la Dirección de Administración, a efecto de que proporcione </w:t>
      </w:r>
      <w:r w:rsidR="00164F45" w:rsidRPr="00F703C9">
        <w:rPr>
          <w:rFonts w:eastAsia="Calibri" w:cs="Times New Roman"/>
          <w:bCs/>
          <w:color w:val="000000"/>
        </w:rPr>
        <w:t>el tipo de</w:t>
      </w:r>
      <w:r w:rsidR="00943E70" w:rsidRPr="00F703C9">
        <w:rPr>
          <w:rFonts w:eastAsia="Calibri" w:cs="Times New Roman"/>
          <w:bCs/>
          <w:color w:val="000000"/>
        </w:rPr>
        <w:t xml:space="preserve"> e</w:t>
      </w:r>
      <w:r w:rsidR="00943E70" w:rsidRPr="00F703C9">
        <w:rPr>
          <w:rFonts w:cs="Tahoma"/>
        </w:rPr>
        <w:t>quipos de bienes de informáticos y cámaras de video que se les dio servicio de mantenimiento por parte de la Empresa GURIK S.A. de C.V.</w:t>
      </w:r>
      <w:r w:rsidR="0069765E" w:rsidRPr="00F703C9">
        <w:rPr>
          <w:rFonts w:cs="Tahoma"/>
        </w:rPr>
        <w:t>;</w:t>
      </w:r>
      <w:r w:rsidRPr="00F703C9">
        <w:rPr>
          <w:color w:val="000000"/>
        </w:rPr>
        <w:t xml:space="preserve"> </w:t>
      </w:r>
      <w:r w:rsidRPr="00F703C9">
        <w:rPr>
          <w:rFonts w:eastAsia="Calibri" w:cs="Tahoma"/>
          <w:bCs/>
          <w:lang w:val="es-ES"/>
        </w:rPr>
        <w:t>d</w:t>
      </w:r>
      <w:r w:rsidRPr="00F703C9">
        <w:rPr>
          <w:rFonts w:cs="Tahoma"/>
          <w:iCs/>
        </w:rPr>
        <w:t>icha</w:t>
      </w:r>
      <w:r w:rsidRPr="00F703C9">
        <w:rPr>
          <w:rFonts w:cs="Tahoma"/>
          <w:szCs w:val="24"/>
          <w:lang w:val="es-ES"/>
        </w:rPr>
        <w:t xml:space="preserve"> determinación 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1FE0BBE6" w14:textId="77777777" w:rsidR="00C90DF7" w:rsidRPr="00F703C9" w:rsidRDefault="00C90DF7" w:rsidP="00C90DF7">
      <w:pPr>
        <w:spacing w:after="0" w:line="360" w:lineRule="auto"/>
        <w:rPr>
          <w:rFonts w:cs="Tahoma"/>
          <w:szCs w:val="24"/>
          <w:lang w:val="es-ES"/>
        </w:rPr>
      </w:pPr>
    </w:p>
    <w:p w14:paraId="0B95226D" w14:textId="77777777" w:rsidR="00C90DF7" w:rsidRPr="00F703C9" w:rsidRDefault="00C90DF7" w:rsidP="00C90DF7">
      <w:pPr>
        <w:spacing w:after="0" w:line="360" w:lineRule="auto"/>
        <w:rPr>
          <w:rFonts w:cs="Tahoma"/>
        </w:rPr>
      </w:pPr>
      <w:r w:rsidRPr="00F703C9">
        <w:rPr>
          <w:rFonts w:cs="Tahoma"/>
        </w:rPr>
        <w:t xml:space="preserve">De esta manera, </w:t>
      </w:r>
      <w:r w:rsidRPr="00F703C9">
        <w:rPr>
          <w:rFonts w:cs="Tahoma"/>
          <w:szCs w:val="24"/>
          <w:lang w:val="es-ES"/>
        </w:rPr>
        <w:t xml:space="preserve">el derecho de acceso a la información pública se satisface en aquellos casos en que se entregue el soporte documental en el que conste la información solicitada, sin necesidad de elaborar documentos </w:t>
      </w:r>
      <w:r w:rsidRPr="00F703C9">
        <w:rPr>
          <w:rFonts w:cs="Tahoma"/>
          <w:i/>
        </w:rPr>
        <w:t>ad hoc</w:t>
      </w:r>
      <w:r w:rsidRPr="00F703C9">
        <w:rPr>
          <w:rFonts w:cs="Tahoma"/>
        </w:rPr>
        <w:t>, situación que toma sustento, toma sustento en el artículo 160 de la Ley de Transparencia y Acceso a la Información Pública del Estado de México y Municipios, el cual refiere que los sujetos obligados únicamente deberán entregar la información que obre en sus archivos.</w:t>
      </w:r>
    </w:p>
    <w:p w14:paraId="73566817" w14:textId="77777777" w:rsidR="00C90DF7" w:rsidRPr="00F703C9" w:rsidRDefault="00C90DF7" w:rsidP="00C90DF7">
      <w:pPr>
        <w:spacing w:after="0" w:line="360" w:lineRule="auto"/>
        <w:rPr>
          <w:rFonts w:cs="Tahoma"/>
        </w:rPr>
      </w:pPr>
    </w:p>
    <w:p w14:paraId="54E438E9" w14:textId="19126D69" w:rsidR="00C90DF7" w:rsidRPr="00F703C9" w:rsidRDefault="00C90DF7" w:rsidP="00C90DF7">
      <w:pPr>
        <w:spacing w:after="0" w:line="360" w:lineRule="auto"/>
        <w:rPr>
          <w:rFonts w:cs="Tahoma"/>
          <w:szCs w:val="24"/>
          <w:lang w:val="es-ES"/>
        </w:rPr>
      </w:pPr>
      <w:r w:rsidRPr="00F703C9">
        <w:rPr>
          <w:rFonts w:cs="Tahoma"/>
          <w:szCs w:val="24"/>
          <w:lang w:val="es-E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el Sujeto Obligado </w:t>
      </w:r>
      <w:r w:rsidR="000D38A4" w:rsidRPr="00F703C9">
        <w:rPr>
          <w:rFonts w:cs="Tahoma"/>
          <w:szCs w:val="24"/>
          <w:lang w:val="es-ES"/>
        </w:rPr>
        <w:t xml:space="preserve">deberá </w:t>
      </w:r>
      <w:r w:rsidRPr="00F703C9">
        <w:rPr>
          <w:rFonts w:cs="Tahoma"/>
          <w:szCs w:val="24"/>
          <w:lang w:val="es-ES"/>
        </w:rPr>
        <w:t>entregar</w:t>
      </w:r>
      <w:r w:rsidR="000D38A4" w:rsidRPr="00F703C9">
        <w:rPr>
          <w:rFonts w:cs="Tahoma"/>
          <w:szCs w:val="24"/>
          <w:lang w:val="es-ES"/>
        </w:rPr>
        <w:t xml:space="preserve"> </w:t>
      </w:r>
      <w:r w:rsidR="00943E70" w:rsidRPr="00F703C9">
        <w:rPr>
          <w:rFonts w:cs="Tahoma"/>
        </w:rPr>
        <w:t xml:space="preserve">el tipo de </w:t>
      </w:r>
      <w:r w:rsidR="00943E70" w:rsidRPr="00F703C9">
        <w:rPr>
          <w:rFonts w:eastAsia="Calibri" w:cs="Times New Roman"/>
          <w:bCs/>
          <w:color w:val="000000"/>
        </w:rPr>
        <w:t>e</w:t>
      </w:r>
      <w:r w:rsidR="00943E70" w:rsidRPr="00F703C9">
        <w:rPr>
          <w:rFonts w:cs="Tahoma"/>
        </w:rPr>
        <w:t xml:space="preserve">quipos de bienes </w:t>
      </w:r>
      <w:r w:rsidR="00943E70" w:rsidRPr="00F703C9">
        <w:rPr>
          <w:rFonts w:cs="Tahoma"/>
        </w:rPr>
        <w:lastRenderedPageBreak/>
        <w:t>de informáticos y cámaras de video que se les dio servicio de mantenimiento por parte de la Empresa GURIK S.A. de C.V., vigente al cinco de agosto de dos mil veinticuatro.</w:t>
      </w:r>
    </w:p>
    <w:p w14:paraId="5268148A" w14:textId="77777777" w:rsidR="00C90DF7" w:rsidRPr="00F703C9" w:rsidRDefault="00C90DF7" w:rsidP="00C90DF7">
      <w:pPr>
        <w:spacing w:after="0" w:line="360" w:lineRule="auto"/>
        <w:rPr>
          <w:color w:val="000000"/>
        </w:rPr>
      </w:pPr>
    </w:p>
    <w:p w14:paraId="7DE8E06C" w14:textId="1B91FD05" w:rsidR="00C90DF7" w:rsidRPr="00F703C9" w:rsidRDefault="00C90DF7" w:rsidP="00C90DF7">
      <w:pPr>
        <w:spacing w:after="0" w:line="360" w:lineRule="auto"/>
        <w:rPr>
          <w:rFonts w:eastAsia="Calibri" w:cs="Times New Roman"/>
          <w:bCs/>
          <w:iCs/>
          <w:color w:val="000000"/>
          <w:lang w:val="es-ES"/>
        </w:rPr>
      </w:pPr>
      <w:r w:rsidRPr="00F703C9">
        <w:rPr>
          <w:rFonts w:eastAsia="Calibri" w:cs="Times New Roman"/>
          <w:bCs/>
          <w:iCs/>
          <w:color w:val="000000"/>
        </w:rPr>
        <w:t>Finalmente, no pasa desapercibido para este Instituto que los documentos, pudieran contener datos o información clasificada</w:t>
      </w:r>
      <w:r w:rsidR="0069765E" w:rsidRPr="00F703C9">
        <w:rPr>
          <w:rFonts w:eastAsia="Calibri" w:cs="Times New Roman"/>
          <w:bCs/>
          <w:iCs/>
          <w:color w:val="000000"/>
        </w:rPr>
        <w:t>, tales como los datos bancarios del prestador de servicios</w:t>
      </w:r>
      <w:r w:rsidRPr="00F703C9">
        <w:rPr>
          <w:rFonts w:eastAsia="Calibri" w:cs="Times New Roman"/>
          <w:bCs/>
          <w:iCs/>
          <w:color w:val="000000"/>
        </w:rPr>
        <w:t>, por lo que, en el supuesto, deberá elaborar la versión pública respectiva; a</w:t>
      </w:r>
      <w:r w:rsidRPr="00F703C9">
        <w:rPr>
          <w:rFonts w:eastAsia="Calibri" w:cs="Times New Roman"/>
          <w:bCs/>
          <w:iCs/>
          <w:color w:val="000000"/>
          <w:lang w:val="es-ES"/>
        </w:rPr>
        <w:t>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69F69DD2" w14:textId="77777777" w:rsidR="00C90DF7" w:rsidRPr="00F703C9" w:rsidRDefault="00C90DF7" w:rsidP="00C90DF7">
      <w:pPr>
        <w:spacing w:after="0" w:line="360" w:lineRule="auto"/>
        <w:rPr>
          <w:rFonts w:eastAsia="Calibri" w:cs="Times New Roman"/>
          <w:bCs/>
          <w:iCs/>
          <w:color w:val="000000"/>
          <w:lang w:val="es-ES"/>
        </w:rPr>
      </w:pPr>
    </w:p>
    <w:p w14:paraId="3511749B" w14:textId="77777777" w:rsidR="00C90DF7" w:rsidRPr="00F703C9" w:rsidRDefault="00C90DF7" w:rsidP="00C90DF7">
      <w:pPr>
        <w:spacing w:after="0" w:line="360" w:lineRule="auto"/>
        <w:rPr>
          <w:rFonts w:eastAsia="Calibri" w:cs="Times New Roman"/>
          <w:bCs/>
          <w:iCs/>
          <w:color w:val="000000"/>
          <w:lang w:val="es-ES"/>
        </w:rPr>
      </w:pPr>
      <w:r w:rsidRPr="00F703C9">
        <w:rPr>
          <w:rFonts w:eastAsia="Calibri" w:cs="Times New Roman"/>
          <w:bCs/>
          <w:iCs/>
          <w:color w:val="000000"/>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79B326B0" w14:textId="77777777" w:rsidR="00C90DF7" w:rsidRPr="00F703C9" w:rsidRDefault="00C90DF7" w:rsidP="00C90DF7">
      <w:pPr>
        <w:tabs>
          <w:tab w:val="center" w:pos="4522"/>
        </w:tabs>
        <w:spacing w:after="0" w:line="360" w:lineRule="auto"/>
        <w:rPr>
          <w:rFonts w:eastAsia="Calibri" w:cs="Tahoma"/>
          <w:bCs/>
          <w:iCs/>
          <w:color w:val="000000"/>
          <w:lang w:val="es-ES_tradnl"/>
        </w:rPr>
      </w:pPr>
    </w:p>
    <w:p w14:paraId="68E0199B" w14:textId="77777777" w:rsidR="00C90DF7" w:rsidRPr="00F703C9" w:rsidRDefault="00C90DF7" w:rsidP="00C90DF7">
      <w:pPr>
        <w:spacing w:after="0" w:line="360" w:lineRule="auto"/>
        <w:rPr>
          <w:b/>
          <w:color w:val="auto"/>
        </w:rPr>
      </w:pPr>
      <w:r w:rsidRPr="00F703C9">
        <w:rPr>
          <w:b/>
        </w:rPr>
        <w:t>SEXTO. Decisión</w:t>
      </w:r>
    </w:p>
    <w:p w14:paraId="78435042" w14:textId="77777777" w:rsidR="00C90DF7" w:rsidRPr="00F703C9" w:rsidRDefault="00C90DF7" w:rsidP="00C90DF7">
      <w:pPr>
        <w:spacing w:after="0" w:line="360" w:lineRule="auto"/>
        <w:rPr>
          <w:b/>
        </w:rPr>
      </w:pPr>
    </w:p>
    <w:p w14:paraId="496AE4F8" w14:textId="11690F92" w:rsidR="00C90DF7" w:rsidRPr="00F703C9" w:rsidRDefault="00C90DF7" w:rsidP="00C90DF7">
      <w:pPr>
        <w:spacing w:after="0" w:line="360" w:lineRule="auto"/>
        <w:rPr>
          <w:rFonts w:eastAsia="Times New Roman" w:cs="Tahoma"/>
          <w:iCs/>
          <w:lang w:val="es-ES" w:eastAsia="es-ES"/>
        </w:rPr>
      </w:pPr>
      <w:r w:rsidRPr="00F703C9">
        <w:rPr>
          <w:rFonts w:cs="Tahoma"/>
        </w:rPr>
        <w:t xml:space="preserve">Con fundamento en el artículo 186, fracción III, de la Ley de Transparencia y Acceso a la Información Pública del Estado de México y Municipios, este Instituto considera procedente </w:t>
      </w:r>
      <w:r w:rsidRPr="00F703C9">
        <w:rPr>
          <w:b/>
          <w:bCs/>
        </w:rPr>
        <w:t>REVOCAR</w:t>
      </w:r>
      <w:r w:rsidRPr="00F703C9">
        <w:rPr>
          <w:rFonts w:cs="Tahoma"/>
        </w:rPr>
        <w:t xml:space="preserve"> la respuesta otorgada por el Sujeto Obligado a la</w:t>
      </w:r>
      <w:r w:rsidR="009E18F0" w:rsidRPr="00F703C9">
        <w:rPr>
          <w:rFonts w:cs="Tahoma"/>
        </w:rPr>
        <w:t>s</w:t>
      </w:r>
      <w:r w:rsidRPr="00F703C9">
        <w:rPr>
          <w:rFonts w:cs="Tahoma"/>
        </w:rPr>
        <w:t xml:space="preserve"> solicitud</w:t>
      </w:r>
      <w:r w:rsidR="009E18F0" w:rsidRPr="00F703C9">
        <w:rPr>
          <w:rFonts w:cs="Tahoma"/>
        </w:rPr>
        <w:t>es</w:t>
      </w:r>
      <w:r w:rsidRPr="00F703C9">
        <w:rPr>
          <w:rFonts w:cs="Tahoma"/>
        </w:rPr>
        <w:t xml:space="preserve"> de información</w:t>
      </w:r>
      <w:r w:rsidR="00764157" w:rsidRPr="00F703C9">
        <w:t xml:space="preserve"> 00441/VACHASO/IP/2024 y 00442/VACHASO/IP/2024</w:t>
      </w:r>
      <w:r w:rsidRPr="00F703C9">
        <w:rPr>
          <w:rFonts w:cs="Tahoma"/>
        </w:rPr>
        <w:t xml:space="preserve">, a efecto de que entregue, en su caso en versión pública, </w:t>
      </w:r>
      <w:r w:rsidRPr="00F703C9">
        <w:rPr>
          <w:rFonts w:eastAsia="Times New Roman" w:cs="Tahoma"/>
          <w:iCs/>
          <w:lang w:val="es-ES" w:eastAsia="es-ES"/>
        </w:rPr>
        <w:t>previa búsqueda exhaustiva y razonable en las unidades administrativas competentes, la información solicitada.</w:t>
      </w:r>
    </w:p>
    <w:p w14:paraId="27E66A88" w14:textId="77777777" w:rsidR="000938F5" w:rsidRPr="00F703C9" w:rsidRDefault="000938F5" w:rsidP="00C90DF7">
      <w:pPr>
        <w:spacing w:after="0" w:line="360" w:lineRule="auto"/>
        <w:rPr>
          <w:rFonts w:eastAsia="Times New Roman" w:cs="Tahoma"/>
          <w:iCs/>
          <w:lang w:val="es-ES" w:eastAsia="es-ES"/>
        </w:rPr>
      </w:pPr>
    </w:p>
    <w:p w14:paraId="13904330" w14:textId="77777777" w:rsidR="00C90DF7" w:rsidRPr="00F703C9" w:rsidRDefault="00C90DF7" w:rsidP="00C90DF7">
      <w:pPr>
        <w:spacing w:after="0" w:line="360" w:lineRule="auto"/>
        <w:rPr>
          <w:rFonts w:cs="Palatino Linotype"/>
          <w:b/>
        </w:rPr>
      </w:pPr>
      <w:r w:rsidRPr="00F703C9">
        <w:rPr>
          <w:b/>
        </w:rPr>
        <w:t>Términos de la Resolución para conocimiento del Particular</w:t>
      </w:r>
    </w:p>
    <w:p w14:paraId="206E5757" w14:textId="77777777" w:rsidR="00C90DF7" w:rsidRPr="00F703C9" w:rsidRDefault="00C90DF7" w:rsidP="00C90DF7">
      <w:pPr>
        <w:spacing w:after="0" w:line="360" w:lineRule="auto"/>
        <w:rPr>
          <w:b/>
        </w:rPr>
      </w:pPr>
    </w:p>
    <w:p w14:paraId="79B88611" w14:textId="77777777" w:rsidR="000938F5" w:rsidRPr="00F703C9" w:rsidRDefault="00C90DF7" w:rsidP="00C90DF7">
      <w:pPr>
        <w:spacing w:after="0" w:line="360" w:lineRule="auto"/>
      </w:pPr>
      <w:bookmarkStart w:id="5" w:name="_heading=h.1fob9te"/>
      <w:bookmarkEnd w:id="5"/>
      <w:r w:rsidRPr="00F703C9">
        <w:t xml:space="preserve">Se le hace del conocimiento a la persona Recurrente que, en el presente asunto, se le concede la razón, toda vez que el Sujeto Obligado reservó información de naturaleza pública, misma que rinde cuentas de la forma en que eroga recursos públicos </w:t>
      </w:r>
      <w:r w:rsidR="009E18F0" w:rsidRPr="00F703C9">
        <w:t>por la contratación de servicios d</w:t>
      </w:r>
      <w:r w:rsidRPr="00F703C9">
        <w:t xml:space="preserve">el Sujeto Obligado. </w:t>
      </w:r>
    </w:p>
    <w:p w14:paraId="06BCDCF4" w14:textId="77777777" w:rsidR="000938F5" w:rsidRPr="00F703C9" w:rsidRDefault="000938F5" w:rsidP="00C90DF7">
      <w:pPr>
        <w:spacing w:after="0" w:line="360" w:lineRule="auto"/>
      </w:pPr>
    </w:p>
    <w:p w14:paraId="44196259" w14:textId="36FC43AC" w:rsidR="00C90DF7" w:rsidRPr="00F703C9" w:rsidRDefault="00C90DF7" w:rsidP="00C90DF7">
      <w:pPr>
        <w:spacing w:after="0" w:line="360" w:lineRule="auto"/>
      </w:pPr>
      <w:r w:rsidRPr="00F703C9">
        <w:rPr>
          <w:color w:val="000000"/>
        </w:rPr>
        <w:t>Finalmente, se le informa que la labor de este Instituto de Transparencia, Acceso a la Información Pública y Protección de Datos Personales del Estado de México y Municipios, es apoyar a la población a acceder a la información pública y garantizar la protección de sus datos personales.</w:t>
      </w:r>
    </w:p>
    <w:p w14:paraId="1CDEBD96" w14:textId="77777777" w:rsidR="00C90DF7" w:rsidRPr="00F703C9" w:rsidRDefault="00C90DF7" w:rsidP="00C90DF7">
      <w:pPr>
        <w:spacing w:after="0" w:line="360" w:lineRule="auto"/>
      </w:pPr>
    </w:p>
    <w:p w14:paraId="281BE162" w14:textId="77777777" w:rsidR="00C90DF7" w:rsidRPr="00F703C9" w:rsidRDefault="00C90DF7" w:rsidP="00C90DF7">
      <w:pPr>
        <w:spacing w:after="0" w:line="360" w:lineRule="auto"/>
      </w:pPr>
      <w:r w:rsidRPr="00F703C9">
        <w:t>Por lo expuesto y fundado, este Pleno:</w:t>
      </w:r>
    </w:p>
    <w:p w14:paraId="50A247CA" w14:textId="77777777" w:rsidR="00C90DF7" w:rsidRPr="00F703C9" w:rsidRDefault="00C90DF7" w:rsidP="00C90DF7">
      <w:pPr>
        <w:spacing w:after="0" w:line="360" w:lineRule="auto"/>
      </w:pPr>
    </w:p>
    <w:p w14:paraId="7CA8EC64" w14:textId="77777777" w:rsidR="00C90DF7" w:rsidRPr="00F703C9" w:rsidRDefault="00C90DF7" w:rsidP="00C90DF7">
      <w:pPr>
        <w:spacing w:after="0" w:line="360" w:lineRule="auto"/>
        <w:ind w:left="720" w:hanging="720"/>
        <w:jc w:val="center"/>
        <w:rPr>
          <w:b/>
        </w:rPr>
      </w:pPr>
      <w:r w:rsidRPr="00F703C9">
        <w:rPr>
          <w:b/>
        </w:rPr>
        <w:t>R E S U E L V E</w:t>
      </w:r>
    </w:p>
    <w:p w14:paraId="7781BAA0" w14:textId="77777777" w:rsidR="00C90DF7" w:rsidRPr="00F703C9" w:rsidRDefault="00C90DF7" w:rsidP="00C90DF7">
      <w:pPr>
        <w:spacing w:after="0" w:line="360" w:lineRule="auto"/>
      </w:pPr>
    </w:p>
    <w:p w14:paraId="46E18788" w14:textId="677C6084" w:rsidR="00C90DF7" w:rsidRPr="00F703C9" w:rsidRDefault="00C90DF7" w:rsidP="00C90DF7">
      <w:pPr>
        <w:spacing w:after="0" w:line="360" w:lineRule="auto"/>
      </w:pPr>
      <w:r w:rsidRPr="00F703C9">
        <w:rPr>
          <w:b/>
        </w:rPr>
        <w:t xml:space="preserve">PRIMERO. </w:t>
      </w:r>
      <w:r w:rsidRPr="00F703C9">
        <w:t xml:space="preserve">Se </w:t>
      </w:r>
      <w:r w:rsidRPr="00F703C9">
        <w:rPr>
          <w:b/>
        </w:rPr>
        <w:t xml:space="preserve">REVOCA </w:t>
      </w:r>
      <w:r w:rsidRPr="00F703C9">
        <w:t>la respuesta entregada por el Ayuntamiento de</w:t>
      </w:r>
      <w:r w:rsidR="00D974AD" w:rsidRPr="00F703C9">
        <w:t xml:space="preserve"> </w:t>
      </w:r>
      <w:r w:rsidR="00D974AD" w:rsidRPr="00F703C9">
        <w:rPr>
          <w:bCs/>
          <w:color w:val="000000"/>
          <w:szCs w:val="14"/>
        </w:rPr>
        <w:t>Valle de Chalco Solidaridad</w:t>
      </w:r>
      <w:r w:rsidRPr="00F703C9">
        <w:t>, a la</w:t>
      </w:r>
      <w:r w:rsidR="00D974AD" w:rsidRPr="00F703C9">
        <w:t>s</w:t>
      </w:r>
      <w:r w:rsidRPr="00F703C9">
        <w:t xml:space="preserve"> solicitud</w:t>
      </w:r>
      <w:r w:rsidR="00D974AD" w:rsidRPr="00F703C9">
        <w:t>es</w:t>
      </w:r>
      <w:r w:rsidRPr="00F703C9">
        <w:t xml:space="preserve"> de información</w:t>
      </w:r>
      <w:r w:rsidR="00764157" w:rsidRPr="00F703C9">
        <w:t xml:space="preserve"> 00441/VACHASO/IP/2024 y 00442/VACHASO/IP/2024</w:t>
      </w:r>
      <w:r w:rsidRPr="00F703C9">
        <w:rPr>
          <w:color w:val="000000"/>
        </w:rPr>
        <w:t>,</w:t>
      </w:r>
      <w:r w:rsidRPr="00F703C9">
        <w:t xml:space="preserve"> por resultar </w:t>
      </w:r>
      <w:r w:rsidRPr="00F703C9">
        <w:rPr>
          <w:b/>
          <w:bCs/>
        </w:rPr>
        <w:t>FUNDADAS</w:t>
      </w:r>
      <w:r w:rsidRPr="00F703C9">
        <w:rPr>
          <w:b/>
        </w:rPr>
        <w:t xml:space="preserve"> </w:t>
      </w:r>
      <w:r w:rsidRPr="00F703C9">
        <w:t>las razones o motivos de inconformidad hechos valer por la persona Recurrente, en términos de los considerandos QUINTO y SEXTO de la presente Resolución.</w:t>
      </w:r>
    </w:p>
    <w:p w14:paraId="55194C8A" w14:textId="77777777" w:rsidR="00C90DF7" w:rsidRPr="00F703C9" w:rsidRDefault="00C90DF7" w:rsidP="00C90DF7">
      <w:pPr>
        <w:spacing w:after="0" w:line="360" w:lineRule="auto"/>
      </w:pPr>
    </w:p>
    <w:p w14:paraId="29460937" w14:textId="45FDAC2A" w:rsidR="00764157" w:rsidRPr="00F703C9" w:rsidRDefault="00C90DF7" w:rsidP="00764157">
      <w:pPr>
        <w:spacing w:after="0" w:line="360" w:lineRule="auto"/>
        <w:rPr>
          <w:rFonts w:cs="Tahoma"/>
        </w:rPr>
      </w:pPr>
      <w:r w:rsidRPr="00F703C9">
        <w:rPr>
          <w:b/>
        </w:rPr>
        <w:t xml:space="preserve">SEGUNDO. </w:t>
      </w:r>
      <w:r w:rsidRPr="00F703C9">
        <w:t xml:space="preserve">Se </w:t>
      </w:r>
      <w:r w:rsidRPr="00F703C9">
        <w:rPr>
          <w:b/>
        </w:rPr>
        <w:t>ORDENA</w:t>
      </w:r>
      <w:r w:rsidRPr="00F703C9">
        <w:t xml:space="preserve"> al Sujeto Obligado</w:t>
      </w:r>
      <w:r w:rsidRPr="00F703C9">
        <w:rPr>
          <w:b/>
        </w:rPr>
        <w:t xml:space="preserve">, </w:t>
      </w:r>
      <w:r w:rsidRPr="00F703C9">
        <w:t xml:space="preserve">a efecto de que previa búsqueda exhaustiva y razonable en los archivos de las unidades administrativas competentes, entregue a través del Sistema de Acceso a la Información Mexiquense (SAIMEX), en su caso, en versión pública, </w:t>
      </w:r>
      <w:r w:rsidR="00764157" w:rsidRPr="00F703C9">
        <w:rPr>
          <w:rFonts w:cs="Tahoma"/>
        </w:rPr>
        <w:lastRenderedPageBreak/>
        <w:t xml:space="preserve">del servicio de mantenimiento que dio la Empresa GURIK S.A. de C.V., </w:t>
      </w:r>
      <w:r w:rsidR="0069765E" w:rsidRPr="00F703C9">
        <w:rPr>
          <w:rFonts w:cs="Tahoma"/>
        </w:rPr>
        <w:t xml:space="preserve">los documentos con los que contara </w:t>
      </w:r>
      <w:r w:rsidR="00764157" w:rsidRPr="00F703C9">
        <w:rPr>
          <w:rFonts w:cs="Tahoma"/>
        </w:rPr>
        <w:t>al cinco de agosto de dos mil veinticuatro,</w:t>
      </w:r>
      <w:r w:rsidR="0069765E" w:rsidRPr="00F703C9">
        <w:rPr>
          <w:rFonts w:cs="Tahoma"/>
        </w:rPr>
        <w:t xml:space="preserve"> donde conste </w:t>
      </w:r>
      <w:r w:rsidR="00764157" w:rsidRPr="00F703C9">
        <w:rPr>
          <w:rFonts w:cs="Tahoma"/>
        </w:rPr>
        <w:t>lo siguiente:</w:t>
      </w:r>
    </w:p>
    <w:p w14:paraId="66D47C92" w14:textId="77777777" w:rsidR="000938F5" w:rsidRPr="00F703C9" w:rsidRDefault="000938F5" w:rsidP="00764157">
      <w:pPr>
        <w:spacing w:after="0" w:line="360" w:lineRule="auto"/>
        <w:rPr>
          <w:rFonts w:cs="Tahoma"/>
        </w:rPr>
      </w:pPr>
    </w:p>
    <w:p w14:paraId="64245584" w14:textId="03CA5B32" w:rsidR="00764157" w:rsidRPr="00F703C9" w:rsidRDefault="00764157" w:rsidP="00764157">
      <w:pPr>
        <w:pStyle w:val="Prrafodelista"/>
        <w:numPr>
          <w:ilvl w:val="0"/>
          <w:numId w:val="16"/>
        </w:numPr>
        <w:spacing w:after="0" w:line="360" w:lineRule="auto"/>
        <w:rPr>
          <w:rFonts w:cs="Tahoma"/>
        </w:rPr>
      </w:pPr>
      <w:r w:rsidRPr="00F703C9">
        <w:rPr>
          <w:rFonts w:cs="Tahoma"/>
        </w:rPr>
        <w:t>El tipo de equipos informáticos</w:t>
      </w:r>
      <w:r w:rsidR="000938F5" w:rsidRPr="00F703C9">
        <w:rPr>
          <w:rFonts w:cs="Tahoma"/>
        </w:rPr>
        <w:t>, relacionados con la cantidad referida en la solicitud 00441/VACHASO/IP/2024, y</w:t>
      </w:r>
    </w:p>
    <w:p w14:paraId="4C3C0ABD" w14:textId="77777777" w:rsidR="000938F5" w:rsidRPr="00F703C9" w:rsidRDefault="000938F5" w:rsidP="000938F5">
      <w:pPr>
        <w:pStyle w:val="Prrafodelista"/>
        <w:spacing w:after="0" w:line="360" w:lineRule="auto"/>
        <w:rPr>
          <w:rFonts w:cs="Tahoma"/>
        </w:rPr>
      </w:pPr>
    </w:p>
    <w:p w14:paraId="0CE62DA4" w14:textId="620E0C7D" w:rsidR="001F6F02" w:rsidRPr="00F703C9" w:rsidRDefault="00764157" w:rsidP="001F6F02">
      <w:pPr>
        <w:pStyle w:val="Prrafodelista"/>
        <w:numPr>
          <w:ilvl w:val="0"/>
          <w:numId w:val="16"/>
        </w:numPr>
        <w:spacing w:after="0" w:line="360" w:lineRule="auto"/>
      </w:pPr>
      <w:r w:rsidRPr="00F703C9">
        <w:rPr>
          <w:iCs/>
          <w:color w:val="000000"/>
        </w:rPr>
        <w:t>El tipo de cámaras de vide</w:t>
      </w:r>
      <w:r w:rsidR="0069765E" w:rsidRPr="00F703C9">
        <w:rPr>
          <w:iCs/>
          <w:color w:val="000000"/>
        </w:rPr>
        <w:t>o</w:t>
      </w:r>
      <w:r w:rsidR="001F6F02" w:rsidRPr="00F703C9">
        <w:rPr>
          <w:iCs/>
          <w:color w:val="000000"/>
        </w:rPr>
        <w:t xml:space="preserve">, </w:t>
      </w:r>
      <w:r w:rsidR="000938F5" w:rsidRPr="00F703C9">
        <w:rPr>
          <w:rFonts w:cs="Tahoma"/>
        </w:rPr>
        <w:t>relacionados con el monto señalado en la solicitud 00442/VACHASO/IP/2024.</w:t>
      </w:r>
    </w:p>
    <w:p w14:paraId="29F34E14" w14:textId="77777777" w:rsidR="001F6F02" w:rsidRPr="00F703C9" w:rsidRDefault="001F6F02" w:rsidP="00C90DF7">
      <w:pPr>
        <w:spacing w:after="0" w:line="360" w:lineRule="auto"/>
        <w:contextualSpacing/>
      </w:pPr>
    </w:p>
    <w:p w14:paraId="4160AC21" w14:textId="23F931AC" w:rsidR="00C90DF7" w:rsidRPr="00F703C9" w:rsidRDefault="00C90DF7" w:rsidP="00C90DF7">
      <w:pPr>
        <w:spacing w:after="0" w:line="360" w:lineRule="auto"/>
        <w:contextualSpacing/>
      </w:pPr>
      <w:r w:rsidRPr="00F703C9">
        <w:t>Además, de ser necesario, deberá proporcionar el Acuerdo de Clasificación donde el Comité de Transparencia, confirme la eliminación de los datos o información, en la versión pública, de conformidad con los artículos 49, fracciones II y VIII y 132, fracción II, de la Ley de Transparencia y Acceso a la Información Pública del Estado de México y Municipios.</w:t>
      </w:r>
    </w:p>
    <w:p w14:paraId="34B83579" w14:textId="77777777" w:rsidR="00C90DF7" w:rsidRPr="00F703C9" w:rsidRDefault="00C90DF7" w:rsidP="00C90DF7">
      <w:pPr>
        <w:spacing w:after="0" w:line="360" w:lineRule="auto"/>
      </w:pPr>
    </w:p>
    <w:p w14:paraId="19E82160" w14:textId="77777777" w:rsidR="00C90DF7" w:rsidRPr="00F703C9" w:rsidRDefault="00C90DF7" w:rsidP="00C90DF7">
      <w:pPr>
        <w:spacing w:after="0" w:line="360" w:lineRule="auto"/>
        <w:ind w:right="-28"/>
        <w:rPr>
          <w:b/>
          <w:lang w:eastAsia="es-MX"/>
        </w:rPr>
      </w:pPr>
      <w:r w:rsidRPr="00F703C9">
        <w:rPr>
          <w:b/>
          <w:lang w:eastAsia="es-MX"/>
        </w:rPr>
        <w:t xml:space="preserve">TERCERO. NOTIFÍQUESE POR SAIMEX </w:t>
      </w:r>
      <w:r w:rsidRPr="00F703C9">
        <w:rPr>
          <w:lang w:eastAsia="es-MX"/>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79551F1C" w14:textId="77777777" w:rsidR="00C90DF7" w:rsidRPr="00F703C9" w:rsidRDefault="00C90DF7" w:rsidP="00C90DF7">
      <w:pPr>
        <w:spacing w:after="0" w:line="360" w:lineRule="auto"/>
        <w:ind w:right="-28"/>
        <w:rPr>
          <w:color w:val="000000"/>
          <w:lang w:eastAsia="es-MX"/>
        </w:rPr>
      </w:pPr>
    </w:p>
    <w:p w14:paraId="51978110" w14:textId="77777777" w:rsidR="00C90DF7" w:rsidRPr="00F703C9" w:rsidRDefault="00C90DF7" w:rsidP="00C90DF7">
      <w:pPr>
        <w:spacing w:after="0" w:line="360" w:lineRule="auto"/>
        <w:rPr>
          <w:color w:val="000000"/>
          <w:lang w:eastAsia="es-MX"/>
        </w:rPr>
      </w:pPr>
      <w:r w:rsidRPr="00F703C9">
        <w:rPr>
          <w:color w:val="000000"/>
          <w:lang w:eastAsia="es-MX"/>
        </w:rPr>
        <w:t xml:space="preserve">De conformidad con el artículo 198 de la Ley de Transparencia y Acceso a la Información Pública del Estado de México y Municipios, de considerarlo procedente, el Sujeto Obligado </w:t>
      </w:r>
      <w:r w:rsidRPr="00F703C9">
        <w:rPr>
          <w:color w:val="000000"/>
          <w:lang w:eastAsia="es-MX"/>
        </w:rPr>
        <w:lastRenderedPageBreak/>
        <w:t>de manera fundada y motivada, podrá solicitar una ampliación de plazo para el cumplimiento de la presente resolución.</w:t>
      </w:r>
    </w:p>
    <w:p w14:paraId="3C3F2173" w14:textId="77777777" w:rsidR="00C90DF7" w:rsidRPr="00F703C9" w:rsidRDefault="00C90DF7" w:rsidP="00C90DF7">
      <w:pPr>
        <w:spacing w:after="0" w:line="360" w:lineRule="auto"/>
        <w:rPr>
          <w:color w:val="000000"/>
          <w:lang w:eastAsia="es-MX"/>
        </w:rPr>
      </w:pPr>
    </w:p>
    <w:p w14:paraId="5CF2FC10" w14:textId="77777777" w:rsidR="00C90DF7" w:rsidRPr="00F703C9" w:rsidRDefault="00C90DF7" w:rsidP="00C90DF7">
      <w:pPr>
        <w:spacing w:after="0" w:line="360" w:lineRule="auto"/>
        <w:contextualSpacing/>
        <w:rPr>
          <w:color w:val="000000"/>
        </w:rPr>
      </w:pPr>
      <w:r w:rsidRPr="00F703C9">
        <w:rPr>
          <w:b/>
          <w:bCs/>
          <w:color w:val="000000"/>
        </w:rPr>
        <w:t xml:space="preserve">CUARTO. </w:t>
      </w:r>
      <w:r w:rsidRPr="00F703C9">
        <w:rPr>
          <w:b/>
          <w:lang w:eastAsia="es-MX"/>
        </w:rPr>
        <w:t>NOTIFÍQUESE POR SAIMEX</w:t>
      </w:r>
      <w:r w:rsidRPr="00F703C9">
        <w:rPr>
          <w:color w:val="000000"/>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70BCCFFF" w14:textId="77777777" w:rsidR="00C90DF7" w:rsidRPr="00F703C9" w:rsidRDefault="00C90DF7" w:rsidP="00C90DF7">
      <w:pPr>
        <w:spacing w:after="0" w:line="360" w:lineRule="auto"/>
        <w:contextualSpacing/>
        <w:rPr>
          <w:color w:val="000000"/>
        </w:rPr>
      </w:pPr>
    </w:p>
    <w:p w14:paraId="16844FD7" w14:textId="37ED3098" w:rsidR="00C90DF7" w:rsidRDefault="00C90DF7" w:rsidP="00C90DF7">
      <w:pPr>
        <w:spacing w:after="0" w:line="360" w:lineRule="auto"/>
        <w:rPr>
          <w:color w:val="auto"/>
        </w:rPr>
      </w:pPr>
      <w:r w:rsidRPr="00F703C9">
        <w:t>ASÍ LO RESUELVE, POR </w:t>
      </w:r>
      <w:r w:rsidRPr="00F703C9">
        <w:rPr>
          <w:b/>
        </w:rPr>
        <w:t>UNANIMIDAD</w:t>
      </w:r>
      <w:r w:rsidRPr="00F703C9">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411106" w:rsidRPr="00F703C9">
        <w:t>OCTAVA</w:t>
      </w:r>
      <w:r w:rsidRPr="00F703C9">
        <w:t xml:space="preserve"> SESIÓN ORDINARIA, CELEBRADA EL </w:t>
      </w:r>
      <w:r w:rsidR="00411106" w:rsidRPr="00F703C9">
        <w:t xml:space="preserve">SEIS DE NOVIEMBRE </w:t>
      </w:r>
      <w:r w:rsidRPr="00F703C9">
        <w:t>DE DOS MIL VEINTICUATRO, ANTE EL SECRETARIO TÉCNICO DEL PLENO, ALEXIS TAPIA RAMÍREZ.</w:t>
      </w:r>
    </w:p>
    <w:p w14:paraId="07928F60" w14:textId="77777777" w:rsidR="00C90DF7" w:rsidRPr="00C90DF7" w:rsidRDefault="00C90DF7" w:rsidP="00DA2D9B">
      <w:pPr>
        <w:spacing w:after="0" w:line="360" w:lineRule="auto"/>
        <w:rPr>
          <w:rFonts w:eastAsia="Calibri" w:cs="Times New Roman"/>
          <w:b/>
          <w:color w:val="000000"/>
        </w:rPr>
      </w:pPr>
    </w:p>
    <w:p w14:paraId="4CA30076" w14:textId="77777777" w:rsidR="006C7941" w:rsidRPr="004F055F" w:rsidRDefault="006C7941" w:rsidP="00DA2D9B">
      <w:pPr>
        <w:spacing w:after="0" w:line="360" w:lineRule="auto"/>
        <w:rPr>
          <w:rFonts w:eastAsia="Calibri" w:cs="Times New Roman"/>
          <w:bCs/>
          <w:color w:val="000000"/>
        </w:rPr>
      </w:pPr>
    </w:p>
    <w:bookmarkEnd w:id="4"/>
    <w:p w14:paraId="4291BD38" w14:textId="77777777" w:rsidR="00C90DF7" w:rsidRDefault="00C90DF7" w:rsidP="00DA2D9B">
      <w:pPr>
        <w:spacing w:after="0" w:line="360" w:lineRule="auto"/>
        <w:contextualSpacing/>
        <w:rPr>
          <w:rFonts w:eastAsia="Calibri" w:cs="Times New Roman"/>
          <w:bCs/>
          <w:color w:val="000000"/>
        </w:rPr>
      </w:pPr>
    </w:p>
    <w:p w14:paraId="70595A48" w14:textId="29F8A2FE" w:rsidR="0064304B" w:rsidRDefault="00DB3DC5" w:rsidP="00DA2D9B">
      <w:pPr>
        <w:spacing w:after="0" w:line="360" w:lineRule="auto"/>
        <w:contextualSpacing/>
      </w:pPr>
      <w:r>
        <w:br w:type="page"/>
      </w:r>
      <w:r w:rsidR="0064304B">
        <w:lastRenderedPageBreak/>
        <w:t xml:space="preserve"> </w:t>
      </w:r>
    </w:p>
    <w:p w14:paraId="1A4D8744" w14:textId="77777777" w:rsidR="00391ADC" w:rsidRDefault="00391ADC" w:rsidP="00DA2D9B">
      <w:pPr>
        <w:spacing w:after="0" w:line="360" w:lineRule="auto"/>
        <w:contextualSpacing/>
      </w:pPr>
    </w:p>
    <w:p w14:paraId="3AFF8784" w14:textId="77777777" w:rsidR="00DB3DC5" w:rsidRDefault="00DB3DC5" w:rsidP="00DA2D9B">
      <w:pPr>
        <w:spacing w:after="0" w:line="360" w:lineRule="auto"/>
        <w:contextualSpacing/>
      </w:pPr>
    </w:p>
    <w:p w14:paraId="77FEB688" w14:textId="77777777" w:rsidR="00DB3DC5" w:rsidRDefault="00DB3DC5" w:rsidP="00DA2D9B">
      <w:pPr>
        <w:spacing w:after="0" w:line="360" w:lineRule="auto"/>
        <w:contextualSpacing/>
      </w:pPr>
    </w:p>
    <w:p w14:paraId="01AD689C" w14:textId="77777777" w:rsidR="00DB3DC5" w:rsidRDefault="00DB3DC5" w:rsidP="00DA2D9B">
      <w:pPr>
        <w:spacing w:after="0" w:line="360" w:lineRule="auto"/>
        <w:contextualSpacing/>
      </w:pPr>
    </w:p>
    <w:p w14:paraId="3EC3E9BD" w14:textId="77777777" w:rsidR="00CE7148" w:rsidRDefault="00CE7148" w:rsidP="00DA2D9B">
      <w:pPr>
        <w:spacing w:after="0" w:line="360" w:lineRule="auto"/>
      </w:pPr>
    </w:p>
    <w:sectPr w:rsidR="00CE7148" w:rsidSect="007F271C">
      <w:headerReference w:type="even" r:id="rId15"/>
      <w:headerReference w:type="default" r:id="rId16"/>
      <w:footerReference w:type="even" r:id="rId17"/>
      <w:footerReference w:type="default" r:id="rId18"/>
      <w:headerReference w:type="first" r:id="rId19"/>
      <w:footerReference w:type="first" r:id="rId20"/>
      <w:pgSz w:w="12240" w:h="15840"/>
      <w:pgMar w:top="1418" w:right="1608" w:bottom="1560" w:left="1701"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103FC" w14:textId="77777777" w:rsidR="0052074F" w:rsidRDefault="0052074F" w:rsidP="00DB3DC5">
      <w:pPr>
        <w:spacing w:after="0" w:line="240" w:lineRule="auto"/>
      </w:pPr>
      <w:r>
        <w:separator/>
      </w:r>
    </w:p>
  </w:endnote>
  <w:endnote w:type="continuationSeparator" w:id="0">
    <w:p w14:paraId="30B93717" w14:textId="77777777" w:rsidR="0052074F" w:rsidRDefault="0052074F"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271EF021" w14:textId="77777777" w:rsidR="00F43CA6" w:rsidRDefault="00F43CA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242DB">
              <w:rPr>
                <w:b/>
                <w:bCs/>
                <w:noProof/>
              </w:rPr>
              <w:t>43</w:t>
            </w:r>
            <w:r>
              <w:rPr>
                <w:b/>
                <w:bCs/>
                <w:sz w:val="24"/>
                <w:szCs w:val="24"/>
              </w:rPr>
              <w:fldChar w:fldCharType="end"/>
            </w:r>
          </w:p>
        </w:sdtContent>
      </w:sdt>
    </w:sdtContent>
  </w:sdt>
  <w:p w14:paraId="68EED6E3" w14:textId="77777777" w:rsidR="00F43CA6" w:rsidRDefault="00F43C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54AF1A6A" w14:textId="77777777" w:rsidR="00F43CA6" w:rsidRDefault="00F43CA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242DB">
              <w:rPr>
                <w:b/>
                <w:bCs/>
                <w:noProof/>
              </w:rPr>
              <w:t>43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242DB">
              <w:rPr>
                <w:b/>
                <w:bCs/>
                <w:noProof/>
              </w:rPr>
              <w:t>43</w:t>
            </w:r>
            <w:r>
              <w:rPr>
                <w:b/>
                <w:bCs/>
                <w:sz w:val="24"/>
                <w:szCs w:val="24"/>
              </w:rPr>
              <w:fldChar w:fldCharType="end"/>
            </w:r>
          </w:p>
        </w:sdtContent>
      </w:sdt>
    </w:sdtContent>
  </w:sdt>
  <w:p w14:paraId="5C9540ED" w14:textId="77777777" w:rsidR="00F43CA6" w:rsidRDefault="00F43C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4208A12E" w14:textId="77777777" w:rsidR="00F43CA6" w:rsidRDefault="00F43CA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242DB">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242DB">
              <w:rPr>
                <w:b/>
                <w:bCs/>
                <w:noProof/>
              </w:rPr>
              <w:t>43</w:t>
            </w:r>
            <w:r>
              <w:rPr>
                <w:b/>
                <w:bCs/>
                <w:sz w:val="24"/>
                <w:szCs w:val="24"/>
              </w:rPr>
              <w:fldChar w:fldCharType="end"/>
            </w:r>
          </w:p>
        </w:sdtContent>
      </w:sdt>
    </w:sdtContent>
  </w:sdt>
  <w:p w14:paraId="601C40B8" w14:textId="77777777" w:rsidR="00F43CA6" w:rsidRDefault="00F43C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8CFDF" w14:textId="77777777" w:rsidR="0052074F" w:rsidRDefault="0052074F" w:rsidP="00DB3DC5">
      <w:pPr>
        <w:spacing w:after="0" w:line="240" w:lineRule="auto"/>
      </w:pPr>
      <w:r>
        <w:separator/>
      </w:r>
    </w:p>
  </w:footnote>
  <w:footnote w:type="continuationSeparator" w:id="0">
    <w:p w14:paraId="4B938A2D" w14:textId="77777777" w:rsidR="0052074F" w:rsidRDefault="0052074F" w:rsidP="00DB3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F43CA6" w:rsidRPr="00E152D8" w14:paraId="04B090CA" w14:textId="77777777" w:rsidTr="00347876">
      <w:trPr>
        <w:trHeight w:val="132"/>
      </w:trPr>
      <w:tc>
        <w:tcPr>
          <w:tcW w:w="2691" w:type="dxa"/>
        </w:tcPr>
        <w:p w14:paraId="476D4D83" w14:textId="77777777" w:rsidR="00F43CA6" w:rsidRPr="00E152D8" w:rsidRDefault="00F43CA6"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F43CA6" w:rsidRPr="00EE1572" w:rsidRDefault="00F43CA6" w:rsidP="00347876">
          <w:pPr>
            <w:tabs>
              <w:tab w:val="right" w:pos="8838"/>
            </w:tabs>
            <w:ind w:left="-28" w:right="-32"/>
            <w:rPr>
              <w:rFonts w:eastAsia="Calibri" w:cs="Tahoma"/>
            </w:rPr>
          </w:pPr>
          <w:r w:rsidRPr="00EE1572">
            <w:rPr>
              <w:rFonts w:eastAsia="Calibri" w:cs="Tahoma"/>
            </w:rPr>
            <w:t>03846/INFOEM/IP/RR/2020</w:t>
          </w:r>
        </w:p>
      </w:tc>
    </w:tr>
    <w:tr w:rsidR="00F43CA6" w:rsidRPr="00E152D8" w14:paraId="1A944E3B" w14:textId="77777777" w:rsidTr="00347876">
      <w:trPr>
        <w:trHeight w:val="261"/>
      </w:trPr>
      <w:tc>
        <w:tcPr>
          <w:tcW w:w="2691" w:type="dxa"/>
        </w:tcPr>
        <w:p w14:paraId="04AF3D79" w14:textId="77777777" w:rsidR="00F43CA6" w:rsidRPr="00E152D8" w:rsidRDefault="00F43CA6"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F43CA6" w:rsidRPr="00EE1572" w:rsidRDefault="00F43CA6" w:rsidP="00347876">
          <w:pPr>
            <w:tabs>
              <w:tab w:val="right" w:pos="8838"/>
            </w:tabs>
            <w:ind w:right="-32"/>
            <w:rPr>
              <w:rFonts w:eastAsia="Calibri" w:cs="Tahoma"/>
              <w:lang w:val="es-MX"/>
            </w:rPr>
          </w:pPr>
          <w:r w:rsidRPr="00EE1572">
            <w:rPr>
              <w:rFonts w:eastAsia="Calibri" w:cs="Tahoma"/>
              <w:lang w:val="es-MX"/>
            </w:rPr>
            <w:t>Ayuntamiento de Temascalcingo</w:t>
          </w:r>
        </w:p>
      </w:tc>
    </w:tr>
    <w:tr w:rsidR="00F43CA6" w:rsidRPr="00E152D8" w14:paraId="51F43EE6" w14:textId="77777777" w:rsidTr="00347876">
      <w:trPr>
        <w:trHeight w:val="261"/>
      </w:trPr>
      <w:tc>
        <w:tcPr>
          <w:tcW w:w="2691" w:type="dxa"/>
        </w:tcPr>
        <w:p w14:paraId="4689E914" w14:textId="77777777" w:rsidR="00F43CA6" w:rsidRPr="00E152D8" w:rsidRDefault="00F43CA6"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F43CA6" w:rsidRPr="00E152D8" w:rsidRDefault="00F43CA6"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F43CA6" w:rsidRDefault="00A831E0">
    <w:pPr>
      <w:pStyle w:val="Encabezado"/>
    </w:pPr>
    <w:r>
      <w:rPr>
        <w:noProof/>
      </w:rPr>
      <w:pict w14:anchorId="73528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6804"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3"/>
    </w:tblGrid>
    <w:tr w:rsidR="0069765E" w:rsidRPr="00E152D8" w14:paraId="6AD70801" w14:textId="77777777" w:rsidTr="0069765E">
      <w:trPr>
        <w:trHeight w:val="138"/>
      </w:trPr>
      <w:tc>
        <w:tcPr>
          <w:tcW w:w="2551" w:type="dxa"/>
          <w:vAlign w:val="center"/>
        </w:tcPr>
        <w:p w14:paraId="4714C583" w14:textId="77777777" w:rsidR="00F43CA6" w:rsidRPr="00E152D8" w:rsidRDefault="00F43CA6" w:rsidP="00347876">
          <w:pPr>
            <w:tabs>
              <w:tab w:val="right" w:pos="8838"/>
            </w:tabs>
            <w:ind w:right="-105"/>
            <w:jc w:val="left"/>
            <w:rPr>
              <w:rFonts w:eastAsia="Calibri" w:cs="Tahoma"/>
              <w:b/>
              <w:lang w:val="es-MX"/>
            </w:rPr>
          </w:pPr>
          <w:r w:rsidRPr="00E152D8">
            <w:rPr>
              <w:rFonts w:eastAsia="Calibri" w:cs="Tahoma"/>
              <w:b/>
              <w:lang w:val="es-MX"/>
            </w:rPr>
            <w:t>Recurso de Revisión:</w:t>
          </w:r>
        </w:p>
      </w:tc>
      <w:tc>
        <w:tcPr>
          <w:tcW w:w="4253" w:type="dxa"/>
        </w:tcPr>
        <w:p w14:paraId="02EA1FEA" w14:textId="130CC6E9" w:rsidR="00F43CA6" w:rsidRPr="00051642" w:rsidRDefault="00F43CA6" w:rsidP="0069765E">
          <w:pPr>
            <w:tabs>
              <w:tab w:val="right" w:pos="8838"/>
            </w:tabs>
            <w:ind w:right="57"/>
            <w:rPr>
              <w:rFonts w:eastAsia="Calibri" w:cs="Tahoma"/>
            </w:rPr>
          </w:pPr>
          <w:r w:rsidRPr="00180E70">
            <w:t>0</w:t>
          </w:r>
          <w:r w:rsidR="009777A3">
            <w:t>5</w:t>
          </w:r>
          <w:r w:rsidR="00C9544F">
            <w:t>481</w:t>
          </w:r>
          <w:r w:rsidRPr="00180E70">
            <w:t>/INFOEM/IP/RR/2024</w:t>
          </w:r>
          <w:r>
            <w:t xml:space="preserve"> </w:t>
          </w:r>
          <w:r>
            <w:rPr>
              <w:rFonts w:eastAsia="Calibri" w:cs="Tahoma"/>
              <w:lang w:val="es-MX"/>
            </w:rPr>
            <w:t>y acumulado</w:t>
          </w:r>
        </w:p>
      </w:tc>
    </w:tr>
    <w:tr w:rsidR="0069765E" w:rsidRPr="00E152D8" w14:paraId="7FF5EABC" w14:textId="77777777" w:rsidTr="0069765E">
      <w:trPr>
        <w:trHeight w:val="273"/>
      </w:trPr>
      <w:tc>
        <w:tcPr>
          <w:tcW w:w="2551" w:type="dxa"/>
        </w:tcPr>
        <w:p w14:paraId="565B10D1" w14:textId="77777777" w:rsidR="00F43CA6" w:rsidRPr="00E152D8" w:rsidRDefault="00F43CA6"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3" w:type="dxa"/>
        </w:tcPr>
        <w:p w14:paraId="7EA0F578" w14:textId="4D1C4D06" w:rsidR="00F43CA6" w:rsidRPr="00051642" w:rsidRDefault="00F43CA6" w:rsidP="0069765E">
          <w:pPr>
            <w:tabs>
              <w:tab w:val="right" w:pos="8838"/>
            </w:tabs>
            <w:ind w:right="169"/>
            <w:rPr>
              <w:rFonts w:eastAsia="Calibri" w:cs="Tahoma"/>
              <w:lang w:val="es-MX"/>
            </w:rPr>
          </w:pPr>
          <w:r>
            <w:rPr>
              <w:bCs/>
              <w:color w:val="000000"/>
              <w:szCs w:val="14"/>
            </w:rPr>
            <w:t xml:space="preserve">Ayuntamiento </w:t>
          </w:r>
          <w:r w:rsidR="009777A3">
            <w:rPr>
              <w:bCs/>
              <w:color w:val="000000"/>
              <w:szCs w:val="14"/>
            </w:rPr>
            <w:t>de Valle de Chalco Solidaridad</w:t>
          </w:r>
        </w:p>
      </w:tc>
    </w:tr>
    <w:tr w:rsidR="0069765E" w:rsidRPr="00E152D8" w14:paraId="3156BE5F" w14:textId="77777777" w:rsidTr="0069765E">
      <w:trPr>
        <w:trHeight w:val="273"/>
      </w:trPr>
      <w:tc>
        <w:tcPr>
          <w:tcW w:w="2551" w:type="dxa"/>
        </w:tcPr>
        <w:p w14:paraId="183B2F1A" w14:textId="77777777" w:rsidR="00F43CA6" w:rsidRPr="00E152D8" w:rsidRDefault="00F43CA6" w:rsidP="00347876">
          <w:pPr>
            <w:tabs>
              <w:tab w:val="right" w:pos="8838"/>
            </w:tabs>
            <w:ind w:right="-105"/>
            <w:rPr>
              <w:rFonts w:eastAsia="Calibri" w:cs="Tahoma"/>
              <w:b/>
              <w:lang w:val="es-MX"/>
            </w:rPr>
          </w:pPr>
          <w:r w:rsidRPr="00E152D8">
            <w:rPr>
              <w:rFonts w:eastAsia="Calibri" w:cs="Tahoma"/>
              <w:b/>
              <w:lang w:val="es-MX"/>
            </w:rPr>
            <w:t>Comisionado Ponente:</w:t>
          </w:r>
        </w:p>
      </w:tc>
      <w:tc>
        <w:tcPr>
          <w:tcW w:w="4253" w:type="dxa"/>
        </w:tcPr>
        <w:p w14:paraId="318AB537" w14:textId="77777777" w:rsidR="00F43CA6" w:rsidRPr="00E152D8" w:rsidRDefault="00F43CA6" w:rsidP="0069765E">
          <w:pPr>
            <w:tabs>
              <w:tab w:val="right" w:pos="8838"/>
            </w:tabs>
            <w:ind w:right="-170"/>
            <w:rPr>
              <w:rFonts w:eastAsia="Calibri" w:cs="Tahoma"/>
              <w:b/>
              <w:lang w:val="es-MX"/>
            </w:rPr>
          </w:pPr>
          <w:r w:rsidRPr="00E152D8">
            <w:rPr>
              <w:rFonts w:eastAsia="Calibri" w:cs="Tahoma"/>
              <w:lang w:val="es-MX"/>
            </w:rPr>
            <w:t>Luis Gustavo Parra Noriega</w:t>
          </w:r>
        </w:p>
      </w:tc>
    </w:tr>
  </w:tbl>
  <w:p w14:paraId="67D20F9C" w14:textId="77777777" w:rsidR="00F43CA6" w:rsidRDefault="00A831E0" w:rsidP="00347876">
    <w:pPr>
      <w:pStyle w:val="Encabezado"/>
    </w:pPr>
    <w:r>
      <w:rPr>
        <w:noProof/>
      </w:rPr>
      <w:pict w14:anchorId="3F645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6379"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828"/>
    </w:tblGrid>
    <w:tr w:rsidR="0069765E" w:rsidRPr="00E152D8" w14:paraId="773597DE" w14:textId="77777777" w:rsidTr="0069765E">
      <w:trPr>
        <w:trHeight w:val="132"/>
      </w:trPr>
      <w:tc>
        <w:tcPr>
          <w:tcW w:w="2551" w:type="dxa"/>
        </w:tcPr>
        <w:p w14:paraId="4FCB3AA3" w14:textId="77777777" w:rsidR="00F43CA6" w:rsidRPr="00E152D8" w:rsidRDefault="00F43CA6" w:rsidP="00347876">
          <w:pPr>
            <w:tabs>
              <w:tab w:val="right" w:pos="8838"/>
            </w:tabs>
            <w:ind w:right="-105"/>
            <w:rPr>
              <w:rFonts w:eastAsia="Calibri" w:cs="Tahoma"/>
              <w:b/>
              <w:lang w:val="es-MX"/>
            </w:rPr>
          </w:pPr>
          <w:r w:rsidRPr="00E152D8">
            <w:rPr>
              <w:rFonts w:eastAsia="Calibri" w:cs="Tahoma"/>
              <w:b/>
              <w:lang w:val="es-MX"/>
            </w:rPr>
            <w:t>Recurso de Revisión:</w:t>
          </w:r>
        </w:p>
      </w:tc>
      <w:tc>
        <w:tcPr>
          <w:tcW w:w="3828" w:type="dxa"/>
        </w:tcPr>
        <w:p w14:paraId="42955DA0" w14:textId="6D011169" w:rsidR="00F43CA6" w:rsidRPr="00051642" w:rsidRDefault="00F43CA6" w:rsidP="00347876">
          <w:pPr>
            <w:tabs>
              <w:tab w:val="right" w:pos="8838"/>
            </w:tabs>
            <w:ind w:left="-111" w:right="-32"/>
            <w:rPr>
              <w:rFonts w:eastAsia="Calibri" w:cs="Tahoma"/>
            </w:rPr>
          </w:pPr>
          <w:r w:rsidRPr="00180E70">
            <w:t>0</w:t>
          </w:r>
          <w:r w:rsidR="009777A3">
            <w:t>5</w:t>
          </w:r>
          <w:r w:rsidR="00C9544F">
            <w:t>481</w:t>
          </w:r>
          <w:r w:rsidRPr="00180E70">
            <w:t>/INFOEM/IP/RR/2024</w:t>
          </w:r>
          <w:r>
            <w:t xml:space="preserve"> </w:t>
          </w:r>
          <w:r>
            <w:rPr>
              <w:rFonts w:eastAsia="Calibri" w:cs="Tahoma"/>
              <w:lang w:val="es-MX"/>
            </w:rPr>
            <w:t>y acumulado</w:t>
          </w:r>
        </w:p>
      </w:tc>
    </w:tr>
    <w:tr w:rsidR="0069765E" w:rsidRPr="00E152D8" w14:paraId="202FB661" w14:textId="77777777" w:rsidTr="0069765E">
      <w:trPr>
        <w:trHeight w:val="132"/>
      </w:trPr>
      <w:tc>
        <w:tcPr>
          <w:tcW w:w="2551" w:type="dxa"/>
          <w:shd w:val="clear" w:color="auto" w:fill="auto"/>
        </w:tcPr>
        <w:p w14:paraId="5E100A32" w14:textId="77777777" w:rsidR="00F43CA6" w:rsidRPr="00E152D8" w:rsidRDefault="00F43CA6" w:rsidP="00347876">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3828" w:type="dxa"/>
          <w:shd w:val="clear" w:color="auto" w:fill="auto"/>
        </w:tcPr>
        <w:p w14:paraId="28640565" w14:textId="289BDE59" w:rsidR="00F43CA6" w:rsidRPr="00E21446" w:rsidRDefault="00A831E0" w:rsidP="00DB3DC5">
          <w:pPr>
            <w:tabs>
              <w:tab w:val="right" w:pos="8838"/>
            </w:tabs>
            <w:ind w:left="-113"/>
            <w:rPr>
              <w:rFonts w:eastAsia="Calibri" w:cs="Tahoma"/>
              <w:lang w:val="es-MX"/>
            </w:rPr>
          </w:pPr>
          <w:r w:rsidRPr="00A831E0">
            <w:rPr>
              <w:rFonts w:eastAsia="Calibri" w:cs="Tahoma"/>
              <w:highlight w:val="black"/>
              <w:lang w:val="es-MX"/>
            </w:rPr>
            <w:t>XXXXXXXXXXXXXXXXXXXXX</w:t>
          </w:r>
        </w:p>
      </w:tc>
    </w:tr>
    <w:tr w:rsidR="0069765E" w:rsidRPr="00E152D8" w14:paraId="1BA9B09B" w14:textId="77777777" w:rsidTr="0069765E">
      <w:trPr>
        <w:trHeight w:val="261"/>
      </w:trPr>
      <w:tc>
        <w:tcPr>
          <w:tcW w:w="2551" w:type="dxa"/>
        </w:tcPr>
        <w:p w14:paraId="6174740A" w14:textId="77777777" w:rsidR="00F43CA6" w:rsidRPr="00E152D8" w:rsidRDefault="00F43CA6"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828" w:type="dxa"/>
        </w:tcPr>
        <w:p w14:paraId="4B948471" w14:textId="79696C3D" w:rsidR="00F43CA6" w:rsidRPr="00180E70" w:rsidRDefault="00F43CA6" w:rsidP="00235D0D">
          <w:pPr>
            <w:tabs>
              <w:tab w:val="right" w:pos="8838"/>
            </w:tabs>
            <w:ind w:left="-111" w:right="-32"/>
            <w:rPr>
              <w:rFonts w:eastAsia="Calibri" w:cs="Tahoma"/>
              <w:lang w:val="es-MX"/>
            </w:rPr>
          </w:pPr>
          <w:r>
            <w:rPr>
              <w:bCs/>
              <w:color w:val="000000"/>
              <w:szCs w:val="14"/>
            </w:rPr>
            <w:t>Ayuntamiento de</w:t>
          </w:r>
          <w:r w:rsidR="009777A3">
            <w:rPr>
              <w:bCs/>
              <w:color w:val="000000"/>
              <w:szCs w:val="14"/>
            </w:rPr>
            <w:t xml:space="preserve"> Valle de Chalco Solidaridad</w:t>
          </w:r>
        </w:p>
      </w:tc>
    </w:tr>
    <w:tr w:rsidR="0069765E" w:rsidRPr="00E152D8" w14:paraId="3F18AACD" w14:textId="77777777" w:rsidTr="0069765E">
      <w:trPr>
        <w:trHeight w:val="261"/>
      </w:trPr>
      <w:tc>
        <w:tcPr>
          <w:tcW w:w="2551" w:type="dxa"/>
        </w:tcPr>
        <w:p w14:paraId="57E8DDB5" w14:textId="77777777" w:rsidR="00F43CA6" w:rsidRPr="00E152D8" w:rsidRDefault="00F43CA6" w:rsidP="00347876">
          <w:pPr>
            <w:tabs>
              <w:tab w:val="right" w:pos="8838"/>
            </w:tabs>
            <w:ind w:right="-105"/>
            <w:rPr>
              <w:rFonts w:eastAsia="Calibri" w:cs="Tahoma"/>
              <w:b/>
              <w:lang w:val="es-MX"/>
            </w:rPr>
          </w:pPr>
          <w:r w:rsidRPr="00E152D8">
            <w:rPr>
              <w:rFonts w:eastAsia="Calibri" w:cs="Tahoma"/>
              <w:b/>
              <w:lang w:val="es-MX"/>
            </w:rPr>
            <w:t>Comisionado Ponente:</w:t>
          </w:r>
        </w:p>
      </w:tc>
      <w:tc>
        <w:tcPr>
          <w:tcW w:w="3828" w:type="dxa"/>
        </w:tcPr>
        <w:p w14:paraId="1B8E59D3" w14:textId="77777777" w:rsidR="00F43CA6" w:rsidRPr="00E152D8" w:rsidRDefault="00F43CA6" w:rsidP="00347876">
          <w:pPr>
            <w:tabs>
              <w:tab w:val="right" w:pos="8838"/>
            </w:tabs>
            <w:ind w:left="-111" w:right="-32"/>
            <w:rPr>
              <w:rFonts w:eastAsia="Calibri" w:cs="Tahoma"/>
              <w:b/>
              <w:lang w:val="es-MX"/>
            </w:rPr>
          </w:pPr>
          <w:r w:rsidRPr="00E152D8">
            <w:rPr>
              <w:rFonts w:eastAsia="Calibri" w:cs="Tahoma"/>
              <w:lang w:val="es-MX"/>
            </w:rPr>
            <w:t>Luis Gustavo Parra Noriega</w:t>
          </w:r>
        </w:p>
      </w:tc>
    </w:tr>
  </w:tbl>
  <w:p w14:paraId="305D4853" w14:textId="77777777" w:rsidR="00F43CA6" w:rsidRDefault="00A831E0" w:rsidP="00347876">
    <w:pPr>
      <w:pStyle w:val="Encabezado"/>
      <w:tabs>
        <w:tab w:val="left" w:pos="5812"/>
      </w:tabs>
    </w:pPr>
    <w:r>
      <w:rPr>
        <w:noProof/>
      </w:rPr>
      <w:pict w14:anchorId="06CED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9.1pt;margin-top:-12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EC865C3"/>
    <w:multiLevelType w:val="hybridMultilevel"/>
    <w:tmpl w:val="71BA69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01247C"/>
    <w:multiLevelType w:val="hybridMultilevel"/>
    <w:tmpl w:val="BB621E9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43013C50"/>
    <w:multiLevelType w:val="hybridMultilevel"/>
    <w:tmpl w:val="71BA69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CF08E8"/>
    <w:multiLevelType w:val="hybridMultilevel"/>
    <w:tmpl w:val="C36483E2"/>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FB75649"/>
    <w:multiLevelType w:val="hybridMultilevel"/>
    <w:tmpl w:val="FAF4F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786D43"/>
    <w:multiLevelType w:val="hybridMultilevel"/>
    <w:tmpl w:val="6F98BCAE"/>
    <w:lvl w:ilvl="0" w:tplc="3EA014CA">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55FA194C"/>
    <w:multiLevelType w:val="hybridMultilevel"/>
    <w:tmpl w:val="71BA69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6186D9D"/>
    <w:multiLevelType w:val="hybridMultilevel"/>
    <w:tmpl w:val="71BA69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417A76"/>
    <w:multiLevelType w:val="hybridMultilevel"/>
    <w:tmpl w:val="14F69642"/>
    <w:lvl w:ilvl="0" w:tplc="08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901327909">
    <w:abstractNumId w:val="9"/>
  </w:num>
  <w:num w:numId="2" w16cid:durableId="16957661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5824717">
    <w:abstractNumId w:val="0"/>
  </w:num>
  <w:num w:numId="4" w16cid:durableId="551038225">
    <w:abstractNumId w:val="15"/>
  </w:num>
  <w:num w:numId="5" w16cid:durableId="912591317">
    <w:abstractNumId w:val="1"/>
  </w:num>
  <w:num w:numId="6" w16cid:durableId="1672872646">
    <w:abstractNumId w:val="7"/>
  </w:num>
  <w:num w:numId="7" w16cid:durableId="311451474">
    <w:abstractNumId w:val="4"/>
  </w:num>
  <w:num w:numId="8" w16cid:durableId="1118719877">
    <w:abstractNumId w:val="8"/>
  </w:num>
  <w:num w:numId="9" w16cid:durableId="11452026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63970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9921433">
    <w:abstractNumId w:val="13"/>
  </w:num>
  <w:num w:numId="12" w16cid:durableId="877205903">
    <w:abstractNumId w:val="6"/>
  </w:num>
  <w:num w:numId="13" w16cid:durableId="838081192">
    <w:abstractNumId w:val="2"/>
  </w:num>
  <w:num w:numId="14" w16cid:durableId="1251815427">
    <w:abstractNumId w:val="12"/>
  </w:num>
  <w:num w:numId="15" w16cid:durableId="1280723782">
    <w:abstractNumId w:val="5"/>
  </w:num>
  <w:num w:numId="16" w16cid:durableId="58892706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DC5"/>
    <w:rsid w:val="000045A6"/>
    <w:rsid w:val="00014BE4"/>
    <w:rsid w:val="00020AD3"/>
    <w:rsid w:val="00021EBC"/>
    <w:rsid w:val="00036E16"/>
    <w:rsid w:val="00045728"/>
    <w:rsid w:val="00046A54"/>
    <w:rsid w:val="000644D9"/>
    <w:rsid w:val="00066007"/>
    <w:rsid w:val="00070115"/>
    <w:rsid w:val="000729D1"/>
    <w:rsid w:val="00083012"/>
    <w:rsid w:val="000845AF"/>
    <w:rsid w:val="0008576C"/>
    <w:rsid w:val="00086A5E"/>
    <w:rsid w:val="000938F5"/>
    <w:rsid w:val="00094584"/>
    <w:rsid w:val="000A0310"/>
    <w:rsid w:val="000A0A70"/>
    <w:rsid w:val="000A0C40"/>
    <w:rsid w:val="000A2D13"/>
    <w:rsid w:val="000A3E85"/>
    <w:rsid w:val="000A4D8C"/>
    <w:rsid w:val="000B2239"/>
    <w:rsid w:val="000B6729"/>
    <w:rsid w:val="000B7166"/>
    <w:rsid w:val="000C23EC"/>
    <w:rsid w:val="000C2FB7"/>
    <w:rsid w:val="000C3B34"/>
    <w:rsid w:val="000D1C9F"/>
    <w:rsid w:val="000D38A4"/>
    <w:rsid w:val="000D5D25"/>
    <w:rsid w:val="000E0E8D"/>
    <w:rsid w:val="000E6C1E"/>
    <w:rsid w:val="000F5268"/>
    <w:rsid w:val="000F5AD1"/>
    <w:rsid w:val="001023EA"/>
    <w:rsid w:val="00102F00"/>
    <w:rsid w:val="0010603A"/>
    <w:rsid w:val="001067F6"/>
    <w:rsid w:val="0011060D"/>
    <w:rsid w:val="00110D4D"/>
    <w:rsid w:val="00121303"/>
    <w:rsid w:val="00124585"/>
    <w:rsid w:val="00131023"/>
    <w:rsid w:val="001334D1"/>
    <w:rsid w:val="00133A4B"/>
    <w:rsid w:val="00136CFC"/>
    <w:rsid w:val="0014058D"/>
    <w:rsid w:val="0014339D"/>
    <w:rsid w:val="00145862"/>
    <w:rsid w:val="001503DD"/>
    <w:rsid w:val="001529D4"/>
    <w:rsid w:val="0015328B"/>
    <w:rsid w:val="001553B7"/>
    <w:rsid w:val="00155A01"/>
    <w:rsid w:val="00161395"/>
    <w:rsid w:val="001613BF"/>
    <w:rsid w:val="00164F45"/>
    <w:rsid w:val="0016738A"/>
    <w:rsid w:val="001674D5"/>
    <w:rsid w:val="00175902"/>
    <w:rsid w:val="001761EE"/>
    <w:rsid w:val="00180E70"/>
    <w:rsid w:val="00181660"/>
    <w:rsid w:val="00182ADC"/>
    <w:rsid w:val="00185441"/>
    <w:rsid w:val="00195CB3"/>
    <w:rsid w:val="001A0D5A"/>
    <w:rsid w:val="001A23F4"/>
    <w:rsid w:val="001A719F"/>
    <w:rsid w:val="001A78E7"/>
    <w:rsid w:val="001B5E45"/>
    <w:rsid w:val="001B672C"/>
    <w:rsid w:val="001B6B60"/>
    <w:rsid w:val="001C1351"/>
    <w:rsid w:val="001C619B"/>
    <w:rsid w:val="001C7AC2"/>
    <w:rsid w:val="001D0C46"/>
    <w:rsid w:val="001D2A97"/>
    <w:rsid w:val="001D34A6"/>
    <w:rsid w:val="001D4BA0"/>
    <w:rsid w:val="001D5786"/>
    <w:rsid w:val="001D5C76"/>
    <w:rsid w:val="001D6ABD"/>
    <w:rsid w:val="001F3934"/>
    <w:rsid w:val="001F470B"/>
    <w:rsid w:val="001F55D5"/>
    <w:rsid w:val="001F6F02"/>
    <w:rsid w:val="00201770"/>
    <w:rsid w:val="00202C9E"/>
    <w:rsid w:val="002066C7"/>
    <w:rsid w:val="00211AA8"/>
    <w:rsid w:val="002156CE"/>
    <w:rsid w:val="00221CB6"/>
    <w:rsid w:val="002247F3"/>
    <w:rsid w:val="00230A95"/>
    <w:rsid w:val="00230BC7"/>
    <w:rsid w:val="00232980"/>
    <w:rsid w:val="00235D0D"/>
    <w:rsid w:val="00250655"/>
    <w:rsid w:val="00251E59"/>
    <w:rsid w:val="00254457"/>
    <w:rsid w:val="00260D23"/>
    <w:rsid w:val="002610DA"/>
    <w:rsid w:val="00264675"/>
    <w:rsid w:val="00265CFE"/>
    <w:rsid w:val="00267882"/>
    <w:rsid w:val="00267A78"/>
    <w:rsid w:val="002705C2"/>
    <w:rsid w:val="0027109D"/>
    <w:rsid w:val="00271133"/>
    <w:rsid w:val="00275938"/>
    <w:rsid w:val="00275E0B"/>
    <w:rsid w:val="002766F3"/>
    <w:rsid w:val="00292257"/>
    <w:rsid w:val="002977E5"/>
    <w:rsid w:val="00297E98"/>
    <w:rsid w:val="002A05AF"/>
    <w:rsid w:val="002A0BE5"/>
    <w:rsid w:val="002A1789"/>
    <w:rsid w:val="002A4127"/>
    <w:rsid w:val="002A55C6"/>
    <w:rsid w:val="002B3DAC"/>
    <w:rsid w:val="002C03FE"/>
    <w:rsid w:val="002C0400"/>
    <w:rsid w:val="002C19D9"/>
    <w:rsid w:val="002C3216"/>
    <w:rsid w:val="002D0825"/>
    <w:rsid w:val="002D0917"/>
    <w:rsid w:val="002D2EA3"/>
    <w:rsid w:val="002E2D12"/>
    <w:rsid w:val="002E526D"/>
    <w:rsid w:val="002E7961"/>
    <w:rsid w:val="002F551A"/>
    <w:rsid w:val="00301814"/>
    <w:rsid w:val="003023DD"/>
    <w:rsid w:val="003051E9"/>
    <w:rsid w:val="00305A6A"/>
    <w:rsid w:val="00306FB6"/>
    <w:rsid w:val="00314630"/>
    <w:rsid w:val="0031474C"/>
    <w:rsid w:val="00324CAF"/>
    <w:rsid w:val="0033399F"/>
    <w:rsid w:val="00335596"/>
    <w:rsid w:val="0033782D"/>
    <w:rsid w:val="00342C87"/>
    <w:rsid w:val="00345BB5"/>
    <w:rsid w:val="00347876"/>
    <w:rsid w:val="00355C02"/>
    <w:rsid w:val="00360D2C"/>
    <w:rsid w:val="00360E9F"/>
    <w:rsid w:val="0036188C"/>
    <w:rsid w:val="00363DED"/>
    <w:rsid w:val="00365137"/>
    <w:rsid w:val="0037035C"/>
    <w:rsid w:val="00370B83"/>
    <w:rsid w:val="0037267B"/>
    <w:rsid w:val="003728AC"/>
    <w:rsid w:val="00374B7A"/>
    <w:rsid w:val="0038696D"/>
    <w:rsid w:val="00387E7C"/>
    <w:rsid w:val="003905B1"/>
    <w:rsid w:val="00390BA0"/>
    <w:rsid w:val="00391ADC"/>
    <w:rsid w:val="003947D1"/>
    <w:rsid w:val="00395DF9"/>
    <w:rsid w:val="003A123A"/>
    <w:rsid w:val="003B04E1"/>
    <w:rsid w:val="003C221F"/>
    <w:rsid w:val="003C6FDF"/>
    <w:rsid w:val="003D4A16"/>
    <w:rsid w:val="003E04AF"/>
    <w:rsid w:val="003E6E3A"/>
    <w:rsid w:val="003F3586"/>
    <w:rsid w:val="003F5EB5"/>
    <w:rsid w:val="003F63DA"/>
    <w:rsid w:val="004027BE"/>
    <w:rsid w:val="00402807"/>
    <w:rsid w:val="00411106"/>
    <w:rsid w:val="004232E0"/>
    <w:rsid w:val="0042346D"/>
    <w:rsid w:val="00425F7D"/>
    <w:rsid w:val="0043429F"/>
    <w:rsid w:val="00441DFE"/>
    <w:rsid w:val="00444157"/>
    <w:rsid w:val="00444229"/>
    <w:rsid w:val="00444475"/>
    <w:rsid w:val="004500E2"/>
    <w:rsid w:val="00450DE3"/>
    <w:rsid w:val="004557B9"/>
    <w:rsid w:val="00456B51"/>
    <w:rsid w:val="004610AE"/>
    <w:rsid w:val="0047001B"/>
    <w:rsid w:val="0047194D"/>
    <w:rsid w:val="00476226"/>
    <w:rsid w:val="004908D0"/>
    <w:rsid w:val="00494F0B"/>
    <w:rsid w:val="0049737D"/>
    <w:rsid w:val="004A171A"/>
    <w:rsid w:val="004A27E9"/>
    <w:rsid w:val="004A3DE4"/>
    <w:rsid w:val="004A5365"/>
    <w:rsid w:val="004A5AD5"/>
    <w:rsid w:val="004B4B36"/>
    <w:rsid w:val="004B6AAC"/>
    <w:rsid w:val="004C2401"/>
    <w:rsid w:val="004C37C3"/>
    <w:rsid w:val="004C7726"/>
    <w:rsid w:val="004D5410"/>
    <w:rsid w:val="004E5AB1"/>
    <w:rsid w:val="004E79ED"/>
    <w:rsid w:val="004F055F"/>
    <w:rsid w:val="00503793"/>
    <w:rsid w:val="00504829"/>
    <w:rsid w:val="005118CA"/>
    <w:rsid w:val="0051651C"/>
    <w:rsid w:val="00517E76"/>
    <w:rsid w:val="0052074F"/>
    <w:rsid w:val="005250D7"/>
    <w:rsid w:val="0052712D"/>
    <w:rsid w:val="00542237"/>
    <w:rsid w:val="00547A40"/>
    <w:rsid w:val="0055035F"/>
    <w:rsid w:val="00562F9A"/>
    <w:rsid w:val="0056753F"/>
    <w:rsid w:val="00567E48"/>
    <w:rsid w:val="00572301"/>
    <w:rsid w:val="00587799"/>
    <w:rsid w:val="0059178F"/>
    <w:rsid w:val="005926F0"/>
    <w:rsid w:val="00594710"/>
    <w:rsid w:val="005A231A"/>
    <w:rsid w:val="005A64FF"/>
    <w:rsid w:val="005A6BEC"/>
    <w:rsid w:val="005A7DC1"/>
    <w:rsid w:val="005B03EC"/>
    <w:rsid w:val="005B4149"/>
    <w:rsid w:val="005B5485"/>
    <w:rsid w:val="005B6D7A"/>
    <w:rsid w:val="005C2558"/>
    <w:rsid w:val="005C5466"/>
    <w:rsid w:val="005C599D"/>
    <w:rsid w:val="005C6124"/>
    <w:rsid w:val="005C77CA"/>
    <w:rsid w:val="005C7FC3"/>
    <w:rsid w:val="005D04FC"/>
    <w:rsid w:val="005D69E6"/>
    <w:rsid w:val="005E12BE"/>
    <w:rsid w:val="005E452E"/>
    <w:rsid w:val="005F33EA"/>
    <w:rsid w:val="005F34F5"/>
    <w:rsid w:val="005F59BC"/>
    <w:rsid w:val="005F7560"/>
    <w:rsid w:val="00600A07"/>
    <w:rsid w:val="00606D94"/>
    <w:rsid w:val="0061014C"/>
    <w:rsid w:val="00616508"/>
    <w:rsid w:val="00620C6C"/>
    <w:rsid w:val="00624047"/>
    <w:rsid w:val="006242DB"/>
    <w:rsid w:val="00631C4D"/>
    <w:rsid w:val="0064304B"/>
    <w:rsid w:val="006437A8"/>
    <w:rsid w:val="00647273"/>
    <w:rsid w:val="00652431"/>
    <w:rsid w:val="00654698"/>
    <w:rsid w:val="00657B40"/>
    <w:rsid w:val="00660FC5"/>
    <w:rsid w:val="006613D1"/>
    <w:rsid w:val="00662865"/>
    <w:rsid w:val="00662E96"/>
    <w:rsid w:val="00664A6E"/>
    <w:rsid w:val="006651F1"/>
    <w:rsid w:val="00667417"/>
    <w:rsid w:val="006720F9"/>
    <w:rsid w:val="006723D0"/>
    <w:rsid w:val="00673579"/>
    <w:rsid w:val="006760A0"/>
    <w:rsid w:val="00676931"/>
    <w:rsid w:val="006778B9"/>
    <w:rsid w:val="0068166C"/>
    <w:rsid w:val="006860F2"/>
    <w:rsid w:val="0068713F"/>
    <w:rsid w:val="006877B4"/>
    <w:rsid w:val="00687DCC"/>
    <w:rsid w:val="00691634"/>
    <w:rsid w:val="00691836"/>
    <w:rsid w:val="00693257"/>
    <w:rsid w:val="006936CC"/>
    <w:rsid w:val="00696E28"/>
    <w:rsid w:val="0069765E"/>
    <w:rsid w:val="006A0867"/>
    <w:rsid w:val="006A0D26"/>
    <w:rsid w:val="006A6F3D"/>
    <w:rsid w:val="006A779A"/>
    <w:rsid w:val="006B1B7E"/>
    <w:rsid w:val="006B2866"/>
    <w:rsid w:val="006B3F1A"/>
    <w:rsid w:val="006B6699"/>
    <w:rsid w:val="006B6DC3"/>
    <w:rsid w:val="006C1D3A"/>
    <w:rsid w:val="006C415A"/>
    <w:rsid w:val="006C7941"/>
    <w:rsid w:val="006C7EE1"/>
    <w:rsid w:val="006D15F3"/>
    <w:rsid w:val="006D1800"/>
    <w:rsid w:val="006D1ED4"/>
    <w:rsid w:val="006D3E73"/>
    <w:rsid w:val="006E4FC2"/>
    <w:rsid w:val="006E5791"/>
    <w:rsid w:val="006F0B9E"/>
    <w:rsid w:val="006F36F7"/>
    <w:rsid w:val="007010F2"/>
    <w:rsid w:val="007146FE"/>
    <w:rsid w:val="00716648"/>
    <w:rsid w:val="00721527"/>
    <w:rsid w:val="00721B8E"/>
    <w:rsid w:val="00725047"/>
    <w:rsid w:val="00725C4E"/>
    <w:rsid w:val="00727FAC"/>
    <w:rsid w:val="007309C0"/>
    <w:rsid w:val="00731923"/>
    <w:rsid w:val="007341A3"/>
    <w:rsid w:val="00740744"/>
    <w:rsid w:val="00751B82"/>
    <w:rsid w:val="007608DF"/>
    <w:rsid w:val="00763706"/>
    <w:rsid w:val="00764157"/>
    <w:rsid w:val="00766536"/>
    <w:rsid w:val="007675E2"/>
    <w:rsid w:val="0077102C"/>
    <w:rsid w:val="00771E12"/>
    <w:rsid w:val="00771EED"/>
    <w:rsid w:val="007738F3"/>
    <w:rsid w:val="007751D1"/>
    <w:rsid w:val="0077524C"/>
    <w:rsid w:val="007752BD"/>
    <w:rsid w:val="00783479"/>
    <w:rsid w:val="007849C0"/>
    <w:rsid w:val="00784C5C"/>
    <w:rsid w:val="00795266"/>
    <w:rsid w:val="007A3FDD"/>
    <w:rsid w:val="007B0396"/>
    <w:rsid w:val="007B0BBD"/>
    <w:rsid w:val="007B356B"/>
    <w:rsid w:val="007B519B"/>
    <w:rsid w:val="007C2F52"/>
    <w:rsid w:val="007C40CF"/>
    <w:rsid w:val="007D1412"/>
    <w:rsid w:val="007F08B3"/>
    <w:rsid w:val="007F0FB2"/>
    <w:rsid w:val="007F271C"/>
    <w:rsid w:val="007F466A"/>
    <w:rsid w:val="00801E20"/>
    <w:rsid w:val="008022B3"/>
    <w:rsid w:val="00814335"/>
    <w:rsid w:val="00815227"/>
    <w:rsid w:val="00816119"/>
    <w:rsid w:val="00816E16"/>
    <w:rsid w:val="00820107"/>
    <w:rsid w:val="0082097F"/>
    <w:rsid w:val="0082667E"/>
    <w:rsid w:val="00826E2F"/>
    <w:rsid w:val="00831873"/>
    <w:rsid w:val="008378FA"/>
    <w:rsid w:val="0084189A"/>
    <w:rsid w:val="00843854"/>
    <w:rsid w:val="00843F6F"/>
    <w:rsid w:val="00845A43"/>
    <w:rsid w:val="0085369A"/>
    <w:rsid w:val="00857D7F"/>
    <w:rsid w:val="00861DFB"/>
    <w:rsid w:val="00871A36"/>
    <w:rsid w:val="008757F1"/>
    <w:rsid w:val="00876A9F"/>
    <w:rsid w:val="00876B0D"/>
    <w:rsid w:val="00881817"/>
    <w:rsid w:val="0088320C"/>
    <w:rsid w:val="008851BD"/>
    <w:rsid w:val="00891921"/>
    <w:rsid w:val="0089704B"/>
    <w:rsid w:val="008A4428"/>
    <w:rsid w:val="008A492A"/>
    <w:rsid w:val="008A513A"/>
    <w:rsid w:val="008A6ABF"/>
    <w:rsid w:val="008B0772"/>
    <w:rsid w:val="008C2158"/>
    <w:rsid w:val="008C2A40"/>
    <w:rsid w:val="008C7D0C"/>
    <w:rsid w:val="008D21F3"/>
    <w:rsid w:val="008D6420"/>
    <w:rsid w:val="008D76D7"/>
    <w:rsid w:val="008F1415"/>
    <w:rsid w:val="008F2122"/>
    <w:rsid w:val="008F42E3"/>
    <w:rsid w:val="0091621C"/>
    <w:rsid w:val="00917685"/>
    <w:rsid w:val="00920C0F"/>
    <w:rsid w:val="00932315"/>
    <w:rsid w:val="00932C18"/>
    <w:rsid w:val="00937303"/>
    <w:rsid w:val="00942587"/>
    <w:rsid w:val="00943E70"/>
    <w:rsid w:val="009445B3"/>
    <w:rsid w:val="00947735"/>
    <w:rsid w:val="00950313"/>
    <w:rsid w:val="00953052"/>
    <w:rsid w:val="009579CC"/>
    <w:rsid w:val="00962123"/>
    <w:rsid w:val="00963FF5"/>
    <w:rsid w:val="0096426C"/>
    <w:rsid w:val="0097343E"/>
    <w:rsid w:val="009743A5"/>
    <w:rsid w:val="009777A3"/>
    <w:rsid w:val="00987A5A"/>
    <w:rsid w:val="00993137"/>
    <w:rsid w:val="009951FA"/>
    <w:rsid w:val="009B365B"/>
    <w:rsid w:val="009D02A0"/>
    <w:rsid w:val="009D4D54"/>
    <w:rsid w:val="009E18F0"/>
    <w:rsid w:val="009E1D6F"/>
    <w:rsid w:val="009E1D95"/>
    <w:rsid w:val="009E2D2E"/>
    <w:rsid w:val="009E55A1"/>
    <w:rsid w:val="009E562A"/>
    <w:rsid w:val="009F13CF"/>
    <w:rsid w:val="009F3130"/>
    <w:rsid w:val="009F4878"/>
    <w:rsid w:val="009F7F44"/>
    <w:rsid w:val="00A00402"/>
    <w:rsid w:val="00A06DCB"/>
    <w:rsid w:val="00A11436"/>
    <w:rsid w:val="00A11799"/>
    <w:rsid w:val="00A21B4D"/>
    <w:rsid w:val="00A234A1"/>
    <w:rsid w:val="00A24C3A"/>
    <w:rsid w:val="00A25800"/>
    <w:rsid w:val="00A25B47"/>
    <w:rsid w:val="00A2677B"/>
    <w:rsid w:val="00A269F1"/>
    <w:rsid w:val="00A27E34"/>
    <w:rsid w:val="00A36BDA"/>
    <w:rsid w:val="00A514B6"/>
    <w:rsid w:val="00A53051"/>
    <w:rsid w:val="00A555FF"/>
    <w:rsid w:val="00A70740"/>
    <w:rsid w:val="00A71741"/>
    <w:rsid w:val="00A729B6"/>
    <w:rsid w:val="00A7566F"/>
    <w:rsid w:val="00A831E0"/>
    <w:rsid w:val="00A837B8"/>
    <w:rsid w:val="00A85855"/>
    <w:rsid w:val="00A86310"/>
    <w:rsid w:val="00A863A4"/>
    <w:rsid w:val="00A87DB7"/>
    <w:rsid w:val="00A92399"/>
    <w:rsid w:val="00AB0ED2"/>
    <w:rsid w:val="00AB2746"/>
    <w:rsid w:val="00AB600B"/>
    <w:rsid w:val="00AC1028"/>
    <w:rsid w:val="00AD059D"/>
    <w:rsid w:val="00AD2A74"/>
    <w:rsid w:val="00AD62A7"/>
    <w:rsid w:val="00AE14E2"/>
    <w:rsid w:val="00AE199A"/>
    <w:rsid w:val="00AE1F48"/>
    <w:rsid w:val="00AE29D2"/>
    <w:rsid w:val="00AF19B3"/>
    <w:rsid w:val="00AF2068"/>
    <w:rsid w:val="00AF57D5"/>
    <w:rsid w:val="00B000C5"/>
    <w:rsid w:val="00B05FF4"/>
    <w:rsid w:val="00B12570"/>
    <w:rsid w:val="00B16DB5"/>
    <w:rsid w:val="00B24298"/>
    <w:rsid w:val="00B25E62"/>
    <w:rsid w:val="00B31719"/>
    <w:rsid w:val="00B34D94"/>
    <w:rsid w:val="00B350DF"/>
    <w:rsid w:val="00B557DF"/>
    <w:rsid w:val="00B5725C"/>
    <w:rsid w:val="00B60D25"/>
    <w:rsid w:val="00B709E8"/>
    <w:rsid w:val="00B7341F"/>
    <w:rsid w:val="00B801BB"/>
    <w:rsid w:val="00B83462"/>
    <w:rsid w:val="00B83C05"/>
    <w:rsid w:val="00B8400C"/>
    <w:rsid w:val="00B841F8"/>
    <w:rsid w:val="00B84B69"/>
    <w:rsid w:val="00B8531A"/>
    <w:rsid w:val="00B946B5"/>
    <w:rsid w:val="00B95FC8"/>
    <w:rsid w:val="00BA56CE"/>
    <w:rsid w:val="00BA58BA"/>
    <w:rsid w:val="00BB36D2"/>
    <w:rsid w:val="00BB5491"/>
    <w:rsid w:val="00BD3F2C"/>
    <w:rsid w:val="00BD4ABE"/>
    <w:rsid w:val="00BE3C4E"/>
    <w:rsid w:val="00BE5907"/>
    <w:rsid w:val="00C053E1"/>
    <w:rsid w:val="00C13F2D"/>
    <w:rsid w:val="00C17EBF"/>
    <w:rsid w:val="00C2089F"/>
    <w:rsid w:val="00C21E45"/>
    <w:rsid w:val="00C322BA"/>
    <w:rsid w:val="00C337E5"/>
    <w:rsid w:val="00C340FF"/>
    <w:rsid w:val="00C3578F"/>
    <w:rsid w:val="00C409A6"/>
    <w:rsid w:val="00C415FA"/>
    <w:rsid w:val="00C5380E"/>
    <w:rsid w:val="00C54015"/>
    <w:rsid w:val="00C605C9"/>
    <w:rsid w:val="00C6210D"/>
    <w:rsid w:val="00C6484B"/>
    <w:rsid w:val="00C66273"/>
    <w:rsid w:val="00C679B0"/>
    <w:rsid w:val="00C7140B"/>
    <w:rsid w:val="00C8608C"/>
    <w:rsid w:val="00C871AC"/>
    <w:rsid w:val="00C90DF7"/>
    <w:rsid w:val="00C923EC"/>
    <w:rsid w:val="00C92769"/>
    <w:rsid w:val="00C9544F"/>
    <w:rsid w:val="00CA422C"/>
    <w:rsid w:val="00CA4424"/>
    <w:rsid w:val="00CA4534"/>
    <w:rsid w:val="00CA79CB"/>
    <w:rsid w:val="00CB2FA4"/>
    <w:rsid w:val="00CC0868"/>
    <w:rsid w:val="00CD0922"/>
    <w:rsid w:val="00CD20AC"/>
    <w:rsid w:val="00CD27A5"/>
    <w:rsid w:val="00CE0547"/>
    <w:rsid w:val="00CE10DA"/>
    <w:rsid w:val="00CE52A0"/>
    <w:rsid w:val="00CE7148"/>
    <w:rsid w:val="00CE71FB"/>
    <w:rsid w:val="00D04C8C"/>
    <w:rsid w:val="00D06BB0"/>
    <w:rsid w:val="00D07290"/>
    <w:rsid w:val="00D21E6E"/>
    <w:rsid w:val="00D252D9"/>
    <w:rsid w:val="00D26F48"/>
    <w:rsid w:val="00D321EA"/>
    <w:rsid w:val="00D41796"/>
    <w:rsid w:val="00D627CD"/>
    <w:rsid w:val="00D65375"/>
    <w:rsid w:val="00D65FB6"/>
    <w:rsid w:val="00D74C1C"/>
    <w:rsid w:val="00D76585"/>
    <w:rsid w:val="00D77576"/>
    <w:rsid w:val="00D83BBF"/>
    <w:rsid w:val="00D84D9C"/>
    <w:rsid w:val="00D8570C"/>
    <w:rsid w:val="00D94737"/>
    <w:rsid w:val="00D94EE7"/>
    <w:rsid w:val="00D957A8"/>
    <w:rsid w:val="00D95C1D"/>
    <w:rsid w:val="00D974AD"/>
    <w:rsid w:val="00DA2D9B"/>
    <w:rsid w:val="00DA7B92"/>
    <w:rsid w:val="00DB29D2"/>
    <w:rsid w:val="00DB3DC5"/>
    <w:rsid w:val="00DB5FCA"/>
    <w:rsid w:val="00DC12EE"/>
    <w:rsid w:val="00DC1FC6"/>
    <w:rsid w:val="00DC26A1"/>
    <w:rsid w:val="00DC3358"/>
    <w:rsid w:val="00DC3E47"/>
    <w:rsid w:val="00DC3EDC"/>
    <w:rsid w:val="00DC42DF"/>
    <w:rsid w:val="00DC61B3"/>
    <w:rsid w:val="00DD151E"/>
    <w:rsid w:val="00DD2693"/>
    <w:rsid w:val="00DD3A8B"/>
    <w:rsid w:val="00DD43DC"/>
    <w:rsid w:val="00DD61E6"/>
    <w:rsid w:val="00DD6EB5"/>
    <w:rsid w:val="00DE3357"/>
    <w:rsid w:val="00DF012F"/>
    <w:rsid w:val="00DF0EAB"/>
    <w:rsid w:val="00DF1B85"/>
    <w:rsid w:val="00DF78C3"/>
    <w:rsid w:val="00E063FC"/>
    <w:rsid w:val="00E07591"/>
    <w:rsid w:val="00E15C79"/>
    <w:rsid w:val="00E16046"/>
    <w:rsid w:val="00E338E6"/>
    <w:rsid w:val="00E355D9"/>
    <w:rsid w:val="00E36CEA"/>
    <w:rsid w:val="00E3775C"/>
    <w:rsid w:val="00E421AE"/>
    <w:rsid w:val="00E42505"/>
    <w:rsid w:val="00E43743"/>
    <w:rsid w:val="00E43B2E"/>
    <w:rsid w:val="00E4792C"/>
    <w:rsid w:val="00E507FE"/>
    <w:rsid w:val="00E54314"/>
    <w:rsid w:val="00E5556F"/>
    <w:rsid w:val="00E64AC6"/>
    <w:rsid w:val="00E722D9"/>
    <w:rsid w:val="00E72C1B"/>
    <w:rsid w:val="00E75043"/>
    <w:rsid w:val="00E86E5D"/>
    <w:rsid w:val="00E91037"/>
    <w:rsid w:val="00E93746"/>
    <w:rsid w:val="00E94F23"/>
    <w:rsid w:val="00EA0C4B"/>
    <w:rsid w:val="00EB0ED3"/>
    <w:rsid w:val="00EB5363"/>
    <w:rsid w:val="00EB696D"/>
    <w:rsid w:val="00EC1BC3"/>
    <w:rsid w:val="00ED2D4A"/>
    <w:rsid w:val="00ED2E54"/>
    <w:rsid w:val="00ED789D"/>
    <w:rsid w:val="00ED7D1E"/>
    <w:rsid w:val="00EE0222"/>
    <w:rsid w:val="00EE3B14"/>
    <w:rsid w:val="00EE570F"/>
    <w:rsid w:val="00EE6D1B"/>
    <w:rsid w:val="00EE6EE9"/>
    <w:rsid w:val="00F016FC"/>
    <w:rsid w:val="00F02C7A"/>
    <w:rsid w:val="00F056C9"/>
    <w:rsid w:val="00F063F0"/>
    <w:rsid w:val="00F11FC0"/>
    <w:rsid w:val="00F12D8F"/>
    <w:rsid w:val="00F1569E"/>
    <w:rsid w:val="00F165B9"/>
    <w:rsid w:val="00F2230B"/>
    <w:rsid w:val="00F26F2D"/>
    <w:rsid w:val="00F2775B"/>
    <w:rsid w:val="00F31C68"/>
    <w:rsid w:val="00F3234B"/>
    <w:rsid w:val="00F33709"/>
    <w:rsid w:val="00F42724"/>
    <w:rsid w:val="00F43CA6"/>
    <w:rsid w:val="00F47ED7"/>
    <w:rsid w:val="00F50CAC"/>
    <w:rsid w:val="00F564C9"/>
    <w:rsid w:val="00F5739B"/>
    <w:rsid w:val="00F638F3"/>
    <w:rsid w:val="00F643F5"/>
    <w:rsid w:val="00F67B57"/>
    <w:rsid w:val="00F703C9"/>
    <w:rsid w:val="00F70A6B"/>
    <w:rsid w:val="00F75544"/>
    <w:rsid w:val="00F768BE"/>
    <w:rsid w:val="00F85C84"/>
    <w:rsid w:val="00F87555"/>
    <w:rsid w:val="00F92554"/>
    <w:rsid w:val="00F938F7"/>
    <w:rsid w:val="00F96536"/>
    <w:rsid w:val="00FA07FE"/>
    <w:rsid w:val="00FA2C7B"/>
    <w:rsid w:val="00FB1B3A"/>
    <w:rsid w:val="00FB4882"/>
    <w:rsid w:val="00FB7CB2"/>
    <w:rsid w:val="00FC137F"/>
    <w:rsid w:val="00FC314E"/>
    <w:rsid w:val="00FC59C1"/>
    <w:rsid w:val="00FC66F8"/>
    <w:rsid w:val="00FD3201"/>
    <w:rsid w:val="00FE097D"/>
    <w:rsid w:val="00FE2A49"/>
    <w:rsid w:val="00FF50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157"/>
    <w:pPr>
      <w:jc w:val="both"/>
    </w:pPr>
    <w:rPr>
      <w:rFonts w:ascii="Palatino Linotype" w:hAnsi="Palatino Linotype"/>
      <w:color w:val="000000" w:themeColor="text1"/>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3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basedOn w:val="Fuentedeprrafopredeter"/>
    <w:uiPriority w:val="99"/>
    <w:unhideWhenUsed/>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customStyle="1" w:styleId="Mencinsinresolver2">
    <w:name w:val="Mención sin resolver2"/>
    <w:basedOn w:val="Fuentedeprrafopredeter"/>
    <w:uiPriority w:val="99"/>
    <w:semiHidden/>
    <w:unhideWhenUsed/>
    <w:rsid w:val="00A27E34"/>
    <w:rPr>
      <w:color w:val="605E5C"/>
      <w:shd w:val="clear" w:color="auto" w:fill="E1DFDD"/>
    </w:rPr>
  </w:style>
  <w:style w:type="character" w:styleId="Hipervnculovisitado">
    <w:name w:val="FollowedHyperlink"/>
    <w:basedOn w:val="Fuentedeprrafopredeter"/>
    <w:uiPriority w:val="99"/>
    <w:semiHidden/>
    <w:unhideWhenUsed/>
    <w:rsid w:val="00A863A4"/>
    <w:rPr>
      <w:color w:val="954F72" w:themeColor="followedHyperlink"/>
      <w:u w:val="single"/>
    </w:rPr>
  </w:style>
  <w:style w:type="paragraph" w:customStyle="1" w:styleId="paragraph">
    <w:name w:val="paragraph"/>
    <w:basedOn w:val="Normal"/>
    <w:rsid w:val="005118CA"/>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table" w:customStyle="1" w:styleId="Tablaconcuadrcula1">
    <w:name w:val="Tabla con cuadrícula1"/>
    <w:basedOn w:val="Tablanormal"/>
    <w:uiPriority w:val="59"/>
    <w:rsid w:val="005118CA"/>
    <w:pPr>
      <w:spacing w:after="0" w:line="240" w:lineRule="auto"/>
    </w:pPr>
    <w:rPr>
      <w:rFonts w:ascii="Calibri" w:eastAsia="Calibri" w:hAnsi="Calibri" w:cs="Times New Roman"/>
      <w:kern w:val="0"/>
      <w:lang w:val="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02807"/>
    <w:pPr>
      <w:autoSpaceDE w:val="0"/>
      <w:autoSpaceDN w:val="0"/>
      <w:adjustRightInd w:val="0"/>
      <w:spacing w:after="0" w:line="240" w:lineRule="auto"/>
    </w:pPr>
    <w:rPr>
      <w:rFonts w:ascii="Palatino Linotype" w:hAnsi="Palatino Linotype" w:cs="Palatino Linotype"/>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154342482">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740443315">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872644550">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tmp"/><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tmp"/><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01786-BEFC-467C-B839-0EA35696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10108</Words>
  <Characters>55598</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Israel Martinez Serrano</cp:lastModifiedBy>
  <cp:revision>4</cp:revision>
  <cp:lastPrinted>2024-11-08T16:44:00Z</cp:lastPrinted>
  <dcterms:created xsi:type="dcterms:W3CDTF">2024-11-08T16:44:00Z</dcterms:created>
  <dcterms:modified xsi:type="dcterms:W3CDTF">2024-11-28T21:31:00Z</dcterms:modified>
</cp:coreProperties>
</file>