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D798" w14:textId="77777777" w:rsidR="004C3AFE" w:rsidRPr="00054505" w:rsidRDefault="004C3AFE" w:rsidP="004C3AFE">
      <w:pPr>
        <w:spacing w:line="360" w:lineRule="auto"/>
        <w:jc w:val="both"/>
        <w:rPr>
          <w:rFonts w:ascii="Palatino Linotype" w:eastAsiaTheme="minorEastAsia" w:hAnsi="Palatino Linotype"/>
          <w:lang w:val="es-ES_tradnl" w:eastAsia="es-ES"/>
        </w:rPr>
      </w:pPr>
      <w:r w:rsidRPr="00054505">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054505">
        <w:rPr>
          <w:rFonts w:ascii="Palatino Linotype" w:eastAsiaTheme="minorEastAsia" w:hAnsi="Palatino Linotype"/>
          <w:lang w:val="es-ES_tradnl" w:eastAsia="es-ES"/>
        </w:rPr>
        <w:t xml:space="preserve"> de México; de fecha </w:t>
      </w:r>
      <w:r w:rsidRPr="00054505">
        <w:rPr>
          <w:rFonts w:ascii="Palatino Linotype" w:eastAsiaTheme="minorEastAsia" w:hAnsi="Palatino Linotype"/>
          <w:lang w:val="es-ES_tradnl" w:eastAsia="es-ES"/>
        </w:rPr>
        <w:t xml:space="preserve">diecinueve (19) de septiembre de dos mil veinticuatro. </w:t>
      </w:r>
    </w:p>
    <w:p w14:paraId="4BBE9C5D" w14:textId="77777777" w:rsidR="004C3AFE" w:rsidRPr="00054505" w:rsidRDefault="004C3AFE" w:rsidP="004C3AFE">
      <w:pPr>
        <w:spacing w:line="360" w:lineRule="auto"/>
        <w:jc w:val="both"/>
        <w:rPr>
          <w:rFonts w:ascii="Palatino Linotype" w:eastAsiaTheme="minorEastAsia" w:hAnsi="Palatino Linotype"/>
          <w:lang w:val="es-ES_tradnl" w:eastAsia="es-ES"/>
        </w:rPr>
      </w:pPr>
    </w:p>
    <w:p w14:paraId="6A8173D3" w14:textId="2268C555" w:rsidR="004C3AFE" w:rsidRPr="00054505" w:rsidRDefault="004C3AFE" w:rsidP="004C3AFE">
      <w:pPr>
        <w:spacing w:line="360" w:lineRule="auto"/>
        <w:jc w:val="both"/>
        <w:rPr>
          <w:rFonts w:ascii="Palatino Linotype" w:hAnsi="Palatino Linotype"/>
        </w:rPr>
      </w:pPr>
      <w:r w:rsidRPr="00054505">
        <w:rPr>
          <w:rFonts w:ascii="Palatino Linotype" w:hAnsi="Palatino Linotype"/>
          <w:b/>
        </w:rPr>
        <w:t>VISTO</w:t>
      </w:r>
      <w:r w:rsidRPr="00054505">
        <w:rPr>
          <w:rFonts w:ascii="Palatino Linotype" w:hAnsi="Palatino Linotype"/>
        </w:rPr>
        <w:t xml:space="preserve"> el expediente electrónico formado con motivo del recurso de revisión </w:t>
      </w:r>
      <w:r w:rsidRPr="00054505">
        <w:rPr>
          <w:rFonts w:ascii="Palatino Linotype" w:hAnsi="Palatino Linotype"/>
          <w:b/>
        </w:rPr>
        <w:t>02268/INFOEM/IP/RR/2024,</w:t>
      </w:r>
      <w:r w:rsidRPr="00054505">
        <w:rPr>
          <w:rFonts w:ascii="Palatino Linotype" w:hAnsi="Palatino Linotype" w:cs="Arial"/>
          <w:b/>
          <w:bCs/>
        </w:rPr>
        <w:t xml:space="preserve"> </w:t>
      </w:r>
      <w:r w:rsidRPr="00054505">
        <w:rPr>
          <w:rFonts w:ascii="Palatino Linotype" w:eastAsiaTheme="minorEastAsia" w:hAnsi="Palatino Linotype"/>
          <w:lang w:val="es-ES_tradnl" w:eastAsia="es-ES"/>
        </w:rPr>
        <w:t>promovido</w:t>
      </w:r>
      <w:r w:rsidR="00054505">
        <w:rPr>
          <w:rFonts w:ascii="Palatino Linotype" w:eastAsiaTheme="minorEastAsia" w:hAnsi="Palatino Linotype"/>
          <w:lang w:val="es-ES_tradnl" w:eastAsia="es-ES"/>
        </w:rPr>
        <w:t xml:space="preserve"> por</w:t>
      </w:r>
      <w:r w:rsidRPr="00054505">
        <w:rPr>
          <w:rFonts w:ascii="Palatino Linotype" w:eastAsiaTheme="minorEastAsia" w:hAnsi="Palatino Linotype"/>
          <w:lang w:val="es-ES_tradnl" w:eastAsia="es-ES"/>
        </w:rPr>
        <w:t xml:space="preserve"> </w:t>
      </w:r>
      <w:r w:rsidR="00EF0920">
        <w:rPr>
          <w:rFonts w:ascii="Palatino Linotype" w:eastAsiaTheme="minorEastAsia" w:hAnsi="Palatino Linotype"/>
          <w:b/>
          <w:bCs/>
          <w:lang w:eastAsia="es-ES"/>
        </w:rPr>
        <w:t xml:space="preserve">XXX </w:t>
      </w:r>
      <w:proofErr w:type="spellStart"/>
      <w:r w:rsidR="00EF0920">
        <w:rPr>
          <w:rFonts w:ascii="Palatino Linotype" w:eastAsiaTheme="minorEastAsia" w:hAnsi="Palatino Linotype"/>
          <w:b/>
          <w:bCs/>
          <w:lang w:eastAsia="es-ES"/>
        </w:rPr>
        <w:t>XXX</w:t>
      </w:r>
      <w:proofErr w:type="spellEnd"/>
      <w:r w:rsidRPr="00054505">
        <w:rPr>
          <w:rFonts w:ascii="Palatino Linotype" w:eastAsiaTheme="minorEastAsia" w:hAnsi="Palatino Linotype"/>
          <w:b/>
          <w:lang w:val="es-ES_tradnl" w:eastAsia="es-ES"/>
        </w:rPr>
        <w:t>,</w:t>
      </w:r>
      <w:r w:rsidRPr="00054505">
        <w:rPr>
          <w:rFonts w:ascii="Palatino Linotype" w:hAnsi="Palatino Linotype"/>
        </w:rPr>
        <w:t xml:space="preserve"> </w:t>
      </w:r>
      <w:r w:rsidR="00054505">
        <w:rPr>
          <w:rFonts w:ascii="Palatino Linotype" w:hAnsi="Palatino Linotype"/>
        </w:rPr>
        <w:t xml:space="preserve">a </w:t>
      </w:r>
      <w:r w:rsidRPr="00054505">
        <w:rPr>
          <w:rFonts w:ascii="Palatino Linotype" w:hAnsi="Palatino Linotype"/>
        </w:rPr>
        <w:t xml:space="preserve">quien en lo sucesivo se identificará como </w:t>
      </w:r>
      <w:r w:rsidR="00054505">
        <w:rPr>
          <w:rFonts w:ascii="Palatino Linotype" w:hAnsi="Palatino Linotype"/>
          <w:b/>
        </w:rPr>
        <w:t>LA</w:t>
      </w:r>
      <w:r w:rsidRPr="00054505">
        <w:rPr>
          <w:rFonts w:ascii="Palatino Linotype" w:hAnsi="Palatino Linotype"/>
          <w:b/>
        </w:rPr>
        <w:t xml:space="preserve"> </w:t>
      </w:r>
      <w:r w:rsidRPr="00054505">
        <w:rPr>
          <w:rFonts w:ascii="Palatino Linotype" w:hAnsi="Palatino Linotype" w:cs="Arial"/>
          <w:b/>
        </w:rPr>
        <w:t>RECURRENTE</w:t>
      </w:r>
      <w:r w:rsidRPr="00054505">
        <w:rPr>
          <w:rFonts w:ascii="Palatino Linotype" w:hAnsi="Palatino Linotype" w:cs="Arial"/>
        </w:rPr>
        <w:t xml:space="preserve">, en contra de la respuesta del </w:t>
      </w:r>
      <w:r w:rsidRPr="00054505">
        <w:rPr>
          <w:rFonts w:ascii="Palatino Linotype" w:hAnsi="Palatino Linotype" w:cs="Arial"/>
          <w:b/>
          <w:bCs/>
        </w:rPr>
        <w:t>Ayuntamiento de Huixquilucan</w:t>
      </w:r>
      <w:r w:rsidRPr="00054505">
        <w:rPr>
          <w:rFonts w:ascii="Palatino Linotype" w:hAnsi="Palatino Linotype" w:cs="Arial"/>
          <w:b/>
        </w:rPr>
        <w:t>,</w:t>
      </w:r>
      <w:r w:rsidRPr="00054505">
        <w:rPr>
          <w:rFonts w:ascii="Palatino Linotype" w:hAnsi="Palatino Linotype"/>
          <w:b/>
        </w:rPr>
        <w:t xml:space="preserve"> </w:t>
      </w:r>
      <w:r w:rsidRPr="00054505">
        <w:rPr>
          <w:rFonts w:ascii="Palatino Linotype" w:hAnsi="Palatino Linotype"/>
        </w:rPr>
        <w:t xml:space="preserve">en </w:t>
      </w:r>
      <w:r w:rsidR="00054505">
        <w:rPr>
          <w:rFonts w:ascii="Palatino Linotype" w:hAnsi="Palatino Linotype"/>
        </w:rPr>
        <w:t>adelante</w:t>
      </w:r>
      <w:r w:rsidRPr="00054505">
        <w:rPr>
          <w:rFonts w:ascii="Palatino Linotype" w:hAnsi="Palatino Linotype"/>
        </w:rPr>
        <w:t xml:space="preserve"> el</w:t>
      </w:r>
      <w:r w:rsidRPr="00054505">
        <w:rPr>
          <w:rFonts w:ascii="Palatino Linotype" w:hAnsi="Palatino Linotype"/>
          <w:b/>
        </w:rPr>
        <w:t xml:space="preserve"> SUJETO OBLIGADO</w:t>
      </w:r>
      <w:r w:rsidRPr="00054505">
        <w:rPr>
          <w:rFonts w:ascii="Palatino Linotype" w:hAnsi="Palatino Linotype"/>
        </w:rPr>
        <w:t>, por lo que se procede a dictar la presente resolución, con base en los siguientes:</w:t>
      </w:r>
    </w:p>
    <w:p w14:paraId="03454FE8" w14:textId="77777777" w:rsidR="004C3AFE" w:rsidRPr="00054505" w:rsidRDefault="004C3AFE" w:rsidP="004C3AFE">
      <w:pPr>
        <w:spacing w:line="360" w:lineRule="auto"/>
        <w:jc w:val="both"/>
        <w:rPr>
          <w:rFonts w:ascii="Palatino Linotype" w:hAnsi="Palatino Linotype"/>
          <w:b/>
        </w:rPr>
      </w:pPr>
    </w:p>
    <w:p w14:paraId="15171A20" w14:textId="77777777" w:rsidR="004C3AFE" w:rsidRPr="00054505" w:rsidRDefault="004C3AFE" w:rsidP="004C3AFE">
      <w:pPr>
        <w:keepNext/>
        <w:keepLines/>
        <w:spacing w:line="360" w:lineRule="auto"/>
        <w:jc w:val="center"/>
        <w:outlineLvl w:val="0"/>
        <w:rPr>
          <w:rFonts w:ascii="Palatino Linotype" w:eastAsiaTheme="majorEastAsia" w:hAnsi="Palatino Linotype" w:cstheme="majorBidi"/>
          <w:b/>
        </w:rPr>
      </w:pPr>
      <w:bookmarkStart w:id="0" w:name="_Toc66992241"/>
      <w:r w:rsidRPr="00054505">
        <w:rPr>
          <w:rFonts w:ascii="Palatino Linotype" w:eastAsiaTheme="majorEastAsia" w:hAnsi="Palatino Linotype" w:cstheme="majorBidi"/>
          <w:b/>
        </w:rPr>
        <w:t>A</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N</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T</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E</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C</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E</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D</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E</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N</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T</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E</w:t>
      </w:r>
      <w:r w:rsidR="00054505">
        <w:rPr>
          <w:rFonts w:ascii="Palatino Linotype" w:eastAsiaTheme="majorEastAsia" w:hAnsi="Palatino Linotype" w:cstheme="majorBidi"/>
          <w:b/>
        </w:rPr>
        <w:t xml:space="preserve"> </w:t>
      </w:r>
      <w:r w:rsidRPr="00054505">
        <w:rPr>
          <w:rFonts w:ascii="Palatino Linotype" w:eastAsiaTheme="majorEastAsia" w:hAnsi="Palatino Linotype" w:cstheme="majorBidi"/>
          <w:b/>
        </w:rPr>
        <w:t>S</w:t>
      </w:r>
      <w:bookmarkEnd w:id="0"/>
    </w:p>
    <w:p w14:paraId="325202DD" w14:textId="77777777" w:rsidR="004C3AFE" w:rsidRPr="00054505" w:rsidRDefault="004C3AFE" w:rsidP="004C3AFE">
      <w:pPr>
        <w:spacing w:line="360" w:lineRule="auto"/>
        <w:rPr>
          <w:rFonts w:ascii="Palatino Linotype" w:eastAsiaTheme="minorEastAsia" w:hAnsi="Palatino Linotype"/>
        </w:rPr>
      </w:pPr>
    </w:p>
    <w:p w14:paraId="0F449C79"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Calibri" w:hAnsi="Palatino Linotype" w:cs="Arial"/>
          <w:sz w:val="24"/>
          <w:lang w:val="es-ES" w:eastAsia="es-ES"/>
        </w:rPr>
        <w:t>El tres (03) de abril de dos mil veinticuatro,</w:t>
      </w:r>
      <w:r w:rsidRPr="00054505">
        <w:rPr>
          <w:rFonts w:ascii="Palatino Linotype" w:eastAsia="Calibri" w:hAnsi="Palatino Linotype"/>
          <w:sz w:val="24"/>
          <w:lang w:val="es-ES" w:eastAsia="es-ES"/>
        </w:rPr>
        <w:t xml:space="preserve"> </w:t>
      </w:r>
      <w:r w:rsidRPr="00054505">
        <w:rPr>
          <w:rFonts w:ascii="Palatino Linotype" w:eastAsia="Calibri" w:hAnsi="Palatino Linotype"/>
          <w:b/>
          <w:sz w:val="24"/>
          <w:lang w:val="es-ES" w:eastAsia="es-ES"/>
        </w:rPr>
        <w:t>EL RECURRENTE</w:t>
      </w:r>
      <w:r w:rsidRPr="00054505">
        <w:rPr>
          <w:rFonts w:ascii="Palatino Linotype" w:eastAsiaTheme="minorEastAsia" w:hAnsi="Palatino Linotype"/>
          <w:b/>
          <w:sz w:val="24"/>
          <w:lang w:val="es-ES_tradnl" w:eastAsia="es-ES"/>
        </w:rPr>
        <w:t>,</w:t>
      </w:r>
      <w:r w:rsidRPr="00054505">
        <w:rPr>
          <w:rFonts w:ascii="Palatino Linotype" w:eastAsia="Calibri" w:hAnsi="Palatino Linotype" w:cs="Arial"/>
          <w:sz w:val="24"/>
          <w:lang w:val="es-ES" w:eastAsia="es-ES"/>
        </w:rPr>
        <w:t xml:space="preserve"> ante el </w:t>
      </w:r>
      <w:r w:rsidRPr="00054505">
        <w:rPr>
          <w:rFonts w:ascii="Palatino Linotype" w:eastAsia="Calibri" w:hAnsi="Palatino Linotype" w:cs="Arial"/>
          <w:b/>
          <w:sz w:val="24"/>
          <w:lang w:val="es-ES" w:eastAsia="es-ES"/>
        </w:rPr>
        <w:t>SUJETO OBLIGADO</w:t>
      </w:r>
      <w:r w:rsidRPr="00054505">
        <w:rPr>
          <w:rFonts w:ascii="Palatino Linotype" w:eastAsia="Calibri" w:hAnsi="Palatino Linotype" w:cs="Arial"/>
          <w:sz w:val="24"/>
          <w:lang w:val="es-ES_tradnl" w:eastAsia="es-ES"/>
        </w:rPr>
        <w:t xml:space="preserve"> a través del Sistema de Acceso a la Información Mexiquense (SAIMEX)</w:t>
      </w:r>
      <w:r w:rsidRPr="00054505">
        <w:rPr>
          <w:rFonts w:ascii="Palatino Linotype" w:eastAsia="Calibri" w:hAnsi="Palatino Linotype" w:cs="Arial"/>
          <w:sz w:val="24"/>
          <w:lang w:val="es-ES" w:eastAsia="es-ES"/>
        </w:rPr>
        <w:t xml:space="preserve">, presentó una solicitud de información registrada con el número </w:t>
      </w:r>
      <w:r w:rsidRPr="00054505">
        <w:rPr>
          <w:rFonts w:ascii="Palatino Linotype" w:hAnsi="Palatino Linotype"/>
          <w:b/>
          <w:bCs/>
          <w:sz w:val="24"/>
        </w:rPr>
        <w:t>00125/HUIXQUIL/IP/2024</w:t>
      </w:r>
      <w:r w:rsidRPr="00054505">
        <w:rPr>
          <w:rFonts w:ascii="Palatino Linotype" w:eastAsiaTheme="minorEastAsia" w:hAnsi="Palatino Linotype"/>
          <w:b/>
          <w:sz w:val="24"/>
          <w:lang w:val="es-ES_tradnl" w:eastAsia="es-ES"/>
        </w:rPr>
        <w:t xml:space="preserve">, </w:t>
      </w:r>
      <w:r w:rsidR="00054505">
        <w:rPr>
          <w:rFonts w:ascii="Palatino Linotype" w:eastAsia="Calibri" w:hAnsi="Palatino Linotype" w:cs="Arial"/>
          <w:sz w:val="24"/>
          <w:lang w:val="es-ES" w:eastAsia="es-ES"/>
        </w:rPr>
        <w:t xml:space="preserve">en la que se </w:t>
      </w:r>
      <w:r w:rsidRPr="00054505">
        <w:rPr>
          <w:rFonts w:ascii="Palatino Linotype" w:eastAsia="Calibri" w:hAnsi="Palatino Linotype" w:cs="Arial"/>
          <w:sz w:val="24"/>
          <w:lang w:val="es-ES" w:eastAsia="es-ES"/>
        </w:rPr>
        <w:t>solicitó lo siguiente:</w:t>
      </w:r>
    </w:p>
    <w:p w14:paraId="56338CAC"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12A87D9A" w14:textId="77777777" w:rsidR="004C3AFE" w:rsidRPr="00054505" w:rsidRDefault="004C3AFE" w:rsidP="004C3AFE">
      <w:pPr>
        <w:pStyle w:val="Prrafodelista"/>
        <w:spacing w:line="360" w:lineRule="auto"/>
        <w:ind w:right="567"/>
        <w:jc w:val="both"/>
        <w:rPr>
          <w:rFonts w:ascii="Palatino Linotype" w:hAnsi="Palatino Linotype"/>
          <w:i/>
          <w:color w:val="000000"/>
          <w:sz w:val="24"/>
        </w:rPr>
      </w:pPr>
      <w:r w:rsidRPr="00054505">
        <w:rPr>
          <w:rFonts w:ascii="Palatino Linotype" w:hAnsi="Palatino Linotype"/>
          <w:i/>
          <w:color w:val="000000"/>
          <w:sz w:val="24"/>
        </w:rPr>
        <w:t xml:space="preserve">“Solicito conocer los montos recaudados por multas y sanciones a la ley o reglamentos de </w:t>
      </w:r>
      <w:proofErr w:type="spellStart"/>
      <w:r w:rsidRPr="00054505">
        <w:rPr>
          <w:rFonts w:ascii="Palatino Linotype" w:hAnsi="Palatino Linotype"/>
          <w:i/>
          <w:color w:val="000000"/>
          <w:sz w:val="24"/>
        </w:rPr>
        <w:t>transito</w:t>
      </w:r>
      <w:proofErr w:type="spellEnd"/>
      <w:r w:rsidRPr="00054505">
        <w:rPr>
          <w:rFonts w:ascii="Palatino Linotype" w:hAnsi="Palatino Linotype"/>
          <w:i/>
          <w:color w:val="000000"/>
          <w:sz w:val="24"/>
        </w:rPr>
        <w:t xml:space="preserve"> de los siguientes ayuntamiento Almoloya de </w:t>
      </w:r>
      <w:proofErr w:type="spellStart"/>
      <w:r w:rsidRPr="00054505">
        <w:rPr>
          <w:rFonts w:ascii="Palatino Linotype" w:hAnsi="Palatino Linotype"/>
          <w:i/>
          <w:color w:val="000000"/>
          <w:sz w:val="24"/>
        </w:rPr>
        <w:t>juarez</w:t>
      </w:r>
      <w:proofErr w:type="spellEnd"/>
      <w:r w:rsidRPr="00054505">
        <w:rPr>
          <w:rFonts w:ascii="Palatino Linotype" w:hAnsi="Palatino Linotype"/>
          <w:i/>
          <w:color w:val="000000"/>
          <w:sz w:val="24"/>
        </w:rPr>
        <w:t xml:space="preserve">, Amecameca, </w:t>
      </w:r>
      <w:proofErr w:type="spellStart"/>
      <w:r w:rsidRPr="00054505">
        <w:rPr>
          <w:rFonts w:ascii="Palatino Linotype" w:hAnsi="Palatino Linotype"/>
          <w:i/>
          <w:color w:val="000000"/>
          <w:sz w:val="24"/>
        </w:rPr>
        <w:t>Atizapan</w:t>
      </w:r>
      <w:proofErr w:type="spellEnd"/>
      <w:r w:rsidRPr="00054505">
        <w:rPr>
          <w:rFonts w:ascii="Palatino Linotype" w:hAnsi="Palatino Linotype"/>
          <w:i/>
          <w:color w:val="000000"/>
          <w:sz w:val="24"/>
        </w:rPr>
        <w:t xml:space="preserve"> de zaragoza, Atlacomulco, </w:t>
      </w:r>
      <w:proofErr w:type="spellStart"/>
      <w:r w:rsidRPr="00054505">
        <w:rPr>
          <w:rFonts w:ascii="Palatino Linotype" w:hAnsi="Palatino Linotype"/>
          <w:i/>
          <w:color w:val="000000"/>
          <w:sz w:val="24"/>
        </w:rPr>
        <w:t>Chimalhuacan</w:t>
      </w:r>
      <w:proofErr w:type="spellEnd"/>
      <w:r w:rsidRPr="00054505">
        <w:rPr>
          <w:rFonts w:ascii="Palatino Linotype" w:hAnsi="Palatino Linotype"/>
          <w:i/>
          <w:color w:val="000000"/>
          <w:sz w:val="24"/>
        </w:rPr>
        <w:t xml:space="preserve">, Chalco, Coacalco de </w:t>
      </w:r>
      <w:proofErr w:type="spellStart"/>
      <w:r w:rsidRPr="00054505">
        <w:rPr>
          <w:rFonts w:ascii="Palatino Linotype" w:hAnsi="Palatino Linotype"/>
          <w:i/>
          <w:color w:val="000000"/>
          <w:sz w:val="24"/>
        </w:rPr>
        <w:t>Berriozabal</w:t>
      </w:r>
      <w:proofErr w:type="spellEnd"/>
      <w:r w:rsidRPr="00054505">
        <w:rPr>
          <w:rFonts w:ascii="Palatino Linotype" w:hAnsi="Palatino Linotype"/>
          <w:i/>
          <w:color w:val="000000"/>
          <w:sz w:val="24"/>
        </w:rPr>
        <w:t xml:space="preserve">, Coatepec Harinas, Cuautitlán Izcalli, Cuautitlán </w:t>
      </w:r>
      <w:proofErr w:type="spellStart"/>
      <w:r w:rsidRPr="00054505">
        <w:rPr>
          <w:rFonts w:ascii="Palatino Linotype" w:hAnsi="Palatino Linotype"/>
          <w:i/>
          <w:color w:val="000000"/>
          <w:sz w:val="24"/>
        </w:rPr>
        <w:t>Mexico</w:t>
      </w:r>
      <w:proofErr w:type="spellEnd"/>
      <w:r w:rsidRPr="00054505">
        <w:rPr>
          <w:rFonts w:ascii="Palatino Linotype" w:hAnsi="Palatino Linotype"/>
          <w:i/>
          <w:color w:val="000000"/>
          <w:sz w:val="24"/>
        </w:rPr>
        <w:t xml:space="preserve">, Ecatepec de Morelos, Huixquilucan, Ixtapaluca, Ixtlahuaca, La Paz, Lerma, Metepec, Naucalpan de </w:t>
      </w:r>
      <w:proofErr w:type="spellStart"/>
      <w:r w:rsidRPr="00054505">
        <w:rPr>
          <w:rFonts w:ascii="Palatino Linotype" w:hAnsi="Palatino Linotype"/>
          <w:i/>
          <w:color w:val="000000"/>
          <w:sz w:val="24"/>
        </w:rPr>
        <w:t>Juarez</w:t>
      </w:r>
      <w:proofErr w:type="spellEnd"/>
      <w:r w:rsidRPr="00054505">
        <w:rPr>
          <w:rFonts w:ascii="Palatino Linotype" w:hAnsi="Palatino Linotype"/>
          <w:i/>
          <w:color w:val="000000"/>
          <w:sz w:val="24"/>
        </w:rPr>
        <w:t xml:space="preserve">, </w:t>
      </w:r>
      <w:proofErr w:type="spellStart"/>
      <w:r w:rsidRPr="00054505">
        <w:rPr>
          <w:rFonts w:ascii="Palatino Linotype" w:hAnsi="Palatino Linotype"/>
          <w:i/>
          <w:color w:val="000000"/>
          <w:sz w:val="24"/>
        </w:rPr>
        <w:t>Nezahualcoyotl</w:t>
      </w:r>
      <w:proofErr w:type="spellEnd"/>
      <w:r w:rsidRPr="00054505">
        <w:rPr>
          <w:rFonts w:ascii="Palatino Linotype" w:hAnsi="Palatino Linotype"/>
          <w:i/>
          <w:color w:val="000000"/>
          <w:sz w:val="24"/>
        </w:rPr>
        <w:t xml:space="preserve">, Nicolás Romero, Otzolotepec, San Mateo Atenco, </w:t>
      </w:r>
      <w:proofErr w:type="spellStart"/>
      <w:r w:rsidRPr="00054505">
        <w:rPr>
          <w:rFonts w:ascii="Palatino Linotype" w:hAnsi="Palatino Linotype"/>
          <w:i/>
          <w:color w:val="000000"/>
          <w:sz w:val="24"/>
        </w:rPr>
        <w:t>Tecamac</w:t>
      </w:r>
      <w:proofErr w:type="spellEnd"/>
      <w:r w:rsidRPr="00054505">
        <w:rPr>
          <w:rFonts w:ascii="Palatino Linotype" w:hAnsi="Palatino Linotype"/>
          <w:i/>
          <w:color w:val="000000"/>
          <w:sz w:val="24"/>
        </w:rPr>
        <w:t xml:space="preserve">, Temoaya, Tenancingo, </w:t>
      </w:r>
      <w:proofErr w:type="spellStart"/>
      <w:r w:rsidRPr="00054505">
        <w:rPr>
          <w:rFonts w:ascii="Palatino Linotype" w:hAnsi="Palatino Linotype"/>
          <w:i/>
          <w:color w:val="000000"/>
          <w:sz w:val="24"/>
        </w:rPr>
        <w:t>Tepozotlán</w:t>
      </w:r>
      <w:proofErr w:type="spellEnd"/>
      <w:r w:rsidRPr="00054505">
        <w:rPr>
          <w:rFonts w:ascii="Palatino Linotype" w:hAnsi="Palatino Linotype"/>
          <w:i/>
          <w:color w:val="000000"/>
          <w:sz w:val="24"/>
        </w:rPr>
        <w:t xml:space="preserve">, Texcoco, Tianguistenco, Tlalnepantla de Baz, </w:t>
      </w:r>
      <w:r w:rsidRPr="00054505">
        <w:rPr>
          <w:rFonts w:ascii="Palatino Linotype" w:hAnsi="Palatino Linotype"/>
          <w:i/>
          <w:color w:val="000000"/>
          <w:sz w:val="24"/>
        </w:rPr>
        <w:lastRenderedPageBreak/>
        <w:t xml:space="preserve">Tultitlán, Valle de Chalco, Xalatlaco, Zumpango y Zinacantepec; durante los años 2021, 2022 y 2023.” (Sic) </w:t>
      </w:r>
    </w:p>
    <w:p w14:paraId="64E72BA0"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13817930"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hAnsi="Palatino Linotype" w:cs="Arial"/>
          <w:sz w:val="24"/>
          <w:lang w:val="es-ES" w:eastAsia="es-ES"/>
        </w:rPr>
        <w:t>Se señaló como modalidad de entrega a través de SAIMEX.</w:t>
      </w:r>
    </w:p>
    <w:p w14:paraId="6912D4AB"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127580BC"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hAnsi="Palatino Linotype" w:cs="Arial"/>
          <w:sz w:val="24"/>
          <w:lang w:val="es-ES" w:eastAsia="es-ES"/>
        </w:rPr>
        <w:t xml:space="preserve">El cuatro (04) de abril de dos mil veinticuatro, se realizó un requerimiento al servidor público habilitado. </w:t>
      </w:r>
    </w:p>
    <w:p w14:paraId="40D87341"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4ACA5EFA"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hAnsi="Palatino Linotype" w:cs="Arial"/>
          <w:sz w:val="24"/>
          <w:lang w:val="es-ES" w:eastAsia="es-ES"/>
        </w:rPr>
        <w:t>El veinticuatro (24) de abril de dos mil veinticuatro, El Sujeto Obligado dio respuesta a la solicitud de información en los siguientes términos:</w:t>
      </w:r>
    </w:p>
    <w:tbl>
      <w:tblPr>
        <w:tblW w:w="7586" w:type="dxa"/>
        <w:jc w:val="center"/>
        <w:tblCellSpacing w:w="0" w:type="dxa"/>
        <w:tblCellMar>
          <w:left w:w="0" w:type="dxa"/>
          <w:right w:w="0" w:type="dxa"/>
        </w:tblCellMar>
        <w:tblLook w:val="04A0" w:firstRow="1" w:lastRow="0" w:firstColumn="1" w:lastColumn="0" w:noHBand="0" w:noVBand="1"/>
      </w:tblPr>
      <w:tblGrid>
        <w:gridCol w:w="7586"/>
      </w:tblGrid>
      <w:tr w:rsidR="004C3AFE" w:rsidRPr="00054505" w14:paraId="36ED3F30" w14:textId="77777777" w:rsidTr="00E136EB">
        <w:trPr>
          <w:trHeight w:val="309"/>
          <w:tblCellSpacing w:w="0" w:type="dxa"/>
          <w:jc w:val="center"/>
        </w:trPr>
        <w:tc>
          <w:tcPr>
            <w:tcW w:w="0" w:type="auto"/>
            <w:vAlign w:val="center"/>
            <w:hideMark/>
          </w:tcPr>
          <w:p w14:paraId="50AA78E8" w14:textId="77777777" w:rsidR="004C3AFE" w:rsidRPr="00054505" w:rsidRDefault="004C3AFE" w:rsidP="00E136EB">
            <w:pPr>
              <w:jc w:val="right"/>
              <w:rPr>
                <w:rFonts w:ascii="Palatino Linotype" w:hAnsi="Palatino Linotype"/>
                <w:i/>
                <w:sz w:val="22"/>
              </w:rPr>
            </w:pPr>
            <w:r w:rsidRPr="00054505">
              <w:rPr>
                <w:rFonts w:ascii="Palatino Linotype" w:hAnsi="Palatino Linotype"/>
                <w:i/>
                <w:sz w:val="22"/>
              </w:rPr>
              <w:br/>
              <w:t xml:space="preserve">“Huixquilucan, México a 24 de </w:t>
            </w:r>
            <w:proofErr w:type="gramStart"/>
            <w:r w:rsidRPr="00054505">
              <w:rPr>
                <w:rFonts w:ascii="Palatino Linotype" w:hAnsi="Palatino Linotype"/>
                <w:i/>
                <w:sz w:val="22"/>
              </w:rPr>
              <w:t>Abril</w:t>
            </w:r>
            <w:proofErr w:type="gramEnd"/>
            <w:r w:rsidRPr="00054505">
              <w:rPr>
                <w:rFonts w:ascii="Palatino Linotype" w:hAnsi="Palatino Linotype"/>
                <w:i/>
                <w:sz w:val="22"/>
              </w:rPr>
              <w:t xml:space="preserve"> de 2024</w:t>
            </w:r>
          </w:p>
        </w:tc>
      </w:tr>
      <w:tr w:rsidR="004C3AFE" w:rsidRPr="00054505" w14:paraId="3271FAFC" w14:textId="77777777" w:rsidTr="00E136EB">
        <w:trPr>
          <w:trHeight w:val="309"/>
          <w:tblCellSpacing w:w="0" w:type="dxa"/>
          <w:jc w:val="center"/>
        </w:trPr>
        <w:tc>
          <w:tcPr>
            <w:tcW w:w="0" w:type="auto"/>
            <w:vAlign w:val="center"/>
            <w:hideMark/>
          </w:tcPr>
          <w:p w14:paraId="469DE549" w14:textId="77777777" w:rsidR="004C3AFE" w:rsidRPr="00054505" w:rsidRDefault="004C3AFE" w:rsidP="00E136EB">
            <w:pPr>
              <w:jc w:val="right"/>
              <w:rPr>
                <w:rFonts w:ascii="Palatino Linotype" w:hAnsi="Palatino Linotype"/>
                <w:i/>
                <w:sz w:val="22"/>
              </w:rPr>
            </w:pPr>
            <w:r w:rsidRPr="00054505">
              <w:rPr>
                <w:rFonts w:ascii="Palatino Linotype" w:hAnsi="Palatino Linotype"/>
                <w:i/>
                <w:sz w:val="22"/>
              </w:rPr>
              <w:t>Nombre del solicitante: C. Solicitante</w:t>
            </w:r>
          </w:p>
        </w:tc>
      </w:tr>
      <w:tr w:rsidR="004C3AFE" w:rsidRPr="00054505" w14:paraId="4629C2A8" w14:textId="77777777" w:rsidTr="00E136EB">
        <w:trPr>
          <w:trHeight w:val="309"/>
          <w:tblCellSpacing w:w="0" w:type="dxa"/>
          <w:jc w:val="center"/>
        </w:trPr>
        <w:tc>
          <w:tcPr>
            <w:tcW w:w="0" w:type="auto"/>
            <w:vAlign w:val="center"/>
            <w:hideMark/>
          </w:tcPr>
          <w:p w14:paraId="59B66ABD" w14:textId="77777777" w:rsidR="004C3AFE" w:rsidRPr="00054505" w:rsidRDefault="004C3AFE" w:rsidP="00E136EB">
            <w:pPr>
              <w:jc w:val="right"/>
              <w:rPr>
                <w:rFonts w:ascii="Palatino Linotype" w:hAnsi="Palatino Linotype"/>
                <w:i/>
                <w:sz w:val="22"/>
              </w:rPr>
            </w:pPr>
            <w:r w:rsidRPr="00054505">
              <w:rPr>
                <w:rFonts w:ascii="Palatino Linotype" w:hAnsi="Palatino Linotype"/>
                <w:i/>
                <w:sz w:val="22"/>
              </w:rPr>
              <w:t>Folio de la solicitud: 00125/HUIXQUIL/IP/2024</w:t>
            </w:r>
          </w:p>
        </w:tc>
      </w:tr>
      <w:tr w:rsidR="004C3AFE" w:rsidRPr="00054505" w14:paraId="43E053F6" w14:textId="77777777" w:rsidTr="00E136EB">
        <w:trPr>
          <w:trHeight w:val="464"/>
          <w:tblCellSpacing w:w="0" w:type="dxa"/>
          <w:jc w:val="center"/>
        </w:trPr>
        <w:tc>
          <w:tcPr>
            <w:tcW w:w="0" w:type="auto"/>
            <w:vAlign w:val="center"/>
            <w:hideMark/>
          </w:tcPr>
          <w:p w14:paraId="4B1D7362" w14:textId="77777777" w:rsidR="004C3AFE" w:rsidRPr="00054505" w:rsidRDefault="004C3AFE" w:rsidP="00E136EB">
            <w:pPr>
              <w:jc w:val="right"/>
              <w:rPr>
                <w:rFonts w:ascii="Palatino Linotype" w:hAnsi="Palatino Linotype"/>
                <w:i/>
                <w:sz w:val="22"/>
              </w:rPr>
            </w:pPr>
          </w:p>
        </w:tc>
      </w:tr>
      <w:tr w:rsidR="004C3AFE" w:rsidRPr="00054505" w14:paraId="34939375" w14:textId="77777777" w:rsidTr="00E136EB">
        <w:trPr>
          <w:trHeight w:val="154"/>
          <w:tblCellSpacing w:w="0" w:type="dxa"/>
          <w:jc w:val="center"/>
        </w:trPr>
        <w:tc>
          <w:tcPr>
            <w:tcW w:w="0" w:type="auto"/>
            <w:vAlign w:val="center"/>
            <w:hideMark/>
          </w:tcPr>
          <w:p w14:paraId="1001EAA6" w14:textId="77777777" w:rsidR="004C3AFE" w:rsidRPr="00054505" w:rsidRDefault="004C3AFE" w:rsidP="00E136EB">
            <w:pPr>
              <w:jc w:val="both"/>
              <w:rPr>
                <w:rFonts w:ascii="Palatino Linotype" w:hAnsi="Palatino Linotype"/>
                <w:i/>
                <w:sz w:val="22"/>
              </w:rPr>
            </w:pPr>
            <w:r w:rsidRPr="00054505">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C3AFE" w:rsidRPr="00054505" w14:paraId="60FAFC4B" w14:textId="77777777" w:rsidTr="00E136EB">
        <w:trPr>
          <w:trHeight w:val="386"/>
          <w:tblCellSpacing w:w="0" w:type="dxa"/>
          <w:jc w:val="center"/>
        </w:trPr>
        <w:tc>
          <w:tcPr>
            <w:tcW w:w="0" w:type="auto"/>
            <w:vAlign w:val="center"/>
            <w:hideMark/>
          </w:tcPr>
          <w:p w14:paraId="1C8CCF57" w14:textId="77777777" w:rsidR="004C3AFE" w:rsidRPr="00054505" w:rsidRDefault="004C3AFE" w:rsidP="00E136EB">
            <w:pPr>
              <w:jc w:val="both"/>
              <w:rPr>
                <w:rFonts w:ascii="Palatino Linotype" w:hAnsi="Palatino Linotype"/>
                <w:i/>
                <w:sz w:val="22"/>
              </w:rPr>
            </w:pPr>
          </w:p>
        </w:tc>
      </w:tr>
      <w:tr w:rsidR="004C3AFE" w:rsidRPr="00054505" w14:paraId="7D9AFA89" w14:textId="77777777" w:rsidTr="00E136EB">
        <w:trPr>
          <w:trHeight w:val="154"/>
          <w:tblCellSpacing w:w="0" w:type="dxa"/>
          <w:jc w:val="center"/>
        </w:trPr>
        <w:tc>
          <w:tcPr>
            <w:tcW w:w="0" w:type="auto"/>
            <w:vAlign w:val="center"/>
            <w:hideMark/>
          </w:tcPr>
          <w:p w14:paraId="17ADB239" w14:textId="77777777" w:rsidR="004C3AFE" w:rsidRPr="00054505" w:rsidRDefault="004C3AFE" w:rsidP="00E136EB">
            <w:pPr>
              <w:jc w:val="both"/>
              <w:rPr>
                <w:rFonts w:ascii="Palatino Linotype" w:hAnsi="Palatino Linotype"/>
                <w:i/>
                <w:sz w:val="22"/>
              </w:rPr>
            </w:pPr>
            <w:r w:rsidRPr="00054505">
              <w:rPr>
                <w:rFonts w:ascii="Palatino Linotype" w:hAnsi="Palatino Linotype"/>
                <w:i/>
                <w:sz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w:t>
            </w:r>
            <w:r w:rsidRPr="00054505">
              <w:rPr>
                <w:rFonts w:ascii="Palatino Linotype" w:hAnsi="Palatino Linotype"/>
                <w:i/>
                <w:sz w:val="22"/>
              </w:rPr>
              <w:lastRenderedPageBreak/>
              <w:t xml:space="preserve">ESTADO DE MÉXICO Y MUNICIPIOS. AL RESPECTO Y EN ATENCIÓN A SU SOLICITUD DE INFORMACIÓN REGISTRADA EN EL SISTEMA DE ACCESO A LA INFORMACIÓN PÚBLICA MEXIQUENSE (SAIMEX), CON EL NUMERO DE FOLIO: 00125/HUIXQUIL/IP/2024, MISMA QUE A LA LETRA DICE: “Solicito conocer los montos recaudados por multas y sanciones a la ley o reglamentos de </w:t>
            </w:r>
            <w:proofErr w:type="spellStart"/>
            <w:r w:rsidRPr="00054505">
              <w:rPr>
                <w:rFonts w:ascii="Palatino Linotype" w:hAnsi="Palatino Linotype"/>
                <w:i/>
                <w:sz w:val="22"/>
              </w:rPr>
              <w:t>transito</w:t>
            </w:r>
            <w:proofErr w:type="spellEnd"/>
            <w:r w:rsidRPr="00054505">
              <w:rPr>
                <w:rFonts w:ascii="Palatino Linotype" w:hAnsi="Palatino Linotype"/>
                <w:i/>
                <w:sz w:val="22"/>
              </w:rPr>
              <w:t xml:space="preserve"> de los siguientes ayuntamiento Almoloya de </w:t>
            </w:r>
            <w:proofErr w:type="spellStart"/>
            <w:r w:rsidRPr="00054505">
              <w:rPr>
                <w:rFonts w:ascii="Palatino Linotype" w:hAnsi="Palatino Linotype"/>
                <w:i/>
                <w:sz w:val="22"/>
              </w:rPr>
              <w:t>juarez</w:t>
            </w:r>
            <w:proofErr w:type="spellEnd"/>
            <w:r w:rsidRPr="00054505">
              <w:rPr>
                <w:rFonts w:ascii="Palatino Linotype" w:hAnsi="Palatino Linotype"/>
                <w:i/>
                <w:sz w:val="22"/>
              </w:rPr>
              <w:t xml:space="preserve">, Amecameca, </w:t>
            </w:r>
            <w:proofErr w:type="spellStart"/>
            <w:r w:rsidRPr="00054505">
              <w:rPr>
                <w:rFonts w:ascii="Palatino Linotype" w:hAnsi="Palatino Linotype"/>
                <w:i/>
                <w:sz w:val="22"/>
              </w:rPr>
              <w:t>Atizapan</w:t>
            </w:r>
            <w:proofErr w:type="spellEnd"/>
            <w:r w:rsidRPr="00054505">
              <w:rPr>
                <w:rFonts w:ascii="Palatino Linotype" w:hAnsi="Palatino Linotype"/>
                <w:i/>
                <w:sz w:val="22"/>
              </w:rPr>
              <w:t xml:space="preserve"> de zaragoza, Atlacomulco, </w:t>
            </w:r>
            <w:proofErr w:type="spellStart"/>
            <w:r w:rsidRPr="00054505">
              <w:rPr>
                <w:rFonts w:ascii="Palatino Linotype" w:hAnsi="Palatino Linotype"/>
                <w:i/>
                <w:sz w:val="22"/>
              </w:rPr>
              <w:t>Chimalhuacan</w:t>
            </w:r>
            <w:proofErr w:type="spellEnd"/>
            <w:r w:rsidRPr="00054505">
              <w:rPr>
                <w:rFonts w:ascii="Palatino Linotype" w:hAnsi="Palatino Linotype"/>
                <w:i/>
                <w:sz w:val="22"/>
              </w:rPr>
              <w:t xml:space="preserve">, Chalco, Coacalco de </w:t>
            </w:r>
            <w:proofErr w:type="spellStart"/>
            <w:r w:rsidRPr="00054505">
              <w:rPr>
                <w:rFonts w:ascii="Palatino Linotype" w:hAnsi="Palatino Linotype"/>
                <w:i/>
                <w:sz w:val="22"/>
              </w:rPr>
              <w:t>Berriozabal</w:t>
            </w:r>
            <w:proofErr w:type="spellEnd"/>
            <w:r w:rsidRPr="00054505">
              <w:rPr>
                <w:rFonts w:ascii="Palatino Linotype" w:hAnsi="Palatino Linotype"/>
                <w:i/>
                <w:sz w:val="22"/>
              </w:rPr>
              <w:t xml:space="preserve">, Coatepec Harinas, Cuautitlán Izcalli, Cuautitlán </w:t>
            </w:r>
            <w:proofErr w:type="spellStart"/>
            <w:r w:rsidRPr="00054505">
              <w:rPr>
                <w:rFonts w:ascii="Palatino Linotype" w:hAnsi="Palatino Linotype"/>
                <w:i/>
                <w:sz w:val="22"/>
              </w:rPr>
              <w:t>Mexico</w:t>
            </w:r>
            <w:proofErr w:type="spellEnd"/>
            <w:r w:rsidRPr="00054505">
              <w:rPr>
                <w:rFonts w:ascii="Palatino Linotype" w:hAnsi="Palatino Linotype"/>
                <w:i/>
                <w:sz w:val="22"/>
              </w:rPr>
              <w:t xml:space="preserve">, Ecatepec de Morelos, Huixquilucan, Ixtapaluca, Ixtlahuaca, La Paz, Lerma, Metepec, Naucalpan de </w:t>
            </w:r>
            <w:proofErr w:type="spellStart"/>
            <w:r w:rsidRPr="00054505">
              <w:rPr>
                <w:rFonts w:ascii="Palatino Linotype" w:hAnsi="Palatino Linotype"/>
                <w:i/>
                <w:sz w:val="22"/>
              </w:rPr>
              <w:t>Juarez</w:t>
            </w:r>
            <w:proofErr w:type="spellEnd"/>
            <w:r w:rsidRPr="00054505">
              <w:rPr>
                <w:rFonts w:ascii="Palatino Linotype" w:hAnsi="Palatino Linotype"/>
                <w:i/>
                <w:sz w:val="22"/>
              </w:rPr>
              <w:t xml:space="preserve">, </w:t>
            </w:r>
            <w:proofErr w:type="spellStart"/>
            <w:r w:rsidRPr="00054505">
              <w:rPr>
                <w:rFonts w:ascii="Palatino Linotype" w:hAnsi="Palatino Linotype"/>
                <w:i/>
                <w:sz w:val="22"/>
              </w:rPr>
              <w:t>Nezahualcoyotl</w:t>
            </w:r>
            <w:proofErr w:type="spellEnd"/>
            <w:r w:rsidRPr="00054505">
              <w:rPr>
                <w:rFonts w:ascii="Palatino Linotype" w:hAnsi="Palatino Linotype"/>
                <w:i/>
                <w:sz w:val="22"/>
              </w:rPr>
              <w:t xml:space="preserve">, Nicolás Romero, Otzolotepec, San Mateo Atenco, </w:t>
            </w:r>
            <w:proofErr w:type="spellStart"/>
            <w:r w:rsidRPr="00054505">
              <w:rPr>
                <w:rFonts w:ascii="Palatino Linotype" w:hAnsi="Palatino Linotype"/>
                <w:i/>
                <w:sz w:val="22"/>
              </w:rPr>
              <w:t>Tecamac</w:t>
            </w:r>
            <w:proofErr w:type="spellEnd"/>
            <w:r w:rsidRPr="00054505">
              <w:rPr>
                <w:rFonts w:ascii="Palatino Linotype" w:hAnsi="Palatino Linotype"/>
                <w:i/>
                <w:sz w:val="22"/>
              </w:rPr>
              <w:t xml:space="preserve">, Temoaya, Tenancingo, </w:t>
            </w:r>
            <w:proofErr w:type="spellStart"/>
            <w:r w:rsidRPr="00054505">
              <w:rPr>
                <w:rFonts w:ascii="Palatino Linotype" w:hAnsi="Palatino Linotype"/>
                <w:i/>
                <w:sz w:val="22"/>
              </w:rPr>
              <w:t>Tepozotlán</w:t>
            </w:r>
            <w:proofErr w:type="spellEnd"/>
            <w:r w:rsidRPr="00054505">
              <w:rPr>
                <w:rFonts w:ascii="Palatino Linotype" w:hAnsi="Palatino Linotype"/>
                <w:i/>
                <w:sz w:val="22"/>
              </w:rPr>
              <w:t xml:space="preserve">, Texcoco, Tianguistenco, Tlalnepantla de Baz, Tultitlán, Valle de Chalco, Xalatlaco, Zumpango y Zinacantepec; durante los años 2021, 2022 y 2023.“(sic) SOBRE EL PARTICULAR, ESTA UNIDAD DE TRANSPARENCIA EN EJERCICIO DE LAS ATRIBUCIONES QUE LA LEY LE CONFIERE, TURNO SU SOLICITUD DE INFORMACIÓN A LAS SIGUIENTES UNIDADES ADMINISTRATIVAS: DIRECCIÓN GENERAL DE SEGURIDAD PÚBLICA Y VIALIDAD QUE DE CONFORMIDAD CON LO ESTABLECIDO EN EL REGRLAMENTO ORGANICO DE HUIXQUILUCAN ES COMPETENTES PARA CONTESTAR SU SOLICITUD DE INFORMACIÓN, MISMAS QUE MANIFESTARÓN LO SIGUIENTE: DIRECCIÓN GENERAL DE SEGURIDAD PÚBLICA Y VIALIDAD:”SE ANEXA RESPUESTA”(SIC)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w:t>
            </w:r>
            <w:r w:rsidRPr="00054505">
              <w:rPr>
                <w:rFonts w:ascii="Palatino Linotype" w:hAnsi="Palatino Linotype"/>
                <w:i/>
                <w:sz w:val="22"/>
              </w:rPr>
              <w:lastRenderedPageBreak/>
              <w:t>INFORMACIÓN PARA LOS EFECTOS LEGALES CORRESPONDIENTES, MEDIANTE LA MODALIDAD EN QUE FUE REQUERIDA. SIN OTRO PARTICULAR, ME REITERO A SUS ÓRDENES Y LE ENVÍO UN CORDIAL SALUDO</w:t>
            </w:r>
          </w:p>
        </w:tc>
      </w:tr>
      <w:tr w:rsidR="004C3AFE" w:rsidRPr="00054505" w14:paraId="0153E411" w14:textId="77777777" w:rsidTr="00E136EB">
        <w:trPr>
          <w:trHeight w:val="386"/>
          <w:tblCellSpacing w:w="0" w:type="dxa"/>
          <w:jc w:val="center"/>
        </w:trPr>
        <w:tc>
          <w:tcPr>
            <w:tcW w:w="0" w:type="auto"/>
            <w:vAlign w:val="center"/>
            <w:hideMark/>
          </w:tcPr>
          <w:p w14:paraId="3D8A6510" w14:textId="77777777" w:rsidR="004C3AFE" w:rsidRPr="00054505" w:rsidRDefault="004C3AFE" w:rsidP="00E136EB">
            <w:pPr>
              <w:rPr>
                <w:rFonts w:ascii="Palatino Linotype" w:hAnsi="Palatino Linotype"/>
                <w:i/>
                <w:sz w:val="22"/>
              </w:rPr>
            </w:pPr>
          </w:p>
        </w:tc>
      </w:tr>
      <w:tr w:rsidR="004C3AFE" w:rsidRPr="00054505" w14:paraId="4ACB4D5D" w14:textId="77777777" w:rsidTr="00E136EB">
        <w:trPr>
          <w:trHeight w:val="154"/>
          <w:tblCellSpacing w:w="0" w:type="dxa"/>
          <w:jc w:val="center"/>
        </w:trPr>
        <w:tc>
          <w:tcPr>
            <w:tcW w:w="0" w:type="auto"/>
            <w:vAlign w:val="center"/>
            <w:hideMark/>
          </w:tcPr>
          <w:p w14:paraId="0A611E12" w14:textId="77777777" w:rsidR="004C3AFE" w:rsidRPr="00054505" w:rsidRDefault="004C3AFE" w:rsidP="00E136EB">
            <w:pPr>
              <w:jc w:val="center"/>
              <w:rPr>
                <w:rFonts w:ascii="Palatino Linotype" w:hAnsi="Palatino Linotype"/>
                <w:i/>
                <w:sz w:val="22"/>
              </w:rPr>
            </w:pPr>
          </w:p>
        </w:tc>
      </w:tr>
      <w:tr w:rsidR="004C3AFE" w:rsidRPr="00054505" w14:paraId="343ADE29" w14:textId="77777777" w:rsidTr="00E136EB">
        <w:trPr>
          <w:trHeight w:val="154"/>
          <w:tblCellSpacing w:w="0" w:type="dxa"/>
          <w:jc w:val="center"/>
        </w:trPr>
        <w:tc>
          <w:tcPr>
            <w:tcW w:w="0" w:type="auto"/>
            <w:vAlign w:val="center"/>
            <w:hideMark/>
          </w:tcPr>
          <w:p w14:paraId="7463D04C" w14:textId="77777777" w:rsidR="004C3AFE" w:rsidRPr="00054505" w:rsidRDefault="004C3AFE" w:rsidP="00E136EB">
            <w:pPr>
              <w:rPr>
                <w:rFonts w:ascii="Palatino Linotype" w:hAnsi="Palatino Linotype"/>
                <w:i/>
                <w:sz w:val="22"/>
              </w:rPr>
            </w:pPr>
          </w:p>
        </w:tc>
      </w:tr>
      <w:tr w:rsidR="004C3AFE" w:rsidRPr="00054505" w14:paraId="58D6C086" w14:textId="77777777" w:rsidTr="00E136EB">
        <w:trPr>
          <w:trHeight w:val="154"/>
          <w:tblCellSpacing w:w="0" w:type="dxa"/>
          <w:jc w:val="center"/>
        </w:trPr>
        <w:tc>
          <w:tcPr>
            <w:tcW w:w="0" w:type="auto"/>
            <w:vAlign w:val="center"/>
            <w:hideMark/>
          </w:tcPr>
          <w:p w14:paraId="516989C2" w14:textId="77777777" w:rsidR="004C3AFE" w:rsidRPr="00054505" w:rsidRDefault="004C3AFE" w:rsidP="00E136EB">
            <w:pPr>
              <w:rPr>
                <w:rFonts w:ascii="Palatino Linotype" w:hAnsi="Palatino Linotype"/>
                <w:i/>
                <w:sz w:val="22"/>
              </w:rPr>
            </w:pPr>
            <w:r w:rsidRPr="00054505">
              <w:rPr>
                <w:rFonts w:ascii="Palatino Linotype" w:hAnsi="Palatino Linotype"/>
                <w:i/>
                <w:sz w:val="22"/>
              </w:rPr>
              <w:t>ATENTAMENTE</w:t>
            </w:r>
          </w:p>
        </w:tc>
      </w:tr>
      <w:tr w:rsidR="004C3AFE" w:rsidRPr="00054505" w14:paraId="69938A46" w14:textId="77777777" w:rsidTr="00E136EB">
        <w:trPr>
          <w:trHeight w:val="232"/>
          <w:tblCellSpacing w:w="0" w:type="dxa"/>
          <w:jc w:val="center"/>
        </w:trPr>
        <w:tc>
          <w:tcPr>
            <w:tcW w:w="0" w:type="auto"/>
            <w:vAlign w:val="center"/>
            <w:hideMark/>
          </w:tcPr>
          <w:p w14:paraId="41A4C7D8" w14:textId="77777777" w:rsidR="004C3AFE" w:rsidRPr="00054505" w:rsidRDefault="004C3AFE" w:rsidP="00E136EB">
            <w:pPr>
              <w:rPr>
                <w:rFonts w:ascii="Palatino Linotype" w:hAnsi="Palatino Linotype"/>
                <w:i/>
                <w:sz w:val="22"/>
              </w:rPr>
            </w:pPr>
          </w:p>
        </w:tc>
      </w:tr>
      <w:tr w:rsidR="004C3AFE" w:rsidRPr="00054505" w14:paraId="351D70BC" w14:textId="77777777" w:rsidTr="00E136EB">
        <w:trPr>
          <w:trHeight w:val="154"/>
          <w:tblCellSpacing w:w="0" w:type="dxa"/>
          <w:jc w:val="center"/>
        </w:trPr>
        <w:tc>
          <w:tcPr>
            <w:tcW w:w="0" w:type="auto"/>
            <w:vAlign w:val="center"/>
            <w:hideMark/>
          </w:tcPr>
          <w:p w14:paraId="5C2C9358" w14:textId="77777777" w:rsidR="004C3AFE" w:rsidRPr="00054505" w:rsidRDefault="004C3AFE" w:rsidP="00E136EB">
            <w:pPr>
              <w:rPr>
                <w:rFonts w:ascii="Palatino Linotype" w:hAnsi="Palatino Linotype"/>
                <w:i/>
                <w:sz w:val="22"/>
              </w:rPr>
            </w:pPr>
            <w:r w:rsidRPr="00054505">
              <w:rPr>
                <w:rFonts w:ascii="Palatino Linotype" w:hAnsi="Palatino Linotype"/>
                <w:i/>
                <w:sz w:val="22"/>
              </w:rPr>
              <w:t>C. ULISES MAURICIO SALAZAR FRANCO”</w:t>
            </w:r>
          </w:p>
        </w:tc>
      </w:tr>
    </w:tbl>
    <w:p w14:paraId="457AA700" w14:textId="77777777" w:rsidR="004C3AFE" w:rsidRPr="00054505" w:rsidRDefault="004C3AFE" w:rsidP="004C3AFE">
      <w:pPr>
        <w:spacing w:line="360" w:lineRule="auto"/>
        <w:jc w:val="both"/>
        <w:rPr>
          <w:rFonts w:ascii="Palatino Linotype" w:hAnsi="Palatino Linotype" w:cs="Arial"/>
          <w:lang w:val="es-ES" w:eastAsia="es-ES"/>
        </w:rPr>
      </w:pPr>
    </w:p>
    <w:p w14:paraId="0D658884" w14:textId="77777777" w:rsidR="004C3AFE" w:rsidRPr="00054505" w:rsidRDefault="004C3AFE" w:rsidP="004C3AFE">
      <w:pPr>
        <w:pStyle w:val="Prrafodelista"/>
        <w:numPr>
          <w:ilvl w:val="0"/>
          <w:numId w:val="4"/>
        </w:numPr>
        <w:spacing w:line="360" w:lineRule="auto"/>
        <w:ind w:right="822"/>
        <w:jc w:val="both"/>
        <w:rPr>
          <w:rFonts w:ascii="Palatino Linotype" w:hAnsi="Palatino Linotype" w:cs="Arial"/>
          <w:b/>
          <w:lang w:val="es-ES" w:eastAsia="es-ES"/>
        </w:rPr>
      </w:pPr>
      <w:r w:rsidRPr="00054505">
        <w:rPr>
          <w:rFonts w:ascii="Palatino Linotype" w:hAnsi="Palatino Linotype" w:cs="Arial"/>
          <w:lang w:val="es-ES" w:eastAsia="es-ES"/>
        </w:rPr>
        <w:t xml:space="preserve">A la respuesta se adjuntó el archivo </w:t>
      </w:r>
      <w:hyperlink r:id="rId7" w:tgtFrame="_blank" w:history="1">
        <w:r w:rsidRPr="00054505">
          <w:rPr>
            <w:rStyle w:val="Hipervnculo"/>
            <w:rFonts w:ascii="Palatino Linotype" w:hAnsi="Palatino Linotype" w:cs="Arial"/>
            <w:b/>
            <w:bCs/>
            <w:lang w:eastAsia="es-ES"/>
          </w:rPr>
          <w:t>SOLICITUD 125.pdf</w:t>
        </w:r>
      </w:hyperlink>
      <w:r w:rsidRPr="00054505">
        <w:rPr>
          <w:rFonts w:ascii="Palatino Linotype" w:hAnsi="Palatino Linotype" w:cs="Arial"/>
          <w:lang w:val="es-ES" w:eastAsia="es-ES"/>
        </w:rPr>
        <w:t xml:space="preserve">, en el que se advierte un documento que refiere que en los años 2021, 2022 y enero a 12 de junio de 2023 no se aplicó ninguna multa administrativa, estas iniciaron el 13 de junio de 2023, asimismo, se adjuntó una tabla con el total de multas realizadas, pagadas, pagadas al 70%, pagadas al 50% y pagadas al 100%. </w:t>
      </w:r>
    </w:p>
    <w:p w14:paraId="0B32D772" w14:textId="77777777" w:rsidR="004C3AFE" w:rsidRPr="00054505" w:rsidRDefault="004C3AFE" w:rsidP="004C3AFE">
      <w:pPr>
        <w:pStyle w:val="Prrafodelista"/>
        <w:spacing w:line="360" w:lineRule="auto"/>
        <w:jc w:val="both"/>
        <w:rPr>
          <w:rFonts w:ascii="Palatino Linotype" w:hAnsi="Palatino Linotype" w:cs="Arial"/>
          <w:b/>
          <w:sz w:val="24"/>
          <w:lang w:val="es-ES" w:eastAsia="es-ES"/>
        </w:rPr>
      </w:pPr>
    </w:p>
    <w:p w14:paraId="387FD953"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Calibri" w:hAnsi="Palatino Linotype" w:cs="Arial"/>
          <w:sz w:val="24"/>
          <w:lang w:val="es-AR" w:eastAsia="es-ES"/>
        </w:rPr>
        <w:t>El veintiséis (26) de abril de dos mil veinticuatro</w:t>
      </w:r>
      <w:r w:rsidRPr="00054505">
        <w:rPr>
          <w:rFonts w:ascii="Palatino Linotype" w:hAnsi="Palatino Linotype" w:cs="Arial"/>
          <w:sz w:val="24"/>
          <w:lang w:val="es-ES" w:eastAsia="es-ES"/>
        </w:rPr>
        <w:t xml:space="preserve">, </w:t>
      </w:r>
      <w:r w:rsidRPr="00054505">
        <w:rPr>
          <w:rFonts w:ascii="Palatino Linotype" w:eastAsiaTheme="minorEastAsia" w:hAnsi="Palatino Linotype"/>
          <w:b/>
          <w:sz w:val="24"/>
          <w:lang w:val="es-ES_tradnl" w:eastAsia="es-ES"/>
        </w:rPr>
        <w:t>EL RECURRENTE</w:t>
      </w:r>
      <w:r w:rsidRPr="00054505">
        <w:rPr>
          <w:rFonts w:ascii="Palatino Linotype" w:hAnsi="Palatino Linotype" w:cs="Arial"/>
          <w:sz w:val="24"/>
          <w:lang w:val="es-ES" w:eastAsia="es-ES"/>
        </w:rPr>
        <w:t xml:space="preserve"> interpuso el recurso de revisión, en contra de la respuesta, señalando como:</w:t>
      </w:r>
    </w:p>
    <w:p w14:paraId="1BC125BD" w14:textId="77777777" w:rsidR="004C3AFE" w:rsidRPr="00054505" w:rsidRDefault="004C3AFE" w:rsidP="00054505">
      <w:pPr>
        <w:pStyle w:val="Prrafodelista"/>
        <w:numPr>
          <w:ilvl w:val="0"/>
          <w:numId w:val="4"/>
        </w:numPr>
        <w:spacing w:line="360" w:lineRule="auto"/>
        <w:ind w:right="567"/>
        <w:jc w:val="both"/>
        <w:rPr>
          <w:rFonts w:ascii="Palatino Linotype" w:eastAsia="Calibri" w:hAnsi="Palatino Linotype" w:cs="Arial"/>
          <w:i/>
          <w:lang w:val="es-ES" w:eastAsia="es-ES"/>
        </w:rPr>
      </w:pPr>
      <w:r w:rsidRPr="00054505">
        <w:rPr>
          <w:rFonts w:ascii="Palatino Linotype" w:eastAsiaTheme="minorEastAsia" w:hAnsi="Palatino Linotype"/>
          <w:b/>
          <w:lang w:val="es-ES_tradnl" w:eastAsia="es-ES"/>
        </w:rPr>
        <w:t>Acto impugnado</w:t>
      </w:r>
      <w:r w:rsidRPr="00054505">
        <w:rPr>
          <w:rFonts w:ascii="Palatino Linotype" w:eastAsiaTheme="minorEastAsia" w:hAnsi="Palatino Linotype"/>
          <w:b/>
          <w:i/>
          <w:lang w:val="es-ES_tradnl" w:eastAsia="es-ES"/>
        </w:rPr>
        <w:t>:</w:t>
      </w:r>
      <w:r w:rsidRPr="00054505">
        <w:rPr>
          <w:rFonts w:ascii="Palatino Linotype" w:hAnsi="Palatino Linotype"/>
          <w:i/>
          <w:color w:val="000000"/>
        </w:rPr>
        <w:t xml:space="preserve"> “información incompleta" (Sic)</w:t>
      </w:r>
    </w:p>
    <w:p w14:paraId="5BD17C4E" w14:textId="77777777" w:rsidR="004C3AFE" w:rsidRPr="00054505" w:rsidRDefault="004C3AFE" w:rsidP="00054505">
      <w:pPr>
        <w:pStyle w:val="Prrafodelista"/>
        <w:numPr>
          <w:ilvl w:val="0"/>
          <w:numId w:val="4"/>
        </w:numPr>
        <w:spacing w:line="360" w:lineRule="auto"/>
        <w:ind w:right="567"/>
        <w:jc w:val="both"/>
        <w:rPr>
          <w:rFonts w:ascii="Palatino Linotype" w:eastAsiaTheme="minorEastAsia" w:hAnsi="Palatino Linotype"/>
          <w:b/>
          <w:lang w:val="es-ES_tradnl" w:eastAsia="es-ES"/>
        </w:rPr>
      </w:pPr>
      <w:r w:rsidRPr="00054505">
        <w:rPr>
          <w:rFonts w:ascii="Palatino Linotype" w:eastAsiaTheme="minorEastAsia" w:hAnsi="Palatino Linotype"/>
          <w:b/>
          <w:lang w:val="es-ES_tradnl" w:eastAsia="es-ES"/>
        </w:rPr>
        <w:t xml:space="preserve">Razones o Motivos de inconformidad: </w:t>
      </w:r>
      <w:r w:rsidRPr="00054505">
        <w:rPr>
          <w:rFonts w:ascii="Palatino Linotype" w:eastAsiaTheme="minorEastAsia" w:hAnsi="Palatino Linotype"/>
          <w:i/>
          <w:lang w:eastAsia="es-ES"/>
        </w:rPr>
        <w:t>"Información incompleta" (Sic)</w:t>
      </w:r>
    </w:p>
    <w:p w14:paraId="0E9AA277" w14:textId="77777777" w:rsidR="004C3AFE" w:rsidRPr="00054505" w:rsidRDefault="004C3AFE" w:rsidP="004C3AFE">
      <w:pPr>
        <w:spacing w:line="360" w:lineRule="auto"/>
        <w:ind w:right="567"/>
        <w:contextualSpacing/>
        <w:jc w:val="both"/>
        <w:rPr>
          <w:rFonts w:ascii="Palatino Linotype" w:hAnsi="Palatino Linotype" w:cs="Arial"/>
        </w:rPr>
      </w:pPr>
    </w:p>
    <w:p w14:paraId="5D5778CF"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hAnsi="Palatino Linotype" w:cs="Arial"/>
          <w:sz w:val="24"/>
          <w:lang w:val="es-ES" w:eastAsia="es-ES"/>
        </w:rPr>
        <w:t xml:space="preserve">Se registró el recurso de revisión bajo el número de expediente </w:t>
      </w:r>
      <w:r w:rsidRPr="00054505">
        <w:rPr>
          <w:rFonts w:ascii="Palatino Linotype" w:eastAsiaTheme="minorEastAsia" w:hAnsi="Palatino Linotype" w:cs="Arial"/>
          <w:bCs/>
          <w:sz w:val="24"/>
          <w:lang w:val="es-ES_tradnl" w:eastAsia="es-ES"/>
        </w:rPr>
        <w:t xml:space="preserve">al rubro indicado, asimismo con fundamento en lo dispuesto por el </w:t>
      </w:r>
      <w:r w:rsidRPr="00054505">
        <w:rPr>
          <w:rFonts w:ascii="Palatino Linotype" w:eastAsia="Calibri" w:hAnsi="Palatino Linotype" w:cs="Arial"/>
          <w:sz w:val="24"/>
          <w:lang w:val="es-ES" w:eastAsia="es-ES"/>
        </w:rPr>
        <w:t xml:space="preserve">artículo 185 fracción I de la </w:t>
      </w:r>
      <w:r w:rsidRPr="00054505">
        <w:rPr>
          <w:rFonts w:ascii="Palatino Linotype" w:eastAsia="Calibri" w:hAnsi="Palatino Linotype" w:cs="Arial"/>
          <w:b/>
          <w:sz w:val="24"/>
          <w:lang w:val="es-ES" w:eastAsia="es-ES"/>
        </w:rPr>
        <w:t xml:space="preserve">Ley de Transparencia y Acceso a la Información Pública del Estado de México y Municipios </w:t>
      </w:r>
      <w:r w:rsidR="00054505">
        <w:rPr>
          <w:rFonts w:ascii="Palatino Linotype" w:hAnsi="Palatino Linotype" w:cs="Arial"/>
          <w:sz w:val="24"/>
          <w:lang w:val="es-ES" w:eastAsia="es-ES"/>
        </w:rPr>
        <w:t>se turna</w:t>
      </w:r>
      <w:r w:rsidRPr="00054505">
        <w:rPr>
          <w:rFonts w:ascii="Palatino Linotype" w:hAnsi="Palatino Linotype" w:cs="Arial"/>
          <w:sz w:val="24"/>
          <w:lang w:val="es-ES" w:eastAsia="es-ES"/>
        </w:rPr>
        <w:t xml:space="preserve"> a la </w:t>
      </w:r>
      <w:r w:rsidRPr="00054505">
        <w:rPr>
          <w:rFonts w:ascii="Palatino Linotype" w:hAnsi="Palatino Linotype" w:cs="Arial"/>
          <w:b/>
          <w:sz w:val="24"/>
          <w:lang w:val="es-ES" w:eastAsia="es-ES"/>
        </w:rPr>
        <w:t xml:space="preserve">Comisionada María del Rosario Mejía Ayala, </w:t>
      </w:r>
      <w:r w:rsidR="00054505">
        <w:rPr>
          <w:rFonts w:ascii="Palatino Linotype" w:hAnsi="Palatino Linotype" w:cs="Arial"/>
          <w:sz w:val="24"/>
          <w:lang w:val="es-ES" w:eastAsia="es-ES"/>
        </w:rPr>
        <w:t>para</w:t>
      </w:r>
      <w:r w:rsidRPr="00054505">
        <w:rPr>
          <w:rFonts w:ascii="Palatino Linotype" w:hAnsi="Palatino Linotype" w:cs="Arial"/>
          <w:sz w:val="24"/>
          <w:lang w:val="es-ES" w:eastAsia="es-ES"/>
        </w:rPr>
        <w:t xml:space="preserve"> </w:t>
      </w:r>
      <w:r w:rsidRPr="00054505">
        <w:rPr>
          <w:rFonts w:ascii="Palatino Linotype" w:hAnsi="Palatino Linotype" w:cs="Arial"/>
          <w:sz w:val="24"/>
          <w:lang w:eastAsia="es-ES"/>
        </w:rPr>
        <w:t xml:space="preserve">su análisis. </w:t>
      </w:r>
    </w:p>
    <w:p w14:paraId="7FC28545"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647FB3BB" w14:textId="77777777" w:rsidR="004C3AFE" w:rsidRPr="00054505" w:rsidRDefault="00054505"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La Comisionada</w:t>
      </w:r>
      <w:r w:rsidR="004C3AFE" w:rsidRPr="00054505">
        <w:rPr>
          <w:rFonts w:ascii="Palatino Linotype" w:eastAsia="Calibri" w:hAnsi="Palatino Linotype" w:cs="Arial"/>
          <w:sz w:val="24"/>
          <w:lang w:val="es-ES" w:eastAsia="es-ES"/>
        </w:rPr>
        <w:t xml:space="preserve"> Ponente con fundamento en lo dispuesto por el artículo 185 fracción II de la ley de la materia, a través del acuerdo de admisión del veintinueve (29) de </w:t>
      </w:r>
      <w:r w:rsidR="004C3AFE" w:rsidRPr="00054505">
        <w:rPr>
          <w:rFonts w:ascii="Palatino Linotype" w:eastAsia="Calibri" w:hAnsi="Palatino Linotype" w:cs="Arial"/>
          <w:sz w:val="24"/>
          <w:lang w:val="es-ES" w:eastAsia="es-ES"/>
        </w:rPr>
        <w:lastRenderedPageBreak/>
        <w:t xml:space="preserve">abril de dos mil veinticuatro, puso a disposición de las partes el expediente electrónico </w:t>
      </w:r>
      <w:r w:rsidR="004C3AFE" w:rsidRPr="00054505">
        <w:rPr>
          <w:rFonts w:ascii="Palatino Linotype" w:eastAsia="Calibri" w:hAnsi="Palatino Linotype" w:cs="Arial"/>
          <w:sz w:val="24"/>
          <w:lang w:val="es-ES_tradnl" w:eastAsia="es-ES"/>
        </w:rPr>
        <w:t xml:space="preserve">vía </w:t>
      </w:r>
      <w:r w:rsidR="004C3AFE" w:rsidRPr="00054505">
        <w:rPr>
          <w:rFonts w:ascii="Palatino Linotype" w:eastAsia="Calibri" w:hAnsi="Palatino Linotype" w:cs="Arial"/>
          <w:b/>
          <w:sz w:val="24"/>
          <w:lang w:val="es-ES" w:eastAsia="es-ES"/>
        </w:rPr>
        <w:t xml:space="preserve">SAIMEX </w:t>
      </w:r>
      <w:r w:rsidR="004C3AFE" w:rsidRPr="00054505">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4C3AFE" w:rsidRPr="00054505">
        <w:rPr>
          <w:rFonts w:ascii="Palatino Linotype" w:eastAsia="Calibri" w:hAnsi="Palatino Linotype" w:cs="Arial"/>
          <w:b/>
          <w:sz w:val="24"/>
          <w:lang w:val="es-ES" w:eastAsia="es-ES"/>
        </w:rPr>
        <w:t>SUJETO OBLIGADO</w:t>
      </w:r>
      <w:r w:rsidR="004C3AFE" w:rsidRPr="00054505">
        <w:rPr>
          <w:rFonts w:ascii="Palatino Linotype" w:eastAsia="Calibri" w:hAnsi="Palatino Linotype" w:cs="Arial"/>
          <w:sz w:val="24"/>
          <w:lang w:val="es-ES" w:eastAsia="es-ES"/>
        </w:rPr>
        <w:t xml:space="preserve"> presentara el informe justificado procedente. </w:t>
      </w:r>
    </w:p>
    <w:p w14:paraId="121EFCF4" w14:textId="77777777" w:rsidR="004C3AFE" w:rsidRPr="00054505" w:rsidRDefault="004C3AFE" w:rsidP="004C3AFE">
      <w:pPr>
        <w:pStyle w:val="Prrafodelista"/>
        <w:rPr>
          <w:rFonts w:ascii="Palatino Linotype" w:eastAsia="Calibri" w:hAnsi="Palatino Linotype" w:cs="Arial"/>
          <w:sz w:val="24"/>
          <w:lang w:val="es-ES" w:eastAsia="es-ES"/>
        </w:rPr>
      </w:pPr>
    </w:p>
    <w:p w14:paraId="49DAE552"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Calibri" w:hAnsi="Palatino Linotype" w:cs="Arial"/>
          <w:sz w:val="24"/>
          <w:lang w:val="es-ES" w:eastAsia="es-ES"/>
        </w:rPr>
        <w:t xml:space="preserve">De las constancias del expediente electrónico SAIMEX se advierte que el Recurrente no realizó manifestaciones; </w:t>
      </w:r>
      <w:r w:rsidRPr="00054505">
        <w:rPr>
          <w:rFonts w:ascii="Palatino Linotype" w:hAnsi="Palatino Linotype" w:cs="Arial"/>
          <w:sz w:val="24"/>
          <w:lang w:val="es-ES" w:eastAsia="es-ES"/>
        </w:rPr>
        <w:t>p</w:t>
      </w:r>
      <w:r w:rsidRPr="00054505">
        <w:rPr>
          <w:rFonts w:ascii="Palatino Linotype" w:eastAsia="Calibri" w:hAnsi="Palatino Linotype" w:cs="Arial"/>
          <w:sz w:val="24"/>
          <w:lang w:val="es-ES" w:eastAsia="es-ES"/>
        </w:rPr>
        <w:t>or su parte, el Sujeto Obligado entregó informe justificado el catorce (14) de mayo de dos mil veinticuatro, y que se puso a la vista del Recurrente el doce (12) de septiembre del mismo año, a través de los archivos que se describen enseguida:</w:t>
      </w:r>
    </w:p>
    <w:p w14:paraId="6D9C5BF8" w14:textId="77777777" w:rsidR="004C3AFE" w:rsidRPr="00054505" w:rsidRDefault="00E25EAA" w:rsidP="004C3AFE">
      <w:pPr>
        <w:pStyle w:val="Prrafodelista"/>
        <w:numPr>
          <w:ilvl w:val="0"/>
          <w:numId w:val="4"/>
        </w:numPr>
        <w:spacing w:line="360" w:lineRule="auto"/>
        <w:ind w:left="851" w:right="822" w:firstLine="0"/>
        <w:jc w:val="both"/>
        <w:rPr>
          <w:rFonts w:ascii="Palatino Linotype" w:hAnsi="Palatino Linotype" w:cs="Arial"/>
          <w:lang w:val="es-ES" w:eastAsia="es-ES"/>
        </w:rPr>
      </w:pPr>
      <w:hyperlink r:id="rId8" w:history="1">
        <w:r w:rsidR="004C3AFE" w:rsidRPr="00054505">
          <w:rPr>
            <w:rStyle w:val="Hipervnculo"/>
            <w:rFonts w:ascii="Palatino Linotype" w:eastAsiaTheme="majorEastAsia" w:hAnsi="Palatino Linotype" w:cs="Arial"/>
            <w:b/>
            <w:bCs/>
            <w:color w:val="auto"/>
          </w:rPr>
          <w:t>2268-24 R.R..pdf</w:t>
        </w:r>
      </w:hyperlink>
      <w:r w:rsidR="004C3AFE" w:rsidRPr="00054505">
        <w:rPr>
          <w:rFonts w:ascii="Palatino Linotype" w:eastAsiaTheme="majorEastAsia" w:hAnsi="Palatino Linotype" w:cs="Arial"/>
          <w:b/>
          <w:bCs/>
          <w:u w:val="single"/>
        </w:rPr>
        <w:t xml:space="preserve">: </w:t>
      </w:r>
      <w:r w:rsidR="004C3AFE" w:rsidRPr="00054505">
        <w:rPr>
          <w:rFonts w:ascii="Palatino Linotype" w:eastAsiaTheme="majorEastAsia" w:hAnsi="Palatino Linotype" w:cs="Arial"/>
          <w:bCs/>
        </w:rPr>
        <w:t xml:space="preserve">Informe justificado suscrito por el Titular de la Unidad de Transparencia, en el que refiere que se adjunta información remitida por el Tesorero Municipal, por lo que solicitó se sobresea el recurso de revisión. </w:t>
      </w:r>
    </w:p>
    <w:p w14:paraId="2281297D" w14:textId="77777777" w:rsidR="004C3AFE" w:rsidRPr="00054505" w:rsidRDefault="004C3AFE" w:rsidP="004C3AFE">
      <w:pPr>
        <w:pStyle w:val="Prrafodelista"/>
        <w:spacing w:line="360" w:lineRule="auto"/>
        <w:ind w:left="851" w:right="822"/>
        <w:jc w:val="both"/>
        <w:rPr>
          <w:rFonts w:ascii="Palatino Linotype" w:hAnsi="Palatino Linotype" w:cs="Arial"/>
          <w:lang w:val="es-ES" w:eastAsia="es-ES"/>
        </w:rPr>
      </w:pPr>
    </w:p>
    <w:p w14:paraId="50216591" w14:textId="77777777" w:rsidR="004C3AFE" w:rsidRPr="00054505" w:rsidRDefault="00E25EAA" w:rsidP="004C3AFE">
      <w:pPr>
        <w:pStyle w:val="Prrafodelista"/>
        <w:numPr>
          <w:ilvl w:val="0"/>
          <w:numId w:val="4"/>
        </w:numPr>
        <w:spacing w:line="360" w:lineRule="auto"/>
        <w:ind w:left="851" w:right="822" w:firstLine="0"/>
        <w:jc w:val="both"/>
        <w:rPr>
          <w:rFonts w:ascii="Palatino Linotype" w:hAnsi="Palatino Linotype" w:cs="Arial"/>
          <w:lang w:val="es-ES" w:eastAsia="es-ES"/>
        </w:rPr>
      </w:pPr>
      <w:hyperlink r:id="rId9" w:history="1">
        <w:r w:rsidR="004C3AFE" w:rsidRPr="00054505">
          <w:rPr>
            <w:rStyle w:val="Hipervnculo"/>
            <w:rFonts w:ascii="Palatino Linotype" w:hAnsi="Palatino Linotype" w:cs="Arial"/>
            <w:b/>
            <w:bCs/>
            <w:color w:val="auto"/>
            <w:lang w:eastAsia="es-ES"/>
          </w:rPr>
          <w:t>238-24.pdf</w:t>
        </w:r>
      </w:hyperlink>
      <w:r w:rsidR="004C3AFE" w:rsidRPr="00054505">
        <w:rPr>
          <w:rFonts w:ascii="Palatino Linotype" w:hAnsi="Palatino Linotype" w:cs="Arial"/>
          <w:lang w:val="es-ES" w:eastAsia="es-ES"/>
        </w:rPr>
        <w:t xml:space="preserve">: oficio TM/Mayo/414/2024 de fecha ocho de mayo de dos mil veinticuatro, suscrito por el Tesorero Municipal en el que señaló que del ejercicio fiscal 2021 no se efectuaron cobros por multas administrativas y de los ejercicios 2022 y 2023 lo desgloso por mes. </w:t>
      </w:r>
    </w:p>
    <w:p w14:paraId="2C425E9E" w14:textId="77777777" w:rsidR="004C3AFE" w:rsidRPr="00054505" w:rsidRDefault="004C3AFE" w:rsidP="004C3AFE">
      <w:pPr>
        <w:pStyle w:val="Prrafodelista"/>
        <w:spacing w:line="360" w:lineRule="auto"/>
        <w:ind w:left="851" w:right="822"/>
        <w:jc w:val="both"/>
        <w:rPr>
          <w:rFonts w:ascii="Palatino Linotype" w:hAnsi="Palatino Linotype" w:cs="Arial"/>
          <w:sz w:val="24"/>
          <w:lang w:val="es-ES" w:eastAsia="es-ES"/>
        </w:rPr>
      </w:pPr>
    </w:p>
    <w:p w14:paraId="09349F4E" w14:textId="77777777" w:rsidR="004C3AFE"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hAnsi="Palatino Linotype" w:cs="Arial"/>
          <w:sz w:val="24"/>
          <w:lang w:val="es-ES" w:eastAsia="es-ES"/>
        </w:rPr>
        <w:t>El catorce (14) de agosto de dos mil veinticuatro, se notificó el acuerdo mediante el cual se amplió el plazo para emitir resolución.</w:t>
      </w:r>
    </w:p>
    <w:p w14:paraId="42D026E3" w14:textId="77777777" w:rsidR="00054505" w:rsidRPr="00054505" w:rsidRDefault="00054505" w:rsidP="00054505">
      <w:pPr>
        <w:pStyle w:val="Prrafodelista"/>
        <w:spacing w:line="360" w:lineRule="auto"/>
        <w:ind w:left="0"/>
        <w:jc w:val="both"/>
        <w:rPr>
          <w:rFonts w:ascii="Palatino Linotype" w:hAnsi="Palatino Linotype" w:cs="Arial"/>
          <w:sz w:val="24"/>
          <w:lang w:val="es-ES" w:eastAsia="es-ES"/>
        </w:rPr>
      </w:pPr>
    </w:p>
    <w:p w14:paraId="4670AB1B"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u w:val="single"/>
        </w:rPr>
      </w:pPr>
      <w:r w:rsidRPr="00054505">
        <w:rPr>
          <w:rFonts w:ascii="Palatino Linotype" w:eastAsia="Palatino Linotype" w:hAnsi="Palatino Linotype" w:cs="Palatino Linotype"/>
          <w:color w:val="000000"/>
        </w:rPr>
        <w:lastRenderedPageBreak/>
        <w:t>Este organismo garante no pasa por alto justificar, que el plazo para emitir resolución en el presente asunto encuentra justificación en el alto número de recursos de revisión recibidos dentro del primer semestre del año dos mil veintitrés,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B610013" w14:textId="77777777" w:rsidR="004C3AFE" w:rsidRPr="00054505" w:rsidRDefault="004C3AFE" w:rsidP="004C3AFE">
      <w:pPr>
        <w:pBdr>
          <w:top w:val="nil"/>
          <w:left w:val="nil"/>
          <w:bottom w:val="nil"/>
          <w:right w:val="nil"/>
          <w:between w:val="nil"/>
        </w:pBdr>
        <w:rPr>
          <w:rFonts w:ascii="Palatino Linotype" w:eastAsia="Palatino Linotype" w:hAnsi="Palatino Linotype" w:cs="Palatino Linotype"/>
          <w:color w:val="000000"/>
        </w:rPr>
      </w:pPr>
    </w:p>
    <w:p w14:paraId="034CCDDF"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48285F5" w14:textId="77777777" w:rsidR="004C3AFE" w:rsidRPr="00054505" w:rsidRDefault="004C3AFE" w:rsidP="004C3A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59C65A"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1B139C" w14:textId="77777777" w:rsidR="004C3AFE" w:rsidRPr="00054505" w:rsidRDefault="004C3AFE" w:rsidP="004C3AFE">
      <w:pPr>
        <w:pBdr>
          <w:top w:val="nil"/>
          <w:left w:val="nil"/>
          <w:bottom w:val="nil"/>
          <w:right w:val="nil"/>
          <w:between w:val="nil"/>
        </w:pBdr>
        <w:rPr>
          <w:rFonts w:ascii="Palatino Linotype" w:eastAsia="Palatino Linotype" w:hAnsi="Palatino Linotype" w:cs="Palatino Linotype"/>
          <w:color w:val="000000"/>
        </w:rPr>
      </w:pPr>
    </w:p>
    <w:p w14:paraId="1ACC01E5"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F7166D7" w14:textId="77777777" w:rsidR="004C3AFE" w:rsidRPr="00054505" w:rsidRDefault="004C3AFE" w:rsidP="004C3A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C8305DE"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9850598" w14:textId="77777777" w:rsidR="004C3AFE" w:rsidRPr="00054505" w:rsidRDefault="00054505" w:rsidP="00054505">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a) </w:t>
      </w:r>
      <w:r w:rsidR="004C3AFE" w:rsidRPr="00054505">
        <w:rPr>
          <w:rFonts w:ascii="Palatino Linotype" w:eastAsia="Palatino Linotype" w:hAnsi="Palatino Linotype" w:cs="Palatino Linotype"/>
          <w:color w:val="000000"/>
          <w:sz w:val="22"/>
        </w:rPr>
        <w:t>Complejidad del asunto: La complejidad de la prueba, la pluralidad de sujetos procesales, el tiempo transcurrido, las características y contexto del recurso.</w:t>
      </w:r>
    </w:p>
    <w:p w14:paraId="6F3459EE" w14:textId="77777777" w:rsidR="004C3AFE" w:rsidRPr="00054505" w:rsidRDefault="00054505" w:rsidP="00054505">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b) </w:t>
      </w:r>
      <w:r w:rsidR="004C3AFE" w:rsidRPr="00054505">
        <w:rPr>
          <w:rFonts w:ascii="Palatino Linotype" w:eastAsia="Palatino Linotype" w:hAnsi="Palatino Linotype" w:cs="Palatino Linotype"/>
          <w:color w:val="000000"/>
          <w:sz w:val="22"/>
        </w:rPr>
        <w:t>Actividad Procesal del interesado: Acciones u omisiones del interesado.</w:t>
      </w:r>
    </w:p>
    <w:p w14:paraId="466AE4C4" w14:textId="77777777" w:rsidR="004C3AFE" w:rsidRPr="00054505" w:rsidRDefault="004C3AFE" w:rsidP="00054505">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sidRPr="00054505">
        <w:rPr>
          <w:rFonts w:ascii="Palatino Linotype" w:eastAsia="Palatino Linotype" w:hAnsi="Palatino Linotype" w:cs="Palatino Linotype"/>
          <w:color w:val="000000"/>
          <w:sz w:val="22"/>
        </w:rPr>
        <w:t>c)</w:t>
      </w:r>
      <w:r w:rsidR="00054505">
        <w:rPr>
          <w:rFonts w:ascii="Palatino Linotype" w:eastAsia="Palatino Linotype" w:hAnsi="Palatino Linotype" w:cs="Palatino Linotype"/>
          <w:color w:val="000000"/>
          <w:sz w:val="22"/>
        </w:rPr>
        <w:t xml:space="preserve"> </w:t>
      </w:r>
      <w:r w:rsidRPr="00054505">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0DD6FCDC" w14:textId="77777777" w:rsidR="004C3AFE" w:rsidRPr="00054505" w:rsidRDefault="004C3AFE" w:rsidP="00054505">
      <w:pPr>
        <w:pBdr>
          <w:top w:val="nil"/>
          <w:left w:val="nil"/>
          <w:bottom w:val="nil"/>
          <w:right w:val="nil"/>
          <w:between w:val="nil"/>
        </w:pBdr>
        <w:spacing w:line="360" w:lineRule="auto"/>
        <w:ind w:left="284" w:right="680"/>
        <w:jc w:val="both"/>
        <w:rPr>
          <w:rFonts w:ascii="Palatino Linotype" w:eastAsia="Palatino Linotype" w:hAnsi="Palatino Linotype" w:cs="Palatino Linotype"/>
          <w:color w:val="000000"/>
          <w:sz w:val="22"/>
        </w:rPr>
      </w:pPr>
      <w:r w:rsidRPr="00054505">
        <w:rPr>
          <w:rFonts w:ascii="Palatino Linotype" w:eastAsia="Palatino Linotype" w:hAnsi="Palatino Linotype" w:cs="Palatino Linotype"/>
          <w:color w:val="000000"/>
          <w:sz w:val="22"/>
        </w:rPr>
        <w:t>d) La afectación generada en la situación jurídica de la persona involucrada en el proceso: Violación a sus derechos humanos.</w:t>
      </w:r>
    </w:p>
    <w:p w14:paraId="0BAF4C9B" w14:textId="77777777" w:rsidR="004C3AFE" w:rsidRPr="00054505" w:rsidRDefault="004C3AFE" w:rsidP="004C3A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1A9120"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3E6905" w14:textId="77777777" w:rsidR="004C3AFE" w:rsidRPr="00054505" w:rsidRDefault="004C3AFE" w:rsidP="004C3A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4FA9FB"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w:t>
      </w:r>
      <w:r w:rsidR="00054505">
        <w:rPr>
          <w:rFonts w:ascii="Palatino Linotype" w:eastAsia="Palatino Linotype" w:hAnsi="Palatino Linotype" w:cs="Palatino Linotype"/>
          <w:color w:val="000000"/>
        </w:rPr>
        <w:t>”, visible en la Gaceta del Sema</w:t>
      </w:r>
      <w:r w:rsidRPr="00054505">
        <w:rPr>
          <w:rFonts w:ascii="Palatino Linotype" w:eastAsia="Palatino Linotype" w:hAnsi="Palatino Linotype" w:cs="Palatino Linotype"/>
          <w:color w:val="000000"/>
        </w:rPr>
        <w:t>nario Judicial de la Federación con el registro digital 205635.</w:t>
      </w:r>
    </w:p>
    <w:p w14:paraId="2D38A866" w14:textId="77777777" w:rsidR="004C3AFE" w:rsidRPr="00054505" w:rsidRDefault="004C3AFE" w:rsidP="004C3AFE">
      <w:pPr>
        <w:pBdr>
          <w:top w:val="nil"/>
          <w:left w:val="nil"/>
          <w:bottom w:val="nil"/>
          <w:right w:val="nil"/>
          <w:between w:val="nil"/>
        </w:pBdr>
        <w:rPr>
          <w:rFonts w:ascii="Palatino Linotype" w:eastAsia="Palatino Linotype" w:hAnsi="Palatino Linotype" w:cs="Palatino Linotype"/>
          <w:color w:val="000000"/>
        </w:rPr>
      </w:pPr>
    </w:p>
    <w:p w14:paraId="71A11CF4"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w:t>
      </w:r>
      <w:r w:rsidRPr="00054505">
        <w:rPr>
          <w:rFonts w:ascii="Palatino Linotype" w:eastAsia="Palatino Linotype" w:hAnsi="Palatino Linotype" w:cs="Palatino Linotype"/>
          <w:color w:val="000000"/>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E0BCEB" w14:textId="77777777" w:rsidR="004C3AFE" w:rsidRPr="00054505" w:rsidRDefault="004C3AFE" w:rsidP="004C3AF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BC5C02"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922B45C" w14:textId="77777777" w:rsidR="004C3AFE" w:rsidRPr="00054505" w:rsidRDefault="004C3AFE" w:rsidP="004C3AFE">
      <w:pPr>
        <w:pBdr>
          <w:top w:val="nil"/>
          <w:left w:val="nil"/>
          <w:bottom w:val="nil"/>
          <w:right w:val="nil"/>
          <w:between w:val="nil"/>
        </w:pBdr>
        <w:ind w:left="720"/>
        <w:rPr>
          <w:rFonts w:ascii="Palatino Linotype" w:eastAsia="Palatino Linotype" w:hAnsi="Palatino Linotype" w:cs="Palatino Linotype"/>
          <w:color w:val="000000"/>
        </w:rPr>
      </w:pPr>
    </w:p>
    <w:p w14:paraId="336DFC06" w14:textId="77777777" w:rsidR="004C3AFE" w:rsidRPr="00054505" w:rsidRDefault="004C3AFE" w:rsidP="00054505">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sz w:val="22"/>
        </w:rPr>
      </w:pPr>
      <w:r w:rsidRPr="00054505">
        <w:rPr>
          <w:rFonts w:ascii="Palatino Linotype" w:eastAsia="Palatino Linotype" w:hAnsi="Palatino Linotype" w:cs="Palatino Linotype"/>
          <w:color w:val="000000"/>
          <w:sz w:val="22"/>
        </w:rPr>
        <w:t xml:space="preserve">“PLAZO RAZONABLE PARA RESOLVER. DIMENSIÓN Y EFECTOS DE ESTE CONCEPTO CUANDO SE ADUCE EXCESIVA CARGA DE </w:t>
      </w:r>
      <w:r w:rsidR="00054505">
        <w:rPr>
          <w:rFonts w:ascii="Palatino Linotype" w:eastAsia="Palatino Linotype" w:hAnsi="Palatino Linotype" w:cs="Palatino Linotype"/>
          <w:color w:val="000000"/>
          <w:sz w:val="22"/>
        </w:rPr>
        <w:t>TRABAJO.” consultable en el Sema</w:t>
      </w:r>
      <w:r w:rsidRPr="00054505">
        <w:rPr>
          <w:rFonts w:ascii="Palatino Linotype" w:eastAsia="Palatino Linotype" w:hAnsi="Palatino Linotype" w:cs="Palatino Linotype"/>
          <w:color w:val="000000"/>
          <w:sz w:val="22"/>
        </w:rPr>
        <w:t>nario Judicial de la Federación y su gaceta, con el registro digital 2002351.</w:t>
      </w:r>
    </w:p>
    <w:p w14:paraId="1D6A3A6A" w14:textId="77777777" w:rsidR="004C3AFE" w:rsidRPr="00054505" w:rsidRDefault="004C3AFE" w:rsidP="00054505">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sz w:val="22"/>
        </w:rPr>
      </w:pPr>
      <w:r w:rsidRPr="00054505">
        <w:rPr>
          <w:rFonts w:ascii="Palatino Linotype" w:eastAsia="Palatino Linotype" w:hAnsi="Palatino Linotype" w:cs="Palatino Linotype"/>
          <w:color w:val="000000"/>
          <w:sz w:val="22"/>
        </w:rPr>
        <w:t>“PLAZO RAZONABLE PARA RESOLVER. CONCEPTO Y ELEMENTOS QUE LO INTEGRAN A LA LUZ DEL DERECHO INTERNACIONAL DE LOS DERECH</w:t>
      </w:r>
      <w:r w:rsidR="00054505">
        <w:rPr>
          <w:rFonts w:ascii="Palatino Linotype" w:eastAsia="Palatino Linotype" w:hAnsi="Palatino Linotype" w:cs="Palatino Linotype"/>
          <w:color w:val="000000"/>
          <w:sz w:val="22"/>
        </w:rPr>
        <w:t>OS HUMANOS.”, visible en el Sema</w:t>
      </w:r>
      <w:r w:rsidRPr="00054505">
        <w:rPr>
          <w:rFonts w:ascii="Palatino Linotype" w:eastAsia="Palatino Linotype" w:hAnsi="Palatino Linotype" w:cs="Palatino Linotype"/>
          <w:color w:val="000000"/>
          <w:sz w:val="22"/>
        </w:rPr>
        <w:t>nario Judicial de la Federación y su gaceta, con el registro digital 2002350.</w:t>
      </w:r>
    </w:p>
    <w:p w14:paraId="0F4FABE2" w14:textId="77777777" w:rsidR="004C3AFE" w:rsidRPr="00054505" w:rsidRDefault="004C3AFE" w:rsidP="004C3AFE">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7E81B97E" w14:textId="77777777" w:rsidR="004C3AFE" w:rsidRPr="00054505" w:rsidRDefault="004C3AFE" w:rsidP="004C3AF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54505">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1B6000C" w14:textId="77777777" w:rsidR="004C3AFE" w:rsidRPr="00054505" w:rsidRDefault="004C3AFE" w:rsidP="004C3AF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4E2CAE24"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Theme="minorEastAsia" w:hAnsi="Palatino Linotype"/>
          <w:sz w:val="24"/>
          <w:lang w:val="es-ES_tradnl" w:eastAsia="es-ES"/>
        </w:rPr>
        <w:t>La Comisionada Ponente decretó el cierre de instrucción</w:t>
      </w:r>
      <w:r w:rsidRPr="00054505">
        <w:rPr>
          <w:rFonts w:ascii="Palatino Linotype" w:eastAsiaTheme="minorEastAsia" w:hAnsi="Palatino Linotype" w:cs="Arial"/>
          <w:sz w:val="24"/>
          <w:lang w:val="es-ES_tradnl" w:eastAsia="es-ES"/>
        </w:rPr>
        <w:t xml:space="preserve"> </w:t>
      </w:r>
      <w:r w:rsidRPr="00054505">
        <w:rPr>
          <w:rFonts w:ascii="Palatino Linotype" w:eastAsiaTheme="minorEastAsia" w:hAnsi="Palatino Linotype"/>
          <w:sz w:val="24"/>
          <w:lang w:val="es-ES_tradnl" w:eastAsia="es-ES"/>
        </w:rPr>
        <w:t xml:space="preserve">mediante el acuerdo del diecinueve (19) de septiembre de dos mil </w:t>
      </w:r>
      <w:proofErr w:type="gramStart"/>
      <w:r w:rsidRPr="00054505">
        <w:rPr>
          <w:rFonts w:ascii="Palatino Linotype" w:eastAsiaTheme="minorEastAsia" w:hAnsi="Palatino Linotype"/>
          <w:sz w:val="24"/>
          <w:lang w:val="es-ES_tradnl" w:eastAsia="es-ES"/>
        </w:rPr>
        <w:t>veinticuatro.</w:t>
      </w:r>
      <w:r w:rsidR="00054505">
        <w:rPr>
          <w:rFonts w:ascii="Palatino Linotype" w:eastAsiaTheme="minorEastAsia" w:hAnsi="Palatino Linotype"/>
          <w:sz w:val="24"/>
          <w:lang w:val="es-ES_tradnl" w:eastAsia="es-ES"/>
        </w:rPr>
        <w:t>----------------------------------------------</w:t>
      </w:r>
      <w:proofErr w:type="gramEnd"/>
    </w:p>
    <w:p w14:paraId="2321767E" w14:textId="77777777" w:rsidR="00054505" w:rsidRPr="00054505" w:rsidRDefault="00054505" w:rsidP="00054505">
      <w:pPr>
        <w:pStyle w:val="Prrafodelista"/>
        <w:rPr>
          <w:rFonts w:ascii="Palatino Linotype" w:hAnsi="Palatino Linotype" w:cs="Arial"/>
          <w:sz w:val="24"/>
          <w:lang w:val="es-ES" w:eastAsia="es-ES"/>
        </w:rPr>
      </w:pPr>
    </w:p>
    <w:p w14:paraId="55CB8A53" w14:textId="77777777" w:rsidR="00054505" w:rsidRDefault="00054505" w:rsidP="00054505">
      <w:pPr>
        <w:spacing w:line="360" w:lineRule="auto"/>
        <w:jc w:val="both"/>
        <w:rPr>
          <w:rFonts w:ascii="Palatino Linotype" w:hAnsi="Palatino Linotype" w:cs="Arial"/>
          <w:lang w:val="es-ES" w:eastAsia="es-ES"/>
        </w:rPr>
      </w:pPr>
    </w:p>
    <w:p w14:paraId="7C868816" w14:textId="77777777" w:rsidR="00054505" w:rsidRDefault="00054505" w:rsidP="00054505">
      <w:pPr>
        <w:spacing w:line="360" w:lineRule="auto"/>
        <w:jc w:val="both"/>
        <w:rPr>
          <w:rFonts w:ascii="Palatino Linotype" w:hAnsi="Palatino Linotype" w:cs="Arial"/>
          <w:lang w:val="es-ES" w:eastAsia="es-ES"/>
        </w:rPr>
      </w:pPr>
    </w:p>
    <w:p w14:paraId="501FB073" w14:textId="77777777" w:rsidR="00054505" w:rsidRPr="00054505" w:rsidRDefault="00054505" w:rsidP="00054505">
      <w:pPr>
        <w:spacing w:line="360" w:lineRule="auto"/>
        <w:jc w:val="both"/>
        <w:rPr>
          <w:rFonts w:ascii="Palatino Linotype" w:hAnsi="Palatino Linotype" w:cs="Arial"/>
          <w:lang w:val="es-ES" w:eastAsia="es-ES"/>
        </w:rPr>
      </w:pPr>
    </w:p>
    <w:p w14:paraId="6AC0FA60" w14:textId="77777777" w:rsidR="004C3AFE" w:rsidRPr="00054505" w:rsidRDefault="004C3AFE" w:rsidP="004C3AFE">
      <w:pPr>
        <w:spacing w:line="360" w:lineRule="auto"/>
        <w:rPr>
          <w:rFonts w:ascii="Palatino Linotype" w:hAnsi="Palatino Linotype" w:cs="Arial"/>
          <w:lang w:val="es-ES" w:eastAsia="es-ES"/>
        </w:rPr>
      </w:pPr>
    </w:p>
    <w:p w14:paraId="08522379" w14:textId="77777777" w:rsidR="004C3AFE" w:rsidRPr="00054505" w:rsidRDefault="004C3AFE" w:rsidP="004C3AFE">
      <w:pPr>
        <w:spacing w:line="360" w:lineRule="auto"/>
        <w:jc w:val="center"/>
        <w:rPr>
          <w:rFonts w:ascii="Palatino Linotype" w:hAnsi="Palatino Linotype" w:cs="Arial"/>
          <w:lang w:eastAsia="es-ES"/>
        </w:rPr>
      </w:pPr>
      <w:bookmarkStart w:id="1" w:name="_Toc66992242"/>
      <w:r w:rsidRPr="00054505">
        <w:rPr>
          <w:rFonts w:ascii="Palatino Linotype" w:hAnsi="Palatino Linotype" w:cs="Arial"/>
          <w:b/>
          <w:lang w:eastAsia="es-ES"/>
        </w:rPr>
        <w:t>C</w:t>
      </w:r>
      <w:r w:rsidR="00054505">
        <w:rPr>
          <w:rFonts w:ascii="Palatino Linotype" w:hAnsi="Palatino Linotype" w:cs="Arial"/>
          <w:b/>
          <w:lang w:eastAsia="es-ES"/>
        </w:rPr>
        <w:t xml:space="preserve"> </w:t>
      </w:r>
      <w:r w:rsidRPr="00054505">
        <w:rPr>
          <w:rFonts w:ascii="Palatino Linotype" w:hAnsi="Palatino Linotype" w:cs="Arial"/>
          <w:b/>
          <w:lang w:eastAsia="es-ES"/>
        </w:rPr>
        <w:t>O</w:t>
      </w:r>
      <w:r w:rsidR="00054505">
        <w:rPr>
          <w:rFonts w:ascii="Palatino Linotype" w:hAnsi="Palatino Linotype" w:cs="Arial"/>
          <w:b/>
          <w:lang w:eastAsia="es-ES"/>
        </w:rPr>
        <w:t xml:space="preserve"> </w:t>
      </w:r>
      <w:r w:rsidRPr="00054505">
        <w:rPr>
          <w:rFonts w:ascii="Palatino Linotype" w:hAnsi="Palatino Linotype" w:cs="Arial"/>
          <w:b/>
          <w:lang w:eastAsia="es-ES"/>
        </w:rPr>
        <w:t>N</w:t>
      </w:r>
      <w:r w:rsidR="00054505">
        <w:rPr>
          <w:rFonts w:ascii="Palatino Linotype" w:hAnsi="Palatino Linotype" w:cs="Arial"/>
          <w:b/>
          <w:lang w:eastAsia="es-ES"/>
        </w:rPr>
        <w:t xml:space="preserve"> </w:t>
      </w:r>
      <w:r w:rsidRPr="00054505">
        <w:rPr>
          <w:rFonts w:ascii="Palatino Linotype" w:hAnsi="Palatino Linotype" w:cs="Arial"/>
          <w:b/>
          <w:lang w:eastAsia="es-ES"/>
        </w:rPr>
        <w:t>S</w:t>
      </w:r>
      <w:r w:rsidR="00054505">
        <w:rPr>
          <w:rFonts w:ascii="Palatino Linotype" w:hAnsi="Palatino Linotype" w:cs="Arial"/>
          <w:b/>
          <w:lang w:eastAsia="es-ES"/>
        </w:rPr>
        <w:t xml:space="preserve"> </w:t>
      </w:r>
      <w:r w:rsidRPr="00054505">
        <w:rPr>
          <w:rFonts w:ascii="Palatino Linotype" w:hAnsi="Palatino Linotype" w:cs="Arial"/>
          <w:b/>
          <w:lang w:eastAsia="es-ES"/>
        </w:rPr>
        <w:t>I</w:t>
      </w:r>
      <w:r w:rsidR="00054505">
        <w:rPr>
          <w:rFonts w:ascii="Palatino Linotype" w:hAnsi="Palatino Linotype" w:cs="Arial"/>
          <w:b/>
          <w:lang w:eastAsia="es-ES"/>
        </w:rPr>
        <w:t xml:space="preserve"> </w:t>
      </w:r>
      <w:r w:rsidRPr="00054505">
        <w:rPr>
          <w:rFonts w:ascii="Palatino Linotype" w:hAnsi="Palatino Linotype" w:cs="Arial"/>
          <w:b/>
          <w:lang w:eastAsia="es-ES"/>
        </w:rPr>
        <w:t>D</w:t>
      </w:r>
      <w:r w:rsidR="00054505">
        <w:rPr>
          <w:rFonts w:ascii="Palatino Linotype" w:hAnsi="Palatino Linotype" w:cs="Arial"/>
          <w:b/>
          <w:lang w:eastAsia="es-ES"/>
        </w:rPr>
        <w:t xml:space="preserve"> </w:t>
      </w:r>
      <w:r w:rsidRPr="00054505">
        <w:rPr>
          <w:rFonts w:ascii="Palatino Linotype" w:hAnsi="Palatino Linotype" w:cs="Arial"/>
          <w:b/>
          <w:lang w:eastAsia="es-ES"/>
        </w:rPr>
        <w:t>E</w:t>
      </w:r>
      <w:r w:rsidR="00054505">
        <w:rPr>
          <w:rFonts w:ascii="Palatino Linotype" w:hAnsi="Palatino Linotype" w:cs="Arial"/>
          <w:b/>
          <w:lang w:eastAsia="es-ES"/>
        </w:rPr>
        <w:t xml:space="preserve"> </w:t>
      </w:r>
      <w:r w:rsidRPr="00054505">
        <w:rPr>
          <w:rFonts w:ascii="Palatino Linotype" w:hAnsi="Palatino Linotype" w:cs="Arial"/>
          <w:b/>
          <w:lang w:eastAsia="es-ES"/>
        </w:rPr>
        <w:t>R</w:t>
      </w:r>
      <w:r w:rsidR="00054505">
        <w:rPr>
          <w:rFonts w:ascii="Palatino Linotype" w:hAnsi="Palatino Linotype" w:cs="Arial"/>
          <w:b/>
          <w:lang w:eastAsia="es-ES"/>
        </w:rPr>
        <w:t xml:space="preserve"> </w:t>
      </w:r>
      <w:r w:rsidRPr="00054505">
        <w:rPr>
          <w:rFonts w:ascii="Palatino Linotype" w:hAnsi="Palatino Linotype" w:cs="Arial"/>
          <w:b/>
          <w:lang w:eastAsia="es-ES"/>
        </w:rPr>
        <w:t>A</w:t>
      </w:r>
      <w:r w:rsidR="00054505">
        <w:rPr>
          <w:rFonts w:ascii="Palatino Linotype" w:hAnsi="Palatino Linotype" w:cs="Arial"/>
          <w:b/>
          <w:lang w:eastAsia="es-ES"/>
        </w:rPr>
        <w:t xml:space="preserve"> </w:t>
      </w:r>
      <w:r w:rsidRPr="00054505">
        <w:rPr>
          <w:rFonts w:ascii="Palatino Linotype" w:hAnsi="Palatino Linotype" w:cs="Arial"/>
          <w:b/>
          <w:lang w:eastAsia="es-ES"/>
        </w:rPr>
        <w:t>N</w:t>
      </w:r>
      <w:r w:rsidR="00054505">
        <w:rPr>
          <w:rFonts w:ascii="Palatino Linotype" w:hAnsi="Palatino Linotype" w:cs="Arial"/>
          <w:b/>
          <w:lang w:eastAsia="es-ES"/>
        </w:rPr>
        <w:t xml:space="preserve"> </w:t>
      </w:r>
      <w:r w:rsidRPr="00054505">
        <w:rPr>
          <w:rFonts w:ascii="Palatino Linotype" w:hAnsi="Palatino Linotype" w:cs="Arial"/>
          <w:b/>
          <w:lang w:eastAsia="es-ES"/>
        </w:rPr>
        <w:t>D</w:t>
      </w:r>
      <w:r w:rsidR="00054505">
        <w:rPr>
          <w:rFonts w:ascii="Palatino Linotype" w:hAnsi="Palatino Linotype" w:cs="Arial"/>
          <w:b/>
          <w:lang w:eastAsia="es-ES"/>
        </w:rPr>
        <w:t xml:space="preserve"> </w:t>
      </w:r>
      <w:r w:rsidRPr="00054505">
        <w:rPr>
          <w:rFonts w:ascii="Palatino Linotype" w:hAnsi="Palatino Linotype" w:cs="Arial"/>
          <w:b/>
          <w:lang w:eastAsia="es-ES"/>
        </w:rPr>
        <w:t>O</w:t>
      </w:r>
      <w:bookmarkEnd w:id="1"/>
    </w:p>
    <w:p w14:paraId="52279054" w14:textId="77777777" w:rsidR="004C3AFE" w:rsidRPr="00054505" w:rsidRDefault="004C3AFE" w:rsidP="004C3AFE">
      <w:pPr>
        <w:spacing w:line="360" w:lineRule="auto"/>
        <w:jc w:val="center"/>
        <w:rPr>
          <w:rFonts w:ascii="Palatino Linotype" w:hAnsi="Palatino Linotype" w:cs="Arial"/>
          <w:lang w:eastAsia="es-ES"/>
        </w:rPr>
      </w:pPr>
    </w:p>
    <w:p w14:paraId="52D8C945" w14:textId="77777777" w:rsidR="004C3AFE" w:rsidRPr="00054505" w:rsidRDefault="004C3AFE" w:rsidP="004C3AFE">
      <w:pPr>
        <w:spacing w:line="360" w:lineRule="auto"/>
        <w:jc w:val="both"/>
        <w:rPr>
          <w:rFonts w:ascii="Palatino Linotype" w:hAnsi="Palatino Linotype" w:cs="Arial"/>
          <w:b/>
          <w:lang w:eastAsia="es-ES"/>
        </w:rPr>
      </w:pPr>
      <w:bookmarkStart w:id="2" w:name="_Toc66992243"/>
      <w:r w:rsidRPr="00054505">
        <w:rPr>
          <w:rFonts w:ascii="Palatino Linotype" w:hAnsi="Palatino Linotype" w:cs="Arial"/>
          <w:b/>
          <w:lang w:eastAsia="es-ES"/>
        </w:rPr>
        <w:t>PRIMERO. De la competencia</w:t>
      </w:r>
      <w:bookmarkEnd w:id="2"/>
    </w:p>
    <w:p w14:paraId="61AE4557" w14:textId="77777777" w:rsidR="004C3AFE" w:rsidRPr="00054505" w:rsidRDefault="004C3AFE" w:rsidP="004C3AFE">
      <w:pPr>
        <w:pStyle w:val="Prrafodelista"/>
        <w:numPr>
          <w:ilvl w:val="0"/>
          <w:numId w:val="1"/>
        </w:numPr>
        <w:spacing w:before="240" w:after="240" w:line="360" w:lineRule="auto"/>
        <w:ind w:left="0" w:firstLine="0"/>
        <w:jc w:val="both"/>
        <w:rPr>
          <w:rFonts w:ascii="Palatino Linotype" w:hAnsi="Palatino Linotype"/>
          <w:sz w:val="24"/>
        </w:rPr>
      </w:pPr>
      <w:r w:rsidRPr="00054505">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5A6FC4F"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222A5D82" w14:textId="77777777" w:rsidR="004C3AFE" w:rsidRPr="00054505" w:rsidRDefault="004C3AFE" w:rsidP="004C3AFE">
      <w:pPr>
        <w:keepNext/>
        <w:keepLines/>
        <w:spacing w:line="360" w:lineRule="auto"/>
        <w:outlineLvl w:val="1"/>
        <w:rPr>
          <w:rFonts w:ascii="Palatino Linotype" w:eastAsiaTheme="majorEastAsia" w:hAnsi="Palatino Linotype" w:cstheme="majorBidi"/>
          <w:b/>
        </w:rPr>
      </w:pPr>
      <w:bookmarkStart w:id="3" w:name="_Toc66992244"/>
      <w:r w:rsidRPr="00054505">
        <w:rPr>
          <w:rFonts w:ascii="Palatino Linotype" w:eastAsiaTheme="majorEastAsia" w:hAnsi="Palatino Linotype" w:cstheme="majorBidi"/>
          <w:b/>
        </w:rPr>
        <w:t>SEGUNDO. De la oportunidad y procedencia.</w:t>
      </w:r>
      <w:bookmarkEnd w:id="3"/>
    </w:p>
    <w:p w14:paraId="4E5212FA"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Calibri" w:hAnsi="Palatino Linotype" w:cs="Arial"/>
          <w:sz w:val="24"/>
          <w:lang w:val="es-ES_tradnl" w:eastAsia="es-ES"/>
        </w:rPr>
        <w:t xml:space="preserve">El medio de impugnación fue presentado a través del </w:t>
      </w:r>
      <w:r w:rsidRPr="00054505">
        <w:rPr>
          <w:rFonts w:ascii="Palatino Linotype" w:eastAsia="Calibri" w:hAnsi="Palatino Linotype" w:cs="Arial"/>
          <w:b/>
          <w:sz w:val="24"/>
          <w:lang w:val="es-ES_tradnl" w:eastAsia="es-ES"/>
        </w:rPr>
        <w:t>SAIMEX,</w:t>
      </w:r>
      <w:r w:rsidRPr="00054505">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054505">
        <w:rPr>
          <w:rFonts w:ascii="Palatino Linotype" w:eastAsia="Calibri" w:hAnsi="Palatino Linotype" w:cs="Arial"/>
          <w:b/>
          <w:sz w:val="24"/>
          <w:lang w:val="es-ES_tradnl" w:eastAsia="es-ES"/>
        </w:rPr>
        <w:t>SUJETO OBLIGADO</w:t>
      </w:r>
      <w:r w:rsidRPr="00054505">
        <w:rPr>
          <w:rFonts w:ascii="Palatino Linotype" w:eastAsia="Calibri" w:hAnsi="Palatino Linotype" w:cs="Arial"/>
          <w:sz w:val="24"/>
          <w:lang w:val="es-ES_tradnl" w:eastAsia="es-ES"/>
        </w:rPr>
        <w:t xml:space="preserve"> entregó respuesta a la solicitud el día veinticuatro (24) de abril de dos mil veinticuatro, </w:t>
      </w:r>
      <w:r w:rsidRPr="00054505">
        <w:rPr>
          <w:rFonts w:ascii="Palatino Linotype" w:eastAsiaTheme="minorEastAsia" w:hAnsi="Palatino Linotype" w:cs="Arial"/>
          <w:sz w:val="24"/>
          <w:lang w:val="es-ES_tradnl" w:eastAsia="es-ES"/>
        </w:rPr>
        <w:t xml:space="preserve">de tal forma que el plazo para interponer el recurso de revisión transcurrió del veinticinco (25) de abril al diecisiete (17) de mayo de </w:t>
      </w:r>
      <w:r w:rsidRPr="00054505">
        <w:rPr>
          <w:rFonts w:ascii="Palatino Linotype" w:eastAsiaTheme="minorEastAsia" w:hAnsi="Palatino Linotype" w:cs="Arial"/>
          <w:sz w:val="24"/>
          <w:lang w:val="es-ES_tradnl" w:eastAsia="es-ES"/>
        </w:rPr>
        <w:lastRenderedPageBreak/>
        <w:t xml:space="preserve">dos mil veinticuatro; en consecuencia, presentó su inconformidad el veintiséis (26) de abril de dos mil veinticuatro, por lo que se encuentra dentro de los márgenes temporales previstos en el artículo 178 de la </w:t>
      </w:r>
      <w:r w:rsidRPr="00054505">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054505">
        <w:rPr>
          <w:rFonts w:ascii="Palatino Linotype" w:eastAsiaTheme="minorEastAsia" w:hAnsi="Palatino Linotype" w:cs="Arial"/>
          <w:sz w:val="24"/>
          <w:lang w:val="es-ES_tradnl" w:eastAsia="es-ES"/>
        </w:rPr>
        <w:t>vigente.</w:t>
      </w:r>
    </w:p>
    <w:p w14:paraId="3DAED6FD" w14:textId="77777777" w:rsidR="004C3AFE" w:rsidRPr="00054505" w:rsidRDefault="004C3AFE" w:rsidP="004C3AFE">
      <w:pPr>
        <w:pStyle w:val="Prrafodelista"/>
        <w:numPr>
          <w:ilvl w:val="0"/>
          <w:numId w:val="1"/>
        </w:numPr>
        <w:spacing w:line="360" w:lineRule="auto"/>
        <w:ind w:left="0" w:firstLine="0"/>
        <w:jc w:val="both"/>
        <w:rPr>
          <w:rFonts w:ascii="Palatino Linotype" w:hAnsi="Palatino Linotype" w:cs="Arial"/>
          <w:sz w:val="24"/>
          <w:lang w:val="es-ES" w:eastAsia="es-ES"/>
        </w:rPr>
      </w:pPr>
      <w:r w:rsidRPr="00054505">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77A7D66" w14:textId="77777777" w:rsidR="004C3AFE" w:rsidRPr="00054505" w:rsidRDefault="004C3AFE" w:rsidP="004C3AFE">
      <w:pPr>
        <w:pStyle w:val="Prrafodelista"/>
        <w:rPr>
          <w:rFonts w:ascii="Palatino Linotype" w:hAnsi="Palatino Linotype" w:cs="Arial"/>
          <w:sz w:val="24"/>
          <w:lang w:val="es-ES" w:eastAsia="es-ES"/>
        </w:rPr>
      </w:pPr>
    </w:p>
    <w:p w14:paraId="3129BBED" w14:textId="77777777" w:rsidR="004C3AFE" w:rsidRPr="00054505" w:rsidRDefault="004C3AFE" w:rsidP="004C3AFE">
      <w:pPr>
        <w:pStyle w:val="Ttulo2"/>
        <w:tabs>
          <w:tab w:val="left" w:pos="0"/>
        </w:tabs>
        <w:spacing w:before="0" w:line="360" w:lineRule="auto"/>
        <w:rPr>
          <w:rFonts w:ascii="Palatino Linotype" w:hAnsi="Palatino Linotype"/>
          <w:b/>
          <w:color w:val="auto"/>
          <w:sz w:val="24"/>
          <w:szCs w:val="24"/>
        </w:rPr>
      </w:pPr>
      <w:r w:rsidRPr="00054505">
        <w:rPr>
          <w:rFonts w:ascii="Palatino Linotype" w:hAnsi="Palatino Linotype"/>
          <w:b/>
          <w:color w:val="auto"/>
          <w:sz w:val="24"/>
          <w:szCs w:val="24"/>
        </w:rPr>
        <w:t xml:space="preserve">TERCERO. De las causales de sobreseimiento </w:t>
      </w:r>
    </w:p>
    <w:p w14:paraId="291B2EF8"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bookmarkStart w:id="4" w:name="_Toc529263621"/>
      <w:bookmarkStart w:id="5" w:name="_Toc530650937"/>
      <w:bookmarkStart w:id="6" w:name="_Toc535334654"/>
      <w:bookmarkStart w:id="7" w:name="_Toc2248735"/>
      <w:r w:rsidRPr="00054505">
        <w:rPr>
          <w:rFonts w:ascii="Palatino Linotype" w:eastAsia="Calibri" w:hAnsi="Palatino Linotype" w:cs="Arial"/>
          <w:color w:val="000000" w:themeColor="text1"/>
          <w:sz w:val="24"/>
        </w:rPr>
        <w:t xml:space="preserve">El recurso de revisión </w:t>
      </w:r>
      <w:r w:rsidRPr="00054505">
        <w:rPr>
          <w:rFonts w:ascii="Palatino Linotype" w:hAnsi="Palatino Linotype" w:cs="Arial"/>
          <w:sz w:val="24"/>
        </w:rPr>
        <w:t xml:space="preserve">tiene como finalidad reparar cualquier posible afectación al derecho de acceso a la información pública en términos del Título Octavo de la Ley de </w:t>
      </w:r>
      <w:r w:rsidRPr="00054505">
        <w:rPr>
          <w:rFonts w:ascii="Palatino Linotype" w:eastAsia="Calibri" w:hAnsi="Palatino Linotype" w:cs="Arial"/>
          <w:sz w:val="24"/>
        </w:rPr>
        <w:t>Transparencia, Acceso a la Información Pública del Estado de México y Municipios</w:t>
      </w:r>
      <w:r w:rsidRPr="00054505">
        <w:rPr>
          <w:rFonts w:ascii="Palatino Linotype" w:hAnsi="Palatino Linotype" w:cs="Arial"/>
          <w:sz w:val="24"/>
        </w:rPr>
        <w:t xml:space="preserve">, y determinar la confirmación; revocación o modificación; </w:t>
      </w:r>
      <w:proofErr w:type="spellStart"/>
      <w:r w:rsidRPr="00054505">
        <w:rPr>
          <w:rFonts w:ascii="Palatino Linotype" w:hAnsi="Palatino Linotype" w:cs="Arial"/>
          <w:sz w:val="24"/>
        </w:rPr>
        <w:t>desechamiento</w:t>
      </w:r>
      <w:proofErr w:type="spellEnd"/>
      <w:r w:rsidRPr="00054505">
        <w:rPr>
          <w:rFonts w:ascii="Palatino Linotype" w:hAnsi="Palatino Linotype" w:cs="Arial"/>
          <w:sz w:val="24"/>
        </w:rPr>
        <w:t xml:space="preserve"> o </w:t>
      </w:r>
      <w:r w:rsidRPr="00054505">
        <w:rPr>
          <w:rFonts w:ascii="Palatino Linotype" w:hAnsi="Palatino Linotype" w:cs="Arial"/>
          <w:b/>
          <w:sz w:val="24"/>
          <w:u w:val="single"/>
        </w:rPr>
        <w:t>sobreseimiento</w:t>
      </w:r>
      <w:r w:rsidRPr="00054505">
        <w:rPr>
          <w:rFonts w:ascii="Palatino Linotype" w:hAnsi="Palatino Linotype" w:cs="Arial"/>
          <w:sz w:val="24"/>
        </w:rPr>
        <w:t xml:space="preserve">; y en su caso ordenar la entrega de la información con respecto a la respuesta emitida por el </w:t>
      </w:r>
      <w:r w:rsidRPr="00054505">
        <w:rPr>
          <w:rFonts w:ascii="Palatino Linotype" w:hAnsi="Palatino Linotype" w:cs="Arial"/>
          <w:b/>
          <w:sz w:val="24"/>
        </w:rPr>
        <w:t>SUJETO</w:t>
      </w:r>
      <w:r w:rsidRPr="00054505">
        <w:rPr>
          <w:rFonts w:ascii="Palatino Linotype" w:hAnsi="Palatino Linotype" w:cs="Arial"/>
          <w:sz w:val="24"/>
        </w:rPr>
        <w:t xml:space="preserve"> </w:t>
      </w:r>
      <w:r w:rsidRPr="00054505">
        <w:rPr>
          <w:rFonts w:ascii="Palatino Linotype" w:hAnsi="Palatino Linotype" w:cs="Arial"/>
          <w:b/>
          <w:sz w:val="24"/>
        </w:rPr>
        <w:t>OBLIGADO</w:t>
      </w:r>
      <w:r w:rsidRPr="00054505">
        <w:rPr>
          <w:rFonts w:ascii="Palatino Linotype" w:hAnsi="Palatino Linotype" w:cs="Arial"/>
          <w:sz w:val="24"/>
        </w:rPr>
        <w:t>.</w:t>
      </w:r>
    </w:p>
    <w:p w14:paraId="12E59898" w14:textId="77777777" w:rsidR="004C3AFE" w:rsidRPr="00054505" w:rsidRDefault="004C3AFE" w:rsidP="004C3AFE">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0D1BB10D"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rPr>
        <w:t xml:space="preserve">De </w:t>
      </w:r>
      <w:r w:rsidRPr="00054505">
        <w:rPr>
          <w:rFonts w:ascii="Palatino Linotype" w:eastAsia="Calibri" w:hAnsi="Palatino Linotype"/>
          <w:sz w:val="24"/>
        </w:rPr>
        <w:t xml:space="preserve">acuerdo al precepto legal contenido en la fracción III del artículo 192 de la </w:t>
      </w:r>
      <w:r w:rsidRPr="00054505">
        <w:rPr>
          <w:rFonts w:ascii="Palatino Linotype" w:eastAsia="Calibri" w:hAnsi="Palatino Linotype"/>
          <w:b/>
          <w:sz w:val="24"/>
        </w:rPr>
        <w:t>Ley de Transparencia y Acceso a la Información Pública del Estado de México y Municipios</w:t>
      </w:r>
      <w:r w:rsidRPr="00054505">
        <w:rPr>
          <w:rFonts w:ascii="Palatino Linotype" w:eastAsia="Calibri" w:hAnsi="Palatino Linotype"/>
          <w:sz w:val="24"/>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7A63EB2E" w14:textId="77777777" w:rsidR="004C3AFE" w:rsidRPr="00054505" w:rsidRDefault="004C3AFE" w:rsidP="004C3AFE">
      <w:pPr>
        <w:pStyle w:val="Prrafodelista"/>
        <w:ind w:left="0"/>
        <w:rPr>
          <w:rFonts w:ascii="Palatino Linotype" w:eastAsia="Calibri" w:hAnsi="Palatino Linotype" w:cs="Arial"/>
          <w:color w:val="000000" w:themeColor="text1"/>
          <w:sz w:val="24"/>
          <w:lang w:val="es-ES"/>
        </w:rPr>
      </w:pPr>
    </w:p>
    <w:p w14:paraId="66422B09"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lastRenderedPageBreak/>
        <w:t xml:space="preserve">Para </w:t>
      </w:r>
      <w:r w:rsidRPr="00054505">
        <w:rPr>
          <w:rFonts w:ascii="Palatino Linotype" w:eastAsia="Calibri" w:hAnsi="Palatino Linotype"/>
          <w:sz w:val="24"/>
        </w:rPr>
        <w:t xml:space="preserve">los efectos de esta resolución, es oportuno precisar los alcances jurídicos de la fracción III de la disposición legal transcrita. Así, procede el sobreseimiento del recurso de revisión cuando el </w:t>
      </w:r>
      <w:r w:rsidRPr="00054505">
        <w:rPr>
          <w:rFonts w:ascii="Palatino Linotype" w:eastAsia="Calibri" w:hAnsi="Palatino Linotype"/>
          <w:b/>
          <w:sz w:val="24"/>
        </w:rPr>
        <w:t>SUJETO OBLIGADO</w:t>
      </w:r>
      <w:r w:rsidRPr="00054505">
        <w:rPr>
          <w:rFonts w:ascii="Palatino Linotype" w:eastAsia="Calibri" w:hAnsi="Palatino Linotype"/>
          <w:sz w:val="24"/>
        </w:rPr>
        <w:t>:</w:t>
      </w:r>
    </w:p>
    <w:p w14:paraId="1379E4B2" w14:textId="77777777" w:rsidR="004C3AFE" w:rsidRPr="00054505" w:rsidRDefault="004C3AFE" w:rsidP="004C3AFE">
      <w:pPr>
        <w:rPr>
          <w:rFonts w:ascii="Palatino Linotype" w:eastAsia="Calibri" w:hAnsi="Palatino Linotype" w:cs="Arial"/>
          <w:color w:val="000000" w:themeColor="text1"/>
          <w:lang w:val="es-ES"/>
        </w:rPr>
      </w:pPr>
    </w:p>
    <w:p w14:paraId="46472DC5" w14:textId="77777777" w:rsidR="004C3AFE" w:rsidRPr="00054505" w:rsidRDefault="004C3AFE" w:rsidP="004C3AFE">
      <w:pPr>
        <w:numPr>
          <w:ilvl w:val="0"/>
          <w:numId w:val="2"/>
        </w:numPr>
        <w:spacing w:line="360" w:lineRule="auto"/>
        <w:ind w:left="567" w:right="616" w:firstLine="0"/>
        <w:contextualSpacing/>
        <w:jc w:val="both"/>
        <w:rPr>
          <w:rFonts w:ascii="Palatino Linotype" w:hAnsi="Palatino Linotype" w:cs="Arial"/>
          <w:sz w:val="22"/>
        </w:rPr>
      </w:pPr>
      <w:r w:rsidRPr="00054505">
        <w:rPr>
          <w:rFonts w:ascii="Palatino Linotype" w:hAnsi="Palatino Linotype" w:cs="Arial"/>
          <w:b/>
          <w:sz w:val="22"/>
        </w:rPr>
        <w:t>Modifique el acto impugnado:</w:t>
      </w:r>
      <w:r w:rsidRPr="00054505">
        <w:rPr>
          <w:rFonts w:ascii="Palatino Linotype" w:hAnsi="Palatino Linotype" w:cs="Arial"/>
          <w:sz w:val="22"/>
        </w:rPr>
        <w:t xml:space="preserve"> Se actualiza cuando el </w:t>
      </w:r>
      <w:r w:rsidRPr="00054505">
        <w:rPr>
          <w:rFonts w:ascii="Palatino Linotype" w:hAnsi="Palatino Linotype" w:cs="Arial"/>
          <w:b/>
          <w:sz w:val="22"/>
        </w:rPr>
        <w:t>SUJETO OBLIGADO</w:t>
      </w:r>
      <w:r w:rsidRPr="00054505">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33B3C5BE" w14:textId="77777777" w:rsidR="004C3AFE" w:rsidRPr="00054505" w:rsidRDefault="004C3AFE" w:rsidP="004C3AFE">
      <w:pPr>
        <w:numPr>
          <w:ilvl w:val="0"/>
          <w:numId w:val="2"/>
        </w:numPr>
        <w:spacing w:line="360" w:lineRule="auto"/>
        <w:ind w:left="567" w:right="616" w:firstLine="0"/>
        <w:contextualSpacing/>
        <w:jc w:val="both"/>
        <w:rPr>
          <w:rFonts w:ascii="Palatino Linotype" w:hAnsi="Palatino Linotype" w:cs="Arial"/>
          <w:sz w:val="22"/>
        </w:rPr>
      </w:pPr>
      <w:r w:rsidRPr="00054505">
        <w:rPr>
          <w:rFonts w:ascii="Palatino Linotype" w:hAnsi="Palatino Linotype" w:cs="Arial"/>
          <w:b/>
          <w:sz w:val="22"/>
        </w:rPr>
        <w:t>Revoque el acto impugnado:</w:t>
      </w:r>
      <w:r w:rsidRPr="00054505">
        <w:rPr>
          <w:rFonts w:ascii="Palatino Linotype" w:hAnsi="Palatino Linotype" w:cs="Arial"/>
          <w:sz w:val="22"/>
        </w:rPr>
        <w:t xml:space="preserve"> En este supuesto, el </w:t>
      </w:r>
      <w:r w:rsidRPr="00054505">
        <w:rPr>
          <w:rFonts w:ascii="Palatino Linotype" w:hAnsi="Palatino Linotype" w:cs="Arial"/>
          <w:b/>
          <w:sz w:val="22"/>
        </w:rPr>
        <w:t>SUJETO OBLIGADO</w:t>
      </w:r>
      <w:r w:rsidRPr="00054505">
        <w:rPr>
          <w:rFonts w:ascii="Palatino Linotype" w:hAnsi="Palatino Linotype" w:cs="Arial"/>
          <w:sz w:val="22"/>
        </w:rPr>
        <w:t xml:space="preserve"> deja sin efectos la primera respuesta y en su lugar emite otra que satisfaga lo solicitado por el Particular en un primer momento.</w:t>
      </w:r>
    </w:p>
    <w:p w14:paraId="12B5E870" w14:textId="77777777" w:rsidR="004C3AFE" w:rsidRPr="00054505" w:rsidRDefault="004C3AFE" w:rsidP="004C3AFE">
      <w:pPr>
        <w:spacing w:line="360" w:lineRule="auto"/>
        <w:ind w:right="616"/>
        <w:contextualSpacing/>
        <w:jc w:val="both"/>
        <w:rPr>
          <w:rFonts w:ascii="Palatino Linotype" w:hAnsi="Palatino Linotype" w:cs="Arial"/>
        </w:rPr>
      </w:pPr>
    </w:p>
    <w:p w14:paraId="67A2BF11" w14:textId="77777777" w:rsidR="004C3AFE" w:rsidRPr="00054505" w:rsidRDefault="004C3AFE" w:rsidP="004C3AFE">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Las </w:t>
      </w:r>
      <w:r w:rsidRPr="00054505">
        <w:rPr>
          <w:rFonts w:ascii="Palatino Linotype" w:eastAsia="Calibri" w:hAnsi="Palatino Linotype"/>
          <w:sz w:val="24"/>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6988D9B9" w14:textId="77777777" w:rsidR="004C3AFE" w:rsidRPr="00054505" w:rsidRDefault="004C3AFE" w:rsidP="004C3AFE">
      <w:pPr>
        <w:pStyle w:val="Prrafodelista"/>
        <w:tabs>
          <w:tab w:val="left" w:pos="284"/>
          <w:tab w:val="left" w:pos="567"/>
        </w:tabs>
        <w:spacing w:line="360" w:lineRule="auto"/>
        <w:ind w:left="0"/>
        <w:jc w:val="both"/>
        <w:rPr>
          <w:rFonts w:ascii="Palatino Linotype" w:eastAsia="Calibri" w:hAnsi="Palatino Linotype" w:cs="Arial"/>
          <w:color w:val="000000" w:themeColor="text1"/>
          <w:sz w:val="24"/>
          <w:lang w:val="es-ES"/>
        </w:rPr>
      </w:pPr>
    </w:p>
    <w:p w14:paraId="42157349" w14:textId="77777777" w:rsidR="004C3AFE" w:rsidRPr="00054505" w:rsidRDefault="004C3AFE" w:rsidP="004C3AFE">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 w:val="24"/>
          <w:lang w:val="es-ES"/>
        </w:rPr>
      </w:pPr>
      <w:r w:rsidRPr="00054505">
        <w:rPr>
          <w:rFonts w:ascii="Palatino Linotype" w:eastAsia="Calibri" w:hAnsi="Palatino Linotype" w:cs="Arial"/>
          <w:color w:val="000000" w:themeColor="text1"/>
          <w:sz w:val="24"/>
          <w:lang w:val="es-ES"/>
        </w:rPr>
        <w:t xml:space="preserve">En el presente caso, </w:t>
      </w:r>
      <w:r w:rsidRPr="00054505">
        <w:rPr>
          <w:rFonts w:ascii="Palatino Linotype" w:hAnsi="Palatino Linotype" w:cs="Arial"/>
          <w:color w:val="000000"/>
          <w:sz w:val="24"/>
          <w:lang w:val="es-ES"/>
        </w:rPr>
        <w:t xml:space="preserve">el Recurrente solicitó </w:t>
      </w:r>
      <w:r w:rsidRPr="00054505">
        <w:rPr>
          <w:rFonts w:ascii="Palatino Linotype" w:hAnsi="Palatino Linotype"/>
          <w:color w:val="000000"/>
          <w:sz w:val="24"/>
        </w:rPr>
        <w:t xml:space="preserve">los montos recaudados por multas y sanciones a la ley o reglamentos de </w:t>
      </w:r>
      <w:proofErr w:type="spellStart"/>
      <w:r w:rsidRPr="00054505">
        <w:rPr>
          <w:rFonts w:ascii="Palatino Linotype" w:hAnsi="Palatino Linotype"/>
          <w:color w:val="000000"/>
          <w:sz w:val="24"/>
        </w:rPr>
        <w:t>transito</w:t>
      </w:r>
      <w:proofErr w:type="spellEnd"/>
      <w:r w:rsidRPr="00054505">
        <w:rPr>
          <w:rFonts w:ascii="Palatino Linotype" w:hAnsi="Palatino Linotype"/>
          <w:color w:val="000000"/>
          <w:sz w:val="24"/>
        </w:rPr>
        <w:t xml:space="preserve"> de los siguientes ayuntamientos: Almoloya de Juárez, Amecameca, Atizapán de Zaragoza, Atlacomulco, Chimalhuacán, Chalco, Coacalco de Berriozábal, Coatepec Harinas, Cuautitlán Izcalli, Cuautitlán México, Ecatepec de Morelos, Huixquilucan, Ixtapaluca, Ixtlahuaca, La Paz, Lerma, Metepec, Naucalpan de Juárez, Nezahualcóyotl, Nicolás Romero, Otzolotepec, San Mateo Atenco, Tecámac, Temoaya, Tenancingo, Tepotzotlán, Texcoco, Tianguistenco, Tlalnepantla de </w:t>
      </w:r>
      <w:r w:rsidRPr="00054505">
        <w:rPr>
          <w:rFonts w:ascii="Palatino Linotype" w:hAnsi="Palatino Linotype"/>
          <w:color w:val="000000"/>
          <w:sz w:val="24"/>
        </w:rPr>
        <w:lastRenderedPageBreak/>
        <w:t>Baz, Tultitlán, Valle de Chalco, Xalatlaco, Zumpango y Zinacantepec; durante los años 2021, 2022 y 2023.</w:t>
      </w:r>
    </w:p>
    <w:p w14:paraId="4BF492A2" w14:textId="77777777" w:rsidR="004C3AFE" w:rsidRPr="00054505" w:rsidRDefault="004C3AFE" w:rsidP="004C3AFE">
      <w:pPr>
        <w:pStyle w:val="Prrafodelista"/>
        <w:rPr>
          <w:rFonts w:ascii="Palatino Linotype" w:hAnsi="Palatino Linotype"/>
          <w:b/>
          <w:bCs/>
          <w:color w:val="000000"/>
          <w:sz w:val="24"/>
          <w:lang w:val="es-ES"/>
        </w:rPr>
      </w:pPr>
    </w:p>
    <w:p w14:paraId="00AA25E6" w14:textId="77777777" w:rsidR="00E136EB" w:rsidRPr="00054505" w:rsidRDefault="00E136EB" w:rsidP="004C3AF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 w:val="24"/>
          <w:lang w:val="es-ES"/>
        </w:rPr>
      </w:pPr>
      <w:r w:rsidRPr="00054505">
        <w:rPr>
          <w:rFonts w:ascii="Palatino Linotype" w:hAnsi="Palatino Linotype"/>
          <w:bCs/>
          <w:color w:val="000000"/>
          <w:sz w:val="24"/>
          <w:lang w:val="es-ES"/>
        </w:rPr>
        <w:t>Primeramente es necesario señalar que el particular solicitó informació</w:t>
      </w:r>
      <w:r w:rsidR="00C62C8A" w:rsidRPr="00054505">
        <w:rPr>
          <w:rFonts w:ascii="Palatino Linotype" w:hAnsi="Palatino Linotype"/>
          <w:bCs/>
          <w:color w:val="000000"/>
          <w:sz w:val="24"/>
          <w:lang w:val="es-ES"/>
        </w:rPr>
        <w:t xml:space="preserve">n de diversos Ayuntamientos, en ese sentido debemos traer a contexto el </w:t>
      </w:r>
      <w:r w:rsidR="00C62C8A" w:rsidRPr="00054505">
        <w:rPr>
          <w:rFonts w:ascii="Palatino Linotype" w:hAnsi="Palatino Linotype"/>
          <w:bCs/>
          <w:color w:val="000000"/>
          <w:sz w:val="24"/>
        </w:rPr>
        <w:t>Acuerdo Mediante el cual El Pleno del Instituto de Transparencia, Acceso a la Información Pública y Protección de Datos Personales del Estado de México y Municipios, Modifica El Padrón de Sujetos Obligados en Materia de Transparencia y Acceso  la Información Pública del Estado de México y Municipios, que establece que los Ayuntamiento de los que se solicitó información, corresponden a un Sujeto Obligado diverso al Ayuntamiento de Huixquilucan:</w:t>
      </w:r>
    </w:p>
    <w:p w14:paraId="1A7CA241" w14:textId="77777777" w:rsidR="00C62C8A" w:rsidRPr="00054505" w:rsidRDefault="00C62C8A" w:rsidP="00C62C8A">
      <w:pPr>
        <w:pStyle w:val="Prrafodelista"/>
        <w:rPr>
          <w:rFonts w:ascii="Palatino Linotype" w:hAnsi="Palatino Linotype"/>
          <w:bCs/>
          <w:color w:val="000000"/>
          <w:sz w:val="24"/>
          <w:lang w:val="es-ES"/>
        </w:rPr>
      </w:pPr>
    </w:p>
    <w:p w14:paraId="3A6945D9" w14:textId="77777777" w:rsidR="00C62C8A" w:rsidRPr="00054505" w:rsidRDefault="00C62C8A" w:rsidP="00054505">
      <w:pPr>
        <w:pStyle w:val="Prrafodelista"/>
        <w:tabs>
          <w:tab w:val="left" w:pos="284"/>
          <w:tab w:val="left" w:pos="567"/>
        </w:tabs>
        <w:spacing w:line="360" w:lineRule="auto"/>
        <w:ind w:left="0"/>
        <w:jc w:val="center"/>
        <w:rPr>
          <w:rFonts w:ascii="Palatino Linotype" w:hAnsi="Palatino Linotype"/>
          <w:bCs/>
          <w:color w:val="000000"/>
          <w:sz w:val="24"/>
          <w:lang w:val="es-ES"/>
        </w:rPr>
      </w:pPr>
      <w:r w:rsidRPr="00054505">
        <w:rPr>
          <w:rFonts w:ascii="Palatino Linotype" w:hAnsi="Palatino Linotype"/>
          <w:bCs/>
          <w:noProof/>
          <w:color w:val="000000"/>
          <w:sz w:val="24"/>
        </w:rPr>
        <w:lastRenderedPageBreak/>
        <w:drawing>
          <wp:inline distT="0" distB="0" distL="0" distR="0" wp14:anchorId="71A05F06" wp14:editId="306A524E">
            <wp:extent cx="3171825" cy="457162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2083" cy="4600818"/>
                    </a:xfrm>
                    <a:prstGeom prst="rect">
                      <a:avLst/>
                    </a:prstGeom>
                  </pic:spPr>
                </pic:pic>
              </a:graphicData>
            </a:graphic>
          </wp:inline>
        </w:drawing>
      </w:r>
    </w:p>
    <w:p w14:paraId="73A95794" w14:textId="77777777" w:rsidR="00C62C8A" w:rsidRPr="00054505" w:rsidRDefault="00C62C8A" w:rsidP="00054505">
      <w:pPr>
        <w:pStyle w:val="Prrafodelista"/>
        <w:tabs>
          <w:tab w:val="left" w:pos="284"/>
          <w:tab w:val="left" w:pos="567"/>
        </w:tabs>
        <w:spacing w:line="360" w:lineRule="auto"/>
        <w:ind w:left="0"/>
        <w:jc w:val="center"/>
        <w:rPr>
          <w:rFonts w:ascii="Palatino Linotype" w:hAnsi="Palatino Linotype"/>
          <w:bCs/>
          <w:color w:val="000000"/>
          <w:sz w:val="24"/>
          <w:lang w:val="es-ES"/>
        </w:rPr>
      </w:pPr>
      <w:r w:rsidRPr="00054505">
        <w:rPr>
          <w:rFonts w:ascii="Palatino Linotype" w:hAnsi="Palatino Linotype"/>
          <w:bCs/>
          <w:noProof/>
          <w:color w:val="000000"/>
          <w:sz w:val="24"/>
        </w:rPr>
        <w:lastRenderedPageBreak/>
        <mc:AlternateContent>
          <mc:Choice Requires="wps">
            <w:drawing>
              <wp:anchor distT="0" distB="0" distL="114300" distR="114300" simplePos="0" relativeHeight="251659264" behindDoc="0" locked="0" layoutInCell="1" allowOverlap="1" wp14:anchorId="79E44E2D" wp14:editId="46981E5E">
                <wp:simplePos x="0" y="0"/>
                <wp:positionH relativeFrom="column">
                  <wp:posOffset>125095</wp:posOffset>
                </wp:positionH>
                <wp:positionV relativeFrom="paragraph">
                  <wp:posOffset>252095</wp:posOffset>
                </wp:positionV>
                <wp:extent cx="3924300" cy="180975"/>
                <wp:effectExtent l="19050" t="19050" r="19050" b="28575"/>
                <wp:wrapNone/>
                <wp:docPr id="7" name="Rectángulo redondeado 7"/>
                <wp:cNvGraphicFramePr/>
                <a:graphic xmlns:a="http://schemas.openxmlformats.org/drawingml/2006/main">
                  <a:graphicData uri="http://schemas.microsoft.com/office/word/2010/wordprocessingShape">
                    <wps:wsp>
                      <wps:cNvSpPr/>
                      <wps:spPr>
                        <a:xfrm>
                          <a:off x="0" y="0"/>
                          <a:ext cx="3924300" cy="1809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392E0" id="Rectángulo redondeado 7" o:spid="_x0000_s1026" style="position:absolute;margin-left:9.85pt;margin-top:19.85pt;width:309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" filled="f" strokecolor="red" strokeweight="2.25pt">
                <v:stroke joinstyle="miter"/>
              </v:roundrect>
            </w:pict>
          </mc:Fallback>
        </mc:AlternateContent>
      </w:r>
      <w:r w:rsidRPr="00054505">
        <w:rPr>
          <w:rFonts w:ascii="Palatino Linotype" w:hAnsi="Palatino Linotype"/>
          <w:bCs/>
          <w:noProof/>
          <w:color w:val="000000"/>
          <w:sz w:val="24"/>
        </w:rPr>
        <w:drawing>
          <wp:inline distT="0" distB="0" distL="0" distR="0" wp14:anchorId="54D1C61A" wp14:editId="0EA9B801">
            <wp:extent cx="4114800" cy="3778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2020" cy="3794062"/>
                    </a:xfrm>
                    <a:prstGeom prst="rect">
                      <a:avLst/>
                    </a:prstGeom>
                  </pic:spPr>
                </pic:pic>
              </a:graphicData>
            </a:graphic>
          </wp:inline>
        </w:drawing>
      </w:r>
    </w:p>
    <w:p w14:paraId="4291C4B2" w14:textId="77777777" w:rsidR="00C62C8A" w:rsidRPr="00054505" w:rsidRDefault="00C62C8A" w:rsidP="00054505">
      <w:pPr>
        <w:pStyle w:val="Prrafodelista"/>
        <w:tabs>
          <w:tab w:val="left" w:pos="284"/>
          <w:tab w:val="left" w:pos="567"/>
        </w:tabs>
        <w:spacing w:line="360" w:lineRule="auto"/>
        <w:ind w:left="0"/>
        <w:jc w:val="center"/>
        <w:rPr>
          <w:rFonts w:ascii="Palatino Linotype" w:hAnsi="Palatino Linotype"/>
          <w:bCs/>
          <w:color w:val="000000"/>
          <w:sz w:val="24"/>
          <w:lang w:val="es-ES"/>
        </w:rPr>
      </w:pPr>
      <w:r w:rsidRPr="00054505">
        <w:rPr>
          <w:rFonts w:ascii="Palatino Linotype" w:hAnsi="Palatino Linotype"/>
          <w:bCs/>
          <w:noProof/>
          <w:color w:val="000000"/>
          <w:sz w:val="24"/>
        </w:rPr>
        <w:drawing>
          <wp:inline distT="0" distB="0" distL="0" distR="0" wp14:anchorId="2004A8B3" wp14:editId="6DC8A68D">
            <wp:extent cx="3352800" cy="31394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2451" cy="3148477"/>
                    </a:xfrm>
                    <a:prstGeom prst="rect">
                      <a:avLst/>
                    </a:prstGeom>
                  </pic:spPr>
                </pic:pic>
              </a:graphicData>
            </a:graphic>
          </wp:inline>
        </w:drawing>
      </w:r>
    </w:p>
    <w:p w14:paraId="6D33CB49" w14:textId="77777777" w:rsidR="00C62C8A" w:rsidRPr="00054505" w:rsidRDefault="00C62C8A" w:rsidP="00054505">
      <w:pPr>
        <w:pStyle w:val="Prrafodelista"/>
        <w:tabs>
          <w:tab w:val="left" w:pos="284"/>
          <w:tab w:val="left" w:pos="567"/>
        </w:tabs>
        <w:spacing w:line="360" w:lineRule="auto"/>
        <w:ind w:left="0"/>
        <w:jc w:val="center"/>
        <w:rPr>
          <w:rFonts w:ascii="Palatino Linotype" w:hAnsi="Palatino Linotype"/>
          <w:bCs/>
          <w:color w:val="000000"/>
          <w:sz w:val="24"/>
          <w:lang w:val="es-ES"/>
        </w:rPr>
      </w:pPr>
      <w:r w:rsidRPr="00054505">
        <w:rPr>
          <w:rFonts w:ascii="Palatino Linotype" w:hAnsi="Palatino Linotype"/>
          <w:bCs/>
          <w:noProof/>
          <w:color w:val="000000"/>
          <w:sz w:val="24"/>
        </w:rPr>
        <w:lastRenderedPageBreak/>
        <w:drawing>
          <wp:inline distT="0" distB="0" distL="0" distR="0" wp14:anchorId="45AA7306" wp14:editId="370B7423">
            <wp:extent cx="3352800" cy="247269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0556" cy="2478410"/>
                    </a:xfrm>
                    <a:prstGeom prst="rect">
                      <a:avLst/>
                    </a:prstGeom>
                  </pic:spPr>
                </pic:pic>
              </a:graphicData>
            </a:graphic>
          </wp:inline>
        </w:drawing>
      </w:r>
    </w:p>
    <w:p w14:paraId="770A9B90" w14:textId="77777777" w:rsidR="00E136EB" w:rsidRPr="00054505" w:rsidRDefault="00E136EB" w:rsidP="00E136EB">
      <w:pPr>
        <w:pStyle w:val="Prrafodelista"/>
        <w:rPr>
          <w:rFonts w:ascii="Palatino Linotype" w:hAnsi="Palatino Linotype"/>
          <w:bCs/>
          <w:color w:val="000000"/>
          <w:sz w:val="24"/>
          <w:lang w:val="es-ES"/>
        </w:rPr>
      </w:pPr>
    </w:p>
    <w:p w14:paraId="6CFEE0D1" w14:textId="77777777" w:rsidR="00C62C8A" w:rsidRPr="00054505" w:rsidRDefault="00C62C8A" w:rsidP="00C62C8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054505">
        <w:rPr>
          <w:rFonts w:ascii="Palatino Linotype" w:eastAsiaTheme="minorEastAsia" w:hAnsi="Palatino Linotype" w:cstheme="minorBidi"/>
          <w:color w:val="000000" w:themeColor="text1"/>
          <w:sz w:val="24"/>
          <w:lang w:val="es-ES_tradnl"/>
        </w:rPr>
        <w:t>Por lo anterior, es imperativo traer a estudio lo dispuesto por el artículo 167 de la Ley de Transparencia y Acceso a la Información Pública del Estado de México y Municipios, que es de la literalidad siguiente:</w:t>
      </w:r>
    </w:p>
    <w:p w14:paraId="0903955C" w14:textId="77777777" w:rsidR="00C62C8A" w:rsidRPr="00054505" w:rsidRDefault="00C62C8A" w:rsidP="00C62C8A">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054505">
        <w:rPr>
          <w:rFonts w:ascii="Palatino Linotype" w:eastAsiaTheme="minorEastAsia" w:hAnsi="Palatino Linotype" w:cstheme="minorBidi"/>
          <w:sz w:val="22"/>
          <w:lang w:val="es-ES_tradnl"/>
        </w:rPr>
        <w:t>“</w:t>
      </w:r>
      <w:r w:rsidRPr="00054505">
        <w:rPr>
          <w:rFonts w:ascii="Palatino Linotype" w:eastAsiaTheme="minorEastAsia" w:hAnsi="Palatino Linotype" w:cstheme="minorBidi"/>
          <w:b/>
          <w:i/>
          <w:sz w:val="22"/>
          <w:lang w:val="es-ES_tradnl"/>
        </w:rPr>
        <w:t>Artículo 167.</w:t>
      </w:r>
      <w:r w:rsidRPr="00054505">
        <w:rPr>
          <w:rFonts w:ascii="Palatino Linotype" w:eastAsiaTheme="minorEastAsia" w:hAnsi="Palatino Linotype" w:cstheme="minorBidi"/>
          <w:i/>
          <w:sz w:val="22"/>
          <w:lang w:val="es-ES_tradnl"/>
        </w:rPr>
        <w:t xml:space="preserve"> </w:t>
      </w:r>
      <w:r w:rsidRPr="00054505">
        <w:rPr>
          <w:rFonts w:ascii="Palatino Linotype" w:eastAsiaTheme="minorEastAsia" w:hAnsi="Palatino Linotype" w:cstheme="minorBidi"/>
          <w:b/>
          <w:i/>
          <w:sz w:val="22"/>
          <w:lang w:val="es-ES_tradnl"/>
        </w:rPr>
        <w:t>Cuando las unidades de transparencia determinen la</w:t>
      </w:r>
      <w:r w:rsidRPr="00054505">
        <w:rPr>
          <w:rFonts w:ascii="Palatino Linotype" w:eastAsiaTheme="minorEastAsia" w:hAnsi="Palatino Linotype" w:cstheme="minorBidi"/>
          <w:i/>
          <w:sz w:val="22"/>
          <w:lang w:val="es-ES_tradnl"/>
        </w:rPr>
        <w:t xml:space="preserve"> notoria </w:t>
      </w:r>
      <w:r w:rsidRPr="00054505">
        <w:rPr>
          <w:rFonts w:ascii="Palatino Linotype" w:eastAsiaTheme="minorEastAsia" w:hAnsi="Palatino Linotype" w:cstheme="minorBidi"/>
          <w:b/>
          <w:i/>
          <w:sz w:val="22"/>
          <w:lang w:val="es-ES_tradnl"/>
        </w:rPr>
        <w:t>incompetencia por parte de los sujetos obligados</w:t>
      </w:r>
      <w:r w:rsidRPr="00054505">
        <w:rPr>
          <w:rFonts w:ascii="Palatino Linotype" w:eastAsiaTheme="minorEastAsia" w:hAnsi="Palatino Linotype" w:cstheme="minorBidi"/>
          <w:i/>
          <w:sz w:val="22"/>
          <w:lang w:val="es-ES_tradnl"/>
        </w:rPr>
        <w:t xml:space="preserve">, dentro del ámbito de aplicación, para atender la solicitud de acceso a la información, </w:t>
      </w:r>
      <w:r w:rsidRPr="00054505">
        <w:rPr>
          <w:rFonts w:ascii="Palatino Linotype" w:eastAsiaTheme="minorEastAsia" w:hAnsi="Palatino Linotype" w:cstheme="minorBidi"/>
          <w:b/>
          <w:i/>
          <w:sz w:val="22"/>
          <w:lang w:val="es-ES_tradnl"/>
        </w:rPr>
        <w:t>deberán comunicarlo al solicitante, dentro de los tres días hábiles posteriores a la recepción de la solicitud y, en su caso orientar al solicitante, el o los sujetos obligados competentes.</w:t>
      </w:r>
      <w:r w:rsidRPr="00054505">
        <w:rPr>
          <w:rFonts w:ascii="Palatino Linotype" w:eastAsiaTheme="minorEastAsia" w:hAnsi="Palatino Linotype" w:cstheme="minorBidi"/>
          <w:i/>
          <w:sz w:val="22"/>
          <w:lang w:val="es-ES_tradnl"/>
        </w:rPr>
        <w:t xml:space="preserve"> </w:t>
      </w:r>
    </w:p>
    <w:p w14:paraId="69859F65" w14:textId="77777777" w:rsidR="00C62C8A" w:rsidRPr="00054505" w:rsidRDefault="00C62C8A" w:rsidP="00C62C8A">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054505">
        <w:rPr>
          <w:rFonts w:ascii="Palatino Linotype" w:eastAsiaTheme="minorEastAsia" w:hAnsi="Palatino Linotype" w:cstheme="minorBidi"/>
          <w:i/>
          <w:sz w:val="22"/>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640CFA4" w14:textId="77777777" w:rsidR="00C62C8A" w:rsidRPr="00054505" w:rsidRDefault="00C62C8A" w:rsidP="00C62C8A">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054505">
        <w:rPr>
          <w:rFonts w:ascii="Palatino Linotype" w:eastAsiaTheme="minorEastAsia" w:hAnsi="Palatino Linotype" w:cstheme="minorBidi"/>
          <w:i/>
          <w:sz w:val="22"/>
          <w:lang w:val="es-ES_tradnl"/>
        </w:rPr>
        <w:t>Si transcurrido el plazo señalado en el primer párrafo de este artículo, el sujeto obligado no declina la competencia en los términos establecidos, podrá canalizar la solicitud ante el sujeto obligado competente.”</w:t>
      </w:r>
    </w:p>
    <w:p w14:paraId="3F6A9A46" w14:textId="77777777" w:rsidR="00C62C8A" w:rsidRPr="00054505" w:rsidRDefault="00C62C8A" w:rsidP="00C62C8A">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sz w:val="22"/>
          <w:lang w:val="es-ES_tradnl"/>
        </w:rPr>
      </w:pPr>
    </w:p>
    <w:p w14:paraId="77AD4525" w14:textId="77777777" w:rsidR="00C62C8A" w:rsidRPr="00054505" w:rsidRDefault="00C62C8A" w:rsidP="00C62C8A">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sz w:val="22"/>
          <w:lang w:val="es-ES_tradnl"/>
        </w:rPr>
      </w:pPr>
      <w:r w:rsidRPr="00054505">
        <w:rPr>
          <w:rFonts w:ascii="Palatino Linotype" w:eastAsiaTheme="minorEastAsia" w:hAnsi="Palatino Linotype" w:cstheme="minorBidi"/>
          <w:sz w:val="22"/>
          <w:lang w:val="es-ES_tradnl"/>
        </w:rPr>
        <w:t>(Énfasis añadido)</w:t>
      </w:r>
    </w:p>
    <w:p w14:paraId="4D4294DA" w14:textId="77777777" w:rsidR="000A66AC" w:rsidRPr="00054505" w:rsidRDefault="00C62C8A" w:rsidP="000A66AC">
      <w:pPr>
        <w:numPr>
          <w:ilvl w:val="0"/>
          <w:numId w:val="1"/>
        </w:numPr>
        <w:tabs>
          <w:tab w:val="left" w:pos="207"/>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054505">
        <w:rPr>
          <w:rFonts w:ascii="Palatino Linotype" w:eastAsiaTheme="minorEastAsia" w:hAnsi="Palatino Linotype" w:cstheme="minorBidi"/>
          <w:color w:val="000000" w:themeColor="text1"/>
          <w:lang w:val="es-ES_tradnl"/>
        </w:rPr>
        <w:lastRenderedPageBreak/>
        <w:t xml:space="preserve">De </w:t>
      </w:r>
      <w:r w:rsidRPr="00054505">
        <w:rPr>
          <w:rFonts w:ascii="Palatino Linotype" w:eastAsiaTheme="minorEastAsia" w:hAnsi="Palatino Linotype" w:cs="Arial"/>
          <w:lang w:val="es-ES_tradnl"/>
        </w:rPr>
        <w:t xml:space="preserve">tal forma que, una vez recibida una solicitud de información, el </w:t>
      </w:r>
      <w:r w:rsidRPr="00054505">
        <w:rPr>
          <w:rFonts w:ascii="Palatino Linotype" w:eastAsiaTheme="minorEastAsia" w:hAnsi="Palatino Linotype" w:cs="Arial"/>
          <w:b/>
          <w:bCs/>
          <w:lang w:val="es-ES_tradnl"/>
        </w:rPr>
        <w:t>SUJETO OBLIGADO</w:t>
      </w:r>
      <w:r w:rsidRPr="00054505">
        <w:rPr>
          <w:rFonts w:ascii="Palatino Linotype" w:eastAsiaTheme="minorEastAsia" w:hAnsi="Palatino Linotype" w:cs="Arial"/>
          <w:lang w:val="es-ES_tradnl"/>
        </w:rPr>
        <w:t xml:space="preserve"> determine que es incompetente para para poseer, generar o administrar lo solicitado, d</w:t>
      </w:r>
      <w:r w:rsidR="000A66AC" w:rsidRPr="00054505">
        <w:rPr>
          <w:rFonts w:ascii="Palatino Linotype" w:eastAsiaTheme="minorEastAsia" w:hAnsi="Palatino Linotype" w:cs="Arial"/>
          <w:lang w:val="es-ES_tradnl"/>
        </w:rPr>
        <w:t xml:space="preserve">entro de los primeros tres </w:t>
      </w:r>
      <w:r w:rsidRPr="00054505">
        <w:rPr>
          <w:rFonts w:ascii="Palatino Linotype" w:eastAsiaTheme="minorEastAsia" w:hAnsi="Palatino Linotype" w:cs="Arial"/>
          <w:lang w:val="es-ES_tradnl"/>
        </w:rPr>
        <w:t>días posteriores a la recepción de la solicitud, deberá hacerlo del conocimiento del particular y, en su caso deberá orientarlo sobre el Sujeto Obligado compe</w:t>
      </w:r>
      <w:r w:rsidR="000A66AC" w:rsidRPr="00054505">
        <w:rPr>
          <w:rFonts w:ascii="Palatino Linotype" w:eastAsiaTheme="minorEastAsia" w:hAnsi="Palatino Linotype" w:cs="Arial"/>
          <w:lang w:val="es-ES_tradnl"/>
        </w:rPr>
        <w:t xml:space="preserve">tente para atender lo requerido. </w:t>
      </w:r>
    </w:p>
    <w:p w14:paraId="0E554524" w14:textId="77777777" w:rsidR="000A66AC" w:rsidRPr="00054505" w:rsidRDefault="000A66AC" w:rsidP="000A66AC">
      <w:pPr>
        <w:tabs>
          <w:tab w:val="left" w:pos="207"/>
        </w:tabs>
        <w:spacing w:before="240" w:after="240" w:line="360" w:lineRule="auto"/>
        <w:ind w:right="51"/>
        <w:contextualSpacing/>
        <w:jc w:val="both"/>
        <w:rPr>
          <w:rFonts w:ascii="Palatino Linotype" w:eastAsiaTheme="minorEastAsia" w:hAnsi="Palatino Linotype" w:cstheme="minorBidi"/>
          <w:color w:val="000000" w:themeColor="text1"/>
          <w:lang w:val="es-ES_tradnl"/>
        </w:rPr>
      </w:pPr>
    </w:p>
    <w:p w14:paraId="784A36AA" w14:textId="77777777" w:rsidR="004C3AFE" w:rsidRPr="00054505" w:rsidRDefault="000A66AC" w:rsidP="000A66AC">
      <w:pPr>
        <w:numPr>
          <w:ilvl w:val="0"/>
          <w:numId w:val="1"/>
        </w:numPr>
        <w:tabs>
          <w:tab w:val="left" w:pos="207"/>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054505">
        <w:rPr>
          <w:rFonts w:ascii="Palatino Linotype" w:eastAsiaTheme="minorEastAsia" w:hAnsi="Palatino Linotype" w:cs="Arial"/>
          <w:lang w:val="es-ES_tradnl"/>
        </w:rPr>
        <w:t xml:space="preserve">En este caso, si bien el Sujeto Obligado no declinó su competencia para conocer de la información solicitada referente a otros Sujetos Obligados, este Pleno ha determinado que es notoria la incompetencia, por ello, se dejan a salvo los derechos del particular para interponer una nueva solicitud ante los Sujeto Obligados competentes para conocer de la información solicitada.  </w:t>
      </w:r>
    </w:p>
    <w:p w14:paraId="522007A0" w14:textId="77777777" w:rsidR="004C3AFE" w:rsidRPr="00054505" w:rsidRDefault="004C3AFE" w:rsidP="004C3AFE">
      <w:pPr>
        <w:pStyle w:val="Prrafodelista"/>
        <w:numPr>
          <w:ilvl w:val="0"/>
          <w:numId w:val="1"/>
        </w:numPr>
        <w:spacing w:line="360" w:lineRule="auto"/>
        <w:ind w:left="0" w:firstLine="0"/>
        <w:jc w:val="both"/>
        <w:rPr>
          <w:rFonts w:ascii="Palatino Linotype" w:eastAsia="MS Mincho" w:hAnsi="Palatino Linotype"/>
          <w:sz w:val="24"/>
        </w:rPr>
      </w:pPr>
      <w:r w:rsidRPr="00054505">
        <w:rPr>
          <w:rFonts w:ascii="Palatino Linotype" w:eastAsia="MS Mincho" w:hAnsi="Palatino Linotype"/>
          <w:sz w:val="24"/>
        </w:rPr>
        <w:t xml:space="preserve">En ese contexto, debemos mencionar que el acceso a la información es un derecho humano constitucional y convencionalmente reconocido y para tal efecto </w:t>
      </w:r>
      <w:r w:rsidRPr="00054505">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054505">
        <w:rPr>
          <w:rFonts w:ascii="Palatino Linotype" w:eastAsia="Calibri" w:hAnsi="Palatino Linotype"/>
          <w:i/>
          <w:sz w:val="24"/>
          <w:lang w:val="es-ES"/>
        </w:rPr>
        <w:t xml:space="preserve">en el ámbito de sus atribuciones, de promover, respetar, proteger y </w:t>
      </w:r>
      <w:r w:rsidRPr="00054505">
        <w:rPr>
          <w:rFonts w:ascii="Palatino Linotype" w:eastAsia="Calibri" w:hAnsi="Palatino Linotype"/>
          <w:b/>
          <w:i/>
          <w:sz w:val="24"/>
          <w:lang w:val="es-ES"/>
        </w:rPr>
        <w:t>garantizar</w:t>
      </w:r>
      <w:r w:rsidRPr="00054505">
        <w:rPr>
          <w:rFonts w:ascii="Palatino Linotype" w:eastAsia="Calibri" w:hAnsi="Palatino Linotype"/>
          <w:i/>
          <w:sz w:val="24"/>
          <w:lang w:val="es-ES"/>
        </w:rPr>
        <w:t xml:space="preserve"> los derechos humanos. </w:t>
      </w:r>
      <w:r w:rsidRPr="00054505">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054505">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054505">
        <w:rPr>
          <w:rStyle w:val="Refdenotaalpie"/>
          <w:rFonts w:ascii="Palatino Linotype" w:hAnsi="Palatino Linotype"/>
          <w:i/>
          <w:sz w:val="24"/>
        </w:rPr>
        <w:footnoteReference w:id="1"/>
      </w:r>
      <w:r w:rsidRPr="00054505">
        <w:rPr>
          <w:rFonts w:ascii="Palatino Linotype" w:hAnsi="Palatino Linotype"/>
          <w:i/>
          <w:sz w:val="24"/>
        </w:rPr>
        <w:t xml:space="preserve">, </w:t>
      </w:r>
      <w:r w:rsidRPr="00054505">
        <w:rPr>
          <w:rFonts w:ascii="Palatino Linotype" w:hAnsi="Palatino Linotype"/>
          <w:sz w:val="24"/>
        </w:rPr>
        <w:t>asimismo establece</w:t>
      </w:r>
      <w:r w:rsidRPr="00054505">
        <w:rPr>
          <w:rFonts w:ascii="Palatino Linotype" w:hAnsi="Palatino Linotype"/>
          <w:i/>
          <w:sz w:val="24"/>
        </w:rPr>
        <w:t xml:space="preserve"> que las unidades de transparencia de los Sujetos Obligados deberán garantizar las medidas y condiciones de </w:t>
      </w:r>
      <w:r w:rsidRPr="00054505">
        <w:rPr>
          <w:rFonts w:ascii="Palatino Linotype" w:hAnsi="Palatino Linotype"/>
          <w:i/>
          <w:sz w:val="24"/>
        </w:rPr>
        <w:lastRenderedPageBreak/>
        <w:t>accesibilidad para que toda persona pueda ejercer el derecho de acceso a la información, mediante solicitudes de información y deberá apoyar al solicitante en la elaboración de las mismas.</w:t>
      </w:r>
    </w:p>
    <w:p w14:paraId="31D1664F" w14:textId="77777777" w:rsidR="004C3AFE" w:rsidRPr="00054505" w:rsidRDefault="004C3AFE" w:rsidP="004C3AFE">
      <w:pPr>
        <w:pStyle w:val="Prrafodelista"/>
        <w:ind w:left="0"/>
        <w:rPr>
          <w:rFonts w:ascii="Palatino Linotype" w:eastAsia="Calibri" w:hAnsi="Palatino Linotype" w:cs="Arial"/>
          <w:sz w:val="24"/>
        </w:rPr>
      </w:pPr>
    </w:p>
    <w:p w14:paraId="494EAEBA" w14:textId="77777777" w:rsidR="004C3AFE" w:rsidRPr="00054505" w:rsidRDefault="004C3AFE" w:rsidP="004C3AFE">
      <w:pPr>
        <w:pStyle w:val="Prrafodelista"/>
        <w:numPr>
          <w:ilvl w:val="0"/>
          <w:numId w:val="1"/>
        </w:numPr>
        <w:spacing w:line="360" w:lineRule="auto"/>
        <w:ind w:left="0" w:firstLine="0"/>
        <w:jc w:val="both"/>
        <w:rPr>
          <w:rFonts w:ascii="Palatino Linotype" w:eastAsia="Calibri" w:hAnsi="Palatino Linotype" w:cs="Arial"/>
          <w:sz w:val="24"/>
        </w:rPr>
      </w:pPr>
      <w:r w:rsidRPr="00054505">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A920117" w14:textId="77777777" w:rsidR="004C3AFE" w:rsidRPr="00054505" w:rsidRDefault="004C3AFE" w:rsidP="004C3AFE">
      <w:pPr>
        <w:pStyle w:val="Prrafodelista"/>
        <w:ind w:left="0"/>
        <w:rPr>
          <w:rFonts w:ascii="Palatino Linotype" w:hAnsi="Palatino Linotype"/>
          <w:sz w:val="24"/>
        </w:rPr>
      </w:pPr>
    </w:p>
    <w:p w14:paraId="7E40C24B" w14:textId="77777777" w:rsidR="004C3AFE" w:rsidRPr="00054505" w:rsidRDefault="004C3AFE" w:rsidP="004C3AFE">
      <w:pPr>
        <w:pStyle w:val="Prrafodelista"/>
        <w:numPr>
          <w:ilvl w:val="0"/>
          <w:numId w:val="1"/>
        </w:numPr>
        <w:spacing w:line="360" w:lineRule="auto"/>
        <w:ind w:left="0" w:firstLine="0"/>
        <w:jc w:val="both"/>
        <w:rPr>
          <w:rFonts w:ascii="Palatino Linotype" w:eastAsia="Calibri" w:hAnsi="Palatino Linotype" w:cs="Arial"/>
          <w:sz w:val="24"/>
        </w:rPr>
      </w:pPr>
      <w:r w:rsidRPr="00054505">
        <w:rPr>
          <w:rFonts w:ascii="Palatino Linotype" w:hAnsi="Palatino Linotype"/>
          <w:sz w:val="24"/>
        </w:rPr>
        <w:t xml:space="preserve">Es así que, su obligación es </w:t>
      </w:r>
      <w:r w:rsidRPr="00054505">
        <w:rPr>
          <w:rFonts w:ascii="Palatino Linotype" w:hAnsi="Palatino Linotype"/>
          <w:i/>
          <w:sz w:val="24"/>
        </w:rPr>
        <w:t>realizar, con efectividad, los trámites internos necesarios para la atención de las solicitudes de información</w:t>
      </w:r>
      <w:r w:rsidRPr="00054505">
        <w:rPr>
          <w:rStyle w:val="Refdenotaalpie"/>
          <w:rFonts w:ascii="Palatino Linotype" w:hAnsi="Palatino Linotype"/>
          <w:sz w:val="24"/>
        </w:rPr>
        <w:footnoteReference w:id="2"/>
      </w:r>
      <w:r w:rsidRPr="00054505">
        <w:rPr>
          <w:rFonts w:ascii="Palatino Linotype" w:hAnsi="Palatino Linotype"/>
          <w:sz w:val="24"/>
        </w:rPr>
        <w:t>, es decir, deben otorgar respuestas concisas, contundentes y sobre todo que den la certeza de los actos que realizan.</w:t>
      </w:r>
    </w:p>
    <w:p w14:paraId="156AA984" w14:textId="77777777" w:rsidR="004C3AFE" w:rsidRPr="00054505" w:rsidRDefault="004C3AFE" w:rsidP="004C3AFE">
      <w:pPr>
        <w:pStyle w:val="Prrafodelista"/>
        <w:ind w:left="0"/>
        <w:rPr>
          <w:rFonts w:ascii="Palatino Linotype" w:eastAsia="Calibri" w:hAnsi="Palatino Linotype" w:cs="Arial"/>
          <w:sz w:val="24"/>
        </w:rPr>
      </w:pPr>
    </w:p>
    <w:p w14:paraId="37F5E094" w14:textId="77777777" w:rsidR="004C3AFE" w:rsidRPr="00054505" w:rsidRDefault="004C3AFE" w:rsidP="004C3AFE">
      <w:pPr>
        <w:pStyle w:val="Prrafodelista"/>
        <w:numPr>
          <w:ilvl w:val="0"/>
          <w:numId w:val="1"/>
        </w:numPr>
        <w:spacing w:line="360" w:lineRule="auto"/>
        <w:ind w:left="0" w:firstLine="0"/>
        <w:jc w:val="both"/>
        <w:rPr>
          <w:rFonts w:ascii="Palatino Linotype" w:eastAsia="MS Mincho" w:hAnsi="Palatino Linotype"/>
          <w:sz w:val="24"/>
        </w:rPr>
      </w:pPr>
      <w:r w:rsidRPr="00054505">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054505">
        <w:rPr>
          <w:rFonts w:ascii="Palatino Linotype" w:eastAsia="Arial Unicode MS" w:hAnsi="Palatino Linotype" w:cs="Arial"/>
          <w:sz w:val="24"/>
          <w:lang w:eastAsia="en-US"/>
        </w:rPr>
        <w:t>de la Ley de Transparencia y Acceso a la Información del Estado de México y Municipios, que a la letra estipulan lo siguiente:</w:t>
      </w:r>
    </w:p>
    <w:p w14:paraId="6EB56D5F"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i/>
          <w:iCs/>
          <w:sz w:val="22"/>
        </w:rPr>
        <w:t xml:space="preserve">Artículo 50. </w:t>
      </w:r>
      <w:r w:rsidRPr="00054505">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4131CD06"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p>
    <w:p w14:paraId="2E932E3B"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i/>
          <w:iCs/>
          <w:sz w:val="22"/>
        </w:rPr>
        <w:t xml:space="preserve">Artículo 53. </w:t>
      </w:r>
      <w:r w:rsidRPr="00054505">
        <w:rPr>
          <w:rFonts w:ascii="Palatino Linotype" w:eastAsia="Palatino Linotype" w:hAnsi="Palatino Linotype" w:cs="Palatino Linotype"/>
          <w:i/>
          <w:iCs/>
          <w:sz w:val="22"/>
        </w:rPr>
        <w:t>Las Unidades de Transparencia tendrán las siguientes funciones:</w:t>
      </w:r>
    </w:p>
    <w:p w14:paraId="5F61591C"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i/>
          <w:iCs/>
          <w:sz w:val="22"/>
        </w:rPr>
        <w:t>(…)</w:t>
      </w:r>
    </w:p>
    <w:p w14:paraId="34A4728C"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bCs/>
          <w:i/>
          <w:iCs/>
          <w:sz w:val="22"/>
        </w:rPr>
        <w:t>II.</w:t>
      </w:r>
      <w:r w:rsidRPr="00054505">
        <w:rPr>
          <w:rFonts w:ascii="Palatino Linotype" w:eastAsia="Palatino Linotype" w:hAnsi="Palatino Linotype" w:cs="Palatino Linotype"/>
          <w:i/>
          <w:iCs/>
          <w:sz w:val="22"/>
        </w:rPr>
        <w:t xml:space="preserve"> Recibir, tramitar y dar respuesta a las solicitudes de acceso a la información;</w:t>
      </w:r>
    </w:p>
    <w:p w14:paraId="23CB2380"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i/>
          <w:iCs/>
          <w:sz w:val="22"/>
        </w:rPr>
        <w:lastRenderedPageBreak/>
        <w:t>(…)</w:t>
      </w:r>
    </w:p>
    <w:p w14:paraId="431DB9A5"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bCs/>
          <w:i/>
          <w:iCs/>
          <w:sz w:val="22"/>
        </w:rPr>
        <w:t>IV.</w:t>
      </w:r>
      <w:r w:rsidRPr="00054505">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6667C81B"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bCs/>
          <w:i/>
          <w:iCs/>
          <w:sz w:val="22"/>
        </w:rPr>
        <w:t>V.</w:t>
      </w:r>
      <w:r w:rsidRPr="00054505">
        <w:rPr>
          <w:rFonts w:ascii="Palatino Linotype" w:eastAsia="Palatino Linotype" w:hAnsi="Palatino Linotype" w:cs="Palatino Linotype"/>
          <w:i/>
          <w:iCs/>
          <w:sz w:val="22"/>
        </w:rPr>
        <w:t xml:space="preserve"> Entregar, en su caso, a los particulares la información solicitada;</w:t>
      </w:r>
    </w:p>
    <w:p w14:paraId="3674937E"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i/>
          <w:iCs/>
          <w:sz w:val="22"/>
        </w:rPr>
        <w:t>(…)</w:t>
      </w:r>
    </w:p>
    <w:p w14:paraId="314B20E4"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p>
    <w:p w14:paraId="2A3995AF"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i/>
          <w:iCs/>
          <w:sz w:val="22"/>
        </w:rPr>
        <w:t xml:space="preserve">Artículo 58. </w:t>
      </w:r>
      <w:r w:rsidRPr="00054505">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7E301FA8"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p>
    <w:p w14:paraId="173B5C01"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i/>
          <w:iCs/>
          <w:sz w:val="22"/>
        </w:rPr>
        <w:t xml:space="preserve">Artículo 59. </w:t>
      </w:r>
      <w:r w:rsidRPr="00054505">
        <w:rPr>
          <w:rFonts w:ascii="Palatino Linotype" w:eastAsia="Palatino Linotype" w:hAnsi="Palatino Linotype" w:cs="Palatino Linotype"/>
          <w:i/>
          <w:iCs/>
          <w:sz w:val="22"/>
        </w:rPr>
        <w:t>Los servidores públicos habilitados tendrán las funciones siguientes:</w:t>
      </w:r>
    </w:p>
    <w:p w14:paraId="5B456276"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p>
    <w:p w14:paraId="0FDF2961"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bCs/>
          <w:i/>
          <w:iCs/>
          <w:sz w:val="22"/>
        </w:rPr>
        <w:t>I.</w:t>
      </w:r>
      <w:r w:rsidRPr="00054505">
        <w:rPr>
          <w:rFonts w:ascii="Palatino Linotype" w:eastAsia="Palatino Linotype" w:hAnsi="Palatino Linotype" w:cs="Palatino Linotype"/>
          <w:i/>
          <w:iCs/>
          <w:sz w:val="22"/>
        </w:rPr>
        <w:t xml:space="preserve"> Localizar la información que le solicite la Unidad de Transparencia;</w:t>
      </w:r>
    </w:p>
    <w:p w14:paraId="7F431FEA"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bCs/>
          <w:i/>
          <w:iCs/>
          <w:sz w:val="22"/>
        </w:rPr>
        <w:t>II.</w:t>
      </w:r>
      <w:r w:rsidRPr="00054505">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4D2C3E41"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i/>
          <w:iCs/>
          <w:sz w:val="22"/>
        </w:rPr>
        <w:t>(...)</w:t>
      </w:r>
    </w:p>
    <w:p w14:paraId="355D3355"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p>
    <w:p w14:paraId="5387170C" w14:textId="77777777" w:rsidR="004C3AFE" w:rsidRPr="00054505" w:rsidRDefault="004C3AFE" w:rsidP="004C3AFE">
      <w:pPr>
        <w:spacing w:line="360" w:lineRule="auto"/>
        <w:ind w:left="851" w:right="822"/>
        <w:jc w:val="both"/>
        <w:rPr>
          <w:rFonts w:ascii="Palatino Linotype" w:eastAsia="Palatino Linotype" w:hAnsi="Palatino Linotype" w:cs="Palatino Linotype"/>
          <w:i/>
          <w:iCs/>
          <w:sz w:val="22"/>
        </w:rPr>
      </w:pPr>
      <w:r w:rsidRPr="00054505">
        <w:rPr>
          <w:rFonts w:ascii="Palatino Linotype" w:eastAsia="Palatino Linotype" w:hAnsi="Palatino Linotype" w:cs="Palatino Linotype"/>
          <w:b/>
          <w:i/>
          <w:iCs/>
          <w:sz w:val="22"/>
        </w:rPr>
        <w:t xml:space="preserve">Artículo 162. </w:t>
      </w:r>
      <w:r w:rsidRPr="00054505">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08C1908" w14:textId="77777777" w:rsidR="004C3AFE" w:rsidRPr="00054505" w:rsidRDefault="004C3AFE" w:rsidP="004C3AFE">
      <w:pPr>
        <w:spacing w:line="360" w:lineRule="auto"/>
        <w:jc w:val="both"/>
        <w:rPr>
          <w:rFonts w:ascii="Palatino Linotype" w:eastAsia="Palatino Linotype" w:hAnsi="Palatino Linotype" w:cs="Palatino Linotype"/>
        </w:rPr>
      </w:pPr>
    </w:p>
    <w:p w14:paraId="19A8EA14" w14:textId="77777777" w:rsidR="004C3AFE" w:rsidRPr="00054505" w:rsidRDefault="004C3AFE" w:rsidP="004C3AF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054505">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054505">
        <w:rPr>
          <w:rFonts w:ascii="Palatino Linotype" w:eastAsia="Arial Unicode MS" w:hAnsi="Palatino Linotype" w:cs="Arial"/>
          <w:sz w:val="24"/>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w:t>
      </w:r>
      <w:r w:rsidRPr="00054505">
        <w:rPr>
          <w:rFonts w:ascii="Palatino Linotype" w:eastAsia="Arial Unicode MS" w:hAnsi="Palatino Linotype" w:cs="Arial"/>
          <w:sz w:val="24"/>
          <w:lang w:eastAsia="en-US"/>
        </w:rPr>
        <w:lastRenderedPageBreak/>
        <w:t xml:space="preserve">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w:t>
      </w:r>
      <w:r w:rsidR="00054505" w:rsidRPr="00054505">
        <w:rPr>
          <w:rFonts w:ascii="Palatino Linotype" w:eastAsia="Arial Unicode MS" w:hAnsi="Palatino Linotype" w:cs="Arial"/>
          <w:sz w:val="24"/>
          <w:lang w:eastAsia="en-US"/>
        </w:rPr>
        <w:t>las</w:t>
      </w:r>
      <w:r w:rsidRPr="00054505">
        <w:rPr>
          <w:rFonts w:ascii="Palatino Linotype" w:eastAsia="Arial Unicode MS" w:hAnsi="Palatino Linotype" w:cs="Arial"/>
          <w:sz w:val="24"/>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0028AE27" w14:textId="77777777" w:rsidR="004C3AFE" w:rsidRPr="00054505" w:rsidRDefault="004C3AFE" w:rsidP="004C3AFE">
      <w:pPr>
        <w:pStyle w:val="Prrafodelista"/>
        <w:spacing w:line="360" w:lineRule="auto"/>
        <w:ind w:left="0"/>
        <w:jc w:val="both"/>
        <w:rPr>
          <w:rFonts w:ascii="Palatino Linotype" w:eastAsia="Arial Unicode MS" w:hAnsi="Palatino Linotype" w:cs="Arial"/>
          <w:sz w:val="24"/>
          <w:lang w:eastAsia="en-US"/>
        </w:rPr>
      </w:pPr>
    </w:p>
    <w:p w14:paraId="33ADC594" w14:textId="77777777" w:rsidR="004C3AFE" w:rsidRPr="00054505" w:rsidRDefault="004C3AFE" w:rsidP="004C3AF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054505">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2C8191D4" w14:textId="77777777" w:rsidR="004C3AFE" w:rsidRPr="00054505" w:rsidRDefault="004C3AFE" w:rsidP="004C3AFE">
      <w:pPr>
        <w:pStyle w:val="Prrafodelista"/>
        <w:ind w:left="0"/>
        <w:rPr>
          <w:rFonts w:ascii="Palatino Linotype" w:eastAsia="Arial Unicode MS" w:hAnsi="Palatino Linotype" w:cs="Arial"/>
          <w:sz w:val="24"/>
          <w:lang w:eastAsia="en-US"/>
        </w:rPr>
      </w:pPr>
    </w:p>
    <w:p w14:paraId="01C42E13" w14:textId="77777777" w:rsidR="004C3AFE" w:rsidRPr="00054505" w:rsidRDefault="008B3548" w:rsidP="004C3AF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054505">
        <w:rPr>
          <w:rFonts w:ascii="Palatino Linotype" w:eastAsia="Arial Unicode MS" w:hAnsi="Palatino Linotype" w:cs="Arial"/>
          <w:sz w:val="24"/>
          <w:lang w:eastAsia="en-US"/>
        </w:rPr>
        <w:t xml:space="preserve">Ahora bien, en ese entendido debemos precisar que el informe justificado fue emitido por el Tesorero Municipal, quien de acuerdo al </w:t>
      </w:r>
      <w:r w:rsidR="00E136EB" w:rsidRPr="00054505">
        <w:rPr>
          <w:rFonts w:ascii="Palatino Linotype" w:eastAsia="Arial Unicode MS" w:hAnsi="Palatino Linotype" w:cs="Arial"/>
          <w:sz w:val="24"/>
          <w:lang w:eastAsia="en-US"/>
        </w:rPr>
        <w:t>Reglamento Orgánico de la Administración Pública Municipal</w:t>
      </w:r>
      <w:r w:rsidRPr="00054505">
        <w:rPr>
          <w:rFonts w:ascii="Palatino Linotype" w:eastAsia="Arial Unicode MS" w:hAnsi="Palatino Linotype" w:cs="Arial"/>
          <w:sz w:val="24"/>
          <w:lang w:eastAsia="en-US"/>
        </w:rPr>
        <w:t xml:space="preserve"> de Huixquilucan </w:t>
      </w:r>
      <w:r w:rsidR="00E136EB" w:rsidRPr="00054505">
        <w:rPr>
          <w:rFonts w:ascii="Palatino Linotype" w:eastAsia="Arial Unicode MS" w:hAnsi="Palatino Linotype" w:cs="Arial"/>
          <w:sz w:val="24"/>
          <w:lang w:eastAsia="en-US"/>
        </w:rPr>
        <w:t xml:space="preserve">es la dependencia encargada de la recaudación, planeación, administración, comprobación, programación y presupuesto del ejercicio de los recursos públicos, así como ser el responsable de dar viabilidad a los planes, programas, proyectos y demás acciones de la administración a través de la conducción de la política económica y financiera, por lo tanto, es el servidor público habilitado con facultades para generar, poseer o administrar la información solicitada. </w:t>
      </w:r>
    </w:p>
    <w:p w14:paraId="5E2845A3" w14:textId="77777777" w:rsidR="000A66AC" w:rsidRPr="00054505" w:rsidRDefault="000A66AC" w:rsidP="000A66AC">
      <w:pPr>
        <w:pStyle w:val="Prrafodelista"/>
        <w:rPr>
          <w:rFonts w:ascii="Palatino Linotype" w:eastAsia="Arial Unicode MS" w:hAnsi="Palatino Linotype" w:cs="Arial"/>
          <w:sz w:val="24"/>
          <w:lang w:eastAsia="en-US"/>
        </w:rPr>
      </w:pPr>
    </w:p>
    <w:p w14:paraId="4A045F49" w14:textId="77777777" w:rsidR="000A66AC" w:rsidRPr="00054505" w:rsidRDefault="000A66AC" w:rsidP="000A66AC">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054505">
        <w:rPr>
          <w:rFonts w:ascii="Palatino Linotype" w:eastAsia="Arial Unicode MS" w:hAnsi="Palatino Linotype" w:cs="Arial"/>
          <w:sz w:val="24"/>
          <w:lang w:eastAsia="en-US"/>
        </w:rPr>
        <w:t xml:space="preserve">En ese sentido, de </w:t>
      </w:r>
      <w:r w:rsidRPr="00054505">
        <w:rPr>
          <w:rFonts w:ascii="Palatino Linotype" w:hAnsi="Palatino Linotype"/>
          <w:bCs/>
          <w:color w:val="000000"/>
          <w:sz w:val="24"/>
          <w:lang w:val="es-ES"/>
        </w:rPr>
        <w:t>la respuesta del Sujeto Obligado se advierte lo siguiente:</w:t>
      </w:r>
    </w:p>
    <w:p w14:paraId="24C85D3F" w14:textId="77777777" w:rsidR="000A66AC" w:rsidRPr="00054505" w:rsidRDefault="000A66AC" w:rsidP="000A66AC">
      <w:pPr>
        <w:pStyle w:val="Prrafodelista"/>
        <w:rPr>
          <w:rFonts w:ascii="Palatino Linotype" w:hAnsi="Palatino Linotype"/>
          <w:b/>
          <w:bCs/>
          <w:color w:val="000000"/>
          <w:sz w:val="24"/>
          <w:lang w:val="es-ES"/>
        </w:rPr>
      </w:pPr>
    </w:p>
    <w:p w14:paraId="35ADF8AD" w14:textId="77777777" w:rsidR="000A66AC" w:rsidRPr="00054505" w:rsidRDefault="000A66AC" w:rsidP="000A66AC">
      <w:pPr>
        <w:pStyle w:val="Prrafodelista"/>
        <w:tabs>
          <w:tab w:val="left" w:pos="284"/>
          <w:tab w:val="left" w:pos="567"/>
        </w:tabs>
        <w:spacing w:line="360" w:lineRule="auto"/>
        <w:ind w:left="0"/>
        <w:jc w:val="both"/>
        <w:rPr>
          <w:rFonts w:ascii="Palatino Linotype" w:hAnsi="Palatino Linotype"/>
          <w:b/>
          <w:bCs/>
          <w:color w:val="000000"/>
          <w:sz w:val="24"/>
          <w:lang w:val="es-ES"/>
        </w:rPr>
      </w:pPr>
      <w:r w:rsidRPr="00054505">
        <w:rPr>
          <w:rFonts w:ascii="Palatino Linotype" w:hAnsi="Palatino Linotype"/>
          <w:b/>
          <w:bCs/>
          <w:noProof/>
          <w:color w:val="000000"/>
          <w:sz w:val="24"/>
        </w:rPr>
        <w:lastRenderedPageBreak/>
        <w:drawing>
          <wp:inline distT="0" distB="0" distL="0" distR="0" wp14:anchorId="4D733D14" wp14:editId="58FB045A">
            <wp:extent cx="5742940" cy="26606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660650"/>
                    </a:xfrm>
                    <a:prstGeom prst="rect">
                      <a:avLst/>
                    </a:prstGeom>
                  </pic:spPr>
                </pic:pic>
              </a:graphicData>
            </a:graphic>
          </wp:inline>
        </w:drawing>
      </w:r>
    </w:p>
    <w:p w14:paraId="6E29E6ED" w14:textId="77777777" w:rsidR="008B3548" w:rsidRPr="00054505" w:rsidRDefault="008B3548" w:rsidP="008B3548">
      <w:pPr>
        <w:pStyle w:val="Prrafodelista"/>
        <w:spacing w:line="360" w:lineRule="auto"/>
        <w:ind w:left="0"/>
        <w:jc w:val="both"/>
        <w:rPr>
          <w:rFonts w:ascii="Palatino Linotype" w:eastAsia="Arial Unicode MS" w:hAnsi="Palatino Linotype" w:cs="Arial"/>
          <w:sz w:val="24"/>
          <w:lang w:eastAsia="en-US"/>
        </w:rPr>
      </w:pPr>
    </w:p>
    <w:p w14:paraId="588D0962" w14:textId="77777777" w:rsidR="004C3AFE" w:rsidRPr="00054505" w:rsidRDefault="000A66AC"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Posteriormente</w:t>
      </w:r>
      <w:r w:rsidR="00E136EB" w:rsidRPr="00054505">
        <w:rPr>
          <w:rFonts w:ascii="Palatino Linotype" w:eastAsia="Calibri" w:hAnsi="Palatino Linotype" w:cs="Arial"/>
          <w:color w:val="000000" w:themeColor="text1"/>
          <w:sz w:val="24"/>
          <w:lang w:val="es-ES"/>
        </w:rPr>
        <w:t xml:space="preserve">, el Tesorero Municipal </w:t>
      </w:r>
      <w:r w:rsidRPr="00054505">
        <w:rPr>
          <w:rFonts w:ascii="Palatino Linotype" w:eastAsia="Calibri" w:hAnsi="Palatino Linotype" w:cs="Arial"/>
          <w:color w:val="000000" w:themeColor="text1"/>
          <w:sz w:val="24"/>
          <w:lang w:val="es-ES"/>
        </w:rPr>
        <w:t>entregó informe justificado en el que manifestó</w:t>
      </w:r>
      <w:r w:rsidR="00E136EB" w:rsidRPr="00054505">
        <w:rPr>
          <w:rFonts w:ascii="Palatino Linotype" w:eastAsia="Calibri" w:hAnsi="Palatino Linotype" w:cs="Arial"/>
          <w:color w:val="000000" w:themeColor="text1"/>
          <w:sz w:val="24"/>
          <w:lang w:val="es-ES"/>
        </w:rPr>
        <w:t xml:space="preserve"> que del ejercicio fiscal 2021 no se efectuaron cobros y de los ejercicios fiscales 2022 y 2023, se desglosó el monto por mes</w:t>
      </w:r>
      <w:r w:rsidR="00DE752B" w:rsidRPr="00054505">
        <w:rPr>
          <w:rFonts w:ascii="Palatino Linotype" w:eastAsia="Calibri" w:hAnsi="Palatino Linotype" w:cs="Arial"/>
          <w:color w:val="000000" w:themeColor="text1"/>
          <w:sz w:val="24"/>
          <w:lang w:val="es-ES"/>
        </w:rPr>
        <w:t xml:space="preserve"> como se observa enseguida</w:t>
      </w:r>
      <w:r w:rsidR="00E136EB" w:rsidRPr="00054505">
        <w:rPr>
          <w:rFonts w:ascii="Palatino Linotype" w:eastAsia="Calibri" w:hAnsi="Palatino Linotype" w:cs="Arial"/>
          <w:color w:val="000000" w:themeColor="text1"/>
          <w:sz w:val="24"/>
          <w:lang w:val="es-ES"/>
        </w:rPr>
        <w:t>:</w:t>
      </w:r>
    </w:p>
    <w:p w14:paraId="35ADD509" w14:textId="77777777" w:rsidR="00E136EB" w:rsidRPr="00054505" w:rsidRDefault="00E136EB" w:rsidP="00E136EB">
      <w:pPr>
        <w:pStyle w:val="Prrafodelista"/>
        <w:rPr>
          <w:rFonts w:ascii="Palatino Linotype" w:eastAsia="Calibri" w:hAnsi="Palatino Linotype" w:cs="Arial"/>
          <w:color w:val="000000" w:themeColor="text1"/>
          <w:sz w:val="24"/>
          <w:lang w:val="es-ES"/>
        </w:rPr>
      </w:pPr>
    </w:p>
    <w:p w14:paraId="68D28B57" w14:textId="77777777" w:rsidR="00E136EB" w:rsidRPr="00054505" w:rsidRDefault="00E136EB" w:rsidP="00E136EB">
      <w:pPr>
        <w:pStyle w:val="Prrafodelista"/>
        <w:tabs>
          <w:tab w:val="left" w:pos="426"/>
          <w:tab w:val="left" w:pos="567"/>
        </w:tabs>
        <w:spacing w:line="360" w:lineRule="auto"/>
        <w:ind w:left="0"/>
        <w:jc w:val="center"/>
        <w:rPr>
          <w:rFonts w:ascii="Palatino Linotype" w:eastAsia="Calibri" w:hAnsi="Palatino Linotype" w:cs="Arial"/>
          <w:color w:val="000000" w:themeColor="text1"/>
          <w:sz w:val="24"/>
          <w:lang w:val="es-ES"/>
        </w:rPr>
      </w:pPr>
      <w:r w:rsidRPr="00054505">
        <w:rPr>
          <w:rFonts w:ascii="Palatino Linotype" w:eastAsia="Calibri" w:hAnsi="Palatino Linotype" w:cs="Arial"/>
          <w:noProof/>
          <w:color w:val="000000" w:themeColor="text1"/>
          <w:sz w:val="24"/>
        </w:rPr>
        <w:drawing>
          <wp:inline distT="0" distB="0" distL="0" distR="0" wp14:anchorId="30E2D39A" wp14:editId="08DC8BCC">
            <wp:extent cx="5269865" cy="241935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4915" cy="2426259"/>
                    </a:xfrm>
                    <a:prstGeom prst="rect">
                      <a:avLst/>
                    </a:prstGeom>
                  </pic:spPr>
                </pic:pic>
              </a:graphicData>
            </a:graphic>
          </wp:inline>
        </w:drawing>
      </w:r>
    </w:p>
    <w:p w14:paraId="703876F9" w14:textId="77777777" w:rsidR="004C3AFE" w:rsidRPr="00054505" w:rsidRDefault="004C3AFE" w:rsidP="00E136EB">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41391DA7"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Así, </w:t>
      </w:r>
      <w:r w:rsidRPr="00054505">
        <w:rPr>
          <w:rFonts w:ascii="Palatino Linotype" w:eastAsia="Calibri" w:hAnsi="Palatino Linotype"/>
          <w:sz w:val="24"/>
        </w:rPr>
        <w:t xml:space="preserve">este Pleno advierte que el </w:t>
      </w:r>
      <w:r w:rsidRPr="00054505">
        <w:rPr>
          <w:rFonts w:ascii="Palatino Linotype" w:eastAsia="Calibri" w:hAnsi="Palatino Linotype"/>
          <w:b/>
          <w:sz w:val="24"/>
        </w:rPr>
        <w:t>SUJETO OBLIGADO</w:t>
      </w:r>
      <w:r w:rsidRPr="00054505">
        <w:rPr>
          <w:rFonts w:ascii="Palatino Linotype" w:eastAsia="Calibri" w:hAnsi="Palatino Linotype"/>
          <w:sz w:val="24"/>
        </w:rPr>
        <w:t xml:space="preserve"> </w:t>
      </w:r>
      <w:r w:rsidRPr="00054505">
        <w:rPr>
          <w:rFonts w:ascii="Palatino Linotype" w:eastAsia="Calibri" w:hAnsi="Palatino Linotype"/>
          <w:b/>
          <w:sz w:val="24"/>
        </w:rPr>
        <w:t xml:space="preserve">modificó </w:t>
      </w:r>
      <w:r w:rsidRPr="00054505">
        <w:rPr>
          <w:rFonts w:ascii="Palatino Linotype" w:eastAsia="Calibri" w:hAnsi="Palatino Linotype"/>
          <w:sz w:val="24"/>
        </w:rPr>
        <w:t>el acto que le dio or</w:t>
      </w:r>
      <w:r w:rsidR="00E136EB" w:rsidRPr="00054505">
        <w:rPr>
          <w:rFonts w:ascii="Palatino Linotype" w:eastAsia="Calibri" w:hAnsi="Palatino Linotype"/>
          <w:sz w:val="24"/>
        </w:rPr>
        <w:t xml:space="preserve">igen a los recursos de revisión y </w:t>
      </w:r>
      <w:proofErr w:type="gramStart"/>
      <w:r w:rsidR="00E136EB" w:rsidRPr="00054505">
        <w:rPr>
          <w:rFonts w:ascii="Palatino Linotype" w:eastAsia="Calibri" w:hAnsi="Palatino Linotype"/>
          <w:sz w:val="24"/>
        </w:rPr>
        <w:t>que</w:t>
      </w:r>
      <w:proofErr w:type="gramEnd"/>
      <w:r w:rsidR="00E136EB" w:rsidRPr="00054505">
        <w:rPr>
          <w:rFonts w:ascii="Palatino Linotype" w:eastAsia="Calibri" w:hAnsi="Palatino Linotype"/>
          <w:sz w:val="24"/>
        </w:rPr>
        <w:t xml:space="preserve"> aunado a ello, la información fue remitida por el </w:t>
      </w:r>
      <w:r w:rsidR="00E136EB" w:rsidRPr="00054505">
        <w:rPr>
          <w:rFonts w:ascii="Palatino Linotype" w:eastAsia="Calibri" w:hAnsi="Palatino Linotype"/>
          <w:sz w:val="24"/>
        </w:rPr>
        <w:lastRenderedPageBreak/>
        <w:t>servidor público habilitado,</w:t>
      </w:r>
      <w:r w:rsidRPr="00054505">
        <w:rPr>
          <w:rFonts w:ascii="Palatino Linotype" w:eastAsia="Calibri" w:hAnsi="Palatino Linotype"/>
          <w:sz w:val="24"/>
        </w:rPr>
        <w:t xml:space="preserve"> lo que trae como consecuencia que el mismo quede sin materia, actualizándose de este modo, la hipótesis jurídica contenida en la fracción III del artículo 192 de la Ley de Transparencia Local.</w:t>
      </w:r>
    </w:p>
    <w:p w14:paraId="4733586C" w14:textId="77777777" w:rsidR="004C3AFE" w:rsidRPr="00054505" w:rsidRDefault="004C3AFE" w:rsidP="004C3AFE">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17D40F63"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Ahora bien, </w:t>
      </w:r>
      <w:r w:rsidRPr="00054505">
        <w:rPr>
          <w:rFonts w:ascii="Palatino Linotype" w:eastAsia="Calibri" w:hAnsi="Palatino Linotype"/>
          <w:sz w:val="24"/>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054505">
        <w:rPr>
          <w:rFonts w:ascii="Palatino Linotype" w:eastAsia="Calibri" w:hAnsi="Palatino Linotype"/>
          <w:b/>
          <w:sz w:val="24"/>
        </w:rPr>
        <w:t>SUJETOS OBLIGADOS</w:t>
      </w:r>
      <w:r w:rsidRPr="00054505">
        <w:rPr>
          <w:rFonts w:ascii="Palatino Linotype" w:eastAsia="Calibri" w:hAnsi="Palatino Linotype"/>
          <w:sz w:val="24"/>
        </w:rPr>
        <w:t xml:space="preserve"> o la negativa de entrega de esta, derivada de la solicitud de información pública.</w:t>
      </w:r>
    </w:p>
    <w:p w14:paraId="3D5F0EE0" w14:textId="77777777" w:rsidR="004C3AFE" w:rsidRPr="00054505" w:rsidRDefault="004C3AFE" w:rsidP="004C3AFE">
      <w:pPr>
        <w:rPr>
          <w:rFonts w:ascii="Palatino Linotype" w:eastAsia="Calibri" w:hAnsi="Palatino Linotype" w:cs="Arial"/>
          <w:color w:val="000000" w:themeColor="text1"/>
          <w:lang w:val="es-ES"/>
        </w:rPr>
      </w:pPr>
    </w:p>
    <w:p w14:paraId="02CA6CEA"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De </w:t>
      </w:r>
      <w:r w:rsidRPr="00054505">
        <w:rPr>
          <w:rFonts w:ascii="Palatino Linotype" w:eastAsia="Calibri" w:hAnsi="Palatino Linotype"/>
          <w:sz w:val="24"/>
        </w:rPr>
        <w:t xml:space="preserve">este modo, cuando el </w:t>
      </w:r>
      <w:r w:rsidRPr="00054505">
        <w:rPr>
          <w:rFonts w:ascii="Palatino Linotype" w:eastAsia="Calibri" w:hAnsi="Palatino Linotype"/>
          <w:b/>
          <w:sz w:val="24"/>
        </w:rPr>
        <w:t xml:space="preserve">SUJETO OBLIGADO, </w:t>
      </w:r>
      <w:r w:rsidRPr="00054505">
        <w:rPr>
          <w:rFonts w:ascii="Palatino Linotype" w:eastAsia="Calibri" w:hAnsi="Palatino Linotype"/>
          <w:sz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054505">
        <w:rPr>
          <w:rFonts w:ascii="Palatino Linotype" w:eastAsia="Calibri" w:hAnsi="Palatino Linotype"/>
          <w:i/>
          <w:sz w:val="24"/>
        </w:rPr>
        <w:t>litis</w:t>
      </w:r>
      <w:r w:rsidRPr="00054505">
        <w:rPr>
          <w:rFonts w:ascii="Palatino Linotype" w:eastAsia="Calibri" w:hAnsi="Palatino Linotype"/>
          <w:sz w:val="24"/>
        </w:rPr>
        <w:t xml:space="preserve"> planteada, debido a que la afectación en su esfera de derechos fue restituida por la propia autoridad que emitió el acto motivo de impugnación.</w:t>
      </w:r>
    </w:p>
    <w:p w14:paraId="2AC0EFB4" w14:textId="77777777" w:rsidR="004C3AFE" w:rsidRPr="00054505" w:rsidRDefault="004C3AFE" w:rsidP="004C3AFE">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46B883B1" w14:textId="77777777" w:rsidR="004C3AFE" w:rsidRPr="00054505" w:rsidRDefault="004C3AFE" w:rsidP="004C3A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Sirve </w:t>
      </w:r>
      <w:r w:rsidRPr="00054505">
        <w:rPr>
          <w:rFonts w:ascii="Palatino Linotype" w:eastAsia="Calibri" w:hAnsi="Palatino Linotype"/>
          <w:sz w:val="24"/>
        </w:rPr>
        <w:t>de sustento a lo anterior la siguiente jurisprudencia por contradicción, cuyo rubro, texto y datos de identificación son los siguientes:</w:t>
      </w:r>
    </w:p>
    <w:p w14:paraId="2FA0E9BB" w14:textId="77777777" w:rsidR="004C3AFE" w:rsidRPr="00054505" w:rsidRDefault="004C3AFE" w:rsidP="004C3AFE">
      <w:pPr>
        <w:pStyle w:val="Prrafodelista"/>
        <w:tabs>
          <w:tab w:val="left" w:pos="709"/>
          <w:tab w:val="left" w:pos="851"/>
        </w:tabs>
        <w:spacing w:line="360" w:lineRule="auto"/>
        <w:ind w:left="851" w:right="822"/>
        <w:jc w:val="both"/>
        <w:rPr>
          <w:rFonts w:ascii="Palatino Linotype" w:eastAsia="Calibri" w:hAnsi="Palatino Linotype" w:cs="Arial"/>
          <w:color w:val="000000" w:themeColor="text1"/>
          <w:lang w:val="es-ES"/>
        </w:rPr>
      </w:pPr>
      <w:r w:rsidRPr="00054505">
        <w:rPr>
          <w:rFonts w:ascii="Palatino Linotype" w:eastAsia="Calibri" w:hAnsi="Palatino Linotype"/>
          <w:b/>
          <w:i/>
        </w:rPr>
        <w:t xml:space="preserve">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w:t>
      </w:r>
      <w:r w:rsidRPr="00054505">
        <w:rPr>
          <w:rFonts w:ascii="Palatino Linotype" w:eastAsia="Calibri" w:hAnsi="Palatino Linotype"/>
          <w:b/>
          <w:i/>
        </w:rPr>
        <w:lastRenderedPageBreak/>
        <w:t>QUEJOSO PARA AMPLIAR SU DEMANDA INICIAL, PROMOVER OTRO JUICIO DE AMPARO O EL MEDIO ORDINARIO DE DEFENSA QUE PROCEDA.</w:t>
      </w:r>
      <w:r w:rsidRPr="00054505">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B3368E6" w14:textId="77777777" w:rsidR="004C3AFE" w:rsidRPr="00054505" w:rsidRDefault="004C3AFE" w:rsidP="004C3AFE">
      <w:pPr>
        <w:rPr>
          <w:rFonts w:ascii="Palatino Linotype" w:eastAsia="Calibri" w:hAnsi="Palatino Linotype" w:cs="Arial"/>
          <w:color w:val="000000" w:themeColor="text1"/>
          <w:lang w:val="es-ES"/>
        </w:rPr>
      </w:pPr>
    </w:p>
    <w:p w14:paraId="0E4C21B7" w14:textId="77777777" w:rsidR="004C3AFE" w:rsidRPr="00054505" w:rsidRDefault="004C3AFE" w:rsidP="004C3AFE">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La </w:t>
      </w:r>
      <w:r w:rsidRPr="00054505">
        <w:rPr>
          <w:rFonts w:ascii="Palatino Linotype" w:eastAsia="Calibri" w:hAnsi="Palatino Linotype"/>
          <w:sz w:val="24"/>
        </w:rPr>
        <w:t xml:space="preserve">anterior jurisprudencia resulta aplicable al presente asunto, en dos aspectos: </w:t>
      </w:r>
    </w:p>
    <w:p w14:paraId="19B61B03" w14:textId="77777777" w:rsidR="004C3AFE" w:rsidRPr="00054505" w:rsidRDefault="004C3AFE" w:rsidP="00054505">
      <w:pPr>
        <w:numPr>
          <w:ilvl w:val="0"/>
          <w:numId w:val="3"/>
        </w:numPr>
        <w:spacing w:line="360" w:lineRule="auto"/>
        <w:ind w:left="567" w:right="822" w:firstLine="0"/>
        <w:contextualSpacing/>
        <w:jc w:val="both"/>
        <w:rPr>
          <w:rFonts w:ascii="Palatino Linotype" w:eastAsia="Calibri" w:hAnsi="Palatino Linotype"/>
          <w:sz w:val="22"/>
        </w:rPr>
      </w:pPr>
      <w:r w:rsidRPr="00054505">
        <w:rPr>
          <w:rFonts w:ascii="Palatino Linotype" w:eastAsia="Calibri" w:hAnsi="Palatino Linotype"/>
          <w:b/>
          <w:sz w:val="22"/>
        </w:rPr>
        <w:t>La cesación de los efectos perniciosos del acto de autoridad:</w:t>
      </w:r>
      <w:r w:rsidRPr="00054505">
        <w:rPr>
          <w:rFonts w:ascii="Palatino Linotype" w:eastAsia="Calibri" w:hAnsi="Palatino Linotype"/>
          <w:sz w:val="22"/>
        </w:rPr>
        <w:t xml:space="preserve"> Al respecto, la Ley de Transparencia contempla la figura jurídica del sobreseimiento cuando el </w:t>
      </w:r>
      <w:r w:rsidRPr="00054505">
        <w:rPr>
          <w:rFonts w:ascii="Palatino Linotype" w:eastAsia="Calibri" w:hAnsi="Palatino Linotype"/>
          <w:b/>
          <w:sz w:val="22"/>
        </w:rPr>
        <w:t>SUJETO OBLIGADO</w:t>
      </w:r>
      <w:r w:rsidRPr="00054505">
        <w:rPr>
          <w:rFonts w:ascii="Palatino Linotype" w:eastAsia="Calibri" w:hAnsi="Palatino Linotype"/>
          <w:sz w:val="22"/>
        </w:rPr>
        <w:t xml:space="preserve"> de </w:t>
      </w:r>
      <w:r w:rsidRPr="00054505">
        <w:rPr>
          <w:rFonts w:ascii="Palatino Linotype" w:eastAsia="Calibri" w:hAnsi="Palatino Linotype"/>
          <w:i/>
          <w:sz w:val="22"/>
        </w:rPr>
        <w:t>motu proprio</w:t>
      </w:r>
      <w:r w:rsidRPr="00054505">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7A36F809" w14:textId="77777777" w:rsidR="004C3AFE" w:rsidRPr="00054505" w:rsidRDefault="004C3AFE" w:rsidP="00054505">
      <w:pPr>
        <w:numPr>
          <w:ilvl w:val="0"/>
          <w:numId w:val="3"/>
        </w:numPr>
        <w:spacing w:line="360" w:lineRule="auto"/>
        <w:ind w:left="567" w:right="822" w:firstLine="0"/>
        <w:contextualSpacing/>
        <w:jc w:val="both"/>
        <w:rPr>
          <w:rFonts w:ascii="Palatino Linotype" w:eastAsia="Calibri" w:hAnsi="Palatino Linotype"/>
          <w:sz w:val="22"/>
        </w:rPr>
      </w:pPr>
      <w:r w:rsidRPr="00054505">
        <w:rPr>
          <w:rFonts w:ascii="Palatino Linotype" w:eastAsia="Calibri" w:hAnsi="Palatino Linotype"/>
          <w:b/>
          <w:sz w:val="22"/>
        </w:rPr>
        <w:t>El momento procesal para modificar el acto impugnado:</w:t>
      </w:r>
      <w:r w:rsidRPr="00054505">
        <w:rPr>
          <w:rFonts w:ascii="Palatino Linotype" w:eastAsia="Calibri" w:hAnsi="Palatino Linotype"/>
          <w:sz w:val="22"/>
        </w:rPr>
        <w:t xml:space="preserve"> Para que se actualice el sobreseimiento de un recurso de revisión, el </w:t>
      </w:r>
      <w:r w:rsidRPr="00054505">
        <w:rPr>
          <w:rFonts w:ascii="Palatino Linotype" w:eastAsia="Calibri" w:hAnsi="Palatino Linotype"/>
          <w:b/>
          <w:sz w:val="22"/>
        </w:rPr>
        <w:t>SUJETO OBLIGADO</w:t>
      </w:r>
      <w:r w:rsidRPr="00054505">
        <w:rPr>
          <w:rFonts w:ascii="Palatino Linotype" w:eastAsia="Calibri" w:hAnsi="Palatino Linotype"/>
          <w:sz w:val="22"/>
        </w:rPr>
        <w:t xml:space="preserve"> puede entregar o completar la información al momento de rendir su informe de justificación o </w:t>
      </w:r>
      <w:r w:rsidRPr="00054505">
        <w:rPr>
          <w:rFonts w:ascii="Palatino Linotype" w:eastAsia="Calibri" w:hAnsi="Palatino Linotype"/>
          <w:b/>
          <w:sz w:val="22"/>
          <w:u w:val="single"/>
        </w:rPr>
        <w:t>posteriormente</w:t>
      </w:r>
      <w:r w:rsidRPr="00054505">
        <w:rPr>
          <w:rFonts w:ascii="Palatino Linotype" w:eastAsia="Calibri" w:hAnsi="Palatino Linotype"/>
          <w:sz w:val="22"/>
        </w:rPr>
        <w:t xml:space="preserve"> a éste, siempre y cuando el Pleno del Instituto no haya dictado resolución definitiva.</w:t>
      </w:r>
    </w:p>
    <w:p w14:paraId="29D66915" w14:textId="77777777" w:rsidR="004C3AFE" w:rsidRPr="00054505" w:rsidRDefault="004C3AFE" w:rsidP="004C3AFE">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lastRenderedPageBreak/>
        <w:t xml:space="preserve">Eduardo Pallares, </w:t>
      </w:r>
      <w:r w:rsidRPr="00054505">
        <w:rPr>
          <w:rFonts w:ascii="Palatino Linotype" w:eastAsia="Calibri" w:hAnsi="Palatino Linotype"/>
          <w:sz w:val="24"/>
        </w:rPr>
        <w:t xml:space="preserve">en su artículo </w:t>
      </w:r>
      <w:r w:rsidRPr="00054505">
        <w:rPr>
          <w:rFonts w:ascii="Palatino Linotype" w:eastAsia="Calibri" w:hAnsi="Palatino Linotype"/>
          <w:i/>
          <w:sz w:val="24"/>
        </w:rPr>
        <w:t>“La caducidad y el sobreseimiento en el amparo”</w:t>
      </w:r>
      <w:r w:rsidRPr="00054505">
        <w:rPr>
          <w:rFonts w:ascii="Palatino Linotype" w:eastAsia="Calibri" w:hAnsi="Palatino Linotype"/>
          <w:sz w:val="24"/>
        </w:rPr>
        <w:t xml:space="preserve">, cita la definición de Aguilera Paz, aduciendo que se </w:t>
      </w:r>
      <w:r w:rsidRPr="00054505">
        <w:rPr>
          <w:rFonts w:ascii="Palatino Linotype" w:eastAsia="Calibri" w:hAnsi="Palatino Linotype"/>
          <w:i/>
          <w:sz w:val="24"/>
        </w:rPr>
        <w:t>“...entiende por sobreseimiento en el tecnicismo forense, el hecho de cesar en el procedimiento o curso de la causa, por no existir méritos bastantes para entrar en un juicio o para entablar la contienda judicial que debe ser objeto del mismo...”</w:t>
      </w:r>
      <w:r w:rsidRPr="00054505">
        <w:rPr>
          <w:rFonts w:ascii="Palatino Linotype" w:eastAsia="Calibri" w:hAnsi="Palatino Linotype"/>
          <w:sz w:val="24"/>
        </w:rPr>
        <w:t>. Asimismo, señala que existe el sobreseimiento provisional y el definitivo</w:t>
      </w:r>
      <w:r w:rsidRPr="00054505">
        <w:rPr>
          <w:rFonts w:ascii="Palatino Linotype" w:eastAsia="Calibri" w:hAnsi="Palatino Linotype"/>
          <w:i/>
          <w:sz w:val="24"/>
        </w:rPr>
        <w:t>: “...el definitivo es una verdadera sentencia que pone fin al juicio, y que una vez dictada, produce cosa juzgada, mientras que el provisorio tiene por efectos suspender la prosecución de la causa...”</w:t>
      </w:r>
    </w:p>
    <w:p w14:paraId="218A0F31" w14:textId="77777777" w:rsidR="004C3AFE" w:rsidRPr="00054505" w:rsidRDefault="004C3AFE" w:rsidP="004C3AFE">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487585FE" w14:textId="77777777" w:rsidR="004C3AFE" w:rsidRPr="00054505" w:rsidRDefault="004C3AFE" w:rsidP="004C3AFE">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Así, </w:t>
      </w:r>
      <w:r w:rsidRPr="00054505">
        <w:rPr>
          <w:rFonts w:ascii="Palatino Linotype" w:eastAsia="Calibri" w:hAnsi="Palatino Linotype"/>
          <w:sz w:val="24"/>
        </w:rPr>
        <w:t xml:space="preserve">para la doctrina el sobreseimiento provoca que un procedimiento se suspenda o se resuelva en definitiva </w:t>
      </w:r>
      <w:r w:rsidRPr="00054505">
        <w:rPr>
          <w:rFonts w:ascii="Palatino Linotype" w:eastAsia="Calibri" w:hAnsi="Palatino Linotype"/>
          <w:b/>
          <w:sz w:val="24"/>
          <w:u w:val="single"/>
        </w:rPr>
        <w:t xml:space="preserve">sin que se entre al estudio de los agravios o motivos de inconformidad. </w:t>
      </w:r>
      <w:r w:rsidRPr="00054505">
        <w:rPr>
          <w:rFonts w:ascii="Palatino Linotype" w:eastAsia="Calibri" w:hAnsi="Palatino Linotype"/>
          <w:sz w:val="24"/>
        </w:rPr>
        <w:t>Este mismo criterio es compartido por el más alto tribunal del país en múltiples jurisprudencias, por lo que a continuación se agrega una de ellas que sirve como orientador en esta resolución:</w:t>
      </w:r>
    </w:p>
    <w:p w14:paraId="5FA24E25" w14:textId="77777777" w:rsidR="004C3AFE" w:rsidRPr="00054505" w:rsidRDefault="004C3AFE" w:rsidP="004C3AFE">
      <w:pPr>
        <w:spacing w:line="360" w:lineRule="auto"/>
        <w:ind w:left="851" w:right="822"/>
        <w:contextualSpacing/>
        <w:jc w:val="both"/>
        <w:rPr>
          <w:rFonts w:ascii="Palatino Linotype" w:eastAsia="Calibri" w:hAnsi="Palatino Linotype"/>
          <w:i/>
          <w:sz w:val="22"/>
          <w:lang w:val="es-AR"/>
        </w:rPr>
      </w:pPr>
      <w:r w:rsidRPr="00054505">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054505">
        <w:rPr>
          <w:rFonts w:ascii="Palatino Linotype" w:eastAsia="Calibri" w:hAnsi="Palatino Linotype"/>
          <w:i/>
          <w:sz w:val="22"/>
          <w:lang w:val="es-AR"/>
        </w:rPr>
        <w:t xml:space="preserve"> en el juicio de amparo directo </w:t>
      </w:r>
      <w:r w:rsidRPr="00054505">
        <w:rPr>
          <w:rFonts w:ascii="Palatino Linotype" w:eastAsia="Calibri" w:hAnsi="Palatino Linotype"/>
          <w:b/>
          <w:i/>
          <w:sz w:val="22"/>
          <w:lang w:val="es-AR"/>
        </w:rPr>
        <w:t>provoca la terminación de la controversia planteada</w:t>
      </w:r>
      <w:r w:rsidRPr="00054505">
        <w:rPr>
          <w:rFonts w:ascii="Palatino Linotype" w:eastAsia="Calibri" w:hAnsi="Palatino Linotype"/>
          <w:i/>
          <w:sz w:val="22"/>
          <w:lang w:val="es-AR"/>
        </w:rPr>
        <w:t xml:space="preserve"> por el quejoso en la demanda de amparo</w:t>
      </w:r>
      <w:r w:rsidRPr="00054505">
        <w:rPr>
          <w:rFonts w:ascii="Palatino Linotype" w:eastAsia="Calibri" w:hAnsi="Palatino Linotype"/>
          <w:b/>
          <w:i/>
          <w:sz w:val="22"/>
          <w:lang w:val="es-AR"/>
        </w:rPr>
        <w:t>, sin hacer un pronunciamiento de fondo sobre la legalidad o ilegalidad de la sentencia reclamada</w:t>
      </w:r>
      <w:r w:rsidRPr="00054505">
        <w:rPr>
          <w:rFonts w:ascii="Palatino Linotype" w:eastAsia="Calibri" w:hAnsi="Palatino Linotype"/>
          <w:i/>
          <w:sz w:val="22"/>
          <w:lang w:val="es-AR"/>
        </w:rPr>
        <w:t xml:space="preserve">. </w:t>
      </w:r>
      <w:r w:rsidRPr="00054505">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54505">
        <w:rPr>
          <w:rFonts w:ascii="Palatino Linotype" w:eastAsia="Calibri" w:hAnsi="Palatino Linotype"/>
          <w:i/>
          <w:sz w:val="22"/>
          <w:lang w:val="es-AR"/>
        </w:rPr>
        <w:t>.</w:t>
      </w:r>
    </w:p>
    <w:p w14:paraId="709CB85B" w14:textId="77777777" w:rsidR="004C3AFE" w:rsidRPr="00054505" w:rsidRDefault="004C3AFE" w:rsidP="004C3AFE">
      <w:pPr>
        <w:spacing w:line="360" w:lineRule="auto"/>
        <w:ind w:left="851" w:right="822"/>
        <w:contextualSpacing/>
        <w:jc w:val="both"/>
        <w:rPr>
          <w:rFonts w:ascii="Palatino Linotype" w:eastAsia="Calibri" w:hAnsi="Palatino Linotype"/>
          <w:i/>
          <w:sz w:val="22"/>
          <w:lang w:val="es-AR"/>
        </w:rPr>
      </w:pPr>
      <w:r w:rsidRPr="00054505">
        <w:rPr>
          <w:rFonts w:ascii="Palatino Linotype" w:eastAsia="Calibri" w:hAnsi="Palatino Linotype"/>
          <w:i/>
          <w:sz w:val="22"/>
          <w:lang w:val="es-AR"/>
        </w:rPr>
        <w:t>SÉPTIMO TRIBUNAL COLEGIADO EN MATERIA CIVIL DEL PRIMER CIRCUITO.</w:t>
      </w:r>
    </w:p>
    <w:p w14:paraId="47596FDF" w14:textId="77777777" w:rsidR="004C3AFE" w:rsidRPr="00054505" w:rsidRDefault="004C3AFE" w:rsidP="004C3AFE">
      <w:pPr>
        <w:spacing w:line="360" w:lineRule="auto"/>
        <w:ind w:left="851" w:right="822"/>
        <w:contextualSpacing/>
        <w:jc w:val="both"/>
        <w:rPr>
          <w:rFonts w:ascii="Palatino Linotype" w:eastAsia="Calibri" w:hAnsi="Palatino Linotype"/>
          <w:b/>
          <w:i/>
          <w:sz w:val="22"/>
          <w:lang w:val="es-AR"/>
        </w:rPr>
      </w:pPr>
      <w:r w:rsidRPr="00054505">
        <w:rPr>
          <w:rFonts w:ascii="Palatino Linotype" w:eastAsia="Calibri" w:hAnsi="Palatino Linotype"/>
          <w:i/>
          <w:sz w:val="22"/>
          <w:lang w:val="es-AR"/>
        </w:rPr>
        <w:lastRenderedPageBreak/>
        <w:t>Amparo directo 699/2008. Mariana Leticia González Steele. 13 de noviembre de 2008. Unanimidad de votos. Ponente: Sara Judith Montalvo Trejo. Secretario: Arnulfo Mateos García.</w:t>
      </w:r>
    </w:p>
    <w:p w14:paraId="4D259EBE" w14:textId="77777777" w:rsidR="004C3AFE" w:rsidRPr="00054505" w:rsidRDefault="004C3AFE" w:rsidP="004C3AFE">
      <w:pPr>
        <w:spacing w:line="360" w:lineRule="auto"/>
        <w:ind w:right="565"/>
        <w:contextualSpacing/>
        <w:jc w:val="both"/>
        <w:rPr>
          <w:rFonts w:ascii="Palatino Linotype" w:eastAsia="Calibri" w:hAnsi="Palatino Linotype"/>
          <w:b/>
          <w:i/>
          <w:sz w:val="22"/>
          <w:lang w:val="es-AR"/>
        </w:rPr>
      </w:pPr>
    </w:p>
    <w:p w14:paraId="3747CBF8" w14:textId="77777777" w:rsidR="004C3AFE" w:rsidRPr="00054505" w:rsidRDefault="004C3AFE" w:rsidP="004C3AFE">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cs="Arial"/>
          <w:color w:val="000000" w:themeColor="text1"/>
          <w:sz w:val="24"/>
          <w:lang w:val="es-ES"/>
        </w:rPr>
        <w:t xml:space="preserve">Consecuentemente, </w:t>
      </w:r>
      <w:r w:rsidRPr="00054505">
        <w:rPr>
          <w:rFonts w:ascii="Palatino Linotype" w:eastAsia="Calibri" w:hAnsi="Palatino Linotype"/>
          <w:sz w:val="24"/>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5868C6FA" w14:textId="77777777" w:rsidR="004C3AFE" w:rsidRPr="00054505" w:rsidRDefault="004C3AFE" w:rsidP="004C3AFE">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46A65583" w14:textId="77777777" w:rsidR="004C3AFE" w:rsidRPr="00054505" w:rsidRDefault="004C3AFE" w:rsidP="004C3AFE">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054505">
        <w:rPr>
          <w:rFonts w:ascii="Palatino Linotype" w:eastAsia="Calibri" w:hAnsi="Palatino Linotype"/>
          <w:sz w:val="24"/>
        </w:rPr>
        <w:t xml:space="preserve">Bajo </w:t>
      </w:r>
      <w:r w:rsidRPr="00054505">
        <w:rPr>
          <w:rFonts w:ascii="Palatino Linotype" w:eastAsia="Calibri" w:hAnsi="Palatino Linotype"/>
          <w:sz w:val="24"/>
          <w:lang w:val="es-CO"/>
        </w:rPr>
        <w:t xml:space="preserve">ese tenor y en términos del artículo 186 fracción I este Pleno determina el </w:t>
      </w:r>
      <w:r w:rsidRPr="00054505">
        <w:rPr>
          <w:rFonts w:ascii="Palatino Linotype" w:eastAsia="Calibri" w:hAnsi="Palatino Linotype"/>
          <w:b/>
          <w:sz w:val="24"/>
          <w:lang w:val="es-CO"/>
        </w:rPr>
        <w:t xml:space="preserve">SOBRESEIMIENTO </w:t>
      </w:r>
      <w:r w:rsidRPr="00054505">
        <w:rPr>
          <w:rFonts w:ascii="Palatino Linotype" w:eastAsia="Calibri" w:hAnsi="Palatino Linotype"/>
          <w:sz w:val="24"/>
          <w:lang w:val="es-CO"/>
        </w:rPr>
        <w:t xml:space="preserve">del recurso de revisión </w:t>
      </w:r>
      <w:r w:rsidR="00D052A8" w:rsidRPr="00054505">
        <w:rPr>
          <w:rFonts w:ascii="Palatino Linotype" w:hAnsi="Palatino Linotype" w:cs="Arial"/>
          <w:b/>
          <w:bCs/>
          <w:sz w:val="24"/>
        </w:rPr>
        <w:t>02268</w:t>
      </w:r>
      <w:r w:rsidRPr="00054505">
        <w:rPr>
          <w:rFonts w:ascii="Palatino Linotype" w:hAnsi="Palatino Linotype" w:cs="Arial"/>
          <w:b/>
          <w:bCs/>
          <w:sz w:val="24"/>
        </w:rPr>
        <w:t>/INFOEM/IP/RR/2024</w:t>
      </w:r>
      <w:r w:rsidRPr="00054505">
        <w:rPr>
          <w:rFonts w:ascii="Palatino Linotype" w:eastAsia="Calibri" w:hAnsi="Palatino Linotype"/>
          <w:sz w:val="24"/>
          <w:lang w:val="es-CO"/>
        </w:rPr>
        <w:t>, toda vez que la afectación al derecho de acceso a la información pública establecido constitucionalmente a favor del Particular ha sido resarcida.</w:t>
      </w:r>
    </w:p>
    <w:p w14:paraId="762B639E" w14:textId="77777777" w:rsidR="004C3AFE" w:rsidRPr="00054505" w:rsidRDefault="004C3AFE" w:rsidP="004C3AFE">
      <w:pPr>
        <w:pStyle w:val="Prrafodelista"/>
        <w:shd w:val="clear" w:color="auto" w:fill="FFFFFF"/>
        <w:tabs>
          <w:tab w:val="left" w:pos="284"/>
        </w:tabs>
        <w:spacing w:line="360" w:lineRule="auto"/>
        <w:ind w:left="0"/>
        <w:jc w:val="both"/>
        <w:rPr>
          <w:rFonts w:ascii="Palatino Linotype" w:hAnsi="Palatino Linotype" w:cs="Arial"/>
          <w:sz w:val="24"/>
        </w:rPr>
      </w:pPr>
    </w:p>
    <w:p w14:paraId="7999AD37" w14:textId="77777777" w:rsidR="004C3AFE" w:rsidRPr="00054505" w:rsidRDefault="004C3AFE" w:rsidP="004C3AFE">
      <w:pPr>
        <w:pStyle w:val="Sinespaciado"/>
        <w:numPr>
          <w:ilvl w:val="0"/>
          <w:numId w:val="1"/>
        </w:numPr>
        <w:tabs>
          <w:tab w:val="left" w:pos="284"/>
        </w:tabs>
        <w:spacing w:line="360" w:lineRule="auto"/>
        <w:ind w:left="0" w:firstLine="0"/>
        <w:contextualSpacing/>
        <w:jc w:val="both"/>
        <w:rPr>
          <w:rFonts w:ascii="Palatino Linotype" w:eastAsia="Calibri" w:hAnsi="Palatino Linotype"/>
        </w:rPr>
      </w:pPr>
      <w:r w:rsidRPr="00054505">
        <w:rPr>
          <w:rFonts w:ascii="Palatino Linotype" w:eastAsia="Calibri" w:hAnsi="Palatino Linotype"/>
        </w:rPr>
        <w:t xml:space="preserve">Por lo anteriormente expuesto y fundado, este </w:t>
      </w:r>
      <w:r w:rsidRPr="00054505">
        <w:rPr>
          <w:rFonts w:ascii="Palatino Linotype" w:eastAsia="Calibri" w:hAnsi="Palatino Linotype"/>
          <w:b/>
          <w:bCs/>
        </w:rPr>
        <w:t>ÓRGANO GARANTE</w:t>
      </w:r>
      <w:r w:rsidRPr="00054505">
        <w:rPr>
          <w:rFonts w:ascii="Palatino Linotype" w:eastAsia="Calibri" w:hAnsi="Palatino Linotype"/>
        </w:rPr>
        <w:t xml:space="preserve"> emite los siguientes:</w:t>
      </w:r>
      <w:bookmarkEnd w:id="4"/>
      <w:bookmarkEnd w:id="5"/>
      <w:bookmarkEnd w:id="6"/>
      <w:bookmarkEnd w:id="7"/>
    </w:p>
    <w:p w14:paraId="17970AE6" w14:textId="77777777" w:rsidR="004C3AFE" w:rsidRPr="00054505" w:rsidRDefault="004C3AFE" w:rsidP="004C3AFE">
      <w:pPr>
        <w:pStyle w:val="Sinespaciado"/>
        <w:tabs>
          <w:tab w:val="left" w:pos="284"/>
        </w:tabs>
        <w:spacing w:line="360" w:lineRule="auto"/>
        <w:contextualSpacing/>
        <w:jc w:val="both"/>
        <w:rPr>
          <w:rFonts w:ascii="Palatino Linotype" w:eastAsia="Calibri" w:hAnsi="Palatino Linotype"/>
        </w:rPr>
      </w:pPr>
    </w:p>
    <w:p w14:paraId="1889CD08" w14:textId="77777777" w:rsidR="004C3AFE" w:rsidRPr="00054505" w:rsidRDefault="004C3AFE" w:rsidP="004C3AFE">
      <w:pPr>
        <w:spacing w:line="360" w:lineRule="auto"/>
        <w:jc w:val="center"/>
        <w:rPr>
          <w:rFonts w:ascii="Palatino Linotype" w:hAnsi="Palatino Linotype"/>
          <w:b/>
          <w:lang w:val="es-ES"/>
        </w:rPr>
      </w:pPr>
      <w:r w:rsidRPr="00054505">
        <w:rPr>
          <w:rFonts w:ascii="Palatino Linotype" w:hAnsi="Palatino Linotype"/>
          <w:b/>
          <w:lang w:val="es-ES"/>
        </w:rPr>
        <w:t>R E S O L U T I V O S</w:t>
      </w:r>
    </w:p>
    <w:p w14:paraId="798B7D93" w14:textId="77777777" w:rsidR="004C3AFE" w:rsidRPr="00054505" w:rsidRDefault="004C3AFE" w:rsidP="004C3AFE">
      <w:pPr>
        <w:pStyle w:val="Sinespaciado"/>
        <w:spacing w:line="360" w:lineRule="auto"/>
        <w:jc w:val="both"/>
        <w:rPr>
          <w:rFonts w:ascii="Palatino Linotype" w:hAnsi="Palatino Linotype"/>
        </w:rPr>
      </w:pPr>
    </w:p>
    <w:p w14:paraId="775D7027" w14:textId="77777777" w:rsidR="004C3AFE" w:rsidRPr="00054505" w:rsidRDefault="004C3AFE" w:rsidP="004C3AFE">
      <w:pPr>
        <w:spacing w:line="360" w:lineRule="auto"/>
        <w:jc w:val="both"/>
        <w:rPr>
          <w:rFonts w:ascii="Palatino Linotype" w:eastAsiaTheme="minorHAnsi" w:hAnsi="Palatino Linotype" w:cstheme="minorBidi"/>
          <w:lang w:eastAsia="en-US"/>
        </w:rPr>
      </w:pPr>
      <w:r w:rsidRPr="00054505">
        <w:rPr>
          <w:rFonts w:ascii="Palatino Linotype" w:eastAsiaTheme="minorHAnsi" w:hAnsi="Palatino Linotype" w:cstheme="minorBidi"/>
          <w:b/>
          <w:lang w:eastAsia="en-US"/>
        </w:rPr>
        <w:t xml:space="preserve">PRIMERO. </w:t>
      </w:r>
      <w:r w:rsidRPr="00054505">
        <w:rPr>
          <w:rFonts w:ascii="Palatino Linotype" w:eastAsia="MS Mincho" w:hAnsi="Palatino Linotype"/>
          <w:lang w:val="es-ES_tradnl" w:eastAsia="es-ES"/>
        </w:rPr>
        <w:t xml:space="preserve">Se </w:t>
      </w:r>
      <w:r w:rsidRPr="00054505">
        <w:rPr>
          <w:rFonts w:ascii="Palatino Linotype" w:eastAsia="MS Mincho" w:hAnsi="Palatino Linotype"/>
          <w:b/>
          <w:lang w:val="es-ES_tradnl" w:eastAsia="es-ES"/>
        </w:rPr>
        <w:t>SOBRESEE</w:t>
      </w:r>
      <w:r w:rsidRPr="00054505">
        <w:rPr>
          <w:rFonts w:ascii="Palatino Linotype" w:eastAsia="MS Mincho" w:hAnsi="Palatino Linotype"/>
          <w:lang w:val="es-ES_tradnl" w:eastAsia="es-ES"/>
        </w:rPr>
        <w:t xml:space="preserve"> el recurso de revisión número </w:t>
      </w:r>
      <w:r w:rsidR="00D052A8" w:rsidRPr="00054505">
        <w:rPr>
          <w:rFonts w:ascii="Palatino Linotype" w:eastAsia="MS Mincho" w:hAnsi="Palatino Linotype"/>
          <w:b/>
          <w:lang w:val="es-ES_tradnl" w:eastAsia="es-ES"/>
        </w:rPr>
        <w:t>02268</w:t>
      </w:r>
      <w:r w:rsidRPr="00054505">
        <w:rPr>
          <w:rFonts w:ascii="Palatino Linotype" w:eastAsia="MS Mincho" w:hAnsi="Palatino Linotype"/>
          <w:b/>
          <w:lang w:val="es-ES_tradnl" w:eastAsia="es-ES"/>
        </w:rPr>
        <w:t xml:space="preserve">/INFOEM/IP/RR/2024 </w:t>
      </w:r>
      <w:r w:rsidRPr="00054505">
        <w:rPr>
          <w:rFonts w:ascii="Palatino Linotype" w:eastAsia="MS Mincho" w:hAnsi="Palatino Linotype"/>
          <w:bCs/>
          <w:lang w:val="es-ES_tradnl" w:eastAsia="es-ES"/>
        </w:rPr>
        <w:t>conforme al artículo 192 fracción III de la Ley de Transparencia y Acceso a la Información Pública del Estado de México y Municipios,</w:t>
      </w:r>
      <w:r w:rsidRPr="00054505">
        <w:rPr>
          <w:rFonts w:ascii="Palatino Linotype" w:eastAsia="MS Mincho" w:hAnsi="Palatino Linotype"/>
          <w:lang w:val="es-ES_tradnl" w:eastAsia="es-ES"/>
        </w:rPr>
        <w:t xml:space="preserve"> porque al </w:t>
      </w:r>
      <w:r w:rsidRPr="00054505">
        <w:rPr>
          <w:rFonts w:ascii="Palatino Linotype" w:eastAsia="MS Mincho" w:hAnsi="Palatino Linotype"/>
          <w:b/>
          <w:bCs/>
          <w:lang w:val="es-ES_tradnl" w:eastAsia="es-ES"/>
        </w:rPr>
        <w:t>modificar la respuesta a través del informe justificado y atender lo solicitado</w:t>
      </w:r>
      <w:r w:rsidRPr="00054505">
        <w:rPr>
          <w:rFonts w:ascii="Palatino Linotype" w:eastAsia="MS Mincho" w:hAnsi="Palatino Linotype"/>
          <w:lang w:val="es-ES_tradnl" w:eastAsia="es-ES"/>
        </w:rPr>
        <w:t xml:space="preserve">, el recurso de revisión quedó sin materia en términos del Considerando </w:t>
      </w:r>
      <w:r w:rsidRPr="00054505">
        <w:rPr>
          <w:rFonts w:ascii="Palatino Linotype" w:eastAsia="MS Mincho" w:hAnsi="Palatino Linotype"/>
          <w:b/>
          <w:lang w:val="es-ES_tradnl" w:eastAsia="es-ES"/>
        </w:rPr>
        <w:t>TERCERO</w:t>
      </w:r>
      <w:r w:rsidRPr="00054505">
        <w:rPr>
          <w:rFonts w:ascii="Palatino Linotype" w:eastAsia="MS Mincho" w:hAnsi="Palatino Linotype"/>
          <w:lang w:val="es-ES_tradnl" w:eastAsia="es-ES"/>
        </w:rPr>
        <w:t xml:space="preserve"> de la presente resolución.</w:t>
      </w:r>
    </w:p>
    <w:p w14:paraId="56A47CD5" w14:textId="77777777" w:rsidR="004C3AFE" w:rsidRPr="00054505" w:rsidRDefault="004C3AFE" w:rsidP="004C3AFE">
      <w:pPr>
        <w:spacing w:line="360" w:lineRule="auto"/>
        <w:jc w:val="both"/>
        <w:rPr>
          <w:rFonts w:ascii="Palatino Linotype" w:eastAsiaTheme="minorHAnsi" w:hAnsi="Palatino Linotype" w:cstheme="minorBidi"/>
          <w:lang w:eastAsia="en-US"/>
        </w:rPr>
      </w:pPr>
    </w:p>
    <w:p w14:paraId="7F55CA2C" w14:textId="77777777" w:rsidR="004C3AFE" w:rsidRPr="00054505" w:rsidRDefault="004C3AFE" w:rsidP="004C3AFE">
      <w:pPr>
        <w:spacing w:line="360" w:lineRule="auto"/>
        <w:jc w:val="both"/>
        <w:rPr>
          <w:rFonts w:ascii="Palatino Linotype" w:eastAsia="Calibri" w:hAnsi="Palatino Linotype" w:cs="Arial"/>
          <w:b/>
          <w:bCs/>
          <w:lang w:val="es-ES" w:eastAsia="en-US"/>
        </w:rPr>
      </w:pPr>
      <w:r w:rsidRPr="00054505">
        <w:rPr>
          <w:rFonts w:ascii="Palatino Linotype" w:eastAsia="Calibri" w:hAnsi="Palatino Linotype" w:cs="Arial"/>
          <w:b/>
          <w:bCs/>
          <w:lang w:val="es-ES" w:eastAsia="en-US"/>
        </w:rPr>
        <w:lastRenderedPageBreak/>
        <w:t xml:space="preserve">SEGUNDO. REMÍTASE </w:t>
      </w:r>
      <w:r w:rsidRPr="00054505">
        <w:rPr>
          <w:rFonts w:ascii="Palatino Linotype" w:eastAsia="Calibri" w:hAnsi="Palatino Linotype" w:cs="Arial"/>
          <w:bCs/>
          <w:lang w:val="es-ES" w:eastAsia="en-US"/>
        </w:rPr>
        <w:t xml:space="preserve">a través del Sistema de Acceso a la Información Mexiquense </w:t>
      </w:r>
      <w:r w:rsidRPr="00054505">
        <w:rPr>
          <w:rFonts w:ascii="Palatino Linotype" w:eastAsia="Calibri" w:hAnsi="Palatino Linotype" w:cs="Arial"/>
          <w:b/>
          <w:bCs/>
          <w:lang w:val="es-ES" w:eastAsia="en-US"/>
        </w:rPr>
        <w:t xml:space="preserve">(SAIMEX) </w:t>
      </w:r>
      <w:r w:rsidRPr="00054505">
        <w:rPr>
          <w:rFonts w:ascii="Palatino Linotype" w:eastAsia="Calibri" w:hAnsi="Palatino Linotype" w:cs="Arial"/>
          <w:bCs/>
          <w:lang w:val="es-ES" w:eastAsia="en-US"/>
        </w:rPr>
        <w:t>la presente resolución al Titular de la Unidad de Transparencia del</w:t>
      </w:r>
      <w:r w:rsidRPr="00054505">
        <w:rPr>
          <w:rFonts w:ascii="Palatino Linotype" w:eastAsia="Calibri" w:hAnsi="Palatino Linotype" w:cs="Arial"/>
          <w:b/>
          <w:bCs/>
          <w:lang w:val="es-ES" w:eastAsia="en-US"/>
        </w:rPr>
        <w:t xml:space="preserve"> SUJETO OBLIGADO. </w:t>
      </w:r>
    </w:p>
    <w:p w14:paraId="1939EF2D" w14:textId="77777777" w:rsidR="004C3AFE" w:rsidRPr="00054505" w:rsidRDefault="004C3AFE" w:rsidP="004C3AFE">
      <w:pPr>
        <w:tabs>
          <w:tab w:val="left" w:pos="3263"/>
        </w:tabs>
        <w:spacing w:line="360" w:lineRule="auto"/>
        <w:jc w:val="both"/>
        <w:rPr>
          <w:rFonts w:ascii="Palatino Linotype" w:eastAsia="Palatino Linotype" w:hAnsi="Palatino Linotype" w:cs="Palatino Linotype"/>
          <w:b/>
          <w:lang w:eastAsia="en-US"/>
        </w:rPr>
      </w:pPr>
      <w:r w:rsidRPr="00054505">
        <w:rPr>
          <w:rFonts w:ascii="Palatino Linotype" w:eastAsia="Palatino Linotype" w:hAnsi="Palatino Linotype" w:cs="Palatino Linotype"/>
          <w:b/>
          <w:lang w:eastAsia="en-US"/>
        </w:rPr>
        <w:tab/>
      </w:r>
    </w:p>
    <w:p w14:paraId="5E99481E" w14:textId="77777777" w:rsidR="004C3AFE" w:rsidRPr="00054505" w:rsidRDefault="004C3AFE" w:rsidP="004C3AFE">
      <w:pPr>
        <w:spacing w:line="360" w:lineRule="auto"/>
        <w:jc w:val="both"/>
        <w:rPr>
          <w:rFonts w:ascii="Palatino Linotype" w:hAnsi="Palatino Linotype"/>
          <w:color w:val="222222"/>
          <w:lang w:val="es-ES"/>
        </w:rPr>
      </w:pPr>
      <w:r w:rsidRPr="00054505">
        <w:rPr>
          <w:rFonts w:ascii="Palatino Linotype" w:hAnsi="Palatino Linotype" w:cs="Arial"/>
          <w:b/>
          <w:lang w:eastAsia="en-US"/>
        </w:rPr>
        <w:t xml:space="preserve">TERCERO. </w:t>
      </w:r>
      <w:r w:rsidRPr="00054505">
        <w:rPr>
          <w:rFonts w:ascii="Palatino Linotype" w:hAnsi="Palatino Linotype"/>
          <w:b/>
          <w:bCs/>
          <w:lang w:val="es-ES" w:eastAsia="en-US"/>
        </w:rPr>
        <w:t xml:space="preserve">Notifíquese </w:t>
      </w:r>
      <w:r w:rsidRPr="00054505">
        <w:rPr>
          <w:rFonts w:ascii="Palatino Linotype" w:hAnsi="Palatino Linotype"/>
          <w:bCs/>
          <w:lang w:val="es-ES" w:eastAsia="en-US"/>
        </w:rPr>
        <w:t xml:space="preserve">al </w:t>
      </w:r>
      <w:r w:rsidRPr="00054505">
        <w:rPr>
          <w:rFonts w:ascii="Palatino Linotype" w:hAnsi="Palatino Linotype"/>
          <w:b/>
          <w:bCs/>
          <w:lang w:val="es-ES" w:eastAsia="en-US"/>
        </w:rPr>
        <w:t>RECURRENTE</w:t>
      </w:r>
      <w:r w:rsidRPr="00054505">
        <w:rPr>
          <w:rFonts w:ascii="Palatino Linotype" w:eastAsiaTheme="minorHAnsi" w:hAnsi="Palatino Linotype" w:cstheme="minorBidi"/>
          <w:lang w:eastAsia="en-US"/>
        </w:rPr>
        <w:t xml:space="preserve"> </w:t>
      </w:r>
      <w:r w:rsidRPr="00054505">
        <w:rPr>
          <w:rFonts w:ascii="Palatino Linotype" w:hAnsi="Palatino Linotype"/>
          <w:lang w:val="es-ES"/>
        </w:rPr>
        <w:t>la presente resolución vía SAIMEX.</w:t>
      </w:r>
    </w:p>
    <w:p w14:paraId="39709EA2" w14:textId="77777777" w:rsidR="004C3AFE" w:rsidRPr="00054505" w:rsidRDefault="004C3AFE" w:rsidP="004C3AFE">
      <w:pPr>
        <w:spacing w:line="360" w:lineRule="auto"/>
        <w:jc w:val="both"/>
        <w:rPr>
          <w:rFonts w:ascii="Palatino Linotype" w:hAnsi="Palatino Linotype"/>
          <w:color w:val="222222"/>
          <w:lang w:val="es-ES"/>
        </w:rPr>
      </w:pPr>
    </w:p>
    <w:p w14:paraId="308290BB" w14:textId="77777777" w:rsidR="004C3AFE" w:rsidRPr="00054505" w:rsidRDefault="004C3AFE" w:rsidP="004C3AFE">
      <w:pPr>
        <w:spacing w:line="360" w:lineRule="auto"/>
        <w:jc w:val="both"/>
        <w:rPr>
          <w:rFonts w:ascii="Palatino Linotype" w:eastAsia="MS Mincho" w:hAnsi="Palatino Linotype"/>
          <w:lang w:val="es-ES" w:eastAsia="es-ES"/>
        </w:rPr>
      </w:pPr>
      <w:r w:rsidRPr="00054505">
        <w:rPr>
          <w:rFonts w:ascii="Palatino Linotype" w:eastAsia="MS Mincho" w:hAnsi="Palatino Linotype"/>
          <w:b/>
          <w:lang w:eastAsia="es-ES"/>
        </w:rPr>
        <w:t>CUARTO.</w:t>
      </w:r>
      <w:r w:rsidRPr="00054505">
        <w:rPr>
          <w:rFonts w:ascii="Palatino Linotype" w:eastAsia="MS Mincho" w:hAnsi="Palatino Linotype"/>
          <w:lang w:eastAsia="es-ES"/>
        </w:rPr>
        <w:t xml:space="preserve"> </w:t>
      </w:r>
      <w:r w:rsidRPr="00054505">
        <w:rPr>
          <w:rFonts w:ascii="Palatino Linotype" w:eastAsia="MS Mincho" w:hAnsi="Palatino Linotype"/>
          <w:lang w:val="es-ES" w:eastAsia="es-ES"/>
        </w:rPr>
        <w:t xml:space="preserve">Se hace del conocimiento del </w:t>
      </w:r>
      <w:r w:rsidRPr="00054505">
        <w:rPr>
          <w:rFonts w:ascii="Palatino Linotype" w:hAnsi="Palatino Linotype"/>
          <w:b/>
          <w:bCs/>
          <w:lang w:val="es-ES" w:eastAsia="es-ES"/>
        </w:rPr>
        <w:t>RECURRENTE</w:t>
      </w:r>
      <w:r w:rsidRPr="00054505">
        <w:rPr>
          <w:rFonts w:ascii="Palatino Linotype" w:eastAsiaTheme="minorEastAsia" w:hAnsi="Palatino Linotype" w:cstheme="minorBidi"/>
          <w:lang w:val="es-ES_tradnl" w:eastAsia="es-ES"/>
        </w:rPr>
        <w:t xml:space="preserve"> que</w:t>
      </w:r>
      <w:r w:rsidRPr="00054505">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algún perjuicio podrá impugnarla </w:t>
      </w:r>
      <w:r w:rsidRPr="00054505">
        <w:rPr>
          <w:rFonts w:ascii="Palatino Linotype" w:eastAsia="MS Mincho" w:hAnsi="Palatino Linotype"/>
          <w:bCs/>
          <w:lang w:val="es-ES" w:eastAsia="es-ES"/>
        </w:rPr>
        <w:t>vía juicio de amparo</w:t>
      </w:r>
      <w:r w:rsidRPr="00054505">
        <w:rPr>
          <w:rFonts w:ascii="Palatino Linotype" w:eastAsia="MS Mincho" w:hAnsi="Palatino Linotype"/>
          <w:lang w:val="es-ES" w:eastAsia="es-ES"/>
        </w:rPr>
        <w:t> en los términos de las leyes aplicables.</w:t>
      </w:r>
    </w:p>
    <w:p w14:paraId="1BF734A5" w14:textId="77777777" w:rsidR="004C3AFE" w:rsidRPr="00054505" w:rsidRDefault="004C3AFE" w:rsidP="004C3AFE">
      <w:pPr>
        <w:spacing w:line="360" w:lineRule="auto"/>
        <w:jc w:val="both"/>
        <w:rPr>
          <w:rFonts w:ascii="Palatino Linotype" w:eastAsia="MS Mincho" w:hAnsi="Palatino Linotype"/>
          <w:lang w:val="es-ES"/>
        </w:rPr>
      </w:pPr>
    </w:p>
    <w:p w14:paraId="75AB6831" w14:textId="77777777" w:rsidR="003C232A" w:rsidRPr="003C7186" w:rsidRDefault="003C232A" w:rsidP="003C232A">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4BC9203A"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7DE637CB" w14:textId="77777777" w:rsidR="004C3AFE" w:rsidRPr="00054505" w:rsidRDefault="004C3AFE" w:rsidP="004C3AFE">
      <w:pPr>
        <w:pStyle w:val="Prrafodelista"/>
        <w:spacing w:line="360" w:lineRule="auto"/>
        <w:ind w:left="0"/>
        <w:jc w:val="both"/>
        <w:rPr>
          <w:rFonts w:ascii="Palatino Linotype" w:hAnsi="Palatino Linotype" w:cs="Arial"/>
          <w:sz w:val="24"/>
          <w:lang w:val="es-ES" w:eastAsia="es-ES"/>
        </w:rPr>
      </w:pPr>
    </w:p>
    <w:p w14:paraId="03F76814" w14:textId="77777777" w:rsidR="004C3AFE" w:rsidRPr="00054505" w:rsidRDefault="004C3AFE" w:rsidP="004C3AFE"/>
    <w:p w14:paraId="45606829" w14:textId="77777777" w:rsidR="004C3AFE" w:rsidRPr="00054505" w:rsidRDefault="004C3AFE" w:rsidP="004C3AFE"/>
    <w:p w14:paraId="1E88BCC5" w14:textId="77777777" w:rsidR="004C3AFE" w:rsidRPr="00054505" w:rsidRDefault="004C3AFE" w:rsidP="004C3AFE"/>
    <w:p w14:paraId="7EBE9D2A" w14:textId="77777777" w:rsidR="00DD1FB8" w:rsidRPr="00054505" w:rsidRDefault="00DD1FB8"/>
    <w:sectPr w:rsidR="00DD1FB8" w:rsidRPr="00054505" w:rsidSect="00054505">
      <w:headerReference w:type="even" r:id="rId16"/>
      <w:headerReference w:type="default" r:id="rId17"/>
      <w:footerReference w:type="default" r:id="rId18"/>
      <w:headerReference w:type="first" r:id="rId19"/>
      <w:footerReference w:type="first" r:id="rId20"/>
      <w:pgSz w:w="12240" w:h="15840"/>
      <w:pgMar w:top="80" w:right="1183"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59C2" w14:textId="77777777" w:rsidR="00E25EAA" w:rsidRDefault="00E25EAA" w:rsidP="004C3AFE">
      <w:r>
        <w:separator/>
      </w:r>
    </w:p>
  </w:endnote>
  <w:endnote w:type="continuationSeparator" w:id="0">
    <w:p w14:paraId="65B44887" w14:textId="77777777" w:rsidR="00E25EAA" w:rsidRDefault="00E25EAA" w:rsidP="004C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071" w14:textId="77777777" w:rsidR="00E136EB" w:rsidRDefault="00E136EB">
    <w:pPr>
      <w:pStyle w:val="Piedepgina"/>
      <w:jc w:val="right"/>
    </w:pPr>
    <w:r>
      <w:rPr>
        <w:lang w:val="es-ES"/>
      </w:rPr>
      <w:t xml:space="preserve">Página </w:t>
    </w:r>
    <w:r>
      <w:rPr>
        <w:b/>
        <w:bCs/>
      </w:rPr>
      <w:fldChar w:fldCharType="begin"/>
    </w:r>
    <w:r>
      <w:rPr>
        <w:b/>
        <w:bCs/>
      </w:rPr>
      <w:instrText>PAGE</w:instrText>
    </w:r>
    <w:r>
      <w:rPr>
        <w:b/>
        <w:bCs/>
      </w:rPr>
      <w:fldChar w:fldCharType="separate"/>
    </w:r>
    <w:r w:rsidR="003C232A">
      <w:rPr>
        <w:b/>
        <w:bCs/>
        <w:noProof/>
      </w:rPr>
      <w:t>23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C232A">
      <w:rPr>
        <w:b/>
        <w:bCs/>
        <w:noProof/>
      </w:rPr>
      <w:t>25</w:t>
    </w:r>
    <w:r>
      <w:rPr>
        <w:b/>
        <w:bCs/>
      </w:rPr>
      <w:fldChar w:fldCharType="end"/>
    </w:r>
  </w:p>
  <w:p w14:paraId="5A1C4E9E" w14:textId="77777777" w:rsidR="00E136EB" w:rsidRDefault="00E136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C98F" w14:textId="77777777" w:rsidR="00E136EB" w:rsidRDefault="00E136EB">
    <w:pPr>
      <w:pStyle w:val="Piedepgina"/>
      <w:jc w:val="right"/>
    </w:pPr>
    <w:r>
      <w:rPr>
        <w:lang w:val="es-ES"/>
      </w:rPr>
      <w:t xml:space="preserve">Página </w:t>
    </w:r>
    <w:r>
      <w:rPr>
        <w:b/>
        <w:bCs/>
      </w:rPr>
      <w:fldChar w:fldCharType="begin"/>
    </w:r>
    <w:r>
      <w:rPr>
        <w:b/>
        <w:bCs/>
      </w:rPr>
      <w:instrText>PAGE</w:instrText>
    </w:r>
    <w:r>
      <w:rPr>
        <w:b/>
        <w:bCs/>
      </w:rPr>
      <w:fldChar w:fldCharType="separate"/>
    </w:r>
    <w:r w:rsidR="003C232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C232A">
      <w:rPr>
        <w:b/>
        <w:bCs/>
        <w:noProof/>
      </w:rPr>
      <w:t>25</w:t>
    </w:r>
    <w:r>
      <w:rPr>
        <w:b/>
        <w:bCs/>
      </w:rPr>
      <w:fldChar w:fldCharType="end"/>
    </w:r>
  </w:p>
  <w:p w14:paraId="5A901F15" w14:textId="77777777" w:rsidR="00E136EB" w:rsidRDefault="00E136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A6EA" w14:textId="77777777" w:rsidR="00E25EAA" w:rsidRDefault="00E25EAA" w:rsidP="004C3AFE">
      <w:r>
        <w:separator/>
      </w:r>
    </w:p>
  </w:footnote>
  <w:footnote w:type="continuationSeparator" w:id="0">
    <w:p w14:paraId="316B2C20" w14:textId="77777777" w:rsidR="00E25EAA" w:rsidRDefault="00E25EAA" w:rsidP="004C3AFE">
      <w:r>
        <w:continuationSeparator/>
      </w:r>
    </w:p>
  </w:footnote>
  <w:footnote w:id="1">
    <w:p w14:paraId="345B9D89" w14:textId="77777777" w:rsidR="00E136EB" w:rsidRDefault="00E136EB" w:rsidP="004C3AFE">
      <w:pPr>
        <w:pStyle w:val="Textonotapie"/>
      </w:pPr>
      <w:r>
        <w:rPr>
          <w:rStyle w:val="Refdenotaalpie"/>
        </w:rPr>
        <w:footnoteRef/>
      </w:r>
      <w:r>
        <w:t xml:space="preserve"> Artículo 150. Ley de Transparencia y Acceso a la Información Pública del Estado de México y Municipios.</w:t>
      </w:r>
    </w:p>
    <w:p w14:paraId="39B7654A" w14:textId="77777777" w:rsidR="00E136EB" w:rsidRDefault="00E136EB" w:rsidP="004C3AFE">
      <w:pPr>
        <w:pStyle w:val="Textonotapie"/>
      </w:pPr>
      <w:r>
        <w:t>Artículo 151. Ibídem.</w:t>
      </w:r>
    </w:p>
  </w:footnote>
  <w:footnote w:id="2">
    <w:p w14:paraId="4BB59D87" w14:textId="77777777" w:rsidR="00E136EB" w:rsidRDefault="00E136EB" w:rsidP="004C3AFE">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79C5" w14:textId="77777777" w:rsidR="00E136EB" w:rsidRDefault="00E25EAA">
    <w:pPr>
      <w:pStyle w:val="Encabezado"/>
    </w:pPr>
    <w:r>
      <w:rPr>
        <w:noProof/>
      </w:rPr>
      <w:pict w14:anchorId="3DA36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E136EB" w:rsidRPr="005C106F" w14:paraId="7AAE21F6" w14:textId="77777777" w:rsidTr="00E136EB">
      <w:trPr>
        <w:trHeight w:val="1435"/>
      </w:trPr>
      <w:tc>
        <w:tcPr>
          <w:tcW w:w="2268" w:type="dxa"/>
          <w:shd w:val="clear" w:color="auto" w:fill="auto"/>
        </w:tcPr>
        <w:p w14:paraId="5F009154" w14:textId="77777777" w:rsidR="00E136EB" w:rsidRPr="005C106F" w:rsidRDefault="00E136EB" w:rsidP="00E136EB">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168" w:type="dxa"/>
            <w:tblLayout w:type="fixed"/>
            <w:tblLook w:val="0420" w:firstRow="1" w:lastRow="0" w:firstColumn="0" w:lastColumn="0" w:noHBand="0" w:noVBand="1"/>
          </w:tblPr>
          <w:tblGrid>
            <w:gridCol w:w="2551"/>
            <w:gridCol w:w="4111"/>
          </w:tblGrid>
          <w:tr w:rsidR="00E136EB" w14:paraId="0FA60025" w14:textId="77777777" w:rsidTr="00054505">
            <w:trPr>
              <w:trHeight w:val="150"/>
            </w:trPr>
            <w:tc>
              <w:tcPr>
                <w:tcW w:w="2551" w:type="dxa"/>
                <w:shd w:val="clear" w:color="auto" w:fill="auto"/>
              </w:tcPr>
              <w:p w14:paraId="33D42872" w14:textId="77777777" w:rsidR="00E136EB" w:rsidRPr="00020E73" w:rsidRDefault="00E136EB" w:rsidP="00E136E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6D206A96" w14:textId="77777777" w:rsidR="00E136EB" w:rsidRPr="00020E73" w:rsidRDefault="00E136EB" w:rsidP="00E136EB">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02268/INFOEM/IP/RR/2024</w:t>
                </w:r>
              </w:p>
            </w:tc>
          </w:tr>
          <w:tr w:rsidR="00E136EB" w14:paraId="76890E4B" w14:textId="77777777" w:rsidTr="00054505">
            <w:trPr>
              <w:trHeight w:val="295"/>
            </w:trPr>
            <w:tc>
              <w:tcPr>
                <w:tcW w:w="2551" w:type="dxa"/>
                <w:shd w:val="clear" w:color="auto" w:fill="auto"/>
              </w:tcPr>
              <w:p w14:paraId="6E604476" w14:textId="77777777" w:rsidR="00E136EB" w:rsidRPr="00020E73" w:rsidRDefault="00E136EB" w:rsidP="00E136EB">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7E2F4578" w14:textId="77777777" w:rsidR="00E136EB" w:rsidRPr="0043125E" w:rsidRDefault="00E136EB" w:rsidP="00E136EB">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Huixquilucan</w:t>
                </w:r>
              </w:p>
            </w:tc>
          </w:tr>
          <w:tr w:rsidR="00E136EB" w14:paraId="200179B9" w14:textId="77777777" w:rsidTr="00054505">
            <w:trPr>
              <w:trHeight w:val="295"/>
            </w:trPr>
            <w:tc>
              <w:tcPr>
                <w:tcW w:w="2551" w:type="dxa"/>
                <w:shd w:val="clear" w:color="auto" w:fill="auto"/>
              </w:tcPr>
              <w:p w14:paraId="02F63D46" w14:textId="77777777" w:rsidR="00E136EB" w:rsidRPr="00020E73" w:rsidRDefault="00E136EB" w:rsidP="00E136EB">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B995ACE" w14:textId="77777777" w:rsidR="00E136EB" w:rsidRPr="00020E73" w:rsidRDefault="00E136EB" w:rsidP="00E136EB">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53D6968" w14:textId="77777777" w:rsidR="00E136EB" w:rsidRPr="00020E73" w:rsidRDefault="00E136EB" w:rsidP="00E136EB">
                <w:pPr>
                  <w:tabs>
                    <w:tab w:val="right" w:pos="8838"/>
                  </w:tabs>
                  <w:ind w:left="-108" w:right="171"/>
                  <w:jc w:val="both"/>
                  <w:rPr>
                    <w:rFonts w:ascii="Palatino Linotype" w:eastAsia="Calibri" w:hAnsi="Palatino Linotype" w:cs="Tahoma"/>
                    <w:b/>
                    <w:sz w:val="22"/>
                    <w:szCs w:val="22"/>
                    <w:lang w:val="es-ES" w:eastAsia="en-US"/>
                  </w:rPr>
                </w:pPr>
              </w:p>
            </w:tc>
          </w:tr>
        </w:tbl>
        <w:p w14:paraId="73A777DC" w14:textId="77777777" w:rsidR="00E136EB" w:rsidRPr="005C106F" w:rsidRDefault="00E136EB" w:rsidP="00E136EB">
          <w:pPr>
            <w:tabs>
              <w:tab w:val="right" w:pos="8838"/>
            </w:tabs>
            <w:ind w:left="-28"/>
            <w:jc w:val="both"/>
            <w:rPr>
              <w:rFonts w:ascii="Arial" w:eastAsia="Calibri" w:hAnsi="Arial" w:cs="Arial"/>
              <w:b/>
              <w:sz w:val="22"/>
              <w:szCs w:val="22"/>
              <w:lang w:eastAsia="en-US"/>
            </w:rPr>
          </w:pPr>
        </w:p>
      </w:tc>
    </w:tr>
  </w:tbl>
  <w:p w14:paraId="0559E211" w14:textId="77777777" w:rsidR="00E136EB" w:rsidRPr="00443C6B" w:rsidRDefault="00E25EAA" w:rsidP="00E136EB">
    <w:pPr>
      <w:pStyle w:val="Encabezado"/>
      <w:rPr>
        <w:sz w:val="14"/>
      </w:rPr>
    </w:pPr>
    <w:r>
      <w:rPr>
        <w:noProof/>
        <w:sz w:val="14"/>
      </w:rPr>
      <w:pict w14:anchorId="4207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E136EB" w:rsidRPr="00330DA7" w14:paraId="56E20BFC" w14:textId="77777777" w:rsidTr="00E136EB">
      <w:trPr>
        <w:trHeight w:val="1435"/>
      </w:trPr>
      <w:tc>
        <w:tcPr>
          <w:tcW w:w="2268" w:type="dxa"/>
          <w:shd w:val="clear" w:color="auto" w:fill="auto"/>
        </w:tcPr>
        <w:p w14:paraId="3DDD802F" w14:textId="77777777" w:rsidR="00E136EB" w:rsidRPr="00330DA7" w:rsidRDefault="00E136EB" w:rsidP="00E136EB">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885" w:type="dxa"/>
            <w:tblLayout w:type="fixed"/>
            <w:tblLook w:val="0420" w:firstRow="1" w:lastRow="0" w:firstColumn="0" w:lastColumn="0" w:noHBand="0" w:noVBand="1"/>
          </w:tblPr>
          <w:tblGrid>
            <w:gridCol w:w="2444"/>
            <w:gridCol w:w="4218"/>
          </w:tblGrid>
          <w:tr w:rsidR="00E136EB" w:rsidRPr="00330DA7" w14:paraId="1613DB07" w14:textId="77777777" w:rsidTr="00054505">
            <w:trPr>
              <w:trHeight w:val="144"/>
            </w:trPr>
            <w:tc>
              <w:tcPr>
                <w:tcW w:w="2444" w:type="dxa"/>
                <w:shd w:val="clear" w:color="auto" w:fill="auto"/>
              </w:tcPr>
              <w:p w14:paraId="758B52DA" w14:textId="77777777" w:rsidR="00E136EB" w:rsidRPr="00020E73" w:rsidRDefault="00E136EB" w:rsidP="00E136EB">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7CF675D8" w14:textId="77777777" w:rsidR="00E136EB" w:rsidRPr="00020E73" w:rsidRDefault="00E136EB" w:rsidP="00E136EB">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02268/INFOEM/IP/RR/2024</w:t>
                </w:r>
              </w:p>
            </w:tc>
          </w:tr>
          <w:tr w:rsidR="00E136EB" w:rsidRPr="00330DA7" w14:paraId="57DDF747" w14:textId="77777777" w:rsidTr="00054505">
            <w:trPr>
              <w:trHeight w:val="144"/>
            </w:trPr>
            <w:tc>
              <w:tcPr>
                <w:tcW w:w="2444" w:type="dxa"/>
                <w:shd w:val="clear" w:color="auto" w:fill="auto"/>
              </w:tcPr>
              <w:p w14:paraId="12C66341" w14:textId="77777777" w:rsidR="00E136EB" w:rsidRPr="00020E73" w:rsidRDefault="00E136EB" w:rsidP="00E136EB">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5FDA6192" w14:textId="51641A36" w:rsidR="00E136EB" w:rsidRPr="007478AE" w:rsidRDefault="00EF0920" w:rsidP="00E136EB">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
                    <w:bCs/>
                    <w:sz w:val="22"/>
                    <w:szCs w:val="22"/>
                    <w:lang w:eastAsia="en-US"/>
                  </w:rPr>
                  <w:t xml:space="preserve">XXX </w:t>
                </w:r>
                <w:proofErr w:type="spellStart"/>
                <w:r>
                  <w:rPr>
                    <w:rFonts w:ascii="Palatino Linotype" w:eastAsia="Calibri" w:hAnsi="Palatino Linotype" w:cs="Tahoma"/>
                    <w:b/>
                    <w:bCs/>
                    <w:sz w:val="22"/>
                    <w:szCs w:val="22"/>
                    <w:lang w:eastAsia="en-US"/>
                  </w:rPr>
                  <w:t>XXX</w:t>
                </w:r>
                <w:proofErr w:type="spellEnd"/>
              </w:p>
            </w:tc>
          </w:tr>
          <w:tr w:rsidR="00E136EB" w:rsidRPr="00330DA7" w14:paraId="373B5973" w14:textId="77777777" w:rsidTr="00054505">
            <w:trPr>
              <w:trHeight w:val="283"/>
            </w:trPr>
            <w:tc>
              <w:tcPr>
                <w:tcW w:w="2444" w:type="dxa"/>
                <w:shd w:val="clear" w:color="auto" w:fill="auto"/>
              </w:tcPr>
              <w:p w14:paraId="79644571" w14:textId="77777777" w:rsidR="00E136EB" w:rsidRPr="00020E73" w:rsidRDefault="00E136EB" w:rsidP="00E136EB">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6C8FA69" w14:textId="77777777" w:rsidR="00E136EB" w:rsidRPr="0043125E" w:rsidRDefault="00E136EB" w:rsidP="00E136EB">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Huixquilucan</w:t>
                </w:r>
              </w:p>
            </w:tc>
          </w:tr>
          <w:tr w:rsidR="00E136EB" w:rsidRPr="00330DA7" w14:paraId="364A41CB" w14:textId="77777777" w:rsidTr="00054505">
            <w:trPr>
              <w:trHeight w:val="283"/>
            </w:trPr>
            <w:tc>
              <w:tcPr>
                <w:tcW w:w="2444" w:type="dxa"/>
                <w:shd w:val="clear" w:color="auto" w:fill="auto"/>
              </w:tcPr>
              <w:p w14:paraId="7AE3594E" w14:textId="77777777" w:rsidR="00E136EB" w:rsidRPr="00020E73" w:rsidRDefault="00E136EB" w:rsidP="00E136EB">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EE5FEF1" w14:textId="77777777" w:rsidR="00E136EB" w:rsidRPr="00020E73" w:rsidRDefault="00E136EB" w:rsidP="00E136EB">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8725C42" w14:textId="77777777" w:rsidR="00E136EB" w:rsidRPr="00020E73" w:rsidRDefault="00E136EB" w:rsidP="00E136EB">
                <w:pPr>
                  <w:tabs>
                    <w:tab w:val="right" w:pos="8838"/>
                  </w:tabs>
                  <w:ind w:left="-74" w:right="-105"/>
                  <w:jc w:val="both"/>
                  <w:rPr>
                    <w:rFonts w:ascii="Palatino Linotype" w:eastAsia="Calibri" w:hAnsi="Palatino Linotype" w:cs="Tahoma"/>
                    <w:b/>
                    <w:sz w:val="22"/>
                    <w:szCs w:val="22"/>
                    <w:lang w:val="es-ES" w:eastAsia="en-US"/>
                  </w:rPr>
                </w:pPr>
              </w:p>
            </w:tc>
          </w:tr>
        </w:tbl>
        <w:p w14:paraId="59CADF36" w14:textId="77777777" w:rsidR="00E136EB" w:rsidRPr="00330DA7" w:rsidRDefault="00E136EB" w:rsidP="00E136EB">
          <w:pPr>
            <w:tabs>
              <w:tab w:val="right" w:pos="8838"/>
            </w:tabs>
            <w:ind w:left="-28"/>
            <w:jc w:val="both"/>
            <w:rPr>
              <w:rFonts w:ascii="Arial" w:eastAsia="Calibri" w:hAnsi="Arial" w:cs="Arial"/>
              <w:b/>
              <w:sz w:val="22"/>
              <w:szCs w:val="22"/>
              <w:lang w:eastAsia="en-US"/>
            </w:rPr>
          </w:pPr>
        </w:p>
      </w:tc>
    </w:tr>
  </w:tbl>
  <w:p w14:paraId="38F29591" w14:textId="77777777" w:rsidR="00E136EB" w:rsidRPr="00827FA0" w:rsidRDefault="00E25EAA" w:rsidP="00E136EB">
    <w:pPr>
      <w:pStyle w:val="Encabezado"/>
      <w:rPr>
        <w:sz w:val="2"/>
        <w:szCs w:val="22"/>
      </w:rPr>
    </w:pPr>
    <w:r>
      <w:rPr>
        <w:noProof/>
        <w:sz w:val="2"/>
        <w:szCs w:val="22"/>
      </w:rPr>
      <w:pict w14:anchorId="24FDB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A84A4B"/>
    <w:multiLevelType w:val="hybridMultilevel"/>
    <w:tmpl w:val="356E3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698162164">
    <w:abstractNumId w:val="0"/>
  </w:num>
  <w:num w:numId="2" w16cid:durableId="2092265948">
    <w:abstractNumId w:val="4"/>
  </w:num>
  <w:num w:numId="3" w16cid:durableId="1587957799">
    <w:abstractNumId w:val="2"/>
  </w:num>
  <w:num w:numId="4" w16cid:durableId="1312902505">
    <w:abstractNumId w:val="1"/>
  </w:num>
  <w:num w:numId="5" w16cid:durableId="64901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FE"/>
    <w:rsid w:val="00054505"/>
    <w:rsid w:val="000A66AC"/>
    <w:rsid w:val="003C232A"/>
    <w:rsid w:val="004C3AFE"/>
    <w:rsid w:val="005F6A72"/>
    <w:rsid w:val="008554F6"/>
    <w:rsid w:val="008B3548"/>
    <w:rsid w:val="00C62C8A"/>
    <w:rsid w:val="00D052A8"/>
    <w:rsid w:val="00DD1FB8"/>
    <w:rsid w:val="00DE752B"/>
    <w:rsid w:val="00E11CC8"/>
    <w:rsid w:val="00E136EB"/>
    <w:rsid w:val="00E25EAA"/>
    <w:rsid w:val="00EF0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B60DB"/>
  <w15:chartTrackingRefBased/>
  <w15:docId w15:val="{DC22DC44-BA22-419E-859E-04528BDD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FE"/>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4C3A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C3AFE"/>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4C3AFE"/>
    <w:pPr>
      <w:tabs>
        <w:tab w:val="center" w:pos="4419"/>
        <w:tab w:val="right" w:pos="8838"/>
      </w:tabs>
    </w:pPr>
  </w:style>
  <w:style w:type="character" w:customStyle="1" w:styleId="EncabezadoCar">
    <w:name w:val="Encabezado Car"/>
    <w:basedOn w:val="Fuentedeprrafopredeter"/>
    <w:link w:val="Encabezado"/>
    <w:uiPriority w:val="99"/>
    <w:rsid w:val="004C3AF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C3AFE"/>
    <w:pPr>
      <w:tabs>
        <w:tab w:val="center" w:pos="4419"/>
        <w:tab w:val="right" w:pos="8838"/>
      </w:tabs>
    </w:pPr>
  </w:style>
  <w:style w:type="character" w:customStyle="1" w:styleId="PiedepginaCar">
    <w:name w:val="Pie de página Car"/>
    <w:basedOn w:val="Fuentedeprrafopredeter"/>
    <w:link w:val="Piedepgina"/>
    <w:uiPriority w:val="99"/>
    <w:rsid w:val="004C3AF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C3AF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C3AF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4C3AFE"/>
    <w:rPr>
      <w:color w:val="0563C1"/>
      <w:u w:val="single"/>
    </w:rPr>
  </w:style>
  <w:style w:type="paragraph" w:styleId="Sinespaciado">
    <w:name w:val="No Spacing"/>
    <w:aliases w:val="Francesa,INAI"/>
    <w:link w:val="SinespaciadoCar"/>
    <w:uiPriority w:val="1"/>
    <w:qFormat/>
    <w:rsid w:val="004C3AF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C3AFE"/>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C3AF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C3AF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C3AFE"/>
    <w:rPr>
      <w:vertAlign w:val="superscript"/>
    </w:rPr>
  </w:style>
  <w:style w:type="character" w:styleId="Referenciasutil">
    <w:name w:val="Subtle Reference"/>
    <w:basedOn w:val="Fuentedeprrafopredeter"/>
    <w:uiPriority w:val="31"/>
    <w:qFormat/>
    <w:rsid w:val="0005450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01194.page"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imex.org.mx/saimex/solicitud/downloadAttach/2070993.page"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aimex.org.mx/saimex/solicitud/downloadAttach/2101195.page"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26</Pages>
  <Words>5316</Words>
  <Characters>29239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5</cp:revision>
  <dcterms:created xsi:type="dcterms:W3CDTF">2024-09-12T17:15:00Z</dcterms:created>
  <dcterms:modified xsi:type="dcterms:W3CDTF">2024-10-02T19:25:00Z</dcterms:modified>
</cp:coreProperties>
</file>