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26F3B" w14:textId="77777777" w:rsidR="00000CC7" w:rsidRDefault="00000CC7">
      <w:pPr>
        <w:widowControl w:val="0"/>
        <w:pBdr>
          <w:top w:val="nil"/>
          <w:left w:val="nil"/>
          <w:bottom w:val="nil"/>
          <w:right w:val="nil"/>
          <w:between w:val="nil"/>
        </w:pBdr>
        <w:spacing w:line="276" w:lineRule="auto"/>
      </w:pPr>
      <w:bookmarkStart w:id="0" w:name="_GoBack"/>
      <w:bookmarkEnd w:id="0"/>
    </w:p>
    <w:p w14:paraId="61D1F104" w14:textId="4DD5EE6D" w:rsidR="00000CC7" w:rsidRPr="00FB5E68" w:rsidRDefault="009136C3" w:rsidP="00060B94">
      <w:pPr>
        <w:tabs>
          <w:tab w:val="left" w:pos="0"/>
        </w:tabs>
        <w:spacing w:line="360" w:lineRule="auto"/>
        <w:ind w:right="1"/>
        <w:jc w:val="both"/>
        <w:rPr>
          <w:rFonts w:ascii="Palatino Linotype" w:eastAsia="Palatino Linotype" w:hAnsi="Palatino Linotype" w:cs="Palatino Linotype"/>
        </w:rPr>
      </w:pPr>
      <w:r w:rsidRPr="00FB5E68">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dieci</w:t>
      </w:r>
      <w:r w:rsidR="008E7973" w:rsidRPr="00FB5E68">
        <w:rPr>
          <w:rFonts w:ascii="Palatino Linotype" w:eastAsia="Palatino Linotype" w:hAnsi="Palatino Linotype" w:cs="Palatino Linotype"/>
        </w:rPr>
        <w:t xml:space="preserve">ocho </w:t>
      </w:r>
      <w:r w:rsidR="0063093C" w:rsidRPr="00FB5E68">
        <w:rPr>
          <w:rFonts w:ascii="Palatino Linotype" w:eastAsia="Palatino Linotype" w:hAnsi="Palatino Linotype" w:cs="Palatino Linotype"/>
        </w:rPr>
        <w:t xml:space="preserve">(18) </w:t>
      </w:r>
      <w:r w:rsidR="008E7973" w:rsidRPr="00FB5E68">
        <w:rPr>
          <w:rFonts w:ascii="Palatino Linotype" w:eastAsia="Palatino Linotype" w:hAnsi="Palatino Linotype" w:cs="Palatino Linotype"/>
        </w:rPr>
        <w:t xml:space="preserve">de diciembre </w:t>
      </w:r>
      <w:r w:rsidRPr="00FB5E68">
        <w:rPr>
          <w:rFonts w:ascii="Palatino Linotype" w:eastAsia="Palatino Linotype" w:hAnsi="Palatino Linotype" w:cs="Palatino Linotype"/>
        </w:rPr>
        <w:t xml:space="preserve">de dos mil veinticuatro. </w:t>
      </w:r>
    </w:p>
    <w:p w14:paraId="4E180456" w14:textId="77777777" w:rsidR="00000CC7" w:rsidRPr="00FB5E68" w:rsidRDefault="00000CC7">
      <w:pPr>
        <w:tabs>
          <w:tab w:val="left" w:pos="0"/>
        </w:tabs>
        <w:spacing w:line="360" w:lineRule="auto"/>
        <w:ind w:right="1"/>
        <w:jc w:val="both"/>
        <w:rPr>
          <w:rFonts w:ascii="Palatino Linotype" w:eastAsia="Palatino Linotype" w:hAnsi="Palatino Linotype" w:cs="Palatino Linotype"/>
        </w:rPr>
      </w:pPr>
    </w:p>
    <w:p w14:paraId="0A6B47F0" w14:textId="5E8B8188" w:rsidR="00000CC7" w:rsidRPr="00FB5E68" w:rsidRDefault="009136C3">
      <w:pPr>
        <w:tabs>
          <w:tab w:val="left" w:pos="0"/>
        </w:tabs>
        <w:spacing w:line="360" w:lineRule="auto"/>
        <w:ind w:right="1"/>
        <w:jc w:val="both"/>
        <w:rPr>
          <w:rFonts w:ascii="Palatino Linotype" w:eastAsia="Palatino Linotype" w:hAnsi="Palatino Linotype" w:cs="Palatino Linotype"/>
        </w:rPr>
      </w:pPr>
      <w:r w:rsidRPr="00FB5E68">
        <w:rPr>
          <w:rFonts w:ascii="Palatino Linotype" w:eastAsia="Palatino Linotype" w:hAnsi="Palatino Linotype" w:cs="Palatino Linotype"/>
          <w:b/>
        </w:rPr>
        <w:t>VISTO</w:t>
      </w:r>
      <w:r w:rsidRPr="00FB5E68">
        <w:rPr>
          <w:rFonts w:ascii="Palatino Linotype" w:eastAsia="Palatino Linotype" w:hAnsi="Palatino Linotype" w:cs="Palatino Linotype"/>
        </w:rPr>
        <w:t xml:space="preserve"> el </w:t>
      </w:r>
      <w:r w:rsidRPr="00FB5E68">
        <w:rPr>
          <w:rFonts w:ascii="Palatino Linotype" w:eastAsia="Palatino Linotype" w:hAnsi="Palatino Linotype" w:cs="Palatino Linotype"/>
          <w:b/>
          <w:bCs/>
        </w:rPr>
        <w:t>expediente</w:t>
      </w:r>
      <w:r w:rsidRPr="00FB5E68">
        <w:rPr>
          <w:rFonts w:ascii="Palatino Linotype" w:eastAsia="Palatino Linotype" w:hAnsi="Palatino Linotype" w:cs="Palatino Linotype"/>
        </w:rPr>
        <w:t xml:space="preserve"> electrónico formado con motivo del recurso de revisión </w:t>
      </w:r>
      <w:r w:rsidRPr="00FB5E68">
        <w:rPr>
          <w:rFonts w:ascii="Palatino Linotype" w:eastAsia="Palatino Linotype" w:hAnsi="Palatino Linotype" w:cs="Palatino Linotype"/>
          <w:b/>
        </w:rPr>
        <w:t>0</w:t>
      </w:r>
      <w:r w:rsidR="00DD5EA8" w:rsidRPr="00FB5E68">
        <w:rPr>
          <w:rFonts w:ascii="Palatino Linotype" w:eastAsia="Palatino Linotype" w:hAnsi="Palatino Linotype" w:cs="Palatino Linotype"/>
          <w:b/>
        </w:rPr>
        <w:t>7388</w:t>
      </w:r>
      <w:r w:rsidRPr="00FB5E68">
        <w:rPr>
          <w:rFonts w:ascii="Palatino Linotype" w:eastAsia="Palatino Linotype" w:hAnsi="Palatino Linotype" w:cs="Palatino Linotype"/>
          <w:b/>
        </w:rPr>
        <w:t>/INFOEM/IP/RR/2024</w:t>
      </w:r>
      <w:r w:rsidRPr="00FB5E68">
        <w:rPr>
          <w:rFonts w:ascii="Palatino Linotype" w:eastAsia="Palatino Linotype" w:hAnsi="Palatino Linotype" w:cs="Palatino Linotype"/>
        </w:rPr>
        <w:t>,</w:t>
      </w:r>
      <w:r w:rsidRPr="00FB5E68">
        <w:rPr>
          <w:rFonts w:ascii="Palatino Linotype" w:eastAsia="Palatino Linotype" w:hAnsi="Palatino Linotype" w:cs="Palatino Linotype"/>
          <w:b/>
        </w:rPr>
        <w:t xml:space="preserve"> </w:t>
      </w:r>
      <w:r w:rsidRPr="00FB5E68">
        <w:rPr>
          <w:rFonts w:ascii="Palatino Linotype" w:eastAsia="Palatino Linotype" w:hAnsi="Palatino Linotype" w:cs="Palatino Linotype"/>
        </w:rPr>
        <w:t xml:space="preserve">promovido por una persona que se hizo llamar </w:t>
      </w:r>
      <w:r w:rsidR="00FB5E68" w:rsidRPr="00FB5E68">
        <w:rPr>
          <w:rFonts w:ascii="Palatino Linotype" w:eastAsia="Palatino Linotype" w:hAnsi="Palatino Linotype" w:cs="Palatino Linotype"/>
        </w:rPr>
        <w:t>XXXXXXXXXXX</w:t>
      </w:r>
      <w:r w:rsidRPr="00FB5E68">
        <w:rPr>
          <w:rFonts w:ascii="Palatino Linotype" w:eastAsia="Palatino Linotype" w:hAnsi="Palatino Linotype" w:cs="Palatino Linotype"/>
        </w:rPr>
        <w:t xml:space="preserve">, a quien en lo sucesivo denominaremos </w:t>
      </w:r>
      <w:r w:rsidRPr="00FB5E68">
        <w:rPr>
          <w:rFonts w:ascii="Palatino Linotype" w:eastAsia="Palatino Linotype" w:hAnsi="Palatino Linotype" w:cs="Palatino Linotype"/>
          <w:b/>
        </w:rPr>
        <w:t>RECURRENTE</w:t>
      </w:r>
      <w:r w:rsidRPr="00FB5E68">
        <w:rPr>
          <w:rFonts w:ascii="Palatino Linotype" w:eastAsia="Palatino Linotype" w:hAnsi="Palatino Linotype" w:cs="Palatino Linotype"/>
        </w:rPr>
        <w:t xml:space="preserve">, en contra de la respuesta del </w:t>
      </w:r>
      <w:r w:rsidR="00DD5EA8" w:rsidRPr="00FB5E68">
        <w:rPr>
          <w:rFonts w:ascii="Palatino Linotype" w:eastAsia="Palatino Linotype" w:hAnsi="Palatino Linotype" w:cs="Palatino Linotype"/>
          <w:b/>
        </w:rPr>
        <w:t>Instituto de Salud</w:t>
      </w:r>
      <w:r w:rsidR="00941C76" w:rsidRPr="00FB5E68">
        <w:rPr>
          <w:rFonts w:ascii="Palatino Linotype" w:eastAsia="Palatino Linotype" w:hAnsi="Palatino Linotype" w:cs="Palatino Linotype"/>
          <w:b/>
        </w:rPr>
        <w:t xml:space="preserve"> del</w:t>
      </w:r>
      <w:r w:rsidRPr="00FB5E68">
        <w:rPr>
          <w:rFonts w:ascii="Palatino Linotype" w:eastAsia="Palatino Linotype" w:hAnsi="Palatino Linotype" w:cs="Palatino Linotype"/>
          <w:b/>
        </w:rPr>
        <w:t xml:space="preserve"> Estado de México, </w:t>
      </w:r>
      <w:r w:rsidRPr="00FB5E68">
        <w:rPr>
          <w:rFonts w:ascii="Palatino Linotype" w:eastAsia="Palatino Linotype" w:hAnsi="Palatino Linotype" w:cs="Palatino Linotype"/>
        </w:rPr>
        <w:t>en adelante el</w:t>
      </w:r>
      <w:r w:rsidRPr="00FB5E68">
        <w:rPr>
          <w:rFonts w:ascii="Palatino Linotype" w:eastAsia="Palatino Linotype" w:hAnsi="Palatino Linotype" w:cs="Palatino Linotype"/>
          <w:b/>
        </w:rPr>
        <w:t xml:space="preserve"> SUJETO OBLIGADO, </w:t>
      </w:r>
      <w:r w:rsidRPr="00FB5E68">
        <w:rPr>
          <w:rFonts w:ascii="Palatino Linotype" w:eastAsia="Palatino Linotype" w:hAnsi="Palatino Linotype" w:cs="Palatino Linotype"/>
        </w:rPr>
        <w:t>se procede a dictar la presente resolución, con base en los siguientes:</w:t>
      </w:r>
    </w:p>
    <w:p w14:paraId="50B37CDB" w14:textId="77777777" w:rsidR="00000CC7" w:rsidRPr="00FB5E68" w:rsidRDefault="00000CC7">
      <w:pPr>
        <w:spacing w:line="360" w:lineRule="auto"/>
        <w:ind w:right="1"/>
        <w:jc w:val="both"/>
        <w:rPr>
          <w:rFonts w:ascii="Palatino Linotype" w:eastAsia="Palatino Linotype" w:hAnsi="Palatino Linotype" w:cs="Palatino Linotype"/>
        </w:rPr>
      </w:pPr>
    </w:p>
    <w:p w14:paraId="10C9C004" w14:textId="77777777" w:rsidR="00000CC7" w:rsidRPr="00FB5E68" w:rsidRDefault="009136C3">
      <w:pPr>
        <w:keepNext/>
        <w:keepLines/>
        <w:tabs>
          <w:tab w:val="left" w:pos="0"/>
        </w:tabs>
        <w:spacing w:before="240" w:after="240" w:line="360" w:lineRule="auto"/>
        <w:ind w:right="1"/>
        <w:jc w:val="center"/>
        <w:rPr>
          <w:rFonts w:ascii="Palatino Linotype" w:eastAsia="Palatino Linotype" w:hAnsi="Palatino Linotype" w:cs="Palatino Linotype"/>
          <w:b/>
        </w:rPr>
      </w:pPr>
      <w:bookmarkStart w:id="1" w:name="_heading=h.gjdgxs" w:colFirst="0" w:colLast="0"/>
      <w:bookmarkEnd w:id="1"/>
      <w:r w:rsidRPr="00FB5E68">
        <w:rPr>
          <w:rFonts w:ascii="Palatino Linotype" w:eastAsia="Palatino Linotype" w:hAnsi="Palatino Linotype" w:cs="Palatino Linotype"/>
          <w:b/>
        </w:rPr>
        <w:t>A N T E C E D E N T E S</w:t>
      </w:r>
    </w:p>
    <w:p w14:paraId="26D826DB" w14:textId="078662EF" w:rsidR="00000CC7" w:rsidRPr="00FB5E68" w:rsidRDefault="009136C3">
      <w:pPr>
        <w:numPr>
          <w:ilvl w:val="0"/>
          <w:numId w:val="3"/>
        </w:numPr>
        <w:tabs>
          <w:tab w:val="left" w:pos="0"/>
        </w:tabs>
        <w:spacing w:line="360" w:lineRule="auto"/>
        <w:ind w:left="0" w:right="1" w:firstLine="0"/>
        <w:jc w:val="both"/>
        <w:rPr>
          <w:rFonts w:ascii="Palatino Linotype" w:eastAsia="Palatino Linotype" w:hAnsi="Palatino Linotype" w:cs="Palatino Linotype"/>
        </w:rPr>
      </w:pPr>
      <w:r w:rsidRPr="00FB5E68">
        <w:rPr>
          <w:rFonts w:ascii="Palatino Linotype" w:eastAsia="Palatino Linotype" w:hAnsi="Palatino Linotype" w:cs="Palatino Linotype"/>
        </w:rPr>
        <w:t xml:space="preserve">El </w:t>
      </w:r>
      <w:r w:rsidR="00941C76" w:rsidRPr="00FB5E68">
        <w:rPr>
          <w:rFonts w:ascii="Palatino Linotype" w:eastAsia="Palatino Linotype" w:hAnsi="Palatino Linotype" w:cs="Palatino Linotype"/>
          <w:b/>
        </w:rPr>
        <w:t>treinta y uno de octubre de dos mil veinticuatro</w:t>
      </w:r>
      <w:r w:rsidRPr="00FB5E68">
        <w:rPr>
          <w:rFonts w:ascii="Palatino Linotype" w:eastAsia="Palatino Linotype" w:hAnsi="Palatino Linotype" w:cs="Palatino Linotype"/>
        </w:rPr>
        <w:t>, el</w:t>
      </w:r>
      <w:r w:rsidRPr="00FB5E68">
        <w:rPr>
          <w:rFonts w:ascii="Palatino Linotype" w:eastAsia="Palatino Linotype" w:hAnsi="Palatino Linotype" w:cs="Palatino Linotype"/>
          <w:b/>
        </w:rPr>
        <w:t xml:space="preserve"> RECURRENTE </w:t>
      </w:r>
      <w:r w:rsidRPr="00FB5E68">
        <w:rPr>
          <w:rFonts w:ascii="Palatino Linotype" w:eastAsia="Palatino Linotype" w:hAnsi="Palatino Linotype" w:cs="Palatino Linotype"/>
        </w:rPr>
        <w:t>presentó</w:t>
      </w:r>
      <w:r w:rsidRPr="00FB5E68">
        <w:rPr>
          <w:rFonts w:ascii="Palatino Linotype" w:eastAsia="Palatino Linotype" w:hAnsi="Palatino Linotype" w:cs="Palatino Linotype"/>
          <w:b/>
        </w:rPr>
        <w:t xml:space="preserve"> </w:t>
      </w:r>
      <w:r w:rsidRPr="00FB5E68">
        <w:rPr>
          <w:rFonts w:ascii="Palatino Linotype" w:eastAsia="Palatino Linotype" w:hAnsi="Palatino Linotype" w:cs="Palatino Linotype"/>
        </w:rPr>
        <w:t xml:space="preserve">ante el </w:t>
      </w:r>
      <w:r w:rsidRPr="00FB5E68">
        <w:rPr>
          <w:rFonts w:ascii="Palatino Linotype" w:eastAsia="Palatino Linotype" w:hAnsi="Palatino Linotype" w:cs="Palatino Linotype"/>
          <w:b/>
        </w:rPr>
        <w:t>SUJETO OBLIGADO,</w:t>
      </w:r>
      <w:r w:rsidRPr="00FB5E68">
        <w:rPr>
          <w:rFonts w:ascii="Palatino Linotype" w:eastAsia="Palatino Linotype" w:hAnsi="Palatino Linotype" w:cs="Palatino Linotype"/>
        </w:rPr>
        <w:t xml:space="preserve"> a través de la Plataforma digital Sistema de Acceso a la Información Mexiquense (SAIMEX), la solicitud de información pública registrada con el número </w:t>
      </w:r>
      <w:r w:rsidRPr="00FB5E68">
        <w:rPr>
          <w:rFonts w:ascii="Palatino Linotype" w:eastAsia="Palatino Linotype" w:hAnsi="Palatino Linotype" w:cs="Palatino Linotype"/>
          <w:b/>
        </w:rPr>
        <w:t>007</w:t>
      </w:r>
      <w:r w:rsidR="00941C76" w:rsidRPr="00FB5E68">
        <w:rPr>
          <w:rFonts w:ascii="Palatino Linotype" w:eastAsia="Palatino Linotype" w:hAnsi="Palatino Linotype" w:cs="Palatino Linotype"/>
          <w:b/>
        </w:rPr>
        <w:t>44</w:t>
      </w:r>
      <w:r w:rsidRPr="00FB5E68">
        <w:rPr>
          <w:rFonts w:ascii="Palatino Linotype" w:eastAsia="Palatino Linotype" w:hAnsi="Palatino Linotype" w:cs="Palatino Linotype"/>
          <w:b/>
        </w:rPr>
        <w:t>/</w:t>
      </w:r>
      <w:r w:rsidR="00941C76" w:rsidRPr="00FB5E68">
        <w:rPr>
          <w:rFonts w:ascii="Palatino Linotype" w:eastAsia="Palatino Linotype" w:hAnsi="Palatino Linotype" w:cs="Palatino Linotype"/>
          <w:b/>
        </w:rPr>
        <w:t>ISEM</w:t>
      </w:r>
      <w:r w:rsidRPr="00FB5E68">
        <w:rPr>
          <w:rFonts w:ascii="Palatino Linotype" w:eastAsia="Palatino Linotype" w:hAnsi="Palatino Linotype" w:cs="Palatino Linotype"/>
          <w:b/>
        </w:rPr>
        <w:t>/IP/2024,</w:t>
      </w:r>
      <w:r w:rsidRPr="00FB5E68">
        <w:rPr>
          <w:rFonts w:ascii="Palatino Linotype" w:eastAsia="Palatino Linotype" w:hAnsi="Palatino Linotype" w:cs="Palatino Linotype"/>
        </w:rPr>
        <w:t xml:space="preserve"> mediante la cual se solicitó:</w:t>
      </w:r>
    </w:p>
    <w:p w14:paraId="4D576B63" w14:textId="77777777" w:rsidR="00000CC7" w:rsidRPr="00FB5E68" w:rsidRDefault="00000CC7">
      <w:pPr>
        <w:spacing w:line="360" w:lineRule="auto"/>
        <w:ind w:right="568"/>
        <w:jc w:val="both"/>
        <w:rPr>
          <w:rFonts w:ascii="Palatino Linotype" w:eastAsia="Palatino Linotype" w:hAnsi="Palatino Linotype" w:cs="Palatino Linotype"/>
        </w:rPr>
      </w:pPr>
    </w:p>
    <w:p w14:paraId="2DBF87E9" w14:textId="206721A3" w:rsidR="00000CC7" w:rsidRPr="00FB5E68" w:rsidRDefault="009136C3" w:rsidP="00941C76">
      <w:pPr>
        <w:spacing w:line="360" w:lineRule="auto"/>
        <w:ind w:left="567" w:right="568"/>
        <w:jc w:val="both"/>
        <w:rPr>
          <w:rFonts w:ascii="Palatino Linotype" w:eastAsia="Palatino Linotype" w:hAnsi="Palatino Linotype" w:cs="Palatino Linotype"/>
          <w:i/>
          <w:color w:val="000000"/>
        </w:rPr>
      </w:pPr>
      <w:r w:rsidRPr="00FB5E68">
        <w:rPr>
          <w:rFonts w:ascii="Palatino Linotype" w:eastAsia="Palatino Linotype" w:hAnsi="Palatino Linotype" w:cs="Palatino Linotype"/>
          <w:i/>
          <w:color w:val="000000"/>
        </w:rPr>
        <w:t>“</w:t>
      </w:r>
      <w:r w:rsidR="00941C76" w:rsidRPr="00FB5E68">
        <w:rPr>
          <w:rFonts w:ascii="Palatino Linotype" w:hAnsi="Palatino Linotype"/>
          <w:i/>
          <w:color w:val="000000"/>
        </w:rPr>
        <w:t xml:space="preserve">Siempre es lo mismo en el hospital de las Américas con abril garay islas la persona que está en el </w:t>
      </w:r>
      <w:proofErr w:type="spellStart"/>
      <w:r w:rsidR="00941C76" w:rsidRPr="00FB5E68">
        <w:rPr>
          <w:rFonts w:ascii="Palatino Linotype" w:hAnsi="Palatino Linotype"/>
          <w:i/>
          <w:color w:val="000000"/>
        </w:rPr>
        <w:t>checador</w:t>
      </w:r>
      <w:proofErr w:type="spellEnd"/>
      <w:r w:rsidR="00941C76" w:rsidRPr="00FB5E68">
        <w:rPr>
          <w:rFonts w:ascii="Palatino Linotype" w:hAnsi="Palatino Linotype"/>
          <w:i/>
          <w:color w:val="000000"/>
        </w:rPr>
        <w:t xml:space="preserve"> siempre se sale anda vendiendo y sabemos que está prohibido vender dentro de nuestra unidad anda repartiendo sus zapatos su ropa de SHEIN y todo lo que trae. Pierde papeletas nos pide fotos de nuestros </w:t>
      </w:r>
      <w:r w:rsidR="00941C76" w:rsidRPr="00FB5E68">
        <w:rPr>
          <w:rFonts w:ascii="Palatino Linotype" w:hAnsi="Palatino Linotype"/>
          <w:i/>
          <w:color w:val="000000"/>
        </w:rPr>
        <w:lastRenderedPageBreak/>
        <w:t xml:space="preserve">acuses si no se los damos se molesta nos quiere mandar faltas le echa la culpa a su compañera y siempre dice por más que le explicamos no entiende todos los días se sale a las doce y regresa a la una La gente falta y no se da cuenta que siguen cobrando por ella no avisa que no trabajan para que se </w:t>
      </w:r>
      <w:proofErr w:type="spellStart"/>
      <w:r w:rsidR="00941C76" w:rsidRPr="00FB5E68">
        <w:rPr>
          <w:rFonts w:ascii="Palatino Linotype" w:hAnsi="Palatino Linotype"/>
          <w:i/>
          <w:color w:val="000000"/>
        </w:rPr>
        <w:t>de</w:t>
      </w:r>
      <w:proofErr w:type="spellEnd"/>
      <w:r w:rsidR="00941C76" w:rsidRPr="00FB5E68">
        <w:rPr>
          <w:rFonts w:ascii="Palatino Linotype" w:hAnsi="Palatino Linotype"/>
          <w:i/>
          <w:color w:val="000000"/>
        </w:rPr>
        <w:t xml:space="preserve"> su renuncia y siguen cobrando quincenas, no hace su trabajo, todos los días llega tarde tiene omisiones de entrada acumulo de retardos y no la mandan a descansar ni le descuentan las faltas ella está teniendo beneficios así como le da contraseña a su amigo </w:t>
      </w:r>
      <w:proofErr w:type="spellStart"/>
      <w:r w:rsidR="00941C76" w:rsidRPr="00FB5E68">
        <w:rPr>
          <w:rFonts w:ascii="Palatino Linotype" w:hAnsi="Palatino Linotype"/>
          <w:i/>
          <w:color w:val="000000"/>
        </w:rPr>
        <w:t>favricio</w:t>
      </w:r>
      <w:proofErr w:type="spellEnd"/>
      <w:r w:rsidR="00941C76" w:rsidRPr="00FB5E68">
        <w:rPr>
          <w:rFonts w:ascii="Palatino Linotype" w:hAnsi="Palatino Linotype"/>
          <w:i/>
          <w:color w:val="000000"/>
        </w:rPr>
        <w:t xml:space="preserve"> para que cheque cuando se va todos los días temprano ya no la queremos ahí y nadie pone remedio quiero una solución</w:t>
      </w:r>
      <w:r w:rsidRPr="00FB5E68">
        <w:rPr>
          <w:rFonts w:ascii="Palatino Linotype" w:eastAsia="Palatino Linotype" w:hAnsi="Palatino Linotype" w:cs="Palatino Linotype"/>
          <w:i/>
          <w:color w:val="000000"/>
        </w:rPr>
        <w:t>” (Sic)</w:t>
      </w:r>
    </w:p>
    <w:p w14:paraId="27CDD268" w14:textId="77777777" w:rsidR="00000CC7" w:rsidRPr="00FB5E68" w:rsidRDefault="00000CC7">
      <w:pPr>
        <w:spacing w:line="360" w:lineRule="auto"/>
        <w:ind w:left="567" w:right="568"/>
        <w:jc w:val="both"/>
        <w:rPr>
          <w:rFonts w:ascii="Palatino Linotype" w:eastAsia="Palatino Linotype" w:hAnsi="Palatino Linotype" w:cs="Palatino Linotype"/>
          <w:i/>
          <w:color w:val="000000"/>
        </w:rPr>
      </w:pPr>
    </w:p>
    <w:p w14:paraId="1E0DB4AD" w14:textId="77777777" w:rsidR="00000CC7" w:rsidRPr="00FB5E68" w:rsidRDefault="009136C3">
      <w:pPr>
        <w:numPr>
          <w:ilvl w:val="0"/>
          <w:numId w:val="3"/>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FB5E68">
        <w:rPr>
          <w:rFonts w:ascii="Palatino Linotype" w:eastAsia="Palatino Linotype" w:hAnsi="Palatino Linotype" w:cs="Palatino Linotype"/>
          <w:color w:val="000000"/>
        </w:rPr>
        <w:t xml:space="preserve">Se hace constar que se señaló como modalidad de entrega de la información a través del Sistema de Acceso a la Información Mexiquense </w:t>
      </w:r>
      <w:r w:rsidRPr="00FB5E68">
        <w:rPr>
          <w:rFonts w:ascii="Palatino Linotype" w:eastAsia="Palatino Linotype" w:hAnsi="Palatino Linotype" w:cs="Palatino Linotype"/>
          <w:b/>
          <w:color w:val="000000"/>
        </w:rPr>
        <w:t>(SAIMEX).</w:t>
      </w:r>
    </w:p>
    <w:p w14:paraId="0ED922F9" w14:textId="77777777" w:rsidR="00000CC7" w:rsidRPr="00FB5E68" w:rsidRDefault="00000CC7">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14:paraId="3B1F60EE" w14:textId="263B44B0" w:rsidR="00000CC7" w:rsidRPr="00FB5E68" w:rsidRDefault="009136C3">
      <w:pPr>
        <w:numPr>
          <w:ilvl w:val="0"/>
          <w:numId w:val="3"/>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FB5E68">
        <w:rPr>
          <w:rFonts w:ascii="Palatino Linotype" w:eastAsia="Palatino Linotype" w:hAnsi="Palatino Linotype" w:cs="Palatino Linotype"/>
          <w:color w:val="000000"/>
        </w:rPr>
        <w:t xml:space="preserve">El </w:t>
      </w:r>
      <w:r w:rsidR="009A2D12" w:rsidRPr="00FB5E68">
        <w:rPr>
          <w:rFonts w:ascii="Palatino Linotype" w:eastAsia="Palatino Linotype" w:hAnsi="Palatino Linotype" w:cs="Palatino Linotype"/>
          <w:b/>
          <w:color w:val="000000"/>
        </w:rPr>
        <w:t>trece de noviembre de dos mil veinticuatro</w:t>
      </w:r>
      <w:r w:rsidRPr="00FB5E68">
        <w:rPr>
          <w:rFonts w:ascii="Palatino Linotype" w:eastAsia="Palatino Linotype" w:hAnsi="Palatino Linotype" w:cs="Palatino Linotype"/>
          <w:color w:val="000000"/>
        </w:rPr>
        <w:t xml:space="preserve">, el </w:t>
      </w:r>
      <w:r w:rsidRPr="00FB5E68">
        <w:rPr>
          <w:rFonts w:ascii="Palatino Linotype" w:eastAsia="Palatino Linotype" w:hAnsi="Palatino Linotype" w:cs="Palatino Linotype"/>
          <w:b/>
          <w:color w:val="000000"/>
        </w:rPr>
        <w:t>SUJETO OBLIGADO</w:t>
      </w:r>
      <w:r w:rsidRPr="00FB5E68">
        <w:rPr>
          <w:rFonts w:ascii="Palatino Linotype" w:eastAsia="Palatino Linotype" w:hAnsi="Palatino Linotype" w:cs="Palatino Linotype"/>
          <w:color w:val="000000"/>
        </w:rPr>
        <w:t xml:space="preserve"> realizó un requerimiento. </w:t>
      </w:r>
    </w:p>
    <w:p w14:paraId="3DD66653" w14:textId="77777777" w:rsidR="00000CC7" w:rsidRPr="00FB5E68" w:rsidRDefault="00000CC7">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14:paraId="65204C27" w14:textId="00D1C897" w:rsidR="00000CC7" w:rsidRPr="00FB5E68" w:rsidRDefault="009136C3" w:rsidP="00397E14">
      <w:pPr>
        <w:numPr>
          <w:ilvl w:val="0"/>
          <w:numId w:val="3"/>
        </w:numPr>
        <w:tabs>
          <w:tab w:val="left" w:pos="0"/>
        </w:tabs>
        <w:spacing w:line="360" w:lineRule="auto"/>
        <w:ind w:left="0" w:right="-112" w:firstLine="0"/>
        <w:jc w:val="both"/>
        <w:rPr>
          <w:rFonts w:ascii="Palatino Linotype" w:eastAsia="Palatino Linotype" w:hAnsi="Palatino Linotype" w:cs="Palatino Linotype"/>
          <w:b/>
        </w:rPr>
      </w:pPr>
      <w:bookmarkStart w:id="2" w:name="_heading=h.30j0zll" w:colFirst="0" w:colLast="0"/>
      <w:bookmarkEnd w:id="2"/>
      <w:r w:rsidRPr="00FB5E68">
        <w:rPr>
          <w:rFonts w:ascii="Palatino Linotype" w:eastAsia="Palatino Linotype" w:hAnsi="Palatino Linotype" w:cs="Palatino Linotype"/>
        </w:rPr>
        <w:t xml:space="preserve">El </w:t>
      </w:r>
      <w:r w:rsidR="003153F9" w:rsidRPr="00FB5E68">
        <w:rPr>
          <w:rFonts w:ascii="Palatino Linotype" w:eastAsia="Palatino Linotype" w:hAnsi="Palatino Linotype" w:cs="Palatino Linotype"/>
          <w:b/>
        </w:rPr>
        <w:t>veinticinco de noviembre de dos mil veinticuatro</w:t>
      </w:r>
      <w:r w:rsidRPr="00FB5E68">
        <w:rPr>
          <w:rFonts w:ascii="Palatino Linotype" w:eastAsia="Palatino Linotype" w:hAnsi="Palatino Linotype" w:cs="Palatino Linotype"/>
        </w:rPr>
        <w:t xml:space="preserve">, el </w:t>
      </w:r>
      <w:r w:rsidRPr="00FB5E68">
        <w:rPr>
          <w:rFonts w:ascii="Palatino Linotype" w:eastAsia="Palatino Linotype" w:hAnsi="Palatino Linotype" w:cs="Palatino Linotype"/>
          <w:b/>
        </w:rPr>
        <w:t xml:space="preserve">SUJETO OBLIGADO </w:t>
      </w:r>
      <w:r w:rsidRPr="00FB5E68">
        <w:rPr>
          <w:rFonts w:ascii="Palatino Linotype" w:eastAsia="Palatino Linotype" w:hAnsi="Palatino Linotype" w:cs="Palatino Linotype"/>
        </w:rPr>
        <w:t xml:space="preserve">dio respuesta través del SAIMEX, </w:t>
      </w:r>
      <w:r w:rsidR="00A169E6" w:rsidRPr="00FB5E68">
        <w:rPr>
          <w:rFonts w:ascii="Palatino Linotype" w:eastAsia="Palatino Linotype" w:hAnsi="Palatino Linotype" w:cs="Palatino Linotype"/>
        </w:rPr>
        <w:t xml:space="preserve">a través del archivo electrónico </w:t>
      </w:r>
      <w:r w:rsidR="00A169E6" w:rsidRPr="00FB5E68">
        <w:rPr>
          <w:rFonts w:ascii="Palatino Linotype" w:eastAsia="Palatino Linotype" w:hAnsi="Palatino Linotype" w:cs="Palatino Linotype"/>
          <w:b/>
        </w:rPr>
        <w:t xml:space="preserve">sol 00744 2024.pdf, </w:t>
      </w:r>
      <w:r w:rsidRPr="00FB5E68">
        <w:rPr>
          <w:rFonts w:ascii="Palatino Linotype" w:eastAsia="Palatino Linotype" w:hAnsi="Palatino Linotype" w:cs="Palatino Linotype"/>
        </w:rPr>
        <w:t xml:space="preserve">el </w:t>
      </w:r>
      <w:r w:rsidR="005B2254" w:rsidRPr="00FB5E68">
        <w:rPr>
          <w:rFonts w:ascii="Palatino Linotype" w:eastAsia="Palatino Linotype" w:hAnsi="Palatino Linotype" w:cs="Palatino Linotype"/>
        </w:rPr>
        <w:t>cual contiene el oficio de fecha veinticinco de noviembre de dos mil veinticuatro, suscrito por la Jefa de la Unidad de Información, Planeación, Programación y Evaluación en el ISEM y Titular de la Unidad de Transparencia, del cual entre otras cosas se visualiza lo siguiente</w:t>
      </w:r>
      <w:r w:rsidRPr="00FB5E68">
        <w:rPr>
          <w:rFonts w:ascii="Palatino Linotype" w:eastAsia="Palatino Linotype" w:hAnsi="Palatino Linotype" w:cs="Palatino Linotype"/>
        </w:rPr>
        <w:t xml:space="preserve">: </w:t>
      </w:r>
    </w:p>
    <w:p w14:paraId="23165161" w14:textId="77777777" w:rsidR="00000CC7" w:rsidRPr="00FB5E68" w:rsidRDefault="00000CC7">
      <w:pPr>
        <w:pBdr>
          <w:top w:val="nil"/>
          <w:left w:val="nil"/>
          <w:bottom w:val="nil"/>
          <w:right w:val="nil"/>
          <w:between w:val="nil"/>
        </w:pBdr>
        <w:spacing w:line="360" w:lineRule="auto"/>
        <w:ind w:left="720"/>
        <w:rPr>
          <w:rFonts w:ascii="Palatino Linotype" w:eastAsia="Palatino Linotype" w:hAnsi="Palatino Linotype" w:cs="Palatino Linotype"/>
          <w:b/>
          <w:color w:val="000000"/>
        </w:rPr>
      </w:pPr>
    </w:p>
    <w:p w14:paraId="53DABFF0" w14:textId="77777777" w:rsidR="003C21AA" w:rsidRPr="00FB5E68" w:rsidRDefault="009136C3" w:rsidP="00397E14">
      <w:pPr>
        <w:numPr>
          <w:ilvl w:val="0"/>
          <w:numId w:val="6"/>
        </w:numPr>
        <w:pBdr>
          <w:top w:val="nil"/>
          <w:left w:val="nil"/>
          <w:bottom w:val="nil"/>
          <w:right w:val="nil"/>
          <w:between w:val="nil"/>
        </w:pBdr>
        <w:tabs>
          <w:tab w:val="left" w:pos="0"/>
        </w:tabs>
        <w:spacing w:line="360" w:lineRule="auto"/>
        <w:ind w:right="172"/>
        <w:jc w:val="both"/>
        <w:rPr>
          <w:rFonts w:ascii="Palatino Linotype" w:eastAsia="Palatino Linotype" w:hAnsi="Palatino Linotype" w:cs="Palatino Linotype"/>
          <w:i/>
          <w:color w:val="000000"/>
        </w:rPr>
      </w:pPr>
      <w:r w:rsidRPr="00FB5E68">
        <w:rPr>
          <w:rFonts w:ascii="Palatino Linotype" w:eastAsia="Palatino Linotype" w:hAnsi="Palatino Linotype" w:cs="Palatino Linotype"/>
          <w:i/>
          <w:color w:val="000000"/>
        </w:rPr>
        <w:lastRenderedPageBreak/>
        <w:t>“…</w:t>
      </w:r>
      <w:r w:rsidR="00397E14" w:rsidRPr="00FB5E68">
        <w:rPr>
          <w:rFonts w:ascii="Palatino Linotype" w:eastAsia="Palatino Linotype" w:hAnsi="Palatino Linotype" w:cs="Palatino Linotype"/>
          <w:i/>
          <w:color w:val="000000"/>
        </w:rPr>
        <w:t xml:space="preserve">Y con la finalidad de garantizar el Acceso a la Información, en la descripción de su solicitud, no se enmarca ningún requerimiento de información pública, por lo que queda a salvo su Derecho de presentar nueva solicitud proporcionando los datos que conforme a los artículos 92, 93, y 94 expuestos en la Ley de Transparencia </w:t>
      </w:r>
      <w:r w:rsidR="003C21AA" w:rsidRPr="00FB5E68">
        <w:rPr>
          <w:rFonts w:ascii="Palatino Linotype" w:eastAsia="Palatino Linotype" w:hAnsi="Palatino Linotype" w:cs="Palatino Linotype"/>
          <w:i/>
          <w:color w:val="000000"/>
        </w:rPr>
        <w:t>y Acceso a la Información Pública del Estado de México y Municipios, se detallan como Información Pública, es decir, la concerniente a los temas, documentos y políticas que ahí se enlistan…</w:t>
      </w:r>
    </w:p>
    <w:p w14:paraId="16A13720" w14:textId="77777777" w:rsidR="00E41B8D" w:rsidRPr="00FB5E68" w:rsidRDefault="003C21AA" w:rsidP="003C21AA">
      <w:pPr>
        <w:pBdr>
          <w:top w:val="nil"/>
          <w:left w:val="nil"/>
          <w:bottom w:val="nil"/>
          <w:right w:val="nil"/>
          <w:between w:val="nil"/>
        </w:pBdr>
        <w:tabs>
          <w:tab w:val="left" w:pos="0"/>
        </w:tabs>
        <w:spacing w:line="360" w:lineRule="auto"/>
        <w:ind w:left="720" w:right="172"/>
        <w:jc w:val="both"/>
        <w:rPr>
          <w:rFonts w:ascii="Palatino Linotype" w:eastAsia="Palatino Linotype" w:hAnsi="Palatino Linotype" w:cs="Palatino Linotype"/>
          <w:i/>
          <w:color w:val="000000"/>
        </w:rPr>
      </w:pPr>
      <w:r w:rsidRPr="00FB5E68">
        <w:rPr>
          <w:rFonts w:ascii="Palatino Linotype" w:eastAsia="Palatino Linotype" w:hAnsi="Palatino Linotype" w:cs="Palatino Linotype"/>
          <w:i/>
          <w:color w:val="000000"/>
        </w:rPr>
        <w:t>Asimismo se hace de su conocimiento que el Sistema de Atención Mexiquense (SAM) constituye el único medio de recepción y registro de denuncias y sugerencias y reconocimientos que el Gobierno del Estado de México ha dispuesto; asimismo, el Gobierno del Estado, impulsó una agenda común en temas de ética, transparencia y combate a la corrupción</w:t>
      </w:r>
      <w:r w:rsidR="00382757" w:rsidRPr="00FB5E68">
        <w:rPr>
          <w:rFonts w:ascii="Palatino Linotype" w:eastAsia="Palatino Linotype" w:hAnsi="Palatino Linotype" w:cs="Palatino Linotype"/>
          <w:i/>
          <w:color w:val="000000"/>
        </w:rPr>
        <w:t>, publicado en el Acuerdo del Ejecutivo del Estado por el que se expide el Código de Ética de los Servidores Públicos del Estado de México, las Reglas de Integridad para el ejercicio de su empleo, cargo o comisión y los Lineamientos Generales para propiciar su integridad a través de Comités de Ética</w:t>
      </w:r>
      <w:r w:rsidR="00E41B8D" w:rsidRPr="00FB5E68">
        <w:rPr>
          <w:rFonts w:ascii="Palatino Linotype" w:eastAsia="Palatino Linotype" w:hAnsi="Palatino Linotype" w:cs="Palatino Linotype"/>
          <w:i/>
          <w:color w:val="000000"/>
        </w:rPr>
        <w:t xml:space="preserve"> y de Prevención de Conflicto de Intereses, en el Periódico Oficial “Gaceta del Gobierno”, el 30 de noviembre de 2015.</w:t>
      </w:r>
    </w:p>
    <w:p w14:paraId="2A3CCE95" w14:textId="1A8025C9" w:rsidR="00397E14" w:rsidRPr="00FB5E68" w:rsidRDefault="00E41B8D" w:rsidP="003C21AA">
      <w:pPr>
        <w:pBdr>
          <w:top w:val="nil"/>
          <w:left w:val="nil"/>
          <w:bottom w:val="nil"/>
          <w:right w:val="nil"/>
          <w:between w:val="nil"/>
        </w:pBdr>
        <w:tabs>
          <w:tab w:val="left" w:pos="0"/>
        </w:tabs>
        <w:spacing w:line="360" w:lineRule="auto"/>
        <w:ind w:left="720" w:right="172"/>
        <w:jc w:val="both"/>
        <w:rPr>
          <w:rFonts w:ascii="Palatino Linotype" w:eastAsia="Palatino Linotype" w:hAnsi="Palatino Linotype" w:cs="Palatino Linotype"/>
          <w:i/>
          <w:color w:val="000000"/>
        </w:rPr>
      </w:pPr>
      <w:r w:rsidRPr="00FB5E68">
        <w:rPr>
          <w:rFonts w:ascii="Palatino Linotype" w:eastAsia="Palatino Linotype" w:hAnsi="Palatino Linotype" w:cs="Palatino Linotype"/>
          <w:i/>
          <w:color w:val="000000"/>
        </w:rPr>
        <w:t>Con la finalidad de dar cumplimiento al Acuerdo, la Secretaría de la Contraloría adicionó a su estructura orgánica en marzo de 2016, a la Dirección de Ética y Prevención de la Corrupción y le asigno sus funciones a través del Manual General de Organización de la Secretaría de la Contraloría, publicado en el periódico oficial “Gaceta del Gobierno” el 7 de octubre de 2016.</w:t>
      </w:r>
      <w:r w:rsidR="003C21AA" w:rsidRPr="00FB5E68">
        <w:rPr>
          <w:rFonts w:ascii="Palatino Linotype" w:eastAsia="Palatino Linotype" w:hAnsi="Palatino Linotype" w:cs="Palatino Linotype"/>
          <w:i/>
          <w:color w:val="000000"/>
        </w:rPr>
        <w:t xml:space="preserve"> </w:t>
      </w:r>
      <w:r w:rsidR="00397E14" w:rsidRPr="00FB5E68">
        <w:rPr>
          <w:rFonts w:ascii="Palatino Linotype" w:eastAsia="Palatino Linotype" w:hAnsi="Palatino Linotype" w:cs="Palatino Linotype"/>
          <w:i/>
          <w:color w:val="000000"/>
        </w:rPr>
        <w:t xml:space="preserve"> </w:t>
      </w:r>
    </w:p>
    <w:p w14:paraId="7BA44783" w14:textId="4EDC036D" w:rsidR="00000CC7" w:rsidRPr="00FB5E68" w:rsidRDefault="001A134F" w:rsidP="000D05B2">
      <w:pPr>
        <w:pBdr>
          <w:top w:val="nil"/>
          <w:left w:val="nil"/>
          <w:bottom w:val="nil"/>
          <w:right w:val="nil"/>
          <w:between w:val="nil"/>
        </w:pBdr>
        <w:tabs>
          <w:tab w:val="left" w:pos="0"/>
        </w:tabs>
        <w:spacing w:line="360" w:lineRule="auto"/>
        <w:ind w:left="720" w:right="172"/>
        <w:jc w:val="both"/>
        <w:rPr>
          <w:rFonts w:ascii="Palatino Linotype" w:eastAsia="Palatino Linotype" w:hAnsi="Palatino Linotype" w:cs="Palatino Linotype"/>
          <w:i/>
          <w:color w:val="000000"/>
        </w:rPr>
      </w:pPr>
      <w:r w:rsidRPr="00FB5E68">
        <w:rPr>
          <w:rFonts w:ascii="Palatino Linotype" w:eastAsia="Palatino Linotype" w:hAnsi="Palatino Linotype" w:cs="Palatino Linotype"/>
          <w:i/>
          <w:color w:val="000000"/>
        </w:rPr>
        <w:t xml:space="preserve">Por lo que, la Dirección de Ética y Prevención de la Corrupción, es el área administrativa de la Secretaría de la Contraloría que regula la conducta  que </w:t>
      </w:r>
      <w:r w:rsidRPr="00FB5E68">
        <w:rPr>
          <w:rFonts w:ascii="Palatino Linotype" w:eastAsia="Palatino Linotype" w:hAnsi="Palatino Linotype" w:cs="Palatino Linotype"/>
          <w:i/>
          <w:color w:val="000000"/>
        </w:rPr>
        <w:lastRenderedPageBreak/>
        <w:t xml:space="preserve">deberán observar los servidores públicos de las Dependencias y Organismos Auxiliares de la Administración Pública Estatal, por motivo de su empleo, cargo, comisión o función, de igual forma tiene como objetivo; planear y coordinar la implementación y evaluación </w:t>
      </w:r>
      <w:r w:rsidR="000D05B2" w:rsidRPr="00FB5E68">
        <w:rPr>
          <w:rFonts w:ascii="Palatino Linotype" w:eastAsia="Palatino Linotype" w:hAnsi="Palatino Linotype" w:cs="Palatino Linotype"/>
          <w:i/>
          <w:color w:val="000000"/>
        </w:rPr>
        <w:t>de políticas, lineamientos y estrategias, en materia de ética y reglas de integridad de las Dependencias y Organismos Auxiliares de la Administración Pública Estatal…</w:t>
      </w:r>
      <w:r w:rsidR="009136C3" w:rsidRPr="00FB5E68">
        <w:rPr>
          <w:rFonts w:ascii="Palatino Linotype" w:eastAsia="Palatino Linotype" w:hAnsi="Palatino Linotype" w:cs="Palatino Linotype"/>
          <w:i/>
          <w:color w:val="000000"/>
        </w:rPr>
        <w:t>”</w:t>
      </w:r>
      <w:r w:rsidR="009136C3" w:rsidRPr="00FB5E68">
        <w:rPr>
          <w:rFonts w:ascii="Palatino Linotype" w:eastAsia="Palatino Linotype" w:hAnsi="Palatino Linotype" w:cs="Palatino Linotype"/>
          <w:color w:val="000000"/>
        </w:rPr>
        <w:t xml:space="preserve"> (Sic)</w:t>
      </w:r>
      <w:r w:rsidR="009136C3" w:rsidRPr="00FB5E68">
        <w:rPr>
          <w:rFonts w:ascii="Palatino Linotype" w:eastAsia="Palatino Linotype" w:hAnsi="Palatino Linotype" w:cs="Palatino Linotype"/>
          <w:i/>
          <w:color w:val="000000"/>
        </w:rPr>
        <w:t xml:space="preserve"> </w:t>
      </w:r>
    </w:p>
    <w:p w14:paraId="68587748" w14:textId="77777777" w:rsidR="00000CC7" w:rsidRPr="00FB5E68" w:rsidRDefault="00000CC7">
      <w:pPr>
        <w:pBdr>
          <w:top w:val="nil"/>
          <w:left w:val="nil"/>
          <w:bottom w:val="nil"/>
          <w:right w:val="nil"/>
          <w:between w:val="nil"/>
        </w:pBdr>
        <w:tabs>
          <w:tab w:val="left" w:pos="0"/>
        </w:tabs>
        <w:spacing w:line="360" w:lineRule="auto"/>
        <w:ind w:left="720" w:right="1"/>
        <w:jc w:val="both"/>
        <w:rPr>
          <w:rFonts w:ascii="Palatino Linotype" w:eastAsia="Palatino Linotype" w:hAnsi="Palatino Linotype" w:cs="Palatino Linotype"/>
          <w:i/>
          <w:color w:val="000000"/>
        </w:rPr>
      </w:pPr>
    </w:p>
    <w:p w14:paraId="7C8D9FD2" w14:textId="07D5CB47" w:rsidR="00000CC7" w:rsidRPr="00FB5E68" w:rsidRDefault="009136C3" w:rsidP="00397E14">
      <w:pPr>
        <w:numPr>
          <w:ilvl w:val="0"/>
          <w:numId w:val="3"/>
        </w:numPr>
        <w:pBdr>
          <w:top w:val="nil"/>
          <w:left w:val="nil"/>
          <w:bottom w:val="nil"/>
          <w:right w:val="nil"/>
          <w:between w:val="nil"/>
        </w:pBdr>
        <w:tabs>
          <w:tab w:val="left" w:pos="0"/>
        </w:tabs>
        <w:spacing w:line="360" w:lineRule="auto"/>
        <w:ind w:left="0" w:right="-112" w:firstLine="0"/>
        <w:jc w:val="both"/>
        <w:rPr>
          <w:rFonts w:ascii="Palatino Linotype" w:eastAsia="Palatino Linotype" w:hAnsi="Palatino Linotype" w:cs="Palatino Linotype"/>
          <w:b/>
          <w:color w:val="000000"/>
        </w:rPr>
      </w:pPr>
      <w:r w:rsidRPr="00FB5E68">
        <w:rPr>
          <w:rFonts w:ascii="Palatino Linotype" w:eastAsia="Palatino Linotype" w:hAnsi="Palatino Linotype" w:cs="Palatino Linotype"/>
          <w:color w:val="000000"/>
        </w:rPr>
        <w:t xml:space="preserve">El </w:t>
      </w:r>
      <w:r w:rsidR="00C576BC" w:rsidRPr="00FB5E68">
        <w:rPr>
          <w:rFonts w:ascii="Palatino Linotype" w:eastAsia="Palatino Linotype" w:hAnsi="Palatino Linotype" w:cs="Palatino Linotype"/>
          <w:b/>
          <w:color w:val="000000"/>
        </w:rPr>
        <w:t>veintisiete de noviembre de dos mil veinticuatro</w:t>
      </w:r>
      <w:r w:rsidRPr="00FB5E68">
        <w:rPr>
          <w:rFonts w:ascii="Palatino Linotype" w:eastAsia="Palatino Linotype" w:hAnsi="Palatino Linotype" w:cs="Palatino Linotype"/>
          <w:b/>
          <w:color w:val="000000"/>
        </w:rPr>
        <w:t>,</w:t>
      </w:r>
      <w:r w:rsidRPr="00FB5E68">
        <w:rPr>
          <w:rFonts w:ascii="Palatino Linotype" w:eastAsia="Palatino Linotype" w:hAnsi="Palatino Linotype" w:cs="Palatino Linotype"/>
          <w:color w:val="000000"/>
        </w:rPr>
        <w:t xml:space="preserve"> el </w:t>
      </w:r>
      <w:r w:rsidRPr="00FB5E68">
        <w:rPr>
          <w:rFonts w:ascii="Palatino Linotype" w:eastAsia="Palatino Linotype" w:hAnsi="Palatino Linotype" w:cs="Palatino Linotype"/>
          <w:b/>
          <w:color w:val="000000"/>
        </w:rPr>
        <w:t xml:space="preserve">RECURRENTE </w:t>
      </w:r>
      <w:r w:rsidRPr="00FB5E68">
        <w:rPr>
          <w:rFonts w:ascii="Palatino Linotype" w:eastAsia="Palatino Linotype" w:hAnsi="Palatino Linotype" w:cs="Palatino Linotype"/>
          <w:color w:val="000000"/>
        </w:rPr>
        <w:t>interpuso el recurso de revisión, señalando como:</w:t>
      </w:r>
    </w:p>
    <w:p w14:paraId="603939D7" w14:textId="77777777" w:rsidR="00000CC7" w:rsidRPr="00FB5E68" w:rsidRDefault="00000CC7">
      <w:pPr>
        <w:pBdr>
          <w:top w:val="nil"/>
          <w:left w:val="nil"/>
          <w:bottom w:val="nil"/>
          <w:right w:val="nil"/>
          <w:between w:val="nil"/>
        </w:pBdr>
        <w:tabs>
          <w:tab w:val="left" w:pos="0"/>
        </w:tabs>
        <w:spacing w:line="360" w:lineRule="auto"/>
        <w:ind w:right="1"/>
        <w:jc w:val="both"/>
        <w:rPr>
          <w:rFonts w:ascii="Palatino Linotype" w:eastAsia="Palatino Linotype" w:hAnsi="Palatino Linotype" w:cs="Palatino Linotype"/>
          <w:b/>
          <w:color w:val="000000"/>
        </w:rPr>
      </w:pPr>
    </w:p>
    <w:p w14:paraId="0E6CE55E" w14:textId="47B0CB18" w:rsidR="00000CC7" w:rsidRPr="00FB5E68" w:rsidRDefault="009136C3">
      <w:pPr>
        <w:spacing w:line="360" w:lineRule="auto"/>
        <w:ind w:left="567" w:right="568"/>
        <w:jc w:val="both"/>
        <w:rPr>
          <w:rFonts w:ascii="Palatino Linotype" w:eastAsia="Palatino Linotype" w:hAnsi="Palatino Linotype" w:cs="Palatino Linotype"/>
          <w:i/>
          <w:color w:val="000000"/>
        </w:rPr>
      </w:pPr>
      <w:r w:rsidRPr="00FB5E68">
        <w:rPr>
          <w:rFonts w:ascii="Palatino Linotype" w:eastAsia="Palatino Linotype" w:hAnsi="Palatino Linotype" w:cs="Palatino Linotype"/>
          <w:b/>
        </w:rPr>
        <w:t>ACTO IMPUGNADO:</w:t>
      </w:r>
      <w:r w:rsidRPr="00FB5E68">
        <w:rPr>
          <w:rFonts w:ascii="Palatino Linotype" w:eastAsia="Palatino Linotype" w:hAnsi="Palatino Linotype" w:cs="Palatino Linotype"/>
          <w:i/>
        </w:rPr>
        <w:t xml:space="preserve"> “</w:t>
      </w:r>
      <w:r w:rsidR="00C576BC" w:rsidRPr="00FB5E68">
        <w:rPr>
          <w:rFonts w:ascii="Palatino Linotype" w:hAnsi="Palatino Linotype"/>
          <w:i/>
          <w:color w:val="000000"/>
        </w:rPr>
        <w:t>NO SON CLAROS CON SUS RESPUESTAS, NO HACE SU TRABAJO Y SOLO MANDAN LETRAS Y LETRAS QUIERO UNA SOLUCIÓN Y CUÁLES SON LAS MEDIDAS PERTINENTES ANTE ESTÁ SITUACIÓN, SI EL DIRECTOR YA SE VA DEL HOSPITL QUE NO DEJE UN CAOS QUIERO SABER CUÁL ES SU ESTRATEGIA QUE TOMARA PARA TENER RESULTADOS CON ESTA PERSONA</w:t>
      </w:r>
      <w:r w:rsidRPr="00FB5E68">
        <w:rPr>
          <w:rFonts w:ascii="Palatino Linotype" w:eastAsia="Palatino Linotype" w:hAnsi="Palatino Linotype" w:cs="Palatino Linotype"/>
          <w:i/>
          <w:color w:val="000000"/>
        </w:rPr>
        <w:t xml:space="preserve">” </w:t>
      </w:r>
      <w:r w:rsidRPr="00FB5E68">
        <w:rPr>
          <w:rFonts w:ascii="Palatino Linotype" w:eastAsia="Palatino Linotype" w:hAnsi="Palatino Linotype" w:cs="Palatino Linotype"/>
          <w:color w:val="000000"/>
        </w:rPr>
        <w:t>(Sic)</w:t>
      </w:r>
    </w:p>
    <w:p w14:paraId="02A80F15" w14:textId="77777777" w:rsidR="00000CC7" w:rsidRPr="00FB5E68" w:rsidRDefault="00000CC7">
      <w:pPr>
        <w:spacing w:line="360" w:lineRule="auto"/>
        <w:ind w:left="567" w:right="568"/>
        <w:jc w:val="both"/>
        <w:rPr>
          <w:rFonts w:ascii="Palatino Linotype" w:eastAsia="Palatino Linotype" w:hAnsi="Palatino Linotype" w:cs="Palatino Linotype"/>
        </w:rPr>
      </w:pPr>
    </w:p>
    <w:p w14:paraId="04575A7F" w14:textId="06A1B805" w:rsidR="00000CC7" w:rsidRPr="00FB5E68" w:rsidRDefault="009136C3" w:rsidP="001A4CB7">
      <w:pPr>
        <w:spacing w:line="360" w:lineRule="auto"/>
        <w:ind w:left="567" w:right="597"/>
        <w:jc w:val="both"/>
        <w:rPr>
          <w:rFonts w:ascii="Palatino Linotype" w:eastAsia="Palatino Linotype" w:hAnsi="Palatino Linotype" w:cs="Palatino Linotype"/>
        </w:rPr>
      </w:pPr>
      <w:r w:rsidRPr="00FB5E68">
        <w:rPr>
          <w:rFonts w:ascii="Palatino Linotype" w:eastAsia="Palatino Linotype" w:hAnsi="Palatino Linotype" w:cs="Palatino Linotype"/>
          <w:b/>
        </w:rPr>
        <w:t>RAZONES O MOTIVOS DE INCONFORMIDAD</w:t>
      </w:r>
      <w:r w:rsidRPr="00FB5E68">
        <w:rPr>
          <w:rFonts w:ascii="Palatino Linotype" w:eastAsia="Palatino Linotype" w:hAnsi="Palatino Linotype" w:cs="Palatino Linotype"/>
          <w:i/>
        </w:rPr>
        <w:t>: “</w:t>
      </w:r>
      <w:r w:rsidR="00C576BC" w:rsidRPr="00FB5E68">
        <w:rPr>
          <w:rFonts w:ascii="Palatino Linotype" w:hAnsi="Palatino Linotype"/>
          <w:i/>
        </w:rPr>
        <w:t>NO DAN UNA SOLUCIÓN A ESTA SITUACIÓN Y SIGUEN DEJANDO QUE HAGAN SU VOLUNTAD</w:t>
      </w:r>
      <w:r w:rsidRPr="00FB5E68">
        <w:rPr>
          <w:rFonts w:ascii="Palatino Linotype" w:eastAsia="Palatino Linotype" w:hAnsi="Palatino Linotype" w:cs="Palatino Linotype"/>
          <w:i/>
          <w:color w:val="000000"/>
        </w:rPr>
        <w:t>” (Sic)</w:t>
      </w:r>
    </w:p>
    <w:p w14:paraId="263760A7" w14:textId="77777777" w:rsidR="00000CC7" w:rsidRPr="00FB5E68" w:rsidRDefault="00000CC7">
      <w:pPr>
        <w:spacing w:line="360" w:lineRule="auto"/>
        <w:ind w:right="1"/>
        <w:jc w:val="both"/>
        <w:rPr>
          <w:rFonts w:ascii="Palatino Linotype" w:eastAsia="Palatino Linotype" w:hAnsi="Palatino Linotype" w:cs="Palatino Linotype"/>
          <w:color w:val="000000"/>
        </w:rPr>
      </w:pPr>
    </w:p>
    <w:p w14:paraId="3583BF13" w14:textId="176234EB" w:rsidR="00000CC7" w:rsidRPr="00FB5E68" w:rsidRDefault="009136C3">
      <w:pPr>
        <w:numPr>
          <w:ilvl w:val="0"/>
          <w:numId w:val="3"/>
        </w:numPr>
        <w:spacing w:line="360" w:lineRule="auto"/>
        <w:ind w:left="0" w:right="1" w:firstLine="0"/>
        <w:jc w:val="both"/>
        <w:rPr>
          <w:rFonts w:ascii="Palatino Linotype" w:eastAsia="Palatino Linotype" w:hAnsi="Palatino Linotype" w:cs="Palatino Linotype"/>
          <w:color w:val="000000"/>
        </w:rPr>
      </w:pPr>
      <w:r w:rsidRPr="00FB5E68">
        <w:rPr>
          <w:rFonts w:ascii="Palatino Linotype" w:eastAsia="Palatino Linotype" w:hAnsi="Palatino Linotype" w:cs="Palatino Linotype"/>
          <w:color w:val="000000"/>
        </w:rPr>
        <w:t xml:space="preserve">La </w:t>
      </w:r>
      <w:r w:rsidRPr="00FB5E68">
        <w:rPr>
          <w:rFonts w:ascii="Palatino Linotype" w:eastAsia="Palatino Linotype" w:hAnsi="Palatino Linotype" w:cs="Palatino Linotype"/>
        </w:rPr>
        <w:t xml:space="preserve">Comisionada Ponente, con fundamento en lo dispuesto por el artículo 185 fracción II de la ley de la materia, a través del acuerdo de admisión del </w:t>
      </w:r>
      <w:r w:rsidR="00737187" w:rsidRPr="00FB5E68">
        <w:rPr>
          <w:rFonts w:ascii="Palatino Linotype" w:eastAsia="Palatino Linotype" w:hAnsi="Palatino Linotype" w:cs="Palatino Linotype"/>
          <w:b/>
        </w:rPr>
        <w:lastRenderedPageBreak/>
        <w:t>veintisiete de noviembre de dos mil veinticuatro</w:t>
      </w:r>
      <w:r w:rsidRPr="00FB5E68">
        <w:rPr>
          <w:rFonts w:ascii="Palatino Linotype" w:eastAsia="Palatino Linotype" w:hAnsi="Palatino Linotype" w:cs="Palatino Linotype"/>
        </w:rPr>
        <w:t xml:space="preserve">, puso a disposición de las partes el  expediente electrónicos vía Sistema de Acceso a la Información Mexiquense </w:t>
      </w:r>
      <w:r w:rsidRPr="00FB5E68">
        <w:rPr>
          <w:rFonts w:ascii="Palatino Linotype" w:eastAsia="Palatino Linotype" w:hAnsi="Palatino Linotype" w:cs="Palatino Linotype"/>
          <w:b/>
        </w:rPr>
        <w:t xml:space="preserve">SAIMEX </w:t>
      </w:r>
      <w:r w:rsidRPr="00FB5E68">
        <w:rPr>
          <w:rFonts w:ascii="Palatino Linotype" w:eastAsia="Palatino Linotype" w:hAnsi="Palatino Linotype" w:cs="Palatino Linotype"/>
        </w:rPr>
        <w:t xml:space="preserve">a efecto de que en un plazo máximo de siete días manifestara lo que a su derecho conviniera, ofreciera pruebas y alegatos según correspondiera a los casos concretos, de esta forma para que el </w:t>
      </w:r>
      <w:r w:rsidRPr="00FB5E68">
        <w:rPr>
          <w:rFonts w:ascii="Palatino Linotype" w:eastAsia="Palatino Linotype" w:hAnsi="Palatino Linotype" w:cs="Palatino Linotype"/>
          <w:b/>
        </w:rPr>
        <w:t>SUJETO OBLIGADO</w:t>
      </w:r>
      <w:r w:rsidRPr="00FB5E68">
        <w:rPr>
          <w:rFonts w:ascii="Palatino Linotype" w:eastAsia="Palatino Linotype" w:hAnsi="Palatino Linotype" w:cs="Palatino Linotype"/>
        </w:rPr>
        <w:t xml:space="preserve"> presentará el Informe Justificado procedente.</w:t>
      </w:r>
    </w:p>
    <w:p w14:paraId="1A461362" w14:textId="77777777" w:rsidR="00000CC7" w:rsidRPr="00FB5E68" w:rsidRDefault="00000CC7">
      <w:pPr>
        <w:spacing w:line="360" w:lineRule="auto"/>
        <w:ind w:right="1"/>
        <w:jc w:val="both"/>
        <w:rPr>
          <w:rFonts w:ascii="Palatino Linotype" w:eastAsia="Palatino Linotype" w:hAnsi="Palatino Linotype" w:cs="Palatino Linotype"/>
          <w:color w:val="000000"/>
        </w:rPr>
      </w:pPr>
    </w:p>
    <w:p w14:paraId="0D625FBC" w14:textId="77777777" w:rsidR="00000CC7" w:rsidRPr="00FB5E68" w:rsidRDefault="009136C3">
      <w:pPr>
        <w:numPr>
          <w:ilvl w:val="0"/>
          <w:numId w:val="3"/>
        </w:numPr>
        <w:spacing w:line="360" w:lineRule="auto"/>
        <w:ind w:left="0" w:right="1" w:firstLine="0"/>
        <w:jc w:val="both"/>
        <w:rPr>
          <w:rFonts w:ascii="Palatino Linotype" w:eastAsia="Palatino Linotype" w:hAnsi="Palatino Linotype" w:cs="Palatino Linotype"/>
          <w:color w:val="000000"/>
        </w:rPr>
      </w:pPr>
      <w:r w:rsidRPr="00FB5E68">
        <w:rPr>
          <w:rFonts w:ascii="Palatino Linotype" w:eastAsia="Palatino Linotype" w:hAnsi="Palatino Linotype" w:cs="Palatino Linotype"/>
          <w:color w:val="000000"/>
        </w:rPr>
        <w:t xml:space="preserve">De lo anterior, el </w:t>
      </w:r>
      <w:r w:rsidRPr="00FB5E68">
        <w:rPr>
          <w:rFonts w:ascii="Palatino Linotype" w:eastAsia="Palatino Linotype" w:hAnsi="Palatino Linotype" w:cs="Palatino Linotype"/>
          <w:b/>
          <w:color w:val="000000"/>
        </w:rPr>
        <w:t>RECURRENTE</w:t>
      </w:r>
      <w:r w:rsidRPr="00FB5E68">
        <w:rPr>
          <w:rFonts w:ascii="Palatino Linotype" w:eastAsia="Palatino Linotype" w:hAnsi="Palatino Linotype" w:cs="Palatino Linotype"/>
          <w:color w:val="000000"/>
        </w:rPr>
        <w:t xml:space="preserve"> y el </w:t>
      </w:r>
      <w:r w:rsidRPr="00FB5E68">
        <w:rPr>
          <w:rFonts w:ascii="Palatino Linotype" w:eastAsia="Palatino Linotype" w:hAnsi="Palatino Linotype" w:cs="Palatino Linotype"/>
          <w:b/>
          <w:color w:val="000000"/>
        </w:rPr>
        <w:t>SUJETO OBLIGADO</w:t>
      </w:r>
      <w:r w:rsidRPr="00FB5E68">
        <w:rPr>
          <w:rFonts w:ascii="Palatino Linotype" w:eastAsia="Palatino Linotype" w:hAnsi="Palatino Linotype" w:cs="Palatino Linotype"/>
          <w:color w:val="000000"/>
        </w:rPr>
        <w:t xml:space="preserve"> respectivamente, dejaron de realizar manifestaciones que a su derecho conviniera y asistiera.</w:t>
      </w:r>
    </w:p>
    <w:p w14:paraId="11FF6D91" w14:textId="77777777" w:rsidR="00000CC7" w:rsidRPr="00FB5E68" w:rsidRDefault="00000CC7">
      <w:pPr>
        <w:spacing w:line="360" w:lineRule="auto"/>
        <w:ind w:right="1"/>
        <w:jc w:val="both"/>
        <w:rPr>
          <w:rFonts w:ascii="Palatino Linotype" w:eastAsia="Palatino Linotype" w:hAnsi="Palatino Linotype" w:cs="Palatino Linotype"/>
        </w:rPr>
      </w:pPr>
    </w:p>
    <w:p w14:paraId="1247249C" w14:textId="77777777" w:rsidR="00213254" w:rsidRPr="00FB5E68" w:rsidRDefault="009136C3" w:rsidP="00213254">
      <w:pPr>
        <w:numPr>
          <w:ilvl w:val="0"/>
          <w:numId w:val="3"/>
        </w:numPr>
        <w:spacing w:line="360" w:lineRule="auto"/>
        <w:ind w:left="0" w:right="1" w:firstLine="0"/>
        <w:jc w:val="both"/>
        <w:rPr>
          <w:rFonts w:ascii="Palatino Linotype" w:eastAsia="Palatino Linotype" w:hAnsi="Palatino Linotype" w:cs="Palatino Linotype"/>
          <w:b/>
        </w:rPr>
      </w:pPr>
      <w:r w:rsidRPr="00FB5E68">
        <w:rPr>
          <w:rFonts w:ascii="Palatino Linotype" w:eastAsia="Palatino Linotype" w:hAnsi="Palatino Linotype" w:cs="Palatino Linotype"/>
        </w:rPr>
        <w:t xml:space="preserve">La Comisionada Ponente decretó el cierre de instrucción mediante acuerdo del </w:t>
      </w:r>
      <w:r w:rsidRPr="00FB5E68">
        <w:rPr>
          <w:rFonts w:ascii="Palatino Linotype" w:eastAsia="Palatino Linotype" w:hAnsi="Palatino Linotype" w:cs="Palatino Linotype"/>
          <w:b/>
        </w:rPr>
        <w:t xml:space="preserve">diez de </w:t>
      </w:r>
      <w:r w:rsidR="00213254" w:rsidRPr="00FB5E68">
        <w:rPr>
          <w:rFonts w:ascii="Palatino Linotype" w:eastAsia="Palatino Linotype" w:hAnsi="Palatino Linotype" w:cs="Palatino Linotype"/>
          <w:b/>
        </w:rPr>
        <w:t>diciembre de dos mil veinticuatro</w:t>
      </w:r>
      <w:r w:rsidRPr="00FB5E68">
        <w:rPr>
          <w:rFonts w:ascii="Palatino Linotype" w:eastAsia="Palatino Linotype" w:hAnsi="Palatino Linotype" w:cs="Palatino Linotype"/>
        </w:rPr>
        <w:t>, por lo que, ordenó turnar el expediente a resolución, misma que a continuación se pronuncia.</w:t>
      </w:r>
      <w:bookmarkStart w:id="3" w:name="_heading=h.1fob9te" w:colFirst="0" w:colLast="0"/>
      <w:bookmarkEnd w:id="3"/>
    </w:p>
    <w:p w14:paraId="0F443815" w14:textId="77777777" w:rsidR="00213254" w:rsidRPr="00FB5E68" w:rsidRDefault="00213254" w:rsidP="00213254">
      <w:pPr>
        <w:pStyle w:val="Prrafodelista"/>
        <w:rPr>
          <w:rFonts w:ascii="Palatino Linotype" w:eastAsia="Palatino Linotype" w:hAnsi="Palatino Linotype" w:cs="Palatino Linotype"/>
          <w:b/>
        </w:rPr>
      </w:pPr>
    </w:p>
    <w:p w14:paraId="4E086974" w14:textId="3DE5761D" w:rsidR="00000CC7" w:rsidRPr="00FB5E68" w:rsidRDefault="009136C3" w:rsidP="00213254">
      <w:pPr>
        <w:spacing w:line="360" w:lineRule="auto"/>
        <w:ind w:right="1"/>
        <w:jc w:val="center"/>
        <w:rPr>
          <w:rFonts w:ascii="Palatino Linotype" w:eastAsia="Palatino Linotype" w:hAnsi="Palatino Linotype" w:cs="Palatino Linotype"/>
          <w:b/>
        </w:rPr>
      </w:pPr>
      <w:r w:rsidRPr="00FB5E68">
        <w:rPr>
          <w:rFonts w:ascii="Palatino Linotype" w:eastAsia="Palatino Linotype" w:hAnsi="Palatino Linotype" w:cs="Palatino Linotype"/>
          <w:b/>
        </w:rPr>
        <w:t>C O N S I D E R A N D O</w:t>
      </w:r>
    </w:p>
    <w:p w14:paraId="26F115C5" w14:textId="77777777" w:rsidR="00213254" w:rsidRPr="00FB5E68" w:rsidRDefault="00213254" w:rsidP="00213254">
      <w:pPr>
        <w:spacing w:line="360" w:lineRule="auto"/>
        <w:ind w:right="1"/>
        <w:jc w:val="center"/>
        <w:rPr>
          <w:rFonts w:ascii="Palatino Linotype" w:eastAsia="Palatino Linotype" w:hAnsi="Palatino Linotype" w:cs="Palatino Linotype"/>
          <w:b/>
        </w:rPr>
      </w:pPr>
    </w:p>
    <w:p w14:paraId="33C254B1" w14:textId="77777777" w:rsidR="00000CC7" w:rsidRPr="00FB5E68" w:rsidRDefault="009136C3">
      <w:pPr>
        <w:keepNext/>
        <w:keepLines/>
        <w:spacing w:line="360" w:lineRule="auto"/>
        <w:ind w:right="1"/>
        <w:rPr>
          <w:rFonts w:ascii="Palatino Linotype" w:eastAsia="Palatino Linotype" w:hAnsi="Palatino Linotype" w:cs="Palatino Linotype"/>
          <w:b/>
        </w:rPr>
      </w:pPr>
      <w:bookmarkStart w:id="4" w:name="_heading=h.3znysh7" w:colFirst="0" w:colLast="0"/>
      <w:bookmarkEnd w:id="4"/>
      <w:r w:rsidRPr="00FB5E68">
        <w:rPr>
          <w:rFonts w:ascii="Palatino Linotype" w:eastAsia="Palatino Linotype" w:hAnsi="Palatino Linotype" w:cs="Palatino Linotype"/>
          <w:b/>
        </w:rPr>
        <w:t>PRIMERO. De la competencia.</w:t>
      </w:r>
    </w:p>
    <w:p w14:paraId="4137E411" w14:textId="77777777" w:rsidR="00000CC7" w:rsidRPr="00FB5E68" w:rsidRDefault="00000CC7">
      <w:pPr>
        <w:keepNext/>
        <w:keepLines/>
        <w:spacing w:line="360" w:lineRule="auto"/>
        <w:ind w:right="1"/>
        <w:rPr>
          <w:rFonts w:ascii="Palatino Linotype" w:eastAsia="Palatino Linotype" w:hAnsi="Palatino Linotype" w:cs="Palatino Linotype"/>
          <w:b/>
        </w:rPr>
      </w:pPr>
    </w:p>
    <w:p w14:paraId="18352AE2" w14:textId="77777777" w:rsidR="00000CC7" w:rsidRPr="00FB5E68" w:rsidRDefault="009136C3">
      <w:pPr>
        <w:numPr>
          <w:ilvl w:val="0"/>
          <w:numId w:val="3"/>
        </w:numPr>
        <w:spacing w:line="360" w:lineRule="auto"/>
        <w:ind w:left="0" w:right="1" w:firstLine="0"/>
        <w:jc w:val="both"/>
        <w:rPr>
          <w:rFonts w:ascii="Palatino Linotype" w:eastAsia="Palatino Linotype" w:hAnsi="Palatino Linotype" w:cs="Palatino Linotype"/>
          <w:b/>
        </w:rPr>
      </w:pPr>
      <w:bookmarkStart w:id="5" w:name="_heading=h.2et92p0" w:colFirst="0" w:colLast="0"/>
      <w:bookmarkEnd w:id="5"/>
      <w:r w:rsidRPr="00FB5E68">
        <w:rPr>
          <w:rFonts w:ascii="Palatino Linotype" w:eastAsia="Palatino Linotype" w:hAnsi="Palatino Linotype" w:cs="Palatino Linotype"/>
        </w:rPr>
        <w:t xml:space="preserve">Este </w:t>
      </w:r>
      <w:r w:rsidRPr="00FB5E68">
        <w:rPr>
          <w:rFonts w:ascii="Palatino Linotype" w:eastAsia="Palatino Linotype" w:hAnsi="Palatino Linotype" w:cs="Palatino Linotype"/>
          <w:color w:val="222222"/>
        </w:rPr>
        <w:t xml:space="preserve">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w:t>
      </w:r>
      <w:r w:rsidRPr="00FB5E68">
        <w:rPr>
          <w:rFonts w:ascii="Palatino Linotype" w:eastAsia="Palatino Linotype" w:hAnsi="Palatino Linotype" w:cs="Palatino Linotype"/>
          <w:color w:val="222222"/>
        </w:rPr>
        <w:lastRenderedPageBreak/>
        <w:t>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ABAD740" w14:textId="77777777" w:rsidR="00000CC7" w:rsidRPr="00FB5E68" w:rsidRDefault="00000CC7" w:rsidP="003614EB">
      <w:pPr>
        <w:spacing w:line="360" w:lineRule="auto"/>
        <w:ind w:right="1"/>
        <w:jc w:val="both"/>
        <w:rPr>
          <w:rFonts w:ascii="Palatino Linotype" w:eastAsia="Palatino Linotype" w:hAnsi="Palatino Linotype" w:cs="Palatino Linotype"/>
          <w:b/>
        </w:rPr>
      </w:pPr>
    </w:p>
    <w:p w14:paraId="7CE08019" w14:textId="77777777" w:rsidR="00000CC7" w:rsidRPr="00FB5E68" w:rsidRDefault="009136C3" w:rsidP="003614EB">
      <w:pPr>
        <w:keepNext/>
        <w:keepLines/>
        <w:spacing w:line="360" w:lineRule="auto"/>
        <w:ind w:right="1"/>
        <w:jc w:val="both"/>
        <w:rPr>
          <w:rFonts w:ascii="Palatino Linotype" w:eastAsia="Palatino Linotype" w:hAnsi="Palatino Linotype" w:cs="Palatino Linotype"/>
          <w:b/>
        </w:rPr>
      </w:pPr>
      <w:r w:rsidRPr="00FB5E68">
        <w:rPr>
          <w:rFonts w:ascii="Palatino Linotype" w:eastAsia="Palatino Linotype" w:hAnsi="Palatino Linotype" w:cs="Palatino Linotype"/>
          <w:b/>
        </w:rPr>
        <w:t>SEGUNDO. De la oportunidad y procedencia.</w:t>
      </w:r>
    </w:p>
    <w:p w14:paraId="585868D2" w14:textId="067F28A4" w:rsidR="003B4DD3" w:rsidRPr="00FB5E68" w:rsidRDefault="003B4DD3" w:rsidP="003614EB">
      <w:pPr>
        <w:pStyle w:val="Prrafodelista"/>
        <w:numPr>
          <w:ilvl w:val="0"/>
          <w:numId w:val="3"/>
        </w:numPr>
        <w:spacing w:line="360" w:lineRule="auto"/>
        <w:ind w:left="0" w:right="49" w:firstLine="0"/>
        <w:jc w:val="both"/>
        <w:rPr>
          <w:rFonts w:ascii="Palatino Linotype" w:eastAsia="Palatino Linotype" w:hAnsi="Palatino Linotype" w:cs="Palatino Linotype"/>
          <w:color w:val="000000"/>
          <w:sz w:val="24"/>
        </w:rPr>
      </w:pPr>
      <w:r w:rsidRPr="00FB5E68">
        <w:rPr>
          <w:rFonts w:ascii="Palatino Linotype" w:eastAsia="Palatino Linotype" w:hAnsi="Palatino Linotype" w:cs="Palatino Linotype"/>
          <w:color w:val="000000"/>
          <w:sz w:val="24"/>
        </w:rPr>
        <w:t xml:space="preserve">Previo al estudio del fondo del asunto, se procede a analizar los requisitos de oportunidad y </w:t>
      </w:r>
      <w:proofErr w:type="spellStart"/>
      <w:r w:rsidRPr="00FB5E68">
        <w:rPr>
          <w:rFonts w:ascii="Palatino Linotype" w:eastAsia="Palatino Linotype" w:hAnsi="Palatino Linotype" w:cs="Palatino Linotype"/>
          <w:color w:val="000000"/>
          <w:sz w:val="24"/>
        </w:rPr>
        <w:t>procedibilidad</w:t>
      </w:r>
      <w:proofErr w:type="spellEnd"/>
      <w:r w:rsidRPr="00FB5E68">
        <w:rPr>
          <w:rFonts w:ascii="Palatino Linotype" w:eastAsia="Palatino Linotype" w:hAnsi="Palatino Linotype" w:cs="Palatino Linotype"/>
          <w:color w:val="000000"/>
          <w:sz w:val="24"/>
        </w:rPr>
        <w:t xml:space="preserve"> que debe</w:t>
      </w:r>
      <w:r w:rsidR="00C63BB8" w:rsidRPr="00FB5E68">
        <w:rPr>
          <w:rFonts w:ascii="Palatino Linotype" w:eastAsia="Palatino Linotype" w:hAnsi="Palatino Linotype" w:cs="Palatino Linotype"/>
          <w:color w:val="000000"/>
          <w:sz w:val="24"/>
        </w:rPr>
        <w:t>n</w:t>
      </w:r>
      <w:r w:rsidRPr="00FB5E68">
        <w:rPr>
          <w:rFonts w:ascii="Palatino Linotype" w:eastAsia="Palatino Linotype" w:hAnsi="Palatino Linotype" w:cs="Palatino Linotype"/>
          <w:color w:val="000000"/>
          <w:sz w:val="24"/>
        </w:rPr>
        <w:t xml:space="preserve"> reunir </w:t>
      </w:r>
      <w:r w:rsidR="00433446" w:rsidRPr="00FB5E68">
        <w:rPr>
          <w:rFonts w:ascii="Palatino Linotype" w:eastAsia="Palatino Linotype" w:hAnsi="Palatino Linotype" w:cs="Palatino Linotype"/>
          <w:color w:val="000000" w:themeColor="text1"/>
          <w:sz w:val="24"/>
        </w:rPr>
        <w:t>l</w:t>
      </w:r>
      <w:r w:rsidR="00C63BB8" w:rsidRPr="00FB5E68">
        <w:rPr>
          <w:rFonts w:ascii="Palatino Linotype" w:eastAsia="Palatino Linotype" w:hAnsi="Palatino Linotype" w:cs="Palatino Linotype"/>
          <w:color w:val="000000" w:themeColor="text1"/>
          <w:sz w:val="24"/>
        </w:rPr>
        <w:t>os</w:t>
      </w:r>
      <w:r w:rsidRPr="00FB5E68">
        <w:rPr>
          <w:rFonts w:ascii="Palatino Linotype" w:eastAsia="Palatino Linotype" w:hAnsi="Palatino Linotype" w:cs="Palatino Linotype"/>
          <w:color w:val="000000" w:themeColor="text1"/>
          <w:sz w:val="24"/>
        </w:rPr>
        <w:t xml:space="preserve"> recurso</w:t>
      </w:r>
      <w:r w:rsidR="00C63BB8" w:rsidRPr="00FB5E68">
        <w:rPr>
          <w:rFonts w:ascii="Palatino Linotype" w:eastAsia="Palatino Linotype" w:hAnsi="Palatino Linotype" w:cs="Palatino Linotype"/>
          <w:color w:val="000000" w:themeColor="text1"/>
          <w:sz w:val="24"/>
        </w:rPr>
        <w:t>s</w:t>
      </w:r>
      <w:r w:rsidRPr="00FB5E68">
        <w:rPr>
          <w:rFonts w:ascii="Palatino Linotype" w:eastAsia="Palatino Linotype" w:hAnsi="Palatino Linotype" w:cs="Palatino Linotype"/>
          <w:color w:val="000000" w:themeColor="text1"/>
          <w:sz w:val="24"/>
        </w:rPr>
        <w:t xml:space="preserve"> de revisión interpuesto</w:t>
      </w:r>
      <w:r w:rsidR="00C63BB8" w:rsidRPr="00FB5E68">
        <w:rPr>
          <w:rFonts w:ascii="Palatino Linotype" w:eastAsia="Palatino Linotype" w:hAnsi="Palatino Linotype" w:cs="Palatino Linotype"/>
          <w:color w:val="000000" w:themeColor="text1"/>
          <w:sz w:val="24"/>
        </w:rPr>
        <w:t>s</w:t>
      </w:r>
      <w:r w:rsidRPr="00FB5E68">
        <w:rPr>
          <w:rFonts w:ascii="Palatino Linotype" w:eastAsia="Palatino Linotype" w:hAnsi="Palatino Linotype" w:cs="Palatino Linotype"/>
          <w:color w:val="000000"/>
          <w:sz w:val="24"/>
        </w:rPr>
        <w:t>, previsto en el artículo 178 y 180 de la Ley de Transparencia y Acceso a la Información Pública del Estado de México y Municipios.</w:t>
      </w:r>
    </w:p>
    <w:p w14:paraId="52BA133C" w14:textId="77777777" w:rsidR="003B4DD3" w:rsidRPr="00FB5E68" w:rsidRDefault="003B4DD3" w:rsidP="00056DF8">
      <w:pPr>
        <w:spacing w:line="360" w:lineRule="auto"/>
        <w:jc w:val="both"/>
        <w:rPr>
          <w:rFonts w:ascii="Palatino Linotype" w:eastAsia="Palatino Linotype" w:hAnsi="Palatino Linotype" w:cs="Palatino Linotype"/>
        </w:rPr>
      </w:pPr>
    </w:p>
    <w:p w14:paraId="4780C18F" w14:textId="40C632A1" w:rsidR="003B4DD3" w:rsidRPr="00FB5E68" w:rsidRDefault="007B3FC8" w:rsidP="00056DF8">
      <w:pPr>
        <w:pStyle w:val="Prrafodelista"/>
        <w:numPr>
          <w:ilvl w:val="0"/>
          <w:numId w:val="3"/>
        </w:numPr>
        <w:spacing w:line="360" w:lineRule="auto"/>
        <w:ind w:left="0" w:firstLine="0"/>
        <w:jc w:val="both"/>
        <w:rPr>
          <w:rFonts w:ascii="Palatino Linotype" w:eastAsia="Palatino Linotype" w:hAnsi="Palatino Linotype" w:cs="Palatino Linotype"/>
          <w:sz w:val="24"/>
        </w:rPr>
      </w:pPr>
      <w:r w:rsidRPr="00FB5E68">
        <w:rPr>
          <w:rFonts w:ascii="Palatino Linotype" w:eastAsia="Palatino Linotype" w:hAnsi="Palatino Linotype" w:cs="Palatino Linotype"/>
          <w:color w:val="000000" w:themeColor="text1"/>
          <w:sz w:val="24"/>
        </w:rPr>
        <w:t xml:space="preserve">El recurso de </w:t>
      </w:r>
      <w:r w:rsidR="003B4DD3" w:rsidRPr="00FB5E68">
        <w:rPr>
          <w:rFonts w:ascii="Palatino Linotype" w:eastAsia="Palatino Linotype" w:hAnsi="Palatino Linotype" w:cs="Palatino Linotype"/>
          <w:color w:val="000000" w:themeColor="text1"/>
          <w:sz w:val="24"/>
        </w:rPr>
        <w:t xml:space="preserve">revisión fue interpuesto </w:t>
      </w:r>
      <w:r w:rsidR="003B4DD3" w:rsidRPr="00FB5E68">
        <w:rPr>
          <w:rFonts w:ascii="Palatino Linotype" w:eastAsia="Palatino Linotype" w:hAnsi="Palatino Linotype" w:cs="Palatino Linotype"/>
          <w:sz w:val="24"/>
        </w:rPr>
        <w:t>dentro del plazo de quince días hábiles previsto en el artículo 178 de la Ley de Transparencia y Acceso a la Información Pública del Estado de México y Municipios, contados a partir de la fecha en que</w:t>
      </w:r>
      <w:r w:rsidR="003B4DD3" w:rsidRPr="00FB5E68">
        <w:rPr>
          <w:rFonts w:ascii="Palatino Linotype" w:eastAsia="Palatino Linotype" w:hAnsi="Palatino Linotype" w:cs="Palatino Linotype"/>
          <w:b/>
          <w:sz w:val="24"/>
        </w:rPr>
        <w:t xml:space="preserve"> EL SUJETO OBLIGADO </w:t>
      </w:r>
      <w:r w:rsidR="003B4DD3" w:rsidRPr="00FB5E68">
        <w:rPr>
          <w:rFonts w:ascii="Palatino Linotype" w:eastAsia="Palatino Linotype" w:hAnsi="Palatino Linotype" w:cs="Palatino Linotype"/>
          <w:sz w:val="24"/>
        </w:rPr>
        <w:t xml:space="preserve">emitió la respuesta, toda vez que esta fue pronunciada el día </w:t>
      </w:r>
      <w:r w:rsidRPr="00FB5E68">
        <w:rPr>
          <w:rFonts w:ascii="Palatino Linotype" w:eastAsia="Palatino Linotype" w:hAnsi="Palatino Linotype" w:cs="Palatino Linotype"/>
          <w:sz w:val="24"/>
        </w:rPr>
        <w:t>veinticinco de noviembre de dos mil veinticuatro</w:t>
      </w:r>
      <w:r w:rsidR="003B4DD3" w:rsidRPr="00FB5E68">
        <w:rPr>
          <w:rFonts w:ascii="Palatino Linotype" w:eastAsia="Palatino Linotype" w:hAnsi="Palatino Linotype" w:cs="Palatino Linotype"/>
          <w:sz w:val="24"/>
        </w:rPr>
        <w:t xml:space="preserve">, mientras que </w:t>
      </w:r>
      <w:r w:rsidR="003B4DD3" w:rsidRPr="00FB5E68">
        <w:rPr>
          <w:rFonts w:ascii="Palatino Linotype" w:eastAsia="Palatino Linotype" w:hAnsi="Palatino Linotype" w:cs="Palatino Linotype"/>
          <w:b/>
          <w:sz w:val="24"/>
        </w:rPr>
        <w:t>LA PARTE</w:t>
      </w:r>
      <w:r w:rsidR="003B4DD3" w:rsidRPr="00FB5E68">
        <w:rPr>
          <w:rFonts w:ascii="Palatino Linotype" w:eastAsia="Palatino Linotype" w:hAnsi="Palatino Linotype" w:cs="Palatino Linotype"/>
          <w:sz w:val="24"/>
        </w:rPr>
        <w:t xml:space="preserve"> </w:t>
      </w:r>
      <w:r w:rsidR="003B4DD3" w:rsidRPr="00FB5E68">
        <w:rPr>
          <w:rFonts w:ascii="Palatino Linotype" w:eastAsia="Palatino Linotype" w:hAnsi="Palatino Linotype" w:cs="Palatino Linotype"/>
          <w:b/>
          <w:sz w:val="24"/>
        </w:rPr>
        <w:t>RECURRENTE</w:t>
      </w:r>
      <w:r w:rsidR="003B4DD3" w:rsidRPr="00FB5E68">
        <w:rPr>
          <w:rFonts w:ascii="Palatino Linotype" w:eastAsia="Palatino Linotype" w:hAnsi="Palatino Linotype" w:cs="Palatino Linotype"/>
          <w:sz w:val="24"/>
        </w:rPr>
        <w:t xml:space="preserve"> interpuso </w:t>
      </w:r>
      <w:r w:rsidR="006F66C1" w:rsidRPr="00FB5E68">
        <w:rPr>
          <w:rFonts w:ascii="Palatino Linotype" w:eastAsia="Palatino Linotype" w:hAnsi="Palatino Linotype" w:cs="Palatino Linotype"/>
          <w:sz w:val="24"/>
        </w:rPr>
        <w:t>e</w:t>
      </w:r>
      <w:r w:rsidR="003B4DD3" w:rsidRPr="00FB5E68">
        <w:rPr>
          <w:rFonts w:ascii="Palatino Linotype" w:eastAsia="Palatino Linotype" w:hAnsi="Palatino Linotype" w:cs="Palatino Linotype"/>
          <w:sz w:val="24"/>
        </w:rPr>
        <w:t xml:space="preserve">l recurso de revisión en fecha </w:t>
      </w:r>
      <w:r w:rsidR="00860D31" w:rsidRPr="00FB5E68">
        <w:rPr>
          <w:rFonts w:ascii="Palatino Linotype" w:eastAsia="Palatino Linotype" w:hAnsi="Palatino Linotype" w:cs="Palatino Linotype"/>
          <w:sz w:val="24"/>
        </w:rPr>
        <w:t>veintisiete de noviembre de dos mil veinticuatro</w:t>
      </w:r>
      <w:r w:rsidR="003B4DD3" w:rsidRPr="00FB5E68">
        <w:rPr>
          <w:rFonts w:ascii="Palatino Linotype" w:eastAsia="Palatino Linotype" w:hAnsi="Palatino Linotype" w:cs="Palatino Linotype"/>
          <w:sz w:val="24"/>
        </w:rPr>
        <w:t xml:space="preserve">, es decir, al segundo hábil de haber recibido la respuesta. </w:t>
      </w:r>
    </w:p>
    <w:p w14:paraId="318E5FD8" w14:textId="77777777" w:rsidR="003B4DD3" w:rsidRPr="00FB5E68" w:rsidRDefault="003B4DD3" w:rsidP="00056DF8">
      <w:pPr>
        <w:spacing w:line="360" w:lineRule="auto"/>
        <w:jc w:val="both"/>
        <w:rPr>
          <w:rFonts w:ascii="Palatino Linotype" w:eastAsia="Palatino Linotype" w:hAnsi="Palatino Linotype" w:cs="Palatino Linotype"/>
        </w:rPr>
      </w:pPr>
    </w:p>
    <w:p w14:paraId="3DFFB397" w14:textId="054508B2" w:rsidR="003B4DD3" w:rsidRPr="00FB5E68" w:rsidRDefault="003B4DD3" w:rsidP="008033EB">
      <w:pPr>
        <w:pStyle w:val="Prrafodelista"/>
        <w:numPr>
          <w:ilvl w:val="0"/>
          <w:numId w:val="3"/>
        </w:numPr>
        <w:spacing w:line="360" w:lineRule="auto"/>
        <w:ind w:left="0" w:firstLine="0"/>
        <w:jc w:val="both"/>
        <w:rPr>
          <w:rFonts w:ascii="Palatino Linotype" w:eastAsia="Palatino Linotype" w:hAnsi="Palatino Linotype" w:cs="Palatino Linotype"/>
          <w:b/>
          <w:color w:val="000000"/>
          <w:sz w:val="24"/>
        </w:rPr>
      </w:pPr>
      <w:r w:rsidRPr="00FB5E68">
        <w:rPr>
          <w:rFonts w:ascii="Palatino Linotype" w:eastAsia="Palatino Linotype" w:hAnsi="Palatino Linotype" w:cs="Palatino Linotype"/>
          <w:color w:val="000000"/>
          <w:sz w:val="24"/>
        </w:rPr>
        <w:t xml:space="preserve">Ahora bien, del análisis efectuado se advierte que resulta procedente la interposición del recurso y se concluye la acreditación plena de todos y cada uno </w:t>
      </w:r>
      <w:r w:rsidRPr="00FB5E68">
        <w:rPr>
          <w:rFonts w:ascii="Palatino Linotype" w:eastAsia="Palatino Linotype" w:hAnsi="Palatino Linotype" w:cs="Palatino Linotype"/>
          <w:color w:val="000000"/>
          <w:sz w:val="24"/>
        </w:rPr>
        <w:lastRenderedPageBreak/>
        <w:t xml:space="preserve">de los elementos formales exigidos por el artículo 180 de la Ley de Transparencia y Acceso a la Información Pública del Estado de México y Municipios en vigor, en atención a que fue presentado mediante el formato visible </w:t>
      </w:r>
      <w:r w:rsidRPr="00FB5E68">
        <w:rPr>
          <w:rFonts w:ascii="Palatino Linotype" w:eastAsia="Palatino Linotype" w:hAnsi="Palatino Linotype" w:cs="Palatino Linotype"/>
          <w:b/>
          <w:color w:val="000000"/>
          <w:sz w:val="24"/>
        </w:rPr>
        <w:t xml:space="preserve">EL SAIMEX.  </w:t>
      </w:r>
    </w:p>
    <w:p w14:paraId="159984B2" w14:textId="77777777" w:rsidR="003B4DD3" w:rsidRPr="00FB5E68" w:rsidRDefault="003B4DD3" w:rsidP="003614EB">
      <w:pPr>
        <w:spacing w:line="360" w:lineRule="auto"/>
        <w:jc w:val="both"/>
        <w:rPr>
          <w:rFonts w:ascii="Palatino Linotype" w:eastAsia="Palatino Linotype" w:hAnsi="Palatino Linotype" w:cs="Palatino Linotype"/>
        </w:rPr>
      </w:pPr>
    </w:p>
    <w:p w14:paraId="74330363" w14:textId="77777777" w:rsidR="00CD6C09" w:rsidRPr="00FB5E68" w:rsidRDefault="003B4DD3" w:rsidP="003614EB">
      <w:pPr>
        <w:spacing w:before="240" w:after="240" w:line="360" w:lineRule="auto"/>
        <w:contextualSpacing/>
        <w:jc w:val="both"/>
        <w:rPr>
          <w:rFonts w:ascii="Palatino Linotype" w:eastAsia="Palatino Linotype" w:hAnsi="Palatino Linotype" w:cs="Palatino Linotype"/>
          <w:b/>
          <w:color w:val="000000"/>
        </w:rPr>
      </w:pPr>
      <w:r w:rsidRPr="00FB5E68">
        <w:rPr>
          <w:rFonts w:ascii="Palatino Linotype" w:eastAsia="Palatino Linotype" w:hAnsi="Palatino Linotype" w:cs="Palatino Linotype"/>
          <w:b/>
          <w:color w:val="000000"/>
        </w:rPr>
        <w:t>TERCERO. A</w:t>
      </w:r>
      <w:r w:rsidR="00CD6C09" w:rsidRPr="00FB5E68">
        <w:rPr>
          <w:rFonts w:ascii="Palatino Linotype" w:eastAsia="Palatino Linotype" w:hAnsi="Palatino Linotype" w:cs="Palatino Linotype"/>
          <w:b/>
          <w:color w:val="000000"/>
        </w:rPr>
        <w:t>nálisis de las Causales de Sobreseimiento</w:t>
      </w:r>
    </w:p>
    <w:p w14:paraId="3D84562A" w14:textId="534AD70A" w:rsidR="003B4DD3" w:rsidRPr="00FB5E68" w:rsidRDefault="003B4DD3" w:rsidP="00CD6C09">
      <w:pPr>
        <w:pStyle w:val="Prrafodelista"/>
        <w:numPr>
          <w:ilvl w:val="0"/>
          <w:numId w:val="3"/>
        </w:numPr>
        <w:spacing w:before="240" w:after="240" w:line="360" w:lineRule="auto"/>
        <w:ind w:left="0" w:firstLine="0"/>
        <w:jc w:val="both"/>
        <w:rPr>
          <w:rFonts w:ascii="Palatino Linotype" w:eastAsia="Palatino Linotype" w:hAnsi="Palatino Linotype" w:cs="Palatino Linotype"/>
          <w:sz w:val="24"/>
        </w:rPr>
      </w:pPr>
      <w:r w:rsidRPr="00FB5E68">
        <w:rPr>
          <w:rFonts w:ascii="Palatino Linotype" w:eastAsia="Palatino Linotype" w:hAnsi="Palatino Linotype" w:cs="Palatino Linotype"/>
          <w:sz w:val="24"/>
        </w:rPr>
        <w:t xml:space="preserve">Es menester resaltar que en el procedimiento de acceso a la información pública y de los medios de impugnación de la materia, se advierten diversos supuestos de </w:t>
      </w:r>
      <w:proofErr w:type="spellStart"/>
      <w:r w:rsidRPr="00FB5E68">
        <w:rPr>
          <w:rFonts w:ascii="Palatino Linotype" w:eastAsia="Palatino Linotype" w:hAnsi="Palatino Linotype" w:cs="Palatino Linotype"/>
          <w:sz w:val="24"/>
        </w:rPr>
        <w:t>procedibilidad</w:t>
      </w:r>
      <w:proofErr w:type="spellEnd"/>
      <w:r w:rsidRPr="00FB5E68">
        <w:rPr>
          <w:rFonts w:ascii="Palatino Linotype" w:eastAsia="Palatino Linotype" w:hAnsi="Palatino Linotype" w:cs="Palatino Linotype"/>
          <w:sz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2C06541" w14:textId="77777777" w:rsidR="004F522E" w:rsidRPr="00FB5E68" w:rsidRDefault="004F522E" w:rsidP="004F522E">
      <w:pPr>
        <w:pStyle w:val="Prrafodelista"/>
        <w:spacing w:line="360" w:lineRule="auto"/>
        <w:ind w:left="0"/>
        <w:jc w:val="both"/>
        <w:rPr>
          <w:rFonts w:ascii="Palatino Linotype" w:eastAsia="Palatino Linotype" w:hAnsi="Palatino Linotype" w:cs="Palatino Linotype"/>
          <w:sz w:val="24"/>
        </w:rPr>
      </w:pPr>
    </w:p>
    <w:p w14:paraId="71225C2F" w14:textId="45FC3C94" w:rsidR="003B4DD3" w:rsidRPr="00FB5E68" w:rsidRDefault="003B4DD3" w:rsidP="00802661">
      <w:pPr>
        <w:pStyle w:val="Prrafodelista"/>
        <w:numPr>
          <w:ilvl w:val="0"/>
          <w:numId w:val="3"/>
        </w:numPr>
        <w:spacing w:line="360" w:lineRule="auto"/>
        <w:ind w:left="0" w:firstLine="0"/>
        <w:jc w:val="both"/>
        <w:rPr>
          <w:rFonts w:ascii="Palatino Linotype" w:eastAsia="Palatino Linotype" w:hAnsi="Palatino Linotype" w:cs="Palatino Linotype"/>
          <w:sz w:val="24"/>
        </w:rPr>
      </w:pPr>
      <w:r w:rsidRPr="00FB5E68">
        <w:rPr>
          <w:rFonts w:ascii="Palatino Linotype" w:eastAsia="Palatino Linotype" w:hAnsi="Palatino Linotype" w:cs="Palatino Linotype"/>
          <w:sz w:val="24"/>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admitidos los recursos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4E3775C7" w14:textId="77777777" w:rsidR="003B4DD3" w:rsidRPr="00FB5E68" w:rsidRDefault="003B4DD3" w:rsidP="00802661">
      <w:pPr>
        <w:spacing w:line="360" w:lineRule="auto"/>
        <w:contextualSpacing/>
        <w:jc w:val="both"/>
        <w:rPr>
          <w:rFonts w:ascii="Palatino Linotype" w:eastAsia="Palatino Linotype" w:hAnsi="Palatino Linotype" w:cs="Palatino Linotype"/>
        </w:rPr>
      </w:pPr>
    </w:p>
    <w:p w14:paraId="40AE3320" w14:textId="4E494FAB" w:rsidR="003B4DD3" w:rsidRPr="00FB5E68" w:rsidRDefault="003B4DD3" w:rsidP="00802661">
      <w:pPr>
        <w:pStyle w:val="Prrafodelista"/>
        <w:numPr>
          <w:ilvl w:val="0"/>
          <w:numId w:val="3"/>
        </w:numPr>
        <w:spacing w:line="360" w:lineRule="auto"/>
        <w:ind w:left="0" w:right="51" w:firstLine="0"/>
        <w:jc w:val="both"/>
        <w:rPr>
          <w:rFonts w:ascii="Palatino Linotype" w:eastAsia="Palatino Linotype" w:hAnsi="Palatino Linotype" w:cs="Palatino Linotype"/>
          <w:sz w:val="24"/>
        </w:rPr>
      </w:pPr>
      <w:r w:rsidRPr="00FB5E68">
        <w:rPr>
          <w:rFonts w:ascii="Palatino Linotype" w:eastAsia="Palatino Linotype" w:hAnsi="Palatino Linotype" w:cs="Palatino Linotype"/>
          <w:sz w:val="24"/>
        </w:rPr>
        <w:t>De manera preliminar en el caso concreto conviene analizar si se actualiza alguna de las causales de sobreseimiento de los recursos de revisión.</w:t>
      </w:r>
    </w:p>
    <w:p w14:paraId="75EC38AD" w14:textId="77777777" w:rsidR="003B4DD3" w:rsidRPr="00FB5E68" w:rsidRDefault="003B4DD3" w:rsidP="003614EB">
      <w:pPr>
        <w:spacing w:line="360" w:lineRule="auto"/>
        <w:ind w:right="51"/>
        <w:contextualSpacing/>
        <w:jc w:val="both"/>
        <w:rPr>
          <w:rFonts w:ascii="Palatino Linotype" w:eastAsia="Palatino Linotype" w:hAnsi="Palatino Linotype" w:cs="Palatino Linotype"/>
        </w:rPr>
      </w:pPr>
    </w:p>
    <w:p w14:paraId="02472DD4" w14:textId="65C1D6E4" w:rsidR="003B4DD3" w:rsidRPr="00FB5E68" w:rsidRDefault="003B4DD3" w:rsidP="00CD4A7A">
      <w:pPr>
        <w:pStyle w:val="Prrafodelista"/>
        <w:numPr>
          <w:ilvl w:val="0"/>
          <w:numId w:val="3"/>
        </w:numPr>
        <w:spacing w:line="360" w:lineRule="auto"/>
        <w:ind w:left="0" w:right="51" w:firstLine="0"/>
        <w:jc w:val="both"/>
        <w:rPr>
          <w:rFonts w:ascii="Palatino Linotype" w:eastAsia="Palatino Linotype" w:hAnsi="Palatino Linotype" w:cs="Palatino Linotype"/>
          <w:sz w:val="24"/>
        </w:rPr>
      </w:pPr>
      <w:r w:rsidRPr="00FB5E68">
        <w:rPr>
          <w:rFonts w:ascii="Palatino Linotype" w:hAnsi="Palatino Linotype"/>
          <w:color w:val="000000"/>
          <w:sz w:val="24"/>
        </w:rPr>
        <w:t>A efecto de sustentar lo anterior, es imprescindible mencionar que, del análisis de la solicitud de información, se advierte lo siguiente:</w:t>
      </w:r>
    </w:p>
    <w:p w14:paraId="7FB5BD8F" w14:textId="77777777" w:rsidR="003B4DD3" w:rsidRPr="00FB5E68" w:rsidRDefault="003B4DD3" w:rsidP="003614EB">
      <w:pPr>
        <w:spacing w:line="360" w:lineRule="auto"/>
        <w:jc w:val="both"/>
        <w:rPr>
          <w:rFonts w:ascii="Palatino Linotype" w:eastAsia="Palatino Linotype" w:hAnsi="Palatino Linotype" w:cs="Palatino Linotype"/>
        </w:rPr>
      </w:pPr>
    </w:p>
    <w:p w14:paraId="7A3602D8" w14:textId="1CC9EA6A" w:rsidR="003B4DD3" w:rsidRPr="00FB5E68" w:rsidRDefault="003B4DD3" w:rsidP="001D37A3">
      <w:pPr>
        <w:pStyle w:val="Prrafodelista"/>
        <w:numPr>
          <w:ilvl w:val="0"/>
          <w:numId w:val="3"/>
        </w:numPr>
        <w:spacing w:line="360" w:lineRule="auto"/>
        <w:ind w:left="0" w:right="51" w:firstLine="0"/>
        <w:jc w:val="both"/>
        <w:rPr>
          <w:rFonts w:ascii="Palatino Linotype" w:eastAsia="Palatino Linotype" w:hAnsi="Palatino Linotype" w:cs="Palatino Linotype"/>
          <w:sz w:val="24"/>
        </w:rPr>
      </w:pPr>
      <w:r w:rsidRPr="00FB5E68">
        <w:rPr>
          <w:rFonts w:ascii="Palatino Linotype" w:eastAsia="Palatino Linotype" w:hAnsi="Palatino Linotype" w:cs="Palatino Linotype"/>
          <w:sz w:val="24"/>
        </w:rPr>
        <w:t xml:space="preserve">Así, del análisis de la solicitud de información motivo del recurso de revisión que ahora se resuelve, se advierte que la persona solicitante requirió al </w:t>
      </w:r>
      <w:r w:rsidRPr="00FB5E68">
        <w:rPr>
          <w:rFonts w:ascii="Palatino Linotype" w:eastAsia="Palatino Linotype" w:hAnsi="Palatino Linotype" w:cs="Palatino Linotype"/>
          <w:b/>
          <w:sz w:val="24"/>
        </w:rPr>
        <w:t>SUJETO OBLIGADO</w:t>
      </w:r>
      <w:r w:rsidRPr="00FB5E68">
        <w:rPr>
          <w:rFonts w:ascii="Palatino Linotype" w:eastAsia="Palatino Linotype" w:hAnsi="Palatino Linotype" w:cs="Palatino Linotype"/>
          <w:sz w:val="24"/>
        </w:rPr>
        <w:t>, lo siguiente:</w:t>
      </w:r>
    </w:p>
    <w:p w14:paraId="05181EF8" w14:textId="77777777" w:rsidR="003B4DD3" w:rsidRPr="00FB5E68" w:rsidRDefault="003B4DD3" w:rsidP="003614EB">
      <w:pPr>
        <w:spacing w:line="360" w:lineRule="auto"/>
        <w:ind w:right="51"/>
        <w:contextualSpacing/>
        <w:jc w:val="both"/>
        <w:rPr>
          <w:rFonts w:ascii="Palatino Linotype" w:eastAsia="Palatino Linotype" w:hAnsi="Palatino Linotype" w:cs="Palatino Linotype"/>
        </w:rPr>
      </w:pPr>
    </w:p>
    <w:p w14:paraId="1060DB1D" w14:textId="6D273256" w:rsidR="00B80C5A" w:rsidRPr="00FB5E68" w:rsidRDefault="00B80C5A" w:rsidP="00B80C5A">
      <w:pPr>
        <w:spacing w:line="360" w:lineRule="auto"/>
        <w:ind w:left="851" w:right="739"/>
        <w:contextualSpacing/>
        <w:jc w:val="both"/>
        <w:rPr>
          <w:rFonts w:ascii="Palatino Linotype" w:eastAsia="Palatino Linotype" w:hAnsi="Palatino Linotype" w:cs="Palatino Linotype"/>
        </w:rPr>
      </w:pPr>
      <w:r w:rsidRPr="00FB5E68">
        <w:rPr>
          <w:rFonts w:ascii="Palatino Linotype" w:hAnsi="Palatino Linotype"/>
          <w:i/>
          <w:color w:val="000000"/>
        </w:rPr>
        <w:t xml:space="preserve">“Siempre es lo mismo en el hospital de las Américas con abril garay islas la persona que está en el </w:t>
      </w:r>
      <w:proofErr w:type="spellStart"/>
      <w:r w:rsidRPr="00FB5E68">
        <w:rPr>
          <w:rFonts w:ascii="Palatino Linotype" w:hAnsi="Palatino Linotype"/>
          <w:i/>
          <w:color w:val="000000"/>
        </w:rPr>
        <w:t>checador</w:t>
      </w:r>
      <w:proofErr w:type="spellEnd"/>
      <w:r w:rsidRPr="00FB5E68">
        <w:rPr>
          <w:rFonts w:ascii="Palatino Linotype" w:hAnsi="Palatino Linotype"/>
          <w:i/>
          <w:color w:val="000000"/>
        </w:rPr>
        <w:t xml:space="preserve"> siempre se sale anda vendiendo y sabemos que está prohibido vender dentro de nuestra unidad anda repartiendo sus zapatos su ropa de SHEIN y todo lo que trae. Pierde papeletas nos pide fotos de nuestros acuses si no se los damos se molesta nos quiere mandar faltas le echa la culpa a su compañera y siempre dice por más que le explicamos no entiende todos los días se sale a las doce y regresa a la una La gente falta y no se da cuenta que siguen cobrando por ella no avisa que no trabajan para que se </w:t>
      </w:r>
      <w:proofErr w:type="spellStart"/>
      <w:r w:rsidRPr="00FB5E68">
        <w:rPr>
          <w:rFonts w:ascii="Palatino Linotype" w:hAnsi="Palatino Linotype"/>
          <w:i/>
          <w:color w:val="000000"/>
        </w:rPr>
        <w:t>de</w:t>
      </w:r>
      <w:proofErr w:type="spellEnd"/>
      <w:r w:rsidRPr="00FB5E68">
        <w:rPr>
          <w:rFonts w:ascii="Palatino Linotype" w:hAnsi="Palatino Linotype"/>
          <w:i/>
          <w:color w:val="000000"/>
        </w:rPr>
        <w:t xml:space="preserve"> su renuncia y siguen cobrando quincenas, no hace su trabajo, todos los días llega tarde tiene omisiones de entrada acumulo de retardos y no la mandan a descansar ni le descuentan las faltas ella está teniendo beneficios así como le da contraseña a su amigo </w:t>
      </w:r>
      <w:proofErr w:type="spellStart"/>
      <w:r w:rsidRPr="00FB5E68">
        <w:rPr>
          <w:rFonts w:ascii="Palatino Linotype" w:hAnsi="Palatino Linotype"/>
          <w:i/>
          <w:color w:val="000000"/>
        </w:rPr>
        <w:lastRenderedPageBreak/>
        <w:t>favricio</w:t>
      </w:r>
      <w:proofErr w:type="spellEnd"/>
      <w:r w:rsidRPr="00FB5E68">
        <w:rPr>
          <w:rFonts w:ascii="Palatino Linotype" w:hAnsi="Palatino Linotype"/>
          <w:i/>
          <w:color w:val="000000"/>
        </w:rPr>
        <w:t xml:space="preserve"> para que cheque cuando se va todos los días temprano ya no la queremos ahí y nadie pone remedio quiero una solución</w:t>
      </w:r>
      <w:r w:rsidRPr="00FB5E68">
        <w:rPr>
          <w:rFonts w:ascii="Palatino Linotype" w:eastAsia="Palatino Linotype" w:hAnsi="Palatino Linotype" w:cs="Palatino Linotype"/>
          <w:i/>
          <w:color w:val="000000"/>
        </w:rPr>
        <w:t xml:space="preserve">” </w:t>
      </w:r>
      <w:r w:rsidRPr="00FB5E68">
        <w:rPr>
          <w:rFonts w:ascii="Palatino Linotype" w:eastAsia="Palatino Linotype" w:hAnsi="Palatino Linotype" w:cs="Palatino Linotype"/>
          <w:color w:val="000000"/>
        </w:rPr>
        <w:t>(Sic)</w:t>
      </w:r>
    </w:p>
    <w:p w14:paraId="6EC29876" w14:textId="77777777" w:rsidR="00B80C5A" w:rsidRPr="00FB5E68" w:rsidRDefault="00B80C5A" w:rsidP="003614EB">
      <w:pPr>
        <w:spacing w:line="360" w:lineRule="auto"/>
        <w:ind w:right="51"/>
        <w:contextualSpacing/>
        <w:jc w:val="both"/>
        <w:rPr>
          <w:rFonts w:ascii="Palatino Linotype" w:eastAsia="Palatino Linotype" w:hAnsi="Palatino Linotype" w:cs="Palatino Linotype"/>
        </w:rPr>
      </w:pPr>
    </w:p>
    <w:p w14:paraId="3680A252" w14:textId="29AEBA94" w:rsidR="003B4DD3" w:rsidRPr="00FB5E68" w:rsidRDefault="003B4DD3" w:rsidP="005D2435">
      <w:pPr>
        <w:pStyle w:val="Prrafodelista"/>
        <w:numPr>
          <w:ilvl w:val="0"/>
          <w:numId w:val="3"/>
        </w:numPr>
        <w:spacing w:line="360" w:lineRule="auto"/>
        <w:ind w:left="0" w:right="51" w:firstLine="0"/>
        <w:jc w:val="both"/>
        <w:rPr>
          <w:rFonts w:ascii="Palatino Linotype" w:eastAsia="Palatino Linotype" w:hAnsi="Palatino Linotype" w:cs="Palatino Linotype"/>
          <w:sz w:val="24"/>
        </w:rPr>
      </w:pPr>
      <w:r w:rsidRPr="00FB5E68">
        <w:rPr>
          <w:rFonts w:ascii="Palatino Linotype" w:eastAsia="Palatino Linotype" w:hAnsi="Palatino Linotype" w:cs="Palatino Linotype"/>
          <w:sz w:val="24"/>
        </w:rPr>
        <w:t xml:space="preserve">El </w:t>
      </w:r>
      <w:r w:rsidRPr="00FB5E68">
        <w:rPr>
          <w:rFonts w:ascii="Palatino Linotype" w:eastAsia="Palatino Linotype" w:hAnsi="Palatino Linotype" w:cs="Palatino Linotype"/>
          <w:b/>
          <w:sz w:val="24"/>
        </w:rPr>
        <w:t xml:space="preserve">SUJETO OBLIGADO </w:t>
      </w:r>
      <w:r w:rsidRPr="00FB5E68">
        <w:rPr>
          <w:rFonts w:ascii="Palatino Linotype" w:eastAsia="Palatino Linotype" w:hAnsi="Palatino Linotype" w:cs="Palatino Linotype"/>
          <w:sz w:val="24"/>
        </w:rPr>
        <w:t xml:space="preserve">por conducto de la </w:t>
      </w:r>
      <w:r w:rsidR="00F93C25" w:rsidRPr="00FB5E68">
        <w:rPr>
          <w:rFonts w:ascii="Palatino Linotype" w:eastAsia="Palatino Linotype" w:hAnsi="Palatino Linotype" w:cs="Palatino Linotype"/>
          <w:sz w:val="24"/>
        </w:rPr>
        <w:t xml:space="preserve">Jefa de la Unidad de Información, Planeación, Programación y Evaluación en el ISEM y Titular de la Unidad de Transparencia, </w:t>
      </w:r>
      <w:r w:rsidR="00510E55" w:rsidRPr="00FB5E68">
        <w:rPr>
          <w:rFonts w:ascii="Palatino Linotype" w:eastAsia="Palatino Linotype" w:hAnsi="Palatino Linotype" w:cs="Palatino Linotype"/>
          <w:sz w:val="24"/>
        </w:rPr>
        <w:t>refirió que las manifestaciones de la Recurrente, no corresponden a una solicitud de información, no obstante lo anterior, en respuesta</w:t>
      </w:r>
      <w:r w:rsidRPr="00FB5E68">
        <w:rPr>
          <w:rFonts w:ascii="Palatino Linotype" w:eastAsia="Palatino Linotype" w:hAnsi="Palatino Linotype" w:cs="Palatino Linotype"/>
          <w:sz w:val="24"/>
        </w:rPr>
        <w:t xml:space="preserve">, </w:t>
      </w:r>
      <w:r w:rsidR="00510E55" w:rsidRPr="00FB5E68">
        <w:rPr>
          <w:rFonts w:ascii="Palatino Linotype" w:eastAsia="Palatino Linotype" w:hAnsi="Palatino Linotype" w:cs="Palatino Linotype"/>
          <w:sz w:val="24"/>
        </w:rPr>
        <w:t>le sugirió canalizar el requerimiento al área correspondiente, siendo la Dirección de Ética y Prevención de la Corrupción</w:t>
      </w:r>
      <w:r w:rsidRPr="00FB5E68">
        <w:rPr>
          <w:rFonts w:ascii="Palatino Linotype" w:eastAsia="Palatino Linotype" w:hAnsi="Palatino Linotype" w:cs="Palatino Linotype"/>
          <w:sz w:val="24"/>
        </w:rPr>
        <w:t>.</w:t>
      </w:r>
    </w:p>
    <w:p w14:paraId="32C0C55D" w14:textId="77777777" w:rsidR="003B4DD3" w:rsidRPr="00FB5E68" w:rsidRDefault="003B4DD3" w:rsidP="003614EB">
      <w:pPr>
        <w:spacing w:line="360" w:lineRule="auto"/>
        <w:ind w:right="51"/>
        <w:contextualSpacing/>
        <w:jc w:val="both"/>
        <w:rPr>
          <w:rFonts w:ascii="Palatino Linotype" w:eastAsia="Palatino Linotype" w:hAnsi="Palatino Linotype" w:cs="Palatino Linotype"/>
        </w:rPr>
      </w:pPr>
    </w:p>
    <w:p w14:paraId="32704D36" w14:textId="763FBFBE" w:rsidR="003B4DD3" w:rsidRPr="00FB5E68" w:rsidRDefault="003B4DD3" w:rsidP="002B6A9F">
      <w:pPr>
        <w:pStyle w:val="Prrafodelista"/>
        <w:numPr>
          <w:ilvl w:val="0"/>
          <w:numId w:val="3"/>
        </w:numPr>
        <w:pBdr>
          <w:top w:val="nil"/>
          <w:left w:val="nil"/>
          <w:bottom w:val="nil"/>
          <w:right w:val="nil"/>
          <w:between w:val="nil"/>
        </w:pBdr>
        <w:spacing w:line="360" w:lineRule="auto"/>
        <w:ind w:left="0" w:right="51" w:firstLine="0"/>
        <w:jc w:val="both"/>
        <w:rPr>
          <w:rFonts w:ascii="Palatino Linotype" w:eastAsia="Palatino Linotype" w:hAnsi="Palatino Linotype" w:cs="Palatino Linotype"/>
          <w:b/>
          <w:sz w:val="24"/>
        </w:rPr>
      </w:pPr>
      <w:r w:rsidRPr="00FB5E68">
        <w:rPr>
          <w:rFonts w:ascii="Palatino Linotype" w:eastAsia="Palatino Linotype" w:hAnsi="Palatino Linotype" w:cs="Palatino Linotype"/>
          <w:sz w:val="24"/>
        </w:rPr>
        <w:t xml:space="preserve">De la solicitud se advierte, que el particular </w:t>
      </w:r>
      <w:r w:rsidR="000F432E" w:rsidRPr="00FB5E68">
        <w:rPr>
          <w:rFonts w:ascii="Palatino Linotype" w:eastAsia="Palatino Linotype" w:hAnsi="Palatino Linotype" w:cs="Palatino Linotype"/>
          <w:sz w:val="24"/>
        </w:rPr>
        <w:t xml:space="preserve">realizó </w:t>
      </w:r>
      <w:r w:rsidR="00E43844" w:rsidRPr="00FB5E68">
        <w:rPr>
          <w:rFonts w:ascii="Palatino Linotype" w:eastAsia="Palatino Linotype" w:hAnsi="Palatino Linotype" w:cs="Palatino Linotype"/>
          <w:sz w:val="24"/>
        </w:rPr>
        <w:t xml:space="preserve">ante el </w:t>
      </w:r>
      <w:r w:rsidR="00E43844" w:rsidRPr="00FB5E68">
        <w:rPr>
          <w:rFonts w:ascii="Palatino Linotype" w:eastAsia="Palatino Linotype" w:hAnsi="Palatino Linotype" w:cs="Palatino Linotype"/>
          <w:b/>
          <w:sz w:val="24"/>
        </w:rPr>
        <w:t xml:space="preserve">SUJETO OBLIGADO, </w:t>
      </w:r>
      <w:r w:rsidR="000F432E" w:rsidRPr="00FB5E68">
        <w:rPr>
          <w:rFonts w:ascii="Palatino Linotype" w:eastAsia="Palatino Linotype" w:hAnsi="Palatino Linotype" w:cs="Palatino Linotype"/>
          <w:sz w:val="24"/>
        </w:rPr>
        <w:t xml:space="preserve">manifestaciones </w:t>
      </w:r>
      <w:r w:rsidR="00D15706" w:rsidRPr="00FB5E68">
        <w:rPr>
          <w:rFonts w:ascii="Palatino Linotype" w:eastAsia="Palatino Linotype" w:hAnsi="Palatino Linotype" w:cs="Palatino Linotype"/>
          <w:sz w:val="24"/>
        </w:rPr>
        <w:t xml:space="preserve">subjetivas, </w:t>
      </w:r>
      <w:r w:rsidR="00E43844" w:rsidRPr="00FB5E68">
        <w:rPr>
          <w:rFonts w:ascii="Palatino Linotype" w:eastAsia="Palatino Linotype" w:hAnsi="Palatino Linotype" w:cs="Palatino Linotype"/>
          <w:sz w:val="24"/>
        </w:rPr>
        <w:t>referentes</w:t>
      </w:r>
      <w:r w:rsidR="00AD5329" w:rsidRPr="00FB5E68">
        <w:rPr>
          <w:rFonts w:ascii="Palatino Linotype" w:eastAsia="Palatino Linotype" w:hAnsi="Palatino Linotype" w:cs="Palatino Linotype"/>
          <w:sz w:val="24"/>
        </w:rPr>
        <w:t xml:space="preserve"> a inquietudes, </w:t>
      </w:r>
      <w:r w:rsidR="00E43844" w:rsidRPr="00FB5E68">
        <w:rPr>
          <w:rFonts w:ascii="Palatino Linotype" w:eastAsia="Palatino Linotype" w:hAnsi="Palatino Linotype" w:cs="Palatino Linotype"/>
          <w:sz w:val="24"/>
        </w:rPr>
        <w:t>queja</w:t>
      </w:r>
      <w:r w:rsidR="00AD5329" w:rsidRPr="00FB5E68">
        <w:rPr>
          <w:rFonts w:ascii="Palatino Linotype" w:eastAsia="Palatino Linotype" w:hAnsi="Palatino Linotype" w:cs="Palatino Linotype"/>
          <w:sz w:val="24"/>
        </w:rPr>
        <w:t>s</w:t>
      </w:r>
      <w:r w:rsidR="00E43844" w:rsidRPr="00FB5E68">
        <w:rPr>
          <w:rFonts w:ascii="Palatino Linotype" w:eastAsia="Palatino Linotype" w:hAnsi="Palatino Linotype" w:cs="Palatino Linotype"/>
          <w:sz w:val="24"/>
        </w:rPr>
        <w:t xml:space="preserve"> y/o </w:t>
      </w:r>
      <w:r w:rsidR="00AD5329" w:rsidRPr="00FB5E68">
        <w:rPr>
          <w:rFonts w:ascii="Palatino Linotype" w:eastAsia="Palatino Linotype" w:hAnsi="Palatino Linotype" w:cs="Palatino Linotype"/>
          <w:sz w:val="24"/>
        </w:rPr>
        <w:t>sugerencias</w:t>
      </w:r>
      <w:r w:rsidR="00E43844" w:rsidRPr="00FB5E68">
        <w:rPr>
          <w:rFonts w:ascii="Palatino Linotype" w:eastAsia="Palatino Linotype" w:hAnsi="Palatino Linotype" w:cs="Palatino Linotype"/>
          <w:sz w:val="24"/>
        </w:rPr>
        <w:t xml:space="preserve">, </w:t>
      </w:r>
      <w:r w:rsidRPr="00FB5E68">
        <w:rPr>
          <w:rFonts w:ascii="Palatino Linotype" w:eastAsia="Palatino Linotype" w:hAnsi="Palatino Linotype" w:cs="Palatino Linotype"/>
          <w:sz w:val="24"/>
        </w:rPr>
        <w:t>por lo que es obvio que no está ejerciendo su derecho de acceso a la información pública</w:t>
      </w:r>
      <w:r w:rsidR="00E43844" w:rsidRPr="00FB5E68">
        <w:rPr>
          <w:rFonts w:ascii="Palatino Linotype" w:eastAsia="Palatino Linotype" w:hAnsi="Palatino Linotype" w:cs="Palatino Linotype"/>
          <w:sz w:val="24"/>
        </w:rPr>
        <w:t xml:space="preserve">. Al respecto es de señalar que las mismas corresponden a </w:t>
      </w:r>
      <w:r w:rsidR="00D15706" w:rsidRPr="00FB5E68">
        <w:rPr>
          <w:rFonts w:ascii="Palatino Linotype" w:eastAsia="Palatino Linotype" w:hAnsi="Palatino Linotype" w:cs="Palatino Linotype"/>
          <w:sz w:val="24"/>
        </w:rPr>
        <w:t xml:space="preserve">manifestaciones que no son atendibles vía derecho de acceso a la información, </w:t>
      </w:r>
      <w:r w:rsidRPr="00FB5E68">
        <w:rPr>
          <w:rFonts w:ascii="Palatino Linotype" w:eastAsia="Palatino Linotype" w:hAnsi="Palatino Linotype" w:cs="Palatino Linotype"/>
          <w:sz w:val="24"/>
        </w:rPr>
        <w:t xml:space="preserve">es decir, que </w:t>
      </w:r>
      <w:r w:rsidR="00AD5329" w:rsidRPr="00FB5E68">
        <w:rPr>
          <w:rFonts w:ascii="Palatino Linotype" w:eastAsia="Palatino Linotype" w:hAnsi="Palatino Linotype" w:cs="Palatino Linotype"/>
          <w:sz w:val="24"/>
        </w:rPr>
        <w:t>las manifestaciones aludidas</w:t>
      </w:r>
      <w:r w:rsidRPr="00FB5E68">
        <w:rPr>
          <w:rFonts w:ascii="Palatino Linotype" w:eastAsia="Palatino Linotype" w:hAnsi="Palatino Linotype" w:cs="Palatino Linotype"/>
          <w:sz w:val="24"/>
        </w:rPr>
        <w:t xml:space="preserve"> se colme con documentos que obren en los archivos del </w:t>
      </w:r>
      <w:r w:rsidRPr="00FB5E68">
        <w:rPr>
          <w:rFonts w:ascii="Palatino Linotype" w:eastAsia="Palatino Linotype" w:hAnsi="Palatino Linotype" w:cs="Palatino Linotype"/>
          <w:b/>
          <w:sz w:val="24"/>
        </w:rPr>
        <w:t>SUJETO OBLIGADO.</w:t>
      </w:r>
    </w:p>
    <w:p w14:paraId="06161DE5" w14:textId="77777777" w:rsidR="00AD5329" w:rsidRPr="00FB5E68" w:rsidRDefault="00AD5329" w:rsidP="00370709">
      <w:pPr>
        <w:pStyle w:val="Prrafodelista"/>
        <w:spacing w:line="360" w:lineRule="auto"/>
        <w:rPr>
          <w:rFonts w:ascii="Palatino Linotype" w:eastAsia="Palatino Linotype" w:hAnsi="Palatino Linotype" w:cs="Palatino Linotype"/>
          <w:b/>
          <w:sz w:val="24"/>
        </w:rPr>
      </w:pPr>
    </w:p>
    <w:p w14:paraId="7FD68697" w14:textId="40782E54" w:rsidR="003B4DD3" w:rsidRPr="00FB5E68" w:rsidRDefault="003B4DD3" w:rsidP="00AC49DE">
      <w:pPr>
        <w:pStyle w:val="Prrafodelista"/>
        <w:numPr>
          <w:ilvl w:val="0"/>
          <w:numId w:val="3"/>
        </w:numPr>
        <w:pBdr>
          <w:top w:val="nil"/>
          <w:left w:val="nil"/>
          <w:bottom w:val="nil"/>
          <w:right w:val="nil"/>
          <w:between w:val="nil"/>
        </w:pBdr>
        <w:spacing w:line="360" w:lineRule="auto"/>
        <w:ind w:left="0" w:right="51" w:firstLine="0"/>
        <w:jc w:val="both"/>
        <w:rPr>
          <w:rFonts w:ascii="Palatino Linotype" w:eastAsia="Palatino Linotype" w:hAnsi="Palatino Linotype" w:cs="Palatino Linotype"/>
          <w:sz w:val="24"/>
        </w:rPr>
      </w:pPr>
      <w:r w:rsidRPr="00FB5E68">
        <w:rPr>
          <w:rFonts w:ascii="Palatino Linotype" w:eastAsia="Palatino Linotype" w:hAnsi="Palatino Linotype" w:cs="Palatino Linotype"/>
          <w:sz w:val="24"/>
        </w:rPr>
        <w:t>En tal contexto, del análisis realizado al expediente electrónico, se advierte que la solicitud no constituye un derecho de acceso a la información y por lo tanto no es atendible mediante una solicitud de acceso a la información pública, porque se tratan de una consulta para un caso específico, situación que conlleva a afirmar que se está en presencia del ejercicio del derecho de petición.</w:t>
      </w:r>
    </w:p>
    <w:p w14:paraId="63F65799" w14:textId="77777777" w:rsidR="003B4DD3" w:rsidRPr="00FB5E68" w:rsidRDefault="003B4DD3" w:rsidP="003614EB">
      <w:pPr>
        <w:pBdr>
          <w:top w:val="nil"/>
          <w:left w:val="nil"/>
          <w:bottom w:val="nil"/>
          <w:right w:val="nil"/>
          <w:between w:val="nil"/>
        </w:pBdr>
        <w:spacing w:line="360" w:lineRule="auto"/>
        <w:ind w:right="51"/>
        <w:contextualSpacing/>
        <w:jc w:val="both"/>
        <w:rPr>
          <w:rFonts w:ascii="Palatino Linotype" w:eastAsia="Palatino Linotype" w:hAnsi="Palatino Linotype" w:cs="Palatino Linotype"/>
        </w:rPr>
      </w:pPr>
    </w:p>
    <w:p w14:paraId="7C8B7573" w14:textId="0BA0296E" w:rsidR="003B4DD3" w:rsidRPr="00FB5E68" w:rsidRDefault="003B4DD3" w:rsidP="00BC2B2F">
      <w:pPr>
        <w:pStyle w:val="Prrafodelista"/>
        <w:numPr>
          <w:ilvl w:val="0"/>
          <w:numId w:val="3"/>
        </w:numPr>
        <w:pBdr>
          <w:top w:val="nil"/>
          <w:left w:val="nil"/>
          <w:bottom w:val="nil"/>
          <w:right w:val="nil"/>
          <w:between w:val="nil"/>
        </w:pBdr>
        <w:spacing w:line="360" w:lineRule="auto"/>
        <w:ind w:left="0" w:right="51" w:firstLine="0"/>
        <w:jc w:val="both"/>
        <w:rPr>
          <w:rFonts w:ascii="Palatino Linotype" w:eastAsia="Palatino Linotype" w:hAnsi="Palatino Linotype" w:cs="Palatino Linotype"/>
          <w:sz w:val="24"/>
        </w:rPr>
      </w:pPr>
      <w:r w:rsidRPr="00FB5E68">
        <w:rPr>
          <w:rFonts w:ascii="Palatino Linotype" w:eastAsia="Palatino Linotype" w:hAnsi="Palatino Linotype" w:cs="Palatino Linotype"/>
          <w:sz w:val="24"/>
        </w:rPr>
        <w:lastRenderedPageBreak/>
        <w:t>En ese sentido, es importante diferenciar lo que se entiende por derecho de petición y por derecho de acceso a la información pública.</w:t>
      </w:r>
    </w:p>
    <w:p w14:paraId="0D25BA10" w14:textId="77777777" w:rsidR="003B4DD3" w:rsidRPr="00FB5E68" w:rsidRDefault="003B4DD3" w:rsidP="003614EB">
      <w:pPr>
        <w:pBdr>
          <w:top w:val="nil"/>
          <w:left w:val="nil"/>
          <w:bottom w:val="nil"/>
          <w:right w:val="nil"/>
          <w:between w:val="nil"/>
        </w:pBdr>
        <w:spacing w:line="360" w:lineRule="auto"/>
        <w:ind w:right="51"/>
        <w:contextualSpacing/>
        <w:jc w:val="both"/>
        <w:rPr>
          <w:rFonts w:ascii="Palatino Linotype" w:eastAsia="Palatino Linotype" w:hAnsi="Palatino Linotype" w:cs="Palatino Linotype"/>
        </w:rPr>
      </w:pPr>
    </w:p>
    <w:p w14:paraId="7B5F9FE5" w14:textId="77777777" w:rsidR="003B4DD3" w:rsidRPr="00FB5E68" w:rsidRDefault="003B4DD3" w:rsidP="001F420F">
      <w:pPr>
        <w:pStyle w:val="Prrafodelista"/>
        <w:numPr>
          <w:ilvl w:val="0"/>
          <w:numId w:val="18"/>
        </w:numPr>
        <w:pBdr>
          <w:top w:val="nil"/>
          <w:left w:val="nil"/>
          <w:bottom w:val="nil"/>
          <w:right w:val="nil"/>
          <w:between w:val="nil"/>
        </w:pBdr>
        <w:spacing w:line="360" w:lineRule="auto"/>
        <w:ind w:left="0" w:right="51" w:firstLine="0"/>
        <w:jc w:val="both"/>
        <w:rPr>
          <w:rFonts w:ascii="Palatino Linotype" w:eastAsia="Palatino Linotype" w:hAnsi="Palatino Linotype" w:cs="Palatino Linotype"/>
          <w:sz w:val="24"/>
        </w:rPr>
      </w:pPr>
      <w:r w:rsidRPr="00FB5E68">
        <w:rPr>
          <w:rFonts w:ascii="Palatino Linotype" w:eastAsia="Palatino Linotype" w:hAnsi="Palatino Linotype" w:cs="Palatino Linotype"/>
          <w:sz w:val="24"/>
        </w:rPr>
        <w:t>Derecho de Petición:</w:t>
      </w:r>
    </w:p>
    <w:p w14:paraId="19CECCBF" w14:textId="77777777" w:rsidR="003B4DD3" w:rsidRPr="00FB5E68" w:rsidRDefault="003B4DD3" w:rsidP="00370709">
      <w:pPr>
        <w:pBdr>
          <w:top w:val="nil"/>
          <w:left w:val="nil"/>
          <w:bottom w:val="nil"/>
          <w:right w:val="nil"/>
          <w:between w:val="nil"/>
        </w:pBdr>
        <w:spacing w:line="276" w:lineRule="auto"/>
        <w:ind w:left="851" w:right="455"/>
        <w:contextualSpacing/>
        <w:jc w:val="both"/>
        <w:rPr>
          <w:rFonts w:ascii="Palatino Linotype" w:eastAsia="Palatino Linotype" w:hAnsi="Palatino Linotype" w:cs="Palatino Linotype"/>
          <w:sz w:val="22"/>
          <w:szCs w:val="22"/>
        </w:rPr>
      </w:pPr>
      <w:r w:rsidRPr="00FB5E68">
        <w:rPr>
          <w:rFonts w:ascii="Palatino Linotype" w:eastAsia="Palatino Linotype" w:hAnsi="Palatino Linotype" w:cs="Palatino Linotype"/>
          <w:sz w:val="22"/>
          <w:szCs w:val="22"/>
        </w:rPr>
        <w:t>El Doctor Ignacio Burgoa Orihuela refiere que derecho de petición: "...</w:t>
      </w:r>
      <w:r w:rsidRPr="00FB5E68">
        <w:rPr>
          <w:rFonts w:ascii="Palatino Linotype" w:eastAsia="Palatino Linotype" w:hAnsi="Palatino Linotype" w:cs="Palatino Linotype"/>
          <w:i/>
          <w:sz w:val="22"/>
          <w:szCs w:val="22"/>
        </w:rPr>
        <w:t>es un Derecho Público subjetivo individual de la Garantía Respectiva Consagrada en al Artículo 8 de la Ley Fundamental. En tal virtud, la persona tiene la facultad de acudir a cualquier autoridad, formulando una solicitud o instancia escrito de cualquier índole, la cual adopta, especialmente, el carácter de simple petición administrativa, acción o recurso, etc.</w:t>
      </w:r>
      <w:r w:rsidRPr="00FB5E68">
        <w:rPr>
          <w:rFonts w:ascii="Palatino Linotype" w:eastAsia="Palatino Linotype" w:hAnsi="Palatino Linotype" w:cs="Palatino Linotype"/>
          <w:sz w:val="22"/>
          <w:szCs w:val="22"/>
        </w:rPr>
        <w:t>"</w:t>
      </w:r>
      <w:r w:rsidRPr="00FB5E68">
        <w:rPr>
          <w:rFonts w:ascii="Palatino Linotype" w:eastAsia="Palatino Linotype" w:hAnsi="Palatino Linotype" w:cs="Palatino Linotype"/>
          <w:sz w:val="22"/>
          <w:szCs w:val="22"/>
          <w:vertAlign w:val="superscript"/>
        </w:rPr>
        <w:footnoteReference w:id="1"/>
      </w:r>
      <w:r w:rsidRPr="00FB5E68">
        <w:rPr>
          <w:rFonts w:ascii="Palatino Linotype" w:eastAsia="Palatino Linotype" w:hAnsi="Palatino Linotype" w:cs="Palatino Linotype"/>
          <w:sz w:val="22"/>
          <w:szCs w:val="22"/>
        </w:rPr>
        <w:t>(Sic)</w:t>
      </w:r>
    </w:p>
    <w:p w14:paraId="2D9184F8" w14:textId="77777777" w:rsidR="003B4DD3" w:rsidRPr="00FB5E68" w:rsidRDefault="003B4DD3" w:rsidP="003614EB">
      <w:pPr>
        <w:pBdr>
          <w:top w:val="nil"/>
          <w:left w:val="nil"/>
          <w:bottom w:val="nil"/>
          <w:right w:val="nil"/>
          <w:between w:val="nil"/>
        </w:pBdr>
        <w:spacing w:line="360" w:lineRule="auto"/>
        <w:ind w:right="51"/>
        <w:contextualSpacing/>
        <w:jc w:val="both"/>
        <w:rPr>
          <w:rFonts w:ascii="Palatino Linotype" w:eastAsia="Palatino Linotype" w:hAnsi="Palatino Linotype" w:cs="Palatino Linotype"/>
        </w:rPr>
      </w:pPr>
    </w:p>
    <w:p w14:paraId="42A6DFCE" w14:textId="7D462E0A" w:rsidR="003B4DD3" w:rsidRPr="00FB5E68" w:rsidRDefault="00B63206" w:rsidP="00B63206">
      <w:pPr>
        <w:pStyle w:val="Prrafodelista"/>
        <w:numPr>
          <w:ilvl w:val="0"/>
          <w:numId w:val="3"/>
        </w:numPr>
        <w:pBdr>
          <w:top w:val="nil"/>
          <w:left w:val="nil"/>
          <w:bottom w:val="nil"/>
          <w:right w:val="nil"/>
          <w:between w:val="nil"/>
        </w:pBdr>
        <w:spacing w:line="360" w:lineRule="auto"/>
        <w:ind w:left="0" w:right="51" w:firstLine="0"/>
        <w:jc w:val="both"/>
        <w:rPr>
          <w:rFonts w:ascii="Palatino Linotype" w:eastAsia="Palatino Linotype" w:hAnsi="Palatino Linotype" w:cs="Palatino Linotype"/>
          <w:color w:val="000000"/>
          <w:sz w:val="24"/>
        </w:rPr>
      </w:pPr>
      <w:r w:rsidRPr="00FB5E68">
        <w:rPr>
          <w:rFonts w:ascii="Palatino Linotype" w:eastAsia="Palatino Linotype" w:hAnsi="Palatino Linotype" w:cs="Palatino Linotype"/>
          <w:color w:val="000000"/>
        </w:rPr>
        <w:t xml:space="preserve"> </w:t>
      </w:r>
      <w:r w:rsidR="003B4DD3" w:rsidRPr="00FB5E68">
        <w:rPr>
          <w:rFonts w:ascii="Palatino Linotype" w:eastAsia="Palatino Linotype" w:hAnsi="Palatino Linotype" w:cs="Palatino Linotype"/>
          <w:color w:val="000000"/>
          <w:sz w:val="24"/>
        </w:rPr>
        <w:t xml:space="preserve">Por su parte, David Cienfuegos Salgado, concibe al derecho de petición como </w:t>
      </w:r>
      <w:r w:rsidR="003B4DD3" w:rsidRPr="00FB5E68">
        <w:rPr>
          <w:rFonts w:ascii="Palatino Linotype" w:eastAsia="Palatino Linotype" w:hAnsi="Palatino Linotype" w:cs="Palatino Linotype"/>
          <w:i/>
          <w:color w:val="000000"/>
          <w:sz w:val="24"/>
        </w:rPr>
        <w:t>“el derecho de toda persona a ser escuchado por quienes ejercen el poder público</w:t>
      </w:r>
      <w:r w:rsidRPr="00FB5E68">
        <w:rPr>
          <w:rFonts w:ascii="Palatino Linotype" w:eastAsia="Palatino Linotype" w:hAnsi="Palatino Linotype" w:cs="Palatino Linotype"/>
          <w:i/>
          <w:color w:val="000000"/>
          <w:sz w:val="24"/>
        </w:rPr>
        <w:t>.</w:t>
      </w:r>
      <w:r w:rsidR="003B4DD3" w:rsidRPr="00FB5E68">
        <w:rPr>
          <w:rFonts w:eastAsia="Palatino Linotype"/>
          <w:sz w:val="24"/>
          <w:vertAlign w:val="superscript"/>
        </w:rPr>
        <w:footnoteReference w:id="2"/>
      </w:r>
      <w:r w:rsidR="003B4DD3" w:rsidRPr="00FB5E68">
        <w:rPr>
          <w:rFonts w:ascii="Palatino Linotype" w:eastAsia="Palatino Linotype" w:hAnsi="Palatino Linotype" w:cs="Palatino Linotype"/>
          <w:i/>
          <w:color w:val="000000"/>
          <w:sz w:val="24"/>
        </w:rPr>
        <w:t xml:space="preserve">” (Sic) </w:t>
      </w:r>
    </w:p>
    <w:p w14:paraId="19253976" w14:textId="77777777" w:rsidR="00B63206" w:rsidRPr="00FB5E68" w:rsidRDefault="00B63206" w:rsidP="00B63206">
      <w:pPr>
        <w:pStyle w:val="Prrafodelista"/>
        <w:pBdr>
          <w:top w:val="nil"/>
          <w:left w:val="nil"/>
          <w:bottom w:val="nil"/>
          <w:right w:val="nil"/>
          <w:between w:val="nil"/>
        </w:pBdr>
        <w:spacing w:line="360" w:lineRule="auto"/>
        <w:ind w:left="0" w:right="51"/>
        <w:jc w:val="both"/>
        <w:rPr>
          <w:rFonts w:ascii="Palatino Linotype" w:eastAsia="Palatino Linotype" w:hAnsi="Palatino Linotype" w:cs="Palatino Linotype"/>
          <w:color w:val="000000"/>
          <w:sz w:val="24"/>
        </w:rPr>
      </w:pPr>
    </w:p>
    <w:p w14:paraId="16E4C724" w14:textId="070E3CD3" w:rsidR="003B4DD3" w:rsidRPr="00FB5E68" w:rsidRDefault="003B4DD3" w:rsidP="00222526">
      <w:pPr>
        <w:pStyle w:val="NormalWeb"/>
        <w:numPr>
          <w:ilvl w:val="0"/>
          <w:numId w:val="3"/>
        </w:numPr>
        <w:spacing w:before="0" w:beforeAutospacing="0" w:after="0" w:afterAutospacing="0" w:line="360" w:lineRule="auto"/>
        <w:ind w:left="0" w:right="49" w:firstLine="0"/>
        <w:contextualSpacing/>
        <w:jc w:val="both"/>
        <w:rPr>
          <w:rFonts w:ascii="Palatino Linotype" w:eastAsia="Palatino Linotype" w:hAnsi="Palatino Linotype" w:cs="Palatino Linotype"/>
        </w:rPr>
      </w:pPr>
      <w:r w:rsidRPr="00FB5E68">
        <w:rPr>
          <w:rFonts w:ascii="Palatino Linotype" w:eastAsia="Palatino Linotype" w:hAnsi="Palatino Linotype" w:cs="Palatino Linotype"/>
        </w:rPr>
        <w:t xml:space="preserve">De la misma manera, Migue Carbonell en su libro “Los derechos fundamentales” refiere que el derecho de petición se ha entendido de dos distintitas maneras, a saber: como un derecho fundamental de participación política ya que permite a los particulares trasladar a las autoridades sus inquietudes, quejas, sugerencias y requerimientos en cualquier materia o asunto; y como una forma específica de la libertad de expresión, en tanto que permite expresarse frente a las autoridades. De igual manera que el derecho de petición se traduce en la obligación de todos los funcionarios y autoridades de permitir a los </w:t>
      </w:r>
      <w:r w:rsidRPr="00FB5E68">
        <w:rPr>
          <w:rFonts w:ascii="Palatino Linotype" w:eastAsia="Palatino Linotype" w:hAnsi="Palatino Linotype" w:cs="Palatino Linotype"/>
        </w:rPr>
        <w:lastRenderedPageBreak/>
        <w:t>ciudadanos de dirigirse a ellos en demanda de lo que deseen expresar o solicitar y responder de dicha demanda por escrito, de forma congruente y en un plazo breve.</w:t>
      </w:r>
      <w:r w:rsidRPr="00FB5E68">
        <w:rPr>
          <w:rFonts w:ascii="Palatino Linotype" w:eastAsia="Palatino Linotype" w:hAnsi="Palatino Linotype" w:cs="Palatino Linotype"/>
          <w:vertAlign w:val="superscript"/>
        </w:rPr>
        <w:footnoteReference w:id="3"/>
      </w:r>
    </w:p>
    <w:p w14:paraId="61B879BB" w14:textId="77777777" w:rsidR="003B4DD3" w:rsidRPr="00FB5E68" w:rsidRDefault="003B4DD3" w:rsidP="004B350A">
      <w:pPr>
        <w:pStyle w:val="NormalWeb"/>
        <w:spacing w:before="0" w:beforeAutospacing="0" w:after="0" w:afterAutospacing="0" w:line="360" w:lineRule="auto"/>
        <w:ind w:right="49"/>
        <w:contextualSpacing/>
        <w:jc w:val="both"/>
        <w:rPr>
          <w:rFonts w:ascii="Palatino Linotype" w:eastAsia="Palatino Linotype" w:hAnsi="Palatino Linotype" w:cs="Palatino Linotype"/>
        </w:rPr>
      </w:pPr>
    </w:p>
    <w:p w14:paraId="7D22E9F9" w14:textId="77777777" w:rsidR="003B4DD3" w:rsidRPr="00FB5E68" w:rsidRDefault="003B4DD3" w:rsidP="007219D3">
      <w:pPr>
        <w:pStyle w:val="NormalWeb"/>
        <w:numPr>
          <w:ilvl w:val="0"/>
          <w:numId w:val="18"/>
        </w:numPr>
        <w:spacing w:before="240" w:beforeAutospacing="0" w:after="240" w:afterAutospacing="0" w:line="360" w:lineRule="auto"/>
        <w:ind w:left="0" w:right="49" w:firstLine="0"/>
        <w:contextualSpacing/>
        <w:jc w:val="both"/>
        <w:rPr>
          <w:rFonts w:ascii="Palatino Linotype" w:eastAsia="Palatino Linotype" w:hAnsi="Palatino Linotype" w:cs="Palatino Linotype"/>
        </w:rPr>
      </w:pPr>
      <w:r w:rsidRPr="00FB5E68">
        <w:rPr>
          <w:rFonts w:ascii="Palatino Linotype" w:eastAsia="Palatino Linotype" w:hAnsi="Palatino Linotype" w:cs="Palatino Linotype"/>
        </w:rPr>
        <w:t>Derecho de Acceso a la Información Pública:</w:t>
      </w:r>
    </w:p>
    <w:p w14:paraId="52D4D977" w14:textId="3237F5CE" w:rsidR="003B4DD3" w:rsidRPr="00FB5E68" w:rsidRDefault="003B4DD3" w:rsidP="000D7CBB">
      <w:pPr>
        <w:pStyle w:val="NormalWeb"/>
        <w:numPr>
          <w:ilvl w:val="0"/>
          <w:numId w:val="3"/>
        </w:numPr>
        <w:spacing w:before="240" w:beforeAutospacing="0" w:after="240" w:afterAutospacing="0" w:line="360" w:lineRule="auto"/>
        <w:ind w:left="0" w:right="49" w:firstLine="0"/>
        <w:contextualSpacing/>
        <w:jc w:val="both"/>
        <w:rPr>
          <w:rFonts w:ascii="Palatino Linotype" w:eastAsia="Palatino Linotype" w:hAnsi="Palatino Linotype" w:cs="Palatino Linotype"/>
          <w:color w:val="000000"/>
        </w:rPr>
      </w:pPr>
      <w:r w:rsidRPr="00FB5E68">
        <w:rPr>
          <w:rFonts w:ascii="Palatino Linotype" w:eastAsia="Palatino Linotype" w:hAnsi="Palatino Linotype" w:cs="Palatino Linotype"/>
          <w:color w:val="000000"/>
        </w:rPr>
        <w:t>Asimismo, el autor anteriormente citado, indica que el derecho de acceso a la información pública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4AA79CB8" w14:textId="77777777" w:rsidR="003B4DD3" w:rsidRPr="00FB5E68" w:rsidRDefault="003B4DD3" w:rsidP="003614EB">
      <w:pPr>
        <w:pStyle w:val="NormalWeb"/>
        <w:spacing w:before="240" w:beforeAutospacing="0" w:after="240" w:afterAutospacing="0" w:line="360" w:lineRule="auto"/>
        <w:ind w:right="49"/>
        <w:contextualSpacing/>
        <w:jc w:val="both"/>
        <w:rPr>
          <w:rFonts w:ascii="Palatino Linotype" w:eastAsia="Palatino Linotype" w:hAnsi="Palatino Linotype" w:cs="Palatino Linotype"/>
          <w:color w:val="000000"/>
        </w:rPr>
      </w:pPr>
    </w:p>
    <w:p w14:paraId="1B342DAA" w14:textId="3A80DCF1" w:rsidR="003B4DD3" w:rsidRPr="00FB5E68" w:rsidRDefault="003B4DD3" w:rsidP="00090849">
      <w:pPr>
        <w:pStyle w:val="NormalWeb"/>
        <w:numPr>
          <w:ilvl w:val="0"/>
          <w:numId w:val="3"/>
        </w:numPr>
        <w:spacing w:before="240" w:beforeAutospacing="0" w:after="240" w:afterAutospacing="0" w:line="360" w:lineRule="auto"/>
        <w:ind w:left="0" w:right="49" w:firstLine="0"/>
        <w:contextualSpacing/>
        <w:jc w:val="both"/>
        <w:rPr>
          <w:rFonts w:ascii="Palatino Linotype" w:eastAsia="Palatino Linotype" w:hAnsi="Palatino Linotype" w:cs="Palatino Linotype"/>
          <w:color w:val="000000"/>
        </w:rPr>
      </w:pPr>
      <w:r w:rsidRPr="00FB5E68">
        <w:rPr>
          <w:rFonts w:ascii="Palatino Linotype" w:eastAsia="Palatino Linotype" w:hAnsi="Palatino Linotype" w:cs="Palatino Linotype"/>
          <w:color w:val="000000"/>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FB5E68">
        <w:rPr>
          <w:rFonts w:ascii="Palatino Linotype" w:eastAsia="Palatino Linotype" w:hAnsi="Palatino Linotype" w:cs="Palatino Linotype"/>
          <w:color w:val="000000"/>
          <w:vertAlign w:val="superscript"/>
        </w:rPr>
        <w:footnoteReference w:id="4"/>
      </w:r>
    </w:p>
    <w:p w14:paraId="3BC89F09" w14:textId="77777777" w:rsidR="003B4DD3" w:rsidRPr="00FB5E68" w:rsidRDefault="003B4DD3" w:rsidP="003614EB">
      <w:pPr>
        <w:pStyle w:val="NormalWeb"/>
        <w:spacing w:before="240" w:beforeAutospacing="0" w:after="240" w:afterAutospacing="0" w:line="360" w:lineRule="auto"/>
        <w:ind w:right="49"/>
        <w:contextualSpacing/>
        <w:jc w:val="both"/>
        <w:rPr>
          <w:rFonts w:ascii="Palatino Linotype" w:eastAsia="Palatino Linotype" w:hAnsi="Palatino Linotype" w:cs="Palatino Linotype"/>
          <w:color w:val="000000"/>
        </w:rPr>
      </w:pPr>
    </w:p>
    <w:p w14:paraId="1A89F2AA" w14:textId="1F0F4C5B" w:rsidR="003B4DD3" w:rsidRPr="00FB5E68" w:rsidRDefault="003B4DD3" w:rsidP="00090849">
      <w:pPr>
        <w:pStyle w:val="NormalWeb"/>
        <w:numPr>
          <w:ilvl w:val="0"/>
          <w:numId w:val="3"/>
        </w:numPr>
        <w:spacing w:before="240" w:beforeAutospacing="0" w:after="240" w:afterAutospacing="0" w:line="360" w:lineRule="auto"/>
        <w:ind w:left="0" w:right="49" w:firstLine="0"/>
        <w:contextualSpacing/>
        <w:jc w:val="both"/>
        <w:rPr>
          <w:rFonts w:ascii="Palatino Linotype" w:eastAsia="Palatino Linotype" w:hAnsi="Palatino Linotype" w:cs="Palatino Linotype"/>
          <w:color w:val="000000"/>
        </w:rPr>
      </w:pPr>
      <w:r w:rsidRPr="00FB5E68">
        <w:rPr>
          <w:rFonts w:ascii="Palatino Linotype" w:eastAsia="Palatino Linotype" w:hAnsi="Palatino Linotype" w:cs="Palatino Linotype"/>
          <w:color w:val="000000"/>
        </w:rPr>
        <w:t xml:space="preserve">Del mismo modo, para diferenciar el derecho de petición del derecho de acceso a la información pública, resulta conveniente citar a José Guadalupe Robles, quien conceptualiza el derecho a la información como "un derecho fundamental </w:t>
      </w:r>
      <w:r w:rsidRPr="00FB5E68">
        <w:rPr>
          <w:rFonts w:ascii="Palatino Linotype" w:eastAsia="Palatino Linotype" w:hAnsi="Palatino Linotype" w:cs="Palatino Linotype"/>
          <w:color w:val="000000"/>
        </w:rPr>
        <w:lastRenderedPageBreak/>
        <w:t>tanto de carácter individual como colectivo, cuyas limitaciones deben estar establecidas en la ley, así corno una garantía de que la información sea tramitada con claridad y objetividad, por cuanto a que es un ben jurídico que coadyuva al desarrollo de las personas y a la formación de opinión pública de calidad para poder participar y luego influir en la vida pública.”</w:t>
      </w:r>
      <w:r w:rsidRPr="00FB5E68">
        <w:rPr>
          <w:rFonts w:ascii="Palatino Linotype" w:eastAsia="Palatino Linotype" w:hAnsi="Palatino Linotype" w:cs="Palatino Linotype"/>
          <w:color w:val="000000"/>
          <w:vertAlign w:val="superscript"/>
        </w:rPr>
        <w:footnoteReference w:id="5"/>
      </w:r>
    </w:p>
    <w:p w14:paraId="392F27CB" w14:textId="77777777" w:rsidR="003B4DD3" w:rsidRPr="00FB5E68" w:rsidRDefault="003B4DD3" w:rsidP="003614EB">
      <w:pPr>
        <w:pStyle w:val="NormalWeb"/>
        <w:spacing w:before="240" w:beforeAutospacing="0" w:after="240" w:afterAutospacing="0" w:line="360" w:lineRule="auto"/>
        <w:ind w:right="49"/>
        <w:contextualSpacing/>
        <w:jc w:val="both"/>
        <w:rPr>
          <w:rFonts w:ascii="Palatino Linotype" w:eastAsia="Palatino Linotype" w:hAnsi="Palatino Linotype" w:cs="Palatino Linotype"/>
          <w:color w:val="000000"/>
        </w:rPr>
      </w:pPr>
    </w:p>
    <w:p w14:paraId="61166DE3" w14:textId="5F21B5D3" w:rsidR="003B4DD3" w:rsidRPr="00FB5E68" w:rsidRDefault="003B4DD3" w:rsidP="00E63ACB">
      <w:pPr>
        <w:pStyle w:val="NormalWeb"/>
        <w:numPr>
          <w:ilvl w:val="0"/>
          <w:numId w:val="3"/>
        </w:numPr>
        <w:spacing w:before="240" w:beforeAutospacing="0" w:after="240" w:afterAutospacing="0" w:line="360" w:lineRule="auto"/>
        <w:ind w:left="0" w:right="49" w:firstLine="0"/>
        <w:contextualSpacing/>
        <w:jc w:val="both"/>
        <w:rPr>
          <w:rFonts w:ascii="Palatino Linotype" w:eastAsia="Palatino Linotype" w:hAnsi="Palatino Linotype" w:cs="Palatino Linotype"/>
          <w:color w:val="000000"/>
        </w:rPr>
      </w:pPr>
      <w:r w:rsidRPr="00FB5E68">
        <w:rPr>
          <w:rFonts w:ascii="Palatino Linotype" w:eastAsia="Palatino Linotype" w:hAnsi="Palatino Linotype" w:cs="Palatino Linotype"/>
          <w:color w:val="000000"/>
        </w:rPr>
        <w:t>De ahí que,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348280D2" w14:textId="77777777" w:rsidR="003B4DD3" w:rsidRPr="00FB5E68" w:rsidRDefault="003B4DD3" w:rsidP="00FB072A">
      <w:pPr>
        <w:pStyle w:val="NormalWeb"/>
        <w:spacing w:before="0" w:beforeAutospacing="0" w:after="0" w:afterAutospacing="0" w:line="276" w:lineRule="auto"/>
        <w:ind w:right="49"/>
        <w:contextualSpacing/>
        <w:jc w:val="both"/>
        <w:rPr>
          <w:rFonts w:ascii="Palatino Linotype" w:eastAsia="Palatino Linotype" w:hAnsi="Palatino Linotype" w:cs="Palatino Linotype"/>
          <w:color w:val="000000"/>
          <w:sz w:val="22"/>
          <w:szCs w:val="22"/>
        </w:rPr>
      </w:pPr>
    </w:p>
    <w:p w14:paraId="0D94CC96" w14:textId="77777777" w:rsidR="003B4DD3" w:rsidRPr="00FB5E68" w:rsidRDefault="003B4DD3" w:rsidP="00FB072A">
      <w:pPr>
        <w:spacing w:line="276" w:lineRule="auto"/>
        <w:ind w:left="567" w:right="567"/>
        <w:contextualSpacing/>
        <w:jc w:val="both"/>
        <w:rPr>
          <w:rFonts w:ascii="Palatino Linotype" w:eastAsia="Palatino Linotype" w:hAnsi="Palatino Linotype" w:cs="Palatino Linotype"/>
          <w:b/>
          <w:i/>
          <w:sz w:val="22"/>
          <w:szCs w:val="22"/>
        </w:rPr>
      </w:pPr>
      <w:r w:rsidRPr="00FB5E68">
        <w:rPr>
          <w:rFonts w:ascii="Palatino Linotype" w:eastAsia="Palatino Linotype" w:hAnsi="Palatino Linotype" w:cs="Palatino Linotype"/>
          <w:b/>
          <w:i/>
          <w:sz w:val="22"/>
          <w:szCs w:val="22"/>
        </w:rPr>
        <w:t>“CRITERIO 0002-11</w:t>
      </w:r>
    </w:p>
    <w:p w14:paraId="2079573C" w14:textId="77777777" w:rsidR="003B4DD3" w:rsidRPr="00FB5E68" w:rsidRDefault="003B4DD3" w:rsidP="00FB072A">
      <w:pPr>
        <w:spacing w:line="276" w:lineRule="auto"/>
        <w:ind w:left="567" w:right="567"/>
        <w:contextualSpacing/>
        <w:jc w:val="both"/>
        <w:rPr>
          <w:rFonts w:ascii="Palatino Linotype" w:eastAsia="Palatino Linotype" w:hAnsi="Palatino Linotype" w:cs="Palatino Linotype"/>
          <w:i/>
          <w:sz w:val="22"/>
          <w:szCs w:val="22"/>
        </w:rPr>
      </w:pPr>
      <w:r w:rsidRPr="00FB5E68">
        <w:rPr>
          <w:rFonts w:ascii="Palatino Linotype" w:eastAsia="Palatino Linotype" w:hAnsi="Palatino Linotype" w:cs="Palatino Linotype"/>
          <w:b/>
          <w:i/>
          <w:sz w:val="22"/>
          <w:szCs w:val="22"/>
        </w:rPr>
        <w:t>INFORMACIÓN PÚBLICA, CONCEPTO DE, EN MATERIA DE TRANSPARENCIA. INTERPRETACIÓN TEMÁTICA DE LOS ARTÍCULOS 2, FRACCIÓN V, XV, Y XVI, 32, 4,11 Y 41.</w:t>
      </w:r>
      <w:r w:rsidRPr="00FB5E68">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A1449DF" w14:textId="77777777" w:rsidR="003B4DD3" w:rsidRPr="00FB5E68" w:rsidRDefault="003B4DD3" w:rsidP="00FB072A">
      <w:pPr>
        <w:spacing w:line="276" w:lineRule="auto"/>
        <w:ind w:left="567" w:right="567"/>
        <w:contextualSpacing/>
        <w:jc w:val="both"/>
        <w:rPr>
          <w:rFonts w:ascii="Palatino Linotype" w:eastAsia="Palatino Linotype" w:hAnsi="Palatino Linotype" w:cs="Palatino Linotype"/>
          <w:i/>
          <w:sz w:val="22"/>
          <w:szCs w:val="22"/>
        </w:rPr>
      </w:pPr>
      <w:r w:rsidRPr="00FB5E68">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762EF3E" w14:textId="77777777" w:rsidR="003B4DD3" w:rsidRPr="00FB5E68" w:rsidRDefault="003B4DD3" w:rsidP="00FB072A">
      <w:pPr>
        <w:spacing w:line="276" w:lineRule="auto"/>
        <w:ind w:left="567" w:right="567"/>
        <w:contextualSpacing/>
        <w:jc w:val="both"/>
        <w:rPr>
          <w:rFonts w:ascii="Palatino Linotype" w:eastAsia="Palatino Linotype" w:hAnsi="Palatino Linotype" w:cs="Palatino Linotype"/>
          <w:i/>
          <w:sz w:val="22"/>
          <w:szCs w:val="22"/>
        </w:rPr>
      </w:pPr>
      <w:r w:rsidRPr="00FB5E68">
        <w:rPr>
          <w:rFonts w:ascii="Palatino Linotype" w:eastAsia="Palatino Linotype" w:hAnsi="Palatino Linotype" w:cs="Palatino Linotype"/>
          <w:i/>
          <w:sz w:val="22"/>
          <w:szCs w:val="22"/>
        </w:rPr>
        <w:lastRenderedPageBreak/>
        <w:t>Que se trate de información registrada en cualquier soporte documental, que en ejercicio de las atribuciones conferidas, sea generada por los Sujetos Obligados;</w:t>
      </w:r>
    </w:p>
    <w:p w14:paraId="1980E156" w14:textId="77777777" w:rsidR="003B4DD3" w:rsidRPr="00FB5E68" w:rsidRDefault="003B4DD3" w:rsidP="00FB072A">
      <w:pPr>
        <w:spacing w:line="276" w:lineRule="auto"/>
        <w:ind w:left="567" w:right="567"/>
        <w:contextualSpacing/>
        <w:jc w:val="both"/>
        <w:rPr>
          <w:rFonts w:ascii="Palatino Linotype" w:eastAsia="Palatino Linotype" w:hAnsi="Palatino Linotype" w:cs="Palatino Linotype"/>
          <w:i/>
          <w:sz w:val="22"/>
          <w:szCs w:val="22"/>
        </w:rPr>
      </w:pPr>
      <w:r w:rsidRPr="00FB5E68">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0051627C" w14:textId="77777777" w:rsidR="003B4DD3" w:rsidRPr="00FB5E68" w:rsidRDefault="003B4DD3" w:rsidP="00FB072A">
      <w:pPr>
        <w:spacing w:line="276" w:lineRule="auto"/>
        <w:ind w:left="567" w:right="567"/>
        <w:contextualSpacing/>
        <w:jc w:val="both"/>
        <w:rPr>
          <w:rFonts w:ascii="Palatino Linotype" w:eastAsia="Palatino Linotype" w:hAnsi="Palatino Linotype" w:cs="Palatino Linotype"/>
          <w:i/>
          <w:color w:val="000000"/>
          <w:sz w:val="22"/>
          <w:szCs w:val="22"/>
        </w:rPr>
      </w:pPr>
      <w:r w:rsidRPr="00FB5E68">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
    <w:p w14:paraId="4D3BD20A" w14:textId="77777777" w:rsidR="003B4DD3" w:rsidRPr="00FB5E68" w:rsidRDefault="003B4DD3" w:rsidP="003614EB">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rPr>
      </w:pPr>
    </w:p>
    <w:p w14:paraId="0AF59CCF" w14:textId="0FFF4F86" w:rsidR="003B4DD3" w:rsidRPr="00FB5E68" w:rsidRDefault="003B4DD3" w:rsidP="000C2FC1">
      <w:pPr>
        <w:pStyle w:val="Prrafodelista"/>
        <w:numPr>
          <w:ilvl w:val="0"/>
          <w:numId w:val="3"/>
        </w:numPr>
        <w:pBdr>
          <w:top w:val="nil"/>
          <w:left w:val="nil"/>
          <w:bottom w:val="nil"/>
          <w:right w:val="nil"/>
          <w:between w:val="nil"/>
        </w:pBdr>
        <w:spacing w:line="360" w:lineRule="auto"/>
        <w:ind w:left="0" w:right="96" w:firstLine="0"/>
        <w:jc w:val="both"/>
        <w:rPr>
          <w:rFonts w:ascii="Palatino Linotype" w:eastAsia="Palatino Linotype" w:hAnsi="Palatino Linotype" w:cs="Palatino Linotype"/>
          <w:color w:val="000000"/>
          <w:sz w:val="24"/>
        </w:rPr>
      </w:pPr>
      <w:r w:rsidRPr="00FB5E68">
        <w:rPr>
          <w:rFonts w:ascii="Palatino Linotype" w:eastAsia="Palatino Linotype" w:hAnsi="Palatino Linotype" w:cs="Palatino Linotype"/>
          <w:color w:val="000000"/>
          <w:sz w:val="24"/>
        </w:rPr>
        <w:t>De lo anterior se puede concluir que la distinción entre el derecho de petición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0B8D6487" w14:textId="77777777" w:rsidR="003B4DD3" w:rsidRPr="00FB5E68" w:rsidRDefault="003B4DD3" w:rsidP="00274A48">
      <w:pPr>
        <w:spacing w:line="360" w:lineRule="auto"/>
        <w:contextualSpacing/>
        <w:jc w:val="both"/>
        <w:rPr>
          <w:rFonts w:ascii="Palatino Linotype" w:eastAsia="Palatino Linotype" w:hAnsi="Palatino Linotype" w:cs="Palatino Linotype"/>
          <w:b/>
        </w:rPr>
      </w:pPr>
    </w:p>
    <w:p w14:paraId="4A5652C7" w14:textId="590507E9" w:rsidR="003B4DD3" w:rsidRPr="00FB5E68" w:rsidRDefault="003B4DD3" w:rsidP="00274A48">
      <w:pPr>
        <w:pStyle w:val="Prrafodelista"/>
        <w:numPr>
          <w:ilvl w:val="0"/>
          <w:numId w:val="3"/>
        </w:numPr>
        <w:pBdr>
          <w:top w:val="nil"/>
          <w:left w:val="nil"/>
          <w:bottom w:val="nil"/>
          <w:right w:val="nil"/>
          <w:between w:val="nil"/>
        </w:pBdr>
        <w:spacing w:line="360" w:lineRule="auto"/>
        <w:ind w:left="0" w:right="96" w:firstLine="0"/>
        <w:jc w:val="both"/>
        <w:rPr>
          <w:rFonts w:ascii="Palatino Linotype" w:eastAsia="Palatino Linotype" w:hAnsi="Palatino Linotype" w:cs="Palatino Linotype"/>
          <w:color w:val="000000"/>
          <w:sz w:val="24"/>
        </w:rPr>
      </w:pPr>
      <w:r w:rsidRPr="00FB5E68">
        <w:rPr>
          <w:rFonts w:ascii="Palatino Linotype" w:eastAsia="Palatino Linotype" w:hAnsi="Palatino Linotype" w:cs="Palatino Linotype"/>
          <w:color w:val="000000"/>
          <w:sz w:val="24"/>
        </w:rPr>
        <w:t xml:space="preserve">Con base a lo anterior, tenemos que </w:t>
      </w:r>
      <w:r w:rsidRPr="00FB5E68">
        <w:rPr>
          <w:rFonts w:ascii="Palatino Linotype" w:eastAsia="Palatino Linotype" w:hAnsi="Palatino Linotype" w:cs="Palatino Linotype"/>
          <w:b/>
          <w:color w:val="000000"/>
          <w:sz w:val="24"/>
        </w:rPr>
        <w:t>LA PARTE</w:t>
      </w:r>
      <w:r w:rsidRPr="00FB5E68">
        <w:rPr>
          <w:rFonts w:ascii="Palatino Linotype" w:eastAsia="Palatino Linotype" w:hAnsi="Palatino Linotype" w:cs="Palatino Linotype"/>
          <w:color w:val="000000"/>
          <w:sz w:val="24"/>
        </w:rPr>
        <w:t xml:space="preserve"> </w:t>
      </w:r>
      <w:r w:rsidRPr="00FB5E68">
        <w:rPr>
          <w:rFonts w:ascii="Palatino Linotype" w:eastAsia="Palatino Linotype" w:hAnsi="Palatino Linotype" w:cs="Palatino Linotype"/>
          <w:b/>
          <w:color w:val="000000"/>
          <w:sz w:val="24"/>
        </w:rPr>
        <w:t>RECURRENTE</w:t>
      </w:r>
      <w:r w:rsidRPr="00FB5E68">
        <w:rPr>
          <w:rFonts w:ascii="Palatino Linotype" w:eastAsia="Palatino Linotype" w:hAnsi="Palatino Linotype" w:cs="Palatino Linotype"/>
          <w:color w:val="000000"/>
          <w:sz w:val="24"/>
        </w:rPr>
        <w:t xml:space="preserve"> en sus solicitudes de información requiere de una explicación o bien una razón a una consulta sobre un caso específico por parte del </w:t>
      </w:r>
      <w:r w:rsidRPr="00FB5E68">
        <w:rPr>
          <w:rFonts w:ascii="Palatino Linotype" w:eastAsia="Palatino Linotype" w:hAnsi="Palatino Linotype" w:cs="Palatino Linotype"/>
          <w:b/>
          <w:color w:val="000000"/>
          <w:sz w:val="24"/>
        </w:rPr>
        <w:t>SUJETO OBLIGADO</w:t>
      </w:r>
      <w:r w:rsidRPr="00FB5E68">
        <w:rPr>
          <w:rFonts w:ascii="Palatino Linotype" w:eastAsia="Palatino Linotype" w:hAnsi="Palatino Linotype" w:cs="Palatino Linotype"/>
          <w:color w:val="000000"/>
          <w:sz w:val="24"/>
        </w:rPr>
        <w:t xml:space="preserve">; por consiguiente, la entrega de una razón o la respuesta a </w:t>
      </w:r>
      <w:r w:rsidR="001F0AF5" w:rsidRPr="00FB5E68">
        <w:rPr>
          <w:rFonts w:ascii="Palatino Linotype" w:eastAsia="Palatino Linotype" w:hAnsi="Palatino Linotype" w:cs="Palatino Linotype"/>
          <w:color w:val="000000"/>
          <w:sz w:val="24"/>
        </w:rPr>
        <w:t xml:space="preserve">manifestaciones y/o </w:t>
      </w:r>
      <w:r w:rsidRPr="00FB5E68">
        <w:rPr>
          <w:rFonts w:ascii="Palatino Linotype" w:eastAsia="Palatino Linotype" w:hAnsi="Palatino Linotype" w:cs="Palatino Linotype"/>
          <w:color w:val="000000"/>
          <w:sz w:val="24"/>
        </w:rPr>
        <w:t xml:space="preserve">cuestionamientos que no encuentren soporte documental alguno, por parte de los Sujetos Obligados no es algo que la Ley de la Materia establezca como atribución,  derecho o facultad; pues ello implicaría emitir un juicio de valor referente a cuestionamientos realizados, los cuales como ha quedado explicado, al constituir </w:t>
      </w:r>
      <w:r w:rsidRPr="00FB5E68">
        <w:rPr>
          <w:rFonts w:ascii="Palatino Linotype" w:eastAsia="Palatino Linotype" w:hAnsi="Palatino Linotype" w:cs="Palatino Linotype"/>
          <w:color w:val="000000"/>
          <w:sz w:val="24"/>
        </w:rPr>
        <w:lastRenderedPageBreak/>
        <w:t>interrogantes, inquietudes, quejas y manifestaciones resultan estar encaminadas a ser satisfechas en ejercicio del derecho de petición.</w:t>
      </w:r>
    </w:p>
    <w:p w14:paraId="6CB27DEC" w14:textId="77777777" w:rsidR="003B4DD3" w:rsidRPr="00FB5E68" w:rsidRDefault="003B4DD3" w:rsidP="003614EB">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rPr>
      </w:pPr>
    </w:p>
    <w:p w14:paraId="1695BA94" w14:textId="57378814" w:rsidR="003B4DD3" w:rsidRPr="00FB5E68" w:rsidRDefault="003B4DD3" w:rsidP="00AC11F7">
      <w:pPr>
        <w:pStyle w:val="Prrafodelista"/>
        <w:numPr>
          <w:ilvl w:val="0"/>
          <w:numId w:val="3"/>
        </w:numPr>
        <w:pBdr>
          <w:top w:val="nil"/>
          <w:left w:val="nil"/>
          <w:bottom w:val="nil"/>
          <w:right w:val="nil"/>
          <w:between w:val="nil"/>
        </w:pBdr>
        <w:spacing w:line="360" w:lineRule="auto"/>
        <w:ind w:left="0" w:right="96" w:firstLine="0"/>
        <w:jc w:val="both"/>
        <w:rPr>
          <w:rFonts w:ascii="Palatino Linotype" w:eastAsia="Palatino Linotype" w:hAnsi="Palatino Linotype" w:cs="Palatino Linotype"/>
          <w:color w:val="000000"/>
          <w:sz w:val="24"/>
        </w:rPr>
      </w:pPr>
      <w:r w:rsidRPr="00FB5E68">
        <w:rPr>
          <w:rFonts w:ascii="Palatino Linotype" w:eastAsia="Palatino Linotype" w:hAnsi="Palatino Linotype" w:cs="Palatino Linotype"/>
          <w:color w:val="000000"/>
          <w:sz w:val="24"/>
        </w:rPr>
        <w:t xml:space="preserve">Además, es de resaltar que este Instituto de Transparencia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las solicitudes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un derecho de petición ejercido por un gobernado; en consecuencia, este Instinto no tiene atribuciones para pronunciarse respecto a las manifestaciones expuestas por el particular ya que son tendentes a que </w:t>
      </w:r>
      <w:r w:rsidRPr="00FB5E68">
        <w:rPr>
          <w:rFonts w:ascii="Palatino Linotype" w:eastAsia="Palatino Linotype" w:hAnsi="Palatino Linotype" w:cs="Palatino Linotype"/>
          <w:b/>
          <w:color w:val="000000"/>
          <w:sz w:val="24"/>
        </w:rPr>
        <w:t>EL SUJETO OBLIGADO</w:t>
      </w:r>
      <w:r w:rsidRPr="00FB5E68">
        <w:rPr>
          <w:rFonts w:ascii="Palatino Linotype" w:eastAsia="Palatino Linotype" w:hAnsi="Palatino Linotype" w:cs="Palatino Linotype"/>
          <w:color w:val="000000"/>
          <w:sz w:val="24"/>
        </w:rPr>
        <w:t xml:space="preserve"> aclare una inquietud.</w:t>
      </w:r>
    </w:p>
    <w:p w14:paraId="09236C5A" w14:textId="77777777" w:rsidR="003B4DD3" w:rsidRPr="00FB5E68" w:rsidRDefault="003B4DD3" w:rsidP="003614EB">
      <w:pPr>
        <w:spacing w:line="360" w:lineRule="auto"/>
        <w:jc w:val="both"/>
        <w:rPr>
          <w:rFonts w:ascii="Palatino Linotype" w:eastAsia="Palatino Linotype" w:hAnsi="Palatino Linotype" w:cs="Palatino Linotype"/>
        </w:rPr>
      </w:pPr>
    </w:p>
    <w:p w14:paraId="2F006F18" w14:textId="161FE96D" w:rsidR="003B4DD3" w:rsidRPr="00FB5E68" w:rsidRDefault="003B4DD3" w:rsidP="00AC11F7">
      <w:pPr>
        <w:pStyle w:val="Prrafodelista"/>
        <w:numPr>
          <w:ilvl w:val="0"/>
          <w:numId w:val="3"/>
        </w:numPr>
        <w:pBdr>
          <w:top w:val="nil"/>
          <w:left w:val="nil"/>
          <w:bottom w:val="nil"/>
          <w:right w:val="nil"/>
          <w:between w:val="nil"/>
        </w:pBdr>
        <w:spacing w:line="360" w:lineRule="auto"/>
        <w:ind w:left="0" w:right="96" w:firstLine="0"/>
        <w:jc w:val="both"/>
        <w:rPr>
          <w:rFonts w:ascii="Palatino Linotype" w:eastAsia="Palatino Linotype" w:hAnsi="Palatino Linotype" w:cs="Palatino Linotype"/>
          <w:color w:val="000000"/>
          <w:sz w:val="24"/>
        </w:rPr>
      </w:pPr>
      <w:r w:rsidRPr="00FB5E68">
        <w:rPr>
          <w:rFonts w:ascii="Palatino Linotype" w:eastAsia="Palatino Linotype" w:hAnsi="Palatino Linotype" w:cs="Palatino Linotype"/>
          <w:color w:val="000000"/>
          <w:sz w:val="24"/>
        </w:rPr>
        <w:lastRenderedPageBreak/>
        <w:t xml:space="preserve">En virtud de los argumentos expuestos con anterioridad así como del análisis realizado a las constancias que obran en </w:t>
      </w:r>
      <w:r w:rsidR="00EA0ECB" w:rsidRPr="00FB5E68">
        <w:rPr>
          <w:rFonts w:ascii="Palatino Linotype" w:eastAsia="Palatino Linotype" w:hAnsi="Palatino Linotype" w:cs="Palatino Linotype"/>
          <w:color w:val="000000"/>
          <w:sz w:val="24"/>
        </w:rPr>
        <w:t>e</w:t>
      </w:r>
      <w:r w:rsidRPr="00FB5E68">
        <w:rPr>
          <w:rFonts w:ascii="Palatino Linotype" w:eastAsia="Palatino Linotype" w:hAnsi="Palatino Linotype" w:cs="Palatino Linotype"/>
          <w:color w:val="000000"/>
          <w:sz w:val="24"/>
        </w:rPr>
        <w:t xml:space="preserve">l expediente electrónico del SAIMEX, identificado con folio </w:t>
      </w:r>
      <w:r w:rsidRPr="00FB5E68">
        <w:rPr>
          <w:rFonts w:ascii="Palatino Linotype" w:eastAsia="Palatino Linotype" w:hAnsi="Palatino Linotype" w:cs="Palatino Linotype"/>
          <w:b/>
          <w:color w:val="000000"/>
          <w:sz w:val="24"/>
        </w:rPr>
        <w:t>0</w:t>
      </w:r>
      <w:r w:rsidR="00EA0ECB" w:rsidRPr="00FB5E68">
        <w:rPr>
          <w:rFonts w:ascii="Palatino Linotype" w:eastAsia="Palatino Linotype" w:hAnsi="Palatino Linotype" w:cs="Palatino Linotype"/>
          <w:b/>
          <w:color w:val="000000"/>
          <w:sz w:val="24"/>
        </w:rPr>
        <w:t>0744</w:t>
      </w:r>
      <w:r w:rsidRPr="00FB5E68">
        <w:rPr>
          <w:rFonts w:ascii="Palatino Linotype" w:eastAsia="Palatino Linotype" w:hAnsi="Palatino Linotype" w:cs="Palatino Linotype"/>
          <w:b/>
          <w:color w:val="000000"/>
          <w:sz w:val="24"/>
        </w:rPr>
        <w:t>/</w:t>
      </w:r>
      <w:r w:rsidR="00EA0ECB" w:rsidRPr="00FB5E68">
        <w:rPr>
          <w:rFonts w:ascii="Palatino Linotype" w:eastAsia="Palatino Linotype" w:hAnsi="Palatino Linotype" w:cs="Palatino Linotype"/>
          <w:b/>
          <w:color w:val="000000"/>
          <w:sz w:val="24"/>
        </w:rPr>
        <w:t>ISEM/</w:t>
      </w:r>
      <w:r w:rsidRPr="00FB5E68">
        <w:rPr>
          <w:rFonts w:ascii="Palatino Linotype" w:eastAsia="Palatino Linotype" w:hAnsi="Palatino Linotype" w:cs="Palatino Linotype"/>
          <w:b/>
          <w:color w:val="000000"/>
          <w:sz w:val="24"/>
        </w:rPr>
        <w:t>IP/2024</w:t>
      </w:r>
      <w:r w:rsidRPr="00FB5E68">
        <w:rPr>
          <w:rFonts w:ascii="Palatino Linotype" w:eastAsia="Palatino Linotype" w:hAnsi="Palatino Linotype" w:cs="Palatino Linotype"/>
          <w:color w:val="000000"/>
          <w:sz w:val="24"/>
        </w:rPr>
        <w:t xml:space="preserve">, se determina sobreseer </w:t>
      </w:r>
      <w:r w:rsidR="00EA0ECB" w:rsidRPr="00FB5E68">
        <w:rPr>
          <w:rFonts w:ascii="Palatino Linotype" w:eastAsia="Palatino Linotype" w:hAnsi="Palatino Linotype" w:cs="Palatino Linotype"/>
          <w:color w:val="000000"/>
          <w:sz w:val="24"/>
        </w:rPr>
        <w:t>e</w:t>
      </w:r>
      <w:r w:rsidRPr="00FB5E68">
        <w:rPr>
          <w:rFonts w:ascii="Palatino Linotype" w:eastAsia="Palatino Linotype" w:hAnsi="Palatino Linotype" w:cs="Palatino Linotype"/>
          <w:color w:val="000000"/>
          <w:sz w:val="24"/>
        </w:rPr>
        <w:t xml:space="preserve">l presente recurso de revisión número </w:t>
      </w:r>
      <w:r w:rsidRPr="00FB5E68">
        <w:rPr>
          <w:rFonts w:ascii="Palatino Linotype" w:eastAsia="Palatino Linotype" w:hAnsi="Palatino Linotype" w:cs="Palatino Linotype"/>
          <w:b/>
          <w:color w:val="000000"/>
          <w:sz w:val="24"/>
        </w:rPr>
        <w:t>0</w:t>
      </w:r>
      <w:r w:rsidR="00EA0ECB" w:rsidRPr="00FB5E68">
        <w:rPr>
          <w:rFonts w:ascii="Palatino Linotype" w:eastAsia="Palatino Linotype" w:hAnsi="Palatino Linotype" w:cs="Palatino Linotype"/>
          <w:b/>
          <w:color w:val="000000"/>
          <w:sz w:val="24"/>
        </w:rPr>
        <w:t>7388</w:t>
      </w:r>
      <w:r w:rsidRPr="00FB5E68">
        <w:rPr>
          <w:rFonts w:ascii="Palatino Linotype" w:eastAsia="Palatino Linotype" w:hAnsi="Palatino Linotype" w:cs="Palatino Linotype"/>
          <w:b/>
          <w:color w:val="000000"/>
          <w:sz w:val="24"/>
        </w:rPr>
        <w:t>/INFOEM/IP/RR/</w:t>
      </w:r>
      <w:r w:rsidR="00EA0ECB" w:rsidRPr="00FB5E68">
        <w:rPr>
          <w:rFonts w:ascii="Palatino Linotype" w:eastAsia="Palatino Linotype" w:hAnsi="Palatino Linotype" w:cs="Palatino Linotype"/>
          <w:b/>
          <w:color w:val="000000"/>
          <w:sz w:val="24"/>
        </w:rPr>
        <w:t>2024</w:t>
      </w:r>
      <w:r w:rsidRPr="00FB5E68">
        <w:rPr>
          <w:rFonts w:ascii="Palatino Linotype" w:eastAsia="Palatino Linotype" w:hAnsi="Palatino Linotype" w:cs="Palatino Linotype"/>
          <w:color w:val="000000"/>
          <w:sz w:val="24"/>
        </w:rPr>
        <w:t>,</w:t>
      </w:r>
      <w:r w:rsidRPr="00FB5E68">
        <w:rPr>
          <w:rFonts w:ascii="Verdana" w:hAnsi="Verdana"/>
          <w:b/>
          <w:bCs/>
          <w:color w:val="FF0000"/>
          <w:sz w:val="24"/>
        </w:rPr>
        <w:t xml:space="preserve"> </w:t>
      </w:r>
      <w:r w:rsidRPr="00FB5E68">
        <w:rPr>
          <w:rFonts w:ascii="Palatino Linotype" w:eastAsia="Palatino Linotype" w:hAnsi="Palatino Linotype" w:cs="Palatino Linotype"/>
          <w:color w:val="000000"/>
          <w:sz w:val="24"/>
        </w:rPr>
        <w:t>por actualizarse la causal de sobreseimiento prevista en la fracción IV del artículo 192 de la Ley de Transparencia y Acceso a la Información Pública del Estado de México y Municipios en su correlación con la causal de improcedencia contemplada en la fracción VI del artículo 191 del ordenamiento legal en cita, los que se transcriben a continuación, para un mejor entendimiento:</w:t>
      </w:r>
    </w:p>
    <w:p w14:paraId="3EB2C09D" w14:textId="77777777" w:rsidR="003B4DD3" w:rsidRPr="00FB5E68" w:rsidRDefault="003B4DD3" w:rsidP="003614EB">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rPr>
      </w:pPr>
    </w:p>
    <w:p w14:paraId="6A941927" w14:textId="071F8A35" w:rsidR="003B4DD3" w:rsidRPr="00FB5E68" w:rsidRDefault="003B4DD3" w:rsidP="00146C6F">
      <w:pPr>
        <w:pBdr>
          <w:top w:val="nil"/>
          <w:left w:val="nil"/>
          <w:bottom w:val="nil"/>
          <w:right w:val="nil"/>
          <w:between w:val="nil"/>
        </w:pBdr>
        <w:spacing w:line="276" w:lineRule="auto"/>
        <w:ind w:left="567" w:right="618"/>
        <w:contextualSpacing/>
        <w:jc w:val="both"/>
        <w:rPr>
          <w:rFonts w:ascii="Palatino Linotype" w:eastAsia="Palatino Linotype" w:hAnsi="Palatino Linotype" w:cs="Palatino Linotype"/>
          <w:i/>
          <w:color w:val="000000"/>
          <w:sz w:val="22"/>
          <w:szCs w:val="22"/>
        </w:rPr>
      </w:pPr>
      <w:r w:rsidRPr="00FB5E68">
        <w:rPr>
          <w:rFonts w:ascii="Palatino Linotype" w:eastAsia="Palatino Linotype" w:hAnsi="Palatino Linotype" w:cs="Palatino Linotype"/>
          <w:i/>
          <w:color w:val="000000"/>
          <w:sz w:val="22"/>
          <w:szCs w:val="22"/>
        </w:rPr>
        <w:t>“</w:t>
      </w:r>
      <w:r w:rsidRPr="00FB5E68">
        <w:rPr>
          <w:rFonts w:ascii="Palatino Linotype" w:eastAsia="Palatino Linotype" w:hAnsi="Palatino Linotype" w:cs="Palatino Linotype"/>
          <w:b/>
          <w:i/>
          <w:color w:val="000000"/>
          <w:sz w:val="22"/>
          <w:szCs w:val="22"/>
        </w:rPr>
        <w:t>Artículo 192.</w:t>
      </w:r>
      <w:r w:rsidRPr="00FB5E68">
        <w:rPr>
          <w:rFonts w:ascii="Palatino Linotype" w:eastAsia="Palatino Linotype" w:hAnsi="Palatino Linotype" w:cs="Palatino Linotype"/>
          <w:i/>
          <w:color w:val="000000"/>
          <w:sz w:val="22"/>
          <w:szCs w:val="22"/>
        </w:rPr>
        <w:t xml:space="preserve"> El recurso será sobreseído, en todo o en parte, cuando una vez admitido, se actualicen alguno de los siguientes supuestos:</w:t>
      </w:r>
    </w:p>
    <w:p w14:paraId="4E95F05E" w14:textId="77777777" w:rsidR="003B4DD3" w:rsidRPr="00FB5E68" w:rsidRDefault="003B4DD3" w:rsidP="00146C6F">
      <w:pPr>
        <w:pBdr>
          <w:top w:val="nil"/>
          <w:left w:val="nil"/>
          <w:bottom w:val="nil"/>
          <w:right w:val="nil"/>
          <w:between w:val="nil"/>
        </w:pBdr>
        <w:spacing w:line="276" w:lineRule="auto"/>
        <w:ind w:left="567" w:right="618"/>
        <w:contextualSpacing/>
        <w:jc w:val="both"/>
        <w:rPr>
          <w:rFonts w:ascii="Palatino Linotype" w:eastAsia="Palatino Linotype" w:hAnsi="Palatino Linotype" w:cs="Palatino Linotype"/>
          <w:i/>
          <w:color w:val="000000"/>
          <w:sz w:val="22"/>
          <w:szCs w:val="22"/>
        </w:rPr>
      </w:pPr>
      <w:r w:rsidRPr="00FB5E68">
        <w:rPr>
          <w:rFonts w:ascii="Palatino Linotype" w:eastAsia="Palatino Linotype" w:hAnsi="Palatino Linotype" w:cs="Palatino Linotype"/>
          <w:i/>
          <w:color w:val="000000"/>
          <w:sz w:val="22"/>
          <w:szCs w:val="22"/>
        </w:rPr>
        <w:t>…</w:t>
      </w:r>
    </w:p>
    <w:p w14:paraId="69332202" w14:textId="77777777" w:rsidR="003B4DD3" w:rsidRPr="00FB5E68" w:rsidRDefault="003B4DD3" w:rsidP="00146C6F">
      <w:pPr>
        <w:pBdr>
          <w:top w:val="nil"/>
          <w:left w:val="nil"/>
          <w:bottom w:val="nil"/>
          <w:right w:val="nil"/>
          <w:between w:val="nil"/>
        </w:pBdr>
        <w:spacing w:line="276" w:lineRule="auto"/>
        <w:ind w:left="567" w:right="618"/>
        <w:contextualSpacing/>
        <w:jc w:val="both"/>
        <w:rPr>
          <w:rFonts w:ascii="Palatino Linotype" w:eastAsia="Palatino Linotype" w:hAnsi="Palatino Linotype" w:cs="Palatino Linotype"/>
          <w:i/>
          <w:color w:val="000000"/>
          <w:sz w:val="22"/>
          <w:szCs w:val="22"/>
        </w:rPr>
      </w:pPr>
      <w:r w:rsidRPr="00FB5E68">
        <w:rPr>
          <w:rFonts w:ascii="Palatino Linotype" w:eastAsia="Palatino Linotype" w:hAnsi="Palatino Linotype" w:cs="Palatino Linotype"/>
          <w:b/>
          <w:i/>
          <w:color w:val="000000"/>
          <w:sz w:val="22"/>
          <w:szCs w:val="22"/>
        </w:rPr>
        <w:t>IV</w:t>
      </w:r>
      <w:r w:rsidRPr="00FB5E68">
        <w:rPr>
          <w:rFonts w:ascii="Palatino Linotype" w:eastAsia="Palatino Linotype" w:hAnsi="Palatino Linotype" w:cs="Palatino Linotype"/>
          <w:i/>
          <w:color w:val="000000"/>
          <w:sz w:val="22"/>
          <w:szCs w:val="22"/>
        </w:rPr>
        <w:t xml:space="preserve">. Admitido el recurso de revisión, </w:t>
      </w:r>
      <w:r w:rsidRPr="00FB5E68">
        <w:rPr>
          <w:rFonts w:ascii="Palatino Linotype" w:eastAsia="Palatino Linotype" w:hAnsi="Palatino Linotype" w:cs="Palatino Linotype"/>
          <w:b/>
          <w:i/>
          <w:color w:val="000000"/>
          <w:sz w:val="22"/>
          <w:szCs w:val="22"/>
        </w:rPr>
        <w:t>aparezca alguna causal de improcedencia</w:t>
      </w:r>
      <w:r w:rsidRPr="00FB5E68">
        <w:rPr>
          <w:rFonts w:ascii="Palatino Linotype" w:eastAsia="Palatino Linotype" w:hAnsi="Palatino Linotype" w:cs="Palatino Linotype"/>
          <w:i/>
          <w:color w:val="000000"/>
          <w:sz w:val="22"/>
          <w:szCs w:val="22"/>
        </w:rPr>
        <w:t xml:space="preserve"> en los términos de la presente Ley…</w:t>
      </w:r>
    </w:p>
    <w:p w14:paraId="69AC9B17" w14:textId="77777777" w:rsidR="003B4DD3" w:rsidRPr="00FB5E68" w:rsidRDefault="003B4DD3" w:rsidP="00146C6F">
      <w:pPr>
        <w:pBdr>
          <w:top w:val="nil"/>
          <w:left w:val="nil"/>
          <w:bottom w:val="nil"/>
          <w:right w:val="nil"/>
          <w:between w:val="nil"/>
        </w:pBdr>
        <w:spacing w:line="276" w:lineRule="auto"/>
        <w:ind w:left="567" w:right="618"/>
        <w:contextualSpacing/>
        <w:jc w:val="both"/>
        <w:rPr>
          <w:rFonts w:ascii="Palatino Linotype" w:eastAsia="Palatino Linotype" w:hAnsi="Palatino Linotype" w:cs="Palatino Linotype"/>
          <w:i/>
          <w:color w:val="000000"/>
          <w:sz w:val="22"/>
          <w:szCs w:val="22"/>
        </w:rPr>
      </w:pPr>
      <w:r w:rsidRPr="00FB5E68">
        <w:rPr>
          <w:rFonts w:ascii="Palatino Linotype" w:eastAsia="Palatino Linotype" w:hAnsi="Palatino Linotype" w:cs="Palatino Linotype"/>
          <w:b/>
          <w:i/>
          <w:color w:val="000000"/>
          <w:sz w:val="22"/>
          <w:szCs w:val="22"/>
        </w:rPr>
        <w:t>Artículo 191</w:t>
      </w:r>
      <w:r w:rsidRPr="00FB5E68">
        <w:rPr>
          <w:rFonts w:ascii="Palatino Linotype" w:eastAsia="Palatino Linotype" w:hAnsi="Palatino Linotype" w:cs="Palatino Linotype"/>
          <w:i/>
          <w:color w:val="000000"/>
          <w:sz w:val="22"/>
          <w:szCs w:val="22"/>
        </w:rPr>
        <w:t xml:space="preserve">. </w:t>
      </w:r>
      <w:r w:rsidRPr="00FB5E68">
        <w:rPr>
          <w:rFonts w:ascii="Palatino Linotype" w:eastAsia="Palatino Linotype" w:hAnsi="Palatino Linotype" w:cs="Palatino Linotype"/>
          <w:b/>
          <w:i/>
          <w:color w:val="000000"/>
          <w:sz w:val="22"/>
          <w:szCs w:val="22"/>
        </w:rPr>
        <w:t>El recurso</w:t>
      </w:r>
      <w:r w:rsidRPr="00FB5E68">
        <w:rPr>
          <w:rFonts w:ascii="Palatino Linotype" w:eastAsia="Palatino Linotype" w:hAnsi="Palatino Linotype" w:cs="Palatino Linotype"/>
          <w:i/>
          <w:color w:val="000000"/>
          <w:sz w:val="22"/>
          <w:szCs w:val="22"/>
        </w:rPr>
        <w:t xml:space="preserve"> </w:t>
      </w:r>
      <w:r w:rsidRPr="00FB5E68">
        <w:rPr>
          <w:rFonts w:ascii="Palatino Linotype" w:eastAsia="Palatino Linotype" w:hAnsi="Palatino Linotype" w:cs="Palatino Linotype"/>
          <w:b/>
          <w:i/>
          <w:color w:val="000000"/>
          <w:sz w:val="22"/>
          <w:szCs w:val="22"/>
        </w:rPr>
        <w:t xml:space="preserve">será </w:t>
      </w:r>
      <w:r w:rsidRPr="00FB5E68">
        <w:rPr>
          <w:rFonts w:ascii="Palatino Linotype" w:eastAsia="Palatino Linotype" w:hAnsi="Palatino Linotype" w:cs="Palatino Linotype"/>
          <w:i/>
          <w:color w:val="000000"/>
          <w:sz w:val="22"/>
          <w:szCs w:val="22"/>
        </w:rPr>
        <w:t xml:space="preserve">desechado por </w:t>
      </w:r>
      <w:r w:rsidRPr="00FB5E68">
        <w:rPr>
          <w:rFonts w:ascii="Palatino Linotype" w:eastAsia="Palatino Linotype" w:hAnsi="Palatino Linotype" w:cs="Palatino Linotype"/>
          <w:b/>
          <w:i/>
          <w:color w:val="000000"/>
          <w:sz w:val="22"/>
          <w:szCs w:val="22"/>
        </w:rPr>
        <w:t>improcedente cuando</w:t>
      </w:r>
      <w:r w:rsidRPr="00FB5E68">
        <w:rPr>
          <w:rFonts w:ascii="Palatino Linotype" w:eastAsia="Palatino Linotype" w:hAnsi="Palatino Linotype" w:cs="Palatino Linotype"/>
          <w:i/>
          <w:color w:val="000000"/>
          <w:sz w:val="22"/>
          <w:szCs w:val="22"/>
        </w:rPr>
        <w:t>:</w:t>
      </w:r>
    </w:p>
    <w:p w14:paraId="1DC69E92" w14:textId="77777777" w:rsidR="003B4DD3" w:rsidRPr="00FB5E68" w:rsidRDefault="003B4DD3" w:rsidP="00146C6F">
      <w:pPr>
        <w:pBdr>
          <w:top w:val="nil"/>
          <w:left w:val="nil"/>
          <w:bottom w:val="nil"/>
          <w:right w:val="nil"/>
          <w:between w:val="nil"/>
        </w:pBdr>
        <w:spacing w:line="276" w:lineRule="auto"/>
        <w:ind w:left="567" w:right="618"/>
        <w:contextualSpacing/>
        <w:jc w:val="both"/>
        <w:rPr>
          <w:rFonts w:ascii="Palatino Linotype" w:eastAsia="Palatino Linotype" w:hAnsi="Palatino Linotype" w:cs="Palatino Linotype"/>
          <w:i/>
          <w:color w:val="000000"/>
          <w:sz w:val="22"/>
          <w:szCs w:val="22"/>
        </w:rPr>
      </w:pPr>
      <w:r w:rsidRPr="00FB5E68">
        <w:rPr>
          <w:rFonts w:ascii="Palatino Linotype" w:eastAsia="Palatino Linotype" w:hAnsi="Palatino Linotype" w:cs="Palatino Linotype"/>
          <w:i/>
          <w:color w:val="000000"/>
          <w:sz w:val="22"/>
          <w:szCs w:val="22"/>
        </w:rPr>
        <w:t>…</w:t>
      </w:r>
    </w:p>
    <w:p w14:paraId="67BDF904" w14:textId="77777777" w:rsidR="003B4DD3" w:rsidRPr="00FB5E68" w:rsidRDefault="003B4DD3" w:rsidP="00146C6F">
      <w:pPr>
        <w:pBdr>
          <w:top w:val="nil"/>
          <w:left w:val="nil"/>
          <w:bottom w:val="nil"/>
          <w:right w:val="nil"/>
          <w:between w:val="nil"/>
        </w:pBdr>
        <w:spacing w:line="276" w:lineRule="auto"/>
        <w:ind w:left="567" w:right="618"/>
        <w:contextualSpacing/>
        <w:jc w:val="both"/>
        <w:rPr>
          <w:rFonts w:ascii="Palatino Linotype" w:eastAsia="Palatino Linotype" w:hAnsi="Palatino Linotype" w:cs="Palatino Linotype"/>
          <w:i/>
          <w:color w:val="000000"/>
          <w:sz w:val="22"/>
          <w:szCs w:val="22"/>
        </w:rPr>
      </w:pPr>
      <w:r w:rsidRPr="00FB5E68">
        <w:rPr>
          <w:rFonts w:ascii="Palatino Linotype" w:eastAsia="Palatino Linotype" w:hAnsi="Palatino Linotype" w:cs="Palatino Linotype"/>
          <w:b/>
          <w:i/>
          <w:color w:val="000000"/>
          <w:sz w:val="22"/>
          <w:szCs w:val="22"/>
        </w:rPr>
        <w:t>VI. Se trate de una consulta</w:t>
      </w:r>
      <w:r w:rsidRPr="00FB5E68">
        <w:rPr>
          <w:rFonts w:ascii="Palatino Linotype" w:eastAsia="Palatino Linotype" w:hAnsi="Palatino Linotype" w:cs="Palatino Linotype"/>
          <w:i/>
          <w:color w:val="000000"/>
          <w:sz w:val="22"/>
          <w:szCs w:val="22"/>
        </w:rPr>
        <w:t>, o tramite en específico...</w:t>
      </w:r>
    </w:p>
    <w:p w14:paraId="7E06EE35" w14:textId="77777777" w:rsidR="003B4DD3" w:rsidRPr="00FB5E68" w:rsidRDefault="003B4DD3" w:rsidP="003614EB">
      <w:pPr>
        <w:spacing w:line="360" w:lineRule="auto"/>
        <w:contextualSpacing/>
        <w:jc w:val="both"/>
        <w:rPr>
          <w:rFonts w:ascii="Palatino Linotype" w:eastAsia="Palatino Linotype" w:hAnsi="Palatino Linotype" w:cs="Palatino Linotype"/>
        </w:rPr>
      </w:pPr>
    </w:p>
    <w:p w14:paraId="6AED6CB3" w14:textId="5B2B8A8A" w:rsidR="003B4DD3" w:rsidRPr="00FB5E68" w:rsidRDefault="003B4DD3" w:rsidP="00EA0ECB">
      <w:pPr>
        <w:pStyle w:val="Prrafodelista"/>
        <w:numPr>
          <w:ilvl w:val="0"/>
          <w:numId w:val="3"/>
        </w:numPr>
        <w:spacing w:line="360" w:lineRule="auto"/>
        <w:ind w:left="0" w:firstLine="0"/>
        <w:jc w:val="both"/>
        <w:rPr>
          <w:rFonts w:ascii="Palatino Linotype" w:eastAsia="Palatino Linotype" w:hAnsi="Palatino Linotype" w:cs="Palatino Linotype"/>
        </w:rPr>
      </w:pPr>
      <w:r w:rsidRPr="00FB5E68">
        <w:rPr>
          <w:rFonts w:ascii="Palatino Linotype" w:eastAsia="Palatino Linotype" w:hAnsi="Palatino Linotype" w:cs="Palatino Linotype"/>
          <w:sz w:val="24"/>
        </w:rPr>
        <w:t xml:space="preserve">Siendo el </w:t>
      </w:r>
      <w:r w:rsidRPr="00FB5E68">
        <w:rPr>
          <w:rFonts w:ascii="Palatino Linotype" w:eastAsia="Palatino Linotype" w:hAnsi="Palatino Linotype" w:cs="Palatino Linotype"/>
          <w:i/>
          <w:sz w:val="24"/>
        </w:rPr>
        <w:t>sobreseimiento</w:t>
      </w:r>
      <w:r w:rsidRPr="00FB5E68">
        <w:rPr>
          <w:rFonts w:ascii="Palatino Linotype" w:eastAsia="Palatino Linotype" w:hAnsi="Palatino Linotype" w:cs="Palatino Linotype"/>
          <w:sz w:val="24"/>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son los dar por concluido el recurso administrativo sin entrar al estudio de fondo del asunto de que se trate, cabe destacar que la decisión de este Organismo Colegiado de sobreseer el recurso de revisión no implica una limitación o negación a la justicia, </w:t>
      </w:r>
      <w:r w:rsidRPr="00FB5E68">
        <w:rPr>
          <w:rFonts w:ascii="Palatino Linotype" w:eastAsia="Palatino Linotype" w:hAnsi="Palatino Linotype" w:cs="Palatino Linotype"/>
          <w:sz w:val="24"/>
        </w:rPr>
        <w:lastRenderedPageBreak/>
        <w:t>según lo ha establecido</w:t>
      </w:r>
      <w:r w:rsidRPr="00FB5E68">
        <w:rPr>
          <w:rFonts w:ascii="Palatino Linotype" w:eastAsia="Palatino Linotype" w:hAnsi="Palatino Linotype" w:cs="Palatino Linotype"/>
        </w:rPr>
        <w:t xml:space="preserve"> el Poder Judicial Federal, en el criterio que es aplicable por analogía, con rubro:</w:t>
      </w:r>
    </w:p>
    <w:p w14:paraId="52544B78" w14:textId="77777777" w:rsidR="00CC2142" w:rsidRPr="00FB5E68" w:rsidRDefault="00CC2142" w:rsidP="00DA5F78">
      <w:pPr>
        <w:pStyle w:val="Prrafodelista"/>
        <w:spacing w:line="276" w:lineRule="auto"/>
        <w:ind w:left="0"/>
        <w:jc w:val="both"/>
        <w:rPr>
          <w:rFonts w:ascii="Palatino Linotype" w:eastAsia="Palatino Linotype" w:hAnsi="Palatino Linotype" w:cs="Palatino Linotype"/>
          <w:sz w:val="24"/>
        </w:rPr>
      </w:pPr>
    </w:p>
    <w:p w14:paraId="302AFD08" w14:textId="77777777" w:rsidR="003B4DD3" w:rsidRPr="00FB5E68" w:rsidRDefault="003B4DD3" w:rsidP="00CC2142">
      <w:pPr>
        <w:spacing w:line="276" w:lineRule="auto"/>
        <w:ind w:left="851" w:right="902"/>
        <w:contextualSpacing/>
        <w:jc w:val="both"/>
        <w:rPr>
          <w:rFonts w:ascii="Palatino Linotype" w:eastAsia="Palatino Linotype" w:hAnsi="Palatino Linotype" w:cs="Palatino Linotype"/>
          <w:b/>
          <w:i/>
          <w:sz w:val="22"/>
          <w:szCs w:val="22"/>
        </w:rPr>
      </w:pPr>
      <w:r w:rsidRPr="00FB5E68">
        <w:rPr>
          <w:rFonts w:ascii="Palatino Linotype" w:eastAsia="Palatino Linotype" w:hAnsi="Palatino Linotype" w:cs="Palatino Linotype"/>
          <w:b/>
          <w:i/>
        </w:rPr>
        <w:t>“</w:t>
      </w:r>
      <w:r w:rsidRPr="00FB5E68">
        <w:rPr>
          <w:rFonts w:ascii="Palatino Linotype" w:eastAsia="Palatino Linotype" w:hAnsi="Palatino Linotype" w:cs="Palatino Linotype"/>
          <w:b/>
          <w:i/>
          <w:sz w:val="22"/>
          <w:szCs w:val="22"/>
        </w:rPr>
        <w:t>DESECHAMIENTO O SOBRESEIMIENTO EN EL JUICIO DE AMPARO. NO IMPLICA DENEGACIÓN DE JUSTICIA NI GENERA INSEGURIDAD JURÍDICA”</w:t>
      </w:r>
    </w:p>
    <w:p w14:paraId="7C39E0D6" w14:textId="77777777" w:rsidR="003B4DD3" w:rsidRPr="00FB5E68" w:rsidRDefault="003B4DD3" w:rsidP="00CC2142">
      <w:pPr>
        <w:spacing w:before="120" w:after="120" w:line="276" w:lineRule="auto"/>
        <w:ind w:left="851" w:right="902"/>
        <w:contextualSpacing/>
        <w:jc w:val="both"/>
        <w:rPr>
          <w:rFonts w:ascii="Palatino Linotype" w:eastAsia="Palatino Linotype" w:hAnsi="Palatino Linotype" w:cs="Palatino Linotype"/>
          <w:sz w:val="22"/>
          <w:szCs w:val="22"/>
        </w:rPr>
      </w:pPr>
      <w:r w:rsidRPr="00FB5E68">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FB5E68">
        <w:rPr>
          <w:rFonts w:ascii="Palatino Linotype" w:eastAsia="Palatino Linotype" w:hAnsi="Palatino Linotype" w:cs="Palatino Linotype"/>
          <w:i/>
          <w:sz w:val="22"/>
          <w:szCs w:val="22"/>
        </w:rPr>
        <w:t>promovente</w:t>
      </w:r>
      <w:proofErr w:type="spellEnd"/>
      <w:r w:rsidRPr="00FB5E68">
        <w:rPr>
          <w:rFonts w:ascii="Palatino Linotype" w:eastAsia="Palatino Linotype" w:hAnsi="Palatino Linotype" w:cs="Palatino Linotype"/>
          <w:i/>
          <w:sz w:val="22"/>
          <w:szCs w:val="22"/>
        </w:rPr>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w:t>
      </w:r>
    </w:p>
    <w:p w14:paraId="53737624" w14:textId="77777777" w:rsidR="003B4DD3" w:rsidRPr="00FB5E68" w:rsidRDefault="003B4DD3" w:rsidP="003614EB">
      <w:pPr>
        <w:spacing w:before="120" w:after="120" w:line="360" w:lineRule="auto"/>
        <w:ind w:left="851" w:right="902"/>
        <w:contextualSpacing/>
        <w:jc w:val="both"/>
        <w:rPr>
          <w:rFonts w:ascii="Palatino Linotype" w:eastAsia="Palatino Linotype" w:hAnsi="Palatino Linotype" w:cs="Palatino Linotype"/>
          <w:i/>
        </w:rPr>
      </w:pPr>
    </w:p>
    <w:p w14:paraId="0F881B6C" w14:textId="5510892B" w:rsidR="003B4DD3" w:rsidRPr="00FB5E68" w:rsidRDefault="003B4DD3" w:rsidP="00DD0705">
      <w:pPr>
        <w:pStyle w:val="Prrafodelista"/>
        <w:numPr>
          <w:ilvl w:val="0"/>
          <w:numId w:val="3"/>
        </w:numPr>
        <w:spacing w:line="360" w:lineRule="auto"/>
        <w:ind w:left="0" w:right="49" w:firstLine="0"/>
        <w:jc w:val="both"/>
        <w:rPr>
          <w:rFonts w:ascii="Palatino Linotype" w:eastAsia="Palatino Linotype" w:hAnsi="Palatino Linotype" w:cs="Palatino Linotype"/>
          <w:sz w:val="24"/>
        </w:rPr>
      </w:pPr>
      <w:r w:rsidRPr="00FB5E68">
        <w:rPr>
          <w:rFonts w:ascii="Palatino Linotype" w:eastAsia="Palatino Linotype" w:hAnsi="Palatino Linotype" w:cs="Palatino Linotype"/>
          <w:sz w:val="24"/>
        </w:rPr>
        <w:t>Así, de las constancias que obran en el expediente de mérito, se advierte que se actualiza la causal de sobreseimiento enunciada en la fracción IV del artículo 192 de la Ley de Transparencia Local, en relación directa con la fracción VI del artículo 191 de la misma Ley.</w:t>
      </w:r>
    </w:p>
    <w:p w14:paraId="7390B7A0" w14:textId="77777777" w:rsidR="003B4DD3" w:rsidRPr="00FB5E68" w:rsidRDefault="003B4DD3" w:rsidP="003614EB">
      <w:pPr>
        <w:spacing w:line="360" w:lineRule="auto"/>
        <w:ind w:right="49"/>
        <w:contextualSpacing/>
        <w:jc w:val="both"/>
        <w:rPr>
          <w:rFonts w:ascii="Palatino Linotype" w:eastAsia="Palatino Linotype" w:hAnsi="Palatino Linotype" w:cs="Palatino Linotype"/>
        </w:rPr>
      </w:pPr>
    </w:p>
    <w:p w14:paraId="40C55AEA" w14:textId="4C356647" w:rsidR="003B4DD3" w:rsidRPr="00FB5E68" w:rsidRDefault="003B4DD3" w:rsidP="00C47E05">
      <w:pPr>
        <w:pStyle w:val="Prrafodelista"/>
        <w:numPr>
          <w:ilvl w:val="0"/>
          <w:numId w:val="3"/>
        </w:numPr>
        <w:spacing w:line="360" w:lineRule="auto"/>
        <w:ind w:left="0" w:firstLine="0"/>
        <w:jc w:val="both"/>
        <w:rPr>
          <w:rFonts w:ascii="Palatino Linotype" w:eastAsia="Palatino Linotype" w:hAnsi="Palatino Linotype" w:cs="Palatino Linotype"/>
          <w:sz w:val="24"/>
        </w:rPr>
      </w:pPr>
      <w:r w:rsidRPr="00FB5E68">
        <w:rPr>
          <w:rFonts w:ascii="Palatino Linotype" w:eastAsia="Palatino Linotype" w:hAnsi="Palatino Linotype" w:cs="Palatino Linotype"/>
          <w:sz w:val="24"/>
        </w:rPr>
        <w:t xml:space="preserve">Así, con fundamento en lo prescrito en los artículos 5 </w:t>
      </w:r>
      <w:r w:rsidRPr="00FB5E68">
        <w:rPr>
          <w:rFonts w:ascii="Palatino Linotype" w:eastAsia="Palatino Linotype" w:hAnsi="Palatino Linotype" w:cs="Palatino Linotype"/>
          <w:color w:val="000000"/>
          <w:sz w:val="24"/>
        </w:rPr>
        <w:t>párrafos trigésimo segundo, trigésimo tercero y trigésimo cuarto</w:t>
      </w:r>
      <w:r w:rsidRPr="00FB5E68">
        <w:rPr>
          <w:rFonts w:ascii="Palatino Linotype" w:eastAsia="Palatino Linotype" w:hAnsi="Palatino Linotype" w:cs="Palatino Linotype"/>
          <w:color w:val="FF0000"/>
          <w:sz w:val="24"/>
        </w:rPr>
        <w:t xml:space="preserve"> </w:t>
      </w:r>
      <w:r w:rsidRPr="00FB5E68">
        <w:rPr>
          <w:rFonts w:ascii="Palatino Linotype" w:eastAsia="Palatino Linotype" w:hAnsi="Palatino Linotype" w:cs="Palatino Linotype"/>
          <w:sz w:val="24"/>
        </w:rPr>
        <w:t xml:space="preserve">fracciones IV y V de la Constitución </w:t>
      </w:r>
      <w:r w:rsidRPr="00FB5E68">
        <w:rPr>
          <w:rFonts w:ascii="Palatino Linotype" w:eastAsia="Palatino Linotype" w:hAnsi="Palatino Linotype" w:cs="Palatino Linotype"/>
          <w:sz w:val="24"/>
        </w:rPr>
        <w:lastRenderedPageBreak/>
        <w:t>Política del Estado Libre y Soberano de México; 2, fracción II; 29, 36 fracciones I y II; 176, 178, 181, 185 de la Ley de Transparencia y Acceso a la Información Pública del Estado de México y Municipios, este Pleno:</w:t>
      </w:r>
    </w:p>
    <w:p w14:paraId="6E3D9DF8" w14:textId="77777777" w:rsidR="003B4DD3" w:rsidRPr="00FB5E68" w:rsidRDefault="003B4DD3" w:rsidP="003614EB">
      <w:pPr>
        <w:spacing w:line="360" w:lineRule="auto"/>
        <w:jc w:val="both"/>
        <w:rPr>
          <w:rFonts w:ascii="Palatino Linotype" w:eastAsia="Palatino Linotype" w:hAnsi="Palatino Linotype" w:cs="Palatino Linotype"/>
        </w:rPr>
      </w:pPr>
    </w:p>
    <w:p w14:paraId="444166C0" w14:textId="77777777" w:rsidR="003B4DD3" w:rsidRPr="00FB5E68" w:rsidRDefault="003B4DD3" w:rsidP="003614EB">
      <w:pPr>
        <w:spacing w:line="360" w:lineRule="auto"/>
        <w:ind w:left="1080"/>
        <w:jc w:val="center"/>
        <w:rPr>
          <w:rFonts w:ascii="Palatino Linotype" w:eastAsia="Palatino Linotype" w:hAnsi="Palatino Linotype" w:cs="Palatino Linotype"/>
          <w:b/>
        </w:rPr>
      </w:pPr>
      <w:r w:rsidRPr="00FB5E68">
        <w:rPr>
          <w:rFonts w:ascii="Palatino Linotype" w:eastAsia="Palatino Linotype" w:hAnsi="Palatino Linotype" w:cs="Palatino Linotype"/>
          <w:b/>
        </w:rPr>
        <w:t>R E S U E L V E</w:t>
      </w:r>
    </w:p>
    <w:p w14:paraId="1C0FB349" w14:textId="77777777" w:rsidR="003B4DD3" w:rsidRPr="00FB5E68" w:rsidRDefault="003B4DD3" w:rsidP="003614EB">
      <w:pPr>
        <w:spacing w:line="360" w:lineRule="auto"/>
        <w:ind w:left="1080"/>
        <w:rPr>
          <w:rFonts w:ascii="Palatino Linotype" w:eastAsia="Palatino Linotype" w:hAnsi="Palatino Linotype" w:cs="Palatino Linotype"/>
          <w:b/>
        </w:rPr>
      </w:pPr>
    </w:p>
    <w:p w14:paraId="215DC1B3" w14:textId="6C310AE5" w:rsidR="003B4DD3" w:rsidRPr="00FB5E68" w:rsidRDefault="003B4DD3" w:rsidP="003614EB">
      <w:pPr>
        <w:spacing w:line="360" w:lineRule="auto"/>
        <w:jc w:val="both"/>
        <w:rPr>
          <w:rFonts w:ascii="Palatino Linotype" w:eastAsia="Palatino Linotype" w:hAnsi="Palatino Linotype" w:cs="Palatino Linotype"/>
        </w:rPr>
      </w:pPr>
      <w:r w:rsidRPr="00FB5E68">
        <w:rPr>
          <w:rFonts w:ascii="Palatino Linotype" w:eastAsia="Palatino Linotype" w:hAnsi="Palatino Linotype" w:cs="Palatino Linotype"/>
          <w:b/>
        </w:rPr>
        <w:t xml:space="preserve">PRIMERO. </w:t>
      </w:r>
      <w:r w:rsidRPr="00FB5E68">
        <w:rPr>
          <w:rFonts w:ascii="Palatino Linotype" w:eastAsia="Palatino Linotype" w:hAnsi="Palatino Linotype" w:cs="Palatino Linotype"/>
        </w:rPr>
        <w:t xml:space="preserve">Se </w:t>
      </w:r>
      <w:r w:rsidRPr="00FB5E68">
        <w:rPr>
          <w:rFonts w:ascii="Palatino Linotype" w:eastAsia="Palatino Linotype" w:hAnsi="Palatino Linotype" w:cs="Palatino Linotype"/>
          <w:b/>
        </w:rPr>
        <w:t>SOBRESEE</w:t>
      </w:r>
      <w:r w:rsidRPr="00FB5E68">
        <w:rPr>
          <w:rFonts w:ascii="Palatino Linotype" w:eastAsia="Palatino Linotype" w:hAnsi="Palatino Linotype" w:cs="Palatino Linotype"/>
        </w:rPr>
        <w:t xml:space="preserve"> por improcedente </w:t>
      </w:r>
      <w:r w:rsidR="003946F6" w:rsidRPr="00FB5E68">
        <w:rPr>
          <w:rFonts w:ascii="Palatino Linotype" w:eastAsia="Palatino Linotype" w:hAnsi="Palatino Linotype" w:cs="Palatino Linotype"/>
        </w:rPr>
        <w:t>e</w:t>
      </w:r>
      <w:r w:rsidRPr="00FB5E68">
        <w:rPr>
          <w:rFonts w:ascii="Palatino Linotype" w:eastAsia="Palatino Linotype" w:hAnsi="Palatino Linotype" w:cs="Palatino Linotype"/>
        </w:rPr>
        <w:t xml:space="preserve">l recurso de revisión </w:t>
      </w:r>
      <w:r w:rsidRPr="00FB5E68">
        <w:rPr>
          <w:rFonts w:ascii="Palatino Linotype" w:eastAsia="Palatino Linotype" w:hAnsi="Palatino Linotype" w:cs="Palatino Linotype"/>
          <w:b/>
        </w:rPr>
        <w:t>07</w:t>
      </w:r>
      <w:r w:rsidR="003946F6" w:rsidRPr="00FB5E68">
        <w:rPr>
          <w:rFonts w:ascii="Palatino Linotype" w:eastAsia="Palatino Linotype" w:hAnsi="Palatino Linotype" w:cs="Palatino Linotype"/>
          <w:b/>
        </w:rPr>
        <w:t>388</w:t>
      </w:r>
      <w:r w:rsidRPr="00FB5E68">
        <w:rPr>
          <w:rFonts w:ascii="Palatino Linotype" w:eastAsia="Palatino Linotype" w:hAnsi="Palatino Linotype" w:cs="Palatino Linotype"/>
          <w:b/>
        </w:rPr>
        <w:t xml:space="preserve">/INFOEM/IP/RR/2024 </w:t>
      </w:r>
      <w:r w:rsidRPr="00FB5E68">
        <w:rPr>
          <w:rFonts w:ascii="Palatino Linotype" w:eastAsia="Palatino Linotype" w:hAnsi="Palatino Linotype" w:cs="Palatino Linotype"/>
        </w:rPr>
        <w:t>de conformidad con la fracción IV</w:t>
      </w:r>
      <w:r w:rsidR="0063093C" w:rsidRPr="00FB5E68">
        <w:rPr>
          <w:rFonts w:ascii="Palatino Linotype" w:eastAsia="Palatino Linotype" w:hAnsi="Palatino Linotype" w:cs="Palatino Linotype"/>
        </w:rPr>
        <w:t>,</w:t>
      </w:r>
      <w:r w:rsidRPr="00FB5E68">
        <w:rPr>
          <w:rFonts w:ascii="Palatino Linotype" w:eastAsia="Palatino Linotype" w:hAnsi="Palatino Linotype" w:cs="Palatino Linotype"/>
        </w:rPr>
        <w:t xml:space="preserve"> del artículo 192, en relación con la fracción VI</w:t>
      </w:r>
      <w:r w:rsidR="0063093C" w:rsidRPr="00FB5E68">
        <w:rPr>
          <w:rFonts w:ascii="Palatino Linotype" w:eastAsia="Palatino Linotype" w:hAnsi="Palatino Linotype" w:cs="Palatino Linotype"/>
        </w:rPr>
        <w:t>,</w:t>
      </w:r>
      <w:r w:rsidRPr="00FB5E68">
        <w:rPr>
          <w:rFonts w:ascii="Palatino Linotype" w:eastAsia="Palatino Linotype" w:hAnsi="Palatino Linotype" w:cs="Palatino Linotype"/>
        </w:rPr>
        <w:t xml:space="preserve"> del artículo 191, de la Ley de Transparencia y Acceso a la Información Pública del Estado de México y Municipios, en términos del Considerando</w:t>
      </w:r>
      <w:r w:rsidRPr="00FB5E68">
        <w:rPr>
          <w:rFonts w:ascii="Palatino Linotype" w:eastAsia="Palatino Linotype" w:hAnsi="Palatino Linotype" w:cs="Palatino Linotype"/>
          <w:b/>
        </w:rPr>
        <w:t xml:space="preserve"> Tercero</w:t>
      </w:r>
      <w:r w:rsidRPr="00FB5E68">
        <w:rPr>
          <w:rFonts w:ascii="Palatino Linotype" w:eastAsia="Palatino Linotype" w:hAnsi="Palatino Linotype" w:cs="Palatino Linotype"/>
        </w:rPr>
        <w:t xml:space="preserve"> de la presente resolución.</w:t>
      </w:r>
    </w:p>
    <w:p w14:paraId="24DCC320" w14:textId="77777777" w:rsidR="003B4DD3" w:rsidRPr="00FB5E68" w:rsidRDefault="003B4DD3" w:rsidP="003614EB">
      <w:pPr>
        <w:spacing w:before="240" w:after="240" w:line="360" w:lineRule="auto"/>
        <w:contextualSpacing/>
        <w:jc w:val="both"/>
        <w:rPr>
          <w:rFonts w:ascii="Palatino Linotype" w:eastAsia="Palatino Linotype" w:hAnsi="Palatino Linotype" w:cs="Palatino Linotype"/>
          <w:b/>
        </w:rPr>
      </w:pPr>
    </w:p>
    <w:p w14:paraId="443666F6" w14:textId="77777777" w:rsidR="003B4DD3" w:rsidRPr="00FB5E68" w:rsidRDefault="003B4DD3" w:rsidP="003614EB">
      <w:pPr>
        <w:spacing w:before="240" w:after="240" w:line="360" w:lineRule="auto"/>
        <w:contextualSpacing/>
        <w:jc w:val="both"/>
        <w:rPr>
          <w:rFonts w:ascii="Palatino Linotype" w:eastAsia="Palatino Linotype" w:hAnsi="Palatino Linotype" w:cs="Palatino Linotype"/>
        </w:rPr>
      </w:pPr>
      <w:bookmarkStart w:id="6" w:name="_heading=h.17dp8vu" w:colFirst="0" w:colLast="0"/>
      <w:bookmarkEnd w:id="6"/>
      <w:r w:rsidRPr="00FB5E68">
        <w:rPr>
          <w:rFonts w:ascii="Palatino Linotype" w:eastAsia="Palatino Linotype" w:hAnsi="Palatino Linotype" w:cs="Palatino Linotype"/>
          <w:b/>
        </w:rPr>
        <w:t>SEGUNDO. Notifíquese</w:t>
      </w:r>
      <w:r w:rsidRPr="00FB5E68">
        <w:rPr>
          <w:rFonts w:ascii="Palatino Linotype" w:eastAsia="Palatino Linotype" w:hAnsi="Palatino Linotype" w:cs="Palatino Linotype"/>
        </w:rPr>
        <w:t xml:space="preserve">, vía </w:t>
      </w:r>
      <w:r w:rsidRPr="00FB5E68">
        <w:rPr>
          <w:rFonts w:ascii="Palatino Linotype" w:eastAsia="Palatino Linotype" w:hAnsi="Palatino Linotype" w:cs="Palatino Linotype"/>
          <w:b/>
        </w:rPr>
        <w:t xml:space="preserve">SAIMEX </w:t>
      </w:r>
      <w:r w:rsidRPr="00FB5E68">
        <w:rPr>
          <w:rFonts w:ascii="Palatino Linotype" w:eastAsia="Palatino Linotype" w:hAnsi="Palatino Linotype" w:cs="Palatino Linotype"/>
        </w:rPr>
        <w:t xml:space="preserve">la presente resolución a la Titular de la Unidad de Transparencia del </w:t>
      </w:r>
      <w:r w:rsidRPr="00FB5E68">
        <w:rPr>
          <w:rFonts w:ascii="Palatino Linotype" w:eastAsia="Palatino Linotype" w:hAnsi="Palatino Linotype" w:cs="Palatino Linotype"/>
          <w:b/>
        </w:rPr>
        <w:t>SUJETO OBLIGADO</w:t>
      </w:r>
      <w:r w:rsidRPr="00FB5E68">
        <w:rPr>
          <w:rFonts w:ascii="Palatino Linotype" w:eastAsia="Palatino Linotype" w:hAnsi="Palatino Linotype" w:cs="Palatino Linotype"/>
        </w:rPr>
        <w:t>, para su conocimiento, lo anterior en términos del artículo 189 de la Ley de Transparencia y Acceso a la Información Pública del Estado de México y Municipios.</w:t>
      </w:r>
    </w:p>
    <w:p w14:paraId="7618B804" w14:textId="77777777" w:rsidR="003B4DD3" w:rsidRPr="00FB5E68" w:rsidRDefault="003B4DD3" w:rsidP="003614EB">
      <w:pPr>
        <w:spacing w:before="240" w:after="240" w:line="360" w:lineRule="auto"/>
        <w:contextualSpacing/>
        <w:jc w:val="both"/>
        <w:rPr>
          <w:rFonts w:ascii="Palatino Linotype" w:eastAsia="Palatino Linotype" w:hAnsi="Palatino Linotype" w:cs="Palatino Linotype"/>
        </w:rPr>
      </w:pPr>
    </w:p>
    <w:p w14:paraId="2D586AB0" w14:textId="77777777" w:rsidR="003B4DD3" w:rsidRPr="00FB5E68" w:rsidRDefault="003B4DD3" w:rsidP="003614EB">
      <w:pPr>
        <w:tabs>
          <w:tab w:val="left" w:pos="8647"/>
        </w:tabs>
        <w:spacing w:before="240" w:after="240" w:line="360" w:lineRule="auto"/>
        <w:ind w:right="51"/>
        <w:contextualSpacing/>
        <w:jc w:val="both"/>
        <w:rPr>
          <w:rFonts w:ascii="Palatino Linotype" w:eastAsia="Palatino Linotype" w:hAnsi="Palatino Linotype" w:cs="Palatino Linotype"/>
        </w:rPr>
      </w:pPr>
      <w:r w:rsidRPr="00FB5E68">
        <w:rPr>
          <w:rFonts w:ascii="Palatino Linotype" w:eastAsia="Palatino Linotype" w:hAnsi="Palatino Linotype" w:cs="Palatino Linotype"/>
          <w:b/>
        </w:rPr>
        <w:t>TERCERO. Notifíquese</w:t>
      </w:r>
      <w:r w:rsidRPr="00FB5E68">
        <w:rPr>
          <w:rFonts w:ascii="Palatino Linotype" w:eastAsia="Palatino Linotype" w:hAnsi="Palatino Linotype" w:cs="Palatino Linotype"/>
        </w:rPr>
        <w:t>,</w:t>
      </w:r>
      <w:r w:rsidRPr="00FB5E68">
        <w:rPr>
          <w:rFonts w:ascii="Palatino Linotype" w:eastAsia="Palatino Linotype" w:hAnsi="Palatino Linotype" w:cs="Palatino Linotype"/>
          <w:b/>
        </w:rPr>
        <w:t xml:space="preserve"> vía SAIMEX </w:t>
      </w:r>
      <w:r w:rsidRPr="00FB5E68">
        <w:rPr>
          <w:rFonts w:ascii="Palatino Linotype" w:eastAsia="Palatino Linotype" w:hAnsi="Palatino Linotype" w:cs="Palatino Linotype"/>
        </w:rPr>
        <w:t>a</w:t>
      </w:r>
      <w:r w:rsidRPr="00FB5E68">
        <w:rPr>
          <w:rFonts w:ascii="Palatino Linotype" w:eastAsia="Palatino Linotype" w:hAnsi="Palatino Linotype" w:cs="Palatino Linotype"/>
          <w:b/>
        </w:rPr>
        <w:t xml:space="preserve"> LA PARTE RECURRENTE</w:t>
      </w:r>
      <w:r w:rsidRPr="00FB5E68">
        <w:rPr>
          <w:rFonts w:ascii="Palatino Linotype" w:eastAsia="Palatino Linotype" w:hAnsi="Palatino Linotype" w:cs="Palatino Linotype"/>
        </w:rPr>
        <w:t xml:space="preserve"> 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3401B7E2" w14:textId="77777777" w:rsidR="003B4DD3" w:rsidRPr="00FB5E68" w:rsidRDefault="003B4DD3" w:rsidP="003614EB">
      <w:pPr>
        <w:spacing w:line="360" w:lineRule="auto"/>
        <w:rPr>
          <w:rFonts w:ascii="Palatino Linotype" w:eastAsia="Palatino Linotype" w:hAnsi="Palatino Linotype" w:cs="Palatino Linotype"/>
        </w:rPr>
      </w:pPr>
    </w:p>
    <w:p w14:paraId="01BE96F5" w14:textId="77777777" w:rsidR="0063093C" w:rsidRPr="003C7186" w:rsidRDefault="0063093C" w:rsidP="0063093C">
      <w:pPr>
        <w:spacing w:line="360" w:lineRule="auto"/>
        <w:ind w:left="-142" w:right="-234" w:firstLine="1"/>
        <w:jc w:val="both"/>
        <w:rPr>
          <w:rFonts w:ascii="Palatino Linotype" w:hAnsi="Palatino Linotype"/>
        </w:rPr>
      </w:pPr>
      <w:r w:rsidRPr="00FB5E68">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(18) DE DICIEMBRE DE DOS MIL VEINTICUATRO, ANTE EL SECRETARIO TÉCNICO DEL PLENO ALEXIS TAPIA RAMÍREZ.</w:t>
      </w:r>
      <w:r w:rsidRPr="003C7186">
        <w:rPr>
          <w:rFonts w:ascii="Palatino Linotype" w:hAnsi="Palatino Linotype"/>
        </w:rPr>
        <w:t xml:space="preserve"> </w:t>
      </w:r>
    </w:p>
    <w:p w14:paraId="7D65C9E5" w14:textId="77777777" w:rsidR="00554A11" w:rsidRPr="003614EB" w:rsidRDefault="00554A11" w:rsidP="003614EB">
      <w:pPr>
        <w:keepNext/>
        <w:keepLines/>
        <w:spacing w:line="360" w:lineRule="auto"/>
        <w:ind w:right="1"/>
        <w:jc w:val="both"/>
        <w:rPr>
          <w:rFonts w:ascii="Palatino Linotype" w:eastAsia="Palatino Linotype" w:hAnsi="Palatino Linotype" w:cs="Palatino Linotype"/>
          <w:color w:val="000000"/>
        </w:rPr>
      </w:pPr>
    </w:p>
    <w:sectPr w:rsidR="00554A11" w:rsidRPr="003614EB">
      <w:headerReference w:type="even" r:id="rId8"/>
      <w:headerReference w:type="default" r:id="rId9"/>
      <w:footerReference w:type="default" r:id="rId10"/>
      <w:headerReference w:type="first" r:id="rId11"/>
      <w:footerReference w:type="first" r:id="rId12"/>
      <w:pgSz w:w="12240" w:h="15840"/>
      <w:pgMar w:top="80" w:right="1579" w:bottom="1418" w:left="1984"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D44EB" w14:textId="77777777" w:rsidR="00E0747C" w:rsidRDefault="00E0747C">
      <w:r>
        <w:separator/>
      </w:r>
    </w:p>
  </w:endnote>
  <w:endnote w:type="continuationSeparator" w:id="0">
    <w:p w14:paraId="337D063F" w14:textId="77777777" w:rsidR="00E0747C" w:rsidRDefault="00E0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2D610" w14:textId="77777777" w:rsidR="001C0DB0" w:rsidRDefault="001C0DB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B5E68">
      <w:rPr>
        <w:b/>
        <w:noProof/>
        <w:color w:val="000000"/>
      </w:rPr>
      <w:t>18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B5E68">
      <w:rPr>
        <w:b/>
        <w:noProof/>
        <w:color w:val="000000"/>
      </w:rPr>
      <w:t>18</w:t>
    </w:r>
    <w:r>
      <w:rPr>
        <w:b/>
        <w:color w:val="000000"/>
      </w:rPr>
      <w:fldChar w:fldCharType="end"/>
    </w:r>
  </w:p>
  <w:p w14:paraId="12BAF7CF" w14:textId="77777777" w:rsidR="001C0DB0" w:rsidRDefault="001C0DB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4AE07" w14:textId="77777777" w:rsidR="001C0DB0" w:rsidRDefault="001C0DB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B5E68">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B5E68">
      <w:rPr>
        <w:b/>
        <w:noProof/>
        <w:color w:val="000000"/>
      </w:rPr>
      <w:t>18</w:t>
    </w:r>
    <w:r>
      <w:rPr>
        <w:b/>
        <w:color w:val="000000"/>
      </w:rPr>
      <w:fldChar w:fldCharType="end"/>
    </w:r>
  </w:p>
  <w:p w14:paraId="2B8519D6" w14:textId="77777777" w:rsidR="001C0DB0" w:rsidRDefault="001C0DB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91BB2" w14:textId="77777777" w:rsidR="00E0747C" w:rsidRDefault="00E0747C">
      <w:r>
        <w:separator/>
      </w:r>
    </w:p>
  </w:footnote>
  <w:footnote w:type="continuationSeparator" w:id="0">
    <w:p w14:paraId="7A346E5F" w14:textId="77777777" w:rsidR="00E0747C" w:rsidRDefault="00E0747C">
      <w:r>
        <w:continuationSeparator/>
      </w:r>
    </w:p>
  </w:footnote>
  <w:footnote w:id="1">
    <w:p w14:paraId="4ABC06CC" w14:textId="77777777" w:rsidR="001C0DB0" w:rsidRDefault="001C0DB0" w:rsidP="003B4DD3">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BURGOA ORIHUELA Ignacio. Diccionario De Derecho Constitucional, Garantías y Amparo. Ed. Porrúa, S.A., México. 1992, p.115.</w:t>
      </w:r>
    </w:p>
  </w:footnote>
  <w:footnote w:id="2">
    <w:p w14:paraId="2A5D9D79" w14:textId="77777777" w:rsidR="001C0DB0" w:rsidRDefault="001C0DB0" w:rsidP="003B4DD3">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3">
    <w:p w14:paraId="646EEADE" w14:textId="77777777" w:rsidR="001C0DB0" w:rsidRDefault="001C0DB0" w:rsidP="003B4DD3">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4">
    <w:p w14:paraId="0E354488" w14:textId="77777777" w:rsidR="001C0DB0" w:rsidRDefault="001C0DB0" w:rsidP="003B4DD3">
      <w:pPr>
        <w:pBdr>
          <w:top w:val="nil"/>
          <w:left w:val="nil"/>
          <w:bottom w:val="nil"/>
          <w:right w:val="nil"/>
          <w:between w:val="nil"/>
        </w:pBdr>
        <w:spacing w:line="198" w:lineRule="auto"/>
        <w:ind w:left="93"/>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 xml:space="preserve">VILLANUEVA </w:t>
      </w:r>
      <w:proofErr w:type="spellStart"/>
      <w:r>
        <w:rPr>
          <w:rFonts w:ascii="Palatino Linotype" w:eastAsia="Palatino Linotype" w:hAnsi="Palatino Linotype" w:cs="Palatino Linotype"/>
          <w:color w:val="000000"/>
          <w:sz w:val="16"/>
          <w:szCs w:val="16"/>
        </w:rPr>
        <w:t>VILLANUEVA</w:t>
      </w:r>
      <w:proofErr w:type="spellEnd"/>
      <w:r>
        <w:rPr>
          <w:rFonts w:ascii="Palatino Linotype" w:eastAsia="Palatino Linotype" w:hAnsi="Palatino Linotype" w:cs="Palatino Linotype"/>
          <w:color w:val="000000"/>
          <w:sz w:val="16"/>
          <w:szCs w:val="16"/>
        </w:rPr>
        <w:t xml:space="preserve"> Ernesto, Derecho de la Información, Ed, Porrúa S.A., México. 2006, pág.270.</w:t>
      </w:r>
    </w:p>
  </w:footnote>
  <w:footnote w:id="5">
    <w:p w14:paraId="2C92CEE1" w14:textId="77777777" w:rsidR="001C0DB0" w:rsidRDefault="001C0DB0" w:rsidP="003B4DD3">
      <w:pPr>
        <w:pBdr>
          <w:top w:val="nil"/>
          <w:left w:val="nil"/>
          <w:bottom w:val="nil"/>
          <w:right w:val="nil"/>
          <w:between w:val="nil"/>
        </w:pBdr>
        <w:ind w:right="96"/>
        <w:jc w:val="both"/>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 xml:space="preserve">ROBLES HERNÁNDEZ José Guadalupe. Derecho de la Información y Comunicación Pública. </w:t>
      </w:r>
      <w:proofErr w:type="spellStart"/>
      <w:r>
        <w:rPr>
          <w:rFonts w:ascii="Palatino Linotype" w:eastAsia="Palatino Linotype" w:hAnsi="Palatino Linotype" w:cs="Palatino Linotype"/>
          <w:color w:val="000000"/>
          <w:sz w:val="16"/>
          <w:szCs w:val="16"/>
        </w:rPr>
        <w:t>Ed.Universidad</w:t>
      </w:r>
      <w:proofErr w:type="spellEnd"/>
      <w:r>
        <w:rPr>
          <w:rFonts w:ascii="Palatino Linotype" w:eastAsia="Palatino Linotype" w:hAnsi="Palatino Linotype" w:cs="Palatino Linotype"/>
          <w:color w:val="000000"/>
          <w:sz w:val="16"/>
          <w:szCs w:val="16"/>
        </w:rPr>
        <w:t xml:space="preserve"> de Occidente de México, 2004, pág.72.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52DB3" w14:textId="77777777" w:rsidR="001C0DB0" w:rsidRDefault="00E0747C">
    <w:pPr>
      <w:pBdr>
        <w:top w:val="nil"/>
        <w:left w:val="nil"/>
        <w:bottom w:val="nil"/>
        <w:right w:val="nil"/>
        <w:between w:val="nil"/>
      </w:pBdr>
      <w:tabs>
        <w:tab w:val="center" w:pos="4419"/>
        <w:tab w:val="right" w:pos="8838"/>
      </w:tabs>
      <w:rPr>
        <w:color w:val="000000"/>
      </w:rPr>
    </w:pPr>
    <w:r>
      <w:rPr>
        <w:color w:val="000000"/>
      </w:rPr>
      <w:pict w14:anchorId="3A96B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89.8pt;height:768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716E9" w14:textId="77777777" w:rsidR="001C0DB0" w:rsidRDefault="001C0DB0">
    <w:pPr>
      <w:widowControl w:val="0"/>
      <w:pBdr>
        <w:top w:val="nil"/>
        <w:left w:val="nil"/>
        <w:bottom w:val="nil"/>
        <w:right w:val="nil"/>
        <w:between w:val="nil"/>
      </w:pBdr>
      <w:spacing w:line="276" w:lineRule="auto"/>
      <w:rPr>
        <w:color w:val="000000"/>
      </w:rPr>
    </w:pPr>
  </w:p>
  <w:tbl>
    <w:tblPr>
      <w:tblStyle w:val="a6"/>
      <w:tblW w:w="9214" w:type="dxa"/>
      <w:tblInd w:w="0" w:type="dxa"/>
      <w:tblLayout w:type="fixed"/>
      <w:tblLook w:val="0400" w:firstRow="0" w:lastRow="0" w:firstColumn="0" w:lastColumn="0" w:noHBand="0" w:noVBand="1"/>
    </w:tblPr>
    <w:tblGrid>
      <w:gridCol w:w="2268"/>
      <w:gridCol w:w="6946"/>
    </w:tblGrid>
    <w:tr w:rsidR="001C0DB0" w14:paraId="752347E7" w14:textId="77777777">
      <w:trPr>
        <w:trHeight w:val="1435"/>
      </w:trPr>
      <w:tc>
        <w:tcPr>
          <w:tcW w:w="2268" w:type="dxa"/>
          <w:shd w:val="clear" w:color="auto" w:fill="auto"/>
        </w:tcPr>
        <w:p w14:paraId="5EC6D66A" w14:textId="77777777" w:rsidR="001C0DB0" w:rsidRDefault="001C0DB0">
          <w:pPr>
            <w:tabs>
              <w:tab w:val="right" w:pos="4273"/>
            </w:tabs>
            <w:rPr>
              <w:rFonts w:ascii="Garamond" w:eastAsia="Garamond" w:hAnsi="Garamond" w:cs="Garamond"/>
              <w:sz w:val="16"/>
              <w:szCs w:val="16"/>
            </w:rPr>
          </w:pPr>
        </w:p>
      </w:tc>
      <w:tc>
        <w:tcPr>
          <w:tcW w:w="6946" w:type="dxa"/>
          <w:shd w:val="clear" w:color="auto" w:fill="auto"/>
        </w:tcPr>
        <w:p w14:paraId="0D1C7E52" w14:textId="77777777" w:rsidR="001C0DB0" w:rsidRDefault="001C0DB0"/>
        <w:tbl>
          <w:tblPr>
            <w:tblStyle w:val="a7"/>
            <w:tblW w:w="6662" w:type="dxa"/>
            <w:tblInd w:w="40" w:type="dxa"/>
            <w:tblLayout w:type="fixed"/>
            <w:tblLook w:val="0400" w:firstRow="0" w:lastRow="0" w:firstColumn="0" w:lastColumn="0" w:noHBand="0" w:noVBand="1"/>
          </w:tblPr>
          <w:tblGrid>
            <w:gridCol w:w="2551"/>
            <w:gridCol w:w="4111"/>
          </w:tblGrid>
          <w:tr w:rsidR="001C0DB0" w14:paraId="0978C217" w14:textId="77777777">
            <w:trPr>
              <w:trHeight w:val="150"/>
            </w:trPr>
            <w:tc>
              <w:tcPr>
                <w:tcW w:w="2551" w:type="dxa"/>
                <w:shd w:val="clear" w:color="auto" w:fill="auto"/>
              </w:tcPr>
              <w:p w14:paraId="1926D327" w14:textId="77777777" w:rsidR="001C0DB0" w:rsidRDefault="001C0DB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017F3DF6" w14:textId="4EE035D5" w:rsidR="001C0DB0" w:rsidRDefault="001C0DB0" w:rsidP="000129BD">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07388/INFOEM/IP/RR/2024</w:t>
                </w:r>
              </w:p>
            </w:tc>
          </w:tr>
          <w:tr w:rsidR="001C0DB0" w14:paraId="7E22DAC5" w14:textId="77777777">
            <w:trPr>
              <w:trHeight w:val="295"/>
            </w:trPr>
            <w:tc>
              <w:tcPr>
                <w:tcW w:w="2551" w:type="dxa"/>
                <w:shd w:val="clear" w:color="auto" w:fill="auto"/>
              </w:tcPr>
              <w:p w14:paraId="4E0348A7" w14:textId="77777777" w:rsidR="001C0DB0" w:rsidRDefault="001C0DB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6F0717A4" w14:textId="6B55358A" w:rsidR="001C0DB0" w:rsidRDefault="001C0DB0">
                <w:pPr>
                  <w:tabs>
                    <w:tab w:val="left" w:pos="2834"/>
                    <w:tab w:val="right" w:pos="8838"/>
                  </w:tabs>
                  <w:ind w:left="-108" w:right="-102"/>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Instituto de Salud del Estado de México  </w:t>
                </w:r>
              </w:p>
            </w:tc>
          </w:tr>
          <w:tr w:rsidR="001C0DB0" w14:paraId="2A718259" w14:textId="77777777">
            <w:trPr>
              <w:trHeight w:val="295"/>
            </w:trPr>
            <w:tc>
              <w:tcPr>
                <w:tcW w:w="2551" w:type="dxa"/>
                <w:shd w:val="clear" w:color="auto" w:fill="auto"/>
              </w:tcPr>
              <w:p w14:paraId="1A2FC2DC" w14:textId="77777777" w:rsidR="001C0DB0" w:rsidRDefault="001C0DB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35533F2D" w14:textId="77777777" w:rsidR="001C0DB0" w:rsidRDefault="001C0DB0">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55AB5F3D" w14:textId="77777777" w:rsidR="001C0DB0" w:rsidRDefault="001C0DB0">
                <w:pPr>
                  <w:tabs>
                    <w:tab w:val="right" w:pos="8838"/>
                  </w:tabs>
                  <w:ind w:left="-108" w:right="171"/>
                  <w:jc w:val="both"/>
                  <w:rPr>
                    <w:rFonts w:ascii="Palatino Linotype" w:eastAsia="Palatino Linotype" w:hAnsi="Palatino Linotype" w:cs="Palatino Linotype"/>
                    <w:b/>
                    <w:sz w:val="22"/>
                    <w:szCs w:val="22"/>
                  </w:rPr>
                </w:pPr>
              </w:p>
            </w:tc>
          </w:tr>
        </w:tbl>
        <w:p w14:paraId="5FA26C58" w14:textId="77777777" w:rsidR="001C0DB0" w:rsidRDefault="001C0DB0">
          <w:pPr>
            <w:tabs>
              <w:tab w:val="right" w:pos="8838"/>
            </w:tabs>
            <w:ind w:left="-28"/>
            <w:jc w:val="both"/>
            <w:rPr>
              <w:rFonts w:ascii="Arial" w:eastAsia="Arial" w:hAnsi="Arial" w:cs="Arial"/>
              <w:b/>
              <w:sz w:val="22"/>
              <w:szCs w:val="22"/>
            </w:rPr>
          </w:pPr>
        </w:p>
      </w:tc>
    </w:tr>
  </w:tbl>
  <w:p w14:paraId="658A643F" w14:textId="77777777" w:rsidR="001C0DB0" w:rsidRDefault="00E0747C">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424F4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EBC87" w14:textId="77777777" w:rsidR="001C0DB0" w:rsidRDefault="001C0DB0">
    <w:pPr>
      <w:widowControl w:val="0"/>
      <w:pBdr>
        <w:top w:val="nil"/>
        <w:left w:val="nil"/>
        <w:bottom w:val="nil"/>
        <w:right w:val="nil"/>
        <w:between w:val="nil"/>
      </w:pBdr>
      <w:spacing w:line="276" w:lineRule="auto"/>
      <w:rPr>
        <w:color w:val="000000"/>
        <w:sz w:val="14"/>
        <w:szCs w:val="14"/>
      </w:rPr>
    </w:pPr>
  </w:p>
  <w:tbl>
    <w:tblPr>
      <w:tblStyle w:val="a8"/>
      <w:tblW w:w="9072" w:type="dxa"/>
      <w:tblInd w:w="0" w:type="dxa"/>
      <w:tblLayout w:type="fixed"/>
      <w:tblLook w:val="0400" w:firstRow="0" w:lastRow="0" w:firstColumn="0" w:lastColumn="0" w:noHBand="0" w:noVBand="1"/>
    </w:tblPr>
    <w:tblGrid>
      <w:gridCol w:w="2268"/>
      <w:gridCol w:w="6804"/>
    </w:tblGrid>
    <w:tr w:rsidR="001C0DB0" w14:paraId="70833E32" w14:textId="77777777">
      <w:trPr>
        <w:trHeight w:val="1435"/>
      </w:trPr>
      <w:tc>
        <w:tcPr>
          <w:tcW w:w="2268" w:type="dxa"/>
          <w:shd w:val="clear" w:color="auto" w:fill="auto"/>
        </w:tcPr>
        <w:p w14:paraId="2D63380C" w14:textId="77777777" w:rsidR="001C0DB0" w:rsidRDefault="001C0DB0">
          <w:pPr>
            <w:tabs>
              <w:tab w:val="right" w:pos="4273"/>
            </w:tabs>
            <w:rPr>
              <w:rFonts w:ascii="Garamond" w:eastAsia="Garamond" w:hAnsi="Garamond" w:cs="Garamond"/>
              <w:sz w:val="22"/>
              <w:szCs w:val="22"/>
            </w:rPr>
          </w:pPr>
        </w:p>
      </w:tc>
      <w:tc>
        <w:tcPr>
          <w:tcW w:w="6804" w:type="dxa"/>
          <w:shd w:val="clear" w:color="auto" w:fill="auto"/>
        </w:tcPr>
        <w:p w14:paraId="5269F642" w14:textId="77777777" w:rsidR="001C0DB0" w:rsidRDefault="001C0DB0">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9"/>
            <w:tblW w:w="6662" w:type="dxa"/>
            <w:tblInd w:w="40" w:type="dxa"/>
            <w:tblLayout w:type="fixed"/>
            <w:tblLook w:val="0400" w:firstRow="0" w:lastRow="0" w:firstColumn="0" w:lastColumn="0" w:noHBand="0" w:noVBand="1"/>
          </w:tblPr>
          <w:tblGrid>
            <w:gridCol w:w="2444"/>
            <w:gridCol w:w="4218"/>
          </w:tblGrid>
          <w:tr w:rsidR="001C0DB0" w14:paraId="6A7DE362" w14:textId="77777777">
            <w:trPr>
              <w:trHeight w:val="144"/>
            </w:trPr>
            <w:tc>
              <w:tcPr>
                <w:tcW w:w="2444" w:type="dxa"/>
                <w:shd w:val="clear" w:color="auto" w:fill="auto"/>
              </w:tcPr>
              <w:p w14:paraId="46191569" w14:textId="77777777" w:rsidR="001C0DB0" w:rsidRDefault="001C0DB0">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4B572D9E" w14:textId="135A62C7" w:rsidR="001C0DB0" w:rsidRDefault="001C0DB0" w:rsidP="0070483D">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07388/INFOEM/IP/RR/2024</w:t>
                </w:r>
              </w:p>
            </w:tc>
          </w:tr>
          <w:tr w:rsidR="001C0DB0" w14:paraId="7A9E6D61" w14:textId="77777777">
            <w:trPr>
              <w:trHeight w:val="144"/>
            </w:trPr>
            <w:tc>
              <w:tcPr>
                <w:tcW w:w="2444" w:type="dxa"/>
                <w:shd w:val="clear" w:color="auto" w:fill="auto"/>
              </w:tcPr>
              <w:p w14:paraId="7A891066" w14:textId="77777777" w:rsidR="001C0DB0" w:rsidRDefault="001C0DB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7747052C" w14:textId="05C75FE7" w:rsidR="001C0DB0" w:rsidRDefault="00FB5E68">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XXXXXXXXXX</w:t>
                </w:r>
              </w:p>
            </w:tc>
          </w:tr>
          <w:tr w:rsidR="001C0DB0" w14:paraId="16FD9EA8" w14:textId="77777777">
            <w:trPr>
              <w:trHeight w:val="283"/>
            </w:trPr>
            <w:tc>
              <w:tcPr>
                <w:tcW w:w="2444" w:type="dxa"/>
                <w:shd w:val="clear" w:color="auto" w:fill="auto"/>
              </w:tcPr>
              <w:p w14:paraId="2AD720F2" w14:textId="77777777" w:rsidR="001C0DB0" w:rsidRDefault="001C0DB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1A179D63" w14:textId="6618F5C0" w:rsidR="001C0DB0" w:rsidRDefault="001C0DB0" w:rsidP="000129BD">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Instituto de Salud del Estado de México </w:t>
                </w:r>
              </w:p>
            </w:tc>
          </w:tr>
          <w:tr w:rsidR="001C0DB0" w14:paraId="424D7519" w14:textId="77777777">
            <w:trPr>
              <w:trHeight w:val="283"/>
            </w:trPr>
            <w:tc>
              <w:tcPr>
                <w:tcW w:w="2444" w:type="dxa"/>
                <w:shd w:val="clear" w:color="auto" w:fill="auto"/>
              </w:tcPr>
              <w:p w14:paraId="1ABC55A5" w14:textId="77777777" w:rsidR="001C0DB0" w:rsidRDefault="001C0DB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14:paraId="462E60C6" w14:textId="77777777" w:rsidR="001C0DB0" w:rsidRDefault="001C0DB0">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7C4370DB" w14:textId="77777777" w:rsidR="001C0DB0" w:rsidRDefault="001C0DB0">
                <w:pPr>
                  <w:tabs>
                    <w:tab w:val="right" w:pos="8838"/>
                  </w:tabs>
                  <w:ind w:left="-74" w:right="-105"/>
                  <w:jc w:val="both"/>
                  <w:rPr>
                    <w:rFonts w:ascii="Palatino Linotype" w:eastAsia="Palatino Linotype" w:hAnsi="Palatino Linotype" w:cs="Palatino Linotype"/>
                    <w:b/>
                    <w:sz w:val="22"/>
                    <w:szCs w:val="22"/>
                  </w:rPr>
                </w:pPr>
              </w:p>
            </w:tc>
          </w:tr>
        </w:tbl>
        <w:p w14:paraId="30921D85" w14:textId="77777777" w:rsidR="001C0DB0" w:rsidRDefault="001C0DB0">
          <w:pPr>
            <w:tabs>
              <w:tab w:val="right" w:pos="8838"/>
            </w:tabs>
            <w:ind w:left="-28"/>
            <w:jc w:val="both"/>
            <w:rPr>
              <w:rFonts w:ascii="Arial" w:eastAsia="Arial" w:hAnsi="Arial" w:cs="Arial"/>
              <w:b/>
              <w:sz w:val="22"/>
              <w:szCs w:val="22"/>
            </w:rPr>
          </w:pPr>
        </w:p>
      </w:tc>
    </w:tr>
  </w:tbl>
  <w:p w14:paraId="75F5FDEB" w14:textId="77777777" w:rsidR="001C0DB0" w:rsidRDefault="00E0747C">
    <w:pPr>
      <w:pBdr>
        <w:top w:val="nil"/>
        <w:left w:val="nil"/>
        <w:bottom w:val="nil"/>
        <w:right w:val="nil"/>
        <w:between w:val="nil"/>
      </w:pBdr>
      <w:tabs>
        <w:tab w:val="center" w:pos="4419"/>
        <w:tab w:val="right" w:pos="8838"/>
      </w:tabs>
      <w:rPr>
        <w:color w:val="000000"/>
        <w:sz w:val="2"/>
        <w:szCs w:val="2"/>
      </w:rPr>
    </w:pPr>
    <w:r>
      <w:rPr>
        <w:color w:val="000000"/>
        <w:sz w:val="2"/>
        <w:szCs w:val="2"/>
      </w:rPr>
      <w:pict w14:anchorId="77765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4FFA"/>
    <w:multiLevelType w:val="multilevel"/>
    <w:tmpl w:val="CD5CE9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E06C8D"/>
    <w:multiLevelType w:val="multilevel"/>
    <w:tmpl w:val="6C4AE802"/>
    <w:lvl w:ilvl="0">
      <w:start w:val="1"/>
      <w:numFmt w:val="decimal"/>
      <w:lvlText w:val="%1."/>
      <w:lvlJc w:val="left"/>
      <w:pPr>
        <w:ind w:left="360" w:hanging="360"/>
      </w:pPr>
      <w:rPr>
        <w:rFonts w:ascii="Palatino Linotype" w:eastAsia="Palatino Linotype" w:hAnsi="Palatino Linotype" w:cs="Palatino Linotype"/>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2F267A"/>
    <w:multiLevelType w:val="multilevel"/>
    <w:tmpl w:val="7A06CDE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A42233"/>
    <w:multiLevelType w:val="hybridMultilevel"/>
    <w:tmpl w:val="E8AC9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030A5A"/>
    <w:multiLevelType w:val="multilevel"/>
    <w:tmpl w:val="B4E41A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5A6B63"/>
    <w:multiLevelType w:val="multilevel"/>
    <w:tmpl w:val="256AAE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892771"/>
    <w:multiLevelType w:val="multilevel"/>
    <w:tmpl w:val="830E1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252877"/>
    <w:multiLevelType w:val="hybridMultilevel"/>
    <w:tmpl w:val="C81A47F2"/>
    <w:lvl w:ilvl="0" w:tplc="CCF68A5E">
      <w:start w:val="8"/>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D8321B"/>
    <w:multiLevelType w:val="hybridMultilevel"/>
    <w:tmpl w:val="465E0190"/>
    <w:lvl w:ilvl="0" w:tplc="5650BC10">
      <w:start w:val="29"/>
      <w:numFmt w:val="decimal"/>
      <w:lvlText w:val="%1."/>
      <w:lvlJc w:val="left"/>
      <w:pPr>
        <w:ind w:left="3621" w:hanging="360"/>
      </w:pPr>
      <w:rPr>
        <w:rFonts w:cs="Times New Roman" w:hint="default"/>
        <w:b/>
        <w:i w:val="0"/>
      </w:rPr>
    </w:lvl>
    <w:lvl w:ilvl="1" w:tplc="080A0019" w:tentative="1">
      <w:start w:val="1"/>
      <w:numFmt w:val="lowerLetter"/>
      <w:lvlText w:val="%2."/>
      <w:lvlJc w:val="left"/>
      <w:pPr>
        <w:ind w:left="4341" w:hanging="360"/>
      </w:pPr>
      <w:rPr>
        <w:rFonts w:cs="Times New Roman"/>
      </w:rPr>
    </w:lvl>
    <w:lvl w:ilvl="2" w:tplc="080A001B" w:tentative="1">
      <w:start w:val="1"/>
      <w:numFmt w:val="lowerRoman"/>
      <w:lvlText w:val="%3."/>
      <w:lvlJc w:val="right"/>
      <w:pPr>
        <w:ind w:left="5061" w:hanging="180"/>
      </w:pPr>
      <w:rPr>
        <w:rFonts w:cs="Times New Roman"/>
      </w:rPr>
    </w:lvl>
    <w:lvl w:ilvl="3" w:tplc="080A000F" w:tentative="1">
      <w:start w:val="1"/>
      <w:numFmt w:val="decimal"/>
      <w:lvlText w:val="%4."/>
      <w:lvlJc w:val="left"/>
      <w:pPr>
        <w:ind w:left="5781" w:hanging="360"/>
      </w:pPr>
      <w:rPr>
        <w:rFonts w:cs="Times New Roman"/>
      </w:rPr>
    </w:lvl>
    <w:lvl w:ilvl="4" w:tplc="080A0019" w:tentative="1">
      <w:start w:val="1"/>
      <w:numFmt w:val="lowerLetter"/>
      <w:lvlText w:val="%5."/>
      <w:lvlJc w:val="left"/>
      <w:pPr>
        <w:ind w:left="6501" w:hanging="360"/>
      </w:pPr>
      <w:rPr>
        <w:rFonts w:cs="Times New Roman"/>
      </w:rPr>
    </w:lvl>
    <w:lvl w:ilvl="5" w:tplc="080A001B" w:tentative="1">
      <w:start w:val="1"/>
      <w:numFmt w:val="lowerRoman"/>
      <w:lvlText w:val="%6."/>
      <w:lvlJc w:val="right"/>
      <w:pPr>
        <w:ind w:left="7221" w:hanging="180"/>
      </w:pPr>
      <w:rPr>
        <w:rFonts w:cs="Times New Roman"/>
      </w:rPr>
    </w:lvl>
    <w:lvl w:ilvl="6" w:tplc="080A000F" w:tentative="1">
      <w:start w:val="1"/>
      <w:numFmt w:val="decimal"/>
      <w:lvlText w:val="%7."/>
      <w:lvlJc w:val="left"/>
      <w:pPr>
        <w:ind w:left="7941" w:hanging="360"/>
      </w:pPr>
      <w:rPr>
        <w:rFonts w:cs="Times New Roman"/>
      </w:rPr>
    </w:lvl>
    <w:lvl w:ilvl="7" w:tplc="080A0019" w:tentative="1">
      <w:start w:val="1"/>
      <w:numFmt w:val="lowerLetter"/>
      <w:lvlText w:val="%8."/>
      <w:lvlJc w:val="left"/>
      <w:pPr>
        <w:ind w:left="8661" w:hanging="360"/>
      </w:pPr>
      <w:rPr>
        <w:rFonts w:cs="Times New Roman"/>
      </w:rPr>
    </w:lvl>
    <w:lvl w:ilvl="8" w:tplc="080A001B" w:tentative="1">
      <w:start w:val="1"/>
      <w:numFmt w:val="lowerRoman"/>
      <w:lvlText w:val="%9."/>
      <w:lvlJc w:val="right"/>
      <w:pPr>
        <w:ind w:left="9381" w:hanging="180"/>
      </w:pPr>
      <w:rPr>
        <w:rFonts w:cs="Times New Roman"/>
      </w:rPr>
    </w:lvl>
  </w:abstractNum>
  <w:abstractNum w:abstractNumId="9" w15:restartNumberingAfterBreak="0">
    <w:nsid w:val="501E55C4"/>
    <w:multiLevelType w:val="multilevel"/>
    <w:tmpl w:val="130AC64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C4571E"/>
    <w:multiLevelType w:val="multilevel"/>
    <w:tmpl w:val="A780643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C1F5FB3"/>
    <w:multiLevelType w:val="multilevel"/>
    <w:tmpl w:val="47D65E2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C8A5AB7"/>
    <w:multiLevelType w:val="multilevel"/>
    <w:tmpl w:val="EDFEAF9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C243DE"/>
    <w:multiLevelType w:val="multilevel"/>
    <w:tmpl w:val="A7EA6CE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1332E22"/>
    <w:multiLevelType w:val="multilevel"/>
    <w:tmpl w:val="105E5F7A"/>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46A0D15"/>
    <w:multiLevelType w:val="multilevel"/>
    <w:tmpl w:val="268651F4"/>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15:restartNumberingAfterBreak="0">
    <w:nsid w:val="651A5F1A"/>
    <w:multiLevelType w:val="multilevel"/>
    <w:tmpl w:val="50AEA2F2"/>
    <w:lvl w:ilvl="0">
      <w:start w:val="1"/>
      <w:numFmt w:val="lowerLetter"/>
      <w:lvlText w:val="%1)"/>
      <w:lvlJc w:val="left"/>
      <w:pPr>
        <w:ind w:left="927" w:hanging="360"/>
      </w:pPr>
      <w:rPr>
        <w:u w:val="none"/>
      </w:rPr>
    </w:lvl>
    <w:lvl w:ilvl="1">
      <w:start w:val="1"/>
      <w:numFmt w:val="lowerLetter"/>
      <w:lvlText w:val="%2."/>
      <w:lvlJc w:val="left"/>
      <w:pPr>
        <w:ind w:left="1647" w:hanging="360"/>
      </w:pPr>
      <w:rPr>
        <w:u w:val="none"/>
      </w:rPr>
    </w:lvl>
    <w:lvl w:ilvl="2">
      <w:start w:val="1"/>
      <w:numFmt w:val="lowerRoman"/>
      <w:lvlText w:val="%3."/>
      <w:lvlJc w:val="right"/>
      <w:pPr>
        <w:ind w:left="2367" w:hanging="180"/>
      </w:pPr>
      <w:rPr>
        <w:u w:val="none"/>
      </w:rPr>
    </w:lvl>
    <w:lvl w:ilvl="3">
      <w:start w:val="1"/>
      <w:numFmt w:val="decimal"/>
      <w:lvlText w:val="%4."/>
      <w:lvlJc w:val="left"/>
      <w:pPr>
        <w:ind w:left="3087" w:hanging="360"/>
      </w:pPr>
      <w:rPr>
        <w:u w:val="none"/>
      </w:rPr>
    </w:lvl>
    <w:lvl w:ilvl="4">
      <w:start w:val="1"/>
      <w:numFmt w:val="lowerLetter"/>
      <w:lvlText w:val="%5."/>
      <w:lvlJc w:val="left"/>
      <w:pPr>
        <w:ind w:left="3807" w:hanging="360"/>
      </w:pPr>
      <w:rPr>
        <w:u w:val="none"/>
      </w:rPr>
    </w:lvl>
    <w:lvl w:ilvl="5">
      <w:start w:val="1"/>
      <w:numFmt w:val="lowerRoman"/>
      <w:lvlText w:val="%6."/>
      <w:lvlJc w:val="right"/>
      <w:pPr>
        <w:ind w:left="4527" w:hanging="180"/>
      </w:pPr>
      <w:rPr>
        <w:u w:val="none"/>
      </w:rPr>
    </w:lvl>
    <w:lvl w:ilvl="6">
      <w:start w:val="1"/>
      <w:numFmt w:val="decimal"/>
      <w:lvlText w:val="%7."/>
      <w:lvlJc w:val="left"/>
      <w:pPr>
        <w:ind w:left="5247" w:hanging="360"/>
      </w:pPr>
      <w:rPr>
        <w:u w:val="none"/>
      </w:rPr>
    </w:lvl>
    <w:lvl w:ilvl="7">
      <w:start w:val="1"/>
      <w:numFmt w:val="lowerLetter"/>
      <w:lvlText w:val="%8."/>
      <w:lvlJc w:val="left"/>
      <w:pPr>
        <w:ind w:left="5967" w:hanging="360"/>
      </w:pPr>
      <w:rPr>
        <w:u w:val="none"/>
      </w:rPr>
    </w:lvl>
    <w:lvl w:ilvl="8">
      <w:start w:val="1"/>
      <w:numFmt w:val="lowerRoman"/>
      <w:lvlText w:val="%9."/>
      <w:lvlJc w:val="right"/>
      <w:pPr>
        <w:ind w:left="6687" w:hanging="180"/>
      </w:pPr>
      <w:rPr>
        <w:u w:val="none"/>
      </w:rPr>
    </w:lvl>
  </w:abstractNum>
  <w:abstractNum w:abstractNumId="17" w15:restartNumberingAfterBreak="0">
    <w:nsid w:val="6E98175D"/>
    <w:multiLevelType w:val="multilevel"/>
    <w:tmpl w:val="F4AAC06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
  </w:num>
  <w:num w:numId="3">
    <w:abstractNumId w:val="12"/>
  </w:num>
  <w:num w:numId="4">
    <w:abstractNumId w:val="11"/>
  </w:num>
  <w:num w:numId="5">
    <w:abstractNumId w:val="10"/>
  </w:num>
  <w:num w:numId="6">
    <w:abstractNumId w:val="0"/>
  </w:num>
  <w:num w:numId="7">
    <w:abstractNumId w:val="4"/>
  </w:num>
  <w:num w:numId="8">
    <w:abstractNumId w:val="15"/>
  </w:num>
  <w:num w:numId="9">
    <w:abstractNumId w:val="6"/>
  </w:num>
  <w:num w:numId="10">
    <w:abstractNumId w:val="16"/>
  </w:num>
  <w:num w:numId="11">
    <w:abstractNumId w:val="9"/>
  </w:num>
  <w:num w:numId="12">
    <w:abstractNumId w:val="17"/>
  </w:num>
  <w:num w:numId="13">
    <w:abstractNumId w:val="14"/>
  </w:num>
  <w:num w:numId="14">
    <w:abstractNumId w:val="5"/>
  </w:num>
  <w:num w:numId="15">
    <w:abstractNumId w:val="1"/>
  </w:num>
  <w:num w:numId="16">
    <w:abstractNumId w:val="7"/>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C7"/>
    <w:rsid w:val="00000CC7"/>
    <w:rsid w:val="00003DA9"/>
    <w:rsid w:val="000129BD"/>
    <w:rsid w:val="000541D1"/>
    <w:rsid w:val="00056DF8"/>
    <w:rsid w:val="00060B94"/>
    <w:rsid w:val="00084049"/>
    <w:rsid w:val="00090849"/>
    <w:rsid w:val="000946FF"/>
    <w:rsid w:val="000B7A79"/>
    <w:rsid w:val="000C2FC1"/>
    <w:rsid w:val="000D05B2"/>
    <w:rsid w:val="000D7CBB"/>
    <w:rsid w:val="000E16D6"/>
    <w:rsid w:val="000F3A63"/>
    <w:rsid w:val="000F432E"/>
    <w:rsid w:val="000F5C59"/>
    <w:rsid w:val="001042BB"/>
    <w:rsid w:val="001424DB"/>
    <w:rsid w:val="00144688"/>
    <w:rsid w:val="00146C6F"/>
    <w:rsid w:val="00172524"/>
    <w:rsid w:val="001A134F"/>
    <w:rsid w:val="001A4CB7"/>
    <w:rsid w:val="001A6146"/>
    <w:rsid w:val="001C0DB0"/>
    <w:rsid w:val="001D37A3"/>
    <w:rsid w:val="001E2771"/>
    <w:rsid w:val="001F0AF5"/>
    <w:rsid w:val="001F420F"/>
    <w:rsid w:val="00206246"/>
    <w:rsid w:val="002117D2"/>
    <w:rsid w:val="00213254"/>
    <w:rsid w:val="00222526"/>
    <w:rsid w:val="00274A48"/>
    <w:rsid w:val="00296B4A"/>
    <w:rsid w:val="002E6D73"/>
    <w:rsid w:val="00300022"/>
    <w:rsid w:val="00313942"/>
    <w:rsid w:val="003153F9"/>
    <w:rsid w:val="00327BCB"/>
    <w:rsid w:val="00355762"/>
    <w:rsid w:val="003559EE"/>
    <w:rsid w:val="003614EB"/>
    <w:rsid w:val="0036596D"/>
    <w:rsid w:val="00370709"/>
    <w:rsid w:val="00382757"/>
    <w:rsid w:val="003946F6"/>
    <w:rsid w:val="00397E14"/>
    <w:rsid w:val="003B30AC"/>
    <w:rsid w:val="003B4DD3"/>
    <w:rsid w:val="003B70AE"/>
    <w:rsid w:val="003C21AA"/>
    <w:rsid w:val="003C3169"/>
    <w:rsid w:val="003F5139"/>
    <w:rsid w:val="004066AE"/>
    <w:rsid w:val="00413F1C"/>
    <w:rsid w:val="00433446"/>
    <w:rsid w:val="00434DA9"/>
    <w:rsid w:val="0048093D"/>
    <w:rsid w:val="00482980"/>
    <w:rsid w:val="004A7334"/>
    <w:rsid w:val="004B350A"/>
    <w:rsid w:val="004C7CD5"/>
    <w:rsid w:val="004F522E"/>
    <w:rsid w:val="00507F3A"/>
    <w:rsid w:val="00510E55"/>
    <w:rsid w:val="00547CDD"/>
    <w:rsid w:val="00554A11"/>
    <w:rsid w:val="00565B62"/>
    <w:rsid w:val="0057250C"/>
    <w:rsid w:val="005804CF"/>
    <w:rsid w:val="005B2254"/>
    <w:rsid w:val="005D2435"/>
    <w:rsid w:val="0063093C"/>
    <w:rsid w:val="006711CA"/>
    <w:rsid w:val="006903BB"/>
    <w:rsid w:val="00696405"/>
    <w:rsid w:val="006A3A09"/>
    <w:rsid w:val="006A3C57"/>
    <w:rsid w:val="006E64D7"/>
    <w:rsid w:val="006F10DE"/>
    <w:rsid w:val="006F66C1"/>
    <w:rsid w:val="0070483D"/>
    <w:rsid w:val="0070494A"/>
    <w:rsid w:val="007219D3"/>
    <w:rsid w:val="00737187"/>
    <w:rsid w:val="00764C30"/>
    <w:rsid w:val="00775658"/>
    <w:rsid w:val="00781999"/>
    <w:rsid w:val="007B3FC8"/>
    <w:rsid w:val="007B61BA"/>
    <w:rsid w:val="007C299F"/>
    <w:rsid w:val="007E791C"/>
    <w:rsid w:val="00802661"/>
    <w:rsid w:val="008033EB"/>
    <w:rsid w:val="00836517"/>
    <w:rsid w:val="00843EBC"/>
    <w:rsid w:val="00860D31"/>
    <w:rsid w:val="00885604"/>
    <w:rsid w:val="008937E7"/>
    <w:rsid w:val="008E7973"/>
    <w:rsid w:val="009136C3"/>
    <w:rsid w:val="00924945"/>
    <w:rsid w:val="00936502"/>
    <w:rsid w:val="00941C76"/>
    <w:rsid w:val="00943231"/>
    <w:rsid w:val="0095698F"/>
    <w:rsid w:val="00971541"/>
    <w:rsid w:val="009800CB"/>
    <w:rsid w:val="009A2D12"/>
    <w:rsid w:val="009B024B"/>
    <w:rsid w:val="009D3E0E"/>
    <w:rsid w:val="009F20BD"/>
    <w:rsid w:val="00A169E6"/>
    <w:rsid w:val="00A43F64"/>
    <w:rsid w:val="00A727F1"/>
    <w:rsid w:val="00A949FB"/>
    <w:rsid w:val="00A94A99"/>
    <w:rsid w:val="00AC11F7"/>
    <w:rsid w:val="00AC49DE"/>
    <w:rsid w:val="00AD5296"/>
    <w:rsid w:val="00AD5329"/>
    <w:rsid w:val="00B25938"/>
    <w:rsid w:val="00B63206"/>
    <w:rsid w:val="00B80C5A"/>
    <w:rsid w:val="00B9368A"/>
    <w:rsid w:val="00BC16EB"/>
    <w:rsid w:val="00BC2B2F"/>
    <w:rsid w:val="00BC43A9"/>
    <w:rsid w:val="00BD2D1C"/>
    <w:rsid w:val="00BE27AE"/>
    <w:rsid w:val="00C31CC3"/>
    <w:rsid w:val="00C47E05"/>
    <w:rsid w:val="00C53CBD"/>
    <w:rsid w:val="00C576BC"/>
    <w:rsid w:val="00C63BB8"/>
    <w:rsid w:val="00CC2142"/>
    <w:rsid w:val="00CD4A7A"/>
    <w:rsid w:val="00CD6C09"/>
    <w:rsid w:val="00D150FC"/>
    <w:rsid w:val="00D15706"/>
    <w:rsid w:val="00D37903"/>
    <w:rsid w:val="00D64B78"/>
    <w:rsid w:val="00D67837"/>
    <w:rsid w:val="00D829C1"/>
    <w:rsid w:val="00DA5F78"/>
    <w:rsid w:val="00DC44F0"/>
    <w:rsid w:val="00DC4CF5"/>
    <w:rsid w:val="00DD0705"/>
    <w:rsid w:val="00DD4BCD"/>
    <w:rsid w:val="00DD5EA8"/>
    <w:rsid w:val="00E0747C"/>
    <w:rsid w:val="00E41B8D"/>
    <w:rsid w:val="00E43844"/>
    <w:rsid w:val="00E63ACB"/>
    <w:rsid w:val="00E6728F"/>
    <w:rsid w:val="00E838B6"/>
    <w:rsid w:val="00EA0ECB"/>
    <w:rsid w:val="00F132CE"/>
    <w:rsid w:val="00F1718B"/>
    <w:rsid w:val="00F33F8F"/>
    <w:rsid w:val="00F36787"/>
    <w:rsid w:val="00F714E4"/>
    <w:rsid w:val="00F868DB"/>
    <w:rsid w:val="00F8736A"/>
    <w:rsid w:val="00F93C25"/>
    <w:rsid w:val="00FB072A"/>
    <w:rsid w:val="00FB5E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11F4A7"/>
  <w15:docId w15:val="{85C8246B-D9D9-4908-8B15-1A4150B7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718"/>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de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6concolores">
    <w:name w:val="Grid Table 6 Colorful"/>
    <w:basedOn w:val="Tablanormal"/>
    <w:uiPriority w:val="51"/>
    <w:rsid w:val="003F2E3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aliases w:val="Francesa,INAI"/>
    <w:link w:val="SinespaciadoCar"/>
    <w:uiPriority w:val="1"/>
    <w:qFormat/>
    <w:rsid w:val="007D567D"/>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pPr>
    <w:rPr>
      <w:rFonts w:ascii="Palatino Linotype" w:hAnsi="Palatino Linotype" w:cs="Palatino Linotype"/>
      <w:color w:val="000000"/>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color w:val="000000"/>
    </w:rPr>
    <w:tblPr>
      <w:tblStyleRowBandSize w:val="1"/>
      <w:tblStyleColBandSize w:val="1"/>
      <w:tblCellMar>
        <w:left w:w="108" w:type="dxa"/>
        <w:right w:w="108" w:type="dxa"/>
      </w:tblCellMar>
    </w:tblPr>
  </w:style>
  <w:style w:type="table" w:customStyle="1" w:styleId="a0">
    <w:basedOn w:val="TableNormal0"/>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character" w:customStyle="1" w:styleId="SinespaciadoCar">
    <w:name w:val="Sin espaciado Car"/>
    <w:aliases w:val="Francesa Car,INAI Car"/>
    <w:link w:val="Sinespaciado"/>
    <w:uiPriority w:val="1"/>
    <w:locked/>
    <w:rsid w:val="00813FD8"/>
  </w:style>
  <w:style w:type="character" w:customStyle="1" w:styleId="Mencinsinresolver3">
    <w:name w:val="Mención sin resolver3"/>
    <w:basedOn w:val="Fuentedeprrafopredeter"/>
    <w:uiPriority w:val="99"/>
    <w:semiHidden/>
    <w:unhideWhenUsed/>
    <w:rsid w:val="00D54D5B"/>
    <w:rPr>
      <w:color w:val="605E5C"/>
      <w:shd w:val="clear" w:color="auto" w:fill="E1DFDD"/>
    </w:rPr>
  </w:style>
  <w:style w:type="paragraph" w:styleId="Sangradetextonormal">
    <w:name w:val="Body Text Indent"/>
    <w:basedOn w:val="Normal"/>
    <w:link w:val="SangradetextonormalCar"/>
    <w:uiPriority w:val="99"/>
    <w:unhideWhenUsed/>
    <w:rsid w:val="008456B3"/>
    <w:pPr>
      <w:spacing w:after="120"/>
      <w:ind w:left="283"/>
    </w:pPr>
  </w:style>
  <w:style w:type="character" w:customStyle="1" w:styleId="SangradetextonormalCar">
    <w:name w:val="Sangría de texto normal Car"/>
    <w:basedOn w:val="Fuentedeprrafopredeter"/>
    <w:link w:val="Sangradetextonormal"/>
    <w:uiPriority w:val="99"/>
    <w:rsid w:val="008456B3"/>
  </w:style>
  <w:style w:type="paragraph" w:styleId="Textoindependienteprimerasangra2">
    <w:name w:val="Body Text First Indent 2"/>
    <w:basedOn w:val="Sangradetextonormal"/>
    <w:link w:val="Textoindependienteprimerasangra2Car"/>
    <w:uiPriority w:val="99"/>
    <w:unhideWhenUsed/>
    <w:rsid w:val="008456B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456B3"/>
  </w:style>
  <w:style w:type="paragraph" w:customStyle="1" w:styleId="paragraph">
    <w:name w:val="paragraph"/>
    <w:basedOn w:val="Normal"/>
    <w:rsid w:val="000B3FDE"/>
    <w:pPr>
      <w:spacing w:before="100" w:beforeAutospacing="1" w:after="100" w:afterAutospacing="1"/>
    </w:p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rPr>
      <w:color w:val="000000"/>
    </w:rPr>
    <w:tblPr>
      <w:tblStyleRowBandSize w:val="1"/>
      <w:tblStyleColBandSize w:val="1"/>
      <w:tblCellMar>
        <w:left w:w="115" w:type="dxa"/>
        <w:right w:w="115" w:type="dxa"/>
      </w:tblCellMar>
    </w:tblPr>
  </w:style>
  <w:style w:type="table" w:customStyle="1" w:styleId="a7">
    <w:basedOn w:val="TableNormal0"/>
    <w:rPr>
      <w:color w:val="000000"/>
    </w:rPr>
    <w:tblPr>
      <w:tblStyleRowBandSize w:val="1"/>
      <w:tblStyleColBandSize w:val="1"/>
      <w:tblCellMar>
        <w:left w:w="115" w:type="dxa"/>
        <w:right w:w="115" w:type="dxa"/>
      </w:tblCellMar>
    </w:tblPr>
  </w:style>
  <w:style w:type="table" w:customStyle="1" w:styleId="a8">
    <w:basedOn w:val="TableNormal0"/>
    <w:rPr>
      <w:color w:val="000000"/>
    </w:rPr>
    <w:tblPr>
      <w:tblStyleRowBandSize w:val="1"/>
      <w:tblStyleColBandSize w:val="1"/>
      <w:tblCellMar>
        <w:left w:w="115" w:type="dxa"/>
        <w:right w:w="115" w:type="dxa"/>
      </w:tblCellMar>
    </w:tblPr>
  </w:style>
  <w:style w:type="table" w:customStyle="1" w:styleId="a9">
    <w:basedOn w:val="TableNormal0"/>
    <w:rPr>
      <w:color w:val="000000"/>
    </w:rPr>
    <w:tblPr>
      <w:tblStyleRowBandSize w:val="1"/>
      <w:tblStyleColBandSize w:val="1"/>
      <w:tblCellMar>
        <w:left w:w="115" w:type="dxa"/>
        <w:right w:w="115" w:type="dxa"/>
      </w:tblCellMar>
    </w:tblPr>
  </w:style>
  <w:style w:type="paragraph" w:styleId="NormalWeb">
    <w:name w:val="Normal (Web)"/>
    <w:basedOn w:val="Normal"/>
    <w:uiPriority w:val="99"/>
    <w:unhideWhenUsed/>
    <w:rsid w:val="00554A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028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1TyRFF7qVNyLvxZgdWD2Y60DGg==">CgMxLjAyCGguZ2pkZ3hzMgloLjMwajB6bGwyCWguMWZvYjl0ZTIJaC4zem55c2g3MgloLjJldDkycDAyCGgudHlqY3d0MgloLjNkeTZ2a20yCWguNGQzNG9nODIJaC4yczhleW8xMghoLmxueGJ6OTIJaC4xdDNoNXNmMgloLjE3ZHA4dnUyCWguMWtzdjR1djIJaC40NHNpbmlvOAByITE2OFJ0TjlYNXFRUUl6QVhMWXhKeGlxdUZGdHJmaVVYVQ==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3925</Words>
  <Characters>21588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INFOEM403</cp:lastModifiedBy>
  <cp:revision>4</cp:revision>
  <dcterms:created xsi:type="dcterms:W3CDTF">2024-12-11T18:59:00Z</dcterms:created>
  <dcterms:modified xsi:type="dcterms:W3CDTF">2025-01-24T17:09:00Z</dcterms:modified>
</cp:coreProperties>
</file>