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7ED7E" w14:textId="77777777" w:rsidR="00113351" w:rsidRDefault="00113351">
      <w:pPr>
        <w:widowControl w:val="0"/>
        <w:pBdr>
          <w:top w:val="nil"/>
          <w:left w:val="nil"/>
          <w:bottom w:val="nil"/>
          <w:right w:val="nil"/>
          <w:between w:val="nil"/>
        </w:pBdr>
        <w:spacing w:line="276" w:lineRule="auto"/>
      </w:pPr>
    </w:p>
    <w:p w14:paraId="7DBEDAAE" w14:textId="77777777" w:rsidR="00113351" w:rsidRDefault="002464AC">
      <w:pPr>
        <w:tabs>
          <w:tab w:val="left" w:pos="3465"/>
        </w:tabs>
        <w:spacing w:line="360" w:lineRule="auto"/>
        <w:ind w:right="-929"/>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710CE9">
        <w:rPr>
          <w:rFonts w:ascii="Palatino Linotype" w:eastAsia="Palatino Linotype" w:hAnsi="Palatino Linotype" w:cs="Palatino Linotype"/>
        </w:rPr>
        <w:t>stado de México; de fecha veintiuno (21</w:t>
      </w:r>
      <w:r>
        <w:rPr>
          <w:rFonts w:ascii="Palatino Linotype" w:eastAsia="Palatino Linotype" w:hAnsi="Palatino Linotype" w:cs="Palatino Linotype"/>
        </w:rPr>
        <w:t>) de noviembre de dos mil veinticuatro.</w:t>
      </w:r>
    </w:p>
    <w:p w14:paraId="1DD8323C" w14:textId="77777777" w:rsidR="00113351" w:rsidRDefault="00113351">
      <w:pPr>
        <w:tabs>
          <w:tab w:val="left" w:pos="3465"/>
        </w:tabs>
        <w:spacing w:line="360" w:lineRule="auto"/>
        <w:ind w:right="-929"/>
        <w:jc w:val="both"/>
        <w:rPr>
          <w:rFonts w:ascii="Palatino Linotype" w:eastAsia="Palatino Linotype" w:hAnsi="Palatino Linotype" w:cs="Palatino Linotype"/>
        </w:rPr>
      </w:pPr>
    </w:p>
    <w:p w14:paraId="0A0BE65E"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710CE9">
        <w:rPr>
          <w:rFonts w:ascii="Palatino Linotype" w:eastAsia="Palatino Linotype" w:hAnsi="Palatino Linotype" w:cs="Palatino Linotype"/>
        </w:rPr>
        <w:t xml:space="preserve"> </w:t>
      </w:r>
      <w:r w:rsidR="00710CE9" w:rsidRPr="00710CE9">
        <w:rPr>
          <w:rFonts w:ascii="Palatino Linotype" w:eastAsia="Palatino Linotype" w:hAnsi="Palatino Linotype" w:cs="Palatino Linotype"/>
          <w:b/>
          <w:color w:val="000000"/>
          <w:sz w:val="22"/>
          <w:szCs w:val="22"/>
        </w:rPr>
        <w:t>00253/INFOEM/IP/RR/2024</w:t>
      </w:r>
      <w:r w:rsidR="00710CE9">
        <w:rPr>
          <w:rFonts w:ascii="Palatino Linotype" w:eastAsia="Palatino Linotype" w:hAnsi="Palatino Linotype" w:cs="Palatino Linotype"/>
          <w:color w:val="000000"/>
          <w:sz w:val="22"/>
          <w:szCs w:val="22"/>
        </w:rPr>
        <w:t>,</w:t>
      </w:r>
      <w:r>
        <w:rPr>
          <w:rFonts w:ascii="Palatino Linotype" w:eastAsia="Palatino Linotype" w:hAnsi="Palatino Linotype" w:cs="Palatino Linotype"/>
        </w:rPr>
        <w:t xml:space="preserve"> presentado por </w:t>
      </w:r>
      <w:r>
        <w:rPr>
          <w:rFonts w:ascii="Palatino Linotype" w:eastAsia="Palatino Linotype" w:hAnsi="Palatino Linotype" w:cs="Palatino Linotype"/>
          <w:b/>
        </w:rPr>
        <w:t>una persona que no registró nombre alguno,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lo sucesivo se denominará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 solicitud de información con número de folio </w:t>
      </w:r>
      <w:r>
        <w:rPr>
          <w:rFonts w:ascii="Palatino Linotype" w:eastAsia="Palatino Linotype" w:hAnsi="Palatino Linotype" w:cs="Palatino Linotype"/>
          <w:b/>
        </w:rPr>
        <w:t>00007/TECAMAC/IP/2024</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Ayuntamiento de Tecámac,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se emite la presente resolución con base en los siguientes:</w:t>
      </w:r>
    </w:p>
    <w:p w14:paraId="05914AF7" w14:textId="77777777" w:rsidR="00113351" w:rsidRDefault="00113351">
      <w:pPr>
        <w:spacing w:line="360" w:lineRule="auto"/>
        <w:ind w:right="-929"/>
        <w:jc w:val="both"/>
        <w:rPr>
          <w:rFonts w:ascii="Palatino Linotype" w:eastAsia="Palatino Linotype" w:hAnsi="Palatino Linotype" w:cs="Palatino Linotype"/>
        </w:rPr>
      </w:pPr>
    </w:p>
    <w:p w14:paraId="31F59CA7" w14:textId="77777777" w:rsidR="00113351" w:rsidRDefault="002464AC">
      <w:pPr>
        <w:pStyle w:val="Ttulo1"/>
        <w:spacing w:before="0" w:line="360" w:lineRule="auto"/>
        <w:ind w:right="-929"/>
        <w:jc w:val="center"/>
        <w:rPr>
          <w:rFonts w:ascii="Palatino Linotype" w:eastAsia="Palatino Linotype" w:hAnsi="Palatino Linotype" w:cs="Palatino Linotype"/>
          <w:b/>
          <w:color w:val="000000"/>
          <w:sz w:val="24"/>
          <w:szCs w:val="24"/>
        </w:rPr>
      </w:pPr>
      <w:bookmarkStart w:id="1" w:name="_heading=h.30j0zll" w:colFirst="0" w:colLast="0"/>
      <w:bookmarkEnd w:id="1"/>
      <w:r>
        <w:rPr>
          <w:rFonts w:ascii="Palatino Linotype" w:eastAsia="Palatino Linotype" w:hAnsi="Palatino Linotype" w:cs="Palatino Linotype"/>
          <w:b/>
          <w:color w:val="000000"/>
          <w:sz w:val="24"/>
          <w:szCs w:val="24"/>
        </w:rPr>
        <w:t>A N T E C E D E N T E S</w:t>
      </w:r>
    </w:p>
    <w:p w14:paraId="368791FA" w14:textId="77777777" w:rsidR="00113351" w:rsidRDefault="00113351">
      <w:pPr>
        <w:spacing w:line="360" w:lineRule="auto"/>
        <w:ind w:right="-929"/>
        <w:rPr>
          <w:rFonts w:ascii="Palatino Linotype" w:eastAsia="Palatino Linotype" w:hAnsi="Palatino Linotype" w:cs="Palatino Linotype"/>
        </w:rPr>
      </w:pPr>
    </w:p>
    <w:p w14:paraId="09F7FF76" w14:textId="77777777" w:rsidR="00113351" w:rsidRDefault="002464AC">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once de enero de dos mil veinticuatro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0A100AF7" w14:textId="77777777" w:rsidR="00113351" w:rsidRDefault="0011335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248168F1" w14:textId="77777777" w:rsidR="00113351" w:rsidRDefault="002464AC">
      <w:pPr>
        <w:pBdr>
          <w:top w:val="nil"/>
          <w:left w:val="nil"/>
          <w:bottom w:val="nil"/>
          <w:right w:val="nil"/>
          <w:between w:val="nil"/>
        </w:pBdr>
        <w:spacing w:line="360" w:lineRule="auto"/>
        <w:ind w:left="425" w:right="-929"/>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“Solicitó información de la oficial de policía </w:t>
      </w:r>
      <w:r w:rsidRPr="00896552">
        <w:rPr>
          <w:rFonts w:ascii="Palatino Linotype" w:eastAsia="Palatino Linotype" w:hAnsi="Palatino Linotype" w:cs="Palatino Linotype"/>
          <w:i/>
          <w:color w:val="000000"/>
          <w:highlight w:val="yellow"/>
        </w:rPr>
        <w:t xml:space="preserve">Judith Jaqueline </w:t>
      </w:r>
      <w:proofErr w:type="spellStart"/>
      <w:r w:rsidRPr="00896552">
        <w:rPr>
          <w:rFonts w:ascii="Palatino Linotype" w:eastAsia="Palatino Linotype" w:hAnsi="Palatino Linotype" w:cs="Palatino Linotype"/>
          <w:i/>
          <w:color w:val="000000"/>
          <w:highlight w:val="yellow"/>
        </w:rPr>
        <w:t>Espindola</w:t>
      </w:r>
      <w:proofErr w:type="spellEnd"/>
      <w:r w:rsidRPr="00896552">
        <w:rPr>
          <w:rFonts w:ascii="Palatino Linotype" w:eastAsia="Palatino Linotype" w:hAnsi="Palatino Linotype" w:cs="Palatino Linotype"/>
          <w:i/>
          <w:color w:val="000000"/>
          <w:highlight w:val="yellow"/>
        </w:rPr>
        <w:t xml:space="preserve"> Paredes</w:t>
      </w:r>
      <w:r>
        <w:rPr>
          <w:rFonts w:ascii="Palatino Linotype" w:eastAsia="Palatino Linotype" w:hAnsi="Palatino Linotype" w:cs="Palatino Linotype"/>
          <w:i/>
          <w:color w:val="000000"/>
        </w:rPr>
        <w:t xml:space="preserve">, que actualmente labora como servidor público en el área de la Policía Municipal Preventiva, lo siguiente: 1. Se solicita saber si aprobó el examen de control y confianza requeridos por esta Institución, el cual contribuye para verificar que el personal activo actúe dentro del marco de conducta que dicta la normatividad institucional. 2. Requiero saber si tiene algún proceso interno por posibles hechos configurativos de un delito. 3. Se solicita saber si los días 6 y 7 de junio de 2023, se encontraba en funciones y si es así, en qué sector se encontraba o si presto auxilio en el sector de Tecámac centro. </w:t>
      </w:r>
      <w:r>
        <w:rPr>
          <w:rFonts w:ascii="Palatino Linotype" w:eastAsia="Palatino Linotype" w:hAnsi="Palatino Linotype" w:cs="Palatino Linotype"/>
          <w:i/>
          <w:color w:val="000000"/>
        </w:rPr>
        <w:lastRenderedPageBreak/>
        <w:t>4. Se solicita saber si el día 24 de agosto de 2023, se encontraba en funciones y si es así, en qué sector se encontraba o si presto auxilio en el sector de Tecámac centro.”</w:t>
      </w:r>
    </w:p>
    <w:p w14:paraId="13A3BCC5" w14:textId="77777777" w:rsidR="00113351" w:rsidRDefault="00113351">
      <w:pPr>
        <w:pBdr>
          <w:top w:val="nil"/>
          <w:left w:val="nil"/>
          <w:bottom w:val="nil"/>
          <w:right w:val="nil"/>
          <w:between w:val="nil"/>
        </w:pBdr>
        <w:spacing w:line="360" w:lineRule="auto"/>
        <w:ind w:left="851" w:right="-929"/>
        <w:jc w:val="both"/>
        <w:rPr>
          <w:rFonts w:ascii="Palatino Linotype" w:eastAsia="Palatino Linotype" w:hAnsi="Palatino Linotype" w:cs="Palatino Linotype"/>
          <w:color w:val="000000"/>
        </w:rPr>
      </w:pPr>
    </w:p>
    <w:p w14:paraId="0B8D9588" w14:textId="77777777" w:rsidR="00113351" w:rsidRDefault="002464AC">
      <w:pPr>
        <w:numPr>
          <w:ilvl w:val="0"/>
          <w:numId w:val="9"/>
        </w:numPr>
        <w:pBdr>
          <w:top w:val="nil"/>
          <w:left w:val="nil"/>
          <w:bottom w:val="nil"/>
          <w:right w:val="nil"/>
          <w:between w:val="nil"/>
        </w:pBdr>
        <w:tabs>
          <w:tab w:val="left" w:pos="0"/>
        </w:tabs>
        <w:spacing w:line="360" w:lineRule="auto"/>
        <w:ind w:left="709" w:right="-92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51AE2C37" w14:textId="77777777" w:rsidR="00113351" w:rsidRDefault="00113351">
      <w:pPr>
        <w:pBdr>
          <w:top w:val="nil"/>
          <w:left w:val="nil"/>
          <w:bottom w:val="nil"/>
          <w:right w:val="nil"/>
          <w:between w:val="nil"/>
        </w:pBdr>
        <w:tabs>
          <w:tab w:val="left" w:pos="0"/>
        </w:tabs>
        <w:spacing w:line="360" w:lineRule="auto"/>
        <w:ind w:left="709" w:right="-929"/>
        <w:jc w:val="both"/>
        <w:rPr>
          <w:rFonts w:ascii="Palatino Linotype" w:eastAsia="Palatino Linotype" w:hAnsi="Palatino Linotype" w:cs="Palatino Linotype"/>
          <w:b/>
          <w:color w:val="000000"/>
          <w:u w:val="single"/>
        </w:rPr>
      </w:pPr>
    </w:p>
    <w:p w14:paraId="21E32175" w14:textId="77777777" w:rsidR="00113351" w:rsidRDefault="002464AC">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veintidós de enero de dos mil veinticuatro</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nueve archivos electrónicos a saber:  </w:t>
      </w:r>
    </w:p>
    <w:p w14:paraId="2187596D" w14:textId="77777777" w:rsidR="00113351" w:rsidRDefault="002464AC">
      <w:pPr>
        <w:numPr>
          <w:ilvl w:val="0"/>
          <w:numId w:val="9"/>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SOLICITUD 00007.pdf, </w:t>
      </w:r>
      <w:r>
        <w:rPr>
          <w:rFonts w:ascii="Palatino Linotype" w:eastAsia="Palatino Linotype" w:hAnsi="Palatino Linotype" w:cs="Palatino Linotype"/>
          <w:color w:val="000000"/>
          <w:sz w:val="22"/>
          <w:szCs w:val="22"/>
        </w:rPr>
        <w:t>cuyo contenido corresponde a un oficio signado por la Comisionada de la Guardia Civil de Tecámac en el que de manera general informa que respecto del numeral 1 de lo solicitado, corresponde a una atribución del Centro de Control y Confianza del Estado de México, por lo que la Guardia Civil de Tecámac se encuentra imposibilitada de proporcionar lo solicitado. Por otro lado informa que relativo a los numerales 2, 3 y 4de la solicitud, corresponden a rubros que no pueden difundirse, por lo que corresponde a información clasificada como reservada.</w:t>
      </w:r>
    </w:p>
    <w:p w14:paraId="607E6EDB" w14:textId="77777777" w:rsidR="00113351" w:rsidRDefault="00113351">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14:paraId="6D6FB39A" w14:textId="77777777" w:rsidR="00113351" w:rsidRDefault="002464AC">
      <w:pPr>
        <w:numPr>
          <w:ilvl w:val="0"/>
          <w:numId w:val="1"/>
        </w:numPr>
        <w:pBdr>
          <w:top w:val="nil"/>
          <w:left w:val="nil"/>
          <w:bottom w:val="nil"/>
          <w:right w:val="nil"/>
          <w:between w:val="nil"/>
        </w:pBdr>
        <w:tabs>
          <w:tab w:val="left" w:pos="0"/>
        </w:tabs>
        <w:spacing w:line="360" w:lineRule="auto"/>
        <w:ind w:left="0" w:right="-92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veintiséis de enero dos mil veinticuatro</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714A184C" w14:textId="77777777" w:rsidR="00113351" w:rsidRDefault="002464AC">
      <w:pPr>
        <w:numPr>
          <w:ilvl w:val="0"/>
          <w:numId w:val="8"/>
        </w:numPr>
        <w:pBdr>
          <w:top w:val="nil"/>
          <w:left w:val="nil"/>
          <w:bottom w:val="nil"/>
          <w:right w:val="nil"/>
          <w:between w:val="nil"/>
        </w:pBdr>
        <w:spacing w:line="360" w:lineRule="auto"/>
        <w:ind w:right="-79" w:hanging="36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“La respuesta del sujeto obligado al Número de Folio de la Solicitud: 00007/TECAMAC/IP/2024.”</w:t>
      </w:r>
    </w:p>
    <w:p w14:paraId="42931777" w14:textId="005B89BE" w:rsidR="00113351" w:rsidRDefault="002464AC">
      <w:pPr>
        <w:numPr>
          <w:ilvl w:val="0"/>
          <w:numId w:val="8"/>
        </w:numPr>
        <w:pBdr>
          <w:top w:val="nil"/>
          <w:left w:val="nil"/>
          <w:bottom w:val="nil"/>
          <w:right w:val="nil"/>
          <w:between w:val="nil"/>
        </w:pBdr>
        <w:spacing w:line="360" w:lineRule="auto"/>
        <w:ind w:right="-79" w:hanging="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LA INCONFORMIDAD: </w:t>
      </w:r>
      <w:r>
        <w:rPr>
          <w:rFonts w:ascii="Palatino Linotype" w:eastAsia="Palatino Linotype" w:hAnsi="Palatino Linotype" w:cs="Palatino Linotype"/>
          <w:i/>
          <w:color w:val="000000"/>
          <w:sz w:val="22"/>
          <w:szCs w:val="22"/>
        </w:rPr>
        <w:t xml:space="preserve">“Tecámac de Felipe Villanueva, Estado de México a 26 de enero de 2024. Número de Folio de la Solicitud: 00007/TECAMAC/IP/2024 Recurso de Revisión En base a lo solicitado y la respuesta del sujeto obligado, se interpone el siguiente Recurso de Revisión con fundamento en el artículo 178, 179 y demás relativos de la Ley de Transparencia y Acceso a la Información Pública del </w:t>
      </w:r>
      <w:r>
        <w:rPr>
          <w:rFonts w:ascii="Palatino Linotype" w:eastAsia="Palatino Linotype" w:hAnsi="Palatino Linotype" w:cs="Palatino Linotype"/>
          <w:i/>
          <w:color w:val="000000"/>
          <w:sz w:val="22"/>
          <w:szCs w:val="22"/>
        </w:rPr>
        <w:lastRenderedPageBreak/>
        <w:t xml:space="preserve">Estado de México y Municipios, por las siguientes consideraciones de hecho y de derecho: De la solicitud realizada con Folio de la solicitud 00007/TECAMAC/IP/2024 se solicitó lo siguiente: “Solicitó información de la oficial de policía Judith Jaqueline </w:t>
      </w:r>
      <w:proofErr w:type="spellStart"/>
      <w:r>
        <w:rPr>
          <w:rFonts w:ascii="Palatino Linotype" w:eastAsia="Palatino Linotype" w:hAnsi="Palatino Linotype" w:cs="Palatino Linotype"/>
          <w:i/>
          <w:color w:val="000000"/>
          <w:sz w:val="22"/>
          <w:szCs w:val="22"/>
        </w:rPr>
        <w:t>Espindola</w:t>
      </w:r>
      <w:proofErr w:type="spellEnd"/>
      <w:r>
        <w:rPr>
          <w:rFonts w:ascii="Palatino Linotype" w:eastAsia="Palatino Linotype" w:hAnsi="Palatino Linotype" w:cs="Palatino Linotype"/>
          <w:i/>
          <w:color w:val="000000"/>
          <w:sz w:val="22"/>
          <w:szCs w:val="22"/>
        </w:rPr>
        <w:t xml:space="preserve"> Paredes, que actualmente labora como servidor público en el área de la Policía Municipal Preventiva, lo siguiente: 1. Se solicita saber si aprobó el examen de control y confianza requeridos por esta Institución, el cual contribuye para verificar que el personal activo actúe dentro del marco de conducta que dicta la normatividad institucional. 2. Requiero saber si tiene algún proceso interno por posibles hechos configurativos de un delito. 3. Se solicita saber si los días 6 y 7 de junio de 2023, se encontraba en funciones y si es así, en qué sector se encontraba o si presto auxilio en el sector de Tecámac centro. 4. Se solicita saber si el día 24 de agosto de 2023, se encontraba en funciones y si es así, en qué sector se encontraba o si presto auxilio en el sector de Tecámac centro.” En respuesta a lo anterior me contestaron textualmente lo siguiente: “Tecámac, México a 22 de Enero de 2024 Nombre del solicitante: C. Solicitante Folio de la solicitud: 00007/TECAMAC/IP/</w:t>
      </w:r>
      <w:proofErr w:type="gramStart"/>
      <w:r>
        <w:rPr>
          <w:rFonts w:ascii="Palatino Linotype" w:eastAsia="Palatino Linotype" w:hAnsi="Palatino Linotype" w:cs="Palatino Linotype"/>
          <w:i/>
          <w:color w:val="000000"/>
          <w:sz w:val="22"/>
          <w:szCs w:val="22"/>
        </w:rPr>
        <w:t>2024 .........................</w:t>
      </w:r>
      <w:proofErr w:type="gramEnd"/>
      <w:r>
        <w:rPr>
          <w:rFonts w:ascii="Palatino Linotype" w:eastAsia="Palatino Linotype" w:hAnsi="Palatino Linotype" w:cs="Palatino Linotype"/>
          <w:i/>
          <w:color w:val="000000"/>
          <w:sz w:val="22"/>
          <w:szCs w:val="22"/>
        </w:rPr>
        <w:t xml:space="preserve">………………………………………………………………………………………………. En respuesta a la solicitud recibida, nos permitimos hacer de su conocimiento que con fundamento en el artículo 53, Fracciones: II, V y VI de la Ley de Transparencia y Acceso a la Información Pública del Estado de México y Municipios, le contestamos que: Respecto de la respuesta de la presente solicitud, hago de su conocimiento que los resultados de los </w:t>
      </w:r>
      <w:proofErr w:type="spellStart"/>
      <w:r>
        <w:rPr>
          <w:rFonts w:ascii="Palatino Linotype" w:eastAsia="Palatino Linotype" w:hAnsi="Palatino Linotype" w:cs="Palatino Linotype"/>
          <w:i/>
          <w:color w:val="000000"/>
          <w:sz w:val="22"/>
          <w:szCs w:val="22"/>
        </w:rPr>
        <w:t>examenes</w:t>
      </w:r>
      <w:proofErr w:type="spellEnd"/>
      <w:r>
        <w:rPr>
          <w:rFonts w:ascii="Palatino Linotype" w:eastAsia="Palatino Linotype" w:hAnsi="Palatino Linotype" w:cs="Palatino Linotype"/>
          <w:i/>
          <w:color w:val="000000"/>
          <w:sz w:val="22"/>
          <w:szCs w:val="22"/>
        </w:rPr>
        <w:t xml:space="preserve"> de control y confianza de la C. JAQUELINE ESPÍNDOLA PAREDES, es </w:t>
      </w:r>
      <w:proofErr w:type="spellStart"/>
      <w:r>
        <w:rPr>
          <w:rFonts w:ascii="Palatino Linotype" w:eastAsia="Palatino Linotype" w:hAnsi="Palatino Linotype" w:cs="Palatino Linotype"/>
          <w:i/>
          <w:color w:val="000000"/>
          <w:sz w:val="22"/>
          <w:szCs w:val="22"/>
        </w:rPr>
        <w:t>unicamente</w:t>
      </w:r>
      <w:proofErr w:type="spellEnd"/>
      <w:r>
        <w:rPr>
          <w:rFonts w:ascii="Palatino Linotype" w:eastAsia="Palatino Linotype" w:hAnsi="Palatino Linotype" w:cs="Palatino Linotype"/>
          <w:i/>
          <w:color w:val="000000"/>
          <w:sz w:val="22"/>
          <w:szCs w:val="22"/>
        </w:rPr>
        <w:t xml:space="preserve"> una atribución del Centro de Control y Confianza del Estado de México, toda vez que la Guardia Civil esta imposibilitada para cumplir esa petición, adicional es pertinente mencionar que las peticiones sobre si la elemento antes mencionada cuenta con un proceso interno, en </w:t>
      </w:r>
      <w:proofErr w:type="spellStart"/>
      <w:r>
        <w:rPr>
          <w:rFonts w:ascii="Palatino Linotype" w:eastAsia="Palatino Linotype" w:hAnsi="Palatino Linotype" w:cs="Palatino Linotype"/>
          <w:i/>
          <w:color w:val="000000"/>
          <w:sz w:val="22"/>
          <w:szCs w:val="22"/>
        </w:rPr>
        <w:t>que</w:t>
      </w:r>
      <w:proofErr w:type="spellEnd"/>
      <w:r>
        <w:rPr>
          <w:rFonts w:ascii="Palatino Linotype" w:eastAsia="Palatino Linotype" w:hAnsi="Palatino Linotype" w:cs="Palatino Linotype"/>
          <w:i/>
          <w:color w:val="000000"/>
          <w:sz w:val="22"/>
          <w:szCs w:val="22"/>
        </w:rPr>
        <w:t xml:space="preserve"> sector se encontraba los días 6 y 7 de junio del 2023 y de igual manera informar en que sector se encontraba el día 24 de agosto del 2023, esta información es considerada como reservada o confidencial de acuerdo a las disposiciones aplicables. ATENTAMENTE C. </w:t>
      </w:r>
      <w:r>
        <w:rPr>
          <w:rFonts w:ascii="Palatino Linotype" w:eastAsia="Palatino Linotype" w:hAnsi="Palatino Linotype" w:cs="Palatino Linotype"/>
          <w:i/>
          <w:color w:val="000000"/>
          <w:sz w:val="22"/>
          <w:szCs w:val="22"/>
        </w:rPr>
        <w:lastRenderedPageBreak/>
        <w:t xml:space="preserve">CARLOS ALONSO HERNÁNDEZ PELÁEZ”. Y en su archivo adjunto, señala textualmente lo siguiente: “SOLICITUD DE INFORMACIÓN: 00007/TECAMAC/IP/2024 OFICIO: UTAIP/OI/00050/2024 FECHA: 11 DE ENERO DEL 2024 ASUNTO: SE REMITE RESPUESTA A SOLICITUD …………………………….…………………………………………………………………… Con relación a la solicitud ingresada en la Guardia Civil de Tecámac, sobre los datos que requieren de la C. Jaqueline Espíndola Paredes en los puntos 2, 3 y 4 de la represente solicitud es importante mencionar que los sujetos obligados son responsables de todos los datos personales en sum posesión de los elementos adscritos a la Guardia Civil de Tecámac, no se pueden difundir distribuir o comercializar los datos personales o laborales contenidos en los sistemas de información, desarrollados en el ejercicio de sus funciones, salvo que haya mediado consentimiento expreso, por escrito o por un medio de autentificación similar, de los elementos a los que se haga referencia la información de acuerdo a la normativa aplicable, lo anterior, sin perjuicio a lo establecido por la ley de la materia, en los casos de interés público. Toda información de Seguridad Pública generada es poder de instituciones de Seguridad Pública, o de cualquier instancia del Sistema Estatal debe registrarse, tratarse y clasificarse como reservada de acuerdo a las disposiciones aplicables, la información relativa a los servidores públicos integrantes de las instituciones de Seguridad Pública, cuya revelación pueda poner en riesgo su vida o integridad física con motivos de sus funciones. ......................................................................................................................." Ahora bien, de lo anterior se desprende la falta, deficiencia e insuficiencia de la fundamentación y/o motivación en la respuesta, ya que de manera vaga y tajante señala que se encuentra imposibilitada para cumplir dicha petición, de lo anterior claramente se desprende que no sé encuentran fundamentos jurídicos donde motive su acción y por lo tanto me deja en estado de indefensión e incertidumbre jurídica por desconocer en qué fundamentos legales motivo su actuación. La violación incurrida viola mis derechos humanos de legalidad y seguridad jurídica, derechos </w:t>
      </w:r>
      <w:r>
        <w:rPr>
          <w:rFonts w:ascii="Palatino Linotype" w:eastAsia="Palatino Linotype" w:hAnsi="Palatino Linotype" w:cs="Palatino Linotype"/>
          <w:i/>
          <w:color w:val="000000"/>
          <w:sz w:val="22"/>
          <w:szCs w:val="22"/>
        </w:rPr>
        <w:lastRenderedPageBreak/>
        <w:t xml:space="preserve">que exijo se cumplan y ello porque, estos derechos son aplicables para que el Estado me garantice que se me permita el acceso a la información y yo pueda exigir que se me proporcione lo que solicito y además que se me respeten mis derechos fundamentales de acceso a la información y de petición. Ya que el sujeto pasivo u obligado por tal derecho es el Estado, que está constreñido a garantizar que se permita o proporcione dicha información, sin más limitante que la propia Constitución y las que se establezcan en las leyes. Asimismo al no proporcionar información de si tiene algún procedimiento interno por posibles hechos configurativos de un delito en su contra, si se encontraba en funciones los días 6, 7 de junio y el 24 de agosto de 2023, y en qué sector se encontraba o si presto auxilio en el sector de Tecámac centro, en su contestación de manera textual señala lo siguiente “esta información es considerada como reservada o confidencial de acuerdo a las disposiciones aplicables”, pero esta respuesta no satisface la garantía de la debida fundamentación y motivación, por lo que hace a las facultades y competencia del emisor del acto, es necesario que en el documento que se contenga, se invoquen con precisión y sin ambigüedades las disposiciones legales, acuerdo o decreto incluyendo el apartado, la fracción o fracciones, incisos, </w:t>
      </w:r>
      <w:proofErr w:type="spellStart"/>
      <w:r>
        <w:rPr>
          <w:rFonts w:ascii="Palatino Linotype" w:eastAsia="Palatino Linotype" w:hAnsi="Palatino Linotype" w:cs="Palatino Linotype"/>
          <w:i/>
          <w:color w:val="000000"/>
          <w:sz w:val="22"/>
          <w:szCs w:val="22"/>
        </w:rPr>
        <w:t>subincisos</w:t>
      </w:r>
      <w:proofErr w:type="spellEnd"/>
      <w:r>
        <w:rPr>
          <w:rFonts w:ascii="Palatino Linotype" w:eastAsia="Palatino Linotype" w:hAnsi="Palatino Linotype" w:cs="Palatino Linotype"/>
          <w:i/>
          <w:color w:val="000000"/>
          <w:sz w:val="22"/>
          <w:szCs w:val="22"/>
        </w:rPr>
        <w:t xml:space="preserve"> en que apoya su actuación, causando incertidumbre e inseguridad jurídica la respuesta de esta institución, al estar en presencia de posibles hechos constitutivos de delito del servidor público en cuestión (por posibles actos entre otros de corrupción, robo, encubrimiento de hechos delictivos, derivados del presunto culpable </w:t>
      </w:r>
      <w:r w:rsidR="00612932">
        <w:rPr>
          <w:rFonts w:ascii="Palatino Linotype" w:eastAsia="Palatino Linotype" w:hAnsi="Palatino Linotype" w:cs="Palatino Linotype"/>
          <w:i/>
          <w:color w:val="000000"/>
          <w:sz w:val="22"/>
          <w:szCs w:val="22"/>
        </w:rPr>
        <w:t>XXXXXXXXX</w:t>
      </w:r>
      <w:bookmarkStart w:id="3" w:name="_GoBack"/>
      <w:bookmarkEnd w:id="3"/>
      <w:r>
        <w:rPr>
          <w:rFonts w:ascii="Palatino Linotype" w:eastAsia="Palatino Linotype" w:hAnsi="Palatino Linotype" w:cs="Palatino Linotype"/>
          <w:i/>
          <w:color w:val="000000"/>
          <w:sz w:val="22"/>
          <w:szCs w:val="22"/>
        </w:rPr>
        <w:t xml:space="preserve"> y otros) y al no proporcionar lo solicitado nos causa incertidumbre el proceder de esta institución. Pido la suplencia de la deficiencia de la queja, así mismo pido que se me dé derecho a conocer esa información, y que limitar ese derecho por una cuestión técnica, violaría mi derecho al acceso a la información, esto con fundamento en el artículo 6 de la Constitución Política de los Estados Unidos Mexicanos en función del “derecho al acceso a la información”, ya que establece entre otras cosas que “Los sujetos obligados deberán preservar sus documentos en archivos administrativos actualizados y publicarán, a través de los medios electrónicos disponibles, la información completa y </w:t>
      </w:r>
      <w:r>
        <w:rPr>
          <w:rFonts w:ascii="Palatino Linotype" w:eastAsia="Palatino Linotype" w:hAnsi="Palatino Linotype" w:cs="Palatino Linotype"/>
          <w:i/>
          <w:color w:val="000000"/>
          <w:sz w:val="22"/>
          <w:szCs w:val="22"/>
        </w:rPr>
        <w:lastRenderedPageBreak/>
        <w:t xml:space="preserve">actualizada sobre el ejercicio de los recursos públicos y los indicadores que permitan rendir cuenta del cumplimiento de sus objetivos y de los resultados obtenidos” y con fundamento en el artículo 7 de la Ley de Transparencia y Acceso a la Información Pública del Estado de México y Municipios, establece que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 por lo que toda dependencia u organismo está obligada a poner la información en los medios más óptimos para la consulta de la ciudadanía de esta información. En conclusión, la respuesta de la solicitud es violatoria de las garantías de legalidad y seguridad jurídica, por una falta de fundamentación y motivación legal, ya que todo acto debe satisfacer los requisitos de fundamentación y motivación contenidos en el artículo 16 de la Constitución Política de los Estados Unidos Mexicanos. Por ello se solicita encarecidamente que en términos de los artículos 1, primer, segundo y tercer párrafos, 8, 35 fracción V y 133 de la Ley Fundamental, 1.1., 8.1. y 29 de la Convención Americana de Derechos Humanos, 5.1 del Pacto Internacional de Derechos Civiles y Políticos del que México es parte, me respeten mis derechos humanos como lo son, legalidad, certeza, seguridad jurídica, claridad, precisión, congruencia, exhaustividad, fundamentación y motivación legal, pro homine y por accione, </w:t>
      </w:r>
      <w:proofErr w:type="spellStart"/>
      <w:r>
        <w:rPr>
          <w:rFonts w:ascii="Palatino Linotype" w:eastAsia="Palatino Linotype" w:hAnsi="Palatino Linotype" w:cs="Palatino Linotype"/>
          <w:i/>
          <w:color w:val="000000"/>
          <w:sz w:val="22"/>
          <w:szCs w:val="22"/>
        </w:rPr>
        <w:t>indubio</w:t>
      </w:r>
      <w:proofErr w:type="spellEnd"/>
      <w:r>
        <w:rPr>
          <w:rFonts w:ascii="Palatino Linotype" w:eastAsia="Palatino Linotype" w:hAnsi="Palatino Linotype" w:cs="Palatino Linotype"/>
          <w:i/>
          <w:color w:val="000000"/>
          <w:sz w:val="22"/>
          <w:szCs w:val="22"/>
        </w:rPr>
        <w:t xml:space="preserve"> pro reo pacta </w:t>
      </w:r>
      <w:proofErr w:type="spellStart"/>
      <w:r>
        <w:rPr>
          <w:rFonts w:ascii="Palatino Linotype" w:eastAsia="Palatino Linotype" w:hAnsi="Palatino Linotype" w:cs="Palatino Linotype"/>
          <w:i/>
          <w:color w:val="000000"/>
          <w:sz w:val="22"/>
          <w:szCs w:val="22"/>
        </w:rPr>
        <w:t>sun</w:t>
      </w:r>
      <w:proofErr w:type="spellEnd"/>
      <w:r>
        <w:rPr>
          <w:rFonts w:ascii="Palatino Linotype" w:eastAsia="Palatino Linotype" w:hAnsi="Palatino Linotype" w:cs="Palatino Linotype"/>
          <w:i/>
          <w:color w:val="000000"/>
          <w:sz w:val="22"/>
          <w:szCs w:val="22"/>
        </w:rPr>
        <w:t xml:space="preserve"> </w:t>
      </w:r>
      <w:proofErr w:type="spellStart"/>
      <w:r>
        <w:rPr>
          <w:rFonts w:ascii="Palatino Linotype" w:eastAsia="Palatino Linotype" w:hAnsi="Palatino Linotype" w:cs="Palatino Linotype"/>
          <w:i/>
          <w:color w:val="000000"/>
          <w:sz w:val="22"/>
          <w:szCs w:val="22"/>
        </w:rPr>
        <w:t>servanta</w:t>
      </w:r>
      <w:proofErr w:type="spellEnd"/>
      <w:r>
        <w:rPr>
          <w:rFonts w:ascii="Palatino Linotype" w:eastAsia="Palatino Linotype" w:hAnsi="Palatino Linotype" w:cs="Palatino Linotype"/>
          <w:i/>
          <w:color w:val="000000"/>
          <w:sz w:val="22"/>
          <w:szCs w:val="22"/>
        </w:rPr>
        <w:t xml:space="preserve"> y mis derechos humanos señalados en el artículo 16 de nuestra Constitución.”</w:t>
      </w:r>
    </w:p>
    <w:p w14:paraId="1FF813D0" w14:textId="77777777" w:rsidR="00113351" w:rsidRDefault="00113351">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14:paraId="0B1CD567"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6C3384CA" w14:textId="77777777" w:rsidR="00113351" w:rsidRDefault="00113351">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14:paraId="0F7A3851"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fue omiso en rendir su informe justificado, </w:t>
      </w:r>
    </w:p>
    <w:p w14:paraId="5ECF2383" w14:textId="77777777" w:rsidR="00113351" w:rsidRDefault="00113351">
      <w:pPr>
        <w:pBdr>
          <w:top w:val="nil"/>
          <w:left w:val="nil"/>
          <w:bottom w:val="nil"/>
          <w:right w:val="nil"/>
          <w:between w:val="nil"/>
        </w:pBdr>
        <w:tabs>
          <w:tab w:val="left" w:pos="0"/>
        </w:tabs>
        <w:spacing w:line="360" w:lineRule="auto"/>
        <w:ind w:right="-929"/>
        <w:jc w:val="both"/>
        <w:rPr>
          <w:rFonts w:ascii="Palatino Linotype" w:eastAsia="Palatino Linotype" w:hAnsi="Palatino Linotype" w:cs="Palatino Linotype"/>
          <w:i/>
          <w:color w:val="000000"/>
          <w:u w:val="single"/>
        </w:rPr>
      </w:pPr>
    </w:p>
    <w:p w14:paraId="4B92393F"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En fecha diecinueve de marzo del año en curso, se amplió el término para resolver el Recurso de Revisión por un periodo de quince días hábiles adicionales al lapso ordinario en términos del artículo 133 de la Ley de Protección de Datos Personales en Posesión de Sujetos Obligados del Estado de México y Municipios. </w:t>
      </w:r>
    </w:p>
    <w:p w14:paraId="43AB0BDD" w14:textId="77777777" w:rsidR="00113351" w:rsidRDefault="00113351">
      <w:pPr>
        <w:spacing w:line="360" w:lineRule="auto"/>
        <w:ind w:right="-929"/>
        <w:rPr>
          <w:rFonts w:ascii="Palatino Linotype" w:eastAsia="Palatino Linotype" w:hAnsi="Palatino Linotype" w:cs="Palatino Linotype"/>
        </w:rPr>
      </w:pPr>
    </w:p>
    <w:p w14:paraId="13F2FF4B"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6C38AA33" w14:textId="77777777" w:rsidR="00113351" w:rsidRDefault="00113351">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54E64B15"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21DB357B" w14:textId="77777777" w:rsidR="00113351" w:rsidRDefault="00113351">
      <w:pPr>
        <w:spacing w:line="360" w:lineRule="auto"/>
        <w:ind w:right="-929"/>
        <w:jc w:val="both"/>
        <w:rPr>
          <w:rFonts w:ascii="Palatino Linotype" w:eastAsia="Palatino Linotype" w:hAnsi="Palatino Linotype" w:cs="Palatino Linotype"/>
          <w:color w:val="000000"/>
        </w:rPr>
      </w:pPr>
    </w:p>
    <w:p w14:paraId="719F62C8"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0A9D8E37"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59659BB0"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A128242" w14:textId="77777777" w:rsidR="00113351" w:rsidRDefault="00113351">
      <w:pPr>
        <w:spacing w:line="360" w:lineRule="auto"/>
        <w:ind w:right="-929"/>
        <w:jc w:val="both"/>
        <w:rPr>
          <w:rFonts w:ascii="Palatino Linotype" w:eastAsia="Palatino Linotype" w:hAnsi="Palatino Linotype" w:cs="Palatino Linotype"/>
          <w:color w:val="000000"/>
        </w:rPr>
      </w:pPr>
    </w:p>
    <w:p w14:paraId="231BF738"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02E7DFA3" w14:textId="77777777" w:rsidR="00113351" w:rsidRDefault="002464AC">
      <w:pPr>
        <w:spacing w:line="360" w:lineRule="auto"/>
        <w:ind w:left="708"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47B1DD9" w14:textId="77777777" w:rsidR="00113351" w:rsidRDefault="002464AC">
      <w:pPr>
        <w:spacing w:line="360" w:lineRule="auto"/>
        <w:ind w:left="708"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 Actividad Procesal del interesado. Acciones u omisiones del interesado.</w:t>
      </w:r>
    </w:p>
    <w:p w14:paraId="5234D910" w14:textId="77777777" w:rsidR="00113351" w:rsidRDefault="002464AC">
      <w:pPr>
        <w:spacing w:line="360" w:lineRule="auto"/>
        <w:ind w:left="708"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Conducta de la Autoridad: Las Acciones u omisiones realizadas en el procedimiento. Así como si la autoridad actuó con la debida diligencia. </w:t>
      </w:r>
    </w:p>
    <w:p w14:paraId="50781361" w14:textId="77777777" w:rsidR="00113351" w:rsidRDefault="002464AC">
      <w:pPr>
        <w:spacing w:line="360" w:lineRule="auto"/>
        <w:ind w:left="708"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La afectación generada en la situación jurídica de la persona involucrada en el proceso: Violación a sus derechos humanos. </w:t>
      </w:r>
    </w:p>
    <w:p w14:paraId="298C3E8A" w14:textId="77777777" w:rsidR="00113351" w:rsidRDefault="00113351">
      <w:pPr>
        <w:spacing w:line="360" w:lineRule="auto"/>
        <w:ind w:right="-929"/>
        <w:jc w:val="both"/>
        <w:rPr>
          <w:rFonts w:ascii="Palatino Linotype" w:eastAsia="Palatino Linotype" w:hAnsi="Palatino Linotype" w:cs="Palatino Linotype"/>
          <w:color w:val="000000"/>
        </w:rPr>
      </w:pPr>
    </w:p>
    <w:p w14:paraId="044806DC"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5A3BC76A" w14:textId="77777777" w:rsidR="00113351" w:rsidRDefault="00113351">
      <w:pPr>
        <w:spacing w:line="360" w:lineRule="auto"/>
        <w:ind w:right="-929"/>
        <w:jc w:val="both"/>
        <w:rPr>
          <w:rFonts w:ascii="Palatino Linotype" w:eastAsia="Palatino Linotype" w:hAnsi="Palatino Linotype" w:cs="Palatino Linotype"/>
          <w:color w:val="000000"/>
        </w:rPr>
      </w:pPr>
    </w:p>
    <w:p w14:paraId="425E0EC4"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“TÉRMINOS PROCESALES. </w:t>
      </w:r>
      <w:r>
        <w:rPr>
          <w:rFonts w:ascii="Palatino Linotype" w:eastAsia="Palatino Linotype" w:hAnsi="Palatino Linotype" w:cs="Palatino Linotype"/>
          <w:color w:val="000000"/>
        </w:rPr>
        <w:lastRenderedPageBreak/>
        <w:t xml:space="preserve">PARA DETERMINAR SI UN FUNCIONARIO JUDICIAL ACTUÓ INDEBIDAMENTE POR NO RESPETARLOS SE DEBE ATENDER AL PRESUPUESTO QUE CONSIDERÓ EL LEGISLADOR AL FIJARLOS Y LAS CARACTERÍSTICAS DEL CASO.”,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 </w:t>
      </w:r>
    </w:p>
    <w:p w14:paraId="2D694634" w14:textId="77777777" w:rsidR="00113351" w:rsidRDefault="00113351">
      <w:pPr>
        <w:spacing w:line="360" w:lineRule="auto"/>
        <w:ind w:right="-929"/>
        <w:jc w:val="both"/>
        <w:rPr>
          <w:rFonts w:ascii="Palatino Linotype" w:eastAsia="Palatino Linotype" w:hAnsi="Palatino Linotype" w:cs="Palatino Linotype"/>
          <w:color w:val="000000"/>
        </w:rPr>
      </w:pPr>
    </w:p>
    <w:p w14:paraId="3AB6F9EE"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189EEC6A" w14:textId="77777777" w:rsidR="00113351" w:rsidRDefault="00113351">
      <w:pPr>
        <w:spacing w:line="360" w:lineRule="auto"/>
        <w:ind w:right="-929"/>
        <w:jc w:val="both"/>
        <w:rPr>
          <w:rFonts w:ascii="Palatino Linotype" w:eastAsia="Palatino Linotype" w:hAnsi="Palatino Linotype" w:cs="Palatino Linotype"/>
          <w:color w:val="000000"/>
        </w:rPr>
      </w:pPr>
    </w:p>
    <w:p w14:paraId="23E066E4"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72D7FE22" w14:textId="77777777" w:rsidR="00113351" w:rsidRDefault="002464AC">
      <w:pPr>
        <w:spacing w:line="360" w:lineRule="auto"/>
        <w:ind w:left="567"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 xml:space="preserve">“PLAZO RAZONABLE PARA RESOLVER. DIMENSIÓN Y EFECTOS DE ESTE </w:t>
      </w:r>
      <w:r>
        <w:rPr>
          <w:rFonts w:ascii="Palatino Linotype" w:eastAsia="Palatino Linotype" w:hAnsi="Palatino Linotype" w:cs="Palatino Linotype"/>
          <w:i/>
          <w:color w:val="000000"/>
          <w:sz w:val="22"/>
          <w:szCs w:val="22"/>
        </w:rPr>
        <w:t xml:space="preserve">CONCEPTO CUANDO SE ADUCE EXCESIVA CARGA DE TRABAJO.” consultable en el Seminario Judicial de la Federación y su gaceta, con el registro digital 2002351. </w:t>
      </w:r>
    </w:p>
    <w:p w14:paraId="633D5F3A" w14:textId="77777777" w:rsidR="00113351" w:rsidRDefault="00113351">
      <w:pPr>
        <w:spacing w:line="360" w:lineRule="auto"/>
        <w:ind w:left="567" w:right="-929"/>
        <w:jc w:val="both"/>
        <w:rPr>
          <w:rFonts w:ascii="Palatino Linotype" w:eastAsia="Palatino Linotype" w:hAnsi="Palatino Linotype" w:cs="Palatino Linotype"/>
          <w:i/>
          <w:color w:val="000000"/>
          <w:sz w:val="22"/>
          <w:szCs w:val="22"/>
        </w:rPr>
      </w:pPr>
    </w:p>
    <w:p w14:paraId="447B1E18" w14:textId="77777777" w:rsidR="00113351" w:rsidRDefault="002464AC">
      <w:pPr>
        <w:spacing w:line="360" w:lineRule="auto"/>
        <w:ind w:left="567"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“PLAZO RAZONABLE PARA RESOLVER. CONCEPTO Y ELEMENTOS QUE LO INTEGRAN A LA LUZ DEL DERECHO INTERNACIONAL DE LOS DERECHOS HUMANOS.”, visible en el Seminario Judicial de la Federación y su gaceta, con el registro digital 2002350. </w:t>
      </w:r>
    </w:p>
    <w:p w14:paraId="423E5962"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del plazo legal para resolver el presente asunto, resulta de carácter excepcional. </w:t>
      </w:r>
    </w:p>
    <w:p w14:paraId="6CF7D632"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7AE134F2" w14:textId="77777777" w:rsidR="00113351" w:rsidRDefault="002464AC">
      <w:pPr>
        <w:numPr>
          <w:ilvl w:val="0"/>
          <w:numId w:val="1"/>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bookmarkStart w:id="4" w:name="_heading=h.3znysh7" w:colFirst="0" w:colLast="0"/>
      <w:bookmarkEnd w:id="4"/>
      <w:r>
        <w:rPr>
          <w:rFonts w:ascii="Palatino Linotype" w:eastAsia="Palatino Linotype" w:hAnsi="Palatino Linotype" w:cs="Palatino Linotype"/>
          <w:color w:val="000000"/>
        </w:rPr>
        <w:t>Seguidamente, en fecha catorce de noviembre de dos mil veinticuatro, la Comisionada Ponente dictó el cierre del periodo de instrucción y, ordenó la resolución que conforme a Derecho proceda, de acuerdo a las siguientes:</w:t>
      </w:r>
    </w:p>
    <w:p w14:paraId="2CB920A0" w14:textId="77777777" w:rsidR="00113351" w:rsidRDefault="00113351">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14:paraId="55256594" w14:textId="77777777" w:rsidR="00113351" w:rsidRDefault="002464AC">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16B6B53C" w14:textId="77777777" w:rsidR="00113351" w:rsidRDefault="00113351">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p>
    <w:p w14:paraId="7A5389CC" w14:textId="77777777" w:rsidR="00113351" w:rsidRDefault="002464AC">
      <w:pPr>
        <w:pStyle w:val="Ttulo2"/>
        <w:spacing w:before="0" w:line="360" w:lineRule="auto"/>
        <w:ind w:right="-929"/>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PRIMERA. Competencia</w:t>
      </w:r>
    </w:p>
    <w:p w14:paraId="71DA507E"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F4ED580" w14:textId="77777777" w:rsidR="00113351" w:rsidRDefault="00113351">
      <w:pPr>
        <w:pBdr>
          <w:top w:val="nil"/>
          <w:left w:val="nil"/>
          <w:bottom w:val="nil"/>
          <w:right w:val="nil"/>
          <w:between w:val="nil"/>
        </w:pBdr>
        <w:spacing w:line="360" w:lineRule="auto"/>
        <w:ind w:left="360" w:right="-929"/>
        <w:jc w:val="both"/>
        <w:rPr>
          <w:rFonts w:ascii="Palatino Linotype" w:eastAsia="Palatino Linotype" w:hAnsi="Palatino Linotype" w:cs="Palatino Linotype"/>
        </w:rPr>
      </w:pPr>
    </w:p>
    <w:p w14:paraId="6E6186B5" w14:textId="77777777" w:rsidR="00113351" w:rsidRDefault="002464AC">
      <w:pPr>
        <w:pStyle w:val="Ttulo2"/>
        <w:spacing w:before="0" w:line="360" w:lineRule="auto"/>
        <w:ind w:right="-929"/>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lastRenderedPageBreak/>
        <w:t>SEGUNDA. Procedencia.</w:t>
      </w:r>
    </w:p>
    <w:p w14:paraId="2E79CD95"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11D0A27A" w14:textId="77777777" w:rsidR="00113351" w:rsidRDefault="00113351">
      <w:pPr>
        <w:spacing w:line="360" w:lineRule="auto"/>
        <w:ind w:right="-929"/>
        <w:jc w:val="both"/>
        <w:rPr>
          <w:rFonts w:ascii="Palatino Linotype" w:eastAsia="Palatino Linotype" w:hAnsi="Palatino Linotype" w:cs="Palatino Linotype"/>
        </w:rPr>
      </w:pPr>
    </w:p>
    <w:p w14:paraId="0BF5D187"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073EC26" w14:textId="77777777" w:rsidR="00113351" w:rsidRDefault="002464AC">
      <w:pPr>
        <w:spacing w:line="360" w:lineRule="auto"/>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14:paraId="2A377248" w14:textId="77777777" w:rsidR="00113351" w:rsidRDefault="00113351">
      <w:pPr>
        <w:spacing w:line="360" w:lineRule="auto"/>
        <w:ind w:right="-929"/>
        <w:jc w:val="both"/>
        <w:rPr>
          <w:rFonts w:ascii="Palatino Linotype" w:eastAsia="Palatino Linotype" w:hAnsi="Palatino Linotype" w:cs="Palatino Linotype"/>
        </w:rPr>
      </w:pPr>
    </w:p>
    <w:p w14:paraId="2C27ED07"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12BCFA37"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6D7CD32"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4FE7E05D" w14:textId="77777777" w:rsidR="00113351" w:rsidRDefault="00113351">
      <w:pPr>
        <w:spacing w:line="360" w:lineRule="auto"/>
        <w:ind w:left="851" w:right="62"/>
        <w:jc w:val="both"/>
        <w:rPr>
          <w:rFonts w:ascii="Palatino Linotype" w:eastAsia="Palatino Linotype" w:hAnsi="Palatino Linotype" w:cs="Palatino Linotype"/>
          <w:i/>
          <w:sz w:val="22"/>
          <w:szCs w:val="22"/>
        </w:rPr>
      </w:pPr>
    </w:p>
    <w:p w14:paraId="0D972A87"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7B472F3E"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p>
    <w:p w14:paraId="74EC522F" w14:textId="77777777" w:rsidR="00113351" w:rsidRDefault="00113351">
      <w:pPr>
        <w:spacing w:line="360" w:lineRule="auto"/>
        <w:ind w:left="567" w:right="-929"/>
        <w:jc w:val="both"/>
        <w:rPr>
          <w:rFonts w:ascii="Palatino Linotype" w:eastAsia="Palatino Linotype" w:hAnsi="Palatino Linotype" w:cs="Palatino Linotype"/>
          <w:i/>
        </w:rPr>
      </w:pPr>
    </w:p>
    <w:p w14:paraId="2919CE3C"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5E09A2B2"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32B36AC5" w14:textId="77777777" w:rsidR="00113351" w:rsidRDefault="002464AC">
      <w:pPr>
        <w:spacing w:line="360" w:lineRule="auto"/>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813D4D2"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1BD83A2F" w14:textId="77777777" w:rsidR="00113351" w:rsidRDefault="002464AC">
      <w:pPr>
        <w:spacing w:line="360" w:lineRule="auto"/>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13CD1E6"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254D4092"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 Este derecho se regirá por los principios y bases siguientes:</w:t>
      </w:r>
    </w:p>
    <w:p w14:paraId="1FB2D69D"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2AE01A01" w14:textId="77777777" w:rsidR="00113351" w:rsidRDefault="002464AC">
      <w:pPr>
        <w:spacing w:line="360" w:lineRule="auto"/>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2527173"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5FD747DB" w14:textId="77777777" w:rsidR="00113351" w:rsidRDefault="00113351">
      <w:pPr>
        <w:spacing w:line="360" w:lineRule="auto"/>
        <w:ind w:left="426" w:right="-929"/>
        <w:jc w:val="both"/>
        <w:rPr>
          <w:rFonts w:ascii="Palatino Linotype" w:eastAsia="Palatino Linotype" w:hAnsi="Palatino Linotype" w:cs="Palatino Linotype"/>
          <w:i/>
        </w:rPr>
      </w:pPr>
    </w:p>
    <w:p w14:paraId="60EC78CB"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Por otra parte, del contenido del artículo 1 de la Constitución Política de los Estados Unidos mexicanos, se destaca lo siguiente:</w:t>
      </w:r>
    </w:p>
    <w:p w14:paraId="6AE2F496"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FCE0D77"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3EE74228" w14:textId="77777777" w:rsidR="00113351" w:rsidRDefault="002464AC">
      <w:pPr>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48E1CDA6" w14:textId="77777777" w:rsidR="00113351" w:rsidRDefault="00113351">
      <w:pPr>
        <w:spacing w:line="360" w:lineRule="auto"/>
        <w:ind w:left="426" w:right="-929"/>
        <w:jc w:val="both"/>
        <w:rPr>
          <w:rFonts w:ascii="Palatino Linotype" w:eastAsia="Palatino Linotype" w:hAnsi="Palatino Linotype" w:cs="Palatino Linotype"/>
          <w:i/>
        </w:rPr>
      </w:pPr>
    </w:p>
    <w:p w14:paraId="199B4055"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3FFCD59" w14:textId="77777777" w:rsidR="00113351" w:rsidRDefault="00113351">
      <w:pPr>
        <w:spacing w:line="360" w:lineRule="auto"/>
        <w:ind w:right="-929"/>
        <w:jc w:val="both"/>
        <w:rPr>
          <w:rFonts w:ascii="Palatino Linotype" w:eastAsia="Palatino Linotype" w:hAnsi="Palatino Linotype" w:cs="Palatino Linotype"/>
        </w:rPr>
      </w:pPr>
    </w:p>
    <w:p w14:paraId="3775D2AF"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3E204716" w14:textId="77777777" w:rsidR="00113351" w:rsidRDefault="00113351">
      <w:pPr>
        <w:pBdr>
          <w:top w:val="nil"/>
          <w:left w:val="nil"/>
          <w:bottom w:val="nil"/>
          <w:right w:val="nil"/>
          <w:between w:val="nil"/>
        </w:pBdr>
        <w:ind w:left="720" w:right="-929"/>
        <w:rPr>
          <w:rFonts w:ascii="Palatino Linotype" w:eastAsia="Palatino Linotype" w:hAnsi="Palatino Linotype" w:cs="Palatino Linotype"/>
          <w:color w:val="000000"/>
        </w:rPr>
      </w:pPr>
    </w:p>
    <w:p w14:paraId="7753E3B7" w14:textId="77777777" w:rsidR="00113351" w:rsidRDefault="002464AC">
      <w:pPr>
        <w:numPr>
          <w:ilvl w:val="0"/>
          <w:numId w:val="1"/>
        </w:numPr>
        <w:spacing w:line="360" w:lineRule="auto"/>
        <w:ind w:left="0" w:right="-929" w:firstLine="0"/>
        <w:jc w:val="both"/>
        <w:rPr>
          <w:color w:val="000000"/>
        </w:rPr>
      </w:pPr>
      <w:r>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w:t>
      </w:r>
      <w:r>
        <w:rPr>
          <w:rFonts w:ascii="Palatino Linotype" w:eastAsia="Palatino Linotype" w:hAnsi="Palatino Linotype" w:cs="Palatino Linotype"/>
        </w:rPr>
        <w:t>Información</w:t>
      </w:r>
      <w:r>
        <w:rPr>
          <w:rFonts w:ascii="Palatino Linotype" w:eastAsia="Palatino Linotype" w:hAnsi="Palatino Linotype" w:cs="Palatino Linotype"/>
          <w:color w:val="000000"/>
        </w:rPr>
        <w:t xml:space="preserve"> Pública del Estado de México y Municipios, por lo que es procedente que </w:t>
      </w:r>
      <w:r>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conozca y resuelva el presente recurso.</w:t>
      </w:r>
    </w:p>
    <w:p w14:paraId="6853E3AE" w14:textId="77777777" w:rsidR="00113351" w:rsidRDefault="00113351">
      <w:pPr>
        <w:spacing w:line="360" w:lineRule="auto"/>
        <w:ind w:right="-929"/>
        <w:jc w:val="both"/>
        <w:rPr>
          <w:rFonts w:ascii="Palatino Linotype" w:eastAsia="Palatino Linotype" w:hAnsi="Palatino Linotype" w:cs="Palatino Linotype"/>
        </w:rPr>
      </w:pPr>
    </w:p>
    <w:p w14:paraId="75528251"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14:paraId="795E6425" w14:textId="77777777" w:rsidR="00113351" w:rsidRDefault="00113351">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14:paraId="3534D00F" w14:textId="77777777" w:rsidR="00113351" w:rsidRDefault="002464AC">
      <w:pPr>
        <w:pStyle w:val="Ttulo1"/>
        <w:spacing w:before="0" w:line="360" w:lineRule="auto"/>
        <w:ind w:right="-929"/>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TERCERA. Descripción de hechos y planteamiento de la controversia.</w:t>
      </w:r>
    </w:p>
    <w:p w14:paraId="461EA997" w14:textId="77777777" w:rsidR="00113351" w:rsidRDefault="002464AC">
      <w:pPr>
        <w:numPr>
          <w:ilvl w:val="0"/>
          <w:numId w:val="1"/>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215CCD0A" w14:textId="77777777" w:rsidR="00113351" w:rsidRDefault="002464AC">
      <w:pPr>
        <w:pBdr>
          <w:top w:val="nil"/>
          <w:left w:val="nil"/>
          <w:bottom w:val="nil"/>
          <w:right w:val="nil"/>
          <w:between w:val="nil"/>
        </w:pBdr>
        <w:spacing w:line="360" w:lineRule="auto"/>
        <w:ind w:left="778"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 la oficial de policía señalada en la solicitud, adscrita al área de la Policía Municipal Preventiva, lo siguiente: </w:t>
      </w:r>
    </w:p>
    <w:p w14:paraId="0032C18B" w14:textId="77777777" w:rsidR="00113351" w:rsidRDefault="002464AC">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Conocer si aprobó el examen de control y confianza;</w:t>
      </w:r>
    </w:p>
    <w:p w14:paraId="36379ADC" w14:textId="77777777" w:rsidR="00113351" w:rsidRDefault="002464AC">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Conocer si cuenta con algún proceso interno por posibles hechos configurativos de un delito;</w:t>
      </w:r>
    </w:p>
    <w:p w14:paraId="0E3CA798" w14:textId="77777777" w:rsidR="00113351" w:rsidRDefault="002464AC">
      <w:pPr>
        <w:numPr>
          <w:ilvl w:val="0"/>
          <w:numId w:val="7"/>
        </w:numPr>
        <w:pBdr>
          <w:top w:val="nil"/>
          <w:left w:val="nil"/>
          <w:bottom w:val="nil"/>
          <w:right w:val="nil"/>
          <w:between w:val="nil"/>
        </w:pBdr>
        <w:spacing w:line="360" w:lineRule="auto"/>
        <w:ind w:right="6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Conocer si los días 6 y 7 de junio y 24 de agosto de 2023, se encontraba en funciones y de ser así, en qué sector se encontraba o si </w:t>
      </w:r>
      <w:r>
        <w:rPr>
          <w:rFonts w:ascii="Palatino Linotype" w:eastAsia="Palatino Linotype" w:hAnsi="Palatino Linotype" w:cs="Palatino Linotype"/>
          <w:b/>
          <w:sz w:val="22"/>
          <w:szCs w:val="22"/>
        </w:rPr>
        <w:t>prestó</w:t>
      </w:r>
      <w:r>
        <w:rPr>
          <w:rFonts w:ascii="Palatino Linotype" w:eastAsia="Palatino Linotype" w:hAnsi="Palatino Linotype" w:cs="Palatino Linotype"/>
          <w:b/>
          <w:color w:val="000000"/>
          <w:sz w:val="22"/>
          <w:szCs w:val="22"/>
        </w:rPr>
        <w:t xml:space="preserve"> auxilio en el sector de Tecámac Centro.</w:t>
      </w:r>
    </w:p>
    <w:p w14:paraId="47F62086" w14:textId="77777777" w:rsidR="00113351" w:rsidRDefault="00113351">
      <w:pPr>
        <w:pBdr>
          <w:top w:val="nil"/>
          <w:left w:val="nil"/>
          <w:bottom w:val="nil"/>
          <w:right w:val="nil"/>
          <w:between w:val="nil"/>
        </w:pBdr>
        <w:spacing w:line="360" w:lineRule="auto"/>
        <w:ind w:left="778" w:right="-929"/>
        <w:jc w:val="both"/>
        <w:rPr>
          <w:rFonts w:ascii="Palatino Linotype" w:eastAsia="Palatino Linotype" w:hAnsi="Palatino Linotype" w:cs="Palatino Linotype"/>
          <w:b/>
          <w:color w:val="000000"/>
        </w:rPr>
      </w:pPr>
    </w:p>
    <w:p w14:paraId="484A9842" w14:textId="77777777" w:rsidR="00113351" w:rsidRDefault="002464AC">
      <w:pPr>
        <w:numPr>
          <w:ilvl w:val="0"/>
          <w:numId w:val="1"/>
        </w:numPr>
        <w:spacing w:line="360" w:lineRule="auto"/>
        <w:ind w:left="0" w:right="-929"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el oficio ya descrito en el párrafo 2. Inconforme con la respuesta, se interpuso recurso de revisión argumentando de manera general la negativa a la entrega de la información.</w:t>
      </w:r>
    </w:p>
    <w:p w14:paraId="70C0052C" w14:textId="77777777" w:rsidR="00113351" w:rsidRDefault="00113351">
      <w:pPr>
        <w:spacing w:line="360" w:lineRule="auto"/>
        <w:ind w:right="-929"/>
        <w:jc w:val="both"/>
        <w:rPr>
          <w:rFonts w:ascii="Palatino Linotype" w:eastAsia="Palatino Linotype" w:hAnsi="Palatino Linotype" w:cs="Palatino Linotype"/>
          <w:i/>
          <w:color w:val="000000"/>
        </w:rPr>
      </w:pPr>
    </w:p>
    <w:p w14:paraId="11936A17"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lastRenderedPageBreak/>
        <w:t xml:space="preserve">Municipios; </w:t>
      </w:r>
      <w:r>
        <w:rPr>
          <w:rFonts w:ascii="Palatino Linotype" w:eastAsia="Palatino Linotype" w:hAnsi="Palatino Linotype" w:cs="Palatino Linotype"/>
          <w:color w:val="000000"/>
        </w:rPr>
        <w:t>fracción que determina la hipótesis relativa a la negativa de la información solicitada</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5F59A6A1" w14:textId="77777777" w:rsidR="00113351" w:rsidRDefault="00113351">
      <w:pPr>
        <w:spacing w:line="360" w:lineRule="auto"/>
        <w:ind w:right="-929"/>
        <w:rPr>
          <w:rFonts w:ascii="Palatino Linotype" w:eastAsia="Palatino Linotype" w:hAnsi="Palatino Linotype" w:cs="Palatino Linotype"/>
        </w:rPr>
      </w:pPr>
    </w:p>
    <w:p w14:paraId="0D5A6A20" w14:textId="77777777" w:rsidR="00113351" w:rsidRDefault="002464AC">
      <w:pPr>
        <w:pStyle w:val="Ttulo2"/>
        <w:spacing w:before="0" w:line="360" w:lineRule="auto"/>
        <w:ind w:right="-929"/>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CUARTA. Del estudio y resolución.</w:t>
      </w:r>
    </w:p>
    <w:p w14:paraId="60A5F5DC"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9D5E784" w14:textId="77777777" w:rsidR="00113351" w:rsidRDefault="00113351">
      <w:pPr>
        <w:spacing w:line="360" w:lineRule="auto"/>
        <w:ind w:right="-929"/>
        <w:jc w:val="both"/>
        <w:rPr>
          <w:rFonts w:ascii="Palatino Linotype" w:eastAsia="Palatino Linotype" w:hAnsi="Palatino Linotype" w:cs="Palatino Linotype"/>
        </w:rPr>
      </w:pPr>
    </w:p>
    <w:p w14:paraId="7E1F90AF"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BFE92B2"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104E79BA"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w:t>
      </w:r>
      <w:r>
        <w:rPr>
          <w:rFonts w:ascii="Palatino Linotype" w:eastAsia="Palatino Linotype" w:hAnsi="Palatino Linotype" w:cs="Palatino Linotype"/>
        </w:rPr>
        <w:lastRenderedPageBreak/>
        <w:t>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2DA09DDA"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05D48067"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Acotado lo anterior, es dable primeramente recordar lo solicitado y, que versó en información perteneciente por quien a decir del particular, es una servidora pública adscrita al área de la Policía Municipal Preventiva. Contexto que ciertamente acepta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en su respuesta cuando menciona lo siguiente:</w:t>
      </w:r>
    </w:p>
    <w:p w14:paraId="444E987B"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163C6ED8"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3DC68FFB" wp14:editId="058E5785">
            <wp:extent cx="5608955" cy="141224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08955" cy="1412240"/>
                    </a:xfrm>
                    <a:prstGeom prst="rect">
                      <a:avLst/>
                    </a:prstGeom>
                    <a:ln/>
                  </pic:spPr>
                </pic:pic>
              </a:graphicData>
            </a:graphic>
          </wp:inline>
        </w:drawing>
      </w:r>
    </w:p>
    <w:p w14:paraId="277504E0"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4F48C5E3"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No obstante, si bien es cierto el particular asevera que se trata de una servidora pública policía, este Órgano Garante no cuenta con certeza plena de que tenga el carácter de operativo. Motivo por el cual esta Ponencia Resolutora realizó un requerimiento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vía correo electrónico, a efecto de que se pronunciara respecto de lo siguiente para mejor proveer:</w:t>
      </w:r>
    </w:p>
    <w:p w14:paraId="35DC7E5E" w14:textId="77777777" w:rsidR="00113351" w:rsidRDefault="00113351">
      <w:pPr>
        <w:spacing w:line="360" w:lineRule="auto"/>
        <w:ind w:right="-929"/>
        <w:jc w:val="both"/>
        <w:rPr>
          <w:rFonts w:ascii="Palatino Linotype" w:eastAsia="Palatino Linotype" w:hAnsi="Palatino Linotype" w:cs="Palatino Linotype"/>
        </w:rPr>
      </w:pPr>
    </w:p>
    <w:p w14:paraId="66E89B03"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40C039CC" wp14:editId="29760E98">
            <wp:extent cx="5612130" cy="16084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608455"/>
                    </a:xfrm>
                    <a:prstGeom prst="rect">
                      <a:avLst/>
                    </a:prstGeom>
                    <a:ln/>
                  </pic:spPr>
                </pic:pic>
              </a:graphicData>
            </a:graphic>
          </wp:inline>
        </w:drawing>
      </w:r>
    </w:p>
    <w:p w14:paraId="048FAB25" w14:textId="77777777" w:rsidR="00113351" w:rsidRDefault="00113351">
      <w:pPr>
        <w:spacing w:line="360" w:lineRule="auto"/>
        <w:ind w:right="-929"/>
        <w:jc w:val="both"/>
        <w:rPr>
          <w:rFonts w:ascii="Palatino Linotype" w:eastAsia="Palatino Linotype" w:hAnsi="Palatino Linotype" w:cs="Palatino Linotype"/>
        </w:rPr>
      </w:pPr>
    </w:p>
    <w:p w14:paraId="16A550E2"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Sin embargo,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fue omiso en emitir una respuesta a este Organismo Garante, por lo tanto, prevalece la falta de certeza con relación al cargo con que cuenta la servidora pública de referencia.</w:t>
      </w:r>
    </w:p>
    <w:p w14:paraId="5F1CA88B" w14:textId="77777777" w:rsidR="00113351" w:rsidRDefault="00113351">
      <w:pPr>
        <w:spacing w:line="360" w:lineRule="auto"/>
        <w:ind w:right="-929"/>
        <w:jc w:val="both"/>
        <w:rPr>
          <w:rFonts w:ascii="Palatino Linotype" w:eastAsia="Palatino Linotype" w:hAnsi="Palatino Linotype" w:cs="Palatino Linotype"/>
        </w:rPr>
      </w:pPr>
    </w:p>
    <w:p w14:paraId="697AD068"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Luego entonces, es necesario realizar las siguientes precisiones. Que el criterio actual del Pleno de este Instituto es clasificar como reservado información del personal operativo de seguridad pública, con fundamento en el artículo 140, fracción I, de la Ley de Transparencia y Acceso a la Información Pública del Estado de México y Municipios, (homólogo del artículo 113, fracción I de la Ley General de Transparencia y Acceso a la Información Pública), que prevé lo siguiente:</w:t>
      </w:r>
    </w:p>
    <w:p w14:paraId="279A25E9" w14:textId="77777777" w:rsidR="00113351" w:rsidRDefault="002464AC">
      <w:pPr>
        <w:tabs>
          <w:tab w:val="left" w:pos="4962"/>
        </w:tabs>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140.</w:t>
      </w:r>
      <w:r>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5FAD2659" w14:textId="77777777" w:rsidR="00113351" w:rsidRDefault="00113351">
      <w:pPr>
        <w:tabs>
          <w:tab w:val="left" w:pos="4962"/>
        </w:tabs>
        <w:spacing w:line="360" w:lineRule="auto"/>
        <w:ind w:left="851" w:right="62"/>
        <w:jc w:val="both"/>
        <w:rPr>
          <w:rFonts w:ascii="Palatino Linotype" w:eastAsia="Palatino Linotype" w:hAnsi="Palatino Linotype" w:cs="Palatino Linotype"/>
          <w:i/>
          <w:sz w:val="22"/>
          <w:szCs w:val="22"/>
        </w:rPr>
      </w:pPr>
    </w:p>
    <w:p w14:paraId="10A501D9" w14:textId="77777777" w:rsidR="00113351" w:rsidRDefault="002464AC">
      <w:pPr>
        <w:tabs>
          <w:tab w:val="left" w:pos="4962"/>
        </w:tabs>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Comprometa la seguridad pública y cuente con un propósito genuino y un efecto demostrable;</w:t>
      </w:r>
    </w:p>
    <w:p w14:paraId="25448952" w14:textId="77777777" w:rsidR="00113351" w:rsidRDefault="002464AC">
      <w:pPr>
        <w:tabs>
          <w:tab w:val="left" w:pos="4962"/>
        </w:tabs>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5154DE10" w14:textId="77777777" w:rsidR="00113351" w:rsidRDefault="00113351">
      <w:pPr>
        <w:tabs>
          <w:tab w:val="left" w:pos="4962"/>
        </w:tabs>
        <w:spacing w:line="360" w:lineRule="auto"/>
        <w:ind w:left="851" w:right="62"/>
        <w:jc w:val="both"/>
        <w:rPr>
          <w:rFonts w:ascii="Palatino Linotype" w:eastAsia="Palatino Linotype" w:hAnsi="Palatino Linotype" w:cs="Palatino Linotype"/>
          <w:i/>
          <w:sz w:val="22"/>
          <w:szCs w:val="22"/>
        </w:rPr>
      </w:pPr>
    </w:p>
    <w:p w14:paraId="3FD7EC65"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De dicho precepto normativo se desprende que podrá clasificarse como información reservada aquella cuya publicación comprometa la seguridad pública y cuente con un propósito genuino y un efecto demostrable. Por su parte, los Lineamientos Generales, disponen:</w:t>
      </w:r>
    </w:p>
    <w:p w14:paraId="5994BDB3" w14:textId="77777777" w:rsidR="00113351" w:rsidRDefault="002464AC">
      <w:pPr>
        <w:tabs>
          <w:tab w:val="left" w:pos="4962"/>
        </w:tabs>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Décimo octavo.</w:t>
      </w:r>
      <w:r>
        <w:rPr>
          <w:rFonts w:ascii="Palatino Linotype" w:eastAsia="Palatino Linotype" w:hAnsi="Palatino Linotype" w:cs="Palatino Linotype"/>
          <w:i/>
          <w:sz w:val="22"/>
          <w:szCs w:val="22"/>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3A3E6228" w14:textId="77777777" w:rsidR="00113351" w:rsidRDefault="00113351">
      <w:pPr>
        <w:tabs>
          <w:tab w:val="left" w:pos="4962"/>
        </w:tabs>
        <w:spacing w:line="360" w:lineRule="auto"/>
        <w:ind w:left="851" w:right="62"/>
        <w:jc w:val="both"/>
        <w:rPr>
          <w:rFonts w:ascii="Palatino Linotype" w:eastAsia="Palatino Linotype" w:hAnsi="Palatino Linotype" w:cs="Palatino Linotype"/>
          <w:i/>
          <w:sz w:val="22"/>
          <w:szCs w:val="22"/>
        </w:rPr>
      </w:pPr>
    </w:p>
    <w:p w14:paraId="0648621D" w14:textId="77777777" w:rsidR="00113351" w:rsidRDefault="002464AC">
      <w:pPr>
        <w:tabs>
          <w:tab w:val="left" w:pos="4962"/>
        </w:tabs>
        <w:spacing w:line="360" w:lineRule="auto"/>
        <w:ind w:left="851"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21E8B440" w14:textId="77777777" w:rsidR="00113351" w:rsidRDefault="00113351">
      <w:pPr>
        <w:tabs>
          <w:tab w:val="left" w:pos="4962"/>
        </w:tabs>
        <w:spacing w:line="360" w:lineRule="auto"/>
        <w:ind w:left="851" w:right="62"/>
        <w:jc w:val="both"/>
        <w:rPr>
          <w:rFonts w:ascii="Palatino Linotype" w:eastAsia="Palatino Linotype" w:hAnsi="Palatino Linotype" w:cs="Palatino Linotype"/>
          <w:i/>
          <w:sz w:val="22"/>
          <w:szCs w:val="22"/>
        </w:rPr>
      </w:pPr>
    </w:p>
    <w:p w14:paraId="7757BA30" w14:textId="77777777" w:rsidR="00113351" w:rsidRDefault="002464AC">
      <w:pPr>
        <w:tabs>
          <w:tab w:val="left" w:pos="4962"/>
        </w:tabs>
        <w:spacing w:line="360" w:lineRule="auto"/>
        <w:ind w:left="851" w:right="62"/>
        <w:jc w:val="both"/>
        <w:rPr>
          <w:rFonts w:ascii="Palatino Linotype" w:eastAsia="Palatino Linotype" w:hAnsi="Palatino Linotype" w:cs="Palatino Linotype"/>
          <w:i/>
        </w:rPr>
      </w:pPr>
      <w:r>
        <w:rPr>
          <w:rFonts w:ascii="Palatino Linotype" w:eastAsia="Palatino Linotype" w:hAnsi="Palatino Linotype" w:cs="Palatino Linotype"/>
          <w:i/>
          <w:sz w:val="22"/>
          <w:szCs w:val="22"/>
        </w:rPr>
        <w:t>Asimismo, podrá considerarse como reservada aquella que revele datos que pudieran ser aprovechados para conocer la capacidad de reacción de las instituciones encargadas de la seguridad pública, sus planes, estrategias, tecnología, informa</w:t>
      </w:r>
      <w:r>
        <w:rPr>
          <w:rFonts w:ascii="Palatino Linotype" w:eastAsia="Palatino Linotype" w:hAnsi="Palatino Linotype" w:cs="Palatino Linotype"/>
          <w:i/>
        </w:rPr>
        <w:t>ción, sistemas de comunicaciones.”</w:t>
      </w:r>
    </w:p>
    <w:p w14:paraId="7B8EB374" w14:textId="77777777" w:rsidR="00113351" w:rsidRDefault="00113351">
      <w:pPr>
        <w:tabs>
          <w:tab w:val="left" w:pos="4962"/>
        </w:tabs>
        <w:spacing w:line="360" w:lineRule="auto"/>
        <w:ind w:left="851" w:right="62"/>
        <w:jc w:val="both"/>
        <w:rPr>
          <w:rFonts w:ascii="Palatino Linotype" w:eastAsia="Palatino Linotype" w:hAnsi="Palatino Linotype" w:cs="Palatino Linotype"/>
          <w:i/>
        </w:rPr>
      </w:pPr>
    </w:p>
    <w:p w14:paraId="2C875843"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w:t>
      </w:r>
      <w:r>
        <w:rPr>
          <w:rFonts w:ascii="Palatino Linotype" w:eastAsia="Palatino Linotype" w:hAnsi="Palatino Linotype" w:cs="Palatino Linotype"/>
        </w:rPr>
        <w:lastRenderedPageBreak/>
        <w:t xml:space="preserve">contra la evasión de reos o la capacidad de las autoridades para disuadir o prevenir disturbios sociales. </w:t>
      </w:r>
    </w:p>
    <w:p w14:paraId="5F51C433" w14:textId="77777777" w:rsidR="00113351" w:rsidRDefault="00113351">
      <w:pPr>
        <w:spacing w:line="360" w:lineRule="auto"/>
        <w:ind w:right="-929"/>
        <w:jc w:val="both"/>
        <w:rPr>
          <w:rFonts w:ascii="Palatino Linotype" w:eastAsia="Palatino Linotype" w:hAnsi="Palatino Linotype" w:cs="Palatino Linotype"/>
        </w:rPr>
      </w:pPr>
    </w:p>
    <w:p w14:paraId="5EE0CBC4"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De la misma manera, será información clasificada aquella que revele datos que pudieran ser aprovechados para conocer la capacidad de reacción de las instituciones encargadas de la seguridad pública, sus planes, estrategias, tecnología, información, sistemas de comunicaciones.</w:t>
      </w:r>
    </w:p>
    <w:p w14:paraId="70F605FA" w14:textId="77777777" w:rsidR="00113351" w:rsidRDefault="00113351">
      <w:pPr>
        <w:spacing w:line="360" w:lineRule="auto"/>
        <w:ind w:right="-929"/>
        <w:jc w:val="both"/>
        <w:rPr>
          <w:rFonts w:ascii="Palatino Linotype" w:eastAsia="Palatino Linotype" w:hAnsi="Palatino Linotype" w:cs="Palatino Linotype"/>
        </w:rPr>
      </w:pPr>
    </w:p>
    <w:p w14:paraId="2950379D"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En ese orden de ideas, el artículo 81 de la Ley de Seguridad del Estado de México, que establece lo siguiente:</w:t>
      </w:r>
    </w:p>
    <w:p w14:paraId="05725C2E" w14:textId="77777777" w:rsidR="00113351" w:rsidRDefault="00113351">
      <w:pPr>
        <w:spacing w:line="360" w:lineRule="auto"/>
        <w:ind w:right="-929"/>
        <w:jc w:val="both"/>
        <w:rPr>
          <w:rFonts w:ascii="Palatino Linotype" w:eastAsia="Palatino Linotype" w:hAnsi="Palatino Linotype" w:cs="Palatino Linotype"/>
        </w:rPr>
      </w:pPr>
    </w:p>
    <w:p w14:paraId="0F46F188"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81.-</w:t>
      </w:r>
      <w:r>
        <w:rPr>
          <w:rFonts w:ascii="Palatino Linotype" w:eastAsia="Palatino Linotype" w:hAnsi="Palatino Linotype" w:cs="Palatino Linotype"/>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2FACB750" w14:textId="77777777" w:rsidR="00113351" w:rsidRDefault="00113351">
      <w:pPr>
        <w:spacing w:line="360" w:lineRule="auto"/>
        <w:ind w:left="851" w:right="-79"/>
        <w:jc w:val="both"/>
        <w:rPr>
          <w:rFonts w:ascii="Palatino Linotype" w:eastAsia="Palatino Linotype" w:hAnsi="Palatino Linotype" w:cs="Palatino Linotype"/>
          <w:i/>
          <w:sz w:val="22"/>
          <w:szCs w:val="22"/>
        </w:rPr>
      </w:pPr>
    </w:p>
    <w:p w14:paraId="100147CA"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1C2BCE0D" w14:textId="77777777" w:rsidR="00113351" w:rsidRDefault="00113351">
      <w:pPr>
        <w:spacing w:line="360" w:lineRule="auto"/>
        <w:ind w:left="851" w:right="-79"/>
        <w:jc w:val="both"/>
        <w:rPr>
          <w:rFonts w:ascii="Palatino Linotype" w:eastAsia="Palatino Linotype" w:hAnsi="Palatino Linotype" w:cs="Palatino Linotype"/>
          <w:i/>
          <w:sz w:val="22"/>
          <w:szCs w:val="22"/>
        </w:rPr>
      </w:pPr>
    </w:p>
    <w:p w14:paraId="578C8F01"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Aquella cuya revelación pueda ser utilizada para actualizar o potenciar una amenaza a la seguridad pública o a las instituciones del Estado de México; </w:t>
      </w:r>
    </w:p>
    <w:p w14:paraId="465701BD"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2EA8A7A"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i/>
          <w:sz w:val="22"/>
          <w:szCs w:val="22"/>
        </w:rPr>
        <w:t xml:space="preserve">La que sea producto de una intervención de comunicaciones privadas autorizadas conforme a la Constitución Federal y las disposiciones legales correspondientes; y </w:t>
      </w:r>
    </w:p>
    <w:p w14:paraId="4ACF237E" w14:textId="77777777" w:rsidR="00113351" w:rsidRDefault="00113351">
      <w:pPr>
        <w:spacing w:line="360" w:lineRule="auto"/>
        <w:ind w:left="851" w:right="-79"/>
        <w:jc w:val="both"/>
        <w:rPr>
          <w:rFonts w:ascii="Palatino Linotype" w:eastAsia="Palatino Linotype" w:hAnsi="Palatino Linotype" w:cs="Palatino Linotype"/>
          <w:i/>
          <w:sz w:val="22"/>
          <w:szCs w:val="22"/>
        </w:rPr>
      </w:pPr>
    </w:p>
    <w:p w14:paraId="079162F5" w14:textId="77777777" w:rsidR="00113351" w:rsidRDefault="002464AC">
      <w:pPr>
        <w:spacing w:line="360" w:lineRule="auto"/>
        <w:ind w:left="851"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6F8DFDBC" w14:textId="77777777" w:rsidR="00113351" w:rsidRDefault="00113351">
      <w:pPr>
        <w:spacing w:line="360" w:lineRule="auto"/>
        <w:ind w:right="-929"/>
        <w:jc w:val="both"/>
        <w:rPr>
          <w:rFonts w:ascii="Palatino Linotype" w:eastAsia="Palatino Linotype" w:hAnsi="Palatino Linotype" w:cs="Palatino Linotype"/>
        </w:rPr>
      </w:pPr>
    </w:p>
    <w:p w14:paraId="354BFFFF"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3FA8A64A"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En ese contexto, el Pleno de este Instituto sostiene que entregar información de elementos operativos (policías municipales), también revelaría el estado de fuerza con el que cuenta el Municipio para atender las cuestiones de seguridad pública.</w:t>
      </w:r>
    </w:p>
    <w:p w14:paraId="440037C1" w14:textId="77777777" w:rsidR="00113351" w:rsidRDefault="00113351">
      <w:pPr>
        <w:spacing w:line="360" w:lineRule="auto"/>
        <w:ind w:right="-929"/>
        <w:jc w:val="both"/>
        <w:rPr>
          <w:rFonts w:ascii="Palatino Linotype" w:eastAsia="Palatino Linotype" w:hAnsi="Palatino Linotype" w:cs="Palatino Linotype"/>
        </w:rPr>
      </w:pPr>
    </w:p>
    <w:p w14:paraId="5767BCE8"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En ese sentido, el artículo 142 y 143 de la Ley de Seguridad del Estado de México, establece la organización jerárquica de las Instituciones Policiales de la Entidad Federativa y sus Municipios, la cual es la siguiente:</w:t>
      </w:r>
    </w:p>
    <w:p w14:paraId="41C6E94C" w14:textId="77777777" w:rsidR="00113351" w:rsidRDefault="002464AC">
      <w:pPr>
        <w:numPr>
          <w:ilvl w:val="0"/>
          <w:numId w:val="11"/>
        </w:numPr>
        <w:spacing w:line="360" w:lineRule="auto"/>
        <w:ind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Comisarios:</w:t>
      </w:r>
    </w:p>
    <w:p w14:paraId="06F0DA5C" w14:textId="77777777" w:rsidR="00113351" w:rsidRDefault="002464AC">
      <w:pPr>
        <w:numPr>
          <w:ilvl w:val="0"/>
          <w:numId w:val="2"/>
        </w:numPr>
        <w:spacing w:line="360" w:lineRule="auto"/>
        <w:ind w:left="993" w:right="-929" w:hanging="7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Comisario General;</w:t>
      </w:r>
    </w:p>
    <w:p w14:paraId="60F5B56A" w14:textId="77777777" w:rsidR="00113351" w:rsidRDefault="002464AC">
      <w:pPr>
        <w:numPr>
          <w:ilvl w:val="0"/>
          <w:numId w:val="2"/>
        </w:numPr>
        <w:spacing w:line="360" w:lineRule="auto"/>
        <w:ind w:left="993" w:right="-929" w:hanging="7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Comisario Jefe, y</w:t>
      </w:r>
    </w:p>
    <w:p w14:paraId="4D3D93FA" w14:textId="77777777" w:rsidR="00113351" w:rsidRDefault="002464AC">
      <w:pPr>
        <w:numPr>
          <w:ilvl w:val="0"/>
          <w:numId w:val="2"/>
        </w:numPr>
        <w:spacing w:line="360" w:lineRule="auto"/>
        <w:ind w:left="993" w:right="-929" w:hanging="7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Comisario.</w:t>
      </w:r>
    </w:p>
    <w:p w14:paraId="4E62A9F2" w14:textId="77777777" w:rsidR="00113351" w:rsidRDefault="00113351">
      <w:pPr>
        <w:spacing w:line="360" w:lineRule="auto"/>
        <w:ind w:left="993" w:right="-929"/>
        <w:jc w:val="both"/>
        <w:rPr>
          <w:rFonts w:ascii="Palatino Linotype" w:eastAsia="Palatino Linotype" w:hAnsi="Palatino Linotype" w:cs="Palatino Linotype"/>
          <w:sz w:val="22"/>
          <w:szCs w:val="22"/>
        </w:rPr>
      </w:pPr>
    </w:p>
    <w:p w14:paraId="3A1E97BC" w14:textId="77777777" w:rsidR="00113351" w:rsidRDefault="002464AC">
      <w:pPr>
        <w:numPr>
          <w:ilvl w:val="0"/>
          <w:numId w:val="11"/>
        </w:numPr>
        <w:spacing w:line="360" w:lineRule="auto"/>
        <w:ind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Inspectores:</w:t>
      </w:r>
    </w:p>
    <w:p w14:paraId="42AFD393" w14:textId="77777777" w:rsidR="00113351" w:rsidRDefault="002464AC">
      <w:pPr>
        <w:numPr>
          <w:ilvl w:val="0"/>
          <w:numId w:val="3"/>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Inspector General;</w:t>
      </w:r>
    </w:p>
    <w:p w14:paraId="6E5484CB" w14:textId="77777777" w:rsidR="00113351" w:rsidRDefault="002464AC">
      <w:pPr>
        <w:numPr>
          <w:ilvl w:val="0"/>
          <w:numId w:val="3"/>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Inspector Jefe, y</w:t>
      </w:r>
    </w:p>
    <w:p w14:paraId="3B774A25" w14:textId="77777777" w:rsidR="00113351" w:rsidRDefault="002464AC">
      <w:pPr>
        <w:numPr>
          <w:ilvl w:val="0"/>
          <w:numId w:val="3"/>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Inspector.</w:t>
      </w:r>
    </w:p>
    <w:p w14:paraId="6A644495" w14:textId="77777777" w:rsidR="00113351" w:rsidRDefault="00113351">
      <w:pPr>
        <w:spacing w:line="360" w:lineRule="auto"/>
        <w:ind w:left="993" w:right="-929"/>
        <w:jc w:val="both"/>
        <w:rPr>
          <w:rFonts w:ascii="Palatino Linotype" w:eastAsia="Palatino Linotype" w:hAnsi="Palatino Linotype" w:cs="Palatino Linotype"/>
          <w:sz w:val="22"/>
          <w:szCs w:val="22"/>
        </w:rPr>
      </w:pPr>
    </w:p>
    <w:p w14:paraId="23A7EB7C" w14:textId="77777777" w:rsidR="00113351" w:rsidRDefault="002464AC">
      <w:pPr>
        <w:numPr>
          <w:ilvl w:val="0"/>
          <w:numId w:val="11"/>
        </w:numPr>
        <w:spacing w:line="360" w:lineRule="auto"/>
        <w:ind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Oficiales:</w:t>
      </w:r>
    </w:p>
    <w:p w14:paraId="7C01C856" w14:textId="77777777" w:rsidR="00113351" w:rsidRDefault="002464AC">
      <w:pPr>
        <w:numPr>
          <w:ilvl w:val="0"/>
          <w:numId w:val="4"/>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Subinspector;</w:t>
      </w:r>
    </w:p>
    <w:p w14:paraId="6B6F98B4" w14:textId="77777777" w:rsidR="00113351" w:rsidRDefault="002464AC">
      <w:pPr>
        <w:numPr>
          <w:ilvl w:val="0"/>
          <w:numId w:val="4"/>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Oficial, y</w:t>
      </w:r>
    </w:p>
    <w:p w14:paraId="33422F32" w14:textId="77777777" w:rsidR="00113351" w:rsidRDefault="002464AC">
      <w:pPr>
        <w:numPr>
          <w:ilvl w:val="0"/>
          <w:numId w:val="4"/>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Suboficial.</w:t>
      </w:r>
    </w:p>
    <w:p w14:paraId="0D196A1B" w14:textId="77777777" w:rsidR="00113351" w:rsidRDefault="002464AC">
      <w:pPr>
        <w:numPr>
          <w:ilvl w:val="0"/>
          <w:numId w:val="11"/>
        </w:numPr>
        <w:spacing w:line="360" w:lineRule="auto"/>
        <w:ind w:right="-92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Escala Básica:</w:t>
      </w:r>
    </w:p>
    <w:p w14:paraId="23085897" w14:textId="77777777" w:rsidR="00113351" w:rsidRDefault="002464AC">
      <w:pPr>
        <w:numPr>
          <w:ilvl w:val="0"/>
          <w:numId w:val="5"/>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Policía Primero;</w:t>
      </w:r>
    </w:p>
    <w:p w14:paraId="123B56F9" w14:textId="77777777" w:rsidR="00113351" w:rsidRDefault="002464AC">
      <w:pPr>
        <w:numPr>
          <w:ilvl w:val="0"/>
          <w:numId w:val="5"/>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Policía Segundo; </w:t>
      </w:r>
    </w:p>
    <w:p w14:paraId="09845831" w14:textId="77777777" w:rsidR="00113351" w:rsidRDefault="002464AC">
      <w:pPr>
        <w:numPr>
          <w:ilvl w:val="0"/>
          <w:numId w:val="5"/>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Policía Tercero, y</w:t>
      </w:r>
    </w:p>
    <w:p w14:paraId="3537F916" w14:textId="77777777" w:rsidR="00113351" w:rsidRDefault="002464AC">
      <w:pPr>
        <w:numPr>
          <w:ilvl w:val="0"/>
          <w:numId w:val="5"/>
        </w:numPr>
        <w:spacing w:line="360" w:lineRule="auto"/>
        <w:ind w:left="993" w:right="-929" w:hanging="5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Policía.</w:t>
      </w:r>
    </w:p>
    <w:p w14:paraId="3F5B9E0E"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En ese contexto, se puede vislumbrar que proporcionar el cargo de los elementos operativos, daría cuenta del estado de fuerza de la denominada </w:t>
      </w:r>
      <w:r>
        <w:rPr>
          <w:rFonts w:ascii="Palatino Linotype" w:eastAsia="Palatino Linotype" w:hAnsi="Palatino Linotype" w:cs="Palatino Linotype"/>
          <w:b/>
        </w:rPr>
        <w:t>Guardia Civil Tecámac</w:t>
      </w:r>
      <w:r>
        <w:rPr>
          <w:rFonts w:ascii="Palatino Linotype" w:eastAsia="Palatino Linotype" w:hAnsi="Palatino Linotype" w:cs="Palatino Linotype"/>
        </w:rPr>
        <w:t>. Se afirma lo anterior, en virtud de que como ha quedado demostrado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w:t>
      </w:r>
    </w:p>
    <w:p w14:paraId="38CB497E"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69CF2869" w14:textId="77777777" w:rsidR="00113351" w:rsidRDefault="002464AC">
      <w:pPr>
        <w:numPr>
          <w:ilvl w:val="0"/>
          <w:numId w:val="1"/>
        </w:numPr>
        <w:spacing w:line="360" w:lineRule="auto"/>
        <w:ind w:left="0" w:right="-929"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dar observancia al Vigésimo Tercero de los Lineamientos Generales en Materia de Clasificación y Desclasificación de la Información, así como para la Elaboración de Versiones Públicas, establece que, para </w:t>
      </w:r>
      <w:r>
        <w:rPr>
          <w:rFonts w:ascii="Palatino Linotype" w:eastAsia="Palatino Linotype" w:hAnsi="Palatino Linotype" w:cs="Palatino Linotype"/>
        </w:rPr>
        <w:lastRenderedPageBreak/>
        <w:t xml:space="preserve">actualizar la causal de reserva aludida, se deberá </w:t>
      </w:r>
      <w:r>
        <w:rPr>
          <w:rFonts w:ascii="Palatino Linotype" w:eastAsia="Palatino Linotype" w:hAnsi="Palatino Linotype" w:cs="Palatino Linotype"/>
          <w:b/>
          <w:u w:val="single"/>
        </w:rPr>
        <w:t>acreditar el vínculo</w:t>
      </w:r>
      <w:r>
        <w:rPr>
          <w:rFonts w:ascii="Palatino Linotype" w:eastAsia="Palatino Linotype" w:hAnsi="Palatino Linotype" w:cs="Palatino Linotype"/>
          <w:b/>
        </w:rPr>
        <w:t>, entre la persona física y la información que pueda poner en riesgo su vida, seguridad o salud</w:t>
      </w:r>
      <w:r>
        <w:rPr>
          <w:rFonts w:ascii="Palatino Linotype" w:eastAsia="Palatino Linotype" w:hAnsi="Palatino Linotype" w:cs="Palatino Linotype"/>
        </w:rPr>
        <w:t xml:space="preserve">, </w:t>
      </w:r>
      <w:r>
        <w:rPr>
          <w:rFonts w:ascii="Palatino Linotype" w:eastAsia="Palatino Linotype" w:hAnsi="Palatino Linotype" w:cs="Palatino Linotype"/>
          <w:b/>
        </w:rPr>
        <w:t>por medio de la especificación del bien jurídico que será afectado, así como, el potencial del daño o riesgo que causaría.</w:t>
      </w:r>
    </w:p>
    <w:p w14:paraId="4B4E227B" w14:textId="77777777" w:rsidR="00113351" w:rsidRDefault="00113351">
      <w:pPr>
        <w:spacing w:line="360" w:lineRule="auto"/>
        <w:ind w:right="-929"/>
        <w:jc w:val="both"/>
        <w:rPr>
          <w:rFonts w:ascii="Palatino Linotype" w:eastAsia="Palatino Linotype" w:hAnsi="Palatino Linotype" w:cs="Palatino Linotype"/>
        </w:rPr>
      </w:pPr>
    </w:p>
    <w:p w14:paraId="0F8D9676"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Sobre lo anterior,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la información solicitada, puede llegar a constituirse en un componente fundamental en el esfuerzo que realizan las autoridades para garantizar la seguridad dentro del territorio del Estado de México, en sus diferentes vertientes, toda vez que, proporcionar lo peticionado por cuanto hace al personal de seguridad pública, permite que los empleados de gobierno adscritos a los cuerpos policiacos sean identificados o identificables, circunstancia que puede poner en riesgo la vida e integridad física de los integrantes de los cuerpos de seguridad, sus familias y allegados.</w:t>
      </w:r>
    </w:p>
    <w:p w14:paraId="45D1F52C" w14:textId="77777777" w:rsidR="00113351" w:rsidRDefault="00113351">
      <w:pPr>
        <w:spacing w:line="360" w:lineRule="auto"/>
        <w:ind w:right="-929"/>
        <w:jc w:val="both"/>
        <w:rPr>
          <w:rFonts w:ascii="Palatino Linotype" w:eastAsia="Palatino Linotype" w:hAnsi="Palatino Linotype" w:cs="Palatino Linotype"/>
        </w:rPr>
      </w:pPr>
    </w:p>
    <w:p w14:paraId="22B77DB1"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En ese contexto, cabe hacer mención lo establecido en el artículo 81, fracción III, de la Ley de Seguridad del Estado de México: </w:t>
      </w:r>
    </w:p>
    <w:p w14:paraId="745DA792" w14:textId="77777777" w:rsidR="00113351" w:rsidRDefault="002464AC">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 xml:space="preserve">Toda </w:t>
      </w:r>
      <w:r>
        <w:rPr>
          <w:rFonts w:ascii="Palatino Linotype" w:eastAsia="Palatino Linotype" w:hAnsi="Palatino Linotype" w:cs="Palatino Linotype"/>
          <w:i/>
          <w:sz w:val="22"/>
          <w:szCs w:val="22"/>
        </w:rPr>
        <w:t>información para la seguridad pública generada o en poder de Instituciones de Seguridad Pública o de cualquier instancia del Sistema Estatal debe registrarse, clasificarse y tratarse de conformidad con las disposiciones aplicables.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No obstante lo anterior, esta información se considerará reservada</w:t>
      </w:r>
      <w:r>
        <w:rPr>
          <w:rFonts w:ascii="Palatino Linotype" w:eastAsia="Palatino Linotype" w:hAnsi="Palatino Linotype" w:cs="Palatino Linotype"/>
          <w:i/>
          <w:sz w:val="22"/>
          <w:szCs w:val="22"/>
        </w:rPr>
        <w:t xml:space="preserve"> en los casos siguientes:</w:t>
      </w:r>
    </w:p>
    <w:p w14:paraId="47F275B0" w14:textId="77777777" w:rsidR="00113351" w:rsidRDefault="002464AC">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B99BF46" w14:textId="77777777" w:rsidR="00113351" w:rsidRDefault="002464AC">
      <w:pPr>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La relativa a servidores públicos miembros de las instituciones de seguridad pública, cuya revelación pueda poner en riesgo su vida e integridad física con motivo de sus funciones;</w:t>
      </w:r>
      <w:r>
        <w:rPr>
          <w:rFonts w:ascii="Palatino Linotype" w:eastAsia="Palatino Linotype" w:hAnsi="Palatino Linotype" w:cs="Palatino Linotype"/>
          <w:i/>
          <w:sz w:val="22"/>
          <w:szCs w:val="22"/>
        </w:rPr>
        <w:t>”</w:t>
      </w:r>
    </w:p>
    <w:p w14:paraId="144BAE35" w14:textId="77777777" w:rsidR="00113351" w:rsidRDefault="00113351">
      <w:pPr>
        <w:spacing w:line="360" w:lineRule="auto"/>
        <w:ind w:left="567" w:right="-929"/>
        <w:jc w:val="both"/>
        <w:rPr>
          <w:rFonts w:ascii="Palatino Linotype" w:eastAsia="Palatino Linotype" w:hAnsi="Palatino Linotype" w:cs="Palatino Linotype"/>
          <w:i/>
        </w:rPr>
      </w:pPr>
    </w:p>
    <w:p w14:paraId="3666EF90"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Sirve de orientador el Criterio de interpretación, con número de registro SO/006/2009, de la Segunda Época, emitido por el entonces Instituto Federal de Acceso a la Información y Protección de Datos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cual refiere: </w:t>
      </w:r>
    </w:p>
    <w:p w14:paraId="260125A8" w14:textId="77777777" w:rsidR="00113351" w:rsidRDefault="002464AC">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“Nombres de servidores públicos dedicados a actividades en materia de seguridad, por excepción pueden considerarse información reservada. </w:t>
      </w:r>
      <w:r>
        <w:rPr>
          <w:rFonts w:ascii="Palatino Linotype" w:eastAsia="Palatino Linotype" w:hAnsi="Palatino Linotype" w:cs="Palatino Linotype"/>
          <w:i/>
          <w:sz w:val="22"/>
          <w:szCs w:val="22"/>
        </w:rPr>
        <w:t xml:space="preserve">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Pr>
          <w:rFonts w:ascii="Palatino Linotype" w:eastAsia="Palatino Linotype" w:hAnsi="Palatino Linotype" w:cs="Palatino Linotype"/>
          <w:b/>
          <w:i/>
          <w:sz w:val="22"/>
          <w:szCs w:val="22"/>
          <w:u w:val="single"/>
        </w:rPr>
        <w:t>el artículo 13, fracción I de la ley de referencia se establece que podrá clasificarse aquella información cuya difusión pueda comprometer la seguridad nacional y pública</w:t>
      </w:r>
      <w:r>
        <w:rPr>
          <w:rFonts w:ascii="Palatino Linotype" w:eastAsia="Palatino Linotype" w:hAnsi="Palatino Linotype" w:cs="Palatino Linotype"/>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Pr>
          <w:rFonts w:ascii="Palatino Linotype" w:eastAsia="Palatino Linotype" w:hAnsi="Palatino Linotype" w:cs="Palatino Linotype"/>
          <w:b/>
          <w:i/>
          <w:sz w:val="22"/>
          <w:szCs w:val="22"/>
          <w:u w:val="single"/>
        </w:rPr>
        <w:t xml:space="preserve">por lo que la reserva de la relación de los nombres y las funciones que desempeñan los servidores públicos que prestan sus servicios en áreas de seguridad nacional o </w:t>
      </w:r>
      <w:r>
        <w:rPr>
          <w:rFonts w:ascii="Palatino Linotype" w:eastAsia="Palatino Linotype" w:hAnsi="Palatino Linotype" w:cs="Palatino Linotype"/>
          <w:b/>
          <w:i/>
          <w:sz w:val="22"/>
          <w:szCs w:val="22"/>
          <w:u w:val="single"/>
        </w:rPr>
        <w:lastRenderedPageBreak/>
        <w:t>pública</w:t>
      </w:r>
      <w:r>
        <w:rPr>
          <w:rFonts w:ascii="Palatino Linotype" w:eastAsia="Palatino Linotype" w:hAnsi="Palatino Linotype" w:cs="Palatino Linotype"/>
          <w:i/>
          <w:sz w:val="22"/>
          <w:szCs w:val="22"/>
        </w:rPr>
        <w:t>, puede llegar a constituirse en un componente fundamental en el esfuerzo que realiza el Estado Mexicano para garantizar la seguridad del país en sus diferentes vertientes” (Sic)</w:t>
      </w:r>
    </w:p>
    <w:p w14:paraId="150E564E" w14:textId="77777777" w:rsidR="00113351" w:rsidRDefault="00113351">
      <w:pPr>
        <w:spacing w:line="360" w:lineRule="auto"/>
        <w:ind w:right="-929"/>
        <w:jc w:val="both"/>
        <w:rPr>
          <w:rFonts w:ascii="Palatino Linotype" w:eastAsia="Palatino Linotype" w:hAnsi="Palatino Linotype" w:cs="Palatino Linotype"/>
        </w:rPr>
      </w:pPr>
    </w:p>
    <w:p w14:paraId="6211B19F"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En efecto, con base en lo expuesto por el ahora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w:t>
      </w:r>
    </w:p>
    <w:p w14:paraId="5BD7FEF2" w14:textId="77777777" w:rsidR="00113351" w:rsidRDefault="00113351">
      <w:pPr>
        <w:spacing w:line="360" w:lineRule="auto"/>
        <w:ind w:right="-929"/>
        <w:jc w:val="both"/>
        <w:rPr>
          <w:rFonts w:ascii="Palatino Linotype" w:eastAsia="Palatino Linotype" w:hAnsi="Palatino Linotype" w:cs="Palatino Linotype"/>
        </w:rPr>
      </w:pPr>
    </w:p>
    <w:p w14:paraId="085C701F"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Así las cosas, el 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5D45FF72" w14:textId="77777777" w:rsidR="00113351" w:rsidRDefault="002464AC">
      <w:pPr>
        <w:spacing w:line="360" w:lineRule="auto"/>
        <w:ind w:left="567" w:right="-7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w:t>
      </w:r>
      <w:r>
        <w:rPr>
          <w:rFonts w:ascii="Palatino Linotype" w:eastAsia="Palatino Linotype" w:hAnsi="Palatino Linotype" w:cs="Palatino Linotype"/>
          <w:i/>
          <w:sz w:val="22"/>
          <w:szCs w:val="22"/>
        </w:rPr>
        <w:lastRenderedPageBreak/>
        <w:t>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61659C5E" w14:textId="77777777" w:rsidR="00113351" w:rsidRDefault="00113351">
      <w:pPr>
        <w:spacing w:line="360" w:lineRule="auto"/>
        <w:ind w:left="567" w:right="-75"/>
        <w:jc w:val="both"/>
        <w:rPr>
          <w:rFonts w:ascii="Palatino Linotype" w:eastAsia="Palatino Linotype" w:hAnsi="Palatino Linotype" w:cs="Palatino Linotype"/>
          <w:b/>
          <w:i/>
          <w:sz w:val="22"/>
          <w:szCs w:val="22"/>
        </w:rPr>
      </w:pPr>
    </w:p>
    <w:p w14:paraId="122CA7D4" w14:textId="77777777" w:rsidR="00113351" w:rsidRDefault="002464AC">
      <w:pPr>
        <w:spacing w:line="360" w:lineRule="auto"/>
        <w:ind w:left="567" w:right="-7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 </w:t>
      </w:r>
      <w:r>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w:t>
      </w:r>
      <w:r>
        <w:rPr>
          <w:rFonts w:ascii="Palatino Linotype" w:eastAsia="Palatino Linotype" w:hAnsi="Palatino Linotype" w:cs="Palatino Linotype"/>
          <w:i/>
          <w:sz w:val="22"/>
          <w:szCs w:val="22"/>
        </w:rPr>
        <w:lastRenderedPageBreak/>
        <w:t>que se trata y la razón que motive la restricción legislativa correspondiente, la cual debe ser adecuada y necesaria para alcanzar el fin perseguido, de manera que las ventajas obtenidas con la reserva compensen el sacrificio que ésta implique para los titulares de la garantía individual mencionada o para la sociedad en general.”</w:t>
      </w:r>
    </w:p>
    <w:p w14:paraId="562F3626" w14:textId="77777777" w:rsidR="00113351" w:rsidRDefault="00113351">
      <w:pPr>
        <w:spacing w:line="360" w:lineRule="auto"/>
        <w:ind w:right="-929"/>
        <w:jc w:val="both"/>
        <w:rPr>
          <w:rFonts w:ascii="Palatino Linotype" w:eastAsia="Palatino Linotype" w:hAnsi="Palatino Linotype" w:cs="Palatino Linotype"/>
        </w:rPr>
      </w:pPr>
    </w:p>
    <w:p w14:paraId="6C3D2A3E"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Así y de acuerdo con lo expuesto, la limitación para acceder a información de policías o personal con funciones operativas es proporcional y adecuada, respecto del bien jurídico tutelado y, ordenar la entrega de los documentos en donde se elimine su información en la elaboración de versiones públicas; o como es del caso concreto la clasificación del pronunciamiento, se protege la vida, salud o seguridad de los elementos operativos encargados del combate a los delincuentes y prevención de los delitos. Con base en lo anterior, es posible advertir que existen elementos suficientes para que se clasifique cualquier pronunciamiento en sentido afirmativo o negativo en virtud que se desconoce el cargo de la persona adscrita a la Guardia Civil de Tecámac, a través de la aplicación de la prueba de daño.</w:t>
      </w:r>
    </w:p>
    <w:p w14:paraId="018A6F95" w14:textId="77777777" w:rsidR="00113351" w:rsidRDefault="00113351">
      <w:pPr>
        <w:pBdr>
          <w:top w:val="nil"/>
          <w:left w:val="nil"/>
          <w:bottom w:val="nil"/>
          <w:right w:val="nil"/>
          <w:between w:val="nil"/>
        </w:pBdr>
        <w:spacing w:line="360" w:lineRule="auto"/>
        <w:ind w:left="360" w:right="-929"/>
        <w:jc w:val="both"/>
        <w:rPr>
          <w:rFonts w:ascii="Palatino Linotype" w:eastAsia="Palatino Linotype" w:hAnsi="Palatino Linotype" w:cs="Palatino Linotype"/>
          <w:color w:val="000000"/>
        </w:rPr>
      </w:pPr>
    </w:p>
    <w:p w14:paraId="36E75FB3" w14:textId="77777777" w:rsidR="00113351" w:rsidRDefault="002464AC">
      <w:pPr>
        <w:numPr>
          <w:ilvl w:val="0"/>
          <w:numId w:val="1"/>
        </w:numPr>
        <w:spacing w:line="360" w:lineRule="auto"/>
        <w:ind w:left="0" w:right="-929" w:firstLine="0"/>
        <w:jc w:val="both"/>
        <w:rPr>
          <w:color w:val="000000"/>
        </w:rPr>
      </w:pPr>
      <w:r>
        <w:rPr>
          <w:rFonts w:ascii="Palatino Linotype" w:eastAsia="Palatino Linotype" w:hAnsi="Palatino Linotype" w:cs="Palatino Linotype"/>
          <w:color w:val="000000"/>
        </w:rPr>
        <w:t xml:space="preserve">Luego entonces, </w:t>
      </w:r>
      <w:r>
        <w:rPr>
          <w:rFonts w:ascii="Palatino Linotype" w:eastAsia="Palatino Linotype" w:hAnsi="Palatino Linotype" w:cs="Palatino Linotype"/>
        </w:rPr>
        <w:t xml:space="preserve">el Sujeto Obligado deberán fundar y motivar, a través de la aplicación de la prueba de daño establecida en el artículo 129 de dicho ordenamiento, que se debe justificar de la siguiente manera: </w:t>
      </w:r>
    </w:p>
    <w:p w14:paraId="654F352F" w14:textId="77777777" w:rsidR="00113351" w:rsidRDefault="002464AC">
      <w:pPr>
        <w:numPr>
          <w:ilvl w:val="0"/>
          <w:numId w:val="6"/>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divulgación de la información representa un riesgo real, demostrable e identificable de perjuicio significativo al interés público o a la seguridad nacional.</w:t>
      </w:r>
    </w:p>
    <w:p w14:paraId="2AB84B9B" w14:textId="77777777" w:rsidR="00113351" w:rsidRDefault="002464AC">
      <w:pPr>
        <w:numPr>
          <w:ilvl w:val="0"/>
          <w:numId w:val="6"/>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riesgo de perjuicio supera el interés público general de que se difunda.</w:t>
      </w:r>
    </w:p>
    <w:p w14:paraId="7B3932A0" w14:textId="77777777" w:rsidR="00113351" w:rsidRDefault="002464AC">
      <w:pPr>
        <w:numPr>
          <w:ilvl w:val="0"/>
          <w:numId w:val="6"/>
        </w:numPr>
        <w:pBdr>
          <w:top w:val="nil"/>
          <w:left w:val="nil"/>
          <w:bottom w:val="nil"/>
          <w:right w:val="nil"/>
          <w:between w:val="nil"/>
        </w:pBd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Que la limitación se adecua al principio de proporcionalidad y representa el medio menos restrictivo disponible para evitar el perjuicio. </w:t>
      </w:r>
    </w:p>
    <w:p w14:paraId="5C58229A"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3C345F2A"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Así, las decisiones gubernamentales y el cumplimiento de los procedimientos legales, estará garantizando que los ciudadanos tengan el derecho de conocer la información relacionada con la administración pública, excepto en casos muy específicos (seguridad nacional, etc.), por lo que documentos definitivos no suelen entrar en esas excepciones.</w:t>
      </w:r>
    </w:p>
    <w:p w14:paraId="40339358" w14:textId="77777777" w:rsidR="00113351" w:rsidRDefault="00113351">
      <w:pPr>
        <w:pBdr>
          <w:top w:val="nil"/>
          <w:left w:val="nil"/>
          <w:bottom w:val="nil"/>
          <w:right w:val="nil"/>
          <w:between w:val="nil"/>
        </w:pBdr>
        <w:spacing w:line="360" w:lineRule="auto"/>
        <w:ind w:left="501" w:right="-929"/>
        <w:jc w:val="both"/>
        <w:rPr>
          <w:rFonts w:ascii="Palatino Linotype" w:eastAsia="Palatino Linotype" w:hAnsi="Palatino Linotype" w:cs="Palatino Linotype"/>
          <w:color w:val="000000"/>
        </w:rPr>
      </w:pPr>
    </w:p>
    <w:p w14:paraId="15A85C94" w14:textId="77777777" w:rsidR="00113351" w:rsidRDefault="002464AC">
      <w:pPr>
        <w:numPr>
          <w:ilvl w:val="0"/>
          <w:numId w:val="1"/>
        </w:numPr>
        <w:spacing w:line="360" w:lineRule="auto"/>
        <w:ind w:left="0" w:right="-929" w:firstLine="0"/>
        <w:jc w:val="both"/>
        <w:rPr>
          <w:color w:val="000000"/>
        </w:rPr>
      </w:pPr>
      <w:r>
        <w:rPr>
          <w:rFonts w:ascii="Palatino Linotype" w:eastAsia="Palatino Linotype" w:hAnsi="Palatino Linotype" w:cs="Palatino Linotype"/>
        </w:rPr>
        <w:t>Asimismo,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14:paraId="76F469C9"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198B43ED"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Asimismo señalar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14:paraId="0EB990F9" w14:textId="77777777" w:rsidR="00113351" w:rsidRDefault="00113351">
      <w:pPr>
        <w:spacing w:line="360" w:lineRule="auto"/>
        <w:ind w:right="-929"/>
        <w:jc w:val="both"/>
        <w:rPr>
          <w:rFonts w:ascii="Palatino Linotype" w:eastAsia="Palatino Linotype" w:hAnsi="Palatino Linotype" w:cs="Palatino Linotype"/>
        </w:rPr>
      </w:pPr>
    </w:p>
    <w:p w14:paraId="7FFB6AEF"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lastRenderedPageBreak/>
        <w:t xml:space="preserve">Sobre el particular, se considera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establecer el plazo de reserva de la información, el cual no podrá exceder de cinco años, a partir de la emisión del Acta del Comité de Transparencia.</w:t>
      </w:r>
    </w:p>
    <w:p w14:paraId="6B4241CA" w14:textId="77777777" w:rsidR="00113351" w:rsidRDefault="00113351">
      <w:pPr>
        <w:spacing w:line="360" w:lineRule="auto"/>
        <w:ind w:right="-929"/>
        <w:jc w:val="both"/>
        <w:rPr>
          <w:rFonts w:ascii="Palatino Linotype" w:eastAsia="Palatino Linotype" w:hAnsi="Palatino Linotype" w:cs="Palatino Linotype"/>
          <w:b/>
        </w:rPr>
      </w:pPr>
    </w:p>
    <w:p w14:paraId="67E2E308"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 xml:space="preserve">En ese sentido, los artículos 122, 128 y 130 de la Ley de la materia, prevén que </w:t>
      </w:r>
      <w:r>
        <w:rPr>
          <w:rFonts w:ascii="Palatino Linotype" w:eastAsia="Palatino Linotype" w:hAnsi="Palatino Linotype" w:cs="Palatino Linotype"/>
          <w:b/>
        </w:rPr>
        <w:t xml:space="preserve">la clasificación </w:t>
      </w:r>
      <w:r>
        <w:rPr>
          <w:rFonts w:ascii="Palatino Linotype" w:eastAsia="Palatino Linotype" w:hAnsi="Palatino Linotype" w:cs="Palatino Linotype"/>
        </w:rPr>
        <w:t xml:space="preserve">es el proceso mediante el cual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determina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062CA578"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Así, en los casos en que se niegue el acceso a la información, por actualizarse alguno de los supuestos de clasificación, el Comité de Transparencia deberá confirmar, modificar o revocar la decisión; por lo que deberá motivar la confirmación de dicha situación, señalando las razones, motivos o circunstancias especiales que llevaron al sujeto obligado a concluir que en el caso particular se ajusta al supuesto previsto por la norma legal invocada como fundamento.</w:t>
      </w:r>
    </w:p>
    <w:p w14:paraId="79D48DDC" w14:textId="77777777" w:rsidR="00113351" w:rsidRDefault="00113351">
      <w:pPr>
        <w:spacing w:line="360" w:lineRule="auto"/>
        <w:ind w:right="-929"/>
        <w:jc w:val="both"/>
        <w:rPr>
          <w:rFonts w:ascii="Palatino Linotype" w:eastAsia="Palatino Linotype" w:hAnsi="Palatino Linotype" w:cs="Palatino Linotype"/>
        </w:rPr>
      </w:pPr>
    </w:p>
    <w:p w14:paraId="6A5323A3"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t>Por lo expuesto, se considera que el Ayuntamiento de Tecámac, para atender el requerimiento de información, deberá entregar el acuerdo de clasificación emitido por el Comité de Transparencia, en donde de manera fundada y motivada, a través de una prueba de daño, confirme la clasificación como reservada, en términos del artículo 140, fracción IV de la Ley de Transparencia y Acceso a la Información Pública del Estado de México y Municipios, del pronunciamiento afirmativo y negativo respecto de lo solicitado tocante a la persona señalada en la solicitud de información de mérito.</w:t>
      </w:r>
    </w:p>
    <w:p w14:paraId="128B01A7" w14:textId="77777777" w:rsidR="00113351" w:rsidRDefault="00113351">
      <w:pPr>
        <w:pBdr>
          <w:top w:val="nil"/>
          <w:left w:val="nil"/>
          <w:bottom w:val="nil"/>
          <w:right w:val="nil"/>
          <w:between w:val="nil"/>
        </w:pBdr>
        <w:ind w:left="720" w:right="-929"/>
        <w:rPr>
          <w:rFonts w:ascii="Palatino Linotype" w:eastAsia="Palatino Linotype" w:hAnsi="Palatino Linotype" w:cs="Palatino Linotype"/>
          <w:color w:val="000000"/>
        </w:rPr>
      </w:pPr>
    </w:p>
    <w:p w14:paraId="79CB2A8C" w14:textId="77777777" w:rsidR="00113351" w:rsidRDefault="002464AC">
      <w:pPr>
        <w:numPr>
          <w:ilvl w:val="0"/>
          <w:numId w:val="1"/>
        </w:numPr>
        <w:spacing w:line="360" w:lineRule="auto"/>
        <w:ind w:left="0" w:right="-929" w:firstLine="0"/>
        <w:jc w:val="both"/>
      </w:pPr>
      <w:r>
        <w:rPr>
          <w:rFonts w:ascii="Palatino Linotype" w:eastAsia="Palatino Linotype" w:hAnsi="Palatino Linotype" w:cs="Palatino Linotype"/>
        </w:rPr>
        <w:lastRenderedPageBreak/>
        <w:t>Finalmente no pasa desapercibido que en texto de inconformidad, se advierten manifestaciones de probables delitos a decir del particular, lo que corresponden a manifestaciones subjetivas. Al respecto, es de señalar que corresponden aquellas percepciones, emociones, sensaciones o experiencias internas que una persona puede describir, pero que no son directamente observables o medibles por otras personas. De modo tal que corresponden a manifestaciones que no son atendibles vía derecho de acceso a la información pública, por lo que se dejan a salvo sus derechos para interponer las quejas o denuncias que a sus intereses convenga ante las autoridades competentes.</w:t>
      </w:r>
    </w:p>
    <w:p w14:paraId="022C369F" w14:textId="77777777" w:rsidR="00113351" w:rsidRDefault="00113351">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14:paraId="75382BAE" w14:textId="77777777" w:rsidR="00113351" w:rsidRDefault="002464AC">
      <w:pPr>
        <w:numPr>
          <w:ilvl w:val="0"/>
          <w:numId w:val="1"/>
        </w:numPr>
        <w:spacing w:line="360" w:lineRule="auto"/>
        <w:ind w:left="0" w:right="-929" w:firstLine="0"/>
        <w:jc w:val="both"/>
        <w:rPr>
          <w:color w:val="000000"/>
        </w:rPr>
      </w:pPr>
      <w:r>
        <w:rPr>
          <w:rFonts w:ascii="Palatino Linotype" w:eastAsia="Palatino Linotype" w:hAnsi="Palatino Linotype" w:cs="Palatino Linotype"/>
        </w:rPr>
        <w:t>Por</w:t>
      </w:r>
      <w:r>
        <w:rPr>
          <w:rFonts w:ascii="Palatino Linotype" w:eastAsia="Palatino Linotype" w:hAnsi="Palatino Linotype" w:cs="Palatino Linotype"/>
          <w:color w:val="000000"/>
        </w:rPr>
        <w:t xml:space="preserve">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w:t>
      </w:r>
      <w:r>
        <w:rPr>
          <w:rFonts w:ascii="Palatino Linotype" w:eastAsia="Palatino Linotype" w:hAnsi="Palatino Linotype" w:cs="Palatino Linotype"/>
        </w:rPr>
        <w:t>siguientes</w:t>
      </w:r>
      <w:r>
        <w:rPr>
          <w:rFonts w:ascii="Palatino Linotype" w:eastAsia="Palatino Linotype" w:hAnsi="Palatino Linotype" w:cs="Palatino Linotype"/>
          <w:color w:val="000000"/>
        </w:rPr>
        <w:t>:</w:t>
      </w:r>
    </w:p>
    <w:p w14:paraId="06F09BB7" w14:textId="77777777" w:rsidR="00113351" w:rsidRDefault="002464AC">
      <w:pPr>
        <w:pStyle w:val="Ttulo1"/>
        <w:spacing w:before="0" w:line="360" w:lineRule="auto"/>
        <w:ind w:right="-929"/>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57927C71" w14:textId="77777777" w:rsidR="00113351" w:rsidRDefault="00113351">
      <w:pPr>
        <w:spacing w:line="360" w:lineRule="auto"/>
        <w:ind w:right="-929"/>
        <w:rPr>
          <w:rFonts w:ascii="Palatino Linotype" w:eastAsia="Palatino Linotype" w:hAnsi="Palatino Linotype" w:cs="Palatino Linotype"/>
        </w:rPr>
      </w:pPr>
    </w:p>
    <w:p w14:paraId="29BCE766"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infundadas las razones o motivos de inconformidad hechos valer en el Recurso de Revisión </w:t>
      </w:r>
      <w:r>
        <w:rPr>
          <w:rFonts w:ascii="Palatino Linotype" w:eastAsia="Palatino Linotype" w:hAnsi="Palatino Linotype" w:cs="Palatino Linotype"/>
          <w:b/>
        </w:rPr>
        <w:t>00253/INFOEM/IP/RR/2024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14:paraId="4F06008E" w14:textId="77777777" w:rsidR="00113351" w:rsidRDefault="00113351">
      <w:pPr>
        <w:spacing w:line="360" w:lineRule="auto"/>
        <w:ind w:right="-929"/>
        <w:jc w:val="both"/>
        <w:rPr>
          <w:rFonts w:ascii="Palatino Linotype" w:eastAsia="Palatino Linotype" w:hAnsi="Palatino Linotype" w:cs="Palatino Linotype"/>
        </w:rPr>
      </w:pPr>
    </w:p>
    <w:p w14:paraId="345032E2" w14:textId="77777777" w:rsidR="00113351" w:rsidRDefault="002464AC">
      <w:pPr>
        <w:spacing w:line="360" w:lineRule="auto"/>
        <w:ind w:right="-929"/>
        <w:jc w:val="both"/>
        <w:rPr>
          <w:rFonts w:ascii="Palatino Linotype" w:eastAsia="Palatino Linotype" w:hAnsi="Palatino Linotype" w:cs="Palatino Linotype"/>
          <w:b/>
        </w:rPr>
      </w:pPr>
      <w:bookmarkStart w:id="9" w:name="_heading=h.4d34og8" w:colFirst="0" w:colLast="0"/>
      <w:bookmarkEnd w:id="9"/>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sidR="00710CE9">
        <w:rPr>
          <w:rFonts w:ascii="Palatino Linotype" w:eastAsia="Palatino Linotype" w:hAnsi="Palatino Linotype" w:cs="Palatino Linotype"/>
          <w:color w:val="000000"/>
        </w:rPr>
        <w:t>la respuesta emitida por 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Ayuntamiento de Tecámac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información</w:t>
      </w:r>
      <w:r>
        <w:rPr>
          <w:rFonts w:ascii="Palatino Linotype" w:eastAsia="Palatino Linotype" w:hAnsi="Palatino Linotype" w:cs="Palatino Linotype"/>
        </w:rPr>
        <w:t>:</w:t>
      </w:r>
    </w:p>
    <w:p w14:paraId="03BCE624" w14:textId="77777777" w:rsidR="00113351" w:rsidRDefault="002464AC">
      <w:pPr>
        <w:numPr>
          <w:ilvl w:val="0"/>
          <w:numId w:val="10"/>
        </w:numPr>
        <w:spacing w:line="360" w:lineRule="auto"/>
        <w:ind w:left="1134" w:right="-7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Acuerdo de Clasificación emitido por el Comité de Transparencia, en donde de manera fundada y motivada, a través de una prueba de daño, confirme la clasificación como reservada, en términos del artículo 140, fracción IV de la Ley de Transparencia y Acceso a la Información Pública del Estado de México y </w:t>
      </w:r>
      <w:r>
        <w:rPr>
          <w:rFonts w:ascii="Palatino Linotype" w:eastAsia="Palatino Linotype" w:hAnsi="Palatino Linotype" w:cs="Palatino Linotype"/>
          <w:b/>
          <w:sz w:val="22"/>
          <w:szCs w:val="22"/>
        </w:rPr>
        <w:lastRenderedPageBreak/>
        <w:t>Municipios, del pronunciamiento afirmativo y negativo respecto de lo solicitado en la solicitud de información 00007/TECAMAC/IP/2024.</w:t>
      </w:r>
    </w:p>
    <w:p w14:paraId="00D5A4FC" w14:textId="77777777" w:rsidR="00113351" w:rsidRDefault="00113351">
      <w:pPr>
        <w:spacing w:line="360" w:lineRule="auto"/>
        <w:ind w:right="-929"/>
        <w:jc w:val="both"/>
        <w:rPr>
          <w:rFonts w:ascii="Palatino Linotype" w:eastAsia="Palatino Linotype" w:hAnsi="Palatino Linotype" w:cs="Palatino Linotype"/>
        </w:rPr>
      </w:pPr>
    </w:p>
    <w:p w14:paraId="1F2709FA"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B678AA" w14:textId="77777777" w:rsidR="00113351" w:rsidRDefault="00113351">
      <w:pPr>
        <w:tabs>
          <w:tab w:val="left" w:pos="8080"/>
        </w:tabs>
        <w:spacing w:line="360" w:lineRule="auto"/>
        <w:ind w:right="-929"/>
        <w:jc w:val="both"/>
        <w:rPr>
          <w:rFonts w:ascii="Palatino Linotype" w:eastAsia="Palatino Linotype" w:hAnsi="Palatino Linotype" w:cs="Palatino Linotype"/>
          <w:highlight w:val="white"/>
        </w:rPr>
      </w:pPr>
    </w:p>
    <w:p w14:paraId="6E3FE39D" w14:textId="77777777" w:rsidR="00113351" w:rsidRDefault="002464AC">
      <w:pPr>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40BFC11" w14:textId="77777777" w:rsidR="00113351" w:rsidRDefault="00113351">
      <w:pPr>
        <w:spacing w:line="360" w:lineRule="auto"/>
        <w:ind w:right="-929"/>
        <w:jc w:val="both"/>
        <w:rPr>
          <w:rFonts w:ascii="Palatino Linotype" w:eastAsia="Palatino Linotype" w:hAnsi="Palatino Linotype" w:cs="Palatino Linotype"/>
        </w:rPr>
      </w:pPr>
    </w:p>
    <w:p w14:paraId="7AD1DFBB" w14:textId="77777777" w:rsidR="00113351" w:rsidRDefault="002464AC">
      <w:pPr>
        <w:tabs>
          <w:tab w:val="left" w:pos="8080"/>
        </w:tabs>
        <w:spacing w:line="360" w:lineRule="auto"/>
        <w:ind w:right="-929"/>
        <w:jc w:val="both"/>
        <w:rPr>
          <w:rFonts w:ascii="Palatino Linotype" w:eastAsia="Palatino Linotype" w:hAnsi="Palatino Linotype" w:cs="Palatino Linotype"/>
        </w:rPr>
      </w:pPr>
      <w:bookmarkStart w:id="10" w:name="_heading=h.2s8eyo1" w:colFirst="0" w:colLast="0"/>
      <w:bookmarkEnd w:id="10"/>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6080F4AE" w14:textId="77777777" w:rsidR="00113351" w:rsidRDefault="00113351">
      <w:pPr>
        <w:tabs>
          <w:tab w:val="left" w:pos="8080"/>
        </w:tabs>
        <w:spacing w:line="360" w:lineRule="auto"/>
        <w:ind w:right="-929"/>
        <w:jc w:val="both"/>
        <w:rPr>
          <w:rFonts w:ascii="Palatino Linotype" w:eastAsia="Palatino Linotype" w:hAnsi="Palatino Linotype" w:cs="Palatino Linotype"/>
        </w:rPr>
      </w:pPr>
    </w:p>
    <w:p w14:paraId="4E3798D8" w14:textId="77777777" w:rsidR="00113351" w:rsidRDefault="002464AC">
      <w:pPr>
        <w:shd w:val="clear" w:color="auto" w:fill="FFFFFF"/>
        <w:spacing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 vía recurso de inconformidad ante el Instituto Nacional de Transparencia, </w:t>
      </w:r>
      <w:r>
        <w:rPr>
          <w:rFonts w:ascii="Palatino Linotype" w:eastAsia="Palatino Linotype" w:hAnsi="Palatino Linotype" w:cs="Palatino Linotype"/>
        </w:rPr>
        <w:lastRenderedPageBreak/>
        <w:t>Acceso a la Información y Protección de Datos Personales; o bien, a través del juicio de amparo en los términos de las leyes aplicables.</w:t>
      </w:r>
    </w:p>
    <w:p w14:paraId="45EF63F2" w14:textId="77777777" w:rsidR="00113351" w:rsidRDefault="00113351">
      <w:pPr>
        <w:shd w:val="clear" w:color="auto" w:fill="FFFFFF"/>
        <w:spacing w:line="360" w:lineRule="auto"/>
        <w:ind w:right="-929"/>
        <w:jc w:val="both"/>
        <w:rPr>
          <w:rFonts w:ascii="Palatino Linotype" w:eastAsia="Palatino Linotype" w:hAnsi="Palatino Linotype" w:cs="Palatino Linotype"/>
        </w:rPr>
      </w:pPr>
    </w:p>
    <w:p w14:paraId="0BDA0DB7" w14:textId="77777777" w:rsidR="00710CE9" w:rsidRPr="003C7186" w:rsidRDefault="006C2644" w:rsidP="00710CE9">
      <w:pPr>
        <w:spacing w:line="360" w:lineRule="auto"/>
        <w:ind w:left="-142" w:right="-234" w:firstLine="1"/>
        <w:jc w:val="both"/>
        <w:rPr>
          <w:rFonts w:ascii="Palatino Linotype" w:hAnsi="Palatino Linotype"/>
        </w:rPr>
      </w:pPr>
      <w:r>
        <w:rPr>
          <w:rFonts w:ascii="Palatino Linotype" w:hAnsi="Palatino Linotype"/>
        </w:rPr>
        <w:t>ASÍ LO RESUELVE, POR MAYORÍA</w:t>
      </w:r>
      <w:r w:rsidR="00710CE9" w:rsidRPr="003C7186">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10CE9">
        <w:rPr>
          <w:rFonts w:ascii="Palatino Linotype" w:hAnsi="Palatino Linotype"/>
        </w:rPr>
        <w:t xml:space="preserve"> </w:t>
      </w:r>
      <w:r>
        <w:rPr>
          <w:rFonts w:ascii="Palatino Linotype" w:hAnsi="Palatino Linotype"/>
        </w:rPr>
        <w:t xml:space="preserve">EMITIENDO VOTO PARTICULAR </w:t>
      </w:r>
      <w:r w:rsidR="00710CE9">
        <w:rPr>
          <w:rFonts w:ascii="Palatino Linotype" w:hAnsi="Palatino Linotype"/>
        </w:rPr>
        <w:t>Y GUADALUPE RAMÍREZ PEÑA</w:t>
      </w:r>
      <w:r>
        <w:rPr>
          <w:rFonts w:ascii="Palatino Linotype" w:hAnsi="Palatino Linotype"/>
        </w:rPr>
        <w:t xml:space="preserve"> EMITIENDO VOTO DISIDENTE</w:t>
      </w:r>
      <w:r w:rsidR="00710CE9">
        <w:rPr>
          <w:rFonts w:ascii="Palatino Linotype" w:hAnsi="Palatino Linotype"/>
        </w:rPr>
        <w:t xml:space="preserve">; </w:t>
      </w:r>
      <w:r w:rsidR="00710CE9" w:rsidRPr="003C7186">
        <w:rPr>
          <w:rFonts w:ascii="Palatino Linotype" w:hAnsi="Palatino Linotype"/>
        </w:rPr>
        <w:t xml:space="preserve">EN LA </w:t>
      </w:r>
      <w:r w:rsidR="00710CE9">
        <w:rPr>
          <w:rFonts w:ascii="Palatino Linotype" w:hAnsi="Palatino Linotype"/>
        </w:rPr>
        <w:t xml:space="preserve">CUADRAGÉSIMA </w:t>
      </w:r>
      <w:r w:rsidR="00710CE9" w:rsidRPr="003C7186">
        <w:rPr>
          <w:rFonts w:ascii="Palatino Linotype" w:hAnsi="Palatino Linotype"/>
        </w:rPr>
        <w:t xml:space="preserve">SESIÓN ORDINARIA CELEBRADA EL </w:t>
      </w:r>
      <w:r w:rsidR="00710CE9">
        <w:rPr>
          <w:rFonts w:ascii="Palatino Linotype" w:hAnsi="Palatino Linotype"/>
        </w:rPr>
        <w:t>VEINTIUNO</w:t>
      </w:r>
      <w:r w:rsidR="00710CE9" w:rsidRPr="003C7186">
        <w:rPr>
          <w:rFonts w:ascii="Palatino Linotype" w:hAnsi="Palatino Linotype"/>
        </w:rPr>
        <w:t xml:space="preserve"> </w:t>
      </w:r>
      <w:r w:rsidR="00710CE9">
        <w:rPr>
          <w:rFonts w:ascii="Palatino Linotype" w:hAnsi="Palatino Linotype"/>
        </w:rPr>
        <w:t>(21) DE NOVIEMBRE</w:t>
      </w:r>
      <w:r w:rsidR="00710CE9" w:rsidRPr="003C7186">
        <w:rPr>
          <w:rFonts w:ascii="Palatino Linotype" w:hAnsi="Palatino Linotype"/>
        </w:rPr>
        <w:t xml:space="preserve"> DE DOS MIL VEINTICUATRO, ANTE EL SECRETARIO TÉCNICO DEL PLENO ALEXIS TAPIA RAMÍREZ. </w:t>
      </w:r>
    </w:p>
    <w:p w14:paraId="474CCDF1" w14:textId="77777777" w:rsidR="00113351" w:rsidRDefault="00113351">
      <w:pPr>
        <w:spacing w:line="360" w:lineRule="auto"/>
        <w:ind w:right="-929"/>
        <w:rPr>
          <w:rFonts w:ascii="Palatino Linotype" w:eastAsia="Palatino Linotype" w:hAnsi="Palatino Linotype" w:cs="Palatino Linotype"/>
        </w:rPr>
      </w:pPr>
    </w:p>
    <w:p w14:paraId="688573AF" w14:textId="77777777" w:rsidR="00113351" w:rsidRDefault="00113351">
      <w:pPr>
        <w:spacing w:line="360" w:lineRule="auto"/>
        <w:ind w:right="-929"/>
        <w:rPr>
          <w:rFonts w:ascii="Palatino Linotype" w:eastAsia="Palatino Linotype" w:hAnsi="Palatino Linotype" w:cs="Palatino Linotype"/>
        </w:rPr>
      </w:pPr>
    </w:p>
    <w:p w14:paraId="62B3F84F" w14:textId="77777777" w:rsidR="00113351" w:rsidRDefault="00113351">
      <w:pPr>
        <w:spacing w:line="360" w:lineRule="auto"/>
        <w:ind w:right="-929"/>
        <w:rPr>
          <w:rFonts w:ascii="Palatino Linotype" w:eastAsia="Palatino Linotype" w:hAnsi="Palatino Linotype" w:cs="Palatino Linotype"/>
        </w:rPr>
      </w:pPr>
    </w:p>
    <w:p w14:paraId="2D49D295" w14:textId="77777777" w:rsidR="00113351" w:rsidRDefault="00113351">
      <w:pPr>
        <w:spacing w:line="360" w:lineRule="auto"/>
        <w:ind w:right="-929"/>
        <w:rPr>
          <w:rFonts w:ascii="Palatino Linotype" w:eastAsia="Palatino Linotype" w:hAnsi="Palatino Linotype" w:cs="Palatino Linotype"/>
        </w:rPr>
      </w:pPr>
    </w:p>
    <w:p w14:paraId="0420567B" w14:textId="77777777" w:rsidR="00113351" w:rsidRDefault="00113351">
      <w:pPr>
        <w:spacing w:line="360" w:lineRule="auto"/>
        <w:ind w:right="-929"/>
        <w:rPr>
          <w:rFonts w:ascii="Palatino Linotype" w:eastAsia="Palatino Linotype" w:hAnsi="Palatino Linotype" w:cs="Palatino Linotype"/>
        </w:rPr>
      </w:pPr>
    </w:p>
    <w:p w14:paraId="67A25092" w14:textId="77777777" w:rsidR="00113351" w:rsidRDefault="00113351">
      <w:pPr>
        <w:spacing w:line="360" w:lineRule="auto"/>
        <w:ind w:right="-929"/>
        <w:rPr>
          <w:rFonts w:ascii="Palatino Linotype" w:eastAsia="Palatino Linotype" w:hAnsi="Palatino Linotype" w:cs="Palatino Linotype"/>
        </w:rPr>
      </w:pPr>
    </w:p>
    <w:p w14:paraId="58F9F177" w14:textId="77777777" w:rsidR="00113351" w:rsidRDefault="00113351">
      <w:pPr>
        <w:spacing w:line="360" w:lineRule="auto"/>
        <w:ind w:right="-929"/>
        <w:rPr>
          <w:rFonts w:ascii="Palatino Linotype" w:eastAsia="Palatino Linotype" w:hAnsi="Palatino Linotype" w:cs="Palatino Linotype"/>
        </w:rPr>
      </w:pPr>
    </w:p>
    <w:p w14:paraId="07B148D0" w14:textId="77777777" w:rsidR="00113351" w:rsidRDefault="002464AC">
      <w:pPr>
        <w:tabs>
          <w:tab w:val="left" w:pos="3374"/>
        </w:tabs>
        <w:spacing w:line="360" w:lineRule="auto"/>
        <w:ind w:right="-929"/>
        <w:rPr>
          <w:rFonts w:ascii="Palatino Linotype" w:eastAsia="Palatino Linotype" w:hAnsi="Palatino Linotype" w:cs="Palatino Linotype"/>
        </w:rPr>
      </w:pPr>
      <w:r>
        <w:rPr>
          <w:rFonts w:ascii="Palatino Linotype" w:eastAsia="Palatino Linotype" w:hAnsi="Palatino Linotype" w:cs="Palatino Linotype"/>
        </w:rPr>
        <w:tab/>
      </w:r>
    </w:p>
    <w:p w14:paraId="3742FA3A" w14:textId="77777777" w:rsidR="00113351" w:rsidRDefault="00113351">
      <w:pPr>
        <w:tabs>
          <w:tab w:val="left" w:pos="3374"/>
        </w:tabs>
        <w:spacing w:line="360" w:lineRule="auto"/>
        <w:ind w:right="-929"/>
        <w:rPr>
          <w:rFonts w:ascii="Palatino Linotype" w:eastAsia="Palatino Linotype" w:hAnsi="Palatino Linotype" w:cs="Palatino Linotype"/>
        </w:rPr>
      </w:pPr>
    </w:p>
    <w:p w14:paraId="1F86526C" w14:textId="77777777" w:rsidR="00113351" w:rsidRDefault="00113351">
      <w:pPr>
        <w:tabs>
          <w:tab w:val="left" w:pos="3374"/>
        </w:tabs>
        <w:spacing w:line="360" w:lineRule="auto"/>
        <w:ind w:right="-929"/>
        <w:rPr>
          <w:rFonts w:ascii="Palatino Linotype" w:eastAsia="Palatino Linotype" w:hAnsi="Palatino Linotype" w:cs="Palatino Linotype"/>
        </w:rPr>
      </w:pPr>
    </w:p>
    <w:p w14:paraId="7F14BA6B" w14:textId="77777777" w:rsidR="00113351" w:rsidRDefault="00113351">
      <w:pPr>
        <w:tabs>
          <w:tab w:val="left" w:pos="3374"/>
        </w:tabs>
        <w:spacing w:line="360" w:lineRule="auto"/>
        <w:ind w:right="-929"/>
        <w:rPr>
          <w:rFonts w:ascii="Palatino Linotype" w:eastAsia="Palatino Linotype" w:hAnsi="Palatino Linotype" w:cs="Palatino Linotype"/>
        </w:rPr>
      </w:pPr>
    </w:p>
    <w:p w14:paraId="59409C1F" w14:textId="77777777" w:rsidR="00113351" w:rsidRDefault="00113351">
      <w:pPr>
        <w:tabs>
          <w:tab w:val="left" w:pos="3374"/>
        </w:tabs>
        <w:spacing w:line="360" w:lineRule="auto"/>
        <w:ind w:right="-929"/>
        <w:rPr>
          <w:rFonts w:ascii="Palatino Linotype" w:eastAsia="Palatino Linotype" w:hAnsi="Palatino Linotype" w:cs="Palatino Linotype"/>
        </w:rPr>
      </w:pPr>
    </w:p>
    <w:p w14:paraId="1EB237D7" w14:textId="77777777" w:rsidR="00113351" w:rsidRDefault="00113351">
      <w:pPr>
        <w:tabs>
          <w:tab w:val="left" w:pos="3374"/>
        </w:tabs>
        <w:spacing w:line="360" w:lineRule="auto"/>
        <w:ind w:right="-929"/>
        <w:rPr>
          <w:rFonts w:ascii="Palatino Linotype" w:eastAsia="Palatino Linotype" w:hAnsi="Palatino Linotype" w:cs="Palatino Linotype"/>
        </w:rPr>
      </w:pPr>
    </w:p>
    <w:p w14:paraId="36150022" w14:textId="77777777" w:rsidR="00113351" w:rsidRDefault="00113351">
      <w:pPr>
        <w:tabs>
          <w:tab w:val="left" w:pos="3374"/>
        </w:tabs>
        <w:spacing w:line="360" w:lineRule="auto"/>
        <w:ind w:right="-929"/>
        <w:rPr>
          <w:rFonts w:ascii="Palatino Linotype" w:eastAsia="Palatino Linotype" w:hAnsi="Palatino Linotype" w:cs="Palatino Linotype"/>
        </w:rPr>
      </w:pPr>
    </w:p>
    <w:p w14:paraId="5EB2E7B3" w14:textId="77777777" w:rsidR="00113351" w:rsidRDefault="00113351">
      <w:pPr>
        <w:tabs>
          <w:tab w:val="left" w:pos="3374"/>
        </w:tabs>
        <w:spacing w:line="360" w:lineRule="auto"/>
        <w:ind w:right="-929"/>
        <w:rPr>
          <w:rFonts w:ascii="Palatino Linotype" w:eastAsia="Palatino Linotype" w:hAnsi="Palatino Linotype" w:cs="Palatino Linotype"/>
        </w:rPr>
      </w:pPr>
    </w:p>
    <w:p w14:paraId="106FA595" w14:textId="77777777" w:rsidR="00113351" w:rsidRDefault="00113351">
      <w:pPr>
        <w:tabs>
          <w:tab w:val="left" w:pos="3374"/>
        </w:tabs>
        <w:spacing w:line="360" w:lineRule="auto"/>
        <w:ind w:right="-929"/>
        <w:rPr>
          <w:rFonts w:ascii="Palatino Linotype" w:eastAsia="Palatino Linotype" w:hAnsi="Palatino Linotype" w:cs="Palatino Linotype"/>
        </w:rPr>
      </w:pPr>
    </w:p>
    <w:p w14:paraId="262FF9A8" w14:textId="77777777" w:rsidR="00113351" w:rsidRDefault="00113351">
      <w:pPr>
        <w:tabs>
          <w:tab w:val="left" w:pos="3374"/>
        </w:tabs>
        <w:spacing w:line="360" w:lineRule="auto"/>
        <w:ind w:right="-929"/>
        <w:rPr>
          <w:rFonts w:ascii="Palatino Linotype" w:eastAsia="Palatino Linotype" w:hAnsi="Palatino Linotype" w:cs="Palatino Linotype"/>
        </w:rPr>
      </w:pPr>
    </w:p>
    <w:p w14:paraId="1989622C" w14:textId="77777777" w:rsidR="00113351" w:rsidRDefault="00113351">
      <w:pPr>
        <w:tabs>
          <w:tab w:val="left" w:pos="3374"/>
        </w:tabs>
        <w:spacing w:line="360" w:lineRule="auto"/>
        <w:ind w:right="-929"/>
        <w:rPr>
          <w:rFonts w:ascii="Palatino Linotype" w:eastAsia="Palatino Linotype" w:hAnsi="Palatino Linotype" w:cs="Palatino Linotype"/>
        </w:rPr>
      </w:pPr>
    </w:p>
    <w:p w14:paraId="4687F80B" w14:textId="77777777" w:rsidR="00113351" w:rsidRDefault="00113351">
      <w:pPr>
        <w:tabs>
          <w:tab w:val="left" w:pos="3374"/>
        </w:tabs>
        <w:spacing w:line="360" w:lineRule="auto"/>
        <w:ind w:right="-929"/>
        <w:rPr>
          <w:rFonts w:ascii="Palatino Linotype" w:eastAsia="Palatino Linotype" w:hAnsi="Palatino Linotype" w:cs="Palatino Linotype"/>
        </w:rPr>
      </w:pPr>
    </w:p>
    <w:p w14:paraId="69439177" w14:textId="77777777" w:rsidR="00113351" w:rsidRDefault="00113351">
      <w:pPr>
        <w:tabs>
          <w:tab w:val="left" w:pos="3374"/>
        </w:tabs>
        <w:spacing w:line="360" w:lineRule="auto"/>
        <w:ind w:right="-929"/>
        <w:rPr>
          <w:rFonts w:ascii="Palatino Linotype" w:eastAsia="Palatino Linotype" w:hAnsi="Palatino Linotype" w:cs="Palatino Linotype"/>
        </w:rPr>
      </w:pPr>
    </w:p>
    <w:p w14:paraId="60306968" w14:textId="77777777" w:rsidR="00113351" w:rsidRDefault="00113351">
      <w:pPr>
        <w:tabs>
          <w:tab w:val="left" w:pos="3374"/>
        </w:tabs>
        <w:spacing w:line="360" w:lineRule="auto"/>
        <w:ind w:right="-929"/>
        <w:rPr>
          <w:rFonts w:ascii="Palatino Linotype" w:eastAsia="Palatino Linotype" w:hAnsi="Palatino Linotype" w:cs="Palatino Linotype"/>
        </w:rPr>
      </w:pPr>
    </w:p>
    <w:p w14:paraId="3C489931" w14:textId="77777777" w:rsidR="00113351" w:rsidRDefault="00113351">
      <w:pPr>
        <w:tabs>
          <w:tab w:val="left" w:pos="3374"/>
        </w:tabs>
        <w:spacing w:line="360" w:lineRule="auto"/>
        <w:ind w:right="-929"/>
        <w:rPr>
          <w:rFonts w:ascii="Palatino Linotype" w:eastAsia="Palatino Linotype" w:hAnsi="Palatino Linotype" w:cs="Palatino Linotype"/>
        </w:rPr>
      </w:pPr>
    </w:p>
    <w:p w14:paraId="4829C18B" w14:textId="77777777" w:rsidR="00113351" w:rsidRDefault="00113351">
      <w:pPr>
        <w:tabs>
          <w:tab w:val="left" w:pos="3374"/>
        </w:tabs>
        <w:spacing w:line="360" w:lineRule="auto"/>
        <w:ind w:right="-929"/>
        <w:rPr>
          <w:rFonts w:ascii="Palatino Linotype" w:eastAsia="Palatino Linotype" w:hAnsi="Palatino Linotype" w:cs="Palatino Linotype"/>
        </w:rPr>
      </w:pPr>
    </w:p>
    <w:p w14:paraId="04F2DC0C" w14:textId="77777777" w:rsidR="00113351" w:rsidRDefault="00113351">
      <w:pPr>
        <w:tabs>
          <w:tab w:val="left" w:pos="3374"/>
        </w:tabs>
        <w:spacing w:line="360" w:lineRule="auto"/>
        <w:ind w:right="-929"/>
        <w:rPr>
          <w:rFonts w:ascii="Palatino Linotype" w:eastAsia="Palatino Linotype" w:hAnsi="Palatino Linotype" w:cs="Palatino Linotype"/>
        </w:rPr>
      </w:pPr>
    </w:p>
    <w:p w14:paraId="73F07712" w14:textId="77777777" w:rsidR="00113351" w:rsidRDefault="00113351">
      <w:pPr>
        <w:tabs>
          <w:tab w:val="left" w:pos="3374"/>
        </w:tabs>
        <w:spacing w:line="360" w:lineRule="auto"/>
        <w:ind w:right="-929"/>
        <w:rPr>
          <w:rFonts w:ascii="Palatino Linotype" w:eastAsia="Palatino Linotype" w:hAnsi="Palatino Linotype" w:cs="Palatino Linotype"/>
        </w:rPr>
      </w:pPr>
    </w:p>
    <w:p w14:paraId="6B14EF03" w14:textId="77777777" w:rsidR="00113351" w:rsidRDefault="00113351">
      <w:pPr>
        <w:tabs>
          <w:tab w:val="left" w:pos="3374"/>
        </w:tabs>
        <w:spacing w:line="360" w:lineRule="auto"/>
        <w:ind w:right="-929"/>
        <w:rPr>
          <w:rFonts w:ascii="Palatino Linotype" w:eastAsia="Palatino Linotype" w:hAnsi="Palatino Linotype" w:cs="Palatino Linotype"/>
        </w:rPr>
      </w:pPr>
    </w:p>
    <w:p w14:paraId="1D224180" w14:textId="77777777" w:rsidR="00113351" w:rsidRDefault="00113351">
      <w:pPr>
        <w:tabs>
          <w:tab w:val="left" w:pos="3374"/>
        </w:tabs>
        <w:spacing w:line="360" w:lineRule="auto"/>
        <w:ind w:right="-929"/>
        <w:rPr>
          <w:rFonts w:ascii="Palatino Linotype" w:eastAsia="Palatino Linotype" w:hAnsi="Palatino Linotype" w:cs="Palatino Linotype"/>
        </w:rPr>
      </w:pPr>
    </w:p>
    <w:p w14:paraId="46378545" w14:textId="77777777" w:rsidR="00113351" w:rsidRDefault="00113351">
      <w:pPr>
        <w:spacing w:line="360" w:lineRule="auto"/>
        <w:ind w:right="-929"/>
        <w:rPr>
          <w:rFonts w:ascii="Palatino Linotype" w:eastAsia="Palatino Linotype" w:hAnsi="Palatino Linotype" w:cs="Palatino Linotype"/>
        </w:rPr>
      </w:pPr>
    </w:p>
    <w:p w14:paraId="5B0083A1" w14:textId="77777777" w:rsidR="00113351" w:rsidRDefault="00113351">
      <w:pPr>
        <w:spacing w:line="360" w:lineRule="auto"/>
        <w:ind w:right="-929"/>
        <w:rPr>
          <w:rFonts w:ascii="Palatino Linotype" w:eastAsia="Palatino Linotype" w:hAnsi="Palatino Linotype" w:cs="Palatino Linotype"/>
        </w:rPr>
      </w:pPr>
    </w:p>
    <w:sectPr w:rsidR="00113351">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9AA41" w14:textId="77777777" w:rsidR="00726420" w:rsidRDefault="00726420">
      <w:r>
        <w:separator/>
      </w:r>
    </w:p>
  </w:endnote>
  <w:endnote w:type="continuationSeparator" w:id="0">
    <w:p w14:paraId="7B6F2D7B" w14:textId="77777777" w:rsidR="00726420" w:rsidRDefault="0072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AB0B" w14:textId="77777777" w:rsidR="00113351" w:rsidRDefault="002464A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12932">
      <w:rPr>
        <w:rFonts w:ascii="Palatino Linotype" w:eastAsia="Palatino Linotype" w:hAnsi="Palatino Linotype" w:cs="Palatino Linotype"/>
        <w:noProof/>
        <w:color w:val="000000"/>
        <w:sz w:val="20"/>
        <w:szCs w:val="20"/>
      </w:rPr>
      <w:t>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12932">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14:paraId="7CAF9684" w14:textId="77777777" w:rsidR="00113351" w:rsidRDefault="00113351">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97DE" w14:textId="77777777" w:rsidR="00113351" w:rsidRDefault="002464A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1293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12932">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p>
  <w:p w14:paraId="7D48EAA6" w14:textId="77777777" w:rsidR="00113351" w:rsidRDefault="00113351">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156D" w14:textId="77777777" w:rsidR="00726420" w:rsidRDefault="00726420">
      <w:r>
        <w:separator/>
      </w:r>
    </w:p>
  </w:footnote>
  <w:footnote w:type="continuationSeparator" w:id="0">
    <w:p w14:paraId="77389840" w14:textId="77777777" w:rsidR="00726420" w:rsidRDefault="0072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02D9" w14:textId="77777777" w:rsidR="00113351" w:rsidRDefault="00726420">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3C84B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5CBE" w14:textId="77777777" w:rsidR="00113351" w:rsidRDefault="00113351">
    <w:pPr>
      <w:widowControl w:val="0"/>
      <w:pBdr>
        <w:top w:val="nil"/>
        <w:left w:val="nil"/>
        <w:bottom w:val="nil"/>
        <w:right w:val="nil"/>
        <w:between w:val="nil"/>
      </w:pBdr>
      <w:spacing w:line="276" w:lineRule="auto"/>
      <w:rPr>
        <w:rFonts w:eastAsia="Calibri"/>
        <w:color w:val="000000"/>
      </w:rPr>
    </w:pPr>
  </w:p>
  <w:tbl>
    <w:tblPr>
      <w:tblStyle w:val="a"/>
      <w:tblW w:w="7470" w:type="dxa"/>
      <w:tblInd w:w="2694" w:type="dxa"/>
      <w:tblLayout w:type="fixed"/>
      <w:tblLook w:val="0400" w:firstRow="0" w:lastRow="0" w:firstColumn="0" w:lastColumn="0" w:noHBand="0" w:noVBand="1"/>
    </w:tblPr>
    <w:tblGrid>
      <w:gridCol w:w="3465"/>
      <w:gridCol w:w="4005"/>
    </w:tblGrid>
    <w:tr w:rsidR="00113351" w14:paraId="7965481E" w14:textId="77777777">
      <w:trPr>
        <w:trHeight w:val="227"/>
      </w:trPr>
      <w:tc>
        <w:tcPr>
          <w:tcW w:w="3465" w:type="dxa"/>
          <w:vAlign w:val="center"/>
        </w:tcPr>
        <w:p w14:paraId="6624B365" w14:textId="77777777" w:rsidR="00113351" w:rsidRDefault="002464AC">
          <w:pPr>
            <w:ind w:left="850" w:right="-3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vAlign w:val="center"/>
        </w:tcPr>
        <w:p w14:paraId="290329BF" w14:textId="77777777" w:rsidR="00113351" w:rsidRDefault="002464AC">
          <w:pPr>
            <w:pBdr>
              <w:top w:val="nil"/>
              <w:left w:val="nil"/>
              <w:bottom w:val="nil"/>
              <w:right w:val="nil"/>
              <w:between w:val="nil"/>
            </w:pBdr>
            <w:ind w:left="78" w:right="-101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00253/INFOEM/IP/RR/2024</w:t>
          </w:r>
        </w:p>
      </w:tc>
    </w:tr>
    <w:tr w:rsidR="00113351" w14:paraId="7BA5D6C9" w14:textId="77777777">
      <w:trPr>
        <w:trHeight w:val="242"/>
      </w:trPr>
      <w:tc>
        <w:tcPr>
          <w:tcW w:w="3465" w:type="dxa"/>
          <w:vAlign w:val="center"/>
        </w:tcPr>
        <w:p w14:paraId="3D8CAEE5" w14:textId="77777777" w:rsidR="00113351" w:rsidRDefault="002464AC">
          <w:pPr>
            <w:ind w:left="850" w:right="-3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vAlign w:val="center"/>
        </w:tcPr>
        <w:p w14:paraId="591E54BE" w14:textId="77777777" w:rsidR="00113351" w:rsidRDefault="002464AC">
          <w:pPr>
            <w:pBdr>
              <w:top w:val="nil"/>
              <w:left w:val="nil"/>
              <w:bottom w:val="nil"/>
              <w:right w:val="nil"/>
              <w:between w:val="nil"/>
            </w:pBdr>
            <w:ind w:left="78" w:right="-1010"/>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Tecámac</w:t>
          </w:r>
        </w:p>
      </w:tc>
    </w:tr>
    <w:tr w:rsidR="00113351" w14:paraId="4124A596" w14:textId="77777777">
      <w:trPr>
        <w:trHeight w:val="342"/>
      </w:trPr>
      <w:tc>
        <w:tcPr>
          <w:tcW w:w="3465" w:type="dxa"/>
          <w:vAlign w:val="center"/>
        </w:tcPr>
        <w:p w14:paraId="242DCE17" w14:textId="77777777" w:rsidR="00113351" w:rsidRDefault="002464AC">
          <w:pPr>
            <w:ind w:left="850" w:right="-36"/>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vAlign w:val="center"/>
        </w:tcPr>
        <w:p w14:paraId="0C47FF95" w14:textId="77777777" w:rsidR="00113351" w:rsidRDefault="002464AC">
          <w:pPr>
            <w:pBdr>
              <w:top w:val="nil"/>
              <w:left w:val="nil"/>
              <w:bottom w:val="nil"/>
              <w:right w:val="nil"/>
              <w:between w:val="nil"/>
            </w:pBdr>
            <w:ind w:left="78" w:right="-101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35F136A5" w14:textId="77777777" w:rsidR="00113351" w:rsidRDefault="00726420">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4B059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CF7B" w14:textId="77777777" w:rsidR="00113351" w:rsidRDefault="00113351">
    <w:pPr>
      <w:widowControl w:val="0"/>
      <w:pBdr>
        <w:top w:val="nil"/>
        <w:left w:val="nil"/>
        <w:bottom w:val="nil"/>
        <w:right w:val="nil"/>
        <w:between w:val="nil"/>
      </w:pBdr>
      <w:spacing w:line="276" w:lineRule="auto"/>
      <w:rPr>
        <w:rFonts w:eastAsia="Calibri"/>
        <w:color w:val="000000"/>
        <w:sz w:val="14"/>
        <w:szCs w:val="14"/>
      </w:rPr>
    </w:pPr>
  </w:p>
  <w:tbl>
    <w:tblPr>
      <w:tblStyle w:val="a0"/>
      <w:tblW w:w="6600" w:type="dxa"/>
      <w:tblInd w:w="3377" w:type="dxa"/>
      <w:tblLayout w:type="fixed"/>
      <w:tblLook w:val="0400" w:firstRow="0" w:lastRow="0" w:firstColumn="0" w:lastColumn="0" w:noHBand="0" w:noVBand="1"/>
    </w:tblPr>
    <w:tblGrid>
      <w:gridCol w:w="3045"/>
      <w:gridCol w:w="3555"/>
    </w:tblGrid>
    <w:tr w:rsidR="00113351" w14:paraId="13757716" w14:textId="77777777">
      <w:trPr>
        <w:trHeight w:val="281"/>
      </w:trPr>
      <w:tc>
        <w:tcPr>
          <w:tcW w:w="3045" w:type="dxa"/>
          <w:vAlign w:val="center"/>
        </w:tcPr>
        <w:p w14:paraId="3C747B86" w14:textId="77777777" w:rsidR="00113351" w:rsidRDefault="002464AC">
          <w:pPr>
            <w:ind w:left="708" w:right="-8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55" w:type="dxa"/>
          <w:vAlign w:val="center"/>
        </w:tcPr>
        <w:p w14:paraId="5BB3955A" w14:textId="77777777" w:rsidR="00113351" w:rsidRDefault="002464AC">
          <w:pPr>
            <w:pBdr>
              <w:top w:val="nil"/>
              <w:left w:val="nil"/>
              <w:bottom w:val="nil"/>
              <w:right w:val="nil"/>
              <w:between w:val="nil"/>
            </w:pBdr>
            <w:tabs>
              <w:tab w:val="right" w:pos="8838"/>
            </w:tabs>
            <w:ind w:left="141" w:right="-8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00253/INFOEM/IP/RR/2024</w:t>
          </w:r>
        </w:p>
      </w:tc>
    </w:tr>
    <w:tr w:rsidR="00113351" w14:paraId="5AFCB80F" w14:textId="77777777">
      <w:trPr>
        <w:trHeight w:val="281"/>
      </w:trPr>
      <w:tc>
        <w:tcPr>
          <w:tcW w:w="3045" w:type="dxa"/>
          <w:vAlign w:val="center"/>
        </w:tcPr>
        <w:p w14:paraId="1C665538" w14:textId="77777777" w:rsidR="00113351" w:rsidRDefault="002464AC">
          <w:pPr>
            <w:ind w:left="708" w:right="-8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55" w:type="dxa"/>
        </w:tcPr>
        <w:p w14:paraId="1CE01119" w14:textId="77777777" w:rsidR="00113351" w:rsidRDefault="00113351">
          <w:pPr>
            <w:pBdr>
              <w:top w:val="nil"/>
              <w:left w:val="nil"/>
              <w:bottom w:val="nil"/>
              <w:right w:val="nil"/>
              <w:between w:val="nil"/>
            </w:pBdr>
            <w:tabs>
              <w:tab w:val="left" w:pos="521"/>
            </w:tabs>
            <w:ind w:left="141" w:right="-81"/>
            <w:rPr>
              <w:rFonts w:ascii="Palatino Linotype" w:eastAsia="Palatino Linotype" w:hAnsi="Palatino Linotype" w:cs="Palatino Linotype"/>
              <w:color w:val="000000"/>
              <w:sz w:val="22"/>
              <w:szCs w:val="22"/>
              <w:highlight w:val="green"/>
            </w:rPr>
          </w:pPr>
        </w:p>
      </w:tc>
    </w:tr>
    <w:tr w:rsidR="00113351" w14:paraId="671B83B2" w14:textId="77777777">
      <w:trPr>
        <w:trHeight w:val="327"/>
      </w:trPr>
      <w:tc>
        <w:tcPr>
          <w:tcW w:w="3045" w:type="dxa"/>
          <w:vAlign w:val="center"/>
        </w:tcPr>
        <w:p w14:paraId="2C2DF855" w14:textId="77777777" w:rsidR="00113351" w:rsidRDefault="002464AC">
          <w:pPr>
            <w:ind w:left="708" w:right="-8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55" w:type="dxa"/>
          <w:vAlign w:val="center"/>
        </w:tcPr>
        <w:p w14:paraId="7A9CA965" w14:textId="77777777" w:rsidR="00113351" w:rsidRDefault="002464AC">
          <w:pPr>
            <w:pBdr>
              <w:top w:val="nil"/>
              <w:left w:val="nil"/>
              <w:bottom w:val="nil"/>
              <w:right w:val="nil"/>
              <w:between w:val="nil"/>
            </w:pBdr>
            <w:tabs>
              <w:tab w:val="right" w:pos="8838"/>
            </w:tabs>
            <w:ind w:left="141" w:right="-81"/>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Tecámac</w:t>
          </w:r>
        </w:p>
      </w:tc>
    </w:tr>
    <w:tr w:rsidR="00113351" w14:paraId="4F35A99C" w14:textId="77777777">
      <w:trPr>
        <w:trHeight w:val="563"/>
      </w:trPr>
      <w:tc>
        <w:tcPr>
          <w:tcW w:w="3045" w:type="dxa"/>
          <w:vAlign w:val="center"/>
        </w:tcPr>
        <w:p w14:paraId="2598352F" w14:textId="77777777" w:rsidR="00113351" w:rsidRDefault="002464AC">
          <w:pPr>
            <w:ind w:left="708" w:right="-8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55" w:type="dxa"/>
          <w:vAlign w:val="center"/>
        </w:tcPr>
        <w:p w14:paraId="5B3D06AB" w14:textId="77777777" w:rsidR="00113351" w:rsidRDefault="002464AC">
          <w:pPr>
            <w:pBdr>
              <w:top w:val="nil"/>
              <w:left w:val="nil"/>
              <w:bottom w:val="nil"/>
              <w:right w:val="nil"/>
              <w:between w:val="nil"/>
            </w:pBdr>
            <w:tabs>
              <w:tab w:val="right" w:pos="8838"/>
            </w:tabs>
            <w:ind w:left="141" w:right="-8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8B89731" w14:textId="77777777" w:rsidR="00113351" w:rsidRDefault="00726420">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30476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2253D"/>
    <w:multiLevelType w:val="multilevel"/>
    <w:tmpl w:val="B564552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6275369"/>
    <w:multiLevelType w:val="multilevel"/>
    <w:tmpl w:val="65D6517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65B3A15"/>
    <w:multiLevelType w:val="multilevel"/>
    <w:tmpl w:val="FC54C5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0D3ACF"/>
    <w:multiLevelType w:val="multilevel"/>
    <w:tmpl w:val="B678CDB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CE20449"/>
    <w:multiLevelType w:val="multilevel"/>
    <w:tmpl w:val="2CB80E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0B3C26"/>
    <w:multiLevelType w:val="multilevel"/>
    <w:tmpl w:val="578E440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408A3EC0"/>
    <w:multiLevelType w:val="multilevel"/>
    <w:tmpl w:val="0E98193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568F6F92"/>
    <w:multiLevelType w:val="multilevel"/>
    <w:tmpl w:val="2D708DB4"/>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8" w15:restartNumberingAfterBreak="0">
    <w:nsid w:val="58AA2E96"/>
    <w:multiLevelType w:val="multilevel"/>
    <w:tmpl w:val="F808F41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 w15:restartNumberingAfterBreak="0">
    <w:nsid w:val="5A76297C"/>
    <w:multiLevelType w:val="multilevel"/>
    <w:tmpl w:val="5CBCEA7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36B3CDF"/>
    <w:multiLevelType w:val="multilevel"/>
    <w:tmpl w:val="048E008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3"/>
  </w:num>
  <w:num w:numId="3">
    <w:abstractNumId w:val="1"/>
  </w:num>
  <w:num w:numId="4">
    <w:abstractNumId w:val="10"/>
  </w:num>
  <w:num w:numId="5">
    <w:abstractNumId w:val="0"/>
  </w:num>
  <w:num w:numId="6">
    <w:abstractNumId w:val="9"/>
  </w:num>
  <w:num w:numId="7">
    <w:abstractNumId w:val="5"/>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51"/>
    <w:rsid w:val="00110923"/>
    <w:rsid w:val="00113351"/>
    <w:rsid w:val="001664F0"/>
    <w:rsid w:val="002464AC"/>
    <w:rsid w:val="00352951"/>
    <w:rsid w:val="00612932"/>
    <w:rsid w:val="006C2644"/>
    <w:rsid w:val="006D7123"/>
    <w:rsid w:val="00710CE9"/>
    <w:rsid w:val="00726420"/>
    <w:rsid w:val="00896552"/>
    <w:rsid w:val="00BB7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B5041"/>
  <w15:docId w15:val="{D71425B2-01A8-4DFA-B253-C1E3FE46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niHV/dwJC2dZkySBHPcx7QpEA==">CgMxLjAyCGguZ2pkZ3hzMgloLjMwajB6bGwyCWguMWZvYjl0ZTIJaC4zem55c2g3MgloLjJldDkycDAyCGgudHlqY3d0MgloLjNkeTZ2a20yCWguMXQzaDVzZjIJaC40ZDM0b2c4MgloLjJzOGV5bzE4AHIhMXUweXItNXF4UjA3bVlsdzZETVB1SWNkVmd4dzlRclR2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8284</Words>
  <Characters>45563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7</cp:revision>
  <cp:lastPrinted>2024-11-25T17:58:00Z</cp:lastPrinted>
  <dcterms:created xsi:type="dcterms:W3CDTF">2024-11-14T02:06:00Z</dcterms:created>
  <dcterms:modified xsi:type="dcterms:W3CDTF">2025-01-28T21:15:00Z</dcterms:modified>
</cp:coreProperties>
</file>