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83802" w14:textId="1873C99B" w:rsidR="00A83B4F" w:rsidRPr="00A473F1" w:rsidRDefault="0029071C" w:rsidP="00EB0964">
      <w:pPr>
        <w:shd w:val="clear" w:color="auto" w:fill="FFFFFF"/>
        <w:spacing w:line="360" w:lineRule="auto"/>
        <w:jc w:val="both"/>
        <w:rPr>
          <w:rFonts w:ascii="Palatino Linotype" w:hAnsi="Palatino Linotype" w:cs="Arial"/>
          <w:color w:val="000000"/>
          <w:lang w:val="es-MX" w:eastAsia="es-MX"/>
        </w:rPr>
      </w:pPr>
      <w:r w:rsidRPr="00A473F1">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D52DCB" w:rsidRPr="00A473F1">
        <w:rPr>
          <w:rFonts w:ascii="Palatino Linotype" w:hAnsi="Palatino Linotype" w:cs="Arial"/>
          <w:color w:val="000000"/>
          <w:lang w:val="es-MX" w:eastAsia="es-MX"/>
        </w:rPr>
        <w:t>ocho de febrero</w:t>
      </w:r>
      <w:r w:rsidR="00812DDF" w:rsidRPr="00A473F1">
        <w:rPr>
          <w:rFonts w:ascii="Palatino Linotype" w:hAnsi="Palatino Linotype" w:cs="Arial"/>
          <w:color w:val="000000"/>
          <w:lang w:val="es-MX" w:eastAsia="es-MX"/>
        </w:rPr>
        <w:t xml:space="preserve"> </w:t>
      </w:r>
      <w:r w:rsidR="00883F4B" w:rsidRPr="00A473F1">
        <w:rPr>
          <w:rFonts w:ascii="Palatino Linotype" w:hAnsi="Palatino Linotype" w:cs="Arial"/>
          <w:color w:val="000000"/>
          <w:lang w:val="es-MX" w:eastAsia="es-MX"/>
        </w:rPr>
        <w:t xml:space="preserve">de </w:t>
      </w:r>
      <w:r w:rsidR="00812DDF" w:rsidRPr="00A473F1">
        <w:rPr>
          <w:rFonts w:ascii="Palatino Linotype" w:hAnsi="Palatino Linotype" w:cs="Arial"/>
          <w:color w:val="000000"/>
          <w:lang w:val="es-MX" w:eastAsia="es-MX"/>
        </w:rPr>
        <w:t>dos mil veinti</w:t>
      </w:r>
      <w:r w:rsidR="00D1750D" w:rsidRPr="00A473F1">
        <w:rPr>
          <w:rFonts w:ascii="Palatino Linotype" w:hAnsi="Palatino Linotype" w:cs="Arial"/>
          <w:color w:val="000000"/>
          <w:lang w:val="es-MX" w:eastAsia="es-MX"/>
        </w:rPr>
        <w:t>cuatro</w:t>
      </w:r>
      <w:r w:rsidRPr="00A473F1">
        <w:rPr>
          <w:rFonts w:ascii="Palatino Linotype" w:hAnsi="Palatino Linotype" w:cs="Arial"/>
          <w:color w:val="000000"/>
          <w:lang w:val="es-MX" w:eastAsia="es-MX"/>
        </w:rPr>
        <w:t>.</w:t>
      </w:r>
    </w:p>
    <w:p w14:paraId="4603DE7D" w14:textId="77777777" w:rsidR="00EB0964" w:rsidRPr="00A473F1" w:rsidRDefault="00EB0964" w:rsidP="00EB0964">
      <w:pPr>
        <w:shd w:val="clear" w:color="auto" w:fill="FFFFFF"/>
        <w:spacing w:line="360" w:lineRule="auto"/>
        <w:jc w:val="both"/>
        <w:rPr>
          <w:rFonts w:ascii="Palatino Linotype" w:hAnsi="Palatino Linotype" w:cs="Arial"/>
          <w:color w:val="000000"/>
          <w:lang w:val="es-MX" w:eastAsia="es-MX"/>
        </w:rPr>
      </w:pPr>
    </w:p>
    <w:p w14:paraId="65E7FE51" w14:textId="7D934FBA" w:rsidR="00C753C2" w:rsidRPr="00A473F1" w:rsidRDefault="0029071C" w:rsidP="00C753C2">
      <w:pPr>
        <w:tabs>
          <w:tab w:val="left" w:pos="1701"/>
        </w:tabs>
        <w:spacing w:line="360" w:lineRule="auto"/>
        <w:jc w:val="both"/>
        <w:rPr>
          <w:rFonts w:ascii="Palatino Linotype" w:eastAsiaTheme="minorHAnsi" w:hAnsi="Palatino Linotype" w:cs="Arial"/>
          <w:lang w:val="es-MX" w:eastAsia="en-US"/>
        </w:rPr>
      </w:pPr>
      <w:r w:rsidRPr="00A473F1">
        <w:rPr>
          <w:rFonts w:ascii="Palatino Linotype" w:eastAsiaTheme="minorHAnsi" w:hAnsi="Palatino Linotype" w:cs="Arial"/>
          <w:b/>
          <w:lang w:val="es-MX" w:eastAsia="en-US"/>
        </w:rPr>
        <w:t>VISTO</w:t>
      </w:r>
      <w:r w:rsidRPr="00A473F1">
        <w:rPr>
          <w:rFonts w:ascii="Palatino Linotype" w:eastAsiaTheme="minorHAnsi" w:hAnsi="Palatino Linotype" w:cs="Arial"/>
          <w:lang w:val="es-MX" w:eastAsia="en-US"/>
        </w:rPr>
        <w:t xml:space="preserve"> el expediente electrónico formado con motivo del recurso de revisión número </w:t>
      </w:r>
      <w:r w:rsidR="00D76EF7" w:rsidRPr="00A473F1">
        <w:rPr>
          <w:rFonts w:ascii="Palatino Linotype" w:eastAsiaTheme="minorHAnsi" w:hAnsi="Palatino Linotype" w:cs="Arial"/>
          <w:b/>
          <w:lang w:val="es-MX" w:eastAsia="en-US"/>
        </w:rPr>
        <w:t>0</w:t>
      </w:r>
      <w:r w:rsidR="00EB0964" w:rsidRPr="00A473F1">
        <w:rPr>
          <w:rFonts w:ascii="Palatino Linotype" w:eastAsiaTheme="minorHAnsi" w:hAnsi="Palatino Linotype" w:cs="Arial"/>
          <w:b/>
          <w:lang w:val="es-MX" w:eastAsia="en-US"/>
        </w:rPr>
        <w:t>6</w:t>
      </w:r>
      <w:r w:rsidR="00D52DCB" w:rsidRPr="00A473F1">
        <w:rPr>
          <w:rFonts w:ascii="Palatino Linotype" w:eastAsiaTheme="minorHAnsi" w:hAnsi="Palatino Linotype" w:cs="Arial"/>
          <w:b/>
          <w:lang w:val="es-MX" w:eastAsia="en-US"/>
        </w:rPr>
        <w:t>6</w:t>
      </w:r>
      <w:r w:rsidR="00E34AF2" w:rsidRPr="00A473F1">
        <w:rPr>
          <w:rFonts w:ascii="Palatino Linotype" w:eastAsiaTheme="minorHAnsi" w:hAnsi="Palatino Linotype" w:cs="Arial"/>
          <w:b/>
          <w:lang w:val="es-MX" w:eastAsia="en-US"/>
        </w:rPr>
        <w:t>0</w:t>
      </w:r>
      <w:r w:rsidR="00971202" w:rsidRPr="00A473F1">
        <w:rPr>
          <w:rFonts w:ascii="Palatino Linotype" w:eastAsiaTheme="minorHAnsi" w:hAnsi="Palatino Linotype" w:cs="Arial"/>
          <w:b/>
          <w:lang w:val="es-MX" w:eastAsia="en-US"/>
        </w:rPr>
        <w:t>5</w:t>
      </w:r>
      <w:r w:rsidRPr="00A473F1">
        <w:rPr>
          <w:rFonts w:ascii="Palatino Linotype" w:eastAsiaTheme="minorHAnsi" w:hAnsi="Palatino Linotype" w:cs="Arial"/>
          <w:b/>
          <w:bCs/>
          <w:lang w:val="es-MX" w:eastAsia="es-MX"/>
        </w:rPr>
        <w:t>/INFOEM/IP/RR/202</w:t>
      </w:r>
      <w:r w:rsidR="00D76EF7" w:rsidRPr="00A473F1">
        <w:rPr>
          <w:rFonts w:ascii="Palatino Linotype" w:eastAsiaTheme="minorHAnsi" w:hAnsi="Palatino Linotype" w:cs="Arial"/>
          <w:b/>
          <w:bCs/>
          <w:lang w:val="es-MX" w:eastAsia="es-MX"/>
        </w:rPr>
        <w:t>3</w:t>
      </w:r>
      <w:r w:rsidRPr="00A473F1">
        <w:rPr>
          <w:rFonts w:ascii="Palatino Linotype" w:eastAsiaTheme="minorHAnsi" w:hAnsi="Palatino Linotype" w:cs="Arial"/>
          <w:lang w:val="es-MX" w:eastAsia="en-US"/>
        </w:rPr>
        <w:t xml:space="preserve">, </w:t>
      </w:r>
      <w:r w:rsidR="00DE407A" w:rsidRPr="00A473F1">
        <w:rPr>
          <w:rFonts w:ascii="Palatino Linotype" w:hAnsi="Palatino Linotype" w:cs="Arial"/>
        </w:rPr>
        <w:t xml:space="preserve">interpuesto </w:t>
      </w:r>
      <w:r w:rsidR="00EF75EF" w:rsidRPr="00A473F1">
        <w:rPr>
          <w:rFonts w:ascii="Palatino Linotype" w:hAnsi="Palatino Linotype" w:cs="Arial"/>
        </w:rPr>
        <w:t xml:space="preserve">por </w:t>
      </w:r>
      <w:r w:rsidR="00EB0964" w:rsidRPr="00A473F1">
        <w:rPr>
          <w:rFonts w:ascii="Palatino Linotype" w:hAnsi="Palatino Linotype" w:cs="Arial"/>
        </w:rPr>
        <w:t xml:space="preserve">el </w:t>
      </w:r>
      <w:r w:rsidR="00EB0964" w:rsidRPr="00A473F1">
        <w:rPr>
          <w:rFonts w:ascii="Palatino Linotype" w:hAnsi="Palatino Linotype" w:cs="Arial"/>
          <w:b/>
          <w:bCs/>
        </w:rPr>
        <w:t xml:space="preserve">C. </w:t>
      </w:r>
      <w:r w:rsidR="000C5D7D" w:rsidRPr="00A473F1">
        <w:rPr>
          <w:rFonts w:ascii="Palatino Linotype" w:hAnsi="Palatino Linotype" w:cs="Arial"/>
          <w:b/>
          <w:bCs/>
        </w:rPr>
        <w:t>XXXXXXXXXXXX</w:t>
      </w:r>
      <w:r w:rsidR="005F1F89" w:rsidRPr="00A473F1">
        <w:rPr>
          <w:rFonts w:ascii="Palatino Linotype" w:hAnsi="Palatino Linotype" w:cs="Arial"/>
        </w:rPr>
        <w:t>,</w:t>
      </w:r>
      <w:r w:rsidR="005F1F89" w:rsidRPr="00A473F1">
        <w:rPr>
          <w:rFonts w:ascii="Palatino Linotype" w:hAnsi="Palatino Linotype" w:cs="Arial"/>
          <w:b/>
        </w:rPr>
        <w:t xml:space="preserve"> </w:t>
      </w:r>
      <w:r w:rsidR="005F1F89" w:rsidRPr="00A473F1">
        <w:rPr>
          <w:rFonts w:ascii="Palatino Linotype" w:hAnsi="Palatino Linotype" w:cs="Arial"/>
        </w:rPr>
        <w:t>en lo sucesivo</w:t>
      </w:r>
      <w:r w:rsidR="00467118" w:rsidRPr="00A473F1">
        <w:rPr>
          <w:rFonts w:ascii="Palatino Linotype" w:hAnsi="Palatino Linotype" w:cs="Arial"/>
        </w:rPr>
        <w:t xml:space="preserve"> la parte </w:t>
      </w:r>
      <w:r w:rsidR="005F1F89" w:rsidRPr="00A473F1">
        <w:rPr>
          <w:rFonts w:ascii="Palatino Linotype" w:hAnsi="Palatino Linotype" w:cs="Arial"/>
          <w:b/>
        </w:rPr>
        <w:t>Recurrente</w:t>
      </w:r>
      <w:r w:rsidRPr="00A473F1">
        <w:rPr>
          <w:rFonts w:ascii="Palatino Linotype" w:eastAsiaTheme="minorHAnsi" w:hAnsi="Palatino Linotype" w:cs="Arial"/>
          <w:lang w:val="es-MX" w:eastAsia="en-US"/>
        </w:rPr>
        <w:t>, en contra de la respuesta de</w:t>
      </w:r>
      <w:r w:rsidR="00B20C2B" w:rsidRPr="00A473F1">
        <w:rPr>
          <w:rFonts w:ascii="Palatino Linotype" w:eastAsiaTheme="minorHAnsi" w:hAnsi="Palatino Linotype" w:cs="Arial"/>
          <w:lang w:val="es-MX" w:eastAsia="en-US"/>
        </w:rPr>
        <w:t>l</w:t>
      </w:r>
      <w:r w:rsidRPr="00A473F1">
        <w:rPr>
          <w:rFonts w:ascii="Palatino Linotype" w:eastAsiaTheme="minorHAnsi" w:hAnsi="Palatino Linotype" w:cs="Arial"/>
          <w:lang w:val="es-MX" w:eastAsia="en-US"/>
        </w:rPr>
        <w:t xml:space="preserve"> </w:t>
      </w:r>
      <w:r w:rsidR="00E34AF2" w:rsidRPr="00A473F1">
        <w:rPr>
          <w:rFonts w:ascii="Palatino Linotype" w:eastAsiaTheme="minorHAnsi" w:hAnsi="Palatino Linotype" w:cs="Arial"/>
          <w:b/>
          <w:lang w:val="es-MX" w:eastAsia="en-US"/>
        </w:rPr>
        <w:t>Organismo Público Descentralizado Municipal para la Prestación de Los Servicios de Agua Potable Alcantarillado y Saneamiento de Cuautitlán Izcalli denominado OPERAGUA, O.P.D.M.</w:t>
      </w:r>
      <w:r w:rsidRPr="00A473F1">
        <w:rPr>
          <w:rFonts w:ascii="Palatino Linotype" w:eastAsiaTheme="minorHAnsi" w:hAnsi="Palatino Linotype" w:cs="Arial"/>
          <w:lang w:val="es-MX" w:eastAsia="en-US"/>
        </w:rPr>
        <w:t>,</w:t>
      </w:r>
      <w:r w:rsidRPr="00A473F1">
        <w:rPr>
          <w:rFonts w:ascii="Palatino Linotype" w:eastAsiaTheme="minorHAnsi" w:hAnsi="Palatino Linotype" w:cs="Arial"/>
          <w:b/>
          <w:lang w:val="es-MX" w:eastAsia="en-US"/>
        </w:rPr>
        <w:t xml:space="preserve"> </w:t>
      </w:r>
      <w:r w:rsidRPr="00A473F1">
        <w:rPr>
          <w:rFonts w:ascii="Palatino Linotype" w:eastAsiaTheme="minorHAnsi" w:hAnsi="Palatino Linotype" w:cs="Arial"/>
          <w:lang w:val="es-MX" w:eastAsia="en-US"/>
        </w:rPr>
        <w:t>en lo subsecuente</w:t>
      </w:r>
      <w:r w:rsidRPr="00A473F1">
        <w:rPr>
          <w:rFonts w:ascii="Palatino Linotype" w:eastAsiaTheme="minorHAnsi" w:hAnsi="Palatino Linotype" w:cs="Arial"/>
          <w:b/>
          <w:lang w:val="es-MX" w:eastAsia="en-US"/>
        </w:rPr>
        <w:t xml:space="preserve"> El Sujeto Obligado, </w:t>
      </w:r>
      <w:r w:rsidRPr="00A473F1">
        <w:rPr>
          <w:rFonts w:ascii="Palatino Linotype" w:eastAsiaTheme="minorHAnsi" w:hAnsi="Palatino Linotype" w:cs="Arial"/>
          <w:lang w:val="es-MX" w:eastAsia="en-US"/>
        </w:rPr>
        <w:t>se procede a dictar la presente resolución.</w:t>
      </w:r>
    </w:p>
    <w:p w14:paraId="3F5A095F" w14:textId="77777777" w:rsidR="00EB0964" w:rsidRPr="00A473F1" w:rsidRDefault="00EB0964" w:rsidP="00C753C2">
      <w:pPr>
        <w:tabs>
          <w:tab w:val="left" w:pos="1701"/>
        </w:tabs>
        <w:spacing w:line="360" w:lineRule="auto"/>
        <w:jc w:val="both"/>
        <w:rPr>
          <w:rFonts w:ascii="Palatino Linotype" w:eastAsiaTheme="minorHAnsi" w:hAnsi="Palatino Linotype" w:cs="Arial"/>
          <w:lang w:val="es-MX" w:eastAsia="en-US"/>
        </w:rPr>
      </w:pPr>
    </w:p>
    <w:p w14:paraId="7756777D" w14:textId="7C265DBF" w:rsidR="00C753C2" w:rsidRPr="00A473F1" w:rsidRDefault="0029071C" w:rsidP="00EB0964">
      <w:pPr>
        <w:spacing w:line="360" w:lineRule="auto"/>
        <w:jc w:val="center"/>
        <w:rPr>
          <w:rFonts w:ascii="Palatino Linotype" w:eastAsiaTheme="minorHAnsi" w:hAnsi="Palatino Linotype" w:cs="Arial"/>
          <w:b/>
          <w:sz w:val="28"/>
          <w:lang w:val="es-MX" w:eastAsia="en-US"/>
        </w:rPr>
      </w:pPr>
      <w:r w:rsidRPr="00A473F1">
        <w:rPr>
          <w:rFonts w:ascii="Palatino Linotype" w:eastAsiaTheme="minorHAnsi" w:hAnsi="Palatino Linotype" w:cs="Arial"/>
          <w:b/>
          <w:sz w:val="28"/>
          <w:lang w:val="es-MX" w:eastAsia="en-US"/>
        </w:rPr>
        <w:t>A N T E C E D E N T E S</w:t>
      </w:r>
    </w:p>
    <w:p w14:paraId="5456F530" w14:textId="77777777" w:rsidR="00EB0964" w:rsidRPr="00A473F1" w:rsidRDefault="00EB0964" w:rsidP="00EB0964">
      <w:pPr>
        <w:spacing w:line="360" w:lineRule="auto"/>
        <w:jc w:val="center"/>
        <w:rPr>
          <w:rFonts w:ascii="Palatino Linotype" w:eastAsiaTheme="minorHAnsi" w:hAnsi="Palatino Linotype" w:cs="Arial"/>
          <w:b/>
          <w:sz w:val="20"/>
          <w:szCs w:val="18"/>
          <w:lang w:val="es-MX" w:eastAsia="en-US"/>
        </w:rPr>
      </w:pPr>
    </w:p>
    <w:p w14:paraId="4B32F09E" w14:textId="77777777" w:rsidR="0029071C" w:rsidRPr="00A473F1" w:rsidRDefault="0029071C" w:rsidP="0029071C">
      <w:pPr>
        <w:spacing w:line="360" w:lineRule="auto"/>
        <w:jc w:val="both"/>
        <w:rPr>
          <w:rFonts w:ascii="Palatino Linotype" w:eastAsiaTheme="minorHAnsi" w:hAnsi="Palatino Linotype" w:cs="Arial"/>
          <w:b/>
          <w:sz w:val="28"/>
          <w:lang w:val="es-MX" w:eastAsia="en-US"/>
        </w:rPr>
      </w:pPr>
      <w:r w:rsidRPr="00A473F1">
        <w:rPr>
          <w:rFonts w:ascii="Palatino Linotype" w:eastAsiaTheme="minorHAnsi" w:hAnsi="Palatino Linotype" w:cs="Arial"/>
          <w:b/>
          <w:sz w:val="28"/>
          <w:lang w:val="es-MX" w:eastAsia="en-US"/>
        </w:rPr>
        <w:t>PRIMERO. De la solicitud de información.</w:t>
      </w:r>
    </w:p>
    <w:p w14:paraId="3CF392E1" w14:textId="675692BC" w:rsidR="00E34AF2" w:rsidRPr="00A473F1" w:rsidRDefault="0029071C" w:rsidP="00E34AF2">
      <w:pPr>
        <w:spacing w:line="360" w:lineRule="auto"/>
        <w:jc w:val="both"/>
        <w:rPr>
          <w:rFonts w:ascii="Palatino Linotype" w:eastAsiaTheme="minorHAnsi" w:hAnsi="Palatino Linotype" w:cs="Arial"/>
          <w:szCs w:val="22"/>
          <w:lang w:val="es-MX" w:eastAsia="en-US"/>
        </w:rPr>
      </w:pPr>
      <w:r w:rsidRPr="00A473F1">
        <w:rPr>
          <w:rFonts w:ascii="Palatino Linotype" w:eastAsiaTheme="minorHAnsi" w:hAnsi="Palatino Linotype" w:cs="Arial"/>
          <w:szCs w:val="22"/>
          <w:lang w:val="es-MX" w:eastAsia="en-US"/>
        </w:rPr>
        <w:t xml:space="preserve">En fecha </w:t>
      </w:r>
      <w:r w:rsidR="00E34AF2" w:rsidRPr="00A473F1">
        <w:rPr>
          <w:rFonts w:ascii="Palatino Linotype" w:eastAsiaTheme="minorHAnsi" w:hAnsi="Palatino Linotype" w:cs="Arial"/>
          <w:szCs w:val="22"/>
          <w:lang w:val="es-MX" w:eastAsia="en-US"/>
        </w:rPr>
        <w:t>treinta</w:t>
      </w:r>
      <w:r w:rsidR="00EB0964" w:rsidRPr="00A473F1">
        <w:rPr>
          <w:rFonts w:ascii="Palatino Linotype" w:eastAsiaTheme="minorHAnsi" w:hAnsi="Palatino Linotype" w:cs="Arial"/>
          <w:szCs w:val="22"/>
          <w:lang w:val="es-MX" w:eastAsia="en-US"/>
        </w:rPr>
        <w:t xml:space="preserve"> de agosto</w:t>
      </w:r>
      <w:r w:rsidR="00D76EF7" w:rsidRPr="00A473F1">
        <w:rPr>
          <w:rFonts w:ascii="Palatino Linotype" w:eastAsiaTheme="minorHAnsi" w:hAnsi="Palatino Linotype" w:cs="Arial"/>
          <w:szCs w:val="22"/>
          <w:lang w:val="es-MX" w:eastAsia="en-US"/>
        </w:rPr>
        <w:t xml:space="preserve"> de dos mil veintitrés</w:t>
      </w:r>
      <w:r w:rsidRPr="00A473F1">
        <w:rPr>
          <w:rFonts w:ascii="Palatino Linotype" w:eastAsiaTheme="minorHAnsi" w:hAnsi="Palatino Linotype" w:cs="Arial"/>
          <w:szCs w:val="22"/>
          <w:lang w:val="es-MX" w:eastAsia="en-US"/>
        </w:rPr>
        <w:t xml:space="preserve">, </w:t>
      </w:r>
      <w:r w:rsidR="000E768F" w:rsidRPr="00A473F1">
        <w:rPr>
          <w:rFonts w:ascii="Palatino Linotype" w:eastAsiaTheme="minorHAnsi" w:hAnsi="Palatino Linotype" w:cs="Arial"/>
          <w:szCs w:val="22"/>
          <w:lang w:val="es-MX" w:eastAsia="en-US"/>
        </w:rPr>
        <w:t>la</w:t>
      </w:r>
      <w:r w:rsidR="00D76EF7" w:rsidRPr="00A473F1">
        <w:rPr>
          <w:rFonts w:ascii="Palatino Linotype" w:eastAsiaTheme="minorHAnsi" w:hAnsi="Palatino Linotype" w:cs="Arial"/>
          <w:szCs w:val="22"/>
          <w:lang w:val="es-MX" w:eastAsia="en-US"/>
        </w:rPr>
        <w:t xml:space="preserve"> parte</w:t>
      </w:r>
      <w:r w:rsidRPr="00A473F1">
        <w:rPr>
          <w:rFonts w:ascii="Palatino Linotype" w:eastAsiaTheme="minorHAnsi" w:hAnsi="Palatino Linotype" w:cs="Arial"/>
          <w:szCs w:val="22"/>
          <w:lang w:val="es-MX" w:eastAsia="en-US"/>
        </w:rPr>
        <w:t xml:space="preserve"> </w:t>
      </w:r>
      <w:r w:rsidRPr="00A473F1">
        <w:rPr>
          <w:rFonts w:ascii="Palatino Linotype" w:eastAsiaTheme="minorHAnsi" w:hAnsi="Palatino Linotype" w:cs="Arial"/>
          <w:b/>
          <w:szCs w:val="22"/>
          <w:lang w:val="es-MX" w:eastAsia="en-US"/>
        </w:rPr>
        <w:t>Recurrente</w:t>
      </w:r>
      <w:r w:rsidR="00D54B83" w:rsidRPr="00A473F1">
        <w:rPr>
          <w:rFonts w:ascii="Palatino Linotype" w:eastAsiaTheme="minorHAnsi" w:hAnsi="Palatino Linotype" w:cs="Arial"/>
          <w:szCs w:val="22"/>
          <w:lang w:val="es-MX" w:eastAsia="en-US"/>
        </w:rPr>
        <w:t>, presentó a través d</w:t>
      </w:r>
      <w:r w:rsidR="00701A71" w:rsidRPr="00A473F1">
        <w:rPr>
          <w:rFonts w:ascii="Palatino Linotype" w:eastAsiaTheme="minorHAnsi" w:hAnsi="Palatino Linotype" w:cs="Arial"/>
          <w:szCs w:val="22"/>
          <w:lang w:val="es-MX" w:eastAsia="en-US"/>
        </w:rPr>
        <w:t>e</w:t>
      </w:r>
      <w:r w:rsidR="00D76EF7" w:rsidRPr="00A473F1">
        <w:rPr>
          <w:rFonts w:ascii="Palatino Linotype" w:eastAsiaTheme="minorHAnsi" w:hAnsi="Palatino Linotype" w:cs="Arial"/>
          <w:szCs w:val="22"/>
          <w:lang w:val="es-MX" w:eastAsia="en-US"/>
        </w:rPr>
        <w:t>l</w:t>
      </w:r>
      <w:r w:rsidR="00F3556B" w:rsidRPr="00A473F1">
        <w:rPr>
          <w:rFonts w:ascii="Palatino Linotype" w:eastAsiaTheme="minorHAnsi" w:hAnsi="Palatino Linotype" w:cs="Arial"/>
          <w:szCs w:val="22"/>
          <w:lang w:val="es-MX" w:eastAsia="en-US"/>
        </w:rPr>
        <w:t xml:space="preserve"> </w:t>
      </w:r>
      <w:r w:rsidRPr="00A473F1">
        <w:rPr>
          <w:rFonts w:ascii="Palatino Linotype" w:eastAsiaTheme="minorHAnsi" w:hAnsi="Palatino Linotype" w:cs="Arial"/>
          <w:szCs w:val="22"/>
          <w:lang w:val="es-MX" w:eastAsia="en-US"/>
        </w:rPr>
        <w:t xml:space="preserve">Sistema de Acceso a la Información Mexiquense </w:t>
      </w:r>
      <w:r w:rsidRPr="00A473F1">
        <w:rPr>
          <w:rFonts w:ascii="Palatino Linotype" w:eastAsiaTheme="minorHAnsi" w:hAnsi="Palatino Linotype" w:cs="Arial"/>
          <w:b/>
          <w:szCs w:val="22"/>
          <w:lang w:val="es-MX" w:eastAsia="en-US"/>
        </w:rPr>
        <w:t>(SAIMEX),</w:t>
      </w:r>
      <w:r w:rsidRPr="00A473F1">
        <w:rPr>
          <w:rFonts w:ascii="Palatino Linotype" w:eastAsiaTheme="minorHAnsi" w:hAnsi="Palatino Linotype" w:cs="Arial"/>
          <w:szCs w:val="22"/>
          <w:lang w:val="es-MX" w:eastAsia="en-US"/>
        </w:rPr>
        <w:t xml:space="preserve"> ante el </w:t>
      </w:r>
      <w:r w:rsidRPr="00A473F1">
        <w:rPr>
          <w:rFonts w:ascii="Palatino Linotype" w:eastAsiaTheme="minorHAnsi" w:hAnsi="Palatino Linotype" w:cs="Arial"/>
          <w:b/>
          <w:szCs w:val="22"/>
          <w:lang w:val="es-MX" w:eastAsia="en-US"/>
        </w:rPr>
        <w:t>Sujeto Obligado</w:t>
      </w:r>
      <w:r w:rsidRPr="00A473F1">
        <w:rPr>
          <w:rFonts w:ascii="Palatino Linotype" w:eastAsiaTheme="minorHAnsi" w:hAnsi="Palatino Linotype" w:cs="Arial"/>
          <w:szCs w:val="22"/>
          <w:lang w:val="es-MX" w:eastAsia="en-US"/>
        </w:rPr>
        <w:t>, la solicitud de acceso a la información pública, a la que se le</w:t>
      </w:r>
      <w:r w:rsidR="00C753C2" w:rsidRPr="00A473F1">
        <w:rPr>
          <w:rFonts w:ascii="Palatino Linotype" w:eastAsiaTheme="minorHAnsi" w:hAnsi="Palatino Linotype" w:cs="Arial"/>
          <w:szCs w:val="22"/>
          <w:lang w:val="es-MX" w:eastAsia="en-US"/>
        </w:rPr>
        <w:t xml:space="preserve"> asignó el número de expediente </w:t>
      </w:r>
      <w:r w:rsidR="00E34AF2" w:rsidRPr="00A473F1">
        <w:rPr>
          <w:rFonts w:ascii="Palatino Linotype" w:eastAsiaTheme="minorHAnsi" w:hAnsi="Palatino Linotype" w:cs="Arial"/>
          <w:b/>
          <w:szCs w:val="22"/>
          <w:lang w:val="es-MX" w:eastAsia="en-US"/>
        </w:rPr>
        <w:t>00175/OASCUATIZC/IP/2023</w:t>
      </w:r>
      <w:r w:rsidRPr="00A473F1">
        <w:rPr>
          <w:rFonts w:ascii="Palatino Linotype" w:eastAsiaTheme="minorHAnsi" w:hAnsi="Palatino Linotype" w:cs="Arial"/>
          <w:szCs w:val="22"/>
          <w:lang w:val="es-MX" w:eastAsia="en-US"/>
        </w:rPr>
        <w:t>, mediante la cual solicitó lo siguiente:</w:t>
      </w:r>
    </w:p>
    <w:p w14:paraId="7F481DB2" w14:textId="77777777" w:rsidR="00E34AF2" w:rsidRPr="00A473F1" w:rsidRDefault="00E34AF2" w:rsidP="00E34AF2">
      <w:pPr>
        <w:spacing w:line="360" w:lineRule="auto"/>
        <w:jc w:val="both"/>
        <w:rPr>
          <w:rFonts w:ascii="Palatino Linotype" w:eastAsiaTheme="minorHAnsi" w:hAnsi="Palatino Linotype" w:cs="Arial"/>
          <w:szCs w:val="22"/>
          <w:lang w:val="es-MX" w:eastAsia="en-US"/>
        </w:rPr>
      </w:pPr>
    </w:p>
    <w:p w14:paraId="5157924C" w14:textId="1B950702" w:rsidR="00C753C2" w:rsidRPr="00A473F1" w:rsidRDefault="0029071C" w:rsidP="00EB0964">
      <w:pPr>
        <w:ind w:left="284" w:right="332"/>
        <w:jc w:val="both"/>
        <w:rPr>
          <w:rFonts w:ascii="Palatino Linotype" w:hAnsi="Palatino Linotype"/>
          <w:i/>
          <w:sz w:val="22"/>
          <w:szCs w:val="22"/>
          <w:lang w:val="es-MX" w:eastAsia="es-MX"/>
        </w:rPr>
      </w:pPr>
      <w:r w:rsidRPr="00A473F1">
        <w:rPr>
          <w:rFonts w:ascii="Palatino Linotype" w:hAnsi="Palatino Linotype"/>
          <w:i/>
          <w:sz w:val="22"/>
          <w:szCs w:val="22"/>
          <w:lang w:val="es-MX"/>
        </w:rPr>
        <w:t>“</w:t>
      </w:r>
      <w:r w:rsidR="00E34AF2" w:rsidRPr="00A473F1">
        <w:rPr>
          <w:rFonts w:ascii="Palatino Linotype" w:hAnsi="Palatino Linotype"/>
          <w:i/>
          <w:sz w:val="22"/>
          <w:szCs w:val="22"/>
          <w:lang w:val="es-MX" w:eastAsia="es-MX"/>
        </w:rPr>
        <w:t xml:space="preserve">solicito todos los documentos firmados y recibidos por el director de comercialización asi mismo todos los oficios firmados y recibidos por sus subdirectores y jefes de departamento conforme al </w:t>
      </w:r>
      <w:r w:rsidR="00E34AF2" w:rsidRPr="00A473F1">
        <w:rPr>
          <w:rFonts w:ascii="Palatino Linotype" w:hAnsi="Palatino Linotype"/>
          <w:i/>
          <w:sz w:val="22"/>
          <w:szCs w:val="22"/>
          <w:lang w:val="es-MX" w:eastAsia="es-MX"/>
        </w:rPr>
        <w:lastRenderedPageBreak/>
        <w:t>reglamento interno de dicho organismo que incluyas sus respectivos anexos todo del 2022 a la fecha de esta respuesta.</w:t>
      </w:r>
      <w:r w:rsidRPr="00A473F1">
        <w:rPr>
          <w:rFonts w:ascii="Palatino Linotype" w:hAnsi="Palatino Linotype"/>
          <w:i/>
          <w:sz w:val="22"/>
          <w:szCs w:val="22"/>
          <w:lang w:val="es-MX"/>
        </w:rPr>
        <w:t>”</w:t>
      </w:r>
      <w:r w:rsidRPr="00A473F1">
        <w:rPr>
          <w:rFonts w:ascii="Palatino Linotype" w:hAnsi="Palatino Linotype"/>
          <w:i/>
          <w:sz w:val="22"/>
          <w:szCs w:val="22"/>
          <w:lang w:val="es-ES_tradnl"/>
        </w:rPr>
        <w:t xml:space="preserve"> (Sic).</w:t>
      </w:r>
    </w:p>
    <w:p w14:paraId="279452FD" w14:textId="77777777" w:rsidR="00F3556B" w:rsidRPr="00A473F1" w:rsidRDefault="00F3556B" w:rsidP="00C753C2">
      <w:pPr>
        <w:pStyle w:val="Sinespaciado"/>
        <w:rPr>
          <w:sz w:val="4"/>
        </w:rPr>
      </w:pPr>
    </w:p>
    <w:p w14:paraId="234DD8C4" w14:textId="77777777" w:rsidR="00EB0964" w:rsidRPr="00A473F1" w:rsidRDefault="00EB0964" w:rsidP="00EB0964">
      <w:pPr>
        <w:pStyle w:val="Sinespaciado"/>
      </w:pPr>
    </w:p>
    <w:p w14:paraId="7F6CC450" w14:textId="27091A97" w:rsidR="008313E0" w:rsidRPr="00A473F1" w:rsidRDefault="0029071C" w:rsidP="00BA27FC">
      <w:pPr>
        <w:tabs>
          <w:tab w:val="left" w:pos="5647"/>
        </w:tabs>
        <w:spacing w:line="360" w:lineRule="auto"/>
        <w:ind w:right="850"/>
        <w:jc w:val="both"/>
        <w:rPr>
          <w:rFonts w:ascii="Palatino Linotype" w:eastAsiaTheme="minorHAnsi" w:hAnsi="Palatino Linotype" w:cstheme="minorBidi"/>
          <w:color w:val="000000"/>
          <w:lang w:val="es-MX" w:eastAsia="en-US"/>
        </w:rPr>
      </w:pPr>
      <w:r w:rsidRPr="00A473F1">
        <w:rPr>
          <w:rFonts w:ascii="Palatino Linotype" w:hAnsi="Palatino Linotype"/>
          <w:b/>
          <w:lang w:val="es-ES_tradnl"/>
        </w:rPr>
        <w:t>MODALIDAD DE ENTREGA:</w:t>
      </w:r>
      <w:r w:rsidRPr="00A473F1">
        <w:rPr>
          <w:rFonts w:ascii="Palatino Linotype" w:hAnsi="Palatino Linotype"/>
          <w:lang w:val="es-ES_tradnl"/>
        </w:rPr>
        <w:t xml:space="preserve"> </w:t>
      </w:r>
      <w:r w:rsidR="00D66FE8" w:rsidRPr="00A473F1">
        <w:rPr>
          <w:rFonts w:ascii="Palatino Linotype" w:eastAsiaTheme="minorHAnsi" w:hAnsi="Palatino Linotype" w:cstheme="minorBidi"/>
          <w:color w:val="000000"/>
          <w:lang w:val="es-MX" w:eastAsia="en-US"/>
        </w:rPr>
        <w:t>A través de</w:t>
      </w:r>
      <w:r w:rsidR="00701A71" w:rsidRPr="00A473F1">
        <w:rPr>
          <w:rFonts w:ascii="Palatino Linotype" w:eastAsiaTheme="minorHAnsi" w:hAnsi="Palatino Linotype" w:cstheme="minorBidi"/>
          <w:color w:val="000000"/>
          <w:lang w:val="es-MX" w:eastAsia="en-US"/>
        </w:rPr>
        <w:t>l</w:t>
      </w:r>
      <w:r w:rsidR="00EF75EF" w:rsidRPr="00A473F1">
        <w:rPr>
          <w:rFonts w:ascii="Palatino Linotype" w:eastAsiaTheme="minorHAnsi" w:hAnsi="Palatino Linotype" w:cstheme="minorBidi"/>
          <w:color w:val="000000"/>
          <w:lang w:val="es-MX" w:eastAsia="en-US"/>
        </w:rPr>
        <w:t xml:space="preserve"> </w:t>
      </w:r>
      <w:r w:rsidR="00701A71" w:rsidRPr="00A473F1">
        <w:rPr>
          <w:rFonts w:ascii="Palatino Linotype" w:eastAsiaTheme="minorHAnsi" w:hAnsi="Palatino Linotype" w:cstheme="minorBidi"/>
          <w:b/>
          <w:color w:val="000000"/>
          <w:lang w:val="es-MX" w:eastAsia="en-US"/>
        </w:rPr>
        <w:t>SAIMEX</w:t>
      </w:r>
      <w:r w:rsidR="00D76EF7" w:rsidRPr="00A473F1">
        <w:rPr>
          <w:rFonts w:ascii="Palatino Linotype" w:eastAsiaTheme="minorHAnsi" w:hAnsi="Palatino Linotype" w:cstheme="minorBidi"/>
          <w:color w:val="000000"/>
          <w:lang w:val="es-MX" w:eastAsia="en-US"/>
        </w:rPr>
        <w:t>.</w:t>
      </w:r>
    </w:p>
    <w:p w14:paraId="245FEA8F" w14:textId="77777777" w:rsidR="00EB0964" w:rsidRPr="00A473F1" w:rsidRDefault="00EB0964" w:rsidP="0029071C">
      <w:pPr>
        <w:spacing w:line="360" w:lineRule="auto"/>
        <w:jc w:val="both"/>
        <w:rPr>
          <w:rFonts w:ascii="Palatino Linotype" w:eastAsiaTheme="minorHAnsi" w:hAnsi="Palatino Linotype" w:cs="Arial"/>
          <w:b/>
          <w:szCs w:val="22"/>
          <w:lang w:val="es-MX" w:eastAsia="en-US"/>
        </w:rPr>
      </w:pPr>
    </w:p>
    <w:p w14:paraId="7157F179" w14:textId="77777777" w:rsidR="00E34AF2" w:rsidRPr="00A473F1" w:rsidRDefault="00E34AF2" w:rsidP="00E34AF2">
      <w:pPr>
        <w:spacing w:line="360" w:lineRule="auto"/>
        <w:jc w:val="both"/>
        <w:rPr>
          <w:rFonts w:ascii="Palatino Linotype" w:hAnsi="Palatino Linotype" w:cs="Arial"/>
          <w:b/>
          <w:sz w:val="28"/>
          <w:lang w:val="es-MX" w:eastAsia="en-US"/>
        </w:rPr>
      </w:pPr>
      <w:r w:rsidRPr="00A473F1">
        <w:rPr>
          <w:rFonts w:ascii="Palatino Linotype" w:hAnsi="Palatino Linotype" w:cs="Arial"/>
          <w:b/>
          <w:sz w:val="28"/>
          <w:lang w:val="es-MX" w:eastAsia="en-US"/>
        </w:rPr>
        <w:t xml:space="preserve">SEGUNDO. De la solicitud de prórroga. </w:t>
      </w:r>
    </w:p>
    <w:p w14:paraId="55D7AEEF" w14:textId="73145A85" w:rsidR="00E34AF2" w:rsidRPr="00A473F1" w:rsidRDefault="00E34AF2" w:rsidP="00E34AF2">
      <w:pPr>
        <w:spacing w:line="360" w:lineRule="auto"/>
        <w:jc w:val="both"/>
        <w:rPr>
          <w:rFonts w:ascii="Palatino Linotype" w:hAnsi="Palatino Linotype" w:cs="Arial"/>
          <w:lang w:val="es-MX" w:eastAsia="en-US"/>
        </w:rPr>
      </w:pPr>
      <w:r w:rsidRPr="00A473F1">
        <w:rPr>
          <w:rFonts w:ascii="Palatino Linotype" w:hAnsi="Palatino Linotype" w:cs="Arial"/>
          <w:lang w:val="es-MX" w:eastAsia="en-US"/>
        </w:rPr>
        <w:t xml:space="preserve">Se advierte que en fecha veinte de septiembre de dos mil veintitrés, </w:t>
      </w:r>
      <w:r w:rsidRPr="00A473F1">
        <w:rPr>
          <w:rFonts w:ascii="Palatino Linotype" w:hAnsi="Palatino Linotype" w:cs="Arial"/>
          <w:b/>
          <w:lang w:val="es-MX" w:eastAsia="en-US"/>
        </w:rPr>
        <w:t>El Sujeto Obligado</w:t>
      </w:r>
      <w:r w:rsidRPr="00A473F1">
        <w:rPr>
          <w:rFonts w:ascii="Palatino Linotype" w:hAnsi="Palatino Linotype" w:cs="Arial"/>
          <w:lang w:val="es-MX" w:eastAsia="en-US"/>
        </w:rPr>
        <w:t xml:space="preserve"> solicitó una ampliación de plazo para dar respuesta a la solicitud de información, en los siguientes términos:</w:t>
      </w:r>
    </w:p>
    <w:p w14:paraId="4E5EE9F4" w14:textId="77777777" w:rsidR="00E34AF2" w:rsidRPr="00A473F1" w:rsidRDefault="00E34AF2" w:rsidP="00E34AF2">
      <w:pPr>
        <w:rPr>
          <w:lang w:val="es-MX"/>
        </w:rPr>
      </w:pPr>
    </w:p>
    <w:p w14:paraId="04A5782F"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E61844B"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p>
    <w:p w14:paraId="5B0052CD"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De conformidad con el artículo 163 párrafo segundo de la Ley de Transparencia y Acceso a la Información Pública del Estado de México y Municipios, se anexa oficio de solicitud de prórroga la cual fue aprobada en el Acuerdo:05/CT/15SE/2023 de la Décimo Quinta Sesión Extraordinaria del Comité de Transparencia.</w:t>
      </w:r>
    </w:p>
    <w:p w14:paraId="3675775D"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 . .</w:t>
      </w:r>
    </w:p>
    <w:p w14:paraId="38002C00" w14:textId="5370EC0C"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Responsable de la Unidad de Transparencia” (Sic).</w:t>
      </w:r>
    </w:p>
    <w:p w14:paraId="79A4D3D0" w14:textId="77777777" w:rsidR="00E34AF2" w:rsidRPr="00A473F1" w:rsidRDefault="00E34AF2" w:rsidP="00E34AF2">
      <w:pPr>
        <w:ind w:right="567"/>
        <w:jc w:val="both"/>
        <w:rPr>
          <w:rFonts w:ascii="Palatino Linotype" w:hAnsi="Palatino Linotype"/>
          <w:i/>
          <w:sz w:val="14"/>
          <w:szCs w:val="22"/>
          <w:lang w:val="es-MX" w:eastAsia="es-MX"/>
        </w:rPr>
      </w:pPr>
    </w:p>
    <w:p w14:paraId="435ECE45" w14:textId="77777777" w:rsidR="00E34AF2" w:rsidRPr="00A473F1" w:rsidRDefault="00E34AF2" w:rsidP="00E34AF2">
      <w:pPr>
        <w:rPr>
          <w:lang w:val="es-MX" w:eastAsia="es-MX"/>
        </w:rPr>
      </w:pPr>
    </w:p>
    <w:p w14:paraId="271C02B6" w14:textId="46C10A13" w:rsidR="00E34AF2" w:rsidRPr="00A473F1" w:rsidRDefault="00E34AF2" w:rsidP="00E34AF2">
      <w:pPr>
        <w:spacing w:line="360" w:lineRule="auto"/>
        <w:jc w:val="both"/>
        <w:rPr>
          <w:rFonts w:ascii="Palatino Linotype" w:hAnsi="Palatino Linotype"/>
          <w:i/>
          <w:sz w:val="22"/>
          <w:szCs w:val="22"/>
          <w:lang w:val="es-MX" w:eastAsia="es-MX"/>
        </w:rPr>
      </w:pPr>
      <w:r w:rsidRPr="00A473F1">
        <w:rPr>
          <w:rFonts w:ascii="Palatino Linotype" w:hAnsi="Palatino Linotype" w:cs="Arial"/>
          <w:lang w:val="es-MX" w:eastAsia="en-US"/>
        </w:rPr>
        <w:t xml:space="preserve">El </w:t>
      </w:r>
      <w:r w:rsidRPr="00A473F1">
        <w:rPr>
          <w:rFonts w:ascii="Palatino Linotype" w:hAnsi="Palatino Linotype" w:cs="Arial"/>
          <w:b/>
          <w:lang w:val="es-MX" w:eastAsia="en-US"/>
        </w:rPr>
        <w:t>Sujeto Obligado</w:t>
      </w:r>
      <w:r w:rsidRPr="00A473F1">
        <w:rPr>
          <w:rFonts w:ascii="Palatino Linotype" w:hAnsi="Palatino Linotype" w:cs="Arial"/>
          <w:lang w:val="es-MX" w:eastAsia="en-US"/>
        </w:rPr>
        <w:t xml:space="preserve"> adjuntó a dicha solicitud, los archivos electrónicos denominados </w:t>
      </w:r>
      <w:r w:rsidRPr="00A473F1">
        <w:rPr>
          <w:rFonts w:ascii="Palatino Linotype" w:hAnsi="Palatino Linotype" w:cs="Arial"/>
          <w:i/>
          <w:lang w:val="es-MX" w:eastAsia="en-US"/>
        </w:rPr>
        <w:t xml:space="preserve">“DECIMA QUINTA SESION EXTRAORDINARIA 2023.pdf” </w:t>
      </w:r>
      <w:r w:rsidRPr="00A473F1">
        <w:rPr>
          <w:rFonts w:ascii="Palatino Linotype" w:hAnsi="Palatino Linotype" w:cs="Arial"/>
          <w:lang w:val="es-MX" w:eastAsia="en-US"/>
        </w:rPr>
        <w:t>y</w:t>
      </w:r>
      <w:r w:rsidRPr="00A473F1">
        <w:rPr>
          <w:rFonts w:ascii="Palatino Linotype" w:hAnsi="Palatino Linotype" w:cs="Arial"/>
          <w:i/>
          <w:lang w:val="es-MX" w:eastAsia="en-US"/>
        </w:rPr>
        <w:t xml:space="preserve"> “SOLICITUD DE PLAZO SAIMEX 175.pdf”;</w:t>
      </w:r>
      <w:r w:rsidRPr="00A473F1">
        <w:rPr>
          <w:rFonts w:ascii="Palatino Linotype" w:hAnsi="Palatino Linotype" w:cs="Arial"/>
          <w:lang w:val="es-MX" w:eastAsia="en-US"/>
        </w:rPr>
        <w:t xml:space="preserve"> cuyo contenido es el Acuerdo número 05/CT/15SE/2023 de la Décimo Quinta Sesión Extraordinaria del Comité de Transparencia, mediante la cual, se aprobó, la prórroga por siete días hábiles para dar atención a la presente solicitud. </w:t>
      </w:r>
    </w:p>
    <w:p w14:paraId="4BA01727" w14:textId="77777777" w:rsidR="00E34AF2" w:rsidRPr="00A473F1" w:rsidRDefault="00E34AF2" w:rsidP="00E34AF2">
      <w:pPr>
        <w:spacing w:line="360" w:lineRule="auto"/>
        <w:jc w:val="both"/>
        <w:rPr>
          <w:rFonts w:ascii="Palatino Linotype" w:hAnsi="Palatino Linotype" w:cs="Arial"/>
          <w:b/>
          <w:sz w:val="28"/>
          <w:lang w:val="es-MX" w:eastAsia="en-US"/>
        </w:rPr>
      </w:pPr>
      <w:r w:rsidRPr="00A473F1">
        <w:rPr>
          <w:rFonts w:ascii="Palatino Linotype" w:hAnsi="Palatino Linotype" w:cs="Arial"/>
          <w:b/>
          <w:sz w:val="28"/>
          <w:lang w:val="es-MX" w:eastAsia="en-US"/>
        </w:rPr>
        <w:lastRenderedPageBreak/>
        <w:t xml:space="preserve">TERCERO. De la respuesta del Sujeto Obligado. </w:t>
      </w:r>
    </w:p>
    <w:p w14:paraId="57A512DA" w14:textId="251BC92D" w:rsidR="00E34AF2" w:rsidRPr="00A473F1" w:rsidRDefault="00E34AF2" w:rsidP="00E34AF2">
      <w:pPr>
        <w:spacing w:line="360" w:lineRule="auto"/>
        <w:jc w:val="both"/>
        <w:rPr>
          <w:rFonts w:ascii="Palatino Linotype" w:hAnsi="Palatino Linotype" w:cs="Arial"/>
          <w:lang w:val="es-MX" w:eastAsia="en-US"/>
        </w:rPr>
      </w:pPr>
      <w:r w:rsidRPr="00A473F1">
        <w:rPr>
          <w:rFonts w:ascii="Palatino Linotype" w:hAnsi="Palatino Linotype" w:cs="Arial"/>
          <w:lang w:val="es-MX" w:eastAsia="en-US"/>
        </w:rPr>
        <w:t xml:space="preserve">De las constancias que obran en el sistema SAIMEX, se advierte que en fecha veintinueve de septiembre de dos mil veintitrés, </w:t>
      </w:r>
      <w:r w:rsidRPr="00A473F1">
        <w:rPr>
          <w:rFonts w:ascii="Palatino Linotype" w:hAnsi="Palatino Linotype" w:cs="Arial"/>
          <w:b/>
          <w:lang w:val="es-MX" w:eastAsia="en-US"/>
        </w:rPr>
        <w:t>El Sujeto Obligado</w:t>
      </w:r>
      <w:r w:rsidRPr="00A473F1">
        <w:rPr>
          <w:rFonts w:ascii="Palatino Linotype" w:hAnsi="Palatino Linotype" w:cs="Arial"/>
          <w:lang w:val="es-MX" w:eastAsia="en-US"/>
        </w:rPr>
        <w:t xml:space="preserve"> emitió la respuesta en los siguientes términos:</w:t>
      </w:r>
    </w:p>
    <w:p w14:paraId="72D10D4F" w14:textId="77777777" w:rsidR="00E34AF2" w:rsidRPr="00A473F1" w:rsidRDefault="00E34AF2" w:rsidP="00E34AF2">
      <w:pPr>
        <w:rPr>
          <w:lang w:val="es-MX"/>
        </w:rPr>
      </w:pPr>
    </w:p>
    <w:p w14:paraId="7B23569F"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C607D0D"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p>
    <w:p w14:paraId="15BEFC9D"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 xml:space="preserve">Le envío archivo electrónico con respuesta a su solicitud de información con número de folio SAIMEX </w:t>
      </w:r>
      <w:r w:rsidRPr="00A473F1">
        <w:rPr>
          <w:rFonts w:ascii="Palatino Linotype" w:hAnsi="Palatino Linotype"/>
          <w:b/>
          <w:i/>
          <w:sz w:val="22"/>
          <w:szCs w:val="22"/>
          <w:lang w:val="es-MX" w:eastAsia="es-MX"/>
        </w:rPr>
        <w:t>00175/OASCUATIZC/IP/2023</w:t>
      </w:r>
      <w:r w:rsidRPr="00A473F1">
        <w:rPr>
          <w:rFonts w:ascii="Palatino Linotype" w:hAnsi="Palatino Linotype"/>
          <w:i/>
          <w:sz w:val="22"/>
          <w:szCs w:val="22"/>
          <w:lang w:val="es-MX" w:eastAsia="es-MX"/>
        </w:rPr>
        <w:t>.</w:t>
      </w:r>
    </w:p>
    <w:p w14:paraId="0CAA2D19"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p>
    <w:p w14:paraId="5AEDC769" w14:textId="77777777"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ATENTAMENTE</w:t>
      </w:r>
    </w:p>
    <w:p w14:paraId="31E843D0" w14:textId="6F07DFB5" w:rsidR="00E34AF2" w:rsidRPr="00A473F1" w:rsidRDefault="00E34AF2" w:rsidP="00E34AF2">
      <w:pPr>
        <w:spacing w:line="276" w:lineRule="auto"/>
        <w:ind w:left="567" w:right="567"/>
        <w:jc w:val="both"/>
        <w:rPr>
          <w:rFonts w:ascii="Palatino Linotype" w:hAnsi="Palatino Linotype"/>
          <w:i/>
          <w:sz w:val="22"/>
          <w:szCs w:val="22"/>
          <w:lang w:val="es-MX" w:eastAsia="es-MX"/>
        </w:rPr>
      </w:pPr>
      <w:r w:rsidRPr="00A473F1">
        <w:rPr>
          <w:rFonts w:ascii="Palatino Linotype" w:hAnsi="Palatino Linotype"/>
          <w:i/>
          <w:sz w:val="22"/>
          <w:szCs w:val="22"/>
          <w:lang w:val="es-MX" w:eastAsia="es-MX"/>
        </w:rPr>
        <w:t>. . .” (Sic).</w:t>
      </w:r>
    </w:p>
    <w:p w14:paraId="367E53B6" w14:textId="77777777" w:rsidR="00E34AF2" w:rsidRPr="00A473F1" w:rsidRDefault="00E34AF2" w:rsidP="00E34AF2">
      <w:pPr>
        <w:ind w:right="567"/>
        <w:jc w:val="both"/>
        <w:rPr>
          <w:rFonts w:ascii="Palatino Linotype" w:hAnsi="Palatino Linotype"/>
          <w:i/>
          <w:sz w:val="14"/>
          <w:szCs w:val="22"/>
          <w:lang w:val="es-MX" w:eastAsia="es-MX"/>
        </w:rPr>
      </w:pPr>
    </w:p>
    <w:p w14:paraId="275E3C18" w14:textId="77777777" w:rsidR="00E34AF2" w:rsidRPr="00A473F1" w:rsidRDefault="00E34AF2" w:rsidP="00E34AF2">
      <w:pPr>
        <w:rPr>
          <w:lang w:val="es-MX" w:eastAsia="es-MX"/>
        </w:rPr>
      </w:pPr>
    </w:p>
    <w:p w14:paraId="6534296D" w14:textId="5453FBCB" w:rsidR="00E34AF2" w:rsidRPr="00A473F1" w:rsidRDefault="00E34AF2" w:rsidP="00E34AF2">
      <w:pPr>
        <w:spacing w:line="360" w:lineRule="auto"/>
        <w:jc w:val="both"/>
        <w:rPr>
          <w:rFonts w:ascii="Palatino Linotype" w:hAnsi="Palatino Linotype"/>
          <w:i/>
          <w:sz w:val="22"/>
          <w:szCs w:val="22"/>
          <w:lang w:val="es-MX" w:eastAsia="es-MX"/>
        </w:rPr>
      </w:pPr>
      <w:r w:rsidRPr="00A473F1">
        <w:rPr>
          <w:rFonts w:ascii="Palatino Linotype" w:hAnsi="Palatino Linotype" w:cs="Arial"/>
          <w:lang w:val="es-MX" w:eastAsia="en-US"/>
        </w:rPr>
        <w:t xml:space="preserve">El </w:t>
      </w:r>
      <w:r w:rsidRPr="00A473F1">
        <w:rPr>
          <w:rFonts w:ascii="Palatino Linotype" w:hAnsi="Palatino Linotype" w:cs="Arial"/>
          <w:b/>
          <w:lang w:val="es-MX" w:eastAsia="en-US"/>
        </w:rPr>
        <w:t>Sujeto Obligado</w:t>
      </w:r>
      <w:r w:rsidRPr="00A473F1">
        <w:rPr>
          <w:rFonts w:ascii="Palatino Linotype" w:hAnsi="Palatino Linotype" w:cs="Arial"/>
          <w:lang w:val="es-MX" w:eastAsia="en-US"/>
        </w:rPr>
        <w:t xml:space="preserve"> adjuntó a su respuesta, el archivo electrónico denominado </w:t>
      </w:r>
      <w:r w:rsidRPr="00A473F1">
        <w:rPr>
          <w:rFonts w:ascii="Palatino Linotype" w:hAnsi="Palatino Linotype" w:cs="Arial"/>
          <w:i/>
          <w:lang w:val="es-MX" w:eastAsia="en-US"/>
        </w:rPr>
        <w:t>“CONTESTACIÓN SAIMEX 175.pdf”;</w:t>
      </w:r>
      <w:r w:rsidRPr="00A473F1">
        <w:rPr>
          <w:rFonts w:ascii="Palatino Linotype" w:hAnsi="Palatino Linotype" w:cs="Arial"/>
          <w:lang w:val="es-MX" w:eastAsia="en-US"/>
        </w:rPr>
        <w:t xml:space="preserve"> cuyo contenido no se inserta por ser del conocimiento de las partes, sin embargo, serán motivo de estudio en el Considerado respectivo. </w:t>
      </w:r>
    </w:p>
    <w:p w14:paraId="1D262A18" w14:textId="77777777" w:rsidR="00E34AF2" w:rsidRPr="00A473F1" w:rsidRDefault="00E34AF2" w:rsidP="00E34AF2">
      <w:pPr>
        <w:spacing w:line="360" w:lineRule="auto"/>
        <w:jc w:val="both"/>
        <w:rPr>
          <w:rFonts w:ascii="Palatino Linotype" w:hAnsi="Palatino Linotype"/>
          <w:szCs w:val="22"/>
          <w:lang w:val="es-MX" w:eastAsia="es-MX"/>
        </w:rPr>
      </w:pPr>
    </w:p>
    <w:p w14:paraId="5C2998FC" w14:textId="77777777" w:rsidR="00E34AF2" w:rsidRPr="00A473F1" w:rsidRDefault="00E34AF2" w:rsidP="00E34AF2">
      <w:pPr>
        <w:spacing w:line="360" w:lineRule="auto"/>
        <w:jc w:val="both"/>
        <w:rPr>
          <w:rFonts w:ascii="Palatino Linotype" w:hAnsi="Palatino Linotype" w:cs="Arial"/>
          <w:b/>
          <w:sz w:val="28"/>
          <w:lang w:val="es-MX" w:eastAsia="en-US"/>
        </w:rPr>
      </w:pPr>
      <w:r w:rsidRPr="00A473F1">
        <w:rPr>
          <w:rFonts w:ascii="Palatino Linotype" w:hAnsi="Palatino Linotype" w:cs="Arial"/>
          <w:b/>
          <w:sz w:val="28"/>
          <w:lang w:val="es-MX" w:eastAsia="en-US"/>
        </w:rPr>
        <w:t>CUARTO. Del recurso de revisión.</w:t>
      </w:r>
    </w:p>
    <w:p w14:paraId="42DED337" w14:textId="72B47226" w:rsidR="00E34AF2" w:rsidRPr="00A473F1" w:rsidRDefault="00E34AF2" w:rsidP="00E34AF2">
      <w:pPr>
        <w:spacing w:line="360" w:lineRule="auto"/>
        <w:jc w:val="both"/>
        <w:rPr>
          <w:rFonts w:ascii="Palatino Linotype" w:hAnsi="Palatino Linotype" w:cs="Arial"/>
          <w:lang w:val="es-MX" w:eastAsia="en-US"/>
        </w:rPr>
      </w:pPr>
      <w:r w:rsidRPr="00A473F1">
        <w:rPr>
          <w:rFonts w:ascii="Palatino Linotype" w:hAnsi="Palatino Linotype" w:cs="Arial"/>
          <w:lang w:val="es-MX" w:eastAsia="en-US"/>
        </w:rPr>
        <w:t xml:space="preserve">Inconforme con la respuesta por parte del </w:t>
      </w:r>
      <w:r w:rsidRPr="00A473F1">
        <w:rPr>
          <w:rFonts w:ascii="Palatino Linotype" w:hAnsi="Palatino Linotype" w:cs="Arial"/>
          <w:b/>
          <w:lang w:val="es-MX" w:eastAsia="en-US"/>
        </w:rPr>
        <w:t>Sujeto Obligado</w:t>
      </w:r>
      <w:r w:rsidRPr="00A473F1">
        <w:rPr>
          <w:rFonts w:ascii="Palatino Linotype" w:hAnsi="Palatino Linotype" w:cs="Arial"/>
          <w:lang w:val="es-MX" w:eastAsia="en-US"/>
        </w:rPr>
        <w:t xml:space="preserve">, el ahora </w:t>
      </w:r>
      <w:r w:rsidRPr="00A473F1">
        <w:rPr>
          <w:rFonts w:ascii="Palatino Linotype" w:hAnsi="Palatino Linotype" w:cs="Arial"/>
          <w:b/>
          <w:lang w:val="es-MX" w:eastAsia="en-US"/>
        </w:rPr>
        <w:t>Recurrente</w:t>
      </w:r>
      <w:r w:rsidRPr="00A473F1">
        <w:rPr>
          <w:rFonts w:ascii="Palatino Linotype" w:hAnsi="Palatino Linotype" w:cs="Arial"/>
          <w:lang w:val="es-MX" w:eastAsia="en-US"/>
        </w:rPr>
        <w:t xml:space="preserve"> interpuso el presente recurso de revisión en fecha </w:t>
      </w:r>
      <w:r w:rsidR="00CD407C" w:rsidRPr="00A473F1">
        <w:rPr>
          <w:rFonts w:ascii="Palatino Linotype" w:hAnsi="Palatino Linotype" w:cs="Arial"/>
          <w:lang w:val="es-MX" w:eastAsia="en-US"/>
        </w:rPr>
        <w:t>treinta de septiembre</w:t>
      </w:r>
      <w:r w:rsidRPr="00A473F1">
        <w:rPr>
          <w:rFonts w:ascii="Palatino Linotype" w:hAnsi="Palatino Linotype" w:cs="Arial"/>
          <w:lang w:val="es-MX" w:eastAsia="en-US"/>
        </w:rPr>
        <w:t xml:space="preserve"> de dos mil veintitrés, el cual fue registrado</w:t>
      </w:r>
      <w:r w:rsidRPr="00A473F1">
        <w:rPr>
          <w:rFonts w:ascii="Palatino Linotype" w:hAnsi="Palatino Linotype" w:cs="Arial"/>
          <w:b/>
          <w:lang w:val="es-MX" w:eastAsia="en-US"/>
        </w:rPr>
        <w:t xml:space="preserve"> </w:t>
      </w:r>
      <w:r w:rsidRPr="00A473F1">
        <w:rPr>
          <w:rFonts w:ascii="Palatino Linotype" w:hAnsi="Palatino Linotype" w:cs="Arial"/>
          <w:lang w:val="es-MX" w:eastAsia="en-US"/>
        </w:rPr>
        <w:t xml:space="preserve">en el sistema electrónico con el expediente número </w:t>
      </w:r>
      <w:r w:rsidRPr="00A473F1">
        <w:rPr>
          <w:rFonts w:ascii="Palatino Linotype" w:hAnsi="Palatino Linotype" w:cs="Arial"/>
          <w:b/>
          <w:bCs/>
          <w:lang w:val="es-MX" w:eastAsia="es-MX"/>
        </w:rPr>
        <w:t>0</w:t>
      </w:r>
      <w:r w:rsidR="00CD407C" w:rsidRPr="00A473F1">
        <w:rPr>
          <w:rFonts w:ascii="Palatino Linotype" w:hAnsi="Palatino Linotype" w:cs="Arial"/>
          <w:b/>
          <w:bCs/>
          <w:lang w:val="es-MX" w:eastAsia="es-MX"/>
        </w:rPr>
        <w:t>660</w:t>
      </w:r>
      <w:r w:rsidRPr="00A473F1">
        <w:rPr>
          <w:rFonts w:ascii="Palatino Linotype" w:hAnsi="Palatino Linotype" w:cs="Arial"/>
          <w:b/>
          <w:bCs/>
          <w:lang w:val="es-MX" w:eastAsia="es-MX"/>
        </w:rPr>
        <w:t>5/INFOEM/IP/RR/2023</w:t>
      </w:r>
      <w:r w:rsidRPr="00A473F1">
        <w:rPr>
          <w:rFonts w:ascii="Palatino Linotype" w:hAnsi="Palatino Linotype" w:cs="Arial"/>
          <w:lang w:val="es-MX" w:eastAsia="en-US"/>
        </w:rPr>
        <w:t>, en el cual aduce, las siguientes manifestaciones:</w:t>
      </w:r>
    </w:p>
    <w:p w14:paraId="7959AC62" w14:textId="77777777" w:rsidR="00E34AF2" w:rsidRPr="00A473F1" w:rsidRDefault="00E34AF2" w:rsidP="00E34AF2">
      <w:pPr>
        <w:spacing w:line="360" w:lineRule="auto"/>
        <w:jc w:val="both"/>
        <w:rPr>
          <w:rFonts w:ascii="Palatino Linotype" w:hAnsi="Palatino Linotype" w:cs="Arial"/>
          <w:sz w:val="14"/>
          <w:lang w:val="es-MX" w:eastAsia="en-US"/>
        </w:rPr>
      </w:pPr>
    </w:p>
    <w:p w14:paraId="00372FC7" w14:textId="41C9A712" w:rsidR="00E34AF2" w:rsidRPr="00A473F1" w:rsidRDefault="00E34AF2" w:rsidP="00CD407C">
      <w:pPr>
        <w:numPr>
          <w:ilvl w:val="0"/>
          <w:numId w:val="1"/>
        </w:numPr>
        <w:spacing w:line="259" w:lineRule="auto"/>
        <w:jc w:val="both"/>
        <w:rPr>
          <w:rFonts w:ascii="Palatino Linotype" w:hAnsi="Palatino Linotype" w:cs="Arial"/>
          <w:b/>
          <w:sz w:val="26"/>
          <w:szCs w:val="26"/>
        </w:rPr>
      </w:pPr>
      <w:r w:rsidRPr="00A473F1">
        <w:rPr>
          <w:rFonts w:ascii="Palatino Linotype" w:hAnsi="Palatino Linotype" w:cs="Arial"/>
          <w:b/>
          <w:sz w:val="26"/>
          <w:szCs w:val="26"/>
        </w:rPr>
        <w:lastRenderedPageBreak/>
        <w:t xml:space="preserve">Acto Impugnado: </w:t>
      </w:r>
      <w:r w:rsidRPr="00A473F1">
        <w:rPr>
          <w:rFonts w:ascii="Palatino Linotype" w:hAnsi="Palatino Linotype"/>
          <w:i/>
          <w:color w:val="000000"/>
          <w:sz w:val="22"/>
          <w:szCs w:val="22"/>
          <w:lang w:val="es-MX" w:eastAsia="en-US"/>
        </w:rPr>
        <w:t>“</w:t>
      </w:r>
      <w:r w:rsidR="00CD407C" w:rsidRPr="00A473F1">
        <w:rPr>
          <w:rFonts w:ascii="Palatino Linotype" w:hAnsi="Palatino Linotype"/>
          <w:i/>
          <w:color w:val="000000"/>
          <w:sz w:val="22"/>
          <w:szCs w:val="22"/>
          <w:lang w:val="es-MX" w:eastAsia="en-US"/>
        </w:rPr>
        <w:t>no me dieron la información</w:t>
      </w:r>
      <w:r w:rsidRPr="00A473F1">
        <w:rPr>
          <w:rFonts w:ascii="Palatino Linotype" w:hAnsi="Palatino Linotype"/>
          <w:i/>
          <w:color w:val="000000"/>
          <w:sz w:val="22"/>
          <w:szCs w:val="22"/>
          <w:lang w:val="es-MX" w:eastAsia="en-US"/>
        </w:rPr>
        <w:t>” (Sic).</w:t>
      </w:r>
    </w:p>
    <w:p w14:paraId="6030A8A7" w14:textId="77777777" w:rsidR="00E34AF2" w:rsidRPr="00A473F1" w:rsidRDefault="00E34AF2" w:rsidP="00E34AF2">
      <w:pPr>
        <w:spacing w:line="276" w:lineRule="auto"/>
        <w:ind w:left="284"/>
        <w:jc w:val="both"/>
        <w:rPr>
          <w:rFonts w:ascii="Palatino Linotype" w:hAnsi="Palatino Linotype"/>
          <w:i/>
          <w:color w:val="000000"/>
          <w:sz w:val="22"/>
          <w:szCs w:val="22"/>
          <w:lang w:val="es-MX" w:eastAsia="en-US"/>
        </w:rPr>
      </w:pPr>
    </w:p>
    <w:p w14:paraId="45C2F3D3" w14:textId="52DAAD76" w:rsidR="00E34AF2" w:rsidRPr="00A473F1" w:rsidRDefault="00E34AF2" w:rsidP="00CD407C">
      <w:pPr>
        <w:numPr>
          <w:ilvl w:val="0"/>
          <w:numId w:val="1"/>
        </w:numPr>
        <w:jc w:val="both"/>
        <w:rPr>
          <w:rFonts w:ascii="Palatino Linotype" w:hAnsi="Palatino Linotype"/>
          <w:i/>
          <w:sz w:val="26"/>
          <w:szCs w:val="26"/>
          <w:lang w:val="es-MX" w:eastAsia="es-MX"/>
        </w:rPr>
      </w:pPr>
      <w:r w:rsidRPr="00A473F1">
        <w:rPr>
          <w:rFonts w:ascii="Palatino Linotype" w:hAnsi="Palatino Linotype" w:cs="Arial"/>
          <w:b/>
          <w:sz w:val="26"/>
          <w:szCs w:val="26"/>
        </w:rPr>
        <w:t>Razones o Motivos de Inconformidad</w:t>
      </w:r>
      <w:r w:rsidRPr="00A473F1">
        <w:rPr>
          <w:rFonts w:ascii="Palatino Linotype" w:hAnsi="Palatino Linotype" w:cs="Arial"/>
          <w:sz w:val="26"/>
          <w:szCs w:val="26"/>
        </w:rPr>
        <w:t xml:space="preserve">: </w:t>
      </w:r>
      <w:r w:rsidRPr="00A473F1">
        <w:rPr>
          <w:rFonts w:ascii="Palatino Linotype" w:hAnsi="Palatino Linotype" w:cs="Arial"/>
          <w:i/>
          <w:sz w:val="22"/>
          <w:szCs w:val="22"/>
          <w:lang w:val="es-MX" w:eastAsia="en-US"/>
        </w:rPr>
        <w:t>“</w:t>
      </w:r>
      <w:r w:rsidR="00CD407C" w:rsidRPr="00A473F1">
        <w:rPr>
          <w:rFonts w:ascii="Palatino Linotype" w:hAnsi="Palatino Linotype"/>
          <w:i/>
          <w:color w:val="000000"/>
          <w:sz w:val="22"/>
          <w:szCs w:val="22"/>
          <w:lang w:val="es-MX" w:eastAsia="en-US"/>
        </w:rPr>
        <w:t>no otorgan la información,me dieron largas por medio de una prorroga y la directora de comercialización desconoce el marco normativo y me indica que tengo que acudir a consultar la información sin decirme el dia ni la hora es decir dejandome en estado de indefención, motivo por el cual violan mis derechos huimanos a conocer que opacidad hay en esa dirección al ocultar el mal trabajo admnistrativo. solicito la información en el medio requerido.</w:t>
      </w:r>
      <w:r w:rsidRPr="00A473F1">
        <w:rPr>
          <w:rFonts w:ascii="Palatino Linotype" w:hAnsi="Palatino Linotype"/>
          <w:i/>
          <w:color w:val="000000"/>
          <w:sz w:val="22"/>
          <w:szCs w:val="22"/>
          <w:lang w:val="es-MX" w:eastAsia="en-US"/>
        </w:rPr>
        <w:t>” (Sic)</w:t>
      </w:r>
    </w:p>
    <w:p w14:paraId="6310AFC1" w14:textId="77777777" w:rsidR="00E34AF2" w:rsidRPr="00A473F1" w:rsidRDefault="00E34AF2" w:rsidP="00E34AF2">
      <w:pPr>
        <w:spacing w:line="360" w:lineRule="auto"/>
        <w:jc w:val="both"/>
        <w:rPr>
          <w:rFonts w:ascii="Palatino Linotype" w:hAnsi="Palatino Linotype" w:cs="Arial"/>
          <w:b/>
          <w:lang w:val="es-MX" w:eastAsia="en-US"/>
        </w:rPr>
      </w:pPr>
    </w:p>
    <w:p w14:paraId="1233719B" w14:textId="77777777" w:rsidR="00E34AF2" w:rsidRPr="00A473F1" w:rsidRDefault="00E34AF2" w:rsidP="00E34AF2">
      <w:pPr>
        <w:spacing w:line="360" w:lineRule="auto"/>
        <w:jc w:val="both"/>
        <w:rPr>
          <w:rFonts w:ascii="Palatino Linotype" w:hAnsi="Palatino Linotype" w:cs="Arial"/>
          <w:b/>
          <w:sz w:val="28"/>
          <w:lang w:val="es-MX" w:eastAsia="en-US"/>
        </w:rPr>
      </w:pPr>
      <w:r w:rsidRPr="00A473F1">
        <w:rPr>
          <w:rFonts w:ascii="Palatino Linotype" w:hAnsi="Palatino Linotype" w:cs="Arial"/>
          <w:b/>
          <w:sz w:val="28"/>
          <w:lang w:val="es-MX" w:eastAsia="en-US"/>
        </w:rPr>
        <w:t>QUINTO. Del turno del recurso de revisión.</w:t>
      </w:r>
    </w:p>
    <w:p w14:paraId="5A9A0FC3" w14:textId="17346DA5" w:rsidR="00E34AF2" w:rsidRPr="00A473F1" w:rsidRDefault="00E34AF2" w:rsidP="00E34AF2">
      <w:pPr>
        <w:spacing w:line="360" w:lineRule="auto"/>
        <w:jc w:val="both"/>
        <w:rPr>
          <w:rFonts w:ascii="Palatino Linotype" w:hAnsi="Palatino Linotype" w:cs="Arial"/>
          <w:lang w:val="es-MX" w:eastAsia="en-US"/>
        </w:rPr>
      </w:pPr>
      <w:r w:rsidRPr="00A473F1">
        <w:rPr>
          <w:rFonts w:ascii="Palatino Linotype" w:hAnsi="Palatino Linotype" w:cs="Arial"/>
          <w:lang w:val="es-MX" w:eastAsia="en-US"/>
        </w:rPr>
        <w:t xml:space="preserve">Medio de impugnación que le fue turnado al Comisionado Presidente </w:t>
      </w:r>
      <w:r w:rsidRPr="00A473F1">
        <w:rPr>
          <w:rFonts w:ascii="Palatino Linotype" w:hAnsi="Palatino Linotype" w:cs="Arial"/>
          <w:b/>
          <w:lang w:val="es-MX" w:eastAsia="en-US"/>
        </w:rPr>
        <w:t>José Martínez Vilchis</w:t>
      </w:r>
      <w:r w:rsidRPr="00A473F1">
        <w:rPr>
          <w:rFonts w:ascii="Palatino Linotype"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CD407C" w:rsidRPr="00A473F1">
        <w:rPr>
          <w:rFonts w:ascii="Palatino Linotype" w:hAnsi="Palatino Linotype" w:cs="Arial"/>
          <w:lang w:val="es-MX" w:eastAsia="en-US"/>
        </w:rPr>
        <w:t>seis de octubre</w:t>
      </w:r>
      <w:r w:rsidRPr="00A473F1">
        <w:rPr>
          <w:rFonts w:ascii="Palatino Linotype" w:hAnsi="Palatino Linotype" w:cs="Arial"/>
          <w:lang w:val="es-MX" w:eastAsia="en-US"/>
        </w:rPr>
        <w:t xml:space="preserve"> de dos mil veintitrés, determinándose en él, un plazo de siete días para que las partes manifestaran lo que a su derecho corresponda en términos del numeral ya citado.</w:t>
      </w:r>
    </w:p>
    <w:p w14:paraId="635B9E7A" w14:textId="77777777" w:rsidR="00E34AF2" w:rsidRPr="00A473F1" w:rsidRDefault="00E34AF2" w:rsidP="00E34AF2">
      <w:pPr>
        <w:spacing w:line="360" w:lineRule="auto"/>
        <w:jc w:val="both"/>
        <w:rPr>
          <w:rFonts w:ascii="Palatino Linotype" w:hAnsi="Palatino Linotype" w:cs="Arial"/>
          <w:lang w:val="es-MX" w:eastAsia="en-US"/>
        </w:rPr>
      </w:pPr>
    </w:p>
    <w:p w14:paraId="4CDBAB13" w14:textId="77777777" w:rsidR="00E34AF2" w:rsidRPr="00A473F1" w:rsidRDefault="00E34AF2" w:rsidP="00E34AF2">
      <w:pPr>
        <w:spacing w:line="360" w:lineRule="auto"/>
        <w:jc w:val="both"/>
        <w:rPr>
          <w:rFonts w:ascii="Palatino Linotype" w:hAnsi="Palatino Linotype" w:cs="Arial"/>
          <w:b/>
          <w:sz w:val="28"/>
          <w:lang w:val="es-MX" w:eastAsia="en-US"/>
        </w:rPr>
      </w:pPr>
      <w:r w:rsidRPr="00A473F1">
        <w:rPr>
          <w:rFonts w:ascii="Palatino Linotype" w:hAnsi="Palatino Linotype" w:cs="Arial"/>
          <w:b/>
          <w:sz w:val="28"/>
          <w:lang w:val="es-MX" w:eastAsia="en-US"/>
        </w:rPr>
        <w:t>SEXTO. De la etapa de manifestaciones y/o alegatos.</w:t>
      </w:r>
    </w:p>
    <w:p w14:paraId="223EE24D" w14:textId="7C70C090" w:rsidR="00E34AF2" w:rsidRPr="00A473F1" w:rsidRDefault="00E34AF2" w:rsidP="00E34AF2">
      <w:pPr>
        <w:spacing w:line="360" w:lineRule="auto"/>
        <w:jc w:val="both"/>
        <w:rPr>
          <w:rFonts w:ascii="Palatino Linotype" w:hAnsi="Palatino Linotype" w:cs="Arial"/>
          <w:lang w:val="es-MX" w:eastAsia="en-US"/>
        </w:rPr>
      </w:pPr>
      <w:r w:rsidRPr="00A473F1">
        <w:rPr>
          <w:rFonts w:ascii="Palatino Linotype" w:hAnsi="Palatino Linotype" w:cs="Arial"/>
          <w:lang w:val="es-MX" w:eastAsia="en-US"/>
        </w:rPr>
        <w:t xml:space="preserve">Una vez transcurrido el término legal referido se destaca que, en fecha </w:t>
      </w:r>
      <w:r w:rsidR="00CD407C" w:rsidRPr="00A473F1">
        <w:rPr>
          <w:rFonts w:ascii="Palatino Linotype" w:hAnsi="Palatino Linotype" w:cs="Arial"/>
          <w:lang w:val="es-MX" w:eastAsia="en-US"/>
        </w:rPr>
        <w:t>nueve de octubre</w:t>
      </w:r>
      <w:r w:rsidRPr="00A473F1">
        <w:rPr>
          <w:rFonts w:ascii="Palatino Linotype" w:hAnsi="Palatino Linotype" w:cs="Arial"/>
          <w:lang w:val="es-MX" w:eastAsia="en-US"/>
        </w:rPr>
        <w:t xml:space="preserve"> de dos mil veintitrés, </w:t>
      </w:r>
      <w:r w:rsidRPr="00A473F1">
        <w:rPr>
          <w:rFonts w:ascii="Palatino Linotype" w:hAnsi="Palatino Linotype" w:cs="Arial"/>
          <w:b/>
          <w:lang w:val="es-MX" w:eastAsia="en-US"/>
        </w:rPr>
        <w:t>El Sujeto Obligado</w:t>
      </w:r>
      <w:r w:rsidRPr="00A473F1">
        <w:rPr>
          <w:rFonts w:ascii="Palatino Linotype" w:hAnsi="Palatino Linotype" w:cs="Arial"/>
          <w:lang w:val="es-MX" w:eastAsia="en-US"/>
        </w:rPr>
        <w:t xml:space="preserve"> rindió su informe justificado mediante el archivo electrónico denominado </w:t>
      </w:r>
      <w:r w:rsidRPr="00A473F1">
        <w:rPr>
          <w:rFonts w:ascii="Palatino Linotype" w:hAnsi="Palatino Linotype" w:cs="Arial"/>
          <w:i/>
          <w:lang w:val="es-MX" w:eastAsia="en-US"/>
        </w:rPr>
        <w:t>“</w:t>
      </w:r>
      <w:r w:rsidR="00CD407C" w:rsidRPr="00A473F1">
        <w:rPr>
          <w:rFonts w:ascii="Palatino Linotype" w:hAnsi="Palatino Linotype" w:cs="Arial"/>
          <w:i/>
          <w:lang w:val="es-MX" w:eastAsia="en-US"/>
        </w:rPr>
        <w:t>MANIFESTACIONES RR 6605 SAIMEX 175.pdf</w:t>
      </w:r>
      <w:r w:rsidRPr="00A473F1">
        <w:rPr>
          <w:rFonts w:ascii="Palatino Linotype" w:hAnsi="Palatino Linotype" w:cs="Arial"/>
          <w:i/>
          <w:lang w:val="es-MX" w:eastAsia="en-US"/>
        </w:rPr>
        <w:t>”</w:t>
      </w:r>
      <w:r w:rsidRPr="00A473F1">
        <w:rPr>
          <w:rFonts w:ascii="Palatino Linotype" w:hAnsi="Palatino Linotype" w:cs="Arial"/>
          <w:lang w:val="es-MX" w:eastAsia="en-US"/>
        </w:rPr>
        <w:t xml:space="preserve">, mismo que fue puesto a la vista del particular mediante Acuerdo de fecha </w:t>
      </w:r>
      <w:r w:rsidR="00CD407C" w:rsidRPr="00A473F1">
        <w:rPr>
          <w:rFonts w:ascii="Palatino Linotype" w:hAnsi="Palatino Linotype" w:cs="Arial"/>
          <w:lang w:val="es-MX" w:eastAsia="en-US"/>
        </w:rPr>
        <w:t>dieciocho</w:t>
      </w:r>
      <w:r w:rsidRPr="00A473F1">
        <w:rPr>
          <w:rFonts w:ascii="Palatino Linotype" w:hAnsi="Palatino Linotype" w:cs="Arial"/>
          <w:lang w:val="es-MX" w:eastAsia="en-US"/>
        </w:rPr>
        <w:t xml:space="preserve"> del mismo mes y año; asimismo, se aprecia que la parte </w:t>
      </w:r>
      <w:r w:rsidRPr="00A473F1">
        <w:rPr>
          <w:rFonts w:ascii="Palatino Linotype" w:hAnsi="Palatino Linotype" w:cs="Arial"/>
          <w:b/>
          <w:lang w:val="es-MX" w:eastAsia="en-US"/>
        </w:rPr>
        <w:t>Recurrente</w:t>
      </w:r>
      <w:r w:rsidRPr="00A473F1">
        <w:rPr>
          <w:rFonts w:ascii="Palatino Linotype" w:hAnsi="Palatino Linotype" w:cs="Arial"/>
          <w:lang w:val="es-MX" w:eastAsia="en-US"/>
        </w:rPr>
        <w:t xml:space="preserve"> no realizó alegatos, ni ofreció pruebas o manifestaciones, lo anterior de conformidad con la siguiente imagen:</w:t>
      </w:r>
    </w:p>
    <w:p w14:paraId="617C7B1D" w14:textId="61210CF6" w:rsidR="00E34AF2" w:rsidRPr="00A473F1" w:rsidRDefault="008C0A58" w:rsidP="00E34AF2">
      <w:pPr>
        <w:spacing w:line="360" w:lineRule="auto"/>
        <w:jc w:val="both"/>
        <w:rPr>
          <w:rFonts w:ascii="Palatino Linotype" w:hAnsi="Palatino Linotype" w:cs="Arial"/>
          <w:noProof/>
          <w:lang w:val="es-MX" w:eastAsia="es-MX"/>
        </w:rPr>
      </w:pPr>
      <w:r w:rsidRPr="00A473F1">
        <w:rPr>
          <w:rFonts w:ascii="Palatino Linotype" w:hAnsi="Palatino Linotype" w:cs="Arial"/>
          <w:noProof/>
          <w:lang w:val="es-MX" w:eastAsia="es-MX"/>
        </w:rPr>
        <w:lastRenderedPageBreak/>
        <w:drawing>
          <wp:inline distT="0" distB="0" distL="0" distR="0" wp14:anchorId="4BFB2B1C" wp14:editId="18C5AA0C">
            <wp:extent cx="5791835" cy="1979930"/>
            <wp:effectExtent l="190500" t="190500" r="189865" b="1917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91835" cy="1979930"/>
                    </a:xfrm>
                    <a:prstGeom prst="rect">
                      <a:avLst/>
                    </a:prstGeom>
                    <a:ln>
                      <a:noFill/>
                    </a:ln>
                    <a:effectLst>
                      <a:outerShdw blurRad="190500" algn="tl" rotWithShape="0">
                        <a:srgbClr val="000000">
                          <a:alpha val="70000"/>
                        </a:srgbClr>
                      </a:outerShdw>
                    </a:effectLst>
                  </pic:spPr>
                </pic:pic>
              </a:graphicData>
            </a:graphic>
          </wp:inline>
        </w:drawing>
      </w:r>
    </w:p>
    <w:p w14:paraId="7F8BEAE3" w14:textId="77777777" w:rsidR="00E34AF2" w:rsidRPr="00A473F1" w:rsidRDefault="00E34AF2" w:rsidP="00E34AF2">
      <w:pPr>
        <w:tabs>
          <w:tab w:val="left" w:pos="3206"/>
        </w:tabs>
        <w:spacing w:line="360" w:lineRule="auto"/>
        <w:jc w:val="both"/>
        <w:rPr>
          <w:rFonts w:ascii="Palatino Linotype" w:hAnsi="Palatino Linotype" w:cs="Arial"/>
          <w:b/>
          <w:sz w:val="28"/>
          <w:lang w:val="es-MX" w:eastAsia="en-US"/>
        </w:rPr>
      </w:pPr>
      <w:r w:rsidRPr="00A473F1">
        <w:rPr>
          <w:rFonts w:ascii="Palatino Linotype" w:hAnsi="Palatino Linotype" w:cs="Arial"/>
          <w:b/>
          <w:sz w:val="28"/>
          <w:lang w:val="es-MX" w:eastAsia="en-US"/>
        </w:rPr>
        <w:t>SÉPTIMO. Del cierre de instrucción.</w:t>
      </w:r>
      <w:r w:rsidRPr="00A473F1">
        <w:rPr>
          <w:rFonts w:ascii="Palatino Linotype" w:hAnsi="Palatino Linotype" w:cs="Arial"/>
          <w:b/>
          <w:sz w:val="28"/>
          <w:lang w:val="es-MX" w:eastAsia="en-US"/>
        </w:rPr>
        <w:tab/>
      </w:r>
    </w:p>
    <w:p w14:paraId="35BF0120" w14:textId="4022F978" w:rsidR="00E34AF2" w:rsidRPr="00A473F1" w:rsidRDefault="00E34AF2" w:rsidP="00E34AF2">
      <w:pPr>
        <w:spacing w:line="360" w:lineRule="auto"/>
        <w:jc w:val="both"/>
        <w:rPr>
          <w:rFonts w:ascii="Palatino Linotype" w:hAnsi="Palatino Linotype" w:cs="Arial"/>
          <w:lang w:val="es-MX" w:eastAsia="en-US"/>
        </w:rPr>
      </w:pPr>
      <w:r w:rsidRPr="00A473F1">
        <w:rPr>
          <w:rFonts w:ascii="Palatino Linotype" w:hAnsi="Palatino Linotype" w:cs="Arial"/>
          <w:lang w:val="es-MX" w:eastAsia="en-US"/>
        </w:rPr>
        <w:t xml:space="preserve">Así, una vez transcurrido el término legal, permitió decretarse el cierre de instrucción en fecha </w:t>
      </w:r>
      <w:r w:rsidR="008C0A58" w:rsidRPr="00A473F1">
        <w:rPr>
          <w:rFonts w:ascii="Palatino Linotype" w:hAnsi="Palatino Linotype" w:cs="Arial"/>
          <w:lang w:val="es-MX" w:eastAsia="en-US"/>
        </w:rPr>
        <w:t>veinticuatro de octubre</w:t>
      </w:r>
      <w:r w:rsidRPr="00A473F1">
        <w:rPr>
          <w:rFonts w:ascii="Palatino Linotype" w:hAnsi="Palatino Linotype" w:cs="Arial"/>
          <w:lang w:val="es-MX" w:eastAsia="en-US"/>
        </w:rPr>
        <w:t xml:space="preserve"> de dos mil veintitrés, en términos del artículo 185, Fracción VI, de la Ley de Transparencia y Acceso a la Información Pública del Estado de México y Municipios, iniciando el término legal para dictar resolución definitiva del asunto.</w:t>
      </w:r>
    </w:p>
    <w:p w14:paraId="24BF8348" w14:textId="77777777" w:rsidR="00391828" w:rsidRPr="00A473F1" w:rsidRDefault="00391828" w:rsidP="0029071C">
      <w:pPr>
        <w:spacing w:line="360" w:lineRule="auto"/>
        <w:jc w:val="both"/>
        <w:rPr>
          <w:rFonts w:ascii="Palatino Linotype" w:eastAsiaTheme="minorHAnsi" w:hAnsi="Palatino Linotype" w:cs="Arial"/>
          <w:lang w:val="es-MX" w:eastAsia="en-US"/>
        </w:rPr>
      </w:pPr>
    </w:p>
    <w:p w14:paraId="451F074F" w14:textId="0BAD4CBC" w:rsidR="00391828" w:rsidRPr="00A473F1" w:rsidRDefault="00E34AF2" w:rsidP="00391828">
      <w:pPr>
        <w:spacing w:line="360" w:lineRule="auto"/>
        <w:rPr>
          <w:rFonts w:ascii="Palatino Linotype" w:hAnsi="Palatino Linotype"/>
          <w:b/>
          <w:sz w:val="28"/>
          <w:szCs w:val="26"/>
          <w:lang w:val="es-MX"/>
        </w:rPr>
      </w:pPr>
      <w:r w:rsidRPr="00A473F1">
        <w:rPr>
          <w:rFonts w:ascii="Palatino Linotype" w:hAnsi="Palatino Linotype"/>
          <w:b/>
          <w:sz w:val="28"/>
          <w:szCs w:val="26"/>
          <w:lang w:val="es-MX"/>
        </w:rPr>
        <w:t>OCTAV</w:t>
      </w:r>
      <w:r w:rsidR="00391828" w:rsidRPr="00A473F1">
        <w:rPr>
          <w:rFonts w:ascii="Palatino Linotype" w:hAnsi="Palatino Linotype"/>
          <w:b/>
          <w:sz w:val="28"/>
          <w:szCs w:val="26"/>
          <w:lang w:val="es-MX"/>
        </w:rPr>
        <w:t>O. De la ampliación del término para resolver.</w:t>
      </w:r>
    </w:p>
    <w:p w14:paraId="019627C5" w14:textId="04CC4839" w:rsidR="00391828" w:rsidRPr="00A473F1" w:rsidRDefault="00391828" w:rsidP="00391828">
      <w:pPr>
        <w:spacing w:line="360" w:lineRule="auto"/>
        <w:jc w:val="both"/>
        <w:rPr>
          <w:rFonts w:ascii="Palatino Linotype" w:hAnsi="Palatino Linotype"/>
          <w:lang w:val="es-MX"/>
        </w:rPr>
      </w:pPr>
      <w:r w:rsidRPr="00A473F1">
        <w:rPr>
          <w:rFonts w:ascii="Palatino Linotype" w:hAnsi="Palatino Linotype"/>
          <w:lang w:val="es-MX"/>
        </w:rPr>
        <w:t xml:space="preserve">En fecha </w:t>
      </w:r>
      <w:r w:rsidR="008C0A58" w:rsidRPr="00A473F1">
        <w:rPr>
          <w:rFonts w:ascii="Palatino Linotype" w:hAnsi="Palatino Linotype"/>
          <w:lang w:val="es-MX"/>
        </w:rPr>
        <w:t>veintiuno de noviembre</w:t>
      </w:r>
      <w:r w:rsidRPr="00A473F1">
        <w:rPr>
          <w:rFonts w:ascii="Palatino Linotype" w:hAnsi="Palatino Linotype"/>
          <w:lang w:val="es-MX"/>
        </w:rPr>
        <w:t xml:space="preserv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14:paraId="1178047B" w14:textId="77777777" w:rsidR="00DC3CEA" w:rsidRPr="00A473F1" w:rsidRDefault="00DC3CEA" w:rsidP="00391828">
      <w:pPr>
        <w:spacing w:line="360" w:lineRule="auto"/>
        <w:jc w:val="both"/>
        <w:rPr>
          <w:rFonts w:ascii="Palatino Linotype" w:eastAsiaTheme="minorHAnsi" w:hAnsi="Palatino Linotype" w:cstheme="minorBidi"/>
          <w:szCs w:val="22"/>
          <w:lang w:val="es-MX" w:eastAsia="en-US"/>
        </w:rPr>
      </w:pPr>
    </w:p>
    <w:p w14:paraId="78805953" w14:textId="0309290A"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lastRenderedPageBreak/>
        <w:t xml:space="preserve">Este organismo garante no pasa por alto justificar, </w:t>
      </w:r>
      <w:r w:rsidRPr="00A473F1">
        <w:rPr>
          <w:rFonts w:ascii="Palatino Linotype" w:eastAsiaTheme="minorHAnsi" w:hAnsi="Palatino Linotype" w:cstheme="minorBidi"/>
          <w:bCs/>
          <w:szCs w:val="22"/>
          <w:lang w:val="es-MX" w:eastAsia="en-US"/>
        </w:rPr>
        <w:t xml:space="preserve">que el plazo para emitir resolución en el presente asunto </w:t>
      </w:r>
      <w:r w:rsidRPr="00A473F1">
        <w:rPr>
          <w:rFonts w:ascii="Palatino Linotype" w:eastAsiaTheme="minorHAnsi" w:hAnsi="Palatino Linotype" w:cstheme="minorBidi"/>
          <w:szCs w:val="22"/>
          <w:lang w:val="es-MX" w:eastAsia="en-US"/>
        </w:rPr>
        <w:t>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EEFBE29"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p>
    <w:p w14:paraId="7E5F1DC2"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A473F1">
        <w:rPr>
          <w:rFonts w:ascii="Palatino Linotype" w:eastAsiaTheme="minorHAnsi" w:hAnsi="Palatino Linotype" w:cstheme="minorBidi"/>
          <w:bCs/>
          <w:szCs w:val="22"/>
          <w:lang w:val="es-MX" w:eastAsia="en-US"/>
        </w:rPr>
        <w:t>el plazo para emitir resolución</w:t>
      </w:r>
      <w:r w:rsidRPr="00A473F1">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14:paraId="220586DA"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 xml:space="preserve"> </w:t>
      </w:r>
    </w:p>
    <w:p w14:paraId="491317E9"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8920C1"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p>
    <w:p w14:paraId="33BA8785"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 xml:space="preserve">En ese sentido, el legislador fijó los términos procesales en las leyes, de manera general, sin que pudiera prever la variada gama de casos que son resueltos por los órganos </w:t>
      </w:r>
      <w:r w:rsidRPr="00A473F1">
        <w:rPr>
          <w:rFonts w:ascii="Palatino Linotype" w:eastAsiaTheme="minorHAnsi" w:hAnsi="Palatino Linotype" w:cstheme="minorBidi"/>
          <w:szCs w:val="22"/>
          <w:lang w:val="es-MX" w:eastAsia="en-US"/>
        </w:rPr>
        <w:lastRenderedPageBreak/>
        <w:t>jurisdiccionales o cuasi jurisdiccionales, tanto por la complejidad de los hechos, como por el número de casos que conocen.</w:t>
      </w:r>
    </w:p>
    <w:p w14:paraId="15EDD974"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p>
    <w:p w14:paraId="60BBEC57"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 xml:space="preserve">Por ello, excepcionalmente, si un asunto es resuelto con posterioridad a los plazos señalados por la norma debe analizarse la razonabilidad del tiempo necesario para su resolución, atentos a los siguientes criterios:  </w:t>
      </w:r>
    </w:p>
    <w:p w14:paraId="24669E19" w14:textId="77777777" w:rsidR="00391828" w:rsidRPr="00A473F1" w:rsidRDefault="00391828" w:rsidP="00391828">
      <w:pPr>
        <w:rPr>
          <w:rFonts w:ascii="Palatino Linotype" w:eastAsiaTheme="minorHAnsi" w:hAnsi="Palatino Linotype" w:cstheme="minorBidi"/>
          <w:sz w:val="22"/>
          <w:szCs w:val="22"/>
          <w:lang w:val="es-MX" w:eastAsia="en-US"/>
        </w:rPr>
      </w:pPr>
    </w:p>
    <w:p w14:paraId="0FCBEC6B"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14:paraId="1D39755A"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b)     Actividad Procesal del interesado: Acciones u omisiones del interesado.</w:t>
      </w:r>
    </w:p>
    <w:p w14:paraId="4057C52D"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14:paraId="02343421"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14:paraId="27C0953B" w14:textId="77777777" w:rsidR="00391828" w:rsidRPr="00A473F1" w:rsidRDefault="00391828" w:rsidP="00391828">
      <w:pPr>
        <w:spacing w:line="360" w:lineRule="auto"/>
        <w:jc w:val="both"/>
        <w:rPr>
          <w:rFonts w:ascii="Palatino Linotype" w:eastAsiaTheme="minorHAnsi" w:hAnsi="Palatino Linotype" w:cstheme="minorBidi"/>
          <w:sz w:val="22"/>
          <w:szCs w:val="22"/>
          <w:lang w:val="es-MX" w:eastAsia="en-US"/>
        </w:rPr>
      </w:pPr>
    </w:p>
    <w:p w14:paraId="2229B79A"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5755E25"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 xml:space="preserve">Argumento que encuentra sustento en la jurisprudencia P./J. 32/92 emitida por el Pleno de la Suprema Corte de Justicia de la Nación de rubro </w:t>
      </w:r>
      <w:r w:rsidRPr="00A473F1">
        <w:rPr>
          <w:rFonts w:ascii="Palatino Linotype" w:eastAsiaTheme="minorHAnsi" w:hAnsi="Palatino Linotype" w:cstheme="minorBidi"/>
          <w:i/>
          <w:szCs w:val="22"/>
          <w:lang w:val="es-MX" w:eastAsia="en-US"/>
        </w:rPr>
        <w:t xml:space="preserve">“TÉRMINOS PROCESALES. PARA DETERMINAR SI UN FUNCIONARIO JUDICIAL ACTUÓ INDEBIDAMENTE </w:t>
      </w:r>
      <w:r w:rsidRPr="00A473F1">
        <w:rPr>
          <w:rFonts w:ascii="Palatino Linotype" w:eastAsiaTheme="minorHAnsi" w:hAnsi="Palatino Linotype" w:cstheme="minorBidi"/>
          <w:i/>
          <w:szCs w:val="22"/>
          <w:lang w:val="es-MX" w:eastAsia="en-US"/>
        </w:rPr>
        <w:lastRenderedPageBreak/>
        <w:t>POR NO RESPETARLOS SE DEBE ATENDER AL PRESUPUESTO QUE CONSIDERÓ EL LEGISLADOR AL FIJARLOS Y LAS CARACTERÍSTICAS DEL CASO.”</w:t>
      </w:r>
      <w:r w:rsidRPr="00A473F1">
        <w:rPr>
          <w:rFonts w:ascii="Palatino Linotype" w:eastAsiaTheme="minorHAnsi" w:hAnsi="Palatino Linotype" w:cstheme="minorBidi"/>
          <w:szCs w:val="22"/>
          <w:lang w:val="es-MX" w:eastAsia="en-US"/>
        </w:rPr>
        <w:t>, visible en la Gaceta del Seminario Judicial de la Federación con el registro digital 205635.</w:t>
      </w:r>
    </w:p>
    <w:p w14:paraId="72A98B0E"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p>
    <w:p w14:paraId="6D487B37"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0ABD2D0"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p>
    <w:p w14:paraId="2AC32358" w14:textId="77777777" w:rsidR="00391828" w:rsidRPr="00A473F1" w:rsidRDefault="00391828" w:rsidP="00391828">
      <w:pPr>
        <w:spacing w:line="360" w:lineRule="auto"/>
        <w:jc w:val="both"/>
        <w:rPr>
          <w:rFonts w:ascii="Palatino Linotype" w:eastAsiaTheme="minorHAnsi" w:hAnsi="Palatino Linotype" w:cstheme="minorBidi"/>
          <w:szCs w:val="22"/>
          <w:lang w:val="es-MX" w:eastAsia="en-US"/>
        </w:rPr>
      </w:pPr>
      <w:r w:rsidRPr="00A473F1">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14:paraId="1B2FC023" w14:textId="77777777" w:rsidR="00391828" w:rsidRPr="00A473F1" w:rsidRDefault="00391828" w:rsidP="00391828">
      <w:pPr>
        <w:spacing w:line="360" w:lineRule="auto"/>
        <w:jc w:val="both"/>
        <w:rPr>
          <w:rFonts w:ascii="Palatino Linotype" w:eastAsiaTheme="minorHAnsi" w:hAnsi="Palatino Linotype" w:cstheme="minorBidi"/>
          <w:b/>
          <w:i/>
          <w:sz w:val="22"/>
          <w:szCs w:val="22"/>
          <w:lang w:val="es-MX" w:eastAsia="en-US"/>
        </w:rPr>
      </w:pPr>
    </w:p>
    <w:p w14:paraId="11EAB80A" w14:textId="77777777" w:rsidR="00391828" w:rsidRPr="00A473F1" w:rsidRDefault="00391828" w:rsidP="00391828">
      <w:pPr>
        <w:spacing w:line="360" w:lineRule="auto"/>
        <w:jc w:val="both"/>
        <w:rPr>
          <w:rFonts w:ascii="Palatino Linotype" w:eastAsiaTheme="minorHAnsi" w:hAnsi="Palatino Linotype" w:cstheme="minorBidi"/>
          <w:sz w:val="22"/>
          <w:szCs w:val="22"/>
          <w:lang w:val="es-MX" w:eastAsia="en-US"/>
        </w:rPr>
      </w:pPr>
      <w:r w:rsidRPr="00A473F1">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A473F1">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14:paraId="74A30962" w14:textId="77777777" w:rsidR="00391828" w:rsidRPr="00A473F1" w:rsidRDefault="00391828" w:rsidP="00391828">
      <w:pPr>
        <w:spacing w:line="360" w:lineRule="auto"/>
        <w:jc w:val="both"/>
        <w:rPr>
          <w:rFonts w:ascii="Palatino Linotype" w:eastAsiaTheme="minorHAnsi" w:hAnsi="Palatino Linotype" w:cstheme="minorBidi"/>
          <w:b/>
          <w:i/>
          <w:sz w:val="22"/>
          <w:szCs w:val="22"/>
          <w:lang w:val="es-MX" w:eastAsia="en-US"/>
        </w:rPr>
      </w:pPr>
    </w:p>
    <w:p w14:paraId="2DABE5D2" w14:textId="77777777" w:rsidR="00391828" w:rsidRPr="00A473F1" w:rsidRDefault="00391828" w:rsidP="00391828">
      <w:pPr>
        <w:spacing w:line="360" w:lineRule="auto"/>
        <w:jc w:val="both"/>
        <w:rPr>
          <w:rFonts w:ascii="Palatino Linotype" w:eastAsiaTheme="minorHAnsi" w:hAnsi="Palatino Linotype" w:cstheme="minorBidi"/>
          <w:sz w:val="22"/>
          <w:szCs w:val="22"/>
          <w:lang w:val="es-MX" w:eastAsia="en-US"/>
        </w:rPr>
      </w:pPr>
      <w:r w:rsidRPr="00A473F1">
        <w:rPr>
          <w:rFonts w:ascii="Palatino Linotype" w:eastAsiaTheme="minorHAnsi" w:hAnsi="Palatino Linotype" w:cstheme="minorBidi"/>
          <w:b/>
          <w:i/>
          <w:sz w:val="22"/>
          <w:szCs w:val="22"/>
          <w:lang w:val="es-MX" w:eastAsia="en-US"/>
        </w:rPr>
        <w:lastRenderedPageBreak/>
        <w:t>“PLAZO RAZONABLE PARA RESOLVER. CONCEPTO Y ELEMENTOS QUE LO INTEGRAN A LA LUZ DEL DERECHO INTERNACIONAL DE LOS DERECHOS HUMANOS.”</w:t>
      </w:r>
      <w:r w:rsidRPr="00A473F1">
        <w:rPr>
          <w:rFonts w:ascii="Palatino Linotype" w:eastAsiaTheme="minorHAnsi" w:hAnsi="Palatino Linotype" w:cstheme="minorBidi"/>
          <w:sz w:val="22"/>
          <w:szCs w:val="22"/>
          <w:lang w:val="es-MX" w:eastAsia="en-US"/>
        </w:rPr>
        <w:t>, visible en el Seminario Judicial de la Federación y su gaceta, con el registro digital 2002350.</w:t>
      </w:r>
    </w:p>
    <w:p w14:paraId="369C6E73" w14:textId="77777777" w:rsidR="00391828" w:rsidRPr="00A473F1" w:rsidRDefault="00391828" w:rsidP="00391828">
      <w:pPr>
        <w:spacing w:line="360" w:lineRule="auto"/>
        <w:jc w:val="both"/>
        <w:rPr>
          <w:rFonts w:ascii="Palatino Linotype" w:eastAsiaTheme="minorHAnsi" w:hAnsi="Palatino Linotype" w:cstheme="minorBidi"/>
          <w:sz w:val="22"/>
          <w:szCs w:val="22"/>
          <w:lang w:val="es-MX" w:eastAsia="en-US"/>
        </w:rPr>
      </w:pPr>
    </w:p>
    <w:p w14:paraId="2A45FE5B" w14:textId="77777777" w:rsidR="00391828" w:rsidRPr="00A473F1" w:rsidRDefault="00391828" w:rsidP="00391828">
      <w:pPr>
        <w:spacing w:line="360" w:lineRule="auto"/>
        <w:jc w:val="both"/>
        <w:rPr>
          <w:rFonts w:ascii="Palatino Linotype" w:eastAsiaTheme="minorHAnsi" w:hAnsi="Palatino Linotype" w:cstheme="minorBidi"/>
          <w:bCs/>
          <w:szCs w:val="22"/>
          <w:lang w:val="es-MX" w:eastAsia="en-US"/>
        </w:rPr>
      </w:pPr>
      <w:r w:rsidRPr="00A473F1">
        <w:rPr>
          <w:rFonts w:ascii="Palatino Linotype" w:eastAsiaTheme="minorHAnsi" w:hAnsi="Palatino Linotype" w:cstheme="minorBidi"/>
          <w:bCs/>
          <w:szCs w:val="22"/>
          <w:lang w:val="es-MX" w:eastAsia="en-US"/>
        </w:rPr>
        <w:t>Por ello, este organismo garante comprometido con la tutela de los derechos humanos confiados, señala que este exceso del plazo legal para resolver el presente asunto, resulta de carácter excepcional.</w:t>
      </w:r>
    </w:p>
    <w:p w14:paraId="180C2755" w14:textId="77777777" w:rsidR="00DC3CEA" w:rsidRPr="00A473F1" w:rsidRDefault="00DC3CEA" w:rsidP="00391828">
      <w:pPr>
        <w:spacing w:line="360" w:lineRule="auto"/>
        <w:jc w:val="both"/>
        <w:rPr>
          <w:rFonts w:ascii="Palatino Linotype" w:eastAsiaTheme="minorHAnsi" w:hAnsi="Palatino Linotype" w:cstheme="minorBidi"/>
          <w:bCs/>
          <w:szCs w:val="22"/>
          <w:lang w:val="es-MX" w:eastAsia="en-US"/>
        </w:rPr>
      </w:pPr>
    </w:p>
    <w:p w14:paraId="64662D09" w14:textId="77777777" w:rsidR="00DC3CEA" w:rsidRPr="00A473F1" w:rsidRDefault="00DC3CEA" w:rsidP="00DC3CEA">
      <w:pPr>
        <w:spacing w:line="360" w:lineRule="auto"/>
        <w:jc w:val="center"/>
        <w:rPr>
          <w:rFonts w:ascii="Palatino Linotype" w:eastAsiaTheme="minorHAnsi" w:hAnsi="Palatino Linotype" w:cs="Arial"/>
          <w:b/>
          <w:sz w:val="28"/>
          <w:lang w:val="es-MX" w:eastAsia="en-US"/>
        </w:rPr>
      </w:pPr>
      <w:r w:rsidRPr="00A473F1">
        <w:rPr>
          <w:rFonts w:ascii="Palatino Linotype" w:eastAsiaTheme="minorHAnsi" w:hAnsi="Palatino Linotype" w:cs="Arial"/>
          <w:b/>
          <w:sz w:val="28"/>
          <w:lang w:val="es-MX" w:eastAsia="en-US"/>
        </w:rPr>
        <w:t xml:space="preserve">C O N S I D E R A N D O </w:t>
      </w:r>
    </w:p>
    <w:p w14:paraId="623C0E3F" w14:textId="77777777" w:rsidR="00DC3CEA" w:rsidRPr="00A473F1" w:rsidRDefault="00DC3CEA" w:rsidP="00391828">
      <w:pPr>
        <w:spacing w:line="360" w:lineRule="auto"/>
        <w:jc w:val="both"/>
        <w:rPr>
          <w:rFonts w:ascii="Palatino Linotype" w:eastAsiaTheme="minorHAnsi" w:hAnsi="Palatino Linotype" w:cstheme="minorBidi"/>
          <w:bCs/>
          <w:szCs w:val="22"/>
          <w:lang w:val="es-MX" w:eastAsia="en-US"/>
        </w:rPr>
      </w:pPr>
    </w:p>
    <w:p w14:paraId="5EE7121A" w14:textId="77777777" w:rsidR="00DC3CEA" w:rsidRPr="00A473F1" w:rsidRDefault="00DC3CEA" w:rsidP="00DC3CEA">
      <w:pPr>
        <w:spacing w:line="360" w:lineRule="auto"/>
        <w:jc w:val="both"/>
        <w:rPr>
          <w:rFonts w:ascii="Palatino Linotype" w:eastAsia="Calibri" w:hAnsi="Palatino Linotype" w:cs="Arial"/>
          <w:sz w:val="28"/>
          <w:lang w:val="es-MX" w:eastAsia="en-US"/>
        </w:rPr>
      </w:pPr>
      <w:r w:rsidRPr="00A473F1">
        <w:rPr>
          <w:rFonts w:ascii="Palatino Linotype" w:eastAsia="Calibri" w:hAnsi="Palatino Linotype" w:cs="Arial"/>
          <w:b/>
          <w:sz w:val="28"/>
          <w:lang w:val="es-MX" w:eastAsia="en-US"/>
        </w:rPr>
        <w:t>PRIMERO. De la competencia</w:t>
      </w:r>
      <w:r w:rsidRPr="00A473F1">
        <w:rPr>
          <w:rFonts w:ascii="Palatino Linotype" w:eastAsia="Calibri" w:hAnsi="Palatino Linotype" w:cs="Arial"/>
          <w:sz w:val="28"/>
          <w:lang w:val="es-MX" w:eastAsia="en-US"/>
        </w:rPr>
        <w:t>.</w:t>
      </w:r>
    </w:p>
    <w:p w14:paraId="61AE4696"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4C571820"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b/>
          <w:sz w:val="28"/>
          <w:lang w:val="es-MX" w:eastAsia="en-US"/>
        </w:rPr>
      </w:pPr>
      <w:r w:rsidRPr="00A473F1">
        <w:rPr>
          <w:rFonts w:ascii="Palatino Linotype" w:eastAsia="Calibri" w:hAnsi="Palatino Linotype" w:cs="Arial"/>
          <w:b/>
          <w:sz w:val="28"/>
          <w:lang w:val="es-MX" w:eastAsia="en-US"/>
        </w:rPr>
        <w:lastRenderedPageBreak/>
        <w:t xml:space="preserve">SEGUNDO. De los alcances del Recurso de Revisión. </w:t>
      </w:r>
    </w:p>
    <w:p w14:paraId="44456ACD"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361F18E2"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p>
    <w:p w14:paraId="44B1CB04"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b/>
          <w:sz w:val="28"/>
          <w:lang w:val="es-MX" w:eastAsia="en-US"/>
        </w:rPr>
      </w:pPr>
      <w:r w:rsidRPr="00A473F1">
        <w:rPr>
          <w:rFonts w:ascii="Palatino Linotype" w:eastAsia="Calibri" w:hAnsi="Palatino Linotype" w:cs="Arial"/>
          <w:b/>
          <w:sz w:val="28"/>
          <w:lang w:val="es-MX" w:eastAsia="en-US"/>
        </w:rPr>
        <w:t xml:space="preserve">TERCERO. Del estudio de las causas de improcedencia. </w:t>
      </w:r>
    </w:p>
    <w:p w14:paraId="73C63D87"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473F1">
        <w:rPr>
          <w:rFonts w:ascii="Palatino Linotype" w:eastAsia="Calibri" w:hAnsi="Palatino Linotype" w:cs="Arial"/>
          <w:vertAlign w:val="superscript"/>
          <w:lang w:val="es-MX" w:eastAsia="en-US"/>
        </w:rPr>
        <w:footnoteReference w:id="1"/>
      </w:r>
      <w:r w:rsidRPr="00A473F1">
        <w:rPr>
          <w:rFonts w:ascii="Palatino Linotype" w:eastAsia="Calibri" w:hAnsi="Palatino Linotype" w:cs="Arial"/>
          <w:lang w:val="es-MX" w:eastAsia="en-US"/>
        </w:rPr>
        <w:t>.</w:t>
      </w:r>
    </w:p>
    <w:p w14:paraId="29CA745D"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lastRenderedPageBreak/>
        <w:t>Por lo que una vez que se analizó el expediente en estudio se cae en la cuenta de que no se actualiza ninguna de las casuales a continuación transcritas:</w:t>
      </w:r>
    </w:p>
    <w:p w14:paraId="56DECD7B" w14:textId="77777777" w:rsidR="00DC3CEA" w:rsidRPr="00A473F1" w:rsidRDefault="00DC3CEA" w:rsidP="00DC3CEA">
      <w:pPr>
        <w:rPr>
          <w:lang w:val="es-MX"/>
        </w:rPr>
      </w:pPr>
    </w:p>
    <w:p w14:paraId="3C7DBC47"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w:t>
      </w:r>
      <w:r w:rsidRPr="00A473F1">
        <w:rPr>
          <w:rFonts w:ascii="Palatino Linotype" w:hAnsi="Palatino Linotype" w:cs="Arial"/>
          <w:b/>
          <w:i/>
          <w:sz w:val="22"/>
          <w:szCs w:val="22"/>
        </w:rPr>
        <w:t>Artículo 191.</w:t>
      </w:r>
      <w:r w:rsidRPr="00A473F1">
        <w:rPr>
          <w:rFonts w:ascii="Palatino Linotype" w:hAnsi="Palatino Linotype" w:cs="Arial"/>
          <w:i/>
          <w:sz w:val="22"/>
          <w:szCs w:val="22"/>
        </w:rPr>
        <w:t xml:space="preserve"> El recurso será desechado por improcedente cuando:  </w:t>
      </w:r>
    </w:p>
    <w:p w14:paraId="3EACCC68"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 xml:space="preserve">I. Sea extemporáneo por haber transcurrido el plazo establecido en la presente Ley, a partir de la respuesta;  </w:t>
      </w:r>
    </w:p>
    <w:p w14:paraId="062A78BE"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 xml:space="preserve">II. Se esté tramitando ante el Poder Judicial de la Federación algún recurso o medio de defensa interpuesto por el recurrente;  </w:t>
      </w:r>
    </w:p>
    <w:p w14:paraId="2666C507"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 xml:space="preserve">III. No actualice alguno de los supuestos previstos en la presente Ley;  </w:t>
      </w:r>
    </w:p>
    <w:p w14:paraId="4FA15344"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IV. No se haya desahogado la prevención en los términos establecidos en la presente Ley;</w:t>
      </w:r>
    </w:p>
    <w:p w14:paraId="7B043A9B"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 xml:space="preserve">V. Se impugne la veracidad de la información proporcionada;  </w:t>
      </w:r>
    </w:p>
    <w:p w14:paraId="6C494384"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 xml:space="preserve">VI. Se trate de una consulta, o trámite en específico; y  </w:t>
      </w:r>
    </w:p>
    <w:p w14:paraId="51B01EDB" w14:textId="77777777" w:rsidR="00DC3CEA" w:rsidRPr="00A473F1" w:rsidRDefault="00DC3CEA" w:rsidP="00DC3CEA">
      <w:pPr>
        <w:autoSpaceDE w:val="0"/>
        <w:autoSpaceDN w:val="0"/>
        <w:adjustRightInd w:val="0"/>
        <w:ind w:left="708" w:right="850"/>
        <w:jc w:val="both"/>
        <w:rPr>
          <w:rFonts w:ascii="Palatino Linotype" w:hAnsi="Palatino Linotype" w:cs="Arial"/>
          <w:i/>
          <w:sz w:val="22"/>
          <w:szCs w:val="22"/>
        </w:rPr>
      </w:pPr>
      <w:r w:rsidRPr="00A473F1">
        <w:rPr>
          <w:rFonts w:ascii="Palatino Linotype" w:hAnsi="Palatino Linotype" w:cs="Arial"/>
          <w:i/>
          <w:sz w:val="22"/>
          <w:szCs w:val="22"/>
        </w:rPr>
        <w:t>VII. El recurrente amplíe su solicitud en el recurso de revisión, únicamente respecto de los nuevos contenidos.”</w:t>
      </w:r>
    </w:p>
    <w:p w14:paraId="6C9C93CB" w14:textId="77777777" w:rsidR="00DC3CEA" w:rsidRPr="00A473F1" w:rsidRDefault="00DC3CEA" w:rsidP="00DC3CEA">
      <w:pPr>
        <w:autoSpaceDE w:val="0"/>
        <w:autoSpaceDN w:val="0"/>
        <w:adjustRightInd w:val="0"/>
        <w:spacing w:line="360" w:lineRule="auto"/>
        <w:ind w:left="708" w:right="850"/>
        <w:jc w:val="both"/>
        <w:rPr>
          <w:rFonts w:ascii="Palatino Linotype" w:hAnsi="Palatino Linotype" w:cs="Arial"/>
          <w:i/>
        </w:rPr>
      </w:pPr>
    </w:p>
    <w:p w14:paraId="4DDEC396"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F7588D2" w14:textId="77777777" w:rsidR="00DC3CEA" w:rsidRPr="00A473F1" w:rsidRDefault="00DC3CEA" w:rsidP="00DC3CEA">
      <w:pPr>
        <w:autoSpaceDE w:val="0"/>
        <w:autoSpaceDN w:val="0"/>
        <w:adjustRightInd w:val="0"/>
        <w:spacing w:line="360" w:lineRule="auto"/>
        <w:jc w:val="both"/>
        <w:rPr>
          <w:rFonts w:ascii="Palatino Linotype" w:hAnsi="Palatino Linotype" w:cs="Arial"/>
        </w:rPr>
      </w:pPr>
      <w:r w:rsidRPr="00A473F1">
        <w:rPr>
          <w:rFonts w:ascii="Palatino Linotype" w:hAnsi="Palatino Linotype" w:cs="Arial"/>
        </w:rPr>
        <w:lastRenderedPageBreak/>
        <w:t>Así las cosas, al no existir causas de improcedencia invocadas por las partes ni advertidas de oficio por este Resolutor, se procede al análisis del fondo de los asuntos en los siguientes términos.</w:t>
      </w:r>
    </w:p>
    <w:p w14:paraId="6B0ECCB5" w14:textId="77777777" w:rsidR="00DC3CEA" w:rsidRPr="00A473F1" w:rsidRDefault="00DC3CEA" w:rsidP="00DC3CEA">
      <w:pPr>
        <w:autoSpaceDE w:val="0"/>
        <w:autoSpaceDN w:val="0"/>
        <w:adjustRightInd w:val="0"/>
        <w:spacing w:line="360" w:lineRule="auto"/>
        <w:jc w:val="both"/>
        <w:rPr>
          <w:rFonts w:ascii="Palatino Linotype" w:hAnsi="Palatino Linotype" w:cs="Arial"/>
        </w:rPr>
      </w:pPr>
    </w:p>
    <w:p w14:paraId="31D03597" w14:textId="77777777" w:rsidR="00DC3CEA" w:rsidRPr="00A473F1" w:rsidRDefault="00DC3CEA" w:rsidP="00DC3CEA">
      <w:pPr>
        <w:autoSpaceDE w:val="0"/>
        <w:autoSpaceDN w:val="0"/>
        <w:adjustRightInd w:val="0"/>
        <w:spacing w:line="360" w:lineRule="auto"/>
        <w:jc w:val="both"/>
        <w:rPr>
          <w:rFonts w:ascii="Palatino Linotype" w:hAnsi="Palatino Linotype" w:cs="Arial"/>
          <w:sz w:val="28"/>
        </w:rPr>
      </w:pPr>
      <w:r w:rsidRPr="00A473F1">
        <w:rPr>
          <w:rFonts w:ascii="Palatino Linotype" w:hAnsi="Palatino Linotype" w:cs="Arial"/>
          <w:b/>
          <w:sz w:val="28"/>
        </w:rPr>
        <w:t>CUARTO. Del estudio y resolución del asunto.</w:t>
      </w:r>
      <w:r w:rsidRPr="00A473F1">
        <w:rPr>
          <w:rFonts w:ascii="Palatino Linotype" w:hAnsi="Palatino Linotype" w:cs="Arial"/>
          <w:sz w:val="28"/>
        </w:rPr>
        <w:t xml:space="preserve"> </w:t>
      </w:r>
    </w:p>
    <w:p w14:paraId="1BA4A2D2"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23C14736" w14:textId="77777777" w:rsidR="00DC3CEA" w:rsidRPr="00A473F1" w:rsidRDefault="00DC3CEA" w:rsidP="00DC3CEA">
      <w:pPr>
        <w:autoSpaceDE w:val="0"/>
        <w:autoSpaceDN w:val="0"/>
        <w:adjustRightInd w:val="0"/>
        <w:spacing w:line="360" w:lineRule="auto"/>
        <w:jc w:val="both"/>
        <w:rPr>
          <w:rFonts w:ascii="Palatino Linotype" w:eastAsia="Calibri" w:hAnsi="Palatino Linotype" w:cs="Arial"/>
          <w:lang w:val="es-MX" w:eastAsia="en-US"/>
        </w:rPr>
      </w:pPr>
    </w:p>
    <w:p w14:paraId="16071846" w14:textId="5305ECF9" w:rsidR="00DC3CEA" w:rsidRPr="00A473F1" w:rsidRDefault="00DC3CEA" w:rsidP="00DC3CEA">
      <w:pPr>
        <w:spacing w:line="360" w:lineRule="auto"/>
        <w:ind w:right="141"/>
        <w:jc w:val="both"/>
        <w:rPr>
          <w:rFonts w:ascii="Palatino Linotype" w:eastAsia="Calibri" w:hAnsi="Palatino Linotype"/>
          <w:lang w:val="es-MX" w:eastAsia="es-MX"/>
        </w:rPr>
      </w:pPr>
      <w:r w:rsidRPr="00A473F1">
        <w:rPr>
          <w:rFonts w:ascii="Palatino Linotype" w:eastAsia="Calibri" w:hAnsi="Palatino Linotype"/>
          <w:lang w:val="es-MX" w:eastAsia="es-MX"/>
        </w:rPr>
        <w:t>En este sentido nuestro estudio versará en determinar si la información remitida mediante respuesta</w:t>
      </w:r>
      <w:r w:rsidR="008C0A58" w:rsidRPr="00A473F1">
        <w:rPr>
          <w:rFonts w:ascii="Palatino Linotype" w:eastAsia="Calibri" w:hAnsi="Palatino Linotype"/>
          <w:lang w:val="es-MX" w:eastAsia="es-MX"/>
        </w:rPr>
        <w:t xml:space="preserve"> e informe justificado</w:t>
      </w:r>
      <w:r w:rsidRPr="00A473F1">
        <w:rPr>
          <w:rFonts w:ascii="Palatino Linotype" w:eastAsia="Calibri" w:hAnsi="Palatino Linotype"/>
          <w:lang w:val="es-MX" w:eastAsia="es-MX"/>
        </w:rPr>
        <w:t>, colma el derecho de acceso a la información solicitado por la</w:t>
      </w:r>
      <w:r w:rsidRPr="00A473F1">
        <w:rPr>
          <w:rFonts w:ascii="Palatino Linotype" w:eastAsia="Calibri" w:hAnsi="Palatino Linotype"/>
          <w:b/>
          <w:lang w:val="es-MX" w:eastAsia="es-MX"/>
        </w:rPr>
        <w:t xml:space="preserve"> </w:t>
      </w:r>
      <w:r w:rsidRPr="00A473F1">
        <w:rPr>
          <w:rFonts w:ascii="Palatino Linotype" w:eastAsia="Calibri" w:hAnsi="Palatino Linotype"/>
          <w:lang w:val="es-MX" w:eastAsia="es-MX"/>
        </w:rPr>
        <w:t>parte</w:t>
      </w:r>
      <w:r w:rsidRPr="00A473F1">
        <w:rPr>
          <w:rFonts w:ascii="Palatino Linotype" w:eastAsia="Calibri" w:hAnsi="Palatino Linotype"/>
          <w:b/>
          <w:lang w:val="es-MX" w:eastAsia="es-MX"/>
        </w:rPr>
        <w:t xml:space="preserve"> Recurrente</w:t>
      </w:r>
      <w:r w:rsidRPr="00A473F1">
        <w:rPr>
          <w:rFonts w:ascii="Palatino Linotype" w:eastAsia="Calibri" w:hAnsi="Palatino Linotype"/>
          <w:lang w:val="es-MX" w:eastAsia="es-MX"/>
        </w:rPr>
        <w:t>, para ello analizaremos lo solicitado y la información proporcionada.</w:t>
      </w:r>
    </w:p>
    <w:p w14:paraId="293B01EF" w14:textId="77777777" w:rsidR="00DC3CEA" w:rsidRPr="00A473F1" w:rsidRDefault="00DC3CEA" w:rsidP="00DC3CEA">
      <w:pPr>
        <w:spacing w:line="360" w:lineRule="auto"/>
        <w:ind w:right="141"/>
        <w:jc w:val="both"/>
        <w:rPr>
          <w:rFonts w:ascii="Palatino Linotype" w:eastAsia="Calibri" w:hAnsi="Palatino Linotype"/>
          <w:lang w:val="es-MX" w:eastAsia="es-MX"/>
        </w:rPr>
      </w:pPr>
    </w:p>
    <w:p w14:paraId="57C5F2C2" w14:textId="77777777" w:rsidR="00DC3CEA" w:rsidRPr="00A473F1" w:rsidRDefault="00DC3CEA" w:rsidP="00DC3CEA">
      <w:pPr>
        <w:spacing w:line="360" w:lineRule="auto"/>
        <w:ind w:right="141"/>
        <w:jc w:val="both"/>
        <w:rPr>
          <w:rFonts w:ascii="Palatino Linotype" w:eastAsia="Calibri" w:hAnsi="Palatino Linotype"/>
          <w:b/>
          <w:szCs w:val="22"/>
          <w:lang w:val="es-MX" w:eastAsia="es-MX"/>
        </w:rPr>
      </w:pPr>
      <w:r w:rsidRPr="00A473F1">
        <w:rPr>
          <w:rFonts w:ascii="Palatino Linotype" w:eastAsia="Calibri" w:hAnsi="Palatino Linotype"/>
          <w:b/>
          <w:szCs w:val="22"/>
          <w:lang w:val="es-MX" w:eastAsia="es-MX"/>
        </w:rPr>
        <w:t xml:space="preserve">REQUERIMIENTOS SOLICITADOS: </w:t>
      </w:r>
    </w:p>
    <w:p w14:paraId="167B6AEC" w14:textId="41E379CA" w:rsidR="008C0A58" w:rsidRPr="00A473F1" w:rsidRDefault="00DC3CEA" w:rsidP="008C0A58">
      <w:pPr>
        <w:numPr>
          <w:ilvl w:val="0"/>
          <w:numId w:val="19"/>
        </w:numPr>
        <w:spacing w:line="360" w:lineRule="auto"/>
        <w:ind w:right="49"/>
        <w:jc w:val="both"/>
        <w:rPr>
          <w:rFonts w:ascii="Palatino Linotype" w:eastAsia="Calibri" w:hAnsi="Palatino Linotype"/>
          <w:lang w:val="es-MX" w:eastAsia="es-MX"/>
        </w:rPr>
      </w:pPr>
      <w:r w:rsidRPr="00A473F1">
        <w:rPr>
          <w:rFonts w:ascii="Palatino Linotype" w:eastAsia="Calibri" w:hAnsi="Palatino Linotype"/>
          <w:lang w:val="es-MX" w:eastAsia="es-MX"/>
        </w:rPr>
        <w:t xml:space="preserve"> </w:t>
      </w:r>
      <w:r w:rsidR="008C0A58" w:rsidRPr="00A473F1">
        <w:rPr>
          <w:rFonts w:ascii="Palatino Linotype" w:eastAsia="Calibri" w:hAnsi="Palatino Linotype"/>
          <w:lang w:val="es-MX" w:eastAsia="es-MX"/>
        </w:rPr>
        <w:t xml:space="preserve">Todos los documentos firmados y recibidos con sus respectivos anexos, por parte del Director de Comercialización, de sus subdirectores y jefes de </w:t>
      </w:r>
      <w:r w:rsidR="008C0A58" w:rsidRPr="00A473F1">
        <w:rPr>
          <w:rFonts w:ascii="Palatino Linotype" w:eastAsia="Calibri" w:hAnsi="Palatino Linotype"/>
          <w:lang w:val="es-MX" w:eastAsia="es-MX"/>
        </w:rPr>
        <w:lastRenderedPageBreak/>
        <w:t xml:space="preserve">departamento, conforme al Reglamento Interno de dicho Organismo, del periodo comprendido del uno de enero de dos mil veintidós al  treinta de agosto de dos mil veintitrés. </w:t>
      </w:r>
    </w:p>
    <w:p w14:paraId="543A1584" w14:textId="77777777" w:rsidR="008C0A58" w:rsidRPr="00A473F1" w:rsidRDefault="008C0A58" w:rsidP="008C0A58">
      <w:pPr>
        <w:pStyle w:val="Sinespaciado"/>
        <w:rPr>
          <w:rFonts w:eastAsia="Calibri"/>
          <w:lang w:eastAsia="es-MX"/>
        </w:rPr>
      </w:pPr>
    </w:p>
    <w:p w14:paraId="73FAC959" w14:textId="77777777" w:rsidR="00DC3CEA" w:rsidRPr="00A473F1" w:rsidRDefault="00DC3CEA" w:rsidP="00DC3CEA">
      <w:pPr>
        <w:spacing w:line="360" w:lineRule="auto"/>
        <w:ind w:right="49"/>
        <w:jc w:val="both"/>
        <w:rPr>
          <w:rFonts w:ascii="Palatino Linotype" w:hAnsi="Palatino Linotype" w:cs="Arial"/>
        </w:rPr>
      </w:pPr>
      <w:r w:rsidRPr="00A473F1">
        <w:rPr>
          <w:rFonts w:ascii="Palatino Linotype" w:eastAsia="Calibri" w:hAnsi="Palatino Linotype"/>
          <w:lang w:val="es-MX" w:eastAsia="es-MX"/>
        </w:rPr>
        <w:t xml:space="preserve">Atento a la solicitud de información </w:t>
      </w:r>
      <w:r w:rsidRPr="00A473F1">
        <w:rPr>
          <w:rFonts w:ascii="Palatino Linotype" w:eastAsia="Calibri" w:hAnsi="Palatino Linotype"/>
          <w:b/>
          <w:lang w:val="es-MX" w:eastAsia="es-MX"/>
        </w:rPr>
        <w:t>El Sujeto Obligado</w:t>
      </w:r>
      <w:r w:rsidRPr="00A473F1">
        <w:rPr>
          <w:rFonts w:ascii="Palatino Linotype" w:eastAsia="Calibri" w:hAnsi="Palatino Linotype"/>
          <w:lang w:val="es-MX" w:eastAsia="es-MX"/>
        </w:rPr>
        <w:t xml:space="preserve">, emitió su respuesta en donde </w:t>
      </w:r>
      <w:r w:rsidRPr="00A473F1">
        <w:rPr>
          <w:rFonts w:ascii="Palatino Linotype" w:hAnsi="Palatino Linotype" w:cs="Arial"/>
        </w:rPr>
        <w:t>se advierte lo siguiente:</w:t>
      </w:r>
    </w:p>
    <w:p w14:paraId="770B3E89" w14:textId="77777777" w:rsidR="00DC3CEA" w:rsidRPr="00A473F1" w:rsidRDefault="00DC3CEA" w:rsidP="00DC3CEA">
      <w:pPr>
        <w:rPr>
          <w:lang w:val="es-MX"/>
        </w:rPr>
      </w:pPr>
    </w:p>
    <w:tbl>
      <w:tblPr>
        <w:tblStyle w:val="Tablaconcuadrcu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00"/>
        <w:gridCol w:w="4812"/>
        <w:gridCol w:w="1879"/>
      </w:tblGrid>
      <w:tr w:rsidR="00DC3CEA" w:rsidRPr="00A473F1" w14:paraId="592EFEC9" w14:textId="77777777" w:rsidTr="00DC3CEA">
        <w:trPr>
          <w:tblHeader/>
        </w:trPr>
        <w:tc>
          <w:tcPr>
            <w:tcW w:w="24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056AFA7F" w14:textId="77777777" w:rsidR="00DC3CEA" w:rsidRPr="00A473F1" w:rsidRDefault="00DC3CEA" w:rsidP="00DC3CEA">
            <w:pPr>
              <w:ind w:right="49"/>
              <w:jc w:val="center"/>
              <w:rPr>
                <w:rFonts w:ascii="Palatino Linotype" w:hAnsi="Palatino Linotype" w:cs="Arial"/>
                <w:b/>
              </w:rPr>
            </w:pPr>
            <w:r w:rsidRPr="00A473F1">
              <w:rPr>
                <w:rFonts w:ascii="Palatino Linotype" w:hAnsi="Palatino Linotype" w:cs="Arial"/>
                <w:b/>
              </w:rPr>
              <w:t>Solicitud de información</w:t>
            </w:r>
          </w:p>
        </w:tc>
        <w:tc>
          <w:tcPr>
            <w:tcW w:w="4812"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74187CD3" w14:textId="77777777" w:rsidR="00DC3CEA" w:rsidRPr="00A473F1" w:rsidRDefault="00DC3CEA" w:rsidP="00DC3CEA">
            <w:pPr>
              <w:ind w:right="49"/>
              <w:jc w:val="center"/>
              <w:rPr>
                <w:rFonts w:ascii="Palatino Linotype" w:hAnsi="Palatino Linotype" w:cs="Arial"/>
                <w:b/>
              </w:rPr>
            </w:pPr>
            <w:r w:rsidRPr="00A473F1">
              <w:rPr>
                <w:rFonts w:ascii="Palatino Linotype" w:hAnsi="Palatino Linotype" w:cs="Arial"/>
                <w:b/>
              </w:rPr>
              <w:t>Respuesta</w:t>
            </w:r>
          </w:p>
        </w:tc>
        <w:tc>
          <w:tcPr>
            <w:tcW w:w="187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6A79AEAC" w14:textId="77777777" w:rsidR="00DC3CEA" w:rsidRPr="00A473F1" w:rsidRDefault="00DC3CEA" w:rsidP="00DC3CEA">
            <w:pPr>
              <w:ind w:right="49"/>
              <w:jc w:val="center"/>
              <w:rPr>
                <w:rFonts w:ascii="Palatino Linotype" w:hAnsi="Palatino Linotype" w:cs="Arial"/>
                <w:b/>
              </w:rPr>
            </w:pPr>
            <w:r w:rsidRPr="00A473F1">
              <w:rPr>
                <w:rFonts w:ascii="Palatino Linotype" w:hAnsi="Palatino Linotype" w:cs="Arial"/>
                <w:b/>
              </w:rPr>
              <w:t>Cumplimiento</w:t>
            </w:r>
          </w:p>
        </w:tc>
      </w:tr>
      <w:tr w:rsidR="00DC3CEA" w:rsidRPr="00A473F1" w14:paraId="0FBA0A0A" w14:textId="77777777" w:rsidTr="00DC3CEA">
        <w:tc>
          <w:tcPr>
            <w:tcW w:w="2400" w:type="dxa"/>
            <w:tcBorders>
              <w:top w:val="double" w:sz="4" w:space="0" w:color="auto"/>
              <w:left w:val="double" w:sz="4" w:space="0" w:color="auto"/>
              <w:bottom w:val="double" w:sz="4" w:space="0" w:color="auto"/>
              <w:right w:val="double" w:sz="4" w:space="0" w:color="auto"/>
            </w:tcBorders>
            <w:vAlign w:val="center"/>
          </w:tcPr>
          <w:p w14:paraId="7AF139FC" w14:textId="09791202" w:rsidR="00DC3CEA" w:rsidRPr="00A473F1" w:rsidRDefault="008C0A58" w:rsidP="00DC3CEA">
            <w:pPr>
              <w:jc w:val="both"/>
              <w:rPr>
                <w:rFonts w:ascii="Palatino Linotype" w:eastAsia="Calibri" w:hAnsi="Palatino Linotype"/>
                <w:sz w:val="20"/>
                <w:szCs w:val="22"/>
                <w:lang w:val="es-MX" w:eastAsia="es-MX"/>
              </w:rPr>
            </w:pPr>
            <w:bookmarkStart w:id="0" w:name="_Hlk147337637"/>
            <w:r w:rsidRPr="00A473F1">
              <w:rPr>
                <w:rFonts w:ascii="Palatino Linotype" w:eastAsia="Calibri" w:hAnsi="Palatino Linotype"/>
                <w:sz w:val="20"/>
                <w:szCs w:val="22"/>
                <w:lang w:val="es-MX" w:eastAsia="es-MX"/>
              </w:rPr>
              <w:t>Todos los documentos firmados y recibidos con sus respectivos anexos, por parte del Director de Comercialización, de sus subdirectores y jefes de departamento, conforme al Reglamento Interno de dicho Organismo, del periodo comprendido del uno de enero de dos mil veintidós al  treinta de agosto de dos mil veintitrés.</w:t>
            </w:r>
          </w:p>
        </w:tc>
        <w:tc>
          <w:tcPr>
            <w:tcW w:w="4812" w:type="dxa"/>
            <w:tcBorders>
              <w:top w:val="double" w:sz="4" w:space="0" w:color="auto"/>
              <w:left w:val="double" w:sz="4" w:space="0" w:color="auto"/>
              <w:bottom w:val="double" w:sz="4" w:space="0" w:color="auto"/>
              <w:right w:val="double" w:sz="4" w:space="0" w:color="auto"/>
            </w:tcBorders>
            <w:vAlign w:val="center"/>
          </w:tcPr>
          <w:p w14:paraId="7EF5D896" w14:textId="4796EACD" w:rsidR="001949AC" w:rsidRPr="00A473F1" w:rsidRDefault="00CB756E" w:rsidP="008C0A58">
            <w:pPr>
              <w:spacing w:line="276" w:lineRule="auto"/>
              <w:ind w:right="49"/>
              <w:jc w:val="both"/>
              <w:rPr>
                <w:rFonts w:ascii="Palatino Linotype" w:hAnsi="Palatino Linotype" w:cs="Arial"/>
                <w:sz w:val="20"/>
              </w:rPr>
            </w:pPr>
            <w:bookmarkStart w:id="1" w:name="_Hlk153292713"/>
            <w:r w:rsidRPr="00A473F1">
              <w:rPr>
                <w:rFonts w:ascii="Palatino Linotype" w:hAnsi="Palatino Linotype" w:cs="Arial"/>
                <w:sz w:val="20"/>
              </w:rPr>
              <w:t xml:space="preserve">Mediante el oficio número </w:t>
            </w:r>
            <w:r w:rsidR="008C0A58" w:rsidRPr="00A473F1">
              <w:rPr>
                <w:rFonts w:ascii="Palatino Linotype" w:hAnsi="Palatino Linotype" w:cs="Arial"/>
                <w:sz w:val="20"/>
              </w:rPr>
              <w:t>DC/1750/2023</w:t>
            </w:r>
            <w:r w:rsidRPr="00A473F1">
              <w:rPr>
                <w:rFonts w:ascii="Palatino Linotype" w:hAnsi="Palatino Linotype" w:cs="Arial"/>
                <w:sz w:val="20"/>
              </w:rPr>
              <w:t xml:space="preserve">, firmado por </w:t>
            </w:r>
            <w:bookmarkStart w:id="2" w:name="_Hlk153293634"/>
            <w:r w:rsidR="008C0A58" w:rsidRPr="00A473F1">
              <w:rPr>
                <w:rFonts w:ascii="Palatino Linotype" w:hAnsi="Palatino Linotype" w:cs="Arial"/>
                <w:sz w:val="20"/>
              </w:rPr>
              <w:t xml:space="preserve">la Directora de </w:t>
            </w:r>
            <w:r w:rsidR="002D0B5C" w:rsidRPr="00A473F1">
              <w:rPr>
                <w:rFonts w:ascii="Palatino Linotype" w:hAnsi="Palatino Linotype" w:cs="Arial"/>
                <w:sz w:val="20"/>
              </w:rPr>
              <w:t>Comercialización</w:t>
            </w:r>
            <w:r w:rsidR="008C0A58" w:rsidRPr="00A473F1">
              <w:rPr>
                <w:rFonts w:ascii="Palatino Linotype" w:hAnsi="Palatino Linotype" w:cs="Arial"/>
                <w:sz w:val="20"/>
              </w:rPr>
              <w:t xml:space="preserve"> de OPERAGUA IZCALLI, O.P.D.M.</w:t>
            </w:r>
            <w:r w:rsidRPr="00A473F1">
              <w:rPr>
                <w:rFonts w:ascii="Palatino Linotype" w:hAnsi="Palatino Linotype" w:cs="Arial"/>
                <w:sz w:val="20"/>
              </w:rPr>
              <w:t xml:space="preserve">, informó que </w:t>
            </w:r>
            <w:bookmarkEnd w:id="2"/>
            <w:r w:rsidR="008C0A58" w:rsidRPr="00A473F1">
              <w:rPr>
                <w:rFonts w:ascii="Palatino Linotype" w:hAnsi="Palatino Linotype" w:cs="Arial"/>
                <w:sz w:val="20"/>
              </w:rPr>
              <w:t>con fundamento en el artículo 158</w:t>
            </w:r>
            <w:r w:rsidR="002D0B5C" w:rsidRPr="00A473F1">
              <w:rPr>
                <w:rFonts w:ascii="Palatino Linotype" w:hAnsi="Palatino Linotype" w:cs="Arial"/>
                <w:sz w:val="20"/>
              </w:rPr>
              <w:t xml:space="preserve"> de la Ley de Transparencia y Acceso a la Información Pública del Estado de México y Municipios</w:t>
            </w:r>
            <w:bookmarkEnd w:id="1"/>
            <w:r w:rsidR="002D0B5C" w:rsidRPr="00A473F1">
              <w:rPr>
                <w:rFonts w:ascii="Palatino Linotype" w:hAnsi="Palatino Linotype" w:cs="Arial"/>
                <w:sz w:val="20"/>
              </w:rPr>
              <w:t xml:space="preserve"> y del análisis, estudio o procesamiento de documentos sobrepasa las capacidades: Técnicas, administrativas y humanas, por lo que, requirió al particular acudir a las oficinas de dicha área, con el Lic. Gerardo Jacob Benítez Portillo, ubicadas en Av. La Super, Lote 3, 7ª -7B, Manzana C44A, Col. Centro Urbano, en un horario de 10 am a 5:00 pm, a efecto de que sean puestos a su disposición.   </w:t>
            </w:r>
          </w:p>
        </w:tc>
        <w:tc>
          <w:tcPr>
            <w:tcW w:w="1879" w:type="dxa"/>
            <w:tcBorders>
              <w:top w:val="double" w:sz="4" w:space="0" w:color="auto"/>
              <w:left w:val="double" w:sz="4" w:space="0" w:color="auto"/>
              <w:bottom w:val="double" w:sz="4" w:space="0" w:color="auto"/>
              <w:right w:val="double" w:sz="4" w:space="0" w:color="auto"/>
            </w:tcBorders>
            <w:vAlign w:val="center"/>
            <w:hideMark/>
          </w:tcPr>
          <w:p w14:paraId="3882DF37" w14:textId="7AF26B3A" w:rsidR="00DC3CEA" w:rsidRPr="00A473F1" w:rsidRDefault="008C0A58" w:rsidP="00971202">
            <w:pPr>
              <w:spacing w:line="360" w:lineRule="auto"/>
              <w:ind w:right="49"/>
              <w:jc w:val="center"/>
              <w:rPr>
                <w:rFonts w:ascii="Palatino Linotype" w:hAnsi="Palatino Linotype" w:cs="Arial"/>
                <w:b/>
              </w:rPr>
            </w:pPr>
            <w:r w:rsidRPr="00A473F1">
              <w:rPr>
                <w:rFonts w:ascii="Palatino Linotype" w:hAnsi="Palatino Linotype" w:cs="Arial"/>
                <w:b/>
              </w:rPr>
              <w:t>No</w:t>
            </w:r>
          </w:p>
        </w:tc>
      </w:tr>
      <w:bookmarkEnd w:id="0"/>
    </w:tbl>
    <w:p w14:paraId="6F1FD8ED" w14:textId="77777777" w:rsidR="00DC3CEA" w:rsidRPr="00A473F1" w:rsidRDefault="00DC3CEA" w:rsidP="00DC3CEA">
      <w:pPr>
        <w:shd w:val="clear" w:color="auto" w:fill="FFFFFF"/>
        <w:spacing w:line="360" w:lineRule="auto"/>
        <w:jc w:val="both"/>
        <w:rPr>
          <w:rFonts w:ascii="Palatino Linotype" w:hAnsi="Palatino Linotype" w:cs="Arial"/>
          <w:sz w:val="16"/>
        </w:rPr>
      </w:pPr>
    </w:p>
    <w:p w14:paraId="33D1FE40" w14:textId="77777777" w:rsidR="00DC3CEA" w:rsidRPr="00A473F1" w:rsidRDefault="00DC3CEA" w:rsidP="00DC3CEA">
      <w:pPr>
        <w:shd w:val="clear" w:color="auto" w:fill="FFFFFF"/>
        <w:spacing w:line="360" w:lineRule="auto"/>
        <w:jc w:val="both"/>
        <w:rPr>
          <w:rFonts w:ascii="Palatino Linotype" w:hAnsi="Palatino Linotype"/>
          <w:color w:val="222222"/>
        </w:rPr>
      </w:pPr>
      <w:r w:rsidRPr="00A473F1">
        <w:rPr>
          <w:rFonts w:ascii="Palatino Linotype" w:hAnsi="Palatino Linotype"/>
          <w:color w:val="222222"/>
        </w:rPr>
        <w:t>En este sentido, debe dejarse claro que, al haber existido un pronunciamiento por parte del </w:t>
      </w:r>
      <w:r w:rsidRPr="00A473F1">
        <w:rPr>
          <w:rFonts w:ascii="Palatino Linotype" w:hAnsi="Palatino Linotype"/>
          <w:b/>
          <w:bCs/>
          <w:color w:val="222222"/>
        </w:rPr>
        <w:t>Sujeto Obligado</w:t>
      </w:r>
      <w:r w:rsidRPr="00A473F1">
        <w:rPr>
          <w:rFonts w:ascii="Palatino Linotype" w:hAnsi="Palatino Linotype"/>
          <w:color w:val="222222"/>
        </w:rPr>
        <w:t xml:space="preserve">, este Instituto no está facultado para manifestarse sobre la veracidad del mismo, pues no existe precepto legal alguno en la Ley de la materia que lo faculte para, vía recurso de revisión, pronunciarse al respecto. Sirve de apoyo a lo </w:t>
      </w:r>
      <w:r w:rsidRPr="00A473F1">
        <w:rPr>
          <w:rFonts w:ascii="Palatino Linotype" w:hAnsi="Palatino Linotype"/>
          <w:color w:val="222222"/>
        </w:rPr>
        <w:lastRenderedPageBreak/>
        <w:t>anterior, por analogía, el criterio 31-10, emitido por el entonces Instituto Federal de Acceso a la Información que a la letra indica:</w:t>
      </w:r>
    </w:p>
    <w:p w14:paraId="1A13A45C" w14:textId="77777777" w:rsidR="00DC3CEA" w:rsidRPr="00A473F1" w:rsidRDefault="00DC3CEA" w:rsidP="00DC3CEA">
      <w:pPr>
        <w:rPr>
          <w:lang w:val="es-MX"/>
        </w:rPr>
      </w:pPr>
    </w:p>
    <w:p w14:paraId="7E951F5B" w14:textId="77777777" w:rsidR="00DC3CEA" w:rsidRPr="00A473F1" w:rsidRDefault="00DC3CEA" w:rsidP="00DC3CEA">
      <w:pPr>
        <w:shd w:val="clear" w:color="auto" w:fill="FFFFFF"/>
        <w:spacing w:line="221" w:lineRule="atLeast"/>
        <w:ind w:left="567" w:right="616"/>
        <w:jc w:val="both"/>
        <w:rPr>
          <w:color w:val="222222"/>
          <w:sz w:val="22"/>
        </w:rPr>
      </w:pPr>
      <w:r w:rsidRPr="00A473F1">
        <w:rPr>
          <w:rFonts w:ascii="Palatino Linotype" w:hAnsi="Palatino Linotype"/>
          <w:i/>
          <w:iCs/>
          <w:color w:val="222222"/>
          <w:sz w:val="22"/>
        </w:rPr>
        <w:t>“</w:t>
      </w:r>
      <w:r w:rsidRPr="00A473F1">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A473F1">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39E0E044" w14:textId="77777777" w:rsidR="00DC3CEA" w:rsidRPr="00A473F1" w:rsidRDefault="00DC3CEA" w:rsidP="00DC3CEA">
      <w:pPr>
        <w:spacing w:line="360" w:lineRule="auto"/>
        <w:ind w:right="141"/>
        <w:jc w:val="both"/>
        <w:rPr>
          <w:rFonts w:ascii="Palatino Linotype" w:eastAsia="Calibri" w:hAnsi="Palatino Linotype" w:cs="Arial"/>
          <w:bCs/>
          <w:lang w:val="es-MX" w:eastAsia="en-US"/>
        </w:rPr>
      </w:pPr>
    </w:p>
    <w:p w14:paraId="62F62289" w14:textId="0727CA51" w:rsidR="008F4D47" w:rsidRPr="00A473F1" w:rsidRDefault="00DC3CEA" w:rsidP="00DC3CEA">
      <w:pPr>
        <w:spacing w:line="360" w:lineRule="auto"/>
        <w:ind w:right="141"/>
        <w:jc w:val="both"/>
        <w:rPr>
          <w:rFonts w:ascii="Palatino Linotype" w:eastAsia="Calibri" w:hAnsi="Palatino Linotype" w:cs="Arial"/>
          <w:bCs/>
          <w:i/>
          <w:lang w:val="es-MX" w:eastAsia="en-US"/>
        </w:rPr>
      </w:pPr>
      <w:r w:rsidRPr="00A473F1">
        <w:rPr>
          <w:rFonts w:ascii="Palatino Linotype" w:eastAsia="Calibri" w:hAnsi="Palatino Linotype" w:cs="Arial"/>
          <w:bCs/>
          <w:lang w:val="es-MX" w:eastAsia="en-US"/>
        </w:rPr>
        <w:t xml:space="preserve">Es así que derivado de la respuesta emitida por </w:t>
      </w:r>
      <w:r w:rsidRPr="00A473F1">
        <w:rPr>
          <w:rFonts w:ascii="Palatino Linotype" w:eastAsia="Calibri" w:hAnsi="Palatino Linotype" w:cs="Arial"/>
          <w:b/>
          <w:bCs/>
          <w:lang w:val="es-MX" w:eastAsia="en-US"/>
        </w:rPr>
        <w:t>El Sujeto Obligado</w:t>
      </w:r>
      <w:r w:rsidRPr="00A473F1">
        <w:rPr>
          <w:rFonts w:ascii="Palatino Linotype" w:eastAsia="Calibri" w:hAnsi="Palatino Linotype" w:cs="Arial"/>
          <w:bCs/>
          <w:lang w:val="es-MX" w:eastAsia="en-US"/>
        </w:rPr>
        <w:t xml:space="preserve">, </w:t>
      </w:r>
      <w:r w:rsidRPr="00A473F1">
        <w:rPr>
          <w:rFonts w:ascii="Palatino Linotype" w:eastAsia="Calibri" w:hAnsi="Palatino Linotype" w:cs="Arial"/>
          <w:b/>
          <w:bCs/>
          <w:lang w:val="es-MX" w:eastAsia="en-US"/>
        </w:rPr>
        <w:t>El Recurrente</w:t>
      </w:r>
      <w:r w:rsidRPr="00A473F1">
        <w:rPr>
          <w:rFonts w:ascii="Palatino Linotype" w:eastAsia="Calibri" w:hAnsi="Palatino Linotype" w:cs="Arial"/>
          <w:bCs/>
          <w:lang w:val="es-MX" w:eastAsia="en-US"/>
        </w:rPr>
        <w:t xml:space="preserve">, interpuso el presente recurso de revisión, señalando sustancialmente como sus razones o motivos de inconformidad, lo siguiente: </w:t>
      </w:r>
      <w:r w:rsidRPr="00A473F1">
        <w:rPr>
          <w:rFonts w:ascii="Palatino Linotype" w:eastAsia="Calibri" w:hAnsi="Palatino Linotype" w:cs="Arial"/>
          <w:bCs/>
          <w:i/>
          <w:lang w:val="es-MX" w:eastAsia="en-US"/>
        </w:rPr>
        <w:t>“</w:t>
      </w:r>
      <w:r w:rsidR="002D0B5C" w:rsidRPr="00A473F1">
        <w:rPr>
          <w:rFonts w:ascii="Palatino Linotype" w:eastAsia="Calibri" w:hAnsi="Palatino Linotype" w:cs="Arial"/>
          <w:bCs/>
          <w:i/>
          <w:lang w:val="es-MX" w:eastAsia="en-US"/>
        </w:rPr>
        <w:t>no otorgan la información,me dieron largas por medio de una prorroga y la directora de comercialización desconoce el marco normativo y me indica que tengo que acudir a consultar la información sin decirme el dia ni la hora es decir dejandome en estado de indefención, motivo por el cual violan mis derechos huimanos a conocer que opacidad hay en esa dirección al ocultar el mal trabajo admnistrativo. solicito la información en el medio requerido.</w:t>
      </w:r>
      <w:r w:rsidRPr="00A473F1">
        <w:rPr>
          <w:rFonts w:ascii="Palatino Linotype" w:eastAsia="Calibri" w:hAnsi="Palatino Linotype" w:cs="Arial"/>
          <w:bCs/>
          <w:i/>
          <w:lang w:val="es-MX" w:eastAsia="en-US"/>
        </w:rPr>
        <w:t>” (Sic).</w:t>
      </w:r>
    </w:p>
    <w:p w14:paraId="6801A1C5" w14:textId="77777777" w:rsidR="00863ACC" w:rsidRPr="00A473F1" w:rsidRDefault="00863ACC" w:rsidP="00DC3CEA">
      <w:pPr>
        <w:spacing w:line="360" w:lineRule="auto"/>
        <w:ind w:right="141"/>
        <w:jc w:val="both"/>
        <w:rPr>
          <w:rFonts w:ascii="Palatino Linotype" w:eastAsia="Calibri" w:hAnsi="Palatino Linotype" w:cs="Arial"/>
          <w:bCs/>
          <w:i/>
          <w:lang w:val="es-MX" w:eastAsia="en-US"/>
        </w:rPr>
      </w:pPr>
    </w:p>
    <w:p w14:paraId="375AAF6D" w14:textId="5F0AAF62" w:rsidR="008F4D47" w:rsidRPr="00A473F1" w:rsidRDefault="008F4D47" w:rsidP="008F4D47">
      <w:pPr>
        <w:spacing w:line="360" w:lineRule="auto"/>
        <w:ind w:right="141"/>
        <w:jc w:val="both"/>
        <w:rPr>
          <w:rFonts w:ascii="Palatino Linotype" w:hAnsi="Palatino Linotype" w:cs="Arial"/>
          <w:bCs/>
        </w:rPr>
      </w:pPr>
      <w:r w:rsidRPr="00A473F1">
        <w:rPr>
          <w:rFonts w:ascii="Palatino Linotype" w:hAnsi="Palatino Linotype" w:cs="Arial"/>
          <w:bCs/>
        </w:rPr>
        <w:t xml:space="preserve">Así que, en la etapa de manifestaciones el </w:t>
      </w:r>
      <w:r w:rsidRPr="00A473F1">
        <w:rPr>
          <w:rFonts w:ascii="Palatino Linotype" w:hAnsi="Palatino Linotype" w:cs="Arial"/>
          <w:b/>
          <w:bCs/>
        </w:rPr>
        <w:t>Sujeto Obligado</w:t>
      </w:r>
      <w:r w:rsidRPr="00A473F1">
        <w:rPr>
          <w:rFonts w:ascii="Palatino Linotype" w:hAnsi="Palatino Linotype" w:cs="Arial"/>
          <w:bCs/>
        </w:rPr>
        <w:t xml:space="preserve">, mediante </w:t>
      </w:r>
      <w:r w:rsidRPr="00A473F1">
        <w:rPr>
          <w:rFonts w:ascii="Palatino Linotype" w:eastAsiaTheme="minorHAnsi" w:hAnsi="Palatino Linotype" w:cs="Arial"/>
          <w:lang w:val="es-MX" w:eastAsia="en-US"/>
        </w:rPr>
        <w:t xml:space="preserve">el archivo electrónico denominado </w:t>
      </w:r>
      <w:r w:rsidRPr="00A473F1">
        <w:rPr>
          <w:rFonts w:ascii="Palatino Linotype" w:eastAsiaTheme="minorHAnsi" w:hAnsi="Palatino Linotype" w:cs="Arial"/>
          <w:i/>
          <w:lang w:val="es-MX" w:eastAsia="en-US"/>
        </w:rPr>
        <w:t>“</w:t>
      </w:r>
      <w:r w:rsidR="002D0B5C" w:rsidRPr="00A473F1">
        <w:rPr>
          <w:rFonts w:ascii="Palatino Linotype" w:eastAsiaTheme="minorHAnsi" w:hAnsi="Palatino Linotype" w:cs="Arial"/>
          <w:i/>
          <w:lang w:val="es-MX" w:eastAsia="en-US"/>
        </w:rPr>
        <w:t>MANIFESTACIONES RR 6605 SAIMEX 175.pdf</w:t>
      </w:r>
      <w:r w:rsidRPr="00A473F1">
        <w:rPr>
          <w:rFonts w:ascii="Palatino Linotype" w:eastAsiaTheme="minorHAnsi" w:hAnsi="Palatino Linotype" w:cs="Arial"/>
          <w:i/>
          <w:lang w:val="es-MX" w:eastAsia="en-US"/>
        </w:rPr>
        <w:t>”</w:t>
      </w:r>
      <w:r w:rsidRPr="00A473F1">
        <w:rPr>
          <w:rFonts w:ascii="Palatino Linotype" w:eastAsiaTheme="minorHAnsi" w:hAnsi="Palatino Linotype" w:cs="Arial"/>
          <w:lang w:val="es-MX" w:eastAsia="en-US"/>
        </w:rPr>
        <w:t>;</w:t>
      </w:r>
      <w:r w:rsidRPr="00A473F1">
        <w:rPr>
          <w:rFonts w:ascii="Palatino Linotype" w:hAnsi="Palatino Linotype" w:cs="Arial"/>
          <w:bCs/>
        </w:rPr>
        <w:t xml:space="preserve"> remitió su </w:t>
      </w:r>
      <w:r w:rsidRPr="00A473F1">
        <w:rPr>
          <w:rFonts w:ascii="Palatino Linotype" w:hAnsi="Palatino Linotype" w:cs="Arial"/>
          <w:bCs/>
        </w:rPr>
        <w:lastRenderedPageBreak/>
        <w:t xml:space="preserve">Informe Justificado, </w:t>
      </w:r>
      <w:r w:rsidR="002D0B5C" w:rsidRPr="00A473F1">
        <w:rPr>
          <w:rFonts w:ascii="Palatino Linotype" w:hAnsi="Palatino Linotype" w:cs="Arial"/>
          <w:bCs/>
        </w:rPr>
        <w:t>mediante el cual, a groso modo, la Servidora Pública Habilitada de la Dirección de Comercialización de OPERAGUA IZCALLI, O.P.D.M., ratificó su respuesta primigenia</w:t>
      </w:r>
      <w:r w:rsidR="00F90312" w:rsidRPr="00A473F1">
        <w:rPr>
          <w:rFonts w:ascii="Palatino Linotype" w:hAnsi="Palatino Linotype" w:cs="Arial"/>
          <w:bCs/>
        </w:rPr>
        <w:t>.</w:t>
      </w:r>
    </w:p>
    <w:p w14:paraId="76679718" w14:textId="77777777" w:rsidR="00DC3CEA" w:rsidRPr="00A473F1" w:rsidRDefault="00DC3CEA" w:rsidP="00DC3CEA">
      <w:pPr>
        <w:spacing w:line="360" w:lineRule="auto"/>
        <w:ind w:right="141"/>
        <w:jc w:val="both"/>
        <w:rPr>
          <w:rFonts w:ascii="Palatino Linotype" w:eastAsia="Calibri" w:hAnsi="Palatino Linotype" w:cs="Arial"/>
          <w:bCs/>
          <w:i/>
          <w:sz w:val="22"/>
          <w:lang w:val="es-MX" w:eastAsia="en-US"/>
        </w:rPr>
      </w:pPr>
    </w:p>
    <w:p w14:paraId="7F1C6C94" w14:textId="77777777" w:rsidR="00DC3CEA" w:rsidRPr="00A473F1" w:rsidRDefault="00DC3CEA" w:rsidP="00DC3CEA">
      <w:pPr>
        <w:tabs>
          <w:tab w:val="left" w:pos="709"/>
        </w:tabs>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ES_tradnl" w:eastAsia="en-US"/>
        </w:rPr>
        <w:t xml:space="preserve">Por tal motivo, es de </w:t>
      </w:r>
      <w:r w:rsidRPr="00A473F1">
        <w:rPr>
          <w:rFonts w:ascii="Palatino Linotype" w:eastAsia="Calibri" w:hAnsi="Palatino Linotype" w:cs="Arial"/>
          <w:lang w:val="es-MX" w:eastAsia="en-US"/>
        </w:rPr>
        <w:t>señalar que el artículo 4, párrafo segundo de la Ley de Transparencia y Acceso a la Información Pública del Estado de México y Municipios, dispone:</w:t>
      </w:r>
    </w:p>
    <w:p w14:paraId="007E5A16" w14:textId="77777777" w:rsidR="00DC3CEA" w:rsidRPr="00A473F1" w:rsidRDefault="00DC3CEA" w:rsidP="00DC3CEA">
      <w:pPr>
        <w:rPr>
          <w:rFonts w:ascii="Calibri" w:eastAsia="Calibri" w:hAnsi="Calibri"/>
          <w:sz w:val="22"/>
          <w:szCs w:val="22"/>
          <w:lang w:val="es-MX" w:eastAsia="en-US"/>
        </w:rPr>
      </w:pPr>
    </w:p>
    <w:p w14:paraId="0A52BC43" w14:textId="77777777" w:rsidR="00DC3CEA" w:rsidRPr="00A473F1" w:rsidRDefault="00DC3CEA" w:rsidP="00DC3CEA">
      <w:pPr>
        <w:spacing w:line="256" w:lineRule="auto"/>
        <w:ind w:left="851" w:right="901"/>
        <w:jc w:val="both"/>
        <w:rPr>
          <w:rFonts w:ascii="Palatino Linotype" w:eastAsia="Calibri" w:hAnsi="Palatino Linotype" w:cs="Arial"/>
          <w:i/>
          <w:sz w:val="22"/>
          <w:szCs w:val="22"/>
          <w:lang w:val="es-MX" w:eastAsia="en-US"/>
        </w:rPr>
      </w:pPr>
      <w:r w:rsidRPr="00A473F1">
        <w:rPr>
          <w:rFonts w:ascii="Palatino Linotype" w:eastAsia="Calibri" w:hAnsi="Palatino Linotype" w:cs="Arial"/>
          <w:i/>
          <w:sz w:val="22"/>
          <w:szCs w:val="22"/>
          <w:lang w:val="es-MX" w:eastAsia="en-US"/>
        </w:rPr>
        <w:t>“</w:t>
      </w:r>
      <w:r w:rsidRPr="00A473F1">
        <w:rPr>
          <w:rFonts w:ascii="Palatino Linotype" w:eastAsia="Calibri" w:hAnsi="Palatino Linotype" w:cs="Arial"/>
          <w:b/>
          <w:i/>
          <w:sz w:val="22"/>
          <w:szCs w:val="22"/>
          <w:lang w:val="es-MX" w:eastAsia="en-US"/>
        </w:rPr>
        <w:t xml:space="preserve">Artículo 4. </w:t>
      </w:r>
      <w:r w:rsidRPr="00A473F1">
        <w:rPr>
          <w:rFonts w:ascii="Palatino Linotype" w:eastAsia="Calibri" w:hAnsi="Palatino Linotype" w:cs="Arial"/>
          <w:i/>
          <w:sz w:val="22"/>
          <w:szCs w:val="22"/>
          <w:lang w:val="es-MX" w:eastAsia="en-US"/>
        </w:rPr>
        <w:t xml:space="preserve">… </w:t>
      </w:r>
    </w:p>
    <w:p w14:paraId="230D07A5" w14:textId="77777777" w:rsidR="00DC3CEA" w:rsidRPr="00A473F1" w:rsidRDefault="00DC3CEA" w:rsidP="00DC3CEA">
      <w:pPr>
        <w:spacing w:line="256" w:lineRule="auto"/>
        <w:ind w:left="851" w:right="901"/>
        <w:jc w:val="both"/>
        <w:rPr>
          <w:rFonts w:ascii="Palatino Linotype" w:eastAsia="Calibri" w:hAnsi="Palatino Linotype" w:cs="Arial"/>
          <w:i/>
          <w:sz w:val="22"/>
          <w:szCs w:val="22"/>
          <w:lang w:val="es-MX" w:eastAsia="en-US"/>
        </w:rPr>
      </w:pPr>
      <w:r w:rsidRPr="00A473F1">
        <w:rPr>
          <w:rFonts w:ascii="Palatino Linotype" w:eastAsia="Calibri" w:hAnsi="Palatino Linotype" w:cs="Arial"/>
          <w:i/>
          <w:sz w:val="22"/>
          <w:szCs w:val="22"/>
          <w:lang w:val="es-MX"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F722A9" w14:textId="77777777" w:rsidR="002D0B5C" w:rsidRPr="00A473F1" w:rsidRDefault="002D0B5C" w:rsidP="00DC3CEA">
      <w:pPr>
        <w:tabs>
          <w:tab w:val="left" w:pos="709"/>
        </w:tabs>
        <w:spacing w:line="360" w:lineRule="auto"/>
        <w:jc w:val="both"/>
        <w:rPr>
          <w:rFonts w:ascii="Palatino Linotype" w:eastAsia="Calibri" w:hAnsi="Palatino Linotype" w:cs="Arial"/>
          <w:lang w:val="es-ES_tradnl" w:eastAsia="en-US"/>
        </w:rPr>
      </w:pPr>
    </w:p>
    <w:p w14:paraId="66FECC4A" w14:textId="77777777" w:rsidR="00DC3CEA" w:rsidRPr="00A473F1" w:rsidRDefault="00DC3CEA" w:rsidP="00DC3CEA">
      <w:pPr>
        <w:tabs>
          <w:tab w:val="left" w:pos="709"/>
        </w:tabs>
        <w:spacing w:line="360" w:lineRule="auto"/>
        <w:jc w:val="both"/>
        <w:rPr>
          <w:rFonts w:ascii="Palatino Linotype" w:eastAsia="Calibri" w:hAnsi="Palatino Linotype" w:cs="Arial"/>
          <w:lang w:val="es-ES_tradnl" w:eastAsia="en-US"/>
        </w:rPr>
      </w:pPr>
      <w:r w:rsidRPr="00A473F1">
        <w:rPr>
          <w:rFonts w:ascii="Palatino Linotype" w:eastAsia="Calibr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57F01CFB" w14:textId="77777777" w:rsidR="00DC3CEA" w:rsidRPr="00A473F1" w:rsidRDefault="00DC3CEA" w:rsidP="00DC3CEA">
      <w:pPr>
        <w:tabs>
          <w:tab w:val="left" w:pos="709"/>
        </w:tabs>
        <w:spacing w:line="360" w:lineRule="auto"/>
        <w:jc w:val="both"/>
        <w:rPr>
          <w:rFonts w:ascii="Palatino Linotype" w:eastAsia="Calibri" w:hAnsi="Palatino Linotype" w:cs="Arial"/>
          <w:lang w:val="es-MX" w:eastAsia="en-US"/>
        </w:rPr>
      </w:pPr>
    </w:p>
    <w:p w14:paraId="2F69E167" w14:textId="3550596C" w:rsidR="00DC3CEA" w:rsidRPr="00A473F1" w:rsidRDefault="00DC3CEA" w:rsidP="00CB756E">
      <w:pPr>
        <w:tabs>
          <w:tab w:val="left" w:pos="709"/>
        </w:tabs>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A473F1">
        <w:rPr>
          <w:rFonts w:ascii="Palatino Linotype" w:eastAsia="Calibri" w:hAnsi="Palatino Linotype" w:cs="Arial"/>
          <w:lang w:val="es-MX" w:eastAsia="en-US"/>
        </w:rPr>
        <w:lastRenderedPageBreak/>
        <w:t xml:space="preserve">archivos, en el estado en el que se encuentre, sin la obligación de generarla, resumirla, efectuar cálculos o practicar investigaciones; tal y como se señala a continuación: </w:t>
      </w:r>
    </w:p>
    <w:p w14:paraId="5652CC61" w14:textId="77777777" w:rsidR="00CB756E" w:rsidRPr="00A473F1" w:rsidRDefault="00CB756E" w:rsidP="00CB756E">
      <w:pPr>
        <w:tabs>
          <w:tab w:val="left" w:pos="709"/>
        </w:tabs>
        <w:spacing w:line="360" w:lineRule="auto"/>
        <w:jc w:val="both"/>
        <w:rPr>
          <w:rFonts w:ascii="Palatino Linotype" w:eastAsia="Calibri" w:hAnsi="Palatino Linotype" w:cs="Arial"/>
          <w:lang w:val="es-MX" w:eastAsia="en-US"/>
        </w:rPr>
      </w:pPr>
    </w:p>
    <w:p w14:paraId="0BF8FF38" w14:textId="77777777" w:rsidR="00DC3CEA" w:rsidRPr="00A473F1" w:rsidRDefault="00DC3CEA" w:rsidP="00DC3CEA">
      <w:pPr>
        <w:spacing w:after="160" w:line="256" w:lineRule="auto"/>
        <w:ind w:left="851" w:right="901"/>
        <w:jc w:val="both"/>
        <w:rPr>
          <w:rFonts w:ascii="Palatino Linotype" w:eastAsia="Calibri" w:hAnsi="Palatino Linotype" w:cs="Arial"/>
          <w:i/>
          <w:sz w:val="22"/>
          <w:szCs w:val="22"/>
          <w:lang w:val="es-MX" w:eastAsia="en-US"/>
        </w:rPr>
      </w:pPr>
      <w:r w:rsidRPr="00A473F1">
        <w:rPr>
          <w:rFonts w:ascii="Palatino Linotype" w:eastAsia="Calibri" w:hAnsi="Palatino Linotype" w:cs="Arial"/>
          <w:i/>
          <w:sz w:val="22"/>
          <w:szCs w:val="22"/>
          <w:lang w:val="es-MX" w:eastAsia="en-US"/>
        </w:rPr>
        <w:t>“</w:t>
      </w:r>
      <w:r w:rsidRPr="00A473F1">
        <w:rPr>
          <w:rFonts w:ascii="Palatino Linotype" w:eastAsia="Calibri" w:hAnsi="Palatino Linotype" w:cs="Arial"/>
          <w:b/>
          <w:i/>
          <w:sz w:val="22"/>
          <w:szCs w:val="22"/>
          <w:lang w:val="es-MX" w:eastAsia="en-US"/>
        </w:rPr>
        <w:t>Artículo 12.</w:t>
      </w:r>
      <w:r w:rsidRPr="00A473F1">
        <w:rPr>
          <w:rFonts w:ascii="Palatino Linotype" w:eastAsia="Calibri" w:hAnsi="Palatino Linotype" w:cs="Arial"/>
          <w:i/>
          <w:sz w:val="22"/>
          <w:szCs w:val="22"/>
          <w:lang w:val="es-MX" w:eastAsia="en-US"/>
        </w:rPr>
        <w:t xml:space="preserve"> Quienes generen, recopilen, administren, manejen, procesen, archiven o conserven información pública serán responsables de la misma en los términos de las disposiciones jurídicas aplicables. </w:t>
      </w:r>
    </w:p>
    <w:p w14:paraId="0D5C4EFA" w14:textId="4177824D" w:rsidR="00DC3CEA" w:rsidRPr="00A473F1" w:rsidRDefault="00DC3CEA" w:rsidP="00CB756E">
      <w:pPr>
        <w:spacing w:line="256" w:lineRule="auto"/>
        <w:ind w:left="851" w:right="901"/>
        <w:jc w:val="both"/>
        <w:rPr>
          <w:rFonts w:ascii="Palatino Linotype" w:eastAsia="Calibri" w:hAnsi="Palatino Linotype" w:cs="Arial"/>
          <w:i/>
          <w:sz w:val="22"/>
          <w:szCs w:val="22"/>
          <w:lang w:val="es-MX" w:eastAsia="en-US"/>
        </w:rPr>
      </w:pPr>
      <w:r w:rsidRPr="00A473F1">
        <w:rPr>
          <w:rFonts w:ascii="Palatino Linotype" w:eastAsia="Calibri" w:hAnsi="Palatino Linotype" w:cs="Arial"/>
          <w:i/>
          <w:sz w:val="22"/>
          <w:szCs w:val="22"/>
          <w:lang w:val="es-MX" w:eastAsia="en-US"/>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F38E0E0" w14:textId="77777777" w:rsidR="00CB756E" w:rsidRPr="00A473F1" w:rsidRDefault="00CB756E" w:rsidP="00CB756E">
      <w:pPr>
        <w:spacing w:line="256" w:lineRule="auto"/>
        <w:ind w:left="851" w:right="901"/>
        <w:jc w:val="both"/>
        <w:rPr>
          <w:rFonts w:ascii="Palatino Linotype" w:eastAsia="Calibri" w:hAnsi="Palatino Linotype" w:cs="Arial"/>
          <w:i/>
          <w:sz w:val="22"/>
          <w:szCs w:val="22"/>
          <w:lang w:val="es-MX" w:eastAsia="en-US"/>
        </w:rPr>
      </w:pPr>
    </w:p>
    <w:p w14:paraId="294E77D5" w14:textId="77777777" w:rsidR="00DC3CEA" w:rsidRPr="00A473F1" w:rsidRDefault="00DC3CEA" w:rsidP="00DC3CEA">
      <w:pPr>
        <w:tabs>
          <w:tab w:val="left" w:pos="709"/>
        </w:tabs>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257E3E5" w14:textId="77777777" w:rsidR="00DC3CEA" w:rsidRPr="00A473F1" w:rsidRDefault="00DC3CEA" w:rsidP="00DC3CEA">
      <w:pPr>
        <w:tabs>
          <w:tab w:val="left" w:pos="709"/>
        </w:tabs>
        <w:spacing w:line="360" w:lineRule="auto"/>
        <w:jc w:val="both"/>
        <w:rPr>
          <w:rFonts w:ascii="Palatino Linotype" w:eastAsia="Calibri" w:hAnsi="Palatino Linotype" w:cs="Arial"/>
          <w:lang w:val="es-MX" w:eastAsia="en-US"/>
        </w:rPr>
      </w:pPr>
    </w:p>
    <w:p w14:paraId="40CEA6E7" w14:textId="77777777" w:rsidR="00DC3CEA" w:rsidRPr="00A473F1" w:rsidRDefault="00DC3CEA" w:rsidP="00DC3CEA">
      <w:pPr>
        <w:tabs>
          <w:tab w:val="left" w:pos="709"/>
        </w:tabs>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A473F1">
        <w:rPr>
          <w:rFonts w:ascii="Palatino Linotype" w:eastAsia="Calibri" w:hAnsi="Palatino Linotype" w:cs="Arial"/>
          <w:b/>
          <w:u w:val="single"/>
          <w:lang w:val="es-MX" w:eastAsia="en-US"/>
        </w:rPr>
        <w:t xml:space="preserve">expedientes, reportes, estudios, actas, resoluciones, oficios, correspondencia, acuerdos, directivas, directrices, circulares, contratos, convenios, instructivos, notas, memorandos, estadísticas o bien, cualquier otro registro que documente el ejercicio </w:t>
      </w:r>
      <w:r w:rsidRPr="00A473F1">
        <w:rPr>
          <w:rFonts w:ascii="Palatino Linotype" w:eastAsia="Calibri" w:hAnsi="Palatino Linotype" w:cs="Arial"/>
          <w:b/>
          <w:u w:val="single"/>
          <w:lang w:val="es-MX" w:eastAsia="en-US"/>
        </w:rPr>
        <w:lastRenderedPageBreak/>
        <w:t>de las facultades, funciones y competencias</w:t>
      </w:r>
      <w:r w:rsidRPr="00A473F1">
        <w:rPr>
          <w:rFonts w:ascii="Palatino Linotype" w:eastAsia="Calibri" w:hAnsi="Palatino Linotype"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52E5B62C" w14:textId="77777777" w:rsidR="00DC3CEA" w:rsidRPr="00A473F1" w:rsidRDefault="00DC3CEA" w:rsidP="00DC3CEA">
      <w:pPr>
        <w:rPr>
          <w:rFonts w:eastAsia="Calibri"/>
          <w:lang w:val="es-MX" w:eastAsia="en-US"/>
        </w:rPr>
      </w:pPr>
    </w:p>
    <w:p w14:paraId="518A900C" w14:textId="77777777" w:rsidR="00DC3CEA" w:rsidRPr="00A473F1" w:rsidRDefault="00DC3CEA" w:rsidP="00DC3CEA">
      <w:pPr>
        <w:ind w:left="851" w:right="901"/>
        <w:jc w:val="both"/>
        <w:rPr>
          <w:rFonts w:ascii="Palatino Linotype" w:eastAsia="Calibri" w:hAnsi="Palatino Linotype" w:cs="Arial"/>
          <w:i/>
          <w:sz w:val="22"/>
          <w:szCs w:val="22"/>
          <w:lang w:val="es-MX" w:eastAsia="en-US"/>
        </w:rPr>
      </w:pPr>
      <w:r w:rsidRPr="00A473F1">
        <w:rPr>
          <w:rFonts w:ascii="Palatino Linotype" w:eastAsia="Calibri" w:hAnsi="Palatino Linotype" w:cs="Arial"/>
          <w:i/>
          <w:sz w:val="22"/>
          <w:szCs w:val="22"/>
          <w:lang w:val="es-MX" w:eastAsia="en-US"/>
        </w:rPr>
        <w:t>“</w:t>
      </w:r>
      <w:r w:rsidRPr="00A473F1">
        <w:rPr>
          <w:rFonts w:ascii="Palatino Linotype" w:eastAsia="Calibri" w:hAnsi="Palatino Linotype" w:cs="Arial"/>
          <w:b/>
          <w:i/>
          <w:sz w:val="22"/>
          <w:szCs w:val="22"/>
          <w:lang w:val="es-MX" w:eastAsia="en-US"/>
        </w:rPr>
        <w:t xml:space="preserve">Artículo 3. </w:t>
      </w:r>
      <w:r w:rsidRPr="00A473F1">
        <w:rPr>
          <w:rFonts w:ascii="Palatino Linotype" w:eastAsia="Calibri" w:hAnsi="Palatino Linotype" w:cs="Arial"/>
          <w:i/>
          <w:sz w:val="22"/>
          <w:szCs w:val="22"/>
          <w:lang w:val="es-MX" w:eastAsia="en-US"/>
        </w:rPr>
        <w:t>Para los efectos de la presente Ley se entenderá por:</w:t>
      </w:r>
    </w:p>
    <w:p w14:paraId="4BC502F0" w14:textId="77777777" w:rsidR="00DC3CEA" w:rsidRPr="00A473F1" w:rsidRDefault="00DC3CEA" w:rsidP="00DC3CEA">
      <w:pPr>
        <w:ind w:left="851" w:right="850"/>
        <w:jc w:val="both"/>
        <w:rPr>
          <w:rFonts w:ascii="Palatino Linotype" w:eastAsia="Calibri" w:hAnsi="Palatino Linotype" w:cs="Arial"/>
          <w:i/>
          <w:sz w:val="22"/>
          <w:szCs w:val="22"/>
          <w:lang w:val="es-MX" w:eastAsia="en-US"/>
        </w:rPr>
      </w:pPr>
      <w:r w:rsidRPr="00A473F1">
        <w:rPr>
          <w:rFonts w:ascii="Palatino Linotype" w:eastAsia="Calibri" w:hAnsi="Palatino Linotype" w:cs="Arial"/>
          <w:i/>
          <w:sz w:val="22"/>
          <w:szCs w:val="22"/>
          <w:lang w:val="es-MX" w:eastAsia="en-US"/>
        </w:rPr>
        <w:t>(…)</w:t>
      </w:r>
    </w:p>
    <w:p w14:paraId="600E7E36" w14:textId="77777777" w:rsidR="00DC3CEA" w:rsidRPr="00A473F1" w:rsidRDefault="00DC3CEA" w:rsidP="00DC3CEA">
      <w:pPr>
        <w:ind w:left="851" w:right="901"/>
        <w:jc w:val="both"/>
        <w:rPr>
          <w:rFonts w:ascii="Palatino Linotype" w:eastAsia="Calibri" w:hAnsi="Palatino Linotype" w:cs="Arial"/>
          <w:i/>
          <w:sz w:val="22"/>
          <w:szCs w:val="22"/>
          <w:lang w:val="es-MX" w:eastAsia="en-US"/>
        </w:rPr>
      </w:pPr>
      <w:r w:rsidRPr="00A473F1">
        <w:rPr>
          <w:rFonts w:ascii="Palatino Linotype" w:eastAsia="Calibri" w:hAnsi="Palatino Linotype" w:cs="Arial"/>
          <w:b/>
          <w:i/>
          <w:sz w:val="22"/>
          <w:szCs w:val="22"/>
          <w:lang w:val="es-MX" w:eastAsia="en-US"/>
        </w:rPr>
        <w:t>XI. Documento:</w:t>
      </w:r>
      <w:r w:rsidRPr="00A473F1">
        <w:rPr>
          <w:rFonts w:ascii="Palatino Linotype" w:eastAsia="Calibri" w:hAnsi="Palatino Linotype" w:cs="Arial"/>
          <w:i/>
          <w:sz w:val="22"/>
          <w:szCs w:val="22"/>
          <w:lang w:val="es-MX" w:eastAsia="en-US"/>
        </w:rPr>
        <w:t xml:space="preserve"> Los expedientes, reportes, estudios, actas, resoluciones, oficios, correspondencia, acuerdos, directivas, directrices, circulares, contratos, convenios, instructivos, notas, memorandos, estadísticas o bien, cualquier otro </w:t>
      </w:r>
      <w:r w:rsidRPr="00A473F1">
        <w:rPr>
          <w:rFonts w:ascii="Palatino Linotype" w:eastAsia="Calibri" w:hAnsi="Palatino Linotype" w:cs="Arial"/>
          <w:b/>
          <w:i/>
          <w:sz w:val="22"/>
          <w:szCs w:val="22"/>
          <w:u w:val="single"/>
          <w:lang w:val="es-MX" w:eastAsia="en-US"/>
        </w:rPr>
        <w:t>registro que documente el ejercicio de las facultades, funciones y competencias de los sujetos obligados</w:t>
      </w:r>
      <w:r w:rsidRPr="00A473F1">
        <w:rPr>
          <w:rFonts w:ascii="Palatino Linotype" w:eastAsia="Calibri" w:hAnsi="Palatino Linotype" w:cs="Arial"/>
          <w:i/>
          <w:sz w:val="22"/>
          <w:szCs w:val="22"/>
          <w:u w:val="single"/>
          <w:lang w:val="es-MX" w:eastAsia="en-US"/>
        </w:rPr>
        <w:t>,</w:t>
      </w:r>
      <w:r w:rsidRPr="00A473F1">
        <w:rPr>
          <w:rFonts w:ascii="Palatino Linotype" w:eastAsia="Calibri" w:hAnsi="Palatino Linotype" w:cs="Arial"/>
          <w:i/>
          <w:sz w:val="22"/>
          <w:szCs w:val="22"/>
          <w:lang w:val="es-MX" w:eastAsia="en-US"/>
        </w:rPr>
        <w:t xml:space="preserve"> sus servidores públicos e integrantes, </w:t>
      </w:r>
      <w:r w:rsidRPr="00A473F1">
        <w:rPr>
          <w:rFonts w:ascii="Palatino Linotype" w:eastAsia="Calibri" w:hAnsi="Palatino Linotype" w:cs="Arial"/>
          <w:b/>
          <w:i/>
          <w:sz w:val="22"/>
          <w:szCs w:val="22"/>
          <w:u w:val="single"/>
          <w:lang w:val="es-MX" w:eastAsia="en-US"/>
        </w:rPr>
        <w:t>sin importar su fuente o fecha de elaboración.</w:t>
      </w:r>
      <w:r w:rsidRPr="00A473F1">
        <w:rPr>
          <w:rFonts w:ascii="Palatino Linotype" w:eastAsia="Calibri" w:hAnsi="Palatino Linotype" w:cs="Arial"/>
          <w:i/>
          <w:sz w:val="22"/>
          <w:szCs w:val="22"/>
          <w:lang w:val="es-MX" w:eastAsia="en-US"/>
        </w:rPr>
        <w:t xml:space="preserve"> Los documentos podrán estar en cualquier medio, sea escrito, impreso, sonoro, visual, electrónico, informático u holográfico;</w:t>
      </w:r>
    </w:p>
    <w:p w14:paraId="270CD355" w14:textId="77777777" w:rsidR="00DC3CEA" w:rsidRPr="00A473F1" w:rsidRDefault="00DC3CEA" w:rsidP="00DC3CEA">
      <w:pPr>
        <w:ind w:left="851" w:right="901"/>
        <w:jc w:val="both"/>
        <w:rPr>
          <w:rFonts w:ascii="Palatino Linotype" w:eastAsia="Calibri" w:hAnsi="Palatino Linotype" w:cs="Arial"/>
          <w:i/>
          <w:sz w:val="22"/>
          <w:szCs w:val="22"/>
          <w:lang w:val="es-MX" w:eastAsia="en-US"/>
        </w:rPr>
      </w:pPr>
      <w:r w:rsidRPr="00A473F1">
        <w:rPr>
          <w:rFonts w:ascii="Palatino Linotype" w:eastAsia="Calibri" w:hAnsi="Palatino Linotype" w:cs="Arial"/>
          <w:i/>
          <w:sz w:val="22"/>
          <w:szCs w:val="22"/>
          <w:lang w:val="es-MX" w:eastAsia="en-US"/>
        </w:rPr>
        <w:t>(…)”</w:t>
      </w:r>
    </w:p>
    <w:p w14:paraId="32142511" w14:textId="77777777" w:rsidR="00DC3CEA" w:rsidRPr="00A473F1" w:rsidRDefault="00DC3CEA" w:rsidP="00DC3CEA">
      <w:pPr>
        <w:spacing w:after="160" w:line="256" w:lineRule="auto"/>
        <w:rPr>
          <w:rFonts w:ascii="Calibri" w:eastAsia="Calibri" w:hAnsi="Calibri"/>
          <w:sz w:val="8"/>
          <w:szCs w:val="16"/>
          <w:lang w:val="es-MX" w:eastAsia="en-US"/>
        </w:rPr>
      </w:pPr>
    </w:p>
    <w:p w14:paraId="49DED810" w14:textId="77777777" w:rsidR="00DC3CEA" w:rsidRPr="00A473F1" w:rsidRDefault="00DC3CEA" w:rsidP="00DC3CEA">
      <w:pPr>
        <w:spacing w:line="360" w:lineRule="auto"/>
        <w:ind w:right="49"/>
        <w:contextualSpacing/>
        <w:jc w:val="both"/>
        <w:rPr>
          <w:rFonts w:ascii="Palatino Linotype" w:eastAsia="Calibri" w:hAnsi="Palatino Linotype" w:cs="Arial"/>
          <w:lang w:val="es-MX" w:eastAsia="es-MX"/>
        </w:rPr>
      </w:pPr>
      <w:r w:rsidRPr="00A473F1">
        <w:rPr>
          <w:rFonts w:ascii="Palatino Linotype" w:eastAsia="Calibri" w:hAnsi="Palatino Linotype" w:cs="Arial"/>
          <w:lang w:val="es-MX" w:eastAsia="en-US"/>
        </w:rPr>
        <w:t xml:space="preserve">Además, </w:t>
      </w:r>
      <w:r w:rsidRPr="00A473F1">
        <w:rPr>
          <w:rFonts w:ascii="Palatino Linotype" w:eastAsia="MS Mincho" w:hAnsi="Palatino Linotype"/>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625F1D7B" w14:textId="77777777" w:rsidR="00DC3CEA" w:rsidRPr="00A473F1" w:rsidRDefault="00DC3CEA" w:rsidP="00DC3CEA">
      <w:pPr>
        <w:spacing w:line="360" w:lineRule="auto"/>
        <w:ind w:right="49"/>
        <w:contextualSpacing/>
        <w:jc w:val="both"/>
        <w:rPr>
          <w:rFonts w:ascii="Palatino Linotype" w:eastAsia="MS Mincho" w:hAnsi="Palatino Linotype" w:cs="Tahoma"/>
          <w:lang w:val="es-MX" w:eastAsia="en-US"/>
        </w:rPr>
      </w:pPr>
      <w:r w:rsidRPr="00A473F1">
        <w:rPr>
          <w:rFonts w:ascii="Palatino Linotype" w:eastAsia="Calibri" w:hAnsi="Palatino Linotype" w:cs="Arial"/>
          <w:lang w:val="es-MX" w:eastAsia="es-MX"/>
        </w:rPr>
        <w:lastRenderedPageBreak/>
        <w:t xml:space="preserve">De la misma forma, </w:t>
      </w:r>
      <w:r w:rsidRPr="00A473F1">
        <w:rPr>
          <w:rFonts w:ascii="Palatino Linotype" w:eastAsia="MS Mincho" w:hAnsi="Palatino Linotype"/>
          <w:lang w:val="es-MX" w:eastAsia="en-US"/>
        </w:rPr>
        <w:t>de acuerdo al contenido del artículo 160,</w:t>
      </w:r>
      <w:r w:rsidRPr="00A473F1">
        <w:rPr>
          <w:rFonts w:ascii="Palatino Linotype" w:eastAsia="Calibri" w:hAnsi="Palatino Linotype" w:cs="Arial"/>
          <w:lang w:val="es-MX" w:eastAsia="en-US"/>
        </w:rPr>
        <w:t xml:space="preserve"> de la Ley </w:t>
      </w:r>
      <w:r w:rsidRPr="00A473F1">
        <w:rPr>
          <w:rFonts w:ascii="Palatino Linotype" w:eastAsia="MS Mincho" w:hAnsi="Palatino Linotype" w:cs="Tahoma"/>
          <w:lang w:val="es-MX" w:eastAsia="en-US"/>
        </w:rPr>
        <w:t>General de Transparencia y Acceso a la Información Pública que a la letra dispone:</w:t>
      </w:r>
    </w:p>
    <w:p w14:paraId="75FAF184" w14:textId="77777777" w:rsidR="00DC3CEA" w:rsidRPr="00A473F1" w:rsidRDefault="00DC3CEA" w:rsidP="00DC3CEA">
      <w:pPr>
        <w:rPr>
          <w:rFonts w:eastAsia="MS Mincho"/>
          <w:lang w:val="es-MX" w:eastAsia="en-US"/>
        </w:rPr>
      </w:pPr>
    </w:p>
    <w:p w14:paraId="37103C21" w14:textId="77777777" w:rsidR="00DC3CEA" w:rsidRPr="00A473F1" w:rsidRDefault="00DC3CEA" w:rsidP="00DC3CEA">
      <w:pPr>
        <w:spacing w:line="256" w:lineRule="auto"/>
        <w:ind w:left="567" w:right="616"/>
        <w:contextualSpacing/>
        <w:jc w:val="both"/>
        <w:rPr>
          <w:rFonts w:ascii="Palatino Linotype" w:eastAsia="Calibri" w:hAnsi="Palatino Linotype" w:cs="Arial"/>
          <w:i/>
          <w:sz w:val="22"/>
          <w:szCs w:val="22"/>
          <w:lang w:val="es-MX" w:eastAsia="gl-ES"/>
        </w:rPr>
      </w:pPr>
      <w:r w:rsidRPr="00A473F1">
        <w:rPr>
          <w:rFonts w:ascii="Palatino Linotype" w:eastAsia="Calibri" w:hAnsi="Palatino Linotype" w:cs="Arial"/>
          <w:b/>
          <w:i/>
          <w:sz w:val="22"/>
          <w:szCs w:val="22"/>
          <w:lang w:val="es-MX" w:eastAsia="gl-ES"/>
        </w:rPr>
        <w:t>Artículo 160</w:t>
      </w:r>
      <w:r w:rsidRPr="00A473F1">
        <w:rPr>
          <w:rFonts w:ascii="Palatino Linotype" w:eastAsia="Calibri" w:hAnsi="Palatino Linotype" w:cs="Arial"/>
          <w:i/>
          <w:sz w:val="22"/>
          <w:szCs w:val="22"/>
          <w:lang w:val="es-MX"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4DF9C7A" w14:textId="77777777" w:rsidR="00DC3CEA" w:rsidRPr="00A473F1" w:rsidRDefault="00DC3CEA" w:rsidP="00DC3CEA">
      <w:pPr>
        <w:spacing w:line="256" w:lineRule="auto"/>
        <w:ind w:right="616"/>
        <w:contextualSpacing/>
        <w:jc w:val="both"/>
        <w:rPr>
          <w:rFonts w:ascii="Palatino Linotype" w:eastAsia="Calibri" w:hAnsi="Palatino Linotype" w:cs="Arial"/>
          <w:i/>
          <w:sz w:val="14"/>
          <w:szCs w:val="22"/>
          <w:lang w:val="es-MX" w:eastAsia="gl-ES"/>
        </w:rPr>
      </w:pPr>
    </w:p>
    <w:p w14:paraId="1182A9AC" w14:textId="77777777" w:rsidR="00DC3CEA" w:rsidRPr="00A473F1" w:rsidRDefault="00DC3CEA" w:rsidP="00DC3CEA">
      <w:pPr>
        <w:spacing w:line="256" w:lineRule="auto"/>
        <w:ind w:right="616"/>
        <w:contextualSpacing/>
        <w:jc w:val="both"/>
        <w:rPr>
          <w:rFonts w:ascii="Palatino Linotype" w:eastAsia="Calibri" w:hAnsi="Palatino Linotype" w:cs="Arial"/>
          <w:i/>
          <w:sz w:val="14"/>
          <w:szCs w:val="22"/>
          <w:lang w:val="es-MX" w:eastAsia="gl-ES"/>
        </w:rPr>
      </w:pPr>
    </w:p>
    <w:p w14:paraId="5CB3EB8C" w14:textId="77777777" w:rsidR="00DC3CEA" w:rsidRPr="00A473F1" w:rsidRDefault="00DC3CEA" w:rsidP="00DC3CEA">
      <w:pPr>
        <w:spacing w:after="160" w:line="360" w:lineRule="auto"/>
        <w:jc w:val="both"/>
        <w:rPr>
          <w:rFonts w:ascii="Palatino Linotype" w:eastAsia="Calibri" w:hAnsi="Palatino Linotype" w:cs="Arial"/>
          <w:color w:val="222222"/>
          <w:szCs w:val="20"/>
          <w:lang w:val="es-MX" w:eastAsia="es-MX"/>
        </w:rPr>
      </w:pPr>
      <w:r w:rsidRPr="00A473F1">
        <w:rPr>
          <w:rFonts w:ascii="Palatino Linotype" w:eastAsia="Calibri" w:hAnsi="Palatino Linotype"/>
          <w:color w:val="000000"/>
          <w:lang w:val="es-MX" w:eastAsia="en-US"/>
        </w:rPr>
        <w:t xml:space="preserve">Sirve como apoyo </w:t>
      </w:r>
      <w:r w:rsidRPr="00A473F1">
        <w:rPr>
          <w:rFonts w:ascii="Palatino Linotype" w:eastAsia="Calibri" w:hAnsi="Palatino Linotype" w:cs="Arial"/>
          <w:color w:val="222222"/>
          <w:szCs w:val="20"/>
          <w:lang w:val="es-MX" w:eastAsia="es-MX"/>
        </w:rPr>
        <w:t>a lo anterior, el criterio 09-10, emitido por el Pleno del entonces Instituto Federal de Acceso a la Información y Protección de Datos, que a la letra dice:</w:t>
      </w:r>
    </w:p>
    <w:p w14:paraId="7D603F4F" w14:textId="77777777" w:rsidR="00DC3CEA" w:rsidRPr="00A473F1" w:rsidRDefault="00DC3CEA" w:rsidP="00DC3CEA">
      <w:pPr>
        <w:rPr>
          <w:rFonts w:ascii="Calibri" w:eastAsia="Calibri" w:hAnsi="Calibri"/>
          <w:sz w:val="10"/>
          <w:szCs w:val="10"/>
          <w:lang w:val="es-MX" w:eastAsia="en-US"/>
        </w:rPr>
      </w:pPr>
    </w:p>
    <w:p w14:paraId="7069B7A7" w14:textId="77777777" w:rsidR="00DC3CEA" w:rsidRPr="00A473F1" w:rsidRDefault="00DC3CEA" w:rsidP="00DC3CEA">
      <w:pPr>
        <w:shd w:val="clear" w:color="auto" w:fill="FFFFFF"/>
        <w:tabs>
          <w:tab w:val="left" w:pos="8647"/>
        </w:tabs>
        <w:ind w:left="567" w:right="616"/>
        <w:jc w:val="both"/>
        <w:rPr>
          <w:rFonts w:ascii="Palatino Linotype" w:eastAsia="Calibri" w:hAnsi="Palatino Linotype" w:cs="Arial"/>
          <w:i/>
          <w:iCs/>
          <w:color w:val="222222"/>
          <w:sz w:val="22"/>
          <w:szCs w:val="22"/>
          <w:lang w:val="es-MX" w:eastAsia="es-MX"/>
        </w:rPr>
      </w:pPr>
      <w:r w:rsidRPr="00A473F1">
        <w:rPr>
          <w:rFonts w:ascii="Palatino Linotype" w:eastAsia="Calibri" w:hAnsi="Palatino Linotype" w:cs="Arial"/>
          <w:b/>
          <w:bCs/>
          <w:i/>
          <w:iCs/>
          <w:color w:val="222222"/>
          <w:sz w:val="22"/>
          <w:szCs w:val="22"/>
          <w:lang w:val="es-MX" w:eastAsia="es-MX"/>
        </w:rPr>
        <w:t>“Las dependencias y entidades no están obligadas a generar documentos ad hoc para responder una solicitud de acceso a la información. </w:t>
      </w:r>
      <w:r w:rsidRPr="00A473F1">
        <w:rPr>
          <w:rFonts w:ascii="Palatino Linotype" w:eastAsia="Calibri" w:hAnsi="Palatino Linotype" w:cs="Arial"/>
          <w:i/>
          <w:iCs/>
          <w:color w:val="222222"/>
          <w:sz w:val="22"/>
          <w:szCs w:val="22"/>
          <w:lang w:val="es-MX"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14:paraId="22B7688C" w14:textId="77777777" w:rsidR="00DC3CEA" w:rsidRPr="00A473F1" w:rsidRDefault="00DC3CEA" w:rsidP="00DC3CEA">
      <w:pPr>
        <w:rPr>
          <w:rFonts w:ascii="Calibri" w:eastAsia="Calibri" w:hAnsi="Calibri"/>
          <w:sz w:val="22"/>
          <w:szCs w:val="22"/>
          <w:lang w:val="es-MX" w:eastAsia="en-US"/>
        </w:rPr>
      </w:pPr>
    </w:p>
    <w:p w14:paraId="71328578" w14:textId="77777777" w:rsidR="00DC3CEA" w:rsidRPr="00A473F1" w:rsidRDefault="00DC3CEA" w:rsidP="00DC3CEA">
      <w:pPr>
        <w:rPr>
          <w:rFonts w:ascii="Calibri" w:eastAsia="Calibri" w:hAnsi="Calibri"/>
          <w:sz w:val="16"/>
          <w:szCs w:val="22"/>
          <w:lang w:val="es-MX" w:eastAsia="en-US"/>
        </w:rPr>
      </w:pPr>
    </w:p>
    <w:p w14:paraId="3A3738CA" w14:textId="77777777" w:rsidR="00DC3CEA" w:rsidRPr="00A473F1" w:rsidRDefault="00DC3CEA" w:rsidP="00DC3CEA">
      <w:pPr>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bCs/>
          <w:lang w:val="es-MX" w:eastAsia="en-US"/>
        </w:rPr>
        <w:t xml:space="preserve">Además, </w:t>
      </w:r>
      <w:r w:rsidRPr="00A473F1">
        <w:rPr>
          <w:rFonts w:ascii="Palatino Linotype" w:eastAsia="Calibri" w:hAnsi="Palatino Linotype" w:cs="Arial"/>
          <w:lang w:val="es-MX" w:eastAsia="en-US"/>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738A824F" w14:textId="77777777" w:rsidR="00DC3CEA" w:rsidRPr="00A473F1" w:rsidRDefault="00DC3CEA" w:rsidP="00DC3CEA">
      <w:pPr>
        <w:rPr>
          <w:rFonts w:eastAsia="Calibri"/>
          <w:lang w:val="es-MX" w:eastAsia="en-US"/>
        </w:rPr>
      </w:pPr>
    </w:p>
    <w:p w14:paraId="23B6043E" w14:textId="77777777" w:rsidR="00DC3CEA" w:rsidRPr="00A473F1" w:rsidRDefault="00DC3CEA" w:rsidP="00DC3CEA">
      <w:pPr>
        <w:rPr>
          <w:rFonts w:ascii="Calibri" w:eastAsia="Calibri" w:hAnsi="Calibri"/>
          <w:sz w:val="10"/>
          <w:szCs w:val="10"/>
          <w:lang w:val="es-MX" w:eastAsia="en-US"/>
        </w:rPr>
      </w:pPr>
    </w:p>
    <w:p w14:paraId="18CD7599" w14:textId="77777777" w:rsidR="00DC3CEA" w:rsidRPr="00A473F1" w:rsidRDefault="00DC3CEA" w:rsidP="00DC3CEA">
      <w:pPr>
        <w:spacing w:line="276" w:lineRule="auto"/>
        <w:ind w:left="426" w:right="567"/>
        <w:jc w:val="both"/>
        <w:rPr>
          <w:rFonts w:ascii="Palatino Linotype" w:hAnsi="Palatino Linotype" w:cs="Arial"/>
          <w:bCs/>
          <w:i/>
          <w:sz w:val="22"/>
        </w:rPr>
      </w:pPr>
      <w:r w:rsidRPr="00A473F1">
        <w:rPr>
          <w:rFonts w:ascii="Palatino Linotype" w:hAnsi="Palatino Linotype" w:cs="Arial"/>
          <w:b/>
          <w:i/>
          <w:sz w:val="22"/>
        </w:rPr>
        <w:t>IV.</w:t>
      </w:r>
      <w:r w:rsidRPr="00A473F1">
        <w:rPr>
          <w:rFonts w:ascii="Palatino Linotype" w:hAnsi="Palatino Linotype" w:cs="Arial"/>
          <w:i/>
          <w:sz w:val="22"/>
        </w:rPr>
        <w:t xml:space="preserve"> Los ayuntamientos y las dependencias, </w:t>
      </w:r>
      <w:r w:rsidRPr="00A473F1">
        <w:rPr>
          <w:rFonts w:ascii="Palatino Linotype" w:hAnsi="Palatino Linotype" w:cs="Arial"/>
          <w:bCs/>
          <w:i/>
          <w:sz w:val="22"/>
        </w:rPr>
        <w:t>organismos, órganos y entidades de la administración municipal;</w:t>
      </w:r>
    </w:p>
    <w:p w14:paraId="1D253577" w14:textId="77777777" w:rsidR="00DC3CEA" w:rsidRPr="00A473F1" w:rsidRDefault="00DC3CEA" w:rsidP="00DC3CEA">
      <w:pPr>
        <w:ind w:left="426" w:right="567"/>
        <w:jc w:val="both"/>
        <w:rPr>
          <w:rFonts w:ascii="Palatino Linotype" w:hAnsi="Palatino Linotype" w:cs="Arial"/>
          <w:i/>
          <w:sz w:val="22"/>
        </w:rPr>
      </w:pPr>
    </w:p>
    <w:p w14:paraId="678F7F55" w14:textId="77777777" w:rsidR="00DC3CEA" w:rsidRPr="00A473F1" w:rsidRDefault="00DC3CEA" w:rsidP="00DC3CEA">
      <w:pPr>
        <w:spacing w:line="360" w:lineRule="auto"/>
        <w:jc w:val="both"/>
        <w:rPr>
          <w:rFonts w:ascii="Palatino Linotype" w:eastAsia="Calibri" w:hAnsi="Palatino Linotype" w:cs="Arial"/>
          <w:lang w:val="es-MX" w:eastAsia="en-US"/>
        </w:rPr>
      </w:pPr>
      <w:r w:rsidRPr="00A473F1">
        <w:rPr>
          <w:rFonts w:ascii="Palatino Linotype" w:eastAsia="Calibri" w:hAnsi="Palatino Linotype" w:cs="Arial"/>
          <w:lang w:val="es-MX" w:eastAsia="en-US"/>
        </w:rPr>
        <w:lastRenderedPageBreak/>
        <w:t xml:space="preserve">Por lo que, de la respuesta emitida por parte de la Unidad de Transparencia del </w:t>
      </w:r>
      <w:r w:rsidRPr="00A473F1">
        <w:rPr>
          <w:rFonts w:ascii="Palatino Linotype" w:eastAsia="Calibri" w:hAnsi="Palatino Linotype" w:cs="Arial"/>
          <w:b/>
          <w:lang w:val="es-MX" w:eastAsia="en-US"/>
        </w:rPr>
        <w:t>Sujeto Obligado</w:t>
      </w:r>
      <w:r w:rsidRPr="00A473F1">
        <w:rPr>
          <w:rFonts w:ascii="Palatino Linotype" w:eastAsia="Calibri" w:hAnsi="Palatino Linotype" w:cs="Arial"/>
          <w:lang w:val="es-MX" w:eastAsia="en-US"/>
        </w:rPr>
        <w:t xml:space="preserve"> generó, se enuncia cada una de las respuestas proporcionadas, con la finalidad de saber si se da cumplimiento a todos los requerimientos y si lo motivos de inconformidad resultan procedentes, de conformidad con lo siguiente.</w:t>
      </w:r>
    </w:p>
    <w:p w14:paraId="0714C26A" w14:textId="77777777" w:rsidR="00DC3CEA" w:rsidRPr="00A473F1" w:rsidRDefault="00DC3CEA" w:rsidP="00DC3CEA">
      <w:pPr>
        <w:spacing w:line="360" w:lineRule="auto"/>
        <w:jc w:val="both"/>
        <w:rPr>
          <w:rFonts w:ascii="Palatino Linotype" w:eastAsia="Calibri" w:hAnsi="Palatino Linotype" w:cs="Arial"/>
          <w:lang w:val="es-MX" w:eastAsia="en-US"/>
        </w:rPr>
      </w:pPr>
    </w:p>
    <w:p w14:paraId="796C963E" w14:textId="063CB893" w:rsidR="00DC3CEA" w:rsidRPr="00A473F1" w:rsidRDefault="00DC3CEA" w:rsidP="002D0B5C">
      <w:pPr>
        <w:spacing w:line="360" w:lineRule="auto"/>
        <w:jc w:val="both"/>
        <w:rPr>
          <w:rFonts w:ascii="Palatino Linotype" w:eastAsia="Calibri" w:hAnsi="Palatino Linotype" w:cs="Tahoma"/>
          <w:bCs/>
          <w:lang w:val="es-MX" w:eastAsia="en-US"/>
        </w:rPr>
      </w:pPr>
      <w:r w:rsidRPr="00A473F1">
        <w:rPr>
          <w:rFonts w:ascii="Palatino Linotype" w:eastAsia="Calibri" w:hAnsi="Palatino Linotype" w:cs="Tahoma"/>
          <w:bCs/>
          <w:lang w:val="es-MX" w:eastAsia="en-US"/>
        </w:rPr>
        <w:t xml:space="preserve">Bajo estas líneas argumentativas, al retomar y delimitar los requerimientos del ahora </w:t>
      </w:r>
      <w:r w:rsidRPr="00A473F1">
        <w:rPr>
          <w:rFonts w:ascii="Palatino Linotype" w:eastAsia="Calibri" w:hAnsi="Palatino Linotype" w:cs="Tahoma"/>
          <w:b/>
          <w:bCs/>
          <w:lang w:val="es-MX" w:eastAsia="en-US"/>
        </w:rPr>
        <w:t>Recurrente</w:t>
      </w:r>
      <w:r w:rsidRPr="00A473F1">
        <w:rPr>
          <w:rFonts w:ascii="Palatino Linotype" w:eastAsia="Calibri" w:hAnsi="Palatino Linotype" w:cs="Tahoma"/>
          <w:bCs/>
          <w:lang w:val="es-MX" w:eastAsia="en-US"/>
        </w:rPr>
        <w:t xml:space="preserve">, de manera objetiva </w:t>
      </w:r>
      <w:r w:rsidR="00F90312" w:rsidRPr="00A473F1">
        <w:rPr>
          <w:rFonts w:ascii="Palatino Linotype" w:eastAsia="Calibri" w:hAnsi="Palatino Linotype" w:cs="Tahoma"/>
          <w:bCs/>
          <w:lang w:val="es-MX" w:eastAsia="en-US"/>
        </w:rPr>
        <w:t xml:space="preserve">se adolece </w:t>
      </w:r>
      <w:r w:rsidR="002D0B5C" w:rsidRPr="00A473F1">
        <w:rPr>
          <w:rFonts w:ascii="Palatino Linotype" w:eastAsia="Calibri" w:hAnsi="Palatino Linotype" w:cs="Tahoma"/>
          <w:bCs/>
          <w:lang w:val="es-MX" w:eastAsia="en-US"/>
        </w:rPr>
        <w:t xml:space="preserve">por el cambio de modalidad que pretende realizar el </w:t>
      </w:r>
      <w:r w:rsidR="002D0B5C" w:rsidRPr="00A473F1">
        <w:rPr>
          <w:rFonts w:ascii="Palatino Linotype" w:eastAsia="Calibri" w:hAnsi="Palatino Linotype" w:cs="Tahoma"/>
          <w:b/>
          <w:bCs/>
          <w:lang w:val="es-MX" w:eastAsia="en-US"/>
        </w:rPr>
        <w:t>Sujeto Obligado</w:t>
      </w:r>
      <w:r w:rsidR="002D0B5C" w:rsidRPr="00A473F1">
        <w:rPr>
          <w:rFonts w:ascii="Palatino Linotype" w:eastAsia="Calibri" w:hAnsi="Palatino Linotype" w:cs="Tahoma"/>
          <w:bCs/>
          <w:lang w:val="es-MX" w:eastAsia="en-US"/>
        </w:rPr>
        <w:t xml:space="preserve"> para la entrega de la información, mediante una consulta directa.</w:t>
      </w:r>
    </w:p>
    <w:p w14:paraId="5D056DDB" w14:textId="77777777" w:rsidR="006D2F73" w:rsidRPr="00A473F1" w:rsidRDefault="006D2F73" w:rsidP="002D0B5C">
      <w:pPr>
        <w:spacing w:line="360" w:lineRule="auto"/>
        <w:jc w:val="both"/>
        <w:rPr>
          <w:rFonts w:ascii="Palatino Linotype" w:eastAsia="Calibri" w:hAnsi="Palatino Linotype" w:cs="Tahoma"/>
          <w:bCs/>
          <w:lang w:val="es-MX" w:eastAsia="en-US"/>
        </w:rPr>
      </w:pPr>
    </w:p>
    <w:p w14:paraId="5A2EDDB9" w14:textId="77777777" w:rsidR="006D2F73" w:rsidRPr="00A473F1" w:rsidRDefault="006D2F73" w:rsidP="006D2F73">
      <w:pPr>
        <w:spacing w:line="360" w:lineRule="auto"/>
        <w:jc w:val="both"/>
        <w:rPr>
          <w:rFonts w:ascii="Palatino Linotype" w:hAnsi="Palatino Linotype" w:cs="Arial"/>
          <w:szCs w:val="22"/>
          <w:lang w:val="es-MX" w:eastAsia="en-US"/>
        </w:rPr>
      </w:pPr>
      <w:r w:rsidRPr="00A473F1">
        <w:rPr>
          <w:rFonts w:ascii="Palatino Linotype" w:hAnsi="Palatino Linotype" w:cs="Arial"/>
          <w:lang w:val="es-MX" w:eastAsia="en-US"/>
        </w:rPr>
        <w:t xml:space="preserve">Es de precisar que se obvia el análisis de la competencia por parte del </w:t>
      </w:r>
      <w:r w:rsidRPr="00A473F1">
        <w:rPr>
          <w:rFonts w:ascii="Palatino Linotype" w:hAnsi="Palatino Linotype" w:cs="Arial"/>
          <w:b/>
          <w:lang w:val="es-MX" w:eastAsia="en-US"/>
        </w:rPr>
        <w:t>Sujeto Obligado</w:t>
      </w:r>
      <w:r w:rsidRPr="00A473F1">
        <w:rPr>
          <w:rFonts w:ascii="Palatino Linotype" w:hAnsi="Palatino Linotype" w:cs="Arial"/>
          <w:lang w:val="es-MX" w:eastAsia="en-US"/>
        </w:rPr>
        <w:t xml:space="preserve">, para generar, administrar o poseer la información solicitada, dado que éste ha asumido la misma, en razón de que en su respuesta manifiesta entregar la información, por lo tanto, el hecho de que el </w:t>
      </w:r>
      <w:r w:rsidRPr="00A473F1">
        <w:rPr>
          <w:rFonts w:ascii="Palatino Linotype" w:hAnsi="Palatino Linotype" w:cs="Arial"/>
          <w:b/>
          <w:lang w:val="es-MX" w:eastAsia="en-US"/>
        </w:rPr>
        <w:t>Sujeto Obligado</w:t>
      </w:r>
      <w:r w:rsidRPr="00A473F1">
        <w:rPr>
          <w:rFonts w:ascii="Palatino Linotype" w:hAnsi="Palatino Linotype" w:cs="Arial"/>
          <w:lang w:val="es-MX" w:eastAsia="en-US"/>
        </w:rPr>
        <w:t xml:space="preserve"> haya emitido la respuesta al </w:t>
      </w:r>
      <w:r w:rsidRPr="00A473F1">
        <w:rPr>
          <w:rFonts w:ascii="Palatino Linotype" w:hAnsi="Palatino Linotype" w:cs="Arial"/>
          <w:b/>
          <w:lang w:val="es-MX" w:eastAsia="en-US"/>
        </w:rPr>
        <w:t>Recurrente</w:t>
      </w:r>
      <w:r w:rsidRPr="00A473F1">
        <w:rPr>
          <w:rFonts w:ascii="Palatino Linotype" w:hAnsi="Palatino Linotype" w:cs="Arial"/>
          <w:lang w:val="es-MX" w:eastAsia="en-US"/>
        </w:rPr>
        <w:t xml:space="preserve"> e incluso haya requerido la presencia de este para otorgar la información solicitada, comprueba fehacientemente que dicha autoridad acepta que la genera, posee y/o administra, en ejercicio de sus funciones de derecho público, es decir, no niega la existencia de la información solicitada, por el contrario, se pronuncia respecto de la información requerida, es por ello que se reitera, se asume que posee la información; por lo tanto, el estudio en específico se excusa dado que a nada práctico llevaría el alcance del mismo</w:t>
      </w:r>
      <w:r w:rsidRPr="00A473F1">
        <w:rPr>
          <w:rFonts w:ascii="Palatino Linotype" w:hAnsi="Palatino Linotype"/>
          <w:lang w:val="es-MX" w:eastAsia="en-US"/>
        </w:rPr>
        <w:t xml:space="preserve">, ya que se insiste que la información pública solicitada, ya fue asumida por </w:t>
      </w:r>
      <w:r w:rsidRPr="00A473F1">
        <w:rPr>
          <w:rFonts w:ascii="Palatino Linotype" w:hAnsi="Palatino Linotype"/>
          <w:b/>
          <w:lang w:val="es-MX" w:eastAsia="en-US"/>
        </w:rPr>
        <w:t>El Sujeto Obligado</w:t>
      </w:r>
      <w:r w:rsidRPr="00A473F1">
        <w:rPr>
          <w:rFonts w:ascii="Palatino Linotype" w:hAnsi="Palatino Linotype"/>
          <w:lang w:val="es-MX" w:eastAsia="en-US"/>
        </w:rPr>
        <w:t>.</w:t>
      </w:r>
    </w:p>
    <w:p w14:paraId="52FCE603" w14:textId="77777777" w:rsidR="006D2F73" w:rsidRPr="00A473F1" w:rsidRDefault="006D2F73" w:rsidP="006D2F73">
      <w:pPr>
        <w:spacing w:line="360" w:lineRule="auto"/>
        <w:jc w:val="both"/>
        <w:rPr>
          <w:rFonts w:ascii="Palatino Linotype" w:hAnsi="Palatino Linotype" w:cs="Arial"/>
          <w:szCs w:val="22"/>
          <w:lang w:val="es-MX" w:eastAsia="en-US"/>
        </w:rPr>
      </w:pPr>
    </w:p>
    <w:p w14:paraId="70BB5CDD" w14:textId="3EF57344" w:rsidR="006D2F73" w:rsidRPr="00A473F1" w:rsidRDefault="006D2F73" w:rsidP="006D2F73">
      <w:pPr>
        <w:spacing w:line="360" w:lineRule="auto"/>
        <w:jc w:val="both"/>
        <w:rPr>
          <w:rFonts w:ascii="Palatino Linotype" w:eastAsia="Calibri" w:hAnsi="Palatino Linotype" w:cs="Tahoma"/>
          <w:bCs/>
          <w:lang w:val="es-MX" w:eastAsia="en-US"/>
        </w:rPr>
      </w:pPr>
      <w:r w:rsidRPr="00A473F1">
        <w:rPr>
          <w:rFonts w:ascii="Palatino Linotype" w:hAnsi="Palatino Linotype"/>
          <w:lang w:val="es-ES_tradnl"/>
        </w:rPr>
        <w:lastRenderedPageBreak/>
        <w:t xml:space="preserve">En el caso concreto que nos ocupa analizar, es de destacar que la información fue requerida a través del </w:t>
      </w:r>
      <w:r w:rsidRPr="00A473F1">
        <w:rPr>
          <w:rFonts w:ascii="Palatino Linotype" w:hAnsi="Palatino Linotype"/>
          <w:b/>
          <w:lang w:val="es-ES_tradnl"/>
        </w:rPr>
        <w:t>SAIMEX</w:t>
      </w:r>
      <w:r w:rsidRPr="00A473F1">
        <w:rPr>
          <w:rFonts w:ascii="Palatino Linotype" w:hAnsi="Palatino Linotype"/>
          <w:lang w:val="es-ES_tradnl"/>
        </w:rPr>
        <w:t xml:space="preserve">; sin embargo, el </w:t>
      </w:r>
      <w:r w:rsidRPr="00A473F1">
        <w:rPr>
          <w:rFonts w:ascii="Palatino Linotype" w:hAnsi="Palatino Linotype"/>
          <w:b/>
          <w:lang w:val="es-ES_tradnl"/>
        </w:rPr>
        <w:t xml:space="preserve">Sujeto Obligado </w:t>
      </w:r>
      <w:r w:rsidRPr="00A473F1">
        <w:rPr>
          <w:rFonts w:ascii="Palatino Linotype" w:hAnsi="Palatino Linotype"/>
          <w:lang w:val="es-ES_tradnl"/>
        </w:rPr>
        <w:t>en su respuesta al planteamiento formulado informó que se ponía a disposición del particular en la modalidad de “</w:t>
      </w:r>
      <w:r w:rsidRPr="00A473F1">
        <w:rPr>
          <w:rFonts w:ascii="Palatino Linotype" w:hAnsi="Palatino Linotype"/>
          <w:i/>
          <w:lang w:val="es-ES_tradnl"/>
        </w:rPr>
        <w:t>Consulta Directa</w:t>
      </w:r>
      <w:r w:rsidRPr="00A473F1">
        <w:rPr>
          <w:rFonts w:ascii="Palatino Linotype" w:hAnsi="Palatino Linotype"/>
          <w:lang w:val="es-ES_tradnl"/>
        </w:rPr>
        <w:t xml:space="preserve">”, en las oficinas de dicha área, con el Lic. Gerardo Jacob Benítez Portillo, ubicadas en Av. La Super, Lote 3, 7ª -7B, Manzana C44A, Col. Centro Urbano, en un horario de 10 am a 5:00 pm, </w:t>
      </w:r>
      <w:r w:rsidRPr="00A473F1">
        <w:rPr>
          <w:rFonts w:ascii="Palatino Linotype" w:eastAsia="Calibri" w:hAnsi="Palatino Linotype" w:cs="Tahoma"/>
          <w:bCs/>
          <w:lang w:val="es-MX" w:eastAsia="en-US"/>
        </w:rPr>
        <w:t xml:space="preserve">aduciendo que sobrepasa los límites de capacidad </w:t>
      </w:r>
      <w:r w:rsidRPr="00A473F1">
        <w:rPr>
          <w:rFonts w:ascii="Palatino Linotype" w:eastAsia="Calibri" w:hAnsi="Palatino Linotype" w:cs="Tahoma"/>
          <w:b/>
          <w:bCs/>
          <w:u w:val="single"/>
          <w:lang w:val="es-MX" w:eastAsia="en-US"/>
        </w:rPr>
        <w:t>técnicas, administrativas y humanas</w:t>
      </w:r>
      <w:r w:rsidRPr="00A473F1">
        <w:rPr>
          <w:rFonts w:ascii="Palatino Linotype" w:eastAsia="Calibri" w:hAnsi="Palatino Linotype" w:cs="Tahoma"/>
          <w:bCs/>
          <w:lang w:val="es-MX" w:eastAsia="en-US"/>
        </w:rPr>
        <w:t>.</w:t>
      </w:r>
    </w:p>
    <w:p w14:paraId="6953BC43" w14:textId="77777777" w:rsidR="006D2F73" w:rsidRPr="00A473F1" w:rsidRDefault="006D2F73" w:rsidP="006D2F73">
      <w:pPr>
        <w:spacing w:line="360" w:lineRule="auto"/>
        <w:jc w:val="both"/>
        <w:rPr>
          <w:rFonts w:ascii="Palatino Linotype" w:eastAsia="Calibri" w:hAnsi="Palatino Linotype" w:cs="Tahoma"/>
          <w:bCs/>
          <w:lang w:val="es-MX" w:eastAsia="en-US"/>
        </w:rPr>
      </w:pPr>
    </w:p>
    <w:p w14:paraId="4B1C5DDB" w14:textId="77777777" w:rsidR="006D2F73" w:rsidRPr="00A473F1" w:rsidRDefault="006D2F73" w:rsidP="006D2F73">
      <w:pPr>
        <w:spacing w:before="240" w:after="240" w:line="360" w:lineRule="auto"/>
        <w:contextualSpacing/>
        <w:jc w:val="both"/>
        <w:rPr>
          <w:rFonts w:ascii="Palatino Linotype" w:eastAsia="MS Mincho" w:hAnsi="Palatino Linotype" w:cs="Arial"/>
          <w:szCs w:val="23"/>
          <w:lang w:val="es-ES_tradnl"/>
        </w:rPr>
      </w:pPr>
      <w:r w:rsidRPr="00A473F1">
        <w:rPr>
          <w:rFonts w:ascii="Palatino Linotype" w:hAnsi="Palatino Linotype"/>
          <w:lang w:val="es-ES_tradnl"/>
        </w:rPr>
        <w:t xml:space="preserve">Por lo tanto, la actuación del </w:t>
      </w:r>
      <w:r w:rsidRPr="00A473F1">
        <w:rPr>
          <w:rFonts w:ascii="Palatino Linotype" w:hAnsi="Palatino Linotype"/>
          <w:b/>
          <w:lang w:val="es-ES_tradnl"/>
        </w:rPr>
        <w:t xml:space="preserve">Sujeto Obligado </w:t>
      </w:r>
      <w:r w:rsidRPr="00A473F1">
        <w:rPr>
          <w:rFonts w:ascii="Palatino Linotype" w:eastAsia="MS Mincho" w:hAnsi="Palatino Linotype" w:cs="Arial"/>
          <w:szCs w:val="23"/>
          <w:lang w:val="es-ES_tradnl"/>
        </w:rPr>
        <w:t xml:space="preserve">constituye una afectación al derecho humano de acceso a la información pública del particular, toda vez que pretendió cambiar la modalidad de entrega de la información; </w:t>
      </w:r>
      <w:r w:rsidRPr="00A473F1">
        <w:rPr>
          <w:rFonts w:ascii="Palatino Linotype" w:hAnsi="Palatino Linotype" w:cs="Arial"/>
          <w:lang w:val="es-MX" w:eastAsia="en-US"/>
        </w:rPr>
        <w:t xml:space="preserve">de esta forma, solamente intenta realizar el cambio de modalidad ya que como se ha dicho, el particular mencionó que la manera de entrega de la información sería a través del </w:t>
      </w:r>
      <w:r w:rsidRPr="00A473F1">
        <w:rPr>
          <w:rFonts w:ascii="Palatino Linotype" w:hAnsi="Palatino Linotype" w:cs="Arial"/>
          <w:b/>
          <w:lang w:val="es-MX" w:eastAsia="en-US"/>
        </w:rPr>
        <w:t>SAIMEX</w:t>
      </w:r>
      <w:r w:rsidRPr="00A473F1">
        <w:rPr>
          <w:rFonts w:ascii="Palatino Linotype" w:hAnsi="Palatino Linotype" w:cs="Arial"/>
          <w:lang w:val="es-MX" w:eastAsia="en-US"/>
        </w:rPr>
        <w:t>, adicionalmente, en la actualidad existen medios electrónicos que facilita la entrega de información, que a decir de éste Órgano Garante, el cambio de modalidad no es procedente, en virtud de lo establecido por el artículo 164, de la Ley de Transparencia y Acceso a la Información Pública del Estado de México y Municipios que contempla los siguiente:</w:t>
      </w:r>
    </w:p>
    <w:p w14:paraId="1A498615" w14:textId="77777777" w:rsidR="006D2F73" w:rsidRPr="00A473F1" w:rsidRDefault="006D2F73" w:rsidP="006D2F73">
      <w:pPr>
        <w:rPr>
          <w:sz w:val="14"/>
          <w:lang w:val="es-MX"/>
        </w:rPr>
      </w:pPr>
    </w:p>
    <w:p w14:paraId="11A9A035" w14:textId="77777777" w:rsidR="006D2F73" w:rsidRPr="00A473F1" w:rsidRDefault="006D2F73" w:rsidP="006D2F73">
      <w:pPr>
        <w:tabs>
          <w:tab w:val="left" w:pos="709"/>
        </w:tabs>
        <w:spacing w:after="160" w:line="276" w:lineRule="auto"/>
        <w:ind w:left="567" w:right="567"/>
        <w:jc w:val="both"/>
        <w:rPr>
          <w:rFonts w:ascii="Palatino Linotype" w:hAnsi="Palatino Linotype" w:cs="Arial"/>
          <w:i/>
          <w:sz w:val="22"/>
          <w:lang w:val="es-MX" w:eastAsia="en-US"/>
        </w:rPr>
      </w:pPr>
      <w:r w:rsidRPr="00A473F1">
        <w:rPr>
          <w:rFonts w:ascii="Palatino Linotype" w:hAnsi="Palatino Linotype" w:cs="Arial"/>
          <w:b/>
          <w:i/>
          <w:sz w:val="22"/>
          <w:lang w:val="es-MX" w:eastAsia="en-US"/>
        </w:rPr>
        <w:t>“Artículo 164.</w:t>
      </w:r>
      <w:r w:rsidRPr="00A473F1">
        <w:rPr>
          <w:rFonts w:ascii="Palatino Linotype" w:hAnsi="Palatino Linotype" w:cs="Arial"/>
          <w:i/>
          <w:sz w:val="22"/>
          <w:lang w:val="es-MX" w:eastAsia="en-US"/>
        </w:rPr>
        <w:t xml:space="preserve"> </w:t>
      </w:r>
      <w:r w:rsidRPr="00A473F1">
        <w:rPr>
          <w:rFonts w:ascii="Palatino Linotype" w:hAnsi="Palatino Linotype" w:cs="Arial"/>
          <w:b/>
          <w:i/>
          <w:sz w:val="22"/>
          <w:u w:val="single"/>
          <w:lang w:val="es-MX" w:eastAsia="en-US"/>
        </w:rPr>
        <w:t>El acceso se dará en la modalidad de entrega y, en su caso, de envío elegidos por el solicitante.</w:t>
      </w:r>
      <w:r w:rsidRPr="00A473F1">
        <w:rPr>
          <w:rFonts w:ascii="Palatino Linotype" w:hAnsi="Palatino Linotype" w:cs="Arial"/>
          <w:i/>
          <w:sz w:val="22"/>
          <w:lang w:val="es-MX" w:eastAsia="en-US"/>
        </w:rPr>
        <w:t xml:space="preserve"> Cuando la información no pueda entregarse o enviarse en la modalidad solicitada, el sujeto obligado deberá ofrecer otra u otras modalidades de entrega. </w:t>
      </w:r>
    </w:p>
    <w:p w14:paraId="3373DD28" w14:textId="77777777" w:rsidR="006D2F73" w:rsidRPr="00A473F1" w:rsidRDefault="006D2F73" w:rsidP="006D2F73">
      <w:pPr>
        <w:tabs>
          <w:tab w:val="left" w:pos="709"/>
        </w:tabs>
        <w:spacing w:after="160" w:line="276" w:lineRule="auto"/>
        <w:ind w:left="567" w:right="567"/>
        <w:jc w:val="both"/>
        <w:rPr>
          <w:rFonts w:ascii="Palatino Linotype" w:hAnsi="Palatino Linotype" w:cs="Arial"/>
          <w:i/>
          <w:sz w:val="22"/>
          <w:lang w:val="es-MX" w:eastAsia="en-US"/>
        </w:rPr>
      </w:pPr>
      <w:r w:rsidRPr="00A473F1">
        <w:rPr>
          <w:rFonts w:ascii="Palatino Linotype" w:hAnsi="Palatino Linotype" w:cs="Arial"/>
          <w:b/>
          <w:i/>
          <w:sz w:val="22"/>
          <w:u w:val="single"/>
          <w:lang w:val="es-MX" w:eastAsia="en-US"/>
        </w:rPr>
        <w:t>En cualquier caso, se deberá fundar y motivar la necesidad de ofrecer otras modalidades.</w:t>
      </w:r>
      <w:r w:rsidRPr="00A473F1">
        <w:rPr>
          <w:rFonts w:ascii="Palatino Linotype" w:hAnsi="Palatino Linotype" w:cs="Arial"/>
          <w:i/>
          <w:sz w:val="22"/>
          <w:lang w:val="es-MX" w:eastAsia="en-US"/>
        </w:rPr>
        <w:t>”</w:t>
      </w:r>
    </w:p>
    <w:p w14:paraId="7EF82171" w14:textId="77777777" w:rsidR="006D2F73" w:rsidRPr="00A473F1" w:rsidRDefault="006D2F73" w:rsidP="006D2F73">
      <w:pPr>
        <w:tabs>
          <w:tab w:val="left" w:pos="709"/>
        </w:tabs>
        <w:spacing w:after="160" w:line="360" w:lineRule="auto"/>
        <w:jc w:val="right"/>
        <w:rPr>
          <w:rFonts w:ascii="Palatino Linotype" w:hAnsi="Palatino Linotype" w:cs="Arial"/>
          <w:b/>
          <w:i/>
          <w:sz w:val="18"/>
          <w:lang w:val="es-MX" w:eastAsia="en-US"/>
        </w:rPr>
      </w:pPr>
      <w:r w:rsidRPr="00A473F1">
        <w:rPr>
          <w:rFonts w:ascii="Palatino Linotype" w:hAnsi="Palatino Linotype" w:cs="Arial"/>
          <w:b/>
          <w:i/>
          <w:sz w:val="18"/>
          <w:lang w:val="es-MX" w:eastAsia="en-US"/>
        </w:rPr>
        <w:t xml:space="preserve">[Énfasis añadido] </w:t>
      </w:r>
    </w:p>
    <w:p w14:paraId="1027EB0F" w14:textId="77777777" w:rsidR="006D2F73" w:rsidRPr="00A473F1" w:rsidRDefault="006D2F73" w:rsidP="006D2F73">
      <w:pPr>
        <w:spacing w:before="240" w:after="240" w:line="360" w:lineRule="auto"/>
        <w:contextualSpacing/>
        <w:jc w:val="both"/>
        <w:rPr>
          <w:rFonts w:ascii="Palatino Linotype" w:hAnsi="Palatino Linotype"/>
          <w:b/>
          <w:szCs w:val="22"/>
          <w:lang w:val="es-MX" w:eastAsia="en-US"/>
        </w:rPr>
      </w:pPr>
      <w:r w:rsidRPr="00A473F1">
        <w:rPr>
          <w:rFonts w:ascii="Palatino Linotype" w:hAnsi="Palatino Linotype"/>
          <w:szCs w:val="22"/>
          <w:lang w:val="es-MX" w:eastAsia="en-US"/>
        </w:rPr>
        <w:lastRenderedPageBreak/>
        <w:t xml:space="preserve">La Ley de Transparencia en cita, busca privilegiar la entrega de la información solicitada en la modalidad requerida por el particular. Así el artículo establece que tanto la modalidad de entrega como la forma de envío de la información se hará preferentemente como lo haya señalado el requirente. En los casos en que esto no sea posible, el </w:t>
      </w:r>
      <w:r w:rsidRPr="00A473F1">
        <w:rPr>
          <w:rFonts w:ascii="Palatino Linotype" w:hAnsi="Palatino Linotype"/>
          <w:b/>
          <w:szCs w:val="22"/>
          <w:lang w:val="es-MX" w:eastAsia="en-US"/>
        </w:rPr>
        <w:t xml:space="preserve">Sujeto Obligado </w:t>
      </w:r>
      <w:r w:rsidRPr="00A473F1">
        <w:rPr>
          <w:rFonts w:ascii="Palatino Linotype" w:hAnsi="Palatino Linotype"/>
          <w:szCs w:val="22"/>
          <w:lang w:val="es-MX" w:eastAsia="en-US"/>
        </w:rPr>
        <w:t xml:space="preserve">podrá garantizar la entrega a través de cualquier otro medio, siempre y cuando funde y motive la razón para hacerlo. </w:t>
      </w:r>
    </w:p>
    <w:p w14:paraId="66714D6D" w14:textId="77777777" w:rsidR="006D2F73" w:rsidRPr="00A473F1" w:rsidRDefault="006D2F73" w:rsidP="006D2F73">
      <w:pPr>
        <w:spacing w:before="240" w:after="240" w:line="360" w:lineRule="auto"/>
        <w:contextualSpacing/>
        <w:jc w:val="both"/>
        <w:rPr>
          <w:rFonts w:ascii="Palatino Linotype" w:hAnsi="Palatino Linotype"/>
          <w:b/>
        </w:rPr>
      </w:pPr>
    </w:p>
    <w:p w14:paraId="23B44A88" w14:textId="77777777" w:rsidR="006D2F73" w:rsidRPr="00A473F1" w:rsidRDefault="006D2F73" w:rsidP="006D2F73">
      <w:pPr>
        <w:spacing w:before="240" w:after="240" w:line="360" w:lineRule="auto"/>
        <w:contextualSpacing/>
        <w:jc w:val="both"/>
        <w:rPr>
          <w:rFonts w:ascii="Palatino Linotype" w:hAnsi="Palatino Linotype"/>
          <w:szCs w:val="22"/>
          <w:lang w:val="es-MX" w:eastAsia="en-US"/>
        </w:rPr>
      </w:pPr>
      <w:r w:rsidRPr="00A473F1">
        <w:rPr>
          <w:rFonts w:ascii="Palatino Linotype" w:hAnsi="Palatino Linotype"/>
          <w:szCs w:val="22"/>
          <w:lang w:val="es-MX" w:eastAsia="en-US"/>
        </w:rPr>
        <w:t>La necesidad de fundar y motivar es imperante en todos los actos que emite cualquier autoridad, es decir, todo acto que pronuncie en el ejercicio de sus atribuciones, debe expresar los fundamentos legales que le dieron origen y las razones por las que se deben aplicar al caso concreto.</w:t>
      </w:r>
    </w:p>
    <w:p w14:paraId="569C0784" w14:textId="77777777" w:rsidR="006D2F73" w:rsidRPr="00A473F1" w:rsidRDefault="006D2F73" w:rsidP="006D2F73">
      <w:pPr>
        <w:spacing w:before="240" w:after="240" w:line="360" w:lineRule="auto"/>
        <w:contextualSpacing/>
        <w:jc w:val="both"/>
        <w:rPr>
          <w:rFonts w:ascii="Palatino Linotype" w:hAnsi="Palatino Linotype"/>
        </w:rPr>
      </w:pPr>
    </w:p>
    <w:p w14:paraId="3AD93110" w14:textId="77777777" w:rsidR="006D2F73" w:rsidRPr="00A473F1"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A473F1">
        <w:rPr>
          <w:rFonts w:ascii="Palatino Linotype" w:hAnsi="Palatino Linotype" w:cs="Arial"/>
          <w:color w:val="222222"/>
          <w:szCs w:val="22"/>
          <w:lang w:val="es-MX" w:eastAsia="es-MX"/>
        </w:rPr>
        <w:t xml:space="preserve">Han sido vastos los estudios doctrinarios relativos a estos derechos fundamentales y al principio de legalidad en ellos contenidos; como ejemplo, el procesalista José Ovalle Fabela, en su obra “Garantías Constitucionales del Proceso”, refiere que </w:t>
      </w:r>
      <w:r w:rsidRPr="00A473F1">
        <w:rPr>
          <w:rFonts w:ascii="Palatino Linotype" w:hAnsi="Palatino Linotype" w:cs="Arial"/>
          <w:i/>
          <w:color w:val="222222"/>
          <w:szCs w:val="22"/>
          <w:lang w:val="es-MX" w:eastAsia="es-MX"/>
        </w:rPr>
        <w:t xml:space="preserve">“...la garantía de fundamentación impone a las autoridades el deber de precisar las disposiciones jurídicas que aplican a los hechos de que se trate y que sustenten su competencia, así como de manifestar los razonamientos que demuestren la aplicabilidad de dichas </w:t>
      </w:r>
      <w:r w:rsidRPr="00A473F1">
        <w:rPr>
          <w:rFonts w:ascii="Palatino Linotype" w:hAnsi="Palatino Linotype" w:cs="Arial"/>
          <w:i/>
          <w:color w:val="222222"/>
          <w:lang w:val="es-MX" w:eastAsia="es-MX"/>
        </w:rPr>
        <w:t xml:space="preserve">disposiciones, todo lo cual se debe traducir en una argumentación o juicio de derecho. Pero de igual manera, la garantía de motivación exige que las autoridades expongan los razonamientos con base en los cuales llegaron </w:t>
      </w:r>
      <w:r w:rsidRPr="00A473F1">
        <w:rPr>
          <w:rFonts w:ascii="Palatino Linotype" w:hAnsi="Palatino Linotype" w:cs="Arial"/>
          <w:i/>
          <w:color w:val="222222"/>
          <w:lang w:val="es-MX" w:eastAsia="es-MX"/>
        </w:rPr>
        <w:lastRenderedPageBreak/>
        <w:t>a la conclusión de que esos hechos son ciertos, normalmente a partir del análisis de las pruebas, lo cual se debe exteriorizar en una argumentación o juicio de hecho...”</w:t>
      </w:r>
      <w:r w:rsidRPr="00A473F1">
        <w:rPr>
          <w:rFonts w:asciiTheme="minorHAnsi" w:hAnsiTheme="minorHAnsi"/>
          <w:vertAlign w:val="superscript"/>
          <w:lang w:val="es-MX" w:eastAsia="en-US"/>
        </w:rPr>
        <w:footnoteReference w:id="2"/>
      </w:r>
    </w:p>
    <w:p w14:paraId="393C120C" w14:textId="77777777" w:rsidR="006D2F73" w:rsidRPr="00A473F1" w:rsidRDefault="006D2F73" w:rsidP="006D2F73">
      <w:pPr>
        <w:spacing w:before="240" w:after="240" w:line="360" w:lineRule="auto"/>
        <w:contextualSpacing/>
        <w:jc w:val="both"/>
        <w:rPr>
          <w:rFonts w:ascii="Palatino Linotype" w:hAnsi="Palatino Linotype" w:cs="Arial"/>
          <w:color w:val="222222"/>
          <w:lang w:eastAsia="es-MX"/>
        </w:rPr>
      </w:pPr>
    </w:p>
    <w:p w14:paraId="508D2B07" w14:textId="77777777" w:rsidR="006D2F73" w:rsidRPr="00A473F1"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A473F1">
        <w:rPr>
          <w:rFonts w:ascii="Palatino Linotype" w:hAnsi="Palatino Linotype" w:cs="Arial"/>
          <w:color w:val="222222"/>
          <w:szCs w:val="22"/>
          <w:lang w:val="es-MX" w:eastAsia="es-MX"/>
        </w:rPr>
        <w:t>Por su parte, el intérprete judicial del país ha establecido una jurisprudencia respecto a qué debe entenderse por fundamentación y motivación, en los siguientes términos:</w:t>
      </w:r>
    </w:p>
    <w:p w14:paraId="52B88F1F" w14:textId="77777777" w:rsidR="006D2F73" w:rsidRPr="00A473F1" w:rsidRDefault="006D2F73" w:rsidP="006D2F73">
      <w:pPr>
        <w:rPr>
          <w:sz w:val="12"/>
          <w:lang w:val="es-MX" w:eastAsia="es-MX"/>
        </w:rPr>
      </w:pPr>
    </w:p>
    <w:p w14:paraId="0D578177" w14:textId="77777777" w:rsidR="006D2F73" w:rsidRPr="00A473F1" w:rsidRDefault="006D2F73" w:rsidP="006D2F73">
      <w:pPr>
        <w:spacing w:after="160"/>
        <w:ind w:left="851" w:right="618"/>
        <w:contextualSpacing/>
        <w:jc w:val="both"/>
        <w:rPr>
          <w:rFonts w:ascii="Palatino Linotype" w:hAnsi="Palatino Linotype" w:cs="Arial"/>
          <w:i/>
          <w:color w:val="000000"/>
          <w:sz w:val="22"/>
          <w:szCs w:val="22"/>
          <w:lang w:val="es-MX" w:eastAsia="en-US"/>
        </w:rPr>
      </w:pPr>
      <w:r w:rsidRPr="00A473F1">
        <w:rPr>
          <w:rFonts w:ascii="Palatino Linotype" w:hAnsi="Palatino Linotype" w:cs="Arial"/>
          <w:b/>
          <w:i/>
          <w:color w:val="000000"/>
          <w:sz w:val="22"/>
          <w:szCs w:val="22"/>
          <w:lang w:val="es-MX" w:eastAsia="en-US"/>
        </w:rPr>
        <w:t>FUNDAMENTACIÓN Y MOTIVACIÓN.</w:t>
      </w:r>
      <w:r w:rsidRPr="00A473F1">
        <w:rPr>
          <w:rFonts w:ascii="Palatino Linotype" w:hAnsi="Palatino Linotype" w:cs="Arial"/>
          <w:i/>
          <w:color w:val="000000"/>
          <w:sz w:val="22"/>
          <w:szCs w:val="22"/>
          <w:lang w:val="es-MX" w:eastAsia="en-US"/>
        </w:rPr>
        <w:t xml:space="preserve"> La </w:t>
      </w:r>
      <w:r w:rsidRPr="00A473F1">
        <w:rPr>
          <w:rFonts w:ascii="Palatino Linotype" w:hAnsi="Palatino Linotype" w:cs="Arial"/>
          <w:i/>
          <w:color w:val="000000"/>
          <w:sz w:val="22"/>
          <w:szCs w:val="22"/>
          <w:u w:val="single"/>
          <w:lang w:val="es-MX" w:eastAsia="en-US"/>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A473F1">
        <w:rPr>
          <w:rFonts w:ascii="Palatino Linotype" w:hAnsi="Palatino Linotype" w:cs="Arial"/>
          <w:i/>
          <w:color w:val="000000"/>
          <w:sz w:val="22"/>
          <w:szCs w:val="22"/>
          <w:lang w:val="es-MX" w:eastAsia="en-US"/>
        </w:rPr>
        <w:t>.</w:t>
      </w:r>
    </w:p>
    <w:p w14:paraId="710E669A" w14:textId="77777777" w:rsidR="006D2F73" w:rsidRPr="00A473F1" w:rsidRDefault="006D2F73" w:rsidP="006D2F73">
      <w:pPr>
        <w:spacing w:after="160" w:line="360" w:lineRule="auto"/>
        <w:ind w:right="618"/>
        <w:contextualSpacing/>
        <w:jc w:val="both"/>
        <w:rPr>
          <w:rFonts w:ascii="Palatino Linotype" w:hAnsi="Palatino Linotype" w:cs="Arial"/>
          <w:i/>
          <w:color w:val="000000"/>
          <w:sz w:val="22"/>
          <w:szCs w:val="22"/>
          <w:lang w:val="es-MX" w:eastAsia="en-US"/>
        </w:rPr>
      </w:pPr>
    </w:p>
    <w:p w14:paraId="508320E0"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r w:rsidRPr="00A473F1">
        <w:rPr>
          <w:rFonts w:ascii="Palatino Linotype" w:hAnsi="Palatino Linotype" w:cs="Arial"/>
          <w:b/>
          <w:i/>
          <w:color w:val="000000"/>
          <w:sz w:val="22"/>
          <w:szCs w:val="22"/>
          <w:lang w:val="es-MX" w:eastAsia="en-US"/>
        </w:rPr>
        <w:t>SEGUNDO TRIBUNAL COLEGIADO DEL SEXTO CIRCUITO</w:t>
      </w:r>
      <w:r w:rsidRPr="00A473F1">
        <w:rPr>
          <w:rFonts w:ascii="Palatino Linotype" w:hAnsi="Palatino Linotype" w:cs="Arial"/>
          <w:i/>
          <w:color w:val="000000"/>
          <w:sz w:val="22"/>
          <w:szCs w:val="22"/>
          <w:lang w:val="es-MX" w:eastAsia="en-US"/>
        </w:rPr>
        <w:t>.</w:t>
      </w:r>
    </w:p>
    <w:p w14:paraId="5190FFD3"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r w:rsidRPr="00A473F1">
        <w:rPr>
          <w:rFonts w:ascii="Palatino Linotype" w:hAnsi="Palatino Linotype" w:cs="Arial"/>
          <w:i/>
          <w:color w:val="000000"/>
          <w:sz w:val="22"/>
          <w:szCs w:val="22"/>
          <w:lang w:val="es-MX" w:eastAsia="en-US"/>
        </w:rPr>
        <w:t>Amparo directo 194/88. Bufete Industrial Construcciones, S.A. de C.V. 28 de junio de 1988. Unanimidad de votos. Ponente: Gustavo Calvillo Rangel. Secretario: Jorge Alberto González Álvarez.</w:t>
      </w:r>
    </w:p>
    <w:p w14:paraId="42B3224F"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p>
    <w:p w14:paraId="6D3816AD"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r w:rsidRPr="00A473F1">
        <w:rPr>
          <w:rFonts w:ascii="Palatino Linotype" w:hAnsi="Palatino Linotype" w:cs="Arial"/>
          <w:i/>
          <w:color w:val="000000"/>
          <w:sz w:val="22"/>
          <w:szCs w:val="22"/>
          <w:lang w:val="es-MX" w:eastAsia="en-US"/>
        </w:rPr>
        <w:t>Revisión fiscal 103/88. Instituto Mexicano del Seguro Social. 18 de octubre de 1988. Unanimidad de votos. Ponente: Arnoldo Nájera Virgen. Secretario: Alejandro Esponda Rincón.</w:t>
      </w:r>
    </w:p>
    <w:p w14:paraId="1BCACCDB"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p>
    <w:p w14:paraId="4E21B783"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r w:rsidRPr="00A473F1">
        <w:rPr>
          <w:rFonts w:ascii="Palatino Linotype" w:hAnsi="Palatino Linotype" w:cs="Arial"/>
          <w:i/>
          <w:color w:val="000000"/>
          <w:sz w:val="22"/>
          <w:szCs w:val="22"/>
          <w:lang w:val="es-MX" w:eastAsia="en-US"/>
        </w:rPr>
        <w:t>Amparo en revisión 333/88. Adilia Romero. 26 de octubre de 1988. Unanimidad de votos. Ponente: Arnoldo Nájera Virgen. Secretario: Enrique Crispín Campos Ramírez.</w:t>
      </w:r>
    </w:p>
    <w:p w14:paraId="7E8A0124"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p>
    <w:p w14:paraId="0F5AB924"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r w:rsidRPr="00A473F1">
        <w:rPr>
          <w:rFonts w:ascii="Palatino Linotype" w:hAnsi="Palatino Linotype" w:cs="Arial"/>
          <w:i/>
          <w:color w:val="000000"/>
          <w:sz w:val="22"/>
          <w:szCs w:val="22"/>
          <w:lang w:val="es-MX" w:eastAsia="en-US"/>
        </w:rPr>
        <w:t>Amparo en revisión 597/95. Emilio Maurer Bretón. 15 de noviembre de 1995. Unanimidad de votos. Ponente: Clementina Ramírez Moguel Goyzueta. Secretario: Gonzalo Carrera Molina.</w:t>
      </w:r>
    </w:p>
    <w:p w14:paraId="267D65AF"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p>
    <w:p w14:paraId="33B2A89E" w14:textId="77777777" w:rsidR="006D2F73" w:rsidRPr="00A473F1" w:rsidRDefault="006D2F73" w:rsidP="006D2F73">
      <w:pPr>
        <w:ind w:left="851" w:right="618"/>
        <w:contextualSpacing/>
        <w:jc w:val="both"/>
        <w:rPr>
          <w:rFonts w:ascii="Palatino Linotype" w:hAnsi="Palatino Linotype" w:cs="Arial"/>
          <w:i/>
          <w:color w:val="000000"/>
          <w:sz w:val="22"/>
          <w:szCs w:val="22"/>
          <w:lang w:val="es-MX" w:eastAsia="en-US"/>
        </w:rPr>
      </w:pPr>
      <w:r w:rsidRPr="00A473F1">
        <w:rPr>
          <w:rFonts w:ascii="Palatino Linotype" w:hAnsi="Palatino Linotype" w:cs="Arial"/>
          <w:i/>
          <w:color w:val="000000"/>
          <w:sz w:val="22"/>
          <w:szCs w:val="22"/>
          <w:lang w:val="es-MX" w:eastAsia="en-US"/>
        </w:rPr>
        <w:lastRenderedPageBreak/>
        <w:t>Amparo directo 7/96. Pedro Vicente López Miro. 21 de febrero de 1996. Unanimidad de votos. Ponente: María Eugenia Estela Martínez Cardiel. Secretario: Enrique Baigts Muñoz.</w:t>
      </w:r>
    </w:p>
    <w:p w14:paraId="67FB7828" w14:textId="77777777" w:rsidR="006D2F73" w:rsidRPr="00A473F1" w:rsidRDefault="006D2F73" w:rsidP="006D2F73">
      <w:pPr>
        <w:spacing w:before="240" w:after="240" w:line="360" w:lineRule="auto"/>
        <w:contextualSpacing/>
        <w:jc w:val="both"/>
        <w:rPr>
          <w:rFonts w:ascii="Palatino Linotype" w:hAnsi="Palatino Linotype" w:cs="Arial"/>
          <w:color w:val="222222"/>
          <w:szCs w:val="22"/>
          <w:lang w:val="es-MX" w:eastAsia="es-MX"/>
        </w:rPr>
      </w:pPr>
    </w:p>
    <w:p w14:paraId="353D90AA" w14:textId="77777777" w:rsidR="006D2F73" w:rsidRPr="00A473F1"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A473F1">
        <w:rPr>
          <w:rFonts w:ascii="Palatino Linotype" w:hAnsi="Palatino Linotype" w:cs="Arial"/>
          <w:color w:val="222222"/>
          <w:szCs w:val="22"/>
          <w:lang w:val="es-MX" w:eastAsia="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15E3A672" w14:textId="77777777" w:rsidR="006D2F73" w:rsidRPr="00A473F1" w:rsidRDefault="006D2F73" w:rsidP="006D2F73">
      <w:pPr>
        <w:spacing w:before="240" w:after="240" w:line="360" w:lineRule="auto"/>
        <w:contextualSpacing/>
        <w:jc w:val="both"/>
        <w:rPr>
          <w:rFonts w:ascii="Palatino Linotype" w:hAnsi="Palatino Linotype" w:cs="Arial"/>
          <w:color w:val="222222"/>
          <w:szCs w:val="22"/>
          <w:lang w:val="es-MX" w:eastAsia="es-MX"/>
        </w:rPr>
      </w:pPr>
    </w:p>
    <w:p w14:paraId="59753157" w14:textId="77777777" w:rsidR="006D2F73" w:rsidRPr="00A473F1" w:rsidRDefault="006D2F73" w:rsidP="006D2F73">
      <w:pPr>
        <w:spacing w:before="240" w:after="240" w:line="360" w:lineRule="auto"/>
        <w:contextualSpacing/>
        <w:jc w:val="both"/>
        <w:rPr>
          <w:rFonts w:ascii="Palatino Linotype" w:hAnsi="Palatino Linotype" w:cs="Arial"/>
          <w:color w:val="222222"/>
          <w:szCs w:val="22"/>
          <w:lang w:val="es-MX" w:eastAsia="es-MX"/>
        </w:rPr>
      </w:pPr>
      <w:r w:rsidRPr="00A473F1">
        <w:rPr>
          <w:rFonts w:ascii="Palatino Linotype" w:hAnsi="Palatino Linotype" w:cs="Arial"/>
          <w:color w:val="222222"/>
          <w:szCs w:val="22"/>
          <w:lang w:val="es-MX" w:eastAsia="es-MX"/>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7FF2ACD8" w14:textId="77777777" w:rsidR="006D2F73" w:rsidRPr="00A473F1" w:rsidRDefault="006D2F73" w:rsidP="006D2F73">
      <w:pPr>
        <w:spacing w:before="240" w:after="240" w:line="360" w:lineRule="auto"/>
        <w:contextualSpacing/>
        <w:jc w:val="both"/>
        <w:rPr>
          <w:rFonts w:ascii="Palatino Linotype" w:hAnsi="Palatino Linotype" w:cs="Arial"/>
          <w:color w:val="222222"/>
          <w:szCs w:val="22"/>
          <w:lang w:val="es-MX" w:eastAsia="es-MX"/>
        </w:rPr>
      </w:pPr>
    </w:p>
    <w:p w14:paraId="1BDDDD4C" w14:textId="08419B2F" w:rsidR="006D2F73" w:rsidRPr="00A473F1" w:rsidRDefault="006D2F73" w:rsidP="006D2F73">
      <w:pPr>
        <w:spacing w:before="240" w:after="240" w:line="360" w:lineRule="auto"/>
        <w:contextualSpacing/>
        <w:jc w:val="both"/>
        <w:rPr>
          <w:rFonts w:ascii="Palatino Linotype" w:hAnsi="Palatino Linotype"/>
          <w:lang w:val="es-MX" w:eastAsia="en-US"/>
        </w:rPr>
      </w:pPr>
      <w:r w:rsidRPr="00A473F1">
        <w:rPr>
          <w:rFonts w:ascii="Palatino Linotype" w:hAnsi="Palatino Linotype"/>
          <w:lang w:val="es-MX" w:eastAsia="en-US"/>
        </w:rPr>
        <w:t xml:space="preserve">En este sentido, de las constancias que obran en los presentes recursos de revisión, se advierte que la particular al momento de formular su solicitud de información, en el formato previamente establecido para tal efecto, señaló como modalidad de entrega a través del Sistema de Acceso a la Información Mexiquense </w:t>
      </w:r>
      <w:r w:rsidRPr="00A473F1">
        <w:rPr>
          <w:rFonts w:ascii="Palatino Linotype" w:hAnsi="Palatino Linotype"/>
          <w:b/>
          <w:lang w:val="es-MX" w:eastAsia="en-US"/>
        </w:rPr>
        <w:t>(SAIMEX)</w:t>
      </w:r>
      <w:r w:rsidRPr="00A473F1">
        <w:rPr>
          <w:rFonts w:ascii="Palatino Linotype" w:hAnsi="Palatino Linotype"/>
          <w:lang w:val="es-MX" w:eastAsia="en-US"/>
        </w:rPr>
        <w:t xml:space="preserve">, tal como se advierte en la siguiente imagen: </w:t>
      </w:r>
    </w:p>
    <w:p w14:paraId="57EB18DD" w14:textId="1D5EC043" w:rsidR="006D2F73" w:rsidRPr="00A473F1" w:rsidRDefault="006D2F73" w:rsidP="006D2F73">
      <w:pPr>
        <w:spacing w:before="240" w:after="240" w:line="360" w:lineRule="auto"/>
        <w:contextualSpacing/>
        <w:jc w:val="both"/>
        <w:rPr>
          <w:rFonts w:ascii="Palatino Linotype" w:hAnsi="Palatino Linotype"/>
          <w:lang w:val="es-MX" w:eastAsia="en-US"/>
        </w:rPr>
      </w:pPr>
      <w:r w:rsidRPr="00A473F1">
        <w:rPr>
          <w:rFonts w:ascii="Palatino Linotype" w:hAnsi="Palatino Linotype"/>
          <w:noProof/>
          <w:lang w:val="es-MX" w:eastAsia="es-MX"/>
        </w:rPr>
        <w:lastRenderedPageBreak/>
        <w:drawing>
          <wp:inline distT="0" distB="0" distL="0" distR="0" wp14:anchorId="57029BDC" wp14:editId="6C9CB418">
            <wp:extent cx="5791835" cy="1945640"/>
            <wp:effectExtent l="190500" t="190500" r="189865" b="18796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945640"/>
                    </a:xfrm>
                    <a:prstGeom prst="rect">
                      <a:avLst/>
                    </a:prstGeom>
                    <a:ln>
                      <a:noFill/>
                    </a:ln>
                    <a:effectLst>
                      <a:outerShdw blurRad="190500" algn="tl" rotWithShape="0">
                        <a:srgbClr val="000000">
                          <a:alpha val="70000"/>
                        </a:srgbClr>
                      </a:outerShdw>
                    </a:effectLst>
                  </pic:spPr>
                </pic:pic>
              </a:graphicData>
            </a:graphic>
          </wp:inline>
        </w:drawing>
      </w:r>
    </w:p>
    <w:p w14:paraId="4C6A37E5" w14:textId="77777777" w:rsidR="006D2F73" w:rsidRPr="00A473F1" w:rsidRDefault="006D2F73" w:rsidP="006D2F73">
      <w:pPr>
        <w:spacing w:line="360" w:lineRule="auto"/>
        <w:jc w:val="both"/>
        <w:rPr>
          <w:rFonts w:ascii="Palatino Linotype" w:eastAsia="Calibri" w:hAnsi="Palatino Linotype" w:cs="Tahoma"/>
          <w:bCs/>
          <w:lang w:val="es-MX" w:eastAsia="en-US"/>
        </w:rPr>
      </w:pPr>
    </w:p>
    <w:p w14:paraId="0054F7F6" w14:textId="77777777" w:rsidR="006D2F73" w:rsidRPr="00A473F1" w:rsidRDefault="006D2F73" w:rsidP="006D2F73">
      <w:pPr>
        <w:spacing w:before="240" w:after="240" w:line="360" w:lineRule="auto"/>
        <w:jc w:val="both"/>
        <w:rPr>
          <w:rFonts w:ascii="Palatino Linotype" w:hAnsi="Palatino Linotype"/>
          <w:i/>
          <w:szCs w:val="22"/>
          <w:lang w:val="es-MX" w:eastAsia="en-US"/>
        </w:rPr>
      </w:pPr>
      <w:r w:rsidRPr="00A473F1">
        <w:rPr>
          <w:rFonts w:ascii="Palatino Linotype" w:hAnsi="Palatino Linotype"/>
          <w:szCs w:val="22"/>
          <w:lang w:val="es-MX" w:eastAsia="en-US"/>
        </w:rPr>
        <w:t>En vista de las consideraciones señaladas, se advierte que el</w:t>
      </w:r>
      <w:r w:rsidRPr="00A473F1">
        <w:rPr>
          <w:rFonts w:ascii="Palatino Linotype" w:hAnsi="Palatino Linotype"/>
          <w:b/>
          <w:szCs w:val="22"/>
          <w:lang w:val="es-MX" w:eastAsia="en-US"/>
        </w:rPr>
        <w:t xml:space="preserve"> Sujeto Obligado</w:t>
      </w:r>
      <w:r w:rsidRPr="00A473F1">
        <w:rPr>
          <w:rFonts w:ascii="Palatino Linotype" w:hAnsi="Palatino Linotype"/>
          <w:szCs w:val="22"/>
          <w:lang w:val="es-MX" w:eastAsia="en-US"/>
        </w:rPr>
        <w:t xml:space="preserve">, no justifica en ningún momento de forma fundada y motiva su cambio de modalidad de entrega de la información de vía </w:t>
      </w:r>
      <w:r w:rsidRPr="00A473F1">
        <w:rPr>
          <w:rFonts w:ascii="Palatino Linotype" w:hAnsi="Palatino Linotype"/>
          <w:b/>
          <w:i/>
          <w:szCs w:val="22"/>
          <w:lang w:val="es-MX" w:eastAsia="en-US"/>
        </w:rPr>
        <w:t>SAIMEX</w:t>
      </w:r>
      <w:r w:rsidRPr="00A473F1">
        <w:rPr>
          <w:rFonts w:ascii="Palatino Linotype" w:hAnsi="Palatino Linotype"/>
          <w:szCs w:val="22"/>
          <w:lang w:val="es-MX" w:eastAsia="en-US"/>
        </w:rPr>
        <w:t xml:space="preserve"> a </w:t>
      </w:r>
      <w:r w:rsidRPr="00A473F1">
        <w:rPr>
          <w:rFonts w:ascii="Palatino Linotype" w:hAnsi="Palatino Linotype"/>
          <w:b/>
          <w:i/>
          <w:szCs w:val="22"/>
          <w:lang w:val="es-MX" w:eastAsia="en-US"/>
        </w:rPr>
        <w:t>CONSULTA DIRECTA</w:t>
      </w:r>
      <w:r w:rsidRPr="00A473F1">
        <w:rPr>
          <w:rFonts w:ascii="Palatino Linotype" w:hAnsi="Palatino Linotype"/>
          <w:szCs w:val="22"/>
          <w:lang w:val="es-MX" w:eastAsia="en-US"/>
        </w:rPr>
        <w:t xml:space="preserve">. </w:t>
      </w:r>
    </w:p>
    <w:p w14:paraId="56B955F5" w14:textId="77777777" w:rsidR="006D2F73" w:rsidRPr="00A473F1" w:rsidRDefault="006D2F73" w:rsidP="006D2F73">
      <w:pPr>
        <w:rPr>
          <w:sz w:val="16"/>
          <w:lang w:val="es-MX"/>
        </w:rPr>
      </w:pPr>
    </w:p>
    <w:p w14:paraId="1F237DAF" w14:textId="77777777" w:rsidR="006D2F73" w:rsidRPr="00A473F1" w:rsidRDefault="006D2F73" w:rsidP="006D2F73">
      <w:pPr>
        <w:tabs>
          <w:tab w:val="left" w:pos="709"/>
        </w:tabs>
        <w:spacing w:after="160" w:line="360" w:lineRule="auto"/>
        <w:jc w:val="both"/>
        <w:rPr>
          <w:rFonts w:ascii="Palatino Linotype" w:hAnsi="Palatino Linotype" w:cs="Arial"/>
          <w:lang w:val="es-MX" w:eastAsia="en-US"/>
        </w:rPr>
      </w:pPr>
      <w:r w:rsidRPr="00A473F1">
        <w:rPr>
          <w:rFonts w:ascii="Palatino Linotype" w:hAnsi="Palatino Linotype" w:cs="Arial"/>
          <w:lang w:val="es-MX" w:eastAsia="en-US"/>
        </w:rPr>
        <w:t xml:space="preserve">Por tal razón, este Órgano Garante en uso de las facultades que la propia legislación le otorga deberá ordenar la entrega de la información solicitada, dada la aceptación del </w:t>
      </w:r>
      <w:r w:rsidRPr="00A473F1">
        <w:rPr>
          <w:rFonts w:ascii="Palatino Linotype" w:hAnsi="Palatino Linotype" w:cs="Arial"/>
          <w:b/>
          <w:lang w:val="es-MX" w:eastAsia="en-US"/>
        </w:rPr>
        <w:t>Sujeto Obligado</w:t>
      </w:r>
      <w:r w:rsidRPr="00A473F1">
        <w:rPr>
          <w:rFonts w:ascii="Palatino Linotype" w:hAnsi="Palatino Linotype" w:cs="Arial"/>
          <w:lang w:val="es-MX" w:eastAsia="en-US"/>
        </w:rPr>
        <w:t xml:space="preserve"> de generar, poseer o administrarla, es decir, de tener conocimiento de lo requerido.</w:t>
      </w:r>
    </w:p>
    <w:p w14:paraId="2F997718" w14:textId="77777777" w:rsidR="006D2F73" w:rsidRPr="00A473F1" w:rsidRDefault="006D2F73" w:rsidP="006D2F73">
      <w:pPr>
        <w:rPr>
          <w:lang w:val="es-MX"/>
        </w:rPr>
      </w:pPr>
    </w:p>
    <w:p w14:paraId="2D7AA95D" w14:textId="77777777" w:rsidR="006D2F73" w:rsidRPr="00A473F1" w:rsidRDefault="006D2F73" w:rsidP="006D2F73">
      <w:pPr>
        <w:tabs>
          <w:tab w:val="left" w:pos="709"/>
        </w:tabs>
        <w:spacing w:after="160" w:line="360" w:lineRule="auto"/>
        <w:jc w:val="both"/>
        <w:rPr>
          <w:rFonts w:ascii="Palatino Linotype" w:hAnsi="Palatino Linotype" w:cs="Arial"/>
          <w:lang w:val="es-MX" w:eastAsia="en-US"/>
        </w:rPr>
      </w:pPr>
      <w:r w:rsidRPr="00A473F1">
        <w:rPr>
          <w:rFonts w:ascii="Palatino Linotype" w:hAnsi="Palatino Linotype"/>
          <w:szCs w:val="22"/>
          <w:lang w:val="es-MX" w:eastAsia="en-US"/>
        </w:rPr>
        <w:t xml:space="preserve">Por consiguiente, tanto la modalidad de entrega como la forma de envío de la información se harán preferentemente como haya señalado el requirente. En los casos en que esto no sea posible, el </w:t>
      </w:r>
      <w:r w:rsidRPr="00A473F1">
        <w:rPr>
          <w:rFonts w:ascii="Palatino Linotype" w:hAnsi="Palatino Linotype"/>
          <w:b/>
          <w:szCs w:val="22"/>
          <w:lang w:val="es-MX" w:eastAsia="en-US"/>
        </w:rPr>
        <w:t xml:space="preserve">Sujeto Obligado </w:t>
      </w:r>
      <w:r w:rsidRPr="00A473F1">
        <w:rPr>
          <w:rFonts w:ascii="Palatino Linotype" w:hAnsi="Palatino Linotype"/>
          <w:szCs w:val="22"/>
          <w:lang w:val="es-MX" w:eastAsia="en-US"/>
        </w:rPr>
        <w:t xml:space="preserve">podrá garantizar la entrega a través de cualquier otro medio, siempre y cuando funde y motive la razón para hacerlo. La </w:t>
      </w:r>
      <w:r w:rsidRPr="00A473F1">
        <w:rPr>
          <w:rFonts w:ascii="Palatino Linotype" w:hAnsi="Palatino Linotype"/>
          <w:szCs w:val="22"/>
          <w:lang w:val="es-MX" w:eastAsia="en-US"/>
        </w:rPr>
        <w:lastRenderedPageBreak/>
        <w:t xml:space="preserve">necesidad de fundar y motivar es imperante en todos los actos que emite cualquier autoridad. </w:t>
      </w:r>
    </w:p>
    <w:p w14:paraId="55C01FDD" w14:textId="77777777" w:rsidR="006D2F73" w:rsidRPr="00A473F1" w:rsidRDefault="006D2F73" w:rsidP="006D2F73">
      <w:pPr>
        <w:spacing w:before="240" w:after="240" w:line="360" w:lineRule="auto"/>
        <w:jc w:val="both"/>
        <w:rPr>
          <w:rFonts w:ascii="Palatino Linotype" w:hAnsi="Palatino Linotype"/>
          <w:szCs w:val="22"/>
          <w:lang w:val="es-MX" w:eastAsia="en-US"/>
        </w:rPr>
      </w:pPr>
      <w:r w:rsidRPr="00A473F1">
        <w:rPr>
          <w:rFonts w:ascii="Palatino Linotype" w:hAnsi="Palatino Linotype"/>
          <w:szCs w:val="22"/>
          <w:lang w:val="es-MX" w:eastAsia="en-US"/>
        </w:rPr>
        <w:t>Por lo que el cambio de modalidad que pretendió hacer el</w:t>
      </w:r>
      <w:r w:rsidRPr="00A473F1">
        <w:rPr>
          <w:rFonts w:ascii="Palatino Linotype" w:hAnsi="Palatino Linotype"/>
          <w:b/>
          <w:szCs w:val="22"/>
          <w:lang w:val="es-MX" w:eastAsia="en-US"/>
        </w:rPr>
        <w:t xml:space="preserve"> Sujeto Obligado</w:t>
      </w:r>
      <w:r w:rsidRPr="00A473F1">
        <w:rPr>
          <w:rFonts w:ascii="Palatino Linotype" w:hAnsi="Palatino Linotype"/>
          <w:szCs w:val="22"/>
          <w:lang w:val="es-MX" w:eastAsia="en-US"/>
        </w:rPr>
        <w:t xml:space="preserve"> constituye una restricción indirecta del derecho acceso a la información pública, dado que no proporciona la información que requirió el particular y que de manera libre el decidió sobre la vía de la modalidad de entrega de la misma situación que no se respetó. Ahora bien, la ley de la materia señala en su artículo 158, los casos en que de manera excepcional se puede proceder al cambio de modalidad: </w:t>
      </w:r>
    </w:p>
    <w:p w14:paraId="46933B46" w14:textId="77777777" w:rsidR="006D2F73" w:rsidRPr="00A473F1" w:rsidRDefault="006D2F73" w:rsidP="006D2F73">
      <w:pPr>
        <w:rPr>
          <w:sz w:val="2"/>
          <w:lang w:val="es-MX"/>
        </w:rPr>
      </w:pPr>
    </w:p>
    <w:p w14:paraId="1955CC0A" w14:textId="77777777" w:rsidR="006D2F73" w:rsidRPr="00A473F1" w:rsidRDefault="006D2F73" w:rsidP="006D2F73">
      <w:pPr>
        <w:spacing w:before="240" w:after="240"/>
        <w:ind w:left="567" w:right="709"/>
        <w:jc w:val="both"/>
        <w:rPr>
          <w:rFonts w:ascii="Palatino Linotype" w:hAnsi="Palatino Linotype"/>
          <w:i/>
          <w:sz w:val="22"/>
          <w:szCs w:val="22"/>
          <w:lang w:val="es-MX" w:eastAsia="en-US"/>
        </w:rPr>
      </w:pPr>
      <w:r w:rsidRPr="00A473F1">
        <w:rPr>
          <w:rFonts w:ascii="Palatino Linotype" w:hAnsi="Palatino Linotype"/>
          <w:i/>
          <w:sz w:val="22"/>
          <w:szCs w:val="22"/>
          <w:lang w:val="es-MX" w:eastAsia="en-US"/>
        </w:rPr>
        <w:t>“</w:t>
      </w:r>
      <w:r w:rsidRPr="00A473F1">
        <w:rPr>
          <w:rFonts w:ascii="Palatino Linotype" w:hAnsi="Palatino Linotype"/>
          <w:b/>
          <w:i/>
          <w:sz w:val="22"/>
          <w:szCs w:val="22"/>
          <w:lang w:val="es-MX" w:eastAsia="en-US"/>
        </w:rPr>
        <w:t>Artículo 158.</w:t>
      </w:r>
      <w:r w:rsidRPr="00A473F1">
        <w:rPr>
          <w:rFonts w:ascii="Palatino Linotype" w:hAnsi="Palatino Linotype"/>
          <w:i/>
          <w:sz w:val="22"/>
          <w:szCs w:val="22"/>
          <w:lang w:val="es-MX" w:eastAsia="en-US"/>
        </w:rPr>
        <w:t xml:space="preserve"> De manera excepcional, cuando </w:t>
      </w:r>
      <w:r w:rsidRPr="00A473F1">
        <w:rPr>
          <w:rFonts w:ascii="Palatino Linotype" w:hAnsi="Palatino Linotype"/>
          <w:b/>
          <w:i/>
          <w:sz w:val="22"/>
          <w:szCs w:val="22"/>
          <w:u w:val="single"/>
          <w:lang w:val="es-MX" w:eastAsia="en-US"/>
        </w:rPr>
        <w:t>de forma fundada y motivada</w:t>
      </w:r>
      <w:r w:rsidRPr="00A473F1">
        <w:rPr>
          <w:rFonts w:ascii="Palatino Linotype" w:hAnsi="Palatino Linotype"/>
          <w:i/>
          <w:sz w:val="22"/>
          <w:szCs w:val="22"/>
          <w:lang w:val="es-MX" w:eastAsia="en-US"/>
        </w:rPr>
        <w:t xml:space="preserve"> así lo determine el sujeto obligado, en aquellos casos en que la información solicitada que ya se encuentre en su posesión implique análisis, estudio o procesamiento de documentos cuya entrega o reproducción sobrepase </w:t>
      </w:r>
      <w:r w:rsidRPr="00A473F1">
        <w:rPr>
          <w:rFonts w:ascii="Palatino Linotype" w:hAnsi="Palatino Linotype"/>
          <w:b/>
          <w:i/>
          <w:sz w:val="22"/>
          <w:szCs w:val="22"/>
          <w:u w:val="single"/>
          <w:lang w:val="es-MX" w:eastAsia="en-US"/>
        </w:rPr>
        <w:t>las capacidades técnicas administrativas</w:t>
      </w:r>
      <w:r w:rsidRPr="00A473F1">
        <w:rPr>
          <w:rFonts w:ascii="Palatino Linotype" w:hAnsi="Palatino Linotype"/>
          <w:i/>
          <w:sz w:val="22"/>
          <w:szCs w:val="22"/>
          <w:lang w:val="es-MX" w:eastAsia="en-US"/>
        </w:rPr>
        <w:t xml:space="preserve"> </w:t>
      </w:r>
      <w:r w:rsidRPr="00A473F1">
        <w:rPr>
          <w:rFonts w:ascii="Palatino Linotype" w:hAnsi="Palatino Linotype"/>
          <w:b/>
          <w:i/>
          <w:sz w:val="22"/>
          <w:szCs w:val="22"/>
          <w:u w:val="single"/>
          <w:lang w:val="es-MX" w:eastAsia="en-US"/>
        </w:rPr>
        <w:t>y humanas del sujeto obligado</w:t>
      </w:r>
      <w:r w:rsidRPr="00A473F1">
        <w:rPr>
          <w:rFonts w:ascii="Palatino Linotype" w:hAnsi="Palatino Linotype"/>
          <w:i/>
          <w:sz w:val="22"/>
          <w:szCs w:val="22"/>
          <w:lang w:val="es-MX" w:eastAsia="en-US"/>
        </w:rPr>
        <w:t xml:space="preserve"> para cumplir con la solicitud, en los plazos establecidos para dichos efectos, se podrá poner a disposición del solicitante los documentos en </w:t>
      </w:r>
      <w:r w:rsidRPr="00A473F1">
        <w:rPr>
          <w:rFonts w:ascii="Palatino Linotype" w:hAnsi="Palatino Linotype"/>
          <w:b/>
          <w:i/>
          <w:sz w:val="22"/>
          <w:szCs w:val="22"/>
          <w:lang w:val="es-MX" w:eastAsia="en-US"/>
        </w:rPr>
        <w:t>consulta directa,</w:t>
      </w:r>
      <w:r w:rsidRPr="00A473F1">
        <w:rPr>
          <w:rFonts w:ascii="Palatino Linotype" w:hAnsi="Palatino Linotype"/>
          <w:i/>
          <w:sz w:val="22"/>
          <w:szCs w:val="22"/>
          <w:lang w:val="es-MX" w:eastAsia="en-US"/>
        </w:rPr>
        <w:t xml:space="preserve"> salvo la información clasificada.</w:t>
      </w:r>
    </w:p>
    <w:p w14:paraId="0B816CC9" w14:textId="77777777" w:rsidR="006D2F73" w:rsidRPr="00A473F1" w:rsidRDefault="006D2F73" w:rsidP="006D2F73">
      <w:pPr>
        <w:spacing w:before="240" w:after="240"/>
        <w:ind w:left="567" w:right="709"/>
        <w:jc w:val="both"/>
        <w:rPr>
          <w:rFonts w:ascii="Palatino Linotype" w:hAnsi="Palatino Linotype"/>
          <w:i/>
          <w:sz w:val="22"/>
          <w:szCs w:val="22"/>
          <w:lang w:val="es-MX" w:eastAsia="en-US"/>
        </w:rPr>
      </w:pPr>
      <w:r w:rsidRPr="00A473F1">
        <w:rPr>
          <w:rFonts w:ascii="Palatino Linotype" w:hAnsi="Palatino Linotype"/>
          <w:i/>
          <w:sz w:val="22"/>
          <w:szCs w:val="22"/>
          <w:lang w:val="es-MX" w:eastAsia="en-US"/>
        </w:rPr>
        <w:t>En todo caso, se facilitará su copia simple o certificada, así como su reproducción por cualquier medio disponible en las instalaciones del sujeto obligado o que, en su caso, aporte el solicitante.”</w:t>
      </w:r>
    </w:p>
    <w:p w14:paraId="7F3703A1" w14:textId="77777777" w:rsidR="006D2F73" w:rsidRPr="00A473F1" w:rsidRDefault="006D2F73" w:rsidP="006D2F73">
      <w:pPr>
        <w:rPr>
          <w:sz w:val="4"/>
          <w:lang w:val="es-MX"/>
        </w:rPr>
      </w:pPr>
    </w:p>
    <w:p w14:paraId="7C93228F" w14:textId="77777777" w:rsidR="006D2F73" w:rsidRPr="00A473F1" w:rsidRDefault="006D2F73" w:rsidP="006D2F73">
      <w:pPr>
        <w:spacing w:line="360" w:lineRule="auto"/>
        <w:jc w:val="both"/>
        <w:rPr>
          <w:rFonts w:ascii="Palatino Linotype" w:hAnsi="Palatino Linotype" w:cs="Arial"/>
          <w:szCs w:val="22"/>
          <w:lang w:val="es-MX" w:eastAsia="en-US"/>
        </w:rPr>
      </w:pPr>
      <w:r w:rsidRPr="00A473F1">
        <w:rPr>
          <w:rFonts w:ascii="Palatino Linotype" w:hAnsi="Palatino Linotype"/>
          <w:lang w:val="es-MX" w:eastAsia="en-US"/>
        </w:rPr>
        <w:t>De lo anterior se desprende que, el</w:t>
      </w:r>
      <w:r w:rsidRPr="00A473F1">
        <w:rPr>
          <w:rFonts w:ascii="Palatino Linotype" w:hAnsi="Palatino Linotype"/>
          <w:b/>
          <w:lang w:val="es-MX" w:eastAsia="en-US"/>
        </w:rPr>
        <w:t xml:space="preserve"> Sujeto Obligado</w:t>
      </w:r>
      <w:r w:rsidRPr="00A473F1">
        <w:rPr>
          <w:rFonts w:ascii="Palatino Linotype" w:hAnsi="Palatino Linotype"/>
          <w:lang w:val="es-MX" w:eastAsia="en-US"/>
        </w:rPr>
        <w:t xml:space="preserve"> no procedió al cambio de modalidad de manera fundada y motivada, y menos aún cambió la vía a consulta directa, que está fuera de la legalidad que establece la ley de la materia y es por ello, que en el presente asunto no se justifica el cambio de modalidad, y con el objeto de reparar la afectación al derecho humano de acceso a la información tutelado por este </w:t>
      </w:r>
      <w:r w:rsidRPr="00A473F1">
        <w:rPr>
          <w:rFonts w:ascii="Palatino Linotype" w:hAnsi="Palatino Linotype"/>
          <w:lang w:val="es-MX" w:eastAsia="en-US"/>
        </w:rPr>
        <w:lastRenderedPageBreak/>
        <w:t xml:space="preserve">Órgano Garante, </w:t>
      </w:r>
      <w:r w:rsidRPr="00A473F1">
        <w:rPr>
          <w:rFonts w:ascii="Palatino Linotype" w:hAnsi="Palatino Linotype" w:cs="Arial"/>
          <w:szCs w:val="22"/>
          <w:lang w:val="es-MX" w:eastAsia="en-US"/>
        </w:rPr>
        <w:t>se ordena su entrega, por lo que el</w:t>
      </w:r>
      <w:r w:rsidRPr="00A473F1">
        <w:rPr>
          <w:rFonts w:ascii="Palatino Linotype" w:hAnsi="Palatino Linotype" w:cs="Arial"/>
          <w:b/>
          <w:szCs w:val="22"/>
          <w:lang w:val="es-MX" w:eastAsia="en-US"/>
        </w:rPr>
        <w:t xml:space="preserve"> Sujeto Obligado</w:t>
      </w:r>
      <w:r w:rsidRPr="00A473F1">
        <w:rPr>
          <w:rFonts w:ascii="Palatino Linotype" w:hAnsi="Palatino Linotype" w:cs="Arial"/>
          <w:szCs w:val="22"/>
          <w:lang w:val="es-MX" w:eastAsia="en-US"/>
        </w:rPr>
        <w:t xml:space="preserve"> deberá observar lo siguiente. </w:t>
      </w:r>
    </w:p>
    <w:p w14:paraId="4B1E832E" w14:textId="77777777" w:rsidR="00F07A18" w:rsidRPr="00A473F1" w:rsidRDefault="00F07A18" w:rsidP="006D2F73">
      <w:pPr>
        <w:spacing w:line="360" w:lineRule="auto"/>
        <w:jc w:val="both"/>
        <w:rPr>
          <w:rFonts w:ascii="Palatino Linotype" w:hAnsi="Palatino Linotype" w:cs="Arial"/>
          <w:szCs w:val="22"/>
          <w:lang w:val="es-MX" w:eastAsia="en-US"/>
        </w:rPr>
      </w:pPr>
    </w:p>
    <w:p w14:paraId="19E5BB77" w14:textId="77777777" w:rsidR="00F07A18" w:rsidRPr="00A473F1" w:rsidRDefault="00F07A18" w:rsidP="00F07A18">
      <w:pPr>
        <w:tabs>
          <w:tab w:val="left" w:pos="709"/>
        </w:tabs>
        <w:spacing w:line="360" w:lineRule="auto"/>
        <w:jc w:val="both"/>
        <w:rPr>
          <w:rFonts w:ascii="Palatino Linotype" w:hAnsi="Palatino Linotype" w:cs="Arial"/>
        </w:rPr>
      </w:pPr>
      <w:r w:rsidRPr="00A473F1">
        <w:rPr>
          <w:rFonts w:ascii="Palatino Linotype" w:hAnsi="Palatino Linotype" w:cs="Arial"/>
        </w:rPr>
        <w:t xml:space="preserve">Sobre lo anterior, es de señalar que el Órgano Garante Nacional, a través de diversas resoluciones de los Recursos de Inconformidad, entre las cuales se encuentran el </w:t>
      </w:r>
      <w:r w:rsidRPr="00A473F1">
        <w:rPr>
          <w:rFonts w:ascii="Palatino Linotype" w:hAnsi="Palatino Linotype" w:cs="Arial"/>
          <w:b/>
          <w:i/>
        </w:rPr>
        <w:t>RIA 136/20</w:t>
      </w:r>
      <w:r w:rsidRPr="00A473F1">
        <w:rPr>
          <w:rFonts w:ascii="Palatino Linotype" w:hAnsi="Palatino Linotype" w:cs="Arial"/>
        </w:rPr>
        <w:t xml:space="preserve">, </w:t>
      </w:r>
      <w:r w:rsidRPr="00A473F1">
        <w:rPr>
          <w:rFonts w:ascii="Palatino Linotype" w:hAnsi="Palatino Linotype" w:cs="Arial"/>
          <w:b/>
          <w:i/>
        </w:rPr>
        <w:t>RIA 140/20</w:t>
      </w:r>
      <w:r w:rsidRPr="00A473F1">
        <w:rPr>
          <w:rFonts w:ascii="Palatino Linotype" w:hAnsi="Palatino Linotype" w:cs="Arial"/>
        </w:rPr>
        <w:t xml:space="preserve">, </w:t>
      </w:r>
      <w:r w:rsidRPr="00A473F1">
        <w:rPr>
          <w:rFonts w:ascii="Palatino Linotype" w:hAnsi="Palatino Linotype" w:cs="Arial"/>
          <w:b/>
          <w:i/>
        </w:rPr>
        <w:t>RIA 153/20</w:t>
      </w:r>
      <w:r w:rsidRPr="00A473F1">
        <w:rPr>
          <w:rFonts w:ascii="Palatino Linotype" w:hAnsi="Palatino Linotype" w:cs="Arial"/>
        </w:rPr>
        <w:t xml:space="preserve">, </w:t>
      </w:r>
      <w:r w:rsidRPr="00A473F1">
        <w:rPr>
          <w:rFonts w:ascii="Palatino Linotype" w:hAnsi="Palatino Linotype" w:cs="Arial"/>
          <w:b/>
          <w:i/>
        </w:rPr>
        <w:t>RIA 237/20</w:t>
      </w:r>
      <w:r w:rsidRPr="00A473F1">
        <w:rPr>
          <w:rFonts w:ascii="Palatino Linotype" w:hAnsi="Palatino Linotype" w:cs="Arial"/>
        </w:rPr>
        <w:t xml:space="preserve">, </w:t>
      </w:r>
      <w:r w:rsidRPr="00A473F1">
        <w:rPr>
          <w:rFonts w:ascii="Palatino Linotype" w:hAnsi="Palatino Linotype" w:cs="Arial"/>
          <w:b/>
          <w:i/>
        </w:rPr>
        <w:t>RIA 257/20</w:t>
      </w:r>
      <w:r w:rsidRPr="00A473F1">
        <w:rPr>
          <w:rFonts w:ascii="Palatino Linotype" w:hAnsi="Palatino Linotype" w:cs="Arial"/>
        </w:rPr>
        <w:t xml:space="preserve">, </w:t>
      </w:r>
      <w:r w:rsidRPr="00A473F1">
        <w:rPr>
          <w:rFonts w:ascii="Palatino Linotype" w:hAnsi="Palatino Linotype" w:cs="Arial"/>
          <w:b/>
          <w:i/>
        </w:rPr>
        <w:t>RIA 258/20</w:t>
      </w:r>
      <w:r w:rsidRPr="00A473F1">
        <w:rPr>
          <w:rFonts w:ascii="Palatino Linotype" w:hAnsi="Palatino Linotype" w:cs="Arial"/>
        </w:rPr>
        <w:t xml:space="preserve">, entre otros, ha considerado que no resultaba suficiente justificar una imposibilidad técnica y humana para acreditar un cambio de modalidad, sino que era necesario demostrar otros impedimentos, como la cantidad y formato de la documentación, que fuera de imposible reproducción en el medio elegido por los solicitantes, que la información ameritara el cruce de información en los sistemas de datos, entre otros. </w:t>
      </w:r>
    </w:p>
    <w:p w14:paraId="1D557623" w14:textId="77777777" w:rsidR="00F07A18" w:rsidRPr="00A473F1" w:rsidRDefault="00F07A18" w:rsidP="00F07A18">
      <w:pPr>
        <w:tabs>
          <w:tab w:val="left" w:pos="709"/>
        </w:tabs>
        <w:spacing w:line="360" w:lineRule="auto"/>
        <w:jc w:val="both"/>
        <w:rPr>
          <w:rFonts w:ascii="Palatino Linotype" w:hAnsi="Palatino Linotype" w:cs="Arial"/>
        </w:rPr>
      </w:pPr>
    </w:p>
    <w:p w14:paraId="72A1CF24" w14:textId="77777777" w:rsidR="00F07A18" w:rsidRPr="00A473F1" w:rsidRDefault="00F07A18" w:rsidP="00F07A18">
      <w:pPr>
        <w:tabs>
          <w:tab w:val="left" w:pos="709"/>
        </w:tabs>
        <w:spacing w:line="360" w:lineRule="auto"/>
        <w:jc w:val="both"/>
        <w:rPr>
          <w:rFonts w:ascii="Palatino Linotype" w:hAnsi="Palatino Linotype" w:cs="Arial"/>
        </w:rPr>
      </w:pPr>
      <w:r w:rsidRPr="00A473F1">
        <w:rPr>
          <w:rFonts w:ascii="Palatino Linotype" w:hAnsi="Palatino Linotype" w:cs="Arial"/>
        </w:rPr>
        <w:t>Además, precisan que no se debe ceñir el cambio de modalidad, directamente a consulta directa, sino que los sujetos obligados, deben de buscar la posibilidad de proporcionarla en las otras formas que establecen en la Ley, ya sean electrónicas o físicas.</w:t>
      </w:r>
    </w:p>
    <w:p w14:paraId="2B07368A" w14:textId="77777777" w:rsidR="00F07A18" w:rsidRPr="00A473F1" w:rsidRDefault="00F07A18" w:rsidP="00F07A18">
      <w:pPr>
        <w:tabs>
          <w:tab w:val="left" w:pos="709"/>
        </w:tabs>
        <w:spacing w:line="360" w:lineRule="auto"/>
        <w:jc w:val="both"/>
        <w:rPr>
          <w:rFonts w:ascii="Palatino Linotype" w:hAnsi="Palatino Linotype" w:cs="Arial"/>
        </w:rPr>
      </w:pPr>
    </w:p>
    <w:p w14:paraId="0B47AB2F" w14:textId="77777777" w:rsidR="00F07A18" w:rsidRPr="00A473F1" w:rsidRDefault="00F07A18" w:rsidP="00F07A18">
      <w:pPr>
        <w:spacing w:line="360" w:lineRule="auto"/>
        <w:jc w:val="both"/>
        <w:rPr>
          <w:rFonts w:ascii="Palatino Linotype" w:hAnsi="Palatino Linotype"/>
          <w:b/>
          <w:lang w:val="es-MX" w:eastAsia="en-US"/>
        </w:rPr>
      </w:pPr>
      <w:r w:rsidRPr="00A473F1">
        <w:rPr>
          <w:rFonts w:ascii="Palatino Linotype" w:hAnsi="Palatino Linotype"/>
          <w:lang w:val="es-MX" w:eastAsia="en-US"/>
        </w:rPr>
        <w:t>De lo anterior, se desprende que, el</w:t>
      </w:r>
      <w:r w:rsidRPr="00A473F1">
        <w:rPr>
          <w:rFonts w:ascii="Palatino Linotype" w:hAnsi="Palatino Linotype"/>
          <w:b/>
          <w:lang w:val="es-MX" w:eastAsia="en-US"/>
        </w:rPr>
        <w:t xml:space="preserve"> Sujeto Obligado</w:t>
      </w:r>
      <w:r w:rsidRPr="00A473F1">
        <w:rPr>
          <w:rFonts w:ascii="Palatino Linotype" w:hAnsi="Palatino Linotype"/>
          <w:lang w:val="es-MX" w:eastAsia="en-US"/>
        </w:rPr>
        <w:t xml:space="preserve"> no procedió al cambio de modalidad de manera fundada y motivada, y además que el cambio de vía a </w:t>
      </w:r>
      <w:r w:rsidRPr="00A473F1">
        <w:rPr>
          <w:rFonts w:ascii="Palatino Linotype" w:hAnsi="Palatino Linotype"/>
          <w:b/>
          <w:i/>
          <w:lang w:val="es-MX" w:eastAsia="en-US"/>
        </w:rPr>
        <w:t>consulta directa</w:t>
      </w:r>
      <w:r w:rsidRPr="00A473F1">
        <w:rPr>
          <w:rFonts w:ascii="Palatino Linotype" w:hAnsi="Palatino Linotype"/>
          <w:lang w:val="es-MX" w:eastAsia="en-US"/>
        </w:rPr>
        <w:t xml:space="preserve">, está fuera de la legalidad que establece la Ley en la materia y es por ello que, en el presente asunto no se justifica el cambio de modalidad, y con el objeto de reparar la afectación al derecho humano de acceso a la información tutelado por este Órgano Garante, deberá remitir la información solicitada por el ahora </w:t>
      </w:r>
      <w:r w:rsidRPr="00A473F1">
        <w:rPr>
          <w:rFonts w:ascii="Palatino Linotype" w:hAnsi="Palatino Linotype"/>
          <w:b/>
          <w:lang w:val="es-MX" w:eastAsia="en-US"/>
        </w:rPr>
        <w:t>Recurrente</w:t>
      </w:r>
      <w:r w:rsidRPr="00A473F1">
        <w:rPr>
          <w:rFonts w:ascii="Palatino Linotype" w:hAnsi="Palatino Linotype"/>
          <w:lang w:val="es-MX" w:eastAsia="en-US"/>
        </w:rPr>
        <w:t>.</w:t>
      </w:r>
    </w:p>
    <w:p w14:paraId="382EA598" w14:textId="6317F1BC" w:rsidR="00F07A18" w:rsidRPr="00A473F1" w:rsidRDefault="00F07A18" w:rsidP="00F07A18">
      <w:pPr>
        <w:spacing w:line="360" w:lineRule="auto"/>
        <w:jc w:val="both"/>
        <w:rPr>
          <w:rFonts w:ascii="Palatino Linotype" w:hAnsi="Palatino Linotype" w:cs="Arial"/>
        </w:rPr>
      </w:pPr>
      <w:r w:rsidRPr="00A473F1">
        <w:rPr>
          <w:rFonts w:ascii="Palatino Linotype" w:hAnsi="Palatino Linotype" w:cs="Arial"/>
        </w:rPr>
        <w:lastRenderedPageBreak/>
        <w:t xml:space="preserve">En virtud de que, mediante respuesta a la solicitud de información, el </w:t>
      </w:r>
      <w:r w:rsidRPr="00A473F1">
        <w:rPr>
          <w:rFonts w:ascii="Palatino Linotype" w:hAnsi="Palatino Linotype" w:cs="Arial"/>
          <w:b/>
        </w:rPr>
        <w:t>Sujeto Obligado</w:t>
      </w:r>
      <w:r w:rsidRPr="00A473F1">
        <w:rPr>
          <w:rFonts w:ascii="Palatino Linotype" w:hAnsi="Palatino Linotype" w:cs="Arial"/>
        </w:rPr>
        <w:t xml:space="preserve"> propuso un cambio de modalidad de entrega, poniendo a disposición del </w:t>
      </w:r>
      <w:r w:rsidRPr="00A473F1">
        <w:rPr>
          <w:rFonts w:ascii="Palatino Linotype" w:hAnsi="Palatino Linotype" w:cs="Arial"/>
          <w:b/>
        </w:rPr>
        <w:t>Recurrente</w:t>
      </w:r>
      <w:r w:rsidRPr="00A473F1">
        <w:rPr>
          <w:rFonts w:ascii="Palatino Linotype" w:hAnsi="Palatino Linotype" w:cs="Arial"/>
        </w:rPr>
        <w:t xml:space="preserve"> la información en </w:t>
      </w:r>
      <w:r w:rsidRPr="00A473F1">
        <w:rPr>
          <w:rFonts w:ascii="Palatino Linotype" w:hAnsi="Palatino Linotype" w:cs="Arial"/>
          <w:b/>
          <w:i/>
        </w:rPr>
        <w:t>consulta directa</w:t>
      </w:r>
      <w:r w:rsidRPr="00A473F1">
        <w:rPr>
          <w:rFonts w:ascii="Palatino Linotype" w:hAnsi="Palatino Linotype" w:cs="Arial"/>
        </w:rPr>
        <w:t xml:space="preserve">, argumentando que lo requerido representa un volumen considerable de información; en ese tenor de ideas, se solicitó mediante correo electrónico oficial al </w:t>
      </w:r>
      <w:r w:rsidRPr="00A473F1">
        <w:rPr>
          <w:rFonts w:ascii="Palatino Linotype" w:hAnsi="Palatino Linotype" w:cs="Arial"/>
          <w:b/>
        </w:rPr>
        <w:t>Sujeto Obligado</w:t>
      </w:r>
      <w:r w:rsidRPr="00A473F1">
        <w:rPr>
          <w:rFonts w:ascii="Palatino Linotype" w:hAnsi="Palatino Linotype" w:cs="Arial"/>
        </w:rPr>
        <w:t xml:space="preserve"> con el propósito de acreditar el cambio de modalidad propuesto en su respuesta y de contar con los elementos suficientes para la emisión de la resolución correspondiente, es necesario que se manifiesten las razones y fundamentos que sustenten el cambio de modalidad mediante el reporte de incidencias ante la Dirección General de Informática de este Instituto, señalando con la mayor precisión el volumen de la información solicitada a fin de que el área competente confirme que se sobrepasan las capacidades del SAIMEX y es procedente el cambio en la modalidad de entrega; no obstante lo anterior, no hubo respuesta por parte de la Titular del Sujeto Obligado; adicionalmente, también se solicitó a la Dirección General de Informática de este Instituto, el informe respecto a si existió reporte de incidencias realizado por el </w:t>
      </w:r>
      <w:r w:rsidRPr="00A473F1">
        <w:rPr>
          <w:rFonts w:ascii="Palatino Linotype" w:hAnsi="Palatino Linotype" w:cs="Arial"/>
          <w:b/>
        </w:rPr>
        <w:t>Sujeto Obligado</w:t>
      </w:r>
      <w:r w:rsidRPr="00A473F1">
        <w:rPr>
          <w:rFonts w:ascii="Palatino Linotype" w:hAnsi="Palatino Linotype" w:cs="Arial"/>
        </w:rPr>
        <w:t xml:space="preserve"> en el recurso de revisión que nos ocupa, por lo que mediante correo electrónico de fecha </w:t>
      </w:r>
      <w:r w:rsidR="00C774B1" w:rsidRPr="00A473F1">
        <w:rPr>
          <w:rFonts w:ascii="Palatino Linotype" w:hAnsi="Palatino Linotype" w:cs="Arial"/>
        </w:rPr>
        <w:t>veinticuatro de enero</w:t>
      </w:r>
      <w:r w:rsidRPr="00A473F1">
        <w:rPr>
          <w:rFonts w:ascii="Palatino Linotype" w:hAnsi="Palatino Linotype" w:cs="Arial"/>
        </w:rPr>
        <w:t xml:space="preserve"> de</w:t>
      </w:r>
      <w:r w:rsidR="00C774B1" w:rsidRPr="00A473F1">
        <w:rPr>
          <w:rFonts w:ascii="Palatino Linotype" w:hAnsi="Palatino Linotype" w:cs="Arial"/>
        </w:rPr>
        <w:t>l año en curso</w:t>
      </w:r>
      <w:r w:rsidRPr="00A473F1">
        <w:rPr>
          <w:rFonts w:ascii="Palatino Linotype" w:hAnsi="Palatino Linotype" w:cs="Arial"/>
        </w:rPr>
        <w:t xml:space="preserve">, la Dirección General de Informática de este Instituto de Transparencia, Acceso a la Información Pública y Protección de Datos Personales del Estado de México y Municipios, notificó a esta Ponencia que no se tiene reporte de llamada alguna, ni tampoco se tiene registro de incidencia por parte del </w:t>
      </w:r>
      <w:r w:rsidRPr="00A473F1">
        <w:rPr>
          <w:rFonts w:ascii="Palatino Linotype" w:hAnsi="Palatino Linotype" w:cs="Arial"/>
          <w:b/>
        </w:rPr>
        <w:t>Sujeto Obligado</w:t>
      </w:r>
      <w:r w:rsidR="00DC005C" w:rsidRPr="00A473F1">
        <w:rPr>
          <w:rFonts w:ascii="Palatino Linotype" w:hAnsi="Palatino Linotype" w:cs="Arial"/>
        </w:rPr>
        <w:t xml:space="preserve"> en el recurso que nos ocupa.</w:t>
      </w:r>
    </w:p>
    <w:p w14:paraId="709393C7" w14:textId="5DEEE556" w:rsidR="00F07A18" w:rsidRPr="00A473F1" w:rsidRDefault="00F07A18" w:rsidP="00F07A18">
      <w:pPr>
        <w:spacing w:line="360" w:lineRule="auto"/>
        <w:jc w:val="both"/>
        <w:rPr>
          <w:rFonts w:ascii="Palatino Linotype" w:hAnsi="Palatino Linotype" w:cs="Arial"/>
        </w:rPr>
      </w:pPr>
    </w:p>
    <w:p w14:paraId="68993825" w14:textId="30E0FE0B" w:rsidR="00F07A18" w:rsidRPr="00A473F1" w:rsidRDefault="00F07A18" w:rsidP="00F07A18">
      <w:pPr>
        <w:spacing w:line="360" w:lineRule="auto"/>
        <w:jc w:val="both"/>
        <w:rPr>
          <w:rFonts w:ascii="Palatino Linotype" w:hAnsi="Palatino Linotype" w:cs="Arial"/>
        </w:rPr>
      </w:pPr>
      <w:r w:rsidRPr="00A473F1">
        <w:rPr>
          <w:rFonts w:ascii="Palatino Linotype" w:hAnsi="Palatino Linotype" w:cs="Arial"/>
        </w:rPr>
        <w:lastRenderedPageBreak/>
        <w:t>Asimismo</w:t>
      </w:r>
      <w:r w:rsidR="00DC005C" w:rsidRPr="00A473F1">
        <w:rPr>
          <w:rFonts w:ascii="Palatino Linotype" w:hAnsi="Palatino Linotype" w:cs="Arial"/>
        </w:rPr>
        <w:t>,</w:t>
      </w:r>
      <w:r w:rsidRPr="00A473F1">
        <w:rPr>
          <w:rFonts w:ascii="Palatino Linotype" w:hAnsi="Palatino Linotype" w:cs="Arial"/>
        </w:rPr>
        <w:t xml:space="preserve"> informó que en relación al peso máximo de archivos que soporta el </w:t>
      </w:r>
      <w:r w:rsidRPr="00A473F1">
        <w:rPr>
          <w:rFonts w:ascii="Palatino Linotype" w:hAnsi="Palatino Linotype" w:cs="Arial"/>
          <w:b/>
        </w:rPr>
        <w:t>SAIMEX</w:t>
      </w:r>
      <w:r w:rsidRPr="00A473F1">
        <w:rPr>
          <w:rFonts w:ascii="Palatino Linotype" w:hAnsi="Palatino Linotype" w:cs="Arial"/>
        </w:rPr>
        <w:t xml:space="preserve"> para adjuntar como respuesta a las solicitudes de información, se puedan adjuntar archivos con un peso aprox. de hasta </w:t>
      </w:r>
      <w:r w:rsidRPr="00A473F1">
        <w:rPr>
          <w:rFonts w:ascii="Palatino Linotype" w:hAnsi="Palatino Linotype" w:cs="Arial"/>
          <w:b/>
          <w:i/>
        </w:rPr>
        <w:t>500Mb</w:t>
      </w:r>
      <w:r w:rsidRPr="00A473F1">
        <w:rPr>
          <w:rFonts w:ascii="Palatino Linotype" w:hAnsi="Palatino Linotype" w:cs="Arial"/>
        </w:rPr>
        <w:t xml:space="preserve"> o un equivalente de hasta </w:t>
      </w:r>
      <w:r w:rsidRPr="00A473F1">
        <w:rPr>
          <w:rFonts w:ascii="Palatino Linotype" w:hAnsi="Palatino Linotype" w:cs="Arial"/>
          <w:b/>
          <w:i/>
        </w:rPr>
        <w:t>8,000 hojas</w:t>
      </w:r>
      <w:r w:rsidRPr="00A473F1">
        <w:rPr>
          <w:rFonts w:ascii="Palatino Linotype" w:hAnsi="Palatino Linotype" w:cs="Arial"/>
        </w:rPr>
        <w:t xml:space="preserve">, garantizando que el Ciudadano no tenga problemas en la descarga de la información usando conexiones a internet convencionales bajo parámetros de escaneo en resolución máxima de </w:t>
      </w:r>
      <w:r w:rsidRPr="00A473F1">
        <w:rPr>
          <w:rFonts w:ascii="Palatino Linotype" w:hAnsi="Palatino Linotype" w:cs="Arial"/>
          <w:i/>
        </w:rPr>
        <w:t>150Dpi's</w:t>
      </w:r>
      <w:r w:rsidRPr="00A473F1">
        <w:rPr>
          <w:rFonts w:ascii="Palatino Linotype" w:hAnsi="Palatino Linotype" w:cs="Arial"/>
        </w:rPr>
        <w:t xml:space="preserve">, escala de grises y formato </w:t>
      </w:r>
      <w:r w:rsidRPr="00A473F1">
        <w:rPr>
          <w:rFonts w:ascii="Palatino Linotype" w:hAnsi="Palatino Linotype" w:cs="Arial"/>
          <w:i/>
        </w:rPr>
        <w:t>"PDF"</w:t>
      </w:r>
      <w:r w:rsidRPr="00A473F1">
        <w:rPr>
          <w:rFonts w:ascii="Palatino Linotype" w:hAnsi="Palatino Linotype" w:cs="Arial"/>
        </w:rPr>
        <w:t xml:space="preserve"> extraído directamente del escáner.</w:t>
      </w:r>
    </w:p>
    <w:p w14:paraId="590BD136" w14:textId="77777777" w:rsidR="00F07A18" w:rsidRPr="00A473F1" w:rsidRDefault="00F07A18" w:rsidP="00F07A18">
      <w:pPr>
        <w:spacing w:line="360" w:lineRule="auto"/>
        <w:jc w:val="both"/>
        <w:rPr>
          <w:rFonts w:ascii="Palatino Linotype" w:hAnsi="Palatino Linotype" w:cs="Arial"/>
        </w:rPr>
      </w:pPr>
    </w:p>
    <w:p w14:paraId="19828236" w14:textId="77777777" w:rsidR="00C774B1" w:rsidRPr="00A473F1" w:rsidRDefault="00F07A18" w:rsidP="00C774B1">
      <w:pPr>
        <w:spacing w:line="360" w:lineRule="auto"/>
        <w:jc w:val="both"/>
        <w:rPr>
          <w:rFonts w:ascii="Palatino Linotype" w:hAnsi="Palatino Linotype" w:cs="Arial"/>
        </w:rPr>
      </w:pPr>
      <w:r w:rsidRPr="00A473F1">
        <w:rPr>
          <w:rFonts w:ascii="Palatino Linotype" w:hAnsi="Palatino Linotype" w:cs="Arial"/>
        </w:rPr>
        <w:t xml:space="preserve">Por lo anterior, es de concluirse en este punto, que el </w:t>
      </w:r>
      <w:r w:rsidRPr="00A473F1">
        <w:rPr>
          <w:rFonts w:ascii="Palatino Linotype" w:hAnsi="Palatino Linotype" w:cs="Arial"/>
          <w:b/>
        </w:rPr>
        <w:t>Sujeto Obligado</w:t>
      </w:r>
      <w:r w:rsidRPr="00A473F1">
        <w:rPr>
          <w:rFonts w:ascii="Palatino Linotype" w:hAnsi="Palatino Linotype" w:cs="Arial"/>
        </w:rPr>
        <w:t xml:space="preserve"> no acredita la necesidad del cambio de modalidad de la entrega de información, en consecuencia, es dable ordenar la entrega de la información en la vía peticionada, es decir a través del </w:t>
      </w:r>
      <w:r w:rsidRPr="00A473F1">
        <w:rPr>
          <w:rFonts w:ascii="Palatino Linotype" w:hAnsi="Palatino Linotype" w:cs="Arial"/>
          <w:b/>
        </w:rPr>
        <w:t>SAIMEX</w:t>
      </w:r>
      <w:r w:rsidRPr="00A473F1">
        <w:rPr>
          <w:rFonts w:ascii="Palatino Linotype" w:hAnsi="Palatino Linotype" w:cs="Arial"/>
        </w:rPr>
        <w:t>, al no tenerse por cumplidos los requisitos de procedencia.</w:t>
      </w:r>
    </w:p>
    <w:p w14:paraId="6A14FA27" w14:textId="77777777" w:rsidR="00C774B1" w:rsidRPr="00A473F1" w:rsidRDefault="00C774B1" w:rsidP="00C774B1">
      <w:pPr>
        <w:spacing w:line="360" w:lineRule="auto"/>
        <w:jc w:val="both"/>
        <w:rPr>
          <w:rFonts w:ascii="Palatino Linotype" w:hAnsi="Palatino Linotype" w:cs="Arial"/>
        </w:rPr>
      </w:pPr>
    </w:p>
    <w:p w14:paraId="067E992F" w14:textId="77777777" w:rsidR="00C774B1" w:rsidRPr="00A473F1" w:rsidRDefault="00C774B1" w:rsidP="00C774B1">
      <w:pPr>
        <w:spacing w:line="360" w:lineRule="auto"/>
        <w:jc w:val="both"/>
        <w:rPr>
          <w:rFonts w:ascii="Palatino Linotype" w:hAnsi="Palatino Linotype" w:cs="Arial"/>
          <w:lang w:val="es-MX"/>
        </w:rPr>
      </w:pPr>
      <w:r w:rsidRPr="00A473F1">
        <w:rPr>
          <w:rFonts w:ascii="Palatino Linotype" w:hAnsi="Palatino Linotype" w:cs="Palatino Linotype"/>
          <w:color w:val="000000"/>
          <w:lang w:val="es-MX"/>
        </w:rPr>
        <w:t xml:space="preserve">Para el caso de la información que se ordena respecto de los anexos indicados, esta no se hubiera generado, bastará que así se lo haga saber el </w:t>
      </w:r>
      <w:r w:rsidRPr="00A473F1">
        <w:rPr>
          <w:rFonts w:ascii="Palatino Linotype" w:hAnsi="Palatino Linotype" w:cs="Palatino Linotype"/>
          <w:b/>
          <w:color w:val="000000"/>
          <w:lang w:val="es-MX"/>
        </w:rPr>
        <w:t>Sujeto Obligado</w:t>
      </w:r>
      <w:r w:rsidRPr="00A473F1">
        <w:rPr>
          <w:rFonts w:ascii="Palatino Linotype" w:hAnsi="Palatino Linotype" w:cs="Palatino Linotype"/>
          <w:color w:val="000000"/>
          <w:lang w:val="es-MX"/>
        </w:rPr>
        <w:t xml:space="preserve"> a la parte </w:t>
      </w:r>
      <w:r w:rsidRPr="00A473F1">
        <w:rPr>
          <w:rFonts w:ascii="Palatino Linotype" w:hAnsi="Palatino Linotype" w:cs="Palatino Linotype"/>
          <w:b/>
          <w:color w:val="000000"/>
          <w:lang w:val="es-MX"/>
        </w:rPr>
        <w:t>Recurrente</w:t>
      </w:r>
      <w:r w:rsidRPr="00A473F1">
        <w:rPr>
          <w:rFonts w:ascii="Palatino Linotype" w:hAnsi="Palatino Linotype" w:cs="Palatino Linotype"/>
          <w:color w:val="000000"/>
          <w:lang w:val="es-MX"/>
        </w:rPr>
        <w:t xml:space="preserve"> de manera fundada y motivada en términos de lo señalado por el segundo párrafo del artículo 19 de la Ley en la materia.</w:t>
      </w:r>
    </w:p>
    <w:p w14:paraId="1719772E" w14:textId="77777777" w:rsidR="00C774B1" w:rsidRPr="00A473F1" w:rsidRDefault="00C774B1" w:rsidP="00C774B1">
      <w:pPr>
        <w:spacing w:line="360" w:lineRule="auto"/>
        <w:jc w:val="both"/>
        <w:rPr>
          <w:rFonts w:ascii="Palatino Linotype" w:hAnsi="Palatino Linotype" w:cs="Arial"/>
          <w:lang w:val="es-MX"/>
        </w:rPr>
      </w:pPr>
    </w:p>
    <w:p w14:paraId="7546CE2B" w14:textId="2E674D1A" w:rsidR="00C774B1" w:rsidRPr="00A473F1" w:rsidRDefault="00C774B1" w:rsidP="00C774B1">
      <w:pPr>
        <w:spacing w:line="360" w:lineRule="auto"/>
        <w:jc w:val="both"/>
        <w:rPr>
          <w:rFonts w:ascii="Palatino Linotype" w:hAnsi="Palatino Linotype" w:cs="Palatino Linotype"/>
          <w:color w:val="000000"/>
          <w:lang w:val="es-MX"/>
        </w:rPr>
      </w:pPr>
      <w:r w:rsidRPr="00A473F1">
        <w:rPr>
          <w:rFonts w:ascii="Palatino Linotype" w:hAnsi="Palatino Linotype" w:cs="Palatino Linotype"/>
          <w:color w:val="000000"/>
          <w:lang w:val="es-MX"/>
        </w:rPr>
        <w:t xml:space="preserve">De igual forma para el caso de que algún oficio se hubiera cancelado por alguna razón extraordinaria; o bien no se hayan recibido oficios en alguno de los días del periodo que se solicita, deberá hacerlo del conocimiento del ahora </w:t>
      </w:r>
      <w:r w:rsidRPr="00A473F1">
        <w:rPr>
          <w:rFonts w:ascii="Palatino Linotype" w:hAnsi="Palatino Linotype" w:cs="Palatino Linotype"/>
          <w:b/>
          <w:color w:val="000000"/>
          <w:lang w:val="es-MX"/>
        </w:rPr>
        <w:t>Recurrente</w:t>
      </w:r>
      <w:r w:rsidRPr="00A473F1">
        <w:rPr>
          <w:rFonts w:ascii="Palatino Linotype" w:hAnsi="Palatino Linotype" w:cs="Palatino Linotype"/>
          <w:color w:val="000000"/>
          <w:lang w:val="es-MX"/>
        </w:rPr>
        <w:t xml:space="preserve">, de manera clara y precisa, </w:t>
      </w:r>
      <w:r w:rsidRPr="00A473F1">
        <w:rPr>
          <w:rFonts w:ascii="Palatino Linotype" w:hAnsi="Palatino Linotype"/>
          <w:lang w:eastAsia="es-MX"/>
        </w:rPr>
        <w:t>de ser procedente en versión pública, de conformidad con lo siguiente:</w:t>
      </w:r>
    </w:p>
    <w:p w14:paraId="386045A7" w14:textId="77777777" w:rsidR="00C774B1" w:rsidRPr="00A473F1" w:rsidRDefault="00C774B1" w:rsidP="00C774B1">
      <w:pPr>
        <w:spacing w:line="360" w:lineRule="auto"/>
        <w:jc w:val="both"/>
        <w:rPr>
          <w:rFonts w:ascii="Palatino Linotype" w:hAnsi="Palatino Linotype"/>
          <w:lang w:eastAsia="es-MX"/>
        </w:rPr>
      </w:pPr>
    </w:p>
    <w:p w14:paraId="605CDF39" w14:textId="77777777" w:rsidR="00C774B1" w:rsidRPr="00A473F1" w:rsidRDefault="00C774B1" w:rsidP="00C774B1">
      <w:pPr>
        <w:numPr>
          <w:ilvl w:val="0"/>
          <w:numId w:val="23"/>
        </w:numPr>
        <w:spacing w:line="360" w:lineRule="auto"/>
        <w:jc w:val="both"/>
        <w:rPr>
          <w:rFonts w:ascii="Palatino Linotype" w:hAnsi="Palatino Linotype" w:cs="Arial"/>
          <w:b/>
        </w:rPr>
      </w:pPr>
      <w:r w:rsidRPr="00A473F1">
        <w:rPr>
          <w:rFonts w:ascii="Palatino Linotype" w:hAnsi="Palatino Linotype" w:cs="Arial"/>
          <w:b/>
          <w:i/>
          <w:sz w:val="28"/>
        </w:rPr>
        <w:lastRenderedPageBreak/>
        <w:t>De la versión pública</w:t>
      </w:r>
    </w:p>
    <w:p w14:paraId="65EC7974" w14:textId="77777777" w:rsidR="00C774B1" w:rsidRPr="00A473F1" w:rsidRDefault="00C774B1" w:rsidP="00C774B1">
      <w:pPr>
        <w:autoSpaceDE w:val="0"/>
        <w:autoSpaceDN w:val="0"/>
        <w:adjustRightInd w:val="0"/>
        <w:spacing w:line="360" w:lineRule="auto"/>
        <w:jc w:val="both"/>
        <w:rPr>
          <w:rFonts w:ascii="Palatino Linotype" w:hAnsi="Palatino Linotype" w:cs="Arial"/>
          <w:lang w:val="es-MX" w:eastAsia="en-US"/>
        </w:rPr>
      </w:pPr>
      <w:r w:rsidRPr="00A473F1">
        <w:rPr>
          <w:rFonts w:ascii="Palatino Linotype" w:hAnsi="Palatino Linotype" w:cs="Arial"/>
          <w:lang w:val="es-MX" w:eastAsia="en-US"/>
        </w:rPr>
        <w:t>De la naturaleza de la información se desprende que para el caso de que la documentación a entregar contenga datos personales susceptibles clasificar como confidenciales o reservados, por lo que es responsabilidad del Sujeto Obligado vigilar su cumplimiento mediante la emisión de versiones públicas.</w:t>
      </w:r>
    </w:p>
    <w:p w14:paraId="3BFC389F" w14:textId="77777777" w:rsidR="00C774B1" w:rsidRPr="00A473F1" w:rsidRDefault="00C774B1" w:rsidP="00C774B1">
      <w:pPr>
        <w:autoSpaceDE w:val="0"/>
        <w:autoSpaceDN w:val="0"/>
        <w:adjustRightInd w:val="0"/>
        <w:spacing w:line="360" w:lineRule="auto"/>
        <w:jc w:val="both"/>
        <w:rPr>
          <w:rFonts w:ascii="Palatino Linotype" w:hAnsi="Palatino Linotype" w:cs="Arial"/>
          <w:lang w:val="es-MX" w:eastAsia="en-US"/>
        </w:rPr>
      </w:pPr>
    </w:p>
    <w:p w14:paraId="561511AA" w14:textId="77777777" w:rsidR="00C774B1" w:rsidRPr="00A473F1" w:rsidRDefault="00C774B1" w:rsidP="00C774B1">
      <w:pPr>
        <w:spacing w:line="360" w:lineRule="auto"/>
        <w:jc w:val="both"/>
        <w:rPr>
          <w:rFonts w:ascii="Palatino Linotype" w:hAnsi="Palatino Linotype" w:cs="Arial"/>
        </w:rPr>
      </w:pPr>
      <w:r w:rsidRPr="00A473F1">
        <w:rPr>
          <w:rFonts w:ascii="Palatino Linotype" w:hAnsi="Palatino Linotype" w:cs="Arial"/>
        </w:rPr>
        <w:t>Para tales efectos se deberá observar lo dispuesto por los artículos 3 fracciones IX, XX, XXI y XLV, 91, 132 fracciones II y III, y 143, fracción I, de la Ley de Transparencia y Acceso a la Información Pública del Estado de México y Municipios que establecen:</w:t>
      </w:r>
    </w:p>
    <w:p w14:paraId="015381CD" w14:textId="77777777" w:rsidR="00C774B1" w:rsidRPr="00A473F1" w:rsidRDefault="00C774B1" w:rsidP="00C774B1">
      <w:pPr>
        <w:spacing w:line="360" w:lineRule="auto"/>
        <w:jc w:val="both"/>
        <w:rPr>
          <w:rFonts w:ascii="Palatino Linotype" w:hAnsi="Palatino Linotype" w:cs="Arial"/>
        </w:rPr>
      </w:pPr>
    </w:p>
    <w:p w14:paraId="7BA73D2E"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Artículo 3.</w:t>
      </w:r>
      <w:r w:rsidRPr="00A473F1">
        <w:rPr>
          <w:rFonts w:ascii="Palatino Linotype" w:hAnsi="Palatino Linotype" w:cs="Arial"/>
          <w:i/>
          <w:sz w:val="22"/>
        </w:rPr>
        <w:t xml:space="preserve"> Para los efectos de la presente Ley se entenderá por:</w:t>
      </w:r>
    </w:p>
    <w:p w14:paraId="59E31841"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i/>
          <w:sz w:val="22"/>
        </w:rPr>
        <w:t>[…]</w:t>
      </w:r>
    </w:p>
    <w:p w14:paraId="78265572" w14:textId="77777777" w:rsidR="00C774B1" w:rsidRPr="00A473F1" w:rsidRDefault="00C774B1" w:rsidP="00C774B1">
      <w:pPr>
        <w:ind w:left="567" w:right="616"/>
        <w:jc w:val="both"/>
        <w:rPr>
          <w:rFonts w:ascii="Palatino Linotype" w:hAnsi="Palatino Linotype" w:cs="Arial"/>
          <w:i/>
          <w:sz w:val="22"/>
        </w:rPr>
      </w:pPr>
    </w:p>
    <w:p w14:paraId="71A8DC77"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IX. Datos personales:</w:t>
      </w:r>
      <w:r w:rsidRPr="00A473F1">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14:paraId="761EAA5A"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XX. Información clasificada:</w:t>
      </w:r>
      <w:r w:rsidRPr="00A473F1">
        <w:rPr>
          <w:rFonts w:ascii="Palatino Linotype" w:hAnsi="Palatino Linotype" w:cs="Arial"/>
          <w:i/>
          <w:sz w:val="22"/>
        </w:rPr>
        <w:t xml:space="preserve"> Aquella considerada por la presente Ley como reservada o confidencial;</w:t>
      </w:r>
    </w:p>
    <w:p w14:paraId="117A38E8"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XXI. Información confidencial:</w:t>
      </w:r>
      <w:r w:rsidRPr="00A473F1">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18E5D9A6"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XLV. Versión pública:</w:t>
      </w:r>
      <w:r w:rsidRPr="00A473F1">
        <w:rPr>
          <w:rFonts w:ascii="Palatino Linotype" w:hAnsi="Palatino Linotype" w:cs="Arial"/>
          <w:i/>
          <w:sz w:val="22"/>
        </w:rPr>
        <w:t xml:space="preserve"> Documento en el que se elimine, suprime o borra la información clasificada como reservada o confidencial para permitir su acceso.</w:t>
      </w:r>
    </w:p>
    <w:p w14:paraId="44DB8614"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i/>
          <w:sz w:val="22"/>
        </w:rPr>
        <w:t>[…]</w:t>
      </w:r>
    </w:p>
    <w:p w14:paraId="34B37FC3"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Artículo 91.</w:t>
      </w:r>
      <w:r w:rsidRPr="00A473F1">
        <w:rPr>
          <w:rFonts w:ascii="Palatino Linotype" w:hAnsi="Palatino Linotype" w:cs="Arial"/>
          <w:i/>
          <w:sz w:val="22"/>
        </w:rPr>
        <w:t xml:space="preserve"> El acceso a la información pública será restringido excepcionalmente, cuando ésta sea clasificada como reservada o confidencial.</w:t>
      </w:r>
    </w:p>
    <w:p w14:paraId="65393527" w14:textId="77777777" w:rsidR="00C774B1" w:rsidRPr="00A473F1" w:rsidRDefault="00C774B1" w:rsidP="00C774B1">
      <w:pPr>
        <w:ind w:left="567" w:right="616"/>
        <w:jc w:val="both"/>
        <w:rPr>
          <w:rFonts w:ascii="Palatino Linotype" w:hAnsi="Palatino Linotype" w:cs="Arial"/>
          <w:i/>
          <w:sz w:val="22"/>
        </w:rPr>
      </w:pPr>
    </w:p>
    <w:p w14:paraId="5EB906C9"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Artículo 132.</w:t>
      </w:r>
      <w:r w:rsidRPr="00A473F1">
        <w:rPr>
          <w:rFonts w:ascii="Palatino Linotype" w:hAnsi="Palatino Linotype" w:cs="Arial"/>
          <w:i/>
          <w:sz w:val="22"/>
        </w:rPr>
        <w:t xml:space="preserve"> </w:t>
      </w:r>
      <w:r w:rsidRPr="00A473F1">
        <w:rPr>
          <w:rFonts w:ascii="Palatino Linotype" w:hAnsi="Palatino Linotype" w:cs="Arial"/>
          <w:i/>
          <w:sz w:val="22"/>
          <w:u w:val="single"/>
        </w:rPr>
        <w:t>La clasificación de la información se llevará a cabo en el momento en que</w:t>
      </w:r>
      <w:r w:rsidRPr="00A473F1">
        <w:rPr>
          <w:rFonts w:ascii="Palatino Linotype" w:hAnsi="Palatino Linotype" w:cs="Arial"/>
          <w:i/>
          <w:sz w:val="22"/>
        </w:rPr>
        <w:t>:</w:t>
      </w:r>
    </w:p>
    <w:p w14:paraId="7B464341"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I.</w:t>
      </w:r>
      <w:r w:rsidRPr="00A473F1">
        <w:rPr>
          <w:rFonts w:ascii="Palatino Linotype" w:hAnsi="Palatino Linotype" w:cs="Arial"/>
          <w:i/>
          <w:sz w:val="22"/>
        </w:rPr>
        <w:t xml:space="preserve"> Se reciba una solicitud de acceso a la información;</w:t>
      </w:r>
    </w:p>
    <w:p w14:paraId="518F0694" w14:textId="77777777" w:rsidR="00C774B1" w:rsidRPr="00A473F1" w:rsidRDefault="00C774B1" w:rsidP="00C774B1">
      <w:pPr>
        <w:ind w:left="567" w:right="616"/>
        <w:jc w:val="both"/>
        <w:rPr>
          <w:rFonts w:ascii="Palatino Linotype" w:hAnsi="Palatino Linotype" w:cs="Arial"/>
          <w:i/>
          <w:sz w:val="22"/>
          <w:u w:val="single"/>
        </w:rPr>
      </w:pPr>
      <w:r w:rsidRPr="00A473F1">
        <w:rPr>
          <w:rFonts w:ascii="Palatino Linotype" w:hAnsi="Palatino Linotype" w:cs="Arial"/>
          <w:b/>
          <w:i/>
          <w:sz w:val="22"/>
        </w:rPr>
        <w:lastRenderedPageBreak/>
        <w:t>II.</w:t>
      </w:r>
      <w:r w:rsidRPr="00A473F1">
        <w:rPr>
          <w:rFonts w:ascii="Palatino Linotype" w:hAnsi="Palatino Linotype" w:cs="Arial"/>
          <w:i/>
          <w:sz w:val="22"/>
        </w:rPr>
        <w:t xml:space="preserve"> </w:t>
      </w:r>
      <w:r w:rsidRPr="00A473F1">
        <w:rPr>
          <w:rFonts w:ascii="Palatino Linotype" w:hAnsi="Palatino Linotype" w:cs="Arial"/>
          <w:i/>
          <w:sz w:val="22"/>
          <w:u w:val="single"/>
        </w:rPr>
        <w:t>Se determine mediante resolución de autoridad competente; o</w:t>
      </w:r>
    </w:p>
    <w:p w14:paraId="76FC403E" w14:textId="77777777" w:rsidR="00C774B1" w:rsidRPr="00A473F1" w:rsidRDefault="00C774B1" w:rsidP="00C774B1">
      <w:pPr>
        <w:ind w:left="567" w:right="616"/>
        <w:jc w:val="both"/>
        <w:rPr>
          <w:rFonts w:ascii="Palatino Linotype" w:hAnsi="Palatino Linotype" w:cs="Arial"/>
          <w:i/>
          <w:sz w:val="22"/>
          <w:u w:val="single"/>
        </w:rPr>
      </w:pPr>
      <w:r w:rsidRPr="00A473F1">
        <w:rPr>
          <w:rFonts w:ascii="Palatino Linotype" w:hAnsi="Palatino Linotype" w:cs="Arial"/>
          <w:b/>
          <w:i/>
          <w:sz w:val="22"/>
        </w:rPr>
        <w:t>III.</w:t>
      </w:r>
      <w:r w:rsidRPr="00A473F1">
        <w:rPr>
          <w:rFonts w:ascii="Palatino Linotype" w:hAnsi="Palatino Linotype" w:cs="Arial"/>
          <w:i/>
          <w:sz w:val="22"/>
        </w:rPr>
        <w:t xml:space="preserve"> </w:t>
      </w:r>
      <w:r w:rsidRPr="00A473F1">
        <w:rPr>
          <w:rFonts w:ascii="Palatino Linotype" w:hAnsi="Palatino Linotype" w:cs="Arial"/>
          <w:i/>
          <w:sz w:val="22"/>
          <w:u w:val="single"/>
        </w:rPr>
        <w:t>Se generen versiones públicas para dar cumplimiento a las obligaciones de transparencia previstas en esta Ley.</w:t>
      </w:r>
    </w:p>
    <w:p w14:paraId="46397A9E"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i/>
          <w:sz w:val="22"/>
        </w:rPr>
        <w:t>[…]</w:t>
      </w:r>
    </w:p>
    <w:p w14:paraId="2621CF0D" w14:textId="77777777" w:rsidR="00C774B1" w:rsidRPr="00A473F1" w:rsidRDefault="00C774B1" w:rsidP="00C774B1">
      <w:pPr>
        <w:ind w:left="567" w:right="616"/>
        <w:jc w:val="both"/>
        <w:rPr>
          <w:rFonts w:ascii="Palatino Linotype" w:hAnsi="Palatino Linotype" w:cs="Arial"/>
          <w:i/>
          <w:sz w:val="22"/>
        </w:rPr>
      </w:pPr>
    </w:p>
    <w:p w14:paraId="7A10DC6B"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Artículo 143.</w:t>
      </w:r>
      <w:r w:rsidRPr="00A473F1">
        <w:rPr>
          <w:rFonts w:ascii="Palatino Linotype" w:hAnsi="Palatino Linotype" w:cs="Arial"/>
          <w:i/>
          <w:sz w:val="22"/>
        </w:rPr>
        <w:t xml:space="preserve"> </w:t>
      </w:r>
      <w:r w:rsidRPr="00A473F1">
        <w:rPr>
          <w:rFonts w:ascii="Palatino Linotype" w:hAnsi="Palatino Linotype" w:cs="Arial"/>
          <w:i/>
          <w:sz w:val="22"/>
          <w:u w:val="single"/>
        </w:rPr>
        <w:t>Para los efectos de esta Ley se considera información confidencial, la clasificada como tal, de manera permanente, por su naturaleza, cuando</w:t>
      </w:r>
      <w:r w:rsidRPr="00A473F1">
        <w:rPr>
          <w:rFonts w:ascii="Palatino Linotype" w:hAnsi="Palatino Linotype" w:cs="Arial"/>
          <w:i/>
          <w:sz w:val="22"/>
        </w:rPr>
        <w:t>:</w:t>
      </w:r>
    </w:p>
    <w:p w14:paraId="73E4E5A3" w14:textId="77777777" w:rsidR="00C774B1" w:rsidRPr="00A473F1" w:rsidRDefault="00C774B1" w:rsidP="00C774B1">
      <w:pPr>
        <w:ind w:left="567" w:right="616"/>
        <w:jc w:val="both"/>
        <w:rPr>
          <w:rFonts w:ascii="Palatino Linotype" w:hAnsi="Palatino Linotype" w:cs="Arial"/>
          <w:i/>
          <w:sz w:val="22"/>
        </w:rPr>
      </w:pPr>
    </w:p>
    <w:p w14:paraId="2F4A864B"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I.</w:t>
      </w:r>
      <w:r w:rsidRPr="00A473F1">
        <w:rPr>
          <w:rFonts w:ascii="Palatino Linotype" w:hAnsi="Palatino Linotype" w:cs="Arial"/>
          <w:i/>
          <w:sz w:val="22"/>
        </w:rPr>
        <w:t xml:space="preserve"> </w:t>
      </w:r>
      <w:r w:rsidRPr="00A473F1">
        <w:rPr>
          <w:rFonts w:ascii="Palatino Linotype" w:hAnsi="Palatino Linotype" w:cs="Arial"/>
          <w:i/>
          <w:sz w:val="22"/>
          <w:u w:val="single"/>
        </w:rPr>
        <w:t>Se refiera a la información privada y los datos personales concernientes a una persona física o jurídico colectiva identificada o identificable</w:t>
      </w:r>
      <w:r w:rsidRPr="00A473F1">
        <w:rPr>
          <w:rFonts w:ascii="Palatino Linotype" w:hAnsi="Palatino Linotype" w:cs="Arial"/>
          <w:i/>
          <w:sz w:val="22"/>
        </w:rPr>
        <w:t>;</w:t>
      </w:r>
    </w:p>
    <w:p w14:paraId="590EAA42" w14:textId="77777777" w:rsidR="00C774B1" w:rsidRPr="00A473F1" w:rsidRDefault="00C774B1" w:rsidP="00C774B1">
      <w:pPr>
        <w:ind w:left="567" w:right="616"/>
        <w:jc w:val="both"/>
        <w:rPr>
          <w:rFonts w:ascii="Palatino Linotype" w:hAnsi="Palatino Linotype" w:cs="Arial"/>
          <w:i/>
          <w:sz w:val="22"/>
          <w:u w:val="single"/>
        </w:rPr>
      </w:pPr>
      <w:r w:rsidRPr="00A473F1">
        <w:rPr>
          <w:rFonts w:ascii="Palatino Linotype" w:hAnsi="Palatino Linotype" w:cs="Arial"/>
          <w:b/>
          <w:i/>
          <w:sz w:val="22"/>
        </w:rPr>
        <w:t>II.</w:t>
      </w:r>
      <w:r w:rsidRPr="00A473F1">
        <w:rPr>
          <w:rFonts w:ascii="Palatino Linotype" w:hAnsi="Palatino Linotype" w:cs="Arial"/>
          <w:i/>
          <w:sz w:val="22"/>
        </w:rPr>
        <w:t xml:space="preserve"> </w:t>
      </w:r>
      <w:r w:rsidRPr="00A473F1">
        <w:rPr>
          <w:rFonts w:ascii="Palatino Linotype" w:hAnsi="Palatino Linotype" w:cs="Arial"/>
          <w:i/>
          <w:sz w:val="22"/>
          <w:u w:val="single"/>
        </w:rPr>
        <w:t>Los secretos bancario, fiduciario, industrial, comercial, fiscal, bursátil y postal, cuya titularidad corresponda a particulares, sujetos de derecho internacional o a sujetos obligados cuando no involucren el ejercicio de recursos públicos; y</w:t>
      </w:r>
    </w:p>
    <w:p w14:paraId="22A69CF7"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b/>
          <w:i/>
          <w:sz w:val="22"/>
        </w:rPr>
        <w:t>III.</w:t>
      </w:r>
      <w:r w:rsidRPr="00A473F1">
        <w:rPr>
          <w:rFonts w:ascii="Palatino Linotype" w:hAnsi="Palatino Linotype" w:cs="Arial"/>
          <w:i/>
          <w:sz w:val="22"/>
        </w:rPr>
        <w:t xml:space="preserve"> La que presenten los particulares a los sujetos obligados, de conformidad con lo dispuesto por las leyes o los tratados internacionales.</w:t>
      </w:r>
    </w:p>
    <w:p w14:paraId="6CE0744A"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i/>
          <w:sz w:val="22"/>
        </w:rPr>
        <w:t>La información confidencial no estará sujeta a temporalidad alguna y sólo podrán tener acceso a ella los titulares de la misma, sus representantes y los servidores públicos facultados para ello.</w:t>
      </w:r>
    </w:p>
    <w:p w14:paraId="79DA1C70" w14:textId="77777777" w:rsidR="00C774B1" w:rsidRPr="00A473F1" w:rsidRDefault="00C774B1" w:rsidP="00C774B1">
      <w:pPr>
        <w:ind w:left="567" w:right="616"/>
        <w:jc w:val="both"/>
        <w:rPr>
          <w:rFonts w:ascii="Palatino Linotype" w:hAnsi="Palatino Linotype" w:cs="Arial"/>
          <w:i/>
          <w:sz w:val="22"/>
        </w:rPr>
      </w:pPr>
      <w:r w:rsidRPr="00A473F1">
        <w:rPr>
          <w:rFonts w:ascii="Palatino Linotype" w:hAnsi="Palatino Linotype" w:cs="Arial"/>
          <w:i/>
          <w:sz w:val="22"/>
        </w:rPr>
        <w:t>No se considerará confidencial la información que se encuentre en los registros públicos o en fuentes de acceso público, ni tampoco la que sea considerada por la presente ley como información pública. [Sic]</w:t>
      </w:r>
    </w:p>
    <w:p w14:paraId="3F81E1B5" w14:textId="77777777" w:rsidR="00C774B1" w:rsidRPr="00A473F1" w:rsidRDefault="00C774B1" w:rsidP="00C774B1">
      <w:pPr>
        <w:spacing w:line="360" w:lineRule="auto"/>
        <w:jc w:val="both"/>
        <w:rPr>
          <w:rFonts w:ascii="Palatino Linotype" w:hAnsi="Palatino Linotype"/>
        </w:rPr>
      </w:pPr>
    </w:p>
    <w:p w14:paraId="74BCC1AE" w14:textId="77777777" w:rsidR="00C774B1" w:rsidRPr="00A473F1" w:rsidRDefault="00C774B1" w:rsidP="00C774B1">
      <w:pPr>
        <w:spacing w:line="360" w:lineRule="auto"/>
        <w:jc w:val="both"/>
        <w:rPr>
          <w:rFonts w:ascii="Palatino Linotype" w:hAnsi="Palatino Linotype"/>
        </w:rPr>
      </w:pPr>
      <w:r w:rsidRPr="00A473F1">
        <w:rPr>
          <w:rFonts w:ascii="Palatino Linotype" w:hAnsi="Palatino Linotype"/>
        </w:rPr>
        <w:t xml:space="preserve">Igualmente, los </w:t>
      </w:r>
      <w:r w:rsidRPr="00A473F1">
        <w:rPr>
          <w:rFonts w:ascii="Palatino Linotype" w:hAnsi="Palatino Linotype"/>
          <w:i/>
        </w:rPr>
        <w:t>Lineamientos Generales en Materia de Clasificación y Desclasificación de la Información, así como para la elaboración de Versiones Públicas</w:t>
      </w:r>
      <w:r w:rsidRPr="00A473F1">
        <w:rPr>
          <w:rFonts w:ascii="Palatino Linotype" w:hAnsi="Palatino Linotype"/>
        </w:rPr>
        <w:t>,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85F23C1" w14:textId="77777777" w:rsidR="00C774B1" w:rsidRPr="00A473F1" w:rsidRDefault="00C774B1" w:rsidP="00C774B1">
      <w:pPr>
        <w:spacing w:line="360" w:lineRule="auto"/>
        <w:ind w:left="851" w:right="851"/>
        <w:jc w:val="both"/>
        <w:rPr>
          <w:rFonts w:ascii="Palatino Linotype" w:hAnsi="Palatino Linotype"/>
        </w:rPr>
      </w:pPr>
    </w:p>
    <w:p w14:paraId="44EB5A30" w14:textId="77777777" w:rsidR="00C774B1" w:rsidRPr="00A473F1" w:rsidRDefault="00C774B1" w:rsidP="00C774B1">
      <w:pPr>
        <w:spacing w:line="360" w:lineRule="auto"/>
        <w:jc w:val="both"/>
        <w:rPr>
          <w:rFonts w:ascii="Palatino Linotype" w:hAnsi="Palatino Linotype" w:cs="Arial"/>
          <w:lang w:eastAsia="es-CO"/>
        </w:rPr>
      </w:pPr>
      <w:r w:rsidRPr="00A473F1">
        <w:rPr>
          <w:rFonts w:ascii="Palatino Linotype" w:hAnsi="Palatino Linotype" w:cs="Arial"/>
          <w:lang w:eastAsia="es-CO"/>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A473F1">
        <w:rPr>
          <w:rFonts w:ascii="Palatino Linotype" w:hAnsi="Palatino Linotype" w:cs="Arial"/>
          <w:b/>
          <w:lang w:eastAsia="es-CO"/>
        </w:rPr>
        <w:t>Sujeto Obligado</w:t>
      </w:r>
      <w:r w:rsidRPr="00A473F1">
        <w:rPr>
          <w:rFonts w:ascii="Palatino Linotype" w:hAnsi="Palatino Linotype" w:cs="Arial"/>
          <w:lang w:eastAsia="es-CO"/>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C853806" w14:textId="77777777" w:rsidR="00C774B1" w:rsidRPr="00A473F1" w:rsidRDefault="00C774B1" w:rsidP="00C774B1">
      <w:pPr>
        <w:spacing w:line="360" w:lineRule="auto"/>
        <w:jc w:val="both"/>
        <w:rPr>
          <w:rFonts w:ascii="Palatino Linotype" w:hAnsi="Palatino Linotype" w:cs="Arial"/>
          <w:lang w:eastAsia="es-CO"/>
        </w:rPr>
      </w:pPr>
    </w:p>
    <w:p w14:paraId="170C0E71" w14:textId="1B7F14F1" w:rsidR="00C774B1" w:rsidRPr="00A473F1" w:rsidRDefault="00C774B1" w:rsidP="00C774B1">
      <w:pPr>
        <w:spacing w:line="360" w:lineRule="auto"/>
        <w:jc w:val="both"/>
        <w:rPr>
          <w:rFonts w:ascii="Palatino Linotype" w:hAnsi="Palatino Linotype"/>
        </w:rPr>
      </w:pPr>
      <w:r w:rsidRPr="00A473F1">
        <w:rPr>
          <w:rFonts w:ascii="Palatino Linotype" w:hAnsi="Palatino Linotype" w:cs="Arial"/>
          <w:lang w:eastAsia="es-MX"/>
        </w:rPr>
        <w:t>Final</w:t>
      </w:r>
      <w:r w:rsidRPr="00A473F1">
        <w:rPr>
          <w:rFonts w:ascii="Palatino Linotype" w:hAnsi="Palatino Linotype"/>
        </w:rPr>
        <w:t xml:space="preserve">mente, y en mérito de lo expuesto en líneas anteriores, resultan fundados los motivos de inconformidad vertidos por </w:t>
      </w:r>
      <w:r w:rsidRPr="00A473F1">
        <w:rPr>
          <w:rFonts w:ascii="Palatino Linotype" w:hAnsi="Palatino Linotype"/>
          <w:b/>
        </w:rPr>
        <w:t>El Recurrente</w:t>
      </w:r>
      <w:r w:rsidRPr="00A473F1">
        <w:rPr>
          <w:rFonts w:ascii="Palatino Linotype" w:hAnsi="Palatino Linotype"/>
        </w:rPr>
        <w:t xml:space="preserve">, por ello con fundamento en la </w:t>
      </w:r>
      <w:r w:rsidRPr="00A473F1">
        <w:rPr>
          <w:rFonts w:ascii="Palatino Linotype" w:hAnsi="Palatino Linotype"/>
          <w:i/>
        </w:rPr>
        <w:t>primera hipótesis</w:t>
      </w:r>
      <w:r w:rsidRPr="00A473F1">
        <w:rPr>
          <w:rFonts w:ascii="Palatino Linotype" w:hAnsi="Palatino Linotype"/>
        </w:rPr>
        <w:t xml:space="preserve"> del artículo 186, fracción III, de la Ley de Transparencia y Acceso a la Información Pública del Estado de México y Municipios, se </w:t>
      </w:r>
      <w:r w:rsidRPr="00A473F1">
        <w:rPr>
          <w:rFonts w:ascii="Palatino Linotype" w:hAnsi="Palatino Linotype"/>
          <w:b/>
        </w:rPr>
        <w:t xml:space="preserve">REVOCA </w:t>
      </w:r>
      <w:r w:rsidRPr="00A473F1">
        <w:rPr>
          <w:rFonts w:ascii="Palatino Linotype" w:hAnsi="Palatino Linotype"/>
        </w:rPr>
        <w:t xml:space="preserve">la respuesta a la solicitud de información </w:t>
      </w:r>
      <w:r w:rsidRPr="00A473F1">
        <w:rPr>
          <w:rFonts w:ascii="Palatino Linotype" w:hAnsi="Palatino Linotype" w:cs="Arial"/>
          <w:b/>
        </w:rPr>
        <w:t>00175/OASCUATIZC/IP/2023</w:t>
      </w:r>
      <w:r w:rsidRPr="00A473F1">
        <w:rPr>
          <w:rFonts w:ascii="Palatino Linotype" w:hAnsi="Palatino Linotype" w:cs="Arial"/>
        </w:rPr>
        <w:t xml:space="preserve">, </w:t>
      </w:r>
      <w:r w:rsidRPr="00A473F1">
        <w:rPr>
          <w:rFonts w:ascii="Palatino Linotype" w:hAnsi="Palatino Linotype"/>
        </w:rPr>
        <w:t>que ha sido materia del presente fallo.</w:t>
      </w:r>
    </w:p>
    <w:p w14:paraId="4492B262" w14:textId="77777777" w:rsidR="00C774B1" w:rsidRPr="00A473F1" w:rsidRDefault="00C774B1" w:rsidP="00C774B1">
      <w:pPr>
        <w:spacing w:line="360" w:lineRule="auto"/>
        <w:jc w:val="both"/>
        <w:rPr>
          <w:rFonts w:ascii="Palatino Linotype" w:hAnsi="Palatino Linotype"/>
        </w:rPr>
      </w:pPr>
    </w:p>
    <w:p w14:paraId="4AD22F52" w14:textId="77777777" w:rsidR="00C774B1" w:rsidRPr="00A473F1" w:rsidRDefault="00C774B1" w:rsidP="00C774B1">
      <w:pPr>
        <w:spacing w:line="360" w:lineRule="auto"/>
        <w:jc w:val="both"/>
        <w:rPr>
          <w:rFonts w:ascii="Palatino Linotype" w:hAnsi="Palatino Linotype"/>
        </w:rPr>
      </w:pPr>
      <w:r w:rsidRPr="00A473F1">
        <w:rPr>
          <w:rFonts w:ascii="Palatino Linotype" w:hAnsi="Palatino Linotype"/>
        </w:rPr>
        <w:t xml:space="preserve">Por lo antes expuesto y fundado. </w:t>
      </w:r>
    </w:p>
    <w:p w14:paraId="7C6E2ED5" w14:textId="77777777" w:rsidR="00C774B1" w:rsidRPr="00A473F1" w:rsidRDefault="00C774B1" w:rsidP="00C774B1">
      <w:pPr>
        <w:spacing w:line="360" w:lineRule="auto"/>
        <w:jc w:val="both"/>
        <w:rPr>
          <w:rFonts w:ascii="Palatino Linotype" w:hAnsi="Palatino Linotype"/>
        </w:rPr>
      </w:pPr>
    </w:p>
    <w:p w14:paraId="427EB1C1" w14:textId="77777777" w:rsidR="00DC005C" w:rsidRPr="00A473F1" w:rsidRDefault="00DC005C" w:rsidP="00C774B1">
      <w:pPr>
        <w:spacing w:line="360" w:lineRule="auto"/>
        <w:jc w:val="both"/>
        <w:rPr>
          <w:rFonts w:ascii="Palatino Linotype" w:hAnsi="Palatino Linotype"/>
        </w:rPr>
      </w:pPr>
    </w:p>
    <w:p w14:paraId="11761714" w14:textId="77777777" w:rsidR="00DC005C" w:rsidRPr="00A473F1" w:rsidRDefault="00DC005C" w:rsidP="00C774B1">
      <w:pPr>
        <w:spacing w:line="360" w:lineRule="auto"/>
        <w:jc w:val="both"/>
        <w:rPr>
          <w:rFonts w:ascii="Palatino Linotype" w:hAnsi="Palatino Linotype"/>
        </w:rPr>
      </w:pPr>
    </w:p>
    <w:p w14:paraId="2A079D9D" w14:textId="77777777" w:rsidR="00C774B1" w:rsidRPr="00A473F1" w:rsidRDefault="00C774B1" w:rsidP="00C774B1">
      <w:pPr>
        <w:spacing w:line="360" w:lineRule="auto"/>
        <w:jc w:val="center"/>
        <w:rPr>
          <w:rFonts w:ascii="Palatino Linotype" w:hAnsi="Palatino Linotype"/>
          <w:b/>
          <w:bCs/>
          <w:spacing w:val="60"/>
          <w:sz w:val="28"/>
          <w:lang w:val="es-ES_tradnl"/>
        </w:rPr>
      </w:pPr>
      <w:r w:rsidRPr="00A473F1">
        <w:rPr>
          <w:rFonts w:ascii="Palatino Linotype" w:hAnsi="Palatino Linotype"/>
          <w:b/>
          <w:bCs/>
          <w:spacing w:val="60"/>
          <w:sz w:val="28"/>
          <w:lang w:val="es-ES_tradnl"/>
        </w:rPr>
        <w:lastRenderedPageBreak/>
        <w:t>SE    RESUELVE</w:t>
      </w:r>
    </w:p>
    <w:p w14:paraId="013649CF" w14:textId="77777777" w:rsidR="00C774B1" w:rsidRPr="00A473F1" w:rsidRDefault="00C774B1" w:rsidP="00C774B1">
      <w:pPr>
        <w:rPr>
          <w:rFonts w:ascii="Palatino Linotype" w:hAnsi="Palatino Linotype"/>
          <w:lang w:val="es-ES_tradnl"/>
        </w:rPr>
      </w:pPr>
    </w:p>
    <w:p w14:paraId="1ABA3F67" w14:textId="476BBF07" w:rsidR="00C774B1" w:rsidRPr="00A473F1" w:rsidRDefault="00C774B1" w:rsidP="00C774B1">
      <w:pPr>
        <w:autoSpaceDE w:val="0"/>
        <w:autoSpaceDN w:val="0"/>
        <w:adjustRightInd w:val="0"/>
        <w:spacing w:line="360" w:lineRule="auto"/>
        <w:ind w:right="49"/>
        <w:jc w:val="both"/>
        <w:rPr>
          <w:rFonts w:ascii="Palatino Linotype" w:hAnsi="Palatino Linotype" w:cs="Arial"/>
        </w:rPr>
      </w:pPr>
      <w:r w:rsidRPr="00A473F1">
        <w:rPr>
          <w:rFonts w:ascii="Palatino Linotype" w:hAnsi="Palatino Linotype" w:cs="Arial"/>
          <w:b/>
          <w:sz w:val="28"/>
          <w:szCs w:val="28"/>
          <w:lang w:val="es-ES_tradnl"/>
        </w:rPr>
        <w:t>PRIMERO.</w:t>
      </w:r>
      <w:r w:rsidRPr="00A473F1">
        <w:rPr>
          <w:rFonts w:ascii="Palatino Linotype" w:hAnsi="Palatino Linotype" w:cs="Arial"/>
          <w:lang w:val="es-ES_tradnl"/>
        </w:rPr>
        <w:t xml:space="preserve"> </w:t>
      </w:r>
      <w:r w:rsidRPr="00A473F1">
        <w:rPr>
          <w:rFonts w:ascii="Palatino Linotype" w:hAnsi="Palatino Linotype" w:cs="Arial"/>
        </w:rPr>
        <w:t>Se</w:t>
      </w:r>
      <w:r w:rsidRPr="00A473F1">
        <w:rPr>
          <w:rFonts w:ascii="Palatino Linotype" w:hAnsi="Palatino Linotype" w:cs="Arial"/>
          <w:b/>
        </w:rPr>
        <w:t xml:space="preserve"> REVOCA </w:t>
      </w:r>
      <w:r w:rsidRPr="00A473F1">
        <w:rPr>
          <w:rFonts w:ascii="Palatino Linotype" w:eastAsia="Arial Unicode MS" w:hAnsi="Palatino Linotype" w:cs="Arial"/>
        </w:rPr>
        <w:t xml:space="preserve">la respuesta entregada por </w:t>
      </w:r>
      <w:r w:rsidRPr="00A473F1">
        <w:rPr>
          <w:rFonts w:ascii="Palatino Linotype" w:eastAsia="Arial Unicode MS" w:hAnsi="Palatino Linotype" w:cs="Arial"/>
          <w:b/>
        </w:rPr>
        <w:t xml:space="preserve">El Sujeto Obligado </w:t>
      </w:r>
      <w:r w:rsidRPr="00A473F1">
        <w:rPr>
          <w:rFonts w:ascii="Palatino Linotype" w:eastAsia="Arial Unicode MS" w:hAnsi="Palatino Linotype" w:cs="Arial"/>
        </w:rPr>
        <w:t xml:space="preserve">a la solicitud de información número </w:t>
      </w:r>
      <w:r w:rsidRPr="00A473F1">
        <w:rPr>
          <w:rFonts w:ascii="Palatino Linotype" w:hAnsi="Palatino Linotype" w:cs="Arial"/>
          <w:b/>
        </w:rPr>
        <w:t>00175/OASCUATIZC/IP/2023</w:t>
      </w:r>
      <w:r w:rsidRPr="00A473F1">
        <w:rPr>
          <w:rFonts w:ascii="Palatino Linotype" w:hAnsi="Palatino Linotype" w:cs="Arial"/>
        </w:rPr>
        <w:t>, por resultar fundados los motivos de inconformidad vertidos por el</w:t>
      </w:r>
      <w:r w:rsidRPr="00A473F1">
        <w:rPr>
          <w:rFonts w:ascii="Palatino Linotype" w:hAnsi="Palatino Linotype" w:cs="Arial"/>
          <w:b/>
        </w:rPr>
        <w:t xml:space="preserve"> Recurrente</w:t>
      </w:r>
      <w:r w:rsidRPr="00A473F1">
        <w:rPr>
          <w:rFonts w:ascii="Palatino Linotype" w:hAnsi="Palatino Linotype" w:cs="Arial"/>
        </w:rPr>
        <w:t xml:space="preserve">, en términos del Considerando </w:t>
      </w:r>
      <w:r w:rsidRPr="00A473F1">
        <w:rPr>
          <w:rFonts w:ascii="Palatino Linotype" w:hAnsi="Palatino Linotype" w:cs="Arial"/>
          <w:b/>
        </w:rPr>
        <w:t>CUARTO</w:t>
      </w:r>
      <w:r w:rsidRPr="00A473F1">
        <w:rPr>
          <w:rFonts w:ascii="Palatino Linotype" w:hAnsi="Palatino Linotype" w:cs="Arial"/>
        </w:rPr>
        <w:t xml:space="preserve"> de esta resolución.</w:t>
      </w:r>
    </w:p>
    <w:p w14:paraId="7A600532" w14:textId="77777777" w:rsidR="00DC005C" w:rsidRPr="00A473F1" w:rsidRDefault="00DC005C" w:rsidP="00C774B1">
      <w:pPr>
        <w:autoSpaceDE w:val="0"/>
        <w:autoSpaceDN w:val="0"/>
        <w:adjustRightInd w:val="0"/>
        <w:spacing w:line="360" w:lineRule="auto"/>
        <w:ind w:right="49"/>
        <w:jc w:val="both"/>
        <w:rPr>
          <w:rFonts w:ascii="Palatino Linotype" w:hAnsi="Palatino Linotype" w:cs="Arial"/>
        </w:rPr>
      </w:pPr>
    </w:p>
    <w:p w14:paraId="4FBB1C0E" w14:textId="77777777" w:rsidR="00C774B1" w:rsidRPr="00A473F1" w:rsidRDefault="00C774B1" w:rsidP="00C774B1">
      <w:pPr>
        <w:spacing w:line="360" w:lineRule="auto"/>
        <w:jc w:val="both"/>
        <w:rPr>
          <w:rFonts w:ascii="Palatino Linotype" w:hAnsi="Palatino Linotype" w:cs="Arial"/>
        </w:rPr>
      </w:pPr>
      <w:r w:rsidRPr="00A473F1">
        <w:rPr>
          <w:rFonts w:ascii="Palatino Linotype" w:hAnsi="Palatino Linotype" w:cs="Arial"/>
          <w:b/>
          <w:sz w:val="28"/>
          <w:szCs w:val="28"/>
        </w:rPr>
        <w:t>SEGUNDO.</w:t>
      </w:r>
      <w:r w:rsidRPr="00A473F1">
        <w:rPr>
          <w:rFonts w:ascii="Palatino Linotype" w:hAnsi="Palatino Linotype" w:cs="Arial"/>
        </w:rPr>
        <w:t xml:space="preserve"> Se </w:t>
      </w:r>
      <w:r w:rsidRPr="00A473F1">
        <w:rPr>
          <w:rFonts w:ascii="Palatino Linotype" w:hAnsi="Palatino Linotype" w:cs="Arial"/>
          <w:b/>
        </w:rPr>
        <w:t>ORDENA</w:t>
      </w:r>
      <w:r w:rsidRPr="00A473F1">
        <w:rPr>
          <w:rFonts w:ascii="Palatino Linotype" w:hAnsi="Palatino Linotype" w:cs="Arial"/>
        </w:rPr>
        <w:t xml:space="preserve"> al </w:t>
      </w:r>
      <w:r w:rsidRPr="00A473F1">
        <w:rPr>
          <w:rFonts w:ascii="Palatino Linotype" w:hAnsi="Palatino Linotype" w:cs="Arial"/>
          <w:b/>
        </w:rPr>
        <w:t>Sujeto Obligado</w:t>
      </w:r>
      <w:r w:rsidRPr="00A473F1">
        <w:rPr>
          <w:rFonts w:ascii="Palatino Linotype" w:hAnsi="Palatino Linotype" w:cs="Arial"/>
        </w:rPr>
        <w:t xml:space="preserve"> haga entrega al </w:t>
      </w:r>
      <w:r w:rsidRPr="00A473F1">
        <w:rPr>
          <w:rFonts w:ascii="Palatino Linotype" w:hAnsi="Palatino Linotype" w:cs="Arial"/>
          <w:b/>
        </w:rPr>
        <w:t xml:space="preserve">Recurrente </w:t>
      </w:r>
      <w:r w:rsidRPr="00A473F1">
        <w:rPr>
          <w:rFonts w:ascii="Palatino Linotype" w:hAnsi="Palatino Linotype" w:cs="Arial"/>
        </w:rPr>
        <w:t xml:space="preserve">en términos del Considerando </w:t>
      </w:r>
      <w:r w:rsidRPr="00A473F1">
        <w:rPr>
          <w:rFonts w:ascii="Palatino Linotype" w:hAnsi="Palatino Linotype" w:cs="Arial"/>
          <w:b/>
        </w:rPr>
        <w:t xml:space="preserve">CUARTO </w:t>
      </w:r>
      <w:r w:rsidRPr="00A473F1">
        <w:rPr>
          <w:rFonts w:ascii="Palatino Linotype" w:hAnsi="Palatino Linotype" w:cs="Arial"/>
        </w:rPr>
        <w:t>de esta resolución, a través del</w:t>
      </w:r>
      <w:r w:rsidRPr="00A473F1">
        <w:rPr>
          <w:rFonts w:ascii="Palatino Linotype" w:hAnsi="Palatino Linotype" w:cs="Arial"/>
          <w:b/>
        </w:rPr>
        <w:t xml:space="preserve"> </w:t>
      </w:r>
      <w:r w:rsidRPr="00A473F1">
        <w:rPr>
          <w:rFonts w:ascii="Palatino Linotype" w:hAnsi="Palatino Linotype" w:cs="Arial"/>
        </w:rPr>
        <w:t xml:space="preserve">Sistema de Acceso a la Información Mexiquense </w:t>
      </w:r>
      <w:r w:rsidRPr="00A473F1">
        <w:rPr>
          <w:rFonts w:ascii="Palatino Linotype" w:hAnsi="Palatino Linotype" w:cs="Arial"/>
          <w:b/>
        </w:rPr>
        <w:t>(SAIMEX)</w:t>
      </w:r>
      <w:r w:rsidRPr="00A473F1">
        <w:rPr>
          <w:rFonts w:ascii="Palatino Linotype" w:hAnsi="Palatino Linotype" w:cs="Arial"/>
        </w:rPr>
        <w:t>, de ser procedente en versión pública, de lo siguiente:</w:t>
      </w:r>
    </w:p>
    <w:p w14:paraId="47B22C32" w14:textId="77777777" w:rsidR="00C774B1" w:rsidRPr="00A473F1" w:rsidRDefault="00C774B1" w:rsidP="00C774B1">
      <w:pPr>
        <w:spacing w:line="360" w:lineRule="auto"/>
        <w:jc w:val="both"/>
        <w:rPr>
          <w:rFonts w:ascii="Palatino Linotype" w:hAnsi="Palatino Linotype" w:cs="Arial"/>
        </w:rPr>
      </w:pPr>
    </w:p>
    <w:p w14:paraId="666B29BD" w14:textId="77777777" w:rsidR="00C774B1" w:rsidRPr="00A473F1" w:rsidRDefault="00C774B1" w:rsidP="00C774B1">
      <w:pPr>
        <w:pStyle w:val="Prrafodelista"/>
        <w:numPr>
          <w:ilvl w:val="0"/>
          <w:numId w:val="25"/>
        </w:numPr>
        <w:spacing w:line="360" w:lineRule="auto"/>
        <w:jc w:val="both"/>
        <w:rPr>
          <w:rFonts w:ascii="Palatino Linotype" w:hAnsi="Palatino Linotype" w:cs="Arial"/>
        </w:rPr>
      </w:pPr>
      <w:r w:rsidRPr="00A473F1">
        <w:rPr>
          <w:rFonts w:ascii="Palatino Linotype" w:eastAsia="Calibri" w:hAnsi="Palatino Linotype"/>
          <w:lang w:val="es-MX" w:eastAsia="es-MX"/>
        </w:rPr>
        <w:t xml:space="preserve">Todos los documentos firmados y recibidos con sus respectivos anexos, por parte del Director de Comercialización, de sus subdirectores y jefes de departamento, conforme al Reglamento Interno de dicho Organismo, del periodo comprendido del uno de enero de dos mil veintidós al  treinta de agosto de dos mil veintitrés. </w:t>
      </w:r>
    </w:p>
    <w:p w14:paraId="580AD6E4" w14:textId="77777777" w:rsidR="00C774B1" w:rsidRPr="00A473F1" w:rsidRDefault="00C774B1" w:rsidP="00C774B1">
      <w:pPr>
        <w:pStyle w:val="Sinespaciado"/>
      </w:pPr>
    </w:p>
    <w:p w14:paraId="67217E3D" w14:textId="77777777" w:rsidR="00D76AF3" w:rsidRPr="00A473F1" w:rsidRDefault="00C774B1" w:rsidP="00D76AF3">
      <w:pPr>
        <w:jc w:val="both"/>
        <w:rPr>
          <w:rFonts w:ascii="Palatino Linotype" w:hAnsi="Palatino Linotype"/>
          <w:i/>
          <w:sz w:val="22"/>
        </w:rPr>
      </w:pPr>
      <w:r w:rsidRPr="00A473F1">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A473F1">
        <w:rPr>
          <w:rFonts w:ascii="Palatino Linotype" w:hAnsi="Palatino Linotype"/>
          <w:b/>
          <w:i/>
          <w:sz w:val="22"/>
        </w:rPr>
        <w:t>Recurrente</w:t>
      </w:r>
      <w:r w:rsidRPr="00A473F1">
        <w:rPr>
          <w:rFonts w:ascii="Palatino Linotype" w:hAnsi="Palatino Linotype"/>
          <w:i/>
          <w:sz w:val="22"/>
        </w:rPr>
        <w:t>.</w:t>
      </w:r>
    </w:p>
    <w:p w14:paraId="6DB66726" w14:textId="77777777" w:rsidR="00D76AF3" w:rsidRPr="00A473F1" w:rsidRDefault="00D76AF3" w:rsidP="00D76AF3">
      <w:pPr>
        <w:jc w:val="both"/>
        <w:rPr>
          <w:rFonts w:ascii="Palatino Linotype" w:hAnsi="Palatino Linotype"/>
          <w:i/>
          <w:sz w:val="22"/>
        </w:rPr>
      </w:pPr>
    </w:p>
    <w:p w14:paraId="17A27BFC" w14:textId="77777777" w:rsidR="00345645" w:rsidRPr="00A473F1" w:rsidRDefault="00D76AF3" w:rsidP="00D76AF3">
      <w:pPr>
        <w:jc w:val="both"/>
        <w:rPr>
          <w:rFonts w:ascii="Palatino Linotype" w:hAnsi="Palatino Linotype" w:cs="Arial"/>
          <w:i/>
          <w:sz w:val="22"/>
        </w:rPr>
      </w:pPr>
      <w:r w:rsidRPr="00A473F1">
        <w:rPr>
          <w:rFonts w:ascii="Palatino Linotype" w:hAnsi="Palatino Linotype" w:cs="Arial"/>
          <w:i/>
          <w:sz w:val="22"/>
        </w:rPr>
        <w:t xml:space="preserve">Para el caso de la información que alguno de los oficios que se ordena su entrega haya sido cancelado dentro del plazo solicitado, o no se haya recibido oficio alguno en algún día del plazo que se ordena, o no </w:t>
      </w:r>
      <w:r w:rsidRPr="00A473F1">
        <w:rPr>
          <w:rFonts w:ascii="Palatino Linotype" w:hAnsi="Palatino Linotype" w:cs="Arial"/>
          <w:i/>
          <w:sz w:val="22"/>
        </w:rPr>
        <w:lastRenderedPageBreak/>
        <w:t xml:space="preserve">se hubiera generado, bastará que así se lo haga saber el </w:t>
      </w:r>
      <w:r w:rsidRPr="00A473F1">
        <w:rPr>
          <w:rFonts w:ascii="Palatino Linotype" w:hAnsi="Palatino Linotype" w:cs="Arial"/>
          <w:b/>
          <w:i/>
          <w:sz w:val="22"/>
        </w:rPr>
        <w:t>Sujeto Obligado</w:t>
      </w:r>
      <w:r w:rsidRPr="00A473F1">
        <w:rPr>
          <w:rFonts w:ascii="Palatino Linotype" w:hAnsi="Palatino Linotype" w:cs="Arial"/>
          <w:i/>
          <w:sz w:val="22"/>
        </w:rPr>
        <w:t xml:space="preserve"> a la parte </w:t>
      </w:r>
      <w:r w:rsidRPr="00A473F1">
        <w:rPr>
          <w:rFonts w:ascii="Palatino Linotype" w:hAnsi="Palatino Linotype" w:cs="Arial"/>
          <w:b/>
          <w:i/>
          <w:sz w:val="22"/>
        </w:rPr>
        <w:t xml:space="preserve">Recurrente </w:t>
      </w:r>
      <w:r w:rsidRPr="00A473F1">
        <w:rPr>
          <w:rFonts w:ascii="Palatino Linotype" w:hAnsi="Palatino Linotype" w:cs="Arial"/>
          <w:i/>
          <w:sz w:val="22"/>
        </w:rPr>
        <w:t>de manera fundada y motivada en términos de lo señalado por el segundo párrafo del artículo 19 de la Ley en la materia.</w:t>
      </w:r>
    </w:p>
    <w:p w14:paraId="50B45270" w14:textId="77777777" w:rsidR="00DC005C" w:rsidRPr="00A473F1" w:rsidRDefault="00DC005C" w:rsidP="00D76AF3">
      <w:pPr>
        <w:jc w:val="both"/>
        <w:rPr>
          <w:rFonts w:ascii="Palatino Linotype" w:hAnsi="Palatino Linotype" w:cs="Arial"/>
          <w:i/>
        </w:rPr>
      </w:pPr>
    </w:p>
    <w:p w14:paraId="66D784BC" w14:textId="77777777" w:rsidR="00C774B1" w:rsidRPr="00A473F1" w:rsidRDefault="00C774B1" w:rsidP="00C774B1">
      <w:pPr>
        <w:autoSpaceDE w:val="0"/>
        <w:autoSpaceDN w:val="0"/>
        <w:adjustRightInd w:val="0"/>
        <w:spacing w:line="360" w:lineRule="auto"/>
        <w:ind w:right="49"/>
        <w:jc w:val="both"/>
        <w:rPr>
          <w:rFonts w:ascii="Palatino Linotype" w:hAnsi="Palatino Linotype" w:cs="Arial"/>
          <w:szCs w:val="28"/>
          <w:lang w:val="es-ES_tradnl"/>
        </w:rPr>
      </w:pPr>
      <w:r w:rsidRPr="00A473F1">
        <w:rPr>
          <w:rFonts w:ascii="Palatino Linotype" w:hAnsi="Palatino Linotype" w:cs="Arial"/>
          <w:b/>
          <w:sz w:val="28"/>
          <w:szCs w:val="28"/>
          <w:lang w:val="es-ES_tradnl"/>
        </w:rPr>
        <w:t xml:space="preserve">TERCERO. </w:t>
      </w:r>
      <w:r w:rsidRPr="00A473F1">
        <w:rPr>
          <w:rFonts w:ascii="Palatino Linotype" w:hAnsi="Palatino Linotype" w:cs="Arial"/>
          <w:b/>
          <w:szCs w:val="28"/>
          <w:lang w:val="es-ES_tradnl"/>
        </w:rPr>
        <w:t xml:space="preserve">NOTIFÍQUESE </w:t>
      </w:r>
      <w:r w:rsidRPr="00A473F1">
        <w:rPr>
          <w:rFonts w:ascii="Palatino Linotype" w:hAnsi="Palatino Linotype" w:cs="Arial"/>
          <w:szCs w:val="28"/>
          <w:lang w:val="es-ES_tradnl"/>
        </w:rPr>
        <w:t xml:space="preserve">la presente resolución </w:t>
      </w:r>
      <w:r w:rsidRPr="00A473F1">
        <w:rPr>
          <w:rFonts w:ascii="Palatino Linotype" w:hAnsi="Palatino Linotype" w:cs="Arial"/>
        </w:rPr>
        <w:t xml:space="preserve">a través del Sistema de Acceso a la Información Mexiquense </w:t>
      </w:r>
      <w:r w:rsidRPr="00A473F1">
        <w:rPr>
          <w:rFonts w:ascii="Palatino Linotype" w:hAnsi="Palatino Linotype" w:cs="Arial"/>
          <w:b/>
        </w:rPr>
        <w:t>(SAIMEX)</w:t>
      </w:r>
      <w:r w:rsidRPr="00A473F1">
        <w:rPr>
          <w:rFonts w:ascii="Palatino Linotype" w:hAnsi="Palatino Linotype" w:cs="Arial"/>
          <w:szCs w:val="28"/>
          <w:lang w:val="es-ES_tradnl"/>
        </w:rPr>
        <w:t xml:space="preserve"> al Titular de la Unidad de Transparencia del </w:t>
      </w:r>
      <w:r w:rsidRPr="00A473F1">
        <w:rPr>
          <w:rFonts w:ascii="Palatino Linotype" w:hAnsi="Palatino Linotype" w:cs="Arial"/>
          <w:b/>
          <w:szCs w:val="28"/>
          <w:lang w:val="es-ES_tradnl"/>
        </w:rPr>
        <w:t>Sujeto Obligado</w:t>
      </w:r>
      <w:r w:rsidRPr="00A473F1">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50C18DB" w14:textId="77777777" w:rsidR="00C774B1" w:rsidRPr="00A473F1" w:rsidRDefault="00C774B1" w:rsidP="00C774B1">
      <w:pPr>
        <w:autoSpaceDE w:val="0"/>
        <w:autoSpaceDN w:val="0"/>
        <w:adjustRightInd w:val="0"/>
        <w:spacing w:line="360" w:lineRule="auto"/>
        <w:ind w:right="49"/>
        <w:jc w:val="both"/>
        <w:rPr>
          <w:rFonts w:ascii="Palatino Linotype" w:hAnsi="Palatino Linotype" w:cs="Arial"/>
          <w:szCs w:val="28"/>
          <w:lang w:val="es-ES_tradnl"/>
        </w:rPr>
      </w:pPr>
    </w:p>
    <w:p w14:paraId="6C226D5C" w14:textId="77777777" w:rsidR="00C774B1" w:rsidRPr="00A473F1" w:rsidRDefault="00C774B1" w:rsidP="00C774B1">
      <w:pPr>
        <w:spacing w:line="360" w:lineRule="auto"/>
        <w:jc w:val="both"/>
        <w:rPr>
          <w:rFonts w:ascii="Palatino Linotype" w:hAnsi="Palatino Linotype" w:cs="Arial"/>
          <w:bCs/>
          <w:szCs w:val="28"/>
        </w:rPr>
      </w:pPr>
      <w:r w:rsidRPr="00A473F1">
        <w:rPr>
          <w:rFonts w:ascii="Palatino Linotype" w:hAnsi="Palatino Linotype" w:cs="Arial"/>
          <w:b/>
          <w:bCs/>
          <w:sz w:val="28"/>
          <w:szCs w:val="28"/>
        </w:rPr>
        <w:t>CUARTO.</w:t>
      </w:r>
      <w:r w:rsidRPr="00A473F1">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A473F1">
        <w:rPr>
          <w:rFonts w:ascii="Palatino Linotype" w:hAnsi="Palatino Linotype" w:cs="Arial"/>
          <w:b/>
          <w:bCs/>
          <w:szCs w:val="28"/>
        </w:rPr>
        <w:t>Sujeto Obligado</w:t>
      </w:r>
      <w:r w:rsidRPr="00A473F1">
        <w:rPr>
          <w:rFonts w:ascii="Palatino Linotype" w:hAnsi="Palatino Linotype" w:cs="Arial"/>
          <w:bCs/>
          <w:szCs w:val="28"/>
        </w:rPr>
        <w:t xml:space="preserve"> de manera fundada y motivada, podrá solicitar una ampliación de plazo para el cumplimiento de la presente resolución.</w:t>
      </w:r>
    </w:p>
    <w:p w14:paraId="7FCA6086" w14:textId="77777777" w:rsidR="00C774B1" w:rsidRPr="00A473F1" w:rsidRDefault="00C774B1" w:rsidP="00C774B1">
      <w:pPr>
        <w:spacing w:line="360" w:lineRule="auto"/>
        <w:jc w:val="both"/>
        <w:rPr>
          <w:rFonts w:ascii="Palatino Linotype" w:hAnsi="Palatino Linotype" w:cs="Arial"/>
          <w:bCs/>
          <w:szCs w:val="28"/>
        </w:rPr>
      </w:pPr>
    </w:p>
    <w:p w14:paraId="628184A4" w14:textId="7F5015B6" w:rsidR="002D0B5C" w:rsidRPr="00A473F1" w:rsidRDefault="00C774B1" w:rsidP="00D76AF3">
      <w:pPr>
        <w:autoSpaceDE w:val="0"/>
        <w:autoSpaceDN w:val="0"/>
        <w:adjustRightInd w:val="0"/>
        <w:spacing w:line="360" w:lineRule="auto"/>
        <w:ind w:right="49"/>
        <w:jc w:val="both"/>
        <w:rPr>
          <w:rFonts w:ascii="Palatino Linotype" w:hAnsi="Palatino Linotype" w:cs="Arial"/>
        </w:rPr>
      </w:pPr>
      <w:r w:rsidRPr="00A473F1">
        <w:rPr>
          <w:rFonts w:ascii="Palatino Linotype" w:hAnsi="Palatino Linotype" w:cs="Arial"/>
          <w:b/>
          <w:sz w:val="28"/>
          <w:szCs w:val="28"/>
        </w:rPr>
        <w:t>QUINTO.</w:t>
      </w:r>
      <w:r w:rsidRPr="00A473F1">
        <w:rPr>
          <w:rFonts w:ascii="Palatino Linotype" w:hAnsi="Palatino Linotype" w:cs="Arial"/>
          <w:b/>
        </w:rPr>
        <w:t xml:space="preserve"> NOTIFÍQUESE</w:t>
      </w:r>
      <w:r w:rsidRPr="00A473F1">
        <w:rPr>
          <w:rFonts w:ascii="Palatino Linotype" w:hAnsi="Palatino Linotype" w:cs="Arial"/>
        </w:rPr>
        <w:t xml:space="preserve"> al </w:t>
      </w:r>
      <w:r w:rsidRPr="00A473F1">
        <w:rPr>
          <w:rFonts w:ascii="Palatino Linotype" w:hAnsi="Palatino Linotype" w:cs="Arial"/>
          <w:b/>
        </w:rPr>
        <w:t>Recurrente</w:t>
      </w:r>
      <w:r w:rsidRPr="00A473F1">
        <w:rPr>
          <w:rFonts w:ascii="Palatino Linotype" w:hAnsi="Palatino Linotype" w:cs="Arial"/>
        </w:rPr>
        <w:t xml:space="preserve"> la presente resolución a través del Sistema de Acceso a la Información Mexiquense </w:t>
      </w:r>
      <w:r w:rsidRPr="00A473F1">
        <w:rPr>
          <w:rFonts w:ascii="Palatino Linotype" w:hAnsi="Palatino Linotype" w:cs="Arial"/>
          <w:b/>
        </w:rPr>
        <w:t>(SAIMEX),</w:t>
      </w:r>
      <w:r w:rsidRPr="00A473F1">
        <w:rPr>
          <w:rFonts w:ascii="Palatino Linotype" w:hAnsi="Palatino Linotype" w:cs="Arial"/>
        </w:rPr>
        <w:t xml:space="preserve"> y hágase de su conocimiento que en caso de considerar que le causa algún perjuicio, podrá promover el Juicio de </w:t>
      </w:r>
      <w:r w:rsidRPr="00A473F1">
        <w:rPr>
          <w:rFonts w:ascii="Palatino Linotype" w:hAnsi="Palatino Linotype" w:cs="Arial"/>
        </w:rPr>
        <w:lastRenderedPageBreak/>
        <w:t>Amparo en los términos de las leyes aplicables, de acuerdo a lo estipulado por el artículo 196, de la Ley de Transparencia y Acceso a la Información Pública del Estado de México y Municipios.</w:t>
      </w:r>
    </w:p>
    <w:p w14:paraId="3E5DDB68" w14:textId="77777777" w:rsidR="00D76AF3" w:rsidRPr="00A473F1" w:rsidRDefault="00D76AF3" w:rsidP="00D76AF3">
      <w:pPr>
        <w:autoSpaceDE w:val="0"/>
        <w:autoSpaceDN w:val="0"/>
        <w:adjustRightInd w:val="0"/>
        <w:spacing w:line="360" w:lineRule="auto"/>
        <w:ind w:right="49"/>
        <w:jc w:val="both"/>
        <w:rPr>
          <w:rFonts w:ascii="Palatino Linotype" w:hAnsi="Palatino Linotype" w:cs="Arial"/>
        </w:rPr>
      </w:pPr>
    </w:p>
    <w:p w14:paraId="5C97B7BD" w14:textId="77703925" w:rsidR="0029071C" w:rsidRPr="00A473F1" w:rsidRDefault="0029071C" w:rsidP="00D01A63">
      <w:pPr>
        <w:spacing w:line="360" w:lineRule="auto"/>
        <w:jc w:val="both"/>
        <w:rPr>
          <w:rFonts w:ascii="Palatino Linotype" w:eastAsiaTheme="minorHAnsi" w:hAnsi="Palatino Linotype" w:cs="Arial"/>
          <w:lang w:val="es-MX" w:eastAsia="en-US"/>
        </w:rPr>
      </w:pPr>
      <w:r w:rsidRPr="00A473F1">
        <w:rPr>
          <w:rFonts w:ascii="Palatino Linotype" w:eastAsiaTheme="minorHAnsi" w:hAnsi="Palatino Linotype" w:cs="Arial"/>
          <w:lang w:val="es-MX" w:eastAsia="en-US"/>
        </w:rPr>
        <w:t>ASÍ LO RESUELVE, POR UNANIMIDAD DE VOTOS, EL PLENO DEL</w:t>
      </w:r>
      <w:r w:rsidRPr="00A473F1">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A473F1">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A473F1">
        <w:rPr>
          <w:rFonts w:ascii="Palatino Linotype" w:eastAsiaTheme="minorHAnsi" w:hAnsi="Palatino Linotype" w:cs="Arial"/>
          <w:lang w:val="es-MX" w:eastAsia="en-US"/>
        </w:rPr>
        <w:t xml:space="preserve">; </w:t>
      </w:r>
      <w:r w:rsidRPr="00A473F1">
        <w:rPr>
          <w:rFonts w:ascii="Palatino Linotype" w:eastAsiaTheme="minorHAnsi" w:hAnsi="Palatino Linotype" w:cs="Arial"/>
          <w:lang w:val="es-MX" w:eastAsia="en-US"/>
        </w:rPr>
        <w:t xml:space="preserve">LUIS GUSTAVO PARRA NORIEGA Y GUADALUPE RAMÍREZ PEÑA; EN LA </w:t>
      </w:r>
      <w:r w:rsidR="002D0B5C" w:rsidRPr="00A473F1">
        <w:rPr>
          <w:rFonts w:ascii="Palatino Linotype" w:eastAsiaTheme="minorHAnsi" w:hAnsi="Palatino Linotype" w:cs="Arial"/>
          <w:lang w:val="es-MX" w:eastAsia="en-US"/>
        </w:rPr>
        <w:t>CUART</w:t>
      </w:r>
      <w:r w:rsidR="00EB0964" w:rsidRPr="00A473F1">
        <w:rPr>
          <w:rFonts w:ascii="Palatino Linotype" w:eastAsiaTheme="minorHAnsi" w:hAnsi="Palatino Linotype" w:cs="Arial"/>
          <w:lang w:val="es-MX" w:eastAsia="en-US"/>
        </w:rPr>
        <w:t>A</w:t>
      </w:r>
      <w:r w:rsidR="00EC0798" w:rsidRPr="00A473F1">
        <w:rPr>
          <w:rFonts w:ascii="Palatino Linotype" w:eastAsiaTheme="minorHAnsi" w:hAnsi="Palatino Linotype" w:cs="Arial"/>
          <w:lang w:val="es-MX" w:eastAsia="en-US"/>
        </w:rPr>
        <w:t xml:space="preserve"> </w:t>
      </w:r>
      <w:r w:rsidR="00C753C2" w:rsidRPr="00A473F1">
        <w:rPr>
          <w:rFonts w:ascii="Palatino Linotype" w:eastAsiaTheme="minorHAnsi" w:hAnsi="Palatino Linotype" w:cs="Arial"/>
          <w:lang w:val="es-MX" w:eastAsia="en-US"/>
        </w:rPr>
        <w:t xml:space="preserve">SESIÓN ORDINARIA CELEBRADA EL </w:t>
      </w:r>
      <w:r w:rsidR="002D0B5C" w:rsidRPr="00A473F1">
        <w:rPr>
          <w:rFonts w:ascii="Palatino Linotype" w:hAnsi="Palatino Linotype" w:cs="Arial"/>
          <w:color w:val="000000"/>
          <w:lang w:val="es-MX" w:eastAsia="es-MX"/>
        </w:rPr>
        <w:t>OCHO DE FEBRERO</w:t>
      </w:r>
      <w:r w:rsidR="00D54B83" w:rsidRPr="00A473F1">
        <w:rPr>
          <w:rFonts w:ascii="Palatino Linotype" w:hAnsi="Palatino Linotype" w:cs="Arial"/>
          <w:color w:val="000000"/>
          <w:lang w:val="es-MX" w:eastAsia="es-MX"/>
        </w:rPr>
        <w:t xml:space="preserve"> </w:t>
      </w:r>
      <w:r w:rsidRPr="00A473F1">
        <w:rPr>
          <w:rFonts w:ascii="Palatino Linotype" w:hAnsi="Palatino Linotype" w:cs="Arial"/>
          <w:color w:val="000000"/>
          <w:lang w:val="es-MX" w:eastAsia="es-MX"/>
        </w:rPr>
        <w:t>DE</w:t>
      </w:r>
      <w:r w:rsidR="002D0B5C" w:rsidRPr="00A473F1">
        <w:rPr>
          <w:rFonts w:ascii="Palatino Linotype" w:eastAsiaTheme="minorHAnsi" w:hAnsi="Palatino Linotype" w:cs="Arial"/>
          <w:lang w:val="es-MX" w:eastAsia="en-US"/>
        </w:rPr>
        <w:t xml:space="preserve"> DOS MIL VEINTICUATRO</w:t>
      </w:r>
      <w:r w:rsidRPr="00A473F1">
        <w:rPr>
          <w:rFonts w:ascii="Palatino Linotype" w:eastAsiaTheme="minorHAnsi" w:hAnsi="Palatino Linotype" w:cs="Arial"/>
          <w:lang w:val="es-MX" w:eastAsia="en-US"/>
        </w:rPr>
        <w:t>, ANTE EL SECRETARIO TÉCNICO</w:t>
      </w:r>
      <w:r w:rsidR="00883F4B" w:rsidRPr="00A473F1">
        <w:rPr>
          <w:rFonts w:ascii="Palatino Linotype" w:eastAsiaTheme="minorHAnsi" w:hAnsi="Palatino Linotype" w:cs="Arial"/>
          <w:lang w:val="es-MX" w:eastAsia="en-US"/>
        </w:rPr>
        <w:t xml:space="preserve"> DEL PLENO</w:t>
      </w:r>
      <w:r w:rsidRPr="00A473F1">
        <w:rPr>
          <w:rFonts w:ascii="Palatino Linotype" w:eastAsiaTheme="minorHAnsi" w:hAnsi="Palatino Linotype" w:cs="Arial"/>
          <w:lang w:val="es-MX" w:eastAsia="en-US"/>
        </w:rPr>
        <w:t>, ALEXIS TAPIA RA</w:t>
      </w:r>
      <w:r w:rsidR="00054E04" w:rsidRPr="00A473F1">
        <w:rPr>
          <w:rFonts w:ascii="Palatino Linotype" w:eastAsiaTheme="minorHAnsi" w:hAnsi="Palatino Linotype" w:cs="Arial"/>
          <w:lang w:val="es-MX" w:eastAsia="en-US"/>
        </w:rPr>
        <w:t>MÍREZ.</w:t>
      </w:r>
      <w:r w:rsidR="00883F4B" w:rsidRPr="00A473F1">
        <w:rPr>
          <w:rFonts w:ascii="Palatino Linotype" w:eastAsiaTheme="minorHAnsi" w:hAnsi="Palatino Linotype" w:cs="Arial"/>
          <w:lang w:val="es-MX" w:eastAsia="en-US"/>
        </w:rPr>
        <w:t>---</w:t>
      </w:r>
      <w:r w:rsidR="00345645" w:rsidRPr="00A473F1">
        <w:rPr>
          <w:rFonts w:ascii="Palatino Linotype" w:eastAsiaTheme="minorHAnsi" w:hAnsi="Palatino Linotype" w:cs="Arial"/>
          <w:lang w:val="es-MX" w:eastAsia="en-US"/>
        </w:rPr>
        <w:t>------------------------------------------------------------------------------------------------</w:t>
      </w:r>
      <w:r w:rsidR="004118DD" w:rsidRPr="00A473F1">
        <w:rPr>
          <w:rFonts w:ascii="Palatino Linotype" w:eastAsiaTheme="minorHAnsi" w:hAnsi="Palatino Linotype" w:cs="Arial"/>
          <w:lang w:val="es-MX" w:eastAsia="en-US"/>
        </w:rPr>
        <w:t>------------------------------------------------------------------------------------------------------------------------------------------------------------------------------------------------------------------------------------------------------------------------------------------------------------------------------------------------------------------------------------------------------------------------------------------------------------------------------------------------------------------------------------------------------------------------------------------------------------------------------------------------------------------------------------------------------------------------------------------------------------------------------------------------------------------------------------------------------------------------------------------------------------------------------------------------------------------------------------------------------------------------------------------------------------------</w:t>
      </w:r>
    </w:p>
    <w:p w14:paraId="4370ADCB" w14:textId="77777777" w:rsidR="00054E04" w:rsidRPr="00054E04" w:rsidRDefault="00054E04" w:rsidP="00054E04">
      <w:pPr>
        <w:spacing w:line="360" w:lineRule="auto"/>
        <w:jc w:val="both"/>
        <w:rPr>
          <w:rFonts w:ascii="Palatino Linotype" w:eastAsiaTheme="minorHAnsi" w:hAnsi="Palatino Linotype" w:cs="Arial"/>
          <w:sz w:val="8"/>
          <w:lang w:val="es-MX" w:eastAsia="en-US"/>
        </w:rPr>
      </w:pPr>
      <w:r w:rsidRPr="00A473F1">
        <w:rPr>
          <w:rFonts w:ascii="Palatino Linotype" w:eastAsiaTheme="minorHAnsi" w:hAnsi="Palatino Linotype" w:cs="Arial"/>
          <w:sz w:val="14"/>
          <w:lang w:val="es-MX" w:eastAsia="en-US"/>
        </w:rPr>
        <w:t>JMV/CCR/jasm</w:t>
      </w:r>
      <w:bookmarkStart w:id="3" w:name="_GoBack"/>
      <w:bookmarkEnd w:id="3"/>
    </w:p>
    <w:p w14:paraId="54C8204F" w14:textId="77777777" w:rsidR="0029071C" w:rsidRDefault="0029071C" w:rsidP="003E56C9"/>
    <w:p w14:paraId="1C8C4F31" w14:textId="77777777" w:rsidR="0029071C" w:rsidRDefault="0029071C" w:rsidP="003E56C9"/>
    <w:p w14:paraId="4DC6D222" w14:textId="77777777" w:rsidR="0029071C" w:rsidRDefault="0029071C" w:rsidP="003E56C9"/>
    <w:p w14:paraId="5F783931" w14:textId="77777777" w:rsidR="0029071C" w:rsidRDefault="0029071C" w:rsidP="003E56C9"/>
    <w:p w14:paraId="2236FAA6" w14:textId="77777777" w:rsidR="0029071C" w:rsidRDefault="0029071C" w:rsidP="003E56C9"/>
    <w:p w14:paraId="323A70B9" w14:textId="77777777" w:rsidR="0029071C" w:rsidRDefault="0029071C" w:rsidP="003E56C9"/>
    <w:p w14:paraId="07032873" w14:textId="77777777" w:rsidR="0029071C" w:rsidRDefault="0029071C" w:rsidP="003E56C9"/>
    <w:p w14:paraId="1F3382F2" w14:textId="77777777" w:rsidR="0029071C" w:rsidRDefault="0029071C" w:rsidP="003E56C9"/>
    <w:p w14:paraId="1633361D" w14:textId="77777777" w:rsidR="0029071C" w:rsidRDefault="0029071C" w:rsidP="003E56C9"/>
    <w:p w14:paraId="45AFB2DA" w14:textId="77777777" w:rsidR="0029071C" w:rsidRDefault="0029071C" w:rsidP="003E56C9"/>
    <w:p w14:paraId="006D3781" w14:textId="77777777" w:rsidR="0029071C" w:rsidRDefault="0029071C" w:rsidP="003E56C9"/>
    <w:p w14:paraId="78F70F53" w14:textId="77777777" w:rsidR="0029071C" w:rsidRDefault="0029071C" w:rsidP="003E56C9"/>
    <w:p w14:paraId="3913DD96" w14:textId="77777777" w:rsidR="0029071C" w:rsidRDefault="0029071C" w:rsidP="003E56C9"/>
    <w:p w14:paraId="4A28A13A" w14:textId="77777777" w:rsidR="0029071C" w:rsidRDefault="0029071C" w:rsidP="003E56C9"/>
    <w:p w14:paraId="13BE10D4" w14:textId="77777777" w:rsidR="0029071C" w:rsidRDefault="0029071C" w:rsidP="003E56C9"/>
    <w:p w14:paraId="7D9857EC" w14:textId="77777777" w:rsidR="0029071C" w:rsidRDefault="0029071C" w:rsidP="003E56C9"/>
    <w:p w14:paraId="587200CE" w14:textId="77777777" w:rsidR="0029071C" w:rsidRDefault="0029071C" w:rsidP="003E56C9"/>
    <w:p w14:paraId="2895B348" w14:textId="77777777" w:rsidR="0029071C" w:rsidRDefault="0029071C" w:rsidP="003E56C9"/>
    <w:p w14:paraId="120B9FD6" w14:textId="77777777" w:rsidR="0029071C" w:rsidRDefault="0029071C" w:rsidP="003E56C9"/>
    <w:p w14:paraId="62FF7D94" w14:textId="77777777" w:rsidR="0029071C" w:rsidRDefault="0029071C" w:rsidP="003E56C9"/>
    <w:p w14:paraId="7E817060" w14:textId="77777777" w:rsidR="0029071C" w:rsidRDefault="0029071C" w:rsidP="003E56C9"/>
    <w:p w14:paraId="46C11C5E" w14:textId="77777777" w:rsidR="0029071C" w:rsidRDefault="0029071C" w:rsidP="003E56C9"/>
    <w:p w14:paraId="796A27F9" w14:textId="77777777" w:rsidR="0029071C" w:rsidRDefault="0029071C" w:rsidP="003E56C9"/>
    <w:p w14:paraId="788C75E3" w14:textId="77777777" w:rsidR="0029071C" w:rsidRDefault="0029071C" w:rsidP="003E56C9"/>
    <w:p w14:paraId="3F937E2D" w14:textId="77777777" w:rsidR="0029071C" w:rsidRDefault="0029071C" w:rsidP="003E56C9"/>
    <w:p w14:paraId="185C4FCE" w14:textId="77777777" w:rsidR="0029071C" w:rsidRDefault="0029071C" w:rsidP="003E56C9"/>
    <w:p w14:paraId="286E41F1" w14:textId="77777777" w:rsidR="0029071C" w:rsidRDefault="0029071C" w:rsidP="003E56C9"/>
    <w:p w14:paraId="28E4858E" w14:textId="77777777" w:rsidR="0029071C" w:rsidRDefault="0029071C" w:rsidP="003E56C9"/>
    <w:p w14:paraId="61E46B9B" w14:textId="77777777" w:rsidR="0029071C" w:rsidRDefault="0029071C" w:rsidP="003E56C9"/>
    <w:p w14:paraId="1300FD0B" w14:textId="77777777" w:rsidR="0029071C" w:rsidRDefault="0029071C" w:rsidP="003E56C9"/>
    <w:p w14:paraId="27F83968" w14:textId="77777777" w:rsidR="0029071C" w:rsidRDefault="0029071C" w:rsidP="003E56C9"/>
    <w:p w14:paraId="78BF1D46" w14:textId="77777777" w:rsidR="0029071C" w:rsidRDefault="0029071C" w:rsidP="003E56C9"/>
    <w:p w14:paraId="56D3061B" w14:textId="77777777" w:rsidR="0029071C" w:rsidRDefault="0029071C" w:rsidP="003E56C9"/>
    <w:p w14:paraId="789E276D" w14:textId="77777777" w:rsidR="0029071C" w:rsidRDefault="0029071C" w:rsidP="003E56C9"/>
    <w:p w14:paraId="665B76D5" w14:textId="064E09FF" w:rsidR="0029071C" w:rsidRPr="003E56C9" w:rsidRDefault="0029071C" w:rsidP="003E56C9"/>
    <w:sectPr w:rsidR="0029071C" w:rsidRPr="003E56C9" w:rsidSect="009D0916">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B6B30" w14:textId="77777777" w:rsidR="009D0916" w:rsidRDefault="009D0916" w:rsidP="000B5E25">
      <w:r>
        <w:separator/>
      </w:r>
    </w:p>
  </w:endnote>
  <w:endnote w:type="continuationSeparator" w:id="0">
    <w:p w14:paraId="0218D7CD" w14:textId="77777777" w:rsidR="009D0916" w:rsidRDefault="009D0916"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58D9E" w14:textId="77777777" w:rsidR="002D0B5C" w:rsidRPr="000D3AD4" w:rsidRDefault="002D0B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473F1">
      <w:rPr>
        <w:rFonts w:ascii="Palatino Linotype" w:hAnsi="Palatino Linotype" w:cs="Arial"/>
        <w:bCs/>
        <w:noProof/>
        <w:sz w:val="20"/>
        <w:szCs w:val="20"/>
      </w:rPr>
      <w:t>21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473F1">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E04F5" w14:textId="77777777" w:rsidR="002D0B5C" w:rsidRPr="000D3AD4" w:rsidRDefault="002D0B5C"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A473F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A473F1">
      <w:rPr>
        <w:rFonts w:ascii="Palatino Linotype" w:hAnsi="Palatino Linotype" w:cs="Arial"/>
        <w:bCs/>
        <w:noProof/>
        <w:sz w:val="20"/>
        <w:szCs w:val="20"/>
      </w:rPr>
      <w:t>35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6151E" w14:textId="77777777" w:rsidR="009D0916" w:rsidRDefault="009D0916" w:rsidP="000B5E25">
      <w:r>
        <w:separator/>
      </w:r>
    </w:p>
  </w:footnote>
  <w:footnote w:type="continuationSeparator" w:id="0">
    <w:p w14:paraId="1AFF54F0" w14:textId="77777777" w:rsidR="009D0916" w:rsidRDefault="009D0916" w:rsidP="000B5E25">
      <w:r>
        <w:continuationSeparator/>
      </w:r>
    </w:p>
  </w:footnote>
  <w:footnote w:id="1">
    <w:p w14:paraId="525A8F81" w14:textId="77777777" w:rsidR="002D0B5C" w:rsidRDefault="002D0B5C" w:rsidP="00DC3CEA">
      <w:pPr>
        <w:ind w:right="49"/>
        <w:jc w:val="both"/>
        <w:rPr>
          <w:rFonts w:ascii="Palatino Linotype" w:eastAsia="Calibri" w:hAnsi="Palatino Linotype"/>
          <w:b/>
          <w:bCs/>
          <w:i/>
          <w:sz w:val="16"/>
          <w:szCs w:val="22"/>
          <w:lang w:val="es-MX" w:eastAsia="es-MX"/>
        </w:rPr>
      </w:pPr>
      <w:r>
        <w:rPr>
          <w:rStyle w:val="Refdenotaalpie"/>
        </w:rPr>
        <w:footnoteRef/>
      </w:r>
      <w:r>
        <w:t xml:space="preserve"> </w:t>
      </w:r>
      <w:r>
        <w:rPr>
          <w:rFonts w:ascii="Palatino Linotype" w:eastAsia="Calibri" w:hAnsi="Palatino Linotype"/>
          <w:b/>
          <w:bCs/>
          <w:i/>
          <w:sz w:val="16"/>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77402E23" w14:textId="77777777" w:rsidR="002D0B5C" w:rsidRDefault="002D0B5C" w:rsidP="00DC3CEA">
      <w:pPr>
        <w:autoSpaceDE w:val="0"/>
        <w:autoSpaceDN w:val="0"/>
        <w:adjustRightInd w:val="0"/>
        <w:ind w:right="49"/>
        <w:jc w:val="both"/>
        <w:rPr>
          <w:rFonts w:ascii="Palatino Linotype" w:hAnsi="Palatino Linotype"/>
          <w:i/>
          <w:sz w:val="16"/>
          <w:szCs w:val="22"/>
        </w:rPr>
      </w:pPr>
    </w:p>
    <w:p w14:paraId="7436F297" w14:textId="77777777" w:rsidR="002D0B5C" w:rsidRDefault="002D0B5C" w:rsidP="00DC3CEA">
      <w:pPr>
        <w:autoSpaceDE w:val="0"/>
        <w:autoSpaceDN w:val="0"/>
        <w:adjustRightInd w:val="0"/>
        <w:ind w:right="49"/>
        <w:jc w:val="both"/>
        <w:rPr>
          <w:rFonts w:ascii="Palatino Linotype" w:hAnsi="Palatino Linotype" w:cs="Arial"/>
          <w:sz w:val="16"/>
          <w:szCs w:val="22"/>
        </w:rPr>
      </w:pPr>
      <w:r>
        <w:rPr>
          <w:rFonts w:ascii="Palatino Linotype" w:hAnsi="Palatino Linotype"/>
          <w:i/>
          <w:sz w:val="16"/>
          <w:szCs w:val="22"/>
        </w:rPr>
        <w:t>Del examen de compatibilidad de los artículos </w:t>
      </w:r>
      <w:hyperlink r:id="rId1" w:history="1">
        <w:r>
          <w:rPr>
            <w:rStyle w:val="Hipervnculo"/>
            <w:rFonts w:ascii="Palatino Linotype" w:eastAsia="Calibri" w:hAnsi="Palatino Linotype"/>
            <w:i/>
            <w:sz w:val="16"/>
            <w:szCs w:val="22"/>
          </w:rPr>
          <w:t>73 y 74 de la Ley de Amparo</w:t>
        </w:r>
      </w:hyperlink>
      <w:r>
        <w:rPr>
          <w:rFonts w:ascii="Palatino Linotype" w:hAnsi="Palatino Linotype"/>
          <w:i/>
          <w:sz w:val="16"/>
          <w:szCs w:val="22"/>
        </w:rPr>
        <w:t> con el artículo </w:t>
      </w:r>
      <w:hyperlink r:id="rId2" w:history="1">
        <w:r>
          <w:rPr>
            <w:rStyle w:val="Hipervnculo"/>
            <w:rFonts w:ascii="Palatino Linotype" w:eastAsia="Calibri" w:hAnsi="Palatino Linotype"/>
            <w:i/>
            <w:sz w:val="16"/>
            <w:szCs w:val="22"/>
          </w:rPr>
          <w:t>25.1 de la Convención Americana sobre Derechos Humanos</w:t>
        </w:r>
      </w:hyperlink>
      <w:r>
        <w:rPr>
          <w:rFonts w:ascii="Palatino Linotype" w:hAnsi="Palatino Linotype"/>
          <w:i/>
          <w:sz w:val="16"/>
          <w:szCs w:val="22"/>
        </w:rPr>
        <w:t> </w:t>
      </w:r>
      <w:r>
        <w:rPr>
          <w:rFonts w:ascii="Palatino Linotype" w:hAnsi="Palatino Linotype"/>
          <w:b/>
          <w:i/>
          <w:sz w:val="16"/>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hAnsi="Palatino Linotype"/>
          <w:i/>
          <w:sz w:val="16"/>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7B05910C" w14:textId="77777777" w:rsidR="002D0B5C" w:rsidRDefault="002D0B5C" w:rsidP="00DC3CEA">
      <w:pPr>
        <w:pStyle w:val="Textonotapie"/>
        <w:rPr>
          <w:lang w:val="es-MX"/>
        </w:rPr>
      </w:pPr>
    </w:p>
  </w:footnote>
  <w:footnote w:id="2">
    <w:p w14:paraId="297F65C8" w14:textId="77777777" w:rsidR="006D2F73" w:rsidRDefault="006D2F73" w:rsidP="006D2F73">
      <w:pPr>
        <w:pStyle w:val="Textonotapie"/>
        <w:jc w:val="both"/>
      </w:pPr>
      <w:r w:rsidRPr="00034B44">
        <w:rPr>
          <w:rStyle w:val="Refdenotaalpie"/>
          <w:rFonts w:ascii="Palatino Linotype" w:hAnsi="Palatino Linotype"/>
          <w:sz w:val="18"/>
        </w:rPr>
        <w:footnoteRef/>
      </w:r>
      <w:r w:rsidRPr="00034B44">
        <w:rPr>
          <w:rFonts w:ascii="Palatino Linotype" w:hAnsi="Palatino Linotype"/>
          <w:sz w:val="18"/>
        </w:rPr>
        <w:t xml:space="preserve"> Tribunales Colegiados de Circuito. Novena Epoca. Semanario Judicial de la Federación y su Gaceta. Tomo III, marzo de 1996. Pág 769. Consultado en http://sjf.scjn.gob.mx/sjfsist/Documentos/Tesis/203/203143.pdf  el viernes 16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E2422" w14:textId="77777777" w:rsidR="002D0B5C" w:rsidRDefault="00A473F1">
    <w:pPr>
      <w:pStyle w:val="Encabezado"/>
    </w:pPr>
    <w:r>
      <w:rPr>
        <w:noProof/>
        <w:lang w:val="es-MX" w:eastAsia="es-MX"/>
      </w:rPr>
      <w:pict w14:anchorId="7F80B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6"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087" w:type="dxa"/>
      <w:tblInd w:w="2127" w:type="dxa"/>
      <w:tblLayout w:type="fixed"/>
      <w:tblLook w:val="04A0" w:firstRow="1" w:lastRow="0" w:firstColumn="1" w:lastColumn="0" w:noHBand="0" w:noVBand="1"/>
    </w:tblPr>
    <w:tblGrid>
      <w:gridCol w:w="2835"/>
      <w:gridCol w:w="4252"/>
    </w:tblGrid>
    <w:tr w:rsidR="002D0B5C" w:rsidRPr="008F2CCC" w14:paraId="358E1A86" w14:textId="77777777" w:rsidTr="00EB0964">
      <w:tc>
        <w:tcPr>
          <w:tcW w:w="2835" w:type="dxa"/>
          <w:shd w:val="clear" w:color="auto" w:fill="auto"/>
          <w:vAlign w:val="center"/>
        </w:tcPr>
        <w:p w14:paraId="326CB3C8"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252" w:type="dxa"/>
          <w:shd w:val="clear" w:color="auto" w:fill="auto"/>
          <w:vAlign w:val="center"/>
        </w:tcPr>
        <w:p w14:paraId="0F39C02C" w14:textId="79565CF5" w:rsidR="002D0B5C" w:rsidRPr="0029071C" w:rsidRDefault="002D0B5C" w:rsidP="00D52DC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06605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2D0B5C" w:rsidRPr="008F2CCC" w14:paraId="6DF13D33" w14:textId="77777777" w:rsidTr="00EB0964">
      <w:trPr>
        <w:trHeight w:val="228"/>
      </w:trPr>
      <w:tc>
        <w:tcPr>
          <w:tcW w:w="2835" w:type="dxa"/>
          <w:shd w:val="clear" w:color="auto" w:fill="auto"/>
          <w:vAlign w:val="center"/>
        </w:tcPr>
        <w:p w14:paraId="279C458C"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252" w:type="dxa"/>
          <w:shd w:val="clear" w:color="auto" w:fill="auto"/>
          <w:vAlign w:val="center"/>
        </w:tcPr>
        <w:p w14:paraId="6C149DA9" w14:textId="45DA9D04" w:rsidR="002D0B5C" w:rsidRPr="0029071C" w:rsidRDefault="002D0B5C" w:rsidP="00EB0964">
          <w:pPr>
            <w:spacing w:line="276" w:lineRule="auto"/>
            <w:jc w:val="both"/>
            <w:rPr>
              <w:rFonts w:ascii="Palatino Linotype" w:hAnsi="Palatino Linotype"/>
              <w:sz w:val="22"/>
              <w:szCs w:val="22"/>
            </w:rPr>
          </w:pPr>
          <w:r w:rsidRPr="00EB0964">
            <w:rPr>
              <w:rFonts w:ascii="Palatino Linotype" w:hAnsi="Palatino Linotype"/>
              <w:sz w:val="22"/>
              <w:szCs w:val="22"/>
            </w:rPr>
            <w:t>Organismo Público Descentralizado Municipal para la Prestación de Los Servicios de Agua Potable Alcantarillado y Saneamiento de Cuautitlán Izcalli denominado OPERAGUA, O.P.D.M.</w:t>
          </w:r>
        </w:p>
      </w:tc>
    </w:tr>
    <w:tr w:rsidR="002D0B5C" w:rsidRPr="008F2CCC" w14:paraId="24722D81" w14:textId="77777777" w:rsidTr="00EB0964">
      <w:tc>
        <w:tcPr>
          <w:tcW w:w="2835" w:type="dxa"/>
          <w:shd w:val="clear" w:color="auto" w:fill="auto"/>
          <w:vAlign w:val="center"/>
        </w:tcPr>
        <w:p w14:paraId="5AC5C171"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252" w:type="dxa"/>
          <w:shd w:val="clear" w:color="auto" w:fill="auto"/>
          <w:vAlign w:val="center"/>
        </w:tcPr>
        <w:p w14:paraId="6F9AE5E3" w14:textId="77777777" w:rsidR="002D0B5C" w:rsidRPr="0029071C" w:rsidRDefault="002D0B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B48610A" w14:textId="77777777" w:rsidR="002D0B5C" w:rsidRPr="001779E0" w:rsidRDefault="00A473F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091FA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7" type="#_x0000_t75" style="position:absolute;margin-left:-85.25pt;margin-top:-167.9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96" w:type="dxa"/>
      <w:tblInd w:w="1418" w:type="dxa"/>
      <w:tblLayout w:type="fixed"/>
      <w:tblLook w:val="04A0" w:firstRow="1" w:lastRow="0" w:firstColumn="1" w:lastColumn="0" w:noHBand="0" w:noVBand="1"/>
    </w:tblPr>
    <w:tblGrid>
      <w:gridCol w:w="3118"/>
      <w:gridCol w:w="4678"/>
    </w:tblGrid>
    <w:tr w:rsidR="002D0B5C" w:rsidRPr="008F2CCC" w14:paraId="4EDB3920" w14:textId="77777777" w:rsidTr="00EB0964">
      <w:tc>
        <w:tcPr>
          <w:tcW w:w="3118" w:type="dxa"/>
          <w:shd w:val="clear" w:color="auto" w:fill="auto"/>
          <w:vAlign w:val="center"/>
        </w:tcPr>
        <w:p w14:paraId="19726A40"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678" w:type="dxa"/>
          <w:shd w:val="clear" w:color="auto" w:fill="auto"/>
          <w:vAlign w:val="center"/>
        </w:tcPr>
        <w:p w14:paraId="5562EAEC" w14:textId="5DEEE556" w:rsidR="002D0B5C" w:rsidRPr="0029071C" w:rsidRDefault="002D0B5C" w:rsidP="00D52DCB">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06605</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2D0B5C" w:rsidRPr="008F2CCC" w14:paraId="69CF5241" w14:textId="77777777" w:rsidTr="00EB0964">
      <w:tc>
        <w:tcPr>
          <w:tcW w:w="3118" w:type="dxa"/>
          <w:shd w:val="clear" w:color="auto" w:fill="auto"/>
          <w:vAlign w:val="center"/>
        </w:tcPr>
        <w:p w14:paraId="4B2B4EDA"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678" w:type="dxa"/>
          <w:shd w:val="clear" w:color="auto" w:fill="auto"/>
          <w:vAlign w:val="center"/>
        </w:tcPr>
        <w:p w14:paraId="577CCCF2" w14:textId="343D44FC" w:rsidR="002D0B5C" w:rsidRPr="006D30E6" w:rsidRDefault="000C5D7D"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w:t>
          </w:r>
        </w:p>
      </w:tc>
    </w:tr>
    <w:tr w:rsidR="002D0B5C" w:rsidRPr="008F2CCC" w14:paraId="0AD235EE" w14:textId="77777777" w:rsidTr="00EB0964">
      <w:trPr>
        <w:trHeight w:val="228"/>
      </w:trPr>
      <w:tc>
        <w:tcPr>
          <w:tcW w:w="3118" w:type="dxa"/>
          <w:shd w:val="clear" w:color="auto" w:fill="auto"/>
          <w:vAlign w:val="center"/>
        </w:tcPr>
        <w:p w14:paraId="5193687F"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678" w:type="dxa"/>
          <w:shd w:val="clear" w:color="auto" w:fill="auto"/>
          <w:vAlign w:val="center"/>
        </w:tcPr>
        <w:p w14:paraId="28E596AD" w14:textId="4B31D8B7" w:rsidR="002D0B5C" w:rsidRPr="0029071C" w:rsidRDefault="002D0B5C" w:rsidP="00EB0964">
          <w:pPr>
            <w:spacing w:line="276" w:lineRule="auto"/>
            <w:jc w:val="both"/>
            <w:rPr>
              <w:rFonts w:ascii="Palatino Linotype" w:hAnsi="Palatino Linotype"/>
              <w:sz w:val="22"/>
              <w:szCs w:val="22"/>
            </w:rPr>
          </w:pPr>
          <w:r w:rsidRPr="00EB0964">
            <w:rPr>
              <w:rFonts w:ascii="Palatino Linotype" w:hAnsi="Palatino Linotype"/>
              <w:sz w:val="22"/>
              <w:szCs w:val="22"/>
            </w:rPr>
            <w:t>Organismo Público Descentralizado Municipal para la Prestación de Los Servicios de Agua Potable Alcantarillado y Saneamiento de Cuautitlán Izcalli denominado OPERAGUA, O.P.D.M.</w:t>
          </w:r>
        </w:p>
      </w:tc>
    </w:tr>
    <w:tr w:rsidR="002D0B5C" w:rsidRPr="008F2CCC" w14:paraId="25485B18" w14:textId="77777777" w:rsidTr="00EB0964">
      <w:tc>
        <w:tcPr>
          <w:tcW w:w="3118" w:type="dxa"/>
          <w:shd w:val="clear" w:color="auto" w:fill="auto"/>
          <w:vAlign w:val="center"/>
        </w:tcPr>
        <w:p w14:paraId="3D6B9F16" w14:textId="77777777" w:rsidR="002D0B5C" w:rsidRPr="008F5DAE" w:rsidRDefault="002D0B5C"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678" w:type="dxa"/>
          <w:shd w:val="clear" w:color="auto" w:fill="auto"/>
          <w:vAlign w:val="center"/>
        </w:tcPr>
        <w:p w14:paraId="64C2EE99" w14:textId="77777777" w:rsidR="002D0B5C" w:rsidRPr="0029071C" w:rsidRDefault="002D0B5C"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2D0B5C" w:rsidRPr="008F2CCC" w14:paraId="4AA2DF01" w14:textId="77777777" w:rsidTr="00EB0964">
      <w:tc>
        <w:tcPr>
          <w:tcW w:w="3118" w:type="dxa"/>
          <w:shd w:val="clear" w:color="auto" w:fill="auto"/>
          <w:vAlign w:val="center"/>
        </w:tcPr>
        <w:p w14:paraId="63DB76B1" w14:textId="77777777" w:rsidR="002D0B5C" w:rsidRPr="008F5DAE" w:rsidRDefault="002D0B5C" w:rsidP="00BA27FC">
          <w:pPr>
            <w:spacing w:line="276" w:lineRule="auto"/>
            <w:jc w:val="right"/>
            <w:rPr>
              <w:rFonts w:ascii="Palatino Linotype" w:hAnsi="Palatino Linotype"/>
              <w:b/>
              <w:sz w:val="22"/>
              <w:szCs w:val="22"/>
              <w:lang w:val="es-ES_tradnl"/>
            </w:rPr>
          </w:pPr>
        </w:p>
      </w:tc>
      <w:tc>
        <w:tcPr>
          <w:tcW w:w="4678" w:type="dxa"/>
          <w:shd w:val="clear" w:color="auto" w:fill="auto"/>
          <w:vAlign w:val="center"/>
        </w:tcPr>
        <w:p w14:paraId="75654F5F" w14:textId="77777777" w:rsidR="002D0B5C" w:rsidRPr="00EB0964" w:rsidRDefault="002D0B5C" w:rsidP="00BA27FC">
          <w:pPr>
            <w:spacing w:line="276" w:lineRule="auto"/>
            <w:rPr>
              <w:rFonts w:ascii="Palatino Linotype" w:hAnsi="Palatino Linotype"/>
              <w:sz w:val="2"/>
              <w:szCs w:val="6"/>
              <w:lang w:val="es-ES_tradnl"/>
            </w:rPr>
          </w:pPr>
        </w:p>
      </w:tc>
    </w:tr>
  </w:tbl>
  <w:p w14:paraId="65520DFD" w14:textId="77777777" w:rsidR="002D0B5C" w:rsidRPr="009F1AB6" w:rsidRDefault="00A473F1">
    <w:pPr>
      <w:pStyle w:val="Encabezado"/>
      <w:rPr>
        <w:sz w:val="10"/>
      </w:rPr>
    </w:pPr>
    <w:r>
      <w:rPr>
        <w:noProof/>
        <w:sz w:val="10"/>
        <w:lang w:val="es-MX" w:eastAsia="es-MX"/>
      </w:rPr>
      <w:pict w14:anchorId="1F7E81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style="position:absolute;margin-left:-85.7pt;margin-top:-195.4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ACF"/>
      </v:shape>
    </w:pict>
  </w:numPicBullet>
  <w:abstractNum w:abstractNumId="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6D4AFA"/>
    <w:multiLevelType w:val="hybridMultilevel"/>
    <w:tmpl w:val="384873C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FF93F7B"/>
    <w:multiLevelType w:val="hybridMultilevel"/>
    <w:tmpl w:val="65C47F90"/>
    <w:lvl w:ilvl="0" w:tplc="35F0AA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B82B25"/>
    <w:multiLevelType w:val="hybridMultilevel"/>
    <w:tmpl w:val="08F6310C"/>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DA3390"/>
    <w:multiLevelType w:val="hybridMultilevel"/>
    <w:tmpl w:val="46ACAA2C"/>
    <w:lvl w:ilvl="0" w:tplc="624A31E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30D5092B"/>
    <w:multiLevelType w:val="hybridMultilevel"/>
    <w:tmpl w:val="DB98F184"/>
    <w:lvl w:ilvl="0" w:tplc="E4D67DB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9">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37F4986"/>
    <w:multiLevelType w:val="hybridMultilevel"/>
    <w:tmpl w:val="80AA708C"/>
    <w:lvl w:ilvl="0" w:tplc="32E01A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47753F"/>
    <w:multiLevelType w:val="hybridMultilevel"/>
    <w:tmpl w:val="8F86A1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3">
    <w:nsid w:val="385016D2"/>
    <w:multiLevelType w:val="hybridMultilevel"/>
    <w:tmpl w:val="B26C6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0C4A21"/>
    <w:multiLevelType w:val="hybridMultilevel"/>
    <w:tmpl w:val="274AA2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9BA6FC4"/>
    <w:multiLevelType w:val="hybridMultilevel"/>
    <w:tmpl w:val="102A815A"/>
    <w:lvl w:ilvl="0" w:tplc="96FEF95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23F5364"/>
    <w:multiLevelType w:val="hybridMultilevel"/>
    <w:tmpl w:val="EB642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EB004F"/>
    <w:multiLevelType w:val="hybridMultilevel"/>
    <w:tmpl w:val="7DC21D4C"/>
    <w:lvl w:ilvl="0" w:tplc="5D62FA22">
      <w:start w:val="1"/>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6626014E"/>
    <w:multiLevelType w:val="hybridMultilevel"/>
    <w:tmpl w:val="93E43718"/>
    <w:lvl w:ilvl="0" w:tplc="1B4C962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713BA4"/>
    <w:multiLevelType w:val="hybridMultilevel"/>
    <w:tmpl w:val="DC7C1BCA"/>
    <w:lvl w:ilvl="0" w:tplc="9D02C436">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79464325"/>
    <w:multiLevelType w:val="hybridMultilevel"/>
    <w:tmpl w:val="0A5A9478"/>
    <w:lvl w:ilvl="0" w:tplc="5E008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9"/>
  </w:num>
  <w:num w:numId="3">
    <w:abstractNumId w:val="2"/>
  </w:num>
  <w:num w:numId="4">
    <w:abstractNumId w:val="19"/>
  </w:num>
  <w:num w:numId="5">
    <w:abstractNumId w:val="11"/>
  </w:num>
  <w:num w:numId="6">
    <w:abstractNumId w:val="17"/>
  </w:num>
  <w:num w:numId="7">
    <w:abstractNumId w:val="20"/>
  </w:num>
  <w:num w:numId="8">
    <w:abstractNumId w:val="10"/>
  </w:num>
  <w:num w:numId="9">
    <w:abstractNumId w:val="12"/>
  </w:num>
  <w:num w:numId="10">
    <w:abstractNumId w:val="14"/>
  </w:num>
  <w:num w:numId="11">
    <w:abstractNumId w:val="7"/>
  </w:num>
  <w:num w:numId="12">
    <w:abstractNumId w:val="18"/>
  </w:num>
  <w:num w:numId="13">
    <w:abstractNumId w:val="4"/>
  </w:num>
  <w:num w:numId="14">
    <w:abstractNumId w:val="15"/>
  </w:num>
  <w:num w:numId="15">
    <w:abstractNumId w:val="24"/>
  </w:num>
  <w:num w:numId="16">
    <w:abstractNumId w:val="8"/>
  </w:num>
  <w:num w:numId="17">
    <w:abstractNumId w:val="13"/>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0"/>
  </w:num>
  <w:num w:numId="24">
    <w:abstractNumId w:val="21"/>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120BC"/>
    <w:rsid w:val="00023E3F"/>
    <w:rsid w:val="00032D08"/>
    <w:rsid w:val="00036F8B"/>
    <w:rsid w:val="0005334F"/>
    <w:rsid w:val="00054E04"/>
    <w:rsid w:val="000572E9"/>
    <w:rsid w:val="00070547"/>
    <w:rsid w:val="00071173"/>
    <w:rsid w:val="000775FC"/>
    <w:rsid w:val="000927A2"/>
    <w:rsid w:val="00093AE1"/>
    <w:rsid w:val="000A34BB"/>
    <w:rsid w:val="000A351E"/>
    <w:rsid w:val="000A717C"/>
    <w:rsid w:val="000B293E"/>
    <w:rsid w:val="000B3D36"/>
    <w:rsid w:val="000B4402"/>
    <w:rsid w:val="000B5876"/>
    <w:rsid w:val="000B5E25"/>
    <w:rsid w:val="000B7C6C"/>
    <w:rsid w:val="000C0543"/>
    <w:rsid w:val="000C43CE"/>
    <w:rsid w:val="000C49B8"/>
    <w:rsid w:val="000C5D7D"/>
    <w:rsid w:val="000C5FDF"/>
    <w:rsid w:val="000C615C"/>
    <w:rsid w:val="000D3AD4"/>
    <w:rsid w:val="000E592F"/>
    <w:rsid w:val="000E768F"/>
    <w:rsid w:val="000F16BA"/>
    <w:rsid w:val="00101AD8"/>
    <w:rsid w:val="0010712B"/>
    <w:rsid w:val="0012298D"/>
    <w:rsid w:val="00123996"/>
    <w:rsid w:val="0012510D"/>
    <w:rsid w:val="0014397A"/>
    <w:rsid w:val="00143F6E"/>
    <w:rsid w:val="00151D4C"/>
    <w:rsid w:val="001558F3"/>
    <w:rsid w:val="00170AA7"/>
    <w:rsid w:val="00186CCB"/>
    <w:rsid w:val="00191418"/>
    <w:rsid w:val="0019170F"/>
    <w:rsid w:val="001949AC"/>
    <w:rsid w:val="001A6109"/>
    <w:rsid w:val="001A6C89"/>
    <w:rsid w:val="001C14AC"/>
    <w:rsid w:val="001D2BC8"/>
    <w:rsid w:val="001D2DE0"/>
    <w:rsid w:val="001D4046"/>
    <w:rsid w:val="001D5495"/>
    <w:rsid w:val="001D648A"/>
    <w:rsid w:val="001E2DA3"/>
    <w:rsid w:val="001E45B5"/>
    <w:rsid w:val="001F1FCC"/>
    <w:rsid w:val="001F2305"/>
    <w:rsid w:val="001F2E7B"/>
    <w:rsid w:val="0020156D"/>
    <w:rsid w:val="0020249A"/>
    <w:rsid w:val="00202C04"/>
    <w:rsid w:val="00206C85"/>
    <w:rsid w:val="00213673"/>
    <w:rsid w:val="002167BB"/>
    <w:rsid w:val="00216D40"/>
    <w:rsid w:val="00217E6C"/>
    <w:rsid w:val="00225163"/>
    <w:rsid w:val="00226B4A"/>
    <w:rsid w:val="002325DC"/>
    <w:rsid w:val="00235936"/>
    <w:rsid w:val="00236CBA"/>
    <w:rsid w:val="0024323F"/>
    <w:rsid w:val="00247138"/>
    <w:rsid w:val="002554C6"/>
    <w:rsid w:val="00255F1A"/>
    <w:rsid w:val="00261BC7"/>
    <w:rsid w:val="0026516A"/>
    <w:rsid w:val="00267458"/>
    <w:rsid w:val="00267BB5"/>
    <w:rsid w:val="00283696"/>
    <w:rsid w:val="002868B2"/>
    <w:rsid w:val="00287A3F"/>
    <w:rsid w:val="00287F4A"/>
    <w:rsid w:val="0029071C"/>
    <w:rsid w:val="002934B4"/>
    <w:rsid w:val="00295B3F"/>
    <w:rsid w:val="002A040B"/>
    <w:rsid w:val="002A4B43"/>
    <w:rsid w:val="002A676F"/>
    <w:rsid w:val="002B48AD"/>
    <w:rsid w:val="002C0BE5"/>
    <w:rsid w:val="002C240F"/>
    <w:rsid w:val="002D0B5C"/>
    <w:rsid w:val="002D17B8"/>
    <w:rsid w:val="002D32D2"/>
    <w:rsid w:val="002D61F7"/>
    <w:rsid w:val="002D6656"/>
    <w:rsid w:val="002D6E4B"/>
    <w:rsid w:val="002E3085"/>
    <w:rsid w:val="002F3B20"/>
    <w:rsid w:val="002F7FE5"/>
    <w:rsid w:val="00307006"/>
    <w:rsid w:val="0030701F"/>
    <w:rsid w:val="00320F38"/>
    <w:rsid w:val="003259D6"/>
    <w:rsid w:val="00330FC3"/>
    <w:rsid w:val="00337FFA"/>
    <w:rsid w:val="00340A06"/>
    <w:rsid w:val="00343F0B"/>
    <w:rsid w:val="00345645"/>
    <w:rsid w:val="003520C5"/>
    <w:rsid w:val="0035559A"/>
    <w:rsid w:val="00371835"/>
    <w:rsid w:val="003746DE"/>
    <w:rsid w:val="003804E8"/>
    <w:rsid w:val="00380D3E"/>
    <w:rsid w:val="00386934"/>
    <w:rsid w:val="00386D38"/>
    <w:rsid w:val="00391828"/>
    <w:rsid w:val="00396DB6"/>
    <w:rsid w:val="003A7B56"/>
    <w:rsid w:val="003B1C85"/>
    <w:rsid w:val="003B70B0"/>
    <w:rsid w:val="003C160D"/>
    <w:rsid w:val="003C59BC"/>
    <w:rsid w:val="003C6E1C"/>
    <w:rsid w:val="003D6804"/>
    <w:rsid w:val="003E21A7"/>
    <w:rsid w:val="003E56C9"/>
    <w:rsid w:val="004018F9"/>
    <w:rsid w:val="004118DD"/>
    <w:rsid w:val="00414CE3"/>
    <w:rsid w:val="00425E0F"/>
    <w:rsid w:val="00427E65"/>
    <w:rsid w:val="004344EA"/>
    <w:rsid w:val="0043515A"/>
    <w:rsid w:val="004403F7"/>
    <w:rsid w:val="004426DC"/>
    <w:rsid w:val="00442FD8"/>
    <w:rsid w:val="00443892"/>
    <w:rsid w:val="004445A1"/>
    <w:rsid w:val="00445CAA"/>
    <w:rsid w:val="00467118"/>
    <w:rsid w:val="004672ED"/>
    <w:rsid w:val="00483A95"/>
    <w:rsid w:val="00485743"/>
    <w:rsid w:val="00487B7B"/>
    <w:rsid w:val="00491E86"/>
    <w:rsid w:val="004A034A"/>
    <w:rsid w:val="004B2314"/>
    <w:rsid w:val="004D18B6"/>
    <w:rsid w:val="004D2BF5"/>
    <w:rsid w:val="004D5D2F"/>
    <w:rsid w:val="004D6F71"/>
    <w:rsid w:val="004E5628"/>
    <w:rsid w:val="004F26E3"/>
    <w:rsid w:val="0050130E"/>
    <w:rsid w:val="0050243E"/>
    <w:rsid w:val="00511E00"/>
    <w:rsid w:val="00524A8D"/>
    <w:rsid w:val="00543039"/>
    <w:rsid w:val="0054391A"/>
    <w:rsid w:val="00545F63"/>
    <w:rsid w:val="00551441"/>
    <w:rsid w:val="00555C87"/>
    <w:rsid w:val="00563A28"/>
    <w:rsid w:val="00563B39"/>
    <w:rsid w:val="0057289F"/>
    <w:rsid w:val="005758A2"/>
    <w:rsid w:val="00580264"/>
    <w:rsid w:val="0059032F"/>
    <w:rsid w:val="0059614C"/>
    <w:rsid w:val="00597D71"/>
    <w:rsid w:val="005A6216"/>
    <w:rsid w:val="005A740A"/>
    <w:rsid w:val="005B0692"/>
    <w:rsid w:val="005B234D"/>
    <w:rsid w:val="005B26AD"/>
    <w:rsid w:val="005B36A8"/>
    <w:rsid w:val="005B5693"/>
    <w:rsid w:val="005C6646"/>
    <w:rsid w:val="005D115D"/>
    <w:rsid w:val="005D77CC"/>
    <w:rsid w:val="005E09AB"/>
    <w:rsid w:val="005E5716"/>
    <w:rsid w:val="005F1F89"/>
    <w:rsid w:val="005F4BFB"/>
    <w:rsid w:val="005F6823"/>
    <w:rsid w:val="006000C5"/>
    <w:rsid w:val="006002E0"/>
    <w:rsid w:val="00620280"/>
    <w:rsid w:val="006258FD"/>
    <w:rsid w:val="00632E48"/>
    <w:rsid w:val="00643B58"/>
    <w:rsid w:val="006810FF"/>
    <w:rsid w:val="0068515C"/>
    <w:rsid w:val="00694976"/>
    <w:rsid w:val="006952D2"/>
    <w:rsid w:val="006B321A"/>
    <w:rsid w:val="006B418F"/>
    <w:rsid w:val="006C3931"/>
    <w:rsid w:val="006C6A15"/>
    <w:rsid w:val="006D0C82"/>
    <w:rsid w:val="006D0D56"/>
    <w:rsid w:val="006D1713"/>
    <w:rsid w:val="006D2F73"/>
    <w:rsid w:val="006D30E6"/>
    <w:rsid w:val="006D3A03"/>
    <w:rsid w:val="006D4B8E"/>
    <w:rsid w:val="006E08FA"/>
    <w:rsid w:val="006E13A6"/>
    <w:rsid w:val="006F5F93"/>
    <w:rsid w:val="00701A71"/>
    <w:rsid w:val="00710FED"/>
    <w:rsid w:val="00716632"/>
    <w:rsid w:val="00717A0C"/>
    <w:rsid w:val="0072658E"/>
    <w:rsid w:val="007317D9"/>
    <w:rsid w:val="00732345"/>
    <w:rsid w:val="007532C7"/>
    <w:rsid w:val="007566CA"/>
    <w:rsid w:val="00756F04"/>
    <w:rsid w:val="00757D60"/>
    <w:rsid w:val="00766026"/>
    <w:rsid w:val="00770F18"/>
    <w:rsid w:val="007749C7"/>
    <w:rsid w:val="007764BB"/>
    <w:rsid w:val="0078199B"/>
    <w:rsid w:val="007828DC"/>
    <w:rsid w:val="00792EAA"/>
    <w:rsid w:val="0079708B"/>
    <w:rsid w:val="007A118C"/>
    <w:rsid w:val="007A37FE"/>
    <w:rsid w:val="007B3C31"/>
    <w:rsid w:val="007C1D5B"/>
    <w:rsid w:val="007C3435"/>
    <w:rsid w:val="007C35A4"/>
    <w:rsid w:val="007C3E46"/>
    <w:rsid w:val="007C7EE0"/>
    <w:rsid w:val="007D2A81"/>
    <w:rsid w:val="007D4B05"/>
    <w:rsid w:val="007E52D5"/>
    <w:rsid w:val="007E534B"/>
    <w:rsid w:val="007E7C02"/>
    <w:rsid w:val="007F7462"/>
    <w:rsid w:val="00800A80"/>
    <w:rsid w:val="008032D9"/>
    <w:rsid w:val="00812DDF"/>
    <w:rsid w:val="00830C36"/>
    <w:rsid w:val="008313E0"/>
    <w:rsid w:val="00831B13"/>
    <w:rsid w:val="00835035"/>
    <w:rsid w:val="00837C9A"/>
    <w:rsid w:val="0084644F"/>
    <w:rsid w:val="008500D3"/>
    <w:rsid w:val="00852668"/>
    <w:rsid w:val="008578BF"/>
    <w:rsid w:val="00863ACC"/>
    <w:rsid w:val="008660D6"/>
    <w:rsid w:val="00866ABE"/>
    <w:rsid w:val="00883F4B"/>
    <w:rsid w:val="00896D29"/>
    <w:rsid w:val="008A12CF"/>
    <w:rsid w:val="008A1A90"/>
    <w:rsid w:val="008A64CB"/>
    <w:rsid w:val="008B082B"/>
    <w:rsid w:val="008B6546"/>
    <w:rsid w:val="008C0A58"/>
    <w:rsid w:val="008C3B24"/>
    <w:rsid w:val="008D1BDC"/>
    <w:rsid w:val="008D26E6"/>
    <w:rsid w:val="008E01E4"/>
    <w:rsid w:val="008E7F32"/>
    <w:rsid w:val="008F066D"/>
    <w:rsid w:val="008F148C"/>
    <w:rsid w:val="008F4D47"/>
    <w:rsid w:val="008F5DAE"/>
    <w:rsid w:val="00900C9B"/>
    <w:rsid w:val="00901487"/>
    <w:rsid w:val="00910839"/>
    <w:rsid w:val="009212A0"/>
    <w:rsid w:val="00921551"/>
    <w:rsid w:val="009217E8"/>
    <w:rsid w:val="00925B0B"/>
    <w:rsid w:val="00926AAF"/>
    <w:rsid w:val="00926C44"/>
    <w:rsid w:val="009311A8"/>
    <w:rsid w:val="0093645B"/>
    <w:rsid w:val="0094381A"/>
    <w:rsid w:val="00946698"/>
    <w:rsid w:val="00961002"/>
    <w:rsid w:val="00971202"/>
    <w:rsid w:val="009758CB"/>
    <w:rsid w:val="00980909"/>
    <w:rsid w:val="00993406"/>
    <w:rsid w:val="0099391A"/>
    <w:rsid w:val="0099758E"/>
    <w:rsid w:val="00997950"/>
    <w:rsid w:val="009A0F77"/>
    <w:rsid w:val="009A1EEF"/>
    <w:rsid w:val="009A5223"/>
    <w:rsid w:val="009A6B97"/>
    <w:rsid w:val="009A6D6A"/>
    <w:rsid w:val="009B23B7"/>
    <w:rsid w:val="009B2B6B"/>
    <w:rsid w:val="009C4FCC"/>
    <w:rsid w:val="009D0916"/>
    <w:rsid w:val="009D2E87"/>
    <w:rsid w:val="009D30A4"/>
    <w:rsid w:val="009D39B3"/>
    <w:rsid w:val="009D6AE6"/>
    <w:rsid w:val="009D7E06"/>
    <w:rsid w:val="009E0C45"/>
    <w:rsid w:val="009E0E89"/>
    <w:rsid w:val="009E1F26"/>
    <w:rsid w:val="009F4FF4"/>
    <w:rsid w:val="009F62C3"/>
    <w:rsid w:val="009F71DC"/>
    <w:rsid w:val="00A0100D"/>
    <w:rsid w:val="00A05133"/>
    <w:rsid w:val="00A05D3A"/>
    <w:rsid w:val="00A21B73"/>
    <w:rsid w:val="00A26BD8"/>
    <w:rsid w:val="00A473F1"/>
    <w:rsid w:val="00A5260D"/>
    <w:rsid w:val="00A5377D"/>
    <w:rsid w:val="00A54C18"/>
    <w:rsid w:val="00A572B6"/>
    <w:rsid w:val="00A6692F"/>
    <w:rsid w:val="00A6775F"/>
    <w:rsid w:val="00A72262"/>
    <w:rsid w:val="00A7773A"/>
    <w:rsid w:val="00A83B4F"/>
    <w:rsid w:val="00AA26B4"/>
    <w:rsid w:val="00AB15E3"/>
    <w:rsid w:val="00AB4982"/>
    <w:rsid w:val="00AC2894"/>
    <w:rsid w:val="00AC3DB9"/>
    <w:rsid w:val="00AC687D"/>
    <w:rsid w:val="00AD33BE"/>
    <w:rsid w:val="00AE1A47"/>
    <w:rsid w:val="00AE5995"/>
    <w:rsid w:val="00AE6704"/>
    <w:rsid w:val="00AE78CA"/>
    <w:rsid w:val="00B01BD5"/>
    <w:rsid w:val="00B02C86"/>
    <w:rsid w:val="00B03C42"/>
    <w:rsid w:val="00B04476"/>
    <w:rsid w:val="00B05B83"/>
    <w:rsid w:val="00B064F1"/>
    <w:rsid w:val="00B11D46"/>
    <w:rsid w:val="00B17992"/>
    <w:rsid w:val="00B20C2B"/>
    <w:rsid w:val="00B23344"/>
    <w:rsid w:val="00B23E1B"/>
    <w:rsid w:val="00B250D7"/>
    <w:rsid w:val="00B309E3"/>
    <w:rsid w:val="00B31853"/>
    <w:rsid w:val="00B36260"/>
    <w:rsid w:val="00B423F6"/>
    <w:rsid w:val="00B50B07"/>
    <w:rsid w:val="00B6659F"/>
    <w:rsid w:val="00B70CD2"/>
    <w:rsid w:val="00B71058"/>
    <w:rsid w:val="00B8098B"/>
    <w:rsid w:val="00B80C9E"/>
    <w:rsid w:val="00B81F2F"/>
    <w:rsid w:val="00B83E10"/>
    <w:rsid w:val="00B85697"/>
    <w:rsid w:val="00B85F29"/>
    <w:rsid w:val="00B911AF"/>
    <w:rsid w:val="00B96A17"/>
    <w:rsid w:val="00BA27FC"/>
    <w:rsid w:val="00BA2D32"/>
    <w:rsid w:val="00BA43DC"/>
    <w:rsid w:val="00BA54AE"/>
    <w:rsid w:val="00BB06D2"/>
    <w:rsid w:val="00BB134B"/>
    <w:rsid w:val="00BB5BCB"/>
    <w:rsid w:val="00BC0CFA"/>
    <w:rsid w:val="00BC1388"/>
    <w:rsid w:val="00BC462B"/>
    <w:rsid w:val="00BD14B3"/>
    <w:rsid w:val="00BD677A"/>
    <w:rsid w:val="00BD74AF"/>
    <w:rsid w:val="00BE233B"/>
    <w:rsid w:val="00BE7A6E"/>
    <w:rsid w:val="00BF13DE"/>
    <w:rsid w:val="00BF6E0F"/>
    <w:rsid w:val="00C0414E"/>
    <w:rsid w:val="00C058C8"/>
    <w:rsid w:val="00C20F80"/>
    <w:rsid w:val="00C249A6"/>
    <w:rsid w:val="00C33A9B"/>
    <w:rsid w:val="00C400AC"/>
    <w:rsid w:val="00C4326C"/>
    <w:rsid w:val="00C56DD5"/>
    <w:rsid w:val="00C57FE5"/>
    <w:rsid w:val="00C63F7B"/>
    <w:rsid w:val="00C7451B"/>
    <w:rsid w:val="00C753C2"/>
    <w:rsid w:val="00C774B1"/>
    <w:rsid w:val="00C802FB"/>
    <w:rsid w:val="00C85653"/>
    <w:rsid w:val="00CA028B"/>
    <w:rsid w:val="00CA216C"/>
    <w:rsid w:val="00CA4114"/>
    <w:rsid w:val="00CA4BF9"/>
    <w:rsid w:val="00CB5B7B"/>
    <w:rsid w:val="00CB756E"/>
    <w:rsid w:val="00CC0700"/>
    <w:rsid w:val="00CD024D"/>
    <w:rsid w:val="00CD3A41"/>
    <w:rsid w:val="00CD407C"/>
    <w:rsid w:val="00CD431E"/>
    <w:rsid w:val="00CE1C82"/>
    <w:rsid w:val="00CE2381"/>
    <w:rsid w:val="00CE51D0"/>
    <w:rsid w:val="00CE7546"/>
    <w:rsid w:val="00CF1DF5"/>
    <w:rsid w:val="00CF7FBE"/>
    <w:rsid w:val="00D01A63"/>
    <w:rsid w:val="00D12C36"/>
    <w:rsid w:val="00D1697E"/>
    <w:rsid w:val="00D1750D"/>
    <w:rsid w:val="00D21ECE"/>
    <w:rsid w:val="00D268D2"/>
    <w:rsid w:val="00D27727"/>
    <w:rsid w:val="00D4431A"/>
    <w:rsid w:val="00D454EE"/>
    <w:rsid w:val="00D467EF"/>
    <w:rsid w:val="00D52DCB"/>
    <w:rsid w:val="00D54B83"/>
    <w:rsid w:val="00D553D4"/>
    <w:rsid w:val="00D57210"/>
    <w:rsid w:val="00D57AED"/>
    <w:rsid w:val="00D57F74"/>
    <w:rsid w:val="00D66FE8"/>
    <w:rsid w:val="00D76AF3"/>
    <w:rsid w:val="00D76EF7"/>
    <w:rsid w:val="00D901D7"/>
    <w:rsid w:val="00D92BFE"/>
    <w:rsid w:val="00DA300B"/>
    <w:rsid w:val="00DA57DF"/>
    <w:rsid w:val="00DC005C"/>
    <w:rsid w:val="00DC1583"/>
    <w:rsid w:val="00DC2B31"/>
    <w:rsid w:val="00DC3CEA"/>
    <w:rsid w:val="00DD1866"/>
    <w:rsid w:val="00DD5A69"/>
    <w:rsid w:val="00DE0A8D"/>
    <w:rsid w:val="00DE407A"/>
    <w:rsid w:val="00DE562A"/>
    <w:rsid w:val="00DE5D6D"/>
    <w:rsid w:val="00DE7148"/>
    <w:rsid w:val="00DF62A4"/>
    <w:rsid w:val="00DF67A4"/>
    <w:rsid w:val="00E00D15"/>
    <w:rsid w:val="00E0698E"/>
    <w:rsid w:val="00E11B18"/>
    <w:rsid w:val="00E341AD"/>
    <w:rsid w:val="00E34AF2"/>
    <w:rsid w:val="00E40828"/>
    <w:rsid w:val="00E42B2B"/>
    <w:rsid w:val="00E45AE1"/>
    <w:rsid w:val="00E5647F"/>
    <w:rsid w:val="00E61A4C"/>
    <w:rsid w:val="00E625D3"/>
    <w:rsid w:val="00E65F37"/>
    <w:rsid w:val="00E711DE"/>
    <w:rsid w:val="00E74701"/>
    <w:rsid w:val="00E75E5F"/>
    <w:rsid w:val="00E823B8"/>
    <w:rsid w:val="00E833D1"/>
    <w:rsid w:val="00E86AD2"/>
    <w:rsid w:val="00E8719C"/>
    <w:rsid w:val="00E9091C"/>
    <w:rsid w:val="00E93BB3"/>
    <w:rsid w:val="00E9680B"/>
    <w:rsid w:val="00EA46CC"/>
    <w:rsid w:val="00EA49B9"/>
    <w:rsid w:val="00EA5AA1"/>
    <w:rsid w:val="00EA61B9"/>
    <w:rsid w:val="00EA7BF4"/>
    <w:rsid w:val="00EB0964"/>
    <w:rsid w:val="00EB25BA"/>
    <w:rsid w:val="00EB6C62"/>
    <w:rsid w:val="00EC0798"/>
    <w:rsid w:val="00EC7868"/>
    <w:rsid w:val="00ED6373"/>
    <w:rsid w:val="00EE2FB1"/>
    <w:rsid w:val="00EE338D"/>
    <w:rsid w:val="00EE4D9C"/>
    <w:rsid w:val="00EE571A"/>
    <w:rsid w:val="00EE6265"/>
    <w:rsid w:val="00EE7518"/>
    <w:rsid w:val="00EF193B"/>
    <w:rsid w:val="00EF75EF"/>
    <w:rsid w:val="00F07A18"/>
    <w:rsid w:val="00F241AD"/>
    <w:rsid w:val="00F30C33"/>
    <w:rsid w:val="00F32EBF"/>
    <w:rsid w:val="00F34A32"/>
    <w:rsid w:val="00F3556B"/>
    <w:rsid w:val="00F37AE7"/>
    <w:rsid w:val="00F455F1"/>
    <w:rsid w:val="00F54221"/>
    <w:rsid w:val="00F570D3"/>
    <w:rsid w:val="00F62221"/>
    <w:rsid w:val="00F662F6"/>
    <w:rsid w:val="00F712EE"/>
    <w:rsid w:val="00F73BB1"/>
    <w:rsid w:val="00F774DF"/>
    <w:rsid w:val="00F8513C"/>
    <w:rsid w:val="00F90312"/>
    <w:rsid w:val="00F96437"/>
    <w:rsid w:val="00F97C38"/>
    <w:rsid w:val="00FA7ED5"/>
    <w:rsid w:val="00FB11E9"/>
    <w:rsid w:val="00FC0DAE"/>
    <w:rsid w:val="00FC1FC5"/>
    <w:rsid w:val="00FC576D"/>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1E06F2"/>
  <w15:chartTrackingRefBased/>
  <w15:docId w15:val="{4DCA689D-B3D2-4615-9ED2-3676117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top w:w="0" w:type="dxa"/>
        <w:left w:w="115" w:type="dxa"/>
        <w:bottom w:w="0" w:type="dxa"/>
        <w:right w:w="115" w:type="dxa"/>
      </w:tblCellMar>
    </w:tblPr>
  </w:style>
  <w:style w:type="table" w:customStyle="1" w:styleId="7">
    <w:name w:val="7"/>
    <w:basedOn w:val="TableNormal"/>
    <w:rsid w:val="009D7E06"/>
    <w:tblPr>
      <w:tblStyleRowBandSize w:val="1"/>
      <w:tblStyleColBandSize w:val="1"/>
      <w:tblCellMar>
        <w:top w:w="0" w:type="dxa"/>
        <w:left w:w="115" w:type="dxa"/>
        <w:bottom w:w="0" w:type="dxa"/>
        <w:right w:w="115" w:type="dxa"/>
      </w:tblCellMar>
    </w:tblPr>
  </w:style>
  <w:style w:type="table" w:customStyle="1" w:styleId="6">
    <w:name w:val="6"/>
    <w:basedOn w:val="TableNormal"/>
    <w:rsid w:val="009D7E06"/>
    <w:tblPr>
      <w:tblStyleRowBandSize w:val="1"/>
      <w:tblStyleColBandSize w:val="1"/>
      <w:tblCellMar>
        <w:top w:w="0" w:type="dxa"/>
        <w:left w:w="115" w:type="dxa"/>
        <w:bottom w:w="0" w:type="dxa"/>
        <w:right w:w="115" w:type="dxa"/>
      </w:tblCellMar>
    </w:tblPr>
  </w:style>
  <w:style w:type="table" w:customStyle="1" w:styleId="5">
    <w:name w:val="5"/>
    <w:basedOn w:val="TableNormal"/>
    <w:rsid w:val="009D7E06"/>
    <w:tblPr>
      <w:tblStyleRowBandSize w:val="1"/>
      <w:tblStyleColBandSize w:val="1"/>
      <w:tblCellMar>
        <w:top w:w="0" w:type="dxa"/>
        <w:left w:w="115" w:type="dxa"/>
        <w:bottom w:w="0" w:type="dxa"/>
        <w:right w:w="115" w:type="dxa"/>
      </w:tblCellMar>
    </w:tblPr>
  </w:style>
  <w:style w:type="table" w:customStyle="1" w:styleId="4">
    <w:name w:val="4"/>
    <w:basedOn w:val="TableNormal"/>
    <w:rsid w:val="009D7E06"/>
    <w:tblPr>
      <w:tblStyleRowBandSize w:val="1"/>
      <w:tblStyleColBandSize w:val="1"/>
      <w:tblCellMar>
        <w:top w:w="0" w:type="dxa"/>
        <w:left w:w="115" w:type="dxa"/>
        <w:bottom w:w="0" w:type="dxa"/>
        <w:right w:w="115" w:type="dxa"/>
      </w:tblCellMar>
    </w:tblPr>
  </w:style>
  <w:style w:type="table" w:customStyle="1" w:styleId="3">
    <w:name w:val="3"/>
    <w:basedOn w:val="TableNormal"/>
    <w:rsid w:val="009D7E06"/>
    <w:tblPr>
      <w:tblStyleRowBandSize w:val="1"/>
      <w:tblStyleColBandSize w:val="1"/>
      <w:tblCellMar>
        <w:top w:w="0" w:type="dxa"/>
        <w:left w:w="115" w:type="dxa"/>
        <w:bottom w:w="0" w:type="dxa"/>
        <w:right w:w="115" w:type="dxa"/>
      </w:tblCellMar>
    </w:tblPr>
  </w:style>
  <w:style w:type="table" w:customStyle="1" w:styleId="2">
    <w:name w:val="2"/>
    <w:basedOn w:val="TableNormal"/>
    <w:rsid w:val="009D7E06"/>
    <w:tblPr>
      <w:tblStyleRowBandSize w:val="1"/>
      <w:tblStyleColBandSize w:val="1"/>
      <w:tblCellMar>
        <w:top w:w="0" w:type="dxa"/>
        <w:left w:w="115" w:type="dxa"/>
        <w:bottom w:w="0" w:type="dxa"/>
        <w:right w:w="115" w:type="dxa"/>
      </w:tblCellMar>
    </w:tblPr>
  </w:style>
  <w:style w:type="table" w:customStyle="1" w:styleId="1">
    <w:name w:val="1"/>
    <w:basedOn w:val="TableNormal"/>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BA54AE"/>
    <w:rPr>
      <w:color w:val="605E5C"/>
      <w:shd w:val="clear" w:color="auto" w:fill="E1DFDD"/>
    </w:rPr>
  </w:style>
  <w:style w:type="table" w:customStyle="1" w:styleId="Tablaconcuadrcula5">
    <w:name w:val="Tabla con cuadrícula5"/>
    <w:basedOn w:val="Tablanormal"/>
    <w:next w:val="Tablaconcuadrcula"/>
    <w:uiPriority w:val="59"/>
    <w:rsid w:val="00DC3C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444733706">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0BCF-1D19-41E5-BE1D-90422246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35</Pages>
  <Words>7891</Words>
  <Characters>43406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INFOEM492</cp:lastModifiedBy>
  <cp:revision>9</cp:revision>
  <dcterms:created xsi:type="dcterms:W3CDTF">2024-01-25T16:16:00Z</dcterms:created>
  <dcterms:modified xsi:type="dcterms:W3CDTF">2024-04-11T19:19:00Z</dcterms:modified>
</cp:coreProperties>
</file>