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5C"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67C65">
        <w:rPr>
          <w:rFonts w:ascii="Palatino Linotype" w:eastAsia="Palatino Linotype" w:hAnsi="Palatino Linotype" w:cs="Palatino Linotype"/>
          <w:b/>
          <w:sz w:val="22"/>
          <w:szCs w:val="22"/>
        </w:rPr>
        <w:t>veintiuno de noviembre de dos mil veinticuatro</w:t>
      </w:r>
      <w:r w:rsidRPr="00967C65">
        <w:rPr>
          <w:rFonts w:ascii="Palatino Linotype" w:eastAsia="Palatino Linotype" w:hAnsi="Palatino Linotype" w:cs="Palatino Linotype"/>
          <w:sz w:val="22"/>
          <w:szCs w:val="22"/>
        </w:rPr>
        <w:t xml:space="preserve">. </w:t>
      </w:r>
    </w:p>
    <w:p w14:paraId="57B50C2B"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Vistos</w:t>
      </w:r>
      <w:r w:rsidRPr="00967C65">
        <w:rPr>
          <w:rFonts w:ascii="Palatino Linotype" w:eastAsia="Palatino Linotype" w:hAnsi="Palatino Linotype" w:cs="Palatino Linotype"/>
          <w:sz w:val="22"/>
          <w:szCs w:val="22"/>
        </w:rPr>
        <w:t xml:space="preserve"> los expedientes formados con motivo de los recursos de revisión </w:t>
      </w:r>
      <w:r w:rsidRPr="00967C65">
        <w:rPr>
          <w:rFonts w:ascii="Palatino Linotype" w:eastAsia="Palatino Linotype" w:hAnsi="Palatino Linotype" w:cs="Palatino Linotype"/>
          <w:b/>
          <w:sz w:val="22"/>
          <w:szCs w:val="22"/>
        </w:rPr>
        <w:t xml:space="preserve">06619/INFOEM/IP/RR/2024, 06620/INFOEM/IP/RR/2024, 06621/INFOEM/IP/RR/2024 y 06622/INFOEM/IP/RR/2024 acumulados, </w:t>
      </w:r>
      <w:r w:rsidRPr="00967C65">
        <w:rPr>
          <w:rFonts w:ascii="Palatino Linotype" w:eastAsia="Palatino Linotype" w:hAnsi="Palatino Linotype" w:cs="Palatino Linotype"/>
          <w:sz w:val="22"/>
          <w:szCs w:val="22"/>
        </w:rPr>
        <w:t>interpuestos por</w:t>
      </w:r>
      <w:r w:rsidRPr="00967C65">
        <w:rPr>
          <w:rFonts w:ascii="Palatino Linotype" w:eastAsia="Palatino Linotype" w:hAnsi="Palatino Linotype" w:cs="Palatino Linotype"/>
          <w:b/>
          <w:sz w:val="22"/>
          <w:szCs w:val="22"/>
        </w:rPr>
        <w:t xml:space="preserve"> un particular de manera anónima, </w:t>
      </w:r>
      <w:r w:rsidRPr="00967C65">
        <w:rPr>
          <w:rFonts w:ascii="Palatino Linotype" w:eastAsia="Palatino Linotype" w:hAnsi="Palatino Linotype" w:cs="Palatino Linotype"/>
          <w:sz w:val="22"/>
          <w:szCs w:val="22"/>
        </w:rPr>
        <w:t>quien en lo sucesivo</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 xml:space="preserve">será identificado como </w:t>
      </w:r>
      <w:r w:rsidRPr="00967C65">
        <w:rPr>
          <w:rFonts w:ascii="Palatino Linotype" w:eastAsia="Palatino Linotype" w:hAnsi="Palatino Linotype" w:cs="Palatino Linotype"/>
          <w:b/>
          <w:sz w:val="22"/>
          <w:szCs w:val="22"/>
        </w:rPr>
        <w:t>la parte Recurrente,</w:t>
      </w:r>
      <w:r w:rsidRPr="00967C65">
        <w:rPr>
          <w:rFonts w:ascii="Palatino Linotype" w:eastAsia="Palatino Linotype" w:hAnsi="Palatino Linotype" w:cs="Palatino Linotype"/>
          <w:sz w:val="22"/>
          <w:szCs w:val="22"/>
        </w:rPr>
        <w:t xml:space="preserve"> en contra de las respuestas en las solicitudes de información con número de folio </w:t>
      </w:r>
      <w:r w:rsidRPr="00967C65">
        <w:rPr>
          <w:rFonts w:ascii="Palatino Linotype" w:eastAsia="Palatino Linotype" w:hAnsi="Palatino Linotype" w:cs="Palatino Linotype"/>
          <w:b/>
          <w:sz w:val="22"/>
          <w:szCs w:val="22"/>
        </w:rPr>
        <w:t xml:space="preserve">00361/TEMAMATL/IP/2024, 00371/TEMAMATL/IP/2024, 00370/TEMAMATL/IP/2024 y 00372/TEMAMATL/IP/2024, </w:t>
      </w:r>
      <w:r w:rsidRPr="00967C65">
        <w:rPr>
          <w:rFonts w:ascii="Palatino Linotype" w:eastAsia="Palatino Linotype" w:hAnsi="Palatino Linotype" w:cs="Palatino Linotype"/>
          <w:sz w:val="22"/>
          <w:szCs w:val="22"/>
        </w:rPr>
        <w:t>por parte</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 xml:space="preserve">del </w:t>
      </w:r>
      <w:r w:rsidRPr="00967C65">
        <w:rPr>
          <w:rFonts w:ascii="Palatino Linotype" w:eastAsia="Palatino Linotype" w:hAnsi="Palatino Linotype" w:cs="Palatino Linotype"/>
          <w:b/>
          <w:sz w:val="22"/>
          <w:szCs w:val="22"/>
        </w:rPr>
        <w:t xml:space="preserve">Ayuntamiento de Temamatla, </w:t>
      </w:r>
      <w:r w:rsidRPr="00967C65">
        <w:rPr>
          <w:rFonts w:ascii="Palatino Linotype" w:eastAsia="Palatino Linotype" w:hAnsi="Palatino Linotype" w:cs="Palatino Linotype"/>
          <w:sz w:val="22"/>
          <w:szCs w:val="22"/>
        </w:rPr>
        <w:t xml:space="preserve">en lo sucesivo el </w:t>
      </w:r>
      <w:r w:rsidRPr="00967C65">
        <w:rPr>
          <w:rFonts w:ascii="Palatino Linotype" w:eastAsia="Palatino Linotype" w:hAnsi="Palatino Linotype" w:cs="Palatino Linotype"/>
          <w:b/>
          <w:sz w:val="22"/>
          <w:szCs w:val="22"/>
        </w:rPr>
        <w:t xml:space="preserve">Sujeto Obligado, </w:t>
      </w:r>
      <w:r w:rsidRPr="00967C65">
        <w:rPr>
          <w:rFonts w:ascii="Palatino Linotype" w:eastAsia="Palatino Linotype" w:hAnsi="Palatino Linotype" w:cs="Palatino Linotype"/>
          <w:sz w:val="22"/>
          <w:szCs w:val="22"/>
        </w:rPr>
        <w:t xml:space="preserve">se procede a dictar la presente resolución con base en los siguientes: </w:t>
      </w:r>
    </w:p>
    <w:p w14:paraId="57A0ADFA" w14:textId="77777777" w:rsidR="00B64A66" w:rsidRPr="00967C65" w:rsidRDefault="00A468B0">
      <w:pPr>
        <w:spacing w:before="240" w:after="240" w:line="360" w:lineRule="auto"/>
        <w:jc w:val="center"/>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I. A N T E C E D E N T E S:</w:t>
      </w:r>
    </w:p>
    <w:p w14:paraId="4A3F404A"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967C65">
        <w:rPr>
          <w:rFonts w:ascii="Palatino Linotype" w:eastAsia="Palatino Linotype" w:hAnsi="Palatino Linotype" w:cs="Palatino Linotype"/>
          <w:b/>
          <w:sz w:val="22"/>
          <w:szCs w:val="22"/>
        </w:rPr>
        <w:t>1. Solicitudes de acceso a la información.</w:t>
      </w:r>
      <w:r w:rsidRPr="00967C65">
        <w:rPr>
          <w:rFonts w:ascii="Palatino Linotype" w:eastAsia="Palatino Linotype" w:hAnsi="Palatino Linotype" w:cs="Palatino Linotype"/>
          <w:sz w:val="22"/>
          <w:szCs w:val="22"/>
        </w:rPr>
        <w:t xml:space="preserve"> El </w:t>
      </w:r>
      <w:r w:rsidRPr="00967C65">
        <w:rPr>
          <w:rFonts w:ascii="Palatino Linotype" w:eastAsia="Palatino Linotype" w:hAnsi="Palatino Linotype" w:cs="Palatino Linotype"/>
          <w:b/>
          <w:sz w:val="22"/>
          <w:szCs w:val="22"/>
        </w:rPr>
        <w:t>veintisiete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de septiembre de dos mil veinticuatro,</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 xml:space="preserve">la parte Recurrente </w:t>
      </w:r>
      <w:r w:rsidRPr="00967C65">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967C65">
        <w:rPr>
          <w:rFonts w:ascii="Palatino Linotype" w:eastAsia="Palatino Linotype" w:hAnsi="Palatino Linotype" w:cs="Palatino Linotype"/>
          <w:b/>
          <w:sz w:val="22"/>
          <w:szCs w:val="22"/>
        </w:rPr>
        <w:t>,</w:t>
      </w:r>
      <w:r w:rsidRPr="00967C65">
        <w:rPr>
          <w:rFonts w:ascii="Palatino Linotype" w:eastAsia="Palatino Linotype" w:hAnsi="Palatino Linotype" w:cs="Palatino Linotype"/>
          <w:sz w:val="22"/>
          <w:szCs w:val="22"/>
        </w:rPr>
        <w:t xml:space="preserve"> en las que requirió lo siguiente:</w:t>
      </w:r>
    </w:p>
    <w:tbl>
      <w:tblPr>
        <w:tblStyle w:val="affff4"/>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67C65" w:rsidRPr="00967C65" w14:paraId="4846B136" w14:textId="77777777">
        <w:tc>
          <w:tcPr>
            <w:tcW w:w="3823" w:type="dxa"/>
            <w:shd w:val="clear" w:color="auto" w:fill="F9EC9D"/>
          </w:tcPr>
          <w:p w14:paraId="77922302" w14:textId="77777777" w:rsidR="00B64A66" w:rsidRPr="00967C65" w:rsidRDefault="00A468B0">
            <w:pPr>
              <w:spacing w:before="240" w:after="240"/>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t>Número de solicitud y recurso de revisión</w:t>
            </w:r>
          </w:p>
        </w:tc>
        <w:tc>
          <w:tcPr>
            <w:tcW w:w="5098" w:type="dxa"/>
            <w:shd w:val="clear" w:color="auto" w:fill="F9EC9D"/>
          </w:tcPr>
          <w:p w14:paraId="3C55F28C" w14:textId="77777777" w:rsidR="00B64A66" w:rsidRPr="00967C65" w:rsidRDefault="00A468B0">
            <w:pPr>
              <w:spacing w:before="240" w:after="240" w:line="360" w:lineRule="auto"/>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t>Información requerida</w:t>
            </w:r>
          </w:p>
        </w:tc>
      </w:tr>
      <w:tr w:rsidR="00967C65" w:rsidRPr="00967C65" w14:paraId="446B6899" w14:textId="77777777">
        <w:tc>
          <w:tcPr>
            <w:tcW w:w="3823" w:type="dxa"/>
          </w:tcPr>
          <w:p w14:paraId="5B0941FA"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00361/TEMAMATL/IP/2024,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06619/INFOEM/IP/RR/2024</w:t>
            </w:r>
          </w:p>
        </w:tc>
        <w:tc>
          <w:tcPr>
            <w:tcW w:w="5098" w:type="dxa"/>
          </w:tcPr>
          <w:p w14:paraId="0D34FA1A" w14:textId="77777777" w:rsidR="00B64A66" w:rsidRPr="00967C65" w:rsidRDefault="00A468B0">
            <w:pPr>
              <w:spacing w:before="240" w:after="240"/>
              <w:jc w:val="both"/>
              <w:rPr>
                <w:rFonts w:ascii="Palatino Linotype" w:eastAsia="Palatino Linotype" w:hAnsi="Palatino Linotype" w:cs="Palatino Linotype"/>
                <w:i/>
                <w:sz w:val="20"/>
                <w:szCs w:val="20"/>
              </w:rPr>
            </w:pPr>
            <w:r w:rsidRPr="00967C65">
              <w:rPr>
                <w:rFonts w:ascii="Palatino Linotype" w:eastAsia="Palatino Linotype" w:hAnsi="Palatino Linotype" w:cs="Palatino Linotype"/>
                <w:i/>
                <w:sz w:val="20"/>
                <w:szCs w:val="20"/>
              </w:rPr>
              <w:t xml:space="preserve">“Solicito </w:t>
            </w:r>
            <w:r w:rsidRPr="00967C65">
              <w:rPr>
                <w:rFonts w:ascii="Palatino Linotype" w:eastAsia="Palatino Linotype" w:hAnsi="Palatino Linotype" w:cs="Palatino Linotype"/>
                <w:b/>
                <w:i/>
                <w:sz w:val="20"/>
                <w:szCs w:val="20"/>
                <w:u w:val="single"/>
              </w:rPr>
              <w:t>manual de organización, manual de procedimientos y reglamento</w:t>
            </w:r>
            <w:r w:rsidRPr="00967C65">
              <w:rPr>
                <w:rFonts w:ascii="Palatino Linotype" w:eastAsia="Palatino Linotype" w:hAnsi="Palatino Linotype" w:cs="Palatino Linotype"/>
                <w:i/>
                <w:sz w:val="20"/>
                <w:szCs w:val="20"/>
              </w:rPr>
              <w:t xml:space="preserve"> del área coordinadora de archivos de la administración 2022 2024” (Sic) </w:t>
            </w:r>
          </w:p>
        </w:tc>
      </w:tr>
      <w:tr w:rsidR="00967C65" w:rsidRPr="00967C65" w14:paraId="6214FBEC" w14:textId="77777777">
        <w:tc>
          <w:tcPr>
            <w:tcW w:w="3823" w:type="dxa"/>
          </w:tcPr>
          <w:p w14:paraId="6798956A" w14:textId="77777777" w:rsidR="00B64A66" w:rsidRPr="00967C65" w:rsidRDefault="00A468B0">
            <w:pPr>
              <w:spacing w:before="240" w:after="240"/>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lastRenderedPageBreak/>
              <w:t xml:space="preserve">00371/TEMAMATL/IP/2024,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06620/INFOEM/IP/RR/2024</w:t>
            </w:r>
          </w:p>
        </w:tc>
        <w:tc>
          <w:tcPr>
            <w:tcW w:w="5098" w:type="dxa"/>
          </w:tcPr>
          <w:p w14:paraId="63A8E98F" w14:textId="77777777" w:rsidR="00B64A66" w:rsidRPr="00967C65" w:rsidRDefault="00A468B0">
            <w:pPr>
              <w:spacing w:before="240" w:after="240"/>
              <w:jc w:val="both"/>
              <w:rPr>
                <w:rFonts w:ascii="Palatino Linotype" w:eastAsia="Palatino Linotype" w:hAnsi="Palatino Linotype" w:cs="Palatino Linotype"/>
                <w:i/>
                <w:sz w:val="20"/>
                <w:szCs w:val="20"/>
              </w:rPr>
            </w:pPr>
            <w:r w:rsidRPr="00967C65">
              <w:rPr>
                <w:rFonts w:ascii="Palatino Linotype" w:eastAsia="Palatino Linotype" w:hAnsi="Palatino Linotype" w:cs="Palatino Linotype"/>
                <w:i/>
                <w:sz w:val="20"/>
                <w:szCs w:val="20"/>
              </w:rPr>
              <w:t xml:space="preserve">“Solicito </w:t>
            </w:r>
            <w:r w:rsidRPr="00967C65">
              <w:rPr>
                <w:rFonts w:ascii="Palatino Linotype" w:eastAsia="Palatino Linotype" w:hAnsi="Palatino Linotype" w:cs="Palatino Linotype"/>
                <w:b/>
                <w:i/>
                <w:sz w:val="20"/>
                <w:szCs w:val="20"/>
                <w:u w:val="single"/>
              </w:rPr>
              <w:t>manual de organización, manual de procedimientos, reglamento así como acta de cabildo donde fueron aprobados</w:t>
            </w:r>
            <w:r w:rsidRPr="00967C65">
              <w:rPr>
                <w:rFonts w:ascii="Palatino Linotype" w:eastAsia="Palatino Linotype" w:hAnsi="Palatino Linotype" w:cs="Palatino Linotype"/>
                <w:i/>
                <w:sz w:val="20"/>
                <w:szCs w:val="20"/>
              </w:rPr>
              <w:t xml:space="preserve"> del área de transparencia esto durante la administración 2022 2024” (Sic) </w:t>
            </w:r>
          </w:p>
        </w:tc>
      </w:tr>
      <w:tr w:rsidR="00967C65" w:rsidRPr="00967C65" w14:paraId="5648F481" w14:textId="77777777">
        <w:tc>
          <w:tcPr>
            <w:tcW w:w="3823" w:type="dxa"/>
          </w:tcPr>
          <w:p w14:paraId="5A1178EE"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00370/TEMAMATL/IP/2024,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06621/INFOEM/IP/RR/2024</w:t>
            </w:r>
          </w:p>
        </w:tc>
        <w:tc>
          <w:tcPr>
            <w:tcW w:w="5098" w:type="dxa"/>
          </w:tcPr>
          <w:p w14:paraId="6B592763" w14:textId="77777777" w:rsidR="00B64A66" w:rsidRPr="00967C65" w:rsidRDefault="00A468B0">
            <w:pPr>
              <w:spacing w:before="240" w:after="240"/>
              <w:jc w:val="both"/>
              <w:rPr>
                <w:rFonts w:ascii="Palatino Linotype" w:eastAsia="Palatino Linotype" w:hAnsi="Palatino Linotype" w:cs="Palatino Linotype"/>
                <w:i/>
                <w:sz w:val="20"/>
                <w:szCs w:val="20"/>
              </w:rPr>
            </w:pPr>
            <w:r w:rsidRPr="00967C65">
              <w:rPr>
                <w:rFonts w:ascii="Palatino Linotype" w:eastAsia="Palatino Linotype" w:hAnsi="Palatino Linotype" w:cs="Palatino Linotype"/>
                <w:i/>
                <w:sz w:val="20"/>
                <w:szCs w:val="20"/>
              </w:rPr>
              <w:t xml:space="preserve">“Solicito </w:t>
            </w:r>
            <w:r w:rsidRPr="00967C65">
              <w:rPr>
                <w:rFonts w:ascii="Palatino Linotype" w:eastAsia="Palatino Linotype" w:hAnsi="Palatino Linotype" w:cs="Palatino Linotype"/>
                <w:b/>
                <w:i/>
                <w:sz w:val="20"/>
                <w:szCs w:val="20"/>
                <w:u w:val="single"/>
              </w:rPr>
              <w:t>manual de organización, manual de procedimientos, reglamento así como acta de cabildo donde fueron aprobados</w:t>
            </w:r>
            <w:r w:rsidRPr="00967C65">
              <w:rPr>
                <w:rFonts w:ascii="Palatino Linotype" w:eastAsia="Palatino Linotype" w:hAnsi="Palatino Linotype" w:cs="Palatino Linotype"/>
                <w:i/>
                <w:sz w:val="20"/>
                <w:szCs w:val="20"/>
              </w:rPr>
              <w:t xml:space="preserve"> del área de protección civil”(Sic)</w:t>
            </w:r>
          </w:p>
        </w:tc>
      </w:tr>
      <w:tr w:rsidR="00967C65" w:rsidRPr="00967C65" w14:paraId="5B93E72C" w14:textId="77777777">
        <w:tc>
          <w:tcPr>
            <w:tcW w:w="3823" w:type="dxa"/>
          </w:tcPr>
          <w:p w14:paraId="47D8D626"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00372/TEMAMATL/IP/2024,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06622/INFOEM/IP/RR/2024</w:t>
            </w:r>
          </w:p>
        </w:tc>
        <w:tc>
          <w:tcPr>
            <w:tcW w:w="5098" w:type="dxa"/>
          </w:tcPr>
          <w:p w14:paraId="649C4F1D" w14:textId="77777777" w:rsidR="00B64A66" w:rsidRPr="00967C65" w:rsidRDefault="00A468B0">
            <w:pPr>
              <w:spacing w:before="240" w:after="240"/>
              <w:jc w:val="both"/>
              <w:rPr>
                <w:rFonts w:ascii="Palatino Linotype" w:eastAsia="Palatino Linotype" w:hAnsi="Palatino Linotype" w:cs="Palatino Linotype"/>
                <w:i/>
                <w:sz w:val="20"/>
                <w:szCs w:val="20"/>
              </w:rPr>
            </w:pPr>
            <w:r w:rsidRPr="00967C65">
              <w:rPr>
                <w:rFonts w:ascii="Palatino Linotype" w:eastAsia="Palatino Linotype" w:hAnsi="Palatino Linotype" w:cs="Palatino Linotype"/>
                <w:i/>
                <w:sz w:val="20"/>
                <w:szCs w:val="20"/>
              </w:rPr>
              <w:t xml:space="preserve">“Solicito </w:t>
            </w:r>
            <w:r w:rsidRPr="00967C65">
              <w:rPr>
                <w:rFonts w:ascii="Palatino Linotype" w:eastAsia="Palatino Linotype" w:hAnsi="Palatino Linotype" w:cs="Palatino Linotype"/>
                <w:b/>
                <w:i/>
                <w:sz w:val="20"/>
                <w:szCs w:val="20"/>
                <w:u w:val="single"/>
              </w:rPr>
              <w:t>manual de organización, manual de procedimientos, reglamento así como acta de cabildo donde fueron aprobados</w:t>
            </w:r>
            <w:r w:rsidRPr="00967C65">
              <w:rPr>
                <w:rFonts w:ascii="Palatino Linotype" w:eastAsia="Palatino Linotype" w:hAnsi="Palatino Linotype" w:cs="Palatino Linotype"/>
                <w:i/>
                <w:sz w:val="20"/>
                <w:szCs w:val="20"/>
              </w:rPr>
              <w:t>, del área de desarrollo economico esto durante la administración 2022 2024”(Sic)</w:t>
            </w:r>
          </w:p>
        </w:tc>
      </w:tr>
    </w:tbl>
    <w:p w14:paraId="54186271"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 xml:space="preserve">Modalidad elegida para la entrega de la información: </w:t>
      </w:r>
      <w:r w:rsidRPr="00967C65">
        <w:rPr>
          <w:rFonts w:ascii="Palatino Linotype" w:eastAsia="Palatino Linotype" w:hAnsi="Palatino Linotype" w:cs="Palatino Linotype"/>
          <w:sz w:val="22"/>
          <w:szCs w:val="22"/>
        </w:rPr>
        <w:t xml:space="preserve">A través del </w:t>
      </w:r>
      <w:r w:rsidRPr="00967C65">
        <w:rPr>
          <w:rFonts w:ascii="Palatino Linotype" w:eastAsia="Palatino Linotype" w:hAnsi="Palatino Linotype" w:cs="Palatino Linotype"/>
          <w:b/>
          <w:sz w:val="22"/>
          <w:szCs w:val="22"/>
        </w:rPr>
        <w:t xml:space="preserve">SAIMEX </w:t>
      </w:r>
    </w:p>
    <w:p w14:paraId="468572A0"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2. Respuestas. </w:t>
      </w:r>
      <w:r w:rsidRPr="00967C65">
        <w:rPr>
          <w:rFonts w:ascii="Palatino Linotype" w:eastAsia="Palatino Linotype" w:hAnsi="Palatino Linotype" w:cs="Palatino Linotype"/>
          <w:sz w:val="22"/>
          <w:szCs w:val="22"/>
        </w:rPr>
        <w:t xml:space="preserve"> El </w:t>
      </w:r>
      <w:r w:rsidRPr="00967C65">
        <w:rPr>
          <w:rFonts w:ascii="Palatino Linotype" w:eastAsia="Palatino Linotype" w:hAnsi="Palatino Linotype" w:cs="Palatino Linotype"/>
          <w:b/>
          <w:sz w:val="22"/>
          <w:szCs w:val="22"/>
        </w:rPr>
        <w:t>veintiuno de octubre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de dos mil veinticuatro</w:t>
      </w:r>
      <w:r w:rsidRPr="00967C65">
        <w:rPr>
          <w:rFonts w:ascii="Palatino Linotype" w:eastAsia="Palatino Linotype" w:hAnsi="Palatino Linotype" w:cs="Palatino Linotype"/>
          <w:sz w:val="22"/>
          <w:szCs w:val="22"/>
        </w:rPr>
        <w:t xml:space="preserv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notificó a </w:t>
      </w:r>
      <w:r w:rsidRPr="00967C65">
        <w:rPr>
          <w:rFonts w:ascii="Palatino Linotype" w:eastAsia="Palatino Linotype" w:hAnsi="Palatino Linotype" w:cs="Palatino Linotype"/>
          <w:b/>
          <w:sz w:val="22"/>
          <w:szCs w:val="22"/>
        </w:rPr>
        <w:t>la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f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67C65" w:rsidRPr="00967C65" w14:paraId="529014A2" w14:textId="77777777">
        <w:tc>
          <w:tcPr>
            <w:tcW w:w="3823" w:type="dxa"/>
            <w:shd w:val="clear" w:color="auto" w:fill="F9EC9D"/>
          </w:tcPr>
          <w:p w14:paraId="088B3B58" w14:textId="77777777" w:rsidR="00B64A66" w:rsidRPr="00967C65" w:rsidRDefault="00A468B0">
            <w:pPr>
              <w:spacing w:before="240" w:after="240"/>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t>Número de solicitud y recurso de revisión</w:t>
            </w:r>
          </w:p>
        </w:tc>
        <w:tc>
          <w:tcPr>
            <w:tcW w:w="5098" w:type="dxa"/>
            <w:shd w:val="clear" w:color="auto" w:fill="F9EC9D"/>
          </w:tcPr>
          <w:p w14:paraId="607062ED" w14:textId="77777777" w:rsidR="00B64A66" w:rsidRPr="00967C65" w:rsidRDefault="00A468B0">
            <w:pPr>
              <w:spacing w:before="240" w:after="240" w:line="360" w:lineRule="auto"/>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t>Respuesta</w:t>
            </w:r>
          </w:p>
        </w:tc>
      </w:tr>
      <w:tr w:rsidR="00967C65" w:rsidRPr="00967C65" w14:paraId="4CD6D75C" w14:textId="77777777">
        <w:tc>
          <w:tcPr>
            <w:tcW w:w="3823" w:type="dxa"/>
          </w:tcPr>
          <w:p w14:paraId="7C747253"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00361/TEMAMATL/IP/2024,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06619/INFOEM/IP/RR/2024</w:t>
            </w:r>
          </w:p>
        </w:tc>
        <w:tc>
          <w:tcPr>
            <w:tcW w:w="5098" w:type="dxa"/>
          </w:tcPr>
          <w:p w14:paraId="1A52D470" w14:textId="77777777" w:rsidR="00B64A66" w:rsidRPr="00967C65" w:rsidRDefault="00A468B0">
            <w:pPr>
              <w:spacing w:before="240" w:after="240"/>
              <w:jc w:val="both"/>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Archivos adjuntos:</w:t>
            </w:r>
          </w:p>
          <w:p w14:paraId="76AC90F2" w14:textId="77777777" w:rsidR="00B64A66" w:rsidRPr="00967C65" w:rsidRDefault="00A468B0">
            <w:pPr>
              <w:spacing w:before="240" w:after="240"/>
              <w:jc w:val="both"/>
              <w:rPr>
                <w:rFonts w:ascii="Palatino Linotype" w:eastAsia="Palatino Linotype" w:hAnsi="Palatino Linotype" w:cs="Palatino Linotype"/>
                <w:sz w:val="18"/>
                <w:szCs w:val="18"/>
              </w:rPr>
            </w:pPr>
            <w:r w:rsidRPr="00967C65">
              <w:rPr>
                <w:rFonts w:ascii="Palatino Linotype" w:eastAsia="Palatino Linotype" w:hAnsi="Palatino Linotype" w:cs="Palatino Linotype"/>
                <w:b/>
                <w:i/>
                <w:sz w:val="18"/>
                <w:szCs w:val="18"/>
              </w:rPr>
              <w:t>“contestacion 00361.pdf”:</w:t>
            </w:r>
            <w:r w:rsidRPr="00967C65">
              <w:rPr>
                <w:rFonts w:ascii="Palatino Linotype" w:eastAsia="Palatino Linotype" w:hAnsi="Palatino Linotype" w:cs="Palatino Linotype"/>
                <w:sz w:val="18"/>
                <w:szCs w:val="18"/>
              </w:rPr>
              <w:t xml:space="preserve"> Oficio DGMRIPPE/045/2024, por el cual, la Encargada de Despacho de la Dirección General de Mejora Regulatoria e Información, Programación, Planeación y Evaluación, en el cual informa que dicha dirección propone la consulta directa derivado de la cantidad, volumen, los recursos materiales y humanos con los que cuenta dicha dirección son limitados.</w:t>
            </w:r>
          </w:p>
          <w:p w14:paraId="55417FF6" w14:textId="77777777" w:rsidR="00B64A66" w:rsidRPr="00967C65" w:rsidRDefault="00A468B0">
            <w:pPr>
              <w:spacing w:before="240" w:after="240"/>
              <w:jc w:val="both"/>
              <w:rPr>
                <w:rFonts w:ascii="Palatino Linotype" w:eastAsia="Palatino Linotype" w:hAnsi="Palatino Linotype" w:cs="Palatino Linotype"/>
                <w:sz w:val="20"/>
                <w:szCs w:val="20"/>
              </w:rPr>
            </w:pPr>
            <w:r w:rsidRPr="00967C65">
              <w:rPr>
                <w:rFonts w:ascii="Palatino Linotype" w:eastAsia="Palatino Linotype" w:hAnsi="Palatino Linotype" w:cs="Palatino Linotype"/>
                <w:b/>
                <w:i/>
                <w:sz w:val="18"/>
                <w:szCs w:val="18"/>
              </w:rPr>
              <w:lastRenderedPageBreak/>
              <w:t xml:space="preserve">“ACTA 84.pdf”: </w:t>
            </w:r>
            <w:r w:rsidRPr="00967C65">
              <w:rPr>
                <w:rFonts w:ascii="Palatino Linotype" w:eastAsia="Palatino Linotype" w:hAnsi="Palatino Linotype" w:cs="Palatino Linotype"/>
                <w:sz w:val="18"/>
                <w:szCs w:val="18"/>
              </w:rPr>
              <w:t>Acta de la Octagésima Cuarta Sesión Ordinaria del Comité de Transparencia del Ayuntamiento de Temamatla 2022-2024, por la que se aprueba el cambio de modalidad a consulta directa, estableciendo como fecha de cita el veintidós de octubre de dos mil veinticuatro en un horario de 09:00 a 10:00 hrs, en las oficinas de la UIPPE.</w:t>
            </w:r>
          </w:p>
        </w:tc>
      </w:tr>
      <w:tr w:rsidR="00967C65" w:rsidRPr="00967C65" w14:paraId="4E5AF5A0" w14:textId="77777777">
        <w:tc>
          <w:tcPr>
            <w:tcW w:w="3823" w:type="dxa"/>
          </w:tcPr>
          <w:p w14:paraId="6910B9D7" w14:textId="77777777" w:rsidR="00B64A66" w:rsidRPr="00967C65" w:rsidRDefault="00A468B0">
            <w:pPr>
              <w:spacing w:before="240" w:after="240"/>
              <w:jc w:val="center"/>
              <w:rPr>
                <w:rFonts w:ascii="Palatino Linotype" w:eastAsia="Palatino Linotype" w:hAnsi="Palatino Linotype" w:cs="Palatino Linotype"/>
                <w:b/>
              </w:rPr>
            </w:pPr>
            <w:r w:rsidRPr="00967C65">
              <w:rPr>
                <w:rFonts w:ascii="Palatino Linotype" w:eastAsia="Palatino Linotype" w:hAnsi="Palatino Linotype" w:cs="Palatino Linotype"/>
                <w:b/>
                <w:sz w:val="20"/>
                <w:szCs w:val="20"/>
              </w:rPr>
              <w:lastRenderedPageBreak/>
              <w:t xml:space="preserve">00371/TEMAMATL/IP/2024,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06620/INFOEM/IP/RR/2024</w:t>
            </w:r>
          </w:p>
        </w:tc>
        <w:tc>
          <w:tcPr>
            <w:tcW w:w="5098" w:type="dxa"/>
          </w:tcPr>
          <w:p w14:paraId="41B649A4" w14:textId="77777777" w:rsidR="00B64A66" w:rsidRPr="00967C65" w:rsidRDefault="00A468B0">
            <w:pP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Archivos adjuntos:</w:t>
            </w:r>
          </w:p>
          <w:p w14:paraId="0933FEEF" w14:textId="77777777" w:rsidR="00B64A66" w:rsidRPr="00967C65" w:rsidRDefault="00A468B0">
            <w:pPr>
              <w:spacing w:before="240" w:after="240"/>
              <w:jc w:val="both"/>
              <w:rPr>
                <w:rFonts w:ascii="Palatino Linotype" w:eastAsia="Palatino Linotype" w:hAnsi="Palatino Linotype" w:cs="Palatino Linotype"/>
                <w:sz w:val="18"/>
                <w:szCs w:val="18"/>
              </w:rPr>
            </w:pPr>
            <w:r w:rsidRPr="00967C65">
              <w:rPr>
                <w:rFonts w:ascii="Palatino Linotype" w:eastAsia="Palatino Linotype" w:hAnsi="Palatino Linotype" w:cs="Palatino Linotype"/>
                <w:b/>
                <w:i/>
                <w:sz w:val="18"/>
                <w:szCs w:val="18"/>
              </w:rPr>
              <w:t xml:space="preserve">“contestacion 00371.pdf”: </w:t>
            </w:r>
            <w:r w:rsidRPr="00967C65">
              <w:rPr>
                <w:rFonts w:ascii="Palatino Linotype" w:eastAsia="Palatino Linotype" w:hAnsi="Palatino Linotype" w:cs="Palatino Linotype"/>
                <w:sz w:val="18"/>
                <w:szCs w:val="18"/>
              </w:rPr>
              <w:t>Oficio DGMRIPPE/046/2024, por el cual, la Encargada de Despacho de la Dirección General de Mejora Regulatoria e Información, Programación, Planeación y Evaluación, en el cual informa que dicha dirección propone la consulta directa derivado de la cantidad, volumen, los recursos materiales y humanos con los que cuenta dicha dirección son limitados.</w:t>
            </w:r>
          </w:p>
          <w:p w14:paraId="2AC7CEF2" w14:textId="77777777" w:rsidR="00B64A66" w:rsidRPr="00967C65" w:rsidRDefault="00A468B0">
            <w:pPr>
              <w:jc w:val="both"/>
            </w:pPr>
            <w:r w:rsidRPr="00967C65">
              <w:rPr>
                <w:rFonts w:ascii="Palatino Linotype" w:eastAsia="Palatino Linotype" w:hAnsi="Palatino Linotype" w:cs="Palatino Linotype"/>
                <w:b/>
                <w:i/>
                <w:sz w:val="18"/>
                <w:szCs w:val="18"/>
              </w:rPr>
              <w:t xml:space="preserve">“ACTA 84.pdf”: </w:t>
            </w:r>
            <w:r w:rsidRPr="00967C65">
              <w:rPr>
                <w:rFonts w:ascii="Palatino Linotype" w:eastAsia="Palatino Linotype" w:hAnsi="Palatino Linotype" w:cs="Palatino Linotype"/>
                <w:sz w:val="18"/>
                <w:szCs w:val="18"/>
              </w:rPr>
              <w:t>Acta de la Octagésima Cuarta Sesión Ordinaria del Comité de Transparencia del Ayuntamiento de Temamatla 2022-2024, por la que se aprueba el cambio de modalidad a consulta directa, estableciendo como fecha de cita el veintidós de octubre de dos mil veinticuatro en un horario de 09:00 a 10:00 hrs, en las oficinas de la UIPPE.</w:t>
            </w:r>
          </w:p>
        </w:tc>
      </w:tr>
      <w:tr w:rsidR="00967C65" w:rsidRPr="00967C65" w14:paraId="72BBE357" w14:textId="77777777">
        <w:tc>
          <w:tcPr>
            <w:tcW w:w="3823" w:type="dxa"/>
          </w:tcPr>
          <w:p w14:paraId="128DE18E"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00370/TEMAMATL/IP/2024,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06621/INFOEM/IP/RR/2024</w:t>
            </w:r>
          </w:p>
        </w:tc>
        <w:tc>
          <w:tcPr>
            <w:tcW w:w="5098" w:type="dxa"/>
          </w:tcPr>
          <w:p w14:paraId="6812C3AC" w14:textId="77777777" w:rsidR="00B64A66" w:rsidRPr="00967C65" w:rsidRDefault="00A468B0">
            <w:pP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Archivos adjuntos:</w:t>
            </w:r>
          </w:p>
          <w:p w14:paraId="32E99B71" w14:textId="77777777" w:rsidR="00B64A66" w:rsidRPr="00967C65" w:rsidRDefault="00A468B0">
            <w:pPr>
              <w:spacing w:before="240" w:after="240"/>
              <w:jc w:val="both"/>
              <w:rPr>
                <w:rFonts w:ascii="Palatino Linotype" w:eastAsia="Palatino Linotype" w:hAnsi="Palatino Linotype" w:cs="Palatino Linotype"/>
                <w:sz w:val="18"/>
                <w:szCs w:val="18"/>
              </w:rPr>
            </w:pPr>
            <w:r w:rsidRPr="00967C65">
              <w:rPr>
                <w:rFonts w:ascii="Palatino Linotype" w:eastAsia="Palatino Linotype" w:hAnsi="Palatino Linotype" w:cs="Palatino Linotype"/>
                <w:b/>
                <w:i/>
                <w:sz w:val="18"/>
                <w:szCs w:val="18"/>
              </w:rPr>
              <w:t xml:space="preserve">“contestacion 00370.pdf”: </w:t>
            </w:r>
            <w:r w:rsidRPr="00967C65">
              <w:rPr>
                <w:rFonts w:ascii="Palatino Linotype" w:eastAsia="Palatino Linotype" w:hAnsi="Palatino Linotype" w:cs="Palatino Linotype"/>
                <w:sz w:val="18"/>
                <w:szCs w:val="18"/>
              </w:rPr>
              <w:t>Oficio DGMRIPPE/044/2024, por el cual, la Encargada de Despacho de la Dirección General de Mejora Regulatoria e Información, Programación, Planeación y Evaluación, en el cual informa que dicha dirección propone la consulta directa derivado de la cantidad, volumen, los recursos materiales y humanos con los que cuenta dicha dirección son limitados.</w:t>
            </w:r>
          </w:p>
          <w:p w14:paraId="46FCFE7D" w14:textId="77777777" w:rsidR="00B64A66" w:rsidRPr="00967C65" w:rsidRDefault="00A468B0">
            <w:pPr>
              <w:jc w:val="both"/>
            </w:pPr>
            <w:r w:rsidRPr="00967C65">
              <w:rPr>
                <w:rFonts w:ascii="Palatino Linotype" w:eastAsia="Palatino Linotype" w:hAnsi="Palatino Linotype" w:cs="Palatino Linotype"/>
                <w:b/>
                <w:i/>
                <w:sz w:val="18"/>
                <w:szCs w:val="18"/>
              </w:rPr>
              <w:t xml:space="preserve">“ACTA 84.pdf”: </w:t>
            </w:r>
            <w:r w:rsidRPr="00967C65">
              <w:rPr>
                <w:rFonts w:ascii="Palatino Linotype" w:eastAsia="Palatino Linotype" w:hAnsi="Palatino Linotype" w:cs="Palatino Linotype"/>
                <w:sz w:val="18"/>
                <w:szCs w:val="18"/>
              </w:rPr>
              <w:t>Acta de la Octagésima Cuarta Sesión Ordinaria del Comité de Transparencia del Ayuntamiento de Temamatla 2022-2024, por la que se aprueba el cambio de modalidad a consulta directa, estableciendo como fecha de cita el veintidós de octubre de dos mil veinticuatro en un horario de 09:00 a 10:00 hrs, en las oficinas de la UIPPE.</w:t>
            </w:r>
          </w:p>
        </w:tc>
      </w:tr>
      <w:tr w:rsidR="00967C65" w:rsidRPr="00967C65" w14:paraId="5753620C" w14:textId="77777777">
        <w:tc>
          <w:tcPr>
            <w:tcW w:w="3823" w:type="dxa"/>
          </w:tcPr>
          <w:p w14:paraId="2D0D69F5" w14:textId="77777777" w:rsidR="00B64A66" w:rsidRPr="00967C65" w:rsidRDefault="00A468B0">
            <w:pPr>
              <w:spacing w:before="240" w:after="240"/>
              <w:jc w:val="center"/>
              <w:rPr>
                <w:rFonts w:ascii="Palatino Linotype" w:eastAsia="Palatino Linotype" w:hAnsi="Palatino Linotype" w:cs="Palatino Linotype"/>
                <w:b/>
                <w:sz w:val="20"/>
                <w:szCs w:val="20"/>
              </w:rPr>
            </w:pPr>
            <w:r w:rsidRPr="00967C65">
              <w:rPr>
                <w:rFonts w:ascii="Palatino Linotype" w:eastAsia="Palatino Linotype" w:hAnsi="Palatino Linotype" w:cs="Palatino Linotype"/>
                <w:b/>
                <w:sz w:val="20"/>
                <w:szCs w:val="20"/>
              </w:rPr>
              <w:t xml:space="preserve">00372/TEMAMATL/IP/2024, </w:t>
            </w:r>
            <w:r w:rsidRPr="00967C65">
              <w:rPr>
                <w:rFonts w:ascii="Palatino Linotype" w:eastAsia="Palatino Linotype" w:hAnsi="Palatino Linotype" w:cs="Palatino Linotype"/>
                <w:sz w:val="20"/>
                <w:szCs w:val="20"/>
              </w:rPr>
              <w:t>correspondiente al Recurso de Revisión</w:t>
            </w:r>
            <w:r w:rsidRPr="00967C65">
              <w:rPr>
                <w:rFonts w:ascii="Palatino Linotype" w:eastAsia="Palatino Linotype" w:hAnsi="Palatino Linotype" w:cs="Palatino Linotype"/>
                <w:b/>
                <w:sz w:val="20"/>
                <w:szCs w:val="20"/>
              </w:rPr>
              <w:t xml:space="preserve">      06622/INFOEM/IP/RR/2024</w:t>
            </w:r>
          </w:p>
        </w:tc>
        <w:tc>
          <w:tcPr>
            <w:tcW w:w="5098" w:type="dxa"/>
          </w:tcPr>
          <w:p w14:paraId="76A69E50" w14:textId="77777777" w:rsidR="00B64A66" w:rsidRPr="00967C65" w:rsidRDefault="00A468B0">
            <w:pP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Archivos adjuntos:</w:t>
            </w:r>
          </w:p>
          <w:p w14:paraId="711459BF" w14:textId="77777777" w:rsidR="00B64A66" w:rsidRPr="00967C65" w:rsidRDefault="00B64A66">
            <w:pPr>
              <w:rPr>
                <w:rFonts w:ascii="Palatino Linotype" w:eastAsia="Palatino Linotype" w:hAnsi="Palatino Linotype" w:cs="Palatino Linotype"/>
                <w:b/>
                <w:sz w:val="18"/>
                <w:szCs w:val="18"/>
              </w:rPr>
            </w:pPr>
          </w:p>
          <w:p w14:paraId="34C3E9CD" w14:textId="77777777" w:rsidR="00B64A66" w:rsidRPr="00967C65" w:rsidRDefault="00A468B0">
            <w:pPr>
              <w:jc w:val="both"/>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i/>
                <w:sz w:val="18"/>
                <w:szCs w:val="18"/>
              </w:rPr>
              <w:t xml:space="preserve">“contestacion 00372.pdf”: </w:t>
            </w:r>
            <w:r w:rsidRPr="00967C65">
              <w:rPr>
                <w:rFonts w:ascii="Palatino Linotype" w:eastAsia="Palatino Linotype" w:hAnsi="Palatino Linotype" w:cs="Palatino Linotype"/>
                <w:sz w:val="18"/>
                <w:szCs w:val="18"/>
              </w:rPr>
              <w:t xml:space="preserve">Oficio DGMRIPPE/047/2024, por el cual, la Encargada de Despacho de la Dirección General de Mejora Regulatoria e Información, Programación, Planeación </w:t>
            </w:r>
            <w:r w:rsidRPr="00967C65">
              <w:rPr>
                <w:rFonts w:ascii="Palatino Linotype" w:eastAsia="Palatino Linotype" w:hAnsi="Palatino Linotype" w:cs="Palatino Linotype"/>
                <w:sz w:val="18"/>
                <w:szCs w:val="18"/>
              </w:rPr>
              <w:lastRenderedPageBreak/>
              <w:t>y Evaluación, en el cual informa que dicha dirección propone la consulta directa derivado de la cantidad, volumen, los recursos materiales y humanos con los que cuenta dicha dirección son limitados.</w:t>
            </w:r>
          </w:p>
          <w:p w14:paraId="5AED2939" w14:textId="77777777" w:rsidR="00B64A66" w:rsidRPr="00967C65" w:rsidRDefault="00A468B0">
            <w:pPr>
              <w:jc w:val="both"/>
            </w:pPr>
            <w:r w:rsidRPr="00967C65">
              <w:rPr>
                <w:rFonts w:ascii="Palatino Linotype" w:eastAsia="Palatino Linotype" w:hAnsi="Palatino Linotype" w:cs="Palatino Linotype"/>
                <w:b/>
                <w:i/>
                <w:sz w:val="18"/>
                <w:szCs w:val="18"/>
              </w:rPr>
              <w:t xml:space="preserve">“ACTA 84.pdf”: </w:t>
            </w:r>
            <w:r w:rsidRPr="00967C65">
              <w:rPr>
                <w:rFonts w:ascii="Palatino Linotype" w:eastAsia="Palatino Linotype" w:hAnsi="Palatino Linotype" w:cs="Palatino Linotype"/>
                <w:sz w:val="18"/>
                <w:szCs w:val="18"/>
              </w:rPr>
              <w:t>Acta de la Octagésima Cuarta Sesión Ordinaria del Comité de Transparencia del Ayuntamiento de Temamatla 2022-2024, por la que se aprueba el cambio de modalidad a consulta directa, estableciendo como fecha de cita el veintidós de octubre de dos mil veinticuatro en un horario de 09:00 a 10:00 hrs, en las oficinas de la UIPPE.</w:t>
            </w:r>
          </w:p>
        </w:tc>
      </w:tr>
    </w:tbl>
    <w:p w14:paraId="34E5473E"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lastRenderedPageBreak/>
        <w:t xml:space="preserve">3. Interposición de los recursos de revisión.  </w:t>
      </w:r>
      <w:r w:rsidRPr="00967C65">
        <w:rPr>
          <w:rFonts w:ascii="Palatino Linotype" w:eastAsia="Palatino Linotype" w:hAnsi="Palatino Linotype" w:cs="Palatino Linotype"/>
          <w:sz w:val="22"/>
          <w:szCs w:val="22"/>
        </w:rPr>
        <w:t xml:space="preserve">El </w:t>
      </w:r>
      <w:r w:rsidRPr="00967C65">
        <w:rPr>
          <w:rFonts w:ascii="Palatino Linotype" w:eastAsia="Palatino Linotype" w:hAnsi="Palatino Linotype" w:cs="Palatino Linotype"/>
          <w:b/>
          <w:sz w:val="22"/>
          <w:szCs w:val="22"/>
        </w:rPr>
        <w:t xml:space="preserve">veintitrés de octubre de dos mil veinticuatro, la parte Recurrente, </w:t>
      </w:r>
      <w:r w:rsidRPr="00967C65">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p w14:paraId="5AEAEA0B"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sz w:val="22"/>
          <w:szCs w:val="22"/>
        </w:rPr>
        <w:t>a) Acto impugnado:</w:t>
      </w:r>
      <w:r w:rsidRPr="00967C65">
        <w:t xml:space="preserve"> </w:t>
      </w:r>
      <w:r w:rsidRPr="00967C65">
        <w:rPr>
          <w:rFonts w:ascii="Palatino Linotype" w:eastAsia="Palatino Linotype" w:hAnsi="Palatino Linotype" w:cs="Palatino Linotype"/>
          <w:sz w:val="22"/>
          <w:szCs w:val="22"/>
        </w:rPr>
        <w:t>“</w:t>
      </w:r>
      <w:r w:rsidRPr="00967C65">
        <w:rPr>
          <w:rFonts w:ascii="Palatino Linotype" w:eastAsia="Palatino Linotype" w:hAnsi="Palatino Linotype" w:cs="Palatino Linotype"/>
          <w:i/>
          <w:sz w:val="22"/>
          <w:szCs w:val="22"/>
        </w:rPr>
        <w:t>RESPUESTA OTORGADA”</w:t>
      </w:r>
    </w:p>
    <w:p w14:paraId="01217DA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sz w:val="22"/>
          <w:szCs w:val="22"/>
        </w:rPr>
        <w:t>b) Razones o Motivos de Inconformidad:</w:t>
      </w:r>
      <w:r w:rsidRPr="00967C65">
        <w:t xml:space="preserve"> </w:t>
      </w:r>
      <w:r w:rsidRPr="00967C65">
        <w:rPr>
          <w:rFonts w:ascii="Palatino Linotype" w:eastAsia="Palatino Linotype" w:hAnsi="Palatino Linotype" w:cs="Palatino Linotype"/>
          <w:sz w:val="22"/>
          <w:szCs w:val="22"/>
        </w:rPr>
        <w:t>“</w:t>
      </w:r>
      <w:r w:rsidRPr="00967C65">
        <w:rPr>
          <w:rFonts w:ascii="Palatino Linotype" w:eastAsia="Palatino Linotype" w:hAnsi="Palatino Linotype" w:cs="Palatino Linotype"/>
          <w:b/>
          <w:i/>
          <w:sz w:val="22"/>
          <w:szCs w:val="22"/>
          <w:u w:val="single"/>
        </w:rPr>
        <w:t>EL SUJETO OBLIGADO MANIFIESTA QUE LA ENTREGA DE INFORMACION SERA MEDIANTE CONSULTA DIRECTA EN UNA FECHA Y UN HORARIO IGUAL AL ESTABLECIDO EN LAS SOLICITUDES 352, 261, 371, 370, 372, 392, PONIENDO A DISPOCISION LA INFORMACION EN LUGARES TOTALMENTE DISTINTOS ENTRE UNA SOLICITUD Y OTRA, HACIENDO ESTO HUMANAMENTE IMPOSIBLE DE SOLVENTAR</w:t>
      </w:r>
      <w:r w:rsidRPr="00967C65">
        <w:rPr>
          <w:rFonts w:ascii="Palatino Linotype" w:eastAsia="Palatino Linotype" w:hAnsi="Palatino Linotype" w:cs="Palatino Linotype"/>
          <w:i/>
          <w:sz w:val="22"/>
          <w:szCs w:val="22"/>
        </w:rPr>
        <w:t xml:space="preserve">,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w:t>
      </w:r>
      <w:r w:rsidRPr="00967C65">
        <w:rPr>
          <w:rFonts w:ascii="Palatino Linotype" w:eastAsia="Palatino Linotype" w:hAnsi="Palatino Linotype" w:cs="Palatino Linotype"/>
          <w:b/>
          <w:i/>
          <w:sz w:val="22"/>
          <w:szCs w:val="22"/>
          <w:u w:val="single"/>
        </w:rPr>
        <w:t>SOLICITO QUE LA INFORMACION SEA ENTREGADA A TRAVES DE ESTA PLATAFORMA</w:t>
      </w:r>
      <w:r w:rsidRPr="00967C65">
        <w:rPr>
          <w:rFonts w:ascii="Palatino Linotype" w:eastAsia="Palatino Linotype" w:hAnsi="Palatino Linotype" w:cs="Palatino Linotype"/>
          <w:i/>
          <w:sz w:val="22"/>
          <w:szCs w:val="22"/>
        </w:rPr>
        <w:t>”</w:t>
      </w:r>
    </w:p>
    <w:p w14:paraId="7CDDC7A7"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lastRenderedPageBreak/>
        <w:t xml:space="preserve">4. Turnos. </w:t>
      </w:r>
      <w:r w:rsidRPr="00967C65">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f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967C65" w:rsidRPr="00967C65" w14:paraId="4C3517F5" w14:textId="77777777">
        <w:tc>
          <w:tcPr>
            <w:tcW w:w="4460" w:type="dxa"/>
            <w:shd w:val="clear" w:color="auto" w:fill="F9EC9D"/>
          </w:tcPr>
          <w:p w14:paraId="63415205" w14:textId="77777777" w:rsidR="00B64A66" w:rsidRPr="00967C65" w:rsidRDefault="00A468B0">
            <w:pPr>
              <w:spacing w:before="240" w:after="240" w:line="360" w:lineRule="auto"/>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Recurso de Revisión</w:t>
            </w:r>
          </w:p>
        </w:tc>
        <w:tc>
          <w:tcPr>
            <w:tcW w:w="4461" w:type="dxa"/>
            <w:shd w:val="clear" w:color="auto" w:fill="F9EC9D"/>
          </w:tcPr>
          <w:p w14:paraId="5BF474E3" w14:textId="77777777" w:rsidR="00B64A66" w:rsidRPr="00967C65" w:rsidRDefault="00A468B0">
            <w:pPr>
              <w:spacing w:before="240" w:after="240" w:line="360" w:lineRule="auto"/>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Comisionada/o</w:t>
            </w:r>
          </w:p>
        </w:tc>
      </w:tr>
      <w:tr w:rsidR="00967C65" w:rsidRPr="00967C65" w14:paraId="0473C1BA" w14:textId="77777777">
        <w:tc>
          <w:tcPr>
            <w:tcW w:w="4460" w:type="dxa"/>
          </w:tcPr>
          <w:p w14:paraId="2BE4F6A2" w14:textId="77777777" w:rsidR="00B64A66" w:rsidRPr="00967C65" w:rsidRDefault="00A468B0">
            <w:pPr>
              <w:jc w:val="center"/>
              <w:rPr>
                <w:sz w:val="18"/>
                <w:szCs w:val="18"/>
              </w:rPr>
            </w:pPr>
            <w:r w:rsidRPr="00967C65">
              <w:rPr>
                <w:rFonts w:ascii="Palatino Linotype" w:eastAsia="Palatino Linotype" w:hAnsi="Palatino Linotype" w:cs="Palatino Linotype"/>
                <w:b/>
                <w:sz w:val="18"/>
                <w:szCs w:val="18"/>
              </w:rPr>
              <w:t>06619/INFOEM/IP/RR/2024</w:t>
            </w:r>
          </w:p>
        </w:tc>
        <w:tc>
          <w:tcPr>
            <w:tcW w:w="4461" w:type="dxa"/>
          </w:tcPr>
          <w:p w14:paraId="09D67C85" w14:textId="77777777" w:rsidR="00B64A66" w:rsidRPr="00967C65" w:rsidRDefault="00A468B0">
            <w:pPr>
              <w:spacing w:before="240" w:after="240"/>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Comisionada Guadalupe Ramírez Peña</w:t>
            </w:r>
          </w:p>
        </w:tc>
      </w:tr>
      <w:tr w:rsidR="00967C65" w:rsidRPr="00967C65" w14:paraId="7BD28E7F" w14:textId="77777777">
        <w:tc>
          <w:tcPr>
            <w:tcW w:w="4460" w:type="dxa"/>
          </w:tcPr>
          <w:p w14:paraId="67DBB404" w14:textId="77777777" w:rsidR="00B64A66" w:rsidRPr="00967C65" w:rsidRDefault="00A468B0">
            <w:pPr>
              <w:jc w:val="center"/>
              <w:rPr>
                <w:sz w:val="18"/>
                <w:szCs w:val="18"/>
              </w:rPr>
            </w:pPr>
            <w:r w:rsidRPr="00967C65">
              <w:rPr>
                <w:rFonts w:ascii="Palatino Linotype" w:eastAsia="Palatino Linotype" w:hAnsi="Palatino Linotype" w:cs="Palatino Linotype"/>
                <w:b/>
                <w:sz w:val="18"/>
                <w:szCs w:val="18"/>
              </w:rPr>
              <w:t>06620/INFOEM/IP/RR/2024</w:t>
            </w:r>
          </w:p>
        </w:tc>
        <w:tc>
          <w:tcPr>
            <w:tcW w:w="4461" w:type="dxa"/>
          </w:tcPr>
          <w:p w14:paraId="7295E72D" w14:textId="77777777" w:rsidR="00B64A66" w:rsidRPr="00967C65" w:rsidRDefault="00A468B0">
            <w:pPr>
              <w:spacing w:before="240" w:after="240"/>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Comisionado Presidente José Martínez Vilchis</w:t>
            </w:r>
          </w:p>
        </w:tc>
      </w:tr>
      <w:tr w:rsidR="00967C65" w:rsidRPr="00967C65" w14:paraId="0A5D7A08" w14:textId="77777777">
        <w:tc>
          <w:tcPr>
            <w:tcW w:w="4460" w:type="dxa"/>
          </w:tcPr>
          <w:p w14:paraId="57B1A694" w14:textId="77777777" w:rsidR="00B64A66" w:rsidRPr="00967C65" w:rsidRDefault="00A468B0">
            <w:pPr>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06621/INFOEM/IP/RR/2024</w:t>
            </w:r>
          </w:p>
        </w:tc>
        <w:tc>
          <w:tcPr>
            <w:tcW w:w="4461" w:type="dxa"/>
          </w:tcPr>
          <w:p w14:paraId="55507320" w14:textId="77777777" w:rsidR="00B64A66" w:rsidRPr="00967C65" w:rsidRDefault="00A468B0">
            <w:pPr>
              <w:spacing w:before="240" w:after="240"/>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Comisionado Luis Gustavo Parra Noriega</w:t>
            </w:r>
          </w:p>
        </w:tc>
      </w:tr>
      <w:tr w:rsidR="00967C65" w:rsidRPr="00967C65" w14:paraId="55C706A0" w14:textId="77777777">
        <w:tc>
          <w:tcPr>
            <w:tcW w:w="4460" w:type="dxa"/>
          </w:tcPr>
          <w:p w14:paraId="3F1F2B7F" w14:textId="77777777" w:rsidR="00B64A66" w:rsidRPr="00967C65" w:rsidRDefault="00A468B0">
            <w:pPr>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06622/INFOEM/IP/RR/2024</w:t>
            </w:r>
          </w:p>
        </w:tc>
        <w:tc>
          <w:tcPr>
            <w:tcW w:w="4461" w:type="dxa"/>
          </w:tcPr>
          <w:p w14:paraId="29D46F85" w14:textId="77777777" w:rsidR="00B64A66" w:rsidRPr="00967C65" w:rsidRDefault="00A468B0">
            <w:pPr>
              <w:spacing w:before="240" w:after="240"/>
              <w:jc w:val="center"/>
              <w:rPr>
                <w:rFonts w:ascii="Palatino Linotype" w:eastAsia="Palatino Linotype" w:hAnsi="Palatino Linotype" w:cs="Palatino Linotype"/>
                <w:b/>
                <w:sz w:val="18"/>
                <w:szCs w:val="18"/>
              </w:rPr>
            </w:pPr>
            <w:r w:rsidRPr="00967C65">
              <w:rPr>
                <w:rFonts w:ascii="Palatino Linotype" w:eastAsia="Palatino Linotype" w:hAnsi="Palatino Linotype" w:cs="Palatino Linotype"/>
                <w:b/>
                <w:sz w:val="18"/>
                <w:szCs w:val="18"/>
              </w:rPr>
              <w:t>Comisionada Sharon Cristina Morales Martínez</w:t>
            </w:r>
          </w:p>
        </w:tc>
      </w:tr>
    </w:tbl>
    <w:p w14:paraId="4F5602A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5. Admisiones. </w:t>
      </w:r>
      <w:r w:rsidRPr="00967C65">
        <w:rPr>
          <w:rFonts w:ascii="Palatino Linotype" w:eastAsia="Palatino Linotype" w:hAnsi="Palatino Linotype" w:cs="Palatino Linotype"/>
          <w:sz w:val="22"/>
          <w:szCs w:val="22"/>
        </w:rPr>
        <w:t xml:space="preserve">Los días </w:t>
      </w:r>
      <w:r w:rsidRPr="00967C65">
        <w:rPr>
          <w:rFonts w:ascii="Palatino Linotype" w:eastAsia="Palatino Linotype" w:hAnsi="Palatino Linotype" w:cs="Palatino Linotype"/>
          <w:b/>
          <w:sz w:val="22"/>
          <w:szCs w:val="22"/>
        </w:rPr>
        <w:t>veinticuatro y veintiocho</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de octubre de dos mil veinticuatro,</w:t>
      </w:r>
      <w:r w:rsidRPr="00967C65">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1B0113D"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 xml:space="preserve">6. Acumulación. </w:t>
      </w:r>
      <w:r w:rsidRPr="00967C65">
        <w:rPr>
          <w:rFonts w:ascii="Palatino Linotype" w:eastAsia="Palatino Linotype" w:hAnsi="Palatino Linotype" w:cs="Palatino Linotype"/>
          <w:sz w:val="22"/>
          <w:szCs w:val="22"/>
        </w:rPr>
        <w:t xml:space="preserve">En la </w:t>
      </w:r>
      <w:r w:rsidRPr="00967C65">
        <w:rPr>
          <w:rFonts w:ascii="Palatino Linotype" w:eastAsia="Palatino Linotype" w:hAnsi="Palatino Linotype" w:cs="Palatino Linotype"/>
          <w:b/>
          <w:sz w:val="22"/>
          <w:szCs w:val="22"/>
        </w:rPr>
        <w:t xml:space="preserve">Trigésima Octava Sesión Ordinaria </w:t>
      </w:r>
      <w:r w:rsidRPr="00967C65">
        <w:rPr>
          <w:rFonts w:ascii="Palatino Linotype" w:eastAsia="Palatino Linotype" w:hAnsi="Palatino Linotype" w:cs="Palatino Linotype"/>
          <w:sz w:val="22"/>
          <w:szCs w:val="22"/>
        </w:rPr>
        <w:t xml:space="preserve">celebrada el </w:t>
      </w:r>
      <w:r w:rsidRPr="00967C65">
        <w:rPr>
          <w:rFonts w:ascii="Palatino Linotype" w:eastAsia="Palatino Linotype" w:hAnsi="Palatino Linotype" w:cs="Palatino Linotype"/>
          <w:b/>
          <w:sz w:val="22"/>
          <w:szCs w:val="22"/>
        </w:rPr>
        <w:t>seis de noviembre de dos mil veinticuatro</w:t>
      </w:r>
      <w:r w:rsidRPr="00967C65">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967C65">
        <w:rPr>
          <w:rFonts w:ascii="Palatino Linotype" w:eastAsia="Palatino Linotype" w:hAnsi="Palatino Linotype" w:cs="Palatino Linotype"/>
          <w:b/>
          <w:sz w:val="22"/>
          <w:szCs w:val="22"/>
        </w:rPr>
        <w:lastRenderedPageBreak/>
        <w:t>Comisionada</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Guadalupe Ramírez Peña</w:t>
      </w:r>
      <w:r w:rsidRPr="00967C65">
        <w:rPr>
          <w:rFonts w:ascii="Palatino Linotype" w:eastAsia="Palatino Linotype" w:hAnsi="Palatino Linotype" w:cs="Palatino Linotype"/>
          <w:sz w:val="22"/>
          <w:szCs w:val="22"/>
        </w:rPr>
        <w:t xml:space="preserve">; es de precisar que dicha situación se notificó a las partes mediante acuerdo vía SAIMEX. </w:t>
      </w:r>
    </w:p>
    <w:p w14:paraId="4A922BD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7. Manifestaciones e Informe Justificado. </w:t>
      </w:r>
      <w:r w:rsidRPr="00967C65">
        <w:rPr>
          <w:rFonts w:ascii="Palatino Linotype" w:eastAsia="Palatino Linotype" w:hAnsi="Palatino Linotype" w:cs="Palatino Linotype"/>
          <w:sz w:val="22"/>
          <w:szCs w:val="22"/>
        </w:rPr>
        <w:t>De las constancias que obran en los expedientes electrónicos del SAIMEX se desprende que</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 xml:space="preserve">las partes fueron omisas en remitir sus informes justificados y manifestaciones, por lo que se tuvo por precluido su derecho para tal efecto y se procede a emitir la resolución que conforme a derecho corresponda. </w:t>
      </w:r>
    </w:p>
    <w:p w14:paraId="64A80F3F"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8. Cierres de instrucción. </w:t>
      </w:r>
      <w:r w:rsidRPr="00967C6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967C65">
        <w:rPr>
          <w:rFonts w:ascii="Palatino Linotype" w:eastAsia="Palatino Linotype" w:hAnsi="Palatino Linotype" w:cs="Palatino Linotype"/>
          <w:b/>
          <w:sz w:val="22"/>
          <w:szCs w:val="22"/>
        </w:rPr>
        <w:t>once de noviembre de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dos mil veinticuatro</w:t>
      </w:r>
      <w:r w:rsidRPr="00967C65">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1E5DDCAC"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11E784D5" w14:textId="77777777" w:rsidR="00B64A66" w:rsidRPr="00967C65" w:rsidRDefault="00A468B0">
      <w:pPr>
        <w:widowControl w:val="0"/>
        <w:spacing w:before="240" w:after="240" w:line="360" w:lineRule="auto"/>
        <w:jc w:val="center"/>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II. C O N S I D E R A N D O</w:t>
      </w:r>
    </w:p>
    <w:p w14:paraId="79DFAAC1"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Primero. Competencia.</w:t>
      </w:r>
      <w:r w:rsidRPr="00967C6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967C65">
        <w:rPr>
          <w:rFonts w:ascii="Palatino Linotype" w:eastAsia="Palatino Linotype" w:hAnsi="Palatino Linotype" w:cs="Palatino Linotype"/>
          <w:b/>
          <w:sz w:val="22"/>
          <w:szCs w:val="22"/>
        </w:rPr>
        <w:t>la parte Recurrente</w:t>
      </w:r>
      <w:r w:rsidRPr="00967C65">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Pr="00967C65">
        <w:rPr>
          <w:rFonts w:ascii="Palatino Linotype" w:eastAsia="Palatino Linotype" w:hAnsi="Palatino Linotype" w:cs="Palatino Linotype"/>
          <w:sz w:val="22"/>
          <w:szCs w:val="22"/>
        </w:rPr>
        <w:lastRenderedPageBreak/>
        <w:t>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4A6A3FA"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967C65">
        <w:rPr>
          <w:rFonts w:ascii="Palatino Linotype" w:eastAsia="Palatino Linotype" w:hAnsi="Palatino Linotype" w:cs="Palatino Linotype"/>
          <w:b/>
          <w:sz w:val="22"/>
          <w:szCs w:val="22"/>
        </w:rPr>
        <w:t>Segundo. Oportunidad y Procedibilidad de los Recursos de Revisión</w:t>
      </w:r>
      <w:r w:rsidRPr="00967C65">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7ED7D05"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respondió a las solicitudes de información que aperturaron los recursos de revisión el día </w:t>
      </w:r>
      <w:r w:rsidRPr="00967C65">
        <w:rPr>
          <w:rFonts w:ascii="Palatino Linotype" w:eastAsia="Palatino Linotype" w:hAnsi="Palatino Linotype" w:cs="Palatino Linotype"/>
          <w:b/>
          <w:sz w:val="22"/>
          <w:szCs w:val="22"/>
        </w:rPr>
        <w:t>veintiuno de octubre de dos mil veinticuatro</w:t>
      </w:r>
      <w:r w:rsidRPr="00967C65">
        <w:rPr>
          <w:rFonts w:ascii="Palatino Linotype" w:eastAsia="Palatino Linotype" w:hAnsi="Palatino Linotype" w:cs="Palatino Linotype"/>
          <w:sz w:val="22"/>
          <w:szCs w:val="22"/>
        </w:rPr>
        <w:t xml:space="preserve">, por su parte, los recursos de revisión se interpusieron el </w:t>
      </w:r>
      <w:r w:rsidRPr="00967C65">
        <w:rPr>
          <w:rFonts w:ascii="Palatino Linotype" w:eastAsia="Palatino Linotype" w:hAnsi="Palatino Linotype" w:cs="Palatino Linotype"/>
          <w:b/>
          <w:sz w:val="22"/>
          <w:szCs w:val="22"/>
        </w:rPr>
        <w:t>veintitrés de octubre de dos mil veinticuatro</w:t>
      </w:r>
      <w:r w:rsidRPr="00967C65">
        <w:rPr>
          <w:rFonts w:ascii="Palatino Linotype" w:eastAsia="Palatino Linotype" w:hAnsi="Palatino Linotype" w:cs="Palatino Linotype"/>
          <w:sz w:val="22"/>
          <w:szCs w:val="22"/>
        </w:rPr>
        <w:t xml:space="preserve">, siendo este el </w:t>
      </w:r>
      <w:r w:rsidRPr="00967C65">
        <w:rPr>
          <w:rFonts w:ascii="Palatino Linotype" w:eastAsia="Palatino Linotype" w:hAnsi="Palatino Linotype" w:cs="Palatino Linotype"/>
          <w:b/>
          <w:sz w:val="22"/>
          <w:szCs w:val="22"/>
        </w:rPr>
        <w:t>segundo día hábil</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después de conocerse las respuestas.</w:t>
      </w:r>
    </w:p>
    <w:p w14:paraId="4CE2026E"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5841918" w14:textId="77777777" w:rsidR="00B64A66" w:rsidRPr="00967C65" w:rsidRDefault="00A468B0">
      <w:pPr>
        <w:spacing w:before="240" w:after="240" w:line="360" w:lineRule="auto"/>
        <w:ind w:right="49"/>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Al mismo tiempo, por cuanto hace a la procedibilidad de los recursos de revisión, es de suma importancia señalar que l</w:t>
      </w:r>
      <w:r w:rsidRPr="00967C65">
        <w:rPr>
          <w:rFonts w:ascii="Palatino Linotype" w:eastAsia="Palatino Linotype" w:hAnsi="Palatino Linotype" w:cs="Palatino Linotype"/>
          <w:b/>
          <w:sz w:val="22"/>
          <w:szCs w:val="22"/>
        </w:rPr>
        <w:t>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 xml:space="preserve">fue omisa en proporcionar un nombre </w:t>
      </w:r>
      <w:r w:rsidRPr="00967C65">
        <w:rPr>
          <w:rFonts w:ascii="Palatino Linotype" w:eastAsia="Palatino Linotype" w:hAnsi="Palatino Linotype" w:cs="Palatino Linotype"/>
          <w:b/>
          <w:sz w:val="22"/>
          <w:szCs w:val="22"/>
        </w:rPr>
        <w:lastRenderedPageBreak/>
        <w:t>o seudónimo con el que desea ser identificado</w:t>
      </w:r>
      <w:r w:rsidRPr="00967C65">
        <w:rPr>
          <w:rFonts w:ascii="Palatino Linotype" w:eastAsia="Palatino Linotype" w:hAnsi="Palatino Linotype" w:cs="Palatino Linotype"/>
          <w:sz w:val="22"/>
          <w:szCs w:val="22"/>
        </w:rPr>
        <w:t>,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C36D1D" w14:textId="77777777" w:rsidR="00B64A66" w:rsidRPr="00967C65" w:rsidRDefault="00A468B0">
      <w:pPr>
        <w:spacing w:after="200" w:line="276" w:lineRule="auto"/>
        <w:ind w:left="567" w:right="474"/>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Las solicitudes anónimas</w:t>
      </w:r>
      <w:r w:rsidRPr="00967C65">
        <w:rPr>
          <w:rFonts w:ascii="Palatino Linotype" w:eastAsia="Palatino Linotype" w:hAnsi="Palatino Linotype" w:cs="Palatino Linotype"/>
          <w:i/>
          <w:sz w:val="22"/>
          <w:szCs w:val="22"/>
        </w:rPr>
        <w:t xml:space="preserve">, con nombre incompleto o seudónimo </w:t>
      </w:r>
      <w:r w:rsidRPr="00967C65">
        <w:rPr>
          <w:rFonts w:ascii="Palatino Linotype" w:eastAsia="Palatino Linotype" w:hAnsi="Palatino Linotype" w:cs="Palatino Linotype"/>
          <w:b/>
          <w:i/>
          <w:sz w:val="22"/>
          <w:szCs w:val="22"/>
        </w:rPr>
        <w:t>serán procedentes para su trámite por parte del sujeto obligado ante quien se presente</w:t>
      </w:r>
      <w:r w:rsidRPr="00967C65">
        <w:rPr>
          <w:rFonts w:ascii="Palatino Linotype" w:eastAsia="Palatino Linotype" w:hAnsi="Palatino Linotype" w:cs="Palatino Linotype"/>
          <w:i/>
          <w:sz w:val="22"/>
          <w:szCs w:val="22"/>
        </w:rPr>
        <w:t>. No podrá requerirse información adicional con motivo del nombre proporcionado por el solicitante."</w:t>
      </w:r>
    </w:p>
    <w:p w14:paraId="6F3D9845"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9078BC0"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VIII del ordenamiento legal citado, que a la letra dice: </w:t>
      </w:r>
    </w:p>
    <w:p w14:paraId="218901D2" w14:textId="77777777" w:rsidR="00B64A66" w:rsidRPr="00967C65" w:rsidRDefault="00A468B0">
      <w:pPr>
        <w:tabs>
          <w:tab w:val="left" w:pos="7088"/>
        </w:tabs>
        <w:spacing w:before="240" w:after="240"/>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Artículo 179.</w:t>
      </w:r>
      <w:r w:rsidRPr="00967C6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0178A31" w14:textId="77777777" w:rsidR="00B64A66" w:rsidRPr="00967C65" w:rsidRDefault="00A468B0">
      <w:pPr>
        <w:tabs>
          <w:tab w:val="left" w:pos="7088"/>
        </w:tabs>
        <w:spacing w:before="240" w:after="240"/>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421D366B" w14:textId="77777777" w:rsidR="00B64A66" w:rsidRPr="00967C65" w:rsidRDefault="00A468B0">
      <w:pPr>
        <w:tabs>
          <w:tab w:val="left" w:pos="7088"/>
        </w:tabs>
        <w:spacing w:before="240" w:after="240"/>
        <w:ind w:left="567" w:right="900"/>
        <w:jc w:val="both"/>
        <w:rPr>
          <w:rFonts w:ascii="Palatino Linotype" w:eastAsia="Palatino Linotype" w:hAnsi="Palatino Linotype" w:cs="Palatino Linotype"/>
          <w:b/>
          <w:i/>
          <w:sz w:val="22"/>
          <w:szCs w:val="22"/>
          <w:u w:val="single"/>
        </w:rPr>
      </w:pPr>
      <w:r w:rsidRPr="00967C65">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r w:rsidRPr="00967C65">
        <w:rPr>
          <w:rFonts w:ascii="Palatino Linotype" w:eastAsia="Palatino Linotype" w:hAnsi="Palatino Linotype" w:cs="Palatino Linotype"/>
          <w:b/>
          <w:i/>
          <w:sz w:val="22"/>
          <w:szCs w:val="22"/>
        </w:rPr>
        <w:t xml:space="preserve">” </w:t>
      </w:r>
      <w:r w:rsidRPr="00967C65">
        <w:rPr>
          <w:rFonts w:ascii="Palatino Linotype" w:eastAsia="Palatino Linotype" w:hAnsi="Palatino Linotype" w:cs="Palatino Linotype"/>
          <w:i/>
          <w:sz w:val="22"/>
          <w:szCs w:val="22"/>
        </w:rPr>
        <w:t>(Énfasis añadido)</w:t>
      </w:r>
    </w:p>
    <w:p w14:paraId="75BD7EAF"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lastRenderedPageBreak/>
        <w:t xml:space="preserve">Tercero. Materia de la revisión. </w:t>
      </w:r>
      <w:r w:rsidRPr="00967C65">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967C65">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w:t>
      </w:r>
      <w:r w:rsidRPr="00967C65">
        <w:rPr>
          <w:rFonts w:ascii="Palatino Linotype" w:eastAsia="Palatino Linotype" w:hAnsi="Palatino Linotype" w:cs="Palatino Linotype"/>
          <w:sz w:val="22"/>
          <w:szCs w:val="22"/>
        </w:rPr>
        <w:t xml:space="preserve">de </w:t>
      </w:r>
      <w:r w:rsidRPr="00967C65">
        <w:rPr>
          <w:rFonts w:ascii="Palatino Linotype" w:eastAsia="Palatino Linotype" w:hAnsi="Palatino Linotype" w:cs="Palatino Linotype"/>
          <w:b/>
          <w:sz w:val="22"/>
          <w:szCs w:val="22"/>
        </w:rPr>
        <w:t>la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 xml:space="preserve">, o en su defecto, en caso de ser procedente, ordenar la entrega de información.  </w:t>
      </w:r>
    </w:p>
    <w:p w14:paraId="01B1FB49"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Cuarto. Estudio del asunto. </w:t>
      </w:r>
      <w:r w:rsidRPr="00967C65">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401CECD" w14:textId="77777777" w:rsidR="00B64A66" w:rsidRPr="00967C65" w:rsidRDefault="00A468B0">
      <w:pPr>
        <w:tabs>
          <w:tab w:val="left" w:pos="709"/>
        </w:tabs>
        <w:spacing w:before="240" w:after="240"/>
        <w:ind w:left="851" w:right="85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67C6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467598D" w14:textId="77777777" w:rsidR="00B64A66" w:rsidRPr="00967C65" w:rsidRDefault="00A468B0">
      <w:pPr>
        <w:tabs>
          <w:tab w:val="left" w:pos="709"/>
        </w:tabs>
        <w:spacing w:before="240" w:after="240"/>
        <w:ind w:left="851" w:right="85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BE36737" w14:textId="77777777" w:rsidR="00B64A66" w:rsidRPr="00967C65" w:rsidRDefault="00A468B0">
      <w:pPr>
        <w:tabs>
          <w:tab w:val="left" w:pos="709"/>
        </w:tabs>
        <w:spacing w:before="240" w:after="240"/>
        <w:ind w:left="851" w:right="85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67C65">
        <w:rPr>
          <w:rFonts w:ascii="Palatino Linotype" w:eastAsia="Palatino Linotype" w:hAnsi="Palatino Linotype" w:cs="Palatino Linotype"/>
          <w:i/>
          <w:sz w:val="22"/>
          <w:szCs w:val="22"/>
        </w:rPr>
        <w:t xml:space="preserve"> En consecuencia, el </w:t>
      </w:r>
      <w:r w:rsidRPr="00967C65">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1DFB7F86" w14:textId="77777777" w:rsidR="00B64A66" w:rsidRPr="00967C65" w:rsidRDefault="00A468B0">
      <w:pPr>
        <w:tabs>
          <w:tab w:val="left" w:pos="709"/>
        </w:tabs>
        <w:spacing w:before="240" w:after="240"/>
        <w:ind w:left="851" w:right="85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545809A6" w14:textId="77777777" w:rsidR="00B64A66" w:rsidRPr="00967C65" w:rsidRDefault="00A468B0">
      <w:pPr>
        <w:spacing w:before="240" w:after="240"/>
        <w:ind w:left="851" w:right="90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6o.</w:t>
      </w:r>
    </w:p>
    <w:p w14:paraId="50771A91" w14:textId="77777777" w:rsidR="00B64A66" w:rsidRPr="00967C65" w:rsidRDefault="00A468B0">
      <w:pPr>
        <w:spacing w:before="240" w:after="240"/>
        <w:ind w:left="851" w:right="90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044310C9"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 xml:space="preserve">A. Para el ejercicio del derecho de acceso a la información, la Federación y </w:t>
      </w:r>
      <w:r w:rsidRPr="00967C65">
        <w:rPr>
          <w:rFonts w:ascii="Palatino Linotype" w:eastAsia="Palatino Linotype" w:hAnsi="Palatino Linotype" w:cs="Palatino Linotype"/>
          <w:b/>
          <w:i/>
          <w:sz w:val="22"/>
          <w:szCs w:val="22"/>
          <w:u w:val="single"/>
        </w:rPr>
        <w:t>las entidades federativas</w:t>
      </w:r>
      <w:r w:rsidRPr="00967C65">
        <w:rPr>
          <w:rFonts w:ascii="Palatino Linotype" w:eastAsia="Palatino Linotype" w:hAnsi="Palatino Linotype" w:cs="Palatino Linotype"/>
          <w:b/>
          <w:i/>
          <w:sz w:val="22"/>
          <w:szCs w:val="22"/>
        </w:rPr>
        <w:t>,</w:t>
      </w:r>
      <w:r w:rsidRPr="00967C65">
        <w:rPr>
          <w:rFonts w:ascii="Palatino Linotype" w:eastAsia="Palatino Linotype" w:hAnsi="Palatino Linotype" w:cs="Palatino Linotype"/>
          <w:i/>
          <w:sz w:val="22"/>
          <w:szCs w:val="22"/>
        </w:rPr>
        <w:t xml:space="preserve"> en el ámbito de sus respectivas competencias, se regirán por los siguientes principios y bases:</w:t>
      </w:r>
    </w:p>
    <w:p w14:paraId="1BE795E9"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 xml:space="preserve">I. </w:t>
      </w:r>
      <w:r w:rsidRPr="00967C6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67C65">
        <w:rPr>
          <w:rFonts w:ascii="Palatino Linotype" w:eastAsia="Palatino Linotype" w:hAnsi="Palatino Linotype" w:cs="Palatino Linotype"/>
          <w:i/>
          <w:sz w:val="22"/>
          <w:szCs w:val="22"/>
        </w:rPr>
        <w:t xml:space="preserve"> Ejecutivo, Legislativo </w:t>
      </w:r>
      <w:r w:rsidRPr="00967C65">
        <w:rPr>
          <w:rFonts w:ascii="Palatino Linotype" w:eastAsia="Palatino Linotype" w:hAnsi="Palatino Linotype" w:cs="Palatino Linotype"/>
          <w:b/>
          <w:i/>
          <w:sz w:val="22"/>
          <w:szCs w:val="22"/>
          <w:u w:val="single"/>
        </w:rPr>
        <w:t>y Judicial</w:t>
      </w:r>
      <w:r w:rsidRPr="00967C6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67C65">
        <w:rPr>
          <w:rFonts w:ascii="Palatino Linotype" w:eastAsia="Palatino Linotype" w:hAnsi="Palatino Linotype" w:cs="Palatino Linotype"/>
          <w:b/>
          <w:i/>
          <w:sz w:val="22"/>
          <w:szCs w:val="22"/>
        </w:rPr>
        <w:t>es pública y sólo podrá ser reservada temporalmente por razones de interés público y seguridad nacional,</w:t>
      </w:r>
      <w:r w:rsidRPr="00967C6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E6EC98A" w14:textId="77777777" w:rsidR="00B64A66" w:rsidRPr="00967C65" w:rsidRDefault="00A468B0">
      <w:pPr>
        <w:spacing w:before="240" w:after="240"/>
        <w:ind w:left="851" w:right="851"/>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i/>
          <w:sz w:val="22"/>
          <w:szCs w:val="22"/>
        </w:rPr>
        <w:t> </w:t>
      </w:r>
      <w:r w:rsidRPr="00967C6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B3667F6"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w:t>
      </w:r>
      <w:r w:rsidRPr="00967C65">
        <w:rPr>
          <w:rFonts w:ascii="Palatino Linotype" w:eastAsia="Palatino Linotype" w:hAnsi="Palatino Linotype" w:cs="Palatino Linotype"/>
          <w:b/>
          <w:i/>
          <w:sz w:val="22"/>
          <w:szCs w:val="22"/>
        </w:rPr>
        <w:t xml:space="preserve">III. </w:t>
      </w:r>
      <w:r w:rsidRPr="00967C6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67C65">
        <w:rPr>
          <w:rFonts w:ascii="Palatino Linotype" w:eastAsia="Palatino Linotype" w:hAnsi="Palatino Linotype" w:cs="Palatino Linotype"/>
          <w:i/>
          <w:sz w:val="22"/>
          <w:szCs w:val="22"/>
        </w:rPr>
        <w:t xml:space="preserve"> a sus datos personales o a la rectificación de éstos.</w:t>
      </w:r>
    </w:p>
    <w:p w14:paraId="113EFE05"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w:t>
      </w:r>
      <w:r w:rsidRPr="00967C65">
        <w:rPr>
          <w:rFonts w:ascii="Palatino Linotype" w:eastAsia="Palatino Linotype" w:hAnsi="Palatino Linotype" w:cs="Palatino Linotype"/>
          <w:b/>
          <w:i/>
          <w:sz w:val="22"/>
          <w:szCs w:val="22"/>
        </w:rPr>
        <w:t xml:space="preserve">IV. </w:t>
      </w:r>
      <w:r w:rsidRPr="00967C6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8A3BB64"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 xml:space="preserve">V. </w:t>
      </w:r>
      <w:r w:rsidRPr="00967C65">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w:t>
      </w:r>
      <w:r w:rsidRPr="00967C65">
        <w:rPr>
          <w:rFonts w:ascii="Palatino Linotype" w:eastAsia="Palatino Linotype" w:hAnsi="Palatino Linotype" w:cs="Palatino Linotype"/>
          <w:i/>
          <w:sz w:val="22"/>
          <w:szCs w:val="22"/>
        </w:rPr>
        <w:lastRenderedPageBreak/>
        <w:t>disponibles, la información completa y actualizada sobre el ejercicio de los recursos públicos y los indicadores que permitan rendir cuenta del cumplimiento de sus objetivos y de los resultados obtenidos.</w:t>
      </w:r>
    </w:p>
    <w:p w14:paraId="7C58C04B"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 xml:space="preserve">VI. </w:t>
      </w:r>
      <w:r w:rsidRPr="00967C6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3D5FCB2"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w:t>
      </w:r>
      <w:r w:rsidRPr="00967C65">
        <w:rPr>
          <w:rFonts w:ascii="Palatino Linotype" w:eastAsia="Palatino Linotype" w:hAnsi="Palatino Linotype" w:cs="Palatino Linotype"/>
          <w:b/>
          <w:i/>
          <w:sz w:val="22"/>
          <w:szCs w:val="22"/>
        </w:rPr>
        <w:t xml:space="preserve">VII. </w:t>
      </w:r>
      <w:r w:rsidRPr="00967C6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34C37D1" w14:textId="77777777" w:rsidR="00B64A66" w:rsidRPr="00967C65" w:rsidRDefault="00A468B0">
      <w:pPr>
        <w:tabs>
          <w:tab w:val="left" w:pos="709"/>
        </w:tabs>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debe cumplir con dichos dispositivos legales.</w:t>
      </w:r>
    </w:p>
    <w:p w14:paraId="4E063035"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E742EA7" w14:textId="77777777" w:rsidR="00B64A66" w:rsidRPr="00967C65" w:rsidRDefault="00A468B0">
      <w:pPr>
        <w:spacing w:before="240" w:after="240"/>
        <w:ind w:left="709" w:right="76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w:t>
      </w:r>
      <w:r w:rsidRPr="00967C65">
        <w:rPr>
          <w:rFonts w:ascii="Palatino Linotype" w:eastAsia="Palatino Linotype" w:hAnsi="Palatino Linotype" w:cs="Palatino Linotype"/>
          <w:b/>
          <w:i/>
          <w:sz w:val="22"/>
          <w:szCs w:val="22"/>
        </w:rPr>
        <w:t>Artículo 4</w:t>
      </w:r>
      <w:r w:rsidRPr="00967C6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A2EAEDC" w14:textId="77777777" w:rsidR="00B64A66" w:rsidRPr="00967C65" w:rsidRDefault="00A468B0">
      <w:pPr>
        <w:spacing w:before="240" w:after="240"/>
        <w:ind w:left="709" w:right="76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BF700DE" w14:textId="77777777" w:rsidR="00B64A66" w:rsidRPr="00967C65" w:rsidRDefault="00A468B0">
      <w:pPr>
        <w:spacing w:before="240" w:after="240"/>
        <w:ind w:left="709" w:right="76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DE92169"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967C65">
        <w:rPr>
          <w:rFonts w:ascii="Palatino Linotype" w:eastAsia="Palatino Linotype" w:hAnsi="Palatino Linotype" w:cs="Palatino Linotype"/>
          <w:b/>
          <w:sz w:val="22"/>
          <w:szCs w:val="22"/>
        </w:rPr>
        <w:t>artículo 12</w:t>
      </w:r>
      <w:r w:rsidRPr="00967C65">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63B38E09" w14:textId="77777777" w:rsidR="00B64A66" w:rsidRPr="00967C65" w:rsidRDefault="00A468B0">
      <w:pPr>
        <w:spacing w:before="240" w:after="240"/>
        <w:ind w:left="567"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Artículo 12</w:t>
      </w:r>
      <w:r w:rsidRPr="00967C6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A5CE7C0" w14:textId="77777777" w:rsidR="00B64A66" w:rsidRPr="00967C65" w:rsidRDefault="00A468B0">
      <w:pPr>
        <w:spacing w:before="240" w:after="240"/>
        <w:ind w:left="567"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933B3F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Es decir, que el derecho de acceso a la información pública se satisface en aquellos casos en que se entregue documento en que conste la información requerida, toda vez que, los Sujetos Obligados</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967C65">
        <w:rPr>
          <w:rFonts w:ascii="Palatino Linotype" w:eastAsia="Palatino Linotype" w:hAnsi="Palatino Linotype" w:cs="Palatino Linotype"/>
          <w:i/>
          <w:sz w:val="22"/>
          <w:szCs w:val="22"/>
        </w:rPr>
        <w:t>ad hoc</w:t>
      </w:r>
      <w:r w:rsidRPr="00967C65">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2F8B4D37" w14:textId="77777777" w:rsidR="00B64A66" w:rsidRPr="00967C65" w:rsidRDefault="00A468B0">
      <w:pPr>
        <w:spacing w:before="240" w:after="240"/>
        <w:ind w:left="567" w:right="851"/>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“03/17</w:t>
      </w:r>
    </w:p>
    <w:p w14:paraId="0E1E0BF4" w14:textId="77777777" w:rsidR="00B64A66" w:rsidRPr="00967C65" w:rsidRDefault="00A468B0">
      <w:pPr>
        <w:spacing w:before="240" w:after="240"/>
        <w:ind w:left="567" w:right="851"/>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“NO EXISTE OBLIGACIÓN DE ELABORAR DOCUMENTOS AD HOC PARA ATENDER LAS SOLICITUDES DE ACCESO A LA INFORMACIÓN.</w:t>
      </w:r>
    </w:p>
    <w:p w14:paraId="31BD425E" w14:textId="77777777" w:rsidR="00B64A66" w:rsidRPr="00967C65" w:rsidRDefault="00A468B0">
      <w:pPr>
        <w:spacing w:before="240" w:after="240"/>
        <w:ind w:left="567"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4A7E8DD"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789D4285"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18.</w:t>
      </w:r>
      <w:r w:rsidRPr="00967C65">
        <w:rPr>
          <w:rFonts w:ascii="Palatino Linotype" w:eastAsia="Palatino Linotype" w:hAnsi="Palatino Linotype" w:cs="Palatino Linotype"/>
          <w:i/>
          <w:sz w:val="22"/>
          <w:szCs w:val="22"/>
        </w:rPr>
        <w:t xml:space="preserve"> </w:t>
      </w:r>
      <w:r w:rsidRPr="00967C65">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967C65">
        <w:rPr>
          <w:rFonts w:ascii="Palatino Linotype" w:eastAsia="Palatino Linotype" w:hAnsi="Palatino Linotype" w:cs="Palatino Linotype"/>
          <w:i/>
          <w:sz w:val="22"/>
          <w:szCs w:val="22"/>
        </w:rPr>
        <w:t xml:space="preserve"> y reutilización de la información que generen.</w:t>
      </w:r>
    </w:p>
    <w:p w14:paraId="440DD929"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lastRenderedPageBreak/>
        <w:t xml:space="preserve">Artículo 19. </w:t>
      </w:r>
      <w:r w:rsidRPr="00967C65">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967C65">
        <w:rPr>
          <w:rFonts w:ascii="Palatino Linotype" w:eastAsia="Palatino Linotype" w:hAnsi="Palatino Linotype" w:cs="Palatino Linotype"/>
          <w:i/>
          <w:sz w:val="22"/>
          <w:szCs w:val="22"/>
        </w:rPr>
        <w:t>.</w:t>
      </w:r>
    </w:p>
    <w:p w14:paraId="6250C280"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4F4282B7" w14:textId="77777777" w:rsidR="00B64A66" w:rsidRPr="00967C65" w:rsidRDefault="00A468B0">
      <w:pPr>
        <w:spacing w:before="240" w:after="240"/>
        <w:ind w:left="851" w:right="85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459D74A1"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4902FA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967C65">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los que, podrán estar en cualquier medio</w:t>
      </w:r>
      <w:r w:rsidRPr="00967C65">
        <w:rPr>
          <w:rFonts w:ascii="Palatino Linotype" w:eastAsia="Palatino Linotype" w:hAnsi="Palatino Linotype" w:cs="Palatino Linotype"/>
          <w:sz w:val="22"/>
          <w:szCs w:val="22"/>
        </w:rPr>
        <w:t xml:space="preserve">, sea escrito, impreso, sonoro, visual, </w:t>
      </w:r>
      <w:r w:rsidRPr="00967C65">
        <w:rPr>
          <w:rFonts w:ascii="Palatino Linotype" w:eastAsia="Palatino Linotype" w:hAnsi="Palatino Linotype" w:cs="Palatino Linotype"/>
          <w:b/>
          <w:sz w:val="22"/>
          <w:szCs w:val="22"/>
        </w:rPr>
        <w:t>electrónico</w:t>
      </w:r>
      <w:r w:rsidRPr="00967C65">
        <w:rPr>
          <w:rFonts w:ascii="Palatino Linotype" w:eastAsia="Palatino Linotype" w:hAnsi="Palatino Linotype" w:cs="Palatino Linotype"/>
          <w:sz w:val="22"/>
          <w:szCs w:val="22"/>
        </w:rPr>
        <w:t xml:space="preserve">, informático u holográfico, esto es, </w:t>
      </w:r>
      <w:r w:rsidRPr="00967C65">
        <w:rPr>
          <w:rFonts w:ascii="Palatino Linotype" w:eastAsia="Palatino Linotype" w:hAnsi="Palatino Linotype" w:cs="Palatino Linotype"/>
          <w:b/>
          <w:sz w:val="22"/>
          <w:szCs w:val="22"/>
        </w:rPr>
        <w:t xml:space="preserve">el derecho de acceso a la información pública, se define en cuanto a su alcance y resultado </w:t>
      </w:r>
      <w:r w:rsidRPr="00967C65">
        <w:rPr>
          <w:rFonts w:ascii="Palatino Linotype" w:eastAsia="Palatino Linotype" w:hAnsi="Palatino Linotype" w:cs="Palatino Linotype"/>
          <w:b/>
          <w:sz w:val="22"/>
          <w:szCs w:val="22"/>
        </w:rPr>
        <w:lastRenderedPageBreak/>
        <w:t>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805050"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De ahí que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67C65">
        <w:rPr>
          <w:rFonts w:ascii="Palatino Linotype" w:eastAsia="Palatino Linotype" w:hAnsi="Palatino Linotype" w:cs="Palatino Linotype"/>
          <w:sz w:val="22"/>
          <w:szCs w:val="22"/>
          <w:vertAlign w:val="superscript"/>
        </w:rPr>
        <w:footnoteReference w:id="1"/>
      </w:r>
      <w:r w:rsidRPr="00967C6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67C65">
        <w:rPr>
          <w:rFonts w:ascii="Palatino Linotype" w:eastAsia="Palatino Linotype" w:hAnsi="Palatino Linotype" w:cs="Palatino Linotype"/>
          <w:sz w:val="22"/>
          <w:szCs w:val="22"/>
          <w:vertAlign w:val="superscript"/>
        </w:rPr>
        <w:footnoteReference w:id="2"/>
      </w:r>
      <w:r w:rsidRPr="00967C65">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5795ED92" w14:textId="77777777" w:rsidR="00B64A66" w:rsidRPr="00967C65" w:rsidRDefault="00A468B0">
      <w:pPr>
        <w:tabs>
          <w:tab w:val="left" w:pos="709"/>
        </w:tabs>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este sentido, cabe reiterar que la persona solicitante requirió al </w:t>
      </w:r>
      <w:r w:rsidRPr="00967C65">
        <w:rPr>
          <w:rFonts w:ascii="Palatino Linotype" w:eastAsia="Palatino Linotype" w:hAnsi="Palatino Linotype" w:cs="Palatino Linotype"/>
          <w:b/>
          <w:sz w:val="22"/>
          <w:szCs w:val="22"/>
        </w:rPr>
        <w:t xml:space="preserve">Sujeto Obligado, </w:t>
      </w:r>
      <w:r w:rsidRPr="00967C65">
        <w:rPr>
          <w:rFonts w:ascii="Palatino Linotype" w:eastAsia="Palatino Linotype" w:hAnsi="Palatino Linotype" w:cs="Palatino Linotype"/>
          <w:sz w:val="22"/>
          <w:szCs w:val="22"/>
        </w:rPr>
        <w:t>lo siguiente:</w:t>
      </w:r>
    </w:p>
    <w:p w14:paraId="2DC7D215" w14:textId="77777777" w:rsidR="00B64A66" w:rsidRPr="00967C65" w:rsidRDefault="00A468B0">
      <w:pPr>
        <w:numPr>
          <w:ilvl w:val="0"/>
          <w:numId w:val="2"/>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Manual de organización, manual de procedimientos y reglamento del </w:t>
      </w:r>
      <w:r w:rsidRPr="00967C65">
        <w:rPr>
          <w:rFonts w:ascii="Palatino Linotype" w:eastAsia="Palatino Linotype" w:hAnsi="Palatino Linotype" w:cs="Palatino Linotype"/>
          <w:b/>
          <w:sz w:val="22"/>
          <w:szCs w:val="22"/>
        </w:rPr>
        <w:t>Área Coordinadora de Archivos</w:t>
      </w:r>
      <w:r w:rsidRPr="00967C65">
        <w:rPr>
          <w:rFonts w:ascii="Palatino Linotype" w:eastAsia="Palatino Linotype" w:hAnsi="Palatino Linotype" w:cs="Palatino Linotype"/>
          <w:sz w:val="22"/>
          <w:szCs w:val="22"/>
        </w:rPr>
        <w:t xml:space="preserve"> de la administración 2022-2024.</w:t>
      </w:r>
    </w:p>
    <w:p w14:paraId="65D33383" w14:textId="77777777" w:rsidR="00B64A66" w:rsidRPr="00967C65" w:rsidRDefault="00A468B0">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 xml:space="preserve">Manual de organización, manual de procedimientos, reglamento de la </w:t>
      </w:r>
      <w:r w:rsidRPr="00967C65">
        <w:rPr>
          <w:rFonts w:ascii="Palatino Linotype" w:eastAsia="Palatino Linotype" w:hAnsi="Palatino Linotype" w:cs="Palatino Linotype"/>
          <w:b/>
          <w:sz w:val="22"/>
          <w:szCs w:val="22"/>
        </w:rPr>
        <w:t>Unidad de Transparencia</w:t>
      </w:r>
      <w:r w:rsidRPr="00967C65">
        <w:t xml:space="preserve"> de </w:t>
      </w:r>
      <w:r w:rsidRPr="00967C65">
        <w:rPr>
          <w:rFonts w:ascii="Palatino Linotype" w:eastAsia="Palatino Linotype" w:hAnsi="Palatino Linotype" w:cs="Palatino Linotype"/>
          <w:sz w:val="22"/>
          <w:szCs w:val="22"/>
        </w:rPr>
        <w:t>la administración 2022-2024, así como acta de cabildo donde fueron aprobados.</w:t>
      </w:r>
    </w:p>
    <w:p w14:paraId="726C1828" w14:textId="77777777" w:rsidR="00B64A66" w:rsidRPr="00967C65" w:rsidRDefault="00A468B0">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Manual de organización, manual de procedimientos y reglamento del </w:t>
      </w:r>
      <w:r w:rsidRPr="00967C65">
        <w:rPr>
          <w:rFonts w:ascii="Palatino Linotype" w:eastAsia="Palatino Linotype" w:hAnsi="Palatino Linotype" w:cs="Palatino Linotype"/>
          <w:b/>
          <w:sz w:val="22"/>
          <w:szCs w:val="22"/>
        </w:rPr>
        <w:t>Área de Protección Civil,</w:t>
      </w:r>
      <w:r w:rsidRPr="00967C65">
        <w:rPr>
          <w:rFonts w:ascii="Palatino Linotype" w:eastAsia="Palatino Linotype" w:hAnsi="Palatino Linotype" w:cs="Palatino Linotype"/>
          <w:sz w:val="22"/>
          <w:szCs w:val="22"/>
        </w:rPr>
        <w:t xml:space="preserve"> así como acta de cabildo donde fueron aprobados.</w:t>
      </w:r>
    </w:p>
    <w:p w14:paraId="37E7A221" w14:textId="77777777" w:rsidR="00B64A66" w:rsidRPr="00967C65" w:rsidRDefault="00A468B0">
      <w:pPr>
        <w:numPr>
          <w:ilvl w:val="0"/>
          <w:numId w:val="2"/>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Manual de organización, manual de procedimientos y reglamento del </w:t>
      </w:r>
      <w:r w:rsidRPr="00967C65">
        <w:rPr>
          <w:rFonts w:ascii="Palatino Linotype" w:eastAsia="Palatino Linotype" w:hAnsi="Palatino Linotype" w:cs="Palatino Linotype"/>
          <w:b/>
          <w:sz w:val="22"/>
          <w:szCs w:val="22"/>
        </w:rPr>
        <w:t>Área de Desarrollo Económico</w:t>
      </w:r>
      <w:r w:rsidRPr="00967C65">
        <w:rPr>
          <w:rFonts w:ascii="Palatino Linotype" w:eastAsia="Palatino Linotype" w:hAnsi="Palatino Linotype" w:cs="Palatino Linotype"/>
          <w:sz w:val="22"/>
          <w:szCs w:val="22"/>
        </w:rPr>
        <w:t xml:space="preserve"> de la administración 2022-2024, así como acta de cabildo donde fueron aprobados.</w:t>
      </w:r>
    </w:p>
    <w:p w14:paraId="4C439F88"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sus respuestas, el </w:t>
      </w:r>
      <w:r w:rsidRPr="00967C65">
        <w:rPr>
          <w:rFonts w:ascii="Palatino Linotype" w:eastAsia="Palatino Linotype" w:hAnsi="Palatino Linotype" w:cs="Palatino Linotype"/>
          <w:b/>
          <w:sz w:val="22"/>
          <w:szCs w:val="22"/>
        </w:rPr>
        <w:t xml:space="preserve">Sujeto Obligado </w:t>
      </w:r>
      <w:r w:rsidRPr="00967C65">
        <w:rPr>
          <w:rFonts w:ascii="Palatino Linotype" w:eastAsia="Palatino Linotype" w:hAnsi="Palatino Linotype" w:cs="Palatino Linotype"/>
          <w:sz w:val="22"/>
          <w:szCs w:val="22"/>
        </w:rPr>
        <w:t>emitió respuesta por conducto de la</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Encargada de Despacho de la Dirección General de Mejora Regulatoria e Información, Programación, Planeación y Evaluación, en el cual informa que dicha dirección propone la consulta directa derivado de la cantidad, volumen, los recursos materiales y humanos con los que cuenta dicha dirección son limitados.</w:t>
      </w:r>
    </w:p>
    <w:p w14:paraId="594C128D"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Una vez conocidas las respuestas, </w:t>
      </w:r>
      <w:r w:rsidRPr="00967C65">
        <w:rPr>
          <w:rFonts w:ascii="Palatino Linotype" w:eastAsia="Palatino Linotype" w:hAnsi="Palatino Linotype" w:cs="Palatino Linotype"/>
          <w:b/>
          <w:sz w:val="22"/>
          <w:szCs w:val="22"/>
        </w:rPr>
        <w:t>la parte Recurrente</w:t>
      </w:r>
      <w:r w:rsidRPr="00967C65">
        <w:rPr>
          <w:rFonts w:ascii="Palatino Linotype" w:eastAsia="Palatino Linotype" w:hAnsi="Palatino Linotype" w:cs="Palatino Linotype"/>
          <w:sz w:val="22"/>
          <w:szCs w:val="22"/>
        </w:rPr>
        <w:t xml:space="preserve"> interpuso los recursos de revisión que nos ocupan, inconformándose medularmente por la puesta a disposición de la información en consulta directa, toda vez que a su consideración le proporcionan una fecha y hora iguales en diversas solicitudes de información, lo cual causa que sea humanamente imposible de solventar dicha consulta.</w:t>
      </w:r>
    </w:p>
    <w:p w14:paraId="5670858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Admitidos los presentes recursos de revisión, en términos del artículo 185 fracción II</w:t>
      </w:r>
      <w:r w:rsidRPr="00967C65">
        <w:rPr>
          <w:rFonts w:ascii="Palatino Linotype" w:eastAsia="Palatino Linotype" w:hAnsi="Palatino Linotype" w:cs="Palatino Linotype"/>
          <w:sz w:val="22"/>
          <w:szCs w:val="22"/>
          <w:vertAlign w:val="superscript"/>
        </w:rPr>
        <w:footnoteReference w:id="3"/>
      </w:r>
      <w:r w:rsidRPr="00967C65">
        <w:rPr>
          <w:rFonts w:ascii="Palatino Linotype" w:eastAsia="Palatino Linotype" w:hAnsi="Palatino Linotype" w:cs="Palatino Linotype"/>
          <w:sz w:val="22"/>
          <w:szCs w:val="22"/>
        </w:rPr>
        <w:t xml:space="preserve"> de la Ley de Transparencia y Acceso a la Información Pública del Estado de México y Municipios, </w:t>
      </w:r>
      <w:r w:rsidRPr="00967C65">
        <w:rPr>
          <w:rFonts w:ascii="Palatino Linotype" w:eastAsia="Palatino Linotype" w:hAnsi="Palatino Linotype" w:cs="Palatino Linotype"/>
          <w:sz w:val="22"/>
          <w:szCs w:val="22"/>
        </w:rPr>
        <w:lastRenderedPageBreak/>
        <w:t>se integró el expediente y se puso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35BEC7B6"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Una vez expuestas las posturas de las partes, resulta importante señalar que en una aproximación inicial a las respuestas proporcionadas, se observa que la unidad administrativa que se pronunció es la </w:t>
      </w:r>
      <w:r w:rsidRPr="00967C65">
        <w:rPr>
          <w:rFonts w:ascii="Palatino Linotype" w:eastAsia="Palatino Linotype" w:hAnsi="Palatino Linotype" w:cs="Palatino Linotype"/>
          <w:b/>
          <w:sz w:val="22"/>
          <w:szCs w:val="22"/>
        </w:rPr>
        <w:t>Dirección General de Mejora Regulatoria e Información, Programación, Planeación y Evaluación</w:t>
      </w:r>
      <w:r w:rsidRPr="00967C65">
        <w:rPr>
          <w:rFonts w:ascii="Palatino Linotype" w:eastAsia="Palatino Linotype" w:hAnsi="Palatino Linotype" w:cs="Palatino Linotype"/>
          <w:sz w:val="22"/>
          <w:szCs w:val="22"/>
        </w:rPr>
        <w:t>, la cual de conformidad con el Bando Municipal y la Ley para la Mejora Regulatoria del Estado de México y Municipios cuenta con las siguientes atribuciones:</w:t>
      </w:r>
    </w:p>
    <w:p w14:paraId="730051C7" w14:textId="77777777" w:rsidR="00B64A66" w:rsidRPr="00967C65" w:rsidRDefault="00A468B0">
      <w:pPr>
        <w:spacing w:before="240" w:after="240" w:line="360" w:lineRule="auto"/>
        <w:ind w:left="567"/>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b/>
          <w:sz w:val="22"/>
          <w:szCs w:val="22"/>
        </w:rPr>
        <w:t>Bando Municipal del Ayuntamiento de Temamatla:</w:t>
      </w:r>
    </w:p>
    <w:p w14:paraId="6E4E3620"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121.- Compete al Municipio en materia de mejora regulatoria, lo siguiente:</w:t>
      </w:r>
    </w:p>
    <w:p w14:paraId="497F6CF9"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3884765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IV. Establecer Comités Internos en cada dependencia, los cuales se encargarán de</w:t>
      </w:r>
      <w:r w:rsidRPr="00967C65">
        <w:rPr>
          <w:rFonts w:ascii="Palatino Linotype" w:eastAsia="Palatino Linotype" w:hAnsi="Palatino Linotype" w:cs="Palatino Linotype"/>
          <w:i/>
          <w:sz w:val="22"/>
          <w:szCs w:val="22"/>
        </w:rPr>
        <w:t xml:space="preserve"> elaborar y aprobar los programas anuales de mejora regulatoria municipal, así como las propuestas de creación de regulaciones o de reforma específica, con base en los objetivos, estrategias y líneas de acción de los programas sectoriales, especiales, regionales e institucionales derivados del Plan Municipal de Desarrollo;” (Énfasis añadido)</w:t>
      </w:r>
    </w:p>
    <w:p w14:paraId="4CBC679B"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i/>
          <w:sz w:val="22"/>
          <w:szCs w:val="22"/>
        </w:rPr>
        <w:br/>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 xml:space="preserve">Ley para la Mejora Regulatoria del Estado de México y Municipios: </w:t>
      </w:r>
    </w:p>
    <w:p w14:paraId="72DF7F2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22.- Las Comisiones Municipales, se conformarán, en su caso por:</w:t>
      </w:r>
    </w:p>
    <w:p w14:paraId="031DA67B"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I. El Presidente Municipal, quien lo presidirá;</w:t>
      </w:r>
    </w:p>
    <w:p w14:paraId="23886FB6"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El Síndico Municipal;</w:t>
      </w:r>
    </w:p>
    <w:p w14:paraId="44326758"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III. El número de regidores que estime cada Ayuntamiento y que serán los encargados de las comisiones que correspondan al objeto de la Ley;</w:t>
      </w:r>
    </w:p>
    <w:p w14:paraId="5CB37DB9"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IV. El titular del área jurídica;</w:t>
      </w:r>
    </w:p>
    <w:p w14:paraId="6CEB0B7B"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V. Un Secretario Técnico, que será el Coordinador General Municipal de Mejora Regulatoria y que será designado por el Presidente Municipal;</w:t>
      </w:r>
    </w:p>
    <w:p w14:paraId="10244F6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VI. Representantes empresariales de organizaciones legalmente constituidas, que determine el Presidente Municipal con acuerdo de Cabildo; </w:t>
      </w:r>
    </w:p>
    <w:p w14:paraId="5C0683C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23.- Las comisiones Municipales tendrán, en su ámbito de competencia, las facultades y responsabilidades siguientes:</w:t>
      </w:r>
    </w:p>
    <w:p w14:paraId="00FA119C"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I. Revisar el marco regulatorio municipal y coadyuvar en la elaboración y actualización de los anteproyectos de reglamentos,</w:t>
      </w:r>
      <w:r w:rsidRPr="00967C65">
        <w:rPr>
          <w:rFonts w:ascii="Palatino Linotype" w:eastAsia="Palatino Linotype" w:hAnsi="Palatino Linotype" w:cs="Palatino Linotype"/>
          <w:i/>
          <w:sz w:val="22"/>
          <w:szCs w:val="22"/>
        </w:rPr>
        <w:t xml:space="preserve"> bandos, acuerdos y demás regulaciones o reformas a éstas, y realizar los diagnósticos de procesos para mejorar la regulación de actividades económicas específicas;</w:t>
      </w:r>
    </w:p>
    <w:p w14:paraId="14823683"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w:t>
      </w:r>
    </w:p>
    <w:p w14:paraId="6271F2D7"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24.- El Secretario Técnico de la Comisión Municipal tendrá, en su ámbito de competencia, las siguientes funciones:</w:t>
      </w:r>
    </w:p>
    <w:p w14:paraId="487E10BD"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 </w:t>
      </w:r>
      <w:r w:rsidRPr="00967C65">
        <w:rPr>
          <w:rFonts w:ascii="Palatino Linotype" w:eastAsia="Palatino Linotype" w:hAnsi="Palatino Linotype" w:cs="Palatino Linotype"/>
          <w:b/>
          <w:i/>
          <w:sz w:val="22"/>
          <w:szCs w:val="22"/>
          <w:u w:val="single"/>
        </w:rPr>
        <w:t>Integrar</w:t>
      </w:r>
      <w:r w:rsidRPr="00967C65">
        <w:rPr>
          <w:rFonts w:ascii="Palatino Linotype" w:eastAsia="Palatino Linotype" w:hAnsi="Palatino Linotype" w:cs="Palatino Linotype"/>
          <w:i/>
          <w:sz w:val="22"/>
          <w:szCs w:val="22"/>
        </w:rPr>
        <w:t xml:space="preserve"> el Programa Anual de Mejora Regulatoria; </w:t>
      </w:r>
      <w:r w:rsidRPr="00967C65">
        <w:rPr>
          <w:rFonts w:ascii="Palatino Linotype" w:eastAsia="Palatino Linotype" w:hAnsi="Palatino Linotype" w:cs="Palatino Linotype"/>
          <w:b/>
          <w:i/>
          <w:sz w:val="22"/>
          <w:szCs w:val="22"/>
          <w:u w:val="single"/>
        </w:rPr>
        <w:t>las propuestas de creación de regulaciones</w:t>
      </w:r>
      <w:r w:rsidRPr="00967C65">
        <w:rPr>
          <w:rFonts w:ascii="Palatino Linotype" w:eastAsia="Palatino Linotype" w:hAnsi="Palatino Linotype" w:cs="Palatino Linotype"/>
          <w:i/>
          <w:sz w:val="22"/>
          <w:szCs w:val="22"/>
        </w:rPr>
        <w:t xml:space="preserve"> o de reforma específica; los Análisis de Impacto Regulatorio de alcance municipal, que envíen, en tiempo y forma, las dependencias municipales respectivas, y someterlos a la consideración de la Comisión Municipal;” (Énfasis añadido)</w:t>
      </w:r>
    </w:p>
    <w:p w14:paraId="2754F0BD" w14:textId="77777777" w:rsidR="00B64A66" w:rsidRPr="00967C65" w:rsidRDefault="00A468B0">
      <w:pPr>
        <w:spacing w:line="360" w:lineRule="auto"/>
        <w:ind w:right="49"/>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Por lo anteriormente citado, se desprende que si desde la respuesta obra el pronunciamiento de la</w:t>
      </w:r>
      <w:r w:rsidRPr="00967C65">
        <w:t xml:space="preserve"> </w:t>
      </w:r>
      <w:r w:rsidRPr="00967C65">
        <w:rPr>
          <w:rFonts w:ascii="Palatino Linotype" w:eastAsia="Palatino Linotype" w:hAnsi="Palatino Linotype" w:cs="Palatino Linotype"/>
          <w:b/>
          <w:sz w:val="22"/>
          <w:szCs w:val="22"/>
        </w:rPr>
        <w:t>Dirección General de Mejora Regulatoria e Información, Programación, Planeación y Evaluación</w:t>
      </w:r>
      <w:r w:rsidRPr="00967C65">
        <w:rPr>
          <w:rFonts w:ascii="Palatino Linotype" w:eastAsia="Palatino Linotype" w:hAnsi="Palatino Linotype" w:cs="Palatino Linotype"/>
          <w:sz w:val="22"/>
          <w:szCs w:val="22"/>
        </w:rPr>
        <w:t>, la cual es la unidad administrativa encargada de conocer de las cuestiones relativas a las propuestas de creación de regulaciones,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0A4407B" w14:textId="77777777" w:rsidR="00B64A66" w:rsidRPr="00967C65" w:rsidRDefault="00B64A66"/>
    <w:p w14:paraId="384A5C8A" w14:textId="77777777" w:rsidR="00B64A66" w:rsidRPr="00967C65" w:rsidRDefault="00A468B0">
      <w:pPr>
        <w:pBdr>
          <w:top w:val="nil"/>
          <w:left w:val="nil"/>
          <w:bottom w:val="nil"/>
          <w:right w:val="nil"/>
          <w:between w:val="nil"/>
        </w:pBdr>
        <w:ind w:left="864" w:right="864"/>
        <w:jc w:val="both"/>
      </w:pPr>
      <w:r w:rsidRPr="00967C65">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7CCFA45"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Por consiguiente, se tiene que el procedimiento de búsqueda de la información se ejecutó conforme a derecho.</w:t>
      </w:r>
    </w:p>
    <w:p w14:paraId="2DA9E9BB"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esta consecución de ideas, no debemos perder de vista que la persona solicitante requiere información de cuatro áreas administrativas en específico, las cuales son: </w:t>
      </w:r>
      <w:r w:rsidRPr="00967C65">
        <w:rPr>
          <w:rFonts w:ascii="Palatino Linotype" w:eastAsia="Palatino Linotype" w:hAnsi="Palatino Linotype" w:cs="Palatino Linotype"/>
          <w:b/>
          <w:sz w:val="22"/>
          <w:szCs w:val="22"/>
        </w:rPr>
        <w:t>área coordinadora de archivos, unidad de transparencia, área de protección civil y área de desarrollo económico</w:t>
      </w:r>
      <w:r w:rsidRPr="00967C65">
        <w:rPr>
          <w:rFonts w:ascii="Palatino Linotype" w:eastAsia="Palatino Linotype" w:hAnsi="Palatino Linotype" w:cs="Palatino Linotype"/>
          <w:sz w:val="22"/>
          <w:szCs w:val="22"/>
        </w:rPr>
        <w:t xml:space="preserve">, por lo cual procedemos a observar en el Organigrama del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si cuenta con dichas áreas administrativas: </w:t>
      </w:r>
    </w:p>
    <w:p w14:paraId="6A787B68"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noProof/>
          <w:sz w:val="22"/>
          <w:szCs w:val="22"/>
        </w:rPr>
        <w:lastRenderedPageBreak/>
        <w:drawing>
          <wp:inline distT="0" distB="0" distL="0" distR="0" wp14:anchorId="053F51E3" wp14:editId="69352803">
            <wp:extent cx="6089691" cy="3585738"/>
            <wp:effectExtent l="0" t="0" r="0" b="0"/>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089691" cy="3585738"/>
                    </a:xfrm>
                    <a:prstGeom prst="rect">
                      <a:avLst/>
                    </a:prstGeom>
                    <a:ln/>
                  </pic:spPr>
                </pic:pic>
              </a:graphicData>
            </a:graphic>
          </wp:inline>
        </w:drawing>
      </w:r>
    </w:p>
    <w:p w14:paraId="2B2321C5"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sz w:val="22"/>
          <w:szCs w:val="22"/>
        </w:rPr>
        <w:t xml:space="preserve">De lo anteriormente ilustrado, podemos visualizar que </w:t>
      </w:r>
      <w:r w:rsidRPr="00967C65">
        <w:rPr>
          <w:rFonts w:ascii="Palatino Linotype" w:eastAsia="Palatino Linotype" w:hAnsi="Palatino Linotype" w:cs="Palatino Linotype"/>
          <w:b/>
          <w:sz w:val="22"/>
          <w:szCs w:val="22"/>
        </w:rPr>
        <w:t>el Ayuntamiento de Temamatla cuenta con una Unidad de Transparencia y Acceso a la Información, Dirección de Protección Civil y Dirección de Desarrollo Económico.</w:t>
      </w:r>
    </w:p>
    <w:p w14:paraId="7DD34600"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Es de precisar que el Plan de Desarrollo Municipal 2022-2024, contempla lo siguiente respecto a la emisión de manuales de organización y procedimientos que atiendan a las necesidades actuales del municipio:</w:t>
      </w:r>
    </w:p>
    <w:p w14:paraId="2D315A1F"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“XI.I. II. Subtema: Manuales de Organización</w:t>
      </w:r>
    </w:p>
    <w:p w14:paraId="595B354C"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La normatividad que actualmente rige la Administración carece de antecedentes en términos de instrumentación, dado que los Manuales que se encontraron en la entrega-recepción no fueron actualizados ni modificados desde el año 2019 situación </w:t>
      </w:r>
      <w:r w:rsidRPr="00967C65">
        <w:rPr>
          <w:rFonts w:ascii="Palatino Linotype" w:eastAsia="Palatino Linotype" w:hAnsi="Palatino Linotype" w:cs="Palatino Linotype"/>
          <w:i/>
          <w:sz w:val="22"/>
          <w:szCs w:val="22"/>
        </w:rPr>
        <w:lastRenderedPageBreak/>
        <w:t>que nos indica una clara necesidad de crear un marco normativo que responsa a las necesidades actuales, sin embargo, hay un área de oportunidad importante y se debe a la falta de experiencia que en términos generales caracteriza a la Administración de hoy en día.</w:t>
      </w:r>
    </w:p>
    <w:p w14:paraId="1B187CE1"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Si bien he cierto puede ser una debilidad la inexperiencia, es una gran oportunidad para detectar herramientas clave y caminar bajo un correcto funcionamiento en la Administración Pública.</w:t>
      </w:r>
    </w:p>
    <w:p w14:paraId="157B762B"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La detección de necesidades en la parte jurídico-normativa que aconteció desde el mes uno hasta el mes nueve en la Administración 2022-2024 del Municipio de Temamatla, hizo que se revisarán los manuales que estaban en existencia y mediante la herramienta “Agenda Regulatoria” asentada en el capítulo tercero, artículo 34 de la Ley para la Mejora Regulatoria del Estado de México, se aplicaron modificaciones, se crearon nuevas regulaciones y actualizarán otras para que pudiéramos contar con documentos normativos que hasta el momento nos dieran credibilidad y luz para seguir llevando a cabo los procesos internos y externos, en la Administración Pública.</w:t>
      </w:r>
    </w:p>
    <w:p w14:paraId="3C710C77"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Por otro lado, una vez avanzando en materia administrativa, se utilizará la misma herramienta citada anteriormente para verificar el cumplimiento de nuestra normatividad y cada vez más crear una uniformidad en los procesos.</w:t>
      </w:r>
    </w:p>
    <w:p w14:paraId="57F7F796"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u w:val="single"/>
        </w:rPr>
      </w:pPr>
      <w:r w:rsidRPr="00967C65">
        <w:rPr>
          <w:rFonts w:ascii="Palatino Linotype" w:eastAsia="Palatino Linotype" w:hAnsi="Palatino Linotype" w:cs="Palatino Linotype"/>
          <w:i/>
          <w:sz w:val="22"/>
          <w:szCs w:val="22"/>
        </w:rPr>
        <w:t xml:space="preserve">Ahora bien, </w:t>
      </w:r>
      <w:r w:rsidRPr="00967C65">
        <w:rPr>
          <w:rFonts w:ascii="Palatino Linotype" w:eastAsia="Palatino Linotype" w:hAnsi="Palatino Linotype" w:cs="Palatino Linotype"/>
          <w:b/>
          <w:i/>
          <w:sz w:val="22"/>
          <w:szCs w:val="22"/>
          <w:u w:val="single"/>
        </w:rPr>
        <w:t xml:space="preserve">los ajustes presentados en la Agenda Regulatoria en materia normativa son los que a continuación se presentan en los siguientes Manuales de Organización y de Procedimientos de las áreas que integran la Administración.” </w:t>
      </w:r>
      <w:r w:rsidRPr="00967C65">
        <w:rPr>
          <w:rFonts w:ascii="Palatino Linotype" w:eastAsia="Palatino Linotype" w:hAnsi="Palatino Linotype" w:cs="Palatino Linotype"/>
          <w:i/>
          <w:sz w:val="22"/>
          <w:szCs w:val="22"/>
        </w:rPr>
        <w:t>(Énfasis añadido)</w:t>
      </w:r>
    </w:p>
    <w:p w14:paraId="5EE224D6" w14:textId="77777777" w:rsidR="00B64A66" w:rsidRPr="00967C65" w:rsidRDefault="00A468B0">
      <w:pPr>
        <w:spacing w:before="240" w:after="240" w:line="276" w:lineRule="auto"/>
        <w:ind w:left="567" w:right="900"/>
        <w:jc w:val="center"/>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noProof/>
          <w:sz w:val="22"/>
          <w:szCs w:val="22"/>
        </w:rPr>
        <w:lastRenderedPageBreak/>
        <w:drawing>
          <wp:inline distT="0" distB="0" distL="0" distR="0" wp14:anchorId="374CDDEC" wp14:editId="1AEA709E">
            <wp:extent cx="4613635" cy="6467114"/>
            <wp:effectExtent l="0" t="0" r="0" b="0"/>
            <wp:docPr id="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613635" cy="6467114"/>
                    </a:xfrm>
                    <a:prstGeom prst="rect">
                      <a:avLst/>
                    </a:prstGeom>
                    <a:ln/>
                  </pic:spPr>
                </pic:pic>
              </a:graphicData>
            </a:graphic>
          </wp:inline>
        </w:drawing>
      </w:r>
      <w:r w:rsidRPr="00967C65">
        <w:rPr>
          <w:noProof/>
        </w:rPr>
        <mc:AlternateContent>
          <mc:Choice Requires="wpg">
            <w:drawing>
              <wp:anchor distT="0" distB="0" distL="114300" distR="114300" simplePos="0" relativeHeight="251658240" behindDoc="0" locked="0" layoutInCell="1" hidden="0" allowOverlap="1" wp14:anchorId="2EEF149F" wp14:editId="24F6EC95">
                <wp:simplePos x="0" y="0"/>
                <wp:positionH relativeFrom="column">
                  <wp:posOffset>355600</wp:posOffset>
                </wp:positionH>
                <wp:positionV relativeFrom="paragraph">
                  <wp:posOffset>3594100</wp:posOffset>
                </wp:positionV>
                <wp:extent cx="2219325" cy="409575"/>
                <wp:effectExtent l="0" t="0" r="0" b="0"/>
                <wp:wrapNone/>
                <wp:docPr id="57" name="Rectángulo 57"/>
                <wp:cNvGraphicFramePr/>
                <a:graphic xmlns:a="http://schemas.openxmlformats.org/drawingml/2006/main">
                  <a:graphicData uri="http://schemas.microsoft.com/office/word/2010/wordprocessingShape">
                    <wps:wsp>
                      <wps:cNvSpPr/>
                      <wps:spPr>
                        <a:xfrm>
                          <a:off x="4293488" y="3632363"/>
                          <a:ext cx="2105025" cy="295275"/>
                        </a:xfrm>
                        <a:prstGeom prst="rect">
                          <a:avLst/>
                        </a:prstGeom>
                        <a:noFill/>
                        <a:ln w="57150" cap="flat" cmpd="sng">
                          <a:solidFill>
                            <a:srgbClr val="595959"/>
                          </a:solidFill>
                          <a:prstDash val="solid"/>
                          <a:round/>
                          <a:headEnd type="none" w="sm" len="sm"/>
                          <a:tailEnd type="none" w="sm" len="sm"/>
                        </a:ln>
                      </wps:spPr>
                      <wps:txbx>
                        <w:txbxContent>
                          <w:p w14:paraId="09078723"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355600</wp:posOffset>
                </wp:positionH>
                <wp:positionV relativeFrom="paragraph">
                  <wp:posOffset>3594100</wp:posOffset>
                </wp:positionV>
                <wp:extent cx="2219325" cy="409575"/>
                <wp:effectExtent b="0" l="0" r="0" t="0"/>
                <wp:wrapNone/>
                <wp:docPr id="5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219325" cy="409575"/>
                        </a:xfrm>
                        <a:prstGeom prst="rect"/>
                        <a:ln/>
                      </pic:spPr>
                    </pic:pic>
                  </a:graphicData>
                </a:graphic>
              </wp:anchor>
            </w:drawing>
          </mc:Fallback>
        </mc:AlternateContent>
      </w:r>
      <w:r w:rsidRPr="00967C65">
        <w:rPr>
          <w:noProof/>
        </w:rPr>
        <mc:AlternateContent>
          <mc:Choice Requires="wpg">
            <w:drawing>
              <wp:anchor distT="0" distB="0" distL="114300" distR="114300" simplePos="0" relativeHeight="251659264" behindDoc="0" locked="0" layoutInCell="1" hidden="0" allowOverlap="1" wp14:anchorId="2FDEDB49" wp14:editId="138F3A1E">
                <wp:simplePos x="0" y="0"/>
                <wp:positionH relativeFrom="column">
                  <wp:posOffset>292100</wp:posOffset>
                </wp:positionH>
                <wp:positionV relativeFrom="paragraph">
                  <wp:posOffset>6096000</wp:posOffset>
                </wp:positionV>
                <wp:extent cx="4686300" cy="419100"/>
                <wp:effectExtent l="0" t="0" r="0" b="0"/>
                <wp:wrapNone/>
                <wp:docPr id="56" name="Rectángulo 56"/>
                <wp:cNvGraphicFramePr/>
                <a:graphic xmlns:a="http://schemas.openxmlformats.org/drawingml/2006/main">
                  <a:graphicData uri="http://schemas.microsoft.com/office/word/2010/wordprocessingShape">
                    <wps:wsp>
                      <wps:cNvSpPr/>
                      <wps:spPr>
                        <a:xfrm>
                          <a:off x="3088575" y="3656175"/>
                          <a:ext cx="4514850" cy="247650"/>
                        </a:xfrm>
                        <a:prstGeom prst="rect">
                          <a:avLst/>
                        </a:prstGeom>
                        <a:noFill/>
                        <a:ln w="57150" cap="flat" cmpd="sng">
                          <a:solidFill>
                            <a:srgbClr val="595959"/>
                          </a:solidFill>
                          <a:prstDash val="solid"/>
                          <a:round/>
                          <a:headEnd type="none" w="sm" len="sm"/>
                          <a:tailEnd type="none" w="sm" len="sm"/>
                        </a:ln>
                      </wps:spPr>
                      <wps:txbx>
                        <w:txbxContent>
                          <w:p w14:paraId="7BD672EA"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6096000</wp:posOffset>
                </wp:positionV>
                <wp:extent cx="4686300" cy="419100"/>
                <wp:effectExtent b="0" l="0" r="0" t="0"/>
                <wp:wrapNone/>
                <wp:docPr id="5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686300" cy="419100"/>
                        </a:xfrm>
                        <a:prstGeom prst="rect"/>
                        <a:ln/>
                      </pic:spPr>
                    </pic:pic>
                  </a:graphicData>
                </a:graphic>
              </wp:anchor>
            </w:drawing>
          </mc:Fallback>
        </mc:AlternateContent>
      </w:r>
      <w:r w:rsidRPr="00967C65">
        <w:rPr>
          <w:noProof/>
        </w:rPr>
        <mc:AlternateContent>
          <mc:Choice Requires="wpg">
            <w:drawing>
              <wp:anchor distT="0" distB="0" distL="114300" distR="114300" simplePos="0" relativeHeight="251660288" behindDoc="0" locked="0" layoutInCell="1" hidden="0" allowOverlap="1" wp14:anchorId="78B54605" wp14:editId="5D4C25B3">
                <wp:simplePos x="0" y="0"/>
                <wp:positionH relativeFrom="column">
                  <wp:posOffset>317500</wp:posOffset>
                </wp:positionH>
                <wp:positionV relativeFrom="paragraph">
                  <wp:posOffset>4559300</wp:posOffset>
                </wp:positionV>
                <wp:extent cx="2486025" cy="428625"/>
                <wp:effectExtent l="0" t="0" r="0" b="0"/>
                <wp:wrapNone/>
                <wp:docPr id="59" name="Rectángulo 59"/>
                <wp:cNvGraphicFramePr/>
                <a:graphic xmlns:a="http://schemas.openxmlformats.org/drawingml/2006/main">
                  <a:graphicData uri="http://schemas.microsoft.com/office/word/2010/wordprocessingShape">
                    <wps:wsp>
                      <wps:cNvSpPr/>
                      <wps:spPr>
                        <a:xfrm>
                          <a:off x="4188713" y="3651413"/>
                          <a:ext cx="2314575" cy="257175"/>
                        </a:xfrm>
                        <a:prstGeom prst="rect">
                          <a:avLst/>
                        </a:prstGeom>
                        <a:noFill/>
                        <a:ln w="57150" cap="flat" cmpd="sng">
                          <a:solidFill>
                            <a:srgbClr val="595959"/>
                          </a:solidFill>
                          <a:prstDash val="solid"/>
                          <a:round/>
                          <a:headEnd type="none" w="sm" len="sm"/>
                          <a:tailEnd type="none" w="sm" len="sm"/>
                        </a:ln>
                      </wps:spPr>
                      <wps:txbx>
                        <w:txbxContent>
                          <w:p w14:paraId="3852F27F"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317500</wp:posOffset>
                </wp:positionH>
                <wp:positionV relativeFrom="paragraph">
                  <wp:posOffset>4559300</wp:posOffset>
                </wp:positionV>
                <wp:extent cx="2486025" cy="428625"/>
                <wp:effectExtent b="0" l="0" r="0" t="0"/>
                <wp:wrapNone/>
                <wp:docPr id="5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486025" cy="428625"/>
                        </a:xfrm>
                        <a:prstGeom prst="rect"/>
                        <a:ln/>
                      </pic:spPr>
                    </pic:pic>
                  </a:graphicData>
                </a:graphic>
              </wp:anchor>
            </w:drawing>
          </mc:Fallback>
        </mc:AlternateContent>
      </w:r>
    </w:p>
    <w:p w14:paraId="24ABFC70"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noProof/>
          <w:sz w:val="22"/>
          <w:szCs w:val="22"/>
        </w:rPr>
        <w:lastRenderedPageBreak/>
        <w:drawing>
          <wp:inline distT="0" distB="0" distL="0" distR="0" wp14:anchorId="4D4F35D8" wp14:editId="72D175EF">
            <wp:extent cx="4738074" cy="7079240"/>
            <wp:effectExtent l="0" t="0" r="0" 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738074" cy="7079240"/>
                    </a:xfrm>
                    <a:prstGeom prst="rect">
                      <a:avLst/>
                    </a:prstGeom>
                    <a:ln/>
                  </pic:spPr>
                </pic:pic>
              </a:graphicData>
            </a:graphic>
          </wp:inline>
        </w:drawing>
      </w:r>
      <w:r w:rsidRPr="00967C65">
        <w:rPr>
          <w:noProof/>
        </w:rPr>
        <mc:AlternateContent>
          <mc:Choice Requires="wpg">
            <w:drawing>
              <wp:anchor distT="0" distB="0" distL="114300" distR="114300" simplePos="0" relativeHeight="251661312" behindDoc="0" locked="0" layoutInCell="1" hidden="0" allowOverlap="1" wp14:anchorId="68A64330" wp14:editId="4D6C81E5">
                <wp:simplePos x="0" y="0"/>
                <wp:positionH relativeFrom="column">
                  <wp:posOffset>254000</wp:posOffset>
                </wp:positionH>
                <wp:positionV relativeFrom="paragraph">
                  <wp:posOffset>3937000</wp:posOffset>
                </wp:positionV>
                <wp:extent cx="2219325" cy="428625"/>
                <wp:effectExtent l="0" t="0" r="0" b="0"/>
                <wp:wrapNone/>
                <wp:docPr id="58" name="Rectángulo 58"/>
                <wp:cNvGraphicFramePr/>
                <a:graphic xmlns:a="http://schemas.openxmlformats.org/drawingml/2006/main">
                  <a:graphicData uri="http://schemas.microsoft.com/office/word/2010/wordprocessingShape">
                    <wps:wsp>
                      <wps:cNvSpPr/>
                      <wps:spPr>
                        <a:xfrm>
                          <a:off x="4322063" y="3651413"/>
                          <a:ext cx="2047875" cy="257175"/>
                        </a:xfrm>
                        <a:prstGeom prst="rect">
                          <a:avLst/>
                        </a:prstGeom>
                        <a:noFill/>
                        <a:ln w="57150" cap="flat" cmpd="sng">
                          <a:solidFill>
                            <a:srgbClr val="595959"/>
                          </a:solidFill>
                          <a:prstDash val="solid"/>
                          <a:round/>
                          <a:headEnd type="none" w="sm" len="sm"/>
                          <a:tailEnd type="none" w="sm" len="sm"/>
                        </a:ln>
                      </wps:spPr>
                      <wps:txbx>
                        <w:txbxContent>
                          <w:p w14:paraId="351F45AF"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254000</wp:posOffset>
                </wp:positionH>
                <wp:positionV relativeFrom="paragraph">
                  <wp:posOffset>3937000</wp:posOffset>
                </wp:positionV>
                <wp:extent cx="2219325" cy="428625"/>
                <wp:effectExtent b="0" l="0" r="0" t="0"/>
                <wp:wrapNone/>
                <wp:docPr id="5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219325" cy="428625"/>
                        </a:xfrm>
                        <a:prstGeom prst="rect"/>
                        <a:ln/>
                      </pic:spPr>
                    </pic:pic>
                  </a:graphicData>
                </a:graphic>
              </wp:anchor>
            </w:drawing>
          </mc:Fallback>
        </mc:AlternateContent>
      </w:r>
      <w:r w:rsidRPr="00967C65">
        <w:rPr>
          <w:noProof/>
        </w:rPr>
        <mc:AlternateContent>
          <mc:Choice Requires="wpg">
            <w:drawing>
              <wp:anchor distT="0" distB="0" distL="114300" distR="114300" simplePos="0" relativeHeight="251662336" behindDoc="0" locked="0" layoutInCell="1" hidden="0" allowOverlap="1" wp14:anchorId="56C018E3" wp14:editId="2287AF7B">
                <wp:simplePos x="0" y="0"/>
                <wp:positionH relativeFrom="column">
                  <wp:posOffset>254000</wp:posOffset>
                </wp:positionH>
                <wp:positionV relativeFrom="paragraph">
                  <wp:posOffset>5092700</wp:posOffset>
                </wp:positionV>
                <wp:extent cx="2600325" cy="390525"/>
                <wp:effectExtent l="0" t="0" r="0" b="0"/>
                <wp:wrapNone/>
                <wp:docPr id="55" name="Rectángulo 55"/>
                <wp:cNvGraphicFramePr/>
                <a:graphic xmlns:a="http://schemas.openxmlformats.org/drawingml/2006/main">
                  <a:graphicData uri="http://schemas.microsoft.com/office/word/2010/wordprocessingShape">
                    <wps:wsp>
                      <wps:cNvSpPr/>
                      <wps:spPr>
                        <a:xfrm>
                          <a:off x="4131563" y="3670463"/>
                          <a:ext cx="2428875" cy="219075"/>
                        </a:xfrm>
                        <a:prstGeom prst="rect">
                          <a:avLst/>
                        </a:prstGeom>
                        <a:noFill/>
                        <a:ln w="57150" cap="flat" cmpd="sng">
                          <a:solidFill>
                            <a:srgbClr val="595959"/>
                          </a:solidFill>
                          <a:prstDash val="solid"/>
                          <a:round/>
                          <a:headEnd type="none" w="sm" len="sm"/>
                          <a:tailEnd type="none" w="sm" len="sm"/>
                        </a:ln>
                      </wps:spPr>
                      <wps:txbx>
                        <w:txbxContent>
                          <w:p w14:paraId="08A7EA53"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254000</wp:posOffset>
                </wp:positionH>
                <wp:positionV relativeFrom="paragraph">
                  <wp:posOffset>5092700</wp:posOffset>
                </wp:positionV>
                <wp:extent cx="2600325" cy="390525"/>
                <wp:effectExtent b="0" l="0" r="0" t="0"/>
                <wp:wrapNone/>
                <wp:docPr id="5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600325" cy="390525"/>
                        </a:xfrm>
                        <a:prstGeom prst="rect"/>
                        <a:ln/>
                      </pic:spPr>
                    </pic:pic>
                  </a:graphicData>
                </a:graphic>
              </wp:anchor>
            </w:drawing>
          </mc:Fallback>
        </mc:AlternateContent>
      </w:r>
      <w:r w:rsidRPr="00967C65">
        <w:rPr>
          <w:noProof/>
        </w:rPr>
        <mc:AlternateContent>
          <mc:Choice Requires="wpg">
            <w:drawing>
              <wp:anchor distT="0" distB="0" distL="114300" distR="114300" simplePos="0" relativeHeight="251663360" behindDoc="0" locked="0" layoutInCell="1" hidden="0" allowOverlap="1" wp14:anchorId="4A63D48E" wp14:editId="72DE2160">
                <wp:simplePos x="0" y="0"/>
                <wp:positionH relativeFrom="column">
                  <wp:posOffset>279400</wp:posOffset>
                </wp:positionH>
                <wp:positionV relativeFrom="paragraph">
                  <wp:posOffset>6769100</wp:posOffset>
                </wp:positionV>
                <wp:extent cx="4848225" cy="352425"/>
                <wp:effectExtent l="0" t="0" r="0" b="0"/>
                <wp:wrapNone/>
                <wp:docPr id="54" name="Rectángulo 54"/>
                <wp:cNvGraphicFramePr/>
                <a:graphic xmlns:a="http://schemas.openxmlformats.org/drawingml/2006/main">
                  <a:graphicData uri="http://schemas.microsoft.com/office/word/2010/wordprocessingShape">
                    <wps:wsp>
                      <wps:cNvSpPr/>
                      <wps:spPr>
                        <a:xfrm>
                          <a:off x="2979038" y="3660938"/>
                          <a:ext cx="4733925" cy="238125"/>
                        </a:xfrm>
                        <a:prstGeom prst="rect">
                          <a:avLst/>
                        </a:prstGeom>
                        <a:noFill/>
                        <a:ln w="38100" cap="flat" cmpd="sng">
                          <a:solidFill>
                            <a:srgbClr val="595959"/>
                          </a:solidFill>
                          <a:prstDash val="solid"/>
                          <a:round/>
                          <a:headEnd type="none" w="sm" len="sm"/>
                          <a:tailEnd type="none" w="sm" len="sm"/>
                        </a:ln>
                      </wps:spPr>
                      <wps:txbx>
                        <w:txbxContent>
                          <w:p w14:paraId="0A110C25" w14:textId="77777777" w:rsidR="00B64A66" w:rsidRDefault="00B64A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279400</wp:posOffset>
                </wp:positionH>
                <wp:positionV relativeFrom="paragraph">
                  <wp:posOffset>6769100</wp:posOffset>
                </wp:positionV>
                <wp:extent cx="4848225" cy="352425"/>
                <wp:effectExtent b="0" l="0" r="0" t="0"/>
                <wp:wrapNone/>
                <wp:docPr id="54"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848225" cy="352425"/>
                        </a:xfrm>
                        <a:prstGeom prst="rect"/>
                        <a:ln/>
                      </pic:spPr>
                    </pic:pic>
                  </a:graphicData>
                </a:graphic>
              </wp:anchor>
            </w:drawing>
          </mc:Fallback>
        </mc:AlternateContent>
      </w:r>
    </w:p>
    <w:p w14:paraId="75000E3B" w14:textId="77777777" w:rsidR="00B64A66" w:rsidRPr="00967C65" w:rsidRDefault="00A468B0">
      <w:pPr>
        <w:spacing w:before="240" w:after="240" w:line="360" w:lineRule="auto"/>
        <w:ind w:right="49"/>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Por otro lado, respecto a los reglamentos, el Plan de Desarrollo Municipal, en una actualización que data del 26 de enero de 2023, contempla lo siguiente:</w:t>
      </w:r>
    </w:p>
    <w:p w14:paraId="1E2EDA75"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“XI.I. I. Subtema: Reglamentación</w:t>
      </w:r>
    </w:p>
    <w:p w14:paraId="067F7913"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Contar con una normatividad actualizada y vigente es crucial para la interacción y apropiación de derechos, obligaciones y responsabilidades como servidores públicos. Emite una claridad en el actuar y establece los límites que en todo ambiente laboral sano deben existir.</w:t>
      </w:r>
    </w:p>
    <w:p w14:paraId="635474B7"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Por mencionar algunas de las disposiciones generales y particularmente el ejercicio del artículo 2 de la Ley Orgánica del Estado de México y sus Municipios donde enmarca que las autoridades municipales tienen las atribuciones que les señalen los ordenamientos federales, locales, y municipales y las derivadas de los convenios que se celebren con el Gobierno del Estado o con otros municipios. Por ende, actuar bajo un marco regulatorio nos permitirá ser eficaces en cada área de la administración.</w:t>
      </w:r>
    </w:p>
    <w:p w14:paraId="3A0E6DC4"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Actualmente la Administración 2022-2024 cuenta con el documento rector conocido como Bando Municipal de Policía y Gobierno 2022 publicado en la Gaceta Municipal el día 5 de febrero, el Reglamento de Cabildo; emitido el 2 de febrero, el Reglamento de Mejora Regulatoria que fue publicado el 11 de agosto y Reglamento Interior del Consejo Municipal de Población; emitido el 11 de septiembre, todos y cada uno en el año presente</w:t>
      </w:r>
      <w:r w:rsidRPr="00967C65">
        <w:rPr>
          <w:rFonts w:ascii="Palatino Linotype" w:eastAsia="Palatino Linotype" w:hAnsi="Palatino Linotype" w:cs="Palatino Linotype"/>
          <w:i/>
          <w:sz w:val="22"/>
          <w:szCs w:val="22"/>
        </w:rPr>
        <w:t>. De manera puntual es importante mencionar que al tratarse de una Administración nueva en términos de experiencia aún están sucintándose ajustes y cambios en materia de normatividad con la finalidad de que dichos documentos jurídicos normen de la manera más transparente las actividades de la Administración actual.</w:t>
      </w:r>
    </w:p>
    <w:p w14:paraId="5695D783"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lo anteriormente citado, se aprecia que si bien es cierto,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contempla la generación de los manuales y reglamentos para la presente administración, no menos cierto es que cabe la posibilidad de que a la fecha de las solicitudes aún no se cuenten con la totalidad de los ordenamientos de las áreas respecto de las que se peticiona la información.</w:t>
      </w:r>
    </w:p>
    <w:p w14:paraId="4D79983A"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 xml:space="preserve">Por lo anterior, </w:t>
      </w:r>
      <w:r w:rsidRPr="00967C65">
        <w:rPr>
          <w:rFonts w:ascii="Palatino Linotype" w:eastAsia="Palatino Linotype" w:hAnsi="Palatino Linotype" w:cs="Palatino Linotype"/>
          <w:b/>
          <w:sz w:val="22"/>
          <w:szCs w:val="22"/>
        </w:rPr>
        <w:t>para el caso en el que alguna de las áreas en comento no cuente con alguno de los ordenamientos que se ordenan</w:t>
      </w:r>
      <w:r w:rsidRPr="00967C65">
        <w:rPr>
          <w:rFonts w:ascii="Palatino Linotype" w:eastAsia="Palatino Linotype" w:hAnsi="Palatino Linotype" w:cs="Palatino Linotype"/>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CD1C887" w14:textId="77777777" w:rsidR="00B64A66" w:rsidRPr="00967C65" w:rsidRDefault="00A468B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19…</w:t>
      </w:r>
    </w:p>
    <w:p w14:paraId="2706CC9E" w14:textId="77777777" w:rsidR="00B64A66" w:rsidRPr="00967C65" w:rsidRDefault="00A468B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AE4A09D" w14:textId="77777777" w:rsidR="00B64A66" w:rsidRPr="00967C65" w:rsidRDefault="00A468B0">
      <w:pPr>
        <w:spacing w:before="240" w:after="240" w:line="360" w:lineRule="auto"/>
        <w:ind w:right="49"/>
        <w:jc w:val="both"/>
        <w:rPr>
          <w:rFonts w:ascii="Palatino Linotype" w:eastAsia="Palatino Linotype" w:hAnsi="Palatino Linotype" w:cs="Palatino Linotype"/>
          <w:b/>
          <w:sz w:val="22"/>
          <w:szCs w:val="22"/>
          <w:u w:val="single"/>
        </w:rPr>
      </w:pPr>
      <w:r w:rsidRPr="00967C65">
        <w:rPr>
          <w:rFonts w:ascii="Palatino Linotype" w:eastAsia="Palatino Linotype" w:hAnsi="Palatino Linotype" w:cs="Palatino Linotype"/>
          <w:sz w:val="22"/>
          <w:szCs w:val="22"/>
        </w:rPr>
        <w:t xml:space="preserve">Por otra parte, respecto al área coordinadora de archivos, resulta importante mencionar que de la revisión a la estructura orgánica que conforma el Ayuntamiento de Temamatla, no se aprecia con claridad que </w:t>
      </w:r>
      <w:r w:rsidRPr="00967C65">
        <w:rPr>
          <w:rFonts w:ascii="Palatino Linotype" w:eastAsia="Palatino Linotype" w:hAnsi="Palatino Linotype" w:cs="Palatino Linotype"/>
          <w:b/>
          <w:sz w:val="22"/>
          <w:szCs w:val="22"/>
          <w:u w:val="single"/>
        </w:rPr>
        <w:t>el área coordinadora de archivos sea una unidad administrativa dentro de la estructura orgánica del Sujeto Obligado.</w:t>
      </w:r>
    </w:p>
    <w:p w14:paraId="3FF2915C"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No obstante, de conformidad con lo establecido en el artículo 4, fracción X de la Ley General de Archivos,</w:t>
      </w:r>
      <w:r w:rsidRPr="00967C65">
        <w:rPr>
          <w:rFonts w:ascii="Palatino Linotype" w:eastAsia="Palatino Linotype" w:hAnsi="Palatino Linotype" w:cs="Palatino Linotype"/>
        </w:rPr>
        <w:t xml:space="preserve"> </w:t>
      </w:r>
      <w:r w:rsidRPr="00967C65">
        <w:rPr>
          <w:rFonts w:ascii="Palatino Linotype" w:eastAsia="Palatino Linotype" w:hAnsi="Palatino Linotype" w:cs="Palatino Linotype"/>
          <w:sz w:val="22"/>
          <w:szCs w:val="22"/>
        </w:rPr>
        <w:t>4, fracción XI de la Ley de Archivos y Administración de Documentos del Estado de México y Municipios, y el Lineamiento Cuarto de los Lineamientos para la Organización y Conservación de Archivos, los cuales establecen que el área coordinadora de archivos es la instancia encargada de promover y vigilar el cumplimiento de las disposiciones en materia de gestión documental y administración de archivos, así como de coordinar las áreas operativas del sistema institucional de archivos.</w:t>
      </w:r>
    </w:p>
    <w:p w14:paraId="57BF4698" w14:textId="77777777" w:rsidR="00B64A66" w:rsidRPr="00967C65" w:rsidRDefault="00A468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Es de precisar que conforme al artículo 27 de la Ley General de Archivos, el área coordinadora de archivos promoverá que las áreas operativas lleven a cabo las acciones de gestión documental y administración de los archivos, de manera conjunta con las unidades administrativas o áreas competentes de cada sujeto obligado. </w:t>
      </w:r>
    </w:p>
    <w:p w14:paraId="60041CB1" w14:textId="77777777" w:rsidR="00B64A66" w:rsidRPr="00967C65" w:rsidRDefault="00B64A6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8CDAC96" w14:textId="77777777" w:rsidR="00B64A66" w:rsidRPr="00967C65" w:rsidRDefault="00A468B0">
      <w:pPr>
        <w:pBdr>
          <w:top w:val="nil"/>
          <w:left w:val="nil"/>
          <w:bottom w:val="nil"/>
          <w:right w:val="nil"/>
          <w:between w:val="nil"/>
        </w:pBdr>
        <w:spacing w:line="360" w:lineRule="auto"/>
        <w:jc w:val="both"/>
        <w:rPr>
          <w:rFonts w:ascii="Palatino Linotype" w:eastAsia="Palatino Linotype" w:hAnsi="Palatino Linotype" w:cs="Palatino Linotype"/>
          <w:sz w:val="20"/>
          <w:szCs w:val="20"/>
        </w:rPr>
      </w:pPr>
      <w:r w:rsidRPr="00967C65">
        <w:rPr>
          <w:rFonts w:ascii="Palatino Linotype" w:eastAsia="Palatino Linotype" w:hAnsi="Palatino Linotype" w:cs="Palatino Linotype"/>
          <w:sz w:val="22"/>
          <w:szCs w:val="22"/>
        </w:rPr>
        <w:lastRenderedPageBreak/>
        <w:t>El titular del área coordinadora de archivos deberá tener al menos nivel de director general o su equivalente dentro de la estructura orgánica del sujeto obligado. La persona designada deberá dedicarse específicamente a las funciones establecidas en esta Ley y la de la entidad federativa en esta materia.</w:t>
      </w:r>
    </w:p>
    <w:p w14:paraId="2562BAC1" w14:textId="77777777" w:rsidR="00B64A66" w:rsidRPr="00967C65" w:rsidRDefault="00B64A6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7A343CC" w14:textId="77777777" w:rsidR="00B64A66" w:rsidRPr="00967C65" w:rsidRDefault="00A468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Asimismo, el artículo 28 establece que dicha área cuenta con las siguientes atribuciones: </w:t>
      </w:r>
    </w:p>
    <w:p w14:paraId="2D6CC01A" w14:textId="77777777" w:rsidR="00B64A66" w:rsidRPr="00967C65" w:rsidRDefault="00B64A66">
      <w:pPr>
        <w:pBdr>
          <w:top w:val="nil"/>
          <w:left w:val="nil"/>
          <w:bottom w:val="nil"/>
          <w:right w:val="nil"/>
          <w:between w:val="nil"/>
        </w:pBdr>
        <w:spacing w:line="360" w:lineRule="auto"/>
        <w:jc w:val="both"/>
        <w:rPr>
          <w:rFonts w:ascii="Palatino Linotype" w:eastAsia="Palatino Linotype" w:hAnsi="Palatino Linotype" w:cs="Palatino Linotype"/>
        </w:rPr>
      </w:pPr>
    </w:p>
    <w:p w14:paraId="40127ADD"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“Artículo 28. El área coordinadora de archivos tendrá las siguientes funciones: </w:t>
      </w:r>
    </w:p>
    <w:p w14:paraId="20004CD3"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 Elaborar, con la colaboración de los responsables de los archivos de trámite, de concentración y en su caso histórico, los instrumentos de control archivístico previstos en esta Ley, las leyes locales y sus disposiciones reglamentarias, así como la normativa que derive de ellos;</w:t>
      </w:r>
    </w:p>
    <w:p w14:paraId="468FFAA4"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II. Elaborar criterios específicos y recomendaciones en materia de organización y conservación de archivos, cuando la especialidad del sujeto obligado así lo requiera; </w:t>
      </w:r>
    </w:p>
    <w:p w14:paraId="1C8F4411"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III. Elaborar y someter a consideración del titular del sujeto obligado o a quien éste designe, el programa anual; </w:t>
      </w:r>
    </w:p>
    <w:p w14:paraId="3F32F586"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IV. Coordinar los procesos de valoración y disposición documental que realicen las áreas operativas; </w:t>
      </w:r>
    </w:p>
    <w:p w14:paraId="2101FC1C"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 Coordinar las actividades destinadas a la modernización y automatización de los procesos archivísticos y a la gestión de documentos electrónicos de las áreas operativas; </w:t>
      </w:r>
    </w:p>
    <w:p w14:paraId="64317D42"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VI. Brindar asesoría técnica para la operación de los archivos; </w:t>
      </w:r>
    </w:p>
    <w:p w14:paraId="599F4AEE"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VII. Elaborar programas de capacitación en gestión documental y administración de archivos; </w:t>
      </w:r>
    </w:p>
    <w:p w14:paraId="4F0A7343"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VIII. Coordinar, con las áreas o unidades administrativas, las políticas de acceso y la conservación de los archivos; </w:t>
      </w:r>
    </w:p>
    <w:p w14:paraId="5EF4B345"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IX. Coordinar la operación de los archivos de trámite, concentración y, en su caso, histórico, de acuerdo con la normatividad; </w:t>
      </w:r>
    </w:p>
    <w:p w14:paraId="6C8E476A"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X. Autorizar la transferencia de los archivos cuando un área o unidad del sujeto obligado sea sometida a procesos de fusión, escisión, extinción o cambio de adscripción; o cualquier modificación de conformidad con las disposiciones legales aplicables, y </w:t>
      </w:r>
    </w:p>
    <w:p w14:paraId="2956962F" w14:textId="77777777" w:rsidR="00B64A66" w:rsidRPr="00967C65" w:rsidRDefault="00A468B0">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XI. Las que establezcan las demás disposiciones jurídicas aplicables.”</w:t>
      </w:r>
    </w:p>
    <w:p w14:paraId="79CC5978" w14:textId="77777777" w:rsidR="00B64A66" w:rsidRPr="00967C65" w:rsidRDefault="00B64A66">
      <w:pPr>
        <w:pBdr>
          <w:top w:val="nil"/>
          <w:left w:val="nil"/>
          <w:bottom w:val="nil"/>
          <w:right w:val="nil"/>
          <w:between w:val="nil"/>
        </w:pBdr>
        <w:spacing w:line="360" w:lineRule="auto"/>
        <w:jc w:val="both"/>
        <w:rPr>
          <w:rFonts w:ascii="Palatino Linotype" w:eastAsia="Palatino Linotype" w:hAnsi="Palatino Linotype" w:cs="Palatino Linotype"/>
        </w:rPr>
      </w:pPr>
    </w:p>
    <w:p w14:paraId="2F914CFA" w14:textId="77777777" w:rsidR="00B64A66" w:rsidRPr="00967C65" w:rsidRDefault="00A468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Finalmente es de resaltar que conforme al artículo octavo transitorio de la Ley de Archivos y Administración de Documentos del Estado de México y Municipios, los Sujetos Obligados deberán implementar su Sistema Institucional, dentro de los seis meses posteriores a la entrada en vigor de la presente Ley, es decir, a partir del 19 de noviembre de 2020 se contabilizan dichos 6 meses, por lo que a la fecha de la solicitud, 27 de septiembre de 2024, el área coordinadora de archivos ya debe estar debidamente instalada.</w:t>
      </w:r>
    </w:p>
    <w:p w14:paraId="7442DA60"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bookmarkStart w:id="2" w:name="_heading=h.2et92p0" w:colFirst="0" w:colLast="0"/>
      <w:bookmarkEnd w:id="2"/>
      <w:r w:rsidRPr="00967C65">
        <w:rPr>
          <w:rFonts w:ascii="Palatino Linotype" w:eastAsia="Palatino Linotype" w:hAnsi="Palatino Linotype" w:cs="Palatino Linotype"/>
          <w:sz w:val="22"/>
          <w:szCs w:val="22"/>
        </w:rPr>
        <w:t xml:space="preserve">Aunado a lo anterior, es de reiterar que desde la respuesta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asevera contar con los manuales de dicha área, tan es así que realiza un cambio de modalidad en consulta directa, por consiguiente, procede la entrega de dichas documentales.</w:t>
      </w:r>
    </w:p>
    <w:p w14:paraId="43C0809F" w14:textId="77777777" w:rsidR="00B64A66" w:rsidRPr="00967C65" w:rsidRDefault="00A468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Bajo otro orden de ideas,</w:t>
      </w:r>
      <w:r w:rsidRPr="00967C65">
        <w:t xml:space="preserve"> </w:t>
      </w:r>
      <w:r w:rsidRPr="00967C65">
        <w:rPr>
          <w:rFonts w:ascii="Palatino Linotype" w:eastAsia="Palatino Linotype" w:hAnsi="Palatino Linotype" w:cs="Palatino Linotype"/>
          <w:sz w:val="22"/>
          <w:szCs w:val="22"/>
        </w:rPr>
        <w:t xml:space="preserve">se procede a analizar el cambio de modalidad, para ello debemos tener presente que si bien es cierto, </w:t>
      </w:r>
      <w:r w:rsidRPr="00967C65">
        <w:rPr>
          <w:rFonts w:ascii="Palatino Linotype" w:eastAsia="Palatino Linotype" w:hAnsi="Palatino Linotype" w:cs="Palatino Linotype"/>
          <w:sz w:val="20"/>
          <w:szCs w:val="20"/>
        </w:rPr>
        <w:t xml:space="preserve">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pretende hacer valer un cambio de modalidad de entrega de la información mediante consulta directa, adjuntando para tal efecto un Acuerdo del Comité de Transparencia por el cual se aprueba el cambio a consulta directa in situ, no debemos perder de vista que respecto del recurso de revisión que ahora se resuelve se está solicitando información de naturaleza pública, comprendida dentro de las obligaciones de transparencia comunes y específicas de los Sujetos Obligados, comprendida en la fracción I del artículo 92 y fracción II; inciso b) de la Ley de Transparencia y Acceso a la Información Pública del Estado de México y Municipios, que señalan lo siguiente:</w:t>
      </w:r>
    </w:p>
    <w:p w14:paraId="4B13353E"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w:t>
      </w:r>
      <w:r w:rsidRPr="00967C65">
        <w:rPr>
          <w:rFonts w:ascii="Palatino Linotype" w:eastAsia="Palatino Linotype" w:hAnsi="Palatino Linotype" w:cs="Palatino Linotype"/>
          <w:i/>
          <w:sz w:val="22"/>
          <w:szCs w:val="22"/>
        </w:rPr>
        <w:lastRenderedPageBreak/>
        <w:t>funciones u objeto social, según corresponda, la información, por lo menos, de los temas, documentos y políticas que a continuación se señalan:</w:t>
      </w:r>
    </w:p>
    <w:p w14:paraId="3AEE716D"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 El marco normativo aplicable al sujeto obligado, en el que deberá incluirse leyes, códigos, reglamentos, decretos de creación, acuerdos, convenios, </w:t>
      </w:r>
      <w:r w:rsidRPr="00967C65">
        <w:rPr>
          <w:rFonts w:ascii="Palatino Linotype" w:eastAsia="Palatino Linotype" w:hAnsi="Palatino Linotype" w:cs="Palatino Linotype"/>
          <w:b/>
          <w:i/>
          <w:sz w:val="22"/>
          <w:szCs w:val="22"/>
          <w:u w:val="single"/>
        </w:rPr>
        <w:t>manuales de organización y procedimientos</w:t>
      </w:r>
      <w:r w:rsidRPr="00967C65">
        <w:rPr>
          <w:rFonts w:ascii="Palatino Linotype" w:eastAsia="Palatino Linotype" w:hAnsi="Palatino Linotype" w:cs="Palatino Linotype"/>
          <w:i/>
          <w:sz w:val="22"/>
          <w:szCs w:val="22"/>
        </w:rPr>
        <w:t>, reglas de operación, criterios, políticas, entre otros;</w:t>
      </w:r>
    </w:p>
    <w:p w14:paraId="68823DA2"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6783644A"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36AB4F10"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6504ED08"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Adicionalmente en el caso de los municipios:</w:t>
      </w:r>
      <w:r w:rsidRPr="00967C65">
        <w:rPr>
          <w:rFonts w:ascii="Palatino Linotype" w:eastAsia="Palatino Linotype" w:hAnsi="Palatino Linotype" w:cs="Palatino Linotype"/>
          <w:i/>
          <w:sz w:val="22"/>
          <w:szCs w:val="22"/>
        </w:rPr>
        <w:br/>
        <w:t>…</w:t>
      </w:r>
    </w:p>
    <w:p w14:paraId="09062C0B" w14:textId="77777777" w:rsidR="00B64A66" w:rsidRPr="00967C65" w:rsidRDefault="00A468B0">
      <w:pPr>
        <w:spacing w:before="240" w:after="240" w:line="276" w:lineRule="auto"/>
        <w:ind w:left="567"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u w:val="single"/>
        </w:rPr>
        <w:t>b) Las actas de sesiones de cabildo</w:t>
      </w:r>
      <w:r w:rsidRPr="00967C65">
        <w:rPr>
          <w:rFonts w:ascii="Palatino Linotype" w:eastAsia="Palatino Linotype" w:hAnsi="Palatino Linotype" w:cs="Palatino Linotype"/>
          <w:i/>
          <w:sz w:val="22"/>
          <w:szCs w:val="22"/>
        </w:rPr>
        <w:t>, los controles de asistencia de los integrantes del Ayuntamiento a las sesiones de cabildo y el sentido de votación de los miembros del cabildo sobre las iniciativas o acuerdos;” (Énfasis añadido)</w:t>
      </w:r>
    </w:p>
    <w:p w14:paraId="4CD45732"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Asimismo, por cuanto hace a las actas de cabildo en las que se aprueban los manuales de organización y reglamentos, no pasa desapercibido para este Organismo Garante que en el recurso de revisión </w:t>
      </w:r>
      <w:r w:rsidRPr="00967C65">
        <w:rPr>
          <w:rFonts w:ascii="Palatino Linotype" w:eastAsia="Palatino Linotype" w:hAnsi="Palatino Linotype" w:cs="Palatino Linotype"/>
          <w:b/>
          <w:sz w:val="22"/>
          <w:szCs w:val="22"/>
        </w:rPr>
        <w:t>06239/INFOEM/IP/RR/2024</w:t>
      </w:r>
      <w:r w:rsidRPr="00967C65">
        <w:rPr>
          <w:rFonts w:ascii="Palatino Linotype" w:eastAsia="Palatino Linotype" w:hAnsi="Palatino Linotype" w:cs="Palatino Linotype"/>
          <w:sz w:val="22"/>
          <w:szCs w:val="22"/>
        </w:rPr>
        <w:t xml:space="preserv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aseveró contar con dicha información al referir que adjuntaba en formato digital, el acta de cabildo, correspondiente a la Décima Séptima Sesión Ordinaria de Cabildo, de cinco de agosto de dos mil veintidós.</w:t>
      </w:r>
    </w:p>
    <w:p w14:paraId="0921F1A8"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7640815C"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A mayor abundamiento de lo anterior, este Instituto localizó a manera de ejemplo, el Reglamento del Comité de Transparencia, en el cual se señala en la primera página lo siguiente:</w:t>
      </w:r>
    </w:p>
    <w:p w14:paraId="23AFA3A1"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noProof/>
          <w:sz w:val="22"/>
          <w:szCs w:val="22"/>
        </w:rPr>
        <w:drawing>
          <wp:inline distT="0" distB="0" distL="0" distR="0" wp14:anchorId="4EB35F41" wp14:editId="525A125C">
            <wp:extent cx="5177754" cy="3397938"/>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177754" cy="3397938"/>
                    </a:xfrm>
                    <a:prstGeom prst="rect">
                      <a:avLst/>
                    </a:prstGeom>
                    <a:ln/>
                  </pic:spPr>
                </pic:pic>
              </a:graphicData>
            </a:graphic>
          </wp:inline>
        </w:drawing>
      </w:r>
    </w:p>
    <w:p w14:paraId="24251F0C"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3F24D4BE"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lo que en efecto, nos encontramos ante el supuesto de que dicha información si fue generada por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por lo tanto, procede ordenar su entrega.</w:t>
      </w:r>
    </w:p>
    <w:p w14:paraId="03025E82"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0CF060C5"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No obstante lo anterior, para el caso en el que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haga valer que no cuente con algunos ordenamientos, por ende, no cuenta con el acta de cabildo que respalde su aprobación, bastará con que así se haga del conocimiento de la persona solicitante para tener por colmado su derecho de acceso a la información, en términos de lo dispuesto por el </w:t>
      </w:r>
      <w:r w:rsidRPr="00967C65">
        <w:rPr>
          <w:rFonts w:ascii="Palatino Linotype" w:eastAsia="Palatino Linotype" w:hAnsi="Palatino Linotype" w:cs="Palatino Linotype"/>
          <w:sz w:val="22"/>
          <w:szCs w:val="22"/>
        </w:rPr>
        <w:lastRenderedPageBreak/>
        <w:t>artículo 19, párrafo segundo de la Ley de Transparencia y Acceso a la Información Pública del Estado de México y Municipios, el cual fue citado de manera íntegra en líneas anteriores.</w:t>
      </w:r>
    </w:p>
    <w:p w14:paraId="7CBD1A3D" w14:textId="77777777" w:rsidR="00B64A66" w:rsidRPr="00967C65" w:rsidRDefault="00A468B0">
      <w:pPr>
        <w:spacing w:line="360" w:lineRule="auto"/>
        <w:jc w:val="both"/>
        <w:rPr>
          <w:rFonts w:ascii="Palatino Linotype" w:eastAsia="Palatino Linotype" w:hAnsi="Palatino Linotype" w:cs="Palatino Linotype"/>
          <w:sz w:val="22"/>
          <w:szCs w:val="22"/>
        </w:rPr>
      </w:pPr>
      <w:bookmarkStart w:id="3" w:name="_heading=h.1t3h5sf" w:colFirst="0" w:colLast="0"/>
      <w:bookmarkEnd w:id="3"/>
      <w:r w:rsidRPr="00967C65">
        <w:rPr>
          <w:rFonts w:ascii="Palatino Linotype" w:eastAsia="Palatino Linotype" w:hAnsi="Palatino Linotype" w:cs="Palatino Linotype"/>
          <w:sz w:val="22"/>
          <w:szCs w:val="22"/>
        </w:rPr>
        <w:t xml:space="preserve">Continuando en esta línea de estudio, respecto al cambio de modalidad hecho valer por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es necesario precisar el contenido de los artículos 155, fracción V y 164, de la Ley de Transparencia y Acceso a la Información Pública del Estado de México y Municipios, disponen lo siguiente:</w:t>
      </w:r>
    </w:p>
    <w:p w14:paraId="7DA4A197"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2FD8101F" w14:textId="77777777" w:rsidR="00B64A66" w:rsidRPr="00967C65" w:rsidRDefault="00A468B0">
      <w:pPr>
        <w:ind w:left="567" w:right="567"/>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 xml:space="preserve">Artículo 155. Para presentar una solicitud por escrito, no se podrán exigir mayores requisitos que los siguientes: </w:t>
      </w:r>
    </w:p>
    <w:p w14:paraId="0EEF4F41"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p>
    <w:p w14:paraId="0DC029DD" w14:textId="77777777" w:rsidR="00B64A66" w:rsidRPr="00967C65" w:rsidRDefault="00A468B0">
      <w:pPr>
        <w:ind w:left="567" w:right="567"/>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2012AE12"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164. El</w:t>
      </w:r>
      <w:r w:rsidRPr="00967C65">
        <w:rPr>
          <w:rFonts w:ascii="Palatino Linotype" w:eastAsia="Palatino Linotype" w:hAnsi="Palatino Linotype" w:cs="Palatino Linotype"/>
          <w:i/>
          <w:sz w:val="22"/>
          <w:szCs w:val="22"/>
        </w:rPr>
        <w:t xml:space="preserve"> </w:t>
      </w:r>
      <w:r w:rsidRPr="00967C65">
        <w:rPr>
          <w:rFonts w:ascii="Palatino Linotype" w:eastAsia="Palatino Linotype" w:hAnsi="Palatino Linotype" w:cs="Palatino Linotype"/>
          <w:b/>
          <w:i/>
          <w:sz w:val="22"/>
          <w:szCs w:val="22"/>
        </w:rPr>
        <w:t>acceso se dará en la modalidad de entrega</w:t>
      </w:r>
      <w:r w:rsidRPr="00967C65">
        <w:rPr>
          <w:rFonts w:ascii="Palatino Linotype" w:eastAsia="Palatino Linotype" w:hAnsi="Palatino Linotype" w:cs="Palatino Linotype"/>
          <w:i/>
          <w:sz w:val="22"/>
          <w:szCs w:val="22"/>
        </w:rPr>
        <w:t xml:space="preserve"> y, en su caso, de envío </w:t>
      </w:r>
      <w:r w:rsidRPr="00967C65">
        <w:rPr>
          <w:rFonts w:ascii="Palatino Linotype" w:eastAsia="Palatino Linotype" w:hAnsi="Palatino Linotype" w:cs="Palatino Linotype"/>
          <w:b/>
          <w:i/>
          <w:sz w:val="22"/>
          <w:szCs w:val="22"/>
        </w:rPr>
        <w:t>elegidos por el solicitante</w:t>
      </w:r>
      <w:r w:rsidRPr="00967C65">
        <w:rPr>
          <w:rFonts w:ascii="Palatino Linotype" w:eastAsia="Palatino Linotype" w:hAnsi="Palatino Linotype" w:cs="Palatino Linotype"/>
          <w:i/>
          <w:sz w:val="22"/>
          <w:szCs w:val="22"/>
        </w:rPr>
        <w:t xml:space="preserve">. Cuando la información no pueda entregarse o enviarse en la modalidad solicitada, el sujeto obligado deberá ofrecer otra u otras modalidades de entrega. </w:t>
      </w:r>
    </w:p>
    <w:p w14:paraId="07ACB784"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En cualquier caso, se deberá fundar y motivar la necesidad de ofrecer otras modalidades.” </w:t>
      </w:r>
    </w:p>
    <w:p w14:paraId="080907AB"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(Énfasis añadido)</w:t>
      </w:r>
    </w:p>
    <w:p w14:paraId="5D77CDE3" w14:textId="77777777" w:rsidR="00B64A66" w:rsidRPr="00967C65" w:rsidRDefault="00B64A66">
      <w:pPr>
        <w:widowControl w:val="0"/>
        <w:spacing w:line="360" w:lineRule="auto"/>
        <w:jc w:val="both"/>
        <w:rPr>
          <w:rFonts w:ascii="Palatino Linotype" w:eastAsia="Palatino Linotype" w:hAnsi="Palatino Linotype" w:cs="Palatino Linotype"/>
          <w:sz w:val="22"/>
          <w:szCs w:val="22"/>
        </w:rPr>
      </w:pPr>
    </w:p>
    <w:p w14:paraId="58226218" w14:textId="77777777" w:rsidR="00B64A66" w:rsidRPr="00967C65" w:rsidRDefault="00A468B0">
      <w:pPr>
        <w:spacing w:line="360" w:lineRule="auto"/>
        <w:ind w:right="-9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En ese sentido, a efecto de dar cumplimiento al derecho de acceso a la Información Pública, los particulares tienen la posibilidad de elegir la modalidad de entrega que prefieran, entre ellas, vía </w:t>
      </w:r>
      <w:r w:rsidRPr="00967C65">
        <w:rPr>
          <w:rFonts w:ascii="Palatino Linotype" w:eastAsia="Palatino Linotype" w:hAnsi="Palatino Linotype" w:cs="Palatino Linotype"/>
          <w:b/>
          <w:sz w:val="22"/>
          <w:szCs w:val="22"/>
        </w:rPr>
        <w:t>SAIMEX</w:t>
      </w:r>
      <w:r w:rsidRPr="00967C65">
        <w:rPr>
          <w:rFonts w:ascii="Palatino Linotype" w:eastAsia="Palatino Linotype" w:hAnsi="Palatino Linotype" w:cs="Palatino Linotype"/>
          <w:sz w:val="22"/>
          <w:szCs w:val="22"/>
        </w:rPr>
        <w:t>, como lo realizó el particular en las solicitudes materia de estudio.</w:t>
      </w:r>
    </w:p>
    <w:p w14:paraId="3A1A0A63" w14:textId="77777777" w:rsidR="00B64A66" w:rsidRPr="00967C65" w:rsidRDefault="00B64A66">
      <w:pPr>
        <w:widowControl w:val="0"/>
        <w:spacing w:line="360" w:lineRule="auto"/>
        <w:jc w:val="both"/>
        <w:rPr>
          <w:rFonts w:ascii="Palatino Linotype" w:eastAsia="Palatino Linotype" w:hAnsi="Palatino Linotype" w:cs="Palatino Linotype"/>
          <w:sz w:val="22"/>
          <w:szCs w:val="22"/>
        </w:rPr>
      </w:pPr>
    </w:p>
    <w:p w14:paraId="140D3F60" w14:textId="77777777" w:rsidR="00B64A66" w:rsidRPr="00967C65" w:rsidRDefault="00A468B0">
      <w:pPr>
        <w:spacing w:line="360" w:lineRule="auto"/>
        <w:ind w:right="-93"/>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w:t>
      </w:r>
      <w:r w:rsidRPr="00967C65">
        <w:rPr>
          <w:rFonts w:ascii="Palatino Linotype" w:eastAsia="Palatino Linotype" w:hAnsi="Palatino Linotype" w:cs="Palatino Linotype"/>
          <w:sz w:val="22"/>
          <w:szCs w:val="22"/>
        </w:rPr>
        <w:lastRenderedPageBreak/>
        <w:t>que tanto la modalidad de entrega como la forma de envío de la información se hará preferentemente como lo haya señalado el requirente. En los casos en que esto no sea posible, se</w:t>
      </w:r>
      <w:r w:rsidRPr="00967C65">
        <w:rPr>
          <w:rFonts w:ascii="Palatino Linotype" w:eastAsia="Palatino Linotype" w:hAnsi="Palatino Linotype" w:cs="Palatino Linotype"/>
          <w:b/>
          <w:sz w:val="22"/>
          <w:szCs w:val="22"/>
        </w:rPr>
        <w:t xml:space="preserve"> </w:t>
      </w:r>
      <w:r w:rsidRPr="00967C65">
        <w:rPr>
          <w:rFonts w:ascii="Palatino Linotype" w:eastAsia="Palatino Linotype" w:hAnsi="Palatino Linotype" w:cs="Palatino Linotype"/>
          <w:sz w:val="22"/>
          <w:szCs w:val="22"/>
        </w:rPr>
        <w:t>podrá garantizar la entrega a través de cualquier otro medio, siempre y cuando funde y motive la razón para hacerlo.</w:t>
      </w:r>
    </w:p>
    <w:p w14:paraId="5B44FD52" w14:textId="77777777" w:rsidR="00B64A66" w:rsidRPr="00967C65" w:rsidRDefault="00B64A66">
      <w:pPr>
        <w:spacing w:line="360" w:lineRule="auto"/>
        <w:ind w:right="-93"/>
        <w:jc w:val="both"/>
        <w:rPr>
          <w:rFonts w:ascii="Palatino Linotype" w:eastAsia="Palatino Linotype" w:hAnsi="Palatino Linotype" w:cs="Palatino Linotype"/>
          <w:sz w:val="22"/>
          <w:szCs w:val="22"/>
        </w:rPr>
      </w:pPr>
    </w:p>
    <w:p w14:paraId="00B71C84" w14:textId="77777777" w:rsidR="00B64A66" w:rsidRPr="00967C65" w:rsidRDefault="00A468B0">
      <w:pPr>
        <w:spacing w:line="360" w:lineRule="auto"/>
        <w:ind w:right="-93"/>
        <w:jc w:val="both"/>
        <w:rPr>
          <w:rFonts w:ascii="Palatino Linotype" w:eastAsia="Palatino Linotype" w:hAnsi="Palatino Linotype" w:cs="Palatino Linotype"/>
          <w:b/>
          <w:sz w:val="22"/>
          <w:szCs w:val="22"/>
        </w:rPr>
      </w:pPr>
      <w:r w:rsidRPr="00967C65">
        <w:rPr>
          <w:rFonts w:ascii="Palatino Linotype" w:eastAsia="Palatino Linotype" w:hAnsi="Palatino Linotype" w:cs="Palatino Linotype"/>
          <w:sz w:val="22"/>
          <w:szCs w:val="22"/>
        </w:rPr>
        <w:t xml:space="preserve">Sin embargo, en el presente asunto la actuación del </w:t>
      </w:r>
      <w:r w:rsidRPr="00967C65">
        <w:rPr>
          <w:rFonts w:ascii="Palatino Linotype" w:eastAsia="Palatino Linotype" w:hAnsi="Palatino Linotype" w:cs="Palatino Linotype"/>
          <w:b/>
          <w:sz w:val="22"/>
          <w:szCs w:val="22"/>
        </w:rPr>
        <w:t xml:space="preserve">Sujeto Obligado </w:t>
      </w:r>
      <w:r w:rsidRPr="00967C65">
        <w:rPr>
          <w:rFonts w:ascii="Palatino Linotype" w:eastAsia="Palatino Linotype" w:hAnsi="Palatino Linotype" w:cs="Palatino Linotype"/>
          <w:sz w:val="22"/>
          <w:szCs w:val="22"/>
        </w:rPr>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967C65">
        <w:rPr>
          <w:rFonts w:ascii="Palatino Linotype" w:eastAsia="Palatino Linotype" w:hAnsi="Palatino Linotype" w:cs="Palatino Linotype"/>
          <w:b/>
          <w:sz w:val="22"/>
          <w:szCs w:val="22"/>
        </w:rPr>
        <w:t>SAIMEX.</w:t>
      </w:r>
    </w:p>
    <w:p w14:paraId="0BCDB2BF" w14:textId="77777777" w:rsidR="00B64A66" w:rsidRPr="00967C65" w:rsidRDefault="00B64A66">
      <w:pPr>
        <w:spacing w:line="360" w:lineRule="auto"/>
        <w:ind w:right="-93"/>
        <w:jc w:val="both"/>
        <w:rPr>
          <w:rFonts w:ascii="Palatino Linotype" w:eastAsia="Palatino Linotype" w:hAnsi="Palatino Linotype" w:cs="Palatino Linotype"/>
          <w:b/>
          <w:sz w:val="22"/>
          <w:szCs w:val="22"/>
        </w:rPr>
      </w:pPr>
    </w:p>
    <w:p w14:paraId="6D4F051A"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lo que el cambio de modalidad que pretendió hacer </w:t>
      </w:r>
      <w:r w:rsidRPr="00967C65">
        <w:rPr>
          <w:rFonts w:ascii="Palatino Linotype" w:eastAsia="Palatino Linotype" w:hAnsi="Palatino Linotype" w:cs="Palatino Linotype"/>
          <w:b/>
          <w:sz w:val="22"/>
          <w:szCs w:val="22"/>
        </w:rPr>
        <w:t>el Sujeto Obligado</w:t>
      </w:r>
      <w:r w:rsidRPr="00967C65">
        <w:rPr>
          <w:rFonts w:ascii="Palatino Linotype" w:eastAsia="Palatino Linotype" w:hAnsi="Palatino Linotype" w:cs="Palatino Linotype"/>
          <w:sz w:val="22"/>
          <w:szCs w:val="22"/>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B83B93C"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5765FB8D"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Ahora bien, el artículo 158 de la Ley de Transparencia y Acceso a la Información Pública del Estado de México y Municipios, precisa los casos en que de manera excepcional se puede proceder al cambio de modalidad: </w:t>
      </w:r>
    </w:p>
    <w:p w14:paraId="7E70385F"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322F80C9"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Artículo 158.</w:t>
      </w:r>
      <w:r w:rsidRPr="00967C65">
        <w:rPr>
          <w:rFonts w:ascii="Palatino Linotype" w:eastAsia="Palatino Linotype" w:hAnsi="Palatino Linotype" w:cs="Palatino Linotype"/>
          <w:i/>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967C65">
        <w:rPr>
          <w:rFonts w:ascii="Palatino Linotype" w:eastAsia="Palatino Linotype" w:hAnsi="Palatino Linotype" w:cs="Palatino Linotype"/>
          <w:b/>
          <w:i/>
          <w:sz w:val="22"/>
          <w:szCs w:val="22"/>
        </w:rPr>
        <w:t>sobrepase las capacidades técnicas administrativas y humanas del sujeto obligado</w:t>
      </w:r>
      <w:r w:rsidRPr="00967C65">
        <w:rPr>
          <w:rFonts w:ascii="Palatino Linotype" w:eastAsia="Palatino Linotype" w:hAnsi="Palatino Linotype" w:cs="Palatino Linotype"/>
          <w:i/>
          <w:sz w:val="22"/>
          <w:szCs w:val="22"/>
        </w:rPr>
        <w:t xml:space="preserve"> para cumplir con la solicitud, en los plazos establecidos para dichos efectos, se podrá poner a disposición del solicitante los documentos en consulta directa, salvo la información clasificada.”.</w:t>
      </w:r>
    </w:p>
    <w:p w14:paraId="636C64A0" w14:textId="77777777" w:rsidR="00B64A66" w:rsidRPr="00967C65" w:rsidRDefault="00A468B0">
      <w:pPr>
        <w:ind w:left="567" w:right="567"/>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(Énfasis añadido) </w:t>
      </w:r>
    </w:p>
    <w:p w14:paraId="505D4483" w14:textId="77777777" w:rsidR="00B64A66" w:rsidRPr="00967C65" w:rsidRDefault="00B64A66">
      <w:pPr>
        <w:spacing w:line="360" w:lineRule="auto"/>
        <w:jc w:val="both"/>
        <w:rPr>
          <w:rFonts w:ascii="Palatino Linotype" w:eastAsia="Palatino Linotype" w:hAnsi="Palatino Linotype" w:cs="Palatino Linotype"/>
          <w:i/>
          <w:sz w:val="22"/>
          <w:szCs w:val="22"/>
        </w:rPr>
      </w:pPr>
    </w:p>
    <w:p w14:paraId="251A2F22"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788EE126" w14:textId="77777777" w:rsidR="00B64A66" w:rsidRPr="00967C65" w:rsidRDefault="00B64A66">
      <w:pPr>
        <w:spacing w:line="360" w:lineRule="auto"/>
        <w:ind w:right="-93"/>
        <w:jc w:val="both"/>
        <w:rPr>
          <w:rFonts w:ascii="Palatino Linotype" w:eastAsia="Palatino Linotype" w:hAnsi="Palatino Linotype" w:cs="Palatino Linotype"/>
          <w:sz w:val="22"/>
          <w:szCs w:val="22"/>
        </w:rPr>
      </w:pPr>
    </w:p>
    <w:p w14:paraId="1C6058AE"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Es decir, del artículo anterior, se derivan tres hipótesis que en conjunto y de manera fundada y motivada, validan el cambio de modalidad de entrega de la información y las cuales son, que las documentales a proporcionar </w:t>
      </w:r>
      <w:r w:rsidRPr="00967C65">
        <w:rPr>
          <w:rFonts w:ascii="Palatino Linotype" w:eastAsia="Palatino Linotype" w:hAnsi="Palatino Linotype" w:cs="Palatino Linotype"/>
          <w:b/>
          <w:sz w:val="22"/>
          <w:szCs w:val="22"/>
        </w:rPr>
        <w:t xml:space="preserve">sobrepasen las capacidades técnicas administrativas y humanas del Sujeto Obligado. </w:t>
      </w:r>
    </w:p>
    <w:p w14:paraId="3736D803"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4E09CBE6"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Derivado de lo anterior, cabe mencionar lo que se tiene por </w:t>
      </w:r>
      <w:r w:rsidRPr="00967C65">
        <w:rPr>
          <w:rFonts w:ascii="Palatino Linotype" w:eastAsia="Palatino Linotype" w:hAnsi="Palatino Linotype" w:cs="Palatino Linotype"/>
          <w:b/>
          <w:sz w:val="22"/>
          <w:szCs w:val="22"/>
        </w:rPr>
        <w:t>“capacidad”</w:t>
      </w:r>
      <w:r w:rsidRPr="00967C65">
        <w:rPr>
          <w:rFonts w:ascii="Palatino Linotype" w:eastAsia="Palatino Linotype" w:hAnsi="Palatino Linotype" w:cs="Palatino Linotype"/>
          <w:sz w:val="22"/>
          <w:szCs w:val="22"/>
        </w:rPr>
        <w:t>, que de manera general puede ser interpretado como la circunstancia o conjunto de condiciones, cualidades o aptitudes que permiten el desarrollo o el cumplimiento de una función o desempeño de un cargo.</w:t>
      </w:r>
    </w:p>
    <w:p w14:paraId="68E0041A"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Ahora bien, respecto a las </w:t>
      </w:r>
      <w:r w:rsidRPr="00967C65">
        <w:rPr>
          <w:rFonts w:ascii="Palatino Linotype" w:eastAsia="Palatino Linotype" w:hAnsi="Palatino Linotype" w:cs="Palatino Linotype"/>
          <w:b/>
          <w:sz w:val="22"/>
          <w:szCs w:val="22"/>
        </w:rPr>
        <w:t>capacidades técnicas</w:t>
      </w:r>
      <w:r w:rsidRPr="00967C65">
        <w:rPr>
          <w:rFonts w:ascii="Palatino Linotype" w:eastAsia="Palatino Linotype" w:hAnsi="Palatino Linotype" w:cs="Palatino Linotype"/>
          <w:sz w:val="22"/>
          <w:szCs w:val="22"/>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50A5992"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291B271C"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Derivado de lo anterior, es importante señalar que conforme al numeral Vigésimo Cuarto de los Lineamientos para la operación del Sistema de Acceso a la Información Mexiquense </w:t>
      </w:r>
      <w:r w:rsidRPr="00967C65">
        <w:rPr>
          <w:rFonts w:ascii="Palatino Linotype" w:eastAsia="Palatino Linotype" w:hAnsi="Palatino Linotype" w:cs="Palatino Linotype"/>
          <w:sz w:val="22"/>
          <w:szCs w:val="22"/>
        </w:rPr>
        <w:lastRenderedPageBreak/>
        <w:t xml:space="preserve">(SAIMEX) y del Sistema de Acceso, Rectificación, Cancelación y Oposición de Datos Personales del Estado de México (SARCOEM), los sistemas electrónicos cuentan con una capacidad máxima de carga dentro del servidor </w:t>
      </w:r>
      <w:r w:rsidRPr="00967C65">
        <w:rPr>
          <w:rFonts w:ascii="Palatino Linotype" w:eastAsia="Palatino Linotype" w:hAnsi="Palatino Linotype" w:cs="Palatino Linotype"/>
          <w:b/>
          <w:sz w:val="22"/>
          <w:szCs w:val="22"/>
        </w:rPr>
        <w:t>con un peso total de quinientos megabytes o su equivalente a ocho mil fojas aproximadamente</w:t>
      </w:r>
      <w:r w:rsidRPr="00967C65">
        <w:rPr>
          <w:rFonts w:ascii="Palatino Linotype" w:eastAsia="Palatino Linotype" w:hAnsi="Palatino Linotype" w:cs="Palatino Linotype"/>
          <w:sz w:val="22"/>
          <w:szCs w:val="22"/>
        </w:rPr>
        <w:t>.</w:t>
      </w:r>
    </w:p>
    <w:p w14:paraId="11B81466"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5DF33B82"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cuanto hace a las </w:t>
      </w:r>
      <w:r w:rsidRPr="00967C65">
        <w:rPr>
          <w:rFonts w:ascii="Palatino Linotype" w:eastAsia="Palatino Linotype" w:hAnsi="Palatino Linotype" w:cs="Palatino Linotype"/>
          <w:b/>
          <w:sz w:val="22"/>
          <w:szCs w:val="22"/>
        </w:rPr>
        <w:t>capacidades humanas</w:t>
      </w:r>
      <w:r w:rsidRPr="00967C65">
        <w:rPr>
          <w:rFonts w:ascii="Palatino Linotype" w:eastAsia="Palatino Linotype" w:hAnsi="Palatino Linotype" w:cs="Palatino Linotype"/>
          <w:sz w:val="22"/>
          <w:szCs w:val="22"/>
        </w:rPr>
        <w:t>, se entiende que es la cantidad efectiva de personal de una institución pública donde usan sus habilidades, motivaciones, activos organizacionales como patente.</w:t>
      </w:r>
    </w:p>
    <w:p w14:paraId="573EDBBE"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2180E8FC" w14:textId="77777777" w:rsidR="00B64A66" w:rsidRPr="00967C65" w:rsidRDefault="00A468B0">
      <w:pPr>
        <w:widowControl w:val="0"/>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Teniendo en cuenta lo anteriormente expuesto, abordamos a la conclusión en el presente asunto </w:t>
      </w:r>
      <w:r w:rsidRPr="00967C65">
        <w:rPr>
          <w:rFonts w:ascii="Palatino Linotype" w:eastAsia="Palatino Linotype" w:hAnsi="Palatino Linotype" w:cs="Palatino Linotype"/>
          <w:b/>
          <w:sz w:val="22"/>
          <w:szCs w:val="22"/>
        </w:rPr>
        <w:t xml:space="preserve">el Sujeto Obligado </w:t>
      </w:r>
      <w:r w:rsidRPr="00967C65">
        <w:rPr>
          <w:rFonts w:ascii="Palatino Linotype" w:eastAsia="Palatino Linotype" w:hAnsi="Palatino Linotype" w:cs="Palatino Linotype"/>
          <w:sz w:val="22"/>
          <w:szCs w:val="22"/>
        </w:rPr>
        <w:t xml:space="preserve">omitió argumentar o presentar los motivos que impiden entregar la información requerida a través de la plataforma </w:t>
      </w:r>
      <w:r w:rsidRPr="00967C65">
        <w:rPr>
          <w:rFonts w:ascii="Palatino Linotype" w:eastAsia="Palatino Linotype" w:hAnsi="Palatino Linotype" w:cs="Palatino Linotype"/>
          <w:b/>
          <w:sz w:val="22"/>
          <w:szCs w:val="22"/>
        </w:rPr>
        <w:t xml:space="preserve">SAIMEX, </w:t>
      </w:r>
      <w:r w:rsidRPr="00967C65">
        <w:rPr>
          <w:rFonts w:ascii="Palatino Linotype" w:eastAsia="Palatino Linotype" w:hAnsi="Palatino Linotype" w:cs="Palatino Linotype"/>
          <w:sz w:val="22"/>
          <w:szCs w:val="22"/>
        </w:rPr>
        <w:t>pues no basta con manifestar el cambio de modalidad por sí solo, sin fundamentar ni motivar dicha pretensión.</w:t>
      </w:r>
    </w:p>
    <w:p w14:paraId="6976C0AB" w14:textId="77777777" w:rsidR="00B64A66" w:rsidRPr="00967C65" w:rsidRDefault="00B64A66">
      <w:pPr>
        <w:widowControl w:val="0"/>
        <w:spacing w:line="360" w:lineRule="auto"/>
        <w:jc w:val="both"/>
        <w:rPr>
          <w:rFonts w:ascii="Palatino Linotype" w:eastAsia="Palatino Linotype" w:hAnsi="Palatino Linotype" w:cs="Palatino Linotype"/>
          <w:sz w:val="22"/>
          <w:szCs w:val="22"/>
        </w:rPr>
      </w:pPr>
    </w:p>
    <w:p w14:paraId="0BCA5803" w14:textId="77777777" w:rsidR="00B64A66" w:rsidRPr="00967C65" w:rsidRDefault="00A468B0">
      <w:pPr>
        <w:widowControl w:val="0"/>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967C65">
        <w:rPr>
          <w:rFonts w:ascii="Palatino Linotype" w:eastAsia="Palatino Linotype" w:hAnsi="Palatino Linotype" w:cs="Palatino Linotype"/>
          <w:b/>
          <w:sz w:val="22"/>
          <w:szCs w:val="22"/>
        </w:rPr>
        <w:t xml:space="preserve">Sujeto Obligado </w:t>
      </w:r>
      <w:r w:rsidRPr="00967C65">
        <w:rPr>
          <w:rFonts w:ascii="Palatino Linotype" w:eastAsia="Palatino Linotype" w:hAnsi="Palatino Linotype" w:cs="Palatino Linotype"/>
          <w:sz w:val="22"/>
          <w:szCs w:val="22"/>
        </w:rPr>
        <w:t xml:space="preserve">toda vez que, dicha autoridad únicamente se limitó a invocar diversas fuentes normativas aplicables al tema en concreto, sin presentar algún argumento de relevancia que impida la entrega de la información a través del </w:t>
      </w:r>
      <w:r w:rsidRPr="00967C65">
        <w:rPr>
          <w:rFonts w:ascii="Palatino Linotype" w:eastAsia="Palatino Linotype" w:hAnsi="Palatino Linotype" w:cs="Palatino Linotype"/>
          <w:b/>
          <w:sz w:val="22"/>
          <w:szCs w:val="22"/>
        </w:rPr>
        <w:t>SAIMEX</w:t>
      </w:r>
      <w:r w:rsidRPr="00967C65">
        <w:rPr>
          <w:rFonts w:ascii="Palatino Linotype" w:eastAsia="Palatino Linotype" w:hAnsi="Palatino Linotype" w:cs="Palatino Linotype"/>
          <w:sz w:val="22"/>
          <w:szCs w:val="22"/>
        </w:rPr>
        <w:t>.</w:t>
      </w:r>
    </w:p>
    <w:p w14:paraId="6C9F102D" w14:textId="77777777" w:rsidR="00B64A66" w:rsidRPr="00967C65" w:rsidRDefault="00B64A66">
      <w:pPr>
        <w:widowControl w:val="0"/>
        <w:spacing w:line="360" w:lineRule="auto"/>
        <w:jc w:val="both"/>
        <w:rPr>
          <w:rFonts w:ascii="Palatino Linotype" w:eastAsia="Palatino Linotype" w:hAnsi="Palatino Linotype" w:cs="Palatino Linotype"/>
          <w:sz w:val="22"/>
          <w:szCs w:val="22"/>
        </w:rPr>
      </w:pPr>
    </w:p>
    <w:p w14:paraId="2D3C8B2E" w14:textId="77777777" w:rsidR="00B64A66" w:rsidRPr="00967C65" w:rsidRDefault="00A468B0">
      <w:pPr>
        <w:widowControl w:val="0"/>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otro lado, este Organismo Garante no quiere dejar de mencionar que </w:t>
      </w:r>
      <w:r w:rsidRPr="00967C65">
        <w:rPr>
          <w:rFonts w:ascii="Palatino Linotype" w:eastAsia="Palatino Linotype" w:hAnsi="Palatino Linotype" w:cs="Palatino Linotype"/>
          <w:b/>
          <w:sz w:val="22"/>
          <w:szCs w:val="22"/>
          <w:u w:val="single"/>
        </w:rPr>
        <w:t xml:space="preserve">localizó el Manual de Organización de la Unidad de Transparencia y de la Dirección de Desarrollo Económico generados durante la administración pública municipal 2022-2024, los cuales </w:t>
      </w:r>
      <w:r w:rsidRPr="00967C65">
        <w:rPr>
          <w:rFonts w:ascii="Palatino Linotype" w:eastAsia="Palatino Linotype" w:hAnsi="Palatino Linotype" w:cs="Palatino Linotype"/>
          <w:b/>
          <w:sz w:val="22"/>
          <w:szCs w:val="22"/>
          <w:u w:val="single"/>
        </w:rPr>
        <w:lastRenderedPageBreak/>
        <w:t>se conforman de doce y quince fojas respectivamente</w:t>
      </w:r>
      <w:r w:rsidRPr="00967C65">
        <w:rPr>
          <w:rFonts w:ascii="Palatino Linotype" w:eastAsia="Palatino Linotype" w:hAnsi="Palatino Linotype" w:cs="Palatino Linotype"/>
          <w:sz w:val="22"/>
          <w:szCs w:val="22"/>
        </w:rPr>
        <w:t>, por lo tanto, teniendo en cuenta que peticiona información de cuatro áreas en específico, es dable afirmar que con la entrega de esta documentación no se estarían sobrepasando las capacidades del SAIMEX para hacer entrega de la información en dicha modalidad, por consiguiente, a juicio de este Organismo Garante, no se cuentan con los elementos suficientes para determinar que el cambio de modalidad aprobado por el</w:t>
      </w:r>
      <w:r w:rsidRPr="00967C65">
        <w:rPr>
          <w:rFonts w:ascii="Palatino Linotype" w:eastAsia="Palatino Linotype" w:hAnsi="Palatino Linotype" w:cs="Palatino Linotype"/>
          <w:b/>
          <w:sz w:val="22"/>
          <w:szCs w:val="22"/>
        </w:rPr>
        <w:t xml:space="preserve"> Sujeto Obligado</w:t>
      </w:r>
      <w:r w:rsidRPr="00967C65">
        <w:rPr>
          <w:rFonts w:ascii="Palatino Linotype" w:eastAsia="Palatino Linotype" w:hAnsi="Palatino Linotype" w:cs="Palatino Linotype"/>
          <w:sz w:val="22"/>
          <w:szCs w:val="22"/>
        </w:rPr>
        <w:t xml:space="preserve"> no satisface el derecho de acceso a la información de la</w:t>
      </w:r>
      <w:r w:rsidRPr="00967C65">
        <w:rPr>
          <w:rFonts w:ascii="Palatino Linotype" w:eastAsia="Palatino Linotype" w:hAnsi="Palatino Linotype" w:cs="Palatino Linotype"/>
          <w:b/>
          <w:sz w:val="22"/>
          <w:szCs w:val="22"/>
        </w:rPr>
        <w:t xml:space="preserve"> parte Recurrente </w:t>
      </w:r>
      <w:r w:rsidRPr="00967C65">
        <w:rPr>
          <w:rFonts w:ascii="Palatino Linotype" w:eastAsia="Palatino Linotype" w:hAnsi="Palatino Linotype" w:cs="Palatino Linotype"/>
          <w:sz w:val="22"/>
          <w:szCs w:val="22"/>
        </w:rPr>
        <w:t>al no haberse acreditado de manera fehaciente la imposibilidad de proporcionar la información a través del sistema electrónico respectivo, es por ello que se deberá hacer entrega de la misma de ser el caso en versión pública.</w:t>
      </w:r>
    </w:p>
    <w:p w14:paraId="06B42EB8" w14:textId="77777777" w:rsidR="00B64A66" w:rsidRPr="00967C65" w:rsidRDefault="00A468B0">
      <w:pPr>
        <w:spacing w:before="240" w:after="240" w:line="360" w:lineRule="auto"/>
        <w:ind w:right="49"/>
        <w:jc w:val="both"/>
        <w:rPr>
          <w:rFonts w:ascii="Palatino Linotype" w:eastAsia="Palatino Linotype" w:hAnsi="Palatino Linotype" w:cs="Palatino Linotype"/>
          <w:sz w:val="22"/>
          <w:szCs w:val="22"/>
        </w:rPr>
      </w:pPr>
      <w:bookmarkStart w:id="4" w:name="_heading=h.3dy6vkm" w:colFirst="0" w:colLast="0"/>
      <w:bookmarkEnd w:id="4"/>
      <w:r w:rsidRPr="00967C65">
        <w:rPr>
          <w:rFonts w:ascii="Palatino Linotype" w:eastAsia="Palatino Linotype" w:hAnsi="Palatino Linotype" w:cs="Palatino Linotype"/>
          <w:b/>
          <w:sz w:val="22"/>
          <w:szCs w:val="22"/>
        </w:rPr>
        <w:t xml:space="preserve">Quinto. Versión Pública. </w:t>
      </w:r>
      <w:r w:rsidRPr="00967C65">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967C65">
        <w:rPr>
          <w:rFonts w:ascii="Palatino Linotype" w:eastAsia="Palatino Linotype" w:hAnsi="Palatino Linotype" w:cs="Palatino Linotype"/>
          <w:b/>
          <w:sz w:val="22"/>
          <w:szCs w:val="22"/>
        </w:rPr>
        <w:t>la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 xml:space="preserve"> sin menoscabar el derecho a la protección de los datos personales de terceros.</w:t>
      </w:r>
    </w:p>
    <w:p w14:paraId="4970F580" w14:textId="77777777" w:rsidR="00B64A66" w:rsidRPr="00967C65" w:rsidRDefault="00A468B0">
      <w:pPr>
        <w:spacing w:before="240" w:after="240" w:line="360" w:lineRule="auto"/>
        <w:ind w:right="49"/>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0D87133C" w14:textId="77777777" w:rsidR="00B64A66" w:rsidRPr="00967C65" w:rsidRDefault="00A468B0">
      <w:pPr>
        <w:ind w:left="993" w:right="1041"/>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 xml:space="preserve"> “Artículo 3. Para los efectos de la presente Ley se entenderá por:</w:t>
      </w:r>
    </w:p>
    <w:p w14:paraId="11F98F36"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IX. Datos personales:</w:t>
      </w:r>
      <w:r w:rsidRPr="00967C65">
        <w:rPr>
          <w:rFonts w:ascii="Palatino Linotype" w:eastAsia="Palatino Linotype" w:hAnsi="Palatino Linotype" w:cs="Palatino Linotype"/>
          <w:i/>
          <w:sz w:val="22"/>
          <w:szCs w:val="22"/>
        </w:rPr>
        <w:t xml:space="preserve"> </w:t>
      </w:r>
      <w:r w:rsidRPr="00967C65">
        <w:rPr>
          <w:rFonts w:ascii="Palatino Linotype" w:eastAsia="Palatino Linotype" w:hAnsi="Palatino Linotype" w:cs="Palatino Linotype"/>
          <w:b/>
          <w:i/>
          <w:sz w:val="22"/>
          <w:szCs w:val="22"/>
        </w:rPr>
        <w:t>La información concerniente a una persona, identificada o identificable</w:t>
      </w:r>
      <w:r w:rsidRPr="00967C65">
        <w:rPr>
          <w:rFonts w:ascii="Palatino Linotype" w:eastAsia="Palatino Linotype" w:hAnsi="Palatino Linotype" w:cs="Palatino Linotype"/>
          <w:i/>
          <w:sz w:val="22"/>
          <w:szCs w:val="22"/>
        </w:rPr>
        <w:t xml:space="preserve"> según lo dispuesto por la Ley de Protección de Datos Personales del Estado de México;</w:t>
      </w:r>
    </w:p>
    <w:p w14:paraId="2DF7B6C0"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lastRenderedPageBreak/>
        <w:t>XX. Información clasificada:</w:t>
      </w:r>
      <w:r w:rsidRPr="00967C65">
        <w:rPr>
          <w:rFonts w:ascii="Palatino Linotype" w:eastAsia="Palatino Linotype" w:hAnsi="Palatino Linotype" w:cs="Palatino Linotype"/>
          <w:i/>
          <w:sz w:val="22"/>
          <w:szCs w:val="22"/>
        </w:rPr>
        <w:t xml:space="preserve"> Aquella considerada por la presente Ley como reservada o confidencial;</w:t>
      </w:r>
    </w:p>
    <w:p w14:paraId="132ABD11"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XXXII. Protección de Datos Personales:</w:t>
      </w:r>
      <w:r w:rsidRPr="00967C65">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9A3FC6E"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XLV. Versión pública</w:t>
      </w:r>
      <w:r w:rsidRPr="00967C65">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317FE32" w14:textId="77777777" w:rsidR="00B64A66" w:rsidRPr="00967C65" w:rsidRDefault="00B64A66">
      <w:pPr>
        <w:ind w:left="993" w:right="1041"/>
        <w:jc w:val="both"/>
        <w:rPr>
          <w:rFonts w:ascii="Palatino Linotype" w:eastAsia="Palatino Linotype" w:hAnsi="Palatino Linotype" w:cs="Palatino Linotype"/>
          <w:i/>
          <w:sz w:val="22"/>
          <w:szCs w:val="22"/>
        </w:rPr>
      </w:pPr>
    </w:p>
    <w:p w14:paraId="5A7FB621"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6.</w:t>
      </w:r>
      <w:r w:rsidRPr="00967C65">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07AF464" w14:textId="77777777" w:rsidR="00B64A66" w:rsidRPr="00967C65" w:rsidRDefault="00B64A66">
      <w:pPr>
        <w:ind w:left="993" w:right="1041"/>
        <w:jc w:val="both"/>
        <w:rPr>
          <w:rFonts w:ascii="Palatino Linotype" w:eastAsia="Palatino Linotype" w:hAnsi="Palatino Linotype" w:cs="Palatino Linotype"/>
          <w:i/>
          <w:sz w:val="22"/>
          <w:szCs w:val="22"/>
        </w:rPr>
      </w:pPr>
    </w:p>
    <w:p w14:paraId="37FE8974" w14:textId="77777777" w:rsidR="00B64A66" w:rsidRPr="00967C65" w:rsidRDefault="00A468B0">
      <w:pPr>
        <w:ind w:left="993" w:right="1041"/>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“Artículo 137.</w:t>
      </w:r>
      <w:r w:rsidRPr="00967C6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AEBFAFC" w14:textId="77777777" w:rsidR="00B64A66" w:rsidRPr="00967C65" w:rsidRDefault="00B64A66">
      <w:pPr>
        <w:ind w:left="993" w:right="1041"/>
        <w:jc w:val="both"/>
        <w:rPr>
          <w:rFonts w:ascii="Palatino Linotype" w:eastAsia="Palatino Linotype" w:hAnsi="Palatino Linotype" w:cs="Palatino Linotype"/>
          <w:b/>
          <w:i/>
          <w:sz w:val="22"/>
          <w:szCs w:val="22"/>
        </w:rPr>
      </w:pPr>
    </w:p>
    <w:p w14:paraId="0A087935"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143</w:t>
      </w:r>
      <w:r w:rsidRPr="00967C6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21E89B3"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I.</w:t>
      </w:r>
      <w:r w:rsidRPr="00967C65">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8954847"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202CB19" w14:textId="77777777" w:rsidR="00B64A66" w:rsidRPr="00967C65" w:rsidRDefault="00A468B0">
      <w:pPr>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00365FDE" w14:textId="77777777" w:rsidR="00B64A66" w:rsidRPr="00967C65" w:rsidRDefault="00B64A66">
      <w:pPr>
        <w:ind w:left="993" w:right="1041"/>
        <w:jc w:val="both"/>
        <w:rPr>
          <w:rFonts w:ascii="Palatino Linotype" w:eastAsia="Palatino Linotype" w:hAnsi="Palatino Linotype" w:cs="Palatino Linotype"/>
          <w:i/>
          <w:sz w:val="22"/>
          <w:szCs w:val="22"/>
        </w:rPr>
      </w:pPr>
    </w:p>
    <w:p w14:paraId="41087CB3" w14:textId="77777777" w:rsidR="00B64A66" w:rsidRPr="00967C65" w:rsidRDefault="00A468B0">
      <w:pPr>
        <w:spacing w:line="360" w:lineRule="auto"/>
        <w:ind w:right="51"/>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967C65">
        <w:rPr>
          <w:rFonts w:ascii="Palatino Linotype" w:eastAsia="Palatino Linotype" w:hAnsi="Palatino Linotype" w:cs="Palatino Linotype"/>
          <w:b/>
          <w:sz w:val="22"/>
          <w:szCs w:val="22"/>
        </w:rPr>
        <w:t>la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DA4A994" w14:textId="77777777" w:rsidR="00B64A66" w:rsidRPr="00967C65" w:rsidRDefault="00B64A66">
      <w:pPr>
        <w:spacing w:line="360" w:lineRule="auto"/>
        <w:ind w:right="51"/>
        <w:jc w:val="both"/>
        <w:rPr>
          <w:rFonts w:ascii="Palatino Linotype" w:eastAsia="Palatino Linotype" w:hAnsi="Palatino Linotype" w:cs="Palatino Linotype"/>
          <w:sz w:val="22"/>
          <w:szCs w:val="22"/>
        </w:rPr>
      </w:pPr>
    </w:p>
    <w:p w14:paraId="310A9717" w14:textId="77777777" w:rsidR="00B64A66" w:rsidRPr="00967C65" w:rsidRDefault="00A468B0">
      <w:pPr>
        <w:spacing w:line="360" w:lineRule="auto"/>
        <w:ind w:right="50"/>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E531EA6" w14:textId="77777777" w:rsidR="00B64A66" w:rsidRPr="00967C65" w:rsidRDefault="00B64A66">
      <w:pPr>
        <w:spacing w:line="360" w:lineRule="auto"/>
        <w:ind w:right="51"/>
        <w:jc w:val="both"/>
        <w:rPr>
          <w:rFonts w:ascii="Palatino Linotype" w:eastAsia="Palatino Linotype" w:hAnsi="Palatino Linotype" w:cs="Palatino Linotype"/>
          <w:sz w:val="22"/>
          <w:szCs w:val="22"/>
        </w:rPr>
      </w:pPr>
    </w:p>
    <w:p w14:paraId="55CBC994" w14:textId="77777777" w:rsidR="00B64A66" w:rsidRPr="00967C65" w:rsidRDefault="00A468B0">
      <w:pPr>
        <w:spacing w:line="360" w:lineRule="auto"/>
        <w:ind w:right="51"/>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0601159A" w14:textId="77777777" w:rsidR="00B64A66" w:rsidRPr="00967C65" w:rsidRDefault="00B64A66">
      <w:pPr>
        <w:spacing w:line="360" w:lineRule="auto"/>
        <w:ind w:right="51"/>
        <w:jc w:val="both"/>
        <w:rPr>
          <w:rFonts w:ascii="Palatino Linotype" w:eastAsia="Palatino Linotype" w:hAnsi="Palatino Linotype" w:cs="Palatino Linotype"/>
          <w:sz w:val="22"/>
          <w:szCs w:val="22"/>
        </w:rPr>
      </w:pPr>
    </w:p>
    <w:p w14:paraId="72A65875"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lastRenderedPageBreak/>
        <w:t>“Artículo 49.</w:t>
      </w:r>
      <w:r w:rsidRPr="00967C65">
        <w:rPr>
          <w:rFonts w:ascii="Palatino Linotype" w:eastAsia="Palatino Linotype" w:hAnsi="Palatino Linotype" w:cs="Palatino Linotype"/>
          <w:i/>
          <w:sz w:val="22"/>
          <w:szCs w:val="22"/>
        </w:rPr>
        <w:t xml:space="preserve"> </w:t>
      </w:r>
      <w:r w:rsidRPr="00967C65">
        <w:rPr>
          <w:rFonts w:ascii="Palatino Linotype" w:eastAsia="Palatino Linotype" w:hAnsi="Palatino Linotype" w:cs="Palatino Linotype"/>
          <w:b/>
          <w:i/>
          <w:sz w:val="22"/>
          <w:szCs w:val="22"/>
        </w:rPr>
        <w:t>Los Comités de Transparencia</w:t>
      </w:r>
      <w:r w:rsidRPr="00967C65">
        <w:rPr>
          <w:rFonts w:ascii="Palatino Linotype" w:eastAsia="Palatino Linotype" w:hAnsi="Palatino Linotype" w:cs="Palatino Linotype"/>
          <w:i/>
          <w:sz w:val="22"/>
          <w:szCs w:val="22"/>
        </w:rPr>
        <w:t xml:space="preserve"> tendrán las siguientes atribuciones:</w:t>
      </w:r>
    </w:p>
    <w:p w14:paraId="729C8473"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VIII. Aprobar, modificar o revocar la clasificación de la información</w:t>
      </w:r>
      <w:r w:rsidRPr="00967C65">
        <w:rPr>
          <w:rFonts w:ascii="Palatino Linotype" w:eastAsia="Palatino Linotype" w:hAnsi="Palatino Linotype" w:cs="Palatino Linotype"/>
          <w:i/>
          <w:sz w:val="22"/>
          <w:szCs w:val="22"/>
        </w:rPr>
        <w:t>…”</w:t>
      </w:r>
    </w:p>
    <w:p w14:paraId="79922B08"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Artículo 53.</w:t>
      </w:r>
      <w:r w:rsidRPr="00967C65">
        <w:rPr>
          <w:rFonts w:ascii="Palatino Linotype" w:eastAsia="Palatino Linotype" w:hAnsi="Palatino Linotype" w:cs="Palatino Linotype"/>
          <w:i/>
          <w:sz w:val="22"/>
          <w:szCs w:val="22"/>
        </w:rPr>
        <w:t xml:space="preserve"> Las </w:t>
      </w:r>
      <w:r w:rsidRPr="00967C65">
        <w:rPr>
          <w:rFonts w:ascii="Palatino Linotype" w:eastAsia="Palatino Linotype" w:hAnsi="Palatino Linotype" w:cs="Palatino Linotype"/>
          <w:b/>
          <w:i/>
          <w:sz w:val="22"/>
          <w:szCs w:val="22"/>
        </w:rPr>
        <w:t>Unidades de Transparencia</w:t>
      </w:r>
      <w:r w:rsidRPr="00967C65">
        <w:rPr>
          <w:rFonts w:ascii="Palatino Linotype" w:eastAsia="Palatino Linotype" w:hAnsi="Palatino Linotype" w:cs="Palatino Linotype"/>
          <w:i/>
          <w:sz w:val="22"/>
          <w:szCs w:val="22"/>
        </w:rPr>
        <w:t xml:space="preserve"> tendrán las siguientes </w:t>
      </w:r>
      <w:r w:rsidRPr="00967C65">
        <w:rPr>
          <w:rFonts w:ascii="Palatino Linotype" w:eastAsia="Palatino Linotype" w:hAnsi="Palatino Linotype" w:cs="Palatino Linotype"/>
          <w:b/>
          <w:i/>
          <w:sz w:val="22"/>
          <w:szCs w:val="22"/>
        </w:rPr>
        <w:t>funciones</w:t>
      </w:r>
      <w:r w:rsidRPr="00967C65">
        <w:rPr>
          <w:rFonts w:ascii="Palatino Linotype" w:eastAsia="Palatino Linotype" w:hAnsi="Palatino Linotype" w:cs="Palatino Linotype"/>
          <w:i/>
          <w:sz w:val="22"/>
          <w:szCs w:val="22"/>
        </w:rPr>
        <w:t>:</w:t>
      </w:r>
    </w:p>
    <w:p w14:paraId="7789CA76"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X. Presentar ante el Comité, el proyecto de clasificación de información</w:t>
      </w:r>
      <w:r w:rsidRPr="00967C65">
        <w:rPr>
          <w:rFonts w:ascii="Palatino Linotype" w:eastAsia="Palatino Linotype" w:hAnsi="Palatino Linotype" w:cs="Palatino Linotype"/>
          <w:i/>
          <w:sz w:val="22"/>
          <w:szCs w:val="22"/>
        </w:rPr>
        <w:t xml:space="preserve">…” </w:t>
      </w:r>
    </w:p>
    <w:p w14:paraId="7C291B1B"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“Artículo 59.</w:t>
      </w:r>
      <w:r w:rsidRPr="00967C65">
        <w:rPr>
          <w:rFonts w:ascii="Palatino Linotype" w:eastAsia="Palatino Linotype" w:hAnsi="Palatino Linotype" w:cs="Palatino Linotype"/>
          <w:i/>
          <w:sz w:val="22"/>
          <w:szCs w:val="22"/>
        </w:rPr>
        <w:t xml:space="preserve"> Los </w:t>
      </w:r>
      <w:r w:rsidRPr="00967C65">
        <w:rPr>
          <w:rFonts w:ascii="Palatino Linotype" w:eastAsia="Palatino Linotype" w:hAnsi="Palatino Linotype" w:cs="Palatino Linotype"/>
          <w:b/>
          <w:i/>
          <w:sz w:val="22"/>
          <w:szCs w:val="22"/>
        </w:rPr>
        <w:t>servidores públicos habilitados</w:t>
      </w:r>
      <w:r w:rsidRPr="00967C65">
        <w:rPr>
          <w:rFonts w:ascii="Palatino Linotype" w:eastAsia="Palatino Linotype" w:hAnsi="Palatino Linotype" w:cs="Palatino Linotype"/>
          <w:i/>
          <w:sz w:val="22"/>
          <w:szCs w:val="22"/>
        </w:rPr>
        <w:t xml:space="preserve"> tendrán las </w:t>
      </w:r>
      <w:r w:rsidRPr="00967C65">
        <w:rPr>
          <w:rFonts w:ascii="Palatino Linotype" w:eastAsia="Palatino Linotype" w:hAnsi="Palatino Linotype" w:cs="Palatino Linotype"/>
          <w:b/>
          <w:i/>
          <w:sz w:val="22"/>
          <w:szCs w:val="22"/>
        </w:rPr>
        <w:t>funciones</w:t>
      </w:r>
      <w:r w:rsidRPr="00967C65">
        <w:rPr>
          <w:rFonts w:ascii="Palatino Linotype" w:eastAsia="Palatino Linotype" w:hAnsi="Palatino Linotype" w:cs="Palatino Linotype"/>
          <w:i/>
          <w:sz w:val="22"/>
          <w:szCs w:val="22"/>
        </w:rPr>
        <w:t xml:space="preserve"> siguientes:</w:t>
      </w:r>
    </w:p>
    <w:p w14:paraId="5001DFF5" w14:textId="77777777" w:rsidR="00B64A66" w:rsidRPr="00967C65" w:rsidRDefault="00A468B0">
      <w:pPr>
        <w:ind w:left="992" w:right="1043"/>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67C65">
        <w:rPr>
          <w:rFonts w:ascii="Palatino Linotype" w:eastAsia="Palatino Linotype" w:hAnsi="Palatino Linotype" w:cs="Palatino Linotype"/>
          <w:i/>
          <w:sz w:val="22"/>
          <w:szCs w:val="22"/>
        </w:rPr>
        <w:t xml:space="preserve">, la cual tendrá los fundamentos y argumentos en que se basa dicha propuesta…” </w:t>
      </w:r>
    </w:p>
    <w:p w14:paraId="72F98B4C" w14:textId="77777777" w:rsidR="00B64A66" w:rsidRPr="00967C65" w:rsidRDefault="00B64A66">
      <w:pPr>
        <w:ind w:left="992" w:right="1043"/>
        <w:jc w:val="both"/>
        <w:rPr>
          <w:rFonts w:ascii="Palatino Linotype" w:eastAsia="Palatino Linotype" w:hAnsi="Palatino Linotype" w:cs="Palatino Linotype"/>
          <w:i/>
          <w:sz w:val="22"/>
          <w:szCs w:val="22"/>
        </w:rPr>
      </w:pPr>
    </w:p>
    <w:p w14:paraId="6A61E5E2"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8BCF1EF"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139A27B5"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BF201FB" w14:textId="77777777" w:rsidR="00B64A66" w:rsidRPr="00967C65" w:rsidRDefault="00A468B0">
      <w:pPr>
        <w:spacing w:after="240"/>
        <w:ind w:left="993" w:right="1041"/>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Artículo 149.</w:t>
      </w:r>
      <w:r w:rsidRPr="00967C65">
        <w:rPr>
          <w:rFonts w:ascii="Palatino Linotype" w:eastAsia="Palatino Linotype" w:hAnsi="Palatino Linotype" w:cs="Palatino Linotype"/>
          <w:i/>
          <w:sz w:val="22"/>
          <w:szCs w:val="22"/>
        </w:rPr>
        <w:t xml:space="preserve"> El </w:t>
      </w:r>
      <w:r w:rsidRPr="00967C65">
        <w:rPr>
          <w:rFonts w:ascii="Palatino Linotype" w:eastAsia="Palatino Linotype" w:hAnsi="Palatino Linotype" w:cs="Palatino Linotype"/>
          <w:b/>
          <w:i/>
          <w:sz w:val="22"/>
          <w:szCs w:val="22"/>
        </w:rPr>
        <w:t>acuerdo que clasifique la información como confidencial</w:t>
      </w:r>
      <w:r w:rsidRPr="00967C6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E42A8A4" w14:textId="77777777" w:rsidR="00B64A66" w:rsidRPr="00967C65" w:rsidRDefault="00A468B0">
      <w:pPr>
        <w:spacing w:line="360" w:lineRule="auto"/>
        <w:ind w:right="51"/>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 xml:space="preserve">Es decir,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E4C66BB"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640DF4E4" w14:textId="77777777" w:rsidR="00B64A66" w:rsidRPr="00967C65" w:rsidRDefault="00A468B0">
      <w:pPr>
        <w:spacing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Al respecto, se destaca que la versión pública que elabore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67C65">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967C65">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678AA52" w14:textId="77777777" w:rsidR="00B64A66" w:rsidRPr="00967C65" w:rsidRDefault="00B64A66">
      <w:pPr>
        <w:ind w:left="709" w:right="709"/>
        <w:jc w:val="both"/>
        <w:rPr>
          <w:rFonts w:ascii="Palatino Linotype" w:eastAsia="Palatino Linotype" w:hAnsi="Palatino Linotype" w:cs="Palatino Linotype"/>
          <w:b/>
          <w:i/>
          <w:sz w:val="22"/>
          <w:szCs w:val="22"/>
        </w:rPr>
      </w:pPr>
    </w:p>
    <w:p w14:paraId="5E2AB6F2"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7B953BB"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w:t>
      </w:r>
      <w:r w:rsidRPr="00967C65">
        <w:rPr>
          <w:rFonts w:ascii="Palatino Linotype" w:eastAsia="Palatino Linotype" w:hAnsi="Palatino Linotype" w:cs="Palatino Linotype"/>
          <w:b/>
          <w:i/>
          <w:sz w:val="22"/>
          <w:szCs w:val="22"/>
        </w:rPr>
        <w:t>Segundo.-</w:t>
      </w:r>
      <w:r w:rsidRPr="00967C65">
        <w:rPr>
          <w:rFonts w:ascii="Palatino Linotype" w:eastAsia="Palatino Linotype" w:hAnsi="Palatino Linotype" w:cs="Palatino Linotype"/>
          <w:i/>
          <w:sz w:val="22"/>
          <w:szCs w:val="22"/>
        </w:rPr>
        <w:t xml:space="preserve"> Para efectos de los presentes Lineamientos Generales, se entenderá por:</w:t>
      </w:r>
    </w:p>
    <w:p w14:paraId="0BCE0368"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lastRenderedPageBreak/>
        <w:t>XVIII.</w:t>
      </w:r>
      <w:r w:rsidRPr="00967C65">
        <w:rPr>
          <w:rFonts w:ascii="Palatino Linotype" w:eastAsia="Palatino Linotype" w:hAnsi="Palatino Linotype" w:cs="Palatino Linotype"/>
          <w:i/>
          <w:sz w:val="22"/>
          <w:szCs w:val="22"/>
        </w:rPr>
        <w:t xml:space="preserve"> </w:t>
      </w:r>
      <w:r w:rsidRPr="00967C65">
        <w:rPr>
          <w:rFonts w:ascii="Palatino Linotype" w:eastAsia="Palatino Linotype" w:hAnsi="Palatino Linotype" w:cs="Palatino Linotype"/>
          <w:b/>
          <w:i/>
          <w:sz w:val="22"/>
          <w:szCs w:val="22"/>
        </w:rPr>
        <w:t>Versión pública:</w:t>
      </w:r>
      <w:r w:rsidRPr="00967C65">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67C65">
        <w:rPr>
          <w:rFonts w:ascii="Palatino Linotype" w:eastAsia="Palatino Linotype" w:hAnsi="Palatino Linotype" w:cs="Palatino Linotype"/>
          <w:b/>
          <w:i/>
          <w:sz w:val="22"/>
          <w:szCs w:val="22"/>
          <w:u w:val="single"/>
        </w:rPr>
        <w:t>fundando y motivando la</w:t>
      </w:r>
      <w:r w:rsidRPr="00967C65">
        <w:rPr>
          <w:rFonts w:ascii="Palatino Linotype" w:eastAsia="Palatino Linotype" w:hAnsi="Palatino Linotype" w:cs="Palatino Linotype"/>
          <w:i/>
          <w:sz w:val="22"/>
          <w:szCs w:val="22"/>
        </w:rPr>
        <w:t xml:space="preserve"> reserva o </w:t>
      </w:r>
      <w:r w:rsidRPr="00967C65">
        <w:rPr>
          <w:rFonts w:ascii="Palatino Linotype" w:eastAsia="Palatino Linotype" w:hAnsi="Palatino Linotype" w:cs="Palatino Linotype"/>
          <w:b/>
          <w:i/>
          <w:sz w:val="22"/>
          <w:szCs w:val="22"/>
          <w:u w:val="single"/>
        </w:rPr>
        <w:t>confidencialidad</w:t>
      </w:r>
      <w:r w:rsidRPr="00967C65">
        <w:rPr>
          <w:rFonts w:ascii="Palatino Linotype" w:eastAsia="Palatino Linotype" w:hAnsi="Palatino Linotype" w:cs="Palatino Linotype"/>
          <w:i/>
          <w:sz w:val="22"/>
          <w:szCs w:val="22"/>
        </w:rPr>
        <w:t>, a través de la resolución que para tal efecto emita el Comité de Transparencia.</w:t>
      </w:r>
    </w:p>
    <w:p w14:paraId="7965516B"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Cuarto.</w:t>
      </w:r>
      <w:r w:rsidRPr="00967C65">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F16F41"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F45F458"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Quinto.</w:t>
      </w:r>
      <w:r w:rsidRPr="00967C65">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9BBA4BE"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w:t>
      </w:r>
    </w:p>
    <w:p w14:paraId="3EABDF85"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Séptimo.</w:t>
      </w:r>
      <w:r w:rsidRPr="00967C65">
        <w:rPr>
          <w:rFonts w:ascii="Palatino Linotype" w:eastAsia="Palatino Linotype" w:hAnsi="Palatino Linotype" w:cs="Palatino Linotype"/>
          <w:i/>
          <w:sz w:val="22"/>
          <w:szCs w:val="22"/>
        </w:rPr>
        <w:t xml:space="preserve"> La clasificación de la información se llevará a cabo en el momento en que:</w:t>
      </w:r>
    </w:p>
    <w:p w14:paraId="62AACAA1"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I.</w:t>
      </w:r>
      <w:r w:rsidRPr="00967C65">
        <w:rPr>
          <w:rFonts w:ascii="Palatino Linotype" w:eastAsia="Palatino Linotype" w:hAnsi="Palatino Linotype" w:cs="Palatino Linotype"/>
          <w:i/>
          <w:sz w:val="22"/>
          <w:szCs w:val="22"/>
        </w:rPr>
        <w:t xml:space="preserve"> Se reciba una solicitud de acceso a la información;</w:t>
      </w:r>
    </w:p>
    <w:p w14:paraId="4D2C701C" w14:textId="77777777" w:rsidR="00B64A66" w:rsidRPr="00967C65" w:rsidRDefault="00A468B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II.</w:t>
      </w:r>
      <w:r w:rsidRPr="00967C65">
        <w:rPr>
          <w:rFonts w:ascii="Palatino Linotype" w:eastAsia="Palatino Linotype" w:hAnsi="Palatino Linotype" w:cs="Palatino Linotype"/>
          <w:i/>
          <w:sz w:val="22"/>
          <w:szCs w:val="22"/>
        </w:rPr>
        <w:t xml:space="preserve"> Se  determine mediante resolución del Comité de Transparencia, el órgano garante </w:t>
      </w:r>
    </w:p>
    <w:p w14:paraId="3CD5B20C"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competente, o en cumplimiento a una sentencia del Poder Judicial; o</w:t>
      </w:r>
    </w:p>
    <w:p w14:paraId="6D1C41F6"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III.</w:t>
      </w:r>
      <w:r w:rsidRPr="00967C65">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01B5EC5"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50F94B0"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Octavo.</w:t>
      </w:r>
      <w:r w:rsidRPr="00967C65">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C81E26"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5395519" w14:textId="77777777" w:rsidR="00B64A66" w:rsidRPr="00967C65" w:rsidRDefault="00A468B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38269E3"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Noveno.</w:t>
      </w:r>
      <w:r w:rsidRPr="00967C65">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250015"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b/>
          <w:i/>
          <w:sz w:val="22"/>
          <w:szCs w:val="22"/>
        </w:rPr>
        <w:t>Décimo.</w:t>
      </w:r>
      <w:r w:rsidRPr="00967C65">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F80FE92"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2B2F1D2" w14:textId="77777777" w:rsidR="00B64A66" w:rsidRPr="00967C65" w:rsidRDefault="00A468B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Décimo primero.</w:t>
      </w:r>
      <w:r w:rsidRPr="00967C65">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5F3C368" w14:textId="77777777" w:rsidR="00B64A66" w:rsidRPr="00967C65" w:rsidRDefault="00B64A66">
      <w:pPr>
        <w:pBdr>
          <w:top w:val="nil"/>
          <w:left w:val="nil"/>
          <w:bottom w:val="nil"/>
          <w:right w:val="nil"/>
          <w:between w:val="nil"/>
        </w:pBdr>
        <w:ind w:right="709"/>
        <w:jc w:val="both"/>
        <w:rPr>
          <w:sz w:val="22"/>
          <w:szCs w:val="22"/>
        </w:rPr>
      </w:pPr>
    </w:p>
    <w:p w14:paraId="439C3683" w14:textId="77777777" w:rsidR="00B64A66" w:rsidRPr="00967C65" w:rsidRDefault="00A468B0">
      <w:pPr>
        <w:pBdr>
          <w:top w:val="nil"/>
          <w:left w:val="nil"/>
          <w:bottom w:val="nil"/>
          <w:right w:val="nil"/>
          <w:between w:val="nil"/>
        </w:pBdr>
        <w:ind w:left="709" w:right="709"/>
        <w:jc w:val="both"/>
        <w:rPr>
          <w:sz w:val="22"/>
          <w:szCs w:val="22"/>
        </w:rPr>
      </w:pPr>
      <w:r w:rsidRPr="00967C65">
        <w:rPr>
          <w:rFonts w:ascii="Palatino Linotype" w:eastAsia="Palatino Linotype" w:hAnsi="Palatino Linotype" w:cs="Palatino Linotype"/>
          <w:i/>
          <w:sz w:val="22"/>
          <w:szCs w:val="22"/>
        </w:rPr>
        <w:t>[…]</w:t>
      </w:r>
    </w:p>
    <w:p w14:paraId="5AE40F3D" w14:textId="77777777" w:rsidR="00B64A66" w:rsidRPr="00967C65" w:rsidRDefault="00A468B0">
      <w:pPr>
        <w:pBdr>
          <w:top w:val="nil"/>
          <w:left w:val="nil"/>
          <w:bottom w:val="nil"/>
          <w:right w:val="nil"/>
          <w:between w:val="nil"/>
        </w:pBdr>
        <w:ind w:left="709" w:right="709"/>
        <w:jc w:val="center"/>
        <w:rPr>
          <w:sz w:val="22"/>
          <w:szCs w:val="22"/>
        </w:rPr>
      </w:pPr>
      <w:r w:rsidRPr="00967C65">
        <w:rPr>
          <w:rFonts w:ascii="Palatino Linotype" w:eastAsia="Palatino Linotype" w:hAnsi="Palatino Linotype" w:cs="Palatino Linotype"/>
          <w:b/>
          <w:i/>
          <w:sz w:val="22"/>
          <w:szCs w:val="22"/>
        </w:rPr>
        <w:t>CAPÍTULO VIII</w:t>
      </w:r>
    </w:p>
    <w:p w14:paraId="7A297438" w14:textId="77777777" w:rsidR="00B64A66" w:rsidRPr="00967C65" w:rsidRDefault="00A468B0">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DE LOS ELEMENTOS PARA LA CLASIFICACIÓN</w:t>
      </w:r>
    </w:p>
    <w:p w14:paraId="235C791D"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Quincuagésimo</w:t>
      </w:r>
      <w:r w:rsidRPr="00967C65">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D9F0F40"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Quincuagésimo primero</w:t>
      </w:r>
      <w:r w:rsidRPr="00967C65">
        <w:rPr>
          <w:rFonts w:ascii="Palatino Linotype" w:eastAsia="Palatino Linotype" w:hAnsi="Palatino Linotype" w:cs="Palatino Linotype"/>
          <w:i/>
          <w:sz w:val="22"/>
          <w:szCs w:val="22"/>
        </w:rPr>
        <w:t>. Toda acta del Comité de Transparencia deberá contener:</w:t>
      </w:r>
    </w:p>
    <w:p w14:paraId="4A18C931"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I. El número de sesión y fecha; </w:t>
      </w:r>
    </w:p>
    <w:p w14:paraId="33EB2675"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El nombre del área que solicitó la clasificación de información;</w:t>
      </w:r>
    </w:p>
    <w:p w14:paraId="5F2F1F2F"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III. La fundamentación legal y motivación correspondiente;</w:t>
      </w:r>
    </w:p>
    <w:p w14:paraId="2DCC2F42"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IV. La resolución o resoluciones aprobadas; y</w:t>
      </w:r>
    </w:p>
    <w:p w14:paraId="0D3DC102"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V. La rúbrica o firma digital de cada integrante del Comité de Transparencia. </w:t>
      </w:r>
    </w:p>
    <w:p w14:paraId="15222EE3"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B6D870A"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 Los motivos y razonamientos que sustenten la confirmación o modificación de la prueba de daño;</w:t>
      </w:r>
    </w:p>
    <w:p w14:paraId="13E27CE7"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Descripción de las partes o secciones reservadas, en caso de clasificación parcial;</w:t>
      </w:r>
    </w:p>
    <w:p w14:paraId="72DE5D77"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III. El periodo por el que mantendrá su clasificación y fecha de expiración; y</w:t>
      </w:r>
    </w:p>
    <w:p w14:paraId="57B49D3C"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IV. El nombre del titular y área encargada de realizar la versión pública del documento, en su caso.</w:t>
      </w:r>
    </w:p>
    <w:p w14:paraId="4700DC24"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70A26A6"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B79726B"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b/>
          <w:i/>
          <w:sz w:val="22"/>
          <w:szCs w:val="22"/>
        </w:rPr>
        <w:t>Quincuagésimo segundo</w:t>
      </w:r>
      <w:r w:rsidRPr="00967C6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D272A9E"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29ACEA3"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7F5F198"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1423EC5"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lastRenderedPageBreak/>
        <w:t>III. Señalar las personas o instancias autorizadas a acceder a la información clasificada.</w:t>
      </w:r>
    </w:p>
    <w:p w14:paraId="356ECA48" w14:textId="77777777" w:rsidR="00B64A66" w:rsidRPr="00967C65" w:rsidRDefault="00A468B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6530744" w14:textId="77777777" w:rsidR="00B64A66" w:rsidRPr="00967C65" w:rsidRDefault="00A468B0">
      <w:pPr>
        <w:pBdr>
          <w:top w:val="nil"/>
          <w:left w:val="nil"/>
          <w:bottom w:val="nil"/>
          <w:right w:val="nil"/>
          <w:between w:val="nil"/>
        </w:pBdr>
        <w:spacing w:after="160"/>
        <w:ind w:left="709" w:right="709"/>
        <w:jc w:val="both"/>
        <w:rPr>
          <w:sz w:val="22"/>
          <w:szCs w:val="22"/>
        </w:rPr>
      </w:pPr>
      <w:r w:rsidRPr="00967C65">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A4AB71C" w14:textId="77777777" w:rsidR="00B64A66" w:rsidRPr="00967C65" w:rsidRDefault="00B64A66">
      <w:pPr>
        <w:rPr>
          <w:sz w:val="22"/>
          <w:szCs w:val="22"/>
        </w:rPr>
      </w:pPr>
    </w:p>
    <w:p w14:paraId="4F5F8D4E" w14:textId="77777777" w:rsidR="00B64A66" w:rsidRPr="00967C65" w:rsidRDefault="00A468B0">
      <w:pPr>
        <w:spacing w:line="360" w:lineRule="auto"/>
        <w:jc w:val="both"/>
        <w:rPr>
          <w:rFonts w:ascii="Palatino Linotype" w:eastAsia="Palatino Linotype" w:hAnsi="Palatino Linotype" w:cs="Palatino Linotype"/>
          <w:sz w:val="22"/>
          <w:szCs w:val="22"/>
        </w:rPr>
      </w:pPr>
      <w:bookmarkStart w:id="5" w:name="_heading=h.lnxbz9" w:colFirst="0" w:colLast="0"/>
      <w:bookmarkEnd w:id="5"/>
      <w:r w:rsidRPr="00967C65">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FBCC4E7" w14:textId="77777777" w:rsidR="00B64A66" w:rsidRPr="00967C65" w:rsidRDefault="00B64A66">
      <w:pPr>
        <w:spacing w:line="360" w:lineRule="auto"/>
        <w:jc w:val="both"/>
        <w:rPr>
          <w:rFonts w:ascii="Palatino Linotype" w:eastAsia="Palatino Linotype" w:hAnsi="Palatino Linotype" w:cs="Palatino Linotype"/>
          <w:sz w:val="22"/>
          <w:szCs w:val="22"/>
        </w:rPr>
      </w:pPr>
    </w:p>
    <w:p w14:paraId="27DA840C" w14:textId="77777777" w:rsidR="00B64A66" w:rsidRPr="00967C65" w:rsidRDefault="00A468B0">
      <w:pPr>
        <w:shd w:val="clear" w:color="auto" w:fill="FFFFFF"/>
        <w:spacing w:line="360" w:lineRule="auto"/>
        <w:ind w:right="51"/>
        <w:jc w:val="both"/>
        <w:rPr>
          <w:rFonts w:ascii="Palatino Linotype" w:eastAsia="Palatino Linotype" w:hAnsi="Palatino Linotype" w:cs="Palatino Linotype"/>
          <w:sz w:val="22"/>
          <w:szCs w:val="22"/>
        </w:rPr>
      </w:pPr>
      <w:bookmarkStart w:id="6" w:name="_heading=h.4d34og8" w:colFirst="0" w:colLast="0"/>
      <w:bookmarkEnd w:id="6"/>
      <w:r w:rsidRPr="00967C6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967C65">
        <w:rPr>
          <w:rFonts w:ascii="Palatino Linotype" w:eastAsia="Palatino Linotype" w:hAnsi="Palatino Linotype" w:cs="Palatino Linotype"/>
          <w:b/>
          <w:sz w:val="22"/>
          <w:szCs w:val="22"/>
        </w:rPr>
        <w:t>la parte</w:t>
      </w:r>
      <w:r w:rsidRPr="00967C65">
        <w:rPr>
          <w:rFonts w:ascii="Palatino Linotype" w:eastAsia="Palatino Linotype" w:hAnsi="Palatino Linotype" w:cs="Palatino Linotype"/>
          <w:sz w:val="22"/>
          <w:szCs w:val="22"/>
        </w:rPr>
        <w:t xml:space="preserve"> </w:t>
      </w:r>
      <w:r w:rsidRPr="00967C65">
        <w:rPr>
          <w:rFonts w:ascii="Palatino Linotype" w:eastAsia="Palatino Linotype" w:hAnsi="Palatino Linotype" w:cs="Palatino Linotype"/>
          <w:b/>
          <w:sz w:val="22"/>
          <w:szCs w:val="22"/>
        </w:rPr>
        <w:t>Recurrente</w:t>
      </w:r>
      <w:r w:rsidRPr="00967C65">
        <w:rPr>
          <w:rFonts w:ascii="Palatino Linotype" w:eastAsia="Palatino Linotype" w:hAnsi="Palatino Linotype" w:cs="Palatino Linotype"/>
          <w:sz w:val="22"/>
          <w:szCs w:val="22"/>
        </w:rPr>
        <w:t>.</w:t>
      </w:r>
    </w:p>
    <w:p w14:paraId="050887B2"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34A6825" w14:textId="77777777" w:rsidR="00B64A66" w:rsidRPr="00967C65" w:rsidRDefault="00B64A66">
      <w:pPr>
        <w:spacing w:before="240" w:after="240" w:line="360" w:lineRule="auto"/>
        <w:jc w:val="both"/>
        <w:rPr>
          <w:rFonts w:ascii="Palatino Linotype" w:eastAsia="Palatino Linotype" w:hAnsi="Palatino Linotype" w:cs="Palatino Linotype"/>
          <w:sz w:val="22"/>
          <w:szCs w:val="22"/>
        </w:rPr>
      </w:pPr>
    </w:p>
    <w:p w14:paraId="488A1AEC" w14:textId="77777777" w:rsidR="00B64A66" w:rsidRPr="00967C65" w:rsidRDefault="00A468B0">
      <w:pPr>
        <w:numPr>
          <w:ilvl w:val="0"/>
          <w:numId w:val="1"/>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967C65">
        <w:rPr>
          <w:rFonts w:ascii="Palatino Linotype" w:eastAsia="Palatino Linotype" w:hAnsi="Palatino Linotype" w:cs="Palatino Linotype"/>
          <w:b/>
        </w:rPr>
        <w:t>R E S U E L V E:</w:t>
      </w:r>
    </w:p>
    <w:p w14:paraId="7537B483" w14:textId="77777777" w:rsidR="00B64A66" w:rsidRPr="00967C65" w:rsidRDefault="00A468B0">
      <w:pPr>
        <w:spacing w:before="240" w:after="240" w:line="360" w:lineRule="auto"/>
        <w:jc w:val="both"/>
        <w:rPr>
          <w:rFonts w:ascii="Palatino Linotype" w:eastAsia="Palatino Linotype" w:hAnsi="Palatino Linotype" w:cs="Palatino Linotype"/>
          <w:b/>
          <w:sz w:val="22"/>
          <w:szCs w:val="22"/>
        </w:rPr>
      </w:pPr>
      <w:bookmarkStart w:id="7" w:name="_heading=h.3znysh7" w:colFirst="0" w:colLast="0"/>
      <w:bookmarkEnd w:id="7"/>
      <w:r w:rsidRPr="00967C65">
        <w:rPr>
          <w:rFonts w:ascii="Palatino Linotype" w:eastAsia="Palatino Linotype" w:hAnsi="Palatino Linotype" w:cs="Palatino Linotype"/>
          <w:b/>
          <w:sz w:val="22"/>
          <w:szCs w:val="22"/>
        </w:rPr>
        <w:t xml:space="preserve">Primero. </w:t>
      </w:r>
      <w:r w:rsidRPr="00967C65">
        <w:rPr>
          <w:rFonts w:ascii="Palatino Linotype" w:eastAsia="Palatino Linotype" w:hAnsi="Palatino Linotype" w:cs="Palatino Linotype"/>
          <w:sz w:val="22"/>
          <w:szCs w:val="22"/>
        </w:rPr>
        <w:t>Resultan</w:t>
      </w:r>
      <w:r w:rsidRPr="00967C65">
        <w:rPr>
          <w:rFonts w:ascii="Palatino Linotype" w:eastAsia="Palatino Linotype" w:hAnsi="Palatino Linotype" w:cs="Palatino Linotype"/>
          <w:b/>
          <w:sz w:val="22"/>
          <w:szCs w:val="22"/>
        </w:rPr>
        <w:t xml:space="preserve"> fundados </w:t>
      </w:r>
      <w:r w:rsidRPr="00967C65">
        <w:rPr>
          <w:rFonts w:ascii="Palatino Linotype" w:eastAsia="Palatino Linotype" w:hAnsi="Palatino Linotype" w:cs="Palatino Linotype"/>
          <w:sz w:val="22"/>
          <w:szCs w:val="22"/>
        </w:rPr>
        <w:t xml:space="preserve">los motivos de inconformidad hechos valer por </w:t>
      </w:r>
      <w:r w:rsidRPr="00967C65">
        <w:rPr>
          <w:rFonts w:ascii="Palatino Linotype" w:eastAsia="Palatino Linotype" w:hAnsi="Palatino Linotype" w:cs="Palatino Linotype"/>
          <w:b/>
          <w:sz w:val="22"/>
          <w:szCs w:val="22"/>
        </w:rPr>
        <w:t>la parte Recurrente</w:t>
      </w:r>
      <w:r w:rsidRPr="00967C65">
        <w:rPr>
          <w:rFonts w:ascii="Palatino Linotype" w:eastAsia="Palatino Linotype" w:hAnsi="Palatino Linotype" w:cs="Palatino Linotype"/>
          <w:sz w:val="22"/>
          <w:szCs w:val="22"/>
        </w:rPr>
        <w:t xml:space="preserve"> en los Recursos de Revisión</w:t>
      </w:r>
      <w:r w:rsidRPr="00967C65">
        <w:rPr>
          <w:rFonts w:ascii="Palatino Linotype" w:eastAsia="Palatino Linotype" w:hAnsi="Palatino Linotype" w:cs="Palatino Linotype"/>
          <w:b/>
          <w:sz w:val="22"/>
          <w:szCs w:val="22"/>
        </w:rPr>
        <w:t xml:space="preserve"> 06619/INFOEM/IP/RR/2024, 06620/INFOEM/IP/RR/2024, 06621/INFOEM/IP/RR/2024 y 06622/INFOEM/IP/RR/2024 acumulados, </w:t>
      </w:r>
      <w:r w:rsidRPr="00967C65">
        <w:rPr>
          <w:rFonts w:ascii="Palatino Linotype" w:eastAsia="Palatino Linotype" w:hAnsi="Palatino Linotype" w:cs="Palatino Linotype"/>
          <w:sz w:val="22"/>
          <w:szCs w:val="22"/>
        </w:rPr>
        <w:t>por lo que</w:t>
      </w:r>
      <w:r w:rsidRPr="00967C65">
        <w:rPr>
          <w:rFonts w:ascii="Palatino Linotype" w:eastAsia="Palatino Linotype" w:hAnsi="Palatino Linotype" w:cs="Palatino Linotype"/>
          <w:b/>
          <w:sz w:val="22"/>
          <w:szCs w:val="22"/>
        </w:rPr>
        <w:t xml:space="preserve">, en términos del Considerando Cuarto </w:t>
      </w:r>
      <w:r w:rsidRPr="00967C65">
        <w:rPr>
          <w:rFonts w:ascii="Palatino Linotype" w:eastAsia="Palatino Linotype" w:hAnsi="Palatino Linotype" w:cs="Palatino Linotype"/>
          <w:sz w:val="22"/>
          <w:szCs w:val="22"/>
        </w:rPr>
        <w:t xml:space="preserve">de la presente resolución, </w:t>
      </w:r>
      <w:r w:rsidRPr="00967C65">
        <w:rPr>
          <w:rFonts w:ascii="Palatino Linotype" w:eastAsia="Palatino Linotype" w:hAnsi="Palatino Linotype" w:cs="Palatino Linotype"/>
          <w:b/>
          <w:sz w:val="22"/>
          <w:szCs w:val="22"/>
        </w:rPr>
        <w:t xml:space="preserve">se REVOCAN </w:t>
      </w:r>
      <w:r w:rsidRPr="00967C65">
        <w:rPr>
          <w:rFonts w:ascii="Palatino Linotype" w:eastAsia="Palatino Linotype" w:hAnsi="Palatino Linotype" w:cs="Palatino Linotype"/>
          <w:sz w:val="22"/>
          <w:szCs w:val="22"/>
        </w:rPr>
        <w:t>las respuestas del</w:t>
      </w:r>
      <w:r w:rsidRPr="00967C65">
        <w:rPr>
          <w:rFonts w:ascii="Palatino Linotype" w:eastAsia="Palatino Linotype" w:hAnsi="Palatino Linotype" w:cs="Palatino Linotype"/>
          <w:b/>
          <w:sz w:val="22"/>
          <w:szCs w:val="22"/>
        </w:rPr>
        <w:t xml:space="preserve"> Sujeto Obligado.</w:t>
      </w:r>
    </w:p>
    <w:p w14:paraId="7514EB31" w14:textId="77777777" w:rsidR="00B64A66" w:rsidRPr="00967C65" w:rsidRDefault="00A468B0">
      <w:pPr>
        <w:spacing w:before="240" w:after="240" w:line="360" w:lineRule="auto"/>
        <w:ind w:right="49"/>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Segundo. Se Ordena al Sujeto Obligado </w:t>
      </w:r>
      <w:r w:rsidRPr="00967C65">
        <w:rPr>
          <w:rFonts w:ascii="Palatino Linotype" w:eastAsia="Palatino Linotype" w:hAnsi="Palatino Linotype" w:cs="Palatino Linotype"/>
          <w:sz w:val="22"/>
          <w:szCs w:val="22"/>
        </w:rPr>
        <w:t>que en términos de los</w:t>
      </w:r>
      <w:r w:rsidRPr="00967C65">
        <w:rPr>
          <w:rFonts w:ascii="Palatino Linotype" w:eastAsia="Palatino Linotype" w:hAnsi="Palatino Linotype" w:cs="Palatino Linotype"/>
          <w:b/>
          <w:sz w:val="22"/>
          <w:szCs w:val="22"/>
        </w:rPr>
        <w:t xml:space="preserve"> Considerandos Cuarto y Quinto </w:t>
      </w:r>
      <w:r w:rsidRPr="00967C65">
        <w:rPr>
          <w:rFonts w:ascii="Palatino Linotype" w:eastAsia="Palatino Linotype" w:hAnsi="Palatino Linotype" w:cs="Palatino Linotype"/>
          <w:sz w:val="22"/>
          <w:szCs w:val="22"/>
        </w:rPr>
        <w:t xml:space="preserve">de esta resolución haga entrega a </w:t>
      </w:r>
      <w:r w:rsidRPr="00967C65">
        <w:rPr>
          <w:rFonts w:ascii="Palatino Linotype" w:eastAsia="Palatino Linotype" w:hAnsi="Palatino Linotype" w:cs="Palatino Linotype"/>
          <w:b/>
          <w:sz w:val="22"/>
          <w:szCs w:val="22"/>
        </w:rPr>
        <w:t>la parte Recurrente a través del SAIMEX</w:t>
      </w:r>
      <w:r w:rsidRPr="00967C65">
        <w:rPr>
          <w:rFonts w:ascii="Palatino Linotype" w:eastAsia="Palatino Linotype" w:hAnsi="Palatino Linotype" w:cs="Palatino Linotype"/>
          <w:sz w:val="22"/>
          <w:szCs w:val="22"/>
        </w:rPr>
        <w:t xml:space="preserve">, en versión pública de ser procedente, de lo siguiente: </w:t>
      </w:r>
    </w:p>
    <w:p w14:paraId="3E8F9C54" w14:textId="77777777" w:rsidR="00B64A66" w:rsidRPr="00967C65" w:rsidRDefault="00A468B0">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t xml:space="preserve">1. De la Unidad de Transparencia y Acceso a la Información, Dirección de Protección Civil, Dirección de Desarrollo Económico y Área Coordinadora de Archivos: </w:t>
      </w:r>
    </w:p>
    <w:p w14:paraId="266D2127"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Manual de organización, manual de procedimientos y reglamento, vigentes al veintisiete de septiembre de dos mil veinticuatro.</w:t>
      </w:r>
    </w:p>
    <w:p w14:paraId="439D9874" w14:textId="77777777" w:rsidR="00B64A66" w:rsidRPr="00967C65" w:rsidRDefault="00A468B0">
      <w:pPr>
        <w:spacing w:before="240" w:after="240" w:line="360" w:lineRule="auto"/>
        <w:ind w:left="567" w:right="900"/>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sz w:val="22"/>
          <w:szCs w:val="22"/>
        </w:rPr>
        <w:lastRenderedPageBreak/>
        <w:t xml:space="preserve">2. </w:t>
      </w:r>
      <w:r w:rsidRPr="00967C65">
        <w:rPr>
          <w:rFonts w:ascii="Palatino Linotype" w:eastAsia="Palatino Linotype" w:hAnsi="Palatino Linotype" w:cs="Palatino Linotype"/>
          <w:b/>
          <w:sz w:val="22"/>
          <w:szCs w:val="22"/>
          <w:u w:val="single"/>
        </w:rPr>
        <w:t>En relación con la información que se ordena en el numeral 1</w:t>
      </w:r>
      <w:r w:rsidRPr="00967C65">
        <w:rPr>
          <w:rFonts w:ascii="Palatino Linotype" w:eastAsia="Palatino Linotype" w:hAnsi="Palatino Linotype" w:cs="Palatino Linotype"/>
          <w:sz w:val="22"/>
          <w:szCs w:val="22"/>
        </w:rPr>
        <w:t>, respecto de la Unidad de Transparencia y Acceso a la Información, Dirección de Protección Civil y Dirección de Desarrollo Económico:</w:t>
      </w:r>
    </w:p>
    <w:p w14:paraId="0FEE7854" w14:textId="77777777" w:rsidR="00B64A66" w:rsidRPr="00967C65" w:rsidRDefault="00A468B0">
      <w:pPr>
        <w:spacing w:before="240" w:after="240" w:line="276" w:lineRule="auto"/>
        <w:ind w:left="567" w:right="900"/>
        <w:jc w:val="both"/>
        <w:rPr>
          <w:rFonts w:ascii="Palatino Linotype" w:eastAsia="Palatino Linotype" w:hAnsi="Palatino Linotype" w:cs="Palatino Linotype"/>
          <w:b/>
          <w:i/>
          <w:sz w:val="22"/>
          <w:szCs w:val="22"/>
        </w:rPr>
      </w:pPr>
      <w:r w:rsidRPr="00967C65">
        <w:rPr>
          <w:rFonts w:ascii="Palatino Linotype" w:eastAsia="Palatino Linotype" w:hAnsi="Palatino Linotype" w:cs="Palatino Linotype"/>
          <w:b/>
          <w:i/>
          <w:sz w:val="22"/>
          <w:szCs w:val="22"/>
        </w:rPr>
        <w:t>Acta de cabildo en la que se aprobaron los manuales de organización, manuales de procedimientos y reglamentos.</w:t>
      </w:r>
    </w:p>
    <w:p w14:paraId="4A8AEE5B" w14:textId="77777777" w:rsidR="00B64A66" w:rsidRPr="00967C65" w:rsidRDefault="00A468B0">
      <w:pPr>
        <w:spacing w:before="240" w:after="240" w:line="276" w:lineRule="auto"/>
        <w:ind w:left="567" w:right="900"/>
        <w:jc w:val="both"/>
        <w:rPr>
          <w:rFonts w:ascii="Palatino Linotype" w:eastAsia="Palatino Linotype" w:hAnsi="Palatino Linotype" w:cs="Palatino Linotype"/>
          <w:i/>
          <w:sz w:val="22"/>
          <w:szCs w:val="22"/>
        </w:rPr>
      </w:pPr>
      <w:r w:rsidRPr="00967C65">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967C65">
        <w:rPr>
          <w:rFonts w:ascii="Palatino Linotype" w:eastAsia="Palatino Linotype" w:hAnsi="Palatino Linotype" w:cs="Palatino Linotype"/>
          <w:b/>
          <w:i/>
          <w:sz w:val="22"/>
          <w:szCs w:val="22"/>
        </w:rPr>
        <w:t>la parte Recurrente</w:t>
      </w:r>
      <w:r w:rsidRPr="00967C65">
        <w:rPr>
          <w:rFonts w:ascii="Palatino Linotype" w:eastAsia="Palatino Linotype" w:hAnsi="Palatino Linotype" w:cs="Palatino Linotype"/>
          <w:i/>
          <w:sz w:val="22"/>
          <w:szCs w:val="22"/>
        </w:rPr>
        <w:t>.</w:t>
      </w:r>
    </w:p>
    <w:p w14:paraId="4EE6E99B" w14:textId="77777777" w:rsidR="00B64A66" w:rsidRPr="00967C65" w:rsidRDefault="00A468B0">
      <w:pPr>
        <w:pBdr>
          <w:top w:val="nil"/>
          <w:left w:val="nil"/>
          <w:bottom w:val="nil"/>
          <w:right w:val="nil"/>
          <w:between w:val="nil"/>
        </w:pBdr>
        <w:spacing w:before="240" w:line="276" w:lineRule="auto"/>
        <w:ind w:left="567" w:right="758"/>
        <w:jc w:val="both"/>
        <w:rPr>
          <w:rFonts w:ascii="Palatino Linotype" w:eastAsia="Palatino Linotype" w:hAnsi="Palatino Linotype" w:cs="Palatino Linotype"/>
          <w:b/>
          <w:i/>
          <w:sz w:val="22"/>
          <w:szCs w:val="22"/>
          <w:u w:val="single"/>
        </w:rPr>
      </w:pPr>
      <w:r w:rsidRPr="00967C65">
        <w:rPr>
          <w:rFonts w:ascii="Palatino Linotype" w:eastAsia="Palatino Linotype" w:hAnsi="Palatino Linotype" w:cs="Palatino Linotype"/>
          <w:i/>
          <w:sz w:val="22"/>
          <w:szCs w:val="22"/>
        </w:rPr>
        <w:t xml:space="preserve">En el supuesto en el que </w:t>
      </w:r>
      <w:r w:rsidRPr="00967C65">
        <w:rPr>
          <w:rFonts w:ascii="Palatino Linotype" w:eastAsia="Palatino Linotype" w:hAnsi="Palatino Linotype" w:cs="Palatino Linotype"/>
          <w:b/>
          <w:i/>
          <w:sz w:val="22"/>
          <w:szCs w:val="22"/>
          <w:u w:val="single"/>
        </w:rPr>
        <w:t>alguna de las áreas en comento,</w:t>
      </w:r>
      <w:r w:rsidRPr="00967C65">
        <w:rPr>
          <w:rFonts w:ascii="Palatino Linotype" w:eastAsia="Palatino Linotype" w:hAnsi="Palatino Linotype" w:cs="Palatino Linotype"/>
          <w:i/>
          <w:sz w:val="22"/>
          <w:szCs w:val="22"/>
          <w:u w:val="single"/>
        </w:rPr>
        <w:t xml:space="preserve"> </w:t>
      </w:r>
      <w:r w:rsidRPr="00967C65">
        <w:rPr>
          <w:rFonts w:ascii="Palatino Linotype" w:eastAsia="Palatino Linotype" w:hAnsi="Palatino Linotype" w:cs="Palatino Linotype"/>
          <w:b/>
          <w:i/>
          <w:sz w:val="22"/>
          <w:szCs w:val="22"/>
          <w:u w:val="single"/>
        </w:rPr>
        <w:t>no cuente con alguno de los ordenamientos  y por ende, tampoco cuente con el acta de cabildo donde conste su aprobación</w:t>
      </w:r>
      <w:r w:rsidRPr="00967C65">
        <w:rPr>
          <w:rFonts w:ascii="Palatino Linotype" w:eastAsia="Palatino Linotype" w:hAnsi="Palatino Linotype" w:cs="Palatino Linotype"/>
          <w:i/>
          <w:sz w:val="22"/>
          <w:szCs w:val="22"/>
        </w:rPr>
        <w:t xml:space="preserve">, bastará con que así lo haga del conocimiento de </w:t>
      </w:r>
      <w:r w:rsidRPr="00967C65">
        <w:rPr>
          <w:rFonts w:ascii="Palatino Linotype" w:eastAsia="Palatino Linotype" w:hAnsi="Palatino Linotype" w:cs="Palatino Linotype"/>
          <w:b/>
          <w:i/>
          <w:sz w:val="22"/>
          <w:szCs w:val="22"/>
        </w:rPr>
        <w:t>la parte Recurrente</w:t>
      </w:r>
      <w:r w:rsidRPr="00967C65">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0B9CC344"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t xml:space="preserve">Tercero. Notifíquese vía SAIMEX, </w:t>
      </w:r>
      <w:r w:rsidRPr="00967C6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FBC705"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r w:rsidRPr="00967C65">
        <w:rPr>
          <w:rFonts w:ascii="Palatino Linotype" w:eastAsia="Palatino Linotype" w:hAnsi="Palatino Linotype" w:cs="Palatino Linotype"/>
          <w:b/>
          <w:sz w:val="22"/>
          <w:szCs w:val="22"/>
        </w:rPr>
        <w:lastRenderedPageBreak/>
        <w:t xml:space="preserve">Cuarto. </w:t>
      </w:r>
      <w:r w:rsidRPr="00967C65">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967C65">
        <w:rPr>
          <w:rFonts w:ascii="Palatino Linotype" w:eastAsia="Palatino Linotype" w:hAnsi="Palatino Linotype" w:cs="Palatino Linotype"/>
          <w:b/>
          <w:sz w:val="22"/>
          <w:szCs w:val="22"/>
        </w:rPr>
        <w:t>Sujeto Obligado</w:t>
      </w:r>
      <w:r w:rsidRPr="00967C6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10ED0F3" w14:textId="77777777" w:rsidR="00B64A66" w:rsidRPr="00967C65" w:rsidRDefault="00A468B0">
      <w:pPr>
        <w:spacing w:before="240" w:after="240" w:line="360" w:lineRule="auto"/>
        <w:jc w:val="both"/>
        <w:rPr>
          <w:rFonts w:ascii="Palatino Linotype" w:eastAsia="Palatino Linotype" w:hAnsi="Palatino Linotype" w:cs="Palatino Linotype"/>
          <w:sz w:val="22"/>
          <w:szCs w:val="22"/>
        </w:rPr>
      </w:pPr>
      <w:bookmarkStart w:id="8" w:name="_heading=h.tyjcwt" w:colFirst="0" w:colLast="0"/>
      <w:bookmarkEnd w:id="8"/>
      <w:r w:rsidRPr="00967C65">
        <w:rPr>
          <w:rFonts w:ascii="Palatino Linotype" w:eastAsia="Palatino Linotype" w:hAnsi="Palatino Linotype" w:cs="Palatino Linotype"/>
          <w:b/>
          <w:sz w:val="22"/>
          <w:szCs w:val="22"/>
        </w:rPr>
        <w:t xml:space="preserve">Quinto. Notifíquese vía SAIMEX, </w:t>
      </w:r>
      <w:r w:rsidRPr="00967C65">
        <w:rPr>
          <w:rFonts w:ascii="Palatino Linotype" w:eastAsia="Palatino Linotype" w:hAnsi="Palatino Linotype" w:cs="Palatino Linotype"/>
          <w:sz w:val="22"/>
          <w:szCs w:val="22"/>
        </w:rPr>
        <w:t>a</w:t>
      </w:r>
      <w:r w:rsidRPr="00967C65">
        <w:rPr>
          <w:rFonts w:ascii="Palatino Linotype" w:eastAsia="Palatino Linotype" w:hAnsi="Palatino Linotype" w:cs="Palatino Linotype"/>
          <w:b/>
          <w:sz w:val="22"/>
          <w:szCs w:val="22"/>
        </w:rPr>
        <w:t xml:space="preserve"> la parte Recurrente</w:t>
      </w:r>
      <w:r w:rsidRPr="00967C65">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2072D4B8" w14:textId="77777777" w:rsidR="00B64A66" w:rsidRPr="00967C65" w:rsidRDefault="00A468B0">
      <w:pPr>
        <w:spacing w:before="240" w:after="240" w:line="360" w:lineRule="auto"/>
        <w:jc w:val="both"/>
        <w:rPr>
          <w:rFonts w:ascii="Palatino Linotype" w:eastAsia="Palatino Linotype" w:hAnsi="Palatino Linotype" w:cs="Palatino Linotype"/>
        </w:rPr>
        <w:sectPr w:rsidR="00B64A66" w:rsidRPr="00967C65">
          <w:headerReference w:type="even" r:id="rId18"/>
          <w:headerReference w:type="default" r:id="rId19"/>
          <w:footerReference w:type="even" r:id="rId20"/>
          <w:footerReference w:type="default" r:id="rId21"/>
          <w:headerReference w:type="first" r:id="rId22"/>
          <w:footerReference w:type="first" r:id="rId23"/>
          <w:pgSz w:w="12240" w:h="15840"/>
          <w:pgMar w:top="621" w:right="1701" w:bottom="1701" w:left="1701" w:header="618" w:footer="709" w:gutter="0"/>
          <w:pgNumType w:start="1"/>
          <w:cols w:space="720"/>
          <w:titlePg/>
        </w:sectPr>
      </w:pPr>
      <w:r w:rsidRPr="00967C6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70575388" w14:textId="77777777" w:rsidR="00B64A66" w:rsidRPr="00967C65" w:rsidRDefault="00B64A66">
      <w:pPr>
        <w:spacing w:before="240" w:after="240"/>
        <w:jc w:val="both"/>
        <w:rPr>
          <w:rFonts w:ascii="Palatino Linotype" w:eastAsia="Palatino Linotype" w:hAnsi="Palatino Linotype" w:cs="Palatino Linotype"/>
          <w:sz w:val="20"/>
          <w:szCs w:val="20"/>
        </w:rPr>
      </w:pPr>
    </w:p>
    <w:p w14:paraId="612C8D8D" w14:textId="77777777" w:rsidR="00B64A66" w:rsidRPr="00967C65" w:rsidRDefault="00B64A66">
      <w:pPr>
        <w:spacing w:before="240" w:after="240"/>
        <w:jc w:val="both"/>
        <w:rPr>
          <w:rFonts w:ascii="Palatino Linotype" w:eastAsia="Palatino Linotype" w:hAnsi="Palatino Linotype" w:cs="Palatino Linotype"/>
          <w:sz w:val="20"/>
          <w:szCs w:val="20"/>
        </w:rPr>
      </w:pPr>
      <w:bookmarkStart w:id="9" w:name="_heading=h.1fob9te" w:colFirst="0" w:colLast="0"/>
      <w:bookmarkEnd w:id="9"/>
    </w:p>
    <w:sectPr w:rsidR="00B64A66" w:rsidRPr="00967C65">
      <w:headerReference w:type="first" r:id="rId2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5D79" w14:textId="77777777" w:rsidR="00917823" w:rsidRDefault="00917823">
      <w:r>
        <w:separator/>
      </w:r>
    </w:p>
  </w:endnote>
  <w:endnote w:type="continuationSeparator" w:id="0">
    <w:p w14:paraId="45C70DF4" w14:textId="77777777" w:rsidR="00917823" w:rsidRDefault="0091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1F6A" w14:textId="77777777" w:rsidR="00B64A66" w:rsidRDefault="00B64A6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DBC1" w14:textId="77777777" w:rsidR="00B64A66" w:rsidRDefault="00A468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7C65">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7C65">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7CFB5553" w14:textId="77777777" w:rsidR="00B64A66" w:rsidRDefault="00B64A66">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510545AA" w14:textId="77777777" w:rsidR="00B64A66" w:rsidRDefault="00B64A66"/>
  <w:p w14:paraId="524E75FB" w14:textId="77777777" w:rsidR="00B64A66" w:rsidRDefault="00B64A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A6EF" w14:textId="77777777" w:rsidR="00B64A66" w:rsidRDefault="00A468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7C65">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7C65">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7679FF2E" w14:textId="77777777" w:rsidR="00B64A66" w:rsidRDefault="00B64A66">
    <w:pPr>
      <w:pBdr>
        <w:top w:val="nil"/>
        <w:left w:val="nil"/>
        <w:bottom w:val="nil"/>
        <w:right w:val="nil"/>
        <w:between w:val="nil"/>
      </w:pBdr>
      <w:tabs>
        <w:tab w:val="center" w:pos="4252"/>
        <w:tab w:val="right" w:pos="8504"/>
      </w:tabs>
      <w:rPr>
        <w:rFonts w:ascii="Cambria" w:eastAsia="Cambria" w:hAnsi="Cambria" w:cs="Cambria"/>
        <w:color w:val="000000"/>
      </w:rPr>
    </w:pPr>
  </w:p>
  <w:p w14:paraId="413F782E" w14:textId="77777777" w:rsidR="00B64A66" w:rsidRDefault="00B64A66"/>
  <w:p w14:paraId="3AF248EA" w14:textId="77777777" w:rsidR="00B64A66" w:rsidRDefault="00B64A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AACA" w14:textId="77777777" w:rsidR="00917823" w:rsidRDefault="00917823">
      <w:r>
        <w:separator/>
      </w:r>
    </w:p>
  </w:footnote>
  <w:footnote w:type="continuationSeparator" w:id="0">
    <w:p w14:paraId="3BED4A02" w14:textId="77777777" w:rsidR="00917823" w:rsidRDefault="00917823">
      <w:r>
        <w:continuationSeparator/>
      </w:r>
    </w:p>
  </w:footnote>
  <w:footnote w:id="1">
    <w:p w14:paraId="14235DF4" w14:textId="77777777" w:rsidR="00B64A66" w:rsidRDefault="00A468B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BD82356" w14:textId="77777777" w:rsidR="00B64A66" w:rsidRDefault="00A468B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DD0533A" w14:textId="77777777" w:rsidR="00B64A66" w:rsidRDefault="00A468B0">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C15A402" w14:textId="77777777" w:rsidR="00B64A66" w:rsidRDefault="00A468B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3C0" w14:textId="77777777" w:rsidR="00B64A66" w:rsidRDefault="00B64A66">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9A3" w14:textId="77777777" w:rsidR="00B64A66" w:rsidRDefault="00A468B0">
    <w:pPr>
      <w:rPr>
        <w:rFonts w:ascii="Cambria" w:eastAsia="Cambria" w:hAnsi="Cambria" w:cs="Cambria"/>
        <w:color w:val="000000"/>
      </w:rPr>
    </w:pPr>
    <w:r>
      <w:rPr>
        <w:noProof/>
      </w:rPr>
      <w:drawing>
        <wp:anchor distT="0" distB="0" distL="0" distR="0" simplePos="0" relativeHeight="251658240" behindDoc="1" locked="0" layoutInCell="1" hidden="0" allowOverlap="1" wp14:anchorId="7DB15A53" wp14:editId="17E32A00">
          <wp:simplePos x="0" y="0"/>
          <wp:positionH relativeFrom="column">
            <wp:posOffset>-1080122</wp:posOffset>
          </wp:positionH>
          <wp:positionV relativeFrom="paragraph">
            <wp:posOffset>-234298</wp:posOffset>
          </wp:positionV>
          <wp:extent cx="7809865" cy="10165715"/>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f7"/>
      <w:tblW w:w="6510" w:type="dxa"/>
      <w:tblInd w:w="3261" w:type="dxa"/>
      <w:tblLayout w:type="fixed"/>
      <w:tblLook w:val="0400" w:firstRow="0" w:lastRow="0" w:firstColumn="0" w:lastColumn="0" w:noHBand="0" w:noVBand="1"/>
    </w:tblPr>
    <w:tblGrid>
      <w:gridCol w:w="2265"/>
      <w:gridCol w:w="4245"/>
    </w:tblGrid>
    <w:tr w:rsidR="00B64A66" w14:paraId="13D5F94A" w14:textId="77777777">
      <w:trPr>
        <w:trHeight w:val="502"/>
      </w:trPr>
      <w:tc>
        <w:tcPr>
          <w:tcW w:w="2265" w:type="dxa"/>
          <w:shd w:val="clear" w:color="auto" w:fill="auto"/>
        </w:tcPr>
        <w:p w14:paraId="561B0B14"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45" w:type="dxa"/>
          <w:shd w:val="clear" w:color="auto" w:fill="auto"/>
          <w:vAlign w:val="center"/>
        </w:tcPr>
        <w:p w14:paraId="6684E870" w14:textId="77777777" w:rsidR="00B64A66" w:rsidRDefault="00A468B0">
          <w:pPr>
            <w:ind w:right="1019"/>
            <w:jc w:val="both"/>
            <w:rPr>
              <w:rFonts w:ascii="Palatino Linotype" w:eastAsia="Palatino Linotype" w:hAnsi="Palatino Linotype" w:cs="Palatino Linotype"/>
              <w:b/>
            </w:rPr>
          </w:pPr>
          <w:r>
            <w:rPr>
              <w:rFonts w:ascii="Palatino Linotype" w:eastAsia="Palatino Linotype" w:hAnsi="Palatino Linotype" w:cs="Palatino Linotype"/>
              <w:b/>
            </w:rPr>
            <w:t xml:space="preserve">06619/INFOEM/IP/RR/2024 y acumulados </w:t>
          </w:r>
        </w:p>
      </w:tc>
    </w:tr>
    <w:tr w:rsidR="00B64A66" w14:paraId="03930030" w14:textId="77777777">
      <w:trPr>
        <w:trHeight w:val="190"/>
      </w:trPr>
      <w:tc>
        <w:tcPr>
          <w:tcW w:w="2265" w:type="dxa"/>
          <w:shd w:val="clear" w:color="auto" w:fill="auto"/>
          <w:vAlign w:val="center"/>
        </w:tcPr>
        <w:p w14:paraId="12C9553E"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45" w:type="dxa"/>
          <w:shd w:val="clear" w:color="auto" w:fill="auto"/>
          <w:vAlign w:val="center"/>
        </w:tcPr>
        <w:p w14:paraId="50D7D854" w14:textId="77777777" w:rsidR="00B64A66" w:rsidRDefault="00A468B0">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B64A66" w14:paraId="0D5F7DDC" w14:textId="77777777">
      <w:trPr>
        <w:trHeight w:val="251"/>
      </w:trPr>
      <w:tc>
        <w:tcPr>
          <w:tcW w:w="2265" w:type="dxa"/>
          <w:shd w:val="clear" w:color="auto" w:fill="auto"/>
          <w:vAlign w:val="center"/>
        </w:tcPr>
        <w:p w14:paraId="397AD39B" w14:textId="77777777" w:rsidR="00B64A66" w:rsidRDefault="00A468B0">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45" w:type="dxa"/>
          <w:shd w:val="clear" w:color="auto" w:fill="auto"/>
          <w:vAlign w:val="center"/>
        </w:tcPr>
        <w:p w14:paraId="3814B48E" w14:textId="77777777" w:rsidR="00B64A66" w:rsidRDefault="00A468B0">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36C2555" w14:textId="77777777" w:rsidR="00B64A66" w:rsidRDefault="00A468B0">
    <w:pPr>
      <w:rPr>
        <w:rFonts w:ascii="Cambria" w:eastAsia="Cambria" w:hAnsi="Cambria" w:cs="Cambria"/>
        <w:color w:val="000000"/>
      </w:rPr>
    </w:pPr>
    <w:r>
      <w:tab/>
    </w:r>
  </w:p>
  <w:p w14:paraId="06E10181" w14:textId="77777777" w:rsidR="00B64A66" w:rsidRDefault="00A468B0">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4A3" w14:textId="77777777" w:rsidR="00B64A66" w:rsidRDefault="00A468B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0CF019E" wp14:editId="207DC60B">
          <wp:simplePos x="0" y="0"/>
          <wp:positionH relativeFrom="column">
            <wp:posOffset>-934919</wp:posOffset>
          </wp:positionH>
          <wp:positionV relativeFrom="paragraph">
            <wp:posOffset>-357601</wp:posOffset>
          </wp:positionV>
          <wp:extent cx="7809865" cy="10165715"/>
          <wp:effectExtent l="0" t="0" r="0" b="0"/>
          <wp:wrapNone/>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f8"/>
      <w:tblW w:w="6378" w:type="dxa"/>
      <w:tblInd w:w="3261" w:type="dxa"/>
      <w:tblLayout w:type="fixed"/>
      <w:tblLook w:val="0400" w:firstRow="0" w:lastRow="0" w:firstColumn="0" w:lastColumn="0" w:noHBand="0" w:noVBand="1"/>
    </w:tblPr>
    <w:tblGrid>
      <w:gridCol w:w="2512"/>
      <w:gridCol w:w="3866"/>
    </w:tblGrid>
    <w:tr w:rsidR="00B64A66" w14:paraId="777A14F1" w14:textId="77777777">
      <w:trPr>
        <w:trHeight w:val="442"/>
      </w:trPr>
      <w:tc>
        <w:tcPr>
          <w:tcW w:w="2512" w:type="dxa"/>
          <w:shd w:val="clear" w:color="auto" w:fill="auto"/>
          <w:vAlign w:val="center"/>
        </w:tcPr>
        <w:p w14:paraId="439069A1"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6312C38" w14:textId="77777777" w:rsidR="00B64A66" w:rsidRDefault="00A468B0">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06619/INFOEM/IP/RR/2024y acumulados</w:t>
          </w:r>
        </w:p>
      </w:tc>
    </w:tr>
    <w:tr w:rsidR="00B64A66" w14:paraId="6A9D419D" w14:textId="77777777">
      <w:trPr>
        <w:trHeight w:val="95"/>
      </w:trPr>
      <w:tc>
        <w:tcPr>
          <w:tcW w:w="2512" w:type="dxa"/>
          <w:shd w:val="clear" w:color="auto" w:fill="auto"/>
          <w:vAlign w:val="center"/>
        </w:tcPr>
        <w:p w14:paraId="21824F06"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1F1E5B32" w14:textId="77777777" w:rsidR="00B64A66" w:rsidRDefault="00B64A66">
          <w:pPr>
            <w:jc w:val="both"/>
            <w:rPr>
              <w:rFonts w:ascii="Palatino Linotype" w:eastAsia="Palatino Linotype" w:hAnsi="Palatino Linotype" w:cs="Palatino Linotype"/>
              <w:b/>
            </w:rPr>
          </w:pPr>
        </w:p>
      </w:tc>
    </w:tr>
    <w:tr w:rsidR="00B64A66" w14:paraId="67CBB170" w14:textId="77777777">
      <w:trPr>
        <w:trHeight w:val="168"/>
      </w:trPr>
      <w:tc>
        <w:tcPr>
          <w:tcW w:w="2512" w:type="dxa"/>
          <w:shd w:val="clear" w:color="auto" w:fill="auto"/>
          <w:vAlign w:val="center"/>
        </w:tcPr>
        <w:p w14:paraId="2DEB0392"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2BF4C238" w14:textId="77777777" w:rsidR="00B64A66" w:rsidRDefault="00A468B0">
          <w:pPr>
            <w:ind w:left="-45" w:right="310"/>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B64A66" w14:paraId="5EF55A44" w14:textId="77777777">
      <w:trPr>
        <w:trHeight w:val="221"/>
      </w:trPr>
      <w:tc>
        <w:tcPr>
          <w:tcW w:w="2512" w:type="dxa"/>
          <w:shd w:val="clear" w:color="auto" w:fill="auto"/>
          <w:vAlign w:val="center"/>
        </w:tcPr>
        <w:p w14:paraId="0C630064" w14:textId="77777777" w:rsidR="00B64A66" w:rsidRDefault="00A468B0">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4D12A29E" w14:textId="77777777" w:rsidR="00B64A66" w:rsidRDefault="00A468B0">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594DEDD" w14:textId="77777777" w:rsidR="00B64A66" w:rsidRDefault="00B64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527A" w14:textId="77777777" w:rsidR="00B64A66" w:rsidRDefault="00B64A6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3798E"/>
    <w:multiLevelType w:val="multilevel"/>
    <w:tmpl w:val="1A1637FE"/>
    <w:lvl w:ilvl="0">
      <w:start w:val="1"/>
      <w:numFmt w:val="decimal"/>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75F307A"/>
    <w:multiLevelType w:val="multilevel"/>
    <w:tmpl w:val="0A62B564"/>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66"/>
    <w:rsid w:val="00370980"/>
    <w:rsid w:val="004E5A8F"/>
    <w:rsid w:val="007819D6"/>
    <w:rsid w:val="00917823"/>
    <w:rsid w:val="00967C65"/>
    <w:rsid w:val="00A468B0"/>
    <w:rsid w:val="00B64A66"/>
    <w:rsid w:val="00F83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8C67"/>
  <w15:docId w15:val="{46C97124-92E2-421C-8057-72E9CEA6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b"/>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9"/>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8"/>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top w:w="15" w:type="dxa"/>
        <w:left w:w="15" w:type="dxa"/>
        <w:bottom w:w="15" w:type="dxa"/>
        <w:right w:w="15" w:type="dxa"/>
      </w:tblCellMar>
    </w:tblPr>
  </w:style>
  <w:style w:type="table" w:customStyle="1" w:styleId="aff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4"/>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7">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a">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b">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c">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d">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e">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0">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1">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2">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3">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4">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5">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6">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7">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8">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9.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5ISWZNQ7yxzB1UUf8vTiF52Gzg==">CgMxLjAyCGguZ2pkZ3hzMgloLjMwajB6bGwyCWguMmV0OTJwMDIJaC4xdDNoNXNmMgloLjNkeTZ2a20yCGgubG54Yno5MgloLjRkMzRvZzgyCWguM3pueXNoNzIIaC50eWpjd3QyCWguMWZvYjl0ZTgAciExUUlVcEZmczUxX04zWEROeFF6ZXI3RzdhdzNWVko0WkI=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11396</Words>
  <Characters>62678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2024-11-25T18:49:00Z</cp:lastPrinted>
  <dcterms:created xsi:type="dcterms:W3CDTF">2024-12-06T17:36:00Z</dcterms:created>
  <dcterms:modified xsi:type="dcterms:W3CDTF">2024-12-06T17:36:00Z</dcterms:modified>
</cp:coreProperties>
</file>