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4BD8A"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octubre de dos mil veinticuatro. </w:t>
      </w:r>
    </w:p>
    <w:p w14:paraId="52180656"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VISTO</w:t>
      </w:r>
      <w:r w:rsidRPr="004D6F57">
        <w:rPr>
          <w:rFonts w:ascii="Palatino Linotype" w:eastAsia="Palatino Linotype" w:hAnsi="Palatino Linotype" w:cs="Palatino Linotype"/>
        </w:rPr>
        <w:t xml:space="preserve"> el expediente formado con motivo del recurso de revisión </w:t>
      </w:r>
      <w:r w:rsidRPr="004D6F57">
        <w:rPr>
          <w:rFonts w:ascii="Palatino Linotype" w:eastAsia="Palatino Linotype" w:hAnsi="Palatino Linotype" w:cs="Palatino Linotype"/>
          <w:b/>
        </w:rPr>
        <w:t>04714/INFOEM/IP/RR/2024</w:t>
      </w:r>
      <w:r w:rsidRPr="004D6F57">
        <w:rPr>
          <w:rFonts w:ascii="Palatino Linotype" w:eastAsia="Palatino Linotype" w:hAnsi="Palatino Linotype" w:cs="Palatino Linotype"/>
        </w:rPr>
        <w:t>, interpuesto por</w:t>
      </w:r>
      <w:r w:rsidRPr="004D6F57">
        <w:rPr>
          <w:rFonts w:ascii="Palatino Linotype" w:eastAsia="Palatino Linotype" w:hAnsi="Palatino Linotype" w:cs="Palatino Linotype"/>
          <w:b/>
        </w:rPr>
        <w:t xml:space="preserve"> persona que no proporciona nombre,</w:t>
      </w:r>
      <w:r w:rsidRPr="004D6F57">
        <w:rPr>
          <w:rFonts w:ascii="Palatino Linotype" w:eastAsia="Palatino Linotype" w:hAnsi="Palatino Linotype" w:cs="Palatino Linotype"/>
        </w:rPr>
        <w:t xml:space="preserve"> en lo sucesivo</w:t>
      </w:r>
      <w:r w:rsidRPr="004D6F57">
        <w:rPr>
          <w:rFonts w:ascii="Palatino Linotype" w:eastAsia="Palatino Linotype" w:hAnsi="Palatino Linotype" w:cs="Palatino Linotype"/>
          <w:b/>
        </w:rPr>
        <w:t xml:space="preserve"> </w:t>
      </w:r>
      <w:r w:rsidRPr="004D6F57">
        <w:rPr>
          <w:rFonts w:ascii="Palatino Linotype" w:eastAsia="Palatino Linotype" w:hAnsi="Palatino Linotype" w:cs="Palatino Linotype"/>
        </w:rPr>
        <w:t xml:space="preserve">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en contra de la respuesta a la solicitud de información con número de folio </w:t>
      </w:r>
      <w:r w:rsidRPr="004D6F57">
        <w:rPr>
          <w:rFonts w:ascii="Palatino Linotype" w:eastAsia="Palatino Linotype" w:hAnsi="Palatino Linotype" w:cs="Palatino Linotype"/>
          <w:b/>
        </w:rPr>
        <w:t xml:space="preserve">00344/CAEM/IP/2024, </w:t>
      </w:r>
      <w:r w:rsidRPr="004D6F57">
        <w:rPr>
          <w:rFonts w:ascii="Palatino Linotype" w:eastAsia="Palatino Linotype" w:hAnsi="Palatino Linotype" w:cs="Palatino Linotype"/>
        </w:rPr>
        <w:t xml:space="preserve">por parte del </w:t>
      </w:r>
      <w:r w:rsidRPr="004D6F57">
        <w:rPr>
          <w:rFonts w:ascii="Palatino Linotype" w:eastAsia="Palatino Linotype" w:hAnsi="Palatino Linotype" w:cs="Palatino Linotype"/>
          <w:b/>
        </w:rPr>
        <w:t xml:space="preserve">Comisión del Agua del Estado de México, </w:t>
      </w:r>
      <w:r w:rsidRPr="004D6F57">
        <w:rPr>
          <w:rFonts w:ascii="Palatino Linotype" w:eastAsia="Palatino Linotype" w:hAnsi="Palatino Linotype" w:cs="Palatino Linotype"/>
        </w:rPr>
        <w:t xml:space="preserve">en lo sucesivo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se procede a dictar la presente resolución con base en los siguientes: </w:t>
      </w:r>
    </w:p>
    <w:p w14:paraId="7EB7FBB6" w14:textId="77777777" w:rsidR="00FE465E" w:rsidRPr="004D6F57" w:rsidRDefault="00245254">
      <w:pPr>
        <w:spacing w:before="240" w:after="240" w:line="360" w:lineRule="auto"/>
        <w:jc w:val="center"/>
        <w:rPr>
          <w:rFonts w:ascii="Palatino Linotype" w:eastAsia="Palatino Linotype" w:hAnsi="Palatino Linotype" w:cs="Palatino Linotype"/>
          <w:b/>
        </w:rPr>
      </w:pPr>
      <w:r w:rsidRPr="004D6F57">
        <w:rPr>
          <w:rFonts w:ascii="Palatino Linotype" w:eastAsia="Palatino Linotype" w:hAnsi="Palatino Linotype" w:cs="Palatino Linotype"/>
          <w:b/>
        </w:rPr>
        <w:t>I. A N T E C E D E N T E S</w:t>
      </w:r>
    </w:p>
    <w:p w14:paraId="73407996"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4D6F57">
        <w:rPr>
          <w:rFonts w:ascii="Palatino Linotype" w:eastAsia="Palatino Linotype" w:hAnsi="Palatino Linotype" w:cs="Palatino Linotype"/>
          <w:b/>
        </w:rPr>
        <w:t>1. Solicitud de acceso a la información.</w:t>
      </w:r>
      <w:r w:rsidRPr="004D6F57">
        <w:rPr>
          <w:rFonts w:ascii="Palatino Linotype" w:eastAsia="Palatino Linotype" w:hAnsi="Palatino Linotype" w:cs="Palatino Linotype"/>
        </w:rPr>
        <w:t xml:space="preserve"> El </w:t>
      </w:r>
      <w:r w:rsidRPr="004D6F57">
        <w:rPr>
          <w:rFonts w:ascii="Palatino Linotype" w:eastAsia="Palatino Linotype" w:hAnsi="Palatino Linotype" w:cs="Palatino Linotype"/>
          <w:b/>
        </w:rPr>
        <w:t xml:space="preserve">nueve de julio de dos mil veinticuatro, </w:t>
      </w:r>
      <w:r w:rsidRPr="004D6F57">
        <w:rPr>
          <w:rFonts w:ascii="Palatino Linotype" w:eastAsia="Palatino Linotype" w:hAnsi="Palatino Linotype" w:cs="Palatino Linotype"/>
        </w:rPr>
        <w:t xml:space="preserve">la parte </w:t>
      </w:r>
      <w:r w:rsidRPr="004D6F57">
        <w:rPr>
          <w:rFonts w:ascii="Palatino Linotype" w:eastAsia="Palatino Linotype" w:hAnsi="Palatino Linotype" w:cs="Palatino Linotype"/>
          <w:b/>
        </w:rPr>
        <w:t xml:space="preserve">Recurrente </w:t>
      </w:r>
      <w:r w:rsidRPr="004D6F57">
        <w:rPr>
          <w:rFonts w:ascii="Palatino Linotype" w:eastAsia="Palatino Linotype" w:hAnsi="Palatino Linotype" w:cs="Palatino Linotype"/>
        </w:rPr>
        <w:t xml:space="preserve">presentó, a través del Sistema de Acceso a la Información Mexiquense, en lo subsecuente el </w:t>
      </w:r>
      <w:r w:rsidRPr="004D6F57">
        <w:rPr>
          <w:rFonts w:ascii="Palatino Linotype" w:eastAsia="Palatino Linotype" w:hAnsi="Palatino Linotype" w:cs="Palatino Linotype"/>
          <w:b/>
        </w:rPr>
        <w:t xml:space="preserve">SAIMEX, </w:t>
      </w:r>
      <w:r w:rsidRPr="004D6F57">
        <w:rPr>
          <w:rFonts w:ascii="Palatino Linotype" w:eastAsia="Palatino Linotype" w:hAnsi="Palatino Linotype" w:cs="Palatino Linotype"/>
        </w:rPr>
        <w:t xml:space="preserve">ante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la solicitud de acceso a la información pública, mediante la cual requirió la información siguiente: </w:t>
      </w:r>
    </w:p>
    <w:p w14:paraId="0B857518" w14:textId="77777777" w:rsidR="00FE465E" w:rsidRPr="004D6F57" w:rsidRDefault="00245254">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4D6F57">
        <w:rPr>
          <w:rFonts w:ascii="Palatino Linotype" w:eastAsia="Palatino Linotype" w:hAnsi="Palatino Linotype" w:cs="Palatino Linotype"/>
          <w:i/>
          <w:sz w:val="22"/>
          <w:szCs w:val="22"/>
        </w:rPr>
        <w:t xml:space="preserve"> “</w:t>
      </w:r>
      <w:proofErr w:type="spellStart"/>
      <w:r w:rsidRPr="004D6F57">
        <w:rPr>
          <w:rFonts w:ascii="Palatino Linotype" w:eastAsia="Palatino Linotype" w:hAnsi="Palatino Linotype" w:cs="Palatino Linotype"/>
          <w:i/>
          <w:sz w:val="22"/>
          <w:szCs w:val="22"/>
        </w:rPr>
        <w:t>Informacion</w:t>
      </w:r>
      <w:proofErr w:type="spellEnd"/>
      <w:r w:rsidRPr="004D6F57">
        <w:rPr>
          <w:rFonts w:ascii="Palatino Linotype" w:eastAsia="Palatino Linotype" w:hAnsi="Palatino Linotype" w:cs="Palatino Linotype"/>
          <w:i/>
          <w:sz w:val="22"/>
          <w:szCs w:val="22"/>
        </w:rPr>
        <w:t xml:space="preserve"> solicitada a la dirección general de </w:t>
      </w:r>
      <w:proofErr w:type="spellStart"/>
      <w:r w:rsidRPr="004D6F57">
        <w:rPr>
          <w:rFonts w:ascii="Palatino Linotype" w:eastAsia="Palatino Linotype" w:hAnsi="Palatino Linotype" w:cs="Palatino Linotype"/>
          <w:i/>
          <w:sz w:val="22"/>
          <w:szCs w:val="22"/>
        </w:rPr>
        <w:t>Administracion</w:t>
      </w:r>
      <w:proofErr w:type="spellEnd"/>
      <w:r w:rsidRPr="004D6F57">
        <w:rPr>
          <w:rFonts w:ascii="Palatino Linotype" w:eastAsia="Palatino Linotype" w:hAnsi="Palatino Linotype" w:cs="Palatino Linotype"/>
          <w:i/>
          <w:sz w:val="22"/>
          <w:szCs w:val="22"/>
        </w:rPr>
        <w:t xml:space="preserve"> y Finanzas así como a la </w:t>
      </w:r>
      <w:proofErr w:type="spellStart"/>
      <w:r w:rsidRPr="004D6F57">
        <w:rPr>
          <w:rFonts w:ascii="Palatino Linotype" w:eastAsia="Palatino Linotype" w:hAnsi="Palatino Linotype" w:cs="Palatino Linotype"/>
          <w:i/>
          <w:sz w:val="22"/>
          <w:szCs w:val="22"/>
        </w:rPr>
        <w:t>contraloria</w:t>
      </w:r>
      <w:proofErr w:type="spellEnd"/>
      <w:r w:rsidRPr="004D6F57">
        <w:rPr>
          <w:rFonts w:ascii="Palatino Linotype" w:eastAsia="Palatino Linotype" w:hAnsi="Palatino Linotype" w:cs="Palatino Linotype"/>
          <w:i/>
          <w:sz w:val="22"/>
          <w:szCs w:val="22"/>
        </w:rPr>
        <w:t xml:space="preserve"> interna de la </w:t>
      </w:r>
      <w:proofErr w:type="spellStart"/>
      <w:r w:rsidRPr="004D6F57">
        <w:rPr>
          <w:rFonts w:ascii="Palatino Linotype" w:eastAsia="Palatino Linotype" w:hAnsi="Palatino Linotype" w:cs="Palatino Linotype"/>
          <w:i/>
          <w:sz w:val="22"/>
          <w:szCs w:val="22"/>
        </w:rPr>
        <w:t>Caem</w:t>
      </w:r>
      <w:proofErr w:type="spellEnd"/>
      <w:r w:rsidRPr="004D6F57">
        <w:rPr>
          <w:rFonts w:ascii="Palatino Linotype" w:eastAsia="Palatino Linotype" w:hAnsi="Palatino Linotype" w:cs="Palatino Linotype"/>
          <w:i/>
          <w:sz w:val="22"/>
          <w:szCs w:val="22"/>
        </w:rPr>
        <w:t xml:space="preserve"> solicito el </w:t>
      </w:r>
      <w:proofErr w:type="spellStart"/>
      <w:r w:rsidRPr="004D6F57">
        <w:rPr>
          <w:rFonts w:ascii="Palatino Linotype" w:eastAsia="Palatino Linotype" w:hAnsi="Palatino Linotype" w:cs="Palatino Linotype"/>
          <w:i/>
          <w:sz w:val="22"/>
          <w:szCs w:val="22"/>
        </w:rPr>
        <w:t>numero</w:t>
      </w:r>
      <w:proofErr w:type="spellEnd"/>
      <w:r w:rsidRPr="004D6F57">
        <w:rPr>
          <w:rFonts w:ascii="Palatino Linotype" w:eastAsia="Palatino Linotype" w:hAnsi="Palatino Linotype" w:cs="Palatino Linotype"/>
          <w:i/>
          <w:sz w:val="22"/>
          <w:szCs w:val="22"/>
        </w:rPr>
        <w:t xml:space="preserve"> real de vehículos directos asignados y. que servidor </w:t>
      </w:r>
      <w:proofErr w:type="spellStart"/>
      <w:r w:rsidRPr="004D6F57">
        <w:rPr>
          <w:rFonts w:ascii="Palatino Linotype" w:eastAsia="Palatino Linotype" w:hAnsi="Palatino Linotype" w:cs="Palatino Linotype"/>
          <w:i/>
          <w:sz w:val="22"/>
          <w:szCs w:val="22"/>
        </w:rPr>
        <w:t>publico</w:t>
      </w:r>
      <w:proofErr w:type="spellEnd"/>
      <w:r w:rsidRPr="004D6F57">
        <w:rPr>
          <w:rFonts w:ascii="Palatino Linotype" w:eastAsia="Palatino Linotype" w:hAnsi="Palatino Linotype" w:cs="Palatino Linotype"/>
          <w:i/>
          <w:sz w:val="22"/>
          <w:szCs w:val="22"/>
        </w:rPr>
        <w:t xml:space="preserve"> lo usa, a la dirección general del programa hidráulico, así como la lista de vehículos operativos y a quienes están asignados, dotación mensual combustible de cada vehículo así como los tickets de gasto de combustible junto con la bitácora, cuantos tag tiene asignado el director general así como los temas vehículos dotación de tag de cada vehículo así como los cruces para comprobación del gasto (no es </w:t>
      </w:r>
      <w:proofErr w:type="spellStart"/>
      <w:r w:rsidRPr="004D6F57">
        <w:rPr>
          <w:rFonts w:ascii="Palatino Linotype" w:eastAsia="Palatino Linotype" w:hAnsi="Palatino Linotype" w:cs="Palatino Linotype"/>
          <w:i/>
          <w:sz w:val="22"/>
          <w:szCs w:val="22"/>
        </w:rPr>
        <w:t>inaormcacio</w:t>
      </w:r>
      <w:proofErr w:type="spellEnd"/>
      <w:r w:rsidRPr="004D6F57">
        <w:rPr>
          <w:rFonts w:ascii="Palatino Linotype" w:eastAsia="Palatino Linotype" w:hAnsi="Palatino Linotype" w:cs="Palatino Linotype"/>
          <w:i/>
          <w:sz w:val="22"/>
          <w:szCs w:val="22"/>
        </w:rPr>
        <w:t xml:space="preserve"> reservada ni confidencial y el sistema te permite ver los cruces).</w:t>
      </w:r>
      <w:r w:rsidRPr="004D6F57">
        <w:rPr>
          <w:rFonts w:ascii="Palatino Linotype" w:eastAsia="Palatino Linotype" w:hAnsi="Palatino Linotype" w:cs="Palatino Linotype"/>
          <w:b/>
          <w:i/>
          <w:sz w:val="22"/>
          <w:szCs w:val="22"/>
        </w:rPr>
        <w:t>”</w:t>
      </w:r>
      <w:r w:rsidRPr="004D6F57">
        <w:rPr>
          <w:rFonts w:ascii="Palatino Linotype" w:eastAsia="Palatino Linotype" w:hAnsi="Palatino Linotype" w:cs="Palatino Linotype"/>
          <w:i/>
          <w:sz w:val="22"/>
          <w:szCs w:val="22"/>
        </w:rPr>
        <w:t xml:space="preserve"> (sic) </w:t>
      </w:r>
    </w:p>
    <w:p w14:paraId="19E9C81A"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4D6F57">
        <w:rPr>
          <w:rFonts w:ascii="Palatino Linotype" w:eastAsia="Palatino Linotype" w:hAnsi="Palatino Linotype" w:cs="Palatino Linotype"/>
          <w:b/>
        </w:rPr>
        <w:t xml:space="preserve">Modalidad de Entrega: </w:t>
      </w:r>
      <w:r w:rsidRPr="004D6F57">
        <w:rPr>
          <w:rFonts w:ascii="Palatino Linotype" w:eastAsia="Palatino Linotype" w:hAnsi="Palatino Linotype" w:cs="Palatino Linotype"/>
        </w:rPr>
        <w:t xml:space="preserve">A través del SAIMEX. </w:t>
      </w:r>
    </w:p>
    <w:p w14:paraId="38AE51A1"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lastRenderedPageBreak/>
        <w:t xml:space="preserve">2. Respuesta. </w:t>
      </w:r>
      <w:r w:rsidRPr="004D6F57">
        <w:rPr>
          <w:rFonts w:ascii="Palatino Linotype" w:eastAsia="Palatino Linotype" w:hAnsi="Palatino Linotype" w:cs="Palatino Linotype"/>
        </w:rPr>
        <w:t xml:space="preserve">El </w:t>
      </w:r>
      <w:r w:rsidRPr="004D6F57">
        <w:rPr>
          <w:rFonts w:ascii="Palatino Linotype" w:eastAsia="Palatino Linotype" w:hAnsi="Palatino Linotype" w:cs="Palatino Linotype"/>
          <w:b/>
        </w:rPr>
        <w:t>seis de agosto de dos mil veinticuatro</w:t>
      </w:r>
      <w:r w:rsidRPr="004D6F57">
        <w:rPr>
          <w:rFonts w:ascii="Palatino Linotype" w:eastAsia="Palatino Linotype" w:hAnsi="Palatino Linotype" w:cs="Palatino Linotype"/>
        </w:rPr>
        <w:t xml:space="preserve">,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27E7292" w14:textId="77777777" w:rsidR="00FE465E" w:rsidRPr="004D6F57" w:rsidRDefault="00245254">
      <w:pPr>
        <w:spacing w:before="240" w:after="24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“Oficio No. 219C0110010000S/ 01550 /2024 Naucalpan de Juárez, Estado de México 30 de julio de 2024 ESTIMADO PETICIONARIO FOLIO DE LA SOLICITUD: 00344/CAEM/IP/2024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00344/CAEM/IP/2024, misma que a la letra dice: “</w:t>
      </w:r>
      <w:proofErr w:type="spellStart"/>
      <w:r w:rsidRPr="004D6F57">
        <w:rPr>
          <w:rFonts w:ascii="Palatino Linotype" w:eastAsia="Palatino Linotype" w:hAnsi="Palatino Linotype" w:cs="Palatino Linotype"/>
          <w:i/>
          <w:sz w:val="22"/>
          <w:szCs w:val="22"/>
        </w:rPr>
        <w:t>nformacion</w:t>
      </w:r>
      <w:proofErr w:type="spellEnd"/>
      <w:r w:rsidRPr="004D6F57">
        <w:rPr>
          <w:rFonts w:ascii="Palatino Linotype" w:eastAsia="Palatino Linotype" w:hAnsi="Palatino Linotype" w:cs="Palatino Linotype"/>
          <w:i/>
          <w:sz w:val="22"/>
          <w:szCs w:val="22"/>
        </w:rPr>
        <w:t xml:space="preserve"> solicitada a la dirección general de </w:t>
      </w:r>
      <w:proofErr w:type="spellStart"/>
      <w:r w:rsidRPr="004D6F57">
        <w:rPr>
          <w:rFonts w:ascii="Palatino Linotype" w:eastAsia="Palatino Linotype" w:hAnsi="Palatino Linotype" w:cs="Palatino Linotype"/>
          <w:i/>
          <w:sz w:val="22"/>
          <w:szCs w:val="22"/>
        </w:rPr>
        <w:t>Administracion</w:t>
      </w:r>
      <w:proofErr w:type="spellEnd"/>
      <w:r w:rsidRPr="004D6F57">
        <w:rPr>
          <w:rFonts w:ascii="Palatino Linotype" w:eastAsia="Palatino Linotype" w:hAnsi="Palatino Linotype" w:cs="Palatino Linotype"/>
          <w:i/>
          <w:sz w:val="22"/>
          <w:szCs w:val="22"/>
        </w:rPr>
        <w:t xml:space="preserve"> y Finanzas así como a la </w:t>
      </w:r>
      <w:proofErr w:type="spellStart"/>
      <w:r w:rsidRPr="004D6F57">
        <w:rPr>
          <w:rFonts w:ascii="Palatino Linotype" w:eastAsia="Palatino Linotype" w:hAnsi="Palatino Linotype" w:cs="Palatino Linotype"/>
          <w:i/>
          <w:sz w:val="22"/>
          <w:szCs w:val="22"/>
        </w:rPr>
        <w:t>contraloria</w:t>
      </w:r>
      <w:proofErr w:type="spellEnd"/>
      <w:r w:rsidRPr="004D6F57">
        <w:rPr>
          <w:rFonts w:ascii="Palatino Linotype" w:eastAsia="Palatino Linotype" w:hAnsi="Palatino Linotype" w:cs="Palatino Linotype"/>
          <w:i/>
          <w:sz w:val="22"/>
          <w:szCs w:val="22"/>
        </w:rPr>
        <w:t xml:space="preserve"> interna de la </w:t>
      </w:r>
      <w:proofErr w:type="spellStart"/>
      <w:r w:rsidRPr="004D6F57">
        <w:rPr>
          <w:rFonts w:ascii="Palatino Linotype" w:eastAsia="Palatino Linotype" w:hAnsi="Palatino Linotype" w:cs="Palatino Linotype"/>
          <w:i/>
          <w:sz w:val="22"/>
          <w:szCs w:val="22"/>
        </w:rPr>
        <w:t>Caem</w:t>
      </w:r>
      <w:proofErr w:type="spellEnd"/>
      <w:r w:rsidRPr="004D6F57">
        <w:rPr>
          <w:rFonts w:ascii="Palatino Linotype" w:eastAsia="Palatino Linotype" w:hAnsi="Palatino Linotype" w:cs="Palatino Linotype"/>
          <w:i/>
          <w:sz w:val="22"/>
          <w:szCs w:val="22"/>
        </w:rPr>
        <w:t xml:space="preserve"> solicito el </w:t>
      </w:r>
      <w:proofErr w:type="spellStart"/>
      <w:r w:rsidRPr="004D6F57">
        <w:rPr>
          <w:rFonts w:ascii="Palatino Linotype" w:eastAsia="Palatino Linotype" w:hAnsi="Palatino Linotype" w:cs="Palatino Linotype"/>
          <w:i/>
          <w:sz w:val="22"/>
          <w:szCs w:val="22"/>
        </w:rPr>
        <w:t>numero</w:t>
      </w:r>
      <w:proofErr w:type="spellEnd"/>
      <w:r w:rsidRPr="004D6F57">
        <w:rPr>
          <w:rFonts w:ascii="Palatino Linotype" w:eastAsia="Palatino Linotype" w:hAnsi="Palatino Linotype" w:cs="Palatino Linotype"/>
          <w:i/>
          <w:sz w:val="22"/>
          <w:szCs w:val="22"/>
        </w:rPr>
        <w:t xml:space="preserve"> real de vehículos directos asignados y. que servidor </w:t>
      </w:r>
      <w:proofErr w:type="spellStart"/>
      <w:r w:rsidRPr="004D6F57">
        <w:rPr>
          <w:rFonts w:ascii="Palatino Linotype" w:eastAsia="Palatino Linotype" w:hAnsi="Palatino Linotype" w:cs="Palatino Linotype"/>
          <w:i/>
          <w:sz w:val="22"/>
          <w:szCs w:val="22"/>
        </w:rPr>
        <w:t>publico</w:t>
      </w:r>
      <w:proofErr w:type="spellEnd"/>
      <w:r w:rsidRPr="004D6F57">
        <w:rPr>
          <w:rFonts w:ascii="Palatino Linotype" w:eastAsia="Palatino Linotype" w:hAnsi="Palatino Linotype" w:cs="Palatino Linotype"/>
          <w:i/>
          <w:sz w:val="22"/>
          <w:szCs w:val="22"/>
        </w:rPr>
        <w:t xml:space="preserve"> lo usa, a la dirección general del programa hidráulico, así como la lista de vehículos operativos y a quienes están asignados, dotación mensual combustible de cada vehículo así como los tickets de gasto de combustible junto con la bitácora, cuantos tag tiene asignado el director general así como los temas vehículos dotación de tag de cada vehículo así como los cruces para comprobación del gasto (no es </w:t>
      </w:r>
      <w:proofErr w:type="spellStart"/>
      <w:r w:rsidRPr="004D6F57">
        <w:rPr>
          <w:rFonts w:ascii="Palatino Linotype" w:eastAsia="Palatino Linotype" w:hAnsi="Palatino Linotype" w:cs="Palatino Linotype"/>
          <w:i/>
          <w:sz w:val="22"/>
          <w:szCs w:val="22"/>
        </w:rPr>
        <w:t>inaormcacio</w:t>
      </w:r>
      <w:proofErr w:type="spellEnd"/>
      <w:r w:rsidRPr="004D6F57">
        <w:rPr>
          <w:rFonts w:ascii="Palatino Linotype" w:eastAsia="Palatino Linotype" w:hAnsi="Palatino Linotype" w:cs="Palatino Linotype"/>
          <w:i/>
          <w:sz w:val="22"/>
          <w:szCs w:val="22"/>
        </w:rPr>
        <w:t xml:space="preserve"> reservada ni confidencial y el sistema te permite ver los cruces)”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Una vez realizado el análisis de la solicitud por Dirección General de Administración y Finanzas, comparto con usted copia del oficio 219C0117L/1573/2024 en el que se entregan la información requerida.” (sic)</w:t>
      </w:r>
    </w:p>
    <w:p w14:paraId="17FDFFCB"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adjuntó lo siguiente:</w:t>
      </w:r>
    </w:p>
    <w:p w14:paraId="064ABD6E"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Oficio con número de folio 219C0110010000S/01550/2024, del treinta de julio de dos mil veinticuatro, mediante el cual el titular de la Unidad de Transparencia notifica a la persona solicitante la respuesta proporcionada por la Dirección General de Administración y Finanzas.</w:t>
      </w:r>
    </w:p>
    <w:p w14:paraId="7C51DEA7"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Oficio con número de folio 219/C0117L/1573/2024, del dieciocho de julio de dos mil veinticuatro, mediante el cual la </w:t>
      </w:r>
      <w:proofErr w:type="gramStart"/>
      <w:r w:rsidRPr="004D6F57">
        <w:rPr>
          <w:rFonts w:ascii="Palatino Linotype" w:eastAsia="Palatino Linotype" w:hAnsi="Palatino Linotype" w:cs="Palatino Linotype"/>
        </w:rPr>
        <w:t>Directora</w:t>
      </w:r>
      <w:proofErr w:type="gramEnd"/>
      <w:r w:rsidRPr="004D6F57">
        <w:rPr>
          <w:rFonts w:ascii="Palatino Linotype" w:eastAsia="Palatino Linotype" w:hAnsi="Palatino Linotype" w:cs="Palatino Linotype"/>
        </w:rPr>
        <w:t xml:space="preserve"> de Administración y Finanzas manifiesta que la Dirección General del Programa Hidráulico, a través de la Unidad de Apoyo Administrativo, lleva el control del parque vehicular asignado a dicha Dirección, asimismo es responsable de realizar los trámites que conforme a la normatividad vigente garanticen su óptimo funcionamiento.</w:t>
      </w:r>
    </w:p>
    <w:p w14:paraId="6BD7A79F"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Asimismo, refirió que los </w:t>
      </w:r>
      <w:proofErr w:type="gramStart"/>
      <w:r w:rsidRPr="004D6F57">
        <w:rPr>
          <w:rFonts w:ascii="Palatino Linotype" w:eastAsia="Palatino Linotype" w:hAnsi="Palatino Linotype" w:cs="Palatino Linotype"/>
        </w:rPr>
        <w:t>Jefes</w:t>
      </w:r>
      <w:proofErr w:type="gramEnd"/>
      <w:r w:rsidRPr="004D6F57">
        <w:rPr>
          <w:rFonts w:ascii="Palatino Linotype" w:eastAsia="Palatino Linotype" w:hAnsi="Palatino Linotype" w:cs="Palatino Linotype"/>
        </w:rPr>
        <w:t xml:space="preserve"> de las Unidades de Apoyo Administrativo y/o servidores públicos habilitados tienen la obligación de resguardar, registrar y verificar los datos de consumo del combustible en la “Bitácora de Control Vehicular”, razón por la cual sugirió se consultara la información a la Dirección General del Programa Hidráulico.  </w:t>
      </w:r>
    </w:p>
    <w:p w14:paraId="4B4681D0"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Oficio con número de folio 219C0110010000S/1464/2024, del 09 de julio de 2024, mediante el cual la Titular de Unidad de Transparencia turnó la solicitud a la Dirección de Administración y Finanzas para su atención.</w:t>
      </w:r>
    </w:p>
    <w:p w14:paraId="6AEED690"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 Oficio con número de folio 219C0110010000S/1464-A/2024, del 09 de julio de 2024, mediante el cual la Titular de Unidad de Transparencia turna la solicitud al Órgano Interno de Control para su atención. (Duplicado)</w:t>
      </w:r>
    </w:p>
    <w:p w14:paraId="67AA2F85"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Oficio con número de folio 219C0110010000S/1464-B/2024, del 09 de julio de 2024, mediante el cual la Titular de Unidad de Transparencia turnó la solicitud a la Dirección General del Programa Hidráulico, para su atención.</w:t>
      </w:r>
    </w:p>
    <w:p w14:paraId="06EE0006"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 Acuse de la Solicitud de Información Pública 00344/CAEM/IP/2024</w:t>
      </w:r>
    </w:p>
    <w:p w14:paraId="73839F92" w14:textId="77777777" w:rsidR="00FE465E" w:rsidRPr="004D6F57" w:rsidRDefault="00245254">
      <w:pP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3. Interposición del recurso de revisión. </w:t>
      </w:r>
      <w:r w:rsidRPr="004D6F57">
        <w:rPr>
          <w:rFonts w:ascii="Palatino Linotype" w:eastAsia="Palatino Linotype" w:hAnsi="Palatino Linotype" w:cs="Palatino Linotype"/>
        </w:rPr>
        <w:t xml:space="preserve">Inconforme con los términos de la respuesta emitida por parte del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el</w:t>
      </w:r>
      <w:r w:rsidRPr="004D6F57">
        <w:rPr>
          <w:rFonts w:ascii="Palatino Linotype" w:eastAsia="Palatino Linotype" w:hAnsi="Palatino Linotype" w:cs="Palatino Linotype"/>
          <w:b/>
        </w:rPr>
        <w:t xml:space="preserve"> seis de agosto de dos mil veinticuatro, </w:t>
      </w:r>
      <w:r w:rsidRPr="004D6F57">
        <w:rPr>
          <w:rFonts w:ascii="Palatino Linotype" w:eastAsia="Palatino Linotype" w:hAnsi="Palatino Linotype" w:cs="Palatino Linotype"/>
        </w:rPr>
        <w:t xml:space="preserve">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interpuso el recurso de revisión a través de </w:t>
      </w:r>
      <w:r w:rsidRPr="004D6F57">
        <w:rPr>
          <w:rFonts w:ascii="Palatino Linotype" w:eastAsia="Palatino Linotype" w:hAnsi="Palatino Linotype" w:cs="Palatino Linotype"/>
          <w:b/>
        </w:rPr>
        <w:t xml:space="preserve">SAIMEX, </w:t>
      </w:r>
      <w:r w:rsidRPr="004D6F57">
        <w:rPr>
          <w:rFonts w:ascii="Palatino Linotype" w:eastAsia="Palatino Linotype" w:hAnsi="Palatino Linotype" w:cs="Palatino Linotype"/>
        </w:rPr>
        <w:t>en donde se manifestó de la siguiente manera:</w:t>
      </w:r>
    </w:p>
    <w:p w14:paraId="1B8DA97D" w14:textId="77777777" w:rsidR="00FE465E" w:rsidRPr="004D6F57" w:rsidRDefault="00245254">
      <w:pPr>
        <w:tabs>
          <w:tab w:val="left" w:pos="2745"/>
        </w:tabs>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Acto impugnado: </w:t>
      </w:r>
    </w:p>
    <w:p w14:paraId="24ABE738" w14:textId="77777777" w:rsidR="00FE465E" w:rsidRPr="004D6F57" w:rsidRDefault="00245254">
      <w:pPr>
        <w:tabs>
          <w:tab w:val="left" w:pos="2745"/>
        </w:tabs>
        <w:spacing w:before="240" w:after="24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“NO SE ENTREGO LA INFORMACION QUE SE REQUISIRO EN LA SOLISITUD VULNERANDO MIS DERECHOS AL ACCESO A LA INFORMACION” (sic)</w:t>
      </w:r>
    </w:p>
    <w:p w14:paraId="71D21BC5" w14:textId="77777777" w:rsidR="00FE465E" w:rsidRPr="004D6F57" w:rsidRDefault="00245254">
      <w:pPr>
        <w:spacing w:line="360" w:lineRule="auto"/>
        <w:jc w:val="both"/>
        <w:rPr>
          <w:rFonts w:ascii="Palatino Linotype" w:eastAsia="Palatino Linotype" w:hAnsi="Palatino Linotype" w:cs="Palatino Linotype"/>
        </w:rPr>
      </w:pPr>
      <w:bookmarkStart w:id="3" w:name="_heading=h.30j0zll" w:colFirst="0" w:colLast="0"/>
      <w:bookmarkEnd w:id="3"/>
      <w:r w:rsidRPr="004D6F57">
        <w:rPr>
          <w:rFonts w:ascii="Palatino Linotype" w:eastAsia="Palatino Linotype" w:hAnsi="Palatino Linotype" w:cs="Palatino Linotype"/>
          <w:b/>
        </w:rPr>
        <w:t>Y, Razones o motivos de inconformidad</w:t>
      </w:r>
      <w:r w:rsidRPr="004D6F57">
        <w:rPr>
          <w:rFonts w:ascii="Palatino Linotype" w:eastAsia="Palatino Linotype" w:hAnsi="Palatino Linotype" w:cs="Palatino Linotype"/>
        </w:rPr>
        <w:t>:</w:t>
      </w:r>
    </w:p>
    <w:p w14:paraId="248038E6" w14:textId="77777777" w:rsidR="00FE465E" w:rsidRPr="004D6F57" w:rsidRDefault="00245254">
      <w:pPr>
        <w:tabs>
          <w:tab w:val="left" w:pos="2745"/>
        </w:tabs>
        <w:spacing w:before="240" w:after="24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“NO CONTESTAN LO QUE SE LES SOLICITA, ES MUY CLARA LA SOLICITUD SOBRE LAS COSAS QUE SE PIDEN” (sic)</w:t>
      </w:r>
    </w:p>
    <w:p w14:paraId="66138B6C" w14:textId="77777777" w:rsidR="00FE465E" w:rsidRPr="004D6F57" w:rsidRDefault="00245254">
      <w:pPr>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4. Turno. </w:t>
      </w:r>
      <w:r w:rsidRPr="004D6F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D6F57">
        <w:rPr>
          <w:rFonts w:ascii="Palatino Linotype" w:eastAsia="Palatino Linotype" w:hAnsi="Palatino Linotype" w:cs="Palatino Linotype"/>
          <w:b/>
        </w:rPr>
        <w:t xml:space="preserve">Guadalupe Ramírez Peña, </w:t>
      </w:r>
      <w:r w:rsidRPr="004D6F57">
        <w:rPr>
          <w:rFonts w:ascii="Palatino Linotype" w:eastAsia="Palatino Linotype" w:hAnsi="Palatino Linotype" w:cs="Palatino Linotype"/>
        </w:rPr>
        <w:t xml:space="preserve">a efecto de que analizara sobre su admisión o su </w:t>
      </w:r>
      <w:proofErr w:type="spellStart"/>
      <w:r w:rsidRPr="004D6F57">
        <w:rPr>
          <w:rFonts w:ascii="Palatino Linotype" w:eastAsia="Palatino Linotype" w:hAnsi="Palatino Linotype" w:cs="Palatino Linotype"/>
        </w:rPr>
        <w:t>desechamiento</w:t>
      </w:r>
      <w:proofErr w:type="spellEnd"/>
      <w:r w:rsidRPr="004D6F57">
        <w:rPr>
          <w:rFonts w:ascii="Palatino Linotype" w:eastAsia="Palatino Linotype" w:hAnsi="Palatino Linotype" w:cs="Palatino Linotype"/>
        </w:rPr>
        <w:t>.</w:t>
      </w:r>
    </w:p>
    <w:p w14:paraId="16D88D19"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lastRenderedPageBreak/>
        <w:t>5. Admisión del Recurso de revisión.</w:t>
      </w:r>
      <w:r w:rsidRPr="004D6F57">
        <w:rPr>
          <w:rFonts w:ascii="Palatino Linotype" w:eastAsia="Palatino Linotype" w:hAnsi="Palatino Linotype" w:cs="Palatino Linotype"/>
        </w:rPr>
        <w:t xml:space="preserve"> Con fecha</w:t>
      </w:r>
      <w:r w:rsidRPr="004D6F57">
        <w:rPr>
          <w:rFonts w:ascii="Palatino Linotype" w:eastAsia="Palatino Linotype" w:hAnsi="Palatino Linotype" w:cs="Palatino Linotype"/>
          <w:b/>
        </w:rPr>
        <w:t xml:space="preserve"> nueve de agosto de dos mil veinticuatro, </w:t>
      </w:r>
      <w:r w:rsidRPr="004D6F5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presentara su informe justificado.</w:t>
      </w:r>
    </w:p>
    <w:p w14:paraId="0CA9A9EA"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4D6F57">
        <w:rPr>
          <w:rFonts w:ascii="Palatino Linotype" w:eastAsia="Palatino Linotype" w:hAnsi="Palatino Linotype" w:cs="Palatino Linotype"/>
          <w:b/>
        </w:rPr>
        <w:t>6. Manifestaciones</w:t>
      </w:r>
      <w:r w:rsidRPr="004D6F57">
        <w:rPr>
          <w:rFonts w:ascii="Palatino Linotype" w:eastAsia="Palatino Linotype" w:hAnsi="Palatino Linotype" w:cs="Palatino Linotype"/>
        </w:rPr>
        <w:t xml:space="preserve">. De las constancias que obran en el expediente electrónico del SAIMEX se desprende que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no rindió informe justificado, del mismo modo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omitió realizar manifestaciones, como se observa a continuación:</w:t>
      </w:r>
    </w:p>
    <w:p w14:paraId="63E8217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690CE763" wp14:editId="2F159F13">
            <wp:extent cx="5612130" cy="1594485"/>
            <wp:effectExtent l="0" t="0" r="0" b="0"/>
            <wp:docPr id="21401317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594485"/>
                    </a:xfrm>
                    <a:prstGeom prst="rect">
                      <a:avLst/>
                    </a:prstGeom>
                    <a:ln/>
                  </pic:spPr>
                </pic:pic>
              </a:graphicData>
            </a:graphic>
          </wp:inline>
        </w:drawing>
      </w:r>
    </w:p>
    <w:p w14:paraId="5B58B98E" w14:textId="77777777" w:rsidR="00FE465E" w:rsidRPr="004D6F57" w:rsidRDefault="00245254">
      <w:pPr>
        <w:widowControl w:val="0"/>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7. Cierre de instrucción. </w:t>
      </w:r>
      <w:r w:rsidRPr="004D6F5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D6F57">
        <w:rPr>
          <w:rFonts w:ascii="Palatino Linotype" w:eastAsia="Palatino Linotype" w:hAnsi="Palatino Linotype" w:cs="Palatino Linotype"/>
          <w:b/>
        </w:rPr>
        <w:t>veintiséis de agosto de dos mil veinticuatro</w:t>
      </w:r>
      <w:r w:rsidRPr="004D6F5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5D368EE" w14:textId="77777777" w:rsidR="00FE465E" w:rsidRPr="004D6F57" w:rsidRDefault="00245254">
      <w:pPr>
        <w:widowControl w:val="0"/>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lastRenderedPageBreak/>
        <w:t>8.</w:t>
      </w: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rPr>
        <w:t>Ampliación del término para resolver</w:t>
      </w:r>
      <w:r w:rsidRPr="004D6F57">
        <w:rPr>
          <w:rFonts w:ascii="Palatino Linotype" w:eastAsia="Palatino Linotype" w:hAnsi="Palatino Linotype" w:cs="Palatino Linotype"/>
        </w:rPr>
        <w:t xml:space="preserve">. El </w:t>
      </w:r>
      <w:r w:rsidRPr="004D6F57">
        <w:rPr>
          <w:rFonts w:ascii="Palatino Linotype" w:eastAsia="Palatino Linotype" w:hAnsi="Palatino Linotype" w:cs="Palatino Linotype"/>
          <w:b/>
        </w:rPr>
        <w:t>veintisiete de septiembre de dos mil veinticuatro</w:t>
      </w:r>
      <w:r w:rsidRPr="004D6F57">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A6D6553"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1D50C86" w14:textId="77777777" w:rsidR="00FE465E" w:rsidRPr="004D6F57" w:rsidRDefault="00245254">
      <w:pPr>
        <w:widowControl w:val="0"/>
        <w:spacing w:before="240" w:after="240" w:line="360" w:lineRule="auto"/>
        <w:jc w:val="center"/>
        <w:rPr>
          <w:rFonts w:ascii="Palatino Linotype" w:eastAsia="Palatino Linotype" w:hAnsi="Palatino Linotype" w:cs="Palatino Linotype"/>
          <w:b/>
        </w:rPr>
      </w:pPr>
      <w:r w:rsidRPr="004D6F57">
        <w:rPr>
          <w:rFonts w:ascii="Palatino Linotype" w:eastAsia="Palatino Linotype" w:hAnsi="Palatino Linotype" w:cs="Palatino Linotype"/>
          <w:b/>
        </w:rPr>
        <w:t>II. C O N S I D E R A N D O S</w:t>
      </w:r>
    </w:p>
    <w:p w14:paraId="454E55AF"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Primero. Competencia.</w:t>
      </w:r>
      <w:r w:rsidRPr="004D6F5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939EEB7"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4D6F57">
        <w:rPr>
          <w:rFonts w:ascii="Palatino Linotype" w:eastAsia="Palatino Linotype" w:hAnsi="Palatino Linotype" w:cs="Palatino Linotype"/>
          <w:b/>
        </w:rPr>
        <w:t>Segundo. Oportunidad y Procedibilidad del Recurso de Revisión</w:t>
      </w:r>
      <w:r w:rsidRPr="004D6F57">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4D6F57">
        <w:rPr>
          <w:rFonts w:ascii="Palatino Linotype" w:eastAsia="Palatino Linotype" w:hAnsi="Palatino Linotype" w:cs="Palatino Linotype"/>
        </w:rPr>
        <w:lastRenderedPageBreak/>
        <w:t>artículos 178 y 180 de la Ley de Transparencia y Acceso a la Información Pública del Estado de México y Municipios.</w:t>
      </w:r>
    </w:p>
    <w:p w14:paraId="6E87E202"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remitió la respuesta a la solicitud de información el día </w:t>
      </w:r>
      <w:r w:rsidRPr="004D6F57">
        <w:rPr>
          <w:rFonts w:ascii="Palatino Linotype" w:eastAsia="Palatino Linotype" w:hAnsi="Palatino Linotype" w:cs="Palatino Linotype"/>
          <w:b/>
        </w:rPr>
        <w:t>seis de agosto de dos mil veinticuatro</w:t>
      </w:r>
      <w:r w:rsidRPr="004D6F57">
        <w:rPr>
          <w:rFonts w:ascii="Palatino Linotype" w:eastAsia="Palatino Linotype" w:hAnsi="Palatino Linotype" w:cs="Palatino Linotype"/>
        </w:rPr>
        <w:t>,</w:t>
      </w:r>
      <w:r w:rsidRPr="004D6F57">
        <w:rPr>
          <w:rFonts w:ascii="Palatino Linotype" w:eastAsia="Palatino Linotype" w:hAnsi="Palatino Linotype" w:cs="Palatino Linotype"/>
          <w:b/>
        </w:rPr>
        <w:t xml:space="preserve"> </w:t>
      </w:r>
      <w:r w:rsidRPr="004D6F57">
        <w:rPr>
          <w:rFonts w:ascii="Palatino Linotype" w:eastAsia="Palatino Linotype" w:hAnsi="Palatino Linotype" w:cs="Palatino Linotype"/>
        </w:rPr>
        <w:t xml:space="preserve">mientras que el recurso de revisión interpuesto por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se tuvo por presentado el día </w:t>
      </w:r>
      <w:r w:rsidRPr="004D6F57">
        <w:rPr>
          <w:rFonts w:ascii="Palatino Linotype" w:eastAsia="Palatino Linotype" w:hAnsi="Palatino Linotype" w:cs="Palatino Linotype"/>
          <w:b/>
        </w:rPr>
        <w:t>seis de agosto de dos mil veinticuatro</w:t>
      </w:r>
      <w:r w:rsidRPr="004D6F57">
        <w:rPr>
          <w:rFonts w:ascii="Palatino Linotype" w:eastAsia="Palatino Linotype" w:hAnsi="Palatino Linotype" w:cs="Palatino Linotype"/>
        </w:rPr>
        <w:t>, esto es el mismo día en que tuvo conocimiento de la respuesta impugnada. En este sentido, se concluye que el presente recurso de revisión se encuentra dentro de los márgenes temporales previstos en las disposiciones legales referidas.</w:t>
      </w:r>
    </w:p>
    <w:p w14:paraId="6DF64668"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BF80256" w14:textId="77777777" w:rsidR="00FE465E" w:rsidRPr="004D6F57" w:rsidRDefault="00245254">
      <w:pPr>
        <w:spacing w:before="120" w:after="120"/>
        <w:ind w:left="851" w:right="902"/>
        <w:jc w:val="both"/>
        <w:rPr>
          <w:rFonts w:ascii="Palatino Linotype" w:eastAsia="Palatino Linotype" w:hAnsi="Palatino Linotype" w:cs="Palatino Linotype"/>
          <w:i/>
        </w:rPr>
      </w:pPr>
      <w:r w:rsidRPr="004D6F57">
        <w:rPr>
          <w:rFonts w:ascii="Palatino Linotype" w:eastAsia="Palatino Linotype" w:hAnsi="Palatino Linotype" w:cs="Palatino Linotype"/>
          <w:b/>
          <w:i/>
        </w:rPr>
        <w:t xml:space="preserve">“RECURSO DE RECLAMACIÓN. SU INTERPOSICIÓN NO ES EXTEMPORÁNEA SI SE REALIZA ANTES DE QUE INICIE EL </w:t>
      </w:r>
      <w:r w:rsidRPr="004D6F57">
        <w:rPr>
          <w:rFonts w:ascii="Palatino Linotype" w:eastAsia="Palatino Linotype" w:hAnsi="Palatino Linotype" w:cs="Palatino Linotype"/>
          <w:b/>
          <w:i/>
        </w:rPr>
        <w:lastRenderedPageBreak/>
        <w:t>PLAZO PARA HACERLO</w:t>
      </w:r>
      <w:r w:rsidRPr="004D6F57">
        <w:rPr>
          <w:rFonts w:ascii="Palatino Linotype" w:eastAsia="Palatino Linotype" w:hAnsi="Palatino Linotype" w:cs="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4D6F57">
        <w:rPr>
          <w:rFonts w:ascii="Palatino Linotype" w:eastAsia="Palatino Linotype" w:hAnsi="Palatino Linotype" w:cs="Palatino Linotype"/>
          <w:i/>
        </w:rPr>
        <w:t>que</w:t>
      </w:r>
      <w:proofErr w:type="gramEnd"/>
      <w:r w:rsidRPr="004D6F57">
        <w:rPr>
          <w:rFonts w:ascii="Palatino Linotype" w:eastAsia="Palatino Linotype" w:hAnsi="Palatino Linotype" w:cs="Palatino Linotype"/>
          <w:i/>
        </w:rPr>
        <w:t xml:space="preserve"> si dicho recurso se interpone antes de que inicie el plazo para hacerlo, su presentación no es extemporánea.”</w:t>
      </w:r>
    </w:p>
    <w:p w14:paraId="147E6F24"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7A8002" w14:textId="77777777" w:rsidR="00FE465E" w:rsidRPr="004D6F57" w:rsidRDefault="00245254">
      <w:pPr>
        <w:spacing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Además, por cuanto hace a la procedibilidad del recurso de revisión, es de suma importancia señalar que la parte</w:t>
      </w:r>
      <w:r w:rsidRPr="004D6F57">
        <w:rPr>
          <w:rFonts w:ascii="Palatino Linotype" w:eastAsia="Palatino Linotype" w:hAnsi="Palatino Linotype" w:cs="Palatino Linotype"/>
          <w:b/>
        </w:rPr>
        <w:t xml:space="preserve"> Recurrente</w:t>
      </w:r>
      <w:r w:rsidRPr="004D6F57">
        <w:rPr>
          <w:rFonts w:ascii="Palatino Linotype" w:eastAsia="Palatino Linotype" w:hAnsi="Palatino Linotype" w:cs="Palatino Linotype"/>
        </w:rPr>
        <w:t xml:space="preserve">, no señaló un </w:t>
      </w:r>
      <w:r w:rsidRPr="004D6F57">
        <w:rPr>
          <w:rFonts w:ascii="Palatino Linotype" w:eastAsia="Palatino Linotype" w:hAnsi="Palatino Linotype" w:cs="Palatino Linotype"/>
          <w:b/>
        </w:rPr>
        <w:t>nombre</w:t>
      </w:r>
      <w:r w:rsidRPr="004D6F57">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8DB4F3"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Las solicitudes anónimas</w:t>
      </w:r>
      <w:r w:rsidRPr="004D6F57">
        <w:rPr>
          <w:rFonts w:ascii="Palatino Linotype" w:eastAsia="Palatino Linotype" w:hAnsi="Palatino Linotype" w:cs="Palatino Linotype"/>
          <w:i/>
          <w:sz w:val="22"/>
          <w:szCs w:val="22"/>
        </w:rPr>
        <w:t xml:space="preserve">, con nombre incompleto o </w:t>
      </w:r>
      <w:r w:rsidRPr="004D6F57">
        <w:rPr>
          <w:rFonts w:ascii="Palatino Linotype" w:eastAsia="Palatino Linotype" w:hAnsi="Palatino Linotype" w:cs="Palatino Linotype"/>
          <w:b/>
          <w:i/>
          <w:sz w:val="22"/>
          <w:szCs w:val="22"/>
        </w:rPr>
        <w:t>seudónimo</w:t>
      </w:r>
      <w:r w:rsidRPr="004D6F57">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 (sic)</w:t>
      </w:r>
    </w:p>
    <w:p w14:paraId="4E63C184" w14:textId="77777777" w:rsidR="00FE465E" w:rsidRPr="004D6F57" w:rsidRDefault="00245254">
      <w:pPr>
        <w:spacing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D6F57">
        <w:rPr>
          <w:rFonts w:ascii="Palatino Linotype" w:eastAsia="Palatino Linotype" w:hAnsi="Palatino Linotype" w:cs="Palatino Linotype"/>
          <w:b/>
        </w:rPr>
        <w:t xml:space="preserve"> SAIMEX.</w:t>
      </w:r>
    </w:p>
    <w:p w14:paraId="6403CCBA"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4D6F57">
        <w:rPr>
          <w:rFonts w:ascii="Palatino Linotype" w:eastAsia="Palatino Linotype" w:hAnsi="Palatino Linotype" w:cs="Palatino Linotype"/>
        </w:rPr>
        <w:t xml:space="preserve">Finalmente, se advierte que resulta procedente la interposición del recurso, según lo manifestado por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en sus motivos de inconformidad, de acuerdo al artículo 179, fracción I del ordenamiento legal citado, que a la letra dice: </w:t>
      </w:r>
    </w:p>
    <w:p w14:paraId="00D1EB5E" w14:textId="77777777" w:rsidR="00FE465E" w:rsidRPr="004D6F57" w:rsidRDefault="00245254">
      <w:pPr>
        <w:spacing w:before="120" w:after="12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Artículo 179.</w:t>
      </w:r>
      <w:r w:rsidRPr="004D6F5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3F28ED" w14:textId="77777777" w:rsidR="00FE465E" w:rsidRPr="004D6F57" w:rsidRDefault="00245254">
      <w:pPr>
        <w:spacing w:before="120" w:after="120"/>
        <w:ind w:left="1134"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6211D347" w14:textId="77777777" w:rsidR="00FE465E" w:rsidRPr="004D6F57" w:rsidRDefault="00245254">
      <w:pPr>
        <w:spacing w:before="120" w:after="120"/>
        <w:ind w:left="1134" w:right="900"/>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I. </w:t>
      </w:r>
      <w:r w:rsidRPr="004D6F57">
        <w:rPr>
          <w:rFonts w:ascii="Palatino Linotype" w:eastAsia="Palatino Linotype" w:hAnsi="Palatino Linotype" w:cs="Palatino Linotype"/>
          <w:i/>
          <w:sz w:val="22"/>
          <w:szCs w:val="22"/>
        </w:rPr>
        <w:t>La negativa a la información solicitada…”</w:t>
      </w:r>
    </w:p>
    <w:p w14:paraId="60E34590"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Tercero. Materia de la revisión. </w:t>
      </w:r>
      <w:r w:rsidRPr="004D6F5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D6F57">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4D6F57">
        <w:rPr>
          <w:rFonts w:ascii="Palatino Linotype" w:eastAsia="Palatino Linotype" w:hAnsi="Palatino Linotype" w:cs="Palatino Linotype"/>
        </w:rPr>
        <w:t xml:space="preserve">de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o en su defecto, en caso de ser procedente, ordenar la entrega de información.</w:t>
      </w:r>
    </w:p>
    <w:p w14:paraId="09F083BA"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Cuarto. Estudio del asunto. </w:t>
      </w:r>
      <w:r w:rsidRPr="004D6F57">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w:t>
      </w:r>
      <w:r w:rsidRPr="004D6F57">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AFA24F3"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Artículo 4</w:t>
      </w:r>
      <w:r w:rsidRPr="004D6F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6868D4"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D6F5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8A4BE1"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D6F57">
        <w:rPr>
          <w:rFonts w:ascii="Palatino Linotype" w:eastAsia="Palatino Linotype" w:hAnsi="Palatino Linotype" w:cs="Palatino Linotype"/>
          <w:i/>
          <w:sz w:val="22"/>
          <w:szCs w:val="22"/>
        </w:rPr>
        <w:t>.”</w:t>
      </w:r>
    </w:p>
    <w:p w14:paraId="358DDFCA"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ECF1530"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lastRenderedPageBreak/>
        <w:t>“Artículo 12.-</w:t>
      </w:r>
      <w:r w:rsidRPr="004D6F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96C8CE3"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D6F57">
        <w:rPr>
          <w:rFonts w:ascii="Palatino Linotype" w:eastAsia="Palatino Linotype" w:hAnsi="Palatino Linotype" w:cs="Palatino Linotype"/>
          <w:i/>
          <w:sz w:val="22"/>
          <w:szCs w:val="22"/>
        </w:rPr>
        <w:t xml:space="preserve">. </w:t>
      </w:r>
      <w:r w:rsidRPr="004D6F5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46587A8" w14:textId="77777777" w:rsidR="00FE465E" w:rsidRPr="004D6F57" w:rsidRDefault="00245254">
      <w:pPr>
        <w:spacing w:before="240" w:after="240" w:line="360" w:lineRule="auto"/>
        <w:ind w:right="-93"/>
        <w:jc w:val="both"/>
        <w:rPr>
          <w:rFonts w:ascii="Palatino Linotype" w:eastAsia="Palatino Linotype" w:hAnsi="Palatino Linotype" w:cs="Palatino Linotype"/>
        </w:rPr>
      </w:pPr>
      <w:r w:rsidRPr="004D6F5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11EB6E"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4D6F57">
        <w:rPr>
          <w:rFonts w:ascii="Palatino Linotype" w:eastAsia="Palatino Linotype" w:hAnsi="Palatino Linotype" w:cs="Palatino Linotype"/>
        </w:rPr>
        <w:t>que</w:t>
      </w:r>
      <w:proofErr w:type="gramEnd"/>
      <w:r w:rsidRPr="004D6F57">
        <w:rPr>
          <w:rFonts w:ascii="Palatino Linotype" w:eastAsia="Palatino Linotype" w:hAnsi="Palatino Linotype" w:cs="Palatino Linotype"/>
        </w:rPr>
        <w:t xml:space="preserve"> por rubro y texto, dispone lo siguiente:</w:t>
      </w:r>
      <w:r w:rsidRPr="004D6F57">
        <w:rPr>
          <w:rFonts w:ascii="Palatino Linotype" w:eastAsia="Palatino Linotype" w:hAnsi="Palatino Linotype" w:cs="Palatino Linotype"/>
          <w:b/>
        </w:rPr>
        <w:t xml:space="preserve"> </w:t>
      </w:r>
    </w:p>
    <w:p w14:paraId="5881CC07"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No existe obligación de elaborar documentos ad hoc para atender las solicitudes de acceso a la información.</w:t>
      </w:r>
      <w:r w:rsidRPr="004D6F5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4D6F57">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 (Sic)</w:t>
      </w:r>
    </w:p>
    <w:p w14:paraId="067D060F" w14:textId="77777777" w:rsidR="00FE465E" w:rsidRPr="004D6F57" w:rsidRDefault="00245254">
      <w:pPr>
        <w:spacing w:before="120" w:after="12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E14F1" w14:textId="77777777" w:rsidR="00FE465E" w:rsidRPr="004D6F57" w:rsidRDefault="00245254">
      <w:pPr>
        <w:spacing w:before="120" w:after="12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560A77"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 xml:space="preserve">Artículo 3. </w:t>
      </w:r>
      <w:r w:rsidRPr="004D6F57">
        <w:rPr>
          <w:rFonts w:ascii="Palatino Linotype" w:eastAsia="Palatino Linotype" w:hAnsi="Palatino Linotype" w:cs="Palatino Linotype"/>
          <w:i/>
          <w:sz w:val="22"/>
          <w:szCs w:val="22"/>
        </w:rPr>
        <w:t>Para los efectos de la presente Ley se entenderá por:</w:t>
      </w:r>
    </w:p>
    <w:p w14:paraId="50DC3173"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2A61E7CA"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XI. Documento:</w:t>
      </w:r>
      <w:r w:rsidRPr="004D6F57">
        <w:rPr>
          <w:rFonts w:ascii="Palatino Linotype" w:eastAsia="Palatino Linotype" w:hAnsi="Palatino Linotype" w:cs="Palatino Linotype"/>
          <w:i/>
          <w:sz w:val="22"/>
          <w:szCs w:val="22"/>
        </w:rPr>
        <w:t xml:space="preserve"> Los expedientes, reportes, estudios, actas</w:t>
      </w:r>
      <w:r w:rsidRPr="004D6F57">
        <w:rPr>
          <w:rFonts w:ascii="Palatino Linotype" w:eastAsia="Palatino Linotype" w:hAnsi="Palatino Linotype" w:cs="Palatino Linotype"/>
          <w:b/>
          <w:i/>
          <w:sz w:val="22"/>
          <w:szCs w:val="22"/>
        </w:rPr>
        <w:t>,</w:t>
      </w:r>
      <w:r w:rsidRPr="004D6F5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05F02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DAAB62"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sz w:val="22"/>
          <w:szCs w:val="22"/>
        </w:rPr>
        <w:t>“</w:t>
      </w:r>
      <w:r w:rsidRPr="004D6F5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D6F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EDB6AE"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En </w:t>
      </w:r>
      <w:proofErr w:type="gramStart"/>
      <w:r w:rsidRPr="004D6F57">
        <w:rPr>
          <w:rFonts w:ascii="Palatino Linotype" w:eastAsia="Palatino Linotype" w:hAnsi="Palatino Linotype" w:cs="Palatino Linotype"/>
          <w:i/>
          <w:sz w:val="22"/>
          <w:szCs w:val="22"/>
        </w:rPr>
        <w:t>consecuencia</w:t>
      </w:r>
      <w:proofErr w:type="gramEnd"/>
      <w:r w:rsidRPr="004D6F5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885F026"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D6F57">
        <w:rPr>
          <w:rFonts w:ascii="Palatino Linotype" w:eastAsia="Palatino Linotype" w:hAnsi="Palatino Linotype" w:cs="Palatino Linotype"/>
          <w:i/>
          <w:sz w:val="22"/>
          <w:szCs w:val="22"/>
        </w:rPr>
        <w:t>que</w:t>
      </w:r>
      <w:proofErr w:type="gramEnd"/>
      <w:r w:rsidRPr="004D6F57">
        <w:rPr>
          <w:rFonts w:ascii="Palatino Linotype" w:eastAsia="Palatino Linotype" w:hAnsi="Palatino Linotype" w:cs="Palatino Linotype"/>
          <w:i/>
          <w:sz w:val="22"/>
          <w:szCs w:val="22"/>
        </w:rPr>
        <w:t xml:space="preserve"> en ejercicio de las atribuciones conferidas, sea generada por los Sujetos Obligados;</w:t>
      </w:r>
    </w:p>
    <w:p w14:paraId="255AD1D3"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4D6F57">
        <w:rPr>
          <w:rFonts w:ascii="Palatino Linotype" w:eastAsia="Palatino Linotype" w:hAnsi="Palatino Linotype" w:cs="Palatino Linotype"/>
          <w:i/>
          <w:sz w:val="22"/>
          <w:szCs w:val="22"/>
        </w:rPr>
        <w:t>que</w:t>
      </w:r>
      <w:proofErr w:type="gramEnd"/>
      <w:r w:rsidRPr="004D6F57">
        <w:rPr>
          <w:rFonts w:ascii="Palatino Linotype" w:eastAsia="Palatino Linotype" w:hAnsi="Palatino Linotype" w:cs="Palatino Linotype"/>
          <w:i/>
          <w:sz w:val="22"/>
          <w:szCs w:val="22"/>
        </w:rPr>
        <w:t xml:space="preserve"> en ejercicio de las atribuciones conferidas, sea administrada por los Sujetos Obligados, y</w:t>
      </w:r>
    </w:p>
    <w:p w14:paraId="28305456"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3) Que se trate de información registrada en cualquier soporte documental, </w:t>
      </w:r>
      <w:proofErr w:type="gramStart"/>
      <w:r w:rsidRPr="004D6F57">
        <w:rPr>
          <w:rFonts w:ascii="Palatino Linotype" w:eastAsia="Palatino Linotype" w:hAnsi="Palatino Linotype" w:cs="Palatino Linotype"/>
          <w:i/>
          <w:sz w:val="22"/>
          <w:szCs w:val="22"/>
        </w:rPr>
        <w:t>que</w:t>
      </w:r>
      <w:proofErr w:type="gramEnd"/>
      <w:r w:rsidRPr="004D6F57">
        <w:rPr>
          <w:rFonts w:ascii="Palatino Linotype" w:eastAsia="Palatino Linotype" w:hAnsi="Palatino Linotype" w:cs="Palatino Linotype"/>
          <w:i/>
          <w:sz w:val="22"/>
          <w:szCs w:val="22"/>
        </w:rPr>
        <w:t xml:space="preserve"> en ejercicio de las atribuciones conferidas, se encuentre en posesión de los Sujetos Obligados.” </w:t>
      </w:r>
    </w:p>
    <w:p w14:paraId="6120220F" w14:textId="77777777" w:rsidR="00FE465E" w:rsidRPr="004D6F57" w:rsidRDefault="00245254">
      <w:pPr>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4D6F57">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28C789D8"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9FFE8A2" w14:textId="77777777" w:rsidR="00FE465E" w:rsidRPr="004D6F57" w:rsidRDefault="00245254">
      <w:pPr>
        <w:spacing w:before="240" w:after="240" w:line="360" w:lineRule="auto"/>
        <w:ind w:right="51"/>
        <w:jc w:val="both"/>
        <w:rPr>
          <w:rFonts w:ascii="Palatino Linotype" w:eastAsia="Palatino Linotype" w:hAnsi="Palatino Linotype" w:cs="Palatino Linotype"/>
          <w:b/>
          <w:u w:val="single"/>
        </w:rPr>
      </w:pPr>
      <w:r w:rsidRPr="004D6F57">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requirió al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u w:val="single"/>
        </w:rPr>
        <w:t>a través de la Dirección General de Administración y Finanzas y la Contraloría Interna</w:t>
      </w:r>
      <w:r w:rsidRPr="004D6F57">
        <w:rPr>
          <w:rFonts w:ascii="Palatino Linotype" w:eastAsia="Palatino Linotype" w:hAnsi="Palatino Linotype" w:cs="Palatino Linotype"/>
        </w:rPr>
        <w:t xml:space="preserve">, le proporcione información consistente en lo siguiente </w:t>
      </w:r>
      <w:r w:rsidRPr="004D6F57">
        <w:rPr>
          <w:rFonts w:ascii="Palatino Linotype" w:eastAsia="Palatino Linotype" w:hAnsi="Palatino Linotype" w:cs="Palatino Linotype"/>
          <w:b/>
          <w:u w:val="single"/>
        </w:rPr>
        <w:t>de la Dirección General del Programa Hidráulico:</w:t>
      </w:r>
    </w:p>
    <w:p w14:paraId="398C3511" w14:textId="77777777" w:rsidR="00FE465E" w:rsidRPr="004D6F57" w:rsidRDefault="00245254">
      <w:pPr>
        <w:numPr>
          <w:ilvl w:val="0"/>
          <w:numId w:val="1"/>
        </w:numPr>
        <w:pBdr>
          <w:top w:val="nil"/>
          <w:left w:val="nil"/>
          <w:bottom w:val="nil"/>
          <w:right w:val="nil"/>
          <w:between w:val="nil"/>
        </w:pBdr>
        <w:tabs>
          <w:tab w:val="left" w:pos="567"/>
        </w:tabs>
        <w:spacing w:before="240" w:line="360" w:lineRule="auto"/>
        <w:ind w:left="284" w:right="51"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t>Número real de vehículos directos asignados a la Dirección, y el o los servidores públicos que los usan.</w:t>
      </w:r>
    </w:p>
    <w:p w14:paraId="52DC9914" w14:textId="77777777" w:rsidR="00FE465E" w:rsidRPr="004D6F57" w:rsidRDefault="00245254">
      <w:pPr>
        <w:numPr>
          <w:ilvl w:val="0"/>
          <w:numId w:val="1"/>
        </w:numPr>
        <w:pBdr>
          <w:top w:val="nil"/>
          <w:left w:val="nil"/>
          <w:bottom w:val="nil"/>
          <w:right w:val="nil"/>
          <w:between w:val="nil"/>
        </w:pBdr>
        <w:tabs>
          <w:tab w:val="left" w:pos="567"/>
        </w:tabs>
        <w:spacing w:line="360" w:lineRule="auto"/>
        <w:ind w:left="284" w:right="51"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Lista de vehículos operativos, servidores públicos que los tienen asignados, dotación mensual combustible de cada vehículo, así como los tickets de gasto de combustible y la bitácora.</w:t>
      </w:r>
    </w:p>
    <w:p w14:paraId="73E96E2D" w14:textId="77777777" w:rsidR="00FE465E" w:rsidRPr="004D6F57" w:rsidRDefault="00245254">
      <w:pPr>
        <w:numPr>
          <w:ilvl w:val="0"/>
          <w:numId w:val="1"/>
        </w:numPr>
        <w:pBdr>
          <w:top w:val="nil"/>
          <w:left w:val="nil"/>
          <w:bottom w:val="nil"/>
          <w:right w:val="nil"/>
          <w:between w:val="nil"/>
        </w:pBdr>
        <w:tabs>
          <w:tab w:val="left" w:pos="567"/>
        </w:tabs>
        <w:spacing w:after="240" w:line="360" w:lineRule="auto"/>
        <w:ind w:left="284" w:right="51"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Número de tags que tiene asignadas el </w:t>
      </w:r>
      <w:proofErr w:type="gramStart"/>
      <w:r w:rsidRPr="004D6F57">
        <w:rPr>
          <w:rFonts w:ascii="Palatino Linotype" w:eastAsia="Palatino Linotype" w:hAnsi="Palatino Linotype" w:cs="Palatino Linotype"/>
        </w:rPr>
        <w:t>Director General</w:t>
      </w:r>
      <w:proofErr w:type="gramEnd"/>
      <w:r w:rsidRPr="004D6F57">
        <w:rPr>
          <w:rFonts w:ascii="Palatino Linotype" w:eastAsia="Palatino Linotype" w:hAnsi="Palatino Linotype" w:cs="Palatino Linotype"/>
        </w:rPr>
        <w:t xml:space="preserve">, así como el número de tags asignadas a cada vehículo, con los cruces para comprobación del gasto. </w:t>
      </w:r>
    </w:p>
    <w:p w14:paraId="5D34B35A" w14:textId="77777777" w:rsidR="00FE465E" w:rsidRPr="004D6F57" w:rsidRDefault="00245254">
      <w:pPr>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En respuesta,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por conducto de la Unidad de Transparencia hizo del conocimiento de la persona solicitante el pronunciamiento emitido por la Dirección General de Administración y Finanzas, cuya titular sugirió turnar la solicitud a la propia Dirección General del Programa Hidráulico, ya que a través de la Unidad de Apoyo con la que cuenta, es responsable de llevar el control del parque vehicular asignado a dicha Dirección, asimismo es responsable de realizar los trámites que conforme a la normatividad vigente garanticen si óptimo funcionamiento, asimismo, refirió que los Jefes de las Unidades de Apoyo Administrativo y/o servidores públicos habilitados tienen la obligación de resguardar, registrar y verificar los datos de consumo del combustible en la “Bitácora de Control Vehicular”.</w:t>
      </w:r>
    </w:p>
    <w:p w14:paraId="49D1590A" w14:textId="77777777" w:rsidR="00FE465E" w:rsidRPr="004D6F57" w:rsidRDefault="00245254">
      <w:pPr>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rPr>
        <w:t>De igual forma proporcionó los oficios mediante los cuales turnó la solicitud a los servidores públicos habilitados del Órgano Interno de Control y la Dirección General del Programa Hidráulico, sin embargo, no obra constancia en el expediente electrónico de que estos hubieran brindado respuesta.</w:t>
      </w:r>
    </w:p>
    <w:p w14:paraId="7F51AA33" w14:textId="77777777" w:rsidR="00FE465E" w:rsidRPr="004D6F57" w:rsidRDefault="0024525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Inconforme con lo anterior, la parte </w:t>
      </w:r>
      <w:r w:rsidRPr="004D6F57">
        <w:rPr>
          <w:rFonts w:ascii="Palatino Linotype" w:eastAsia="Palatino Linotype" w:hAnsi="Palatino Linotype" w:cs="Palatino Linotype"/>
          <w:b/>
        </w:rPr>
        <w:t xml:space="preserve">Recurrente </w:t>
      </w:r>
      <w:r w:rsidRPr="004D6F57">
        <w:rPr>
          <w:rFonts w:ascii="Palatino Linotype" w:eastAsia="Palatino Linotype" w:hAnsi="Palatino Linotype" w:cs="Palatino Linotype"/>
        </w:rPr>
        <w:t xml:space="preserve">interpuso el recurso de revisión que se resuelve, donde manifestó como motivo de inconformidad que no se entregó la </w:t>
      </w:r>
      <w:r w:rsidRPr="004D6F57">
        <w:rPr>
          <w:rFonts w:ascii="Palatino Linotype" w:eastAsia="Palatino Linotype" w:hAnsi="Palatino Linotype" w:cs="Palatino Linotype"/>
        </w:rPr>
        <w:lastRenderedPageBreak/>
        <w:t>información que se solicitó, con lo cual se vulneró su derecho de acceso a la información.</w:t>
      </w:r>
    </w:p>
    <w:p w14:paraId="7AFB50FF" w14:textId="77777777" w:rsidR="00FE465E" w:rsidRPr="004D6F57" w:rsidRDefault="002452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Durante la etapa de manifestaciones las partes fueron omisas en remitir cualquier elemento que a su derecho conviniera, por lo tanto, se tiene por precluido su derecho para tal efecto y se procede a emitir la resolución que conforme a derecho corresponda.</w:t>
      </w:r>
    </w:p>
    <w:p w14:paraId="165F4B30" w14:textId="77777777" w:rsidR="00FE465E" w:rsidRPr="004D6F57" w:rsidRDefault="0024525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en contraposición con el motivo de inconformidad alegado por la parte </w:t>
      </w:r>
      <w:r w:rsidRPr="004D6F57">
        <w:rPr>
          <w:rFonts w:ascii="Palatino Linotype" w:eastAsia="Palatino Linotype" w:hAnsi="Palatino Linotype" w:cs="Palatino Linotype"/>
          <w:b/>
        </w:rPr>
        <w:t xml:space="preserve">Recurrente, </w:t>
      </w:r>
      <w:r w:rsidRPr="004D6F57">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60D4305A"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En este tenor, en primer lugar, conviene referir que en cumplimiento a lo previsto en los artículos 53 fracción II y 162 de la Ley de Transparencia y Acceso a la Información Pública del Estado de México y Municipios, la Unidad de Transparencia turnó la solicitud de información a las áreas que, de acuerdo con sus facultades, competencias y funciones, pudieran contar con la información materia de la solicitud, esto es a la Dirección de Administración y Finanzas, al Órgano Interno de Control y a la Dirección General del Programa Hidráulico.</w:t>
      </w:r>
    </w:p>
    <w:p w14:paraId="474FC436"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Al respecto se menciona que, de conformidad con el Manual General de Organización de la Comisión del Agua del Estado de México, dichas unidades administrativas cuentan con las siguientes atribuciones, en su parte conducente:</w:t>
      </w:r>
    </w:p>
    <w:p w14:paraId="5A272B73"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lastRenderedPageBreak/>
        <w:t>DIRECCIÓN GENERAL DE ADMINISTRACIÓN Y FINANZAS</w:t>
      </w:r>
    </w:p>
    <w:p w14:paraId="2BBAC0D5"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OBJETIVO</w:t>
      </w:r>
      <w:r w:rsidRPr="004D6F57">
        <w:rPr>
          <w:rFonts w:ascii="Palatino Linotype" w:eastAsia="Palatino Linotype" w:hAnsi="Palatino Linotype" w:cs="Palatino Linotype"/>
        </w:rPr>
        <w:t xml:space="preserve">: Establecer los planes y programas para la adecuada administración de los recursos </w:t>
      </w:r>
      <w:r w:rsidRPr="004D6F57">
        <w:rPr>
          <w:rFonts w:ascii="Palatino Linotype" w:eastAsia="Palatino Linotype" w:hAnsi="Palatino Linotype" w:cs="Palatino Linotype"/>
          <w:b/>
        </w:rPr>
        <w:t>financieros</w:t>
      </w:r>
      <w:r w:rsidRPr="004D6F57">
        <w:rPr>
          <w:rFonts w:ascii="Palatino Linotype" w:eastAsia="Palatino Linotype" w:hAnsi="Palatino Linotype" w:cs="Palatino Linotype"/>
        </w:rPr>
        <w:t>, humanos, materiales, técnicos y de servicios generales que requiere la Comisión para el desarrollo integral de sus funciones y realizar las actividades encomendadas por atribución fiscal.</w:t>
      </w:r>
      <w:r w:rsidRPr="004D6F57">
        <w:rPr>
          <w:rFonts w:ascii="Palatino Linotype" w:eastAsia="Palatino Linotype" w:hAnsi="Palatino Linotype" w:cs="Palatino Linotype"/>
          <w:b/>
        </w:rPr>
        <w:t xml:space="preserve"> </w:t>
      </w:r>
    </w:p>
    <w:p w14:paraId="36846DFE"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FUNCIONES: </w:t>
      </w:r>
    </w:p>
    <w:p w14:paraId="117C6F1C"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Planear el adecuado aprovechamiento de los recursos financieros, materiales, técnicos y humanos de acuerdo con los planes y programas autorizados por el Consejo Directivo.</w:t>
      </w:r>
    </w:p>
    <w:p w14:paraId="6DBF43BC"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-Supervisar que la adquisición de materiales e insumos se lleve a cabo con oportunidad, para proporcionarlos a las unidades administrativas de la Comisión que así lo soliciten.</w:t>
      </w:r>
    </w:p>
    <w:p w14:paraId="5D9676D6"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-Presidir la celebración de concursos y la adjudicación de contratos para la adquisición de bienes o contratación de servicios y supervisar que se lleven a cabo conforme a la normatividad establecida en la materia.</w:t>
      </w:r>
    </w:p>
    <w:p w14:paraId="7059CD2D"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Vigilar que los bienes muebles e inmuebles de la Comisión se mantengan en adecuadas condiciones de uso. </w:t>
      </w:r>
    </w:p>
    <w:p w14:paraId="40212498"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Autorizar la asignación de los vehículos oficiales conforme a la normatividad específica en la materia.</w:t>
      </w:r>
    </w:p>
    <w:p w14:paraId="5285AEC3" w14:textId="77777777" w:rsidR="00FE465E" w:rsidRPr="004D6F57" w:rsidRDefault="00FE465E">
      <w:pPr>
        <w:spacing w:before="240" w:after="240" w:line="360" w:lineRule="auto"/>
        <w:jc w:val="both"/>
        <w:rPr>
          <w:rFonts w:ascii="Palatino Linotype" w:eastAsia="Palatino Linotype" w:hAnsi="Palatino Linotype" w:cs="Palatino Linotype"/>
          <w:b/>
        </w:rPr>
      </w:pPr>
    </w:p>
    <w:p w14:paraId="6D8E5CFB"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lastRenderedPageBreak/>
        <w:t>CONTRALORÍA INTERNA</w:t>
      </w:r>
    </w:p>
    <w:p w14:paraId="099209D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OBJETIVO</w:t>
      </w:r>
      <w:r w:rsidRPr="004D6F57">
        <w:rPr>
          <w:rFonts w:ascii="Palatino Linotype" w:eastAsia="Palatino Linotype" w:hAnsi="Palatino Linotype" w:cs="Palatino Linotype"/>
        </w:rPr>
        <w:t>: Fiscalizar, revisar y evaluar el grado de eficacia, eficiencia y legalidad con que se aplica la normatividad, políticas y disposiciones jurídico-administrativas establecidas para el manejo y ejercicio de los recursos humanos, materiales y financieros, a efecto de garantizar la estricta disciplina presupuestal y la protección del patrimonio de la Comisión.</w:t>
      </w:r>
    </w:p>
    <w:p w14:paraId="42902BF0"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FUNCIONES:</w:t>
      </w:r>
    </w:p>
    <w:p w14:paraId="2FF25DD2"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Planear y evaluar el desarrollo de los programas que se le encomienden, de conformidad con los lineamientos que para tal efecto emita la Secretaría de la Contraloría.</w:t>
      </w:r>
    </w:p>
    <w:p w14:paraId="00060DA5"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Dirigir las auditorías y revisiones directas y selectivas, orientadas a verificar la observancia de las normas y disposiciones en materia de sistemas de registro y contabilidad, contratación y pago de personal, contratación de servicios, obra pública, adquisiciones, arrendamientos, conservación, uso, destino, afectación, enajenación y baja de bienes muebles e inmuebles y demás activos y recursos materiales de la Comisión.</w:t>
      </w:r>
    </w:p>
    <w:p w14:paraId="034629F1"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Supervisar que las acciones de control y evaluación a los ingresos, gastos, recursos y obligaciones de la Comisión se realicen de conformidad con los lineamientos establecidos.</w:t>
      </w:r>
    </w:p>
    <w:p w14:paraId="35C3C278" w14:textId="77777777" w:rsidR="00FE465E" w:rsidRPr="004D6F57" w:rsidRDefault="00FE465E">
      <w:pPr>
        <w:spacing w:before="240" w:after="240" w:line="360" w:lineRule="auto"/>
        <w:jc w:val="both"/>
        <w:rPr>
          <w:rFonts w:ascii="Palatino Linotype" w:eastAsia="Palatino Linotype" w:hAnsi="Palatino Linotype" w:cs="Palatino Linotype"/>
          <w:b/>
        </w:rPr>
      </w:pPr>
    </w:p>
    <w:p w14:paraId="32083467"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lastRenderedPageBreak/>
        <w:t>DIRECCIÓN GENERAL DEL PROGRAMA HIDRÁULICO</w:t>
      </w:r>
    </w:p>
    <w:p w14:paraId="7FCF2DA1"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OBJETIVO:</w:t>
      </w:r>
      <w:r w:rsidRPr="004D6F57">
        <w:rPr>
          <w:rFonts w:ascii="Palatino Linotype" w:eastAsia="Palatino Linotype" w:hAnsi="Palatino Linotype" w:cs="Palatino Linotype"/>
        </w:rPr>
        <w:t xml:space="preserve"> Planear, programar y evaluar las obras y acciones para alcanzar las metas establecidas en el Plan de Desarrollo y el Programa Hídrico Estatal, así como coordinar la elaboración de estudios y proyectos para la ejecución de obras de agua, drenaje y tratamiento de aguas e integrar el diagnóstico de la infraestructura hidráulica en el Estado, estableciendo las políticas y estrategias orientadas a mejorar los servicios que se proporcionan a la ciudadanía en la materia y para el uso eficiente y sustentable del recurso hídrico disponible que coadyuve a disminuir las afectaciones a la población por fenómenos hidrometeorológicos.</w:t>
      </w:r>
    </w:p>
    <w:p w14:paraId="4A166E00"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UNIDAD DE APOYO ADMINISTRATIVO (Dependiente de la Dirección General del Programa Hidráulico) </w:t>
      </w:r>
    </w:p>
    <w:p w14:paraId="5986E139"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OBJETIVO</w:t>
      </w:r>
      <w:r w:rsidRPr="004D6F57">
        <w:rPr>
          <w:rFonts w:ascii="Palatino Linotype" w:eastAsia="Palatino Linotype" w:hAnsi="Palatino Linotype" w:cs="Palatino Linotype"/>
        </w:rPr>
        <w:t>: Proporcionar los recursos humanos, materiales y financieros necesarios para la ejecución de las actividades y programas de las unidades administrativas de la Dirección General, así como utilizarlos y ejercerlos con criterios de eficiencia, racionalidad y disciplina presupuestal y optimizar su utilización y aprovechamiento.</w:t>
      </w:r>
    </w:p>
    <w:p w14:paraId="267B1EC7"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FUNCIONES: </w:t>
      </w:r>
    </w:p>
    <w:p w14:paraId="5C586E51"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Formular y realizar el seguimiento al proyecto de presupuesto anual de egresos de la Dirección General y remitirlo a la Dirección General de Administración y Finanzas para su integración al presupuesto de la Comisión. </w:t>
      </w:r>
    </w:p>
    <w:p w14:paraId="478CF1D7"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Proponer y dar seguimiento al programa anual de adquisiciones de bienes y contratación de servicios de la Dirección General, con base en los lineamientos establecidos por la Dirección General de Administración y Finanzas.</w:t>
      </w:r>
    </w:p>
    <w:p w14:paraId="0526ABD6"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Ejercer el presupuesto autorizado a la Dirección General, ajustándose a las disposiciones de racionalidad, austeridad y disciplina presupuestales.</w:t>
      </w:r>
    </w:p>
    <w:p w14:paraId="379AE558"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Gestionar, ante la Dirección General de Administración y Finanzas, el surtimiento de enseres, materiales, papelería y equipo, etc., así como de los bienes muebles e inmuebles y servicios generales que requieran las unidades administrativas de la Dirección General. </w:t>
      </w:r>
    </w:p>
    <w:p w14:paraId="4C5D2813"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Gestionar, ante la Dirección General de Administración y Finanzas, el pago a proveedores y prestadores de servicios</w:t>
      </w:r>
    </w:p>
    <w:p w14:paraId="2CD74934"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 Integrar y mantener actualizado el inventario general de bienes de la Dirección General, </w:t>
      </w:r>
      <w:r w:rsidRPr="004D6F57">
        <w:rPr>
          <w:rFonts w:ascii="Palatino Linotype" w:eastAsia="Palatino Linotype" w:hAnsi="Palatino Linotype" w:cs="Palatino Linotype"/>
        </w:rPr>
        <w:t xml:space="preserve">verificando su existencia física, conforme a los lineamientos y normatividad que emitan las instancias respectivas. </w:t>
      </w:r>
    </w:p>
    <w:p w14:paraId="5A2023BC"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b/>
          <w:u w:val="single"/>
        </w:rPr>
        <w:t>- Distribuir la dotación mensual de los combustibles y lubricantes para el uso de los vehículos asignados a la Dirección General</w:t>
      </w:r>
      <w:r w:rsidRPr="004D6F57">
        <w:rPr>
          <w:rFonts w:ascii="Palatino Linotype" w:eastAsia="Palatino Linotype" w:hAnsi="Palatino Linotype" w:cs="Palatino Linotype"/>
          <w:u w:val="single"/>
        </w:rPr>
        <w:t>, así como vigilar su mantenimiento con base en el programa establecido para tal efecto</w:t>
      </w:r>
      <w:r w:rsidRPr="004D6F57">
        <w:rPr>
          <w:rFonts w:ascii="Palatino Linotype" w:eastAsia="Palatino Linotype" w:hAnsi="Palatino Linotype" w:cs="Palatino Linotype"/>
        </w:rPr>
        <w:t>.</w:t>
      </w:r>
    </w:p>
    <w:p w14:paraId="1E07C6F4"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b/>
          <w:u w:val="single"/>
        </w:rPr>
        <w:t>- Llevar el control del parque vehicular asignado a la Dirección General, así como realizar los trámites, que conforme a la normatividad vigente garanticen su óptimo funcionamiento</w:t>
      </w:r>
      <w:r w:rsidRPr="004D6F57">
        <w:rPr>
          <w:rFonts w:ascii="Palatino Linotype" w:eastAsia="Palatino Linotype" w:hAnsi="Palatino Linotype" w:cs="Palatino Linotype"/>
        </w:rPr>
        <w:t xml:space="preserve">. </w:t>
      </w:r>
    </w:p>
    <w:p w14:paraId="2B684872"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Controlar el almacenamiento y surtimiento de enseres, materiales, papelería y demás insumos que requieran las áreas administrativas, para su eficiente funcionamiento.</w:t>
      </w:r>
    </w:p>
    <w:p w14:paraId="5AB01408"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Gestionar, ante la Dirección General de Administración y Finanzas, los servicios generales preventivos, correctivos y de apoyo, como mantenimiento a equipos y bienes muebles e inmuebles, fotocopiado, vigilancia, mensajería, telefonía y demás actividades que permitan un mejor desempeño a las labores administrativas.</w:t>
      </w:r>
    </w:p>
    <w:p w14:paraId="2FFD4FD9"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Realizar la conciliación de fondos por partida presupuestal para determinar el avance en el ejercicio del presupuesto autorizado, integrando la documentación que compruebe su utilización. </w:t>
      </w:r>
    </w:p>
    <w:p w14:paraId="23ED029D"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Llevar a cabo, en coordinación con la Dirección General de Asuntos Jurídicos y la Dirección General de Administración y Finanzas, las funciones administrativas derivadas de siniestros de vehículos y bienes muebles e inmuebles, a efecto de deslindar responsabilidades.</w:t>
      </w:r>
    </w:p>
    <w:p w14:paraId="5689FF26" w14:textId="77777777" w:rsidR="00FE465E" w:rsidRPr="004D6F57" w:rsidRDefault="0024525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Atento a lo anterior,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70E44E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w:t>
      </w:r>
    </w:p>
    <w:p w14:paraId="4975FB34"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Por su parte, de conformidad con el artículo 59 de la Ley de la materia, los servidores públicos habilitados tienen como función buscar, localizar y en su caso entregar la información solicitada.</w:t>
      </w:r>
    </w:p>
    <w:p w14:paraId="4E32D6F3"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y que una vez localizada, la misma sea proporcionada a las personas solicitantes atendiendo a la naturaleza jurídica de la misma.</w:t>
      </w:r>
    </w:p>
    <w:p w14:paraId="0F6D190C"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Ahora bien, en el presente asunto la Unidad de Transparencia turnó la solicitud a las áreas competentes para conocer de la información que es del interés de la persona solicitante, sin embargo, se estima que los servidores públicos habilitados no dieron cumplimiento a las obligaciones que les confiere la normativa, toda vez que de las constancias que obran en el expediente en el que se actúa, no obra constancia de que estas hubieran realizado la búsqueda de la información en los archivos de las unidades administrativas a su cargo.</w:t>
      </w:r>
    </w:p>
    <w:p w14:paraId="6766A2FF"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xml:space="preserve">Lo anterior se afirma así, en virtud de que por un lado, la Dirección de Administración y Finanzas sugirió a la Unidad de Transparencia dirigir la solicitud directamente a la Dirección General del Programa Hidráulico </w:t>
      </w:r>
      <w:r w:rsidRPr="004D6F57">
        <w:rPr>
          <w:rFonts w:ascii="Palatino Linotype" w:eastAsia="Palatino Linotype" w:hAnsi="Palatino Linotype" w:cs="Palatino Linotype"/>
          <w:b/>
          <w:u w:val="single"/>
        </w:rPr>
        <w:t xml:space="preserve">al contar ésta con una Unidad de Apoyo Administrativo </w:t>
      </w:r>
      <w:r w:rsidRPr="004D6F57">
        <w:rPr>
          <w:rFonts w:ascii="Palatino Linotype" w:eastAsia="Palatino Linotype" w:hAnsi="Palatino Linotype" w:cs="Palatino Linotype"/>
        </w:rPr>
        <w:t xml:space="preserve">encargada de llevar el control del parque vehicular asignado a dicha Dirección, y de resguardar, registrar y verificar los datos de consumo del combustible en la “Bitácora de Control Vehicular”, sin embargo, pasó por alto que la Dirección de Administración bajo su adscripción, se encarga de </w:t>
      </w:r>
      <w:r w:rsidRPr="004D6F57">
        <w:rPr>
          <w:rFonts w:ascii="Palatino Linotype" w:eastAsia="Palatino Linotype" w:hAnsi="Palatino Linotype" w:cs="Palatino Linotype"/>
          <w:b/>
        </w:rPr>
        <w:t>planear, organizar y dirigir las acciones necesarias para que las</w:t>
      </w: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u w:val="single"/>
        </w:rPr>
        <w:t>unidades administrativas de la Comisión del Agua</w:t>
      </w: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rPr>
        <w:t>cuenten con los recursos humanos, materiales y técnicos y con los servicios generales que contribuyan al eficiente y eficaz desarrollo de sus funciones</w:t>
      </w:r>
      <w:r w:rsidRPr="004D6F57">
        <w:rPr>
          <w:rFonts w:ascii="Palatino Linotype" w:eastAsia="Palatino Linotype" w:hAnsi="Palatino Linotype" w:cs="Palatino Linotype"/>
        </w:rPr>
        <w:t>, teniendo a su cargo, además, las siguientes atribuciones:</w:t>
      </w:r>
    </w:p>
    <w:p w14:paraId="6787EEF8"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Supervisar el parque vehicular de la Comisión en cuanto a su asignación, mantenimiento, suministro de combustible y lubricantes, aseguramiento y trámites administrativos.</w:t>
      </w:r>
    </w:p>
    <w:p w14:paraId="64E7943B"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Integrar y mantener actualizado el inventario general de bienes de la Comisión, verificando su existencia física, conforme a los lineamientos y normatividad establecida en la materia.</w:t>
      </w:r>
    </w:p>
    <w:p w14:paraId="232E8A1B" w14:textId="77777777" w:rsidR="00FE465E" w:rsidRPr="004D6F57" w:rsidRDefault="00245254">
      <w:pPr>
        <w:spacing w:before="240" w:after="240" w:line="360" w:lineRule="auto"/>
        <w:ind w:left="284"/>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rPr>
        <w:t>Solicitar y distribuir la dotación mensual de los combustibles y lubricantes para el uso de los vehículos</w:t>
      </w:r>
      <w:r w:rsidRPr="004D6F57">
        <w:rPr>
          <w:rFonts w:ascii="Palatino Linotype" w:eastAsia="Palatino Linotype" w:hAnsi="Palatino Linotype" w:cs="Palatino Linotype"/>
        </w:rPr>
        <w:t xml:space="preserve"> de la Dirección General de Administración y Finanzas y </w:t>
      </w:r>
      <w:r w:rsidRPr="004D6F57">
        <w:rPr>
          <w:rFonts w:ascii="Palatino Linotype" w:eastAsia="Palatino Linotype" w:hAnsi="Palatino Linotype" w:cs="Palatino Linotype"/>
          <w:b/>
          <w:u w:val="single"/>
        </w:rPr>
        <w:t>de las unidades de apoyo,</w:t>
      </w:r>
      <w:r w:rsidRPr="004D6F57">
        <w:rPr>
          <w:rFonts w:ascii="Palatino Linotype" w:eastAsia="Palatino Linotype" w:hAnsi="Palatino Linotype" w:cs="Palatino Linotype"/>
        </w:rPr>
        <w:t xml:space="preserve"> con base en el programa establecido para tal efecto.</w:t>
      </w:r>
    </w:p>
    <w:p w14:paraId="4B74EC26"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Y por el otro, si bien la Unidad de Transparencia turnó la solicitud al Órgano Interno de Control y a la Dirección General del Programa Hidráulico para su atención en el ámbito de sus competencias, no obra constancia en el expediente que estas se hubieran pronunciado.</w:t>
      </w:r>
    </w:p>
    <w:p w14:paraId="5F944C70"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Por consiguiente, se estima que la respuesta del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no agotó los principios de congruencia y exhaustividad, al no haberse pronunciado las áreas respecto de cada punto de la solicitud, en el ámbito de sus competencias.</w:t>
      </w:r>
    </w:p>
    <w:p w14:paraId="57454E56" w14:textId="77777777" w:rsidR="00FE465E" w:rsidRPr="004D6F57" w:rsidRDefault="0024525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D6F57">
        <w:rPr>
          <w:rFonts w:ascii="Palatino Linotype" w:eastAsia="Palatino Linotype" w:hAnsi="Palatino Linotype" w:cs="Palatino Linotype"/>
        </w:rPr>
        <w:t>Como sustento a lo anterior, resulta aplicable por analogía el Criterio de interpretación, con clave de control SO/002/2017 emitido por el Peno del Instituto Nacional de Transparencia y Acceso a la Información y Protección de Datos Personales, INAI, de rubro y texto siguientes:</w:t>
      </w:r>
    </w:p>
    <w:p w14:paraId="18DB176E" w14:textId="77777777" w:rsidR="00FE465E" w:rsidRPr="004D6F57" w:rsidRDefault="0024525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D6F5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D6F5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D6F57">
        <w:rPr>
          <w:rFonts w:ascii="Palatino Linotype" w:eastAsia="Palatino Linotype" w:hAnsi="Palatino Linotype" w:cs="Palatino Linotype"/>
          <w:i/>
          <w:sz w:val="22"/>
          <w:szCs w:val="22"/>
        </w:rPr>
        <w:t xml:space="preserve">; mientras que </w:t>
      </w:r>
      <w:r w:rsidRPr="004D6F57">
        <w:rPr>
          <w:rFonts w:ascii="Palatino Linotype" w:eastAsia="Palatino Linotype" w:hAnsi="Palatino Linotype" w:cs="Palatino Linotype"/>
          <w:b/>
          <w:i/>
          <w:sz w:val="22"/>
          <w:szCs w:val="22"/>
        </w:rPr>
        <w:t>la exhaustividad significa que dicha respuesta se refiera expresamente a cada uno de los puntos solicitados</w:t>
      </w:r>
      <w:r w:rsidRPr="004D6F57">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81E96CD"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En tal sentido, con la finalidad de garantizar el derecho humano de acceso a la información de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y a fin de reparar el agravio causado ante la </w:t>
      </w:r>
      <w:r w:rsidRPr="004D6F57">
        <w:rPr>
          <w:rFonts w:ascii="Palatino Linotype" w:eastAsia="Palatino Linotype" w:hAnsi="Palatino Linotype" w:cs="Palatino Linotype"/>
        </w:rPr>
        <w:lastRenderedPageBreak/>
        <w:t xml:space="preserve">omisión en que incurriera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este Organismo Garante estima procedente ordenar que, previa búsqueda exhaustiva y razonable, se haga entrega del soporte documental donde conste lo solicitado, de ser necesario en versión pública.</w:t>
      </w:r>
    </w:p>
    <w:p w14:paraId="388C0705"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Para efectos de lo anterior, dado que la persona solicitante no señaló el periodo del cual requería la información, se estima que la información que es susceptible de entrega es aquella que se hubiera generado en el año inmediato anterior a la fecha de presentación de la solicitud, es decir, del nueve de julio de dos mil veintitrés al nueve de julio de dos mil veinticuatro, tomando como referencia el Criterio de interpretación con clave de control SO/003/2019 emitido por el Pleno del Instituto Nacional de Transparencia Acceso a la Información y Protección de Datos Personales, INAI, el cual es del tenor literal siguiente: </w:t>
      </w:r>
    </w:p>
    <w:p w14:paraId="6EF62EC5" w14:textId="77777777" w:rsidR="00FE465E" w:rsidRPr="004D6F57" w:rsidRDefault="00245254">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Periodo de búsqueda de la información</w:t>
      </w:r>
      <w:r w:rsidRPr="004D6F57">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4D6F57">
        <w:rPr>
          <w:rFonts w:ascii="Palatino Linotype" w:eastAsia="Palatino Linotype" w:hAnsi="Palatino Linotype" w:cs="Palatino Linotype"/>
          <w:i/>
        </w:rPr>
        <w:t xml:space="preserve">  </w:t>
      </w:r>
    </w:p>
    <w:p w14:paraId="756D213E"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Con relación al parque vehicular del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y la asignación de vehículos, obsta mencionar que de conformidad con la POBALIN-001 del Acuerdo por el que se establecen las Políticas, bases y lineamientos en materia de adquisiciones, arrendamientos y servicios de las dependencias, organismos auxiliares y tribunales administrativos del Poder Ejecutivo del Gobierno del Estado de México, los bienes muebles que forman parte del patrimonio mobiliario del Poder Ejecutivo Estatal, deberán registrarse exclusivamente en el Sistema Automatizado que determine la </w:t>
      </w:r>
      <w:r w:rsidRPr="004D6F57">
        <w:rPr>
          <w:rFonts w:ascii="Palatino Linotype" w:eastAsia="Palatino Linotype" w:hAnsi="Palatino Linotype" w:cs="Palatino Linotype"/>
        </w:rPr>
        <w:lastRenderedPageBreak/>
        <w:t>Dirección General de Recursos Materiales de la Oficialía Mayor -</w:t>
      </w:r>
      <w:r w:rsidRPr="004D6F57">
        <w:rPr>
          <w:rFonts w:ascii="Palatino Linotype" w:eastAsia="Palatino Linotype" w:hAnsi="Palatino Linotype" w:cs="Palatino Linotype"/>
          <w:sz w:val="22"/>
          <w:szCs w:val="22"/>
        </w:rPr>
        <w:t>anteriormente adscrita a la Subsecretaría de Administración de la Secretaria de Finanzas</w:t>
      </w:r>
      <w:r w:rsidRPr="004D6F57">
        <w:rPr>
          <w:rFonts w:ascii="Palatino Linotype" w:eastAsia="Palatino Linotype" w:hAnsi="Palatino Linotype" w:cs="Palatino Linotype"/>
        </w:rPr>
        <w:t>-, para el control y administración del patrimonio mobiliario, generando en éste los movimientos de inventarios respectivos y observando para tal efecto las políticas de registro emitidas por la Contaduría General Gubernamental y la Secretaría de Finanzas.</w:t>
      </w:r>
    </w:p>
    <w:p w14:paraId="76A1341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Asimismo, la POBALIN-004 establece que las áreas de administración de las unidades administrativas de las dependencias, organismos auxiliares y tribunales administrativos deben, entre otras atribuciones, custodiar y actualizar los resguardos de bienes muebles que tengan asignados; registrar los movimientos de alta, baja o cambio de asignación en los inventarios, observando las políticas de registro de bienes muebles emitidas por la Contaduría General Gubernamental; Identificar y actualizar los inventarios de los bienes muebles que tengan asignados, a más tardar el día hábil siguiente al que se presente un movimiento de alta, baja o resignación de los mismos.</w:t>
      </w:r>
    </w:p>
    <w:p w14:paraId="21585E34"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Respecto a la asignación de vehículos para uso directo de los servidores públicos adscritos a las dependencias, organismos auxiliares tribunales administrativos, la POBALIN-016 establece que siempre que exista disponibilidad, comprenderá los siguientes niveles:</w:t>
      </w:r>
    </w:p>
    <w:p w14:paraId="5622B081" w14:textId="77777777" w:rsidR="00FE465E" w:rsidRPr="004D6F57" w:rsidRDefault="00245254">
      <w:pPr>
        <w:spacing w:before="240" w:after="240" w:line="360" w:lineRule="auto"/>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6B847B22" wp14:editId="5474C262">
            <wp:extent cx="3780000" cy="2142776"/>
            <wp:effectExtent l="0" t="0" r="0" b="0"/>
            <wp:docPr id="21401317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80000" cy="2142776"/>
                    </a:xfrm>
                    <a:prstGeom prst="rect">
                      <a:avLst/>
                    </a:prstGeom>
                    <a:ln/>
                  </pic:spPr>
                </pic:pic>
              </a:graphicData>
            </a:graphic>
          </wp:inline>
        </w:drawing>
      </w:r>
    </w:p>
    <w:p w14:paraId="0BDA26DF"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El titular de la unidad administrativa debe determinar la asignación de vehículos para uso directo, de modelo anterior al año en curso.</w:t>
      </w:r>
    </w:p>
    <w:p w14:paraId="4B1202F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En el caso de los vehículos operativos, la POBALIN-017 dispone que son aquellos de equipamiento básico o austero que las dependencias, organismos auxiliares y tribunales administrativos, destinan permanentemente para sus actividades administrativas, conforme a la siguiente clasificación: </w:t>
      </w:r>
    </w:p>
    <w:p w14:paraId="0D08A24A" w14:textId="77777777" w:rsidR="00FE465E" w:rsidRPr="004D6F57" w:rsidRDefault="00245254">
      <w:pPr>
        <w:spacing w:before="240" w:after="240" w:line="360" w:lineRule="auto"/>
        <w:jc w:val="center"/>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1E520D55" wp14:editId="4CD646A7">
            <wp:extent cx="4248000" cy="452774"/>
            <wp:effectExtent l="0" t="0" r="0" b="0"/>
            <wp:docPr id="2140131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48000" cy="452774"/>
                    </a:xfrm>
                    <a:prstGeom prst="rect">
                      <a:avLst/>
                    </a:prstGeom>
                    <a:ln/>
                  </pic:spPr>
                </pic:pic>
              </a:graphicData>
            </a:graphic>
          </wp:inline>
        </w:drawing>
      </w:r>
      <w:r w:rsidRPr="004D6F57">
        <w:rPr>
          <w:rFonts w:ascii="Palatino Linotype" w:eastAsia="Palatino Linotype" w:hAnsi="Palatino Linotype" w:cs="Palatino Linotype"/>
          <w:noProof/>
        </w:rPr>
        <w:drawing>
          <wp:inline distT="0" distB="0" distL="0" distR="0" wp14:anchorId="5361472A" wp14:editId="55F3EF92">
            <wp:extent cx="4320000" cy="2228921"/>
            <wp:effectExtent l="0" t="0" r="0" b="0"/>
            <wp:docPr id="21401317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320000" cy="2228921"/>
                    </a:xfrm>
                    <a:prstGeom prst="rect">
                      <a:avLst/>
                    </a:prstGeom>
                    <a:ln/>
                  </pic:spPr>
                </pic:pic>
              </a:graphicData>
            </a:graphic>
          </wp:inline>
        </w:drawing>
      </w:r>
    </w:p>
    <w:p w14:paraId="1F469B38"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Por su parte, la POBALIN-021, dispone lo siguiente:</w:t>
      </w:r>
    </w:p>
    <w:p w14:paraId="72BD7EDE" w14:textId="77777777" w:rsidR="00FE465E" w:rsidRPr="004D6F57" w:rsidRDefault="00245254">
      <w:pPr>
        <w:spacing w:before="120" w:after="120"/>
        <w:ind w:left="851" w:right="902"/>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POBALIN-021</w:t>
      </w:r>
    </w:p>
    <w:p w14:paraId="6AB90E72"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Las áreas de administración serán las responsables de integrar y actualizar dentro de los diez días hábiles siguientes a que se presente algún movimiento de alta, baja, reasignación, reparación o cambio de </w:t>
      </w:r>
      <w:proofErr w:type="spellStart"/>
      <w:r w:rsidRPr="004D6F57">
        <w:rPr>
          <w:rFonts w:ascii="Palatino Linotype" w:eastAsia="Palatino Linotype" w:hAnsi="Palatino Linotype" w:cs="Palatino Linotype"/>
          <w:i/>
          <w:sz w:val="22"/>
          <w:szCs w:val="22"/>
        </w:rPr>
        <w:t>resguardatario</w:t>
      </w:r>
      <w:proofErr w:type="spellEnd"/>
      <w:r w:rsidRPr="004D6F57">
        <w:rPr>
          <w:rFonts w:ascii="Palatino Linotype" w:eastAsia="Palatino Linotype" w:hAnsi="Palatino Linotype" w:cs="Palatino Linotype"/>
          <w:i/>
          <w:sz w:val="22"/>
          <w:szCs w:val="22"/>
        </w:rPr>
        <w:t>, los expedientes de los vehículos de uso directo y operativo, verificando en los meses de febrero y octubre de cada año que se encuentren al corriente. De dichas verificaciones se deberá levantar el acta correspondiente.</w:t>
      </w:r>
    </w:p>
    <w:p w14:paraId="586C18BC"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El expediente de cada unidad vehicular se integrará con la siguiente documentación como mínimo:</w:t>
      </w:r>
    </w:p>
    <w:p w14:paraId="45FDBEA9"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a)</w:t>
      </w:r>
      <w:r w:rsidRPr="004D6F57">
        <w:rPr>
          <w:rFonts w:ascii="Palatino Linotype" w:eastAsia="Palatino Linotype" w:hAnsi="Palatino Linotype" w:cs="Palatino Linotype"/>
          <w:i/>
          <w:sz w:val="22"/>
          <w:szCs w:val="22"/>
        </w:rPr>
        <w:t xml:space="preserve"> Original o, en su caso, copia certificada de la factura original expedida por la Contaduría General Gubernamental.</w:t>
      </w:r>
    </w:p>
    <w:p w14:paraId="3288357C"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 A falta de ésta, copia certificada de la declaración emitida por autoridad jurisdiccional competente, que determine la propiedad del Gobierno del Estado;</w:t>
      </w:r>
    </w:p>
    <w:p w14:paraId="2E789297"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b)</w:t>
      </w:r>
      <w:r w:rsidRPr="004D6F57">
        <w:rPr>
          <w:rFonts w:ascii="Palatino Linotype" w:eastAsia="Palatino Linotype" w:hAnsi="Palatino Linotype" w:cs="Palatino Linotype"/>
          <w:i/>
          <w:sz w:val="22"/>
          <w:szCs w:val="22"/>
        </w:rPr>
        <w:t xml:space="preserve"> Copia de la tarjeta de circulación;</w:t>
      </w:r>
    </w:p>
    <w:p w14:paraId="629C7BB4"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c)</w:t>
      </w:r>
      <w:r w:rsidRPr="004D6F57">
        <w:rPr>
          <w:rFonts w:ascii="Palatino Linotype" w:eastAsia="Palatino Linotype" w:hAnsi="Palatino Linotype" w:cs="Palatino Linotype"/>
          <w:i/>
          <w:sz w:val="22"/>
          <w:szCs w:val="22"/>
        </w:rPr>
        <w:t xml:space="preserve"> Copia de la revista vehicular, en su caso;</w:t>
      </w:r>
    </w:p>
    <w:p w14:paraId="284281DB"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d)</w:t>
      </w:r>
      <w:r w:rsidRPr="004D6F57">
        <w:rPr>
          <w:rFonts w:ascii="Palatino Linotype" w:eastAsia="Palatino Linotype" w:hAnsi="Palatino Linotype" w:cs="Palatino Linotype"/>
          <w:i/>
          <w:sz w:val="22"/>
          <w:szCs w:val="22"/>
        </w:rPr>
        <w:t xml:space="preserve"> Certificados de verificación vehicular;</w:t>
      </w:r>
    </w:p>
    <w:p w14:paraId="1A7C83C1"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e)</w:t>
      </w:r>
      <w:r w:rsidRPr="004D6F57">
        <w:rPr>
          <w:rFonts w:ascii="Palatino Linotype" w:eastAsia="Palatino Linotype" w:hAnsi="Palatino Linotype" w:cs="Palatino Linotype"/>
          <w:i/>
          <w:sz w:val="22"/>
          <w:szCs w:val="22"/>
        </w:rPr>
        <w:t xml:space="preserve"> Recibos originales de pago de los últimos cinco años del Impuesto Sobre Tenencia o Uso de Vehículos, o en su caso, el refrendo correspondiente;</w:t>
      </w:r>
    </w:p>
    <w:p w14:paraId="35D74ABF"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f)</w:t>
      </w:r>
      <w:r w:rsidRPr="004D6F57">
        <w:rPr>
          <w:rFonts w:ascii="Palatino Linotype" w:eastAsia="Palatino Linotype" w:hAnsi="Palatino Linotype" w:cs="Palatino Linotype"/>
          <w:i/>
          <w:sz w:val="22"/>
          <w:szCs w:val="22"/>
        </w:rPr>
        <w:t xml:space="preserve"> Copia de la póliza de seguro;</w:t>
      </w:r>
    </w:p>
    <w:p w14:paraId="1F5B4DBE"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g)</w:t>
      </w:r>
      <w:r w:rsidRPr="004D6F57">
        <w:rPr>
          <w:rFonts w:ascii="Palatino Linotype" w:eastAsia="Palatino Linotype" w:hAnsi="Palatino Linotype" w:cs="Palatino Linotype"/>
          <w:i/>
          <w:sz w:val="22"/>
          <w:szCs w:val="22"/>
        </w:rPr>
        <w:t xml:space="preserve"> Ordenes de reparación y copia de las facturas o notas correspondientes, expedidas por la unidad administrativa responsable del resguardo y custodia de la documentación original; y</w:t>
      </w:r>
    </w:p>
    <w:p w14:paraId="0CC22906"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h)</w:t>
      </w:r>
      <w:r w:rsidRPr="004D6F57">
        <w:rPr>
          <w:rFonts w:ascii="Palatino Linotype" w:eastAsia="Palatino Linotype" w:hAnsi="Palatino Linotype" w:cs="Palatino Linotype"/>
          <w:i/>
          <w:sz w:val="22"/>
          <w:szCs w:val="22"/>
        </w:rPr>
        <w:t xml:space="preserve"> Los demás documentos, en términos de las disposiciones legales, reglamentarias o administrativas.”</w:t>
      </w:r>
    </w:p>
    <w:p w14:paraId="0FAC8B19"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Asimismo, no obsta mencionar que la información que se analiza, se relaciona con la obligación de transparencia prevista en el artículo 92, fracción XXXVIII de la Ley de Transparencia y Acceso a la Información Pública del Estado de México y Municipios, la cual dispone que los Sujetos Obligados deben poner a disposición del </w:t>
      </w:r>
      <w:r w:rsidRPr="004D6F57">
        <w:rPr>
          <w:rFonts w:ascii="Palatino Linotype" w:eastAsia="Palatino Linotype" w:hAnsi="Palatino Linotype" w:cs="Palatino Linotype"/>
        </w:rPr>
        <w:lastRenderedPageBreak/>
        <w:t>público de público de manera permanente y actualizada, el inventario de los bienes muebles e inmuebles en posesión y propiedad, a saber:</w:t>
      </w:r>
    </w:p>
    <w:p w14:paraId="6960EF3C"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“Artículo 92.</w:t>
      </w:r>
      <w:r w:rsidRPr="004D6F57">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C6B0A1"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4F72F68A"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XXXVIII.</w:t>
      </w:r>
      <w:r w:rsidRPr="004D6F57">
        <w:rPr>
          <w:rFonts w:ascii="Palatino Linotype" w:eastAsia="Palatino Linotype" w:hAnsi="Palatino Linotype" w:cs="Palatino Linotype"/>
          <w:i/>
          <w:sz w:val="22"/>
          <w:szCs w:val="22"/>
        </w:rPr>
        <w:t xml:space="preserve"> El inventario de bienes muebles e inmuebles en posesión y propiedad;”</w:t>
      </w:r>
    </w:p>
    <w:p w14:paraId="0868F51C"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Con relación al combustible de los vehículos, tickets de gasto y bitácora, es oportuno mencionar que el Manual de Procedimientos para el manejo y control de combustible a vehículos oficiales de la Comisión del Agua del Estado de México, contempla los siguientes procedimientos:</w:t>
      </w:r>
    </w:p>
    <w:p w14:paraId="3D8FF901" w14:textId="77777777" w:rsidR="00FE465E" w:rsidRPr="004D6F57" w:rsidRDefault="00245254">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4D6F57">
        <w:rPr>
          <w:rFonts w:ascii="Palatino Linotype" w:eastAsia="Palatino Linotype" w:hAnsi="Palatino Linotype" w:cs="Palatino Linotype"/>
          <w:b/>
        </w:rPr>
        <w:t xml:space="preserve">Adquisición de combustible para vehículos oficiales. </w:t>
      </w:r>
      <w:r w:rsidRPr="004D6F57">
        <w:rPr>
          <w:rFonts w:ascii="Palatino Linotype" w:eastAsia="Palatino Linotype" w:hAnsi="Palatino Linotype" w:cs="Palatino Linotype"/>
        </w:rPr>
        <w:t xml:space="preserve">Cuyo objetivo consiste en agilizar el requerimiento de combustible para los vehículos oficiales de la Comisión del Agua del Estado de México, </w:t>
      </w:r>
      <w:r w:rsidRPr="004D6F57">
        <w:rPr>
          <w:rFonts w:ascii="Palatino Linotype" w:eastAsia="Palatino Linotype" w:hAnsi="Palatino Linotype" w:cs="Palatino Linotype"/>
          <w:b/>
          <w:u w:val="single"/>
        </w:rPr>
        <w:t>a través de los vales y/o abonos en las tarjetas electrónicas.</w:t>
      </w:r>
    </w:p>
    <w:p w14:paraId="5750804A" w14:textId="77777777" w:rsidR="00FE465E" w:rsidRPr="004D6F57" w:rsidRDefault="00245254">
      <w:pPr>
        <w:spacing w:before="240" w:after="240" w:line="360" w:lineRule="auto"/>
        <w:ind w:left="142"/>
        <w:jc w:val="both"/>
        <w:rPr>
          <w:rFonts w:ascii="Palatino Linotype" w:eastAsia="Palatino Linotype" w:hAnsi="Palatino Linotype" w:cs="Palatino Linotype"/>
        </w:rPr>
      </w:pPr>
      <w:r w:rsidRPr="004D6F57">
        <w:rPr>
          <w:rFonts w:ascii="Palatino Linotype" w:eastAsia="Palatino Linotype" w:hAnsi="Palatino Linotype" w:cs="Palatino Linotype"/>
        </w:rPr>
        <w:t>El cual contempla las siguientes definiciones, formatos e instructivos:</w:t>
      </w:r>
    </w:p>
    <w:p w14:paraId="46568A6C" w14:textId="77777777" w:rsidR="00FE465E" w:rsidRPr="004D6F57" w:rsidRDefault="00245254">
      <w:pPr>
        <w:spacing w:before="240" w:after="240" w:line="360" w:lineRule="auto"/>
        <w:ind w:left="142"/>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0A3AA1AA" wp14:editId="0658A046">
            <wp:extent cx="5105400" cy="5143500"/>
            <wp:effectExtent l="0" t="0" r="0" b="0"/>
            <wp:docPr id="21401317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105400" cy="5143500"/>
                    </a:xfrm>
                    <a:prstGeom prst="rect">
                      <a:avLst/>
                    </a:prstGeom>
                    <a:ln/>
                  </pic:spPr>
                </pic:pic>
              </a:graphicData>
            </a:graphic>
          </wp:inline>
        </w:drawing>
      </w:r>
      <w:r w:rsidRPr="004D6F57">
        <w:rPr>
          <w:rFonts w:ascii="Palatino Linotype" w:eastAsia="Palatino Linotype" w:hAnsi="Palatino Linotype" w:cs="Palatino Linotype"/>
          <w:noProof/>
        </w:rPr>
        <w:drawing>
          <wp:inline distT="0" distB="0" distL="0" distR="0" wp14:anchorId="110942AC" wp14:editId="2B4F7E87">
            <wp:extent cx="5219700" cy="676275"/>
            <wp:effectExtent l="0" t="0" r="0" b="0"/>
            <wp:docPr id="21401317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219700" cy="676275"/>
                    </a:xfrm>
                    <a:prstGeom prst="rect">
                      <a:avLst/>
                    </a:prstGeom>
                    <a:ln/>
                  </pic:spPr>
                </pic:pic>
              </a:graphicData>
            </a:graphic>
          </wp:inline>
        </w:drawing>
      </w:r>
      <w:r w:rsidRPr="004D6F57">
        <w:rPr>
          <w:noProof/>
        </w:rPr>
        <mc:AlternateContent>
          <mc:Choice Requires="wpg">
            <w:drawing>
              <wp:anchor distT="0" distB="0" distL="114300" distR="114300" simplePos="0" relativeHeight="251658240" behindDoc="0" locked="0" layoutInCell="1" hidden="0" allowOverlap="1" wp14:anchorId="23B5C3CE" wp14:editId="0F25899C">
                <wp:simplePos x="0" y="0"/>
                <wp:positionH relativeFrom="column">
                  <wp:posOffset>88901</wp:posOffset>
                </wp:positionH>
                <wp:positionV relativeFrom="paragraph">
                  <wp:posOffset>215900</wp:posOffset>
                </wp:positionV>
                <wp:extent cx="5489489" cy="440209"/>
                <wp:effectExtent l="0" t="0" r="0" b="0"/>
                <wp:wrapNone/>
                <wp:docPr id="2140131786" name="Rectángulo 2140131786"/>
                <wp:cNvGraphicFramePr/>
                <a:graphic xmlns:a="http://schemas.openxmlformats.org/drawingml/2006/main">
                  <a:graphicData uri="http://schemas.microsoft.com/office/word/2010/wordprocessingShape">
                    <wps:wsp>
                      <wps:cNvSpPr/>
                      <wps:spPr>
                        <a:xfrm>
                          <a:off x="2629831" y="3588471"/>
                          <a:ext cx="5432339" cy="383059"/>
                        </a:xfrm>
                        <a:prstGeom prst="rect">
                          <a:avLst/>
                        </a:prstGeom>
                        <a:noFill/>
                        <a:ln w="57150" cap="flat" cmpd="sng">
                          <a:solidFill>
                            <a:srgbClr val="C00000"/>
                          </a:solidFill>
                          <a:prstDash val="solid"/>
                          <a:round/>
                          <a:headEnd type="none" w="sm" len="sm"/>
                          <a:tailEnd type="none" w="sm" len="sm"/>
                        </a:ln>
                      </wps:spPr>
                      <wps:txbx>
                        <w:txbxContent>
                          <w:p w14:paraId="6E11497B"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5489489" cy="440209"/>
                <wp:effectExtent b="0" l="0" r="0" t="0"/>
                <wp:wrapNone/>
                <wp:docPr id="2140131786"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5489489" cy="440209"/>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59264" behindDoc="0" locked="0" layoutInCell="1" hidden="0" allowOverlap="1" wp14:anchorId="2E1CDBFF" wp14:editId="24309390">
                <wp:simplePos x="0" y="0"/>
                <wp:positionH relativeFrom="column">
                  <wp:posOffset>114300</wp:posOffset>
                </wp:positionH>
                <wp:positionV relativeFrom="paragraph">
                  <wp:posOffset>2844800</wp:posOffset>
                </wp:positionV>
                <wp:extent cx="5489489" cy="439180"/>
                <wp:effectExtent l="0" t="0" r="0" b="0"/>
                <wp:wrapNone/>
                <wp:docPr id="2140131778" name="Rectángulo 2140131778"/>
                <wp:cNvGraphicFramePr/>
                <a:graphic xmlns:a="http://schemas.openxmlformats.org/drawingml/2006/main">
                  <a:graphicData uri="http://schemas.microsoft.com/office/word/2010/wordprocessingShape">
                    <wps:wsp>
                      <wps:cNvSpPr/>
                      <wps:spPr>
                        <a:xfrm>
                          <a:off x="2629831" y="3588985"/>
                          <a:ext cx="5432339" cy="382030"/>
                        </a:xfrm>
                        <a:prstGeom prst="rect">
                          <a:avLst/>
                        </a:prstGeom>
                        <a:noFill/>
                        <a:ln w="57150" cap="flat" cmpd="sng">
                          <a:solidFill>
                            <a:srgbClr val="C00000"/>
                          </a:solidFill>
                          <a:prstDash val="solid"/>
                          <a:round/>
                          <a:headEnd type="none" w="sm" len="sm"/>
                          <a:tailEnd type="none" w="sm" len="sm"/>
                        </a:ln>
                      </wps:spPr>
                      <wps:txbx>
                        <w:txbxContent>
                          <w:p w14:paraId="40FE4FE8"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2844800</wp:posOffset>
                </wp:positionV>
                <wp:extent cx="5489489" cy="439180"/>
                <wp:effectExtent b="0" l="0" r="0" t="0"/>
                <wp:wrapNone/>
                <wp:docPr id="2140131778"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5489489" cy="439180"/>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60288" behindDoc="0" locked="0" layoutInCell="1" hidden="0" allowOverlap="1" wp14:anchorId="7699D18D" wp14:editId="0609110D">
                <wp:simplePos x="0" y="0"/>
                <wp:positionH relativeFrom="column">
                  <wp:posOffset>101601</wp:posOffset>
                </wp:positionH>
                <wp:positionV relativeFrom="paragraph">
                  <wp:posOffset>4203700</wp:posOffset>
                </wp:positionV>
                <wp:extent cx="5488940" cy="1727717"/>
                <wp:effectExtent l="0" t="0" r="0" b="0"/>
                <wp:wrapNone/>
                <wp:docPr id="2140131776" name="Rectángulo 2140131776"/>
                <wp:cNvGraphicFramePr/>
                <a:graphic xmlns:a="http://schemas.openxmlformats.org/drawingml/2006/main">
                  <a:graphicData uri="http://schemas.microsoft.com/office/word/2010/wordprocessingShape">
                    <wps:wsp>
                      <wps:cNvSpPr/>
                      <wps:spPr>
                        <a:xfrm>
                          <a:off x="2630105" y="2944717"/>
                          <a:ext cx="5431790" cy="1670567"/>
                        </a:xfrm>
                        <a:prstGeom prst="rect">
                          <a:avLst/>
                        </a:prstGeom>
                        <a:noFill/>
                        <a:ln w="57150" cap="flat" cmpd="sng">
                          <a:solidFill>
                            <a:srgbClr val="C00000"/>
                          </a:solidFill>
                          <a:prstDash val="solid"/>
                          <a:round/>
                          <a:headEnd type="none" w="sm" len="sm"/>
                          <a:tailEnd type="none" w="sm" len="sm"/>
                        </a:ln>
                      </wps:spPr>
                      <wps:txbx>
                        <w:txbxContent>
                          <w:p w14:paraId="476BF171"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101601</wp:posOffset>
                </wp:positionH>
                <wp:positionV relativeFrom="paragraph">
                  <wp:posOffset>4203700</wp:posOffset>
                </wp:positionV>
                <wp:extent cx="5488940" cy="1727717"/>
                <wp:effectExtent b="0" l="0" r="0" t="0"/>
                <wp:wrapNone/>
                <wp:docPr id="2140131776"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5488940" cy="1727717"/>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61312" behindDoc="0" locked="0" layoutInCell="1" hidden="0" allowOverlap="1" wp14:anchorId="24DFD8E5" wp14:editId="3A90935F">
                <wp:simplePos x="0" y="0"/>
                <wp:positionH relativeFrom="column">
                  <wp:posOffset>114300</wp:posOffset>
                </wp:positionH>
                <wp:positionV relativeFrom="paragraph">
                  <wp:posOffset>952500</wp:posOffset>
                </wp:positionV>
                <wp:extent cx="5489489" cy="440209"/>
                <wp:effectExtent l="0" t="0" r="0" b="0"/>
                <wp:wrapNone/>
                <wp:docPr id="2140131780" name="Rectángulo 2140131780"/>
                <wp:cNvGraphicFramePr/>
                <a:graphic xmlns:a="http://schemas.openxmlformats.org/drawingml/2006/main">
                  <a:graphicData uri="http://schemas.microsoft.com/office/word/2010/wordprocessingShape">
                    <wps:wsp>
                      <wps:cNvSpPr/>
                      <wps:spPr>
                        <a:xfrm>
                          <a:off x="2629831" y="3588471"/>
                          <a:ext cx="5432339" cy="383059"/>
                        </a:xfrm>
                        <a:prstGeom prst="rect">
                          <a:avLst/>
                        </a:prstGeom>
                        <a:noFill/>
                        <a:ln w="57150" cap="flat" cmpd="sng">
                          <a:solidFill>
                            <a:srgbClr val="C00000"/>
                          </a:solidFill>
                          <a:prstDash val="solid"/>
                          <a:round/>
                          <a:headEnd type="none" w="sm" len="sm"/>
                          <a:tailEnd type="none" w="sm" len="sm"/>
                        </a:ln>
                      </wps:spPr>
                      <wps:txbx>
                        <w:txbxContent>
                          <w:p w14:paraId="723BB612"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952500</wp:posOffset>
                </wp:positionV>
                <wp:extent cx="5489489" cy="440209"/>
                <wp:effectExtent b="0" l="0" r="0" t="0"/>
                <wp:wrapNone/>
                <wp:docPr id="2140131780"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5489489" cy="440209"/>
                        </a:xfrm>
                        <a:prstGeom prst="rect"/>
                        <a:ln/>
                      </pic:spPr>
                    </pic:pic>
                  </a:graphicData>
                </a:graphic>
              </wp:anchor>
            </w:drawing>
          </mc:Fallback>
        </mc:AlternateContent>
      </w:r>
    </w:p>
    <w:p w14:paraId="01092E86" w14:textId="77777777" w:rsidR="00FE465E" w:rsidRPr="004D6F57" w:rsidRDefault="00245254">
      <w:pPr>
        <w:spacing w:before="240" w:after="240" w:line="360" w:lineRule="auto"/>
        <w:ind w:left="142"/>
        <w:jc w:val="center"/>
        <w:rPr>
          <w:rFonts w:ascii="Palatino Linotype" w:eastAsia="Palatino Linotype" w:hAnsi="Palatino Linotype" w:cs="Palatino Linotype"/>
          <w:b/>
        </w:rPr>
      </w:pPr>
      <w:r w:rsidRPr="004D6F57">
        <w:rPr>
          <w:rFonts w:ascii="Palatino Linotype" w:eastAsia="Palatino Linotype" w:hAnsi="Palatino Linotype" w:cs="Palatino Linotype"/>
          <w:noProof/>
        </w:rPr>
        <w:lastRenderedPageBreak/>
        <w:drawing>
          <wp:inline distT="0" distB="0" distL="0" distR="0" wp14:anchorId="5772769B" wp14:editId="5D3D0301">
            <wp:extent cx="5553075" cy="2905125"/>
            <wp:effectExtent l="0" t="0" r="0" b="0"/>
            <wp:docPr id="214013179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553075" cy="2905125"/>
                    </a:xfrm>
                    <a:prstGeom prst="rect">
                      <a:avLst/>
                    </a:prstGeom>
                    <a:ln/>
                  </pic:spPr>
                </pic:pic>
              </a:graphicData>
            </a:graphic>
          </wp:inline>
        </w:drawing>
      </w:r>
      <w:r w:rsidRPr="004D6F57">
        <w:rPr>
          <w:rFonts w:ascii="Palatino Linotype" w:eastAsia="Palatino Linotype" w:hAnsi="Palatino Linotype" w:cs="Palatino Linotype"/>
          <w:noProof/>
        </w:rPr>
        <w:drawing>
          <wp:inline distT="0" distB="0" distL="0" distR="0" wp14:anchorId="08A93062" wp14:editId="5DB1CC1C">
            <wp:extent cx="5276850" cy="4232452"/>
            <wp:effectExtent l="0" t="0" r="0" b="0"/>
            <wp:docPr id="214013180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b="22989"/>
                    <a:stretch>
                      <a:fillRect/>
                    </a:stretch>
                  </pic:blipFill>
                  <pic:spPr>
                    <a:xfrm>
                      <a:off x="0" y="0"/>
                      <a:ext cx="5276850" cy="4232452"/>
                    </a:xfrm>
                    <a:prstGeom prst="rect">
                      <a:avLst/>
                    </a:prstGeom>
                    <a:ln/>
                  </pic:spPr>
                </pic:pic>
              </a:graphicData>
            </a:graphic>
          </wp:inline>
        </w:drawing>
      </w:r>
    </w:p>
    <w:p w14:paraId="584A83A0" w14:textId="77777777" w:rsidR="00FE465E" w:rsidRPr="004D6F57" w:rsidRDefault="00245254">
      <w:pPr>
        <w:spacing w:before="240" w:after="240" w:line="360" w:lineRule="auto"/>
        <w:ind w:left="142"/>
        <w:jc w:val="center"/>
        <w:rPr>
          <w:rFonts w:ascii="Palatino Linotype" w:eastAsia="Palatino Linotype" w:hAnsi="Palatino Linotype" w:cs="Palatino Linotype"/>
          <w:b/>
        </w:rPr>
      </w:pPr>
      <w:r w:rsidRPr="004D6F57">
        <w:rPr>
          <w:rFonts w:ascii="Palatino Linotype" w:eastAsia="Palatino Linotype" w:hAnsi="Palatino Linotype" w:cs="Palatino Linotype"/>
          <w:noProof/>
        </w:rPr>
        <w:lastRenderedPageBreak/>
        <w:drawing>
          <wp:inline distT="0" distB="0" distL="0" distR="0" wp14:anchorId="08F023F8" wp14:editId="7FA093BE">
            <wp:extent cx="5276850" cy="1253534"/>
            <wp:effectExtent l="0" t="0" r="0" b="0"/>
            <wp:docPr id="21401318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t="77192"/>
                    <a:stretch>
                      <a:fillRect/>
                    </a:stretch>
                  </pic:blipFill>
                  <pic:spPr>
                    <a:xfrm>
                      <a:off x="0" y="0"/>
                      <a:ext cx="5276850" cy="1253534"/>
                    </a:xfrm>
                    <a:prstGeom prst="rect">
                      <a:avLst/>
                    </a:prstGeom>
                    <a:ln/>
                  </pic:spPr>
                </pic:pic>
              </a:graphicData>
            </a:graphic>
          </wp:inline>
        </w:drawing>
      </w:r>
      <w:r w:rsidRPr="004D6F57">
        <w:rPr>
          <w:noProof/>
        </w:rPr>
        <mc:AlternateContent>
          <mc:Choice Requires="wpg">
            <w:drawing>
              <wp:anchor distT="0" distB="0" distL="114300" distR="114300" simplePos="0" relativeHeight="251662336" behindDoc="0" locked="0" layoutInCell="1" hidden="0" allowOverlap="1" wp14:anchorId="4E50D822" wp14:editId="0E8070CA">
                <wp:simplePos x="0" y="0"/>
                <wp:positionH relativeFrom="column">
                  <wp:posOffset>25401</wp:posOffset>
                </wp:positionH>
                <wp:positionV relativeFrom="paragraph">
                  <wp:posOffset>-6908799</wp:posOffset>
                </wp:positionV>
                <wp:extent cx="452120" cy="254635"/>
                <wp:effectExtent l="0" t="0" r="0" b="0"/>
                <wp:wrapNone/>
                <wp:docPr id="2140131775" name="Conector recto de flecha 2140131775"/>
                <wp:cNvGraphicFramePr/>
                <a:graphic xmlns:a="http://schemas.openxmlformats.org/drawingml/2006/main">
                  <a:graphicData uri="http://schemas.microsoft.com/office/word/2010/wordprocessingShape">
                    <wps:wsp>
                      <wps:cNvCnPr/>
                      <wps:spPr>
                        <a:xfrm>
                          <a:off x="5148515" y="3681258"/>
                          <a:ext cx="394970" cy="197485"/>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-6908799</wp:posOffset>
                </wp:positionV>
                <wp:extent cx="452120" cy="254635"/>
                <wp:effectExtent b="0" l="0" r="0" t="0"/>
                <wp:wrapNone/>
                <wp:docPr id="2140131775"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452120" cy="254635"/>
                        </a:xfrm>
                        <a:prstGeom prst="rect"/>
                        <a:ln/>
                      </pic:spPr>
                    </pic:pic>
                  </a:graphicData>
                </a:graphic>
              </wp:anchor>
            </w:drawing>
          </mc:Fallback>
        </mc:AlternateContent>
      </w:r>
    </w:p>
    <w:p w14:paraId="3DA86CC4" w14:textId="77777777" w:rsidR="00FE465E" w:rsidRPr="004D6F57" w:rsidRDefault="00245254">
      <w:pPr>
        <w:spacing w:before="240" w:after="240" w:line="360" w:lineRule="auto"/>
        <w:ind w:left="142"/>
        <w:jc w:val="center"/>
        <w:rPr>
          <w:rFonts w:ascii="Palatino Linotype" w:eastAsia="Palatino Linotype" w:hAnsi="Palatino Linotype" w:cs="Palatino Linotype"/>
          <w:b/>
        </w:rPr>
      </w:pPr>
      <w:r w:rsidRPr="004D6F57">
        <w:rPr>
          <w:rFonts w:ascii="Palatino Linotype" w:eastAsia="Palatino Linotype" w:hAnsi="Palatino Linotype" w:cs="Palatino Linotype"/>
          <w:noProof/>
        </w:rPr>
        <w:drawing>
          <wp:inline distT="0" distB="0" distL="0" distR="0" wp14:anchorId="7073A017" wp14:editId="1ED180BA">
            <wp:extent cx="5353050" cy="2352675"/>
            <wp:effectExtent l="0" t="0" r="0" b="0"/>
            <wp:docPr id="21401318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353050" cy="2352675"/>
                    </a:xfrm>
                    <a:prstGeom prst="rect">
                      <a:avLst/>
                    </a:prstGeom>
                    <a:ln/>
                  </pic:spPr>
                </pic:pic>
              </a:graphicData>
            </a:graphic>
          </wp:inline>
        </w:drawing>
      </w:r>
    </w:p>
    <w:p w14:paraId="01615FC4" w14:textId="77777777" w:rsidR="00FE465E" w:rsidRPr="004D6F57" w:rsidRDefault="00245254">
      <w:pPr>
        <w:spacing w:before="240" w:after="240" w:line="360" w:lineRule="auto"/>
        <w:ind w:left="142"/>
        <w:jc w:val="both"/>
        <w:rPr>
          <w:rFonts w:ascii="Palatino Linotype" w:eastAsia="Palatino Linotype" w:hAnsi="Palatino Linotype" w:cs="Palatino Linotype"/>
          <w:b/>
        </w:rPr>
      </w:pPr>
      <w:r w:rsidRPr="004D6F57">
        <w:rPr>
          <w:rFonts w:ascii="Palatino Linotype" w:eastAsia="Palatino Linotype" w:hAnsi="Palatino Linotype" w:cs="Palatino Linotype"/>
          <w:noProof/>
        </w:rPr>
        <w:drawing>
          <wp:inline distT="0" distB="0" distL="0" distR="0" wp14:anchorId="66442879" wp14:editId="5FD1A00B">
            <wp:extent cx="5314950" cy="2998381"/>
            <wp:effectExtent l="0" t="0" r="0" b="0"/>
            <wp:docPr id="21401318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b="48647"/>
                    <a:stretch>
                      <a:fillRect/>
                    </a:stretch>
                  </pic:blipFill>
                  <pic:spPr>
                    <a:xfrm>
                      <a:off x="0" y="0"/>
                      <a:ext cx="5314950" cy="2998381"/>
                    </a:xfrm>
                    <a:prstGeom prst="rect">
                      <a:avLst/>
                    </a:prstGeom>
                    <a:ln/>
                  </pic:spPr>
                </pic:pic>
              </a:graphicData>
            </a:graphic>
          </wp:inline>
        </w:drawing>
      </w:r>
      <w:r w:rsidRPr="004D6F57">
        <w:rPr>
          <w:noProof/>
        </w:rPr>
        <mc:AlternateContent>
          <mc:Choice Requires="wpg">
            <w:drawing>
              <wp:anchor distT="0" distB="0" distL="114300" distR="114300" simplePos="0" relativeHeight="251663360" behindDoc="0" locked="0" layoutInCell="1" hidden="0" allowOverlap="1" wp14:anchorId="07F5AA07" wp14:editId="768894D3">
                <wp:simplePos x="0" y="0"/>
                <wp:positionH relativeFrom="column">
                  <wp:posOffset>-266699</wp:posOffset>
                </wp:positionH>
                <wp:positionV relativeFrom="paragraph">
                  <wp:posOffset>88900</wp:posOffset>
                </wp:positionV>
                <wp:extent cx="452120" cy="254635"/>
                <wp:effectExtent l="0" t="0" r="0" b="0"/>
                <wp:wrapNone/>
                <wp:docPr id="2140131777" name="Conector recto de flecha 2140131777"/>
                <wp:cNvGraphicFramePr/>
                <a:graphic xmlns:a="http://schemas.openxmlformats.org/drawingml/2006/main">
                  <a:graphicData uri="http://schemas.microsoft.com/office/word/2010/wordprocessingShape">
                    <wps:wsp>
                      <wps:cNvCnPr/>
                      <wps:spPr>
                        <a:xfrm>
                          <a:off x="5148515" y="3681258"/>
                          <a:ext cx="394970" cy="197485"/>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-266699</wp:posOffset>
                </wp:positionH>
                <wp:positionV relativeFrom="paragraph">
                  <wp:posOffset>88900</wp:posOffset>
                </wp:positionV>
                <wp:extent cx="452120" cy="254635"/>
                <wp:effectExtent b="0" l="0" r="0" t="0"/>
                <wp:wrapNone/>
                <wp:docPr id="2140131777"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452120" cy="254635"/>
                        </a:xfrm>
                        <a:prstGeom prst="rect"/>
                        <a:ln/>
                      </pic:spPr>
                    </pic:pic>
                  </a:graphicData>
                </a:graphic>
              </wp:anchor>
            </w:drawing>
          </mc:Fallback>
        </mc:AlternateContent>
      </w:r>
    </w:p>
    <w:p w14:paraId="0FA39D66" w14:textId="77777777" w:rsidR="00FE465E" w:rsidRPr="004D6F57" w:rsidRDefault="00245254">
      <w:pPr>
        <w:spacing w:before="240" w:after="240" w:line="360" w:lineRule="auto"/>
        <w:ind w:left="142"/>
        <w:jc w:val="both"/>
        <w:rPr>
          <w:rFonts w:ascii="Palatino Linotype" w:eastAsia="Palatino Linotype" w:hAnsi="Palatino Linotype" w:cs="Palatino Linotype"/>
          <w:b/>
        </w:rPr>
      </w:pPr>
      <w:r w:rsidRPr="004D6F57">
        <w:rPr>
          <w:rFonts w:ascii="Palatino Linotype" w:eastAsia="Palatino Linotype" w:hAnsi="Palatino Linotype" w:cs="Palatino Linotype"/>
          <w:noProof/>
        </w:rPr>
        <w:lastRenderedPageBreak/>
        <w:drawing>
          <wp:inline distT="0" distB="0" distL="0" distR="0" wp14:anchorId="70C24B06" wp14:editId="68C5266E">
            <wp:extent cx="5314950" cy="2872347"/>
            <wp:effectExtent l="0" t="0" r="0" b="0"/>
            <wp:docPr id="21401318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50806"/>
                    <a:stretch>
                      <a:fillRect/>
                    </a:stretch>
                  </pic:blipFill>
                  <pic:spPr>
                    <a:xfrm>
                      <a:off x="0" y="0"/>
                      <a:ext cx="5314950" cy="2872347"/>
                    </a:xfrm>
                    <a:prstGeom prst="rect">
                      <a:avLst/>
                    </a:prstGeom>
                    <a:ln/>
                  </pic:spPr>
                </pic:pic>
              </a:graphicData>
            </a:graphic>
          </wp:inline>
        </w:drawing>
      </w:r>
    </w:p>
    <w:p w14:paraId="12DA1891" w14:textId="77777777" w:rsidR="00FE465E" w:rsidRPr="004D6F57" w:rsidRDefault="00245254">
      <w:pPr>
        <w:spacing w:before="240" w:after="240" w:line="360" w:lineRule="auto"/>
        <w:ind w:left="142"/>
        <w:jc w:val="both"/>
        <w:rPr>
          <w:rFonts w:ascii="Palatino Linotype" w:eastAsia="Palatino Linotype" w:hAnsi="Palatino Linotype" w:cs="Palatino Linotype"/>
        </w:rPr>
      </w:pPr>
      <w:r w:rsidRPr="004D6F57">
        <w:rPr>
          <w:rFonts w:ascii="Palatino Linotype" w:eastAsia="Palatino Linotype" w:hAnsi="Palatino Linotype" w:cs="Palatino Linotype"/>
          <w:b/>
        </w:rPr>
        <w:t>2. Suministro de combustible a vehículos oficiales.</w:t>
      </w:r>
      <w:r w:rsidRPr="004D6F57">
        <w:rPr>
          <w:rFonts w:ascii="Palatino Linotype" w:eastAsia="Palatino Linotype" w:hAnsi="Palatino Linotype" w:cs="Palatino Linotype"/>
        </w:rPr>
        <w:t xml:space="preserve"> Que consiste en mantener en operación los vehículos oficiales asignados a las unidades administrativas de la Comisión del Agua del Estado de México, mediante la distribución mensual de combustible.</w:t>
      </w:r>
    </w:p>
    <w:p w14:paraId="53ED2EBB" w14:textId="77777777" w:rsidR="00FE465E" w:rsidRPr="004D6F57" w:rsidRDefault="00245254">
      <w:pPr>
        <w:spacing w:before="240" w:after="240" w:line="360" w:lineRule="auto"/>
        <w:ind w:left="142"/>
        <w:jc w:val="both"/>
        <w:rPr>
          <w:rFonts w:ascii="Palatino Linotype" w:eastAsia="Palatino Linotype" w:hAnsi="Palatino Linotype" w:cs="Palatino Linotype"/>
        </w:rPr>
      </w:pPr>
      <w:r w:rsidRPr="004D6F57">
        <w:rPr>
          <w:rFonts w:ascii="Palatino Linotype" w:eastAsia="Palatino Linotype" w:hAnsi="Palatino Linotype" w:cs="Palatino Linotype"/>
        </w:rPr>
        <w:t>El cual contempla las siguientes definiciones, formatos e instructivos</w:t>
      </w:r>
    </w:p>
    <w:p w14:paraId="4D269908" w14:textId="77777777" w:rsidR="00FE465E" w:rsidRPr="004D6F57" w:rsidRDefault="00245254">
      <w:pPr>
        <w:spacing w:before="240" w:after="240" w:line="360" w:lineRule="auto"/>
        <w:ind w:left="142"/>
        <w:jc w:val="center"/>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6E603089" wp14:editId="7B32EB28">
            <wp:extent cx="5048250" cy="666750"/>
            <wp:effectExtent l="0" t="0" r="0" b="0"/>
            <wp:docPr id="21401318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048250" cy="666750"/>
                    </a:xfrm>
                    <a:prstGeom prst="rect">
                      <a:avLst/>
                    </a:prstGeom>
                    <a:ln/>
                  </pic:spPr>
                </pic:pic>
              </a:graphicData>
            </a:graphic>
          </wp:inline>
        </w:drawing>
      </w:r>
      <w:r w:rsidRPr="004D6F57">
        <w:rPr>
          <w:rFonts w:ascii="Palatino Linotype" w:eastAsia="Palatino Linotype" w:hAnsi="Palatino Linotype" w:cs="Palatino Linotype"/>
          <w:noProof/>
        </w:rPr>
        <w:drawing>
          <wp:inline distT="0" distB="0" distL="0" distR="0" wp14:anchorId="6B74533E" wp14:editId="68AA5926">
            <wp:extent cx="5048250" cy="1573619"/>
            <wp:effectExtent l="0" t="0" r="0" b="0"/>
            <wp:docPr id="21401318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b="69797"/>
                    <a:stretch>
                      <a:fillRect/>
                    </a:stretch>
                  </pic:blipFill>
                  <pic:spPr>
                    <a:xfrm>
                      <a:off x="0" y="0"/>
                      <a:ext cx="5048250" cy="1573619"/>
                    </a:xfrm>
                    <a:prstGeom prst="rect">
                      <a:avLst/>
                    </a:prstGeom>
                    <a:ln/>
                  </pic:spPr>
                </pic:pic>
              </a:graphicData>
            </a:graphic>
          </wp:inline>
        </w:drawing>
      </w:r>
      <w:r w:rsidRPr="004D6F57">
        <w:rPr>
          <w:noProof/>
        </w:rPr>
        <mc:AlternateContent>
          <mc:Choice Requires="wpg">
            <w:drawing>
              <wp:anchor distT="0" distB="0" distL="114300" distR="114300" simplePos="0" relativeHeight="251664384" behindDoc="0" locked="0" layoutInCell="1" hidden="0" allowOverlap="1" wp14:anchorId="6A2AE8BC" wp14:editId="0B2F5DA6">
                <wp:simplePos x="0" y="0"/>
                <wp:positionH relativeFrom="column">
                  <wp:posOffset>190500</wp:posOffset>
                </wp:positionH>
                <wp:positionV relativeFrom="paragraph">
                  <wp:posOffset>177800</wp:posOffset>
                </wp:positionV>
                <wp:extent cx="5489489" cy="515225"/>
                <wp:effectExtent l="0" t="0" r="0" b="0"/>
                <wp:wrapNone/>
                <wp:docPr id="2140131783" name="Rectángulo 2140131783"/>
                <wp:cNvGraphicFramePr/>
                <a:graphic xmlns:a="http://schemas.openxmlformats.org/drawingml/2006/main">
                  <a:graphicData uri="http://schemas.microsoft.com/office/word/2010/wordprocessingShape">
                    <wps:wsp>
                      <wps:cNvSpPr/>
                      <wps:spPr>
                        <a:xfrm>
                          <a:off x="2629831" y="3550963"/>
                          <a:ext cx="5432339" cy="458075"/>
                        </a:xfrm>
                        <a:prstGeom prst="rect">
                          <a:avLst/>
                        </a:prstGeom>
                        <a:noFill/>
                        <a:ln w="57150" cap="flat" cmpd="sng">
                          <a:solidFill>
                            <a:srgbClr val="C00000"/>
                          </a:solidFill>
                          <a:prstDash val="solid"/>
                          <a:round/>
                          <a:headEnd type="none" w="sm" len="sm"/>
                          <a:tailEnd type="none" w="sm" len="sm"/>
                        </a:ln>
                      </wps:spPr>
                      <wps:txbx>
                        <w:txbxContent>
                          <w:p w14:paraId="5113829A"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190500</wp:posOffset>
                </wp:positionH>
                <wp:positionV relativeFrom="paragraph">
                  <wp:posOffset>177800</wp:posOffset>
                </wp:positionV>
                <wp:extent cx="5489489" cy="515225"/>
                <wp:effectExtent b="0" l="0" r="0" t="0"/>
                <wp:wrapNone/>
                <wp:docPr id="2140131783"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5489489" cy="515225"/>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65408" behindDoc="0" locked="0" layoutInCell="1" hidden="0" allowOverlap="1" wp14:anchorId="33286B9E" wp14:editId="30B55CB9">
                <wp:simplePos x="0" y="0"/>
                <wp:positionH relativeFrom="column">
                  <wp:posOffset>190500</wp:posOffset>
                </wp:positionH>
                <wp:positionV relativeFrom="paragraph">
                  <wp:posOffset>1016000</wp:posOffset>
                </wp:positionV>
                <wp:extent cx="5489489" cy="439180"/>
                <wp:effectExtent l="0" t="0" r="0" b="0"/>
                <wp:wrapNone/>
                <wp:docPr id="2140131779" name="Rectángulo 2140131779"/>
                <wp:cNvGraphicFramePr/>
                <a:graphic xmlns:a="http://schemas.openxmlformats.org/drawingml/2006/main">
                  <a:graphicData uri="http://schemas.microsoft.com/office/word/2010/wordprocessingShape">
                    <wps:wsp>
                      <wps:cNvSpPr/>
                      <wps:spPr>
                        <a:xfrm>
                          <a:off x="2629831" y="3588985"/>
                          <a:ext cx="5432339" cy="382030"/>
                        </a:xfrm>
                        <a:prstGeom prst="rect">
                          <a:avLst/>
                        </a:prstGeom>
                        <a:noFill/>
                        <a:ln w="57150" cap="flat" cmpd="sng">
                          <a:solidFill>
                            <a:srgbClr val="C00000"/>
                          </a:solidFill>
                          <a:prstDash val="solid"/>
                          <a:round/>
                          <a:headEnd type="none" w="sm" len="sm"/>
                          <a:tailEnd type="none" w="sm" len="sm"/>
                        </a:ln>
                      </wps:spPr>
                      <wps:txbx>
                        <w:txbxContent>
                          <w:p w14:paraId="5B2C8A9E"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190500</wp:posOffset>
                </wp:positionH>
                <wp:positionV relativeFrom="paragraph">
                  <wp:posOffset>1016000</wp:posOffset>
                </wp:positionV>
                <wp:extent cx="5489489" cy="439180"/>
                <wp:effectExtent b="0" l="0" r="0" t="0"/>
                <wp:wrapNone/>
                <wp:docPr id="2140131779" name="image26.png"/>
                <a:graphic>
                  <a:graphicData uri="http://schemas.openxmlformats.org/drawingml/2006/picture">
                    <pic:pic>
                      <pic:nvPicPr>
                        <pic:cNvPr id="0" name="image26.png"/>
                        <pic:cNvPicPr preferRelativeResize="0"/>
                      </pic:nvPicPr>
                      <pic:blipFill>
                        <a:blip r:embed="rId27"/>
                        <a:srcRect/>
                        <a:stretch>
                          <a:fillRect/>
                        </a:stretch>
                      </pic:blipFill>
                      <pic:spPr>
                        <a:xfrm>
                          <a:off x="0" y="0"/>
                          <a:ext cx="5489489" cy="439180"/>
                        </a:xfrm>
                        <a:prstGeom prst="rect"/>
                        <a:ln/>
                      </pic:spPr>
                    </pic:pic>
                  </a:graphicData>
                </a:graphic>
              </wp:anchor>
            </w:drawing>
          </mc:Fallback>
        </mc:AlternateContent>
      </w:r>
    </w:p>
    <w:p w14:paraId="5CC9A903" w14:textId="77777777" w:rsidR="00FE465E" w:rsidRPr="004D6F57" w:rsidRDefault="00245254">
      <w:pPr>
        <w:spacing w:before="240" w:after="240" w:line="360" w:lineRule="auto"/>
        <w:ind w:left="142"/>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38B2F442" wp14:editId="445153A7">
            <wp:extent cx="5048250" cy="3625924"/>
            <wp:effectExtent l="0" t="0" r="0" b="0"/>
            <wp:docPr id="21401318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t="30407"/>
                    <a:stretch>
                      <a:fillRect/>
                    </a:stretch>
                  </pic:blipFill>
                  <pic:spPr>
                    <a:xfrm>
                      <a:off x="0" y="0"/>
                      <a:ext cx="5048250" cy="3625924"/>
                    </a:xfrm>
                    <a:prstGeom prst="rect">
                      <a:avLst/>
                    </a:prstGeom>
                    <a:ln/>
                  </pic:spPr>
                </pic:pic>
              </a:graphicData>
            </a:graphic>
          </wp:inline>
        </w:drawing>
      </w:r>
      <w:r w:rsidRPr="004D6F57">
        <w:rPr>
          <w:noProof/>
        </w:rPr>
        <mc:AlternateContent>
          <mc:Choice Requires="wpg">
            <w:drawing>
              <wp:anchor distT="0" distB="0" distL="114300" distR="114300" simplePos="0" relativeHeight="251666432" behindDoc="0" locked="0" layoutInCell="1" hidden="0" allowOverlap="1" wp14:anchorId="7F031909" wp14:editId="34E479A3">
                <wp:simplePos x="0" y="0"/>
                <wp:positionH relativeFrom="column">
                  <wp:posOffset>152400</wp:posOffset>
                </wp:positionH>
                <wp:positionV relativeFrom="paragraph">
                  <wp:posOffset>1206500</wp:posOffset>
                </wp:positionV>
                <wp:extent cx="5489489" cy="426822"/>
                <wp:effectExtent l="0" t="0" r="0" b="0"/>
                <wp:wrapNone/>
                <wp:docPr id="2140131784" name="Rectángulo 2140131784"/>
                <wp:cNvGraphicFramePr/>
                <a:graphic xmlns:a="http://schemas.openxmlformats.org/drawingml/2006/main">
                  <a:graphicData uri="http://schemas.microsoft.com/office/word/2010/wordprocessingShape">
                    <wps:wsp>
                      <wps:cNvSpPr/>
                      <wps:spPr>
                        <a:xfrm>
                          <a:off x="2629831" y="3595164"/>
                          <a:ext cx="5432339" cy="369672"/>
                        </a:xfrm>
                        <a:prstGeom prst="rect">
                          <a:avLst/>
                        </a:prstGeom>
                        <a:noFill/>
                        <a:ln w="57150" cap="flat" cmpd="sng">
                          <a:solidFill>
                            <a:srgbClr val="C00000"/>
                          </a:solidFill>
                          <a:prstDash val="solid"/>
                          <a:round/>
                          <a:headEnd type="none" w="sm" len="sm"/>
                          <a:tailEnd type="none" w="sm" len="sm"/>
                        </a:ln>
                      </wps:spPr>
                      <wps:txbx>
                        <w:txbxContent>
                          <w:p w14:paraId="55EB2508"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152400</wp:posOffset>
                </wp:positionH>
                <wp:positionV relativeFrom="paragraph">
                  <wp:posOffset>1206500</wp:posOffset>
                </wp:positionV>
                <wp:extent cx="5489489" cy="426822"/>
                <wp:effectExtent b="0" l="0" r="0" t="0"/>
                <wp:wrapNone/>
                <wp:docPr id="2140131784"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5489489" cy="426822"/>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67456" behindDoc="0" locked="0" layoutInCell="1" hidden="0" allowOverlap="1" wp14:anchorId="3C1B365C" wp14:editId="7B014095">
                <wp:simplePos x="0" y="0"/>
                <wp:positionH relativeFrom="column">
                  <wp:posOffset>114300</wp:posOffset>
                </wp:positionH>
                <wp:positionV relativeFrom="paragraph">
                  <wp:posOffset>1981200</wp:posOffset>
                </wp:positionV>
                <wp:extent cx="5489489" cy="1662666"/>
                <wp:effectExtent l="0" t="0" r="0" b="0"/>
                <wp:wrapNone/>
                <wp:docPr id="2140131781" name="Rectángulo 2140131781"/>
                <wp:cNvGraphicFramePr/>
                <a:graphic xmlns:a="http://schemas.openxmlformats.org/drawingml/2006/main">
                  <a:graphicData uri="http://schemas.microsoft.com/office/word/2010/wordprocessingShape">
                    <wps:wsp>
                      <wps:cNvSpPr/>
                      <wps:spPr>
                        <a:xfrm>
                          <a:off x="2629831" y="2977242"/>
                          <a:ext cx="5432339" cy="1605516"/>
                        </a:xfrm>
                        <a:prstGeom prst="rect">
                          <a:avLst/>
                        </a:prstGeom>
                        <a:noFill/>
                        <a:ln w="57150" cap="flat" cmpd="sng">
                          <a:solidFill>
                            <a:srgbClr val="C00000"/>
                          </a:solidFill>
                          <a:prstDash val="solid"/>
                          <a:round/>
                          <a:headEnd type="none" w="sm" len="sm"/>
                          <a:tailEnd type="none" w="sm" len="sm"/>
                        </a:ln>
                      </wps:spPr>
                      <wps:txbx>
                        <w:txbxContent>
                          <w:p w14:paraId="31B78625"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1981200</wp:posOffset>
                </wp:positionV>
                <wp:extent cx="5489489" cy="1662666"/>
                <wp:effectExtent b="0" l="0" r="0" t="0"/>
                <wp:wrapNone/>
                <wp:docPr id="2140131781"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5489489" cy="1662666"/>
                        </a:xfrm>
                        <a:prstGeom prst="rect"/>
                        <a:ln/>
                      </pic:spPr>
                    </pic:pic>
                  </a:graphicData>
                </a:graphic>
              </wp:anchor>
            </w:drawing>
          </mc:Fallback>
        </mc:AlternateContent>
      </w:r>
    </w:p>
    <w:p w14:paraId="3F65C184" w14:textId="77777777" w:rsidR="00FE465E" w:rsidRPr="004D6F57" w:rsidRDefault="00245254">
      <w:pPr>
        <w:spacing w:before="240" w:after="240" w:line="360" w:lineRule="auto"/>
        <w:ind w:left="142"/>
        <w:jc w:val="center"/>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7A179A2C" wp14:editId="76828889">
            <wp:extent cx="5314950" cy="3257550"/>
            <wp:effectExtent l="0" t="0" r="0" b="0"/>
            <wp:docPr id="21401318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314950" cy="3257550"/>
                    </a:xfrm>
                    <a:prstGeom prst="rect">
                      <a:avLst/>
                    </a:prstGeom>
                    <a:ln/>
                  </pic:spPr>
                </pic:pic>
              </a:graphicData>
            </a:graphic>
          </wp:inline>
        </w:drawing>
      </w:r>
    </w:p>
    <w:p w14:paraId="3DBDAE3C" w14:textId="77777777" w:rsidR="00FE465E" w:rsidRPr="004D6F57" w:rsidRDefault="00245254">
      <w:pPr>
        <w:spacing w:before="240" w:after="240" w:line="360" w:lineRule="auto"/>
        <w:ind w:left="142"/>
        <w:jc w:val="both"/>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08BCE808" wp14:editId="521E42E9">
            <wp:extent cx="5162550" cy="5172075"/>
            <wp:effectExtent l="0" t="0" r="0" b="0"/>
            <wp:docPr id="21401318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162550" cy="5172075"/>
                    </a:xfrm>
                    <a:prstGeom prst="rect">
                      <a:avLst/>
                    </a:prstGeom>
                    <a:ln/>
                  </pic:spPr>
                </pic:pic>
              </a:graphicData>
            </a:graphic>
          </wp:inline>
        </w:drawing>
      </w:r>
    </w:p>
    <w:p w14:paraId="30D20000" w14:textId="77777777" w:rsidR="00FE465E" w:rsidRPr="004D6F57" w:rsidRDefault="00245254">
      <w:pPr>
        <w:spacing w:before="240" w:after="240" w:line="360" w:lineRule="auto"/>
        <w:ind w:left="142"/>
        <w:jc w:val="both"/>
        <w:rPr>
          <w:rFonts w:ascii="Palatino Linotype" w:eastAsia="Palatino Linotype" w:hAnsi="Palatino Linotype" w:cs="Palatino Linotype"/>
        </w:rPr>
      </w:pPr>
      <w:r w:rsidRPr="004D6F57">
        <w:rPr>
          <w:rFonts w:ascii="Palatino Linotype" w:eastAsia="Palatino Linotype" w:hAnsi="Palatino Linotype" w:cs="Palatino Linotype"/>
          <w:b/>
        </w:rPr>
        <w:t>3. Comprobación del consumo de combustible en vehículos oficiales</w:t>
      </w:r>
      <w:r w:rsidRPr="004D6F57">
        <w:rPr>
          <w:rFonts w:ascii="Palatino Linotype" w:eastAsia="Palatino Linotype" w:hAnsi="Palatino Linotype" w:cs="Palatino Linotype"/>
        </w:rPr>
        <w:t>. Consiste en evaluar las cantidades suministradas de combustible mediante la comprobación de las cantidades consumidas en los vehículos oficiales en relación con las actividades que ejecutan las unidades administrativas del Organismo y estar en condiciones de llevar a cabo los ajustes pertinentes en entregas posteriores.</w:t>
      </w:r>
    </w:p>
    <w:p w14:paraId="0356CF6E"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 El cual contempla las siguientes definiciones, formatos e instructivos:</w:t>
      </w:r>
    </w:p>
    <w:p w14:paraId="346050C1" w14:textId="77777777" w:rsidR="00FE465E" w:rsidRPr="004D6F57" w:rsidRDefault="00245254">
      <w:pPr>
        <w:spacing w:before="240" w:after="240" w:line="360" w:lineRule="auto"/>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6DF9D3D6" wp14:editId="2440A7DD">
            <wp:extent cx="5324475" cy="2209800"/>
            <wp:effectExtent l="0" t="0" r="0" b="0"/>
            <wp:docPr id="21401318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324475" cy="2209800"/>
                    </a:xfrm>
                    <a:prstGeom prst="rect">
                      <a:avLst/>
                    </a:prstGeom>
                    <a:ln/>
                  </pic:spPr>
                </pic:pic>
              </a:graphicData>
            </a:graphic>
          </wp:inline>
        </w:drawing>
      </w:r>
      <w:r w:rsidRPr="004D6F57">
        <w:rPr>
          <w:rFonts w:ascii="Palatino Linotype" w:eastAsia="Palatino Linotype" w:hAnsi="Palatino Linotype" w:cs="Palatino Linotype"/>
          <w:noProof/>
        </w:rPr>
        <w:drawing>
          <wp:inline distT="0" distB="0" distL="0" distR="0" wp14:anchorId="5F748B25" wp14:editId="150AFDAF">
            <wp:extent cx="5057775" cy="447675"/>
            <wp:effectExtent l="0" t="0" r="0" b="0"/>
            <wp:docPr id="21401318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5057775" cy="447675"/>
                    </a:xfrm>
                    <a:prstGeom prst="rect">
                      <a:avLst/>
                    </a:prstGeom>
                    <a:ln/>
                  </pic:spPr>
                </pic:pic>
              </a:graphicData>
            </a:graphic>
          </wp:inline>
        </w:drawing>
      </w:r>
      <w:r w:rsidRPr="004D6F57">
        <w:rPr>
          <w:noProof/>
        </w:rPr>
        <mc:AlternateContent>
          <mc:Choice Requires="wpg">
            <w:drawing>
              <wp:anchor distT="0" distB="0" distL="114300" distR="114300" simplePos="0" relativeHeight="251668480" behindDoc="0" locked="0" layoutInCell="1" hidden="0" allowOverlap="1" wp14:anchorId="61B2E3FC" wp14:editId="26E12A57">
                <wp:simplePos x="0" y="0"/>
                <wp:positionH relativeFrom="column">
                  <wp:posOffset>50801</wp:posOffset>
                </wp:positionH>
                <wp:positionV relativeFrom="paragraph">
                  <wp:posOffset>977900</wp:posOffset>
                </wp:positionV>
                <wp:extent cx="5489489" cy="440209"/>
                <wp:effectExtent l="0" t="0" r="0" b="0"/>
                <wp:wrapNone/>
                <wp:docPr id="2140131782" name="Rectángulo 2140131782"/>
                <wp:cNvGraphicFramePr/>
                <a:graphic xmlns:a="http://schemas.openxmlformats.org/drawingml/2006/main">
                  <a:graphicData uri="http://schemas.microsoft.com/office/word/2010/wordprocessingShape">
                    <wps:wsp>
                      <wps:cNvSpPr/>
                      <wps:spPr>
                        <a:xfrm>
                          <a:off x="2629831" y="3588471"/>
                          <a:ext cx="5432339" cy="383059"/>
                        </a:xfrm>
                        <a:prstGeom prst="rect">
                          <a:avLst/>
                        </a:prstGeom>
                        <a:noFill/>
                        <a:ln w="57150" cap="flat" cmpd="sng">
                          <a:solidFill>
                            <a:srgbClr val="C00000"/>
                          </a:solidFill>
                          <a:prstDash val="solid"/>
                          <a:round/>
                          <a:headEnd type="none" w="sm" len="sm"/>
                          <a:tailEnd type="none" w="sm" len="sm"/>
                        </a:ln>
                      </wps:spPr>
                      <wps:txbx>
                        <w:txbxContent>
                          <w:p w14:paraId="299A278F"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977900</wp:posOffset>
                </wp:positionV>
                <wp:extent cx="5489489" cy="440209"/>
                <wp:effectExtent b="0" l="0" r="0" t="0"/>
                <wp:wrapNone/>
                <wp:docPr id="2140131782"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5489489" cy="440209"/>
                        </a:xfrm>
                        <a:prstGeom prst="rect"/>
                        <a:ln/>
                      </pic:spPr>
                    </pic:pic>
                  </a:graphicData>
                </a:graphic>
              </wp:anchor>
            </w:drawing>
          </mc:Fallback>
        </mc:AlternateContent>
      </w:r>
      <w:r w:rsidRPr="004D6F57">
        <w:rPr>
          <w:noProof/>
        </w:rPr>
        <mc:AlternateContent>
          <mc:Choice Requires="wpg">
            <w:drawing>
              <wp:anchor distT="0" distB="0" distL="114300" distR="114300" simplePos="0" relativeHeight="251669504" behindDoc="0" locked="0" layoutInCell="1" hidden="0" allowOverlap="1" wp14:anchorId="272225BF" wp14:editId="640ED791">
                <wp:simplePos x="0" y="0"/>
                <wp:positionH relativeFrom="column">
                  <wp:posOffset>63501</wp:posOffset>
                </wp:positionH>
                <wp:positionV relativeFrom="paragraph">
                  <wp:posOffset>165100</wp:posOffset>
                </wp:positionV>
                <wp:extent cx="5489489" cy="515225"/>
                <wp:effectExtent l="0" t="0" r="0" b="0"/>
                <wp:wrapNone/>
                <wp:docPr id="2140131785" name="Rectángulo 2140131785"/>
                <wp:cNvGraphicFramePr/>
                <a:graphic xmlns:a="http://schemas.openxmlformats.org/drawingml/2006/main">
                  <a:graphicData uri="http://schemas.microsoft.com/office/word/2010/wordprocessingShape">
                    <wps:wsp>
                      <wps:cNvSpPr/>
                      <wps:spPr>
                        <a:xfrm>
                          <a:off x="2629831" y="3550963"/>
                          <a:ext cx="5432339" cy="458075"/>
                        </a:xfrm>
                        <a:prstGeom prst="rect">
                          <a:avLst/>
                        </a:prstGeom>
                        <a:noFill/>
                        <a:ln w="57150" cap="flat" cmpd="sng">
                          <a:solidFill>
                            <a:srgbClr val="C00000"/>
                          </a:solidFill>
                          <a:prstDash val="solid"/>
                          <a:round/>
                          <a:headEnd type="none" w="sm" len="sm"/>
                          <a:tailEnd type="none" w="sm" len="sm"/>
                        </a:ln>
                      </wps:spPr>
                      <wps:txbx>
                        <w:txbxContent>
                          <w:p w14:paraId="1C16E26C" w14:textId="77777777" w:rsidR="00FE465E" w:rsidRDefault="00FE465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63501</wp:posOffset>
                </wp:positionH>
                <wp:positionV relativeFrom="paragraph">
                  <wp:posOffset>165100</wp:posOffset>
                </wp:positionV>
                <wp:extent cx="5489489" cy="515225"/>
                <wp:effectExtent b="0" l="0" r="0" t="0"/>
                <wp:wrapNone/>
                <wp:docPr id="2140131785"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5489489" cy="515225"/>
                        </a:xfrm>
                        <a:prstGeom prst="rect"/>
                        <a:ln/>
                      </pic:spPr>
                    </pic:pic>
                  </a:graphicData>
                </a:graphic>
              </wp:anchor>
            </w:drawing>
          </mc:Fallback>
        </mc:AlternateContent>
      </w:r>
    </w:p>
    <w:p w14:paraId="6E06D2E1" w14:textId="77777777" w:rsidR="00FE465E" w:rsidRPr="004D6F57" w:rsidRDefault="00245254">
      <w:pPr>
        <w:spacing w:before="240" w:after="240" w:line="360" w:lineRule="auto"/>
        <w:jc w:val="center"/>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2870C4F2" wp14:editId="094047A4">
            <wp:extent cx="5543550" cy="4314825"/>
            <wp:effectExtent l="0" t="0" r="0" b="0"/>
            <wp:docPr id="21401318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543550" cy="4314825"/>
                    </a:xfrm>
                    <a:prstGeom prst="rect">
                      <a:avLst/>
                    </a:prstGeom>
                    <a:ln/>
                  </pic:spPr>
                </pic:pic>
              </a:graphicData>
            </a:graphic>
          </wp:inline>
        </w:drawing>
      </w:r>
    </w:p>
    <w:p w14:paraId="16D4E89E" w14:textId="77777777" w:rsidR="00FE465E" w:rsidRPr="004D6F57" w:rsidRDefault="00245254">
      <w:pPr>
        <w:spacing w:before="240" w:after="240" w:line="360" w:lineRule="auto"/>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02091C40" wp14:editId="328D632C">
            <wp:extent cx="5038725" cy="5762625"/>
            <wp:effectExtent l="0" t="0" r="0" b="0"/>
            <wp:docPr id="21401317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038725" cy="5762625"/>
                    </a:xfrm>
                    <a:prstGeom prst="rect">
                      <a:avLst/>
                    </a:prstGeom>
                    <a:ln/>
                  </pic:spPr>
                </pic:pic>
              </a:graphicData>
            </a:graphic>
          </wp:inline>
        </w:drawing>
      </w:r>
    </w:p>
    <w:p w14:paraId="00ECB804" w14:textId="77777777" w:rsidR="00FE465E" w:rsidRPr="004D6F57" w:rsidRDefault="00245254">
      <w:pPr>
        <w:spacing w:before="240" w:after="240" w:line="360" w:lineRule="auto"/>
        <w:ind w:right="96"/>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Aunado a lo anterior, cabe mencionar que de conformidad con los criterios Normativos para la Asignación y Uso de Vehículos Oficiales del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se </w:t>
      </w:r>
      <w:proofErr w:type="spellStart"/>
      <w:r w:rsidRPr="004D6F57">
        <w:rPr>
          <w:rFonts w:ascii="Palatino Linotype" w:eastAsia="Palatino Linotype" w:hAnsi="Palatino Linotype" w:cs="Palatino Linotype"/>
        </w:rPr>
        <w:t>requisitan</w:t>
      </w:r>
      <w:proofErr w:type="spellEnd"/>
      <w:r w:rsidRPr="004D6F57">
        <w:rPr>
          <w:rFonts w:ascii="Palatino Linotype" w:eastAsia="Palatino Linotype" w:hAnsi="Palatino Linotype" w:cs="Palatino Linotype"/>
        </w:rPr>
        <w:t xml:space="preserve"> los siguientes formatos:</w:t>
      </w:r>
    </w:p>
    <w:p w14:paraId="145C10ED" w14:textId="77777777" w:rsidR="00FE465E" w:rsidRPr="004D6F57" w:rsidRDefault="00FE465E">
      <w:pPr>
        <w:spacing w:before="240" w:after="240"/>
        <w:ind w:right="96"/>
        <w:jc w:val="both"/>
        <w:rPr>
          <w:rFonts w:ascii="Palatino Linotype" w:eastAsia="Palatino Linotype" w:hAnsi="Palatino Linotype" w:cs="Palatino Linotype"/>
        </w:rPr>
      </w:pPr>
    </w:p>
    <w:p w14:paraId="2B0212AA" w14:textId="77777777" w:rsidR="00FE465E" w:rsidRPr="004D6F57" w:rsidRDefault="00245254">
      <w:pPr>
        <w:ind w:right="96"/>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752250FF" wp14:editId="408A3874">
            <wp:extent cx="4320000" cy="3806255"/>
            <wp:effectExtent l="0" t="0" r="0" b="0"/>
            <wp:docPr id="2140131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320000" cy="3806255"/>
                    </a:xfrm>
                    <a:prstGeom prst="rect">
                      <a:avLst/>
                    </a:prstGeom>
                    <a:ln/>
                  </pic:spPr>
                </pic:pic>
              </a:graphicData>
            </a:graphic>
          </wp:inline>
        </w:drawing>
      </w:r>
    </w:p>
    <w:p w14:paraId="0992DC70" w14:textId="77777777" w:rsidR="00FE465E" w:rsidRPr="004D6F57" w:rsidRDefault="00245254">
      <w:pPr>
        <w:ind w:right="96"/>
        <w:jc w:val="center"/>
        <w:rPr>
          <w:rFonts w:ascii="Palatino Linotype" w:eastAsia="Palatino Linotype" w:hAnsi="Palatino Linotype" w:cs="Palatino Linotype"/>
        </w:rPr>
      </w:pPr>
      <w:r w:rsidRPr="004D6F57">
        <w:rPr>
          <w:rFonts w:ascii="Palatino Linotype" w:eastAsia="Palatino Linotype" w:hAnsi="Palatino Linotype" w:cs="Palatino Linotype"/>
          <w:noProof/>
        </w:rPr>
        <w:drawing>
          <wp:inline distT="0" distB="0" distL="0" distR="0" wp14:anchorId="11A490B0" wp14:editId="714F5B8B">
            <wp:extent cx="4320000" cy="3367124"/>
            <wp:effectExtent l="0" t="0" r="0" b="0"/>
            <wp:docPr id="2140131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4320000" cy="3367124"/>
                    </a:xfrm>
                    <a:prstGeom prst="rect">
                      <a:avLst/>
                    </a:prstGeom>
                    <a:ln/>
                  </pic:spPr>
                </pic:pic>
              </a:graphicData>
            </a:graphic>
          </wp:inline>
        </w:drawing>
      </w:r>
    </w:p>
    <w:p w14:paraId="621F7A42" w14:textId="77777777" w:rsidR="00FE465E" w:rsidRPr="004D6F57" w:rsidRDefault="00FE465E">
      <w:pPr>
        <w:ind w:right="96"/>
        <w:jc w:val="center"/>
        <w:rPr>
          <w:rFonts w:ascii="Palatino Linotype" w:eastAsia="Palatino Linotype" w:hAnsi="Palatino Linotype" w:cs="Palatino Linotype"/>
        </w:rPr>
      </w:pPr>
    </w:p>
    <w:p w14:paraId="6CA215B2" w14:textId="77777777" w:rsidR="00FE465E" w:rsidRPr="004D6F57" w:rsidRDefault="00245254">
      <w:pPr>
        <w:ind w:right="96"/>
        <w:jc w:val="center"/>
        <w:rPr>
          <w:rFonts w:ascii="Palatino Linotype" w:eastAsia="Palatino Linotype" w:hAnsi="Palatino Linotype" w:cs="Palatino Linotype"/>
        </w:rPr>
      </w:pPr>
      <w:r w:rsidRPr="004D6F57">
        <w:rPr>
          <w:rFonts w:ascii="Palatino Linotype" w:eastAsia="Palatino Linotype" w:hAnsi="Palatino Linotype" w:cs="Palatino Linotype"/>
          <w:noProof/>
        </w:rPr>
        <w:lastRenderedPageBreak/>
        <w:drawing>
          <wp:inline distT="0" distB="0" distL="0" distR="0" wp14:anchorId="0C77D8C3" wp14:editId="6CC36EA7">
            <wp:extent cx="5742940" cy="2969260"/>
            <wp:effectExtent l="0" t="0" r="0" b="0"/>
            <wp:docPr id="21401317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742940" cy="2969260"/>
                    </a:xfrm>
                    <a:prstGeom prst="rect">
                      <a:avLst/>
                    </a:prstGeom>
                    <a:ln/>
                  </pic:spPr>
                </pic:pic>
              </a:graphicData>
            </a:graphic>
          </wp:inline>
        </w:drawing>
      </w:r>
    </w:p>
    <w:p w14:paraId="21273C69" w14:textId="77777777" w:rsidR="00FE465E" w:rsidRPr="004D6F57" w:rsidRDefault="00245254">
      <w:pPr>
        <w:spacing w:before="240" w:after="240" w:line="360" w:lineRule="auto"/>
        <w:ind w:right="96"/>
        <w:jc w:val="both"/>
        <w:rPr>
          <w:rFonts w:ascii="Palatino Linotype" w:eastAsia="Palatino Linotype" w:hAnsi="Palatino Linotype" w:cs="Palatino Linotype"/>
          <w:b/>
          <w:u w:val="single"/>
        </w:rPr>
      </w:pPr>
      <w:r w:rsidRPr="004D6F57">
        <w:rPr>
          <w:rFonts w:ascii="Palatino Linotype" w:eastAsia="Palatino Linotype" w:hAnsi="Palatino Linotype" w:cs="Palatino Linotype"/>
        </w:rPr>
        <w:t xml:space="preserve">Bajo lo previo, resulta claro que existe fuente obligacional que constriñe al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para entregar lo requerido de los vehículos de uso directo y operativo; dotación de combustible, gasolina, por lo que debe tener el documento fuente del que se desprenda lo </w:t>
      </w:r>
      <w:r w:rsidRPr="004D6F57">
        <w:rPr>
          <w:rFonts w:ascii="Palatino Linotype" w:eastAsia="Palatino Linotype" w:hAnsi="Palatino Linotype" w:cs="Palatino Linotype"/>
          <w:b/>
        </w:rPr>
        <w:t>que la parte Recurrente</w:t>
      </w:r>
      <w:r w:rsidRPr="004D6F57">
        <w:rPr>
          <w:rFonts w:ascii="Palatino Linotype" w:eastAsia="Palatino Linotype" w:hAnsi="Palatino Linotype" w:cs="Palatino Linotype"/>
        </w:rPr>
        <w:t xml:space="preserve"> solicita.</w:t>
      </w:r>
    </w:p>
    <w:p w14:paraId="79454D9A" w14:textId="77777777" w:rsidR="00FE465E" w:rsidRPr="004D6F57" w:rsidRDefault="00245254">
      <w:pPr>
        <w:tabs>
          <w:tab w:val="left" w:pos="567"/>
        </w:tabs>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Finalmente, por lo que se refiere al número de tags que tiene asignadas el </w:t>
      </w:r>
      <w:proofErr w:type="gramStart"/>
      <w:r w:rsidRPr="004D6F57">
        <w:rPr>
          <w:rFonts w:ascii="Palatino Linotype" w:eastAsia="Palatino Linotype" w:hAnsi="Palatino Linotype" w:cs="Palatino Linotype"/>
        </w:rPr>
        <w:t>Director General</w:t>
      </w:r>
      <w:proofErr w:type="gramEnd"/>
      <w:r w:rsidRPr="004D6F57">
        <w:rPr>
          <w:rFonts w:ascii="Palatino Linotype" w:eastAsia="Palatino Linotype" w:hAnsi="Palatino Linotype" w:cs="Palatino Linotype"/>
        </w:rPr>
        <w:t>, así como el número de tags asignadas a cada vehículo, con los cruces para comprobación del gasto, es oportuno precisar, que en el caso en particular se desea tener acceso al número de Identificador Automático de Vehículos (IAVE) el cual es el medio electrónico de pago para hacer uso de las autopistas más importantes del país.</w:t>
      </w:r>
    </w:p>
    <w:p w14:paraId="72BEF565" w14:textId="77777777" w:rsidR="00FE465E" w:rsidRPr="004D6F57" w:rsidRDefault="00245254">
      <w:pPr>
        <w:spacing w:before="240" w:after="240" w:line="360" w:lineRule="auto"/>
        <w:ind w:right="96"/>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Asimismo, que de conformidad con la Ley de Transparencia y Acceso a la Información Pública, del Estado de México y Municipios, no sólo se trata de información pública, sino además que corresponde a las obligaciones de </w:t>
      </w:r>
      <w:r w:rsidRPr="004D6F57">
        <w:rPr>
          <w:rFonts w:ascii="Palatino Linotype" w:eastAsia="Palatino Linotype" w:hAnsi="Palatino Linotype" w:cs="Palatino Linotype"/>
        </w:rPr>
        <w:lastRenderedPageBreak/>
        <w:t>transparencia, como se despende del artículo 92, fracción IX, referente a los gastos de representación y viáticos, así como el objeto e informe de comisión correspondiente, información que debe ser publicada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los que se define a los servicios de traslado instalación y viáticos como las asignaciones destinadas a cubrir los servicios de traslado, instalación y viáticos del personal, cuando por el desempeño de sus labores propias o comisiones de trabajo, requieran trasladarse a lugares distintos al de su adscripción.</w:t>
      </w:r>
    </w:p>
    <w:p w14:paraId="22D905A0"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De lo anterior, se puede concluir que para el pago de viáticos se debe cumplir la característica, que se desempeñen las labores en lugares distintos al centro de trabajo.</w:t>
      </w:r>
    </w:p>
    <w:p w14:paraId="7AB98E2F"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En este sentido, en el Clasificador por Objeto de Gasto Estatal - Municipal 2024, se identifica la Partida Genérica 3700 “Servicios de Traslado y Viáticos. Asignaciones destinadas a cubrir los servicios de traslado, instalación y viáticos del personal, cuando por el desempeño de sus labores propias o comisiones de trabajo, requieran trasladarse a lugares distintos al de su adscripción”, la partida específica 3721 “Gastos de traslado por vía terrestre. Asignación para cubrir el transporte en el país o en el extranjero por el traslado de personal por vía terrestre urbana y suburbana, interurbana y rural, taxis y ferroviario en cumplimiento de sus funciones públicas.”</w:t>
      </w:r>
    </w:p>
    <w:p w14:paraId="3B9090B8" w14:textId="77777777" w:rsidR="00FE465E" w:rsidRPr="004D6F57" w:rsidRDefault="00FE465E">
      <w:pPr>
        <w:spacing w:before="240" w:after="240" w:line="360" w:lineRule="auto"/>
        <w:jc w:val="both"/>
        <w:rPr>
          <w:rFonts w:ascii="Palatino Linotype" w:eastAsia="Palatino Linotype" w:hAnsi="Palatino Linotype" w:cs="Palatino Linotype"/>
        </w:rPr>
      </w:pPr>
    </w:p>
    <w:p w14:paraId="340CAF32" w14:textId="77777777" w:rsidR="00FE465E" w:rsidRPr="004D6F57" w:rsidRDefault="00245254">
      <w:pPr>
        <w:spacing w:before="240" w:after="240" w:line="360" w:lineRule="auto"/>
        <w:jc w:val="both"/>
        <w:rPr>
          <w:rFonts w:ascii="Palatino Linotype" w:eastAsia="Palatino Linotype" w:hAnsi="Palatino Linotype" w:cs="Palatino Linotype"/>
          <w:b/>
        </w:rPr>
      </w:pPr>
      <w:r w:rsidRPr="004D6F57">
        <w:rPr>
          <w:rFonts w:ascii="Palatino Linotype" w:eastAsia="Palatino Linotype" w:hAnsi="Palatino Linotype" w:cs="Palatino Linotype"/>
        </w:rPr>
        <w:t xml:space="preserve">La partida genérica, contempla servicios de traslado y viáticos, y hace la distinción al señalar que los servidos de traslado son únicamente para cubrir ese rubro y los viáticos en el país los señala en la partida específica 3750 como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y al final señala que </w:t>
      </w:r>
      <w:r w:rsidRPr="004D6F57">
        <w:rPr>
          <w:rFonts w:ascii="Palatino Linotype" w:eastAsia="Palatino Linotype" w:hAnsi="Palatino Linotype" w:cs="Palatino Linotype"/>
          <w:b/>
        </w:rPr>
        <w:t>excluye los gastos de pasajes.</w:t>
      </w:r>
    </w:p>
    <w:p w14:paraId="65A9EE86" w14:textId="77777777" w:rsidR="00FE465E" w:rsidRPr="004D6F57" w:rsidRDefault="00245254">
      <w:pPr>
        <w:spacing w:before="240" w:after="240" w:line="360" w:lineRule="auto"/>
        <w:ind w:right="96"/>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Atento a lo anterior, resulta claro que existe fuente obligacional que constriñe al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para entregar lo </w:t>
      </w:r>
      <w:proofErr w:type="gramStart"/>
      <w:r w:rsidRPr="004D6F57">
        <w:rPr>
          <w:rFonts w:ascii="Palatino Linotype" w:eastAsia="Palatino Linotype" w:hAnsi="Palatino Linotype" w:cs="Palatino Linotype"/>
        </w:rPr>
        <w:t>requerido  respecto</w:t>
      </w:r>
      <w:proofErr w:type="gramEnd"/>
      <w:r w:rsidRPr="004D6F57">
        <w:rPr>
          <w:rFonts w:ascii="Palatino Linotype" w:eastAsia="Palatino Linotype" w:hAnsi="Palatino Linotype" w:cs="Palatino Linotype"/>
        </w:rPr>
        <w:t xml:space="preserve"> a las tags, por lo que debe tener el documento fuente del que se desprenda lo </w:t>
      </w:r>
      <w:r w:rsidRPr="004D6F57">
        <w:rPr>
          <w:rFonts w:ascii="Palatino Linotype" w:eastAsia="Palatino Linotype" w:hAnsi="Palatino Linotype" w:cs="Palatino Linotype"/>
          <w:b/>
        </w:rPr>
        <w:t>que la parte Recurrente</w:t>
      </w:r>
      <w:r w:rsidRPr="004D6F57">
        <w:rPr>
          <w:rFonts w:ascii="Palatino Linotype" w:eastAsia="Palatino Linotype" w:hAnsi="Palatino Linotype" w:cs="Palatino Linotype"/>
        </w:rPr>
        <w:t xml:space="preserve"> solicita, por lo tanto, resulta procedente su entrega.</w:t>
      </w:r>
    </w:p>
    <w:p w14:paraId="433070F5" w14:textId="77777777" w:rsidR="00FE465E" w:rsidRPr="004D6F57" w:rsidRDefault="002452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Bajo los argumentos expuestos se concluye que, para satisfacer el Derecho de acceso de la persona solicitante,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deberá, previa búsqueda exhaustiva y razonable, hacer  entrega del o los documentos que den cuenta del número total de vehículos para uso directo asignados a la Dirección General del Programa Hidráulico y el o los servidores públicos que los tenían asignados; el listado de los vehículos de uso operativo asignados y el o los servidores públicos que los tenían asignados; la dotación mensual de combustible de cada vehículo de uso directo y de uso operativo, los tickets o comprobantes de pago y la Bitácora de Control Vehicular; </w:t>
      </w:r>
      <w:r w:rsidRPr="004D6F57">
        <w:rPr>
          <w:rFonts w:ascii="Palatino Linotype" w:eastAsia="Palatino Linotype" w:hAnsi="Palatino Linotype" w:cs="Palatino Linotype"/>
        </w:rPr>
        <w:lastRenderedPageBreak/>
        <w:t xml:space="preserve">el número de tag asignado al Director General y a cada vehículo de la Dirección General del Programa Hidráulico, el número de tag de cada </w:t>
      </w:r>
      <w:proofErr w:type="spellStart"/>
      <w:r w:rsidRPr="004D6F57">
        <w:rPr>
          <w:rFonts w:ascii="Palatino Linotype" w:eastAsia="Palatino Linotype" w:hAnsi="Palatino Linotype" w:cs="Palatino Linotype"/>
        </w:rPr>
        <w:t>vehiculo</w:t>
      </w:r>
      <w:proofErr w:type="spellEnd"/>
      <w:r w:rsidRPr="004D6F57">
        <w:rPr>
          <w:rFonts w:ascii="Palatino Linotype" w:eastAsia="Palatino Linotype" w:hAnsi="Palatino Linotype" w:cs="Palatino Linotype"/>
        </w:rPr>
        <w:t>, y el reporte de cruce de las tag, del nueve de julio de dos mil veintitrés al nueve de julio de dos mil veinticuatro, cuya entrega deberá hacerse en términos del considerando siguiente.</w:t>
      </w:r>
    </w:p>
    <w:p w14:paraId="346A3E85"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Resaltando, que para el caso de que después de realizar la búsqueda de la información, no se llegara a localizar información respecto del número de tag asignado al Director General y a cada vehículo asignado a la Dirección General del Programa Hidráulico, y el reporte de cruce de las tag,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AED5426"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Artículo 19</w:t>
      </w:r>
      <w:r w:rsidRPr="004D6F57">
        <w:rPr>
          <w:rFonts w:ascii="Palatino Linotype" w:eastAsia="Palatino Linotype" w:hAnsi="Palatino Linotype" w:cs="Palatino Linotype"/>
          <w:i/>
          <w:sz w:val="22"/>
          <w:szCs w:val="22"/>
        </w:rPr>
        <w:t>…</w:t>
      </w:r>
    </w:p>
    <w:p w14:paraId="2DC21BDC"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AB389B0" w14:textId="77777777" w:rsidR="00FE465E" w:rsidRPr="004D6F57" w:rsidRDefault="002452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De lo hasta aquí expuesto, se concluye que los motivos de inconformidad de la parte </w:t>
      </w:r>
      <w:r w:rsidRPr="004D6F57">
        <w:rPr>
          <w:rFonts w:ascii="Palatino Linotype" w:eastAsia="Palatino Linotype" w:hAnsi="Palatino Linotype" w:cs="Palatino Linotype"/>
          <w:b/>
        </w:rPr>
        <w:t xml:space="preserve">Recurrente </w:t>
      </w:r>
      <w:r w:rsidRPr="004D6F57">
        <w:rPr>
          <w:rFonts w:ascii="Palatino Linotype" w:eastAsia="Palatino Linotype" w:hAnsi="Palatino Linotype" w:cs="Palatino Linotype"/>
        </w:rPr>
        <w:t xml:space="preserve">devienen parcialmente fundados, siendo procedente </w:t>
      </w:r>
      <w:r w:rsidRPr="004D6F57">
        <w:rPr>
          <w:rFonts w:ascii="Palatino Linotype" w:eastAsia="Palatino Linotype" w:hAnsi="Palatino Linotype" w:cs="Palatino Linotype"/>
          <w:i/>
        </w:rPr>
        <w:t xml:space="preserve">Revocar </w:t>
      </w:r>
      <w:r w:rsidRPr="004D6F57">
        <w:rPr>
          <w:rFonts w:ascii="Palatino Linotype" w:eastAsia="Palatino Linotype" w:hAnsi="Palatino Linotype" w:cs="Palatino Linotype"/>
        </w:rPr>
        <w:t xml:space="preserve">la respuesta proporcionada por el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4B5D259"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lastRenderedPageBreak/>
        <w:t>Quinto. Versión Pública.</w:t>
      </w:r>
      <w:r w:rsidRPr="004D6F57">
        <w:rPr>
          <w:rFonts w:ascii="Palatino Linotype" w:eastAsia="Palatino Linotype" w:hAnsi="Palatino Linotype" w:cs="Palatino Linotype"/>
          <w:sz w:val="28"/>
          <w:szCs w:val="28"/>
        </w:rPr>
        <w:t xml:space="preserve"> </w:t>
      </w:r>
      <w:r w:rsidRPr="004D6F57">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6E5356A7"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Lo anterior de conformidad con lo que señalan los artículos 3 fracciones IX, XX, XXI y XLV, 91, 132, 137 y 143, fracción I de la Ley de Transparencia y Acceso a la Información Pública del Estado de México y Municipios que establecen:</w:t>
      </w:r>
    </w:p>
    <w:p w14:paraId="0E3038F6"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Artículo 3</w:t>
      </w:r>
      <w:r w:rsidRPr="004D6F57">
        <w:rPr>
          <w:rFonts w:ascii="Palatino Linotype" w:eastAsia="Palatino Linotype" w:hAnsi="Palatino Linotype" w:cs="Palatino Linotype"/>
          <w:i/>
          <w:sz w:val="22"/>
          <w:szCs w:val="22"/>
        </w:rPr>
        <w:t>. Para los efectos de la presente Ley se entenderá por:</w:t>
      </w:r>
    </w:p>
    <w:p w14:paraId="6B05E53E"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5C387E59"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IX. Datos personales</w:t>
      </w:r>
      <w:r w:rsidRPr="004D6F5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E53FBDD"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XX. Información clasificada</w:t>
      </w:r>
      <w:r w:rsidRPr="004D6F57">
        <w:rPr>
          <w:rFonts w:ascii="Palatino Linotype" w:eastAsia="Palatino Linotype" w:hAnsi="Palatino Linotype" w:cs="Palatino Linotype"/>
          <w:i/>
          <w:sz w:val="22"/>
          <w:szCs w:val="22"/>
        </w:rPr>
        <w:t>: Aquella considerada por la presente Ley como reservada o confidencial;</w:t>
      </w:r>
    </w:p>
    <w:p w14:paraId="76F23DD3"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XXI. Información confidencial: </w:t>
      </w:r>
      <w:r w:rsidRPr="004D6F57">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3AC143"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XLV. Versión pública:</w:t>
      </w:r>
      <w:r w:rsidRPr="004D6F5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714F9AF"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5ABBA050"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Artículo 91.</w:t>
      </w:r>
      <w:r w:rsidRPr="004D6F5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B0212EC"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lastRenderedPageBreak/>
        <w:t>Artículo 132.</w:t>
      </w:r>
      <w:r w:rsidRPr="004D6F57">
        <w:rPr>
          <w:rFonts w:ascii="Palatino Linotype" w:eastAsia="Palatino Linotype" w:hAnsi="Palatino Linotype" w:cs="Palatino Linotype"/>
          <w:i/>
          <w:sz w:val="22"/>
          <w:szCs w:val="22"/>
        </w:rPr>
        <w:t xml:space="preserve"> La clasificación de la información se llevará a cabo en el momento en que:</w:t>
      </w:r>
    </w:p>
    <w:p w14:paraId="499CDD39"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w:t>
      </w:r>
      <w:r w:rsidRPr="004D6F57">
        <w:rPr>
          <w:rFonts w:ascii="Palatino Linotype" w:eastAsia="Palatino Linotype" w:hAnsi="Palatino Linotype" w:cs="Palatino Linotype"/>
          <w:i/>
          <w:sz w:val="22"/>
          <w:szCs w:val="22"/>
        </w:rPr>
        <w:t>. Se reciba una solicitud de acceso a la información;</w:t>
      </w:r>
    </w:p>
    <w:p w14:paraId="21DFA65B"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w:t>
      </w:r>
      <w:r w:rsidRPr="004D6F57">
        <w:rPr>
          <w:rFonts w:ascii="Palatino Linotype" w:eastAsia="Palatino Linotype" w:hAnsi="Palatino Linotype" w:cs="Palatino Linotype"/>
          <w:i/>
          <w:sz w:val="22"/>
          <w:szCs w:val="22"/>
        </w:rPr>
        <w:t xml:space="preserve"> Se determine mediante resolución de autoridad competente; o</w:t>
      </w:r>
    </w:p>
    <w:p w14:paraId="1BFDB1F3"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III.</w:t>
      </w:r>
      <w:r w:rsidRPr="004D6F5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EA0764A"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1CE6EBDF"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Artículo 137.</w:t>
      </w:r>
      <w:r w:rsidRPr="004D6F5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1F38E92" w14:textId="77777777" w:rsidR="00FE465E" w:rsidRPr="004D6F57" w:rsidRDefault="00245254">
      <w:pPr>
        <w:spacing w:before="120" w:after="120"/>
        <w:ind w:left="851" w:right="902"/>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b/>
          <w:i/>
          <w:sz w:val="22"/>
          <w:szCs w:val="22"/>
        </w:rPr>
        <w:t>…</w:t>
      </w:r>
    </w:p>
    <w:p w14:paraId="57B15898"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Artículo 143</w:t>
      </w:r>
      <w:r w:rsidRPr="004D6F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9A0AC17"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w:t>
      </w:r>
      <w:r w:rsidRPr="004D6F5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3F6C546"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FADCE2"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w:t>
      </w:r>
      <w:r w:rsidRPr="004D6F57">
        <w:rPr>
          <w:rFonts w:ascii="Palatino Linotype" w:eastAsia="Palatino Linotype" w:hAnsi="Palatino Linotype" w:cs="Palatino Linotype"/>
        </w:rPr>
        <w:lastRenderedPageBreak/>
        <w:t xml:space="preserve">fundamentos y razonamientos que llevaron al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EF88465" w14:textId="77777777" w:rsidR="00FE465E" w:rsidRPr="004D6F57" w:rsidRDefault="0024525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Respecto a las formalidades que deberá llevar el acuerdo de clasificación que deberá emitir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7EFBFCAA"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 “Quincuagésimo. </w:t>
      </w:r>
      <w:r w:rsidRPr="004D6F5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4190E21" w14:textId="77777777" w:rsidR="00FE465E" w:rsidRPr="004D6F57" w:rsidRDefault="0024525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Quincuagésimo primero. </w:t>
      </w:r>
      <w:r w:rsidRPr="004D6F57">
        <w:rPr>
          <w:rFonts w:ascii="Palatino Linotype" w:eastAsia="Palatino Linotype" w:hAnsi="Palatino Linotype" w:cs="Palatino Linotype"/>
          <w:i/>
          <w:sz w:val="22"/>
          <w:szCs w:val="22"/>
        </w:rPr>
        <w:t xml:space="preserve">Toda acta del Comité de Transparencia deberá contener: </w:t>
      </w:r>
    </w:p>
    <w:p w14:paraId="703FD1F1"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w:t>
      </w:r>
      <w:r w:rsidRPr="004D6F57">
        <w:rPr>
          <w:rFonts w:ascii="Palatino Linotype" w:eastAsia="Palatino Linotype" w:hAnsi="Palatino Linotype" w:cs="Palatino Linotype"/>
          <w:i/>
          <w:sz w:val="22"/>
          <w:szCs w:val="22"/>
        </w:rPr>
        <w:t xml:space="preserve"> El número de sesión y fecha; </w:t>
      </w:r>
    </w:p>
    <w:p w14:paraId="5B65EF1A"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w:t>
      </w:r>
      <w:r w:rsidRPr="004D6F57">
        <w:rPr>
          <w:rFonts w:ascii="Palatino Linotype" w:eastAsia="Palatino Linotype" w:hAnsi="Palatino Linotype" w:cs="Palatino Linotype"/>
          <w:i/>
          <w:sz w:val="22"/>
          <w:szCs w:val="22"/>
        </w:rPr>
        <w:t xml:space="preserve">. El nombre del área que solicitó la clasificación de información; </w:t>
      </w:r>
    </w:p>
    <w:p w14:paraId="7092AFA7"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III</w:t>
      </w:r>
      <w:r w:rsidRPr="004D6F57">
        <w:rPr>
          <w:rFonts w:ascii="Palatino Linotype" w:eastAsia="Palatino Linotype" w:hAnsi="Palatino Linotype" w:cs="Palatino Linotype"/>
          <w:i/>
          <w:sz w:val="22"/>
          <w:szCs w:val="22"/>
        </w:rPr>
        <w:t xml:space="preserve">. La fundamentación legal y motivación correspondiente; </w:t>
      </w:r>
    </w:p>
    <w:p w14:paraId="4669997F"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IV</w:t>
      </w:r>
      <w:r w:rsidRPr="004D6F57">
        <w:rPr>
          <w:rFonts w:ascii="Palatino Linotype" w:eastAsia="Palatino Linotype" w:hAnsi="Palatino Linotype" w:cs="Palatino Linotype"/>
          <w:i/>
          <w:sz w:val="22"/>
          <w:szCs w:val="22"/>
        </w:rPr>
        <w:t xml:space="preserve">. La resolución o resoluciones aprobadas; y </w:t>
      </w:r>
    </w:p>
    <w:p w14:paraId="5C32727B"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V</w:t>
      </w:r>
      <w:r w:rsidRPr="004D6F57">
        <w:rPr>
          <w:rFonts w:ascii="Palatino Linotype" w:eastAsia="Palatino Linotype" w:hAnsi="Palatino Linotype" w:cs="Palatino Linotype"/>
          <w:i/>
          <w:sz w:val="22"/>
          <w:szCs w:val="22"/>
        </w:rPr>
        <w:t xml:space="preserve">. La rúbrica o firma digital de cada integrante del Comité de Transparencia. </w:t>
      </w:r>
    </w:p>
    <w:p w14:paraId="165EAE41" w14:textId="77777777" w:rsidR="00FE465E" w:rsidRPr="004D6F57" w:rsidRDefault="0024525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94FB7B9"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lastRenderedPageBreak/>
        <w:t>I.</w:t>
      </w:r>
      <w:r w:rsidRPr="004D6F5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2481252"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b/>
          <w:i/>
          <w:sz w:val="22"/>
          <w:szCs w:val="22"/>
        </w:rPr>
        <w:t>II</w:t>
      </w:r>
      <w:r w:rsidRPr="004D6F57">
        <w:rPr>
          <w:rFonts w:ascii="Palatino Linotype" w:eastAsia="Palatino Linotype" w:hAnsi="Palatino Linotype" w:cs="Palatino Linotype"/>
          <w:i/>
          <w:sz w:val="22"/>
          <w:szCs w:val="22"/>
        </w:rPr>
        <w:t>. Descripción de las partes o secciones reservadas, en caso de clasificación parcial</w:t>
      </w:r>
      <w:r w:rsidRPr="004D6F57">
        <w:rPr>
          <w:rFonts w:ascii="Palatino Linotype" w:eastAsia="Palatino Linotype" w:hAnsi="Palatino Linotype" w:cs="Palatino Linotype"/>
          <w:b/>
          <w:i/>
          <w:sz w:val="22"/>
          <w:szCs w:val="22"/>
        </w:rPr>
        <w:t xml:space="preserve">; </w:t>
      </w:r>
    </w:p>
    <w:p w14:paraId="71F38CA8"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III.</w:t>
      </w:r>
      <w:r w:rsidRPr="004D6F57">
        <w:rPr>
          <w:rFonts w:ascii="Palatino Linotype" w:eastAsia="Palatino Linotype" w:hAnsi="Palatino Linotype" w:cs="Palatino Linotype"/>
          <w:i/>
          <w:sz w:val="22"/>
          <w:szCs w:val="22"/>
        </w:rPr>
        <w:t xml:space="preserve"> El periodo por el que mantendrá su clasificación y fecha de expiración; y </w:t>
      </w:r>
    </w:p>
    <w:p w14:paraId="27680411" w14:textId="77777777" w:rsidR="00FE465E" w:rsidRPr="004D6F57" w:rsidRDefault="0024525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IV.</w:t>
      </w:r>
      <w:r w:rsidRPr="004D6F5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C70BD8A" w14:textId="77777777" w:rsidR="00FE465E" w:rsidRPr="004D6F57" w:rsidRDefault="0024525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C244E44" w14:textId="77777777" w:rsidR="00FE465E" w:rsidRPr="004D6F57" w:rsidRDefault="0024525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7DB7F90"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4AB990B4" w14:textId="77777777" w:rsidR="00FE465E" w:rsidRPr="004D6F57" w:rsidRDefault="00245254">
      <w:pPr>
        <w:spacing w:before="120" w:after="12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r w:rsidRPr="004D6F57">
        <w:rPr>
          <w:rFonts w:ascii="Palatino Linotype" w:eastAsia="Palatino Linotype" w:hAnsi="Palatino Linotype" w:cs="Palatino Linotype"/>
          <w:b/>
          <w:i/>
          <w:sz w:val="22"/>
          <w:szCs w:val="22"/>
        </w:rPr>
        <w:t>Quincuagésimo segundo</w:t>
      </w:r>
      <w:r w:rsidRPr="004D6F5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BF1179E" w14:textId="77777777" w:rsidR="00FE465E" w:rsidRPr="004D6F57" w:rsidRDefault="00245254">
      <w:pPr>
        <w:spacing w:before="120" w:after="12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B23D426" w14:textId="77777777" w:rsidR="00FE465E" w:rsidRPr="004D6F57" w:rsidRDefault="00245254">
      <w:pPr>
        <w:spacing w:before="120" w:after="120"/>
        <w:ind w:left="1134"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w:t>
      </w:r>
      <w:r w:rsidRPr="004D6F5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88EA826" w14:textId="77777777" w:rsidR="00FE465E" w:rsidRPr="004D6F57" w:rsidRDefault="00245254">
      <w:pPr>
        <w:spacing w:before="120" w:after="120"/>
        <w:ind w:left="1134"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w:t>
      </w:r>
      <w:r w:rsidRPr="004D6F5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3D5747A" w14:textId="77777777" w:rsidR="00FE465E" w:rsidRPr="004D6F57" w:rsidRDefault="00245254">
      <w:pPr>
        <w:spacing w:before="120" w:after="120"/>
        <w:ind w:left="1134"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lastRenderedPageBreak/>
        <w:t>III.</w:t>
      </w:r>
      <w:r w:rsidRPr="004D6F57">
        <w:rPr>
          <w:rFonts w:ascii="Palatino Linotype" w:eastAsia="Palatino Linotype" w:hAnsi="Palatino Linotype" w:cs="Palatino Linotype"/>
          <w:i/>
          <w:sz w:val="22"/>
          <w:szCs w:val="22"/>
        </w:rPr>
        <w:t xml:space="preserve"> Señalar las personas o instancias autorizadas a acceder a la información clasificada.</w:t>
      </w:r>
    </w:p>
    <w:p w14:paraId="2EE2286A" w14:textId="77777777" w:rsidR="00FE465E" w:rsidRPr="004D6F57" w:rsidRDefault="00245254">
      <w:pPr>
        <w:spacing w:before="120" w:after="12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53537E9" w14:textId="77777777" w:rsidR="00FE465E" w:rsidRPr="004D6F57" w:rsidRDefault="0024525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w:t>
      </w:r>
    </w:p>
    <w:p w14:paraId="55AEB179" w14:textId="77777777" w:rsidR="00FE465E" w:rsidRPr="004D6F57" w:rsidRDefault="0024525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b/>
          <w:i/>
          <w:sz w:val="22"/>
          <w:szCs w:val="22"/>
        </w:rPr>
        <w:t xml:space="preserve">Quincuagésimo cuarto. </w:t>
      </w:r>
      <w:r w:rsidRPr="004D6F5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D6F57">
        <w:rPr>
          <w:rFonts w:ascii="Palatino Linotype" w:eastAsia="Palatino Linotype" w:hAnsi="Palatino Linotype" w:cs="Palatino Linotype"/>
          <w:b/>
          <w:i/>
          <w:sz w:val="22"/>
          <w:szCs w:val="22"/>
        </w:rPr>
        <w:t xml:space="preserve"> </w:t>
      </w:r>
    </w:p>
    <w:p w14:paraId="29DB41E8"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 xml:space="preserve">Quincuagésimo quinto. </w:t>
      </w:r>
      <w:r w:rsidRPr="004D6F5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D6F57">
        <w:rPr>
          <w:rFonts w:ascii="Palatino Linotype" w:eastAsia="Palatino Linotype" w:hAnsi="Palatino Linotype" w:cs="Palatino Linotype"/>
          <w:i/>
          <w:sz w:val="22"/>
          <w:szCs w:val="22"/>
        </w:rPr>
        <w:t>testado</w:t>
      </w:r>
      <w:proofErr w:type="spellEnd"/>
      <w:r w:rsidRPr="004D6F57">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B7C17AE" w14:textId="77777777" w:rsidR="00FE465E" w:rsidRPr="004D6F57" w:rsidRDefault="00245254">
      <w:pPr>
        <w:spacing w:before="120" w:after="120"/>
        <w:ind w:left="851" w:right="902"/>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b/>
          <w:i/>
          <w:sz w:val="22"/>
          <w:szCs w:val="22"/>
        </w:rPr>
        <w:t>...</w:t>
      </w:r>
    </w:p>
    <w:p w14:paraId="42A5431B"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Quincuagésimo séptimo</w:t>
      </w:r>
      <w:r w:rsidRPr="004D6F5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90C34EE"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w:t>
      </w:r>
      <w:r w:rsidRPr="004D6F5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4576B4C"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w:t>
      </w:r>
      <w:r w:rsidRPr="004D6F5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8BC1E78" w14:textId="77777777" w:rsidR="00FE465E" w:rsidRPr="004D6F57" w:rsidRDefault="00245254">
      <w:pPr>
        <w:spacing w:before="120" w:after="120"/>
        <w:ind w:left="1134"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t>III</w:t>
      </w:r>
      <w:r w:rsidRPr="004D6F5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3E9D5F6"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CC1F538" w14:textId="77777777" w:rsidR="00FE465E" w:rsidRPr="004D6F57" w:rsidRDefault="00245254">
      <w:pPr>
        <w:spacing w:before="120" w:after="120"/>
        <w:ind w:left="851" w:right="902"/>
        <w:jc w:val="both"/>
        <w:rPr>
          <w:rFonts w:ascii="Palatino Linotype" w:eastAsia="Palatino Linotype" w:hAnsi="Palatino Linotype" w:cs="Palatino Linotype"/>
          <w:i/>
          <w:sz w:val="22"/>
          <w:szCs w:val="22"/>
        </w:rPr>
      </w:pPr>
      <w:r w:rsidRPr="004D6F57">
        <w:rPr>
          <w:rFonts w:ascii="Palatino Linotype" w:eastAsia="Palatino Linotype" w:hAnsi="Palatino Linotype" w:cs="Palatino Linotype"/>
          <w:b/>
          <w:i/>
          <w:sz w:val="22"/>
          <w:szCs w:val="22"/>
        </w:rPr>
        <w:lastRenderedPageBreak/>
        <w:t>Quincuagésimo octavo</w:t>
      </w:r>
      <w:r w:rsidRPr="004D6F5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7E91753"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1430848D" w14:textId="77777777" w:rsidR="00FE465E" w:rsidRPr="004D6F57" w:rsidRDefault="0024525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D6F57">
        <w:rPr>
          <w:rFonts w:ascii="Palatino Linotype" w:eastAsia="Palatino Linotype" w:hAnsi="Palatino Linotype" w:cs="Palatino Linotype"/>
          <w:b/>
        </w:rPr>
        <w:t>III. R E S U E L V E</w:t>
      </w:r>
    </w:p>
    <w:p w14:paraId="2459CDF2"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7" w:name="_heading=h.26in1rg" w:colFirst="0" w:colLast="0"/>
      <w:bookmarkEnd w:id="7"/>
      <w:r w:rsidRPr="004D6F57">
        <w:rPr>
          <w:rFonts w:ascii="Palatino Linotype" w:eastAsia="Palatino Linotype" w:hAnsi="Palatino Linotype" w:cs="Palatino Linotype"/>
          <w:b/>
        </w:rPr>
        <w:t xml:space="preserve">Primero. </w:t>
      </w:r>
      <w:r w:rsidRPr="004D6F57">
        <w:rPr>
          <w:rFonts w:ascii="Palatino Linotype" w:eastAsia="Palatino Linotype" w:hAnsi="Palatino Linotype" w:cs="Palatino Linotype"/>
        </w:rPr>
        <w:t xml:space="preserve">Resultan </w:t>
      </w:r>
      <w:r w:rsidRPr="004D6F57">
        <w:rPr>
          <w:rFonts w:ascii="Palatino Linotype" w:eastAsia="Palatino Linotype" w:hAnsi="Palatino Linotype" w:cs="Palatino Linotype"/>
          <w:b/>
        </w:rPr>
        <w:t>fundadas</w:t>
      </w:r>
      <w:r w:rsidRPr="004D6F57">
        <w:rPr>
          <w:rFonts w:ascii="Palatino Linotype" w:eastAsia="Palatino Linotype" w:hAnsi="Palatino Linotype" w:cs="Palatino Linotype"/>
        </w:rPr>
        <w:t xml:space="preserve"> las razones o motivos de inconformidad hechos valer por la parte</w:t>
      </w:r>
      <w:r w:rsidRPr="004D6F57">
        <w:rPr>
          <w:rFonts w:ascii="Palatino Linotype" w:eastAsia="Palatino Linotype" w:hAnsi="Palatino Linotype" w:cs="Palatino Linotype"/>
          <w:b/>
        </w:rPr>
        <w:t xml:space="preserve"> Recurrente</w:t>
      </w:r>
      <w:r w:rsidRPr="004D6F57">
        <w:rPr>
          <w:rFonts w:ascii="Palatino Linotype" w:eastAsia="Palatino Linotype" w:hAnsi="Palatino Linotype" w:cs="Palatino Linotype"/>
        </w:rPr>
        <w:t xml:space="preserve"> en el recurso de revisión </w:t>
      </w:r>
      <w:r w:rsidRPr="004D6F57">
        <w:rPr>
          <w:rFonts w:ascii="Palatino Linotype" w:eastAsia="Palatino Linotype" w:hAnsi="Palatino Linotype" w:cs="Palatino Linotype"/>
          <w:b/>
        </w:rPr>
        <w:t>04714/INFOEM/IP/RR/2024</w:t>
      </w:r>
      <w:r w:rsidRPr="004D6F57">
        <w:rPr>
          <w:rFonts w:ascii="Palatino Linotype" w:eastAsia="Palatino Linotype" w:hAnsi="Palatino Linotype" w:cs="Palatino Linotype"/>
        </w:rPr>
        <w:t xml:space="preserve">; por lo que, en términos del </w:t>
      </w:r>
      <w:r w:rsidRPr="004D6F57">
        <w:rPr>
          <w:rFonts w:ascii="Palatino Linotype" w:eastAsia="Palatino Linotype" w:hAnsi="Palatino Linotype" w:cs="Palatino Linotype"/>
          <w:b/>
        </w:rPr>
        <w:t>Considerando</w:t>
      </w: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rPr>
        <w:t xml:space="preserve">Cuarto </w:t>
      </w:r>
      <w:r w:rsidRPr="004D6F57">
        <w:rPr>
          <w:rFonts w:ascii="Palatino Linotype" w:eastAsia="Palatino Linotype" w:hAnsi="Palatino Linotype" w:cs="Palatino Linotype"/>
        </w:rPr>
        <w:t xml:space="preserve">de esta resolución, se </w:t>
      </w:r>
      <w:r w:rsidRPr="004D6F57">
        <w:rPr>
          <w:rFonts w:ascii="Palatino Linotype" w:eastAsia="Palatino Linotype" w:hAnsi="Palatino Linotype" w:cs="Palatino Linotype"/>
          <w:b/>
        </w:rPr>
        <w:t xml:space="preserve">Revoca </w:t>
      </w:r>
      <w:r w:rsidRPr="004D6F57">
        <w:rPr>
          <w:rFonts w:ascii="Palatino Linotype" w:eastAsia="Palatino Linotype" w:hAnsi="Palatino Linotype" w:cs="Palatino Linotype"/>
        </w:rPr>
        <w:t xml:space="preserve">la respuesta emitida por el </w:t>
      </w:r>
      <w:r w:rsidRPr="004D6F57">
        <w:rPr>
          <w:rFonts w:ascii="Palatino Linotype" w:eastAsia="Palatino Linotype" w:hAnsi="Palatino Linotype" w:cs="Palatino Linotype"/>
          <w:b/>
        </w:rPr>
        <w:t xml:space="preserve">Sujeto Obligado. </w:t>
      </w:r>
    </w:p>
    <w:p w14:paraId="243E83A6" w14:textId="77777777" w:rsidR="00FE465E" w:rsidRPr="004D6F57" w:rsidRDefault="00245254">
      <w:pPr>
        <w:tabs>
          <w:tab w:val="left" w:pos="5040"/>
        </w:tabs>
        <w:spacing w:before="240" w:after="240" w:line="360" w:lineRule="auto"/>
        <w:ind w:right="49"/>
        <w:jc w:val="both"/>
        <w:rPr>
          <w:rFonts w:ascii="Palatino Linotype" w:eastAsia="Palatino Linotype" w:hAnsi="Palatino Linotype" w:cs="Palatino Linotype"/>
          <w:b/>
        </w:rPr>
      </w:pPr>
      <w:r w:rsidRPr="004D6F57">
        <w:rPr>
          <w:rFonts w:ascii="Palatino Linotype" w:eastAsia="Palatino Linotype" w:hAnsi="Palatino Linotype" w:cs="Palatino Linotype"/>
          <w:b/>
        </w:rPr>
        <w:t xml:space="preserve">Segundo. </w:t>
      </w:r>
      <w:r w:rsidRPr="004D6F57">
        <w:rPr>
          <w:rFonts w:ascii="Palatino Linotype" w:eastAsia="Palatino Linotype" w:hAnsi="Palatino Linotype" w:cs="Palatino Linotype"/>
        </w:rPr>
        <w:t xml:space="preserve">Se </w:t>
      </w:r>
      <w:r w:rsidRPr="004D6F57">
        <w:rPr>
          <w:rFonts w:ascii="Palatino Linotype" w:eastAsia="Palatino Linotype" w:hAnsi="Palatino Linotype" w:cs="Palatino Linotype"/>
          <w:b/>
        </w:rPr>
        <w:t xml:space="preserve">Ordena </w:t>
      </w:r>
      <w:r w:rsidRPr="004D6F57">
        <w:rPr>
          <w:rFonts w:ascii="Palatino Linotype" w:eastAsia="Palatino Linotype" w:hAnsi="Palatino Linotype" w:cs="Palatino Linotype"/>
        </w:rPr>
        <w:t xml:space="preserve">al </w:t>
      </w:r>
      <w:r w:rsidRPr="004D6F57">
        <w:rPr>
          <w:rFonts w:ascii="Palatino Linotype" w:eastAsia="Palatino Linotype" w:hAnsi="Palatino Linotype" w:cs="Palatino Linotype"/>
          <w:b/>
        </w:rPr>
        <w:t xml:space="preserve">Sujeto Obligado, </w:t>
      </w:r>
      <w:r w:rsidRPr="004D6F57">
        <w:rPr>
          <w:rFonts w:ascii="Palatino Linotype" w:eastAsia="Palatino Linotype" w:hAnsi="Palatino Linotype" w:cs="Palatino Linotype"/>
        </w:rPr>
        <w:t xml:space="preserve">en términos de los </w:t>
      </w:r>
      <w:r w:rsidRPr="004D6F57">
        <w:rPr>
          <w:rFonts w:ascii="Palatino Linotype" w:eastAsia="Palatino Linotype" w:hAnsi="Palatino Linotype" w:cs="Palatino Linotype"/>
          <w:b/>
        </w:rPr>
        <w:t>Considerandos</w:t>
      </w:r>
      <w:r w:rsidRPr="004D6F57">
        <w:rPr>
          <w:rFonts w:ascii="Palatino Linotype" w:eastAsia="Palatino Linotype" w:hAnsi="Palatino Linotype" w:cs="Palatino Linotype"/>
        </w:rPr>
        <w:t xml:space="preserve"> </w:t>
      </w:r>
      <w:r w:rsidRPr="004D6F57">
        <w:rPr>
          <w:rFonts w:ascii="Palatino Linotype" w:eastAsia="Palatino Linotype" w:hAnsi="Palatino Linotype" w:cs="Palatino Linotype"/>
          <w:b/>
        </w:rPr>
        <w:t xml:space="preserve">Cuarto </w:t>
      </w:r>
      <w:r w:rsidRPr="004D6F57">
        <w:rPr>
          <w:rFonts w:ascii="Palatino Linotype" w:eastAsia="Palatino Linotype" w:hAnsi="Palatino Linotype" w:cs="Palatino Linotype"/>
        </w:rPr>
        <w:t>y</w:t>
      </w:r>
      <w:r w:rsidRPr="004D6F57">
        <w:rPr>
          <w:rFonts w:ascii="Palatino Linotype" w:eastAsia="Palatino Linotype" w:hAnsi="Palatino Linotype" w:cs="Palatino Linotype"/>
          <w:b/>
        </w:rPr>
        <w:t xml:space="preserve"> Quinto </w:t>
      </w:r>
      <w:r w:rsidRPr="004D6F57">
        <w:rPr>
          <w:rFonts w:ascii="Palatino Linotype" w:eastAsia="Palatino Linotype" w:hAnsi="Palatino Linotype" w:cs="Palatino Linotype"/>
        </w:rPr>
        <w:t xml:space="preserve">de esta resolución, haga entrega, vía </w:t>
      </w:r>
      <w:r w:rsidRPr="004D6F57">
        <w:rPr>
          <w:rFonts w:ascii="Palatino Linotype" w:eastAsia="Palatino Linotype" w:hAnsi="Palatino Linotype" w:cs="Palatino Linotype"/>
          <w:b/>
        </w:rPr>
        <w:t>SAIMEX,</w:t>
      </w:r>
      <w:r w:rsidRPr="004D6F57">
        <w:rPr>
          <w:rFonts w:ascii="Palatino Linotype" w:eastAsia="Palatino Linotype" w:hAnsi="Palatino Linotype" w:cs="Palatino Linotype"/>
        </w:rPr>
        <w:t xml:space="preserve"> previa búsqueda exhaustiva y razonable, de ser procedente en versión pública, de la Dirección General del Programa Hidráulico</w:t>
      </w:r>
      <w:r w:rsidRPr="004D6F57">
        <w:rPr>
          <w:rFonts w:ascii="Palatino Linotype" w:eastAsia="Palatino Linotype" w:hAnsi="Palatino Linotype" w:cs="Palatino Linotype"/>
          <w:b/>
        </w:rPr>
        <w:t xml:space="preserve">, </w:t>
      </w:r>
      <w:r w:rsidRPr="004D6F57">
        <w:rPr>
          <w:rFonts w:ascii="Palatino Linotype" w:eastAsia="Palatino Linotype" w:hAnsi="Palatino Linotype" w:cs="Palatino Linotype"/>
        </w:rPr>
        <w:t xml:space="preserve">del o los documentos que den cuenta de lo siguiente del nueve de julio de dos mil veintitrés al nueve de julio de dos mil veinticuatro: </w:t>
      </w:r>
      <w:r w:rsidRPr="004D6F57">
        <w:rPr>
          <w:rFonts w:ascii="Palatino Linotype" w:eastAsia="Palatino Linotype" w:hAnsi="Palatino Linotype" w:cs="Palatino Linotype"/>
          <w:b/>
        </w:rPr>
        <w:t xml:space="preserve"> </w:t>
      </w:r>
    </w:p>
    <w:p w14:paraId="0D4D3CC4" w14:textId="77777777" w:rsidR="00FE465E" w:rsidRPr="004D6F57" w:rsidRDefault="00245254">
      <w:pPr>
        <w:numPr>
          <w:ilvl w:val="0"/>
          <w:numId w:val="2"/>
        </w:numPr>
        <w:pBdr>
          <w:top w:val="nil"/>
          <w:left w:val="nil"/>
          <w:bottom w:val="nil"/>
          <w:right w:val="nil"/>
          <w:between w:val="nil"/>
        </w:pBdr>
        <w:tabs>
          <w:tab w:val="left" w:pos="709"/>
          <w:tab w:val="left" w:pos="5040"/>
        </w:tabs>
        <w:spacing w:before="240" w:after="240" w:line="360" w:lineRule="auto"/>
        <w:ind w:left="425" w:right="49"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t>El número total de vehículos para uso directo asignados y el o los servidores públicos que los tenían asignados.</w:t>
      </w:r>
    </w:p>
    <w:p w14:paraId="6720ED4A" w14:textId="77777777" w:rsidR="00FE465E" w:rsidRPr="004D6F57" w:rsidRDefault="00245254">
      <w:pPr>
        <w:numPr>
          <w:ilvl w:val="0"/>
          <w:numId w:val="2"/>
        </w:numPr>
        <w:pBdr>
          <w:top w:val="nil"/>
          <w:left w:val="nil"/>
          <w:bottom w:val="nil"/>
          <w:right w:val="nil"/>
          <w:between w:val="nil"/>
        </w:pBdr>
        <w:tabs>
          <w:tab w:val="left" w:pos="709"/>
          <w:tab w:val="left" w:pos="5040"/>
        </w:tabs>
        <w:spacing w:before="240" w:after="240" w:line="360" w:lineRule="auto"/>
        <w:ind w:left="425" w:right="49"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Lista de vehículos de uso operativo y el o los servidores públicos que los tenían asignados.</w:t>
      </w:r>
    </w:p>
    <w:p w14:paraId="753C11A9" w14:textId="77777777" w:rsidR="00FE465E" w:rsidRPr="004D6F57" w:rsidRDefault="00245254">
      <w:pPr>
        <w:numPr>
          <w:ilvl w:val="0"/>
          <w:numId w:val="2"/>
        </w:numPr>
        <w:pBdr>
          <w:top w:val="nil"/>
          <w:left w:val="nil"/>
          <w:bottom w:val="nil"/>
          <w:right w:val="nil"/>
          <w:between w:val="nil"/>
        </w:pBdr>
        <w:tabs>
          <w:tab w:val="left" w:pos="709"/>
          <w:tab w:val="left" w:pos="5040"/>
        </w:tabs>
        <w:spacing w:before="240" w:after="240" w:line="360" w:lineRule="auto"/>
        <w:ind w:left="425" w:right="49" w:firstLine="0"/>
        <w:jc w:val="both"/>
        <w:rPr>
          <w:rFonts w:ascii="Palatino Linotype" w:eastAsia="Palatino Linotype" w:hAnsi="Palatino Linotype" w:cs="Palatino Linotype"/>
        </w:rPr>
      </w:pPr>
      <w:r w:rsidRPr="004D6F57">
        <w:rPr>
          <w:rFonts w:ascii="Palatino Linotype" w:eastAsia="Palatino Linotype" w:hAnsi="Palatino Linotype" w:cs="Palatino Linotype"/>
        </w:rPr>
        <w:t>Dotación mensual combustible de cada vehículo de uso directo y de uso operativo, así como los tickets o comprobantes de pago de combustible y la bitácora de control vehicular correspondiente.</w:t>
      </w:r>
    </w:p>
    <w:p w14:paraId="1C7E822C" w14:textId="77777777" w:rsidR="00FE465E" w:rsidRPr="004D6F57" w:rsidRDefault="00245254">
      <w:pPr>
        <w:numPr>
          <w:ilvl w:val="0"/>
          <w:numId w:val="2"/>
        </w:numPr>
        <w:pBdr>
          <w:top w:val="nil"/>
          <w:left w:val="nil"/>
          <w:bottom w:val="nil"/>
          <w:right w:val="nil"/>
          <w:between w:val="nil"/>
        </w:pBdr>
        <w:tabs>
          <w:tab w:val="left" w:pos="709"/>
        </w:tabs>
        <w:spacing w:before="240" w:after="240" w:line="360" w:lineRule="auto"/>
        <w:ind w:left="425" w:firstLine="0"/>
        <w:jc w:val="both"/>
        <w:rPr>
          <w:rFonts w:ascii="Palatino Linotype" w:eastAsia="Palatino Linotype" w:hAnsi="Palatino Linotype" w:cs="Palatino Linotype"/>
        </w:rPr>
      </w:pPr>
      <w:bookmarkStart w:id="8" w:name="_heading=h.1ksv4uv" w:colFirst="0" w:colLast="0"/>
      <w:bookmarkEnd w:id="8"/>
      <w:r w:rsidRPr="004D6F57">
        <w:rPr>
          <w:rFonts w:ascii="Palatino Linotype" w:eastAsia="Palatino Linotype" w:hAnsi="Palatino Linotype" w:cs="Palatino Linotype"/>
        </w:rPr>
        <w:t xml:space="preserve">El número de tag asignado al </w:t>
      </w:r>
      <w:proofErr w:type="gramStart"/>
      <w:r w:rsidRPr="004D6F57">
        <w:rPr>
          <w:rFonts w:ascii="Palatino Linotype" w:eastAsia="Palatino Linotype" w:hAnsi="Palatino Linotype" w:cs="Palatino Linotype"/>
        </w:rPr>
        <w:t>Director General</w:t>
      </w:r>
      <w:proofErr w:type="gramEnd"/>
      <w:r w:rsidRPr="004D6F57">
        <w:rPr>
          <w:rFonts w:ascii="Palatino Linotype" w:eastAsia="Palatino Linotype" w:hAnsi="Palatino Linotype" w:cs="Palatino Linotype"/>
        </w:rPr>
        <w:t xml:space="preserve"> y demás vehículos, el número de tag de cada vehículo y el reporte de cruce de las tag.</w:t>
      </w:r>
    </w:p>
    <w:p w14:paraId="3C549C8A" w14:textId="77777777" w:rsidR="00FE465E" w:rsidRPr="004D6F57" w:rsidRDefault="00245254">
      <w:pPr>
        <w:tabs>
          <w:tab w:val="left" w:pos="5040"/>
        </w:tabs>
        <w:spacing w:before="120" w:after="120"/>
        <w:ind w:left="425" w:right="51"/>
        <w:jc w:val="both"/>
        <w:rPr>
          <w:rFonts w:ascii="Palatino Linotype" w:eastAsia="Palatino Linotype" w:hAnsi="Palatino Linotype" w:cs="Palatino Linotype"/>
          <w:b/>
          <w:i/>
          <w:sz w:val="22"/>
          <w:szCs w:val="22"/>
        </w:rPr>
      </w:pPr>
      <w:r w:rsidRPr="004D6F57">
        <w:rPr>
          <w:rFonts w:ascii="Palatino Linotype" w:eastAsia="Palatino Linotype" w:hAnsi="Palatino Linotype" w:cs="Palatino Linotype"/>
          <w:i/>
          <w:sz w:val="22"/>
          <w:szCs w:val="22"/>
        </w:rPr>
        <w:t xml:space="preserve">De ser procedente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4D6F57">
        <w:rPr>
          <w:rFonts w:ascii="Palatino Linotype" w:eastAsia="Palatino Linotype" w:hAnsi="Palatino Linotype" w:cs="Palatino Linotype"/>
          <w:b/>
          <w:i/>
          <w:sz w:val="22"/>
          <w:szCs w:val="22"/>
        </w:rPr>
        <w:t>Recurrente</w:t>
      </w:r>
    </w:p>
    <w:p w14:paraId="150629B6" w14:textId="77777777" w:rsidR="00FE465E" w:rsidRPr="004D6F57" w:rsidRDefault="00245254">
      <w:pPr>
        <w:spacing w:before="240" w:after="240"/>
        <w:ind w:left="426" w:right="49"/>
        <w:jc w:val="both"/>
        <w:rPr>
          <w:rFonts w:ascii="Palatino Linotype" w:eastAsia="Palatino Linotype" w:hAnsi="Palatino Linotype" w:cs="Palatino Linotype"/>
          <w:i/>
          <w:sz w:val="20"/>
          <w:szCs w:val="20"/>
        </w:rPr>
      </w:pPr>
      <w:r w:rsidRPr="004D6F57">
        <w:rPr>
          <w:rFonts w:ascii="Palatino Linotype" w:eastAsia="Palatino Linotype" w:hAnsi="Palatino Linotype" w:cs="Palatino Linotype"/>
          <w:i/>
          <w:sz w:val="20"/>
          <w:szCs w:val="20"/>
        </w:rPr>
        <w:t xml:space="preserve">En el supuesto que la información ordenada en el punto 4 no obre en los archivos del </w:t>
      </w:r>
      <w:r w:rsidRPr="004D6F57">
        <w:rPr>
          <w:rFonts w:ascii="Palatino Linotype" w:eastAsia="Palatino Linotype" w:hAnsi="Palatino Linotype" w:cs="Palatino Linotype"/>
          <w:b/>
          <w:i/>
          <w:sz w:val="20"/>
          <w:szCs w:val="20"/>
        </w:rPr>
        <w:t>Sujeto Obligado</w:t>
      </w:r>
      <w:r w:rsidRPr="004D6F57">
        <w:rPr>
          <w:rFonts w:ascii="Palatino Linotype" w:eastAsia="Palatino Linotype" w:hAnsi="Palatino Linotype" w:cs="Palatino Linotype"/>
          <w:i/>
          <w:sz w:val="20"/>
          <w:szCs w:val="20"/>
        </w:rPr>
        <w:t xml:space="preserve">, bastará con que así lo haga del conocimiento de la parte </w:t>
      </w:r>
      <w:r w:rsidRPr="004D6F57">
        <w:rPr>
          <w:rFonts w:ascii="Palatino Linotype" w:eastAsia="Palatino Linotype" w:hAnsi="Palatino Linotype" w:cs="Palatino Linotype"/>
          <w:b/>
          <w:i/>
          <w:sz w:val="20"/>
          <w:szCs w:val="20"/>
        </w:rPr>
        <w:t>Recurrente</w:t>
      </w:r>
      <w:r w:rsidRPr="004D6F57">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287ADAD9"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b/>
        </w:rPr>
        <w:t xml:space="preserve">Tercero. Notifíquese, </w:t>
      </w:r>
      <w:r w:rsidRPr="004D6F57">
        <w:rPr>
          <w:rFonts w:ascii="Palatino Linotype" w:eastAsia="Palatino Linotype" w:hAnsi="Palatino Linotype" w:cs="Palatino Linotype"/>
        </w:rPr>
        <w:t xml:space="preserve">vía </w:t>
      </w:r>
      <w:r w:rsidRPr="004D6F57">
        <w:rPr>
          <w:rFonts w:ascii="Palatino Linotype" w:eastAsia="Palatino Linotype" w:hAnsi="Palatino Linotype" w:cs="Palatino Linotype"/>
          <w:b/>
        </w:rPr>
        <w:t>SAIMEX</w:t>
      </w:r>
      <w:r w:rsidRPr="004D6F57">
        <w:rPr>
          <w:rFonts w:ascii="Palatino Linotype" w:eastAsia="Palatino Linotype" w:hAnsi="Palatino Linotype" w:cs="Palatino Linotype"/>
        </w:rPr>
        <w:t xml:space="preserve">, al Titular de la Unidad de Transparencia del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2A855C" w14:textId="77777777"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4D6F57">
        <w:rPr>
          <w:rFonts w:ascii="Palatino Linotype" w:eastAsia="Palatino Linotype" w:hAnsi="Palatino Linotype" w:cs="Palatino Linotype"/>
          <w:b/>
        </w:rPr>
        <w:t>Sujeto Obligado</w:t>
      </w:r>
      <w:r w:rsidRPr="004D6F57">
        <w:rPr>
          <w:rFonts w:ascii="Palatino Linotype" w:eastAsia="Palatino Linotype" w:hAnsi="Palatino Linotype" w:cs="Palatino Linotype"/>
        </w:rPr>
        <w:t xml:space="preserve"> de manera fundada y motivada, podrá solicitar una ampliación de plazo para el cumplimiento de la presente resolución.</w:t>
      </w:r>
    </w:p>
    <w:p w14:paraId="564ADBAF" w14:textId="77777777" w:rsidR="00FE465E" w:rsidRPr="004D6F57" w:rsidRDefault="00245254">
      <w:pPr>
        <w:spacing w:before="240" w:after="240" w:line="360" w:lineRule="auto"/>
        <w:jc w:val="both"/>
        <w:rPr>
          <w:rFonts w:ascii="Palatino Linotype" w:eastAsia="Palatino Linotype" w:hAnsi="Palatino Linotype" w:cs="Palatino Linotype"/>
        </w:rPr>
      </w:pPr>
      <w:bookmarkStart w:id="9" w:name="_heading=h.17dp8vu" w:colFirst="0" w:colLast="0"/>
      <w:bookmarkEnd w:id="9"/>
      <w:r w:rsidRPr="004D6F57">
        <w:rPr>
          <w:rFonts w:ascii="Palatino Linotype" w:eastAsia="Palatino Linotype" w:hAnsi="Palatino Linotype" w:cs="Palatino Linotype"/>
          <w:b/>
        </w:rPr>
        <w:t xml:space="preserve">Cuarto.  Notifíquese, </w:t>
      </w:r>
      <w:r w:rsidRPr="004D6F57">
        <w:rPr>
          <w:rFonts w:ascii="Palatino Linotype" w:eastAsia="Palatino Linotype" w:hAnsi="Palatino Linotype" w:cs="Palatino Linotype"/>
        </w:rPr>
        <w:t xml:space="preserve">vía </w:t>
      </w:r>
      <w:r w:rsidRPr="004D6F57">
        <w:rPr>
          <w:rFonts w:ascii="Palatino Linotype" w:eastAsia="Palatino Linotype" w:hAnsi="Palatino Linotype" w:cs="Palatino Linotype"/>
          <w:b/>
        </w:rPr>
        <w:t>SAIMEX</w:t>
      </w:r>
      <w:r w:rsidRPr="004D6F57">
        <w:rPr>
          <w:rFonts w:ascii="Palatino Linotype" w:eastAsia="Palatino Linotype" w:hAnsi="Palatino Linotype" w:cs="Palatino Linotype"/>
        </w:rPr>
        <w:t xml:space="preserve">, a la parte </w:t>
      </w:r>
      <w:r w:rsidRPr="004D6F57">
        <w:rPr>
          <w:rFonts w:ascii="Palatino Linotype" w:eastAsia="Palatino Linotype" w:hAnsi="Palatino Linotype" w:cs="Palatino Linotype"/>
          <w:b/>
        </w:rPr>
        <w:t>Recurrente</w:t>
      </w:r>
      <w:r w:rsidRPr="004D6F5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0DAAA6F" w14:textId="54E31F5A" w:rsidR="00FE465E" w:rsidRPr="004D6F57" w:rsidRDefault="00245254">
      <w:pPr>
        <w:spacing w:before="240" w:after="240" w:line="360" w:lineRule="auto"/>
        <w:jc w:val="both"/>
        <w:rPr>
          <w:rFonts w:ascii="Palatino Linotype" w:eastAsia="Palatino Linotype" w:hAnsi="Palatino Linotype" w:cs="Palatino Linotype"/>
        </w:rPr>
      </w:pPr>
      <w:r w:rsidRPr="004D6F5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4D6F57" w:rsidRPr="004D6F57">
        <w:rPr>
          <w:rFonts w:ascii="Palatino Linotype" w:eastAsia="Palatino Linotype" w:hAnsi="Palatino Linotype" w:cs="Palatino Linotype"/>
        </w:rPr>
        <w:t>(</w:t>
      </w:r>
      <w:r w:rsidRPr="004D6F57">
        <w:rPr>
          <w:rFonts w:ascii="Palatino Linotype" w:eastAsia="Palatino Linotype" w:hAnsi="Palatino Linotype" w:cs="Palatino Linotype"/>
        </w:rPr>
        <w:t>EMITIENDO VOTO PARTICULAR CONCURRENTE</w:t>
      </w:r>
      <w:r w:rsidR="004D6F57" w:rsidRPr="004D6F57">
        <w:rPr>
          <w:rFonts w:ascii="Palatino Linotype" w:eastAsia="Palatino Linotype" w:hAnsi="Palatino Linotype" w:cs="Palatino Linotype"/>
        </w:rPr>
        <w:t>)</w:t>
      </w:r>
      <w:r w:rsidRPr="004D6F57">
        <w:rPr>
          <w:rFonts w:ascii="Palatino Linotype" w:eastAsia="Palatino Linotype" w:hAnsi="Palatino Linotype" w:cs="Palatino Linotype"/>
        </w:rPr>
        <w:t xml:space="preserve">; LUIS GUSTAVO PARRA NORIEGA, Y GUADALUPE RAMÍREZ PEÑA, </w:t>
      </w:r>
      <w:r w:rsidR="004D6F57" w:rsidRPr="004D6F57">
        <w:rPr>
          <w:rFonts w:ascii="Palatino Linotype" w:eastAsia="Palatino Linotype" w:hAnsi="Palatino Linotype" w:cs="Palatino Linotype"/>
        </w:rPr>
        <w:t>(</w:t>
      </w:r>
      <w:r w:rsidRPr="004D6F57">
        <w:rPr>
          <w:rFonts w:ascii="Palatino Linotype" w:eastAsia="Palatino Linotype" w:hAnsi="Palatino Linotype" w:cs="Palatino Linotype"/>
        </w:rPr>
        <w:t>EMITIENDO VOTO PARTICULAR CONCURRENTE</w:t>
      </w:r>
      <w:r w:rsidR="004D6F57" w:rsidRPr="004D6F57">
        <w:rPr>
          <w:rFonts w:ascii="Palatino Linotype" w:eastAsia="Palatino Linotype" w:hAnsi="Palatino Linotype" w:cs="Palatino Linotype"/>
        </w:rPr>
        <w:t>)</w:t>
      </w:r>
      <w:r w:rsidRPr="004D6F57">
        <w:rPr>
          <w:rFonts w:ascii="Palatino Linotype" w:eastAsia="Palatino Linotype" w:hAnsi="Palatino Linotype" w:cs="Palatino Linotype"/>
        </w:rPr>
        <w:t>; EN LA TRIGÉSIMA SEXTA SESIÓN ORDINARIA CELEBRADA EL NUEVE DE OCTUBRE DE DOS MIL VEINTICUATRO, ANTE EL SECRETARIO TÉCNICO DEL PLENO ALEXIS TAPIA RAMÍREZ.</w:t>
      </w:r>
    </w:p>
    <w:p w14:paraId="2FC92058" w14:textId="77777777" w:rsidR="00FE465E" w:rsidRPr="004D6F57" w:rsidRDefault="00FE465E">
      <w:pPr>
        <w:spacing w:line="360" w:lineRule="auto"/>
        <w:jc w:val="both"/>
        <w:rPr>
          <w:rFonts w:ascii="Palatino Linotype" w:eastAsia="Palatino Linotype" w:hAnsi="Palatino Linotype" w:cs="Palatino Linotype"/>
        </w:rPr>
      </w:pPr>
      <w:bookmarkStart w:id="10" w:name="_heading=h.1fob9te" w:colFirst="0" w:colLast="0"/>
      <w:bookmarkEnd w:id="10"/>
    </w:p>
    <w:p w14:paraId="51EA9667" w14:textId="77777777" w:rsidR="00FE465E" w:rsidRPr="004D6F57" w:rsidRDefault="00FE465E">
      <w:pPr>
        <w:rPr>
          <w:rFonts w:ascii="Palatino Linotype" w:eastAsia="Palatino Linotype" w:hAnsi="Palatino Linotype" w:cs="Palatino Linotype"/>
        </w:rPr>
      </w:pPr>
    </w:p>
    <w:p w14:paraId="2F98BD5E" w14:textId="77777777" w:rsidR="00FE465E" w:rsidRPr="004D6F57" w:rsidRDefault="00FE465E">
      <w:pPr>
        <w:rPr>
          <w:rFonts w:ascii="Palatino Linotype" w:eastAsia="Palatino Linotype" w:hAnsi="Palatino Linotype" w:cs="Palatino Linotype"/>
        </w:rPr>
      </w:pPr>
    </w:p>
    <w:p w14:paraId="11A591B9" w14:textId="77777777" w:rsidR="00FE465E" w:rsidRPr="004D6F57" w:rsidRDefault="00FE465E">
      <w:pPr>
        <w:rPr>
          <w:rFonts w:ascii="Palatino Linotype" w:eastAsia="Palatino Linotype" w:hAnsi="Palatino Linotype" w:cs="Palatino Linotype"/>
        </w:rPr>
      </w:pPr>
    </w:p>
    <w:p w14:paraId="17D42021" w14:textId="77777777" w:rsidR="00FE465E" w:rsidRPr="004D6F57" w:rsidRDefault="00FE465E">
      <w:pPr>
        <w:rPr>
          <w:rFonts w:ascii="Palatino Linotype" w:eastAsia="Palatino Linotype" w:hAnsi="Palatino Linotype" w:cs="Palatino Linotype"/>
        </w:rPr>
      </w:pPr>
    </w:p>
    <w:p w14:paraId="3FE15520" w14:textId="77777777" w:rsidR="00FE465E" w:rsidRPr="004D6F57" w:rsidRDefault="00FE465E">
      <w:pPr>
        <w:rPr>
          <w:rFonts w:ascii="Palatino Linotype" w:eastAsia="Palatino Linotype" w:hAnsi="Palatino Linotype" w:cs="Palatino Linotype"/>
        </w:rPr>
      </w:pPr>
    </w:p>
    <w:p w14:paraId="428B7CE0" w14:textId="77777777" w:rsidR="00FE465E" w:rsidRPr="004D6F57" w:rsidRDefault="00FE465E">
      <w:pPr>
        <w:rPr>
          <w:rFonts w:ascii="Palatino Linotype" w:eastAsia="Palatino Linotype" w:hAnsi="Palatino Linotype" w:cs="Palatino Linotype"/>
        </w:rPr>
      </w:pPr>
    </w:p>
    <w:p w14:paraId="7C426574" w14:textId="77777777" w:rsidR="00FE465E" w:rsidRPr="004D6F57" w:rsidRDefault="00FE465E">
      <w:pPr>
        <w:rPr>
          <w:rFonts w:ascii="Palatino Linotype" w:eastAsia="Palatino Linotype" w:hAnsi="Palatino Linotype" w:cs="Palatino Linotype"/>
        </w:rPr>
      </w:pPr>
    </w:p>
    <w:p w14:paraId="1A3B094E" w14:textId="77777777" w:rsidR="00FE465E" w:rsidRPr="004D6F57" w:rsidRDefault="00FE465E">
      <w:pPr>
        <w:rPr>
          <w:rFonts w:ascii="Palatino Linotype" w:eastAsia="Palatino Linotype" w:hAnsi="Palatino Linotype" w:cs="Palatino Linotype"/>
        </w:rPr>
      </w:pPr>
    </w:p>
    <w:p w14:paraId="65E0BA0B" w14:textId="77777777" w:rsidR="00FE465E" w:rsidRPr="004D6F57" w:rsidRDefault="00FE465E">
      <w:pPr>
        <w:rPr>
          <w:rFonts w:ascii="Palatino Linotype" w:eastAsia="Palatino Linotype" w:hAnsi="Palatino Linotype" w:cs="Palatino Linotype"/>
        </w:rPr>
      </w:pPr>
    </w:p>
    <w:p w14:paraId="794E277C" w14:textId="77777777" w:rsidR="00FE465E" w:rsidRPr="004D6F57" w:rsidRDefault="00FE465E">
      <w:pPr>
        <w:spacing w:line="360" w:lineRule="auto"/>
        <w:jc w:val="both"/>
        <w:rPr>
          <w:rFonts w:ascii="Palatino Linotype" w:eastAsia="Palatino Linotype" w:hAnsi="Palatino Linotype" w:cs="Palatino Linotype"/>
        </w:rPr>
      </w:pPr>
      <w:bookmarkStart w:id="11" w:name="_heading=h.3rdcrjn" w:colFirst="0" w:colLast="0"/>
      <w:bookmarkEnd w:id="11"/>
    </w:p>
    <w:p w14:paraId="464DCB0A" w14:textId="77777777" w:rsidR="00FE465E" w:rsidRPr="004D6F57" w:rsidRDefault="00FE465E">
      <w:pPr>
        <w:spacing w:line="360" w:lineRule="auto"/>
        <w:jc w:val="both"/>
        <w:rPr>
          <w:rFonts w:ascii="Palatino Linotype" w:eastAsia="Palatino Linotype" w:hAnsi="Palatino Linotype" w:cs="Palatino Linotype"/>
        </w:rPr>
      </w:pPr>
    </w:p>
    <w:p w14:paraId="31731660" w14:textId="77777777" w:rsidR="00FE465E" w:rsidRPr="004D6F57" w:rsidRDefault="00FE465E">
      <w:pPr>
        <w:spacing w:line="360" w:lineRule="auto"/>
        <w:jc w:val="both"/>
        <w:rPr>
          <w:rFonts w:ascii="Palatino Linotype" w:eastAsia="Palatino Linotype" w:hAnsi="Palatino Linotype" w:cs="Palatino Linotype"/>
        </w:rPr>
      </w:pPr>
    </w:p>
    <w:p w14:paraId="272E2F40" w14:textId="77777777" w:rsidR="00FE465E" w:rsidRPr="004D6F57" w:rsidRDefault="00FE465E">
      <w:pPr>
        <w:spacing w:line="360" w:lineRule="auto"/>
        <w:jc w:val="both"/>
        <w:rPr>
          <w:rFonts w:ascii="Palatino Linotype" w:eastAsia="Palatino Linotype" w:hAnsi="Palatino Linotype" w:cs="Palatino Linotype"/>
        </w:rPr>
      </w:pPr>
      <w:bookmarkStart w:id="12" w:name="_heading=h.1t3h5sf" w:colFirst="0" w:colLast="0"/>
      <w:bookmarkEnd w:id="12"/>
    </w:p>
    <w:p w14:paraId="31D783F1" w14:textId="77777777" w:rsidR="00FE465E" w:rsidRPr="004D6F57" w:rsidRDefault="00FE465E">
      <w:pPr>
        <w:spacing w:line="360" w:lineRule="auto"/>
        <w:jc w:val="both"/>
        <w:rPr>
          <w:rFonts w:ascii="Palatino Linotype" w:eastAsia="Palatino Linotype" w:hAnsi="Palatino Linotype" w:cs="Palatino Linotype"/>
        </w:rPr>
      </w:pPr>
    </w:p>
    <w:p w14:paraId="33ED7849" w14:textId="77777777" w:rsidR="00FE465E" w:rsidRPr="004D6F57" w:rsidRDefault="00FE465E">
      <w:pPr>
        <w:spacing w:line="360" w:lineRule="auto"/>
        <w:jc w:val="both"/>
        <w:rPr>
          <w:rFonts w:ascii="Palatino Linotype" w:eastAsia="Palatino Linotype" w:hAnsi="Palatino Linotype" w:cs="Palatino Linotype"/>
        </w:rPr>
      </w:pPr>
    </w:p>
    <w:p w14:paraId="382C6A27" w14:textId="77777777" w:rsidR="00FE465E" w:rsidRPr="004D6F57" w:rsidRDefault="00FE465E">
      <w:pPr>
        <w:spacing w:line="360" w:lineRule="auto"/>
        <w:jc w:val="both"/>
        <w:rPr>
          <w:rFonts w:ascii="Palatino Linotype" w:eastAsia="Palatino Linotype" w:hAnsi="Palatino Linotype" w:cs="Palatino Linotype"/>
        </w:rPr>
      </w:pPr>
    </w:p>
    <w:p w14:paraId="1AF127A5" w14:textId="77777777" w:rsidR="00FE465E" w:rsidRPr="004D6F57" w:rsidRDefault="00FE465E">
      <w:pPr>
        <w:spacing w:line="360" w:lineRule="auto"/>
        <w:jc w:val="both"/>
        <w:rPr>
          <w:rFonts w:ascii="Palatino Linotype" w:eastAsia="Palatino Linotype" w:hAnsi="Palatino Linotype" w:cs="Palatino Linotype"/>
        </w:rPr>
      </w:pPr>
    </w:p>
    <w:p w14:paraId="308AB7BD" w14:textId="77777777" w:rsidR="00FE465E" w:rsidRPr="004D6F57" w:rsidRDefault="00FE465E">
      <w:pPr>
        <w:spacing w:line="360" w:lineRule="auto"/>
        <w:jc w:val="both"/>
        <w:rPr>
          <w:rFonts w:ascii="Palatino Linotype" w:eastAsia="Palatino Linotype" w:hAnsi="Palatino Linotype" w:cs="Palatino Linotype"/>
        </w:rPr>
      </w:pPr>
    </w:p>
    <w:p w14:paraId="54B79C7C" w14:textId="77777777" w:rsidR="00FE465E" w:rsidRPr="004D6F57" w:rsidRDefault="00FE465E">
      <w:pPr>
        <w:spacing w:line="360" w:lineRule="auto"/>
        <w:jc w:val="both"/>
        <w:rPr>
          <w:rFonts w:ascii="Palatino Linotype" w:eastAsia="Palatino Linotype" w:hAnsi="Palatino Linotype" w:cs="Palatino Linotype"/>
        </w:rPr>
      </w:pPr>
    </w:p>
    <w:p w14:paraId="22FB1E2F" w14:textId="77777777" w:rsidR="00FE465E" w:rsidRPr="004D6F57" w:rsidRDefault="00FE465E">
      <w:pPr>
        <w:spacing w:line="360" w:lineRule="auto"/>
        <w:jc w:val="both"/>
        <w:rPr>
          <w:rFonts w:ascii="Palatino Linotype" w:eastAsia="Palatino Linotype" w:hAnsi="Palatino Linotype" w:cs="Palatino Linotype"/>
        </w:rPr>
      </w:pPr>
    </w:p>
    <w:p w14:paraId="16C1C273" w14:textId="77777777" w:rsidR="00FE465E" w:rsidRPr="004D6F57" w:rsidRDefault="00FE465E">
      <w:pPr>
        <w:spacing w:line="360" w:lineRule="auto"/>
        <w:jc w:val="both"/>
        <w:rPr>
          <w:rFonts w:ascii="Palatino Linotype" w:eastAsia="Palatino Linotype" w:hAnsi="Palatino Linotype" w:cs="Palatino Linotype"/>
        </w:rPr>
      </w:pPr>
    </w:p>
    <w:p w14:paraId="224D734C" w14:textId="77777777" w:rsidR="00FE465E" w:rsidRPr="004D6F57" w:rsidRDefault="00FE465E">
      <w:pPr>
        <w:spacing w:line="360" w:lineRule="auto"/>
        <w:jc w:val="both"/>
        <w:rPr>
          <w:rFonts w:ascii="Palatino Linotype" w:eastAsia="Palatino Linotype" w:hAnsi="Palatino Linotype" w:cs="Palatino Linotype"/>
        </w:rPr>
      </w:pPr>
    </w:p>
    <w:p w14:paraId="104CE2F5" w14:textId="77777777" w:rsidR="00FE465E" w:rsidRPr="004D6F57" w:rsidRDefault="00FE465E">
      <w:pPr>
        <w:spacing w:line="360" w:lineRule="auto"/>
        <w:jc w:val="both"/>
        <w:rPr>
          <w:rFonts w:ascii="Palatino Linotype" w:eastAsia="Palatino Linotype" w:hAnsi="Palatino Linotype" w:cs="Palatino Linotype"/>
        </w:rPr>
      </w:pPr>
    </w:p>
    <w:p w14:paraId="70AB9B41" w14:textId="77777777" w:rsidR="00FE465E" w:rsidRPr="004D6F57" w:rsidRDefault="00FE465E">
      <w:pPr>
        <w:spacing w:line="360" w:lineRule="auto"/>
        <w:jc w:val="both"/>
        <w:rPr>
          <w:rFonts w:ascii="Palatino Linotype" w:eastAsia="Palatino Linotype" w:hAnsi="Palatino Linotype" w:cs="Palatino Linotype"/>
        </w:rPr>
      </w:pPr>
    </w:p>
    <w:p w14:paraId="02700D0B" w14:textId="77777777" w:rsidR="00FE465E" w:rsidRPr="004D6F57" w:rsidRDefault="00FE465E">
      <w:pPr>
        <w:spacing w:line="360" w:lineRule="auto"/>
        <w:jc w:val="both"/>
        <w:rPr>
          <w:rFonts w:ascii="Palatino Linotype" w:eastAsia="Palatino Linotype" w:hAnsi="Palatino Linotype" w:cs="Palatino Linotype"/>
        </w:rPr>
      </w:pPr>
    </w:p>
    <w:p w14:paraId="1FB11F5D" w14:textId="77777777" w:rsidR="00FE465E" w:rsidRPr="004D6F57" w:rsidRDefault="00FE465E">
      <w:pPr>
        <w:spacing w:line="360" w:lineRule="auto"/>
        <w:jc w:val="both"/>
        <w:rPr>
          <w:rFonts w:ascii="Palatino Linotype" w:eastAsia="Palatino Linotype" w:hAnsi="Palatino Linotype" w:cs="Palatino Linotype"/>
        </w:rPr>
      </w:pPr>
    </w:p>
    <w:sectPr w:rsidR="00FE465E" w:rsidRPr="004D6F57">
      <w:headerReference w:type="default" r:id="rId41"/>
      <w:footerReference w:type="default" r:id="rId42"/>
      <w:headerReference w:type="first" r:id="rId43"/>
      <w:footerReference w:type="first" r:id="rId4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DCA7F" w14:textId="77777777" w:rsidR="00167C2A" w:rsidRDefault="00167C2A">
      <w:r>
        <w:separator/>
      </w:r>
    </w:p>
  </w:endnote>
  <w:endnote w:type="continuationSeparator" w:id="0">
    <w:p w14:paraId="1D189526" w14:textId="77777777" w:rsidR="00167C2A" w:rsidRDefault="0016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0F48" w14:textId="77777777" w:rsidR="00FE465E" w:rsidRDefault="002452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2D71">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2D71">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4C610BE8" w14:textId="77777777" w:rsidR="00FE465E" w:rsidRDefault="00FE465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C014" w14:textId="77777777" w:rsidR="00FE465E" w:rsidRDefault="002452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2D7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2D71">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EC87CDC" w14:textId="77777777" w:rsidR="00FE465E" w:rsidRDefault="00FE465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67592" w14:textId="77777777" w:rsidR="00167C2A" w:rsidRDefault="00167C2A">
      <w:r>
        <w:separator/>
      </w:r>
    </w:p>
  </w:footnote>
  <w:footnote w:type="continuationSeparator" w:id="0">
    <w:p w14:paraId="47758FB0" w14:textId="77777777" w:rsidR="00167C2A" w:rsidRDefault="00167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A1D6" w14:textId="77777777" w:rsidR="00FE465E" w:rsidRDefault="00245254">
    <w:pPr>
      <w:rPr>
        <w:rFonts w:ascii="Cambria" w:eastAsia="Cambria" w:hAnsi="Cambria" w:cs="Cambria"/>
        <w:color w:val="000000"/>
      </w:rPr>
    </w:pPr>
    <w:r>
      <w:rPr>
        <w:noProof/>
      </w:rPr>
      <w:drawing>
        <wp:anchor distT="0" distB="0" distL="0" distR="0" simplePos="0" relativeHeight="251658240" behindDoc="1" locked="0" layoutInCell="1" hidden="0" allowOverlap="1" wp14:anchorId="119434B0" wp14:editId="7DB600A0">
          <wp:simplePos x="0" y="0"/>
          <wp:positionH relativeFrom="column">
            <wp:posOffset>-1080104</wp:posOffset>
          </wp:positionH>
          <wp:positionV relativeFrom="paragraph">
            <wp:posOffset>-488279</wp:posOffset>
          </wp:positionV>
          <wp:extent cx="7809865" cy="10165715"/>
          <wp:effectExtent l="0" t="0" r="0" b="0"/>
          <wp:wrapNone/>
          <wp:docPr id="21401317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FE465E" w14:paraId="1784E216" w14:textId="77777777">
      <w:tc>
        <w:tcPr>
          <w:tcW w:w="2489" w:type="dxa"/>
          <w:shd w:val="clear" w:color="auto" w:fill="auto"/>
        </w:tcPr>
        <w:p w14:paraId="09C64DEA" w14:textId="77777777" w:rsidR="00FE465E" w:rsidRDefault="002452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7A7B2D9" w14:textId="77777777" w:rsidR="00FE465E" w:rsidRDefault="002452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04714/INFOEM/IP/RR/2024</w:t>
          </w:r>
        </w:p>
      </w:tc>
    </w:tr>
    <w:tr w:rsidR="00FE465E" w14:paraId="4DCB6E89" w14:textId="77777777">
      <w:trPr>
        <w:trHeight w:val="228"/>
      </w:trPr>
      <w:tc>
        <w:tcPr>
          <w:tcW w:w="2489" w:type="dxa"/>
          <w:shd w:val="clear" w:color="auto" w:fill="auto"/>
          <w:vAlign w:val="center"/>
        </w:tcPr>
        <w:p w14:paraId="5FE222C2" w14:textId="77777777" w:rsidR="00FE465E" w:rsidRDefault="002452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15C523C" w14:textId="77777777" w:rsidR="00FE465E" w:rsidRDefault="0024525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FE465E" w14:paraId="0731DDB7" w14:textId="77777777">
      <w:tc>
        <w:tcPr>
          <w:tcW w:w="2489" w:type="dxa"/>
          <w:shd w:val="clear" w:color="auto" w:fill="auto"/>
          <w:vAlign w:val="center"/>
        </w:tcPr>
        <w:p w14:paraId="105C5417" w14:textId="77777777" w:rsidR="00FE465E" w:rsidRDefault="0024525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112BEE3" w14:textId="77777777" w:rsidR="00FE465E" w:rsidRDefault="002452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136164" w14:textId="77777777" w:rsidR="00FE465E" w:rsidRDefault="0024525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A645" w14:textId="77777777" w:rsidR="00FE465E" w:rsidRDefault="0024525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4A42FF46" wp14:editId="0747F1BB">
          <wp:simplePos x="0" y="0"/>
          <wp:positionH relativeFrom="column">
            <wp:posOffset>-1080130</wp:posOffset>
          </wp:positionH>
          <wp:positionV relativeFrom="paragraph">
            <wp:posOffset>-369906</wp:posOffset>
          </wp:positionV>
          <wp:extent cx="7809865" cy="10165715"/>
          <wp:effectExtent l="0" t="0" r="0" b="0"/>
          <wp:wrapNone/>
          <wp:docPr id="21401317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FE465E" w14:paraId="6554D4EC" w14:textId="77777777">
      <w:tc>
        <w:tcPr>
          <w:tcW w:w="2489" w:type="dxa"/>
          <w:shd w:val="clear" w:color="auto" w:fill="auto"/>
        </w:tcPr>
        <w:p w14:paraId="2E188893" w14:textId="77777777" w:rsidR="00FE465E" w:rsidRDefault="002452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E3C2B44" w14:textId="77777777" w:rsidR="00FE465E" w:rsidRDefault="002452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04714/INFOEM/IP/RR/2024</w:t>
          </w:r>
        </w:p>
      </w:tc>
    </w:tr>
    <w:tr w:rsidR="00FE465E" w14:paraId="09005C81" w14:textId="77777777">
      <w:tc>
        <w:tcPr>
          <w:tcW w:w="2489" w:type="dxa"/>
          <w:shd w:val="clear" w:color="auto" w:fill="auto"/>
        </w:tcPr>
        <w:p w14:paraId="02796071" w14:textId="77777777" w:rsidR="00FE465E" w:rsidRDefault="002452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5758873" w14:textId="77777777" w:rsidR="00FE465E" w:rsidRDefault="00FE465E">
          <w:pPr>
            <w:ind w:right="175"/>
            <w:jc w:val="both"/>
            <w:rPr>
              <w:rFonts w:ascii="Palatino Linotype" w:eastAsia="Palatino Linotype" w:hAnsi="Palatino Linotype" w:cs="Palatino Linotype"/>
              <w:b/>
              <w:sz w:val="22"/>
              <w:szCs w:val="22"/>
            </w:rPr>
          </w:pPr>
        </w:p>
      </w:tc>
    </w:tr>
    <w:tr w:rsidR="00FE465E" w14:paraId="5572D558" w14:textId="77777777">
      <w:trPr>
        <w:trHeight w:val="228"/>
      </w:trPr>
      <w:tc>
        <w:tcPr>
          <w:tcW w:w="2489" w:type="dxa"/>
          <w:shd w:val="clear" w:color="auto" w:fill="auto"/>
          <w:vAlign w:val="center"/>
        </w:tcPr>
        <w:p w14:paraId="6DE97839" w14:textId="77777777" w:rsidR="00FE465E" w:rsidRDefault="002452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0B61C92" w14:textId="77777777" w:rsidR="00FE465E" w:rsidRDefault="0024525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FE465E" w14:paraId="197D368D" w14:textId="77777777">
      <w:tc>
        <w:tcPr>
          <w:tcW w:w="2489" w:type="dxa"/>
          <w:shd w:val="clear" w:color="auto" w:fill="auto"/>
          <w:vAlign w:val="center"/>
        </w:tcPr>
        <w:p w14:paraId="316F75AC" w14:textId="77777777" w:rsidR="00FE465E" w:rsidRDefault="0024525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C02261F" w14:textId="77777777" w:rsidR="00FE465E" w:rsidRDefault="002452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A2770B" w14:textId="77777777" w:rsidR="00FE465E" w:rsidRDefault="00FE46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E7328"/>
    <w:multiLevelType w:val="multilevel"/>
    <w:tmpl w:val="14C8BA7A"/>
    <w:lvl w:ilvl="0">
      <w:start w:val="1"/>
      <w:numFmt w:val="decimal"/>
      <w:pStyle w:val="Listaconvietas3"/>
      <w:lvlText w:val="%1."/>
      <w:lvlJc w:val="left"/>
      <w:pPr>
        <w:ind w:left="786" w:hanging="360"/>
      </w:pPr>
      <w:rPr>
        <w:i w:val="0"/>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43880596"/>
    <w:multiLevelType w:val="multilevel"/>
    <w:tmpl w:val="1B26FCA0"/>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4AC52A4B"/>
    <w:multiLevelType w:val="multilevel"/>
    <w:tmpl w:val="83582F76"/>
    <w:lvl w:ilvl="0">
      <w:start w:val="1"/>
      <w:numFmt w:val="decimal"/>
      <w:lvlText w:val="%1."/>
      <w:lvlJc w:val="left"/>
      <w:pPr>
        <w:ind w:left="786" w:hanging="360"/>
      </w:pPr>
      <w:rPr>
        <w:i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65E"/>
    <w:rsid w:val="00167C2A"/>
    <w:rsid w:val="00245254"/>
    <w:rsid w:val="00432D71"/>
    <w:rsid w:val="004A0FDC"/>
    <w:rsid w:val="004D6F57"/>
    <w:rsid w:val="00D923EF"/>
    <w:rsid w:val="00E965DD"/>
    <w:rsid w:val="00FE4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B2426"/>
  <w15:docId w15:val="{A04CABCD-E135-42D3-9DF4-2B68B01F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30.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3.png"/><Relationship Id="rId29"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5.png"/><Relationship Id="rId23" Type="http://schemas.openxmlformats.org/officeDocument/2006/relationships/image" Target="media/image24.png"/><Relationship Id="rId28" Type="http://schemas.openxmlformats.org/officeDocument/2006/relationships/image" Target="media/image31.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4.png"/><Relationship Id="rId22" Type="http://schemas.openxmlformats.org/officeDocument/2006/relationships/image" Target="media/image10.png"/><Relationship Id="rId27" Type="http://schemas.openxmlformats.org/officeDocument/2006/relationships/image" Target="media/image26.png"/><Relationship Id="rId30" Type="http://schemas.openxmlformats.org/officeDocument/2006/relationships/image" Target="media/image13.png"/><Relationship Id="rId35" Type="http://schemas.openxmlformats.org/officeDocument/2006/relationships/image" Target="media/image33.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2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19.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yPHYsPAkzRCaDHpQtj2gso55g==">CgMxLjAyCWguNGQzNG9nODIIaC5namRneHMyCWguM2R5NnZrbTIJaC4zMGowemxsMgloLjJzOGV5bzEyCGgudHlqY3d0MgloLjN6bnlzaDcyCWguMjZpbjFyZzIJaC4xa3N2NHV2MgloLjE3ZHA4dnUyCWguMWZvYjl0ZTIJaC4zcmRjcmpuMgloLjF0M2g1c2Y4AHIhMVAwRHRZYzA1azNhSEVBNzNlS2ZiUHhlUDhlc21PS2FX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10238</Words>
  <Characters>56314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2024-10-11T18:15:00Z</cp:lastPrinted>
  <dcterms:created xsi:type="dcterms:W3CDTF">2024-10-24T18:51:00Z</dcterms:created>
  <dcterms:modified xsi:type="dcterms:W3CDTF">2024-10-24T18:51:00Z</dcterms:modified>
</cp:coreProperties>
</file>