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207FB4" w14:textId="77777777" w:rsidR="00EF18D7" w:rsidRDefault="00EF18D7">
      <w:pPr>
        <w:widowControl w:val="0"/>
        <w:pBdr>
          <w:top w:val="nil"/>
          <w:left w:val="nil"/>
          <w:bottom w:val="nil"/>
          <w:right w:val="nil"/>
          <w:between w:val="nil"/>
        </w:pBdr>
        <w:spacing w:after="0" w:line="276" w:lineRule="auto"/>
        <w:jc w:val="left"/>
      </w:pPr>
    </w:p>
    <w:p w14:paraId="15CFEF57" w14:textId="77777777" w:rsidR="00EF18D7" w:rsidRDefault="00EF18D7">
      <w:pPr>
        <w:tabs>
          <w:tab w:val="left" w:pos="8931"/>
        </w:tabs>
        <w:spacing w:after="0" w:line="360" w:lineRule="auto"/>
        <w:rPr>
          <w:color w:val="000000"/>
        </w:rPr>
      </w:pPr>
    </w:p>
    <w:p w14:paraId="651D9300" w14:textId="77777777" w:rsidR="00EF18D7" w:rsidRDefault="00D603CD">
      <w:pPr>
        <w:tabs>
          <w:tab w:val="left" w:pos="8931"/>
        </w:tabs>
        <w:spacing w:after="0" w:line="360" w:lineRule="auto"/>
        <w:rPr>
          <w:color w:val="000000"/>
        </w:rPr>
      </w:pPr>
      <w:r>
        <w:rPr>
          <w:color w:val="000000"/>
        </w:rPr>
        <w:t>Resolución del Pleno del Instituto de Transparencia, Acceso a la Información Pública y Protección de Datos Personales del Estado de México y Municipios, con domicilio en Metepec, Estado de México, de fecha trece de noviembre de dos mil veinticuatro.</w:t>
      </w:r>
    </w:p>
    <w:p w14:paraId="3A9D6242" w14:textId="77777777" w:rsidR="00EF18D7" w:rsidRDefault="00EF18D7">
      <w:pPr>
        <w:spacing w:after="0" w:line="360" w:lineRule="auto"/>
        <w:rPr>
          <w:b/>
          <w:color w:val="FF0000"/>
        </w:rPr>
      </w:pPr>
    </w:p>
    <w:p w14:paraId="42CF5019" w14:textId="25270E89" w:rsidR="00EF18D7" w:rsidRDefault="00D603CD">
      <w:pPr>
        <w:spacing w:after="0" w:line="360" w:lineRule="auto"/>
        <w:rPr>
          <w:rFonts w:ascii="Verdana" w:eastAsia="Verdana" w:hAnsi="Verdana" w:cs="Verdana"/>
          <w:b/>
          <w:color w:val="000000"/>
        </w:rPr>
      </w:pPr>
      <w:r>
        <w:rPr>
          <w:b/>
          <w:color w:val="000000"/>
        </w:rPr>
        <w:t xml:space="preserve">VISTO </w:t>
      </w:r>
      <w:r>
        <w:rPr>
          <w:color w:val="000000"/>
        </w:rPr>
        <w:t xml:space="preserve">el expediente electrónico conformado con motivo del Recurso de Revisión </w:t>
      </w:r>
      <w:r w:rsidRPr="00D763C8">
        <w:rPr>
          <w:b/>
          <w:bCs/>
          <w:color w:val="000000"/>
        </w:rPr>
        <w:t>05746/INFOEM/IP/RR/2024,</w:t>
      </w:r>
      <w:r>
        <w:rPr>
          <w:color w:val="000000"/>
        </w:rPr>
        <w:t xml:space="preserve"> interpuesto por </w:t>
      </w:r>
      <w:r w:rsidR="00BD02EE" w:rsidRPr="005265E5">
        <w:rPr>
          <w:highlight w:val="black"/>
        </w:rPr>
        <w:t>****</w:t>
      </w:r>
      <w:r w:rsidR="00BD02EE">
        <w:rPr>
          <w:highlight w:val="black"/>
        </w:rPr>
        <w:t>**************</w:t>
      </w:r>
      <w:r w:rsidR="00BD02EE" w:rsidRPr="005265E5">
        <w:rPr>
          <w:highlight w:val="black"/>
        </w:rPr>
        <w:t>**********</w:t>
      </w:r>
      <w:bookmarkStart w:id="0" w:name="_GoBack"/>
      <w:bookmarkEnd w:id="0"/>
      <w:r>
        <w:rPr>
          <w:color w:val="000000"/>
        </w:rPr>
        <w:t xml:space="preserve">, persona Recurrente o Particular, en contra de la respuesta del Sujeto Obligado, </w:t>
      </w:r>
      <w:r w:rsidRPr="00D763C8">
        <w:rPr>
          <w:b/>
          <w:bCs/>
          <w:color w:val="000000"/>
        </w:rPr>
        <w:t>Ayuntamiento de Almoloya de Juárez,</w:t>
      </w:r>
      <w:r>
        <w:rPr>
          <w:color w:val="000000"/>
        </w:rPr>
        <w:t xml:space="preserve"> a la solicitud de acceso a la información pública</w:t>
      </w:r>
      <w:r>
        <w:rPr>
          <w:rFonts w:ascii="Verdana" w:eastAsia="Verdana" w:hAnsi="Verdana" w:cs="Verdana"/>
          <w:b/>
          <w:color w:val="000000"/>
        </w:rPr>
        <w:t xml:space="preserve"> </w:t>
      </w:r>
      <w:r>
        <w:rPr>
          <w:color w:val="000000"/>
        </w:rPr>
        <w:t>00484/ALMOJU/IP/2024, se emite la presente Resolución, con base en los Antecedentes y Considerandos que se exponen a continuación:</w:t>
      </w:r>
    </w:p>
    <w:p w14:paraId="2640ABEC" w14:textId="77777777" w:rsidR="00EF18D7" w:rsidRDefault="00D603CD">
      <w:pPr>
        <w:tabs>
          <w:tab w:val="left" w:pos="3181"/>
        </w:tabs>
        <w:spacing w:after="0" w:line="360" w:lineRule="auto"/>
        <w:rPr>
          <w:b/>
          <w:color w:val="000000"/>
        </w:rPr>
      </w:pPr>
      <w:r>
        <w:rPr>
          <w:b/>
          <w:color w:val="000000"/>
        </w:rPr>
        <w:tab/>
      </w:r>
    </w:p>
    <w:p w14:paraId="1A10323C" w14:textId="77777777" w:rsidR="00EF18D7" w:rsidRDefault="00D603CD">
      <w:pPr>
        <w:spacing w:after="0" w:line="360" w:lineRule="auto"/>
        <w:jc w:val="center"/>
        <w:rPr>
          <w:b/>
          <w:color w:val="000000"/>
        </w:rPr>
      </w:pPr>
      <w:r>
        <w:rPr>
          <w:b/>
          <w:color w:val="000000"/>
        </w:rPr>
        <w:t>A N T E C E D E N T E S</w:t>
      </w:r>
    </w:p>
    <w:p w14:paraId="7A63F5CB" w14:textId="77777777" w:rsidR="00EF18D7" w:rsidRDefault="00D603CD">
      <w:pPr>
        <w:spacing w:after="0" w:line="360" w:lineRule="auto"/>
        <w:jc w:val="center"/>
        <w:rPr>
          <w:b/>
          <w:color w:val="FF0000"/>
        </w:rPr>
      </w:pPr>
      <w:r>
        <w:rPr>
          <w:b/>
          <w:color w:val="FF0000"/>
        </w:rPr>
        <w:t xml:space="preserve"> </w:t>
      </w:r>
    </w:p>
    <w:p w14:paraId="67D97051" w14:textId="77777777" w:rsidR="00EF18D7" w:rsidRDefault="00D603CD">
      <w:pPr>
        <w:spacing w:after="0" w:line="360" w:lineRule="auto"/>
        <w:rPr>
          <w:b/>
          <w:color w:val="000000"/>
        </w:rPr>
      </w:pPr>
      <w:r>
        <w:rPr>
          <w:b/>
          <w:color w:val="000000"/>
        </w:rPr>
        <w:t>I. Presentación de la solicitud de información</w:t>
      </w:r>
    </w:p>
    <w:p w14:paraId="1BB6D222" w14:textId="77777777" w:rsidR="00EF18D7" w:rsidRDefault="00EF18D7">
      <w:pPr>
        <w:spacing w:after="0" w:line="360" w:lineRule="auto"/>
        <w:rPr>
          <w:b/>
          <w:color w:val="000000"/>
        </w:rPr>
      </w:pPr>
    </w:p>
    <w:p w14:paraId="4FA81BBF" w14:textId="77777777" w:rsidR="00EF18D7" w:rsidRDefault="00D603CD">
      <w:pPr>
        <w:spacing w:after="0" w:line="360" w:lineRule="auto"/>
        <w:rPr>
          <w:color w:val="000000"/>
        </w:rPr>
      </w:pPr>
      <w:r>
        <w:rPr>
          <w:color w:val="000000"/>
        </w:rPr>
        <w:t>El trece de agosto de dos mil veinticuatro, el Particular presentó su solicitud de acceso a la información, a través del Sistema de Acceso a la Información Mexiquense (SAIMEX), ante el Ayuntamiento de Almoloya de Juárez,</w:t>
      </w:r>
      <w:r>
        <w:rPr>
          <w:b/>
          <w:color w:val="000000"/>
        </w:rPr>
        <w:t xml:space="preserve"> </w:t>
      </w:r>
      <w:r>
        <w:rPr>
          <w:color w:val="000000"/>
        </w:rPr>
        <w:t>en los siguientes términos:</w:t>
      </w:r>
    </w:p>
    <w:p w14:paraId="7F3D4D78" w14:textId="77777777" w:rsidR="00EF18D7" w:rsidRDefault="00EF18D7">
      <w:pPr>
        <w:spacing w:after="0" w:line="360" w:lineRule="auto"/>
        <w:rPr>
          <w:color w:val="000000"/>
        </w:rPr>
      </w:pPr>
    </w:p>
    <w:p w14:paraId="6DD1E1B0" w14:textId="77777777" w:rsidR="00EF18D7" w:rsidRDefault="00D603CD">
      <w:pPr>
        <w:spacing w:after="0" w:line="360" w:lineRule="auto"/>
        <w:ind w:left="708"/>
        <w:rPr>
          <w:b/>
          <w:i/>
          <w:color w:val="000000"/>
          <w:sz w:val="20"/>
          <w:szCs w:val="20"/>
        </w:rPr>
      </w:pPr>
      <w:r>
        <w:rPr>
          <w:b/>
          <w:i/>
          <w:color w:val="000000"/>
          <w:sz w:val="20"/>
          <w:szCs w:val="20"/>
        </w:rPr>
        <w:t>“DESCRIPCIÓN CLARA Y PRECISA DE LA INFORMACIÓN SOLICITADA.</w:t>
      </w:r>
    </w:p>
    <w:p w14:paraId="27CC08C3" w14:textId="77777777" w:rsidR="00EF18D7" w:rsidRDefault="00D603CD">
      <w:pPr>
        <w:spacing w:after="0" w:line="360" w:lineRule="auto"/>
        <w:ind w:left="708"/>
        <w:rPr>
          <w:i/>
          <w:color w:val="000000"/>
          <w:sz w:val="20"/>
          <w:szCs w:val="20"/>
        </w:rPr>
      </w:pPr>
      <w:r>
        <w:rPr>
          <w:i/>
          <w:color w:val="000000"/>
          <w:sz w:val="20"/>
          <w:szCs w:val="20"/>
        </w:rPr>
        <w:t xml:space="preserve">Solicito conocer el presupuesto asignado, por año y trienio, a la Unidad Municipal de Control y Bienestar Animal de Almoloya de Juárez. Y conocer, mediante facturas en qué se ha gastado cada peso de enero de 2022 al 13 de agosto de 2024 También, solicito conocer la plantilla laboral de servidores públicos que integra esa área, es decir, la Unidad Municipal de Control y Bienestar Animal de Almoloya </w:t>
      </w:r>
      <w:r>
        <w:rPr>
          <w:i/>
          <w:color w:val="000000"/>
          <w:sz w:val="20"/>
          <w:szCs w:val="20"/>
        </w:rPr>
        <w:lastRenderedPageBreak/>
        <w:t>de Juárez, ya que en otras plataformas de gobierno la información no está actualizada. Hay un predio que la Unidad Municipal de Control y Bienestar Animal utiliza para resguardo de los perros que ellos han capturado, solicito saber "con documento de comprobación" si ese predio le pertenece al Ayuntamiento o, si no fuera así, a quién le pertenece.” (Sic).</w:t>
      </w:r>
    </w:p>
    <w:p w14:paraId="5978E300" w14:textId="77777777" w:rsidR="00EF18D7" w:rsidRDefault="00EF18D7">
      <w:pPr>
        <w:spacing w:after="0" w:line="360" w:lineRule="auto"/>
        <w:ind w:left="708"/>
        <w:rPr>
          <w:i/>
          <w:color w:val="000000"/>
          <w:sz w:val="20"/>
          <w:szCs w:val="20"/>
        </w:rPr>
      </w:pPr>
    </w:p>
    <w:p w14:paraId="0DA95FC1" w14:textId="77777777" w:rsidR="00EF18D7" w:rsidRDefault="00D603CD">
      <w:pPr>
        <w:spacing w:after="0" w:line="360" w:lineRule="auto"/>
        <w:ind w:left="708"/>
        <w:rPr>
          <w:i/>
          <w:color w:val="000000"/>
          <w:sz w:val="20"/>
          <w:szCs w:val="20"/>
        </w:rPr>
      </w:pPr>
      <w:r>
        <w:rPr>
          <w:b/>
          <w:i/>
          <w:color w:val="000000"/>
          <w:sz w:val="20"/>
          <w:szCs w:val="20"/>
        </w:rPr>
        <w:t>MODALIDAD DE ENTREGA “</w:t>
      </w:r>
      <w:r>
        <w:rPr>
          <w:i/>
          <w:color w:val="000000"/>
          <w:sz w:val="20"/>
          <w:szCs w:val="20"/>
        </w:rPr>
        <w:t>A través del SAIMEX”</w:t>
      </w:r>
    </w:p>
    <w:p w14:paraId="35CB200B" w14:textId="77777777" w:rsidR="00EF18D7" w:rsidRDefault="00EF18D7">
      <w:pPr>
        <w:spacing w:after="0" w:line="360" w:lineRule="auto"/>
        <w:rPr>
          <w:color w:val="FF0000"/>
        </w:rPr>
      </w:pPr>
    </w:p>
    <w:p w14:paraId="4C9910ED" w14:textId="77777777" w:rsidR="00EF18D7" w:rsidRDefault="00D603CD">
      <w:pPr>
        <w:spacing w:after="0" w:line="360" w:lineRule="auto"/>
        <w:rPr>
          <w:b/>
          <w:color w:val="000000"/>
        </w:rPr>
      </w:pPr>
      <w:r>
        <w:rPr>
          <w:b/>
          <w:color w:val="000000"/>
        </w:rPr>
        <w:t>II. Prórroga para atender la solicitud de información</w:t>
      </w:r>
    </w:p>
    <w:p w14:paraId="272B2027" w14:textId="77777777" w:rsidR="00EF18D7" w:rsidRDefault="00EF18D7">
      <w:pPr>
        <w:spacing w:after="0" w:line="360" w:lineRule="auto"/>
        <w:rPr>
          <w:color w:val="000000"/>
        </w:rPr>
      </w:pPr>
    </w:p>
    <w:p w14:paraId="3C7D39A8" w14:textId="77777777" w:rsidR="00EF18D7" w:rsidRDefault="00D603CD">
      <w:pPr>
        <w:spacing w:after="0" w:line="360" w:lineRule="auto"/>
        <w:rPr>
          <w:b/>
          <w:color w:val="000000"/>
        </w:rPr>
      </w:pPr>
      <w:r>
        <w:rPr>
          <w:color w:val="000000"/>
        </w:rPr>
        <w:t xml:space="preserve">En fecha tres de septiembre de dos mil veinticuatro, por medio SAIMEX, el Sujeto Obligado, notificó la prórroga para la atención de la solicitud de acceso a la información pública 00484/ALMOJU/IP/2024, en el que arguyó </w:t>
      </w:r>
      <w:r>
        <w:rPr>
          <w:i/>
          <w:color w:val="000000"/>
        </w:rPr>
        <w:t>“…Derivado de la falta de personal con la que se cuenta en la Tesorería Municipal para atender el requerimiento de información y con fundamento en lo dispuesto por el artículo 163 párrafo segundo de la Ley de Transparencia y Acceso a la Información Pública del Estado de México y Municipios, se aprueba prorroga por 7 días hábiles.”.</w:t>
      </w:r>
      <w:r>
        <w:rPr>
          <w:color w:val="000000"/>
        </w:rPr>
        <w:t xml:space="preserve"> (Sic)</w:t>
      </w:r>
    </w:p>
    <w:p w14:paraId="2B19B26E" w14:textId="77777777" w:rsidR="00EF18D7" w:rsidRDefault="00D603CD">
      <w:pPr>
        <w:spacing w:after="0" w:line="360" w:lineRule="auto"/>
        <w:rPr>
          <w:b/>
          <w:color w:val="000000"/>
        </w:rPr>
      </w:pPr>
      <w:r>
        <w:rPr>
          <w:b/>
          <w:color w:val="000000"/>
        </w:rPr>
        <w:t xml:space="preserve"> </w:t>
      </w:r>
    </w:p>
    <w:p w14:paraId="13DEFBFB" w14:textId="77777777" w:rsidR="00EF18D7" w:rsidRDefault="00D603CD">
      <w:pPr>
        <w:tabs>
          <w:tab w:val="left" w:pos="1470"/>
        </w:tabs>
        <w:spacing w:after="0" w:line="360" w:lineRule="auto"/>
        <w:ind w:right="-28"/>
        <w:rPr>
          <w:color w:val="000000"/>
        </w:rPr>
      </w:pPr>
      <w:r>
        <w:rPr>
          <w:color w:val="000000"/>
        </w:rPr>
        <w:t>Es necesario señalar que el Sujeto Obligado, no adjuntó Acta del Comité de Transparencia, por medio de la cual se apruebe la ampliación del periodo para otorgar respuesta en términos de lo establecido de la Ley de Transparencia y Acceso a la Información Pública del Estado de México y Municipios, por lo que, se insta al Ayuntamiento de Almoloya de Juárez a que en futuras ocasiones se abstenga de ampliar el plazo de respuesta si este no está debidamente aprobado por su Comité.</w:t>
      </w:r>
    </w:p>
    <w:p w14:paraId="6C7593BD" w14:textId="77777777" w:rsidR="00EF18D7" w:rsidRDefault="00EF18D7">
      <w:pPr>
        <w:spacing w:after="0" w:line="360" w:lineRule="auto"/>
        <w:rPr>
          <w:color w:val="FF0000"/>
        </w:rPr>
      </w:pPr>
    </w:p>
    <w:p w14:paraId="75B1A567" w14:textId="77777777" w:rsidR="00EF18D7" w:rsidRDefault="00D603CD">
      <w:pPr>
        <w:spacing w:after="0" w:line="360" w:lineRule="auto"/>
        <w:rPr>
          <w:b/>
          <w:color w:val="FF0000"/>
        </w:rPr>
      </w:pPr>
      <w:r>
        <w:rPr>
          <w:b/>
          <w:color w:val="000000"/>
        </w:rPr>
        <w:t>III. Respuesta del Sujeto Obligado</w:t>
      </w:r>
    </w:p>
    <w:p w14:paraId="3B23686A" w14:textId="77777777" w:rsidR="00EF18D7" w:rsidRDefault="00EF18D7">
      <w:pPr>
        <w:spacing w:after="0" w:line="360" w:lineRule="auto"/>
        <w:rPr>
          <w:b/>
          <w:color w:val="FF0000"/>
        </w:rPr>
      </w:pPr>
    </w:p>
    <w:p w14:paraId="5869780F" w14:textId="77777777" w:rsidR="00EF18D7" w:rsidRDefault="00D603CD">
      <w:pPr>
        <w:spacing w:after="0" w:line="360" w:lineRule="auto"/>
        <w:rPr>
          <w:b/>
          <w:color w:val="000000"/>
        </w:rPr>
      </w:pPr>
      <w:r>
        <w:rPr>
          <w:color w:val="000000"/>
        </w:rPr>
        <w:lastRenderedPageBreak/>
        <w:t>El doce de septiembre de dos mil veinticuatro, el Ayuntamiento de Almoloya de Juárez, notificó la respuesta a la solicitud, a través del Sistema de Acceso a la Información Mexiquense (SAIMEX), en los siguientes términos:</w:t>
      </w:r>
    </w:p>
    <w:p w14:paraId="612FB136" w14:textId="77777777" w:rsidR="00EF18D7" w:rsidRDefault="00EF18D7">
      <w:pPr>
        <w:spacing w:after="0" w:line="360" w:lineRule="auto"/>
        <w:rPr>
          <w:color w:val="FF0000"/>
        </w:rPr>
      </w:pPr>
    </w:p>
    <w:p w14:paraId="7DAE55AE" w14:textId="77777777" w:rsidR="00EF18D7" w:rsidRDefault="00D603CD">
      <w:pPr>
        <w:spacing w:after="0" w:line="360" w:lineRule="auto"/>
        <w:ind w:left="708"/>
        <w:rPr>
          <w:i/>
          <w:color w:val="000000"/>
          <w:sz w:val="20"/>
          <w:szCs w:val="20"/>
        </w:rPr>
      </w:pPr>
      <w:r>
        <w:rPr>
          <w:i/>
          <w:color w:val="000000"/>
          <w:sz w:val="20"/>
          <w:szCs w:val="20"/>
        </w:rPr>
        <w:t>“…</w:t>
      </w:r>
    </w:p>
    <w:p w14:paraId="2419F816" w14:textId="77777777" w:rsidR="00EF18D7" w:rsidRDefault="00D603CD">
      <w:pPr>
        <w:spacing w:after="0" w:line="360" w:lineRule="auto"/>
        <w:ind w:left="708"/>
        <w:rPr>
          <w:i/>
          <w:color w:val="000000"/>
          <w:sz w:val="20"/>
          <w:szCs w:val="20"/>
        </w:rPr>
      </w:pPr>
      <w:r>
        <w:rPr>
          <w:i/>
          <w:color w:val="000000"/>
          <w:sz w:val="20"/>
          <w:szCs w:val="20"/>
        </w:rPr>
        <w:t xml:space="preserve">Con fundamento en lo establecido en los artículos 4, 12, 59, 158 y 164 de la Ley de Transparencia y Acceso a la Información Pública del Estado de México y Municipios, se adjunta la presente respuesta, con la finalidad de dar cumplimiento a su solicitud. Se le hace de su conocimiento que el derecho a la información no es absoluto, ni se encuentra limitado, y en caso de no estar conforme con la respuesta proporcionada, tiene derecho de interponer recurso de revisión dentro del pazo de 15 días hábiles contados a partir del día siguiente de la notificación del presente; de conformidad con lo dispuesto por el artículo 177 de la Ley de Transparencia y Acceso a la Información Pública del Estado de México y Municipios. </w:t>
      </w:r>
    </w:p>
    <w:p w14:paraId="134F31D9" w14:textId="77777777" w:rsidR="00EF18D7" w:rsidRDefault="00D603CD">
      <w:pPr>
        <w:spacing w:after="0" w:line="360" w:lineRule="auto"/>
        <w:ind w:left="708"/>
        <w:rPr>
          <w:i/>
          <w:color w:val="000000"/>
          <w:sz w:val="20"/>
          <w:szCs w:val="20"/>
        </w:rPr>
      </w:pPr>
      <w:r>
        <w:rPr>
          <w:i/>
          <w:color w:val="000000"/>
          <w:sz w:val="20"/>
          <w:szCs w:val="20"/>
        </w:rPr>
        <w:t>…”</w:t>
      </w:r>
    </w:p>
    <w:p w14:paraId="6037FABE" w14:textId="77777777" w:rsidR="00EF18D7" w:rsidRDefault="00EF18D7">
      <w:pPr>
        <w:spacing w:after="0" w:line="360" w:lineRule="auto"/>
        <w:rPr>
          <w:color w:val="FF0000"/>
        </w:rPr>
      </w:pPr>
    </w:p>
    <w:p w14:paraId="5E9B2B9B" w14:textId="77777777" w:rsidR="00EF18D7" w:rsidRDefault="00D603CD">
      <w:pPr>
        <w:spacing w:after="0" w:line="360" w:lineRule="auto"/>
        <w:rPr>
          <w:color w:val="000000"/>
        </w:rPr>
      </w:pPr>
      <w:r>
        <w:rPr>
          <w:color w:val="000000"/>
        </w:rPr>
        <w:t>A su respuesta adjuntó el oficio PMAJ/TM/1021/2024, de fecha diez de septiembre de dos mil veinticuatro, signado por la Tesorera Municipal,  mediante el cual señaló que lo peticionado sobrepasa las capacidades técnicas, humanas y administrativas de esa Unidad encargada de dar atención y trámite a dicho requerimiento, pues sólo una persona se encarga de dar contestación a los requerimientos de información, en razón de ello, pone a disposición de la persona Solicitante la información en consulta directa, haciéndole saber de los costos en caso de requerir copias simples o certificadas.</w:t>
      </w:r>
    </w:p>
    <w:p w14:paraId="01E4B852" w14:textId="77777777" w:rsidR="00EF18D7" w:rsidRDefault="00EF18D7">
      <w:pPr>
        <w:spacing w:after="0" w:line="360" w:lineRule="auto"/>
        <w:rPr>
          <w:color w:val="000000"/>
        </w:rPr>
      </w:pPr>
    </w:p>
    <w:p w14:paraId="3E7FE18E" w14:textId="77777777" w:rsidR="00EF18D7" w:rsidRDefault="00D603CD">
      <w:pPr>
        <w:spacing w:after="0" w:line="360" w:lineRule="auto"/>
        <w:rPr>
          <w:b/>
          <w:color w:val="000000"/>
        </w:rPr>
      </w:pPr>
      <w:r>
        <w:rPr>
          <w:b/>
          <w:color w:val="000000"/>
        </w:rPr>
        <w:t>IV. Interposición del Recurso de Revisión</w:t>
      </w:r>
    </w:p>
    <w:p w14:paraId="4AFCCE2B" w14:textId="77777777" w:rsidR="00EF18D7" w:rsidRDefault="00EF18D7">
      <w:pPr>
        <w:spacing w:after="0" w:line="360" w:lineRule="auto"/>
        <w:rPr>
          <w:color w:val="FF0000"/>
        </w:rPr>
      </w:pPr>
    </w:p>
    <w:p w14:paraId="5F7E2056" w14:textId="77777777" w:rsidR="00EF18D7" w:rsidRDefault="00D603CD">
      <w:pPr>
        <w:widowControl w:val="0"/>
        <w:spacing w:after="0" w:line="360" w:lineRule="auto"/>
        <w:rPr>
          <w:color w:val="000000"/>
        </w:rPr>
      </w:pPr>
      <w:r>
        <w:rPr>
          <w:color w:val="000000"/>
        </w:rPr>
        <w:t xml:space="preserve">El veinte de septiembre de dos mil veinticuatro, se recibió en este Instituto, a través del </w:t>
      </w:r>
      <w:r>
        <w:rPr>
          <w:color w:val="000000"/>
        </w:rPr>
        <w:lastRenderedPageBreak/>
        <w:t>Sistema de Acceso a la Información Mexiquense (SAIMEX), el Recurso de Revisión interpuesto por la persona Recurrente, en contra de la respuesta del Sujeto Obligado, en los términos siguientes:</w:t>
      </w:r>
    </w:p>
    <w:p w14:paraId="04AB5F7C" w14:textId="77777777" w:rsidR="00EF18D7" w:rsidRDefault="00EF18D7">
      <w:pPr>
        <w:widowControl w:val="0"/>
        <w:spacing w:after="0" w:line="360" w:lineRule="auto"/>
        <w:rPr>
          <w:color w:val="000000"/>
        </w:rPr>
      </w:pPr>
    </w:p>
    <w:p w14:paraId="3D7ABC2A" w14:textId="77777777" w:rsidR="00EF18D7" w:rsidRDefault="00D603CD">
      <w:pPr>
        <w:tabs>
          <w:tab w:val="left" w:pos="4667"/>
        </w:tabs>
        <w:spacing w:after="0" w:line="360" w:lineRule="auto"/>
        <w:ind w:left="567" w:right="567"/>
        <w:rPr>
          <w:b/>
          <w:i/>
          <w:color w:val="000000"/>
          <w:sz w:val="20"/>
          <w:szCs w:val="20"/>
        </w:rPr>
      </w:pPr>
      <w:r>
        <w:rPr>
          <w:b/>
          <w:i/>
          <w:color w:val="000000"/>
          <w:sz w:val="20"/>
          <w:szCs w:val="20"/>
        </w:rPr>
        <w:t xml:space="preserve"> ACTO IMPUGNADO</w:t>
      </w:r>
    </w:p>
    <w:p w14:paraId="28915FDD" w14:textId="77777777" w:rsidR="00EF18D7" w:rsidRDefault="00D603CD">
      <w:pPr>
        <w:tabs>
          <w:tab w:val="left" w:pos="4667"/>
        </w:tabs>
        <w:spacing w:after="0" w:line="360" w:lineRule="auto"/>
        <w:ind w:left="567" w:right="567"/>
        <w:rPr>
          <w:i/>
          <w:color w:val="000000"/>
          <w:sz w:val="20"/>
          <w:szCs w:val="20"/>
        </w:rPr>
      </w:pPr>
      <w:r>
        <w:rPr>
          <w:i/>
          <w:color w:val="000000"/>
          <w:sz w:val="20"/>
          <w:szCs w:val="20"/>
        </w:rPr>
        <w:t>“El documento adjunto no contiene respuesta a la información solicitada”</w:t>
      </w:r>
    </w:p>
    <w:p w14:paraId="6C177B7F" w14:textId="77777777" w:rsidR="00EF18D7" w:rsidRDefault="00EF18D7">
      <w:pPr>
        <w:tabs>
          <w:tab w:val="left" w:pos="4667"/>
        </w:tabs>
        <w:spacing w:after="0" w:line="360" w:lineRule="auto"/>
        <w:ind w:left="567" w:right="567"/>
        <w:rPr>
          <w:i/>
          <w:color w:val="FF0000"/>
          <w:sz w:val="20"/>
          <w:szCs w:val="20"/>
        </w:rPr>
      </w:pPr>
    </w:p>
    <w:p w14:paraId="5BE9ABA6" w14:textId="77777777" w:rsidR="00EF18D7" w:rsidRDefault="00D603CD">
      <w:pPr>
        <w:tabs>
          <w:tab w:val="left" w:pos="4667"/>
        </w:tabs>
        <w:spacing w:after="0" w:line="360" w:lineRule="auto"/>
        <w:ind w:left="567" w:right="567"/>
        <w:rPr>
          <w:b/>
          <w:i/>
          <w:color w:val="000000"/>
          <w:sz w:val="20"/>
          <w:szCs w:val="20"/>
        </w:rPr>
      </w:pPr>
      <w:r>
        <w:rPr>
          <w:b/>
          <w:i/>
          <w:color w:val="000000"/>
          <w:sz w:val="20"/>
          <w:szCs w:val="20"/>
        </w:rPr>
        <w:t>RAZONES O MOTIVOS DE LA INCONFORMIDAD</w:t>
      </w:r>
    </w:p>
    <w:p w14:paraId="2E6AEA87" w14:textId="77777777" w:rsidR="00EF18D7" w:rsidRDefault="00D603CD">
      <w:pPr>
        <w:tabs>
          <w:tab w:val="left" w:pos="4667"/>
        </w:tabs>
        <w:spacing w:after="0" w:line="360" w:lineRule="auto"/>
        <w:ind w:left="567" w:right="567"/>
        <w:rPr>
          <w:i/>
          <w:color w:val="000000"/>
          <w:sz w:val="20"/>
          <w:szCs w:val="20"/>
        </w:rPr>
      </w:pPr>
      <w:r>
        <w:rPr>
          <w:i/>
          <w:color w:val="000000"/>
          <w:sz w:val="20"/>
          <w:szCs w:val="20"/>
        </w:rPr>
        <w:t>“Su argumento para no brindarme ninguna información es que su plantilla es de una persona y no puede recabar la información. Si su plantilla de servidores es poca o mucha no es un tema que me competa como ciudadana pero no debería ser excusa para no subir la información mediante esta plataforma. Por otro lado, quieren que vaya a revisarla directamente a las oficinas de Tesorería del Ayuntamiento, pero aún no me dan cita para acceder a la información de manera directa así como ellos lo están sugiriendo, y puede que la cita nunca se concrete porque tienen mucho trabajo y no tienen agenda abierta. Por ello, reafirmo mi petición para tener acceso a la información mediante esta plataforma. De las 4 cosas que se les está solicitando, mismas que deberían estar archivadas y en orden, no logro comprender que no hayan contestado ni una sola.”</w:t>
      </w:r>
    </w:p>
    <w:p w14:paraId="56B4141C" w14:textId="77777777" w:rsidR="00EF18D7" w:rsidRDefault="00EF18D7">
      <w:pPr>
        <w:spacing w:after="0" w:line="360" w:lineRule="auto"/>
        <w:rPr>
          <w:color w:val="FF0000"/>
          <w:sz w:val="20"/>
          <w:szCs w:val="20"/>
        </w:rPr>
      </w:pPr>
    </w:p>
    <w:p w14:paraId="5574528F" w14:textId="77777777" w:rsidR="00EF18D7" w:rsidRDefault="00D603CD">
      <w:pPr>
        <w:spacing w:after="0" w:line="360" w:lineRule="auto"/>
        <w:rPr>
          <w:b/>
          <w:color w:val="FF0000"/>
        </w:rPr>
      </w:pPr>
      <w:r>
        <w:rPr>
          <w:b/>
          <w:color w:val="000000"/>
        </w:rPr>
        <w:t>V. Trámite del Recurso de Revisión ante este Instituto</w:t>
      </w:r>
    </w:p>
    <w:p w14:paraId="6A90105D" w14:textId="77777777" w:rsidR="00EF18D7" w:rsidRDefault="00EF18D7">
      <w:pPr>
        <w:spacing w:after="0" w:line="360" w:lineRule="auto"/>
        <w:rPr>
          <w:b/>
          <w:color w:val="000000"/>
        </w:rPr>
      </w:pPr>
    </w:p>
    <w:p w14:paraId="33D0A683" w14:textId="77777777" w:rsidR="00EF18D7" w:rsidRDefault="00D603CD">
      <w:pPr>
        <w:spacing w:after="0" w:line="360" w:lineRule="auto"/>
        <w:rPr>
          <w:color w:val="000000"/>
        </w:rPr>
      </w:pPr>
      <w:r>
        <w:rPr>
          <w:b/>
          <w:color w:val="000000"/>
        </w:rPr>
        <w:t>a) Turno del Medio de Impugnación.</w:t>
      </w:r>
      <w:r>
        <w:rPr>
          <w:color w:val="000000"/>
        </w:rPr>
        <w:t xml:space="preserve"> El veinte de septiembre de dos mil veinticuatro, el Sistema de Acceso a la Información Mexiquense (SAIMEX), asignó el número de expediente </w:t>
      </w:r>
      <w:r>
        <w:rPr>
          <w:b/>
          <w:color w:val="000000"/>
        </w:rPr>
        <w:t>05746/INFOEM/IP/RR/2024</w:t>
      </w:r>
      <w:r>
        <w:rPr>
          <w:color w:val="000000"/>
        </w:rPr>
        <w:t xml:space="preserve">, al Medio de Impugnación que nos ocupa, con base en el sistema aprobado por el Pleno de este Órgano Garante y lo turnó al </w:t>
      </w:r>
      <w:r>
        <w:rPr>
          <w:b/>
          <w:color w:val="000000"/>
        </w:rPr>
        <w:t>Comisionado Ponente Luis Gustavo Parra Noriega</w:t>
      </w:r>
      <w:r>
        <w:rPr>
          <w:color w:val="000000"/>
        </w:rPr>
        <w:t>, para los efectos del artículo 185, fracción I de la Ley de Transparencia y Acceso a la Información Pública del Estado de México y Municipios.</w:t>
      </w:r>
    </w:p>
    <w:p w14:paraId="6690CA8D" w14:textId="77777777" w:rsidR="00EF18D7" w:rsidRDefault="00EF18D7">
      <w:pPr>
        <w:spacing w:after="0" w:line="360" w:lineRule="auto"/>
        <w:rPr>
          <w:color w:val="FF0000"/>
        </w:rPr>
      </w:pPr>
    </w:p>
    <w:p w14:paraId="5BB770B1" w14:textId="77777777" w:rsidR="00EF18D7" w:rsidRDefault="00D603CD">
      <w:pPr>
        <w:spacing w:after="0" w:line="360" w:lineRule="auto"/>
        <w:rPr>
          <w:color w:val="000000"/>
        </w:rPr>
      </w:pPr>
      <w:r>
        <w:rPr>
          <w:b/>
          <w:color w:val="000000"/>
        </w:rPr>
        <w:lastRenderedPageBreak/>
        <w:t>b) Admisión del Recurso de Revisión.</w:t>
      </w:r>
      <w:r>
        <w:rPr>
          <w:color w:val="000000"/>
        </w:rPr>
        <w:t xml:space="preserve"> El veinticinco de septiembre de dos mil veinticuatro, se acordó la admisión del Recurso de Revisión interpuesto por la Recurrente en contra del Sujeto Obligado, en términos del artículo 185, fracciones I y II de la Ley de Transparencia y Acceso a la Información Pública del Estado de México y Municipios, el cual fue debidamente notificado a las partes el veintiséis de septiembre de dos mil veinticuatro, a través del Sistema de Acceso a la Información Mexiquense (SAIMEX), en el que se les otorgó un plazo de siete días hábiles posteriores a la misma, para que manifestaran lo que a su derecho conviniera y formularan alegatos. </w:t>
      </w:r>
    </w:p>
    <w:p w14:paraId="276B1E9A" w14:textId="77777777" w:rsidR="00EF18D7" w:rsidRDefault="00EF18D7">
      <w:pPr>
        <w:spacing w:after="0" w:line="360" w:lineRule="auto"/>
        <w:rPr>
          <w:color w:val="FF0000"/>
        </w:rPr>
      </w:pPr>
    </w:p>
    <w:p w14:paraId="5381CDCA" w14:textId="77777777" w:rsidR="00EF18D7" w:rsidRDefault="00D603CD">
      <w:pPr>
        <w:spacing w:after="0" w:line="360" w:lineRule="auto"/>
        <w:rPr>
          <w:color w:val="000000"/>
        </w:rPr>
      </w:pPr>
      <w:r>
        <w:rPr>
          <w:b/>
          <w:color w:val="000000"/>
        </w:rPr>
        <w:t>c) Informe Justificado o manifestaciones.</w:t>
      </w:r>
      <w:r>
        <w:rPr>
          <w:color w:val="000000"/>
        </w:rPr>
        <w:t xml:space="preserve"> Las partes fueron omisas en emitir manifestaciones o alegatos.</w:t>
      </w:r>
    </w:p>
    <w:p w14:paraId="35C0A20A" w14:textId="77777777" w:rsidR="00EF18D7" w:rsidRDefault="00EF18D7">
      <w:pPr>
        <w:spacing w:after="0" w:line="360" w:lineRule="auto"/>
        <w:rPr>
          <w:color w:val="FF0000"/>
        </w:rPr>
      </w:pPr>
    </w:p>
    <w:p w14:paraId="3A152370" w14:textId="77777777" w:rsidR="00EF18D7" w:rsidRDefault="00D603CD">
      <w:pPr>
        <w:spacing w:after="0" w:line="360" w:lineRule="auto"/>
        <w:rPr>
          <w:color w:val="000000"/>
        </w:rPr>
      </w:pPr>
      <w:r>
        <w:rPr>
          <w:b/>
          <w:color w:val="000000"/>
        </w:rPr>
        <w:t>d) Requerimiento de información adicional.</w:t>
      </w:r>
      <w:r>
        <w:rPr>
          <w:color w:val="000000"/>
        </w:rPr>
        <w:t xml:space="preserve"> El treinta de octubre de dos mil veinticuatro, se emitió un requerimiento de información adicional suscrito por el Comisionado Ponente el cual es dirigido a la Titular de la Unidad de Transparencia del Sujeto Obligado, lo anterior de conformidad con los artículos 14, fracciones I, II, V y XVI, del Reglamento Interior del Instituto de Transparencia, Acceso a la Información Pública y Protección de Datos Personales del Estado de México y Municipios, mismo que fue notificado al Ayuntamiento de Almoloya de Juárez, el mismo día mes y año, a través del Sistema de Acceso a la Información Mexiquense (SAIMEX) y por correo electrónico el treinta y uno de octubre de dos mil veinticuatro, por medio del cual se le solicitó lo siguiente:</w:t>
      </w:r>
    </w:p>
    <w:p w14:paraId="57FD564E" w14:textId="77777777" w:rsidR="00EF18D7" w:rsidRDefault="00EF18D7">
      <w:pPr>
        <w:spacing w:after="0" w:line="360" w:lineRule="auto"/>
        <w:rPr>
          <w:color w:val="FF0000"/>
        </w:rPr>
      </w:pPr>
    </w:p>
    <w:p w14:paraId="2CE4C747" w14:textId="77777777" w:rsidR="00EF18D7" w:rsidRDefault="00D603CD">
      <w:pPr>
        <w:spacing w:after="0" w:line="360" w:lineRule="auto"/>
        <w:ind w:left="567" w:right="567"/>
        <w:rPr>
          <w:i/>
          <w:color w:val="000000"/>
          <w:sz w:val="20"/>
          <w:szCs w:val="20"/>
        </w:rPr>
      </w:pPr>
      <w:r>
        <w:rPr>
          <w:i/>
          <w:color w:val="000000"/>
          <w:sz w:val="20"/>
          <w:szCs w:val="20"/>
        </w:rPr>
        <w:t>"…</w:t>
      </w:r>
    </w:p>
    <w:p w14:paraId="5FBDB992" w14:textId="77777777" w:rsidR="00EF18D7" w:rsidRDefault="00D603CD">
      <w:pPr>
        <w:spacing w:after="0" w:line="360" w:lineRule="auto"/>
        <w:ind w:left="567" w:right="567"/>
        <w:rPr>
          <w:i/>
          <w:color w:val="000000"/>
          <w:sz w:val="20"/>
          <w:szCs w:val="20"/>
        </w:rPr>
      </w:pPr>
      <w:r>
        <w:rPr>
          <w:i/>
          <w:color w:val="000000"/>
          <w:sz w:val="20"/>
          <w:szCs w:val="20"/>
        </w:rPr>
        <w:t xml:space="preserve">El que se suscribe, con fundamento en el artículo 14, fracciones I, II, V y XVI, del Reglamento Interior del Instituto de Transparencia, Acceso a la Información Pública y Protección de Datos Personales del Estado de México y Municipios; con el objeto de contar con los elementos necesarios </w:t>
      </w:r>
      <w:r>
        <w:rPr>
          <w:i/>
          <w:color w:val="000000"/>
          <w:sz w:val="20"/>
          <w:szCs w:val="20"/>
        </w:rPr>
        <w:lastRenderedPageBreak/>
        <w:t>para la elaboración del proyecto de resolución correspondiente, requiere al Sujeto Obligado, para que indique lo siguiente:</w:t>
      </w:r>
    </w:p>
    <w:p w14:paraId="0C84FA85" w14:textId="77777777" w:rsidR="00EF18D7" w:rsidRDefault="00EF18D7">
      <w:pPr>
        <w:spacing w:after="0" w:line="360" w:lineRule="auto"/>
        <w:ind w:left="567" w:right="567"/>
        <w:rPr>
          <w:i/>
          <w:color w:val="000000"/>
          <w:sz w:val="20"/>
          <w:szCs w:val="20"/>
        </w:rPr>
      </w:pPr>
    </w:p>
    <w:p w14:paraId="648B8A0B" w14:textId="77777777" w:rsidR="00EF18D7" w:rsidRDefault="00D603CD">
      <w:pPr>
        <w:pBdr>
          <w:top w:val="nil"/>
          <w:left w:val="nil"/>
          <w:bottom w:val="nil"/>
          <w:right w:val="nil"/>
          <w:between w:val="nil"/>
        </w:pBdr>
        <w:spacing w:after="0" w:line="360" w:lineRule="auto"/>
        <w:ind w:left="1287" w:right="567"/>
        <w:rPr>
          <w:i/>
          <w:color w:val="000000"/>
          <w:sz w:val="20"/>
          <w:szCs w:val="20"/>
        </w:rPr>
      </w:pPr>
      <w:r>
        <w:rPr>
          <w:i/>
          <w:color w:val="000000"/>
          <w:sz w:val="20"/>
          <w:szCs w:val="20"/>
        </w:rPr>
        <w:t xml:space="preserve">1. Número total de facturas generadas del primero de enero de dos mil veintidós al trece de agosto de dos mil veinticuatro. </w:t>
      </w:r>
    </w:p>
    <w:p w14:paraId="583BBE02" w14:textId="77777777" w:rsidR="00EF18D7" w:rsidRDefault="00D603CD">
      <w:pPr>
        <w:pBdr>
          <w:top w:val="nil"/>
          <w:left w:val="nil"/>
          <w:bottom w:val="nil"/>
          <w:right w:val="nil"/>
          <w:between w:val="nil"/>
        </w:pBdr>
        <w:spacing w:after="0" w:line="360" w:lineRule="auto"/>
        <w:ind w:left="1287" w:right="567"/>
        <w:rPr>
          <w:i/>
          <w:color w:val="000000"/>
          <w:sz w:val="20"/>
          <w:szCs w:val="20"/>
        </w:rPr>
      </w:pPr>
      <w:r>
        <w:rPr>
          <w:i/>
          <w:color w:val="000000"/>
          <w:sz w:val="20"/>
          <w:szCs w:val="20"/>
        </w:rPr>
        <w:t xml:space="preserve">2. El formato en que se encuentran, esto es en físico o electrónico; </w:t>
      </w:r>
    </w:p>
    <w:p w14:paraId="06F52FCB" w14:textId="77777777" w:rsidR="00EF18D7" w:rsidRDefault="00D603CD">
      <w:pPr>
        <w:pBdr>
          <w:top w:val="nil"/>
          <w:left w:val="nil"/>
          <w:bottom w:val="nil"/>
          <w:right w:val="nil"/>
          <w:between w:val="nil"/>
        </w:pBdr>
        <w:spacing w:after="0" w:line="360" w:lineRule="auto"/>
        <w:ind w:left="1287" w:right="567"/>
        <w:rPr>
          <w:i/>
          <w:color w:val="000000"/>
          <w:sz w:val="20"/>
          <w:szCs w:val="20"/>
        </w:rPr>
      </w:pPr>
      <w:r>
        <w:rPr>
          <w:i/>
          <w:color w:val="000000"/>
          <w:sz w:val="20"/>
          <w:szCs w:val="20"/>
        </w:rPr>
        <w:t xml:space="preserve">3. Cantidad de hojas o peso aproximado de la información; </w:t>
      </w:r>
    </w:p>
    <w:p w14:paraId="073722CA" w14:textId="77777777" w:rsidR="00EF18D7" w:rsidRDefault="00D603CD">
      <w:pPr>
        <w:pBdr>
          <w:top w:val="nil"/>
          <w:left w:val="nil"/>
          <w:bottom w:val="nil"/>
          <w:right w:val="nil"/>
          <w:between w:val="nil"/>
        </w:pBdr>
        <w:spacing w:after="0" w:line="360" w:lineRule="auto"/>
        <w:ind w:left="1287" w:right="567"/>
        <w:rPr>
          <w:i/>
          <w:color w:val="000000"/>
          <w:sz w:val="20"/>
          <w:szCs w:val="20"/>
        </w:rPr>
      </w:pPr>
      <w:r>
        <w:rPr>
          <w:i/>
          <w:color w:val="000000"/>
          <w:sz w:val="20"/>
          <w:szCs w:val="20"/>
        </w:rPr>
        <w:t>4. Si, presentó la incidencia ante la Dirección General Informática de este Instituto.</w:t>
      </w:r>
    </w:p>
    <w:p w14:paraId="693E6105" w14:textId="77777777" w:rsidR="00EF18D7" w:rsidRDefault="00D603CD">
      <w:pPr>
        <w:pBdr>
          <w:top w:val="nil"/>
          <w:left w:val="nil"/>
          <w:bottom w:val="nil"/>
          <w:right w:val="nil"/>
          <w:between w:val="nil"/>
        </w:pBdr>
        <w:spacing w:after="0" w:line="360" w:lineRule="auto"/>
        <w:ind w:left="1287" w:right="567"/>
        <w:rPr>
          <w:i/>
          <w:color w:val="000000"/>
          <w:sz w:val="20"/>
          <w:szCs w:val="20"/>
        </w:rPr>
      </w:pPr>
      <w:r>
        <w:rPr>
          <w:i/>
          <w:color w:val="000000"/>
          <w:sz w:val="20"/>
          <w:szCs w:val="20"/>
        </w:rPr>
        <w:t>…”</w:t>
      </w:r>
    </w:p>
    <w:p w14:paraId="191CDB27" w14:textId="77777777" w:rsidR="00EF18D7" w:rsidRDefault="00EF18D7">
      <w:pPr>
        <w:spacing w:after="0" w:line="360" w:lineRule="auto"/>
        <w:rPr>
          <w:color w:val="000000"/>
        </w:rPr>
      </w:pPr>
    </w:p>
    <w:p w14:paraId="031034F3" w14:textId="77777777" w:rsidR="00EF18D7" w:rsidRDefault="00D603CD">
      <w:pPr>
        <w:spacing w:after="0" w:line="360" w:lineRule="auto"/>
        <w:rPr>
          <w:color w:val="000000"/>
        </w:rPr>
      </w:pPr>
      <w:bookmarkStart w:id="1" w:name="_heading=h.gjdgxs" w:colFirst="0" w:colLast="0"/>
      <w:bookmarkEnd w:id="1"/>
      <w:r>
        <w:rPr>
          <w:b/>
          <w:color w:val="000000"/>
        </w:rPr>
        <w:t xml:space="preserve">e) Desahogo del requerimiento de información adicional. </w:t>
      </w:r>
      <w:r>
        <w:rPr>
          <w:color w:val="000000"/>
        </w:rPr>
        <w:t xml:space="preserve">En fechas seis de noviembre de dos mil veinticuatro, se recibió por SAIMEX, el desahogo del requerimiento de información adicional, a través del oficio PMAJ/UT/1177/2024, de cinco de noviembre de dos mil veinticuatro, signado por la Tesorera Municipal, que señaló que la información solicitada consta de 186,343 fojas, en formato físico y su peso es de 1.16 GB, </w:t>
      </w:r>
      <w:proofErr w:type="spellStart"/>
      <w:r>
        <w:rPr>
          <w:color w:val="000000"/>
        </w:rPr>
        <w:t>anexó</w:t>
      </w:r>
      <w:proofErr w:type="spellEnd"/>
      <w:r>
        <w:rPr>
          <w:color w:val="000000"/>
        </w:rPr>
        <w:t xml:space="preserve"> al mismo la imagen siguiente:</w:t>
      </w:r>
    </w:p>
    <w:p w14:paraId="1FCBF039" w14:textId="77777777" w:rsidR="00EF18D7" w:rsidRDefault="00EF18D7">
      <w:pPr>
        <w:spacing w:after="0" w:line="360" w:lineRule="auto"/>
        <w:rPr>
          <w:color w:val="000000"/>
        </w:rPr>
      </w:pPr>
    </w:p>
    <w:p w14:paraId="6DCB790C" w14:textId="77777777" w:rsidR="00EF18D7" w:rsidRDefault="00D603CD">
      <w:pPr>
        <w:spacing w:after="0" w:line="360" w:lineRule="auto"/>
        <w:jc w:val="center"/>
        <w:rPr>
          <w:color w:val="000000"/>
        </w:rPr>
      </w:pPr>
      <w:r>
        <w:rPr>
          <w:noProof/>
          <w:color w:val="000000"/>
        </w:rPr>
        <w:drawing>
          <wp:inline distT="0" distB="0" distL="0" distR="0" wp14:anchorId="64F96AEF" wp14:editId="4F882CE3">
            <wp:extent cx="2943636" cy="2381582"/>
            <wp:effectExtent l="0" t="0" r="0" b="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2943636" cy="2381582"/>
                    </a:xfrm>
                    <a:prstGeom prst="rect">
                      <a:avLst/>
                    </a:prstGeom>
                    <a:ln/>
                  </pic:spPr>
                </pic:pic>
              </a:graphicData>
            </a:graphic>
          </wp:inline>
        </w:drawing>
      </w:r>
    </w:p>
    <w:p w14:paraId="31EFB6FF" w14:textId="77777777" w:rsidR="00EF18D7" w:rsidRDefault="00EF18D7">
      <w:pPr>
        <w:spacing w:after="0" w:line="360" w:lineRule="auto"/>
        <w:rPr>
          <w:i/>
          <w:color w:val="000000"/>
          <w:sz w:val="20"/>
          <w:szCs w:val="20"/>
        </w:rPr>
      </w:pPr>
    </w:p>
    <w:p w14:paraId="544C355E" w14:textId="77777777" w:rsidR="00EF18D7" w:rsidRDefault="00D603CD">
      <w:pPr>
        <w:spacing w:after="0" w:line="360" w:lineRule="auto"/>
        <w:rPr>
          <w:i/>
          <w:color w:val="000000"/>
          <w:sz w:val="20"/>
          <w:szCs w:val="20"/>
        </w:rPr>
      </w:pPr>
      <w:r>
        <w:rPr>
          <w:b/>
          <w:color w:val="000000"/>
        </w:rPr>
        <w:lastRenderedPageBreak/>
        <w:t xml:space="preserve">f) Ampliación de plazo para resolver. </w:t>
      </w:r>
      <w:r>
        <w:rPr>
          <w:color w:val="000000"/>
        </w:rPr>
        <w:t xml:space="preserve">El siete de noviembre de dos mil veinticuatro, el Comisionado Ponente, con fundamento en lo dispuesto por el artículo 181, párrafo tercero, de la Ley de Transparencia y Acceso a la Información Pública del Estado de México y Municipios, acordó ampliar por un </w:t>
      </w:r>
      <w:r>
        <w:rPr>
          <w:b/>
          <w:color w:val="000000"/>
        </w:rPr>
        <w:t>periodo de quince días</w:t>
      </w:r>
      <w:r>
        <w:rPr>
          <w:color w:val="000000"/>
        </w:rPr>
        <w:t>, el plazo para resolver el Recurso de Revisión que nos ocupa; acto que fue notificado a las partes, mediante el Sistema de Acceso a la Información Mexiquense (SAIMEX).</w:t>
      </w:r>
    </w:p>
    <w:p w14:paraId="0AA84419" w14:textId="77777777" w:rsidR="00EF18D7" w:rsidRDefault="00EF18D7">
      <w:pPr>
        <w:spacing w:after="0" w:line="360" w:lineRule="auto"/>
        <w:rPr>
          <w:color w:val="FF0000"/>
        </w:rPr>
      </w:pPr>
    </w:p>
    <w:p w14:paraId="74492A9A" w14:textId="77777777" w:rsidR="00EF18D7" w:rsidRDefault="00D603CD">
      <w:pPr>
        <w:spacing w:after="0" w:line="360" w:lineRule="auto"/>
        <w:ind w:right="-28"/>
        <w:rPr>
          <w:color w:val="000000"/>
        </w:rPr>
      </w:pPr>
      <w:r>
        <w:rPr>
          <w:b/>
          <w:color w:val="000000"/>
        </w:rPr>
        <w:t>g) Cierre de instrucción.</w:t>
      </w:r>
      <w:r>
        <w:rPr>
          <w:color w:val="000000"/>
        </w:rPr>
        <w:t xml:space="preserve"> El siete de noviembre de dos mil veinticuatro,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mismo que fue notificado a las partes el diez del mismo mes y año, a través del Sistema de Acceso a la Información Mexiquense (SAIMEX). </w:t>
      </w:r>
    </w:p>
    <w:p w14:paraId="35F446A3" w14:textId="77777777" w:rsidR="00EF18D7" w:rsidRDefault="00EF18D7">
      <w:pPr>
        <w:spacing w:after="0" w:line="360" w:lineRule="auto"/>
        <w:ind w:right="-28"/>
        <w:rPr>
          <w:color w:val="000000"/>
        </w:rPr>
      </w:pPr>
    </w:p>
    <w:p w14:paraId="7746BC3E" w14:textId="77777777" w:rsidR="00EF18D7" w:rsidRDefault="00D603CD">
      <w:pPr>
        <w:spacing w:after="0" w:line="360" w:lineRule="auto"/>
        <w:rPr>
          <w:color w:val="000000"/>
        </w:rPr>
      </w:pPr>
      <w:r>
        <w:rPr>
          <w:color w:val="000000"/>
        </w:rPr>
        <w:t>En razón de que fue debidamente sustanciado e integrado el expediente electrónico y no existe diligencia pendiente de desahogo, se emite la resolución que conforme a Derecho proceda, de acuerdo a los siguientes:</w:t>
      </w:r>
    </w:p>
    <w:p w14:paraId="6FB09F57" w14:textId="77777777" w:rsidR="00EF18D7" w:rsidRDefault="00EF18D7">
      <w:pPr>
        <w:spacing w:after="0" w:line="360" w:lineRule="auto"/>
        <w:rPr>
          <w:b/>
          <w:color w:val="FF0000"/>
        </w:rPr>
      </w:pPr>
    </w:p>
    <w:p w14:paraId="65DDC084" w14:textId="77777777" w:rsidR="00EF18D7" w:rsidRDefault="00D603CD">
      <w:pPr>
        <w:spacing w:after="0" w:line="360" w:lineRule="auto"/>
        <w:jc w:val="center"/>
        <w:rPr>
          <w:b/>
          <w:color w:val="000000"/>
        </w:rPr>
      </w:pPr>
      <w:r>
        <w:rPr>
          <w:b/>
          <w:color w:val="000000"/>
        </w:rPr>
        <w:t>CONSIDERANDOS</w:t>
      </w:r>
    </w:p>
    <w:p w14:paraId="072F8829" w14:textId="77777777" w:rsidR="00EF18D7" w:rsidRDefault="00EF18D7">
      <w:pPr>
        <w:spacing w:after="0" w:line="360" w:lineRule="auto"/>
        <w:jc w:val="left"/>
        <w:rPr>
          <w:b/>
          <w:color w:val="000000"/>
        </w:rPr>
      </w:pPr>
    </w:p>
    <w:p w14:paraId="45873834" w14:textId="77777777" w:rsidR="00EF18D7" w:rsidRDefault="00D603CD">
      <w:pPr>
        <w:spacing w:after="0" w:line="360" w:lineRule="auto"/>
        <w:rPr>
          <w:b/>
          <w:color w:val="000000"/>
        </w:rPr>
      </w:pPr>
      <w:r>
        <w:rPr>
          <w:b/>
          <w:color w:val="000000"/>
        </w:rPr>
        <w:t>PRIMERO</w:t>
      </w:r>
      <w:r>
        <w:rPr>
          <w:color w:val="000000"/>
        </w:rPr>
        <w:t xml:space="preserve">. </w:t>
      </w:r>
      <w:r>
        <w:rPr>
          <w:b/>
          <w:color w:val="000000"/>
        </w:rPr>
        <w:t>Competencia</w:t>
      </w:r>
    </w:p>
    <w:p w14:paraId="6F83FC47" w14:textId="77777777" w:rsidR="00EF18D7" w:rsidRDefault="00EF18D7">
      <w:pPr>
        <w:spacing w:after="0" w:line="360" w:lineRule="auto"/>
        <w:rPr>
          <w:b/>
          <w:color w:val="000000"/>
        </w:rPr>
      </w:pPr>
    </w:p>
    <w:p w14:paraId="35722462" w14:textId="77777777" w:rsidR="00EF18D7" w:rsidRDefault="00D603CD">
      <w:pPr>
        <w:spacing w:after="0" w:line="360" w:lineRule="auto"/>
        <w:rPr>
          <w:color w:val="000000"/>
        </w:rPr>
      </w:pPr>
      <w:r>
        <w:rPr>
          <w:color w:val="000000"/>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w:t>
      </w:r>
      <w:r>
        <w:rPr>
          <w:color w:val="000000"/>
        </w:rPr>
        <w:lastRenderedPageBreak/>
        <w:t>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76EA8F5A" w14:textId="77777777" w:rsidR="00EF18D7" w:rsidRDefault="00EF18D7">
      <w:pPr>
        <w:spacing w:after="0" w:line="360" w:lineRule="auto"/>
        <w:rPr>
          <w:color w:val="000000"/>
        </w:rPr>
      </w:pPr>
    </w:p>
    <w:p w14:paraId="1F8A620A" w14:textId="77777777" w:rsidR="00EF18D7" w:rsidRDefault="00D603CD">
      <w:pPr>
        <w:spacing w:after="0" w:line="360" w:lineRule="auto"/>
        <w:rPr>
          <w:b/>
          <w:color w:val="000000"/>
        </w:rPr>
      </w:pPr>
      <w:r>
        <w:rPr>
          <w:b/>
          <w:color w:val="000000"/>
          <w:highlight w:val="white"/>
        </w:rPr>
        <w:t>SEGUNDO</w:t>
      </w:r>
      <w:r>
        <w:rPr>
          <w:color w:val="000000"/>
          <w:highlight w:val="white"/>
        </w:rPr>
        <w:t xml:space="preserve">. </w:t>
      </w:r>
      <w:r>
        <w:rPr>
          <w:b/>
          <w:color w:val="000000"/>
        </w:rPr>
        <w:t>Causales de improcedencia y sobreseimiento</w:t>
      </w:r>
    </w:p>
    <w:p w14:paraId="1ADFD44E" w14:textId="77777777" w:rsidR="00EF18D7" w:rsidRDefault="00EF18D7">
      <w:pPr>
        <w:spacing w:after="0" w:line="360" w:lineRule="auto"/>
        <w:rPr>
          <w:color w:val="000000"/>
          <w:highlight w:val="white"/>
        </w:rPr>
      </w:pPr>
    </w:p>
    <w:p w14:paraId="17E0706E" w14:textId="77777777" w:rsidR="00EF18D7" w:rsidRDefault="00D603CD">
      <w:pPr>
        <w:spacing w:after="0" w:line="360" w:lineRule="auto"/>
        <w:rPr>
          <w:color w:val="000000"/>
        </w:rPr>
      </w:pPr>
      <w:r>
        <w:rPr>
          <w:color w:val="000000"/>
        </w:rPr>
        <w:t>Este Instituto realiza el estudio oficioso de las causales de improcedencia, por tratarse de una cuestión de orden público y de estudio preferente (acorde con el Criterio orientador en la Tesis de Jurisprudencia “</w:t>
      </w:r>
      <w:r>
        <w:rPr>
          <w:b/>
          <w:color w:val="000000"/>
        </w:rPr>
        <w:t>IMPROCEDENCIA</w:t>
      </w:r>
      <w:r>
        <w:rPr>
          <w:color w:val="000000"/>
        </w:rPr>
        <w:t xml:space="preserve">.” </w:t>
      </w:r>
      <w:r>
        <w:rPr>
          <w:b/>
          <w:color w:val="000000"/>
        </w:rPr>
        <w:t>(Semanario Judicial de la Federación, Quinta Época, 1985, pág. 262),</w:t>
      </w:r>
      <w:r>
        <w:rPr>
          <w:color w:val="000000"/>
        </w:rPr>
        <w:t xml:space="preserve">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1845F95D" w14:textId="77777777" w:rsidR="00EF18D7" w:rsidRDefault="00EF18D7">
      <w:pPr>
        <w:spacing w:after="0" w:line="360" w:lineRule="auto"/>
        <w:rPr>
          <w:color w:val="000000"/>
        </w:rPr>
      </w:pPr>
    </w:p>
    <w:p w14:paraId="4F7C309D" w14:textId="77777777" w:rsidR="00EF18D7" w:rsidRDefault="00D603CD">
      <w:pPr>
        <w:spacing w:after="0" w:line="360" w:lineRule="auto"/>
        <w:rPr>
          <w:color w:val="000000"/>
        </w:rPr>
      </w:pPr>
      <w:r>
        <w:rPr>
          <w:color w:val="000000"/>
        </w:rPr>
        <w:t xml:space="preserve">En el presente caso, no se actualiza ninguna de las causales de improcedencia establecidas en el ordenamiento jurídico previamente señalado, toda vez que: el recurso fue presentado dentro del plazo establecido en el artículo 178 de la Ley la materia; además, que este Instituto no tiene conocimiento de que se encuentre en trámite algún medio de defensa presentado por el Recurrente ante otra instancia; no existió prevención alguna; la veracidad de la </w:t>
      </w:r>
      <w:r>
        <w:rPr>
          <w:color w:val="000000"/>
        </w:rPr>
        <w:lastRenderedPageBreak/>
        <w:t>respuesta no formó parte del agravio; ni se realizó una consulta o ampliación a los alcances del requerimiento informativo.</w:t>
      </w:r>
    </w:p>
    <w:p w14:paraId="6A61C9FA" w14:textId="77777777" w:rsidR="00EF18D7" w:rsidRDefault="00EF18D7">
      <w:pPr>
        <w:spacing w:after="0" w:line="360" w:lineRule="auto"/>
        <w:rPr>
          <w:b/>
          <w:color w:val="000000"/>
        </w:rPr>
      </w:pPr>
    </w:p>
    <w:p w14:paraId="448E7EF2" w14:textId="77777777" w:rsidR="00EF18D7" w:rsidRDefault="00D603CD">
      <w:pPr>
        <w:spacing w:after="0" w:line="360" w:lineRule="auto"/>
        <w:rPr>
          <w:b/>
          <w:color w:val="000000"/>
        </w:rPr>
      </w:pPr>
      <w:r>
        <w:rPr>
          <w:b/>
          <w:color w:val="000000"/>
        </w:rPr>
        <w:t>Causales de sobreseimiento</w:t>
      </w:r>
    </w:p>
    <w:p w14:paraId="29A8DECF" w14:textId="77777777" w:rsidR="00EF18D7" w:rsidRDefault="00EF18D7">
      <w:pPr>
        <w:spacing w:after="0" w:line="360" w:lineRule="auto"/>
        <w:rPr>
          <w:color w:val="000000"/>
        </w:rPr>
      </w:pPr>
    </w:p>
    <w:p w14:paraId="4E787D52" w14:textId="77777777" w:rsidR="00EF18D7" w:rsidRDefault="00D603CD">
      <w:pPr>
        <w:spacing w:after="0" w:line="360" w:lineRule="auto"/>
        <w:rPr>
          <w:color w:val="000000"/>
        </w:rPr>
      </w:pPr>
      <w:r>
        <w:rPr>
          <w:color w:val="000000"/>
        </w:rPr>
        <w:t>Por ser de previo y especial pronunciamiento, este Instituto analiza si se actualiza alguna causal de sobreseimiento.</w:t>
      </w:r>
    </w:p>
    <w:p w14:paraId="7F6C8F9F" w14:textId="77777777" w:rsidR="00EF18D7" w:rsidRDefault="00EF18D7">
      <w:pPr>
        <w:spacing w:after="0" w:line="360" w:lineRule="auto"/>
        <w:rPr>
          <w:color w:val="000000"/>
        </w:rPr>
      </w:pPr>
    </w:p>
    <w:p w14:paraId="02CEC8FE" w14:textId="77777777" w:rsidR="00EF18D7" w:rsidRDefault="00D603CD">
      <w:pPr>
        <w:spacing w:after="0" w:line="360" w:lineRule="auto"/>
        <w:rPr>
          <w:color w:val="000000"/>
        </w:rPr>
      </w:pPr>
      <w:r>
        <w:rPr>
          <w:color w:val="000000"/>
        </w:rPr>
        <w:t>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el Recurrente se haya desistido del recurso, haya fallecido, sobreviniera alguna causal de improcedencia, que el Sujeto Obligado hubiese modificado o revocado el acto impugnado o bien, haya quedado sin materia.</w:t>
      </w:r>
    </w:p>
    <w:p w14:paraId="5201600F" w14:textId="77777777" w:rsidR="00EF18D7" w:rsidRDefault="00EF18D7">
      <w:pPr>
        <w:spacing w:after="0" w:line="360" w:lineRule="auto"/>
        <w:rPr>
          <w:color w:val="000000"/>
        </w:rPr>
      </w:pPr>
    </w:p>
    <w:p w14:paraId="19CF0A9A" w14:textId="77777777" w:rsidR="00EF18D7" w:rsidRDefault="00D603CD">
      <w:pPr>
        <w:spacing w:after="0" w:line="360" w:lineRule="auto"/>
        <w:rPr>
          <w:color w:val="000000"/>
        </w:rPr>
      </w:pPr>
      <w:r>
        <w:rPr>
          <w:color w:val="000000"/>
        </w:rPr>
        <w:t xml:space="preserve">En ese orden de ideas, toda vez que no ha quedado por completo sin materia el Recurso de Revisión, se considera procedente entrar al fondo del presente asunto. </w:t>
      </w:r>
    </w:p>
    <w:p w14:paraId="36D676AF" w14:textId="77777777" w:rsidR="00EF18D7" w:rsidRDefault="00EF18D7">
      <w:pPr>
        <w:spacing w:after="0" w:line="360" w:lineRule="auto"/>
        <w:rPr>
          <w:b/>
          <w:color w:val="000000"/>
        </w:rPr>
      </w:pPr>
    </w:p>
    <w:p w14:paraId="5C93EF04" w14:textId="77777777" w:rsidR="00EF18D7" w:rsidRDefault="00D603CD">
      <w:pPr>
        <w:spacing w:after="0" w:line="360" w:lineRule="auto"/>
        <w:rPr>
          <w:b/>
          <w:color w:val="000000"/>
        </w:rPr>
      </w:pPr>
      <w:r>
        <w:rPr>
          <w:b/>
          <w:color w:val="000000"/>
        </w:rPr>
        <w:t>TERCERO. Determinación de la Controversia</w:t>
      </w:r>
    </w:p>
    <w:p w14:paraId="32454552" w14:textId="77777777" w:rsidR="00EF18D7" w:rsidRDefault="00EF18D7">
      <w:pPr>
        <w:spacing w:after="0" w:line="360" w:lineRule="auto"/>
        <w:rPr>
          <w:b/>
          <w:color w:val="000000"/>
          <w:highlight w:val="white"/>
        </w:rPr>
      </w:pPr>
    </w:p>
    <w:p w14:paraId="26811E9A" w14:textId="77777777" w:rsidR="00EF18D7" w:rsidRDefault="00D603CD">
      <w:pPr>
        <w:tabs>
          <w:tab w:val="left" w:pos="4962"/>
        </w:tabs>
        <w:spacing w:after="0" w:line="360" w:lineRule="auto"/>
        <w:rPr>
          <w:color w:val="000000"/>
        </w:rPr>
      </w:pPr>
      <w:bookmarkStart w:id="2" w:name="_heading=h.30j0zll" w:colFirst="0" w:colLast="0"/>
      <w:bookmarkEnd w:id="2"/>
      <w:r>
        <w:rPr>
          <w:color w:val="000000"/>
        </w:rPr>
        <w:t>Una vez realizado el estudio de las constancias que obran en el expediente electrónico en el que se actúa, se advierte que la persona Solicitante requirió conocer de la Unidad Municipal de Control y Bienestar Animal de Almoloya de Juárez, lo siguiente:</w:t>
      </w:r>
    </w:p>
    <w:p w14:paraId="427FBC2F" w14:textId="77777777" w:rsidR="00EF18D7" w:rsidRDefault="00EF18D7">
      <w:pPr>
        <w:tabs>
          <w:tab w:val="left" w:pos="4962"/>
        </w:tabs>
        <w:spacing w:after="0" w:line="360" w:lineRule="auto"/>
        <w:rPr>
          <w:color w:val="000000"/>
        </w:rPr>
      </w:pPr>
    </w:p>
    <w:p w14:paraId="3963206E" w14:textId="77777777" w:rsidR="00EF18D7" w:rsidRDefault="00D603CD">
      <w:pPr>
        <w:numPr>
          <w:ilvl w:val="0"/>
          <w:numId w:val="9"/>
        </w:numPr>
        <w:tabs>
          <w:tab w:val="left" w:pos="4962"/>
        </w:tabs>
        <w:spacing w:after="0" w:line="360" w:lineRule="auto"/>
        <w:ind w:left="360"/>
        <w:rPr>
          <w:color w:val="000000"/>
        </w:rPr>
      </w:pPr>
      <w:r>
        <w:rPr>
          <w:color w:val="000000"/>
        </w:rPr>
        <w:t>Presupuesto asignado, por año y trienio de la actual administración;</w:t>
      </w:r>
    </w:p>
    <w:p w14:paraId="2ADFEF22" w14:textId="77777777" w:rsidR="00EF18D7" w:rsidRDefault="00D603CD">
      <w:pPr>
        <w:numPr>
          <w:ilvl w:val="0"/>
          <w:numId w:val="9"/>
        </w:numPr>
        <w:tabs>
          <w:tab w:val="left" w:pos="4962"/>
        </w:tabs>
        <w:spacing w:after="0" w:line="360" w:lineRule="auto"/>
        <w:ind w:left="360"/>
        <w:rPr>
          <w:color w:val="000000"/>
        </w:rPr>
      </w:pPr>
      <w:r>
        <w:rPr>
          <w:color w:val="000000"/>
        </w:rPr>
        <w:lastRenderedPageBreak/>
        <w:t>Facturas de gasto del primero de enero de dos mil veintidós al trece de agosto de dos mil veinticuatro;</w:t>
      </w:r>
    </w:p>
    <w:p w14:paraId="6BE5B6A7" w14:textId="77777777" w:rsidR="00EF18D7" w:rsidRDefault="00D603CD">
      <w:pPr>
        <w:numPr>
          <w:ilvl w:val="0"/>
          <w:numId w:val="9"/>
        </w:numPr>
        <w:tabs>
          <w:tab w:val="left" w:pos="4962"/>
        </w:tabs>
        <w:spacing w:after="0" w:line="360" w:lineRule="auto"/>
        <w:ind w:left="360"/>
        <w:rPr>
          <w:color w:val="000000"/>
        </w:rPr>
      </w:pPr>
      <w:r>
        <w:rPr>
          <w:color w:val="000000"/>
        </w:rPr>
        <w:t>Plantilla laboral de los servidores públicos que integran la Unidad;</w:t>
      </w:r>
    </w:p>
    <w:p w14:paraId="669D138F" w14:textId="77777777" w:rsidR="00EF18D7" w:rsidRDefault="00D603CD">
      <w:pPr>
        <w:numPr>
          <w:ilvl w:val="0"/>
          <w:numId w:val="9"/>
        </w:numPr>
        <w:tabs>
          <w:tab w:val="left" w:pos="4962"/>
        </w:tabs>
        <w:spacing w:after="0" w:line="360" w:lineRule="auto"/>
        <w:ind w:left="360"/>
        <w:rPr>
          <w:color w:val="000000"/>
        </w:rPr>
      </w:pPr>
      <w:r>
        <w:rPr>
          <w:color w:val="000000"/>
        </w:rPr>
        <w:t xml:space="preserve">Del predio utilizado para el resguardo de perros, conocer a quien le pertenece, junto al documento que compruebe. </w:t>
      </w:r>
    </w:p>
    <w:p w14:paraId="33044E8F" w14:textId="77777777" w:rsidR="00EF18D7" w:rsidRDefault="00EF18D7">
      <w:pPr>
        <w:tabs>
          <w:tab w:val="left" w:pos="4962"/>
        </w:tabs>
        <w:spacing w:after="0" w:line="360" w:lineRule="auto"/>
        <w:rPr>
          <w:color w:val="000000"/>
        </w:rPr>
      </w:pPr>
    </w:p>
    <w:p w14:paraId="47469638" w14:textId="77777777" w:rsidR="00EF18D7" w:rsidRDefault="00D603CD">
      <w:pPr>
        <w:tabs>
          <w:tab w:val="left" w:pos="4962"/>
        </w:tabs>
        <w:spacing w:after="0" w:line="360" w:lineRule="auto"/>
        <w:rPr>
          <w:color w:val="000000"/>
        </w:rPr>
      </w:pPr>
      <w:r>
        <w:rPr>
          <w:color w:val="000000"/>
        </w:rPr>
        <w:t xml:space="preserve">En atención a ello, el Ayuntamiento de Almoloya de Juárez, a través de la Tesorería Municipal, señaló lo peticionado sobrepasa las capacidades técnicas, humanas y administrativas de esa Unidad encargada de dar atención y trámite a dicho requerimiento, pues solo una persona se encarga de dar contestación a los requerimientos de información, en razón de ello, pone a disposición de la persona Solicitante la información en consulta directa, haciéndole saber de los costos en caso de requerir copias simples o certificadas. En consecuencia a lo anterior, el ahora Recurrente a través de la interposición del medio de defensa al rubro se inconformó del cambio de modalidad, lo cual actualiza el supuesto contenido en el artículo 179, fracción VIII, de la Ley de Transparencia y Acceso a la Información Pública del Estado de México y Municipios. </w:t>
      </w:r>
    </w:p>
    <w:p w14:paraId="79FDCD1D" w14:textId="77777777" w:rsidR="00EF18D7" w:rsidRDefault="00EF18D7">
      <w:pPr>
        <w:tabs>
          <w:tab w:val="left" w:pos="4962"/>
        </w:tabs>
        <w:spacing w:after="0" w:line="360" w:lineRule="auto"/>
        <w:rPr>
          <w:color w:val="000000"/>
        </w:rPr>
      </w:pPr>
    </w:p>
    <w:p w14:paraId="18B2CB85" w14:textId="77777777" w:rsidR="00EF18D7" w:rsidRDefault="00D603CD">
      <w:pPr>
        <w:tabs>
          <w:tab w:val="left" w:pos="4962"/>
        </w:tabs>
        <w:spacing w:after="0" w:line="360" w:lineRule="auto"/>
        <w:rPr>
          <w:color w:val="000000"/>
        </w:rPr>
      </w:pPr>
      <w:r>
        <w:rPr>
          <w:color w:val="000000"/>
        </w:rPr>
        <w:t xml:space="preserve">Posteriormente a ello, este Instituto realizó un Requerimiento de Información Adicional al Sujeto Obligado, </w:t>
      </w:r>
      <w:r>
        <w:t xml:space="preserve">con el objeto de contar con los elementos necesarios para la elaboración del proyecto de resolución correspondiente, por lo que, a través del Tesorero Municipal, dio atención a dicho requerimiento. </w:t>
      </w:r>
      <w:r>
        <w:rPr>
          <w:color w:val="000000"/>
        </w:rPr>
        <w:t>No se omite señalar, que tanto el Sujeto Obligado como el Recurrente, fueron omisos en presentar alegatos o emitir manifestaciones que en derecho correspondían.</w:t>
      </w:r>
    </w:p>
    <w:p w14:paraId="1E367C12" w14:textId="77777777" w:rsidR="00EF18D7" w:rsidRDefault="00EF18D7">
      <w:pPr>
        <w:spacing w:after="0" w:line="360" w:lineRule="auto"/>
        <w:rPr>
          <w:color w:val="000000"/>
        </w:rPr>
      </w:pPr>
    </w:p>
    <w:p w14:paraId="2B426E58" w14:textId="77777777" w:rsidR="00EF18D7" w:rsidRDefault="00D603CD">
      <w:pPr>
        <w:tabs>
          <w:tab w:val="left" w:pos="4962"/>
        </w:tabs>
        <w:spacing w:after="0" w:line="360" w:lineRule="auto"/>
        <w:rPr>
          <w:color w:val="000000"/>
        </w:rPr>
      </w:pPr>
      <w:r>
        <w:rPr>
          <w:color w:val="000000"/>
        </w:rPr>
        <w:t xml:space="preserve">Lo anterior, se desprende de las documentales que obran en el expediente de referencia materia de la presente Resolución, consistentes en: la solicitud de acceso a la información con </w:t>
      </w:r>
      <w:r>
        <w:rPr>
          <w:color w:val="000000"/>
        </w:rPr>
        <w:lastRenderedPageBreak/>
        <w:t xml:space="preserve">número de folio 00484/ALMOJU/IP/2024; la respuesta proporcionada por el Ayuntamiento de Almoloya de Juárez y el escrito recursal; instrumentales que se toman en cuenta a efecto de resolver el presente medio de impugnación, conforme a lo dispuesto por el artículo 185, fracción IV, de la Ley de Transparencia y Acceso a la Información Pública del Estado de México y Municipios. </w:t>
      </w:r>
    </w:p>
    <w:p w14:paraId="2E8FFB77" w14:textId="77777777" w:rsidR="00EF18D7" w:rsidRDefault="00D603CD">
      <w:pPr>
        <w:spacing w:after="0" w:line="360" w:lineRule="auto"/>
        <w:rPr>
          <w:color w:val="000000"/>
        </w:rPr>
      </w:pPr>
      <w:r>
        <w:rPr>
          <w:color w:val="000000"/>
        </w:rPr>
        <w:t xml:space="preserve"> </w:t>
      </w:r>
    </w:p>
    <w:p w14:paraId="64AEC15F" w14:textId="77777777" w:rsidR="00EF18D7" w:rsidRDefault="00D603CD">
      <w:pPr>
        <w:spacing w:after="0" w:line="360" w:lineRule="auto"/>
        <w:rPr>
          <w:b/>
          <w:color w:val="000000"/>
        </w:rPr>
      </w:pPr>
      <w:r>
        <w:rPr>
          <w:b/>
          <w:color w:val="000000"/>
        </w:rPr>
        <w:t>CUARTO. Marco normativo aplicable en materia de transparencia y acceso a la información pública</w:t>
      </w:r>
    </w:p>
    <w:p w14:paraId="1F3D3BBF" w14:textId="77777777" w:rsidR="00EF18D7" w:rsidRDefault="00EF18D7">
      <w:pPr>
        <w:spacing w:after="0" w:line="360" w:lineRule="auto"/>
        <w:rPr>
          <w:b/>
          <w:color w:val="000000"/>
        </w:rPr>
      </w:pPr>
    </w:p>
    <w:p w14:paraId="0B29C6E3" w14:textId="77777777" w:rsidR="00EF18D7" w:rsidRDefault="00D603CD">
      <w:pPr>
        <w:spacing w:after="0" w:line="360" w:lineRule="auto"/>
        <w:rPr>
          <w:color w:val="000000"/>
        </w:rPr>
      </w:pPr>
      <w:r>
        <w:rPr>
          <w:color w:val="000000"/>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5CBFA44A" w14:textId="77777777" w:rsidR="00EF18D7" w:rsidRDefault="00EF18D7">
      <w:pPr>
        <w:spacing w:after="0" w:line="360" w:lineRule="auto"/>
        <w:rPr>
          <w:color w:val="000000"/>
        </w:rPr>
      </w:pPr>
    </w:p>
    <w:p w14:paraId="3F0EA311" w14:textId="77777777" w:rsidR="00EF18D7" w:rsidRDefault="00D603CD">
      <w:pPr>
        <w:spacing w:after="0" w:line="360" w:lineRule="auto"/>
        <w:rPr>
          <w:color w:val="000000"/>
        </w:rPr>
      </w:pPr>
      <w:r>
        <w:rPr>
          <w:color w:val="000000"/>
        </w:rPr>
        <w:t>La Ley General de Transparencia y Acceso a la Información Pública, publicada en el Diario Oficial de la Federación el 4 de mayo de 2015, dispone en su artículo 70, la información que se considera corresponde a las Obligaciones de Transparencia, la cual debe estar disponible para cualquier persona de manera permanente y actualizada.</w:t>
      </w:r>
    </w:p>
    <w:p w14:paraId="2F92AA81" w14:textId="77777777" w:rsidR="00EF18D7" w:rsidRDefault="00EF18D7">
      <w:pPr>
        <w:spacing w:after="0" w:line="360" w:lineRule="auto"/>
        <w:rPr>
          <w:color w:val="000000"/>
        </w:rPr>
      </w:pPr>
    </w:p>
    <w:p w14:paraId="28A3DCD9" w14:textId="77777777" w:rsidR="00EF18D7" w:rsidRDefault="00D603CD">
      <w:pPr>
        <w:spacing w:after="0" w:line="360" w:lineRule="auto"/>
        <w:rPr>
          <w:color w:val="000000"/>
        </w:rPr>
      </w:pPr>
      <w:r>
        <w:rPr>
          <w:color w:val="000000"/>
        </w:rPr>
        <w:t>En este sentido,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establecen los formatos para dar cumplimiento a las Obligaciones de Transparencia, así como los plazos de actualización.</w:t>
      </w:r>
    </w:p>
    <w:p w14:paraId="315C3D56" w14:textId="77777777" w:rsidR="00EF18D7" w:rsidRDefault="00EF18D7">
      <w:pPr>
        <w:spacing w:after="0" w:line="360" w:lineRule="auto"/>
        <w:rPr>
          <w:color w:val="000000"/>
        </w:rPr>
      </w:pPr>
    </w:p>
    <w:p w14:paraId="3AA9D12D" w14:textId="77777777" w:rsidR="00EF18D7" w:rsidRDefault="00D603CD">
      <w:pPr>
        <w:spacing w:after="0" w:line="360" w:lineRule="auto"/>
        <w:rPr>
          <w:color w:val="000000"/>
        </w:rPr>
      </w:pPr>
      <w:r>
        <w:rPr>
          <w:color w:val="000000"/>
        </w:rPr>
        <w:lastRenderedPageBreak/>
        <w:t>Por su parte, 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1FCA8963" w14:textId="77777777" w:rsidR="00EF18D7" w:rsidRDefault="00EF18D7">
      <w:pPr>
        <w:spacing w:after="0" w:line="360" w:lineRule="auto"/>
        <w:rPr>
          <w:color w:val="000000"/>
        </w:rPr>
      </w:pPr>
    </w:p>
    <w:p w14:paraId="38054CDE" w14:textId="77777777" w:rsidR="00EF18D7" w:rsidRDefault="00D603CD">
      <w:pPr>
        <w:spacing w:after="0" w:line="360" w:lineRule="auto"/>
        <w:rPr>
          <w:color w:val="000000"/>
        </w:rPr>
      </w:pPr>
      <w:r>
        <w:rPr>
          <w:color w:val="000000"/>
        </w:rPr>
        <w:t>Por su parte, la Ley de Transparencia y Acceso a la Información Pública del Estado de México y Municipios (Reglamentaria del artículo 5° de la Constitución Local), establece lo siguiente:</w:t>
      </w:r>
    </w:p>
    <w:p w14:paraId="3E62B970" w14:textId="77777777" w:rsidR="00EF18D7" w:rsidRDefault="00D603CD">
      <w:pPr>
        <w:spacing w:after="0" w:line="360" w:lineRule="auto"/>
        <w:rPr>
          <w:color w:val="000000"/>
        </w:rPr>
      </w:pPr>
      <w:r>
        <w:rPr>
          <w:color w:val="000000"/>
        </w:rPr>
        <w:t>El artículo 12, que, quienes generen, recopilen, administren, manejen, procesen, archiven o conserven información pública serán responsables de la misma.</w:t>
      </w:r>
    </w:p>
    <w:p w14:paraId="6C70E0E4" w14:textId="77777777" w:rsidR="00EF18D7" w:rsidRDefault="00EF18D7">
      <w:pPr>
        <w:spacing w:after="0" w:line="360" w:lineRule="auto"/>
        <w:rPr>
          <w:color w:val="000000"/>
        </w:rPr>
      </w:pPr>
    </w:p>
    <w:p w14:paraId="4170778D" w14:textId="77777777" w:rsidR="00EF18D7" w:rsidRDefault="00D603CD">
      <w:pPr>
        <w:spacing w:after="0" w:line="360" w:lineRule="auto"/>
        <w:rPr>
          <w:color w:val="000000"/>
        </w:rPr>
      </w:pPr>
      <w:r>
        <w:rPr>
          <w:color w:val="000000"/>
        </w:rPr>
        <w:t>El artículo 18, que, los Sujetos Obligados deberán documentar todo acto que derive del ejercicio de sus facultades, competencias o funciones, considerando desde su origen la eventual publicidad y reutilización de la información que generen.</w:t>
      </w:r>
    </w:p>
    <w:p w14:paraId="12A72548" w14:textId="77777777" w:rsidR="00EF18D7" w:rsidRDefault="00EF18D7">
      <w:pPr>
        <w:spacing w:after="0" w:line="360" w:lineRule="auto"/>
        <w:rPr>
          <w:color w:val="000000"/>
        </w:rPr>
      </w:pPr>
    </w:p>
    <w:p w14:paraId="314DF274" w14:textId="77777777" w:rsidR="00EF18D7" w:rsidRDefault="00D603CD">
      <w:pPr>
        <w:spacing w:after="0" w:line="360" w:lineRule="auto"/>
        <w:rPr>
          <w:color w:val="000000"/>
        </w:rPr>
      </w:pPr>
      <w:r>
        <w:rPr>
          <w:color w:val="000000"/>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165B27EE" w14:textId="77777777" w:rsidR="00EF18D7" w:rsidRDefault="00EF18D7">
      <w:pPr>
        <w:spacing w:after="0" w:line="360" w:lineRule="auto"/>
        <w:rPr>
          <w:color w:val="000000"/>
        </w:rPr>
      </w:pPr>
    </w:p>
    <w:p w14:paraId="42179C7E" w14:textId="77777777" w:rsidR="00EF18D7" w:rsidRDefault="00D603CD">
      <w:pPr>
        <w:spacing w:after="0" w:line="360" w:lineRule="auto"/>
        <w:rPr>
          <w:b/>
          <w:color w:val="000000"/>
        </w:rPr>
      </w:pPr>
      <w:r>
        <w:rPr>
          <w:b/>
          <w:color w:val="000000"/>
        </w:rPr>
        <w:t>QUINTO. Estudio de Fondo</w:t>
      </w:r>
    </w:p>
    <w:p w14:paraId="1EDB6F1C" w14:textId="77777777" w:rsidR="00EF18D7" w:rsidRDefault="00EF18D7">
      <w:pPr>
        <w:spacing w:after="0" w:line="360" w:lineRule="auto"/>
        <w:rPr>
          <w:color w:val="000000"/>
        </w:rPr>
      </w:pPr>
    </w:p>
    <w:p w14:paraId="634236C6" w14:textId="77777777" w:rsidR="00EF18D7" w:rsidRDefault="00D603CD">
      <w:pPr>
        <w:spacing w:after="0" w:line="360" w:lineRule="auto"/>
        <w:rPr>
          <w:color w:val="000000"/>
        </w:rPr>
      </w:pPr>
      <w:r>
        <w:rPr>
          <w:color w:val="000000"/>
        </w:rPr>
        <w:t xml:space="preserve">Una vez establecido lo anterior, se procede analizar el agravio hecho valer por el ahora Recurrente, concerniente a la entrega de información en una modalidad distinta a la solicitada, para lo cual, es necesario contextualizar la solicitud de información. Por lo que, se </w:t>
      </w:r>
      <w:r>
        <w:rPr>
          <w:color w:val="000000"/>
        </w:rPr>
        <w:lastRenderedPageBreak/>
        <w:t>analizar la naturaleza de la información solicitada, la cual se abordará en diversos apartados, tal como se muestra a continuación.</w:t>
      </w:r>
    </w:p>
    <w:p w14:paraId="7E3C2D35" w14:textId="77777777" w:rsidR="00EF18D7" w:rsidRDefault="00EF18D7">
      <w:pPr>
        <w:spacing w:after="0" w:line="360" w:lineRule="auto"/>
        <w:rPr>
          <w:color w:val="000000"/>
        </w:rPr>
      </w:pPr>
    </w:p>
    <w:p w14:paraId="659F3DF1" w14:textId="77777777" w:rsidR="00EF18D7" w:rsidRDefault="00D603CD">
      <w:pPr>
        <w:numPr>
          <w:ilvl w:val="0"/>
          <w:numId w:val="6"/>
        </w:numPr>
        <w:pBdr>
          <w:top w:val="nil"/>
          <w:left w:val="nil"/>
          <w:bottom w:val="nil"/>
          <w:right w:val="nil"/>
          <w:between w:val="nil"/>
        </w:pBdr>
        <w:spacing w:after="0" w:line="360" w:lineRule="auto"/>
        <w:rPr>
          <w:b/>
          <w:color w:val="000000"/>
        </w:rPr>
      </w:pPr>
      <w:r>
        <w:rPr>
          <w:b/>
          <w:color w:val="000000"/>
        </w:rPr>
        <w:t>Presupuesto</w:t>
      </w:r>
    </w:p>
    <w:p w14:paraId="291831C6" w14:textId="77777777" w:rsidR="00EF18D7" w:rsidRDefault="00EF18D7">
      <w:pPr>
        <w:spacing w:after="0" w:line="360" w:lineRule="auto"/>
        <w:rPr>
          <w:b/>
          <w:color w:val="000000"/>
        </w:rPr>
      </w:pPr>
    </w:p>
    <w:p w14:paraId="203A5000" w14:textId="77777777" w:rsidR="00EF18D7" w:rsidRDefault="00D603CD">
      <w:pPr>
        <w:spacing w:after="0" w:line="360" w:lineRule="auto"/>
        <w:ind w:right="-28"/>
      </w:pPr>
      <w:r>
        <w:t>Sobre el tema, la Guía Técnica 7 Elaboración y Ejercicio de Presupuesto de Egresos del Instituto Nacional para el Federalismo y el Desarrollo Municipal, establece que el Presupuesto de Egresos constituye el programa anual de gastos del municipio, que permite al Ayuntamiento:</w:t>
      </w:r>
    </w:p>
    <w:p w14:paraId="781BC605" w14:textId="77777777" w:rsidR="00EF18D7" w:rsidRDefault="00EF18D7">
      <w:pPr>
        <w:spacing w:after="0" w:line="360" w:lineRule="auto"/>
        <w:rPr>
          <w:b/>
        </w:rPr>
      </w:pPr>
    </w:p>
    <w:p w14:paraId="5C88AC98" w14:textId="77777777" w:rsidR="00EF18D7" w:rsidRDefault="00D603CD">
      <w:pPr>
        <w:numPr>
          <w:ilvl w:val="0"/>
          <w:numId w:val="4"/>
        </w:numPr>
        <w:spacing w:after="0" w:line="360" w:lineRule="auto"/>
        <w:ind w:right="-28"/>
        <w:rPr>
          <w:color w:val="000000"/>
        </w:rPr>
      </w:pPr>
      <w:r>
        <w:t>Prever los recursos financieros necesarios para la administración municipal;</w:t>
      </w:r>
    </w:p>
    <w:p w14:paraId="025229F3" w14:textId="77777777" w:rsidR="00EF18D7" w:rsidRDefault="00D603CD">
      <w:pPr>
        <w:numPr>
          <w:ilvl w:val="0"/>
          <w:numId w:val="4"/>
        </w:numPr>
        <w:spacing w:after="0" w:line="360" w:lineRule="auto"/>
        <w:ind w:right="-28"/>
      </w:pPr>
      <w:r>
        <w:t>Llevar el control estricto de los gastos de la administración municipal, y</w:t>
      </w:r>
    </w:p>
    <w:p w14:paraId="252003E1" w14:textId="77777777" w:rsidR="00EF18D7" w:rsidRDefault="00D603CD">
      <w:pPr>
        <w:numPr>
          <w:ilvl w:val="0"/>
          <w:numId w:val="4"/>
        </w:numPr>
        <w:spacing w:after="0" w:line="360" w:lineRule="auto"/>
        <w:ind w:right="-28"/>
      </w:pPr>
      <w:r>
        <w:t>Manejar adecuada y honestamente los fondos financieros del municipio.</w:t>
      </w:r>
    </w:p>
    <w:p w14:paraId="584195D9" w14:textId="77777777" w:rsidR="00EF18D7" w:rsidRDefault="00EF18D7">
      <w:pPr>
        <w:spacing w:after="0" w:line="360" w:lineRule="auto"/>
        <w:ind w:right="-28"/>
      </w:pPr>
    </w:p>
    <w:p w14:paraId="671E7EC5" w14:textId="77777777" w:rsidR="00EF18D7" w:rsidRDefault="00D603CD">
      <w:pPr>
        <w:spacing w:after="0" w:line="360" w:lineRule="auto"/>
        <w:ind w:right="-28"/>
      </w:pPr>
      <w:r>
        <w:t xml:space="preserve">Además, precisa que dicho documento debe ser elaborado tomando en cuenta el monto disponible de los ingresos del Ayuntamiento; en ese sentido, el artículo 285 del Código Financiero del Estado de México y Municipios, precisa que el Ayuntamiento es el encargado de aprobar el Presupuesto de Egresos del Municipio. </w:t>
      </w:r>
    </w:p>
    <w:p w14:paraId="17F23CB6" w14:textId="77777777" w:rsidR="00EF18D7" w:rsidRDefault="00EF18D7">
      <w:pPr>
        <w:spacing w:after="0" w:line="360" w:lineRule="auto"/>
        <w:ind w:right="-28"/>
      </w:pPr>
    </w:p>
    <w:p w14:paraId="430FD03C" w14:textId="77777777" w:rsidR="00EF18D7" w:rsidRDefault="00D603CD">
      <w:pPr>
        <w:spacing w:after="0" w:line="360" w:lineRule="auto"/>
        <w:ind w:right="-28"/>
      </w:pPr>
      <w:r>
        <w:t xml:space="preserve">Además, el artículo 31, fracción XIX, de la Ley Orgánica Municipal del Estado de México, establece que los </w:t>
      </w:r>
      <w:r>
        <w:rPr>
          <w:b/>
        </w:rPr>
        <w:t xml:space="preserve">Ayuntamientos serán los encargados de aprobar anualmente, el Presupuesto de Egresos, en base a los ingresos presupuestados para el ejercicio de corresponda. </w:t>
      </w:r>
    </w:p>
    <w:p w14:paraId="50B45787" w14:textId="77777777" w:rsidR="00EF18D7" w:rsidRDefault="00EF18D7">
      <w:pPr>
        <w:spacing w:after="0" w:line="360" w:lineRule="auto"/>
        <w:ind w:right="-28"/>
      </w:pPr>
    </w:p>
    <w:p w14:paraId="318EA5B1" w14:textId="77777777" w:rsidR="00EF18D7" w:rsidRDefault="00D603CD">
      <w:pPr>
        <w:spacing w:after="0" w:line="360" w:lineRule="auto"/>
        <w:ind w:right="-28"/>
      </w:pPr>
      <w:r>
        <w:t xml:space="preserve">En ese orden de ideas, de conformidad con el artículo 100 y 101, fracción II, de dicho ordenamiento jurídico, el Presupuesto de Egresos, deberá contener las previsiones de gasto </w:t>
      </w:r>
      <w:r>
        <w:lastRenderedPageBreak/>
        <w:t>público y se conformará, entre otras cosas, por la</w:t>
      </w:r>
      <w:r>
        <w:rPr>
          <w:b/>
        </w:rPr>
        <w:t xml:space="preserve"> estimación de los ingresos y gastos del ejercicio fiscal calendarizados.</w:t>
      </w:r>
    </w:p>
    <w:p w14:paraId="4877545D" w14:textId="77777777" w:rsidR="00EF18D7" w:rsidRDefault="00EF18D7">
      <w:pPr>
        <w:spacing w:after="0" w:line="360" w:lineRule="auto"/>
        <w:rPr>
          <w:color w:val="0D0D0D"/>
        </w:rPr>
      </w:pPr>
    </w:p>
    <w:p w14:paraId="24EC3E31" w14:textId="77777777" w:rsidR="00EF18D7" w:rsidRDefault="00D603CD">
      <w:pPr>
        <w:spacing w:after="0" w:line="360" w:lineRule="auto"/>
      </w:pPr>
      <w:r>
        <w:t>Así, el Manual para la Planeación, Programación y Presupuesto de Egresos Municipal para el ejercicio fiscal dos mil veintidós y dos mil veintitrés, establece que el</w:t>
      </w:r>
      <w:r>
        <w:rPr>
          <w:b/>
        </w:rPr>
        <w:t xml:space="preserve"> Presupuesto es la estimación financiera anticipada de los ingresos y egresos del gobierno</w:t>
      </w:r>
      <w:r>
        <w:t>, necesarios para cumplir con los objetivos establecidos; además, que el mismo involucra planes, políticas, programas, proyectos, estrategias y objetivos del municipio.</w:t>
      </w:r>
    </w:p>
    <w:p w14:paraId="161A9F71" w14:textId="77777777" w:rsidR="00EF18D7" w:rsidRDefault="00EF18D7">
      <w:pPr>
        <w:spacing w:after="0" w:line="360" w:lineRule="auto"/>
        <w:rPr>
          <w:b/>
          <w:color w:val="000000"/>
        </w:rPr>
      </w:pPr>
    </w:p>
    <w:p w14:paraId="16636A06" w14:textId="77777777" w:rsidR="00EF18D7" w:rsidRDefault="00D603CD">
      <w:pPr>
        <w:spacing w:after="0" w:line="360" w:lineRule="auto"/>
      </w:pPr>
      <w:r>
        <w:rPr>
          <w:color w:val="0D0D0D"/>
        </w:rPr>
        <w:t xml:space="preserve">En ese contexto, el </w:t>
      </w:r>
      <w:r>
        <w:t>Manual referido precisa que el Presupuesto de Egresos, únicamente se genera en las siguientes clasificaciones:</w:t>
      </w:r>
    </w:p>
    <w:p w14:paraId="7EE735F4" w14:textId="77777777" w:rsidR="00EF18D7" w:rsidRDefault="00EF18D7">
      <w:pPr>
        <w:spacing w:after="0" w:line="360" w:lineRule="auto"/>
      </w:pPr>
    </w:p>
    <w:p w14:paraId="070DC050" w14:textId="77777777" w:rsidR="00EF18D7" w:rsidRDefault="00D603CD">
      <w:pPr>
        <w:numPr>
          <w:ilvl w:val="0"/>
          <w:numId w:val="5"/>
        </w:numPr>
        <w:spacing w:after="0" w:line="360" w:lineRule="auto"/>
        <w:rPr>
          <w:b/>
          <w:color w:val="0D0D0D"/>
        </w:rPr>
      </w:pPr>
      <w:r>
        <w:rPr>
          <w:b/>
          <w:color w:val="0D0D0D"/>
        </w:rPr>
        <w:t xml:space="preserve">Clasificación Administrativa: </w:t>
      </w:r>
      <w:r>
        <w:rPr>
          <w:color w:val="0D0D0D"/>
        </w:rPr>
        <w:t>Presenta el gasto conforme a cada una de las dependencias y entidades públicas.</w:t>
      </w:r>
    </w:p>
    <w:p w14:paraId="35977B7B" w14:textId="77777777" w:rsidR="00EF18D7" w:rsidRDefault="00EF18D7">
      <w:pPr>
        <w:spacing w:after="0" w:line="360" w:lineRule="auto"/>
        <w:ind w:left="780"/>
        <w:rPr>
          <w:b/>
          <w:color w:val="0D0D0D"/>
        </w:rPr>
      </w:pPr>
    </w:p>
    <w:p w14:paraId="0F68DCED" w14:textId="77777777" w:rsidR="00EF18D7" w:rsidRDefault="00D603CD">
      <w:pPr>
        <w:numPr>
          <w:ilvl w:val="0"/>
          <w:numId w:val="5"/>
        </w:numPr>
        <w:spacing w:after="0" w:line="360" w:lineRule="auto"/>
        <w:rPr>
          <w:b/>
          <w:color w:val="0D0D0D"/>
        </w:rPr>
      </w:pPr>
      <w:r>
        <w:rPr>
          <w:b/>
        </w:rPr>
        <w:t xml:space="preserve">Clasificación Económica: </w:t>
      </w:r>
      <w:r>
        <w:t>Identifica el gasto, según su naturaleza económica.</w:t>
      </w:r>
    </w:p>
    <w:p w14:paraId="44F02F43" w14:textId="77777777" w:rsidR="00EF18D7" w:rsidRDefault="00EF18D7">
      <w:pPr>
        <w:spacing w:after="0" w:line="360" w:lineRule="auto"/>
        <w:ind w:left="720"/>
        <w:rPr>
          <w:b/>
          <w:color w:val="0D0D0D"/>
        </w:rPr>
      </w:pPr>
    </w:p>
    <w:p w14:paraId="4D51FBE6" w14:textId="77777777" w:rsidR="00EF18D7" w:rsidRDefault="00D603CD">
      <w:pPr>
        <w:numPr>
          <w:ilvl w:val="0"/>
          <w:numId w:val="5"/>
        </w:numPr>
        <w:spacing w:after="0" w:line="360" w:lineRule="auto"/>
        <w:rPr>
          <w:b/>
          <w:color w:val="0D0D0D"/>
        </w:rPr>
      </w:pPr>
      <w:r>
        <w:rPr>
          <w:b/>
        </w:rPr>
        <w:t xml:space="preserve">Clasificación Funcional: </w:t>
      </w:r>
      <w:r>
        <w:t>Establece el gasto en atención a las funciones que desarrolla el Gobierno.</w:t>
      </w:r>
    </w:p>
    <w:p w14:paraId="5D39893C" w14:textId="77777777" w:rsidR="00EF18D7" w:rsidRDefault="00EF18D7">
      <w:pPr>
        <w:spacing w:after="0" w:line="360" w:lineRule="auto"/>
        <w:ind w:left="720"/>
        <w:rPr>
          <w:b/>
          <w:color w:val="0D0D0D"/>
        </w:rPr>
      </w:pPr>
    </w:p>
    <w:p w14:paraId="0352A51B" w14:textId="77777777" w:rsidR="00EF18D7" w:rsidRDefault="00D603CD">
      <w:pPr>
        <w:numPr>
          <w:ilvl w:val="0"/>
          <w:numId w:val="5"/>
        </w:numPr>
        <w:spacing w:after="0" w:line="360" w:lineRule="auto"/>
        <w:rPr>
          <w:b/>
          <w:color w:val="0D0D0D"/>
        </w:rPr>
      </w:pPr>
      <w:r>
        <w:rPr>
          <w:b/>
          <w:color w:val="0D0D0D"/>
        </w:rPr>
        <w:t xml:space="preserve">Clasificación por objeto del gasto: </w:t>
      </w:r>
      <w:r>
        <w:rPr>
          <w:color w:val="0D0D0D"/>
        </w:rPr>
        <w:t>Programa el gasto por capítulos, subcapítulos y partidas para facilitar la presentación de resultados e interpretación.</w:t>
      </w:r>
    </w:p>
    <w:p w14:paraId="1494BC47" w14:textId="77777777" w:rsidR="00EF18D7" w:rsidRDefault="00EF18D7">
      <w:pPr>
        <w:spacing w:after="0" w:line="360" w:lineRule="auto"/>
        <w:rPr>
          <w:color w:val="0D0D0D"/>
        </w:rPr>
      </w:pPr>
    </w:p>
    <w:p w14:paraId="29079D81" w14:textId="77777777" w:rsidR="00EF18D7" w:rsidRDefault="00D603CD">
      <w:pPr>
        <w:spacing w:after="0" w:line="360" w:lineRule="auto"/>
        <w:rPr>
          <w:color w:val="000000"/>
        </w:rPr>
      </w:pPr>
      <w:r>
        <w:rPr>
          <w:color w:val="000000"/>
        </w:rPr>
        <w:t xml:space="preserve">Ahora bien, respecto al área solicitada, los artículos 254, 255 y 256 del Bando Municipal de Almoloya de Juárez 2022-2024, señalan, entre otras cosas, que la Unidad Municipal de Control y Bienestar Animal, es la encargada de desarrollar, aplicar y supervisar programas </w:t>
      </w:r>
      <w:r>
        <w:rPr>
          <w:color w:val="000000"/>
        </w:rPr>
        <w:lastRenderedPageBreak/>
        <w:t>de esterilización  y vacunación antirrábica, así como, atender reportes ciudadanos de fauna canina y felina, con o sin dueño, en situación de calle y/o abandono, es decir, dicha Unidad realiza diversas acciones referentes a la fauna canina y felina. Así, se advierte que la pretensión del ahora Recurrente, es obtener el presupuesto asignado a la Unidad Municipal de Control y Bienestar Animal, por año y trienio, de la actual administración 2022-2024.</w:t>
      </w:r>
    </w:p>
    <w:p w14:paraId="243220B4" w14:textId="77777777" w:rsidR="00EF18D7" w:rsidRDefault="00EF18D7">
      <w:pPr>
        <w:widowControl w:val="0"/>
        <w:spacing w:after="0" w:line="360" w:lineRule="auto"/>
        <w:rPr>
          <w:color w:val="000000"/>
        </w:rPr>
      </w:pPr>
    </w:p>
    <w:p w14:paraId="321D4DC4" w14:textId="77777777" w:rsidR="00EF18D7" w:rsidRDefault="00D603CD">
      <w:pPr>
        <w:widowControl w:val="0"/>
        <w:numPr>
          <w:ilvl w:val="0"/>
          <w:numId w:val="10"/>
        </w:numPr>
        <w:pBdr>
          <w:top w:val="nil"/>
          <w:left w:val="nil"/>
          <w:bottom w:val="nil"/>
          <w:right w:val="nil"/>
          <w:between w:val="nil"/>
        </w:pBdr>
        <w:spacing w:after="0" w:line="360" w:lineRule="auto"/>
        <w:rPr>
          <w:b/>
          <w:color w:val="000000"/>
        </w:rPr>
      </w:pPr>
      <w:r>
        <w:rPr>
          <w:b/>
          <w:color w:val="000000"/>
        </w:rPr>
        <w:t xml:space="preserve">Facturas de gasto </w:t>
      </w:r>
    </w:p>
    <w:p w14:paraId="293D30C5" w14:textId="77777777" w:rsidR="00EF18D7" w:rsidRDefault="00EF18D7">
      <w:pPr>
        <w:widowControl w:val="0"/>
        <w:pBdr>
          <w:top w:val="nil"/>
          <w:left w:val="nil"/>
          <w:bottom w:val="nil"/>
          <w:right w:val="nil"/>
          <w:between w:val="nil"/>
        </w:pBdr>
        <w:spacing w:after="0" w:line="360" w:lineRule="auto"/>
        <w:ind w:left="720"/>
        <w:rPr>
          <w:color w:val="000000"/>
        </w:rPr>
      </w:pPr>
    </w:p>
    <w:p w14:paraId="2B84C3DE" w14:textId="77777777" w:rsidR="00EF18D7" w:rsidRDefault="00D603CD">
      <w:pPr>
        <w:spacing w:after="0" w:line="360" w:lineRule="auto"/>
        <w:ind w:right="-28"/>
      </w:pPr>
      <w:r>
        <w:t xml:space="preserve">Sobre el tema, el artículo 4°, fracción XVIII, de la Ley General de Contabilidad Gubernamental, establece que la información financiera consiste en información presupuestaria y contable que se expresa en unidades monetarias las </w:t>
      </w:r>
      <w:r>
        <w:rPr>
          <w:b/>
        </w:rPr>
        <w:t>transacciones que realiza un ente público y los eventos económicos identificables y cuantificable</w:t>
      </w:r>
      <w:r>
        <w:t xml:space="preserve"> la cual puede representarse por reportes, informes, estados y notas que expresan su situación financiera, los resultados de su operación y los cambios en su patrimonio.</w:t>
      </w:r>
    </w:p>
    <w:p w14:paraId="1F5AEE5F" w14:textId="77777777" w:rsidR="00EF18D7" w:rsidRDefault="00EF18D7">
      <w:pPr>
        <w:spacing w:after="0" w:line="360" w:lineRule="auto"/>
        <w:ind w:right="-28"/>
      </w:pPr>
    </w:p>
    <w:p w14:paraId="7E777A5D" w14:textId="77777777" w:rsidR="00EF18D7" w:rsidRDefault="00D603CD">
      <w:pPr>
        <w:spacing w:after="0" w:line="360" w:lineRule="auto"/>
        <w:ind w:right="-28"/>
      </w:pPr>
      <w:r>
        <w:t>En esa misma tesitura, los artículos 16, 18, 19, fracción V, y 34 de la Ley General en comento, establecen que los entes públicos deben contar con un sistema de contabilidad gubernamental en el cual se registrarán operaciones presupuestarias y contables derivadas de la gestión pública, así como otros flujos económicos, los cuales serán expresados en términos monetarios. Dichos registros contables se llevarán con base acumulativa, por lo que contabilización de las transacciones de gasto se hará conforme a la fecha de su realización, independientemente de la de su pago, y la del ingreso se registrará cuando exista jurídicamente el derecho de cobro.</w:t>
      </w:r>
    </w:p>
    <w:p w14:paraId="489E4968" w14:textId="77777777" w:rsidR="00EF18D7" w:rsidRDefault="00EF18D7">
      <w:pPr>
        <w:spacing w:after="0" w:line="360" w:lineRule="auto"/>
        <w:ind w:right="-28"/>
      </w:pPr>
    </w:p>
    <w:p w14:paraId="7B72EBED" w14:textId="77777777" w:rsidR="00EF18D7" w:rsidRDefault="00D603CD">
      <w:pPr>
        <w:spacing w:after="0" w:line="360" w:lineRule="auto"/>
        <w:ind w:right="-28"/>
      </w:pPr>
      <w:r>
        <w:t xml:space="preserve">En ese contexto, la Guía técnica 05 “La contabilidad y la cuenta pública municipal”, emitida por el Instituto Nacional de Administración Pública, establece que la contabilidad municipal </w:t>
      </w:r>
      <w:r>
        <w:lastRenderedPageBreak/>
        <w:t>es la técnica que permite registrar en forma ordenada, completa y detallada de los ingresos y gastos, con el fin de poder determinar en cualquier momento la situación financiera de la hacienda pública municipal.</w:t>
      </w:r>
    </w:p>
    <w:p w14:paraId="02D1D870" w14:textId="77777777" w:rsidR="00EF18D7" w:rsidRDefault="00EF18D7">
      <w:pPr>
        <w:spacing w:after="0" w:line="360" w:lineRule="auto"/>
        <w:ind w:right="-28"/>
      </w:pPr>
    </w:p>
    <w:p w14:paraId="4769058C" w14:textId="77777777" w:rsidR="00EF18D7" w:rsidRDefault="00D603CD">
      <w:pPr>
        <w:spacing w:after="0" w:line="360" w:lineRule="auto"/>
        <w:ind w:right="-28"/>
        <w:rPr>
          <w:b/>
        </w:rPr>
      </w:pPr>
      <w:r>
        <w:t xml:space="preserve">De este modo, de acuerdo a la naturaleza de información solicitada, resulta necesario traer a colación, la Resolución Miscelánea Fiscal para el 2023, establece que </w:t>
      </w:r>
      <w:r>
        <w:rPr>
          <w:b/>
        </w:rPr>
        <w:t>la factura</w:t>
      </w:r>
      <w:r>
        <w:t xml:space="preserve"> es lo mismo, que un Comprobante Fiscal Digital por Internet, por lo que, se puede considerar como el </w:t>
      </w:r>
      <w:r>
        <w:rPr>
          <w:b/>
        </w:rPr>
        <w:t>documento que comprueba la realización de una transacción comercial, entre un comprador y un vendedor, mediante el cual, el primero queda obligado a realizar un pago, mientras que el segundo, a entregar o brindar un producto o servicio.</w:t>
      </w:r>
    </w:p>
    <w:p w14:paraId="2306A2EE" w14:textId="77777777" w:rsidR="00EF18D7" w:rsidRDefault="00D603CD">
      <w:pPr>
        <w:tabs>
          <w:tab w:val="left" w:pos="5303"/>
        </w:tabs>
        <w:spacing w:after="0" w:line="360" w:lineRule="auto"/>
        <w:ind w:right="-28"/>
      </w:pPr>
      <w:r>
        <w:tab/>
      </w:r>
    </w:p>
    <w:p w14:paraId="50A5517D" w14:textId="77777777" w:rsidR="00EF18D7" w:rsidRDefault="00D603CD">
      <w:pPr>
        <w:spacing w:after="0" w:line="360" w:lineRule="auto"/>
        <w:ind w:right="-28"/>
      </w:pPr>
      <w:r>
        <w:t xml:space="preserve">En ese orden de ideas, los Lineamientos para la Integración y Entrega del Informe Trimestral Municipal, dos mil veintitrés, entre los formatos que maneja en el </w:t>
      </w:r>
      <w:r>
        <w:rPr>
          <w:b/>
        </w:rPr>
        <w:t>Módulo 1,</w:t>
      </w:r>
      <w:r>
        <w:t xml:space="preserve"> se advierte que se encuentran Póliza de Egresos y Póliza Cheque, con los documentos comprobatorios, mismos que serán entregados al Órgano Superior de Fiscalización del Estado de México. Además, se precisa que dichos documentos deberán contener las imágenes de la documentación comprobatoria y justificativa de los egresos y de las respectivas pólizas, los cuales incluyen los Comprobantes Fiscales Digitales por Internet, facturas o recibos.</w:t>
      </w:r>
    </w:p>
    <w:p w14:paraId="7133F7C2" w14:textId="77777777" w:rsidR="00EF18D7" w:rsidRDefault="00EF18D7">
      <w:pPr>
        <w:spacing w:after="0" w:line="360" w:lineRule="auto"/>
        <w:ind w:right="-28"/>
      </w:pPr>
    </w:p>
    <w:p w14:paraId="71B4B506" w14:textId="77777777" w:rsidR="00EF18D7" w:rsidRDefault="00D603CD">
      <w:pPr>
        <w:spacing w:after="0" w:line="360" w:lineRule="auto"/>
        <w:rPr>
          <w:color w:val="000000"/>
        </w:rPr>
      </w:pPr>
      <w:r>
        <w:t xml:space="preserve">Ahora bien, el Manual para la Planeación, Programación y Presupuesto de Egresos Municipal para el ejercicio fiscal dos mil veintitrés, establece la estructura de codificación del Clasificador por Objeto del Gasto, el cual se conforma por capítulos, subcapítulos, partidas genéricas y específicas, que contiene las asignaciones destinadas a cubrir los gastos realizados, para el cumplimiento de sus objetivos, en este caso, realizados por la </w:t>
      </w:r>
      <w:r>
        <w:rPr>
          <w:color w:val="000000"/>
        </w:rPr>
        <w:t>Unidad Municipal de Control y Bienestar Animal</w:t>
      </w:r>
      <w:r>
        <w:t>.</w:t>
      </w:r>
    </w:p>
    <w:p w14:paraId="3C91A895" w14:textId="77777777" w:rsidR="00EF18D7" w:rsidRDefault="00EF18D7">
      <w:pPr>
        <w:spacing w:after="0" w:line="360" w:lineRule="auto"/>
        <w:rPr>
          <w:color w:val="000000"/>
        </w:rPr>
      </w:pPr>
    </w:p>
    <w:p w14:paraId="3AFD2A48" w14:textId="77777777" w:rsidR="00EF18D7" w:rsidRDefault="00D603CD">
      <w:pPr>
        <w:spacing w:after="0" w:line="360" w:lineRule="auto"/>
        <w:rPr>
          <w:color w:val="000000"/>
        </w:rPr>
      </w:pPr>
      <w:r>
        <w:rPr>
          <w:color w:val="000000"/>
        </w:rPr>
        <w:lastRenderedPageBreak/>
        <w:t xml:space="preserve">Al respecto, el hoy recurrente desea tener información respecto del monto y el soporte documental de los egresos realizados por la Unidad Municipal de Control y Bienestar Animal, para el debido cumplimiento de sus objetivos y en ejercicio de sus atribuciones. Al respecto, es importante señalar los artículos 31, fracción XVIII, 53, fracción III, 93, 95, fracciones I, IV, de la Ley Orgánica Municipal del Estado de México, estipulan: </w:t>
      </w:r>
    </w:p>
    <w:p w14:paraId="1D4BD0F1" w14:textId="77777777" w:rsidR="00EF18D7" w:rsidRDefault="00EF18D7">
      <w:pPr>
        <w:spacing w:after="0" w:line="360" w:lineRule="auto"/>
        <w:rPr>
          <w:color w:val="000000"/>
        </w:rPr>
      </w:pPr>
    </w:p>
    <w:p w14:paraId="009B7DA7" w14:textId="77777777" w:rsidR="00EF18D7" w:rsidRDefault="00D603CD">
      <w:pPr>
        <w:spacing w:after="0" w:line="360" w:lineRule="auto"/>
        <w:ind w:left="567" w:right="567"/>
        <w:rPr>
          <w:i/>
          <w:color w:val="000000"/>
          <w:sz w:val="20"/>
          <w:szCs w:val="20"/>
        </w:rPr>
      </w:pPr>
      <w:r>
        <w:rPr>
          <w:i/>
          <w:color w:val="000000"/>
          <w:sz w:val="20"/>
          <w:szCs w:val="20"/>
        </w:rPr>
        <w:t>“Artículo 31. Son atribuciones de los ayuntamientos:</w:t>
      </w:r>
    </w:p>
    <w:p w14:paraId="683029CF" w14:textId="77777777" w:rsidR="00EF18D7" w:rsidRDefault="00D603CD">
      <w:pPr>
        <w:spacing w:after="0" w:line="360" w:lineRule="auto"/>
        <w:ind w:left="567" w:right="567"/>
        <w:rPr>
          <w:i/>
          <w:color w:val="000000"/>
          <w:sz w:val="20"/>
          <w:szCs w:val="20"/>
        </w:rPr>
      </w:pPr>
      <w:r>
        <w:rPr>
          <w:i/>
          <w:color w:val="000000"/>
          <w:sz w:val="20"/>
          <w:szCs w:val="20"/>
        </w:rPr>
        <w:t>(...)</w:t>
      </w:r>
    </w:p>
    <w:p w14:paraId="1AC0E89B" w14:textId="77777777" w:rsidR="00EF18D7" w:rsidRDefault="00D603CD">
      <w:pPr>
        <w:spacing w:after="0" w:line="360" w:lineRule="auto"/>
        <w:ind w:left="567" w:right="567"/>
        <w:rPr>
          <w:i/>
          <w:color w:val="000000"/>
          <w:sz w:val="20"/>
          <w:szCs w:val="20"/>
        </w:rPr>
      </w:pPr>
      <w:r>
        <w:rPr>
          <w:i/>
          <w:color w:val="000000"/>
          <w:sz w:val="20"/>
          <w:szCs w:val="20"/>
        </w:rPr>
        <w:t>XVIII. Administrar su hacienda en términos de ley, y controlar a través del presidente y síndico la aplicación del presupuesto de egresos del municipio;</w:t>
      </w:r>
    </w:p>
    <w:p w14:paraId="75A851A8" w14:textId="77777777" w:rsidR="00EF18D7" w:rsidRDefault="00D603CD">
      <w:pPr>
        <w:spacing w:after="0" w:line="360" w:lineRule="auto"/>
        <w:ind w:left="567" w:right="567"/>
        <w:rPr>
          <w:i/>
          <w:color w:val="000000"/>
          <w:sz w:val="20"/>
          <w:szCs w:val="20"/>
        </w:rPr>
      </w:pPr>
      <w:r>
        <w:rPr>
          <w:i/>
          <w:color w:val="000000"/>
          <w:sz w:val="20"/>
          <w:szCs w:val="20"/>
        </w:rPr>
        <w:t>(…)</w:t>
      </w:r>
    </w:p>
    <w:p w14:paraId="55518195" w14:textId="77777777" w:rsidR="00EF18D7" w:rsidRDefault="00D603CD">
      <w:pPr>
        <w:spacing w:after="0" w:line="360" w:lineRule="auto"/>
        <w:ind w:left="567" w:right="567"/>
        <w:rPr>
          <w:i/>
          <w:color w:val="000000"/>
          <w:sz w:val="20"/>
          <w:szCs w:val="20"/>
        </w:rPr>
      </w:pPr>
      <w:r>
        <w:rPr>
          <w:i/>
          <w:color w:val="000000"/>
          <w:sz w:val="20"/>
          <w:szCs w:val="20"/>
        </w:rPr>
        <w:t>Artículo 53. Los síndicos tendrán las siguientes atribuciones:</w:t>
      </w:r>
    </w:p>
    <w:p w14:paraId="32E50C2B" w14:textId="77777777" w:rsidR="00EF18D7" w:rsidRDefault="00D603CD">
      <w:pPr>
        <w:spacing w:after="0" w:line="360" w:lineRule="auto"/>
        <w:ind w:left="567" w:right="567"/>
        <w:rPr>
          <w:i/>
          <w:color w:val="000000"/>
          <w:sz w:val="20"/>
          <w:szCs w:val="20"/>
        </w:rPr>
      </w:pPr>
      <w:r>
        <w:rPr>
          <w:i/>
          <w:color w:val="000000"/>
          <w:sz w:val="20"/>
          <w:szCs w:val="20"/>
        </w:rPr>
        <w:t>(…)</w:t>
      </w:r>
    </w:p>
    <w:p w14:paraId="18109BB3" w14:textId="77777777" w:rsidR="00EF18D7" w:rsidRDefault="00D603CD">
      <w:pPr>
        <w:spacing w:after="0" w:line="360" w:lineRule="auto"/>
        <w:ind w:left="567" w:right="567"/>
        <w:rPr>
          <w:i/>
          <w:color w:val="000000"/>
          <w:sz w:val="20"/>
          <w:szCs w:val="20"/>
        </w:rPr>
      </w:pPr>
      <w:r>
        <w:rPr>
          <w:i/>
          <w:color w:val="000000"/>
          <w:sz w:val="20"/>
          <w:szCs w:val="20"/>
        </w:rPr>
        <w:t>III. Cuidar que la aplicación de los gastos se haga llenando todos los requisitos legales y conforme al presupuesto respectivo;</w:t>
      </w:r>
    </w:p>
    <w:p w14:paraId="5031DFD8" w14:textId="77777777" w:rsidR="00EF18D7" w:rsidRDefault="00D603CD">
      <w:pPr>
        <w:spacing w:after="0" w:line="360" w:lineRule="auto"/>
        <w:ind w:left="567" w:right="567"/>
        <w:rPr>
          <w:i/>
          <w:color w:val="000000"/>
          <w:sz w:val="20"/>
          <w:szCs w:val="20"/>
        </w:rPr>
      </w:pPr>
      <w:r>
        <w:rPr>
          <w:i/>
          <w:color w:val="000000"/>
          <w:sz w:val="20"/>
          <w:szCs w:val="20"/>
        </w:rPr>
        <w:t>(…)</w:t>
      </w:r>
    </w:p>
    <w:p w14:paraId="246535B1" w14:textId="77777777" w:rsidR="00EF18D7" w:rsidRDefault="00D603CD">
      <w:pPr>
        <w:spacing w:after="0" w:line="360" w:lineRule="auto"/>
        <w:ind w:left="567" w:right="567"/>
        <w:rPr>
          <w:i/>
          <w:color w:val="000000"/>
          <w:sz w:val="20"/>
          <w:szCs w:val="20"/>
        </w:rPr>
      </w:pPr>
      <w:r>
        <w:rPr>
          <w:i/>
          <w:color w:val="000000"/>
          <w:sz w:val="20"/>
          <w:szCs w:val="20"/>
        </w:rPr>
        <w:t xml:space="preserve">Artículo 93. </w:t>
      </w:r>
      <w:r>
        <w:rPr>
          <w:b/>
          <w:i/>
          <w:color w:val="000000"/>
          <w:sz w:val="20"/>
          <w:szCs w:val="20"/>
        </w:rPr>
        <w:t>La tesorería municipal es el órgano encargado de la recaudación de los ingresos municipales y responsable de realizar las erogaciones que haga el ayuntamiento.</w:t>
      </w:r>
    </w:p>
    <w:p w14:paraId="59C98112" w14:textId="77777777" w:rsidR="00EF18D7" w:rsidRDefault="00D603CD">
      <w:pPr>
        <w:spacing w:after="0" w:line="360" w:lineRule="auto"/>
        <w:ind w:left="567" w:right="567"/>
        <w:rPr>
          <w:i/>
          <w:color w:val="000000"/>
          <w:sz w:val="20"/>
          <w:szCs w:val="20"/>
        </w:rPr>
      </w:pPr>
      <w:r>
        <w:rPr>
          <w:i/>
          <w:color w:val="000000"/>
          <w:sz w:val="20"/>
          <w:szCs w:val="20"/>
        </w:rPr>
        <w:t>(…)</w:t>
      </w:r>
    </w:p>
    <w:p w14:paraId="22696B1B" w14:textId="77777777" w:rsidR="00EF18D7" w:rsidRDefault="00D603CD">
      <w:pPr>
        <w:spacing w:after="0" w:line="360" w:lineRule="auto"/>
        <w:ind w:left="567" w:right="567"/>
        <w:rPr>
          <w:i/>
          <w:color w:val="000000"/>
          <w:sz w:val="20"/>
          <w:szCs w:val="20"/>
        </w:rPr>
      </w:pPr>
      <w:r>
        <w:rPr>
          <w:i/>
          <w:color w:val="000000"/>
          <w:sz w:val="20"/>
          <w:szCs w:val="20"/>
        </w:rPr>
        <w:t>Artículo 95. Son atribuciones del tesorero municipal:</w:t>
      </w:r>
    </w:p>
    <w:p w14:paraId="413E9CF0" w14:textId="77777777" w:rsidR="00EF18D7" w:rsidRDefault="00D603CD">
      <w:pPr>
        <w:spacing w:after="0" w:line="360" w:lineRule="auto"/>
        <w:ind w:left="567" w:right="567"/>
        <w:rPr>
          <w:i/>
          <w:color w:val="000000"/>
          <w:sz w:val="20"/>
          <w:szCs w:val="20"/>
        </w:rPr>
      </w:pPr>
      <w:r>
        <w:rPr>
          <w:i/>
          <w:color w:val="000000"/>
          <w:sz w:val="20"/>
          <w:szCs w:val="20"/>
        </w:rPr>
        <w:t>(…)</w:t>
      </w:r>
    </w:p>
    <w:p w14:paraId="1A176A86" w14:textId="77777777" w:rsidR="00EF18D7" w:rsidRDefault="00D603CD">
      <w:pPr>
        <w:spacing w:after="0" w:line="360" w:lineRule="auto"/>
        <w:ind w:left="567" w:right="567"/>
        <w:rPr>
          <w:i/>
          <w:color w:val="000000"/>
          <w:sz w:val="20"/>
          <w:szCs w:val="20"/>
        </w:rPr>
      </w:pPr>
      <w:r>
        <w:rPr>
          <w:i/>
          <w:color w:val="000000"/>
          <w:sz w:val="20"/>
          <w:szCs w:val="20"/>
        </w:rPr>
        <w:t>I. Administrar la hacienda pública municipal, de conformidad con las disposiciones legales aplicables;</w:t>
      </w:r>
    </w:p>
    <w:p w14:paraId="0F5E4729" w14:textId="77777777" w:rsidR="00EF18D7" w:rsidRDefault="00D603CD">
      <w:pPr>
        <w:spacing w:after="0" w:line="360" w:lineRule="auto"/>
        <w:ind w:left="567" w:right="567"/>
        <w:rPr>
          <w:i/>
          <w:color w:val="000000"/>
          <w:sz w:val="20"/>
          <w:szCs w:val="20"/>
        </w:rPr>
      </w:pPr>
      <w:r>
        <w:rPr>
          <w:i/>
          <w:color w:val="000000"/>
          <w:sz w:val="20"/>
          <w:szCs w:val="20"/>
        </w:rPr>
        <w:t>(…)</w:t>
      </w:r>
    </w:p>
    <w:p w14:paraId="2EDCB761" w14:textId="77777777" w:rsidR="00EF18D7" w:rsidRDefault="00D603CD">
      <w:pPr>
        <w:spacing w:after="0" w:line="360" w:lineRule="auto"/>
        <w:ind w:left="567" w:right="567"/>
        <w:rPr>
          <w:b/>
          <w:i/>
          <w:color w:val="000000"/>
          <w:sz w:val="20"/>
          <w:szCs w:val="20"/>
        </w:rPr>
      </w:pPr>
      <w:r>
        <w:rPr>
          <w:b/>
          <w:i/>
          <w:color w:val="000000"/>
          <w:sz w:val="20"/>
          <w:szCs w:val="20"/>
        </w:rPr>
        <w:t>IV. Llevar los registros contables, financieros y administrativos de los ingresos, egresos, e inventarios;</w:t>
      </w:r>
    </w:p>
    <w:p w14:paraId="6473C2A7" w14:textId="77777777" w:rsidR="00EF18D7" w:rsidRDefault="00D603CD">
      <w:pPr>
        <w:spacing w:after="0" w:line="360" w:lineRule="auto"/>
        <w:ind w:left="567" w:right="567"/>
        <w:rPr>
          <w:i/>
          <w:color w:val="000000"/>
          <w:sz w:val="20"/>
          <w:szCs w:val="20"/>
        </w:rPr>
      </w:pPr>
      <w:r>
        <w:rPr>
          <w:i/>
          <w:color w:val="000000"/>
          <w:sz w:val="20"/>
          <w:szCs w:val="20"/>
        </w:rPr>
        <w:t>(…)” (Énfasis añadido)</w:t>
      </w:r>
    </w:p>
    <w:p w14:paraId="47FF6645" w14:textId="77777777" w:rsidR="00EF18D7" w:rsidRDefault="00EF18D7">
      <w:pPr>
        <w:spacing w:after="0" w:line="360" w:lineRule="auto"/>
        <w:ind w:left="567" w:right="567"/>
        <w:rPr>
          <w:i/>
          <w:color w:val="000000"/>
          <w:sz w:val="20"/>
          <w:szCs w:val="20"/>
        </w:rPr>
      </w:pPr>
    </w:p>
    <w:p w14:paraId="2C034A99" w14:textId="77777777" w:rsidR="00EF18D7" w:rsidRDefault="00D603CD">
      <w:pPr>
        <w:spacing w:after="0" w:line="360" w:lineRule="auto"/>
        <w:rPr>
          <w:color w:val="000000"/>
        </w:rPr>
      </w:pPr>
      <w:r>
        <w:rPr>
          <w:color w:val="000000"/>
        </w:rPr>
        <w:t xml:space="preserve">De lo anterior se desprende que los ayuntamientos administran su hacienda en términos de ley, por lo que le corresponde controlar al presidente y síndico la aplicación del presupuesto de egresos del municipio, además que al síndico le corresponde cuidar que la aplicación de los gastos se haga llenando todos los requisitos legales y conforme al presupuesto correspondiente, además, al </w:t>
      </w:r>
      <w:r>
        <w:rPr>
          <w:b/>
          <w:color w:val="000000"/>
          <w:u w:val="single"/>
        </w:rPr>
        <w:t>Tesorero le corresponde llevar los registros contables, financieros y administrativos de los ingresos y egresos</w:t>
      </w:r>
      <w:r>
        <w:rPr>
          <w:color w:val="000000"/>
        </w:rPr>
        <w:t>.</w:t>
      </w:r>
    </w:p>
    <w:p w14:paraId="155187C8" w14:textId="77777777" w:rsidR="00EF18D7" w:rsidRDefault="00EF18D7">
      <w:pPr>
        <w:spacing w:after="0" w:line="360" w:lineRule="auto"/>
        <w:rPr>
          <w:color w:val="000000"/>
        </w:rPr>
      </w:pPr>
    </w:p>
    <w:p w14:paraId="73D2BFF8" w14:textId="77777777" w:rsidR="00EF18D7" w:rsidRDefault="00D603CD">
      <w:pPr>
        <w:numPr>
          <w:ilvl w:val="0"/>
          <w:numId w:val="1"/>
        </w:numPr>
        <w:pBdr>
          <w:top w:val="nil"/>
          <w:left w:val="nil"/>
          <w:bottom w:val="nil"/>
          <w:right w:val="nil"/>
          <w:between w:val="nil"/>
        </w:pBdr>
        <w:spacing w:after="0" w:line="360" w:lineRule="auto"/>
        <w:rPr>
          <w:color w:val="000000"/>
        </w:rPr>
      </w:pPr>
      <w:r>
        <w:rPr>
          <w:b/>
          <w:color w:val="000000"/>
        </w:rPr>
        <w:t>Plantilla laboral de los servidores públicos que integran la Unidad</w:t>
      </w:r>
      <w:r>
        <w:rPr>
          <w:color w:val="000000"/>
        </w:rPr>
        <w:t xml:space="preserve"> </w:t>
      </w:r>
      <w:r>
        <w:rPr>
          <w:b/>
          <w:color w:val="000000"/>
        </w:rPr>
        <w:t>Municipal de Control y Bienestar Animal</w:t>
      </w:r>
    </w:p>
    <w:p w14:paraId="771B95C3" w14:textId="77777777" w:rsidR="00EF18D7" w:rsidRDefault="00EF18D7">
      <w:pPr>
        <w:pBdr>
          <w:top w:val="nil"/>
          <w:left w:val="nil"/>
          <w:bottom w:val="nil"/>
          <w:right w:val="nil"/>
          <w:between w:val="nil"/>
        </w:pBdr>
        <w:spacing w:after="0" w:line="360" w:lineRule="auto"/>
        <w:ind w:left="720"/>
        <w:rPr>
          <w:color w:val="000000"/>
        </w:rPr>
      </w:pPr>
    </w:p>
    <w:p w14:paraId="784D3FAA" w14:textId="77777777" w:rsidR="00EF18D7" w:rsidRDefault="00D603CD">
      <w:pPr>
        <w:spacing w:after="0" w:line="360" w:lineRule="auto"/>
        <w:rPr>
          <w:b/>
          <w:i/>
          <w:color w:val="000000"/>
          <w:u w:val="single"/>
        </w:rPr>
      </w:pPr>
      <w:r>
        <w:rPr>
          <w:color w:val="000000"/>
        </w:rPr>
        <w:t xml:space="preserve">Respecto a este punto de la solicitud, es de destacar que en la Legislación del Estado de México no existe precepto alguno que conceptualice la plantilla de personal; la norma mexicana para la igualdad laboral entre hombres y mujeres número </w:t>
      </w:r>
      <w:r>
        <w:rPr>
          <w:b/>
          <w:color w:val="000000"/>
        </w:rPr>
        <w:t>NMX-R-025-SCFI-2009,</w:t>
      </w:r>
      <w:r>
        <w:rPr>
          <w:color w:val="000000"/>
        </w:rPr>
        <w:t xml:space="preserve"> </w:t>
      </w:r>
      <w:hyperlink r:id="rId9" w:anchor="gsc.tab=0">
        <w:r>
          <w:rPr>
            <w:color w:val="0563C1"/>
            <w:u w:val="single"/>
          </w:rPr>
          <w:t>https://www.dof.gob.mx/nota_detalle.php?codigo=5086651&amp;fecha=09/04/2009#gsc.tab=0</w:t>
        </w:r>
      </w:hyperlink>
      <w:r>
        <w:rPr>
          <w:color w:val="000000"/>
        </w:rPr>
        <w:t xml:space="preserve"> (consultada el seis de noviembre de dos mil veinticuatro a las dieciocho horas),  la define de manera textual como </w:t>
      </w:r>
      <w:r>
        <w:rPr>
          <w:b/>
          <w:color w:val="000000"/>
          <w:u w:val="single"/>
        </w:rPr>
        <w:t>“</w:t>
      </w:r>
      <w:r>
        <w:rPr>
          <w:b/>
          <w:i/>
          <w:color w:val="000000"/>
          <w:u w:val="single"/>
        </w:rPr>
        <w:t xml:space="preserve">todas las personas que laboran en la organización, independientemente del tipo de contrato con el que cuentan, incluidas las subcontratadas.” </w:t>
      </w:r>
    </w:p>
    <w:p w14:paraId="46905744" w14:textId="77777777" w:rsidR="00EF18D7" w:rsidRDefault="00EF18D7">
      <w:pPr>
        <w:spacing w:after="0" w:line="360" w:lineRule="auto"/>
        <w:rPr>
          <w:i/>
          <w:color w:val="000000"/>
        </w:rPr>
      </w:pPr>
    </w:p>
    <w:p w14:paraId="2A70A4F2" w14:textId="77777777" w:rsidR="00EF18D7" w:rsidRDefault="00D603CD">
      <w:pPr>
        <w:spacing w:after="0" w:line="360" w:lineRule="auto"/>
        <w:rPr>
          <w:i/>
          <w:color w:val="000000"/>
        </w:rPr>
      </w:pPr>
      <w:r>
        <w:rPr>
          <w:color w:val="000000"/>
        </w:rPr>
        <w:t>Ahora bien, el Instituto de Seguridad Social del Estado de México y Municipios (ISSEMYM) emitió el Manual del Procedimiento Operativo de Control de Plantilla de Personal, en donde la define como el “</w:t>
      </w:r>
      <w:r>
        <w:rPr>
          <w:i/>
          <w:color w:val="000000"/>
        </w:rPr>
        <w:t xml:space="preserve">documento autorizado por el Gobierno del Estado de México, el cual contiene el número de plazas autorizadas por puestos, categorías, unidades de adscripción, percepciones brutas mensuales y datos personales del servidor público, así como tipo de relación laboral (sindicalizado o confianza).” (Sic). </w:t>
      </w:r>
      <w:r>
        <w:rPr>
          <w:color w:val="000000"/>
        </w:rPr>
        <w:t xml:space="preserve">Conforme a lo anterior, por analogía se puede definir que </w:t>
      </w:r>
      <w:r>
        <w:rPr>
          <w:b/>
          <w:color w:val="000000"/>
        </w:rPr>
        <w:t xml:space="preserve">la plantilla de </w:t>
      </w:r>
      <w:r>
        <w:rPr>
          <w:b/>
          <w:color w:val="000000"/>
        </w:rPr>
        <w:lastRenderedPageBreak/>
        <w:t xml:space="preserve">personal de los municipios es el documento del que se puede contener entre otras cosas, la plaza autorizada por puesto, categoría y unidad de adscripción. </w:t>
      </w:r>
    </w:p>
    <w:p w14:paraId="3E749834" w14:textId="77777777" w:rsidR="00EF18D7" w:rsidRDefault="00EF18D7">
      <w:pPr>
        <w:spacing w:after="0" w:line="360" w:lineRule="auto"/>
        <w:rPr>
          <w:color w:val="000000"/>
        </w:rPr>
      </w:pPr>
    </w:p>
    <w:p w14:paraId="19FFD6E3" w14:textId="77777777" w:rsidR="00EF18D7" w:rsidRDefault="00D603CD">
      <w:pPr>
        <w:spacing w:after="0" w:line="360" w:lineRule="auto"/>
        <w:rPr>
          <w:color w:val="000000"/>
        </w:rPr>
      </w:pPr>
      <w:r>
        <w:rPr>
          <w:color w:val="000000"/>
        </w:rPr>
        <w:t xml:space="preserve">Asimismo, es de señalar que el artículo 98, fracción XV, de la Ley del Trabajo de los Servidores Públicos del Estado y Municipios dispone que las instituciones públicas, tal es el caso del Ayuntamiento de Almoloya de Juárez, deberán elaborar un catálogo general de puestos y un tabulador anual de remuneraciones, tomando en consideración los objetivos de las instituciones públicas, las funciones, actividades y tareas de los servidores públicos, así como la cantidad, calidad y responsabilidad del trabajo. </w:t>
      </w:r>
    </w:p>
    <w:p w14:paraId="06E38DB2" w14:textId="77777777" w:rsidR="00EF18D7" w:rsidRDefault="00D603CD">
      <w:pPr>
        <w:spacing w:after="0" w:line="360" w:lineRule="auto"/>
        <w:rPr>
          <w:color w:val="000000"/>
        </w:rPr>
      </w:pPr>
      <w:r>
        <w:rPr>
          <w:color w:val="000000"/>
        </w:rPr>
        <w:t xml:space="preserve"> </w:t>
      </w:r>
    </w:p>
    <w:p w14:paraId="62BFA739" w14:textId="77777777" w:rsidR="00EF18D7" w:rsidRDefault="00D603CD">
      <w:pPr>
        <w:spacing w:after="0" w:line="360" w:lineRule="auto"/>
        <w:rPr>
          <w:i/>
          <w:color w:val="000000"/>
        </w:rPr>
      </w:pPr>
      <w:r>
        <w:rPr>
          <w:color w:val="000000"/>
        </w:rPr>
        <w:t xml:space="preserve">Por su parte, el Manual para la Planeación, Programación y Presupuesto de Egresos Municipal para el ejercicio fiscal 2022 y 2023, establece en el apartado 3.2.3, denominado </w:t>
      </w:r>
      <w:r>
        <w:rPr>
          <w:i/>
          <w:color w:val="000000"/>
        </w:rPr>
        <w:t>Lineamientos para la determinación del Presupuesto de Gasto Corriente</w:t>
      </w:r>
      <w:r>
        <w:rPr>
          <w:color w:val="000000"/>
        </w:rPr>
        <w:t xml:space="preserve">, que para dar orden y congruencia a las funciones de la Administración Pública Municipal, encaminadas al logro de los objetivos determinados en el Plan de Desarrollo Municipal, las Dependencias y Organismos conocedores de las prioridades y demandas ciudadanas y con base en los avances de los ejercicios anteriores, elaborarán su Anteproyecto de Presupuesto de Egresos para el Ejercicio Fiscal 2021. Finalmente, el Manual en estudio señala de manera textual que </w:t>
      </w:r>
      <w:r>
        <w:rPr>
          <w:b/>
          <w:i/>
          <w:color w:val="000000"/>
        </w:rPr>
        <w:t>“</w:t>
      </w:r>
      <w:r>
        <w:rPr>
          <w:i/>
          <w:color w:val="000000"/>
          <w:u w:val="single"/>
        </w:rPr>
        <w:t>la propuesta de presupuesto deberá integrarse en los formatos PbRM 03 al PbRM 07</w:t>
      </w:r>
      <w:r>
        <w:rPr>
          <w:i/>
          <w:color w:val="000000"/>
        </w:rPr>
        <w:t xml:space="preserve"> en todas sus series, </w:t>
      </w:r>
      <w:r>
        <w:rPr>
          <w:i/>
          <w:color w:val="000000"/>
          <w:u w:val="single"/>
        </w:rPr>
        <w:t>para ello, es necesario tener la plantilla de personal autorizada</w:t>
      </w:r>
      <w:r>
        <w:rPr>
          <w:b/>
          <w:i/>
          <w:color w:val="000000"/>
        </w:rPr>
        <w:t xml:space="preserve"> </w:t>
      </w:r>
      <w:r>
        <w:rPr>
          <w:i/>
          <w:color w:val="000000"/>
        </w:rPr>
        <w:t xml:space="preserve">y una propuesta de insumos y requerimientos </w:t>
      </w:r>
      <w:r>
        <w:rPr>
          <w:i/>
          <w:color w:val="000000"/>
          <w:u w:val="single"/>
        </w:rPr>
        <w:t>a nivel de cada una de las dependencias generales, auxiliares y organismos municipales,</w:t>
      </w:r>
      <w:r>
        <w:rPr>
          <w:i/>
          <w:color w:val="000000"/>
        </w:rPr>
        <w:t xml:space="preserve"> así como los catálogos y anexos que se presentan en este manual.”</w:t>
      </w:r>
    </w:p>
    <w:p w14:paraId="6D7F336F" w14:textId="77777777" w:rsidR="00EF18D7" w:rsidRDefault="00EF18D7">
      <w:pPr>
        <w:spacing w:after="0" w:line="360" w:lineRule="auto"/>
        <w:rPr>
          <w:i/>
          <w:color w:val="000000"/>
        </w:rPr>
      </w:pPr>
    </w:p>
    <w:p w14:paraId="43E52196" w14:textId="77777777" w:rsidR="00EF18D7" w:rsidRDefault="00D603CD">
      <w:pPr>
        <w:spacing w:after="0" w:line="360" w:lineRule="auto"/>
        <w:rPr>
          <w:color w:val="000000"/>
        </w:rPr>
      </w:pPr>
      <w:r>
        <w:rPr>
          <w:color w:val="000000"/>
        </w:rPr>
        <w:t xml:space="preserve">Conforme a lo señalado, este Instituto advierte que las dependencias públicas deben elaborar la plantilla de personal, la cual formará parte de la propuesta de presupuesto de egresos de los Municipios y deberá integrase en los formatos </w:t>
      </w:r>
      <w:r>
        <w:rPr>
          <w:i/>
          <w:color w:val="000000"/>
        </w:rPr>
        <w:t>PbRM-03</w:t>
      </w:r>
      <w:r>
        <w:rPr>
          <w:color w:val="000000"/>
        </w:rPr>
        <w:t xml:space="preserve"> al </w:t>
      </w:r>
      <w:r>
        <w:rPr>
          <w:i/>
          <w:color w:val="000000"/>
        </w:rPr>
        <w:t>PbRM-07</w:t>
      </w:r>
      <w:r>
        <w:rPr>
          <w:color w:val="000000"/>
        </w:rPr>
        <w:t xml:space="preserve">; de lo anterior, se </w:t>
      </w:r>
      <w:r>
        <w:rPr>
          <w:color w:val="000000"/>
        </w:rPr>
        <w:lastRenderedPageBreak/>
        <w:t>advierte que el derecho de acceso a la información pública consiste en que la información solicitada conste en un soporte documental que registre las acciones derivadas de las facultades, funciones o competencias de los Sujetos Obligados; además, es obligación de transparencia común de los Sujeto Obligados poner a disposición del público de manera permanente, actualizada, sencilla, precisa y entendible, las funciones de cada área y la normatividad aplicable.</w:t>
      </w:r>
    </w:p>
    <w:p w14:paraId="48463F80" w14:textId="77777777" w:rsidR="00EF18D7" w:rsidRDefault="00EF18D7">
      <w:pPr>
        <w:spacing w:after="0" w:line="360" w:lineRule="auto"/>
        <w:rPr>
          <w:color w:val="000000"/>
        </w:rPr>
      </w:pPr>
    </w:p>
    <w:p w14:paraId="49FEDA54" w14:textId="77777777" w:rsidR="00EF18D7" w:rsidRDefault="00D603CD">
      <w:pPr>
        <w:spacing w:after="0" w:line="360" w:lineRule="auto"/>
        <w:rPr>
          <w:color w:val="000000"/>
        </w:rPr>
      </w:pPr>
      <w:r>
        <w:rPr>
          <w:color w:val="000000"/>
        </w:rPr>
        <w:t>En este sentido, puede afirmarse que la naturaleza de los documentos es pública y debe generarse por disposición normativa, además de que es de uso y aplicación cotidiana.</w:t>
      </w:r>
    </w:p>
    <w:p w14:paraId="510AB7A2" w14:textId="77777777" w:rsidR="00EF18D7" w:rsidRDefault="00EF18D7">
      <w:pPr>
        <w:spacing w:after="0" w:line="360" w:lineRule="auto"/>
        <w:rPr>
          <w:color w:val="FF0000"/>
        </w:rPr>
      </w:pPr>
    </w:p>
    <w:p w14:paraId="2333AA01" w14:textId="77777777" w:rsidR="00EF18D7" w:rsidRDefault="00D603CD">
      <w:pPr>
        <w:numPr>
          <w:ilvl w:val="0"/>
          <w:numId w:val="2"/>
        </w:numPr>
        <w:pBdr>
          <w:top w:val="nil"/>
          <w:left w:val="nil"/>
          <w:bottom w:val="nil"/>
          <w:right w:val="nil"/>
          <w:between w:val="nil"/>
        </w:pBdr>
        <w:spacing w:after="0" w:line="360" w:lineRule="auto"/>
        <w:rPr>
          <w:color w:val="000000"/>
        </w:rPr>
      </w:pPr>
      <w:r>
        <w:rPr>
          <w:b/>
          <w:color w:val="000000"/>
        </w:rPr>
        <w:t>Inmuebles propiedad del Municipio</w:t>
      </w:r>
    </w:p>
    <w:p w14:paraId="100DAE46" w14:textId="77777777" w:rsidR="00EF18D7" w:rsidRDefault="00EF18D7">
      <w:pPr>
        <w:spacing w:after="0" w:line="360" w:lineRule="auto"/>
        <w:rPr>
          <w:color w:val="000000"/>
        </w:rPr>
      </w:pPr>
    </w:p>
    <w:p w14:paraId="77E378F6" w14:textId="77777777" w:rsidR="00EF18D7" w:rsidRDefault="00D603CD">
      <w:pPr>
        <w:spacing w:after="0" w:line="360" w:lineRule="auto"/>
        <w:rPr>
          <w:color w:val="000000"/>
        </w:rPr>
      </w:pPr>
      <w:r>
        <w:rPr>
          <w:color w:val="000000"/>
        </w:rPr>
        <w:t>Al respecto, es importante traer a colación la Ley Orgánica Municipal del Estado de México que señala en sus numerales 53, fracciones VII, VIII y IX, 91 fracción XI y 112 fracción XV, las atribuciones con las que cuenta el Síndico Municipal, la Secretaría del Ayuntamiento y el Órgano Interno de Control, siendo estas las siguientes:</w:t>
      </w:r>
    </w:p>
    <w:p w14:paraId="6CA464C8" w14:textId="77777777" w:rsidR="00EF18D7" w:rsidRDefault="00EF18D7">
      <w:pPr>
        <w:spacing w:after="0" w:line="360" w:lineRule="auto"/>
        <w:rPr>
          <w:color w:val="000000"/>
        </w:rPr>
      </w:pPr>
    </w:p>
    <w:p w14:paraId="79BB50C0" w14:textId="77777777" w:rsidR="00EF18D7" w:rsidRDefault="00D603CD">
      <w:pPr>
        <w:numPr>
          <w:ilvl w:val="0"/>
          <w:numId w:val="3"/>
        </w:numPr>
        <w:pBdr>
          <w:top w:val="nil"/>
          <w:left w:val="nil"/>
          <w:bottom w:val="nil"/>
          <w:right w:val="nil"/>
          <w:between w:val="nil"/>
        </w:pBdr>
        <w:spacing w:after="0" w:line="360" w:lineRule="auto"/>
        <w:rPr>
          <w:color w:val="000000"/>
        </w:rPr>
      </w:pPr>
      <w:r>
        <w:rPr>
          <w:b/>
          <w:color w:val="000000"/>
        </w:rPr>
        <w:t>Síndicos Municipales.-</w:t>
      </w:r>
      <w:r>
        <w:rPr>
          <w:color w:val="000000"/>
        </w:rPr>
        <w:t xml:space="preserve"> Procuración y defensa de los derechos e intereses del municipio, en especial </w:t>
      </w:r>
      <w:r>
        <w:rPr>
          <w:b/>
          <w:color w:val="000000"/>
        </w:rPr>
        <w:t>los de carácter patrimonial</w:t>
      </w:r>
      <w:r>
        <w:rPr>
          <w:color w:val="000000"/>
        </w:rPr>
        <w:t>, entre sus atribuciones, intervenir en la formulación del inventario general de los bienes muebles e inmuebles propiedad del municipio, haciendo que se inscriban en el libro especial, con expresión de sus valores y de todas las características de identificación, así como el uso y destino de los mismos.</w:t>
      </w:r>
    </w:p>
    <w:p w14:paraId="2215DEF2" w14:textId="77777777" w:rsidR="00EF18D7" w:rsidRDefault="00EF18D7">
      <w:pPr>
        <w:pBdr>
          <w:top w:val="nil"/>
          <w:left w:val="nil"/>
          <w:bottom w:val="nil"/>
          <w:right w:val="nil"/>
          <w:between w:val="nil"/>
        </w:pBdr>
        <w:spacing w:after="0" w:line="360" w:lineRule="auto"/>
        <w:ind w:left="720"/>
        <w:rPr>
          <w:color w:val="000000"/>
        </w:rPr>
      </w:pPr>
    </w:p>
    <w:p w14:paraId="3C16B3DE" w14:textId="77777777" w:rsidR="00EF18D7" w:rsidRDefault="00D603CD">
      <w:pPr>
        <w:numPr>
          <w:ilvl w:val="0"/>
          <w:numId w:val="3"/>
        </w:numPr>
        <w:pBdr>
          <w:top w:val="nil"/>
          <w:left w:val="nil"/>
          <w:bottom w:val="nil"/>
          <w:right w:val="nil"/>
          <w:between w:val="nil"/>
        </w:pBdr>
        <w:spacing w:after="0" w:line="360" w:lineRule="auto"/>
        <w:rPr>
          <w:color w:val="000000"/>
        </w:rPr>
      </w:pPr>
      <w:r>
        <w:rPr>
          <w:b/>
          <w:color w:val="000000"/>
        </w:rPr>
        <w:t>Secretaría del Ayuntamiento.-</w:t>
      </w:r>
      <w:r>
        <w:rPr>
          <w:color w:val="000000"/>
        </w:rPr>
        <w:t xml:space="preserve"> Elaborar con la intervención del síndico el inventario general de los bienes muebles e inmuebles municipales, así como la integración del </w:t>
      </w:r>
      <w:r>
        <w:rPr>
          <w:color w:val="000000"/>
        </w:rPr>
        <w:lastRenderedPageBreak/>
        <w:t>sistema de información inmobiliaria, que contemple los bienes del dominio público y privado, en un término que no exceda de un año contado a partir de la instalación del ayuntamiento y presentarlo al cabildo para su conocimiento y opinión.</w:t>
      </w:r>
    </w:p>
    <w:p w14:paraId="4DFF3034" w14:textId="77777777" w:rsidR="00EF18D7" w:rsidRDefault="00EF18D7">
      <w:pPr>
        <w:pBdr>
          <w:top w:val="nil"/>
          <w:left w:val="nil"/>
          <w:bottom w:val="nil"/>
          <w:right w:val="nil"/>
          <w:between w:val="nil"/>
        </w:pBdr>
        <w:spacing w:after="0" w:line="259" w:lineRule="auto"/>
        <w:ind w:left="720"/>
        <w:rPr>
          <w:color w:val="000000"/>
        </w:rPr>
      </w:pPr>
    </w:p>
    <w:p w14:paraId="51E90B96" w14:textId="77777777" w:rsidR="00EF18D7" w:rsidRDefault="00D603CD">
      <w:pPr>
        <w:numPr>
          <w:ilvl w:val="0"/>
          <w:numId w:val="3"/>
        </w:numPr>
        <w:pBdr>
          <w:top w:val="nil"/>
          <w:left w:val="nil"/>
          <w:bottom w:val="nil"/>
          <w:right w:val="nil"/>
          <w:between w:val="nil"/>
        </w:pBdr>
        <w:spacing w:after="0" w:line="360" w:lineRule="auto"/>
        <w:rPr>
          <w:color w:val="000000"/>
        </w:rPr>
      </w:pPr>
      <w:r>
        <w:rPr>
          <w:b/>
          <w:color w:val="000000"/>
        </w:rPr>
        <w:t xml:space="preserve">Órgano Interno de Control.- </w:t>
      </w:r>
      <w:r>
        <w:rPr>
          <w:color w:val="000000"/>
        </w:rPr>
        <w:t>Participar en la elaboración y actualización del inventario general de los bienes muebles e inmuebles propiedad del municipio, que expresará las características de identificación y destino de los mismos</w:t>
      </w:r>
    </w:p>
    <w:p w14:paraId="746E6B61" w14:textId="77777777" w:rsidR="00EF18D7" w:rsidRDefault="00EF18D7">
      <w:pPr>
        <w:spacing w:after="0" w:line="360" w:lineRule="auto"/>
        <w:rPr>
          <w:color w:val="000000"/>
        </w:rPr>
      </w:pPr>
    </w:p>
    <w:p w14:paraId="4B1A6C09" w14:textId="77777777" w:rsidR="00EF18D7" w:rsidRDefault="00D603CD">
      <w:pPr>
        <w:spacing w:after="0" w:line="360" w:lineRule="auto"/>
        <w:rPr>
          <w:color w:val="000000"/>
        </w:rPr>
      </w:pPr>
      <w:r>
        <w:rPr>
          <w:color w:val="000000"/>
        </w:rPr>
        <w:t>En razón de lo anterior, el Sujeto Obligado, cuenta con la Sindicatura, Tesorería y Órgano Interno de Control, unidades administrativas competentes, para conocer, poseer y generar la información solicitada.</w:t>
      </w:r>
    </w:p>
    <w:p w14:paraId="4FAF8297" w14:textId="77777777" w:rsidR="00EF18D7" w:rsidRDefault="00D603CD">
      <w:pPr>
        <w:spacing w:after="0" w:line="360" w:lineRule="auto"/>
        <w:rPr>
          <w:color w:val="000000"/>
        </w:rPr>
      </w:pPr>
      <w:r>
        <w:rPr>
          <w:color w:val="000000"/>
        </w:rPr>
        <w:t xml:space="preserve"> </w:t>
      </w:r>
    </w:p>
    <w:p w14:paraId="1B31B539" w14:textId="77777777" w:rsidR="00EF18D7" w:rsidRDefault="00D603CD">
      <w:pPr>
        <w:spacing w:after="0" w:line="360" w:lineRule="auto"/>
        <w:rPr>
          <w:color w:val="000000"/>
        </w:rPr>
      </w:pPr>
      <w:r>
        <w:rPr>
          <w:color w:val="000000"/>
        </w:rPr>
        <w:t>No pasa desapercibido, que la información referente a los inmuebles del Ayuntamiento de Almoloya de Juárez, corresponde a una obligación de transparencia, de acuerdo a lo señalado en el artículo 92, fracción XXXVIII, de la Ley de Transparencia y Acceso a la Información Pública del Estado de México y Municipios, que se transcribe a continuación:</w:t>
      </w:r>
    </w:p>
    <w:p w14:paraId="5D02016E" w14:textId="77777777" w:rsidR="00EF18D7" w:rsidRDefault="00EF18D7">
      <w:pPr>
        <w:spacing w:after="0" w:line="360" w:lineRule="auto"/>
        <w:ind w:right="-93"/>
        <w:rPr>
          <w:color w:val="000000"/>
        </w:rPr>
      </w:pPr>
    </w:p>
    <w:p w14:paraId="30FDBBDE" w14:textId="77777777" w:rsidR="00EF18D7" w:rsidRDefault="00D603CD">
      <w:pPr>
        <w:spacing w:after="0" w:line="360" w:lineRule="auto"/>
        <w:ind w:left="708" w:right="539"/>
        <w:jc w:val="center"/>
        <w:rPr>
          <w:b/>
          <w:i/>
          <w:color w:val="000000"/>
          <w:sz w:val="20"/>
          <w:szCs w:val="20"/>
        </w:rPr>
      </w:pPr>
      <w:r>
        <w:rPr>
          <w:b/>
          <w:i/>
          <w:color w:val="000000"/>
          <w:sz w:val="20"/>
          <w:szCs w:val="20"/>
        </w:rPr>
        <w:t>Capítulo II</w:t>
      </w:r>
    </w:p>
    <w:p w14:paraId="111D0480" w14:textId="77777777" w:rsidR="00EF18D7" w:rsidRDefault="00D603CD">
      <w:pPr>
        <w:spacing w:after="0" w:line="360" w:lineRule="auto"/>
        <w:ind w:left="708" w:right="539"/>
        <w:jc w:val="center"/>
        <w:rPr>
          <w:b/>
          <w:i/>
          <w:color w:val="000000"/>
          <w:sz w:val="20"/>
          <w:szCs w:val="20"/>
        </w:rPr>
      </w:pPr>
      <w:r>
        <w:rPr>
          <w:b/>
          <w:i/>
          <w:color w:val="000000"/>
          <w:sz w:val="20"/>
          <w:szCs w:val="20"/>
        </w:rPr>
        <w:t>De las Obligaciones de Transparencia Comunes</w:t>
      </w:r>
    </w:p>
    <w:p w14:paraId="2142559A" w14:textId="77777777" w:rsidR="00EF18D7" w:rsidRDefault="00D603CD">
      <w:pPr>
        <w:spacing w:after="0" w:line="360" w:lineRule="auto"/>
        <w:ind w:left="708" w:right="539"/>
        <w:rPr>
          <w:i/>
          <w:color w:val="000000"/>
          <w:sz w:val="20"/>
          <w:szCs w:val="20"/>
        </w:rPr>
      </w:pPr>
      <w:r>
        <w:rPr>
          <w:b/>
          <w:i/>
          <w:color w:val="000000"/>
          <w:sz w:val="20"/>
          <w:szCs w:val="20"/>
        </w:rPr>
        <w:t>Artículo 92.</w:t>
      </w:r>
      <w:r>
        <w:rPr>
          <w:i/>
          <w:color w:val="000000"/>
          <w:sz w:val="20"/>
          <w:szCs w:val="20"/>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08DACA24" w14:textId="77777777" w:rsidR="00EF18D7" w:rsidRDefault="00EF18D7">
      <w:pPr>
        <w:spacing w:after="0" w:line="360" w:lineRule="auto"/>
        <w:ind w:left="708" w:right="539"/>
        <w:rPr>
          <w:b/>
          <w:i/>
          <w:color w:val="000000"/>
          <w:sz w:val="20"/>
          <w:szCs w:val="20"/>
        </w:rPr>
      </w:pPr>
    </w:p>
    <w:p w14:paraId="4C898EB6" w14:textId="77777777" w:rsidR="00EF18D7" w:rsidRDefault="00D603CD">
      <w:pPr>
        <w:spacing w:after="0" w:line="360" w:lineRule="auto"/>
        <w:ind w:left="708" w:right="539"/>
        <w:rPr>
          <w:b/>
          <w:i/>
          <w:color w:val="000000"/>
          <w:sz w:val="20"/>
          <w:szCs w:val="20"/>
        </w:rPr>
      </w:pPr>
      <w:r>
        <w:rPr>
          <w:b/>
          <w:i/>
          <w:color w:val="000000"/>
          <w:sz w:val="20"/>
          <w:szCs w:val="20"/>
        </w:rPr>
        <w:t xml:space="preserve">I </w:t>
      </w:r>
      <w:r>
        <w:rPr>
          <w:i/>
          <w:color w:val="000000"/>
          <w:sz w:val="20"/>
          <w:szCs w:val="20"/>
        </w:rPr>
        <w:t>al</w:t>
      </w:r>
      <w:r>
        <w:rPr>
          <w:b/>
          <w:i/>
          <w:color w:val="000000"/>
          <w:sz w:val="20"/>
          <w:szCs w:val="20"/>
        </w:rPr>
        <w:t xml:space="preserve"> XXXVII…</w:t>
      </w:r>
    </w:p>
    <w:p w14:paraId="5434A878" w14:textId="77777777" w:rsidR="00EF18D7" w:rsidRDefault="00D603CD">
      <w:pPr>
        <w:spacing w:after="0" w:line="360" w:lineRule="auto"/>
        <w:ind w:left="708" w:right="539"/>
        <w:rPr>
          <w:b/>
          <w:i/>
          <w:color w:val="000000"/>
          <w:sz w:val="20"/>
          <w:szCs w:val="20"/>
        </w:rPr>
      </w:pPr>
      <w:r>
        <w:rPr>
          <w:b/>
          <w:i/>
          <w:color w:val="000000"/>
          <w:sz w:val="20"/>
          <w:szCs w:val="20"/>
        </w:rPr>
        <w:t>XXXVIII. El inventario de bienes muebles e inmuebles en posesión y propiedad;</w:t>
      </w:r>
    </w:p>
    <w:p w14:paraId="032FE0F5" w14:textId="77777777" w:rsidR="00EF18D7" w:rsidRDefault="00D603CD">
      <w:pPr>
        <w:spacing w:after="0" w:line="360" w:lineRule="auto"/>
        <w:ind w:left="708" w:right="539"/>
        <w:rPr>
          <w:i/>
          <w:color w:val="000000"/>
          <w:sz w:val="20"/>
          <w:szCs w:val="20"/>
        </w:rPr>
      </w:pPr>
      <w:r>
        <w:rPr>
          <w:b/>
          <w:i/>
          <w:color w:val="000000"/>
          <w:sz w:val="20"/>
          <w:szCs w:val="20"/>
        </w:rPr>
        <w:t xml:space="preserve">XXXIX </w:t>
      </w:r>
      <w:r>
        <w:rPr>
          <w:i/>
          <w:color w:val="000000"/>
          <w:sz w:val="20"/>
          <w:szCs w:val="20"/>
        </w:rPr>
        <w:t xml:space="preserve">a </w:t>
      </w:r>
      <w:r>
        <w:rPr>
          <w:b/>
          <w:i/>
          <w:color w:val="000000"/>
          <w:sz w:val="20"/>
          <w:szCs w:val="20"/>
        </w:rPr>
        <w:t>LII…</w:t>
      </w:r>
    </w:p>
    <w:p w14:paraId="5ED5D6EB" w14:textId="77777777" w:rsidR="00EF18D7" w:rsidRDefault="00EF18D7">
      <w:pPr>
        <w:spacing w:after="0" w:line="360" w:lineRule="auto"/>
        <w:ind w:right="-93"/>
        <w:rPr>
          <w:color w:val="000000"/>
        </w:rPr>
      </w:pPr>
    </w:p>
    <w:p w14:paraId="4CA2CCE4" w14:textId="77777777" w:rsidR="00EF18D7" w:rsidRDefault="00D603CD">
      <w:pPr>
        <w:spacing w:after="0" w:line="360" w:lineRule="auto"/>
        <w:rPr>
          <w:color w:val="000000"/>
        </w:rPr>
      </w:pPr>
      <w:r>
        <w:rPr>
          <w:color w:val="000000"/>
        </w:rPr>
        <w:t>Aunado lo anterior,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detallan los criterios sustantivos y adjetivos que por cada rubro de información determinan los datos, características y forma de organización de la información que publicarán y actualizarán en sus portales de Internet y en la Plataforma Nacional.</w:t>
      </w:r>
    </w:p>
    <w:p w14:paraId="1C9B174E" w14:textId="77777777" w:rsidR="00EF18D7" w:rsidRDefault="00EF18D7">
      <w:pPr>
        <w:spacing w:after="0" w:line="360" w:lineRule="auto"/>
        <w:rPr>
          <w:color w:val="000000"/>
        </w:rPr>
      </w:pPr>
    </w:p>
    <w:p w14:paraId="04D9C1F6" w14:textId="77777777" w:rsidR="00EF18D7" w:rsidRDefault="00D603CD">
      <w:pPr>
        <w:spacing w:after="0" w:line="360" w:lineRule="auto"/>
        <w:rPr>
          <w:color w:val="000000"/>
        </w:rPr>
      </w:pPr>
      <w:r>
        <w:rPr>
          <w:color w:val="000000"/>
        </w:rPr>
        <w:t xml:space="preserve">Así, dentro de ellos se encuentra la fracción XXXIV “El inventario de bienes muebles e inmuebles en posesión y propiedad” y dentro de los datos correspondientes a los bienes inmuebles, se encuentran los </w:t>
      </w:r>
      <w:r>
        <w:rPr>
          <w:b/>
          <w:color w:val="000000"/>
        </w:rPr>
        <w:t>Criterios 26 y 30</w:t>
      </w:r>
      <w:r>
        <w:rPr>
          <w:color w:val="000000"/>
        </w:rPr>
        <w:t xml:space="preserve"> </w:t>
      </w:r>
      <w:r>
        <w:rPr>
          <w:b/>
          <w:color w:val="000000"/>
          <w:u w:val="single"/>
        </w:rPr>
        <w:t>Domicilio del inmueble (tipo de vialidad [catálogo], nombre de vialidad [calle], número exterior, número interior [en su caso], tipo de asentamiento humano [catálogo], nombre de asentamiento humano [colonia], clave de la localidad, nombre de la localidad, clave del municipio, nombre del municipio o delegación, clave de la entidad federativa, nombre de la entidad federativa [catálogo], código postal)</w:t>
      </w:r>
      <w:r>
        <w:rPr>
          <w:color w:val="000000"/>
        </w:rPr>
        <w:t xml:space="preserve"> y </w:t>
      </w:r>
      <w:r>
        <w:rPr>
          <w:b/>
          <w:color w:val="000000"/>
          <w:u w:val="single"/>
        </w:rPr>
        <w:t>Tipo de inmueble (catálogo): edificación/terreno/</w:t>
      </w:r>
      <w:r>
        <w:rPr>
          <w:color w:val="000000"/>
        </w:rPr>
        <w:t>mixto, por parte del Gobierno Federal, las entidades federativas o los municipios, cuyo formato es el siguiente:</w:t>
      </w:r>
    </w:p>
    <w:p w14:paraId="30F2BDCE" w14:textId="77777777" w:rsidR="00EF18D7" w:rsidRDefault="00EF18D7">
      <w:pPr>
        <w:spacing w:after="0" w:line="360" w:lineRule="auto"/>
        <w:rPr>
          <w:color w:val="000000"/>
        </w:rPr>
      </w:pPr>
    </w:p>
    <w:p w14:paraId="6B684D98" w14:textId="77777777" w:rsidR="00EF18D7" w:rsidRDefault="00D603CD">
      <w:pPr>
        <w:spacing w:after="0" w:line="360" w:lineRule="auto"/>
        <w:jc w:val="center"/>
        <w:rPr>
          <w:color w:val="000000"/>
        </w:rPr>
      </w:pPr>
      <w:r>
        <w:rPr>
          <w:noProof/>
          <w:color w:val="000000"/>
        </w:rPr>
        <w:drawing>
          <wp:inline distT="0" distB="0" distL="0" distR="0" wp14:anchorId="362EE70B" wp14:editId="40625E06">
            <wp:extent cx="5114477" cy="1012128"/>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b="81030"/>
                    <a:stretch>
                      <a:fillRect/>
                    </a:stretch>
                  </pic:blipFill>
                  <pic:spPr>
                    <a:xfrm>
                      <a:off x="0" y="0"/>
                      <a:ext cx="5114477" cy="1012128"/>
                    </a:xfrm>
                    <a:prstGeom prst="rect">
                      <a:avLst/>
                    </a:prstGeom>
                    <a:ln/>
                  </pic:spPr>
                </pic:pic>
              </a:graphicData>
            </a:graphic>
          </wp:inline>
        </w:drawing>
      </w:r>
    </w:p>
    <w:p w14:paraId="1B759E2E" w14:textId="77777777" w:rsidR="00EF18D7" w:rsidRDefault="00D603CD">
      <w:pPr>
        <w:spacing w:after="0" w:line="360" w:lineRule="auto"/>
        <w:jc w:val="center"/>
        <w:rPr>
          <w:color w:val="000000"/>
        </w:rPr>
      </w:pPr>
      <w:r>
        <w:rPr>
          <w:noProof/>
          <w:color w:val="000000"/>
        </w:rPr>
        <w:lastRenderedPageBreak/>
        <w:drawing>
          <wp:inline distT="0" distB="0" distL="0" distR="0" wp14:anchorId="18BDDB88" wp14:editId="469BB198">
            <wp:extent cx="5073856" cy="1520557"/>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t="22281" b="48992"/>
                    <a:stretch>
                      <a:fillRect/>
                    </a:stretch>
                  </pic:blipFill>
                  <pic:spPr>
                    <a:xfrm>
                      <a:off x="0" y="0"/>
                      <a:ext cx="5073856" cy="1520557"/>
                    </a:xfrm>
                    <a:prstGeom prst="rect">
                      <a:avLst/>
                    </a:prstGeom>
                    <a:ln/>
                  </pic:spPr>
                </pic:pic>
              </a:graphicData>
            </a:graphic>
          </wp:inline>
        </w:drawing>
      </w:r>
    </w:p>
    <w:p w14:paraId="0A421C29" w14:textId="77777777" w:rsidR="00EF18D7" w:rsidRDefault="00D603CD">
      <w:pPr>
        <w:spacing w:after="0" w:line="360" w:lineRule="auto"/>
        <w:jc w:val="center"/>
        <w:rPr>
          <w:color w:val="000000"/>
        </w:rPr>
      </w:pPr>
      <w:r>
        <w:rPr>
          <w:noProof/>
          <w:color w:val="000000"/>
        </w:rPr>
        <w:drawing>
          <wp:inline distT="0" distB="0" distL="0" distR="0" wp14:anchorId="5DF8EF1B" wp14:editId="31F9C550">
            <wp:extent cx="5073856" cy="2465647"/>
            <wp:effectExtent l="0" t="0" r="0" b="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t="53418"/>
                    <a:stretch>
                      <a:fillRect/>
                    </a:stretch>
                  </pic:blipFill>
                  <pic:spPr>
                    <a:xfrm>
                      <a:off x="0" y="0"/>
                      <a:ext cx="5073856" cy="2465647"/>
                    </a:xfrm>
                    <a:prstGeom prst="rect">
                      <a:avLst/>
                    </a:prstGeom>
                    <a:ln/>
                  </pic:spPr>
                </pic:pic>
              </a:graphicData>
            </a:graphic>
          </wp:inline>
        </w:drawing>
      </w:r>
    </w:p>
    <w:p w14:paraId="253F1562" w14:textId="77777777" w:rsidR="00EF18D7" w:rsidRDefault="00D603CD">
      <w:pPr>
        <w:tabs>
          <w:tab w:val="left" w:pos="854"/>
        </w:tabs>
        <w:spacing w:after="0" w:line="360" w:lineRule="auto"/>
        <w:rPr>
          <w:color w:val="000000"/>
        </w:rPr>
      </w:pPr>
      <w:r>
        <w:rPr>
          <w:color w:val="000000"/>
        </w:rPr>
        <w:tab/>
      </w:r>
    </w:p>
    <w:p w14:paraId="002404D5" w14:textId="77777777" w:rsidR="00EF18D7" w:rsidRDefault="00D603CD">
      <w:pPr>
        <w:numPr>
          <w:ilvl w:val="0"/>
          <w:numId w:val="2"/>
        </w:numPr>
        <w:pBdr>
          <w:top w:val="nil"/>
          <w:left w:val="nil"/>
          <w:bottom w:val="nil"/>
          <w:right w:val="nil"/>
          <w:between w:val="nil"/>
        </w:pBdr>
        <w:spacing w:after="0" w:line="360" w:lineRule="auto"/>
        <w:rPr>
          <w:b/>
          <w:color w:val="000000"/>
        </w:rPr>
      </w:pPr>
      <w:r>
        <w:rPr>
          <w:b/>
          <w:color w:val="000000"/>
        </w:rPr>
        <w:t>Cambio de modalidad</w:t>
      </w:r>
    </w:p>
    <w:p w14:paraId="00DA03A6" w14:textId="77777777" w:rsidR="00EF18D7" w:rsidRDefault="00EF18D7">
      <w:pPr>
        <w:pBdr>
          <w:top w:val="nil"/>
          <w:left w:val="nil"/>
          <w:bottom w:val="nil"/>
          <w:right w:val="nil"/>
          <w:between w:val="nil"/>
        </w:pBdr>
        <w:spacing w:after="0" w:line="360" w:lineRule="auto"/>
        <w:ind w:left="720"/>
        <w:rPr>
          <w:b/>
          <w:color w:val="000000"/>
        </w:rPr>
      </w:pPr>
    </w:p>
    <w:p w14:paraId="46CAA77C" w14:textId="77777777" w:rsidR="00EF18D7" w:rsidRDefault="00D603CD">
      <w:pPr>
        <w:spacing w:after="0" w:line="360" w:lineRule="auto"/>
        <w:rPr>
          <w:color w:val="000000"/>
        </w:rPr>
      </w:pPr>
      <w:r>
        <w:rPr>
          <w:color w:val="000000"/>
        </w:rPr>
        <w:t xml:space="preserve">Ahora bien, derivado de todo lo solicitado por la persona Recurrente, a saber, presupuesto asignado, facturas de pago, plantilla de personal e inmueble propiedad o arrendado donde se resguardan animales, todo respecto de la Unidad Municipal de Control y Bienestar Animal, el Sujeto Obligado, mediante respuesta, informó a través de la Tesorería Municipal, que lo peticionado sobrepasa las capacidades técnicas, humanas y administrativas de esa Unidad encargada de dar atención y trámite a dicho requerimiento, pues solo una persona se encarga de dar contestación a los requerimientos de información, en razón de ello, pone a disposición de la persona Solicitante la información en consulta directa, haciéndole saber de </w:t>
      </w:r>
      <w:r>
        <w:rPr>
          <w:color w:val="000000"/>
        </w:rPr>
        <w:lastRenderedPageBreak/>
        <w:t>los costos en caso de requerir copias simples o certificadas. Al respecto, cabe recordar que se requirió la información, a través del Sistema de Acceso a Información Mexiquense (SAIMEX).</w:t>
      </w:r>
    </w:p>
    <w:p w14:paraId="67882064" w14:textId="77777777" w:rsidR="00EF18D7" w:rsidRDefault="00EF18D7">
      <w:pPr>
        <w:spacing w:after="0" w:line="360" w:lineRule="auto"/>
        <w:rPr>
          <w:color w:val="000000"/>
        </w:rPr>
      </w:pPr>
    </w:p>
    <w:p w14:paraId="6C4F8167" w14:textId="77777777" w:rsidR="00EF18D7" w:rsidRDefault="00D603CD">
      <w:pPr>
        <w:spacing w:after="0" w:line="360" w:lineRule="auto"/>
        <w:rPr>
          <w:color w:val="000000"/>
        </w:rPr>
      </w:pPr>
      <w:r>
        <w:rPr>
          <w:color w:val="0D0D0D"/>
        </w:rPr>
        <w:t>En ese sentido,</w:t>
      </w:r>
      <w:r>
        <w:rPr>
          <w:color w:val="000000"/>
        </w:rPr>
        <w:t xml:space="preserve"> el artículo 155, fracción V, de la Ley de Transparencia y Acceso a la Información Pública del Estado de México y Municipios, precisa que para presentar una solicitud, el particular podrá señalar </w:t>
      </w:r>
      <w:r>
        <w:rPr>
          <w:b/>
          <w:color w:val="000000"/>
        </w:rPr>
        <w:t>la modalidad en la que prefiere se otorgue el acceso a la información</w:t>
      </w:r>
      <w:r>
        <w:rPr>
          <w:color w:val="000000"/>
        </w:rPr>
        <w:t>, la cual podrá ser verbal, siempre y cuando sea para fines de orientación, mediante consulta directa, mediante la expedición de copias simples o certificadas o la reproducción en cualquier otro medio, incluidos los electrónicos.</w:t>
      </w:r>
    </w:p>
    <w:p w14:paraId="41244DE5" w14:textId="77777777" w:rsidR="00EF18D7" w:rsidRDefault="00EF18D7">
      <w:pPr>
        <w:spacing w:after="0" w:line="360" w:lineRule="auto"/>
        <w:rPr>
          <w:color w:val="000000"/>
        </w:rPr>
      </w:pPr>
    </w:p>
    <w:p w14:paraId="28CD1F3D" w14:textId="77777777" w:rsidR="00EF18D7" w:rsidRDefault="00D603CD">
      <w:pPr>
        <w:spacing w:after="0" w:line="360" w:lineRule="auto"/>
        <w:rPr>
          <w:b/>
          <w:color w:val="000000"/>
        </w:rPr>
      </w:pPr>
      <w:r>
        <w:rPr>
          <w:color w:val="000000"/>
        </w:rPr>
        <w:t xml:space="preserve">El artículo 158, dispone que, de manera excepcional, cuando de manera fundada y motivada lo determine el Sujeto Obligado, </w:t>
      </w:r>
      <w:r>
        <w:rPr>
          <w:b/>
          <w:color w:val="000000"/>
        </w:rPr>
        <w:t>en los casos en que la entrega de la información que se encuentre a su disposición sobrepase las capacidades técnicas, administrativas y humanas del Sujeto Obligado para cumplir con la solicitud, se podrá poner a disposición del solicitante la información en consulta directa.</w:t>
      </w:r>
    </w:p>
    <w:p w14:paraId="603420DA" w14:textId="77777777" w:rsidR="00EF18D7" w:rsidRDefault="00EF18D7">
      <w:pPr>
        <w:spacing w:after="0" w:line="360" w:lineRule="auto"/>
        <w:rPr>
          <w:color w:val="FF0000"/>
        </w:rPr>
      </w:pPr>
    </w:p>
    <w:p w14:paraId="4ADD4627" w14:textId="77777777" w:rsidR="00EF18D7" w:rsidRDefault="00D603CD">
      <w:pPr>
        <w:spacing w:after="0" w:line="360" w:lineRule="auto"/>
        <w:rPr>
          <w:color w:val="000000"/>
        </w:rPr>
      </w:pPr>
      <w:r>
        <w:rPr>
          <w:color w:val="000000"/>
        </w:rPr>
        <w:t xml:space="preserve">En ese orden de ideas, el artículo 164 de dicho ordenamiento jurídico, prevé que el acceso se dará en la modalidad de entrega y, en su caso, de envío elegidos por al solicitante. </w:t>
      </w:r>
      <w:r>
        <w:rPr>
          <w:b/>
          <w:color w:val="000000"/>
        </w:rPr>
        <w:t>Cuando la información no pueda entregarse o enviarse en la modalidad elegida, el sujeto obligado deberá ofrecer otra u otras modalidades de entrega.</w:t>
      </w:r>
      <w:r>
        <w:rPr>
          <w:color w:val="000000"/>
        </w:rPr>
        <w:t xml:space="preserve"> En cualquier caso, </w:t>
      </w:r>
      <w:r>
        <w:rPr>
          <w:b/>
          <w:color w:val="000000"/>
        </w:rPr>
        <w:t>se deberá fundar y motivar</w:t>
      </w:r>
      <w:r>
        <w:rPr>
          <w:color w:val="000000"/>
        </w:rPr>
        <w:t xml:space="preserve"> la necesidad de ofrecer otras modalidades.</w:t>
      </w:r>
    </w:p>
    <w:p w14:paraId="25D922C8" w14:textId="77777777" w:rsidR="00EF18D7" w:rsidRDefault="00EF18D7">
      <w:pPr>
        <w:spacing w:after="0" w:line="360" w:lineRule="auto"/>
        <w:rPr>
          <w:color w:val="000000"/>
        </w:rPr>
      </w:pPr>
    </w:p>
    <w:p w14:paraId="1618199E" w14:textId="77777777" w:rsidR="00EF18D7" w:rsidRDefault="00D603CD">
      <w:pPr>
        <w:spacing w:after="0" w:line="360" w:lineRule="auto"/>
        <w:rPr>
          <w:color w:val="000000"/>
        </w:rPr>
      </w:pPr>
      <w:r>
        <w:rPr>
          <w:color w:val="000000"/>
        </w:rPr>
        <w:t xml:space="preserve">Para lo cual, conforme al artículo 174 de la Ley de la materia, indica que los costos de reproducción y, en su caso, de envío para la obtención de la información deberán ser cubiertos por el solicitante de manera previa a la entrega por parte del Sujeto Obligado. En tales consideraciones, la entrega deberá hacerse, </w:t>
      </w:r>
      <w:r>
        <w:rPr>
          <w:b/>
          <w:color w:val="000000"/>
        </w:rPr>
        <w:t xml:space="preserve">en la medida de lo posible, en la forma </w:t>
      </w:r>
      <w:r>
        <w:rPr>
          <w:b/>
          <w:color w:val="000000"/>
        </w:rPr>
        <w:lastRenderedPageBreak/>
        <w:t>solicitada por el interesado, salvo que exista un impedimento justificado para atenderla</w:t>
      </w:r>
      <w:r>
        <w:rPr>
          <w:color w:val="000000"/>
        </w:rPr>
        <w:t xml:space="preserve">, en cuyo caso, deberán exponerse las razones por las cuales no es posible utilizar el medio de reproducción solicitado; en este sentido, la entrega de la información en una modalidad distinta a la elegida por el particular </w:t>
      </w:r>
      <w:r>
        <w:rPr>
          <w:b/>
          <w:color w:val="000000"/>
        </w:rPr>
        <w:t>sólo procede, en caso de que se acredite la imposibilidad de atenderla.</w:t>
      </w:r>
      <w:r>
        <w:rPr>
          <w:color w:val="000000"/>
        </w:rPr>
        <w:t xml:space="preserve"> </w:t>
      </w:r>
    </w:p>
    <w:p w14:paraId="359B7666" w14:textId="77777777" w:rsidR="00EF18D7" w:rsidRDefault="00EF18D7">
      <w:pPr>
        <w:spacing w:after="0" w:line="360" w:lineRule="auto"/>
        <w:rPr>
          <w:color w:val="000000"/>
        </w:rPr>
      </w:pPr>
    </w:p>
    <w:p w14:paraId="281A0325" w14:textId="77777777" w:rsidR="00EF18D7" w:rsidRDefault="00D603CD">
      <w:pPr>
        <w:spacing w:after="0" w:line="360" w:lineRule="auto"/>
        <w:rPr>
          <w:b/>
          <w:color w:val="000000"/>
        </w:rPr>
      </w:pPr>
      <w:r>
        <w:rPr>
          <w:color w:val="000000"/>
        </w:rPr>
        <w:t xml:space="preserve">Así, cuando se justifique el impedimento, </w:t>
      </w:r>
      <w:r>
        <w:rPr>
          <w:b/>
          <w:color w:val="000000"/>
        </w:rPr>
        <w:t>los Sujetos Obligados deberán ofrecer al particular otras modalidades de entrega que permita la información</w:t>
      </w:r>
      <w:r>
        <w:rPr>
          <w:color w:val="000000"/>
        </w:rPr>
        <w:t>, como consulta directa en las oficinas de la Unidad de Transparencia; lo anterior, es robustecido con el Criterio SO/008/2017, emitido por el Pleno del Instituto Nacional de Transparencia, Acceso a la Información y Protección de Datos Personales, el cual establece que cuando no sea posible atener la modalidad elegida por los solicitantes, la obligación de acceso a la información se tendrá por cumplida cuando el Sujeto Obligado justifique el impedimento para atender la misma y se notifique al particular la puesta a disposición de la información en</w:t>
      </w:r>
      <w:r>
        <w:rPr>
          <w:b/>
          <w:color w:val="000000"/>
        </w:rPr>
        <w:t xml:space="preserve"> </w:t>
      </w:r>
      <w:r>
        <w:rPr>
          <w:b/>
          <w:color w:val="000000"/>
          <w:u w:val="single"/>
        </w:rPr>
        <w:t>todas las modalidades</w:t>
      </w:r>
      <w:r>
        <w:rPr>
          <w:b/>
          <w:color w:val="000000"/>
        </w:rPr>
        <w:t xml:space="preserve"> que lo permitan, procurando reducir los costos de entrega.</w:t>
      </w:r>
    </w:p>
    <w:p w14:paraId="08F75EFD" w14:textId="77777777" w:rsidR="00EF18D7" w:rsidRDefault="00EF18D7">
      <w:pPr>
        <w:spacing w:after="0" w:line="360" w:lineRule="auto"/>
        <w:rPr>
          <w:b/>
          <w:color w:val="000000"/>
        </w:rPr>
      </w:pPr>
    </w:p>
    <w:p w14:paraId="1503BA66" w14:textId="77777777" w:rsidR="00EF18D7" w:rsidRDefault="00D603CD">
      <w:pPr>
        <w:widowControl w:val="0"/>
        <w:spacing w:after="0" w:line="360" w:lineRule="auto"/>
        <w:rPr>
          <w:color w:val="000000"/>
        </w:rPr>
      </w:pPr>
      <w:r>
        <w:rPr>
          <w:color w:val="000000"/>
        </w:rPr>
        <w:t>Además, según Calero, Natalia (2016), en la “Ley General de Transparencia y Acceso a la Información Pública Comentada” (pág. 401), cuando los sujetos obligados ofrezcan como modalidad de entrega de la información, consulta directa, estos deberán fundar y motivar las razones por las cuales no es posible otorgar el acceso a los documentos de otra forma; además que se deberá explicar de manera detallada lo siguiente:</w:t>
      </w:r>
    </w:p>
    <w:p w14:paraId="4B128E28" w14:textId="77777777" w:rsidR="00EF18D7" w:rsidRDefault="00EF18D7">
      <w:pPr>
        <w:spacing w:after="0" w:line="360" w:lineRule="auto"/>
        <w:rPr>
          <w:color w:val="000000"/>
        </w:rPr>
      </w:pPr>
    </w:p>
    <w:p w14:paraId="21E469BA" w14:textId="77777777" w:rsidR="00EF18D7" w:rsidRDefault="00D603CD">
      <w:pPr>
        <w:numPr>
          <w:ilvl w:val="0"/>
          <w:numId w:val="7"/>
        </w:numPr>
        <w:spacing w:after="0" w:line="360" w:lineRule="auto"/>
        <w:rPr>
          <w:color w:val="000000"/>
        </w:rPr>
      </w:pPr>
      <w:r>
        <w:rPr>
          <w:color w:val="000000"/>
        </w:rPr>
        <w:t>Las razones por las cuales la información implicaba un análisis, estudio o procesamiento de datos;</w:t>
      </w:r>
    </w:p>
    <w:p w14:paraId="52B8CC33" w14:textId="77777777" w:rsidR="00EF18D7" w:rsidRDefault="00D603CD">
      <w:pPr>
        <w:numPr>
          <w:ilvl w:val="0"/>
          <w:numId w:val="7"/>
        </w:numPr>
        <w:spacing w:after="0" w:line="360" w:lineRule="auto"/>
        <w:rPr>
          <w:color w:val="000000"/>
        </w:rPr>
      </w:pPr>
      <w:r>
        <w:rPr>
          <w:color w:val="000000"/>
        </w:rPr>
        <w:t>Por qué motivo el tiempo, que se le otorga al Sujeto Obligado para dar respuesta, en la modalidad elegida a la solicitud de información, no le es suficiente, y</w:t>
      </w:r>
    </w:p>
    <w:p w14:paraId="167EB33F" w14:textId="77777777" w:rsidR="00EF18D7" w:rsidRDefault="00D603CD">
      <w:pPr>
        <w:numPr>
          <w:ilvl w:val="0"/>
          <w:numId w:val="7"/>
        </w:numPr>
        <w:spacing w:after="0" w:line="360" w:lineRule="auto"/>
        <w:rPr>
          <w:color w:val="000000"/>
        </w:rPr>
      </w:pPr>
      <w:r>
        <w:rPr>
          <w:color w:val="000000"/>
        </w:rPr>
        <w:lastRenderedPageBreak/>
        <w:t>La cantidad de recursos humanos y materiales con los que cuenta el Sujeto Obligado son insuficientes.</w:t>
      </w:r>
    </w:p>
    <w:p w14:paraId="15AF2EE3" w14:textId="77777777" w:rsidR="00EF18D7" w:rsidRDefault="00EF18D7">
      <w:pPr>
        <w:spacing w:after="0" w:line="360" w:lineRule="auto"/>
        <w:ind w:right="-28"/>
        <w:rPr>
          <w:color w:val="000000"/>
        </w:rPr>
      </w:pPr>
    </w:p>
    <w:p w14:paraId="7CA67A60" w14:textId="77777777" w:rsidR="00EF18D7" w:rsidRDefault="00D603CD">
      <w:pPr>
        <w:spacing w:after="0" w:line="360" w:lineRule="auto"/>
        <w:ind w:right="-28"/>
        <w:rPr>
          <w:color w:val="000000"/>
        </w:rPr>
      </w:pPr>
      <w:r>
        <w:rPr>
          <w:color w:val="000000"/>
        </w:rPr>
        <w:t xml:space="preserve">Además, es de señalar que el Órgano Garante Nacional, a través de diversas resoluciones de los Recursos de Inconformidad, entre las cuales se encuentran el RIA 136/20, RIA 140/20, RIA 153/20 RIA 237/20, RIA 257/20, RIA 258/20, entre otras, ha considerado que no resultaba suficiente justificar una imposibilidad técnica y humana para acreditar un cambio de modalidad, sino que era necesario demostrar otros impedimentos, como la cantidad y formato de la documentación, que fuera de imposible reproducción en el medio elegido por los solicitantes, que la información ameritara el cruce de información en los sistemas de datos, entre otros. </w:t>
      </w:r>
    </w:p>
    <w:p w14:paraId="19B1B2C2" w14:textId="77777777" w:rsidR="00EF18D7" w:rsidRDefault="00EF18D7">
      <w:pPr>
        <w:spacing w:after="0" w:line="360" w:lineRule="auto"/>
        <w:ind w:right="-28"/>
        <w:rPr>
          <w:color w:val="000000"/>
        </w:rPr>
      </w:pPr>
    </w:p>
    <w:p w14:paraId="512375F2" w14:textId="77777777" w:rsidR="00EF18D7" w:rsidRDefault="00D603CD">
      <w:pPr>
        <w:spacing w:after="0" w:line="360" w:lineRule="auto"/>
        <w:rPr>
          <w:color w:val="000000"/>
        </w:rPr>
      </w:pPr>
      <w:r>
        <w:rPr>
          <w:color w:val="000000"/>
        </w:rPr>
        <w:t xml:space="preserve">Derivado de lo anterior, este Instituto realizó un requerimiento de información adicional al Sujeto Obligado con la finalidad de allegarse de más elementos para la elaboración de la presente, siendo la Tesorera Municipal, la unidad administrativa competente para poseer la información solicitada, quien desahogo el requerimiento de información y señaló que la </w:t>
      </w:r>
      <w:r>
        <w:rPr>
          <w:b/>
          <w:color w:val="000000"/>
        </w:rPr>
        <w:t>información solicitada asciende a un total de 186,343 fojas, con un peso aproximado de 1.16 GB, encontrándose en físico la información.</w:t>
      </w:r>
    </w:p>
    <w:p w14:paraId="5870AAF7" w14:textId="77777777" w:rsidR="00EF18D7" w:rsidRDefault="00EF18D7">
      <w:pPr>
        <w:spacing w:after="0" w:line="360" w:lineRule="auto"/>
        <w:rPr>
          <w:color w:val="000000"/>
        </w:rPr>
      </w:pPr>
    </w:p>
    <w:p w14:paraId="755BAEB4" w14:textId="77777777" w:rsidR="00EF18D7" w:rsidRDefault="00D603CD">
      <w:pPr>
        <w:spacing w:after="0" w:line="360" w:lineRule="auto"/>
        <w:rPr>
          <w:color w:val="000000"/>
        </w:rPr>
      </w:pPr>
      <w:r>
        <w:rPr>
          <w:color w:val="000000"/>
        </w:rPr>
        <w:t xml:space="preserve">Sobre dicha circunstancia, el Vigésimo Cuarto de los Lineamientos para la operación del Sistema de Acceso a la Información Mexiquense (SAIMEX) y del Sistema de Acceso, Rectificación, Cancelación y Oposición de Datos Personales del Estado de México (SARCOEM), establece que los sistemas electrónicos cuentan con una capacidad máxima de carga dentro del </w:t>
      </w:r>
      <w:r>
        <w:rPr>
          <w:color w:val="000000"/>
          <w:u w:val="single"/>
        </w:rPr>
        <w:t>servidor con un peso total de quinientos megabytes o su equivalente a ocho mil fojas.</w:t>
      </w:r>
    </w:p>
    <w:p w14:paraId="594A1B96" w14:textId="77777777" w:rsidR="00EF18D7" w:rsidRDefault="00EF18D7">
      <w:pPr>
        <w:spacing w:after="0" w:line="360" w:lineRule="auto"/>
        <w:rPr>
          <w:b/>
          <w:color w:val="000000"/>
        </w:rPr>
      </w:pPr>
    </w:p>
    <w:p w14:paraId="0B112E6D" w14:textId="77777777" w:rsidR="00EF18D7" w:rsidRDefault="00D603CD">
      <w:pPr>
        <w:spacing w:after="0" w:line="360" w:lineRule="auto"/>
        <w:rPr>
          <w:color w:val="000000"/>
        </w:rPr>
      </w:pPr>
      <w:r>
        <w:rPr>
          <w:color w:val="000000"/>
        </w:rPr>
        <w:lastRenderedPageBreak/>
        <w:t xml:space="preserve">Conforme a lo anterior, se logra vislumbrar que la información solicitada, sobrepasaba las capacidades técnicas del Sistema de Acceso a la Información Mexiquense (SAIMEX), pues son más de 1.16 </w:t>
      </w:r>
      <w:r>
        <w:rPr>
          <w:i/>
          <w:color w:val="000000"/>
        </w:rPr>
        <w:t>gigabytes</w:t>
      </w:r>
      <w:r>
        <w:rPr>
          <w:color w:val="000000"/>
        </w:rPr>
        <w:t>; lo anterior, se acreditó con el desahogo al requerimiento de información adicional realizado por este Instituto y atendido por la Tesorera Municipal, por medio del cual informa que la información requerida por el Particular, sobrepasaba las capacidades técnicas del Sistema de Acceso a la Información Mexiquense (SAIMEX)</w:t>
      </w:r>
      <w:r>
        <w:t>,</w:t>
      </w:r>
      <w:r>
        <w:rPr>
          <w:color w:val="000000"/>
        </w:rPr>
        <w:t xml:space="preserve"> por lo que, resulta procedente el cambio de modalidad, sin embargo, omitió ponerla a disposición en todas las modalidades posibles.</w:t>
      </w:r>
    </w:p>
    <w:p w14:paraId="2D2EB269" w14:textId="77777777" w:rsidR="00EF18D7" w:rsidRDefault="00EF18D7">
      <w:pPr>
        <w:spacing w:after="0" w:line="360" w:lineRule="auto"/>
        <w:rPr>
          <w:color w:val="000000"/>
        </w:rPr>
      </w:pPr>
    </w:p>
    <w:p w14:paraId="737F436D" w14:textId="77777777" w:rsidR="00EF18D7" w:rsidRDefault="00D603CD">
      <w:pPr>
        <w:spacing w:after="0" w:line="360" w:lineRule="auto"/>
        <w:rPr>
          <w:color w:val="000000"/>
        </w:rPr>
      </w:pPr>
      <w:r>
        <w:rPr>
          <w:color w:val="000000"/>
        </w:rPr>
        <w:t>Ahora bien, resulta necesario analizar de manera oficiosa, si la información puede ser adjuntada por correo electrónico; al respecto, dicho medio es un sistema que permite el intercambio de mensajes entre distintas computadoras interconectadas a través de una red.</w:t>
      </w:r>
    </w:p>
    <w:p w14:paraId="744AB244" w14:textId="77777777" w:rsidR="00EF18D7" w:rsidRDefault="00EF18D7">
      <w:pPr>
        <w:spacing w:after="0" w:line="360" w:lineRule="auto"/>
        <w:rPr>
          <w:color w:val="000000"/>
        </w:rPr>
      </w:pPr>
    </w:p>
    <w:p w14:paraId="70A5DCB3" w14:textId="77777777" w:rsidR="00EF18D7" w:rsidRDefault="00D603CD">
      <w:pPr>
        <w:spacing w:after="0" w:line="360" w:lineRule="auto"/>
        <w:rPr>
          <w:color w:val="000000"/>
        </w:rPr>
      </w:pPr>
      <w:r>
        <w:rPr>
          <w:color w:val="000000"/>
        </w:rPr>
        <w:t xml:space="preserve">En ese contexto, existen diferentes plataformas que brindan dicho servicio, sobre el tema, a través de la plataforma Gmail se informa que el peso máximo que soporta un correo electrónico para enviar archivos adjuntos en un mensaje es de veinticinco megabytes (consultado el seis de noviembre de dos mil veinticuatro, a las trece horas en la liga </w:t>
      </w:r>
      <w:hyperlink r:id="rId11" w:anchor=":~:text=Tama%C3%B1o%20m%C3%A1ximo%20de%20los%20archivos,Drive%20en%20vez%20de%20adjuntarlo">
        <w:r>
          <w:rPr>
            <w:color w:val="0563C1"/>
            <w:u w:val="single"/>
          </w:rPr>
          <w:t>https://support.google.com/mail/answer/6584?co=GENIE.Platform%3DDesktop&amp;hl=es#:~:text=Tama%C3%B1o%20m%C3%A1ximo%20de%20los%20archivos,Drive%20en%20vez%20de%20adjuntarlo</w:t>
        </w:r>
      </w:hyperlink>
      <w:r>
        <w:rPr>
          <w:color w:val="000000"/>
        </w:rPr>
        <w:t>), tal como se muestra continuación:</w:t>
      </w:r>
    </w:p>
    <w:p w14:paraId="2610C4ED" w14:textId="77777777" w:rsidR="00EF18D7" w:rsidRDefault="00EF18D7">
      <w:pPr>
        <w:spacing w:after="0" w:line="360" w:lineRule="auto"/>
        <w:rPr>
          <w:color w:val="000000"/>
        </w:rPr>
      </w:pPr>
    </w:p>
    <w:p w14:paraId="6C5F8259" w14:textId="77777777" w:rsidR="00EF18D7" w:rsidRDefault="00D603CD">
      <w:pPr>
        <w:spacing w:after="0" w:line="360" w:lineRule="auto"/>
        <w:ind w:left="567" w:right="567"/>
        <w:rPr>
          <w:i/>
          <w:color w:val="000000"/>
          <w:sz w:val="20"/>
          <w:szCs w:val="20"/>
        </w:rPr>
      </w:pPr>
      <w:r>
        <w:rPr>
          <w:i/>
          <w:color w:val="000000"/>
          <w:sz w:val="20"/>
          <w:szCs w:val="20"/>
        </w:rPr>
        <w:t>“</w:t>
      </w:r>
      <w:r>
        <w:rPr>
          <w:b/>
          <w:i/>
          <w:color w:val="000000"/>
          <w:sz w:val="20"/>
          <w:szCs w:val="20"/>
        </w:rPr>
        <w:t>Tamaño máximo de los archivos adjuntos</w:t>
      </w:r>
    </w:p>
    <w:p w14:paraId="271890C3" w14:textId="77777777" w:rsidR="00EF18D7" w:rsidRDefault="00D603CD">
      <w:pPr>
        <w:spacing w:after="0" w:line="360" w:lineRule="auto"/>
        <w:ind w:left="567" w:right="567"/>
        <w:rPr>
          <w:i/>
          <w:color w:val="000000"/>
          <w:sz w:val="20"/>
          <w:szCs w:val="20"/>
        </w:rPr>
      </w:pPr>
      <w:r>
        <w:rPr>
          <w:i/>
          <w:color w:val="000000"/>
          <w:sz w:val="20"/>
          <w:szCs w:val="20"/>
        </w:rPr>
        <w:t>Puedes enviar uno o varios archivos adjuntos en un mismo mensaje, pero en total no pueden superar los 25 MB. Si el archivo tiene más de 25 MB, Gmail añadirá automáticamente un enlace a Google Drive en vez de adjuntarlo.”</w:t>
      </w:r>
    </w:p>
    <w:p w14:paraId="74764933" w14:textId="77777777" w:rsidR="00EF18D7" w:rsidRDefault="00EF18D7">
      <w:pPr>
        <w:spacing w:after="0" w:line="360" w:lineRule="auto"/>
        <w:ind w:right="-28"/>
        <w:rPr>
          <w:b/>
          <w:color w:val="000000"/>
        </w:rPr>
      </w:pPr>
    </w:p>
    <w:p w14:paraId="78E32ADA" w14:textId="77777777" w:rsidR="00EF18D7" w:rsidRDefault="00D603CD">
      <w:pPr>
        <w:spacing w:after="0" w:line="360" w:lineRule="auto"/>
        <w:rPr>
          <w:color w:val="000000"/>
        </w:rPr>
      </w:pPr>
      <w:r>
        <w:rPr>
          <w:color w:val="000000"/>
        </w:rPr>
        <w:lastRenderedPageBreak/>
        <w:t>Como se logra observar, un correo electrónico comúnmente permite únicamente la carga de archivos adjuntos cuyo peso total se traduzca en veinticinco megabytes; por lo que, para proporcionar toda la información solicitada, necesitaría remitir más de dos mil ochocientos correos, lo cual generaría una carga desproporcional al Sujeto Obligado, que implicaría que tuviera que dejar de realizar sus funciones sustantivas y esenciales para cumplir con sus funciones; por lo que, este Instituto considera improcedente ordenar dicha modalidad.</w:t>
      </w:r>
    </w:p>
    <w:p w14:paraId="3DEFDAD1" w14:textId="77777777" w:rsidR="00EF18D7" w:rsidRDefault="00EF18D7">
      <w:pPr>
        <w:spacing w:after="0" w:line="360" w:lineRule="auto"/>
        <w:rPr>
          <w:color w:val="000000"/>
          <w:highlight w:val="yellow"/>
        </w:rPr>
      </w:pPr>
    </w:p>
    <w:p w14:paraId="35AA53E0" w14:textId="77777777" w:rsidR="00EF18D7" w:rsidRDefault="00D603CD">
      <w:pPr>
        <w:spacing w:after="0" w:line="360" w:lineRule="auto"/>
        <w:rPr>
          <w:color w:val="000000"/>
        </w:rPr>
      </w:pPr>
      <w:r>
        <w:rPr>
          <w:color w:val="000000"/>
        </w:rPr>
        <w:t>Así, resulta procedente ordenar al Sujeto Obligado a poner a disposición de la persona Recurrente, respecto de la Unidad Municipal de Control y Bienestar Animal, los documentos que den cuenta del presupuesto asignado por año y trienio de la actual administración, facturas de gasto del primero de enero de dos mil veintidós al trece de agosto de dos mil veinticuatro, plantilla laboral y del predio utilizado para el resguardo de perros documento que acredite la propiedad, en todas las modalidades posibles, tales como, en un vínculo electrónico, disco compacto, dispositivo de almacenamiento, copias simples o certificadas, con posibilidad de entrega en la Unidad de Transparencia o a domicilio por correo certificado, previo pago de los derechos correspondientes. Dicha situación salvaguarda la imposibilidad del Particular de ir a consultar la información, en las oficinas del Ente Recurrido, pues puede solicitar la información previo pago de los derechos correspondiente, con envió a su domicilio.</w:t>
      </w:r>
    </w:p>
    <w:p w14:paraId="62608AF2" w14:textId="77777777" w:rsidR="00EF18D7" w:rsidRDefault="00EF18D7">
      <w:pPr>
        <w:spacing w:after="0" w:line="360" w:lineRule="auto"/>
        <w:rPr>
          <w:color w:val="000000"/>
        </w:rPr>
      </w:pPr>
    </w:p>
    <w:p w14:paraId="2CBF4633" w14:textId="77777777" w:rsidR="00EF18D7" w:rsidRDefault="00D603CD">
      <w:pPr>
        <w:spacing w:after="0" w:line="360" w:lineRule="auto"/>
        <w:rPr>
          <w:color w:val="000000"/>
        </w:rPr>
      </w:pPr>
      <w:r>
        <w:rPr>
          <w:color w:val="000000"/>
        </w:rPr>
        <w:t>Ahora bien, para el caso que no pueda subir la información en una liga electrónica de acceso en Internet, por no contar con presupuesto, ni con el equipo electrónico adecuado para tal circunstancia, podrá omitir dicha modalidad, para la entrega de la misma.</w:t>
      </w:r>
    </w:p>
    <w:p w14:paraId="40F4D5AA" w14:textId="77777777" w:rsidR="00EF18D7" w:rsidRDefault="00EF18D7">
      <w:pPr>
        <w:spacing w:after="0" w:line="360" w:lineRule="auto"/>
        <w:rPr>
          <w:color w:val="000000"/>
        </w:rPr>
      </w:pPr>
    </w:p>
    <w:p w14:paraId="0BB5AB02" w14:textId="77777777" w:rsidR="00EF18D7" w:rsidRDefault="00D603CD">
      <w:pPr>
        <w:spacing w:after="0" w:line="360" w:lineRule="auto"/>
      </w:pPr>
      <w:r>
        <w:t xml:space="preserve">Si dentro del transcurso del término señalado en el párrafo anterior, </w:t>
      </w:r>
      <w:r>
        <w:rPr>
          <w:b/>
        </w:rPr>
        <w:t>el Particular acude por la información,</w:t>
      </w:r>
      <w:r>
        <w:t xml:space="preserve"> el Sujeto Obligado levantará un acta de hechos misma que debe ser remitida </w:t>
      </w:r>
      <w:r>
        <w:lastRenderedPageBreak/>
        <w:t>a este Instituto, por conducto de la Secretaría Técnica del Pleno, junto con el acuse de recibo de la información del Particular; sin embargo, si una vez fenecido el plazo, no acudiera por los documentos ordenados, el Sujeto Obligado, mediante acuerdo dará por concluida la solicitud y podrá, de ser el caso, realizar la destrucción del material en el que se reprodujo, situación que también deberá informar a este Instituto, por el mismo conducto.</w:t>
      </w:r>
    </w:p>
    <w:p w14:paraId="536E33CF" w14:textId="77777777" w:rsidR="00EF18D7" w:rsidRDefault="00EF18D7">
      <w:pPr>
        <w:spacing w:after="0" w:line="360" w:lineRule="auto"/>
      </w:pPr>
    </w:p>
    <w:p w14:paraId="45C65BFF" w14:textId="77777777" w:rsidR="00EF18D7" w:rsidRDefault="00D603CD">
      <w:pPr>
        <w:spacing w:after="0" w:line="360" w:lineRule="auto"/>
        <w:rPr>
          <w:color w:val="000000"/>
        </w:rPr>
      </w:pPr>
      <w:r>
        <w:rPr>
          <w:color w:val="000000"/>
        </w:rPr>
        <w:t>Finalmente, este Instituto considera que los documentos que den cuenta de lo solicitado, pudieran contar con datos o información clasificada, tales como nombre del proveedor, persona jurídico-colectiva y/o persona física en Facturas, Registro Federal de Contribuyentes (RFC) de personas físicas y proveedores, Código Bidimensional o QR, domicilio fiscal del proveedor, lugar de expedición de la factura, Uso CFDI o efecto del comprobante, Folio del Comprobante Fiscal Digital por Internet, datos bancarios, nombre de la Institución Bancaria a la que pertenece la cuenta bancaria,</w:t>
      </w:r>
      <w:r>
        <w:rPr>
          <w:b/>
          <w:color w:val="000000"/>
        </w:rPr>
        <w:t xml:space="preserve"> </w:t>
      </w:r>
      <w:r>
        <w:rPr>
          <w:color w:val="000000"/>
        </w:rPr>
        <w:t>entre otros, por lo que, en el caso, deberá elaborar la versión pública respectiva; al respecto, conforme al artículo 3°, fracción XLV, relacionado con el 137, ambos de la Ley de Transparencia y Acceso a la Información Pública del Estado de México y Municipios, cuando un documento contenga información pública y confidencial, la Unidad de Transparencia para efectos de atender al requerimiento informativo, deberá elaborar una versión Pública en la que se testen las partes o secciones clasificadas, indicando su contenido de manera genérica y fundando y motivando su clasificación.</w:t>
      </w:r>
    </w:p>
    <w:p w14:paraId="65C430A2" w14:textId="77777777" w:rsidR="00EF18D7" w:rsidRDefault="00EF18D7">
      <w:pPr>
        <w:spacing w:after="0" w:line="360" w:lineRule="auto"/>
        <w:rPr>
          <w:color w:val="000000"/>
        </w:rPr>
      </w:pPr>
    </w:p>
    <w:p w14:paraId="328A9F61" w14:textId="77777777" w:rsidR="00EF18D7" w:rsidRDefault="00D603CD">
      <w:pPr>
        <w:spacing w:after="0" w:line="360" w:lineRule="auto"/>
        <w:rPr>
          <w:color w:val="000000"/>
        </w:rPr>
      </w:pPr>
      <w: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p>
    <w:p w14:paraId="0B110EA1" w14:textId="77777777" w:rsidR="00EF18D7" w:rsidRDefault="00EF18D7">
      <w:pPr>
        <w:spacing w:after="0" w:line="360" w:lineRule="auto"/>
        <w:rPr>
          <w:color w:val="000000"/>
        </w:rPr>
      </w:pPr>
    </w:p>
    <w:p w14:paraId="286AE76B" w14:textId="77777777" w:rsidR="00EF18D7" w:rsidRDefault="00D603CD">
      <w:pPr>
        <w:spacing w:after="0" w:line="360" w:lineRule="auto"/>
        <w:rPr>
          <w:b/>
          <w:color w:val="000000"/>
        </w:rPr>
      </w:pPr>
      <w:r>
        <w:rPr>
          <w:b/>
          <w:color w:val="000000"/>
        </w:rPr>
        <w:t>SEXTO. Decisión</w:t>
      </w:r>
    </w:p>
    <w:p w14:paraId="283CBECD" w14:textId="77777777" w:rsidR="00EF18D7" w:rsidRDefault="00EF18D7">
      <w:pPr>
        <w:spacing w:after="0" w:line="360" w:lineRule="auto"/>
        <w:rPr>
          <w:b/>
          <w:color w:val="FF0000"/>
        </w:rPr>
      </w:pPr>
    </w:p>
    <w:p w14:paraId="3D708A86" w14:textId="77777777" w:rsidR="00EF18D7" w:rsidRDefault="00D603CD">
      <w:pPr>
        <w:tabs>
          <w:tab w:val="left" w:pos="4962"/>
        </w:tabs>
        <w:spacing w:after="0" w:line="360" w:lineRule="auto"/>
      </w:pPr>
      <w:r>
        <w:t xml:space="preserve">De acuerdo con lo expuesto y, con fundamento en el artículo 186, fracción III, de la Ley de Transparencia y Acceso a la Información Pública del Estado de México y Municipios, este Instituto considera procedente </w:t>
      </w:r>
      <w:r>
        <w:rPr>
          <w:b/>
        </w:rPr>
        <w:t xml:space="preserve">MODIFICAR </w:t>
      </w:r>
      <w:r>
        <w:t xml:space="preserve">la respuesta del </w:t>
      </w:r>
      <w:r>
        <w:rPr>
          <w:color w:val="000000"/>
        </w:rPr>
        <w:t>Ayuntamiento de Almoloya de Juárez</w:t>
      </w:r>
      <w:r>
        <w:rPr>
          <w:b/>
        </w:rPr>
        <w:t xml:space="preserve">, </w:t>
      </w:r>
      <w:r>
        <w:t>a efecto de que, ponga a disposición, en todas las modalidades que permita la documentación, tales como, disco compacto, dispositivo de almacenamiento, consulta directa, copias simples o certificadas, con posibilidad de entrega en la Unidad de Transparencia o a domicilio por correo certificado, previo pago de los derechos correspondientes, en su caso, en versión pública, la información solicitada.</w:t>
      </w:r>
    </w:p>
    <w:p w14:paraId="217F1E88" w14:textId="77777777" w:rsidR="00EF18D7" w:rsidRDefault="00EF18D7">
      <w:pPr>
        <w:spacing w:after="0" w:line="360" w:lineRule="auto"/>
        <w:rPr>
          <w:color w:val="FF0000"/>
        </w:rPr>
      </w:pPr>
    </w:p>
    <w:p w14:paraId="24C317CE" w14:textId="77777777" w:rsidR="00EF18D7" w:rsidRDefault="00D603CD">
      <w:pPr>
        <w:spacing w:after="0" w:line="360" w:lineRule="auto"/>
        <w:rPr>
          <w:b/>
          <w:color w:val="000000"/>
        </w:rPr>
      </w:pPr>
      <w:r>
        <w:rPr>
          <w:b/>
          <w:color w:val="000000"/>
        </w:rPr>
        <w:t>Términos de la Resolución para conocimiento del Particular</w:t>
      </w:r>
    </w:p>
    <w:p w14:paraId="6B750FDA" w14:textId="77777777" w:rsidR="00EF18D7" w:rsidRDefault="00EF18D7">
      <w:pPr>
        <w:spacing w:after="0" w:line="360" w:lineRule="auto"/>
        <w:rPr>
          <w:color w:val="000000"/>
        </w:rPr>
      </w:pPr>
    </w:p>
    <w:p w14:paraId="04EE0C1E" w14:textId="77777777" w:rsidR="00EF18D7" w:rsidRDefault="00D603CD">
      <w:pPr>
        <w:spacing w:after="0" w:line="360" w:lineRule="auto"/>
        <w:rPr>
          <w:color w:val="000000"/>
        </w:rPr>
      </w:pPr>
      <w:r>
        <w:rPr>
          <w:color w:val="000000"/>
        </w:rPr>
        <w:t>Se le hace del conocimiento al Particular, que, en el presente caso, se le concede parcialmente la razón, pues si bien el Sujeto Obligado acreditó la imposibilidad de entregar la información por el Sistema de Acceso a la Información Mexiquense, omitió poner la información en todas las modalidades posibles.</w:t>
      </w:r>
    </w:p>
    <w:p w14:paraId="3B53A05C" w14:textId="77777777" w:rsidR="00EF18D7" w:rsidRDefault="00EF18D7">
      <w:pPr>
        <w:spacing w:after="0" w:line="360" w:lineRule="auto"/>
        <w:rPr>
          <w:b/>
          <w:color w:val="FF0000"/>
        </w:rPr>
      </w:pPr>
    </w:p>
    <w:p w14:paraId="123BAB83" w14:textId="77777777" w:rsidR="00EF18D7" w:rsidRDefault="00D603CD">
      <w:pPr>
        <w:spacing w:after="0" w:line="360" w:lineRule="auto"/>
        <w:rPr>
          <w:color w:val="000000"/>
        </w:rPr>
      </w:pPr>
      <w:r>
        <w:rPr>
          <w:color w:val="000000"/>
        </w:rPr>
        <w:t>Finalmente, se le hace de su conocimiento que la labor del Instituto de Transparencia, Acceso a la Información Pública y Protección de Datos Personales del Estado de México y Municipios, es apoyar a la población a acceder a la información pública y garantizar la protección de sus datos personales.</w:t>
      </w:r>
    </w:p>
    <w:p w14:paraId="162F7C03" w14:textId="77777777" w:rsidR="00EF18D7" w:rsidRDefault="00EF18D7">
      <w:pPr>
        <w:spacing w:after="0" w:line="360" w:lineRule="auto"/>
        <w:rPr>
          <w:color w:val="000000"/>
        </w:rPr>
      </w:pPr>
    </w:p>
    <w:p w14:paraId="36B53424" w14:textId="77777777" w:rsidR="00EF18D7" w:rsidRDefault="00D603CD">
      <w:pPr>
        <w:spacing w:after="0" w:line="360" w:lineRule="auto"/>
        <w:rPr>
          <w:color w:val="000000"/>
        </w:rPr>
      </w:pPr>
      <w:r>
        <w:rPr>
          <w:color w:val="000000"/>
        </w:rPr>
        <w:t>Por lo expuesto y fundado, este Pleno:</w:t>
      </w:r>
    </w:p>
    <w:p w14:paraId="609E13A1" w14:textId="77777777" w:rsidR="00EF18D7" w:rsidRDefault="00D603CD">
      <w:pPr>
        <w:tabs>
          <w:tab w:val="left" w:pos="3650"/>
        </w:tabs>
        <w:spacing w:after="0" w:line="360" w:lineRule="auto"/>
        <w:rPr>
          <w:b/>
          <w:color w:val="000000"/>
        </w:rPr>
      </w:pPr>
      <w:r>
        <w:rPr>
          <w:b/>
          <w:color w:val="000000"/>
        </w:rPr>
        <w:tab/>
      </w:r>
    </w:p>
    <w:p w14:paraId="2B63FD6D" w14:textId="77777777" w:rsidR="00EF18D7" w:rsidRDefault="00D603CD">
      <w:pPr>
        <w:spacing w:after="0" w:line="360" w:lineRule="auto"/>
        <w:jc w:val="center"/>
        <w:rPr>
          <w:b/>
          <w:color w:val="000000"/>
        </w:rPr>
      </w:pPr>
      <w:r>
        <w:rPr>
          <w:b/>
          <w:color w:val="000000"/>
        </w:rPr>
        <w:t>R E S U E L V E</w:t>
      </w:r>
    </w:p>
    <w:p w14:paraId="35FE14B1" w14:textId="77777777" w:rsidR="00EF18D7" w:rsidRDefault="00EF18D7">
      <w:pPr>
        <w:spacing w:after="0" w:line="360" w:lineRule="auto"/>
        <w:jc w:val="center"/>
        <w:rPr>
          <w:b/>
          <w:color w:val="000000"/>
        </w:rPr>
      </w:pPr>
    </w:p>
    <w:p w14:paraId="6F6C98D3" w14:textId="77777777" w:rsidR="00EF18D7" w:rsidRDefault="00D603CD">
      <w:pPr>
        <w:spacing w:after="0" w:line="360" w:lineRule="auto"/>
        <w:rPr>
          <w:color w:val="000000"/>
        </w:rPr>
      </w:pPr>
      <w:r>
        <w:rPr>
          <w:b/>
          <w:color w:val="000000"/>
        </w:rPr>
        <w:lastRenderedPageBreak/>
        <w:t xml:space="preserve">PRIMERO. </w:t>
      </w:r>
      <w:r>
        <w:rPr>
          <w:color w:val="000000"/>
        </w:rPr>
        <w:t xml:space="preserve">Se </w:t>
      </w:r>
      <w:r>
        <w:rPr>
          <w:b/>
          <w:color w:val="000000"/>
        </w:rPr>
        <w:t xml:space="preserve">MODIFICA </w:t>
      </w:r>
      <w:r>
        <w:rPr>
          <w:color w:val="000000"/>
        </w:rPr>
        <w:t xml:space="preserve">la respuesta entregada por el Ayuntamiento de Almoloya de Juárez, a la solicitud de información 00484/ALMOJU/IP/2024, por resultar </w:t>
      </w:r>
      <w:r>
        <w:rPr>
          <w:b/>
          <w:color w:val="000000"/>
        </w:rPr>
        <w:t>PARCIALMENTE</w:t>
      </w:r>
      <w:r>
        <w:rPr>
          <w:color w:val="000000"/>
        </w:rPr>
        <w:t xml:space="preserve"> </w:t>
      </w:r>
      <w:r>
        <w:rPr>
          <w:b/>
          <w:color w:val="000000"/>
        </w:rPr>
        <w:t xml:space="preserve">FUNDADAS </w:t>
      </w:r>
      <w:r>
        <w:rPr>
          <w:color w:val="000000"/>
        </w:rPr>
        <w:t xml:space="preserve">las razones o motivos de inconformidad hechos valer por el Recurrente, en términos de los considerandos QUINTO y SEXTO de la presente Resolución. </w:t>
      </w:r>
    </w:p>
    <w:p w14:paraId="342FBE47" w14:textId="77777777" w:rsidR="00EF18D7" w:rsidRDefault="00EF18D7">
      <w:pPr>
        <w:spacing w:after="0" w:line="360" w:lineRule="auto"/>
        <w:rPr>
          <w:color w:val="FF0000"/>
        </w:rPr>
      </w:pPr>
    </w:p>
    <w:p w14:paraId="26A38BBA" w14:textId="77777777" w:rsidR="00EF18D7" w:rsidRDefault="00D603CD">
      <w:pPr>
        <w:widowControl w:val="0"/>
        <w:spacing w:after="0" w:line="360" w:lineRule="auto"/>
        <w:rPr>
          <w:color w:val="000000"/>
        </w:rPr>
      </w:pPr>
      <w:r>
        <w:rPr>
          <w:b/>
          <w:color w:val="000000"/>
        </w:rPr>
        <w:t xml:space="preserve">SEGUNDO. </w:t>
      </w:r>
      <w:r>
        <w:rPr>
          <w:color w:val="000000"/>
        </w:rPr>
        <w:t xml:space="preserve">Se </w:t>
      </w:r>
      <w:r>
        <w:rPr>
          <w:b/>
          <w:color w:val="000000"/>
        </w:rPr>
        <w:t>ORDENA</w:t>
      </w:r>
      <w:r>
        <w:rPr>
          <w:color w:val="000000"/>
        </w:rPr>
        <w:t xml:space="preserve"> al Ente Recurrido</w:t>
      </w:r>
      <w:r>
        <w:rPr>
          <w:b/>
          <w:color w:val="000000"/>
        </w:rPr>
        <w:t xml:space="preserve">, </w:t>
      </w:r>
      <w:r>
        <w:rPr>
          <w:color w:val="000000"/>
        </w:rPr>
        <w:t>a efecto de que, ponga a disposición, en todas las modalidades que permita la documentación, tales como, disco compacto, dispositivo de almacenamiento, consulta directa, copias simples o certificadas, con posibilidad de entrega en la Unidad de Transparencia o a domicilio por correo certificado, previo pago de los derechos correspondientes, en su caso, en versión pública, los documentos donde consten de la Unidad Municipal de Control y Bienestar Animal, lo siguiente:</w:t>
      </w:r>
    </w:p>
    <w:p w14:paraId="6B34218E" w14:textId="77777777" w:rsidR="00EF18D7" w:rsidRDefault="00EF18D7">
      <w:pPr>
        <w:widowControl w:val="0"/>
        <w:spacing w:after="0" w:line="360" w:lineRule="auto"/>
        <w:rPr>
          <w:color w:val="000000"/>
        </w:rPr>
      </w:pPr>
    </w:p>
    <w:p w14:paraId="49F82D43" w14:textId="77777777" w:rsidR="00EF18D7" w:rsidRDefault="00D603CD">
      <w:pPr>
        <w:numPr>
          <w:ilvl w:val="0"/>
          <w:numId w:val="8"/>
        </w:numPr>
        <w:tabs>
          <w:tab w:val="left" w:pos="4962"/>
        </w:tabs>
        <w:spacing w:after="0" w:line="360" w:lineRule="auto"/>
        <w:rPr>
          <w:color w:val="000000"/>
        </w:rPr>
      </w:pPr>
      <w:r>
        <w:rPr>
          <w:color w:val="000000"/>
        </w:rPr>
        <w:t>Presupuesto asignado por año y trienio durante la actual administración 2022-2024;</w:t>
      </w:r>
    </w:p>
    <w:p w14:paraId="50ED33BD" w14:textId="77777777" w:rsidR="00EF18D7" w:rsidRDefault="00D603CD">
      <w:pPr>
        <w:numPr>
          <w:ilvl w:val="0"/>
          <w:numId w:val="8"/>
        </w:numPr>
        <w:tabs>
          <w:tab w:val="left" w:pos="4962"/>
        </w:tabs>
        <w:spacing w:after="0" w:line="360" w:lineRule="auto"/>
        <w:rPr>
          <w:color w:val="000000"/>
        </w:rPr>
      </w:pPr>
      <w:r>
        <w:rPr>
          <w:color w:val="000000"/>
        </w:rPr>
        <w:t>Facturas de gasto del primero de enero de dos mil veintidós al trece de agosto de dos mil veinticuatro;</w:t>
      </w:r>
    </w:p>
    <w:p w14:paraId="36E6AFAE" w14:textId="77777777" w:rsidR="00EF18D7" w:rsidRDefault="00D603CD">
      <w:pPr>
        <w:numPr>
          <w:ilvl w:val="0"/>
          <w:numId w:val="8"/>
        </w:numPr>
        <w:tabs>
          <w:tab w:val="left" w:pos="4962"/>
        </w:tabs>
        <w:spacing w:after="0" w:line="360" w:lineRule="auto"/>
        <w:rPr>
          <w:color w:val="000000"/>
        </w:rPr>
      </w:pPr>
      <w:r>
        <w:rPr>
          <w:color w:val="000000"/>
        </w:rPr>
        <w:t>Plantilla laboral de los servidores públicos que integran la Unidad al trece de agosto de dos mil veinticuatro;</w:t>
      </w:r>
    </w:p>
    <w:p w14:paraId="4AEE6DC4" w14:textId="77777777" w:rsidR="00EF18D7" w:rsidRDefault="00D603CD">
      <w:pPr>
        <w:numPr>
          <w:ilvl w:val="0"/>
          <w:numId w:val="8"/>
        </w:numPr>
        <w:tabs>
          <w:tab w:val="left" w:pos="4962"/>
        </w:tabs>
        <w:spacing w:after="0" w:line="360" w:lineRule="auto"/>
        <w:rPr>
          <w:color w:val="000000"/>
        </w:rPr>
      </w:pPr>
      <w:r>
        <w:rPr>
          <w:color w:val="000000"/>
        </w:rPr>
        <w:t xml:space="preserve">Documento donde conste el propietario del predio utilizado para el resguardo de perros capturados. </w:t>
      </w:r>
    </w:p>
    <w:p w14:paraId="37F5E3F3" w14:textId="77777777" w:rsidR="00EF18D7" w:rsidRDefault="00EF18D7">
      <w:pPr>
        <w:spacing w:after="0" w:line="360" w:lineRule="auto"/>
        <w:rPr>
          <w:color w:val="000000"/>
        </w:rPr>
      </w:pPr>
    </w:p>
    <w:p w14:paraId="6F36C2C2" w14:textId="77777777" w:rsidR="00EF18D7" w:rsidRDefault="00D603CD">
      <w:pPr>
        <w:spacing w:after="0" w:line="360" w:lineRule="auto"/>
        <w:rPr>
          <w:color w:val="000000"/>
        </w:rPr>
      </w:pPr>
      <w:r>
        <w:rPr>
          <w:color w:val="000000"/>
        </w:rPr>
        <w:t xml:space="preserve">Para la entrega, el Sujeto Obligado, a través del SAIMEX, deberá indicar el domicilio de la Unidad de Transparencia, así como los días y horarios de atención, junto con el nombre del servidor público que le atenderá, el procedimiento de pago y el costo de ser el caso y, señalar que podrá acceder de manera gratuita a la información en las oficinas del Sujeto Obligado, </w:t>
      </w:r>
      <w:r>
        <w:t>sí proporciona</w:t>
      </w:r>
      <w:r>
        <w:rPr>
          <w:color w:val="000000"/>
        </w:rPr>
        <w:t xml:space="preserve"> el medio de almacenamiento.</w:t>
      </w:r>
    </w:p>
    <w:p w14:paraId="22DA7262" w14:textId="77777777" w:rsidR="00EF18D7" w:rsidRDefault="00EF18D7">
      <w:pPr>
        <w:spacing w:after="0" w:line="360" w:lineRule="auto"/>
        <w:rPr>
          <w:color w:val="000000"/>
        </w:rPr>
      </w:pPr>
    </w:p>
    <w:p w14:paraId="3162CE47" w14:textId="77777777" w:rsidR="00EF18D7" w:rsidRDefault="00D603CD">
      <w:pPr>
        <w:spacing w:after="0" w:line="360" w:lineRule="auto"/>
        <w:rPr>
          <w:color w:val="000000"/>
        </w:rPr>
      </w:pPr>
      <w:r>
        <w:lastRenderedPageBreak/>
        <w:t>Además, deberá proporcionar el Acuerdo de Clasificación donde el Comité de Transparencia, confirme la eliminación de los datos o información clasificada, en la versión pública, de conformidad con los artículos 49, fracciones II y VIII y 132, fracción II de la Ley de Transparencia y Acceso a la Información Pública del Estado de México y Municipios.</w:t>
      </w:r>
    </w:p>
    <w:p w14:paraId="369047DF" w14:textId="77777777" w:rsidR="00EF18D7" w:rsidRDefault="00EF18D7">
      <w:pPr>
        <w:spacing w:after="0" w:line="360" w:lineRule="auto"/>
        <w:rPr>
          <w:color w:val="000000"/>
        </w:rPr>
      </w:pPr>
    </w:p>
    <w:p w14:paraId="5821F3D4" w14:textId="77777777" w:rsidR="00EF18D7" w:rsidRDefault="00D603CD">
      <w:pPr>
        <w:spacing w:after="0" w:line="360" w:lineRule="auto"/>
        <w:ind w:right="-28"/>
        <w:rPr>
          <w:b/>
          <w:color w:val="000000"/>
        </w:rPr>
      </w:pPr>
      <w:r>
        <w:rPr>
          <w:b/>
          <w:color w:val="000000"/>
        </w:rPr>
        <w:t xml:space="preserve">TERCERO. NOTIFÍQUESE  POR SAIMEX </w:t>
      </w:r>
      <w:r>
        <w:rPr>
          <w:color w:val="000000"/>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14:paraId="2993E03D" w14:textId="77777777" w:rsidR="00EF18D7" w:rsidRDefault="00EF18D7">
      <w:pPr>
        <w:spacing w:after="0" w:line="360" w:lineRule="auto"/>
        <w:ind w:right="-28"/>
        <w:rPr>
          <w:color w:val="000000"/>
        </w:rPr>
      </w:pPr>
    </w:p>
    <w:p w14:paraId="290E3DEE" w14:textId="77777777" w:rsidR="00EF18D7" w:rsidRDefault="00D603CD">
      <w:pPr>
        <w:spacing w:after="0" w:line="360" w:lineRule="auto"/>
        <w:rPr>
          <w:color w:val="000000"/>
        </w:rPr>
      </w:pPr>
      <w:r>
        <w:rPr>
          <w:color w:val="000000"/>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226AAF07" w14:textId="77777777" w:rsidR="00EF18D7" w:rsidRDefault="00EF18D7">
      <w:pPr>
        <w:spacing w:after="0" w:line="360" w:lineRule="auto"/>
        <w:rPr>
          <w:color w:val="000000"/>
        </w:rPr>
      </w:pPr>
    </w:p>
    <w:p w14:paraId="71C951AB" w14:textId="77777777" w:rsidR="00EF18D7" w:rsidRDefault="00D603CD">
      <w:pPr>
        <w:spacing w:after="0" w:line="360" w:lineRule="auto"/>
        <w:rPr>
          <w:color w:val="000000"/>
        </w:rPr>
      </w:pPr>
      <w:r>
        <w:rPr>
          <w:b/>
          <w:color w:val="000000"/>
        </w:rPr>
        <w:t>CUARTO. NOTIFÍQUESE</w:t>
      </w:r>
      <w:r>
        <w:rPr>
          <w:color w:val="000000"/>
        </w:rPr>
        <w:t xml:space="preserve"> </w:t>
      </w:r>
      <w:r>
        <w:rPr>
          <w:b/>
          <w:color w:val="000000"/>
        </w:rPr>
        <w:t xml:space="preserve">POR SAIMEX </w:t>
      </w:r>
      <w:r>
        <w:rPr>
          <w:color w:val="000000"/>
        </w:rPr>
        <w:t>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534EFAD1" w14:textId="77777777" w:rsidR="00EF18D7" w:rsidRDefault="00EF18D7">
      <w:pPr>
        <w:spacing w:after="0" w:line="360" w:lineRule="auto"/>
        <w:rPr>
          <w:b/>
          <w:color w:val="000000"/>
        </w:rPr>
      </w:pPr>
    </w:p>
    <w:p w14:paraId="17F8FAC5" w14:textId="77777777" w:rsidR="00EF18D7" w:rsidRDefault="00D603CD">
      <w:pPr>
        <w:spacing w:after="0" w:line="360" w:lineRule="auto"/>
        <w:rPr>
          <w:color w:val="000000"/>
        </w:rPr>
      </w:pPr>
      <w:r>
        <w:rPr>
          <w:color w:val="000000"/>
        </w:rPr>
        <w:lastRenderedPageBreak/>
        <w:t>ASÍ LO RESUELVE, POR </w:t>
      </w:r>
      <w:r>
        <w:rPr>
          <w:b/>
          <w:color w:val="000000"/>
        </w:rPr>
        <w:t>UNANIMIDAD</w:t>
      </w:r>
      <w:r>
        <w:rPr>
          <w:color w:val="000000"/>
        </w:rPr>
        <w:t>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NOVENA SESIÓN ORDINARIA, CELEBRADA EL TRECE DE NOVIEMBRE DE DOS MIL VEINTICUATRO, ANTE EL SECRETARIO TÉCNICO DEL PLENO, ALEXIS TAPIA RAMÍREZ.</w:t>
      </w:r>
    </w:p>
    <w:p w14:paraId="45B91F0C" w14:textId="77777777" w:rsidR="00EF18D7" w:rsidRDefault="00EF18D7">
      <w:pPr>
        <w:spacing w:after="0" w:line="360" w:lineRule="auto"/>
        <w:rPr>
          <w:color w:val="000000"/>
        </w:rPr>
      </w:pPr>
    </w:p>
    <w:p w14:paraId="69E8F423" w14:textId="77777777" w:rsidR="00EF18D7" w:rsidRDefault="00EF18D7">
      <w:pPr>
        <w:spacing w:after="0" w:line="360" w:lineRule="auto"/>
        <w:rPr>
          <w:color w:val="000000"/>
        </w:rPr>
      </w:pPr>
    </w:p>
    <w:p w14:paraId="28EAC852" w14:textId="77777777" w:rsidR="00EF18D7" w:rsidRDefault="00EF18D7">
      <w:pPr>
        <w:spacing w:after="0" w:line="360" w:lineRule="auto"/>
        <w:rPr>
          <w:color w:val="000000"/>
        </w:rPr>
      </w:pPr>
    </w:p>
    <w:p w14:paraId="5213B0F4" w14:textId="77777777" w:rsidR="00EF18D7" w:rsidRDefault="00EF18D7">
      <w:pPr>
        <w:spacing w:after="0" w:line="360" w:lineRule="auto"/>
        <w:rPr>
          <w:color w:val="000000"/>
        </w:rPr>
      </w:pPr>
    </w:p>
    <w:p w14:paraId="58785F33" w14:textId="77777777" w:rsidR="00EF18D7" w:rsidRDefault="00EF18D7">
      <w:pPr>
        <w:spacing w:after="0" w:line="360" w:lineRule="auto"/>
        <w:rPr>
          <w:color w:val="FF0000"/>
        </w:rPr>
      </w:pPr>
    </w:p>
    <w:p w14:paraId="1CE90A36" w14:textId="77777777" w:rsidR="00EF18D7" w:rsidRDefault="00EF18D7">
      <w:pPr>
        <w:spacing w:after="0" w:line="360" w:lineRule="auto"/>
        <w:rPr>
          <w:color w:val="FF0000"/>
        </w:rPr>
      </w:pPr>
    </w:p>
    <w:p w14:paraId="33397590" w14:textId="77777777" w:rsidR="004D13D2" w:rsidRDefault="004D13D2">
      <w:pPr>
        <w:spacing w:after="0" w:line="360" w:lineRule="auto"/>
        <w:rPr>
          <w:color w:val="FF0000"/>
        </w:rPr>
      </w:pPr>
    </w:p>
    <w:p w14:paraId="3E5FD4C7" w14:textId="77777777" w:rsidR="004D13D2" w:rsidRDefault="004D13D2">
      <w:pPr>
        <w:spacing w:after="0" w:line="360" w:lineRule="auto"/>
        <w:rPr>
          <w:color w:val="FF0000"/>
        </w:rPr>
      </w:pPr>
    </w:p>
    <w:p w14:paraId="7D72AA5C" w14:textId="77777777" w:rsidR="004D13D2" w:rsidRDefault="004D13D2">
      <w:pPr>
        <w:spacing w:after="0" w:line="360" w:lineRule="auto"/>
        <w:rPr>
          <w:color w:val="FF0000"/>
        </w:rPr>
      </w:pPr>
    </w:p>
    <w:p w14:paraId="32FE83FC" w14:textId="77777777" w:rsidR="004D13D2" w:rsidRDefault="004D13D2">
      <w:pPr>
        <w:spacing w:after="0" w:line="360" w:lineRule="auto"/>
        <w:rPr>
          <w:color w:val="FF0000"/>
        </w:rPr>
      </w:pPr>
    </w:p>
    <w:p w14:paraId="691A1810" w14:textId="77777777" w:rsidR="004D13D2" w:rsidRDefault="004D13D2">
      <w:pPr>
        <w:spacing w:after="0" w:line="360" w:lineRule="auto"/>
        <w:rPr>
          <w:color w:val="FF0000"/>
        </w:rPr>
      </w:pPr>
    </w:p>
    <w:p w14:paraId="2919FC86" w14:textId="77777777" w:rsidR="004D13D2" w:rsidRDefault="004D13D2">
      <w:pPr>
        <w:spacing w:after="0" w:line="360" w:lineRule="auto"/>
        <w:rPr>
          <w:color w:val="FF0000"/>
        </w:rPr>
      </w:pPr>
    </w:p>
    <w:p w14:paraId="5EC7D95D" w14:textId="77777777" w:rsidR="00D763C8" w:rsidRDefault="00D763C8">
      <w:pPr>
        <w:spacing w:after="0" w:line="360" w:lineRule="auto"/>
        <w:rPr>
          <w:color w:val="FF0000"/>
        </w:rPr>
      </w:pPr>
    </w:p>
    <w:p w14:paraId="4F719CA5" w14:textId="77777777" w:rsidR="00D763C8" w:rsidRDefault="00D763C8">
      <w:pPr>
        <w:spacing w:after="0" w:line="360" w:lineRule="auto"/>
        <w:rPr>
          <w:color w:val="FF0000"/>
        </w:rPr>
      </w:pPr>
    </w:p>
    <w:p w14:paraId="2F141810" w14:textId="77777777" w:rsidR="00D763C8" w:rsidRDefault="00D763C8">
      <w:pPr>
        <w:spacing w:after="0" w:line="360" w:lineRule="auto"/>
        <w:rPr>
          <w:color w:val="FF0000"/>
        </w:rPr>
      </w:pPr>
    </w:p>
    <w:p w14:paraId="66FBB9AD" w14:textId="77777777" w:rsidR="00D763C8" w:rsidRDefault="00D763C8">
      <w:pPr>
        <w:spacing w:after="0" w:line="360" w:lineRule="auto"/>
        <w:rPr>
          <w:color w:val="FF0000"/>
        </w:rPr>
      </w:pPr>
    </w:p>
    <w:p w14:paraId="754D2FEC" w14:textId="77777777" w:rsidR="00D763C8" w:rsidRDefault="00D763C8">
      <w:pPr>
        <w:spacing w:after="0" w:line="360" w:lineRule="auto"/>
        <w:rPr>
          <w:color w:val="FF0000"/>
        </w:rPr>
      </w:pPr>
    </w:p>
    <w:p w14:paraId="509E1058" w14:textId="77777777" w:rsidR="00D763C8" w:rsidRDefault="00D763C8">
      <w:pPr>
        <w:spacing w:after="0" w:line="360" w:lineRule="auto"/>
        <w:rPr>
          <w:color w:val="FF0000"/>
        </w:rPr>
      </w:pPr>
    </w:p>
    <w:p w14:paraId="3FC4C1A8" w14:textId="77777777" w:rsidR="00D763C8" w:rsidRDefault="00D763C8">
      <w:pPr>
        <w:spacing w:after="0" w:line="360" w:lineRule="auto"/>
        <w:rPr>
          <w:color w:val="FF0000"/>
        </w:rPr>
      </w:pPr>
    </w:p>
    <w:sectPr w:rsidR="00D763C8">
      <w:headerReference w:type="even" r:id="rId12"/>
      <w:headerReference w:type="default" r:id="rId13"/>
      <w:footerReference w:type="even" r:id="rId14"/>
      <w:footerReference w:type="default" r:id="rId15"/>
      <w:headerReference w:type="first" r:id="rId16"/>
      <w:footerReference w:type="first" r:id="rId17"/>
      <w:pgSz w:w="12240" w:h="15840"/>
      <w:pgMar w:top="1418" w:right="1608" w:bottom="1560" w:left="1701" w:header="993"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2B9241" w14:textId="77777777" w:rsidR="00C80601" w:rsidRDefault="00C80601">
      <w:pPr>
        <w:spacing w:after="0" w:line="240" w:lineRule="auto"/>
      </w:pPr>
      <w:r>
        <w:separator/>
      </w:r>
    </w:p>
  </w:endnote>
  <w:endnote w:type="continuationSeparator" w:id="0">
    <w:p w14:paraId="6D324C24" w14:textId="77777777" w:rsidR="00C80601" w:rsidRDefault="00C80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1F950" w14:textId="7A2252B4" w:rsidR="00EF18D7" w:rsidRDefault="00D603CD">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C61FD2">
      <w:rPr>
        <w:b/>
        <w:noProof/>
        <w:color w:val="000000"/>
        <w:sz w:val="24"/>
        <w:szCs w:val="24"/>
      </w:rPr>
      <w:t>34</w:t>
    </w:r>
    <w:r>
      <w:rPr>
        <w:b/>
        <w:color w:val="000000"/>
        <w:sz w:val="24"/>
        <w:szCs w:val="24"/>
      </w:rPr>
      <w:fldChar w:fldCharType="end"/>
    </w:r>
  </w:p>
  <w:p w14:paraId="10063341" w14:textId="77777777" w:rsidR="00EF18D7" w:rsidRDefault="00EF18D7">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A9A37" w14:textId="77777777" w:rsidR="00EF18D7" w:rsidRDefault="00D603CD">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BD02EE">
      <w:rPr>
        <w:b/>
        <w:noProof/>
        <w:color w:val="000000"/>
        <w:sz w:val="24"/>
        <w:szCs w:val="24"/>
      </w:rPr>
      <w:t>22</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BD02EE">
      <w:rPr>
        <w:b/>
        <w:noProof/>
        <w:color w:val="000000"/>
        <w:sz w:val="24"/>
        <w:szCs w:val="24"/>
      </w:rPr>
      <w:t>34</w:t>
    </w:r>
    <w:r>
      <w:rPr>
        <w:b/>
        <w:color w:val="000000"/>
        <w:sz w:val="24"/>
        <w:szCs w:val="24"/>
      </w:rPr>
      <w:fldChar w:fldCharType="end"/>
    </w:r>
  </w:p>
  <w:p w14:paraId="37EB1C67" w14:textId="77777777" w:rsidR="00EF18D7" w:rsidRDefault="00EF18D7">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EB5441" w14:textId="77777777" w:rsidR="00EF18D7" w:rsidRDefault="00D603CD">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BD02EE">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BD02EE">
      <w:rPr>
        <w:b/>
        <w:noProof/>
        <w:color w:val="000000"/>
        <w:sz w:val="24"/>
        <w:szCs w:val="24"/>
      </w:rPr>
      <w:t>34</w:t>
    </w:r>
    <w:r>
      <w:rPr>
        <w:b/>
        <w:color w:val="000000"/>
        <w:sz w:val="24"/>
        <w:szCs w:val="24"/>
      </w:rPr>
      <w:fldChar w:fldCharType="end"/>
    </w:r>
  </w:p>
  <w:p w14:paraId="7F0C0FD6" w14:textId="77777777" w:rsidR="00EF18D7" w:rsidRDefault="00EF18D7">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A6CA4E" w14:textId="77777777" w:rsidR="00C80601" w:rsidRDefault="00C80601">
      <w:pPr>
        <w:spacing w:after="0" w:line="240" w:lineRule="auto"/>
      </w:pPr>
      <w:r>
        <w:separator/>
      </w:r>
    </w:p>
  </w:footnote>
  <w:footnote w:type="continuationSeparator" w:id="0">
    <w:p w14:paraId="0100E983" w14:textId="77777777" w:rsidR="00C80601" w:rsidRDefault="00C806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9BB2F" w14:textId="77777777" w:rsidR="00EF18D7" w:rsidRDefault="00EF18D7">
    <w:pPr>
      <w:widowControl w:val="0"/>
      <w:pBdr>
        <w:top w:val="nil"/>
        <w:left w:val="nil"/>
        <w:bottom w:val="nil"/>
        <w:right w:val="nil"/>
        <w:between w:val="nil"/>
      </w:pBdr>
      <w:spacing w:after="0" w:line="276" w:lineRule="auto"/>
      <w:jc w:val="left"/>
      <w:rPr>
        <w:color w:val="FF0000"/>
      </w:rPr>
    </w:pPr>
  </w:p>
  <w:tbl>
    <w:tblPr>
      <w:tblStyle w:val="a"/>
      <w:tblW w:w="6096" w:type="dxa"/>
      <w:tblInd w:w="2835" w:type="dxa"/>
      <w:tblBorders>
        <w:top w:val="nil"/>
        <w:left w:val="nil"/>
        <w:bottom w:val="nil"/>
        <w:right w:val="nil"/>
        <w:insideH w:val="nil"/>
        <w:insideV w:val="nil"/>
      </w:tblBorders>
      <w:tblLayout w:type="fixed"/>
      <w:tblLook w:val="0400" w:firstRow="0" w:lastRow="0" w:firstColumn="0" w:lastColumn="0" w:noHBand="0" w:noVBand="1"/>
    </w:tblPr>
    <w:tblGrid>
      <w:gridCol w:w="2691"/>
      <w:gridCol w:w="3405"/>
    </w:tblGrid>
    <w:tr w:rsidR="00EF18D7" w14:paraId="6C69D363" w14:textId="77777777">
      <w:trPr>
        <w:trHeight w:val="132"/>
      </w:trPr>
      <w:tc>
        <w:tcPr>
          <w:tcW w:w="2691" w:type="dxa"/>
        </w:tcPr>
        <w:p w14:paraId="653EC659" w14:textId="77777777" w:rsidR="00EF18D7" w:rsidRDefault="00D603CD">
          <w:pPr>
            <w:tabs>
              <w:tab w:val="right" w:pos="8838"/>
            </w:tabs>
            <w:ind w:right="-105"/>
            <w:rPr>
              <w:b/>
            </w:rPr>
          </w:pPr>
          <w:r>
            <w:rPr>
              <w:b/>
            </w:rPr>
            <w:t>Recurso de Revisión:</w:t>
          </w:r>
        </w:p>
      </w:tc>
      <w:tc>
        <w:tcPr>
          <w:tcW w:w="3405" w:type="dxa"/>
        </w:tcPr>
        <w:p w14:paraId="344C4117" w14:textId="77777777" w:rsidR="00EF18D7" w:rsidRDefault="00D603CD">
          <w:pPr>
            <w:tabs>
              <w:tab w:val="right" w:pos="8838"/>
            </w:tabs>
            <w:ind w:left="-28" w:right="-32"/>
          </w:pPr>
          <w:r>
            <w:t>03846/INFOEM/IP/RR/2020</w:t>
          </w:r>
        </w:p>
      </w:tc>
    </w:tr>
    <w:tr w:rsidR="00EF18D7" w14:paraId="7EE78E70" w14:textId="77777777">
      <w:trPr>
        <w:trHeight w:val="261"/>
      </w:trPr>
      <w:tc>
        <w:tcPr>
          <w:tcW w:w="2691" w:type="dxa"/>
        </w:tcPr>
        <w:p w14:paraId="32DF7A79" w14:textId="77777777" w:rsidR="00EF18D7" w:rsidRDefault="00D603CD">
          <w:pPr>
            <w:tabs>
              <w:tab w:val="right" w:pos="8838"/>
            </w:tabs>
            <w:ind w:right="-105"/>
            <w:rPr>
              <w:b/>
            </w:rPr>
          </w:pPr>
          <w:r>
            <w:rPr>
              <w:b/>
            </w:rPr>
            <w:t>Sujeto Obligado:</w:t>
          </w:r>
        </w:p>
      </w:tc>
      <w:tc>
        <w:tcPr>
          <w:tcW w:w="3405" w:type="dxa"/>
        </w:tcPr>
        <w:p w14:paraId="426A3106" w14:textId="77777777" w:rsidR="00EF18D7" w:rsidRDefault="00D603CD">
          <w:pPr>
            <w:tabs>
              <w:tab w:val="right" w:pos="8838"/>
            </w:tabs>
            <w:ind w:right="-32"/>
          </w:pPr>
          <w:r>
            <w:t>Ayuntamiento de Temascalcingo</w:t>
          </w:r>
        </w:p>
      </w:tc>
    </w:tr>
    <w:tr w:rsidR="00EF18D7" w14:paraId="6CAAB86B" w14:textId="77777777">
      <w:trPr>
        <w:trHeight w:val="261"/>
      </w:trPr>
      <w:tc>
        <w:tcPr>
          <w:tcW w:w="2691" w:type="dxa"/>
        </w:tcPr>
        <w:p w14:paraId="14506809" w14:textId="77777777" w:rsidR="00EF18D7" w:rsidRDefault="00D603CD">
          <w:pPr>
            <w:tabs>
              <w:tab w:val="right" w:pos="8838"/>
            </w:tabs>
            <w:ind w:right="-105"/>
            <w:rPr>
              <w:b/>
            </w:rPr>
          </w:pPr>
          <w:r>
            <w:rPr>
              <w:b/>
            </w:rPr>
            <w:t>Comisionado Ponente:</w:t>
          </w:r>
        </w:p>
      </w:tc>
      <w:tc>
        <w:tcPr>
          <w:tcW w:w="3405" w:type="dxa"/>
        </w:tcPr>
        <w:p w14:paraId="6BB3D2CB" w14:textId="77777777" w:rsidR="00EF18D7" w:rsidRDefault="00D603CD">
          <w:pPr>
            <w:tabs>
              <w:tab w:val="right" w:pos="8838"/>
            </w:tabs>
            <w:ind w:right="-32"/>
            <w:rPr>
              <w:b/>
            </w:rPr>
          </w:pPr>
          <w:r>
            <w:t>Luis Gustavo Parra Noriega</w:t>
          </w:r>
        </w:p>
      </w:tc>
    </w:tr>
  </w:tbl>
  <w:p w14:paraId="6C71D8AE" w14:textId="77777777" w:rsidR="00EF18D7" w:rsidRDefault="00C80601">
    <w:pPr>
      <w:pBdr>
        <w:top w:val="nil"/>
        <w:left w:val="nil"/>
        <w:bottom w:val="nil"/>
        <w:right w:val="nil"/>
        <w:between w:val="nil"/>
      </w:pBdr>
      <w:tabs>
        <w:tab w:val="center" w:pos="4419"/>
        <w:tab w:val="right" w:pos="8838"/>
      </w:tabs>
      <w:spacing w:after="0" w:line="240" w:lineRule="auto"/>
      <w:rPr>
        <w:color w:val="000000"/>
      </w:rPr>
    </w:pPr>
    <w:r>
      <w:rPr>
        <w:color w:val="000000"/>
      </w:rPr>
      <w:pict w14:anchorId="5846B5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MARCA DE AGUA - HOJA RESOLUCIÓN" style="position:absolute;left:0;text-align:left;margin-left:0;margin-top:0;width:663.5pt;height:12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AD7FC" w14:textId="77777777" w:rsidR="00EF18D7" w:rsidRDefault="00EF18D7">
    <w:pPr>
      <w:widowControl w:val="0"/>
      <w:pBdr>
        <w:top w:val="nil"/>
        <w:left w:val="nil"/>
        <w:bottom w:val="nil"/>
        <w:right w:val="nil"/>
        <w:between w:val="nil"/>
      </w:pBdr>
      <w:spacing w:after="0" w:line="276" w:lineRule="auto"/>
      <w:jc w:val="left"/>
      <w:rPr>
        <w:color w:val="000000"/>
      </w:rPr>
    </w:pPr>
  </w:p>
  <w:tbl>
    <w:tblPr>
      <w:tblStyle w:val="a0"/>
      <w:tblW w:w="5949" w:type="dxa"/>
      <w:tblInd w:w="3402" w:type="dxa"/>
      <w:tblBorders>
        <w:top w:val="nil"/>
        <w:left w:val="nil"/>
        <w:bottom w:val="nil"/>
        <w:right w:val="nil"/>
        <w:insideH w:val="nil"/>
        <w:insideV w:val="nil"/>
      </w:tblBorders>
      <w:tblLayout w:type="fixed"/>
      <w:tblLook w:val="0400" w:firstRow="0" w:lastRow="0" w:firstColumn="0" w:lastColumn="0" w:noHBand="0" w:noVBand="1"/>
    </w:tblPr>
    <w:tblGrid>
      <w:gridCol w:w="2551"/>
      <w:gridCol w:w="3398"/>
    </w:tblGrid>
    <w:tr w:rsidR="00EF18D7" w14:paraId="0F2D29A6" w14:textId="77777777">
      <w:trPr>
        <w:trHeight w:val="138"/>
      </w:trPr>
      <w:tc>
        <w:tcPr>
          <w:tcW w:w="2551" w:type="dxa"/>
          <w:vAlign w:val="center"/>
        </w:tcPr>
        <w:p w14:paraId="4FCCAC06" w14:textId="77777777" w:rsidR="00EF18D7" w:rsidRDefault="00D603CD">
          <w:pPr>
            <w:tabs>
              <w:tab w:val="right" w:pos="8838"/>
            </w:tabs>
            <w:ind w:right="-105"/>
            <w:jc w:val="left"/>
            <w:rPr>
              <w:b/>
            </w:rPr>
          </w:pPr>
          <w:r>
            <w:rPr>
              <w:b/>
            </w:rPr>
            <w:t>Recurso de Revisión:</w:t>
          </w:r>
        </w:p>
      </w:tc>
      <w:tc>
        <w:tcPr>
          <w:tcW w:w="3398" w:type="dxa"/>
        </w:tcPr>
        <w:p w14:paraId="79F034F9" w14:textId="77777777" w:rsidR="00EF18D7" w:rsidRDefault="00D603CD">
          <w:pPr>
            <w:tabs>
              <w:tab w:val="right" w:pos="8838"/>
            </w:tabs>
            <w:ind w:left="-113" w:right="57"/>
          </w:pPr>
          <w:r>
            <w:t>05746/INFOEM/IP/RR/2024</w:t>
          </w:r>
        </w:p>
      </w:tc>
    </w:tr>
    <w:tr w:rsidR="00EF18D7" w14:paraId="61AC3D18" w14:textId="77777777">
      <w:trPr>
        <w:trHeight w:val="273"/>
      </w:trPr>
      <w:tc>
        <w:tcPr>
          <w:tcW w:w="2551" w:type="dxa"/>
        </w:tcPr>
        <w:p w14:paraId="52A37C14" w14:textId="77777777" w:rsidR="00EF18D7" w:rsidRDefault="00D603CD">
          <w:pPr>
            <w:tabs>
              <w:tab w:val="right" w:pos="8838"/>
            </w:tabs>
            <w:ind w:right="-105"/>
            <w:rPr>
              <w:b/>
            </w:rPr>
          </w:pPr>
          <w:r>
            <w:rPr>
              <w:b/>
            </w:rPr>
            <w:t>Sujeto Obligado:</w:t>
          </w:r>
        </w:p>
      </w:tc>
      <w:tc>
        <w:tcPr>
          <w:tcW w:w="3398" w:type="dxa"/>
        </w:tcPr>
        <w:p w14:paraId="64DBDCA3" w14:textId="77777777" w:rsidR="00EF18D7" w:rsidRDefault="00D603CD">
          <w:pPr>
            <w:tabs>
              <w:tab w:val="right" w:pos="8838"/>
            </w:tabs>
            <w:ind w:left="-113" w:right="-102"/>
          </w:pPr>
          <w:r>
            <w:t>Ayuntamiento de Almoloya de Juárez</w:t>
          </w:r>
        </w:p>
      </w:tc>
    </w:tr>
    <w:tr w:rsidR="00EF18D7" w14:paraId="3CE9260B" w14:textId="77777777">
      <w:trPr>
        <w:trHeight w:val="273"/>
      </w:trPr>
      <w:tc>
        <w:tcPr>
          <w:tcW w:w="2551" w:type="dxa"/>
        </w:tcPr>
        <w:p w14:paraId="27B0A06E" w14:textId="77777777" w:rsidR="00EF18D7" w:rsidRDefault="00D603CD">
          <w:pPr>
            <w:tabs>
              <w:tab w:val="right" w:pos="8838"/>
            </w:tabs>
            <w:ind w:right="-105"/>
            <w:rPr>
              <w:b/>
            </w:rPr>
          </w:pPr>
          <w:r>
            <w:rPr>
              <w:b/>
            </w:rPr>
            <w:t>Comisionado Ponente:</w:t>
          </w:r>
        </w:p>
      </w:tc>
      <w:tc>
        <w:tcPr>
          <w:tcW w:w="3398" w:type="dxa"/>
        </w:tcPr>
        <w:p w14:paraId="3E076637" w14:textId="77777777" w:rsidR="00EF18D7" w:rsidRDefault="00D603CD">
          <w:pPr>
            <w:tabs>
              <w:tab w:val="right" w:pos="8838"/>
            </w:tabs>
            <w:ind w:left="-113" w:right="-170"/>
            <w:rPr>
              <w:b/>
            </w:rPr>
          </w:pPr>
          <w:r>
            <w:t>Luis Gustavo Parra Noriega</w:t>
          </w:r>
        </w:p>
      </w:tc>
    </w:tr>
  </w:tbl>
  <w:p w14:paraId="57655A92" w14:textId="77777777" w:rsidR="00EF18D7" w:rsidRDefault="00C80601">
    <w:pPr>
      <w:pBdr>
        <w:top w:val="nil"/>
        <w:left w:val="nil"/>
        <w:bottom w:val="nil"/>
        <w:right w:val="nil"/>
        <w:between w:val="nil"/>
      </w:pBdr>
      <w:tabs>
        <w:tab w:val="center" w:pos="4419"/>
        <w:tab w:val="right" w:pos="8838"/>
      </w:tabs>
      <w:spacing w:after="0" w:line="240" w:lineRule="auto"/>
      <w:rPr>
        <w:color w:val="000000"/>
      </w:rPr>
    </w:pPr>
    <w:r>
      <w:rPr>
        <w:color w:val="000000"/>
      </w:rPr>
      <w:pict w14:anchorId="2BA668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MARCA DE AGUA - HOJA RESOLUCIÓN" style="position:absolute;left:0;text-align:left;margin-left:-90.6pt;margin-top:-122.05pt;width:663.5pt;height:12in;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86C184" w14:textId="77777777" w:rsidR="00EF18D7" w:rsidRDefault="00EF18D7">
    <w:pPr>
      <w:widowControl w:val="0"/>
      <w:pBdr>
        <w:top w:val="nil"/>
        <w:left w:val="nil"/>
        <w:bottom w:val="nil"/>
        <w:right w:val="nil"/>
        <w:between w:val="nil"/>
      </w:pBdr>
      <w:spacing w:after="0" w:line="276" w:lineRule="auto"/>
      <w:jc w:val="left"/>
      <w:rPr>
        <w:color w:val="000000"/>
      </w:rPr>
    </w:pPr>
  </w:p>
  <w:tbl>
    <w:tblPr>
      <w:tblStyle w:val="a1"/>
      <w:tblW w:w="6525" w:type="dxa"/>
      <w:tblInd w:w="2689" w:type="dxa"/>
      <w:tblBorders>
        <w:top w:val="nil"/>
        <w:left w:val="nil"/>
        <w:bottom w:val="nil"/>
        <w:right w:val="nil"/>
        <w:insideH w:val="nil"/>
        <w:insideV w:val="nil"/>
      </w:tblBorders>
      <w:tblLayout w:type="fixed"/>
      <w:tblLook w:val="0400" w:firstRow="0" w:lastRow="0" w:firstColumn="0" w:lastColumn="0" w:noHBand="0" w:noVBand="1"/>
    </w:tblPr>
    <w:tblGrid>
      <w:gridCol w:w="3118"/>
      <w:gridCol w:w="3407"/>
    </w:tblGrid>
    <w:tr w:rsidR="00EF18D7" w14:paraId="6597EC95" w14:textId="77777777">
      <w:trPr>
        <w:trHeight w:val="132"/>
      </w:trPr>
      <w:tc>
        <w:tcPr>
          <w:tcW w:w="3118" w:type="dxa"/>
        </w:tcPr>
        <w:p w14:paraId="1DBA98E1" w14:textId="77777777" w:rsidR="00EF18D7" w:rsidRDefault="00D603CD">
          <w:pPr>
            <w:tabs>
              <w:tab w:val="right" w:pos="8838"/>
            </w:tabs>
            <w:ind w:right="-105"/>
            <w:rPr>
              <w:b/>
            </w:rPr>
          </w:pPr>
          <w:r>
            <w:rPr>
              <w:b/>
            </w:rPr>
            <w:t>Recurso de Revisión:</w:t>
          </w:r>
        </w:p>
      </w:tc>
      <w:tc>
        <w:tcPr>
          <w:tcW w:w="3407" w:type="dxa"/>
        </w:tcPr>
        <w:p w14:paraId="1A87C4DC" w14:textId="77777777" w:rsidR="00EF18D7" w:rsidRDefault="00D603CD">
          <w:pPr>
            <w:tabs>
              <w:tab w:val="right" w:pos="8838"/>
            </w:tabs>
            <w:ind w:left="-111" w:right="-32"/>
          </w:pPr>
          <w:r>
            <w:t>05746/INFOEM/IP/RR/2024</w:t>
          </w:r>
        </w:p>
      </w:tc>
    </w:tr>
    <w:tr w:rsidR="00EF18D7" w14:paraId="26356C48" w14:textId="77777777">
      <w:trPr>
        <w:trHeight w:val="132"/>
      </w:trPr>
      <w:tc>
        <w:tcPr>
          <w:tcW w:w="3118" w:type="dxa"/>
          <w:shd w:val="clear" w:color="auto" w:fill="auto"/>
        </w:tcPr>
        <w:p w14:paraId="105C06F8" w14:textId="77777777" w:rsidR="00EF18D7" w:rsidRDefault="00D603CD">
          <w:pPr>
            <w:tabs>
              <w:tab w:val="left" w:pos="1875"/>
            </w:tabs>
            <w:ind w:right="-105"/>
            <w:rPr>
              <w:b/>
            </w:rPr>
          </w:pPr>
          <w:r>
            <w:rPr>
              <w:b/>
            </w:rPr>
            <w:t>Recurrente:</w:t>
          </w:r>
          <w:r>
            <w:rPr>
              <w:b/>
            </w:rPr>
            <w:tab/>
          </w:r>
        </w:p>
      </w:tc>
      <w:tc>
        <w:tcPr>
          <w:tcW w:w="3407" w:type="dxa"/>
          <w:shd w:val="clear" w:color="auto" w:fill="auto"/>
        </w:tcPr>
        <w:p w14:paraId="35840EB8" w14:textId="553F13FB" w:rsidR="00EF18D7" w:rsidRDefault="00BD02EE">
          <w:pPr>
            <w:tabs>
              <w:tab w:val="right" w:pos="8838"/>
            </w:tabs>
            <w:ind w:left="-113"/>
          </w:pPr>
          <w:r w:rsidRPr="005265E5">
            <w:rPr>
              <w:highlight w:val="black"/>
            </w:rPr>
            <w:t>****</w:t>
          </w:r>
          <w:r>
            <w:rPr>
              <w:highlight w:val="black"/>
            </w:rPr>
            <w:t>**************</w:t>
          </w:r>
          <w:r w:rsidRPr="005265E5">
            <w:rPr>
              <w:highlight w:val="black"/>
            </w:rPr>
            <w:t>**********</w:t>
          </w:r>
        </w:p>
      </w:tc>
    </w:tr>
    <w:tr w:rsidR="00EF18D7" w14:paraId="736CD463" w14:textId="77777777">
      <w:trPr>
        <w:trHeight w:val="261"/>
      </w:trPr>
      <w:tc>
        <w:tcPr>
          <w:tcW w:w="3118" w:type="dxa"/>
        </w:tcPr>
        <w:p w14:paraId="6A87CBEA" w14:textId="77777777" w:rsidR="00EF18D7" w:rsidRDefault="00D603CD">
          <w:pPr>
            <w:tabs>
              <w:tab w:val="right" w:pos="8838"/>
            </w:tabs>
            <w:ind w:right="-105"/>
            <w:rPr>
              <w:b/>
            </w:rPr>
          </w:pPr>
          <w:r>
            <w:rPr>
              <w:b/>
            </w:rPr>
            <w:t>Sujeto Obligado:</w:t>
          </w:r>
        </w:p>
      </w:tc>
      <w:tc>
        <w:tcPr>
          <w:tcW w:w="3407" w:type="dxa"/>
        </w:tcPr>
        <w:p w14:paraId="76A6ADF7" w14:textId="77777777" w:rsidR="00EF18D7" w:rsidRDefault="00D603CD">
          <w:pPr>
            <w:tabs>
              <w:tab w:val="right" w:pos="8838"/>
            </w:tabs>
            <w:ind w:left="-111" w:right="-32"/>
          </w:pPr>
          <w:r>
            <w:t>Ayuntamiento de Almoloya de Juárez</w:t>
          </w:r>
        </w:p>
      </w:tc>
    </w:tr>
    <w:tr w:rsidR="00EF18D7" w14:paraId="6732D6E9" w14:textId="77777777">
      <w:trPr>
        <w:trHeight w:val="261"/>
      </w:trPr>
      <w:tc>
        <w:tcPr>
          <w:tcW w:w="3118" w:type="dxa"/>
        </w:tcPr>
        <w:p w14:paraId="311CDD51" w14:textId="77777777" w:rsidR="00EF18D7" w:rsidRDefault="00D603CD">
          <w:pPr>
            <w:tabs>
              <w:tab w:val="right" w:pos="8838"/>
            </w:tabs>
            <w:ind w:right="-105"/>
            <w:rPr>
              <w:b/>
            </w:rPr>
          </w:pPr>
          <w:r>
            <w:rPr>
              <w:b/>
            </w:rPr>
            <w:t>Comisionado Ponente:</w:t>
          </w:r>
        </w:p>
      </w:tc>
      <w:tc>
        <w:tcPr>
          <w:tcW w:w="3407" w:type="dxa"/>
        </w:tcPr>
        <w:p w14:paraId="3B632FF0" w14:textId="77777777" w:rsidR="00EF18D7" w:rsidRDefault="00D603CD">
          <w:pPr>
            <w:tabs>
              <w:tab w:val="right" w:pos="8838"/>
            </w:tabs>
            <w:ind w:left="-111" w:right="-32"/>
            <w:rPr>
              <w:b/>
            </w:rPr>
          </w:pPr>
          <w:r>
            <w:t>Luis Gustavo Parra Noriega</w:t>
          </w:r>
        </w:p>
      </w:tc>
    </w:tr>
  </w:tbl>
  <w:p w14:paraId="246BA8D9" w14:textId="77777777" w:rsidR="00EF18D7" w:rsidRDefault="00C80601">
    <w:pPr>
      <w:pBdr>
        <w:top w:val="nil"/>
        <w:left w:val="nil"/>
        <w:bottom w:val="nil"/>
        <w:right w:val="nil"/>
        <w:between w:val="nil"/>
      </w:pBdr>
      <w:tabs>
        <w:tab w:val="center" w:pos="4419"/>
        <w:tab w:val="right" w:pos="8838"/>
        <w:tab w:val="left" w:pos="5812"/>
      </w:tabs>
      <w:spacing w:after="0" w:line="240" w:lineRule="auto"/>
      <w:rPr>
        <w:color w:val="000000"/>
      </w:rPr>
    </w:pPr>
    <w:r>
      <w:rPr>
        <w:color w:val="000000"/>
      </w:rPr>
      <w:pict w14:anchorId="29F468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MARCA DE AGUA - HOJA RESOLUCIÓN" style="position:absolute;left:0;text-align:left;margin-left:-89.1pt;margin-top:-125pt;width:663.5pt;height:12in;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A0A40"/>
    <w:multiLevelType w:val="multilevel"/>
    <w:tmpl w:val="D9A06FD6"/>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01C2348"/>
    <w:multiLevelType w:val="multilevel"/>
    <w:tmpl w:val="5A04BF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2905402"/>
    <w:multiLevelType w:val="multilevel"/>
    <w:tmpl w:val="22D804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7FC6154"/>
    <w:multiLevelType w:val="multilevel"/>
    <w:tmpl w:val="4ECC37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AFA2903"/>
    <w:multiLevelType w:val="multilevel"/>
    <w:tmpl w:val="411A05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2861474"/>
    <w:multiLevelType w:val="multilevel"/>
    <w:tmpl w:val="D0A042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4346B17"/>
    <w:multiLevelType w:val="multilevel"/>
    <w:tmpl w:val="1D9EA3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8815F3C"/>
    <w:multiLevelType w:val="multilevel"/>
    <w:tmpl w:val="A51CB2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BEA3174"/>
    <w:multiLevelType w:val="multilevel"/>
    <w:tmpl w:val="BF8860E2"/>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9" w15:restartNumberingAfterBreak="0">
    <w:nsid w:val="7F7335EC"/>
    <w:multiLevelType w:val="multilevel"/>
    <w:tmpl w:val="C644CB02"/>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3"/>
  </w:num>
  <w:num w:numId="3">
    <w:abstractNumId w:val="0"/>
  </w:num>
  <w:num w:numId="4">
    <w:abstractNumId w:val="6"/>
  </w:num>
  <w:num w:numId="5">
    <w:abstractNumId w:val="8"/>
  </w:num>
  <w:num w:numId="6">
    <w:abstractNumId w:val="2"/>
  </w:num>
  <w:num w:numId="7">
    <w:abstractNumId w:val="1"/>
  </w:num>
  <w:num w:numId="8">
    <w:abstractNumId w:val="9"/>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8D7"/>
    <w:rsid w:val="004D13D2"/>
    <w:rsid w:val="0085328D"/>
    <w:rsid w:val="00972A8F"/>
    <w:rsid w:val="00BD02EE"/>
    <w:rsid w:val="00C61FD2"/>
    <w:rsid w:val="00C80601"/>
    <w:rsid w:val="00D603CD"/>
    <w:rsid w:val="00D763C8"/>
    <w:rsid w:val="00EF18D7"/>
    <w:rsid w:val="00FC21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E651306"/>
  <w15:docId w15:val="{FB4DC6FC-A87C-4411-896A-A58D70EB0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after="160" w:line="25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2A98"/>
    <w:rPr>
      <w:color w:val="000000" w:themeColor="text1"/>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DB3DC5"/>
    <w:pPr>
      <w:tabs>
        <w:tab w:val="center" w:pos="4419"/>
        <w:tab w:val="right" w:pos="8838"/>
      </w:tabs>
      <w:spacing w:after="0" w:line="240" w:lineRule="auto"/>
    </w:pPr>
    <w:rPr>
      <w:rFonts w:eastAsiaTheme="minorHAnsi" w:cstheme="minorBidi"/>
      <w:lang w:eastAsia="en-US"/>
    </w:rPr>
  </w:style>
  <w:style w:type="character" w:customStyle="1" w:styleId="EncabezadoCar">
    <w:name w:val="Encabezado Car"/>
    <w:basedOn w:val="Fuentedeprrafopredeter"/>
    <w:link w:val="Encabezado"/>
    <w:uiPriority w:val="99"/>
    <w:rsid w:val="00DB3DC5"/>
    <w:rPr>
      <w:rFonts w:ascii="Palatino Linotype" w:hAnsi="Palatino Linotype"/>
      <w:color w:val="000000" w:themeColor="text1"/>
      <w:kern w:val="0"/>
    </w:rPr>
  </w:style>
  <w:style w:type="paragraph" w:styleId="Piedepgina">
    <w:name w:val="footer"/>
    <w:basedOn w:val="Normal"/>
    <w:link w:val="PiedepginaCar"/>
    <w:uiPriority w:val="99"/>
    <w:unhideWhenUsed/>
    <w:rsid w:val="00DB3DC5"/>
    <w:pPr>
      <w:tabs>
        <w:tab w:val="center" w:pos="4419"/>
        <w:tab w:val="right" w:pos="8838"/>
      </w:tabs>
      <w:spacing w:after="0" w:line="240" w:lineRule="auto"/>
    </w:pPr>
    <w:rPr>
      <w:rFonts w:eastAsiaTheme="minorHAnsi" w:cstheme="minorBidi"/>
      <w:lang w:eastAsia="en-US"/>
    </w:rPr>
  </w:style>
  <w:style w:type="character" w:customStyle="1" w:styleId="PiedepginaCar">
    <w:name w:val="Pie de página Car"/>
    <w:basedOn w:val="Fuentedeprrafopredeter"/>
    <w:link w:val="Piedepgina"/>
    <w:uiPriority w:val="99"/>
    <w:rsid w:val="00DB3DC5"/>
    <w:rPr>
      <w:rFonts w:ascii="Palatino Linotype" w:hAnsi="Palatino Linotype"/>
      <w:color w:val="000000" w:themeColor="text1"/>
      <w:kern w:val="0"/>
    </w:rPr>
  </w:style>
  <w:style w:type="table" w:styleId="Tablaconcuadrcula">
    <w:name w:val="Table Grid"/>
    <w:basedOn w:val="Tablanormal"/>
    <w:uiPriority w:val="39"/>
    <w:qFormat/>
    <w:rsid w:val="00DB3DC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B3DC5"/>
    <w:pPr>
      <w:spacing w:line="259" w:lineRule="auto"/>
    </w:pPr>
    <w:rPr>
      <w:rFonts w:ascii="Times New Roman" w:eastAsiaTheme="minorHAnsi" w:hAnsi="Times New Roman" w:cs="Times New Roman"/>
      <w:sz w:val="24"/>
      <w:szCs w:val="24"/>
      <w:lang w:eastAsia="en-U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B3DC5"/>
    <w:pPr>
      <w:spacing w:line="259" w:lineRule="auto"/>
      <w:ind w:left="720"/>
      <w:contextualSpacing/>
    </w:pPr>
    <w:rPr>
      <w:rFonts w:eastAsiaTheme="minorHAnsi" w:cstheme="minorBidi"/>
      <w:lang w:eastAsia="en-U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DB3DC5"/>
    <w:rPr>
      <w:rFonts w:ascii="Palatino Linotype" w:hAnsi="Palatino Linotype"/>
      <w:color w:val="000000" w:themeColor="text1"/>
      <w:kern w:val="0"/>
    </w:rPr>
  </w:style>
  <w:style w:type="character" w:styleId="Hipervnculo">
    <w:name w:val="Hyperlink"/>
    <w:basedOn w:val="Fuentedeprrafopredeter"/>
    <w:uiPriority w:val="99"/>
    <w:unhideWhenUsed/>
    <w:rsid w:val="004500E2"/>
    <w:rPr>
      <w:color w:val="0563C1" w:themeColor="hyperlink"/>
      <w:u w:val="single"/>
    </w:rPr>
  </w:style>
  <w:style w:type="character" w:customStyle="1" w:styleId="Mencinsinresolver1">
    <w:name w:val="Mención sin resolver1"/>
    <w:basedOn w:val="Fuentedeprrafopredeter"/>
    <w:uiPriority w:val="99"/>
    <w:semiHidden/>
    <w:unhideWhenUsed/>
    <w:rsid w:val="004500E2"/>
    <w:rPr>
      <w:color w:val="605E5C"/>
      <w:shd w:val="clear" w:color="auto" w:fill="E1DFDD"/>
    </w:rPr>
  </w:style>
  <w:style w:type="character" w:customStyle="1" w:styleId="Mencinsinresolver2">
    <w:name w:val="Mención sin resolver2"/>
    <w:basedOn w:val="Fuentedeprrafopredeter"/>
    <w:uiPriority w:val="99"/>
    <w:semiHidden/>
    <w:unhideWhenUsed/>
    <w:rsid w:val="00A27E34"/>
    <w:rPr>
      <w:color w:val="605E5C"/>
      <w:shd w:val="clear" w:color="auto" w:fill="E1DFDD"/>
    </w:rPr>
  </w:style>
  <w:style w:type="character" w:styleId="Hipervnculovisitado">
    <w:name w:val="FollowedHyperlink"/>
    <w:basedOn w:val="Fuentedeprrafopredeter"/>
    <w:uiPriority w:val="99"/>
    <w:semiHidden/>
    <w:unhideWhenUsed/>
    <w:rsid w:val="00A863A4"/>
    <w:rPr>
      <w:color w:val="954F72" w:themeColor="followedHyperlink"/>
      <w:u w:val="single"/>
    </w:rPr>
  </w:style>
  <w:style w:type="character" w:customStyle="1" w:styleId="normaltextrun">
    <w:name w:val="normaltextrun"/>
    <w:basedOn w:val="Fuentedeprrafopredeter"/>
    <w:rsid w:val="001E4F7C"/>
  </w:style>
  <w:style w:type="character" w:customStyle="1" w:styleId="Mencinsinresolver3">
    <w:name w:val="Mención sin resolver3"/>
    <w:basedOn w:val="Fuentedeprrafopredeter"/>
    <w:uiPriority w:val="99"/>
    <w:semiHidden/>
    <w:unhideWhenUsed/>
    <w:rsid w:val="00393414"/>
    <w:rPr>
      <w:color w:val="605E5C"/>
      <w:shd w:val="clear" w:color="auto" w:fill="E1DFDD"/>
    </w:rPr>
  </w:style>
  <w:style w:type="character" w:customStyle="1" w:styleId="Mencinsinresolver4">
    <w:name w:val="Mención sin resolver4"/>
    <w:basedOn w:val="Fuentedeprrafopredeter"/>
    <w:uiPriority w:val="99"/>
    <w:semiHidden/>
    <w:unhideWhenUsed/>
    <w:rsid w:val="000A356F"/>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pport.google.com/mail/answer/6584?co=GENIE.Platform%3DDesktop&amp;hl=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dof.gob.mx/nota_detalle.php?codigo=5086651&amp;fecha=09/04/2009"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uLdbIQkNgofTDehfzNUs3OHfTA==">CgMxLjAyCGguZ2pkZ3hzMgloLjMwajB6bGw4AHIhMXFTcGRxSGdNZUg5a2lVRjVlVmwydzlLeDN0MXc1YUtI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8131</Words>
  <Characters>44725</Characters>
  <Application>Microsoft Office Word</Application>
  <DocSecurity>0</DocSecurity>
  <Lines>372</Lines>
  <Paragraphs>105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52751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PEÑA VARA</dc:creator>
  <cp:lastModifiedBy>Cuenta Microsoft</cp:lastModifiedBy>
  <cp:revision>4</cp:revision>
  <cp:lastPrinted>2024-11-15T04:20:00Z</cp:lastPrinted>
  <dcterms:created xsi:type="dcterms:W3CDTF">2024-11-15T04:20:00Z</dcterms:created>
  <dcterms:modified xsi:type="dcterms:W3CDTF">2024-11-28T21:19:00Z</dcterms:modified>
</cp:coreProperties>
</file>