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C707" w14:textId="77777777" w:rsidR="00500C9A" w:rsidRDefault="00500C9A">
      <w:pPr>
        <w:widowControl w:val="0"/>
        <w:pBdr>
          <w:top w:val="nil"/>
          <w:left w:val="nil"/>
          <w:bottom w:val="nil"/>
          <w:right w:val="nil"/>
          <w:between w:val="nil"/>
        </w:pBdr>
        <w:spacing w:line="276" w:lineRule="auto"/>
      </w:pPr>
    </w:p>
    <w:p w14:paraId="1D912DB7" w14:textId="77777777" w:rsidR="00500C9A" w:rsidRDefault="00F70859">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D86C81">
        <w:rPr>
          <w:rFonts w:ascii="Palatino Linotype" w:eastAsia="Palatino Linotype" w:hAnsi="Palatino Linotype" w:cs="Palatino Linotype"/>
        </w:rPr>
        <w:t>stado de México; de fecha veintiuno (21</w:t>
      </w:r>
      <w:r>
        <w:rPr>
          <w:rFonts w:ascii="Palatino Linotype" w:eastAsia="Palatino Linotype" w:hAnsi="Palatino Linotype" w:cs="Palatino Linotype"/>
        </w:rPr>
        <w:t>) de noviembre de dos mil veinticuatro.</w:t>
      </w:r>
    </w:p>
    <w:p w14:paraId="6593749C" w14:textId="77777777" w:rsidR="00500C9A" w:rsidRDefault="00500C9A">
      <w:pPr>
        <w:tabs>
          <w:tab w:val="left" w:pos="3465"/>
        </w:tabs>
        <w:spacing w:line="360" w:lineRule="auto"/>
        <w:ind w:right="-787"/>
        <w:jc w:val="both"/>
        <w:rPr>
          <w:rFonts w:ascii="Palatino Linotype" w:eastAsia="Palatino Linotype" w:hAnsi="Palatino Linotype" w:cs="Palatino Linotype"/>
        </w:rPr>
      </w:pPr>
    </w:p>
    <w:p w14:paraId="64ED682D" w14:textId="4ABACA04" w:rsidR="00500C9A" w:rsidRDefault="00F70859">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D86C81">
        <w:rPr>
          <w:rFonts w:ascii="Palatino Linotype" w:eastAsia="Palatino Linotype" w:hAnsi="Palatino Linotype" w:cs="Palatino Linotype"/>
        </w:rPr>
        <w:t xml:space="preserve"> </w:t>
      </w:r>
      <w:r w:rsidR="00D86C81" w:rsidRPr="00D86C81">
        <w:rPr>
          <w:rFonts w:ascii="Palatino Linotype" w:eastAsia="Palatino Linotype" w:hAnsi="Palatino Linotype" w:cs="Palatino Linotype"/>
          <w:b/>
          <w:color w:val="000000"/>
          <w:sz w:val="22"/>
          <w:szCs w:val="22"/>
        </w:rPr>
        <w:t>00178/INFOEM/IP/RR/2024</w:t>
      </w:r>
      <w:r w:rsidR="00D86C81">
        <w:rPr>
          <w:rFonts w:ascii="Palatino Linotype" w:eastAsia="Palatino Linotype" w:hAnsi="Palatino Linotype" w:cs="Palatino Linotype"/>
          <w:color w:val="000000"/>
          <w:sz w:val="22"/>
          <w:szCs w:val="22"/>
        </w:rPr>
        <w:t>,</w:t>
      </w:r>
      <w:r>
        <w:rPr>
          <w:rFonts w:ascii="Palatino Linotype" w:eastAsia="Palatino Linotype" w:hAnsi="Palatino Linotype" w:cs="Palatino Linotype"/>
        </w:rPr>
        <w:t xml:space="preserve"> presentado por </w:t>
      </w:r>
      <w:r w:rsidR="00CE7C3C">
        <w:rPr>
          <w:rFonts w:ascii="Palatino Linotype" w:eastAsia="Palatino Linotype" w:hAnsi="Palatino Linotype" w:cs="Palatino Linotype"/>
          <w:b/>
        </w:rPr>
        <w:t xml:space="preserve">XXX </w:t>
      </w:r>
      <w:proofErr w:type="spellStart"/>
      <w:r w:rsidR="00CE7C3C">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en lo sucesivo se denominará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00002/NAUCALPA/IP/2024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Ayuntamiento de Naucalpan de Juárez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 emite la presente resolución con base en los siguientes:</w:t>
      </w:r>
    </w:p>
    <w:p w14:paraId="02C26895" w14:textId="77777777" w:rsidR="00500C9A" w:rsidRDefault="00F70859">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7732D49F" w14:textId="77777777" w:rsidR="00500C9A" w:rsidRDefault="00500C9A">
      <w:pPr>
        <w:spacing w:line="360" w:lineRule="auto"/>
        <w:ind w:right="-787"/>
        <w:rPr>
          <w:rFonts w:ascii="Palatino Linotype" w:eastAsia="Palatino Linotype" w:hAnsi="Palatino Linotype" w:cs="Palatino Linotype"/>
        </w:rPr>
      </w:pPr>
    </w:p>
    <w:p w14:paraId="7413D651" w14:textId="77777777" w:rsidR="00500C9A" w:rsidRDefault="00F70859">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once de enero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3811CA40" w14:textId="77777777" w:rsidR="00500C9A" w:rsidRDefault="00500C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1D88D796" w14:textId="77777777" w:rsidR="00500C9A" w:rsidRDefault="00F70859">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“Fecha con la cual se </w:t>
      </w:r>
      <w:proofErr w:type="spellStart"/>
      <w:r>
        <w:rPr>
          <w:rFonts w:ascii="Palatino Linotype" w:eastAsia="Palatino Linotype" w:hAnsi="Palatino Linotype" w:cs="Palatino Linotype"/>
          <w:i/>
          <w:color w:val="000000"/>
        </w:rPr>
        <w:t>publico</w:t>
      </w:r>
      <w:proofErr w:type="spellEnd"/>
      <w:r>
        <w:rPr>
          <w:rFonts w:ascii="Palatino Linotype" w:eastAsia="Palatino Linotype" w:hAnsi="Palatino Linotype" w:cs="Palatino Linotype"/>
          <w:i/>
          <w:color w:val="000000"/>
        </w:rPr>
        <w:t xml:space="preserve"> en la Gaceta del Gobierno del Estado de México. la autorización para la construcción de tres edificios para 126 departamentos denominado PROYECTO LOMAS CUSPIDE ubicados en </w:t>
      </w:r>
      <w:proofErr w:type="spellStart"/>
      <w:r>
        <w:rPr>
          <w:rFonts w:ascii="Palatino Linotype" w:eastAsia="Palatino Linotype" w:hAnsi="Palatino Linotype" w:cs="Palatino Linotype"/>
          <w:i/>
          <w:color w:val="000000"/>
        </w:rPr>
        <w:t>Av</w:t>
      </w:r>
      <w:proofErr w:type="spellEnd"/>
      <w:r>
        <w:rPr>
          <w:rFonts w:ascii="Palatino Linotype" w:eastAsia="Palatino Linotype" w:hAnsi="Palatino Linotype" w:cs="Palatino Linotype"/>
          <w:i/>
          <w:color w:val="000000"/>
        </w:rPr>
        <w:t xml:space="preserve"> Bosque Alto </w:t>
      </w:r>
      <w:proofErr w:type="spellStart"/>
      <w:r>
        <w:rPr>
          <w:rFonts w:ascii="Palatino Linotype" w:eastAsia="Palatino Linotype" w:hAnsi="Palatino Linotype" w:cs="Palatino Linotype"/>
          <w:i/>
          <w:color w:val="000000"/>
        </w:rPr>
        <w:t>numero</w:t>
      </w:r>
      <w:proofErr w:type="spellEnd"/>
      <w:r>
        <w:rPr>
          <w:rFonts w:ascii="Palatino Linotype" w:eastAsia="Palatino Linotype" w:hAnsi="Palatino Linotype" w:cs="Palatino Linotype"/>
          <w:i/>
          <w:color w:val="000000"/>
        </w:rPr>
        <w:t xml:space="preserve"> 195 lote 1 manzana U Fraccionamiento Lomas Verdes de INMOBILIARIA LICAR SA DE CV Y/O CONSTRUCTORA INDESA BR.”</w:t>
      </w:r>
    </w:p>
    <w:p w14:paraId="25C36345" w14:textId="77777777" w:rsidR="00500C9A" w:rsidRDefault="00F70859">
      <w:pPr>
        <w:numPr>
          <w:ilvl w:val="0"/>
          <w:numId w:val="3"/>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adjuntaron diversos archivos de nombres: a.png, d.png, i.png, c.png, e.png, g.png, b.png, h.png, f.png, </w:t>
      </w:r>
      <w:proofErr w:type="gramStart"/>
      <w:r>
        <w:rPr>
          <w:rFonts w:ascii="Palatino Linotype" w:eastAsia="Palatino Linotype" w:hAnsi="Palatino Linotype" w:cs="Palatino Linotype"/>
          <w:color w:val="000000"/>
        </w:rPr>
        <w:t>y ,</w:t>
      </w:r>
      <w:proofErr w:type="gramEnd"/>
      <w:r>
        <w:rPr>
          <w:rFonts w:ascii="Palatino Linotype" w:eastAsia="Palatino Linotype" w:hAnsi="Palatino Linotype" w:cs="Palatino Linotype"/>
          <w:color w:val="000000"/>
        </w:rPr>
        <w:t xml:space="preserve"> j.png; cuyo contenido se desconoce toda vez que se aprecia que corresponde a documentos ilegibles y de tamaño reducido.</w:t>
      </w:r>
    </w:p>
    <w:p w14:paraId="53C4165F" w14:textId="77777777" w:rsidR="00500C9A" w:rsidRDefault="00500C9A">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14:paraId="249B1F38" w14:textId="77777777" w:rsidR="00500C9A" w:rsidRDefault="00F70859">
      <w:pPr>
        <w:numPr>
          <w:ilvl w:val="0"/>
          <w:numId w:val="3"/>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Se eligió como modalidad de entrega de la información: A través del </w:t>
      </w:r>
      <w:r>
        <w:rPr>
          <w:rFonts w:ascii="Palatino Linotype" w:eastAsia="Palatino Linotype" w:hAnsi="Palatino Linotype" w:cs="Palatino Linotype"/>
          <w:b/>
          <w:color w:val="000000"/>
        </w:rPr>
        <w:t>SAIMEX.</w:t>
      </w:r>
    </w:p>
    <w:p w14:paraId="6E095F9D" w14:textId="77777777" w:rsidR="00500C9A" w:rsidRDefault="00500C9A">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b/>
          <w:color w:val="000000"/>
          <w:u w:val="single"/>
        </w:rPr>
      </w:pPr>
    </w:p>
    <w:p w14:paraId="78A5F3AE" w14:textId="77777777" w:rsidR="00500C9A" w:rsidRDefault="00F70859">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dieciséis de enero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un archivo electrónico denominado </w:t>
      </w:r>
      <w:r>
        <w:rPr>
          <w:rFonts w:ascii="Palatino Linotype" w:eastAsia="Palatino Linotype" w:hAnsi="Palatino Linotype" w:cs="Palatino Linotype"/>
          <w:b/>
          <w:i/>
          <w:color w:val="000000"/>
        </w:rPr>
        <w:t>RS_SAIMEX 02.pdf</w:t>
      </w:r>
      <w:r>
        <w:rPr>
          <w:rFonts w:ascii="Palatino Linotype" w:eastAsia="Palatino Linotype" w:hAnsi="Palatino Linotype" w:cs="Palatino Linotype"/>
          <w:color w:val="000000"/>
        </w:rPr>
        <w:t xml:space="preserve">, cuyo contenido corresponde a un oficio signado Subdirector Jurídico Adscrito a la Dirección General de Desarrollo Urbano en donde informa que a su vez la Dirección General de Desarrollo Urbano, no cuenta con las atribuciones para emitir autorizaciones de Régimen en Condominio en ninguna de sus modalidades y, le orienta a dirigir su solicitud a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Desarrollo Urbano y Obra.</w:t>
      </w:r>
    </w:p>
    <w:p w14:paraId="11825EE9" w14:textId="77777777" w:rsidR="00500C9A" w:rsidRDefault="00500C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517FDE7F" w14:textId="77777777" w:rsidR="00500C9A" w:rsidRDefault="00F70859">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veinte de enero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31877D69" w14:textId="77777777" w:rsidR="00500C9A" w:rsidRDefault="00F70859">
      <w:pPr>
        <w:numPr>
          <w:ilvl w:val="0"/>
          <w:numId w:val="2"/>
        </w:numPr>
        <w:pBdr>
          <w:top w:val="nil"/>
          <w:left w:val="nil"/>
          <w:bottom w:val="nil"/>
          <w:right w:val="nil"/>
          <w:between w:val="nil"/>
        </w:pBdr>
        <w:spacing w:line="360" w:lineRule="auto"/>
        <w:ind w:right="62" w:hanging="36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“Se solicita la fecha en que se </w:t>
      </w:r>
      <w:proofErr w:type="spellStart"/>
      <w:r>
        <w:rPr>
          <w:rFonts w:ascii="Palatino Linotype" w:eastAsia="Palatino Linotype" w:hAnsi="Palatino Linotype" w:cs="Palatino Linotype"/>
          <w:i/>
          <w:color w:val="000000"/>
          <w:sz w:val="22"/>
          <w:szCs w:val="22"/>
        </w:rPr>
        <w:t>publico</w:t>
      </w:r>
      <w:proofErr w:type="spellEnd"/>
      <w:r>
        <w:rPr>
          <w:rFonts w:ascii="Palatino Linotype" w:eastAsia="Palatino Linotype" w:hAnsi="Palatino Linotype" w:cs="Palatino Linotype"/>
          <w:i/>
          <w:color w:val="000000"/>
          <w:sz w:val="22"/>
          <w:szCs w:val="22"/>
        </w:rPr>
        <w:t xml:space="preserve"> en EL PERIÓDICO OFICIAL GACETA DEL GOBIERNO DEL ESTADO DE MÉXICO, La autorización que debió de haberse emitido por parte de la SECRETARIA DE DESARROLLO URBANO Y OBRA DEL GOBIERNO DEL ESTADO DE MÉXICO Para la construcción en CONDOMINIO de tres edificios para 126 departamentos del proyecto denominado PROYECTO LOMAS CÚSPIDE , ubicados en </w:t>
      </w:r>
      <w:proofErr w:type="spellStart"/>
      <w:r>
        <w:rPr>
          <w:rFonts w:ascii="Palatino Linotype" w:eastAsia="Palatino Linotype" w:hAnsi="Palatino Linotype" w:cs="Palatino Linotype"/>
          <w:i/>
          <w:color w:val="000000"/>
          <w:sz w:val="22"/>
          <w:szCs w:val="22"/>
        </w:rPr>
        <w:t>Av</w:t>
      </w:r>
      <w:proofErr w:type="spellEnd"/>
      <w:r>
        <w:rPr>
          <w:rFonts w:ascii="Palatino Linotype" w:eastAsia="Palatino Linotype" w:hAnsi="Palatino Linotype" w:cs="Palatino Linotype"/>
          <w:i/>
          <w:color w:val="000000"/>
          <w:sz w:val="22"/>
          <w:szCs w:val="22"/>
        </w:rPr>
        <w:t xml:space="preserve"> Bosque Alto número 195 lote 1 manzana U Fraccionamiento Lomas Verdes promovido por INMOBILIARIA LICAR Y/O CONSTRUCTORA INDESA BR,”</w:t>
      </w:r>
    </w:p>
    <w:p w14:paraId="35E305BA" w14:textId="77777777" w:rsidR="00500C9A" w:rsidRDefault="00F70859">
      <w:pPr>
        <w:numPr>
          <w:ilvl w:val="0"/>
          <w:numId w:val="2"/>
        </w:numPr>
        <w:pBdr>
          <w:top w:val="nil"/>
          <w:left w:val="nil"/>
          <w:bottom w:val="nil"/>
          <w:right w:val="nil"/>
          <w:between w:val="nil"/>
        </w:pBdr>
        <w:spacing w:line="360" w:lineRule="auto"/>
        <w:ind w:right="62" w:hanging="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LA INCONFORMIDAD: </w:t>
      </w:r>
      <w:r>
        <w:rPr>
          <w:rFonts w:ascii="Palatino Linotype" w:eastAsia="Palatino Linotype" w:hAnsi="Palatino Linotype" w:cs="Palatino Linotype"/>
          <w:i/>
          <w:color w:val="000000"/>
          <w:sz w:val="22"/>
          <w:szCs w:val="22"/>
        </w:rPr>
        <w:t xml:space="preserve">“La información solicitada deberá a aparecer en LA GACETA DEL GOBIERNO DEL ESTADO DE MÉXICO y debió de ser emitida por LA SECRETARIA DE DESARROLLO URBANO Y OBRA del GOBIERNO DEL ESTADO DE MÉXICO, toda vez que por sus características, es esa </w:t>
      </w:r>
      <w:r>
        <w:rPr>
          <w:rFonts w:ascii="Palatino Linotype" w:eastAsia="Palatino Linotype" w:hAnsi="Palatino Linotype" w:cs="Palatino Linotype"/>
          <w:i/>
          <w:color w:val="000000"/>
          <w:sz w:val="22"/>
          <w:szCs w:val="22"/>
        </w:rPr>
        <w:lastRenderedPageBreak/>
        <w:t>entidad quien puede dar su autorización y proceder a su publicación EL PERIODICO OFICIAL GACETA DEL GOBIERNO DEL ESTADO DE MÉXICO”</w:t>
      </w:r>
    </w:p>
    <w:p w14:paraId="615F8F94"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i/>
          <w:color w:val="000000"/>
        </w:rPr>
      </w:pPr>
    </w:p>
    <w:p w14:paraId="2A1406E5" w14:textId="77777777" w:rsidR="00500C9A" w:rsidRDefault="00F70859">
      <w:pPr>
        <w:numPr>
          <w:ilvl w:val="0"/>
          <w:numId w:val="2"/>
        </w:numPr>
        <w:pBdr>
          <w:top w:val="nil"/>
          <w:left w:val="nil"/>
          <w:bottom w:val="nil"/>
          <w:right w:val="nil"/>
          <w:between w:val="nil"/>
        </w:pBdr>
        <w:spacing w:line="360" w:lineRule="auto"/>
        <w:ind w:right="-787" w:hanging="36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Se adjuntó el archivo denominado </w:t>
      </w:r>
      <w:r>
        <w:rPr>
          <w:rFonts w:ascii="Palatino Linotype" w:eastAsia="Palatino Linotype" w:hAnsi="Palatino Linotype" w:cs="Palatino Linotype"/>
          <w:b/>
          <w:i/>
          <w:color w:val="000000"/>
        </w:rPr>
        <w:t>a.png</w:t>
      </w:r>
      <w:r>
        <w:rPr>
          <w:rFonts w:ascii="Palatino Linotype" w:eastAsia="Palatino Linotype" w:hAnsi="Palatino Linotype" w:cs="Palatino Linotype"/>
          <w:color w:val="000000"/>
        </w:rPr>
        <w:t>¸ cuyo contenido resulta ilegible.</w:t>
      </w:r>
    </w:p>
    <w:p w14:paraId="5D5948C5" w14:textId="77777777" w:rsidR="00500C9A" w:rsidRDefault="00500C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454995A4"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32FE99E2" w14:textId="77777777" w:rsidR="00500C9A" w:rsidRDefault="00500C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C623CC1" w14:textId="77777777" w:rsidR="00500C9A" w:rsidRDefault="00F70859">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fue omiso en presentar el informe justificado correspondiente. 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adjunto los archivos de nombres: s9.jpg, s1.jpg, s7.jpg, s10.jpg, s6.jpg, s4.jpg, s8.jpg, s3.jpg, s2.jpg, y, s5.jpg, cuyo contenido corresponde a diversas documentales del inmueble referido en la solicitud de información, a saber:</w:t>
      </w:r>
    </w:p>
    <w:p w14:paraId="0FC1A729"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Evaluación de Impacto Estatal</w:t>
      </w:r>
    </w:p>
    <w:p w14:paraId="13368ADE"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Licencia Municipal de Construcción para </w:t>
      </w:r>
      <w:r>
        <w:rPr>
          <w:rFonts w:ascii="Palatino Linotype" w:eastAsia="Palatino Linotype" w:hAnsi="Palatino Linotype" w:cs="Palatino Linotype"/>
          <w:sz w:val="22"/>
          <w:szCs w:val="22"/>
        </w:rPr>
        <w:t>Prórroga</w:t>
      </w:r>
      <w:r>
        <w:rPr>
          <w:rFonts w:ascii="Palatino Linotype" w:eastAsia="Palatino Linotype" w:hAnsi="Palatino Linotype" w:cs="Palatino Linotype"/>
          <w:color w:val="000000"/>
          <w:sz w:val="22"/>
          <w:szCs w:val="22"/>
        </w:rPr>
        <w:t xml:space="preserve"> a Excavación</w:t>
      </w:r>
    </w:p>
    <w:p w14:paraId="2E7A1841"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Licencia de Uso de Suelo</w:t>
      </w:r>
    </w:p>
    <w:p w14:paraId="1D013288"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Licencia Municipal de Construcción</w:t>
      </w:r>
    </w:p>
    <w:p w14:paraId="51FC58BB"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Solicitud de Autorización</w:t>
      </w:r>
    </w:p>
    <w:p w14:paraId="58E4E928"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Licencia de Construcción</w:t>
      </w:r>
    </w:p>
    <w:p w14:paraId="60D17A99"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Constancia de Alineamiento y Numero Oficial</w:t>
      </w:r>
    </w:p>
    <w:p w14:paraId="5F591BF8" w14:textId="77777777" w:rsidR="00500C9A" w:rsidRDefault="00F70859">
      <w:pPr>
        <w:numPr>
          <w:ilvl w:val="0"/>
          <w:numId w:val="4"/>
        </w:numPr>
        <w:pBdr>
          <w:top w:val="nil"/>
          <w:left w:val="nil"/>
          <w:bottom w:val="nil"/>
          <w:right w:val="nil"/>
          <w:between w:val="nil"/>
        </w:pBdr>
        <w:spacing w:line="360" w:lineRule="auto"/>
        <w:ind w:left="1434" w:right="-787"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Autorización de Cambio de Uso de Suelo</w:t>
      </w:r>
    </w:p>
    <w:p w14:paraId="7892D182" w14:textId="77777777" w:rsidR="00500C9A" w:rsidRDefault="00500C9A">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337C4EF4"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En fecha diecinueve de marzo del año en curso, se amplió el término para resolver el Recurso de Revisión en términos del artículo 133 de la Ley de Protección de Datos Personales en Posesión de Sujetos Obligados del Estado de México y Municipios. </w:t>
      </w:r>
    </w:p>
    <w:p w14:paraId="42EDC1AE" w14:textId="77777777" w:rsidR="00500C9A" w:rsidRDefault="00500C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62BFE4A"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50C71AB3"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1581940"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2BCD6605" w14:textId="77777777" w:rsidR="00500C9A" w:rsidRDefault="00500C9A">
      <w:pPr>
        <w:spacing w:line="360" w:lineRule="auto"/>
        <w:ind w:right="-787"/>
        <w:jc w:val="both"/>
        <w:rPr>
          <w:rFonts w:ascii="Palatino Linotype" w:eastAsia="Palatino Linotype" w:hAnsi="Palatino Linotype" w:cs="Palatino Linotype"/>
          <w:color w:val="000000"/>
        </w:rPr>
      </w:pPr>
    </w:p>
    <w:p w14:paraId="01CFA962"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16A1D23C"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590AF76A"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14C28BC5" w14:textId="77777777" w:rsidR="00500C9A" w:rsidRDefault="00500C9A">
      <w:pPr>
        <w:spacing w:line="360" w:lineRule="auto"/>
        <w:ind w:right="-787"/>
        <w:jc w:val="both"/>
        <w:rPr>
          <w:rFonts w:ascii="Palatino Linotype" w:eastAsia="Palatino Linotype" w:hAnsi="Palatino Linotype" w:cs="Palatino Linotype"/>
          <w:color w:val="000000"/>
        </w:rPr>
      </w:pPr>
    </w:p>
    <w:p w14:paraId="0678AFBB"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EFA3E06"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412A42A6"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0D4BA550"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Conducta de la Autoridad: Las Acciones u omisiones realizadas en el procedimiento. Así como si la autoridad actuó con la debida diligencia. </w:t>
      </w:r>
    </w:p>
    <w:p w14:paraId="2A119AB9"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La afectación generada en la situación jurídica de la persona involucrada en el proceso: Violación a sus derechos humanos. </w:t>
      </w:r>
    </w:p>
    <w:p w14:paraId="00696894" w14:textId="77777777" w:rsidR="00500C9A" w:rsidRDefault="00500C9A">
      <w:pPr>
        <w:spacing w:line="360" w:lineRule="auto"/>
        <w:ind w:right="-787"/>
        <w:jc w:val="both"/>
        <w:rPr>
          <w:rFonts w:ascii="Palatino Linotype" w:eastAsia="Palatino Linotype" w:hAnsi="Palatino Linotype" w:cs="Palatino Linotype"/>
          <w:color w:val="000000"/>
        </w:rPr>
      </w:pPr>
    </w:p>
    <w:p w14:paraId="66DDA02C"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5F56B0D8" w14:textId="77777777" w:rsidR="00500C9A" w:rsidRDefault="00500C9A">
      <w:pPr>
        <w:spacing w:line="360" w:lineRule="auto"/>
        <w:ind w:right="-787"/>
        <w:jc w:val="both"/>
        <w:rPr>
          <w:rFonts w:ascii="Palatino Linotype" w:eastAsia="Palatino Linotype" w:hAnsi="Palatino Linotype" w:cs="Palatino Linotype"/>
          <w:color w:val="000000"/>
        </w:rPr>
      </w:pPr>
    </w:p>
    <w:p w14:paraId="1BCB362C"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w:t>
      </w:r>
      <w:r>
        <w:rPr>
          <w:rFonts w:ascii="Palatino Linotype" w:eastAsia="Palatino Linotype" w:hAnsi="Palatino Linotype" w:cs="Palatino Linotype"/>
          <w:color w:val="000000"/>
        </w:rPr>
        <w:lastRenderedPageBreak/>
        <w:t xml:space="preserve">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 </w:t>
      </w:r>
    </w:p>
    <w:p w14:paraId="5DE9F872" w14:textId="77777777" w:rsidR="00500C9A" w:rsidRDefault="00500C9A">
      <w:pPr>
        <w:spacing w:line="360" w:lineRule="auto"/>
        <w:ind w:right="-787"/>
        <w:jc w:val="both"/>
        <w:rPr>
          <w:rFonts w:ascii="Palatino Linotype" w:eastAsia="Palatino Linotype" w:hAnsi="Palatino Linotype" w:cs="Palatino Linotype"/>
          <w:color w:val="000000"/>
        </w:rPr>
      </w:pPr>
    </w:p>
    <w:p w14:paraId="73ED0BAC"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67E5B2A7" w14:textId="77777777" w:rsidR="00500C9A" w:rsidRDefault="00500C9A">
      <w:pPr>
        <w:spacing w:line="360" w:lineRule="auto"/>
        <w:ind w:right="-787"/>
        <w:jc w:val="both"/>
        <w:rPr>
          <w:rFonts w:ascii="Palatino Linotype" w:eastAsia="Palatino Linotype" w:hAnsi="Palatino Linotype" w:cs="Palatino Linotype"/>
          <w:color w:val="000000"/>
        </w:rPr>
      </w:pPr>
    </w:p>
    <w:p w14:paraId="7203A388"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0A583B5" w14:textId="77777777" w:rsidR="00500C9A" w:rsidRDefault="00F70859">
      <w:pP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2002351. </w:t>
      </w:r>
    </w:p>
    <w:p w14:paraId="38BA6E6D" w14:textId="77777777" w:rsidR="00500C9A" w:rsidRDefault="00500C9A">
      <w:pPr>
        <w:spacing w:line="360" w:lineRule="auto"/>
        <w:ind w:left="567" w:right="62"/>
        <w:jc w:val="both"/>
        <w:rPr>
          <w:rFonts w:ascii="Palatino Linotype" w:eastAsia="Palatino Linotype" w:hAnsi="Palatino Linotype" w:cs="Palatino Linotype"/>
          <w:i/>
          <w:color w:val="000000"/>
          <w:sz w:val="22"/>
          <w:szCs w:val="22"/>
        </w:rPr>
      </w:pPr>
    </w:p>
    <w:p w14:paraId="632B23DD" w14:textId="77777777" w:rsidR="00500C9A" w:rsidRDefault="00F70859">
      <w:pP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2002350. </w:t>
      </w:r>
    </w:p>
    <w:p w14:paraId="090BAE14" w14:textId="77777777" w:rsidR="00500C9A" w:rsidRDefault="00500C9A">
      <w:pPr>
        <w:spacing w:line="360" w:lineRule="auto"/>
        <w:ind w:left="567" w:right="-787"/>
        <w:jc w:val="both"/>
        <w:rPr>
          <w:rFonts w:ascii="Palatino Linotype" w:eastAsia="Palatino Linotype" w:hAnsi="Palatino Linotype" w:cs="Palatino Linotype"/>
          <w:i/>
          <w:color w:val="000000"/>
        </w:rPr>
      </w:pPr>
    </w:p>
    <w:p w14:paraId="2021F21C"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del plazo legal para resolver el presente asunto, resulta de carácter excepcional. </w:t>
      </w:r>
    </w:p>
    <w:p w14:paraId="5151E287"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4D6C4463" w14:textId="77777777" w:rsidR="00500C9A" w:rsidRDefault="00F70859">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2" w:name="_heading=h.1fob9te" w:colFirst="0" w:colLast="0"/>
      <w:bookmarkEnd w:id="2"/>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trece de noviembre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4D8860A8" w14:textId="77777777" w:rsidR="00500C9A" w:rsidRDefault="00500C9A">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03F0ECF2" w14:textId="77777777" w:rsidR="00500C9A" w:rsidRDefault="00F70859">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4CBEA035" w14:textId="77777777" w:rsidR="00500C9A" w:rsidRDefault="00500C9A">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4814F61B" w14:textId="77777777" w:rsidR="00500C9A" w:rsidRDefault="00F70859">
      <w:pPr>
        <w:pStyle w:val="Ttulo2"/>
        <w:spacing w:before="0" w:line="360" w:lineRule="auto"/>
        <w:ind w:right="-787"/>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PRIMERA. Competencia</w:t>
      </w:r>
    </w:p>
    <w:p w14:paraId="67325661"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128A8A6" w14:textId="77777777" w:rsidR="00500C9A" w:rsidRDefault="00500C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FDAA0E0" w14:textId="77777777" w:rsidR="00500C9A" w:rsidRDefault="00F70859">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lastRenderedPageBreak/>
        <w:t>SEGUNDA. Procedencia.</w:t>
      </w:r>
    </w:p>
    <w:p w14:paraId="615A9088"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6A67A578" w14:textId="77777777" w:rsidR="00500C9A" w:rsidRDefault="00500C9A">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2543D44C"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En fecha quince de marzo del año en curso, se amplió el término para resolver el Recurso de Revisión en términos del artículo 133 de la Ley de Protección de Datos Personales en Posesión de Sujetos Obligados del Estado de México y Municipios. </w:t>
      </w:r>
    </w:p>
    <w:p w14:paraId="36342A12" w14:textId="77777777" w:rsidR="00500C9A" w:rsidRDefault="00500C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A3ED2CD"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2729C948" w14:textId="77777777" w:rsidR="00500C9A" w:rsidRDefault="00500C9A">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14:paraId="091B9B96"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032C8776" w14:textId="77777777" w:rsidR="00500C9A" w:rsidRDefault="00500C9A">
      <w:pPr>
        <w:spacing w:line="360" w:lineRule="auto"/>
        <w:ind w:right="-787"/>
        <w:jc w:val="both"/>
        <w:rPr>
          <w:rFonts w:ascii="Palatino Linotype" w:eastAsia="Palatino Linotype" w:hAnsi="Palatino Linotype" w:cs="Palatino Linotype"/>
          <w:color w:val="000000"/>
        </w:rPr>
      </w:pPr>
    </w:p>
    <w:p w14:paraId="5E5575A9"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0F8FAC4B"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15D15FD6"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C565D20" w14:textId="77777777" w:rsidR="00500C9A" w:rsidRDefault="00500C9A">
      <w:pPr>
        <w:spacing w:line="360" w:lineRule="auto"/>
        <w:ind w:right="-787"/>
        <w:jc w:val="both"/>
        <w:rPr>
          <w:rFonts w:ascii="Palatino Linotype" w:eastAsia="Palatino Linotype" w:hAnsi="Palatino Linotype" w:cs="Palatino Linotype"/>
          <w:color w:val="000000"/>
        </w:rPr>
      </w:pPr>
    </w:p>
    <w:p w14:paraId="383F59EF"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716A0056"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0A9BCD45"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161E8472"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Conducta de la Autoridad: Las Acciones u omisiones realizadas en el procedimiento. Así como si la autoridad actuó con la debida diligencia. </w:t>
      </w:r>
    </w:p>
    <w:p w14:paraId="2BCBBB9E" w14:textId="77777777" w:rsidR="00500C9A" w:rsidRDefault="00F70859">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La afectación generada en la situación jurídica de la persona involucrada en el proceso: Violación a sus derechos humanos. </w:t>
      </w:r>
    </w:p>
    <w:p w14:paraId="41E96AB3" w14:textId="77777777" w:rsidR="00500C9A" w:rsidRDefault="00500C9A">
      <w:pPr>
        <w:spacing w:line="360" w:lineRule="auto"/>
        <w:ind w:right="-787"/>
        <w:jc w:val="both"/>
        <w:rPr>
          <w:rFonts w:ascii="Palatino Linotype" w:eastAsia="Palatino Linotype" w:hAnsi="Palatino Linotype" w:cs="Palatino Linotype"/>
          <w:color w:val="000000"/>
        </w:rPr>
      </w:pPr>
    </w:p>
    <w:p w14:paraId="32AF27C0"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Pr>
          <w:rFonts w:ascii="Palatino Linotype" w:eastAsia="Palatino Linotype" w:hAnsi="Palatino Linotype" w:cs="Palatino Linotype"/>
          <w:color w:val="000000"/>
        </w:rPr>
        <w:lastRenderedPageBreak/>
        <w:t xml:space="preserve">concluirse que es una excluyente de responsabilidad en relación con la actuación del funcionario, como ha acontecido en el caso que nos ocupa. </w:t>
      </w:r>
    </w:p>
    <w:p w14:paraId="0494B89C" w14:textId="77777777" w:rsidR="00500C9A" w:rsidRDefault="00500C9A">
      <w:pPr>
        <w:spacing w:line="360" w:lineRule="auto"/>
        <w:ind w:right="-787"/>
        <w:jc w:val="both"/>
        <w:rPr>
          <w:rFonts w:ascii="Palatino Linotype" w:eastAsia="Palatino Linotype" w:hAnsi="Palatino Linotype" w:cs="Palatino Linotype"/>
          <w:color w:val="000000"/>
        </w:rPr>
      </w:pPr>
    </w:p>
    <w:p w14:paraId="587AF390"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 </w:t>
      </w:r>
    </w:p>
    <w:p w14:paraId="7FDED2AB" w14:textId="77777777" w:rsidR="00500C9A" w:rsidRDefault="00500C9A">
      <w:pPr>
        <w:spacing w:line="360" w:lineRule="auto"/>
        <w:ind w:right="-787"/>
        <w:jc w:val="both"/>
        <w:rPr>
          <w:rFonts w:ascii="Palatino Linotype" w:eastAsia="Palatino Linotype" w:hAnsi="Palatino Linotype" w:cs="Palatino Linotype"/>
          <w:color w:val="000000"/>
        </w:rPr>
      </w:pPr>
    </w:p>
    <w:p w14:paraId="2244F7E3"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4AE68C6A" w14:textId="77777777" w:rsidR="00500C9A" w:rsidRDefault="00500C9A">
      <w:pPr>
        <w:spacing w:line="360" w:lineRule="auto"/>
        <w:ind w:right="-787"/>
        <w:jc w:val="both"/>
        <w:rPr>
          <w:rFonts w:ascii="Palatino Linotype" w:eastAsia="Palatino Linotype" w:hAnsi="Palatino Linotype" w:cs="Palatino Linotype"/>
          <w:color w:val="000000"/>
        </w:rPr>
      </w:pPr>
    </w:p>
    <w:p w14:paraId="09A5AD41"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3F45BEC"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40774740" w14:textId="77777777" w:rsidR="00500C9A" w:rsidRDefault="00F70859">
      <w:pP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“PLAZO RAZONABLE PARA RESOLVER. DIMENSIÓN Y EFECTOS DE ESTE CONCEPTO CUANDO SE ADUCE EXCESIVA CARGA DE TRABAJO.” consultable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2002351. </w:t>
      </w:r>
    </w:p>
    <w:p w14:paraId="3AF525E9" w14:textId="77777777" w:rsidR="00500C9A" w:rsidRDefault="00500C9A">
      <w:pPr>
        <w:spacing w:line="360" w:lineRule="auto"/>
        <w:ind w:left="567" w:right="62"/>
        <w:jc w:val="both"/>
        <w:rPr>
          <w:rFonts w:ascii="Palatino Linotype" w:eastAsia="Palatino Linotype" w:hAnsi="Palatino Linotype" w:cs="Palatino Linotype"/>
          <w:i/>
          <w:color w:val="000000"/>
          <w:sz w:val="22"/>
          <w:szCs w:val="22"/>
        </w:rPr>
      </w:pPr>
    </w:p>
    <w:p w14:paraId="69BC364E" w14:textId="77777777" w:rsidR="00500C9A" w:rsidRDefault="00F70859">
      <w:pP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2002350. </w:t>
      </w:r>
    </w:p>
    <w:p w14:paraId="747C464B"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5EA1A407"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7A1E9940" w14:textId="77777777" w:rsidR="00500C9A" w:rsidRDefault="00500C9A">
      <w:pPr>
        <w:spacing w:line="360" w:lineRule="auto"/>
        <w:ind w:right="-787"/>
        <w:jc w:val="both"/>
        <w:rPr>
          <w:rFonts w:ascii="Palatino Linotype" w:eastAsia="Palatino Linotype" w:hAnsi="Palatino Linotype" w:cs="Palatino Linotype"/>
        </w:rPr>
      </w:pPr>
    </w:p>
    <w:p w14:paraId="02EA1DFF"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14:paraId="6A8D68EC" w14:textId="77777777" w:rsidR="00500C9A" w:rsidRDefault="00500C9A">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4DFF02CC" w14:textId="77777777" w:rsidR="00500C9A" w:rsidRDefault="00F70859">
      <w:pPr>
        <w:pStyle w:val="Ttulo1"/>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TERCERA. De las causales de sobreseimiento</w:t>
      </w:r>
    </w:p>
    <w:p w14:paraId="4B1B2D84" w14:textId="77777777" w:rsidR="00500C9A" w:rsidRDefault="00F70859">
      <w:pPr>
        <w:numPr>
          <w:ilvl w:val="0"/>
          <w:numId w:val="1"/>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6CADFFE3" w14:textId="77777777" w:rsidR="00500C9A" w:rsidRDefault="00F70859">
      <w:pPr>
        <w:numPr>
          <w:ilvl w:val="0"/>
          <w:numId w:val="6"/>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Fecha de publicación en la Gaceta del Gobierno del Estado de México, la autorización para la construcción de tres edificios, en la ubicación señalada en la solicitud de información.</w:t>
      </w:r>
    </w:p>
    <w:p w14:paraId="6A3E869F" w14:textId="77777777" w:rsidR="00500C9A" w:rsidRDefault="00500C9A">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14:paraId="7BBF75F9" w14:textId="77777777" w:rsidR="00500C9A" w:rsidRDefault="00F70859">
      <w:pPr>
        <w:numPr>
          <w:ilvl w:val="0"/>
          <w:numId w:val="1"/>
        </w:numPr>
        <w:spacing w:line="360" w:lineRule="auto"/>
        <w:ind w:left="0" w:right="-787" w:firstLine="0"/>
        <w:jc w:val="both"/>
        <w:rPr>
          <w:color w:val="000000"/>
        </w:rPr>
      </w:pPr>
      <w:r>
        <w:rPr>
          <w:rFonts w:ascii="Palatino Linotype" w:eastAsia="Palatino Linotype" w:hAnsi="Palatino Linotype" w:cs="Palatino Linotype"/>
        </w:rPr>
        <w:lastRenderedPageBreak/>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remitió el escrito ya descrito en el anterior Párrafo 2. Inconforme con la respuesta, se interpuso recurso de revisión inconformándose </w:t>
      </w:r>
      <w:r>
        <w:rPr>
          <w:rFonts w:ascii="Palatino Linotype" w:eastAsia="Palatino Linotype" w:hAnsi="Palatino Linotype" w:cs="Palatino Linotype"/>
          <w:i/>
        </w:rPr>
        <w:t>grosso modo</w:t>
      </w:r>
      <w:r>
        <w:rPr>
          <w:rFonts w:ascii="Palatino Linotype" w:eastAsia="Palatino Linotype" w:hAnsi="Palatino Linotype" w:cs="Palatino Linotype"/>
        </w:rPr>
        <w:t xml:space="preserve"> por la entrega de información incompleta.</w:t>
      </w:r>
    </w:p>
    <w:p w14:paraId="7B1DC717" w14:textId="77777777" w:rsidR="00500C9A" w:rsidRDefault="00500C9A">
      <w:pPr>
        <w:spacing w:line="360" w:lineRule="auto"/>
        <w:ind w:right="-787"/>
        <w:jc w:val="both"/>
        <w:rPr>
          <w:rFonts w:ascii="Palatino Linotype" w:eastAsia="Palatino Linotype" w:hAnsi="Palatino Linotype" w:cs="Palatino Linotype"/>
          <w:i/>
          <w:color w:val="000000"/>
        </w:rPr>
      </w:pPr>
    </w:p>
    <w:p w14:paraId="406BC474"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clasificación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015C5CCD" w14:textId="77777777" w:rsidR="00500C9A" w:rsidRDefault="00500C9A">
      <w:pPr>
        <w:spacing w:line="360" w:lineRule="auto"/>
        <w:ind w:right="-787"/>
        <w:rPr>
          <w:rFonts w:ascii="Palatino Linotype" w:eastAsia="Palatino Linotype" w:hAnsi="Palatino Linotype" w:cs="Palatino Linotype"/>
        </w:rPr>
      </w:pPr>
    </w:p>
    <w:p w14:paraId="4F60E2F6"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2EFE3F0" w14:textId="77777777" w:rsidR="00500C9A" w:rsidRDefault="00500C9A">
      <w:pPr>
        <w:spacing w:line="360" w:lineRule="auto"/>
        <w:ind w:right="-787"/>
        <w:jc w:val="both"/>
        <w:rPr>
          <w:rFonts w:ascii="Palatino Linotype" w:eastAsia="Palatino Linotype" w:hAnsi="Palatino Linotype" w:cs="Palatino Linotype"/>
        </w:rPr>
      </w:pPr>
    </w:p>
    <w:p w14:paraId="58085B0F"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39A255D"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5B985599"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E18AF3C" w14:textId="77777777" w:rsidR="00500C9A" w:rsidRDefault="00500C9A">
      <w:pPr>
        <w:spacing w:line="360" w:lineRule="auto"/>
        <w:ind w:right="-787"/>
        <w:rPr>
          <w:rFonts w:ascii="Palatino Linotype" w:eastAsia="Palatino Linotype" w:hAnsi="Palatino Linotype" w:cs="Palatino Linotype"/>
        </w:rPr>
      </w:pPr>
    </w:p>
    <w:p w14:paraId="14079D24"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Acotado lo anterior, es dable primeramente recordar que la respuesta que versó de manera general en establecer la falta de competencia para para emitir autorizaciones de régimen en condominio en ninguna modalidad, orientando al particular a efecto de remitir su solicitud a la Secretaría de Desarrollo Urbano y Obra del Estado de México, al ser la competente de emitir autorizaciones de conjuntos urbanos, subdivisiones, lotificaciones en condominio, relotificaciones y las correspondientes fusiones entre otras.</w:t>
      </w:r>
    </w:p>
    <w:p w14:paraId="032429CD" w14:textId="77777777" w:rsidR="00500C9A" w:rsidRDefault="00500C9A">
      <w:pPr>
        <w:spacing w:line="360" w:lineRule="auto"/>
        <w:ind w:right="-787"/>
        <w:jc w:val="both"/>
        <w:rPr>
          <w:rFonts w:ascii="Palatino Linotype" w:eastAsia="Palatino Linotype" w:hAnsi="Palatino Linotype" w:cs="Palatino Linotype"/>
        </w:rPr>
      </w:pPr>
    </w:p>
    <w:p w14:paraId="1D644809"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lastRenderedPageBreak/>
        <w:t>Así las cosas, el particular se inconforma porque su solicitud versó en conocer únicamente una fecha; sin embargo cambia el contexto al señalar que lo solicitado deberá versar respecto de la autorización que haya emitido la Secretaría de Desarrollo Urbano y Obra del Gobierno del Estado de México.</w:t>
      </w:r>
    </w:p>
    <w:p w14:paraId="2B2C3B58"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5AED60AE"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Así las cosas, al haber dirigido su solicitud de información al Ayuntamiento de Naucalpan, requiriendo la fecha de publicación  de una autorización; se</w:t>
      </w:r>
      <w:r>
        <w:rPr>
          <w:rFonts w:ascii="Palatino Linotype" w:eastAsia="Palatino Linotype" w:hAnsi="Palatino Linotype" w:cs="Palatino Linotype"/>
          <w:b/>
        </w:rPr>
        <w:t xml:space="preserve"> colige debió haber sido emitida por el propio Ayuntamiento, toda vez que se insiste, a ese Sujeto Obligado le fue requerida la información</w:t>
      </w:r>
      <w:r>
        <w:rPr>
          <w:rFonts w:ascii="Palatino Linotype" w:eastAsia="Palatino Linotype" w:hAnsi="Palatino Linotype" w:cs="Palatino Linotype"/>
        </w:rPr>
        <w:t>, sumado a que no refirió que esta debía corresponder a una autorización emitida por una autoridad diversa del Ayuntamiento, es que se arriba a la conclusión que las razones o motivos de inconformidad, son tendientes a modificar en su totalidad el contexto inicial, al ampliar que debiera corresponder a una autorización emitida por determinada autoridad de la cual no se hizo referencia de manera inicial.</w:t>
      </w:r>
    </w:p>
    <w:p w14:paraId="5FA2D883" w14:textId="77777777" w:rsidR="00500C9A" w:rsidRDefault="00500C9A">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559099D"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Luego entonces, resulta claro que 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añade nuevos puntos a su solicitud de información y se aleja de la materia que dio origen a la respuesta de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 mayor abundamiento, los nuevos puntos de la solicitud son considerados “</w:t>
      </w:r>
      <w:r>
        <w:rPr>
          <w:rFonts w:ascii="Palatino Linotype" w:eastAsia="Palatino Linotype" w:hAnsi="Palatino Linotype" w:cs="Palatino Linotype"/>
          <w:b/>
          <w:i/>
        </w:rPr>
        <w:t xml:space="preserve">plus </w:t>
      </w:r>
      <w:proofErr w:type="spellStart"/>
      <w:r>
        <w:rPr>
          <w:rFonts w:ascii="Palatino Linotype" w:eastAsia="Palatino Linotype" w:hAnsi="Palatino Linotype" w:cs="Palatino Linotype"/>
          <w:b/>
          <w:i/>
        </w:rPr>
        <w:t>petitio</w:t>
      </w:r>
      <w:proofErr w:type="spellEnd"/>
      <w:r>
        <w:rPr>
          <w:rFonts w:ascii="Palatino Linotype" w:eastAsia="Palatino Linotype" w:hAnsi="Palatino Linotype" w:cs="Palatino Linotype"/>
          <w:b/>
          <w:i/>
        </w:rPr>
        <w:t>”</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y no son susceptibles de ser valorados, destacando que el primero de ellos se trata de hechos futuros. </w:t>
      </w:r>
    </w:p>
    <w:p w14:paraId="43D26E5A" w14:textId="77777777" w:rsidR="00500C9A" w:rsidRDefault="00500C9A">
      <w:pPr>
        <w:tabs>
          <w:tab w:val="left" w:pos="7088"/>
        </w:tabs>
        <w:spacing w:line="360" w:lineRule="auto"/>
        <w:ind w:right="-787"/>
        <w:jc w:val="both"/>
        <w:rPr>
          <w:rFonts w:ascii="Palatino Linotype" w:eastAsia="Palatino Linotype" w:hAnsi="Palatino Linotype" w:cs="Palatino Linotype"/>
        </w:rPr>
      </w:pPr>
    </w:p>
    <w:p w14:paraId="7AE053E0"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w:t>
      </w:r>
      <w:r>
        <w:rPr>
          <w:rFonts w:ascii="Palatino Linotype" w:eastAsia="Palatino Linotype" w:hAnsi="Palatino Linotype" w:cs="Palatino Linotype"/>
        </w:rPr>
        <w:lastRenderedPageBreak/>
        <w:t xml:space="preserve">ordenamiento, por lo que el recurso de revisión no constituye un medio válido para solicitar información adicional.  </w:t>
      </w:r>
    </w:p>
    <w:p w14:paraId="0AFEA8C5" w14:textId="77777777" w:rsidR="00500C9A" w:rsidRDefault="00500C9A">
      <w:pPr>
        <w:tabs>
          <w:tab w:val="left" w:pos="7088"/>
        </w:tabs>
        <w:spacing w:line="360" w:lineRule="auto"/>
        <w:ind w:right="-787"/>
        <w:jc w:val="both"/>
        <w:rPr>
          <w:rFonts w:ascii="Palatino Linotype" w:eastAsia="Palatino Linotype" w:hAnsi="Palatino Linotype" w:cs="Palatino Linotype"/>
        </w:rPr>
      </w:pPr>
    </w:p>
    <w:p w14:paraId="669D52B9"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14:paraId="3C7B7626" w14:textId="77777777" w:rsidR="00500C9A" w:rsidRDefault="00F70859">
      <w:pPr>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“AGRAVIOS EN LA REVISIÓN. DEBEN ESTAR EN RELACIÓN DIRECTA CON LOS FUNDAMENTOS Y CONSIDERACIONES DE LA SENTENCIA</w:t>
      </w:r>
    </w:p>
    <w:p w14:paraId="67705BB4" w14:textId="77777777" w:rsidR="00500C9A" w:rsidRDefault="00500C9A">
      <w:pPr>
        <w:tabs>
          <w:tab w:val="left" w:pos="7797"/>
        </w:tabs>
        <w:spacing w:line="360" w:lineRule="auto"/>
        <w:ind w:left="567" w:right="62"/>
        <w:jc w:val="both"/>
        <w:rPr>
          <w:rFonts w:ascii="Palatino Linotype" w:eastAsia="Palatino Linotype" w:hAnsi="Palatino Linotype" w:cs="Palatino Linotype"/>
          <w:b/>
          <w:i/>
          <w:sz w:val="22"/>
          <w:szCs w:val="22"/>
          <w:u w:val="single"/>
        </w:rPr>
      </w:pPr>
    </w:p>
    <w:p w14:paraId="5C7B08AB" w14:textId="77777777" w:rsidR="00500C9A" w:rsidRDefault="00F70859">
      <w:pPr>
        <w:tabs>
          <w:tab w:val="left" w:pos="7797"/>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agravios deben estar en relación directa e inmediata con los fundamentos contenidos en la sentencia que se recurre</w:t>
      </w:r>
      <w:r>
        <w:rPr>
          <w:rFonts w:ascii="Palatino Linotype" w:eastAsia="Palatino Linotype" w:hAnsi="Palatino Linotype" w:cs="Palatino Linotype"/>
          <w:i/>
          <w:sz w:val="22"/>
          <w:szCs w:val="22"/>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770860C2" w14:textId="77777777" w:rsidR="00500C9A" w:rsidRDefault="00500C9A">
      <w:pPr>
        <w:tabs>
          <w:tab w:val="left" w:pos="7088"/>
          <w:tab w:val="left" w:pos="7230"/>
        </w:tabs>
        <w:spacing w:line="360" w:lineRule="auto"/>
        <w:ind w:right="-787"/>
        <w:jc w:val="both"/>
        <w:rPr>
          <w:rFonts w:ascii="Palatino Linotype" w:eastAsia="Palatino Linotype" w:hAnsi="Palatino Linotype" w:cs="Palatino Linotype"/>
        </w:rPr>
      </w:pPr>
    </w:p>
    <w:p w14:paraId="1774EE1C"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Por lo anterior, se establece que dentro del Recurso de Revisión presentado por 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no debe variar el fondo de </w:t>
      </w:r>
      <w:r>
        <w:rPr>
          <w:rFonts w:ascii="Palatino Linotype" w:eastAsia="Palatino Linotype" w:hAnsi="Palatino Linotype" w:cs="Palatino Linotype"/>
          <w:i/>
        </w:rPr>
        <w:t>la Litis,</w:t>
      </w:r>
      <w:r>
        <w:rPr>
          <w:rFonts w:ascii="Palatino Linotype" w:eastAsia="Palatino Linotype" w:hAnsi="Palatino Linotype" w:cs="Palatino Linotype"/>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7BDF76EB"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De igual manera, tiene aplicación al respecto por analogía, la tesis aislada número I.8o.A.136 A, de la Novena Época, publicada en el Seminario Oficial de la Federación y su </w:t>
      </w:r>
      <w:r>
        <w:rPr>
          <w:rFonts w:ascii="Palatino Linotype" w:eastAsia="Palatino Linotype" w:hAnsi="Palatino Linotype" w:cs="Palatino Linotype"/>
        </w:rPr>
        <w:lastRenderedPageBreak/>
        <w:t>Gaceta Tomo XXIX, Marzo de 2009, página 2887, con número de registro 167607, que lleva por rubro y texto los siguientes:</w:t>
      </w:r>
    </w:p>
    <w:p w14:paraId="46E211E7" w14:textId="77777777" w:rsidR="00500C9A" w:rsidRDefault="00F70859">
      <w:pPr>
        <w:tabs>
          <w:tab w:val="left" w:pos="6237"/>
        </w:tabs>
        <w:spacing w:line="360" w:lineRule="auto"/>
        <w:ind w:left="567" w:right="-79"/>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Pr>
          <w:rFonts w:ascii="Palatino Linotype" w:eastAsia="Palatino Linotype" w:hAnsi="Palatino Linotype" w:cs="Palatino Linotype"/>
          <w:b/>
          <w:i/>
          <w:sz w:val="22"/>
          <w:szCs w:val="22"/>
          <w:u w:val="single"/>
        </w:rPr>
        <w:t xml:space="preserve">O SEAN DISTINTOS A LOS DE SU PETICIÓN INICIAL. </w:t>
      </w:r>
    </w:p>
    <w:p w14:paraId="69D5A08F" w14:textId="77777777" w:rsidR="00500C9A" w:rsidRDefault="00500C9A">
      <w:pPr>
        <w:tabs>
          <w:tab w:val="left" w:pos="6237"/>
        </w:tabs>
        <w:spacing w:line="360" w:lineRule="auto"/>
        <w:ind w:left="567" w:right="-79"/>
        <w:jc w:val="both"/>
        <w:rPr>
          <w:rFonts w:ascii="Palatino Linotype" w:eastAsia="Palatino Linotype" w:hAnsi="Palatino Linotype" w:cs="Palatino Linotype"/>
          <w:i/>
          <w:sz w:val="22"/>
          <w:szCs w:val="22"/>
        </w:rPr>
      </w:pPr>
    </w:p>
    <w:p w14:paraId="437D7F64" w14:textId="77777777" w:rsidR="00500C9A" w:rsidRDefault="00F70859">
      <w:pPr>
        <w:tabs>
          <w:tab w:val="left" w:pos="6237"/>
        </w:tabs>
        <w:spacing w:line="360" w:lineRule="auto"/>
        <w:ind w:left="567"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Pr>
          <w:rFonts w:ascii="Palatino Linotype" w:eastAsia="Palatino Linotype" w:hAnsi="Palatino Linotype" w:cs="Palatino Linotype"/>
          <w:b/>
          <w:i/>
          <w:sz w:val="22"/>
          <w:szCs w:val="22"/>
          <w:u w:val="single"/>
        </w:rPr>
        <w:t>el precepto 6 de la propia legislación prevé el principio de máxima publicidad y disponibilidad de la información en posesión de los sujetos obligados;</w:t>
      </w:r>
      <w:r>
        <w:rPr>
          <w:rFonts w:ascii="Palatino Linotype" w:eastAsia="Palatino Linotype" w:hAnsi="Palatino Linotype" w:cs="Palatino Linotype"/>
          <w:i/>
          <w:sz w:val="22"/>
          <w:szCs w:val="22"/>
        </w:rPr>
        <w:t xml:space="preserve"> también lo es que ello no implica que tales numerales deban interpretarse en el sentido de permitir al gobernado que a su arbitrio solicite copia de documentos que no obren en los expedientes de los sujetos obligados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408CF951" w14:textId="77777777" w:rsidR="00500C9A" w:rsidRDefault="00F70859">
      <w:pPr>
        <w:tabs>
          <w:tab w:val="left" w:pos="6237"/>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OCTAVO TRIBUNAL COLEGIADO EN MATERIA ADMINISTRATIVA DEL PRIMER CIRCUITO.”</w:t>
      </w:r>
    </w:p>
    <w:p w14:paraId="7B457808" w14:textId="77777777" w:rsidR="00500C9A" w:rsidRDefault="00500C9A">
      <w:pPr>
        <w:tabs>
          <w:tab w:val="left" w:pos="6237"/>
        </w:tabs>
        <w:spacing w:line="360" w:lineRule="auto"/>
        <w:ind w:left="567" w:right="-787"/>
        <w:jc w:val="both"/>
        <w:rPr>
          <w:rFonts w:ascii="Palatino Linotype" w:eastAsia="Palatino Linotype" w:hAnsi="Palatino Linotype" w:cs="Palatino Linotype"/>
          <w:i/>
        </w:rPr>
      </w:pPr>
    </w:p>
    <w:p w14:paraId="331AC26B"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24A151EC" w14:textId="77777777" w:rsidR="00500C9A" w:rsidRDefault="00F70859">
      <w:pPr>
        <w:tabs>
          <w:tab w:val="left" w:pos="7513"/>
        </w:tabs>
        <w:spacing w:line="360" w:lineRule="auto"/>
        <w:ind w:left="567"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“ES IMPROCEDENTE AMPLIAR LAS SOLICITUDES DE ACCESO A INFORMACIÓN PÚBLICA O DATOS PERSONALES, A TRAVÉS DE LA INTERPOSICIÓN DEL RECURSO DE REVISIÓN</w:t>
      </w:r>
    </w:p>
    <w:p w14:paraId="5BD09669" w14:textId="77777777" w:rsidR="00500C9A" w:rsidRDefault="00500C9A">
      <w:pPr>
        <w:tabs>
          <w:tab w:val="left" w:pos="7513"/>
        </w:tabs>
        <w:spacing w:line="360" w:lineRule="auto"/>
        <w:ind w:left="567" w:right="-79"/>
        <w:jc w:val="both"/>
        <w:rPr>
          <w:rFonts w:ascii="Palatino Linotype" w:eastAsia="Palatino Linotype" w:hAnsi="Palatino Linotype" w:cs="Palatino Linotype"/>
          <w:b/>
          <w:i/>
          <w:sz w:val="22"/>
          <w:szCs w:val="22"/>
          <w:u w:val="single"/>
        </w:rPr>
      </w:pPr>
    </w:p>
    <w:p w14:paraId="6C272584" w14:textId="77777777" w:rsidR="00500C9A" w:rsidRDefault="00F70859">
      <w:pPr>
        <w:tabs>
          <w:tab w:val="left" w:pos="7513"/>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En aquellos casos en los que los recurrentes amplíen los alcances de la solicitud de información o acceso a datos personales a través de un recurso de revisión, esta</w:t>
      </w:r>
      <w:r>
        <w:rPr>
          <w:rFonts w:ascii="Palatino Linotype" w:eastAsia="Palatino Linotype" w:hAnsi="Palatino Linotype" w:cs="Palatino Linotype"/>
          <w:i/>
          <w:sz w:val="22"/>
          <w:szCs w:val="22"/>
          <w:u w:val="single"/>
        </w:rPr>
        <w:t xml:space="preserve"> </w:t>
      </w:r>
      <w:r>
        <w:rPr>
          <w:rFonts w:ascii="Palatino Linotype" w:eastAsia="Palatino Linotype" w:hAnsi="Palatino Linotype" w:cs="Palatino Linotype"/>
          <w:b/>
          <w:i/>
          <w:sz w:val="22"/>
          <w:szCs w:val="22"/>
          <w:u w:val="single"/>
        </w:rPr>
        <w:t>ampliación no podrá constituir materia del procedimiento a sustanciarse</w:t>
      </w:r>
      <w:r>
        <w:rPr>
          <w:rFonts w:ascii="Palatino Linotype" w:eastAsia="Palatino Linotype" w:hAnsi="Palatino Linotype" w:cs="Palatino Linotype"/>
          <w:i/>
          <w:sz w:val="22"/>
          <w:szCs w:val="22"/>
        </w:rPr>
        <w:t xml:space="preserve"> por el Instituto Federal de Acceso a la Información y Protección de Datos. Lo anterior, sin perjuicio de que los recurrentes puedan ejercer su derecho a realizar una nueva solicitud en términos de la Ley de la materia. </w:t>
      </w:r>
    </w:p>
    <w:p w14:paraId="34D71DF5" w14:textId="77777777" w:rsidR="00500C9A" w:rsidRDefault="00500C9A">
      <w:pPr>
        <w:tabs>
          <w:tab w:val="left" w:pos="7513"/>
        </w:tabs>
        <w:spacing w:line="360" w:lineRule="auto"/>
        <w:ind w:left="567" w:right="-787"/>
        <w:jc w:val="both"/>
        <w:rPr>
          <w:rFonts w:ascii="Palatino Linotype" w:eastAsia="Palatino Linotype" w:hAnsi="Palatino Linotype" w:cs="Palatino Linotype"/>
          <w:i/>
        </w:rPr>
      </w:pPr>
    </w:p>
    <w:p w14:paraId="3BA51426"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Al respecto, cabe traer a cuenta lo previsto por el artículo 12, párrafo segundo de la Ley de Transparencia y Acceso a la Información Pública del Estado de México y Municipios que la letra establece lo siguiente:</w:t>
      </w:r>
    </w:p>
    <w:p w14:paraId="4702CEF8" w14:textId="77777777" w:rsidR="00500C9A" w:rsidRDefault="00F70859">
      <w:pPr>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 </w:t>
      </w:r>
    </w:p>
    <w:p w14:paraId="51CADFC7"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lastRenderedPageBreak/>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La obligación de proporcionar información no comprende el procesamiento de la misma, ni el presentarla conforme al interés del solicitante; no estarán obligados a generarla, resumirla, efectuar cálculos o practicar investigaciones.</w:t>
      </w:r>
    </w:p>
    <w:p w14:paraId="6EF7AD68" w14:textId="77777777" w:rsidR="00500C9A" w:rsidRDefault="00500C9A">
      <w:pPr>
        <w:spacing w:line="360" w:lineRule="auto"/>
        <w:ind w:left="851" w:right="-787"/>
        <w:jc w:val="both"/>
        <w:rPr>
          <w:rFonts w:ascii="Palatino Linotype" w:eastAsia="Palatino Linotype" w:hAnsi="Palatino Linotype" w:cs="Palatino Linotype"/>
          <w:b/>
          <w:i/>
        </w:rPr>
      </w:pPr>
    </w:p>
    <w:p w14:paraId="2EC46000"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Además, y de conformidad con lo ya establecido anteriormente en el artículo 12, de la Ley de Transparencia y Acceso a la Información Pública del Estado de México y Municipios, anteriormente invocado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sólo proporcionará la información que obra en sus archivos, lo que </w:t>
      </w:r>
      <w:r>
        <w:rPr>
          <w:rFonts w:ascii="Palatino Linotype" w:eastAsia="Palatino Linotype" w:hAnsi="Palatino Linotype" w:cs="Palatino Linotype"/>
          <w:i/>
        </w:rPr>
        <w:t>a contrario sensu</w:t>
      </w:r>
      <w:r>
        <w:rPr>
          <w:rFonts w:ascii="Palatino Linotype" w:eastAsia="Palatino Linotype" w:hAnsi="Palatino Linotype" w:cs="Palatino Linotype"/>
        </w:rPr>
        <w:t xml:space="preserve"> significa que no se está obligado a proporcionar lo que no obre en sus archivos.</w:t>
      </w:r>
    </w:p>
    <w:p w14:paraId="3EA3A529" w14:textId="77777777" w:rsidR="00500C9A" w:rsidRDefault="00500C9A">
      <w:pPr>
        <w:spacing w:line="360" w:lineRule="auto"/>
        <w:ind w:right="-787"/>
        <w:jc w:val="both"/>
        <w:rPr>
          <w:rFonts w:ascii="Palatino Linotype" w:eastAsia="Palatino Linotype" w:hAnsi="Palatino Linotype" w:cs="Palatino Linotype"/>
        </w:rPr>
      </w:pPr>
    </w:p>
    <w:p w14:paraId="2703E279"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Por lo tanto, bajo los principios de certeza, eficacia y objetividad, establecidos en el artículo 9, de la Ley de Transparencia y Acceso a la Información Pública del Estado de México y Municipios, y derivado de que la información requerida corresponde a un contexto diferente del planteado inicialmente, y a fin de no dilatar el derecho de acceso a la información, como ya fue establecido, se dejan a salvo los derechos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para que pueda realizar la solicitud de información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correspondiente.</w:t>
      </w:r>
    </w:p>
    <w:p w14:paraId="5B1407DC" w14:textId="77777777" w:rsidR="00500C9A" w:rsidRDefault="00500C9A">
      <w:pPr>
        <w:spacing w:line="360" w:lineRule="auto"/>
        <w:ind w:right="-787"/>
        <w:jc w:val="both"/>
        <w:rPr>
          <w:rFonts w:ascii="Palatino Linotype" w:eastAsia="Palatino Linotype" w:hAnsi="Palatino Linotype" w:cs="Palatino Linotype"/>
        </w:rPr>
      </w:pPr>
    </w:p>
    <w:p w14:paraId="2A7E5CD6"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Así también, se dispone que 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w:t>
      </w:r>
      <w:r>
        <w:rPr>
          <w:rFonts w:ascii="Palatino Linotype" w:eastAsia="Palatino Linotype" w:hAnsi="Palatino Linotype" w:cs="Palatino Linotype"/>
        </w:rPr>
        <w:lastRenderedPageBreak/>
        <w:t>interés del solicitante, por lo que los Sujetos Obligados no están constreñidos a generarla, resumir, efectuar cálculos o practicar investigaciones.</w:t>
      </w:r>
    </w:p>
    <w:p w14:paraId="4CBC5662" w14:textId="77777777" w:rsidR="00500C9A" w:rsidRDefault="00500C9A">
      <w:pPr>
        <w:spacing w:line="360" w:lineRule="auto"/>
        <w:ind w:right="-787"/>
        <w:jc w:val="both"/>
        <w:rPr>
          <w:rFonts w:ascii="Palatino Linotype" w:eastAsia="Palatino Linotype" w:hAnsi="Palatino Linotype" w:cs="Palatino Linotype"/>
        </w:rPr>
      </w:pPr>
    </w:p>
    <w:p w14:paraId="704AC2DE"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Adicionalmente, es de precisar que, la respuesta fue emitida por el </w:t>
      </w:r>
      <w:r>
        <w:rPr>
          <w:rFonts w:ascii="Palatino Linotype" w:eastAsia="Palatino Linotype" w:hAnsi="Palatino Linotype" w:cs="Palatino Linotype"/>
          <w:b/>
        </w:rPr>
        <w:t>Servidor Público Habilitado</w:t>
      </w:r>
      <w:r>
        <w:rPr>
          <w:rFonts w:ascii="Palatino Linotype" w:eastAsia="Palatino Linotype" w:hAnsi="Palatino Linotype" w:cs="Palatino Linotype"/>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F22B39C"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14:paraId="71515657"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86A2C62"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XXXIX. Servidor público habilitado: </w:t>
      </w:r>
      <w:r>
        <w:rPr>
          <w:rFonts w:ascii="Palatino Linotype" w:eastAsia="Palatino Linotype" w:hAnsi="Palatino Linotype" w:cs="Palatino Linotype"/>
          <w:i/>
          <w:sz w:val="22"/>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C359147"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E133D4A"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58.</w:t>
      </w:r>
      <w:r>
        <w:rPr>
          <w:rFonts w:ascii="Palatino Linotype" w:eastAsia="Palatino Linotype" w:hAnsi="Palatino Linotype" w:cs="Palatino Linotype"/>
          <w:i/>
          <w:sz w:val="22"/>
          <w:szCs w:val="22"/>
        </w:rPr>
        <w:t xml:space="preserve"> Los servidores públicos habilitados serán designados por el titular del sujeto obligado a propuesta del responsable de la Unidad de Transparencia.</w:t>
      </w:r>
    </w:p>
    <w:p w14:paraId="33231A53"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64B59ED8"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Los servidores públicos habilitados</w:t>
      </w:r>
      <w:r>
        <w:rPr>
          <w:rFonts w:ascii="Palatino Linotype" w:eastAsia="Palatino Linotype" w:hAnsi="Palatino Linotype" w:cs="Palatino Linotype"/>
          <w:i/>
          <w:sz w:val="22"/>
          <w:szCs w:val="22"/>
        </w:rPr>
        <w:t xml:space="preserve"> tendrán las funciones siguientes:</w:t>
      </w:r>
    </w:p>
    <w:p w14:paraId="269BA341"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u w:val="single"/>
        </w:rPr>
        <w:t>Localizar la información que le solicite la Unidad de Transparencia</w:t>
      </w:r>
      <w:r>
        <w:rPr>
          <w:rFonts w:ascii="Palatino Linotype" w:eastAsia="Palatino Linotype" w:hAnsi="Palatino Linotype" w:cs="Palatino Linotype"/>
          <w:i/>
          <w:sz w:val="22"/>
          <w:szCs w:val="22"/>
        </w:rPr>
        <w:t>;</w:t>
      </w:r>
    </w:p>
    <w:p w14:paraId="3BD2C5D6"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1FFC78B0"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u w:val="single"/>
        </w:rPr>
        <w:t>Proporcionar la información que obre en los archivos y que le sea solicitada por la Unidad de Transparencia</w:t>
      </w:r>
      <w:r>
        <w:rPr>
          <w:rFonts w:ascii="Palatino Linotype" w:eastAsia="Palatino Linotype" w:hAnsi="Palatino Linotype" w:cs="Palatino Linotype"/>
          <w:i/>
          <w:sz w:val="22"/>
          <w:szCs w:val="22"/>
        </w:rPr>
        <w:t>;</w:t>
      </w:r>
    </w:p>
    <w:p w14:paraId="33AEB887"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50E9DC8C"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Apoyar a la Unidad de Transparencia en lo que esta le solicite para el cumplimiento de sus funciones;</w:t>
      </w:r>
    </w:p>
    <w:p w14:paraId="36BEC7F8"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500A3827"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33191FD0"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65E63AC3"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C6940A0"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7CE128A4"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64E118B5" w14:textId="77777777" w:rsidR="00500C9A" w:rsidRDefault="00500C9A">
      <w:pPr>
        <w:spacing w:line="360" w:lineRule="auto"/>
        <w:ind w:left="567" w:right="62"/>
        <w:jc w:val="both"/>
        <w:rPr>
          <w:rFonts w:ascii="Palatino Linotype" w:eastAsia="Palatino Linotype" w:hAnsi="Palatino Linotype" w:cs="Palatino Linotype"/>
          <w:i/>
          <w:sz w:val="22"/>
          <w:szCs w:val="22"/>
        </w:rPr>
      </w:pPr>
    </w:p>
    <w:p w14:paraId="2A7DBEC8"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Dar cuenta a la Unidad de Transparencia del vencimiento de los plazos de reserva.</w:t>
      </w:r>
    </w:p>
    <w:p w14:paraId="350CCF21" w14:textId="77777777" w:rsidR="00500C9A" w:rsidRDefault="00500C9A">
      <w:pPr>
        <w:spacing w:line="360" w:lineRule="auto"/>
        <w:ind w:right="62"/>
        <w:jc w:val="both"/>
        <w:rPr>
          <w:rFonts w:ascii="Palatino Linotype" w:eastAsia="Palatino Linotype" w:hAnsi="Palatino Linotype" w:cs="Palatino Linotype"/>
          <w:sz w:val="22"/>
          <w:szCs w:val="22"/>
        </w:rPr>
      </w:pPr>
    </w:p>
    <w:p w14:paraId="477301F9" w14:textId="77777777" w:rsidR="00500C9A" w:rsidRDefault="00F70859">
      <w:pPr>
        <w:spacing w:line="360" w:lineRule="auto"/>
        <w:ind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otras palabras, cumplió con lo que para tal efecto dispone el artículo 162, de la Ley de Transparencia y Acceso a la Información Pública del Estado de México y Municipios, que índica:</w:t>
      </w:r>
    </w:p>
    <w:p w14:paraId="221F9742" w14:textId="77777777" w:rsidR="00500C9A" w:rsidRDefault="00500C9A">
      <w:pPr>
        <w:spacing w:line="360" w:lineRule="auto"/>
        <w:ind w:right="62"/>
        <w:jc w:val="both"/>
        <w:rPr>
          <w:rFonts w:ascii="Palatino Linotype" w:eastAsia="Palatino Linotype" w:hAnsi="Palatino Linotype" w:cs="Palatino Linotype"/>
          <w:sz w:val="22"/>
          <w:szCs w:val="22"/>
        </w:rPr>
      </w:pPr>
    </w:p>
    <w:p w14:paraId="30FA84BC" w14:textId="77777777" w:rsidR="00500C9A" w:rsidRDefault="00500C9A">
      <w:pPr>
        <w:spacing w:line="360" w:lineRule="auto"/>
        <w:ind w:right="62"/>
        <w:jc w:val="both"/>
        <w:rPr>
          <w:rFonts w:ascii="Palatino Linotype" w:eastAsia="Palatino Linotype" w:hAnsi="Palatino Linotype" w:cs="Palatino Linotype"/>
          <w:sz w:val="22"/>
          <w:szCs w:val="22"/>
        </w:rPr>
      </w:pPr>
    </w:p>
    <w:p w14:paraId="15C2FE43"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Pr>
          <w:rFonts w:ascii="Palatino Linotype" w:eastAsia="Palatino Linotype" w:hAnsi="Palatino Linotype" w:cs="Palatino Linotype"/>
          <w:i/>
          <w:sz w:val="22"/>
          <w:szCs w:val="22"/>
        </w:rPr>
        <w:t>”</w:t>
      </w:r>
    </w:p>
    <w:p w14:paraId="74A0FB45" w14:textId="77777777" w:rsidR="00500C9A" w:rsidRDefault="00500C9A">
      <w:pPr>
        <w:spacing w:line="360" w:lineRule="auto"/>
        <w:ind w:right="-787"/>
        <w:jc w:val="both"/>
        <w:rPr>
          <w:rFonts w:ascii="Palatino Linotype" w:eastAsia="Palatino Linotype" w:hAnsi="Palatino Linotype" w:cs="Palatino Linotype"/>
        </w:rPr>
      </w:pPr>
    </w:p>
    <w:p w14:paraId="5ED48957"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lastRenderedPageBreak/>
        <w:t>Luego entonces</w:t>
      </w:r>
      <w:r>
        <w:rPr>
          <w:rFonts w:ascii="Palatino Linotype" w:eastAsia="Palatino Linotype" w:hAnsi="Palatino Linotype" w:cs="Palatino Linotype"/>
          <w:b/>
        </w:rPr>
        <w:t>, al no advertirse algún otro rubro que pudiera ser objeto de análisis</w:t>
      </w:r>
      <w:r>
        <w:rPr>
          <w:rFonts w:ascii="Palatino Linotype" w:eastAsia="Palatino Linotype" w:hAnsi="Palatino Linotype" w:cs="Palatino Linotype"/>
        </w:rPr>
        <w:t>, más que el relativo a la fecha que fue ampliado, se advierte que se actualiza la hipótesis prevista en el artículo 191, fracción VII, de la Ley de Transparencia y Acceso a la Información Pública del Estado de México y Municipios en vigor, que a la letra establece lo siguiente:</w:t>
      </w:r>
    </w:p>
    <w:p w14:paraId="1AA5B170"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191</w:t>
      </w:r>
      <w:r>
        <w:rPr>
          <w:rFonts w:ascii="Palatino Linotype" w:eastAsia="Palatino Linotype" w:hAnsi="Palatino Linotype" w:cs="Palatino Linotype"/>
          <w:i/>
          <w:sz w:val="22"/>
          <w:szCs w:val="22"/>
        </w:rPr>
        <w:t>. El recurso será desechado por improcedente cuando:</w:t>
      </w:r>
    </w:p>
    <w:p w14:paraId="6194DF91"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7519B43" w14:textId="77777777" w:rsidR="00500C9A" w:rsidRDefault="00F70859">
      <w:pPr>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b/>
          <w:i/>
          <w:sz w:val="22"/>
          <w:szCs w:val="22"/>
        </w:rPr>
        <w:tab/>
      </w:r>
      <w:r>
        <w:rPr>
          <w:rFonts w:ascii="Palatino Linotype" w:eastAsia="Palatino Linotype" w:hAnsi="Palatino Linotype" w:cs="Palatino Linotype"/>
          <w:i/>
          <w:sz w:val="22"/>
          <w:szCs w:val="22"/>
        </w:rPr>
        <w:t>El recurrente amplíe su solicitud en el recurso de revisión, únicamente respecto de los nuevos contenidos.”</w:t>
      </w:r>
      <w:r>
        <w:rPr>
          <w:rFonts w:ascii="Palatino Linotype" w:eastAsia="Palatino Linotype" w:hAnsi="Palatino Linotype" w:cs="Palatino Linotype"/>
          <w:b/>
          <w:i/>
          <w:sz w:val="22"/>
          <w:szCs w:val="22"/>
        </w:rPr>
        <w:t xml:space="preserve"> </w:t>
      </w:r>
    </w:p>
    <w:p w14:paraId="00BE2E2A" w14:textId="77777777" w:rsidR="00500C9A" w:rsidRDefault="00F70859">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AFDA60D" w14:textId="77777777" w:rsidR="00500C9A" w:rsidRDefault="00500C9A">
      <w:pPr>
        <w:spacing w:line="360" w:lineRule="auto"/>
        <w:ind w:right="-787"/>
        <w:jc w:val="both"/>
        <w:rPr>
          <w:rFonts w:ascii="Palatino Linotype" w:eastAsia="Palatino Linotype" w:hAnsi="Palatino Linotype" w:cs="Palatino Linotype"/>
        </w:rPr>
      </w:pPr>
    </w:p>
    <w:p w14:paraId="0FD7FB52"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En conclusión, la ley de la materia establece en la fracción IV, del artículo 192, de la Ley de Transparencia vigente en la entidad, que a la letra establecen:</w:t>
      </w:r>
    </w:p>
    <w:p w14:paraId="6BD1396A" w14:textId="77777777" w:rsidR="00500C9A" w:rsidRDefault="00F70859">
      <w:pPr>
        <w:spacing w:line="360" w:lineRule="auto"/>
        <w:ind w:left="708"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192. </w:t>
      </w:r>
      <w:r>
        <w:rPr>
          <w:rFonts w:ascii="Palatino Linotype" w:eastAsia="Palatino Linotype" w:hAnsi="Palatino Linotype" w:cs="Palatino Linotype"/>
          <w:b/>
          <w:i/>
          <w:sz w:val="22"/>
          <w:szCs w:val="22"/>
          <w:u w:val="single"/>
        </w:rPr>
        <w:t>El recurso será sobreseído, en todo o en parte, cuando una vez admitido, se actualicen alguno de los siguientes supuestos</w:t>
      </w:r>
      <w:r>
        <w:rPr>
          <w:rFonts w:ascii="Palatino Linotype" w:eastAsia="Palatino Linotype" w:hAnsi="Palatino Linotype" w:cs="Palatino Linotype"/>
          <w:i/>
          <w:sz w:val="22"/>
          <w:szCs w:val="22"/>
        </w:rPr>
        <w:t>:</w:t>
      </w:r>
    </w:p>
    <w:p w14:paraId="549477AD" w14:textId="77777777" w:rsidR="00500C9A" w:rsidRDefault="00500C9A">
      <w:pPr>
        <w:spacing w:line="360" w:lineRule="auto"/>
        <w:ind w:left="708" w:right="62"/>
        <w:jc w:val="both"/>
        <w:rPr>
          <w:rFonts w:ascii="Palatino Linotype" w:eastAsia="Palatino Linotype" w:hAnsi="Palatino Linotype" w:cs="Palatino Linotype"/>
          <w:i/>
          <w:sz w:val="22"/>
          <w:szCs w:val="22"/>
        </w:rPr>
      </w:pPr>
    </w:p>
    <w:p w14:paraId="5EC01A1D" w14:textId="77777777" w:rsidR="00500C9A" w:rsidRDefault="00F70859">
      <w:pPr>
        <w:numPr>
          <w:ilvl w:val="0"/>
          <w:numId w:val="5"/>
        </w:numPr>
        <w:spacing w:line="360" w:lineRule="auto"/>
        <w:ind w:right="62" w:hanging="7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recurrente se desista expresamente del recurso; </w:t>
      </w:r>
    </w:p>
    <w:p w14:paraId="0AB6A474" w14:textId="77777777" w:rsidR="00500C9A" w:rsidRDefault="00F70859">
      <w:pPr>
        <w:numPr>
          <w:ilvl w:val="0"/>
          <w:numId w:val="5"/>
        </w:numPr>
        <w:spacing w:line="360" w:lineRule="auto"/>
        <w:ind w:right="62" w:hanging="7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recurrente fallezca o, tratándose de personas jurídicas colectivas, se disuelva; </w:t>
      </w:r>
    </w:p>
    <w:p w14:paraId="1BCFA86C" w14:textId="77777777" w:rsidR="00500C9A" w:rsidRDefault="00F70859">
      <w:pPr>
        <w:numPr>
          <w:ilvl w:val="0"/>
          <w:numId w:val="5"/>
        </w:numPr>
        <w:spacing w:line="360" w:lineRule="auto"/>
        <w:ind w:right="62" w:hanging="7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sujeto obligado responsable del acto lo modifique o revoque de tal manera que el recurso de revisión quede sin materia; </w:t>
      </w:r>
    </w:p>
    <w:p w14:paraId="087CE625" w14:textId="77777777" w:rsidR="00500C9A" w:rsidRDefault="00F70859">
      <w:pPr>
        <w:numPr>
          <w:ilvl w:val="0"/>
          <w:numId w:val="5"/>
        </w:numPr>
        <w:spacing w:line="360" w:lineRule="auto"/>
        <w:ind w:right="62" w:hanging="72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Admitido el recurso de revisión, aparezca alguna causal de improcedencia en los términos de la presente Ley</w:t>
      </w:r>
      <w:r>
        <w:rPr>
          <w:rFonts w:ascii="Palatino Linotype" w:eastAsia="Palatino Linotype" w:hAnsi="Palatino Linotype" w:cs="Palatino Linotype"/>
          <w:i/>
          <w:sz w:val="22"/>
          <w:szCs w:val="22"/>
        </w:rPr>
        <w:t xml:space="preserve">; y </w:t>
      </w:r>
    </w:p>
    <w:p w14:paraId="3A95C1AE" w14:textId="77777777" w:rsidR="00500C9A" w:rsidRDefault="00F70859">
      <w:pPr>
        <w:numPr>
          <w:ilvl w:val="0"/>
          <w:numId w:val="5"/>
        </w:numPr>
        <w:spacing w:line="360" w:lineRule="auto"/>
        <w:ind w:right="62" w:hanging="7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por cualquier motivo quede sin materia el recurso.”</w:t>
      </w:r>
    </w:p>
    <w:p w14:paraId="1E33F872" w14:textId="77777777" w:rsidR="00500C9A" w:rsidRDefault="00500C9A">
      <w:pPr>
        <w:spacing w:line="360" w:lineRule="auto"/>
        <w:ind w:right="-787"/>
        <w:jc w:val="both"/>
        <w:rPr>
          <w:rFonts w:ascii="Palatino Linotype" w:eastAsia="Palatino Linotype" w:hAnsi="Palatino Linotype" w:cs="Palatino Linotype"/>
        </w:rPr>
      </w:pPr>
      <w:bookmarkStart w:id="6" w:name="_heading=h.3dy6vkm" w:colFirst="0" w:colLast="0"/>
      <w:bookmarkEnd w:id="6"/>
    </w:p>
    <w:p w14:paraId="4ACEE4C9" w14:textId="77777777" w:rsidR="00500C9A" w:rsidRDefault="00F70859">
      <w:pPr>
        <w:numPr>
          <w:ilvl w:val="0"/>
          <w:numId w:val="1"/>
        </w:numPr>
        <w:spacing w:line="360" w:lineRule="auto"/>
        <w:ind w:left="0" w:right="-787"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Es importante resaltar a manera de analogía que la Suprema Corte de Justicia de la Nación mediante el número 2 de la Serie </w:t>
      </w:r>
      <w:r>
        <w:rPr>
          <w:rFonts w:ascii="Palatino Linotype" w:eastAsia="Palatino Linotype" w:hAnsi="Palatino Linotype" w:cs="Palatino Linotype"/>
          <w:i/>
        </w:rPr>
        <w:t xml:space="preserve">Estudios Introductorios sobre el Juicio de Amparo </w:t>
      </w:r>
      <w:r>
        <w:rPr>
          <w:rFonts w:ascii="Palatino Linotype" w:eastAsia="Palatino Linotype" w:hAnsi="Palatino Linotype" w:cs="Palatino Linotype"/>
        </w:rPr>
        <w:lastRenderedPageBreak/>
        <w:t xml:space="preserve">relativo a </w:t>
      </w:r>
      <w:r>
        <w:rPr>
          <w:rFonts w:ascii="Palatino Linotype" w:eastAsia="Palatino Linotype" w:hAnsi="Palatino Linotype" w:cs="Palatino Linotype"/>
          <w:i/>
        </w:rPr>
        <w:t xml:space="preserve">LA IMPROCEDENCIA DE LA ACCIÓN DE AMPARO </w:t>
      </w:r>
      <w:r>
        <w:rPr>
          <w:rFonts w:ascii="Palatino Linotype" w:eastAsia="Palatino Linotype" w:hAnsi="Palatino Linotype" w:cs="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Pr>
          <w:rFonts w:ascii="Palatino Linotype" w:eastAsia="Palatino Linotype" w:hAnsi="Palatino Linotype" w:cs="Palatino Linotype"/>
          <w:b/>
          <w:u w:val="single"/>
        </w:rPr>
        <w:t>lo que generará que la demanda sea desechada; o bien, después de admitida la demanda, lo que tendrá como consecuencia que se sobresea en el juicio.</w:t>
      </w:r>
    </w:p>
    <w:p w14:paraId="7E2BD5C6" w14:textId="77777777" w:rsidR="00500C9A" w:rsidRDefault="00500C9A">
      <w:pPr>
        <w:spacing w:line="360" w:lineRule="auto"/>
        <w:ind w:right="-787"/>
        <w:jc w:val="both"/>
        <w:rPr>
          <w:rFonts w:ascii="Palatino Linotype" w:eastAsia="Palatino Linotype" w:hAnsi="Palatino Linotype" w:cs="Palatino Linotype"/>
          <w:b/>
          <w:u w:val="single"/>
        </w:rPr>
      </w:pPr>
    </w:p>
    <w:p w14:paraId="72B4F634"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En este orden de ideas, es conducente colegir que en el presente Recurso de Revisión, se actualizó la causal de improcedencia prevista en la fracción VII, del numeral 191, de la Ley de Transparencia y Acceso a la Información Pública del Estado de México y Municipios, en virtud que se hizo consistir en ampliar su solicitud de información, proporcionando nuevos elementos en el recurso de revisión; lo que se vio superado con las referencias señaladas en el ordenamiento en cita. </w:t>
      </w:r>
    </w:p>
    <w:p w14:paraId="23560AAD" w14:textId="77777777" w:rsidR="00500C9A" w:rsidRDefault="00500C9A">
      <w:pPr>
        <w:spacing w:line="360" w:lineRule="auto"/>
        <w:ind w:right="-787"/>
        <w:jc w:val="both"/>
        <w:rPr>
          <w:rFonts w:ascii="Palatino Linotype" w:eastAsia="Palatino Linotype" w:hAnsi="Palatino Linotype" w:cs="Palatino Linotype"/>
          <w:b/>
          <w:u w:val="single"/>
        </w:rPr>
      </w:pPr>
    </w:p>
    <w:p w14:paraId="36E443F9"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rPr>
        <w:t xml:space="preserve">En mérito de lo expuesto en líneas anteriores, resultan parcialmente procedentes los motivos de inconformidad que arguye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su medio de impugnación que fue materia de estudio, por ello con fundamento en el artículo 186, fracción I, en concordancia con el artículo 192, fracción IV, de la Ley de Transparencia y Acceso a la Información Pública del Estado de México y Municipios, 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w:t>
      </w:r>
      <w:r>
        <w:rPr>
          <w:rFonts w:ascii="Palatino Linotype" w:eastAsia="Palatino Linotype" w:hAnsi="Palatino Linotype" w:cs="Palatino Linotype"/>
          <w:b/>
        </w:rPr>
        <w:t>00178/INFOEM/IP/RR/2024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que ha sido materia del presente fallo.</w:t>
      </w:r>
    </w:p>
    <w:p w14:paraId="6E1078FA" w14:textId="77777777" w:rsidR="00500C9A" w:rsidRDefault="00500C9A">
      <w:pPr>
        <w:tabs>
          <w:tab w:val="left" w:pos="709"/>
        </w:tabs>
        <w:spacing w:line="360" w:lineRule="auto"/>
        <w:ind w:left="567" w:right="-787"/>
        <w:jc w:val="both"/>
        <w:rPr>
          <w:rFonts w:ascii="Palatino Linotype" w:eastAsia="Palatino Linotype" w:hAnsi="Palatino Linotype" w:cs="Palatino Linotype"/>
          <w:i/>
        </w:rPr>
      </w:pPr>
    </w:p>
    <w:p w14:paraId="08FE00A4" w14:textId="77777777" w:rsidR="00500C9A" w:rsidRDefault="00F70859">
      <w:pPr>
        <w:numPr>
          <w:ilvl w:val="0"/>
          <w:numId w:val="1"/>
        </w:numPr>
        <w:spacing w:line="360" w:lineRule="auto"/>
        <w:ind w:left="0" w:right="-787" w:firstLine="0"/>
        <w:jc w:val="both"/>
      </w:pPr>
      <w:r>
        <w:rPr>
          <w:rFonts w:ascii="Palatino Linotype" w:eastAsia="Palatino Linotype" w:hAnsi="Palatino Linotype" w:cs="Palatino Linotype"/>
          <w:color w:val="222222"/>
        </w:rPr>
        <w:lastRenderedPageBreak/>
        <w:t xml:space="preserve">Por lo </w:t>
      </w:r>
      <w:r>
        <w:rPr>
          <w:rFonts w:ascii="Palatino Linotype" w:eastAsia="Palatino Linotype" w:hAnsi="Palatino Linotype" w:cs="Palatino Linotype"/>
          <w:color w:val="000000"/>
        </w:rPr>
        <w:t>anteriormente</w:t>
      </w:r>
      <w:r>
        <w:rPr>
          <w:rFonts w:ascii="Palatino Linotype" w:eastAsia="Palatino Linotype" w:hAnsi="Palatino Linotype" w:cs="Palatino Linotype"/>
          <w:color w:val="222222"/>
        </w:rPr>
        <w:t xml:space="preserv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136B43C3" w14:textId="77777777" w:rsidR="00500C9A" w:rsidRDefault="00F70859" w:rsidP="00832338">
      <w:pPr>
        <w:keepNext/>
        <w:keepLines/>
        <w:spacing w:line="312"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15133B73" w14:textId="77777777" w:rsidR="00500C9A" w:rsidRDefault="00500C9A" w:rsidP="00832338">
      <w:pPr>
        <w:keepNext/>
        <w:keepLines/>
        <w:spacing w:line="312" w:lineRule="auto"/>
        <w:ind w:right="-787"/>
        <w:jc w:val="center"/>
        <w:rPr>
          <w:rFonts w:ascii="Palatino Linotype" w:eastAsia="Palatino Linotype" w:hAnsi="Palatino Linotype" w:cs="Palatino Linotype"/>
          <w:b/>
          <w:color w:val="000000"/>
        </w:rPr>
      </w:pPr>
    </w:p>
    <w:p w14:paraId="1DDC79AE" w14:textId="77777777" w:rsidR="00500C9A" w:rsidRDefault="00F70859" w:rsidP="00832338">
      <w:pPr>
        <w:pBdr>
          <w:top w:val="nil"/>
          <w:left w:val="nil"/>
          <w:bottom w:val="nil"/>
          <w:right w:val="nil"/>
          <w:between w:val="nil"/>
        </w:pBdr>
        <w:tabs>
          <w:tab w:val="left" w:pos="7936"/>
        </w:tabs>
        <w:spacing w:line="312"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Se</w:t>
      </w:r>
      <w:r>
        <w:rPr>
          <w:rFonts w:ascii="Palatino Linotype" w:eastAsia="Palatino Linotype" w:hAnsi="Palatino Linotype" w:cs="Palatino Linotype"/>
          <w:b/>
        </w:rPr>
        <w:t xml:space="preserve"> SOBRESEE </w:t>
      </w:r>
      <w:r>
        <w:rPr>
          <w:rFonts w:ascii="Palatino Linotype" w:eastAsia="Palatino Linotype" w:hAnsi="Palatino Linotype" w:cs="Palatino Linotype"/>
        </w:rPr>
        <w:t xml:space="preserve">el Recurso de Revisión número </w:t>
      </w:r>
      <w:r>
        <w:rPr>
          <w:rFonts w:ascii="Palatino Linotype" w:eastAsia="Palatino Linotype" w:hAnsi="Palatino Linotype" w:cs="Palatino Linotype"/>
          <w:b/>
        </w:rPr>
        <w:t xml:space="preserve">00178/INFOEM/IP/RR/2024, </w:t>
      </w:r>
      <w:r>
        <w:rPr>
          <w:rFonts w:ascii="Palatino Linotype" w:eastAsia="Palatino Linotype" w:hAnsi="Palatino Linotype" w:cs="Palatino Linotype"/>
        </w:rPr>
        <w:t>porque una vez admitido se actualizó la causal de improcedencia prevista en artículo 192</w:t>
      </w:r>
      <w:r w:rsidR="00D86C81">
        <w:rPr>
          <w:rFonts w:ascii="Palatino Linotype" w:eastAsia="Palatino Linotype" w:hAnsi="Palatino Linotype" w:cs="Palatino Linotype"/>
        </w:rPr>
        <w:t>,</w:t>
      </w:r>
      <w:r>
        <w:rPr>
          <w:rFonts w:ascii="Palatino Linotype" w:eastAsia="Palatino Linotype" w:hAnsi="Palatino Linotype" w:cs="Palatino Linotype"/>
        </w:rPr>
        <w:t xml:space="preserve"> fracción IV, en relación con la fracción VII</w:t>
      </w:r>
      <w:r w:rsidR="00D86C81">
        <w:rPr>
          <w:rFonts w:ascii="Palatino Linotype" w:eastAsia="Palatino Linotype" w:hAnsi="Palatino Linotype" w:cs="Palatino Linotype"/>
        </w:rPr>
        <w:t>,</w:t>
      </w:r>
      <w:r>
        <w:rPr>
          <w:rFonts w:ascii="Palatino Linotype" w:eastAsia="Palatino Linotype" w:hAnsi="Palatino Linotype" w:cs="Palatino Linotype"/>
        </w:rPr>
        <w:t xml:space="preserve"> del artículo 191, de la Ley de Transparencia vigente en la entidad, que lo dejó sin materia en términos del Considerando</w:t>
      </w:r>
      <w:r>
        <w:rPr>
          <w:rFonts w:ascii="Palatino Linotype" w:eastAsia="Palatino Linotype" w:hAnsi="Palatino Linotype" w:cs="Palatino Linotype"/>
          <w:b/>
        </w:rPr>
        <w:t xml:space="preserve"> </w:t>
      </w:r>
      <w:r>
        <w:rPr>
          <w:rFonts w:ascii="Palatino Linotype" w:eastAsia="Palatino Linotype" w:hAnsi="Palatino Linotype" w:cs="Palatino Linotype"/>
        </w:rPr>
        <w:t>Tercero</w:t>
      </w:r>
      <w:r>
        <w:rPr>
          <w:rFonts w:ascii="Palatino Linotype" w:eastAsia="Palatino Linotype" w:hAnsi="Palatino Linotype" w:cs="Palatino Linotype"/>
          <w:b/>
        </w:rPr>
        <w:t xml:space="preserve"> </w:t>
      </w:r>
      <w:r>
        <w:rPr>
          <w:rFonts w:ascii="Palatino Linotype" w:eastAsia="Palatino Linotype" w:hAnsi="Palatino Linotype" w:cs="Palatino Linotype"/>
        </w:rPr>
        <w:t>de la presente resolución.</w:t>
      </w:r>
    </w:p>
    <w:p w14:paraId="2E34C5F4" w14:textId="77777777" w:rsidR="00500C9A" w:rsidRDefault="00500C9A" w:rsidP="00832338">
      <w:pPr>
        <w:pBdr>
          <w:top w:val="nil"/>
          <w:left w:val="nil"/>
          <w:bottom w:val="nil"/>
          <w:right w:val="nil"/>
          <w:between w:val="nil"/>
        </w:pBdr>
        <w:tabs>
          <w:tab w:val="left" w:pos="7936"/>
        </w:tabs>
        <w:spacing w:line="312" w:lineRule="auto"/>
        <w:ind w:right="-787"/>
        <w:jc w:val="both"/>
        <w:rPr>
          <w:rFonts w:ascii="Palatino Linotype" w:eastAsia="Palatino Linotype" w:hAnsi="Palatino Linotype" w:cs="Palatino Linotype"/>
        </w:rPr>
      </w:pPr>
    </w:p>
    <w:p w14:paraId="399AEEE4" w14:textId="77777777" w:rsidR="00500C9A" w:rsidRDefault="00F70859" w:rsidP="00832338">
      <w:pPr>
        <w:pBdr>
          <w:top w:val="nil"/>
          <w:left w:val="nil"/>
          <w:bottom w:val="nil"/>
          <w:right w:val="nil"/>
          <w:between w:val="nil"/>
        </w:pBdr>
        <w:tabs>
          <w:tab w:val="left" w:pos="7936"/>
        </w:tabs>
        <w:spacing w:line="312"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07CB8516" w14:textId="77777777" w:rsidR="00500C9A" w:rsidRDefault="00500C9A" w:rsidP="00832338">
      <w:pPr>
        <w:pBdr>
          <w:top w:val="nil"/>
          <w:left w:val="nil"/>
          <w:bottom w:val="nil"/>
          <w:right w:val="nil"/>
          <w:between w:val="nil"/>
        </w:pBdr>
        <w:tabs>
          <w:tab w:val="left" w:pos="7936"/>
        </w:tabs>
        <w:spacing w:line="312" w:lineRule="auto"/>
        <w:ind w:right="-787"/>
        <w:jc w:val="both"/>
        <w:rPr>
          <w:rFonts w:ascii="Palatino Linotype" w:eastAsia="Palatino Linotype" w:hAnsi="Palatino Linotype" w:cs="Palatino Linotype"/>
        </w:rPr>
      </w:pPr>
    </w:p>
    <w:p w14:paraId="25BD51D2" w14:textId="77777777" w:rsidR="00500C9A" w:rsidRDefault="00F70859" w:rsidP="00832338">
      <w:pPr>
        <w:spacing w:line="312"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vía el Juicio de Amparo en los términos de las leyes aplicables.</w:t>
      </w:r>
    </w:p>
    <w:p w14:paraId="6AF89AEF" w14:textId="77777777" w:rsidR="00500C9A" w:rsidRDefault="00500C9A" w:rsidP="00832338">
      <w:pPr>
        <w:shd w:val="clear" w:color="auto" w:fill="FFFFFF"/>
        <w:spacing w:line="312" w:lineRule="auto"/>
        <w:ind w:right="-787"/>
        <w:jc w:val="both"/>
        <w:rPr>
          <w:rFonts w:ascii="Palatino Linotype" w:eastAsia="Palatino Linotype" w:hAnsi="Palatino Linotype" w:cs="Palatino Linotype"/>
        </w:rPr>
      </w:pPr>
    </w:p>
    <w:p w14:paraId="5E5CC51F" w14:textId="77777777" w:rsidR="00500C9A" w:rsidRPr="00832338" w:rsidRDefault="00D86C81" w:rsidP="00832338">
      <w:pPr>
        <w:spacing w:line="312"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280331AC" w14:textId="77777777" w:rsidR="00500C9A" w:rsidRDefault="00500C9A">
      <w:pPr>
        <w:tabs>
          <w:tab w:val="left" w:pos="3374"/>
        </w:tabs>
        <w:spacing w:line="360" w:lineRule="auto"/>
        <w:ind w:right="-787"/>
        <w:rPr>
          <w:rFonts w:ascii="Palatino Linotype" w:eastAsia="Palatino Linotype" w:hAnsi="Palatino Linotype" w:cs="Palatino Linotype"/>
        </w:rPr>
      </w:pPr>
    </w:p>
    <w:p w14:paraId="1D954D2E" w14:textId="77777777" w:rsidR="00500C9A" w:rsidRDefault="00500C9A">
      <w:pPr>
        <w:tabs>
          <w:tab w:val="left" w:pos="3374"/>
        </w:tabs>
        <w:spacing w:line="360" w:lineRule="auto"/>
        <w:ind w:right="-787"/>
        <w:rPr>
          <w:rFonts w:ascii="Palatino Linotype" w:eastAsia="Palatino Linotype" w:hAnsi="Palatino Linotype" w:cs="Palatino Linotype"/>
        </w:rPr>
      </w:pPr>
    </w:p>
    <w:p w14:paraId="03BEB24F" w14:textId="77777777" w:rsidR="00500C9A" w:rsidRDefault="00500C9A">
      <w:pPr>
        <w:tabs>
          <w:tab w:val="left" w:pos="3374"/>
        </w:tabs>
        <w:spacing w:line="360" w:lineRule="auto"/>
        <w:ind w:right="-787"/>
        <w:rPr>
          <w:rFonts w:ascii="Palatino Linotype" w:eastAsia="Palatino Linotype" w:hAnsi="Palatino Linotype" w:cs="Palatino Linotype"/>
        </w:rPr>
      </w:pPr>
    </w:p>
    <w:p w14:paraId="45CB36F3" w14:textId="77777777" w:rsidR="00500C9A" w:rsidRDefault="00500C9A">
      <w:pPr>
        <w:tabs>
          <w:tab w:val="left" w:pos="3374"/>
        </w:tabs>
        <w:spacing w:line="360" w:lineRule="auto"/>
        <w:ind w:right="-787"/>
        <w:rPr>
          <w:rFonts w:ascii="Palatino Linotype" w:eastAsia="Palatino Linotype" w:hAnsi="Palatino Linotype" w:cs="Palatino Linotype"/>
        </w:rPr>
      </w:pPr>
    </w:p>
    <w:p w14:paraId="2007CF3D" w14:textId="77777777" w:rsidR="00500C9A" w:rsidRDefault="00500C9A">
      <w:pPr>
        <w:tabs>
          <w:tab w:val="left" w:pos="3374"/>
        </w:tabs>
        <w:spacing w:line="360" w:lineRule="auto"/>
        <w:ind w:right="-787"/>
        <w:rPr>
          <w:rFonts w:ascii="Palatino Linotype" w:eastAsia="Palatino Linotype" w:hAnsi="Palatino Linotype" w:cs="Palatino Linotype"/>
        </w:rPr>
      </w:pPr>
    </w:p>
    <w:p w14:paraId="66A60B29" w14:textId="77777777" w:rsidR="00500C9A" w:rsidRDefault="00500C9A">
      <w:pPr>
        <w:tabs>
          <w:tab w:val="left" w:pos="3374"/>
        </w:tabs>
        <w:spacing w:line="360" w:lineRule="auto"/>
        <w:ind w:right="-787"/>
        <w:rPr>
          <w:rFonts w:ascii="Palatino Linotype" w:eastAsia="Palatino Linotype" w:hAnsi="Palatino Linotype" w:cs="Palatino Linotype"/>
        </w:rPr>
      </w:pPr>
    </w:p>
    <w:p w14:paraId="0B06FFFC" w14:textId="77777777" w:rsidR="00500C9A" w:rsidRDefault="00500C9A">
      <w:pPr>
        <w:spacing w:line="360" w:lineRule="auto"/>
        <w:ind w:right="-787"/>
        <w:rPr>
          <w:rFonts w:ascii="Palatino Linotype" w:eastAsia="Palatino Linotype" w:hAnsi="Palatino Linotype" w:cs="Palatino Linotype"/>
        </w:rPr>
      </w:pPr>
    </w:p>
    <w:p w14:paraId="26972317" w14:textId="77777777" w:rsidR="00500C9A" w:rsidRDefault="00500C9A">
      <w:pPr>
        <w:spacing w:line="360" w:lineRule="auto"/>
        <w:ind w:right="-787"/>
        <w:rPr>
          <w:rFonts w:ascii="Palatino Linotype" w:eastAsia="Palatino Linotype" w:hAnsi="Palatino Linotype" w:cs="Palatino Linotype"/>
        </w:rPr>
      </w:pPr>
    </w:p>
    <w:sectPr w:rsidR="00500C9A">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90AF" w14:textId="77777777" w:rsidR="0066076C" w:rsidRDefault="0066076C">
      <w:r>
        <w:separator/>
      </w:r>
    </w:p>
  </w:endnote>
  <w:endnote w:type="continuationSeparator" w:id="0">
    <w:p w14:paraId="1919FF28" w14:textId="77777777" w:rsidR="0066076C" w:rsidRDefault="006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88EE" w14:textId="77777777" w:rsidR="00500C9A" w:rsidRDefault="00F7085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749F2">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749F2">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14:paraId="3090D23A" w14:textId="77777777" w:rsidR="00500C9A" w:rsidRDefault="00500C9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C594" w14:textId="77777777" w:rsidR="00500C9A" w:rsidRDefault="00F7085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749F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749F2">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14:paraId="3CC48739" w14:textId="77777777" w:rsidR="00500C9A" w:rsidRDefault="00500C9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4873" w14:textId="77777777" w:rsidR="0066076C" w:rsidRDefault="0066076C">
      <w:r>
        <w:separator/>
      </w:r>
    </w:p>
  </w:footnote>
  <w:footnote w:type="continuationSeparator" w:id="0">
    <w:p w14:paraId="2C64AB62" w14:textId="77777777" w:rsidR="0066076C" w:rsidRDefault="006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12EA" w14:textId="77777777" w:rsidR="00500C9A" w:rsidRDefault="0066076C">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2BD59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E637" w14:textId="77777777" w:rsidR="00500C9A" w:rsidRDefault="00500C9A">
    <w:pPr>
      <w:widowControl w:val="0"/>
      <w:pBdr>
        <w:top w:val="nil"/>
        <w:left w:val="nil"/>
        <w:bottom w:val="nil"/>
        <w:right w:val="nil"/>
        <w:between w:val="nil"/>
      </w:pBdr>
      <w:spacing w:line="276" w:lineRule="auto"/>
      <w:rPr>
        <w:rFonts w:eastAsia="Calibri"/>
        <w:color w:val="000000"/>
      </w:rPr>
    </w:pPr>
  </w:p>
  <w:tbl>
    <w:tblPr>
      <w:tblStyle w:val="a"/>
      <w:tblW w:w="7275" w:type="dxa"/>
      <w:tblInd w:w="2694" w:type="dxa"/>
      <w:tblLayout w:type="fixed"/>
      <w:tblLook w:val="0400" w:firstRow="0" w:lastRow="0" w:firstColumn="0" w:lastColumn="0" w:noHBand="0" w:noVBand="1"/>
    </w:tblPr>
    <w:tblGrid>
      <w:gridCol w:w="2970"/>
      <w:gridCol w:w="4305"/>
    </w:tblGrid>
    <w:tr w:rsidR="00500C9A" w14:paraId="3518A823" w14:textId="77777777">
      <w:trPr>
        <w:trHeight w:val="227"/>
      </w:trPr>
      <w:tc>
        <w:tcPr>
          <w:tcW w:w="2970" w:type="dxa"/>
          <w:vAlign w:val="center"/>
        </w:tcPr>
        <w:p w14:paraId="4A91B135" w14:textId="77777777" w:rsidR="00500C9A" w:rsidRDefault="00F7085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05" w:type="dxa"/>
          <w:vAlign w:val="center"/>
        </w:tcPr>
        <w:p w14:paraId="5248274D" w14:textId="77777777" w:rsidR="00500C9A" w:rsidRDefault="00F70859">
          <w:pPr>
            <w:pBdr>
              <w:top w:val="nil"/>
              <w:left w:val="nil"/>
              <w:bottom w:val="nil"/>
              <w:right w:val="nil"/>
              <w:between w:val="nil"/>
            </w:pBdr>
            <w:tabs>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00178/INFOEM/IP/RR/2024</w:t>
          </w:r>
        </w:p>
      </w:tc>
    </w:tr>
    <w:tr w:rsidR="00500C9A" w14:paraId="5F6C6A32" w14:textId="77777777">
      <w:trPr>
        <w:trHeight w:val="242"/>
      </w:trPr>
      <w:tc>
        <w:tcPr>
          <w:tcW w:w="2970" w:type="dxa"/>
          <w:vAlign w:val="center"/>
        </w:tcPr>
        <w:p w14:paraId="0DF72787" w14:textId="77777777" w:rsidR="00500C9A" w:rsidRDefault="00F7085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05" w:type="dxa"/>
          <w:vAlign w:val="center"/>
        </w:tcPr>
        <w:p w14:paraId="5DB40D3B" w14:textId="77777777" w:rsidR="00500C9A" w:rsidRDefault="00F70859">
          <w:pPr>
            <w:pBdr>
              <w:top w:val="nil"/>
              <w:left w:val="nil"/>
              <w:bottom w:val="nil"/>
              <w:right w:val="nil"/>
              <w:between w:val="nil"/>
            </w:pBdr>
            <w:tabs>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Naucalpan de Juárez</w:t>
          </w:r>
        </w:p>
      </w:tc>
    </w:tr>
    <w:tr w:rsidR="00500C9A" w14:paraId="42B7AEC4" w14:textId="77777777">
      <w:trPr>
        <w:trHeight w:val="342"/>
      </w:trPr>
      <w:tc>
        <w:tcPr>
          <w:tcW w:w="2970" w:type="dxa"/>
          <w:vAlign w:val="center"/>
        </w:tcPr>
        <w:p w14:paraId="5D32F13B" w14:textId="77777777" w:rsidR="00500C9A" w:rsidRDefault="00F7085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05" w:type="dxa"/>
          <w:vAlign w:val="center"/>
        </w:tcPr>
        <w:p w14:paraId="065D41F3" w14:textId="77777777" w:rsidR="00500C9A" w:rsidRDefault="00F70859">
          <w:pPr>
            <w:pBdr>
              <w:top w:val="nil"/>
              <w:left w:val="nil"/>
              <w:bottom w:val="nil"/>
              <w:right w:val="nil"/>
              <w:between w:val="nil"/>
            </w:pBdr>
            <w:tabs>
              <w:tab w:val="right" w:pos="8838"/>
            </w:tabs>
            <w:ind w:right="-86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BB8647B" w14:textId="77777777" w:rsidR="00500C9A" w:rsidRDefault="0066076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D581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FC61" w14:textId="77777777" w:rsidR="00500C9A" w:rsidRDefault="00500C9A">
    <w:pPr>
      <w:widowControl w:val="0"/>
      <w:pBdr>
        <w:top w:val="nil"/>
        <w:left w:val="nil"/>
        <w:bottom w:val="nil"/>
        <w:right w:val="nil"/>
        <w:between w:val="nil"/>
      </w:pBdr>
      <w:spacing w:line="276" w:lineRule="auto"/>
      <w:rPr>
        <w:rFonts w:eastAsia="Calibri"/>
        <w:color w:val="000000"/>
        <w:sz w:val="14"/>
        <w:szCs w:val="14"/>
      </w:rPr>
    </w:pPr>
  </w:p>
  <w:tbl>
    <w:tblPr>
      <w:tblStyle w:val="a0"/>
      <w:tblW w:w="7380" w:type="dxa"/>
      <w:tblInd w:w="2552" w:type="dxa"/>
      <w:tblLayout w:type="fixed"/>
      <w:tblLook w:val="0400" w:firstRow="0" w:lastRow="0" w:firstColumn="0" w:lastColumn="0" w:noHBand="0" w:noVBand="1"/>
    </w:tblPr>
    <w:tblGrid>
      <w:gridCol w:w="2970"/>
      <w:gridCol w:w="4410"/>
    </w:tblGrid>
    <w:tr w:rsidR="00500C9A" w14:paraId="7F6250D8" w14:textId="77777777">
      <w:trPr>
        <w:trHeight w:val="281"/>
      </w:trPr>
      <w:tc>
        <w:tcPr>
          <w:tcW w:w="2970" w:type="dxa"/>
          <w:vAlign w:val="center"/>
        </w:tcPr>
        <w:p w14:paraId="6557FA8A" w14:textId="77777777" w:rsidR="00500C9A" w:rsidRDefault="00F708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10" w:type="dxa"/>
          <w:vAlign w:val="center"/>
        </w:tcPr>
        <w:p w14:paraId="7B337026" w14:textId="77777777" w:rsidR="00500C9A" w:rsidRDefault="00F70859">
          <w:pPr>
            <w:pBdr>
              <w:top w:val="nil"/>
              <w:left w:val="nil"/>
              <w:bottom w:val="nil"/>
              <w:right w:val="nil"/>
              <w:between w:val="nil"/>
            </w:pBdr>
            <w:tabs>
              <w:tab w:val="right" w:pos="8838"/>
            </w:tabs>
            <w:ind w:right="-5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00178/INFOEM/IP/RR/2024</w:t>
          </w:r>
        </w:p>
      </w:tc>
    </w:tr>
    <w:tr w:rsidR="00500C9A" w14:paraId="789CAAEE" w14:textId="77777777">
      <w:trPr>
        <w:trHeight w:val="281"/>
      </w:trPr>
      <w:tc>
        <w:tcPr>
          <w:tcW w:w="2970" w:type="dxa"/>
          <w:vAlign w:val="center"/>
        </w:tcPr>
        <w:p w14:paraId="79C47629" w14:textId="77777777" w:rsidR="00500C9A" w:rsidRDefault="00F708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10" w:type="dxa"/>
        </w:tcPr>
        <w:p w14:paraId="00F6014E" w14:textId="398DDCA9" w:rsidR="00500C9A" w:rsidRDefault="00CE7C3C">
          <w:pPr>
            <w:pBdr>
              <w:top w:val="nil"/>
              <w:left w:val="nil"/>
              <w:bottom w:val="nil"/>
              <w:right w:val="nil"/>
              <w:between w:val="nil"/>
            </w:pBdr>
            <w:tabs>
              <w:tab w:val="right" w:pos="8838"/>
              <w:tab w:val="left" w:pos="521"/>
            </w:tabs>
            <w:ind w:right="-5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500C9A" w14:paraId="11FEB08B" w14:textId="77777777">
      <w:trPr>
        <w:trHeight w:val="563"/>
      </w:trPr>
      <w:tc>
        <w:tcPr>
          <w:tcW w:w="2970" w:type="dxa"/>
          <w:vAlign w:val="center"/>
        </w:tcPr>
        <w:p w14:paraId="2D566300" w14:textId="77777777" w:rsidR="00500C9A" w:rsidRDefault="00F708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0" w:type="dxa"/>
          <w:vAlign w:val="center"/>
        </w:tcPr>
        <w:p w14:paraId="6620C3A6" w14:textId="77777777" w:rsidR="00500C9A" w:rsidRDefault="00F70859">
          <w:pPr>
            <w:pBdr>
              <w:top w:val="nil"/>
              <w:left w:val="nil"/>
              <w:bottom w:val="nil"/>
              <w:right w:val="nil"/>
              <w:between w:val="nil"/>
            </w:pBdr>
            <w:tabs>
              <w:tab w:val="right" w:pos="8838"/>
            </w:tabs>
            <w:ind w:right="-55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Naucalpan de Juárez</w:t>
          </w:r>
        </w:p>
      </w:tc>
    </w:tr>
    <w:tr w:rsidR="00500C9A" w14:paraId="54F13E48" w14:textId="77777777">
      <w:trPr>
        <w:trHeight w:val="327"/>
      </w:trPr>
      <w:tc>
        <w:tcPr>
          <w:tcW w:w="2970" w:type="dxa"/>
          <w:vAlign w:val="center"/>
        </w:tcPr>
        <w:p w14:paraId="72C773EC" w14:textId="77777777" w:rsidR="00500C9A" w:rsidRDefault="00F7085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10" w:type="dxa"/>
          <w:vAlign w:val="center"/>
        </w:tcPr>
        <w:p w14:paraId="68B7241C" w14:textId="77777777" w:rsidR="00500C9A" w:rsidRDefault="00F70859">
          <w:pPr>
            <w:pBdr>
              <w:top w:val="nil"/>
              <w:left w:val="nil"/>
              <w:bottom w:val="nil"/>
              <w:right w:val="nil"/>
              <w:between w:val="nil"/>
            </w:pBdr>
            <w:tabs>
              <w:tab w:val="right" w:pos="8838"/>
            </w:tabs>
            <w:ind w:right="-55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45EF3084" w14:textId="77777777" w:rsidR="00500C9A" w:rsidRDefault="0066076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771C6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79A0"/>
    <w:multiLevelType w:val="multilevel"/>
    <w:tmpl w:val="7B5A9E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42A30FD"/>
    <w:multiLevelType w:val="multilevel"/>
    <w:tmpl w:val="0F28AD40"/>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 w15:restartNumberingAfterBreak="0">
    <w:nsid w:val="1AD34A00"/>
    <w:multiLevelType w:val="multilevel"/>
    <w:tmpl w:val="60B0AE7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B7677E"/>
    <w:multiLevelType w:val="multilevel"/>
    <w:tmpl w:val="1EA278A4"/>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4" w15:restartNumberingAfterBreak="0">
    <w:nsid w:val="5E61785A"/>
    <w:multiLevelType w:val="multilevel"/>
    <w:tmpl w:val="D37AB0C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709F63C1"/>
    <w:multiLevelType w:val="multilevel"/>
    <w:tmpl w:val="4F70F6F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369187779">
    <w:abstractNumId w:val="2"/>
  </w:num>
  <w:num w:numId="2" w16cid:durableId="290406814">
    <w:abstractNumId w:val="1"/>
  </w:num>
  <w:num w:numId="3" w16cid:durableId="813254178">
    <w:abstractNumId w:val="5"/>
  </w:num>
  <w:num w:numId="4" w16cid:durableId="126094426">
    <w:abstractNumId w:val="0"/>
  </w:num>
  <w:num w:numId="5" w16cid:durableId="692145246">
    <w:abstractNumId w:val="3"/>
  </w:num>
  <w:num w:numId="6" w16cid:durableId="187257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9A"/>
    <w:rsid w:val="00500C9A"/>
    <w:rsid w:val="0066076C"/>
    <w:rsid w:val="006D3D07"/>
    <w:rsid w:val="00832338"/>
    <w:rsid w:val="00A749F2"/>
    <w:rsid w:val="00CE7C3C"/>
    <w:rsid w:val="00D86C81"/>
    <w:rsid w:val="00D8725C"/>
    <w:rsid w:val="00F70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3D10A"/>
  <w15:docId w15:val="{5B13E85C-6326-4663-B23D-9731F7C1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gVc2eWt3EsaxZE9boxlK6C6Lg==">CgMxLjAyCGguZ2pkZ3hzMgloLjMwajB6bGwyCWguMWZvYjl0ZTIJaC4zem55c2g3MgloLjJldDkycDAyCGgudHlqY3d0MgloLjNkeTZ2a204AHIhMTN3Y3ZlaHpoX3g2X3diXy1pNXZZVlJSdE1Dbm5nU3hC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BF83DF-09F6-416E-A574-C0F4ECC9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5392</Words>
  <Characters>29659</Characters>
  <Application>Microsoft Office Word</Application>
  <DocSecurity>0</DocSecurity>
  <Lines>247</Lines>
  <Paragraphs>69</Paragraphs>
  <ScaleCrop>false</ScaleCrop>
  <Company>HP Inc.</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2024-11-25T17:55:00Z</cp:lastPrinted>
  <dcterms:created xsi:type="dcterms:W3CDTF">2024-11-13T20:52:00Z</dcterms:created>
  <dcterms:modified xsi:type="dcterms:W3CDTF">2024-12-04T23:19:00Z</dcterms:modified>
</cp:coreProperties>
</file>