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43527BF"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11108B">
        <w:rPr>
          <w:rFonts w:eastAsia="Palatino Linotype" w:cs="Palatino Linotype"/>
          <w:color w:val="000000"/>
          <w:szCs w:val="24"/>
        </w:rPr>
        <w:t xml:space="preserve"> </w:t>
      </w:r>
      <w:r w:rsidR="0011108B" w:rsidRPr="006F7555">
        <w:rPr>
          <w:rFonts w:eastAsia="Palatino Linotype" w:cs="Palatino Linotype"/>
          <w:b/>
          <w:color w:val="000000"/>
          <w:szCs w:val="24"/>
        </w:rPr>
        <w:t>veinticuatro de enero de dos mil veinticuatro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F7232B6" w:rsidR="00A970D5" w:rsidRPr="0022406E" w:rsidRDefault="00A970D5" w:rsidP="006922F5">
      <w:pPr>
        <w:pBdr>
          <w:top w:val="nil"/>
          <w:left w:val="nil"/>
          <w:bottom w:val="nil"/>
          <w:right w:val="nil"/>
          <w:between w:val="nil"/>
        </w:pBdr>
        <w:contextualSpacing/>
        <w:rPr>
          <w:rFonts w:eastAsia="Palatino Linotype" w:cs="Palatino Linotype"/>
          <w:b/>
          <w:bCs/>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4C52E8">
        <w:rPr>
          <w:rFonts w:eastAsia="Palatino Linotype" w:cs="Palatino Linotype"/>
          <w:b/>
          <w:color w:val="000000"/>
          <w:szCs w:val="24"/>
        </w:rPr>
        <w:t>0</w:t>
      </w:r>
      <w:r w:rsidR="0022406E">
        <w:rPr>
          <w:rFonts w:eastAsia="Palatino Linotype" w:cs="Palatino Linotype"/>
          <w:b/>
          <w:color w:val="000000"/>
          <w:szCs w:val="24"/>
        </w:rPr>
        <w:t>3</w:t>
      </w:r>
      <w:r w:rsidR="00077748">
        <w:rPr>
          <w:rFonts w:eastAsia="Palatino Linotype" w:cs="Palatino Linotype"/>
          <w:b/>
          <w:color w:val="000000"/>
          <w:szCs w:val="24"/>
        </w:rPr>
        <w:t>22</w:t>
      </w:r>
      <w:r w:rsidR="00363EA3">
        <w:rPr>
          <w:rFonts w:eastAsia="Palatino Linotype" w:cs="Palatino Linotype"/>
          <w:b/>
          <w:color w:val="000000"/>
          <w:szCs w:val="24"/>
        </w:rPr>
        <w:t>0</w:t>
      </w:r>
      <w:r w:rsidRPr="00875B7E">
        <w:rPr>
          <w:rFonts w:eastAsia="Palatino Linotype" w:cs="Palatino Linotype"/>
          <w:b/>
          <w:color w:val="000000"/>
          <w:szCs w:val="24"/>
        </w:rPr>
        <w:t>/INFOEM/IP/RR/202</w:t>
      </w:r>
      <w:r w:rsidR="00657695">
        <w:rPr>
          <w:rFonts w:eastAsia="Palatino Linotype" w:cs="Palatino Linotype"/>
          <w:b/>
          <w:color w:val="000000"/>
          <w:szCs w:val="24"/>
        </w:rPr>
        <w:t>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0151CC">
        <w:rPr>
          <w:rFonts w:eastAsia="Palatino Linotype" w:cs="Palatino Linotype"/>
          <w:b/>
          <w:bCs/>
          <w:color w:val="000000"/>
          <w:szCs w:val="24"/>
        </w:rPr>
        <w:t>XXXXXXXXXXXX</w:t>
      </w:r>
      <w:bookmarkStart w:id="0" w:name="_GoBack"/>
      <w:bookmarkEnd w:id="0"/>
      <w:r w:rsidR="00B54BC7" w:rsidRPr="00875B7E">
        <w:rPr>
          <w:rFonts w:eastAsia="Palatino Linotype" w:cs="Palatino Linotype"/>
          <w:color w:val="000000"/>
          <w:szCs w:val="24"/>
        </w:rPr>
        <w:t xml:space="preserve">, en lo sucesivo </w:t>
      </w:r>
      <w:r w:rsidR="008E5682" w:rsidRPr="00875B7E">
        <w:rPr>
          <w:rFonts w:eastAsia="Palatino Linotype" w:cs="Palatino Linotype"/>
          <w:color w:val="000000"/>
          <w:szCs w:val="24"/>
        </w:rPr>
        <w:t>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4C52E8">
        <w:rPr>
          <w:rFonts w:eastAsia="Palatino Linotype" w:cs="Palatino Linotype"/>
          <w:b/>
          <w:color w:val="000000"/>
          <w:szCs w:val="24"/>
        </w:rPr>
        <w:t xml:space="preserve">Ayuntamiento de </w:t>
      </w:r>
      <w:r w:rsidR="00077748">
        <w:rPr>
          <w:rFonts w:eastAsia="Palatino Linotype" w:cs="Palatino Linotype"/>
          <w:b/>
          <w:color w:val="000000"/>
          <w:szCs w:val="24"/>
        </w:rPr>
        <w:t>Melchor Ocampo</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1E3F1A2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77748">
        <w:rPr>
          <w:rFonts w:eastAsia="Palatino Linotype" w:cs="Palatino Linotype"/>
          <w:color w:val="000000"/>
          <w:szCs w:val="24"/>
        </w:rPr>
        <w:t>diecinueve de abril</w:t>
      </w:r>
      <w:r w:rsidR="004C52E8">
        <w:rPr>
          <w:rFonts w:eastAsia="Palatino Linotype" w:cs="Palatino Linotype"/>
          <w:color w:val="000000"/>
          <w:szCs w:val="24"/>
        </w:rPr>
        <w:t xml:space="preserve"> </w:t>
      </w:r>
      <w:r w:rsidR="00AA6C98">
        <w:rPr>
          <w:rFonts w:eastAsia="Palatino Linotype" w:cs="Palatino Linotype"/>
          <w:color w:val="000000"/>
          <w:szCs w:val="24"/>
        </w:rPr>
        <w:t>de dos mil veintitrés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2A0A88">
        <w:rPr>
          <w:rFonts w:eastAsia="Palatino Linotype" w:cs="Palatino Linotype"/>
          <w:b/>
          <w:bCs/>
          <w:color w:val="000000"/>
          <w:szCs w:val="24"/>
        </w:rPr>
        <w:t>00081/MELOCAM/IP/2023</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D0B552A" w:rsidR="00A970D5" w:rsidRPr="006922F5" w:rsidRDefault="0084172B" w:rsidP="006922F5">
      <w:pPr>
        <w:pStyle w:val="Fundamentos"/>
      </w:pPr>
      <w:r>
        <w:t>«</w:t>
      </w:r>
      <w:r w:rsidR="002A0A88" w:rsidRPr="002A0A88">
        <w:t>Que diga el Oficial Mediador- Conciliador cuántos convenios realizó de enero de 2022 a marzo de 2023. Y que remita en versión pública los mismos. Que diga el Oficial Mediador- Conciliador que protocolos y manuales utiliza cuando cuando advierte que en un conflicto entre particulares existió violencia de género.</w:t>
      </w:r>
      <w:r w:rsidR="00BA0A2D">
        <w:t>»</w:t>
      </w:r>
      <w:r w:rsidR="00A970D5" w:rsidRPr="006922F5">
        <w:t xml:space="preserve"> </w:t>
      </w:r>
      <w:r w:rsidR="00D7260C" w:rsidRPr="006922F5">
        <w:t>(</w:t>
      </w:r>
      <w:r w:rsidR="00A970D5" w:rsidRPr="006922F5">
        <w:t>Sic</w:t>
      </w:r>
      <w:r w:rsidR="00D7260C" w:rsidRPr="006922F5">
        <w:t>)</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1603BECA" w14:textId="77777777" w:rsidR="00875B7E" w:rsidRDefault="00875B7E" w:rsidP="006922F5">
      <w:pPr>
        <w:pBdr>
          <w:top w:val="nil"/>
          <w:left w:val="nil"/>
          <w:bottom w:val="nil"/>
          <w:right w:val="nil"/>
          <w:between w:val="nil"/>
        </w:pBdr>
        <w:contextualSpacing/>
        <w:rPr>
          <w:rFonts w:eastAsia="Palatino Linotype" w:cs="Palatino Linotype"/>
          <w:color w:val="000000"/>
          <w:szCs w:val="24"/>
        </w:rPr>
      </w:pPr>
    </w:p>
    <w:p w14:paraId="69E3746F" w14:textId="5FCF117C" w:rsidR="002A0A88" w:rsidRPr="006922F5" w:rsidRDefault="002A0A88" w:rsidP="002A0A88">
      <w:pPr>
        <w:pStyle w:val="Ttulo2"/>
        <w:rPr>
          <w:rFonts w:eastAsia="Palatino Linotype"/>
        </w:rPr>
      </w:pPr>
      <w:r>
        <w:rPr>
          <w:rFonts w:eastAsia="Palatino Linotype"/>
        </w:rPr>
        <w:lastRenderedPageBreak/>
        <w:t>SEGUNDO</w:t>
      </w:r>
      <w:r w:rsidRPr="006922F5">
        <w:rPr>
          <w:rFonts w:eastAsia="Palatino Linotype"/>
        </w:rPr>
        <w:t>. De</w:t>
      </w:r>
      <w:r>
        <w:rPr>
          <w:rFonts w:eastAsia="Palatino Linotype"/>
        </w:rPr>
        <w:t>l requerimiento de aclaración y aclaración del Recurrente</w:t>
      </w:r>
      <w:r w:rsidRPr="006922F5">
        <w:rPr>
          <w:rFonts w:eastAsia="Palatino Linotype"/>
        </w:rPr>
        <w:t>.</w:t>
      </w:r>
    </w:p>
    <w:p w14:paraId="55F6BE49" w14:textId="1AC0CC89" w:rsidR="002A0A88" w:rsidRPr="006922F5" w:rsidRDefault="002A0A88" w:rsidP="002A0A88">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w:t>
      </w:r>
      <w:r w:rsidRPr="006922F5">
        <w:rPr>
          <w:rFonts w:eastAsia="Palatino Linotype" w:cs="Palatino Linotype"/>
          <w:color w:val="000000"/>
          <w:szCs w:val="24"/>
        </w:rPr>
        <w:t>día</w:t>
      </w:r>
      <w:r>
        <w:rPr>
          <w:rFonts w:eastAsia="Palatino Linotype" w:cs="Palatino Linotype"/>
          <w:color w:val="000000"/>
          <w:szCs w:val="24"/>
        </w:rPr>
        <w:t xml:space="preserve"> veintisiete de abril de dos mil veintitrés</w:t>
      </w:r>
      <w:r w:rsidRPr="006922F5">
        <w:rPr>
          <w:rFonts w:eastAsia="Palatino Linotype" w:cs="Palatino Linotype"/>
          <w:color w:val="000000"/>
          <w:szCs w:val="24"/>
        </w:rPr>
        <w:t xml:space="preserve">, el Sujeto Obligado </w:t>
      </w:r>
      <w:r>
        <w:rPr>
          <w:rFonts w:eastAsia="Palatino Linotype" w:cs="Palatino Linotype"/>
          <w:color w:val="000000"/>
          <w:szCs w:val="24"/>
        </w:rPr>
        <w:t xml:space="preserve">pidió al Recurrente una aclaración a su solicitud toda vez que consideró que es clara la expresión documental a la que hace referencia y que solicita, por lo que se encuentra imposibilitado para dar contestación. Por lo anterior, en fecha dos de mayo del mismo año, el Recurrente atendió el requerimiento con el documento denominado </w:t>
      </w:r>
      <w:r>
        <w:rPr>
          <w:rFonts w:eastAsia="Palatino Linotype" w:cs="Palatino Linotype"/>
          <w:b/>
          <w:bCs/>
          <w:color w:val="000000"/>
          <w:szCs w:val="24"/>
        </w:rPr>
        <w:t>«ACLARACIÓN SAIMEX 081.docx»</w:t>
      </w:r>
      <w:r w:rsidR="00CB2A72">
        <w:rPr>
          <w:rFonts w:eastAsia="Palatino Linotype" w:cs="Palatino Linotype"/>
          <w:color w:val="000000"/>
          <w:szCs w:val="24"/>
        </w:rPr>
        <w:t xml:space="preserve">, </w:t>
      </w:r>
      <w:r w:rsidR="00B25441">
        <w:rPr>
          <w:rFonts w:eastAsia="Palatino Linotype" w:cs="Palatino Linotype"/>
          <w:color w:val="000000"/>
          <w:szCs w:val="24"/>
        </w:rPr>
        <w:t>que consiste en lo siguiente:</w:t>
      </w:r>
    </w:p>
    <w:p w14:paraId="03653F78" w14:textId="77777777" w:rsidR="002A0A88" w:rsidRDefault="002A0A88" w:rsidP="006922F5">
      <w:pPr>
        <w:pBdr>
          <w:top w:val="nil"/>
          <w:left w:val="nil"/>
          <w:bottom w:val="nil"/>
          <w:right w:val="nil"/>
          <w:between w:val="nil"/>
        </w:pBdr>
        <w:contextualSpacing/>
        <w:rPr>
          <w:rFonts w:eastAsia="Palatino Linotype" w:cs="Palatino Linotype"/>
          <w:color w:val="000000"/>
          <w:szCs w:val="24"/>
        </w:rPr>
      </w:pPr>
    </w:p>
    <w:p w14:paraId="091A1A88" w14:textId="5B946295" w:rsidR="00CB2A72" w:rsidRPr="00CB2A72" w:rsidRDefault="00B25441" w:rsidP="00CB2A72">
      <w:pPr>
        <w:pStyle w:val="Fundamentos"/>
        <w:jc w:val="right"/>
        <w:rPr>
          <w:b/>
          <w:bCs/>
          <w:lang w:val="es-MX"/>
        </w:rPr>
      </w:pPr>
      <w:r w:rsidRPr="00B25441">
        <w:rPr>
          <w:lang w:val="es-MX"/>
        </w:rPr>
        <w:t>«</w:t>
      </w:r>
      <w:r w:rsidR="00CB2A72" w:rsidRPr="00CB2A72">
        <w:rPr>
          <w:b/>
          <w:bCs/>
          <w:lang w:val="es-MX"/>
        </w:rPr>
        <w:t>ASUNTO: CONTESTACIÓN A SOLICITUD DE  ACLARACIÓN.</w:t>
      </w:r>
    </w:p>
    <w:p w14:paraId="49788CF3" w14:textId="77777777" w:rsidR="00CB2A72" w:rsidRPr="00CB2A72" w:rsidRDefault="00CB2A72" w:rsidP="00CB2A72">
      <w:pPr>
        <w:pStyle w:val="Fundamentos"/>
        <w:jc w:val="right"/>
        <w:rPr>
          <w:lang w:val="es-MX"/>
        </w:rPr>
      </w:pPr>
      <w:r w:rsidRPr="00CB2A72">
        <w:rPr>
          <w:lang w:val="es-MX"/>
        </w:rPr>
        <w:t xml:space="preserve">Número de </w:t>
      </w:r>
      <w:bookmarkStart w:id="1" w:name="_Hlk133744919"/>
      <w:r w:rsidRPr="00CB2A72">
        <w:rPr>
          <w:lang w:val="es-MX"/>
        </w:rPr>
        <w:t>Folio de la Solicitud:    000</w:t>
      </w:r>
      <w:bookmarkEnd w:id="1"/>
      <w:r w:rsidRPr="00CB2A72">
        <w:rPr>
          <w:lang w:val="es-MX"/>
        </w:rPr>
        <w:t>81/MELOCAM/IP/2023</w:t>
      </w:r>
    </w:p>
    <w:p w14:paraId="30C4334D" w14:textId="77777777" w:rsidR="00CB2A72" w:rsidRPr="00CB2A72" w:rsidRDefault="00CB2A72" w:rsidP="00CB2A72">
      <w:pPr>
        <w:pStyle w:val="Fundamentos"/>
        <w:rPr>
          <w:b/>
          <w:lang w:val="es-MX"/>
        </w:rPr>
      </w:pPr>
    </w:p>
    <w:p w14:paraId="71F0CF76" w14:textId="77777777" w:rsidR="00CB2A72" w:rsidRPr="00CB2A72" w:rsidRDefault="00CB2A72" w:rsidP="00CB2A72">
      <w:pPr>
        <w:pStyle w:val="Fundamentos"/>
        <w:rPr>
          <w:lang w:val="es-MX"/>
        </w:rPr>
      </w:pPr>
      <w:r w:rsidRPr="00CB2A72">
        <w:rPr>
          <w:lang w:val="es-MX"/>
        </w:rPr>
        <w:t>C. Sujeto Obligado</w:t>
      </w:r>
    </w:p>
    <w:p w14:paraId="3E53CE70" w14:textId="77777777" w:rsidR="00CB2A72" w:rsidRPr="00CB2A72" w:rsidRDefault="00CB2A72" w:rsidP="00CB2A72">
      <w:pPr>
        <w:pStyle w:val="Fundamentos"/>
        <w:rPr>
          <w:lang w:val="es-MX"/>
        </w:rPr>
      </w:pPr>
      <w:r w:rsidRPr="00CB2A72">
        <w:rPr>
          <w:lang w:val="es-MX"/>
        </w:rPr>
        <w:t>(H. Ayuntamiento del Municipio de Melchor Ocampo,</w:t>
      </w:r>
    </w:p>
    <w:p w14:paraId="3023802C" w14:textId="77777777" w:rsidR="00CB2A72" w:rsidRPr="00CB2A72" w:rsidRDefault="00CB2A72" w:rsidP="00CB2A72">
      <w:pPr>
        <w:pStyle w:val="Fundamentos"/>
        <w:rPr>
          <w:lang w:val="es-MX"/>
        </w:rPr>
      </w:pPr>
      <w:r w:rsidRPr="00CB2A72">
        <w:rPr>
          <w:lang w:val="es-MX"/>
        </w:rPr>
        <w:t>Estado de México)</w:t>
      </w:r>
    </w:p>
    <w:p w14:paraId="5CF8D786" w14:textId="77777777" w:rsidR="00CB2A72" w:rsidRDefault="00CB2A72" w:rsidP="00CB2A72">
      <w:pPr>
        <w:pStyle w:val="Fundamentos"/>
        <w:rPr>
          <w:lang w:val="es-MX"/>
        </w:rPr>
      </w:pPr>
      <w:r w:rsidRPr="00CB2A72">
        <w:rPr>
          <w:lang w:val="es-MX"/>
        </w:rPr>
        <w:t>P R E S E N T E:</w:t>
      </w:r>
    </w:p>
    <w:p w14:paraId="73B936C1" w14:textId="77777777" w:rsidR="00CB2A72" w:rsidRPr="00CB2A72" w:rsidRDefault="00CB2A72" w:rsidP="00CB2A72">
      <w:pPr>
        <w:pStyle w:val="Fundamentos"/>
        <w:rPr>
          <w:lang w:val="es-MX"/>
        </w:rPr>
      </w:pPr>
    </w:p>
    <w:p w14:paraId="51710AB8" w14:textId="78E84714" w:rsidR="00CB2A72" w:rsidRPr="00CB2A72" w:rsidRDefault="00CB2A72" w:rsidP="00CB2A72">
      <w:pPr>
        <w:pStyle w:val="Fundamentos"/>
        <w:rPr>
          <w:lang w:val="es-MX"/>
        </w:rPr>
      </w:pPr>
      <w:bookmarkStart w:id="2" w:name="_Hlk133751517"/>
      <w:r w:rsidRPr="00CB2A72">
        <w:rPr>
          <w:bCs/>
          <w:lang w:val="es-MX"/>
        </w:rPr>
        <w:t xml:space="preserve">“EL SOLICITANTE” </w:t>
      </w:r>
      <w:bookmarkEnd w:id="2"/>
      <w:r w:rsidRPr="00CB2A72">
        <w:rPr>
          <w:bCs/>
          <w:lang w:val="es-MX"/>
        </w:rPr>
        <w:t>por mi p</w:t>
      </w:r>
      <w:r w:rsidRPr="00CB2A72">
        <w:rPr>
          <w:lang w:val="es-MX"/>
        </w:rPr>
        <w:t xml:space="preserve">ropio derecho y señalando como domicilio para oír y recibir toda clase de notificaciones, la </w:t>
      </w:r>
      <w:bookmarkStart w:id="3" w:name="_Hlk133747430"/>
      <w:r w:rsidRPr="00CB2A72">
        <w:rPr>
          <w:lang w:val="es-MX"/>
        </w:rPr>
        <w:t xml:space="preserve">plataforma electrónica del  Sistema de Acceso a la Información Mexiquense </w:t>
      </w:r>
      <w:bookmarkEnd w:id="3"/>
      <w:r w:rsidRPr="00CB2A72">
        <w:rPr>
          <w:lang w:val="es-MX"/>
        </w:rPr>
        <w:t xml:space="preserve">y el correo electrónico </w:t>
      </w:r>
      <w:r w:rsidR="00AD2B85">
        <w:t xml:space="preserve">[…] </w:t>
      </w:r>
      <w:r w:rsidRPr="00CB2A72">
        <w:rPr>
          <w:lang w:val="es-MX"/>
        </w:rPr>
        <w:t xml:space="preserve">con fundamento en lo dispuesto por </w:t>
      </w:r>
      <w:bookmarkStart w:id="4" w:name="_Hlk133746755"/>
      <w:r w:rsidRPr="00CB2A72">
        <w:rPr>
          <w:lang w:val="es-MX"/>
        </w:rPr>
        <w:t xml:space="preserve">el artículo 159 del Ley de Transparencia y Acceso a la Información  Pública del Estado de México y Municipios </w:t>
      </w:r>
      <w:bookmarkEnd w:id="4"/>
      <w:r w:rsidRPr="00CB2A72">
        <w:rPr>
          <w:lang w:val="es-MX"/>
        </w:rPr>
        <w:t xml:space="preserve">vigente, estando en tiempo y forma, vengo a dar contestación a la aclaración solicitada por </w:t>
      </w:r>
      <w:bookmarkStart w:id="5" w:name="_Hlk133745537"/>
      <w:r w:rsidRPr="00CB2A72">
        <w:rPr>
          <w:lang w:val="es-MX"/>
        </w:rPr>
        <w:t>la Unidad de Transparencia del  H. Ayuntamiento del Municipio de Melchor Ocampo, Estado de México</w:t>
      </w:r>
      <w:bookmarkEnd w:id="5"/>
      <w:r w:rsidRPr="00CB2A72">
        <w:rPr>
          <w:lang w:val="es-MX"/>
        </w:rPr>
        <w:t xml:space="preserve"> de fecha 27 de Abril de 2023 mediante la plataforma  electrónica de del  Sistema de Acceso a la Información Mexiquense, en los términos siguientes:</w:t>
      </w:r>
    </w:p>
    <w:p w14:paraId="78B502EA" w14:textId="77777777" w:rsidR="00CB2A72" w:rsidRPr="00CB2A72" w:rsidRDefault="00CB2A72" w:rsidP="00CB2A72">
      <w:pPr>
        <w:pStyle w:val="Fundamentos"/>
        <w:rPr>
          <w:b/>
          <w:lang w:val="es-MX"/>
        </w:rPr>
      </w:pPr>
    </w:p>
    <w:p w14:paraId="533DD58D" w14:textId="77777777" w:rsidR="00CB2A72" w:rsidRDefault="00CB2A72" w:rsidP="00CB2A72">
      <w:pPr>
        <w:pStyle w:val="Fundamentos"/>
        <w:rPr>
          <w:lang w:val="es-MX"/>
        </w:rPr>
      </w:pPr>
      <w:r w:rsidRPr="00CB2A72">
        <w:rPr>
          <w:lang w:val="es-MX"/>
        </w:rPr>
        <w:t xml:space="preserve">1.-Mediante solicitud de información pública con número de Folio:    </w:t>
      </w:r>
      <w:bookmarkStart w:id="6" w:name="_Hlk133745423"/>
      <w:r w:rsidRPr="00CB2A72">
        <w:rPr>
          <w:lang w:val="es-MX"/>
        </w:rPr>
        <w:t xml:space="preserve">00081/MELOCAM/IP/2023 </w:t>
      </w:r>
      <w:bookmarkEnd w:id="6"/>
      <w:r w:rsidRPr="00CB2A72">
        <w:rPr>
          <w:lang w:val="es-MX"/>
        </w:rPr>
        <w:t xml:space="preserve">y a través de la plataforma electrónica del </w:t>
      </w:r>
      <w:r w:rsidRPr="00CB2A72">
        <w:rPr>
          <w:b/>
          <w:bCs/>
          <w:lang w:val="es-MX"/>
        </w:rPr>
        <w:t xml:space="preserve"> Sistema de Acceso a la Información Mexiquense, </w:t>
      </w:r>
      <w:r w:rsidRPr="00CB2A72">
        <w:rPr>
          <w:lang w:val="es-MX"/>
        </w:rPr>
        <w:t>solicite  al sujeto obligado lo siguiente:</w:t>
      </w:r>
    </w:p>
    <w:p w14:paraId="15C1D5E2" w14:textId="77777777" w:rsidR="00CB2A72" w:rsidRPr="00CB2A72" w:rsidRDefault="00CB2A72" w:rsidP="00CB2A72">
      <w:pPr>
        <w:pStyle w:val="Fundamentos"/>
        <w:rPr>
          <w:lang w:val="es-MX"/>
        </w:rPr>
      </w:pPr>
    </w:p>
    <w:p w14:paraId="06365685" w14:textId="77777777" w:rsidR="00CB2A72" w:rsidRDefault="00CB2A72" w:rsidP="00CB2A72">
      <w:pPr>
        <w:pStyle w:val="Fundamentos"/>
        <w:ind w:left="993" w:right="990"/>
        <w:rPr>
          <w:b/>
          <w:bCs/>
          <w:iCs/>
          <w:lang w:val="es-MX"/>
        </w:rPr>
      </w:pPr>
      <w:r w:rsidRPr="00CB2A72">
        <w:rPr>
          <w:iCs/>
          <w:lang w:val="es-MX"/>
        </w:rPr>
        <w:t>“</w:t>
      </w:r>
      <w:r w:rsidRPr="00CB2A72">
        <w:rPr>
          <w:b/>
          <w:bCs/>
          <w:iCs/>
          <w:lang w:val="es-MX"/>
        </w:rPr>
        <w:t>Que diga el Oficial Mediador- Conciliador cuántos convenios realizó de enero de 2022 a marzo de 2023. Y que remita en versión pública los mismos</w:t>
      </w:r>
      <w:r w:rsidRPr="00CB2A72">
        <w:rPr>
          <w:iCs/>
          <w:lang w:val="es-MX"/>
        </w:rPr>
        <w:t xml:space="preserve">. </w:t>
      </w:r>
      <w:r w:rsidRPr="00CB2A72">
        <w:rPr>
          <w:iCs/>
          <w:u w:val="single"/>
          <w:lang w:val="es-MX"/>
        </w:rPr>
        <w:t>Que diga el Oficial Mediador- Conciliador que protocolos y manuales utiliza cuando cuando advierte que en un conflicto entre particulares existió violencia de género</w:t>
      </w:r>
      <w:r w:rsidRPr="00CB2A72">
        <w:rPr>
          <w:iCs/>
          <w:lang w:val="es-MX"/>
        </w:rPr>
        <w:t>” (Sic)</w:t>
      </w:r>
      <w:r w:rsidRPr="00CB2A72">
        <w:rPr>
          <w:b/>
          <w:bCs/>
          <w:iCs/>
          <w:lang w:val="es-MX"/>
        </w:rPr>
        <w:t xml:space="preserve"> (el énfasis es nuestro)</w:t>
      </w:r>
    </w:p>
    <w:p w14:paraId="72131E9B" w14:textId="77777777" w:rsidR="00CB2A72" w:rsidRPr="00CB2A72" w:rsidRDefault="00CB2A72" w:rsidP="00CB2A72">
      <w:pPr>
        <w:pStyle w:val="Fundamentos"/>
        <w:rPr>
          <w:iCs/>
          <w:lang w:val="es-MX"/>
        </w:rPr>
      </w:pPr>
    </w:p>
    <w:p w14:paraId="6DA1ED0D" w14:textId="77777777" w:rsidR="00CB2A72" w:rsidRPr="00CB2A72" w:rsidRDefault="00CB2A72" w:rsidP="00CB2A72">
      <w:pPr>
        <w:pStyle w:val="Fundamentos"/>
        <w:rPr>
          <w:lang w:val="es-MX"/>
        </w:rPr>
      </w:pPr>
      <w:r w:rsidRPr="00CB2A72">
        <w:rPr>
          <w:lang w:val="es-MX"/>
        </w:rPr>
        <w:t xml:space="preserve">De lo antes transcrito se colige que en ninguna parte de la solicitud 00081/MELOCAM/IP/2023, se utilizo la expresión o palabra </w:t>
      </w:r>
      <w:r w:rsidRPr="00CB2A72">
        <w:rPr>
          <w:b/>
          <w:bCs/>
          <w:lang w:val="es-MX"/>
        </w:rPr>
        <w:t>“Documental”,</w:t>
      </w:r>
      <w:r w:rsidRPr="00CB2A72">
        <w:rPr>
          <w:lang w:val="es-MX"/>
        </w:rPr>
        <w:t xml:space="preserve"> sin embargo </w:t>
      </w:r>
      <w:bookmarkStart w:id="7" w:name="_Hlk133748156"/>
      <w:r w:rsidRPr="00CB2A72">
        <w:rPr>
          <w:lang w:val="es-MX"/>
        </w:rPr>
        <w:t xml:space="preserve">la Unidad de Transparencia del  H. Ayuntamiento del Municipio de Melchor Ocampo, Estado de México  </w:t>
      </w:r>
      <w:bookmarkEnd w:id="7"/>
      <w:r w:rsidRPr="00CB2A72">
        <w:rPr>
          <w:lang w:val="es-MX"/>
        </w:rPr>
        <w:t xml:space="preserve">a través del servidor público </w:t>
      </w:r>
      <w:r w:rsidRPr="00CB2A72">
        <w:rPr>
          <w:b/>
          <w:bCs/>
          <w:lang w:val="es-MX"/>
        </w:rPr>
        <w:t>CRISTIAN PACHECO PINEDA</w:t>
      </w:r>
      <w:r w:rsidRPr="00CB2A72">
        <w:rPr>
          <w:lang w:val="es-MX"/>
        </w:rPr>
        <w:t xml:space="preserve"> solicito en forma ilegal, anticonstitucional  e inconvencional  lo siguiente:</w:t>
      </w:r>
    </w:p>
    <w:p w14:paraId="78100986" w14:textId="77777777" w:rsidR="00CB2A72" w:rsidRPr="00CB2A72" w:rsidRDefault="00CB2A72" w:rsidP="00CB2A72">
      <w:pPr>
        <w:pStyle w:val="Fundamentos"/>
        <w:rPr>
          <w:lang w:val="es-MX"/>
        </w:rPr>
      </w:pPr>
    </w:p>
    <w:p w14:paraId="1A4A58FC" w14:textId="77777777" w:rsidR="00CB2A72" w:rsidRPr="00CB2A72" w:rsidRDefault="00CB2A72" w:rsidP="00CB2A72">
      <w:pPr>
        <w:pStyle w:val="Fundamentos"/>
        <w:ind w:left="993" w:right="990"/>
        <w:jc w:val="right"/>
        <w:rPr>
          <w:lang w:val="es-MX"/>
        </w:rPr>
      </w:pPr>
      <w:r w:rsidRPr="00CB2A72">
        <w:rPr>
          <w:lang w:val="es-MX"/>
        </w:rPr>
        <w:t>“Melchor Ocampo, México a 27 de Abril de 2023</w:t>
      </w:r>
    </w:p>
    <w:p w14:paraId="31448667" w14:textId="77777777" w:rsidR="00CB2A72" w:rsidRPr="00CB2A72" w:rsidRDefault="00CB2A72" w:rsidP="00CB2A72">
      <w:pPr>
        <w:pStyle w:val="Fundamentos"/>
        <w:ind w:left="993" w:right="990"/>
        <w:jc w:val="right"/>
        <w:rPr>
          <w:lang w:val="es-MX"/>
        </w:rPr>
      </w:pPr>
      <w:r w:rsidRPr="00CB2A72">
        <w:rPr>
          <w:lang w:val="es-MX"/>
        </w:rPr>
        <w:t>Nombre del solicitante: C. Solicitante</w:t>
      </w:r>
    </w:p>
    <w:p w14:paraId="2CE4E281" w14:textId="77777777" w:rsidR="00CB2A72" w:rsidRDefault="00CB2A72" w:rsidP="00CB2A72">
      <w:pPr>
        <w:pStyle w:val="Fundamentos"/>
        <w:ind w:left="993" w:right="990"/>
        <w:jc w:val="right"/>
        <w:rPr>
          <w:lang w:val="es-MX"/>
        </w:rPr>
      </w:pPr>
      <w:r w:rsidRPr="00CB2A72">
        <w:rPr>
          <w:lang w:val="es-MX"/>
        </w:rPr>
        <w:t>Folio de la solicitud: 00081/MELOCAM/IP/2023</w:t>
      </w:r>
    </w:p>
    <w:p w14:paraId="5C09D642" w14:textId="77777777" w:rsidR="00CB2A72" w:rsidRPr="00CB2A72" w:rsidRDefault="00CB2A72" w:rsidP="00CB2A72">
      <w:pPr>
        <w:pStyle w:val="Fundamentos"/>
        <w:ind w:left="993" w:right="990"/>
        <w:rPr>
          <w:lang w:val="es-MX"/>
        </w:rPr>
      </w:pPr>
    </w:p>
    <w:p w14:paraId="63D23478" w14:textId="77777777" w:rsidR="00CB2A72" w:rsidRDefault="00CB2A72" w:rsidP="00CB2A72">
      <w:pPr>
        <w:pStyle w:val="Fundamentos"/>
        <w:ind w:left="993" w:right="990"/>
        <w:rPr>
          <w:lang w:val="es-MX"/>
        </w:rPr>
      </w:pPr>
      <w:r w:rsidRPr="00CB2A72">
        <w:rPr>
          <w:lang w:val="es-MX"/>
        </w:rPr>
        <w:t xml:space="preserve">Con fundamento en el artículo 159 de la Ley de Transparencia y Acceso a la Información Pública del Estado de México y Municipios, se le requiere para que dentro del plazo de diez días hábiles realice lo siguiente: </w:t>
      </w:r>
    </w:p>
    <w:p w14:paraId="03679046" w14:textId="77777777" w:rsidR="00CB2A72" w:rsidRPr="00CB2A72" w:rsidRDefault="00CB2A72" w:rsidP="00CB2A72">
      <w:pPr>
        <w:pStyle w:val="Fundamentos"/>
        <w:ind w:left="993" w:right="990"/>
        <w:rPr>
          <w:lang w:val="es-MX"/>
        </w:rPr>
      </w:pPr>
    </w:p>
    <w:p w14:paraId="1233D5FC" w14:textId="77777777" w:rsidR="00CB2A72" w:rsidRDefault="00CB2A72" w:rsidP="00CB2A72">
      <w:pPr>
        <w:pStyle w:val="Fundamentos"/>
        <w:ind w:left="993" w:right="990"/>
        <w:rPr>
          <w:b/>
          <w:bCs/>
          <w:iCs/>
          <w:lang w:val="es-MX"/>
        </w:rPr>
      </w:pPr>
      <w:bookmarkStart w:id="8" w:name="_Hlk133839657"/>
      <w:r w:rsidRPr="00CB2A72">
        <w:rPr>
          <w:b/>
          <w:bCs/>
          <w:lang w:val="es-MX"/>
        </w:rPr>
        <w:t>Solicito se me aclare la petición de información de la solicitud 00081/MELOCAM/IP/2023, porque es clara la expresión documental a la que hace referencia y que en concreto solicita, por lo que me encuentro imposibilitado de dar contestación al mismo</w:t>
      </w:r>
      <w:r w:rsidRPr="00CB2A72">
        <w:rPr>
          <w:b/>
          <w:bCs/>
          <w:iCs/>
          <w:lang w:val="es-MX"/>
        </w:rPr>
        <w:t xml:space="preserve"> (el énfasis es nuestro)</w:t>
      </w:r>
    </w:p>
    <w:p w14:paraId="75AC9DD5" w14:textId="77777777" w:rsidR="00CB2A72" w:rsidRPr="00CB2A72" w:rsidRDefault="00CB2A72" w:rsidP="00CB2A72">
      <w:pPr>
        <w:pStyle w:val="Fundamentos"/>
        <w:ind w:left="993" w:right="990"/>
        <w:rPr>
          <w:lang w:val="es-MX"/>
        </w:rPr>
      </w:pPr>
    </w:p>
    <w:bookmarkEnd w:id="8"/>
    <w:p w14:paraId="69A4D7B8" w14:textId="77777777" w:rsidR="00CB2A72" w:rsidRDefault="00CB2A72" w:rsidP="00CB2A72">
      <w:pPr>
        <w:pStyle w:val="Fundamentos"/>
        <w:ind w:left="993" w:right="990"/>
        <w:rPr>
          <w:lang w:val="es-MX"/>
        </w:rPr>
      </w:pPr>
      <w:r w:rsidRPr="00CB2A72">
        <w:rPr>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2C36726" w14:textId="77777777" w:rsidR="00CB2A72" w:rsidRPr="00CB2A72" w:rsidRDefault="00CB2A72" w:rsidP="00CB2A72">
      <w:pPr>
        <w:pStyle w:val="Fundamentos"/>
        <w:ind w:left="993" w:right="990"/>
        <w:rPr>
          <w:lang w:val="es-MX"/>
        </w:rPr>
      </w:pPr>
    </w:p>
    <w:p w14:paraId="73F4B05E" w14:textId="77777777" w:rsidR="00CB2A72" w:rsidRPr="00CB2A72" w:rsidRDefault="00CB2A72" w:rsidP="00CB2A72">
      <w:pPr>
        <w:pStyle w:val="Fundamentos"/>
        <w:ind w:left="993" w:right="990"/>
        <w:rPr>
          <w:lang w:val="es-MX"/>
        </w:rPr>
      </w:pPr>
      <w:r w:rsidRPr="00CB2A72">
        <w:rPr>
          <w:lang w:val="es-MX"/>
        </w:rPr>
        <w:t>ATENTAMENTE</w:t>
      </w:r>
    </w:p>
    <w:p w14:paraId="0D1EF007" w14:textId="77777777" w:rsidR="00CB2A72" w:rsidRPr="00CB2A72" w:rsidRDefault="00CB2A72" w:rsidP="00CB2A72">
      <w:pPr>
        <w:pStyle w:val="Fundamentos"/>
        <w:ind w:left="993" w:right="990"/>
        <w:rPr>
          <w:lang w:val="es-MX"/>
        </w:rPr>
      </w:pPr>
      <w:r w:rsidRPr="00CB2A72">
        <w:rPr>
          <w:lang w:val="es-MX"/>
        </w:rPr>
        <w:t xml:space="preserve">C. </w:t>
      </w:r>
      <w:bookmarkStart w:id="9" w:name="_Hlk133745746"/>
      <w:r w:rsidRPr="00CB2A72">
        <w:rPr>
          <w:lang w:val="es-MX"/>
        </w:rPr>
        <w:t>CRISTIAN PACHECO PINEDA</w:t>
      </w:r>
      <w:bookmarkEnd w:id="9"/>
      <w:r w:rsidRPr="00CB2A72">
        <w:rPr>
          <w:lang w:val="es-MX"/>
        </w:rPr>
        <w:t>” (Sic)</w:t>
      </w:r>
    </w:p>
    <w:p w14:paraId="76EAE2FA" w14:textId="77777777" w:rsidR="00CB2A72" w:rsidRPr="00CB2A72" w:rsidRDefault="00CB2A72" w:rsidP="00CB2A72">
      <w:pPr>
        <w:pStyle w:val="Fundamentos"/>
        <w:rPr>
          <w:lang w:val="es-MX"/>
        </w:rPr>
      </w:pPr>
    </w:p>
    <w:p w14:paraId="2C1297FE" w14:textId="77777777" w:rsidR="00CB2A72" w:rsidRPr="00CB2A72" w:rsidRDefault="00CB2A72" w:rsidP="00CB2A72">
      <w:pPr>
        <w:pStyle w:val="Fundamentos"/>
        <w:rPr>
          <w:bCs/>
          <w:lang w:val="es-MX"/>
        </w:rPr>
      </w:pPr>
      <w:r w:rsidRPr="00CB2A72">
        <w:rPr>
          <w:lang w:val="es-MX"/>
        </w:rPr>
        <w:t xml:space="preserve">En las relatadas circunstancias, resulta obvio </w:t>
      </w:r>
      <w:r w:rsidRPr="00CB2A72">
        <w:rPr>
          <w:bCs/>
          <w:lang w:val="es-MX"/>
        </w:rPr>
        <w:t xml:space="preserve">que con la solicitud de aclaración  el sujeto obligado viola en mi perjuicio los artículos 6, apartado A, 14 y 16 de la Constitución Federal que consagran la garantía de seguridad jurídica  además de violar en mi perjuicio los </w:t>
      </w:r>
      <w:bookmarkStart w:id="10" w:name="_Hlk133746565"/>
      <w:r w:rsidRPr="00CB2A72">
        <w:rPr>
          <w:bCs/>
          <w:lang w:val="es-MX"/>
        </w:rPr>
        <w:t xml:space="preserve">artículos </w:t>
      </w:r>
      <w:bookmarkStart w:id="11" w:name="_Hlk128582202"/>
      <w:bookmarkEnd w:id="10"/>
      <w:r w:rsidRPr="00CB2A72">
        <w:rPr>
          <w:bCs/>
          <w:lang w:val="es-MX"/>
        </w:rPr>
        <w:t>8 y 25 del Tratado Internacional denominado Convención Americana sobre derechos Humanos</w:t>
      </w:r>
      <w:bookmarkEnd w:id="11"/>
      <w:r w:rsidRPr="00CB2A72">
        <w:rPr>
          <w:bCs/>
          <w:lang w:val="es-MX"/>
        </w:rPr>
        <w:t xml:space="preserve"> denominado “Pacto de San José de Costa Rica” que entró en vigor en nuestro país el 24 de marzo de 1981 así como el artículo 5 de la Constitución Política del Estado Libre y Soberano de México y el artículo </w:t>
      </w:r>
      <w:bookmarkStart w:id="12" w:name="_Hlk133747045"/>
      <w:r w:rsidRPr="00CB2A72">
        <w:rPr>
          <w:bCs/>
          <w:lang w:val="es-MX"/>
        </w:rPr>
        <w:t>159 del Ley de Transparencia y Acceso a la Información  Pública del Estado de México y Municipios</w:t>
      </w:r>
      <w:bookmarkEnd w:id="12"/>
      <w:r w:rsidRPr="00CB2A72">
        <w:rPr>
          <w:bCs/>
          <w:lang w:val="es-MX"/>
        </w:rPr>
        <w:t xml:space="preserve"> toda vez que me solicita que </w:t>
      </w:r>
      <w:bookmarkStart w:id="13" w:name="_Hlk133747329"/>
      <w:r w:rsidRPr="00CB2A72">
        <w:rPr>
          <w:b/>
          <w:bCs/>
          <w:lang w:val="es-MX"/>
        </w:rPr>
        <w:t xml:space="preserve">aclare mi petición de información </w:t>
      </w:r>
      <w:bookmarkEnd w:id="13"/>
      <w:r w:rsidRPr="00CB2A72">
        <w:rPr>
          <w:b/>
          <w:bCs/>
          <w:lang w:val="es-MX"/>
        </w:rPr>
        <w:t xml:space="preserve">de la </w:t>
      </w:r>
      <w:bookmarkStart w:id="14" w:name="_Hlk133746813"/>
      <w:r w:rsidRPr="00CB2A72">
        <w:rPr>
          <w:b/>
          <w:bCs/>
          <w:lang w:val="es-MX"/>
        </w:rPr>
        <w:t>solicitud 00081/MELOCAM/IP/2023</w:t>
      </w:r>
      <w:bookmarkEnd w:id="14"/>
      <w:r w:rsidRPr="00CB2A72">
        <w:rPr>
          <w:b/>
          <w:bCs/>
          <w:lang w:val="es-MX"/>
        </w:rPr>
        <w:t xml:space="preserve">, </w:t>
      </w:r>
      <w:r w:rsidRPr="00CB2A72">
        <w:rPr>
          <w:b/>
          <w:bCs/>
          <w:u w:val="single"/>
          <w:lang w:val="es-MX"/>
        </w:rPr>
        <w:t>porque supuestamente  no es claro el nombre de la expresión documental a la que hace referencia</w:t>
      </w:r>
      <w:r w:rsidRPr="00CB2A72">
        <w:rPr>
          <w:b/>
          <w:bCs/>
          <w:lang w:val="es-MX"/>
        </w:rPr>
        <w:t xml:space="preserve">, sin embargo  en ninguna parte  de </w:t>
      </w:r>
      <w:bookmarkStart w:id="15" w:name="_Hlk133747159"/>
      <w:r w:rsidRPr="00CB2A72">
        <w:rPr>
          <w:b/>
          <w:bCs/>
          <w:lang w:val="es-MX"/>
        </w:rPr>
        <w:t>mi solicitud 00081/MELOCAM/IP/2023</w:t>
      </w:r>
      <w:bookmarkEnd w:id="15"/>
      <w:r w:rsidRPr="00CB2A72">
        <w:rPr>
          <w:b/>
          <w:bCs/>
          <w:lang w:val="es-MX"/>
        </w:rPr>
        <w:t xml:space="preserve">,  hice mención a la palabra </w:t>
      </w:r>
      <w:r w:rsidRPr="00CB2A72">
        <w:rPr>
          <w:b/>
          <w:bCs/>
          <w:lang w:val="es-MX"/>
        </w:rPr>
        <w:lastRenderedPageBreak/>
        <w:t>“Documental”</w:t>
      </w:r>
      <w:r w:rsidRPr="00CB2A72">
        <w:rPr>
          <w:bCs/>
          <w:lang w:val="es-MX"/>
        </w:rPr>
        <w:t xml:space="preserve">, luego entonces el sujeto obligado viola en mi perjuicio el principio de legalidad que establece que la autoridad solo puede hacer lo que la ley le permite, lo anterior es así dado que, la aclaración solicitada,  la fundamenta en el </w:t>
      </w:r>
      <w:bookmarkStart w:id="16" w:name="_Hlk133748735"/>
      <w:r w:rsidRPr="00CB2A72">
        <w:rPr>
          <w:bCs/>
          <w:lang w:val="es-MX"/>
        </w:rPr>
        <w:t>articulo 159 del Ley de Transparencia y Acceso a la Información  Pública del Estado de México y Municipios</w:t>
      </w:r>
      <w:bookmarkEnd w:id="16"/>
      <w:r w:rsidRPr="00CB2A72">
        <w:rPr>
          <w:bCs/>
          <w:lang w:val="es-MX"/>
        </w:rPr>
        <w:t xml:space="preserve">, mismo artículo que establece que  cuando los detalles proporcionados para localizar los documentos resulten </w:t>
      </w:r>
      <w:bookmarkStart w:id="17" w:name="_Hlk133747176"/>
      <w:r w:rsidRPr="00CB2A72">
        <w:rPr>
          <w:b/>
          <w:lang w:val="es-MX"/>
        </w:rPr>
        <w:t>insuficientes, incompletos o sean erróneos</w:t>
      </w:r>
      <w:r w:rsidRPr="00CB2A72">
        <w:rPr>
          <w:bCs/>
          <w:lang w:val="es-MX"/>
        </w:rPr>
        <w:t xml:space="preserve"> </w:t>
      </w:r>
      <w:bookmarkEnd w:id="17"/>
      <w:r w:rsidRPr="00CB2A72">
        <w:rPr>
          <w:bCs/>
          <w:lang w:val="es-MX"/>
        </w:rPr>
        <w:t xml:space="preserve">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Sin embargo </w:t>
      </w:r>
      <w:r w:rsidRPr="00CB2A72">
        <w:rPr>
          <w:b/>
          <w:bCs/>
          <w:lang w:val="es-MX"/>
        </w:rPr>
        <w:t>mi solicitud 00081/MELOCAM/IP/2023</w:t>
      </w:r>
      <w:r w:rsidRPr="00CB2A72">
        <w:rPr>
          <w:b/>
          <w:lang w:val="es-MX"/>
        </w:rPr>
        <w:t xml:space="preserve"> no resulto </w:t>
      </w:r>
      <w:r w:rsidRPr="00CB2A72">
        <w:rPr>
          <w:lang w:val="es-MX"/>
        </w:rPr>
        <w:t xml:space="preserve">insuficiente, incompleta o errónea, por lo que no existen bases para que el sujeto obligado me requiera que  </w:t>
      </w:r>
      <w:r w:rsidRPr="00CB2A72">
        <w:rPr>
          <w:b/>
          <w:bCs/>
          <w:lang w:val="es-MX"/>
        </w:rPr>
        <w:t>aclare mi petición de información.</w:t>
      </w:r>
    </w:p>
    <w:p w14:paraId="605DB8D3" w14:textId="77777777" w:rsidR="00CB2A72" w:rsidRPr="00CB2A72" w:rsidRDefault="00CB2A72" w:rsidP="00CB2A72">
      <w:pPr>
        <w:pStyle w:val="Fundamentos"/>
        <w:rPr>
          <w:bCs/>
          <w:lang w:val="es-MX"/>
        </w:rPr>
      </w:pPr>
    </w:p>
    <w:p w14:paraId="0688506C" w14:textId="77777777" w:rsidR="00CB2A72" w:rsidRDefault="00CB2A72" w:rsidP="00CB2A72">
      <w:pPr>
        <w:pStyle w:val="Fundamentos"/>
        <w:rPr>
          <w:bCs/>
          <w:lang w:val="es-MX"/>
        </w:rPr>
      </w:pPr>
      <w:r w:rsidRPr="00CB2A72">
        <w:rPr>
          <w:bCs/>
          <w:lang w:val="es-MX"/>
        </w:rPr>
        <w:t xml:space="preserve">Finalmente resulta ilegal la solicitud de  aclaración  requerida por  </w:t>
      </w:r>
      <w:bookmarkStart w:id="18" w:name="_Hlk133749911"/>
      <w:r w:rsidRPr="00CB2A72">
        <w:rPr>
          <w:bCs/>
          <w:lang w:val="es-MX"/>
        </w:rPr>
        <w:t xml:space="preserve">la Unidad de Transparencia del  H. Ayuntamiento del Municipio de Melchor Ocampo, Estado de México  dado </w:t>
      </w:r>
      <w:bookmarkEnd w:id="18"/>
      <w:r w:rsidRPr="00CB2A72">
        <w:rPr>
          <w:bCs/>
          <w:lang w:val="es-MX"/>
        </w:rPr>
        <w:t xml:space="preserve">que dicha autoridad tenia el termino de 5 días hábiles para requerirme dicha aclaración de conformidad con el  articulo 159 del </w:t>
      </w:r>
      <w:bookmarkStart w:id="19" w:name="_Hlk133750098"/>
      <w:r w:rsidRPr="00CB2A72">
        <w:rPr>
          <w:bCs/>
          <w:lang w:val="es-MX"/>
        </w:rPr>
        <w:t>Ley de Transparencia y Acceso a la Información  Pública del Estado de México y Municipios</w:t>
      </w:r>
      <w:bookmarkEnd w:id="19"/>
    </w:p>
    <w:p w14:paraId="61AC917A" w14:textId="77777777" w:rsidR="00B25441" w:rsidRPr="00CB2A72" w:rsidRDefault="00B25441" w:rsidP="00CB2A72">
      <w:pPr>
        <w:pStyle w:val="Fundamentos"/>
        <w:rPr>
          <w:bCs/>
          <w:lang w:val="es-MX"/>
        </w:rPr>
      </w:pPr>
    </w:p>
    <w:p w14:paraId="3681E393" w14:textId="77777777" w:rsidR="00CB2A72" w:rsidRPr="00CB2A72" w:rsidRDefault="00CB2A72" w:rsidP="00CB2A72">
      <w:pPr>
        <w:pStyle w:val="Fundamentos"/>
        <w:rPr>
          <w:bCs/>
          <w:lang w:val="es-MX"/>
        </w:rPr>
      </w:pPr>
      <w:r w:rsidRPr="00CB2A72">
        <w:rPr>
          <w:bCs/>
          <w:lang w:val="es-MX"/>
        </w:rPr>
        <w:t xml:space="preserve">Por lo que, el plazo de 05 días hábiles para solicitar la aclaración  inicio al día siguiente de la solicitud realizada por el suscrito,  que fue </w:t>
      </w:r>
      <w:bookmarkStart w:id="20" w:name="_Hlk133750409"/>
      <w:r w:rsidRPr="00CB2A72">
        <w:rPr>
          <w:bCs/>
          <w:lang w:val="es-MX"/>
        </w:rPr>
        <w:t xml:space="preserve">el 19 de abril de 2023, </w:t>
      </w:r>
      <w:bookmarkEnd w:id="20"/>
      <w:r w:rsidRPr="00CB2A72">
        <w:rPr>
          <w:bCs/>
          <w:lang w:val="es-MX"/>
        </w:rPr>
        <w:t>en las relatadas circunstancias el  termino de 05 días hábiles, inicio  el 20 de abril de 2023 y feneció el 26 de abril de 2023, descartando los días inhábiles, tal como se observa en los siguientes recuadros:</w:t>
      </w:r>
    </w:p>
    <w:p w14:paraId="30045BEA" w14:textId="77777777" w:rsidR="00CB2A72" w:rsidRPr="00CB2A72" w:rsidRDefault="00CB2A72" w:rsidP="00CB2A72">
      <w:pPr>
        <w:pStyle w:val="Fundamentos"/>
        <w:rPr>
          <w:lang w:val="es-MX"/>
        </w:rPr>
      </w:pPr>
    </w:p>
    <w:p w14:paraId="6FE8BEBE" w14:textId="5BE5892B" w:rsidR="00CB2A72" w:rsidRPr="00CB2A72" w:rsidRDefault="00CB2A72" w:rsidP="00CB2A72">
      <w:pPr>
        <w:pStyle w:val="Fundamentos"/>
        <w:rPr>
          <w:lang w:val="es-MX"/>
        </w:rPr>
      </w:pPr>
      <w:r>
        <w:rPr>
          <w:noProof/>
          <w:lang w:val="es-MX"/>
        </w:rPr>
        <w:drawing>
          <wp:inline distT="0" distB="0" distL="0" distR="0" wp14:anchorId="0FCC1A5B" wp14:editId="34EFDAE8">
            <wp:extent cx="5220182" cy="1321509"/>
            <wp:effectExtent l="0" t="0" r="0" b="0"/>
            <wp:docPr id="418849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49439" name="Imagen 418849439"/>
                    <pic:cNvPicPr/>
                  </pic:nvPicPr>
                  <pic:blipFill>
                    <a:blip r:embed="rId8">
                      <a:extLst>
                        <a:ext uri="{28A0092B-C50C-407E-A947-70E740481C1C}">
                          <a14:useLocalDpi xmlns:a14="http://schemas.microsoft.com/office/drawing/2010/main" val="0"/>
                        </a:ext>
                      </a:extLst>
                    </a:blip>
                    <a:stretch>
                      <a:fillRect/>
                    </a:stretch>
                  </pic:blipFill>
                  <pic:spPr>
                    <a:xfrm>
                      <a:off x="0" y="0"/>
                      <a:ext cx="5265107" cy="1332882"/>
                    </a:xfrm>
                    <a:prstGeom prst="rect">
                      <a:avLst/>
                    </a:prstGeom>
                  </pic:spPr>
                </pic:pic>
              </a:graphicData>
            </a:graphic>
          </wp:inline>
        </w:drawing>
      </w:r>
    </w:p>
    <w:p w14:paraId="7F1ACBF3" w14:textId="77777777" w:rsidR="00CB2A72" w:rsidRPr="00CB2A72" w:rsidRDefault="00CB2A72" w:rsidP="00CB2A72">
      <w:pPr>
        <w:pStyle w:val="Fundamentos"/>
        <w:rPr>
          <w:bCs/>
          <w:lang w:val="es-MX"/>
        </w:rPr>
      </w:pPr>
    </w:p>
    <w:p w14:paraId="420F1327" w14:textId="77777777" w:rsidR="00CB2A72" w:rsidRPr="00CB2A72" w:rsidRDefault="00CB2A72" w:rsidP="00CB2A72">
      <w:pPr>
        <w:pStyle w:val="Fundamentos"/>
        <w:rPr>
          <w:b/>
          <w:lang w:val="es-MX"/>
        </w:rPr>
      </w:pPr>
      <w:r w:rsidRPr="00CB2A72">
        <w:rPr>
          <w:bCs/>
          <w:lang w:val="es-MX"/>
        </w:rPr>
        <w:t xml:space="preserve">De lo antes transcrito se desprende que, dado que la Unidad de Transparencia del  H. Ayuntamiento del Municipio de Melchor Ocampo, Estado de México  me solicito la aclaración de mi solicitud hasta el 27 de abril de 2023, </w:t>
      </w:r>
      <w:r w:rsidRPr="00CB2A72">
        <w:rPr>
          <w:b/>
          <w:lang w:val="es-MX"/>
        </w:rPr>
        <w:t>fuera del plazo establecido en el primer párrafo del artículo</w:t>
      </w:r>
      <w:r w:rsidRPr="00CB2A72">
        <w:rPr>
          <w:bCs/>
          <w:lang w:val="es-MX"/>
        </w:rPr>
        <w:t xml:space="preserve"> 159 de la Ley de Transparencia y Acceso a la Información  Pública del Estado de México y Municipios, </w:t>
      </w:r>
      <w:r w:rsidRPr="00CB2A72">
        <w:rPr>
          <w:b/>
          <w:lang w:val="es-MX"/>
        </w:rPr>
        <w:t>es por lo que claramente  se concluye que a precluido el derecho del sujeto obligado a solicitarme dicha aclaración.</w:t>
      </w:r>
    </w:p>
    <w:p w14:paraId="575E8BF8" w14:textId="77777777" w:rsidR="00CB2A72" w:rsidRDefault="00CB2A72" w:rsidP="00CB2A72">
      <w:pPr>
        <w:pStyle w:val="Fundamentos"/>
        <w:rPr>
          <w:b/>
          <w:bCs/>
          <w:lang w:val="es-MX"/>
        </w:rPr>
      </w:pPr>
      <w:r w:rsidRPr="00CB2A72">
        <w:rPr>
          <w:b/>
          <w:bCs/>
          <w:lang w:val="es-MX"/>
        </w:rPr>
        <w:lastRenderedPageBreak/>
        <w:t>Por lo antes expuesto se solicita al sujeto obligado remitir la información solicitada a través de la plataforma electrónica del  Sistema de Acceso a la Información Mexiquense dentro del plazo de 15 días hábiles que tiene para dar respuesta  a mi solicitud de información presentada el  19 de abril de 2023.</w:t>
      </w:r>
    </w:p>
    <w:p w14:paraId="4E88D43C" w14:textId="77777777" w:rsidR="00B25441" w:rsidRPr="00CB2A72" w:rsidRDefault="00B25441" w:rsidP="00CB2A72">
      <w:pPr>
        <w:pStyle w:val="Fundamentos"/>
        <w:rPr>
          <w:b/>
          <w:bCs/>
          <w:lang w:val="es-MX"/>
        </w:rPr>
      </w:pPr>
    </w:p>
    <w:p w14:paraId="612C89E6" w14:textId="77777777" w:rsidR="00CB2A72" w:rsidRPr="00CB2A72" w:rsidRDefault="00CB2A72" w:rsidP="00CB2A72">
      <w:pPr>
        <w:pStyle w:val="Fundamentos"/>
        <w:rPr>
          <w:b/>
          <w:bCs/>
          <w:lang w:val="es-MX"/>
        </w:rPr>
      </w:pPr>
      <w:r w:rsidRPr="00CB2A72">
        <w:rPr>
          <w:b/>
          <w:bCs/>
          <w:lang w:val="es-MX"/>
        </w:rPr>
        <w:t>Finalmente resulta importante precisar que la conducta que implique que un  servidor público  Impida el cumplimiento de una ley,  es considerado, como el delito de   EJERCICIO INDEBIDO DE FUNCIONES PÚBLICAS y tipificado por el Código Penal vigente en el Estado de México por la fracción II del articulo 331 de dicho ordenamiento .</w:t>
      </w:r>
    </w:p>
    <w:p w14:paraId="04B33079" w14:textId="77777777" w:rsidR="00CB2A72" w:rsidRPr="00CB2A72" w:rsidRDefault="00CB2A72" w:rsidP="00CB2A72">
      <w:pPr>
        <w:pStyle w:val="Fundamentos"/>
        <w:rPr>
          <w:bCs/>
          <w:lang w:val="es-MX"/>
        </w:rPr>
      </w:pPr>
    </w:p>
    <w:p w14:paraId="6957455B" w14:textId="77777777" w:rsidR="00CB2A72" w:rsidRPr="00CB2A72" w:rsidRDefault="00CB2A72" w:rsidP="00CB2A72">
      <w:pPr>
        <w:pStyle w:val="Fundamentos"/>
        <w:rPr>
          <w:bCs/>
          <w:lang w:val="es-MX"/>
        </w:rPr>
      </w:pPr>
      <w:r w:rsidRPr="00CB2A72">
        <w:rPr>
          <w:bCs/>
          <w:lang w:val="es-MX"/>
        </w:rPr>
        <w:t>Así mismo  mi solicitud debe analizarse conforme el contenido y alcance de los derechos del  solicitante  a partir del principio pro persona; de modo que, ante varias alternativas interpretativas, se opte por aquella que reconozca con mayor amplitud mis derechos, reforzado lo antes solicitado con la exhibición de los siguientes  criterios  jurisprudenciales:</w:t>
      </w:r>
    </w:p>
    <w:p w14:paraId="540CA520" w14:textId="77777777" w:rsidR="00CB2A72" w:rsidRPr="00CB2A72" w:rsidRDefault="00CB2A72" w:rsidP="00CB2A72">
      <w:pPr>
        <w:pStyle w:val="Fundamentos"/>
        <w:rPr>
          <w:bCs/>
          <w:lang w:val="es-MX"/>
        </w:rPr>
      </w:pPr>
    </w:p>
    <w:p w14:paraId="04279A24" w14:textId="77777777" w:rsidR="00CB2A72" w:rsidRPr="00CB2A72" w:rsidRDefault="00CB2A72" w:rsidP="00CB2A72">
      <w:pPr>
        <w:pStyle w:val="Fundamentos"/>
        <w:rPr>
          <w:bCs/>
          <w:iCs/>
          <w:lang w:val="es-MX"/>
        </w:rPr>
      </w:pPr>
      <w:r w:rsidRPr="00CB2A72">
        <w:rPr>
          <w:bCs/>
          <w:iCs/>
          <w:lang w:val="es-MX"/>
        </w:rPr>
        <w:t>Suprema Corte de Justicia de la Nación</w:t>
      </w:r>
    </w:p>
    <w:p w14:paraId="7E50FE90" w14:textId="77777777" w:rsidR="00CB2A72" w:rsidRPr="00CB2A72" w:rsidRDefault="00CB2A72" w:rsidP="00CB2A72">
      <w:pPr>
        <w:pStyle w:val="Fundamentos"/>
        <w:rPr>
          <w:bCs/>
          <w:iCs/>
          <w:lang w:val="es-MX"/>
        </w:rPr>
      </w:pPr>
      <w:r w:rsidRPr="00CB2A72">
        <w:rPr>
          <w:bCs/>
          <w:iCs/>
          <w:lang w:val="es-MX"/>
        </w:rPr>
        <w:t>Registro digital: 2024990</w:t>
      </w:r>
    </w:p>
    <w:p w14:paraId="0442CFF4" w14:textId="77777777" w:rsidR="00CB2A72" w:rsidRPr="00CB2A72" w:rsidRDefault="00CB2A72" w:rsidP="00CB2A72">
      <w:pPr>
        <w:pStyle w:val="Fundamentos"/>
        <w:rPr>
          <w:bCs/>
          <w:iCs/>
          <w:lang w:val="es-MX"/>
        </w:rPr>
      </w:pPr>
      <w:r w:rsidRPr="00CB2A72">
        <w:rPr>
          <w:bCs/>
          <w:iCs/>
          <w:lang w:val="es-MX"/>
        </w:rPr>
        <w:t>Instancia: Primera Sala</w:t>
      </w:r>
    </w:p>
    <w:p w14:paraId="12307DDD" w14:textId="77777777" w:rsidR="00CB2A72" w:rsidRPr="00CB2A72" w:rsidRDefault="00CB2A72" w:rsidP="00CB2A72">
      <w:pPr>
        <w:pStyle w:val="Fundamentos"/>
        <w:rPr>
          <w:bCs/>
          <w:iCs/>
          <w:lang w:val="es-MX"/>
        </w:rPr>
      </w:pPr>
      <w:r w:rsidRPr="00CB2A72">
        <w:rPr>
          <w:bCs/>
          <w:iCs/>
          <w:lang w:val="es-MX"/>
        </w:rPr>
        <w:t>Undécima Época</w:t>
      </w:r>
    </w:p>
    <w:p w14:paraId="69593FEE" w14:textId="77777777" w:rsidR="00CB2A72" w:rsidRPr="00CB2A72" w:rsidRDefault="00CB2A72" w:rsidP="00CB2A72">
      <w:pPr>
        <w:pStyle w:val="Fundamentos"/>
        <w:rPr>
          <w:bCs/>
          <w:iCs/>
          <w:lang w:val="es-MX"/>
        </w:rPr>
      </w:pPr>
      <w:r w:rsidRPr="00CB2A72">
        <w:rPr>
          <w:bCs/>
          <w:iCs/>
          <w:lang w:val="es-MX"/>
        </w:rPr>
        <w:t>Materias(s): Común</w:t>
      </w:r>
    </w:p>
    <w:p w14:paraId="1FF67397" w14:textId="77777777" w:rsidR="00CB2A72" w:rsidRPr="00CB2A72" w:rsidRDefault="00CB2A72" w:rsidP="00CB2A72">
      <w:pPr>
        <w:pStyle w:val="Fundamentos"/>
        <w:rPr>
          <w:bCs/>
          <w:iCs/>
          <w:lang w:val="es-MX"/>
        </w:rPr>
      </w:pPr>
      <w:r w:rsidRPr="00CB2A72">
        <w:rPr>
          <w:bCs/>
          <w:iCs/>
          <w:lang w:val="es-MX"/>
        </w:rPr>
        <w:t>Tesis: 1a./J. 103/2022 (11a.)</w:t>
      </w:r>
    </w:p>
    <w:p w14:paraId="4CBD316F" w14:textId="77777777" w:rsidR="00CB2A72" w:rsidRPr="00CB2A72" w:rsidRDefault="00CB2A72" w:rsidP="00CB2A72">
      <w:pPr>
        <w:pStyle w:val="Fundamentos"/>
        <w:rPr>
          <w:bCs/>
          <w:iCs/>
          <w:lang w:val="es-MX"/>
        </w:rPr>
      </w:pPr>
      <w:r w:rsidRPr="00CB2A72">
        <w:rPr>
          <w:bCs/>
          <w:iCs/>
          <w:lang w:val="es-MX"/>
        </w:rPr>
        <w:t>Fuente: Gaceta del Semanario Judicial de la Federación. Libro 15, Julio de 2022, Tomo II, página 1885</w:t>
      </w:r>
    </w:p>
    <w:p w14:paraId="111E5767" w14:textId="77777777" w:rsidR="00CB2A72" w:rsidRPr="00CB2A72" w:rsidRDefault="00CB2A72" w:rsidP="00CB2A72">
      <w:pPr>
        <w:pStyle w:val="Fundamentos"/>
        <w:rPr>
          <w:b/>
          <w:iCs/>
          <w:lang w:val="es-MX"/>
        </w:rPr>
      </w:pPr>
      <w:r w:rsidRPr="00CB2A72">
        <w:rPr>
          <w:b/>
          <w:iCs/>
          <w:lang w:val="es-MX"/>
        </w:rPr>
        <w:t>Tipo: Jurisprudencia</w:t>
      </w:r>
    </w:p>
    <w:p w14:paraId="540BC95B" w14:textId="77777777" w:rsidR="00CB2A72" w:rsidRPr="00CB2A72" w:rsidRDefault="00CB2A72" w:rsidP="00CB2A72">
      <w:pPr>
        <w:pStyle w:val="Fundamentos"/>
        <w:rPr>
          <w:b/>
          <w:iCs/>
          <w:lang w:val="es-MX"/>
        </w:rPr>
      </w:pPr>
    </w:p>
    <w:p w14:paraId="63389813" w14:textId="77777777" w:rsidR="00CB2A72" w:rsidRPr="00CB2A72" w:rsidRDefault="00CB2A72" w:rsidP="00CB2A72">
      <w:pPr>
        <w:pStyle w:val="Fundamentos"/>
        <w:rPr>
          <w:b/>
          <w:iCs/>
          <w:lang w:val="es-MX"/>
        </w:rPr>
      </w:pPr>
      <w:r w:rsidRPr="00CB2A72">
        <w:rPr>
          <w:b/>
          <w:iCs/>
          <w:lang w:val="es-MX"/>
        </w:rPr>
        <w:t>CONTROL DE CONSTITUCIONALIDAD O CONVENCIONALIDAD EX OFFICIO. LAS PERSONAS JUZGADORAS ÚNICAMENTE DEBEN REALIZAR SU ESTUDIO DE FORMA EXPRESA EN SUS RESOLUCIONES CUANDO LO SOLICITEN LAS PARTES EN JUICIO O CONSIDEREN QUE LA NORMA QUE DEBEN APLICAR PODRÍA RESULTAR INCONSTITUCIONAL O INCONVENCIONAL.</w:t>
      </w:r>
    </w:p>
    <w:p w14:paraId="0D2EFFF3" w14:textId="77777777" w:rsidR="00CB2A72" w:rsidRPr="00CB2A72" w:rsidRDefault="00CB2A72" w:rsidP="00CB2A72">
      <w:pPr>
        <w:pStyle w:val="Fundamentos"/>
        <w:rPr>
          <w:bCs/>
          <w:iCs/>
          <w:lang w:val="es-MX"/>
        </w:rPr>
      </w:pPr>
    </w:p>
    <w:p w14:paraId="5F1DC818" w14:textId="77777777" w:rsidR="00CB2A72" w:rsidRPr="00CB2A72" w:rsidRDefault="00CB2A72" w:rsidP="00CB2A72">
      <w:pPr>
        <w:pStyle w:val="Fundamentos"/>
        <w:rPr>
          <w:bCs/>
          <w:iCs/>
          <w:lang w:val="es-MX"/>
        </w:rPr>
      </w:pPr>
      <w:r w:rsidRPr="00CB2A72">
        <w:rPr>
          <w:bCs/>
          <w:iCs/>
          <w:lang w:val="es-MX"/>
        </w:rPr>
        <w:t xml:space="preserve">Hechos: En un juicio ordinario civil se demandó, entre otras cuestiones, la nulidad de un contrato de prestación de servicios profesionales que involucró el acto traslativo de dominio de un bien inmueble, en tanto que el demandado reconvino la acción pro forma. El Juez de primera instancia desestimó ambas pretensiones. En contra de esa resolución, ambas partes interpusieron sendos recursos de apelación y, al resolverlos, el Tribunal de Alzada modificó la sentencia recurrida. En contra de esa resolución, el demandado promovió juicio de amparo directo en el que formuló diversos conceptos de violación, entre ellos, el relativo a la </w:t>
      </w:r>
      <w:r w:rsidRPr="00CB2A72">
        <w:rPr>
          <w:bCs/>
          <w:iCs/>
          <w:lang w:val="es-MX"/>
        </w:rPr>
        <w:lastRenderedPageBreak/>
        <w:t>inconstitucionalidad del artículo 2150 del Código Civil para el Estado de Baja California, cuya resolución constituye la materia de estudio en el presente amparo directo en revisión.</w:t>
      </w:r>
    </w:p>
    <w:p w14:paraId="1492311D" w14:textId="77777777" w:rsidR="00CB2A72" w:rsidRPr="00CB2A72" w:rsidRDefault="00CB2A72" w:rsidP="00CB2A72">
      <w:pPr>
        <w:pStyle w:val="Fundamentos"/>
        <w:rPr>
          <w:bCs/>
          <w:iCs/>
          <w:lang w:val="es-MX"/>
        </w:rPr>
      </w:pPr>
    </w:p>
    <w:p w14:paraId="4772EAB2" w14:textId="77777777" w:rsidR="00CB2A72" w:rsidRPr="00CB2A72" w:rsidRDefault="00CB2A72" w:rsidP="00CB2A72">
      <w:pPr>
        <w:pStyle w:val="Fundamentos"/>
        <w:rPr>
          <w:bCs/>
          <w:iCs/>
          <w:lang w:val="es-MX"/>
        </w:rPr>
      </w:pPr>
      <w:r w:rsidRPr="00CB2A72">
        <w:rPr>
          <w:bCs/>
          <w:iCs/>
          <w:lang w:val="es-MX"/>
        </w:rPr>
        <w:t>Criterio jurídico: La Primera Sala de la Suprema Corte de Justicia de la Nación determina que la expresión ex officio significa que todas las personas juzgadoras del orden jurídico mexicano (aun cuando no sean Jueces de control constitucional y no haya una petición expresa para realizar este tipo de control) en todos los casos, siempre tienen la obligación de ponderar la conformidad de las normas que deben aplicar con los derechos humanos contenidos en la Constitución Política de los Estados Unidos Mexicanos y en los tratados internacionales de los que el Estado Mexicano sea Parte, antes de individualizarla (aplicarla) en el caso concreto o validar su aplicación. Ello, en atención al mandato previsto en el artículo 1o. de nuestra Constitución Federal. Sin que lo anterior derive en que, en todos los asuntos, las personas juzgadoras, en sus sentencias, deban plasmar expresamente en sus resoluciones un estudio de las normas que aplican o cuya aplicación validan, sino únicamente en aquellos casos en los que alguna de las partes o ambas soliciten expresamente se realice este control ex officio, o cuando la persona juzgadora considere que la norma que debe aplicar pudiera ser inconstitucional o inconvencional; supuestos en los cuales sí deben examinar su regularidad constitucional de forma expresa en su resolución, a fin de que determinen si es constitucional y/o convencional, si requiere de una interpretación conforme para que sea constitucional y/o convencional, o si es inconstitucional y/o inconvencional. Así, la sola petición genérica de las partes en juicio en el sentido de que las personas juzgadoras realicen un estudio de control ex officio de constitucionalidad o convencionalidad respecto de cierta norma general o de que inapliquen ésta, es suficiente para que todas las Juezas y Jueces estén obligados a realizar de forma expresa este tipo de control de forma expresa en sus resoluciones o sentencias.</w:t>
      </w:r>
    </w:p>
    <w:p w14:paraId="1EA27B3E" w14:textId="77777777" w:rsidR="00CB2A72" w:rsidRPr="00CB2A72" w:rsidRDefault="00CB2A72" w:rsidP="00CB2A72">
      <w:pPr>
        <w:pStyle w:val="Fundamentos"/>
        <w:rPr>
          <w:bCs/>
          <w:iCs/>
          <w:lang w:val="es-MX"/>
        </w:rPr>
      </w:pPr>
    </w:p>
    <w:p w14:paraId="5A5EC56D" w14:textId="77777777" w:rsidR="00CB2A72" w:rsidRPr="00CB2A72" w:rsidRDefault="00CB2A72" w:rsidP="00CB2A72">
      <w:pPr>
        <w:pStyle w:val="Fundamentos"/>
        <w:rPr>
          <w:bCs/>
          <w:iCs/>
          <w:lang w:val="es-MX"/>
        </w:rPr>
      </w:pPr>
      <w:r w:rsidRPr="00CB2A72">
        <w:rPr>
          <w:bCs/>
          <w:iCs/>
          <w:lang w:val="es-MX"/>
        </w:rPr>
        <w:t>Suprema Corte de Justicia de la Nación</w:t>
      </w:r>
    </w:p>
    <w:p w14:paraId="00C8C084" w14:textId="77777777" w:rsidR="00CB2A72" w:rsidRPr="00CB2A72" w:rsidRDefault="00CB2A72" w:rsidP="00CB2A72">
      <w:pPr>
        <w:pStyle w:val="Fundamentos"/>
        <w:rPr>
          <w:bCs/>
          <w:iCs/>
          <w:lang w:val="es-MX"/>
        </w:rPr>
      </w:pPr>
      <w:r w:rsidRPr="00CB2A72">
        <w:rPr>
          <w:bCs/>
          <w:iCs/>
          <w:lang w:val="es-MX"/>
        </w:rPr>
        <w:t>Registro digital: 2021124</w:t>
      </w:r>
    </w:p>
    <w:p w14:paraId="308E3A3B" w14:textId="77777777" w:rsidR="00CB2A72" w:rsidRPr="00CB2A72" w:rsidRDefault="00CB2A72" w:rsidP="00CB2A72">
      <w:pPr>
        <w:pStyle w:val="Fundamentos"/>
        <w:rPr>
          <w:bCs/>
          <w:iCs/>
          <w:lang w:val="es-MX"/>
        </w:rPr>
      </w:pPr>
      <w:r w:rsidRPr="00CB2A72">
        <w:rPr>
          <w:bCs/>
          <w:iCs/>
          <w:lang w:val="es-MX"/>
        </w:rPr>
        <w:t>Instancia: Tribunales Colegiados de Circuito</w:t>
      </w:r>
    </w:p>
    <w:p w14:paraId="5B5CBEB4" w14:textId="77777777" w:rsidR="00CB2A72" w:rsidRPr="00CB2A72" w:rsidRDefault="00CB2A72" w:rsidP="00CB2A72">
      <w:pPr>
        <w:pStyle w:val="Fundamentos"/>
        <w:rPr>
          <w:bCs/>
          <w:iCs/>
          <w:lang w:val="es-MX"/>
        </w:rPr>
      </w:pPr>
      <w:r w:rsidRPr="00CB2A72">
        <w:rPr>
          <w:bCs/>
          <w:iCs/>
          <w:lang w:val="es-MX"/>
        </w:rPr>
        <w:t>Décima Época</w:t>
      </w:r>
    </w:p>
    <w:p w14:paraId="100CD97F" w14:textId="77777777" w:rsidR="00CB2A72" w:rsidRPr="00CB2A72" w:rsidRDefault="00CB2A72" w:rsidP="00CB2A72">
      <w:pPr>
        <w:pStyle w:val="Fundamentos"/>
        <w:rPr>
          <w:bCs/>
          <w:iCs/>
          <w:lang w:val="es-MX"/>
        </w:rPr>
      </w:pPr>
      <w:r w:rsidRPr="00CB2A72">
        <w:rPr>
          <w:bCs/>
          <w:iCs/>
          <w:lang w:val="es-MX"/>
        </w:rPr>
        <w:t>Materias(s): Constitucional, Común</w:t>
      </w:r>
    </w:p>
    <w:p w14:paraId="58008DB0" w14:textId="77777777" w:rsidR="00CB2A72" w:rsidRPr="00CB2A72" w:rsidRDefault="00CB2A72" w:rsidP="00CB2A72">
      <w:pPr>
        <w:pStyle w:val="Fundamentos"/>
        <w:rPr>
          <w:bCs/>
          <w:iCs/>
          <w:lang w:val="es-MX"/>
        </w:rPr>
      </w:pPr>
      <w:r w:rsidRPr="00CB2A72">
        <w:rPr>
          <w:bCs/>
          <w:iCs/>
          <w:lang w:val="es-MX"/>
        </w:rPr>
        <w:t>Tesis: XIX.1o. J/7 (10a.)</w:t>
      </w:r>
    </w:p>
    <w:p w14:paraId="28488DC1" w14:textId="77777777" w:rsidR="00CB2A72" w:rsidRPr="00CB2A72" w:rsidRDefault="00CB2A72" w:rsidP="00CB2A72">
      <w:pPr>
        <w:pStyle w:val="Fundamentos"/>
        <w:rPr>
          <w:bCs/>
          <w:iCs/>
          <w:lang w:val="es-MX"/>
        </w:rPr>
      </w:pPr>
      <w:r w:rsidRPr="00CB2A72">
        <w:rPr>
          <w:bCs/>
          <w:iCs/>
          <w:lang w:val="es-MX"/>
        </w:rPr>
        <w:t>Fuente: Gaceta del Semanario Judicial de la Federación. Libro 72, Noviembre de 2019, Tomo III, página 2000</w:t>
      </w:r>
    </w:p>
    <w:p w14:paraId="0272DF69" w14:textId="77777777" w:rsidR="00CB2A72" w:rsidRPr="00CB2A72" w:rsidRDefault="00CB2A72" w:rsidP="00CB2A72">
      <w:pPr>
        <w:pStyle w:val="Fundamentos"/>
        <w:rPr>
          <w:bCs/>
          <w:iCs/>
          <w:lang w:val="es-MX"/>
        </w:rPr>
      </w:pPr>
      <w:r w:rsidRPr="00CB2A72">
        <w:rPr>
          <w:bCs/>
          <w:iCs/>
          <w:lang w:val="es-MX"/>
        </w:rPr>
        <w:t>Tipo: Jurisprudencia</w:t>
      </w:r>
    </w:p>
    <w:p w14:paraId="0BF17EC3" w14:textId="77777777" w:rsidR="00CB2A72" w:rsidRPr="00CB2A72" w:rsidRDefault="00CB2A72" w:rsidP="00CB2A72">
      <w:pPr>
        <w:pStyle w:val="Fundamentos"/>
        <w:rPr>
          <w:bCs/>
          <w:iCs/>
          <w:lang w:val="es-MX"/>
        </w:rPr>
      </w:pPr>
    </w:p>
    <w:p w14:paraId="4A98BA7C" w14:textId="77777777" w:rsidR="00CB2A72" w:rsidRPr="00CB2A72" w:rsidRDefault="00CB2A72" w:rsidP="00CB2A72">
      <w:pPr>
        <w:pStyle w:val="Fundamentos"/>
        <w:rPr>
          <w:b/>
          <w:iCs/>
          <w:lang w:val="es-MX"/>
        </w:rPr>
      </w:pPr>
      <w:r w:rsidRPr="00CB2A72">
        <w:rPr>
          <w:b/>
          <w:iCs/>
          <w:lang w:val="es-MX"/>
        </w:rPr>
        <w:t xml:space="preserve">PRINCIPIOS DE PREVALENCIA DE INTERPRETACIÓN Y PRO PERSONA. CONFORME A ÉSTOS, CUANDO UNA NORMA GENERA VARIAS ALTERNATIVAS DE INTERPRETACIÓN, DEBE OPTARSE POR AQUELLA QUE </w:t>
      </w:r>
      <w:r w:rsidRPr="00CB2A72">
        <w:rPr>
          <w:b/>
          <w:iCs/>
          <w:lang w:val="es-MX"/>
        </w:rPr>
        <w:lastRenderedPageBreak/>
        <w:t>RECONOZCA CON MAYOR AMPLITUD LOS DERECHOS, O BIEN, QUE LOS RESTRINJA EN LA MENOR MEDIDA.</w:t>
      </w:r>
    </w:p>
    <w:p w14:paraId="603707FE" w14:textId="77777777" w:rsidR="00CB2A72" w:rsidRPr="00CB2A72" w:rsidRDefault="00CB2A72" w:rsidP="00CB2A72">
      <w:pPr>
        <w:pStyle w:val="Fundamentos"/>
        <w:rPr>
          <w:bCs/>
          <w:iCs/>
          <w:lang w:val="es-MX"/>
        </w:rPr>
      </w:pPr>
    </w:p>
    <w:p w14:paraId="3A3A8DD7" w14:textId="77777777" w:rsidR="00CB2A72" w:rsidRPr="00CB2A72" w:rsidRDefault="00CB2A72" w:rsidP="00CB2A72">
      <w:pPr>
        <w:pStyle w:val="Fundamentos"/>
        <w:rPr>
          <w:bCs/>
          <w:iCs/>
          <w:lang w:val="es-MX"/>
        </w:rPr>
      </w:pPr>
      <w:r w:rsidRPr="00CB2A72">
        <w:rPr>
          <w:bCs/>
          <w:iCs/>
          <w:lang w:val="es-MX"/>
        </w:rPr>
        <w:t>Cuando una norma pueda interpretarse de diversas formas, para solucionar el dilema interpretativo, debe atenderse al artículo 1o., segundo párrafo, de la Constitución Política de los Estados Unidos Mexicanos, reformado mediante decreto publicado en el Diario Oficial de la Federación el 10 de junio de 2011, en virtud del cual, las normas relativas a los derechos humanos deben interpretarse de conformidad con la propia Constitución y los tratados internacionales de los que México sea Parte, lo que se traduce en la obligación de analizar el contenido y alcance de esos derechos a partir del principio pro persona; de modo que ante varias alternativas interpretativas, se opte por aquella que reconozca con mayor amplitud los derechos, o bien, que los restrinja en la menor medida. De esa manera, debe atenderse al principio de prevalencia de interpretación, conforme al cual, el intérprete no es libre de elegir, sino que debe seleccionarse la opción interpretativa que genere mayor o mejor protección a los derechos.</w:t>
      </w:r>
    </w:p>
    <w:p w14:paraId="73604087" w14:textId="77777777" w:rsidR="00CB2A72" w:rsidRPr="00CB2A72" w:rsidRDefault="00CB2A72" w:rsidP="00CB2A72">
      <w:pPr>
        <w:pStyle w:val="Fundamentos"/>
        <w:rPr>
          <w:bCs/>
          <w:lang w:val="es-MX"/>
        </w:rPr>
      </w:pPr>
    </w:p>
    <w:p w14:paraId="4E986990" w14:textId="77777777" w:rsidR="00CB2A72" w:rsidRPr="00CB2A72" w:rsidRDefault="00CB2A72" w:rsidP="00CB2A72">
      <w:pPr>
        <w:pStyle w:val="Fundamentos"/>
        <w:rPr>
          <w:lang w:val="es-MX"/>
        </w:rPr>
      </w:pPr>
      <w:r w:rsidRPr="00CB2A72">
        <w:rPr>
          <w:lang w:val="es-MX"/>
        </w:rPr>
        <w:t>Suprema Corte de Justicia de la Nación</w:t>
      </w:r>
    </w:p>
    <w:p w14:paraId="48169027" w14:textId="77777777" w:rsidR="00CB2A72" w:rsidRPr="00CB2A72" w:rsidRDefault="00CB2A72" w:rsidP="00CB2A72">
      <w:pPr>
        <w:pStyle w:val="Fundamentos"/>
        <w:rPr>
          <w:lang w:val="es-MX"/>
        </w:rPr>
      </w:pPr>
      <w:r w:rsidRPr="00CB2A72">
        <w:rPr>
          <w:lang w:val="es-MX"/>
        </w:rPr>
        <w:t>Registro digital: 187149</w:t>
      </w:r>
    </w:p>
    <w:p w14:paraId="24A51604" w14:textId="77777777" w:rsidR="00CB2A72" w:rsidRPr="00CB2A72" w:rsidRDefault="00CB2A72" w:rsidP="00CB2A72">
      <w:pPr>
        <w:pStyle w:val="Fundamentos"/>
        <w:rPr>
          <w:lang w:val="es-MX"/>
        </w:rPr>
      </w:pPr>
      <w:r w:rsidRPr="00CB2A72">
        <w:rPr>
          <w:lang w:val="es-MX"/>
        </w:rPr>
        <w:t>Instancia: Primera Sala</w:t>
      </w:r>
    </w:p>
    <w:p w14:paraId="6C4A55DE" w14:textId="77777777" w:rsidR="00CB2A72" w:rsidRPr="00CB2A72" w:rsidRDefault="00CB2A72" w:rsidP="00CB2A72">
      <w:pPr>
        <w:pStyle w:val="Fundamentos"/>
        <w:rPr>
          <w:lang w:val="es-MX"/>
        </w:rPr>
      </w:pPr>
      <w:r w:rsidRPr="00CB2A72">
        <w:rPr>
          <w:lang w:val="es-MX"/>
        </w:rPr>
        <w:t>Novena Época</w:t>
      </w:r>
    </w:p>
    <w:p w14:paraId="7ACD0B3F" w14:textId="77777777" w:rsidR="00CB2A72" w:rsidRPr="00CB2A72" w:rsidRDefault="00CB2A72" w:rsidP="00CB2A72">
      <w:pPr>
        <w:pStyle w:val="Fundamentos"/>
        <w:rPr>
          <w:lang w:val="es-MX"/>
        </w:rPr>
      </w:pPr>
      <w:r w:rsidRPr="00CB2A72">
        <w:rPr>
          <w:lang w:val="es-MX"/>
        </w:rPr>
        <w:t>Materias(s): Común</w:t>
      </w:r>
    </w:p>
    <w:p w14:paraId="27357BC8" w14:textId="77777777" w:rsidR="00CB2A72" w:rsidRPr="00CB2A72" w:rsidRDefault="00CB2A72" w:rsidP="00CB2A72">
      <w:pPr>
        <w:pStyle w:val="Fundamentos"/>
        <w:rPr>
          <w:lang w:val="es-MX"/>
        </w:rPr>
      </w:pPr>
      <w:r w:rsidRPr="00CB2A72">
        <w:rPr>
          <w:lang w:val="es-MX"/>
        </w:rPr>
        <w:t xml:space="preserve">Tesis: 1a./J. 21/2002      </w:t>
      </w:r>
    </w:p>
    <w:p w14:paraId="49DA5FED" w14:textId="77777777" w:rsidR="00CB2A72" w:rsidRPr="00CB2A72" w:rsidRDefault="00CB2A72" w:rsidP="00CB2A72">
      <w:pPr>
        <w:pStyle w:val="Fundamentos"/>
        <w:rPr>
          <w:lang w:val="es-MX"/>
        </w:rPr>
      </w:pPr>
      <w:r w:rsidRPr="00CB2A72">
        <w:rPr>
          <w:lang w:val="es-MX"/>
        </w:rPr>
        <w:t>Fuente: Semanario Judicial de la Federación y su Gaceta. Tomo XV, Abril de 2002, página 314</w:t>
      </w:r>
    </w:p>
    <w:p w14:paraId="599EF0BF" w14:textId="77777777" w:rsidR="00CB2A72" w:rsidRPr="00CB2A72" w:rsidRDefault="00CB2A72" w:rsidP="00CB2A72">
      <w:pPr>
        <w:pStyle w:val="Fundamentos"/>
        <w:rPr>
          <w:lang w:val="es-MX"/>
        </w:rPr>
      </w:pPr>
      <w:r w:rsidRPr="00CB2A72">
        <w:rPr>
          <w:lang w:val="es-MX"/>
        </w:rPr>
        <w:t>Tipo: Jurisprudencia</w:t>
      </w:r>
    </w:p>
    <w:p w14:paraId="4186AD92" w14:textId="77777777" w:rsidR="00CB2A72" w:rsidRPr="00CB2A72" w:rsidRDefault="00CB2A72" w:rsidP="00CB2A72">
      <w:pPr>
        <w:pStyle w:val="Fundamentos"/>
        <w:rPr>
          <w:lang w:val="es-MX"/>
        </w:rPr>
      </w:pPr>
    </w:p>
    <w:p w14:paraId="66BDA03D" w14:textId="77777777" w:rsidR="00CB2A72" w:rsidRPr="00CB2A72" w:rsidRDefault="00CB2A72" w:rsidP="00CB2A72">
      <w:pPr>
        <w:pStyle w:val="Fundamentos"/>
        <w:rPr>
          <w:b/>
          <w:bCs/>
          <w:lang w:val="es-MX"/>
        </w:rPr>
      </w:pPr>
      <w:r w:rsidRPr="00CB2A72">
        <w:rPr>
          <w:b/>
          <w:bCs/>
          <w:lang w:val="es-MX"/>
        </w:rPr>
        <w:t>PRECLUSIÓN. ES UNA FIGURA JURÍDICA QUE EXTINGUE O CONSUMA LA OPORTUNIDAD PROCESAL DE REALIZAR UN ACTO.</w:t>
      </w:r>
    </w:p>
    <w:p w14:paraId="13B93B13" w14:textId="77777777" w:rsidR="00CB2A72" w:rsidRPr="00CB2A72" w:rsidRDefault="00CB2A72" w:rsidP="00CB2A72">
      <w:pPr>
        <w:pStyle w:val="Fundamentos"/>
        <w:rPr>
          <w:lang w:val="es-MX"/>
        </w:rPr>
      </w:pPr>
    </w:p>
    <w:p w14:paraId="441C057E" w14:textId="77777777" w:rsidR="00CB2A72" w:rsidRPr="00CB2A72" w:rsidRDefault="00CB2A72" w:rsidP="00CB2A72">
      <w:pPr>
        <w:pStyle w:val="Fundamentos"/>
        <w:rPr>
          <w:lang w:val="es-MX"/>
        </w:rPr>
      </w:pPr>
      <w:r w:rsidRPr="00CB2A72">
        <w:rPr>
          <w:lang w:val="es-MX"/>
        </w:rPr>
        <w:t xml:space="preserve">La preclusión es uno de los principios que rigen el proceso y se funda en el hecho de que las diversas etapas del proceso se desarrollan en forma sucesiva, mediante la clausura definitiva de cada una de ellas, </w:t>
      </w:r>
      <w:r w:rsidRPr="00CB2A72">
        <w:rPr>
          <w:b/>
          <w:bCs/>
          <w:lang w:val="es-MX"/>
        </w:rPr>
        <w:t>impidiéndose el regreso a momentos procesales ya extinguidos y consumados, esto es, en virtud del principio de la preclusión, extinguida o consumada la oportunidad procesal para realizar un acto, éste ya no podrá ejecutarse nuevamente</w:t>
      </w:r>
      <w:r w:rsidRPr="00CB2A72">
        <w:rPr>
          <w:lang w:val="es-MX"/>
        </w:rPr>
        <w:t xml:space="preserve">. Además doctrinariamente, la preclusión se define generalmente como la pérdida, extinción o consumación de una facultad procesal, que resulta normalmente, de tres situaciones: </w:t>
      </w:r>
      <w:r w:rsidRPr="00CB2A72">
        <w:rPr>
          <w:b/>
          <w:bCs/>
          <w:lang w:val="es-MX"/>
        </w:rPr>
        <w:t>a) de no haber observado el orden u oportunidad dada por la ley para la realización de un acto;</w:t>
      </w:r>
      <w:r w:rsidRPr="00CB2A72">
        <w:rPr>
          <w:lang w:val="es-MX"/>
        </w:rPr>
        <w:t xml:space="preserve"> b) de haber cumplido una actividad incompatible con el ejercicio de otra; y c) de haber ejercitado ya una vez, válidamente, esa facultad (consumación propiamente </w:t>
      </w:r>
      <w:r w:rsidRPr="00CB2A72">
        <w:rPr>
          <w:lang w:val="es-MX"/>
        </w:rPr>
        <w:lastRenderedPageBreak/>
        <w:t>dicha). Estas tres posibilidades significan que la mencionada institución no es, en verdad, única y distinta, sino más bien una circunstancia atinente a la misma estructura del juicio.</w:t>
      </w:r>
    </w:p>
    <w:p w14:paraId="020B9875" w14:textId="77777777" w:rsidR="00CB2A72" w:rsidRPr="00CB2A72" w:rsidRDefault="00CB2A72" w:rsidP="00CB2A72">
      <w:pPr>
        <w:pStyle w:val="Fundamentos"/>
        <w:rPr>
          <w:lang w:val="es-MX"/>
        </w:rPr>
      </w:pPr>
    </w:p>
    <w:p w14:paraId="11E46047" w14:textId="77777777" w:rsidR="00CB2A72" w:rsidRPr="00CB2A72" w:rsidRDefault="00CB2A72" w:rsidP="00CB2A72">
      <w:pPr>
        <w:pStyle w:val="Fundamentos"/>
        <w:rPr>
          <w:lang w:val="es-MX"/>
        </w:rPr>
      </w:pPr>
      <w:r w:rsidRPr="00CB2A72">
        <w:rPr>
          <w:lang w:val="es-MX"/>
        </w:rPr>
        <w:t>Amparo directo 4398/87. Agustín González Godínez y otra. 15 de diciembre de 1987. Cinco votos. Ponente: Mariano Azuela Güitrón. Secretaria: María Estela Ferrer Mac Gregor Poisot.</w:t>
      </w:r>
    </w:p>
    <w:p w14:paraId="014E37E0" w14:textId="77777777" w:rsidR="00CB2A72" w:rsidRPr="00CB2A72" w:rsidRDefault="00CB2A72" w:rsidP="00CB2A72">
      <w:pPr>
        <w:pStyle w:val="Fundamentos"/>
        <w:rPr>
          <w:lang w:val="es-MX"/>
        </w:rPr>
      </w:pPr>
    </w:p>
    <w:p w14:paraId="30C239B5" w14:textId="77777777" w:rsidR="00CB2A72" w:rsidRPr="00CB2A72" w:rsidRDefault="00CB2A72" w:rsidP="00CB2A72">
      <w:pPr>
        <w:pStyle w:val="Fundamentos"/>
        <w:rPr>
          <w:lang w:val="es-MX"/>
        </w:rPr>
      </w:pPr>
      <w:r w:rsidRPr="00CB2A72">
        <w:rPr>
          <w:lang w:val="es-MX"/>
        </w:rPr>
        <w:t>Inconformidad 60/2000. Contralor General del Distrito Federal. 26 de abril de 2000. Cinco votos. Ponente: Juan N. Silva Meza. Secretario: Roberto Javier Sánchez Rosas.</w:t>
      </w:r>
    </w:p>
    <w:p w14:paraId="262CAA7A" w14:textId="77777777" w:rsidR="00CB2A72" w:rsidRPr="00CB2A72" w:rsidRDefault="00CB2A72" w:rsidP="00CB2A72">
      <w:pPr>
        <w:pStyle w:val="Fundamentos"/>
        <w:rPr>
          <w:lang w:val="es-MX"/>
        </w:rPr>
      </w:pPr>
      <w:r w:rsidRPr="00CB2A72">
        <w:rPr>
          <w:lang w:val="es-MX"/>
        </w:rPr>
        <w:t>Inconformidad 339/99. Fausto Rafael Pérez Rosas. 17 de mayo de 2000. Cinco votos. Ponente: Juventino V. Castro y Castro. Secretario: Roberto Javier Sánchez Rosas.</w:t>
      </w:r>
    </w:p>
    <w:p w14:paraId="1A94C182" w14:textId="77777777" w:rsidR="00CB2A72" w:rsidRPr="00CB2A72" w:rsidRDefault="00CB2A72" w:rsidP="00CB2A72">
      <w:pPr>
        <w:pStyle w:val="Fundamentos"/>
        <w:rPr>
          <w:lang w:val="es-MX"/>
        </w:rPr>
      </w:pPr>
      <w:r w:rsidRPr="00CB2A72">
        <w:rPr>
          <w:lang w:val="es-MX"/>
        </w:rPr>
        <w:t>Reclamación 2/2000. Luis Ignacio Ayala Medina Mora y otra. 17 de noviembre de 2000. Unanimidad de cuatro votos. Ausente: Juventino V. Castro y Castro. Ponente: Juan N. Silva Meza. Secretario: Manuel González Díaz.</w:t>
      </w:r>
    </w:p>
    <w:p w14:paraId="57D05661" w14:textId="77777777" w:rsidR="00CB2A72" w:rsidRPr="00CB2A72" w:rsidRDefault="00CB2A72" w:rsidP="00CB2A72">
      <w:pPr>
        <w:pStyle w:val="Fundamentos"/>
        <w:rPr>
          <w:lang w:val="es-MX"/>
        </w:rPr>
      </w:pPr>
      <w:r w:rsidRPr="00CB2A72">
        <w:rPr>
          <w:lang w:val="es-MX"/>
        </w:rPr>
        <w:t>Contradicción de tesis 92/2000-PS. Entre las sustentadas por los Tribunales Colegiados Segundo, Tercero, Séptimo y Décimo Segundo, todos en Materia Civil del Primer Circuito. 19 de septiembre de 2001. Mayoría de cuatro votos. Disidente: Juventino V. Castro y Castro. Ponente: Olga Sánchez Cordero de García Villegas. Secretario: Heriberto Pérez Reyes.</w:t>
      </w:r>
    </w:p>
    <w:p w14:paraId="6E8EA7A2" w14:textId="77777777" w:rsidR="00CB2A72" w:rsidRPr="00CB2A72" w:rsidRDefault="00CB2A72" w:rsidP="00CB2A72">
      <w:pPr>
        <w:pStyle w:val="Fundamentos"/>
        <w:rPr>
          <w:lang w:val="es-MX"/>
        </w:rPr>
      </w:pPr>
      <w:r w:rsidRPr="00CB2A72">
        <w:rPr>
          <w:lang w:val="es-MX"/>
        </w:rPr>
        <w:t>Tesis de jurisprudencia 21/2002. Aprobada por la Primera Sala de este Alto Tribunal, en sesión de veinte de marzo de dos mil dos, por unanimidad de cinco votos de los señores Ministros: presidente Juan N. Silva Meza, Juventino V. Castro y Castro, Humberto Román Palacios, José de Jesús Gudiño Pelayo y Olga Sánchez Cordero de García Villegas.</w:t>
      </w:r>
    </w:p>
    <w:p w14:paraId="71C1D2A8" w14:textId="77777777" w:rsidR="00CB2A72" w:rsidRPr="00CB2A72" w:rsidRDefault="00CB2A72" w:rsidP="00CB2A72">
      <w:pPr>
        <w:pStyle w:val="Fundamentos"/>
        <w:rPr>
          <w:lang w:val="es-MX"/>
        </w:rPr>
      </w:pPr>
      <w:r w:rsidRPr="00CB2A72">
        <w:rPr>
          <w:lang w:val="es-MX"/>
        </w:rPr>
        <w:t>Por lo antes expuesto.</w:t>
      </w:r>
    </w:p>
    <w:p w14:paraId="33BB6AF2" w14:textId="77777777" w:rsidR="00CB2A72" w:rsidRPr="00CB2A72" w:rsidRDefault="00CB2A72" w:rsidP="00CB2A72">
      <w:pPr>
        <w:pStyle w:val="Fundamentos"/>
        <w:rPr>
          <w:lang w:val="es-MX"/>
        </w:rPr>
      </w:pPr>
      <w:r w:rsidRPr="00CB2A72">
        <w:rPr>
          <w:lang w:val="es-MX"/>
        </w:rPr>
        <w:t>A USTED, atentamente solicito:</w:t>
      </w:r>
    </w:p>
    <w:p w14:paraId="38029FC1" w14:textId="77777777" w:rsidR="00CB2A72" w:rsidRPr="00CB2A72" w:rsidRDefault="00CB2A72" w:rsidP="00CB2A72">
      <w:pPr>
        <w:pStyle w:val="Fundamentos"/>
        <w:rPr>
          <w:lang w:val="es-MX"/>
        </w:rPr>
      </w:pPr>
      <w:r w:rsidRPr="00CB2A72">
        <w:rPr>
          <w:lang w:val="es-MX"/>
        </w:rPr>
        <w:t>ÚNICO: Acordar de conformidad lo solicitado por ser procedente conforme a derecho.</w:t>
      </w:r>
    </w:p>
    <w:p w14:paraId="57B780C9" w14:textId="77777777" w:rsidR="00CB2A72" w:rsidRPr="00CB2A72" w:rsidRDefault="00CB2A72" w:rsidP="00CB2A72">
      <w:pPr>
        <w:pStyle w:val="Fundamentos"/>
        <w:rPr>
          <w:lang w:val="es-MX"/>
        </w:rPr>
      </w:pPr>
    </w:p>
    <w:p w14:paraId="35D47869" w14:textId="77777777" w:rsidR="00CB2A72" w:rsidRPr="00CB2A72" w:rsidRDefault="00CB2A72" w:rsidP="00CB2A72">
      <w:pPr>
        <w:pStyle w:val="Fundamentos"/>
        <w:rPr>
          <w:b/>
          <w:bCs/>
          <w:lang w:val="es-MX"/>
        </w:rPr>
      </w:pPr>
      <w:r w:rsidRPr="00CB2A72">
        <w:rPr>
          <w:b/>
          <w:bCs/>
          <w:lang w:val="es-MX"/>
        </w:rPr>
        <w:t>PROTESTO LO NECESARIO</w:t>
      </w:r>
    </w:p>
    <w:p w14:paraId="331C225F" w14:textId="77777777" w:rsidR="00CB2A72" w:rsidRPr="00CB2A72" w:rsidRDefault="00CB2A72" w:rsidP="00CB2A72">
      <w:pPr>
        <w:pStyle w:val="Fundamentos"/>
        <w:rPr>
          <w:lang w:val="es-MX"/>
        </w:rPr>
      </w:pPr>
    </w:p>
    <w:p w14:paraId="595F6243" w14:textId="77777777" w:rsidR="00CB2A72" w:rsidRPr="00CB2A72" w:rsidRDefault="00CB2A72" w:rsidP="00CB2A72">
      <w:pPr>
        <w:pStyle w:val="Fundamentos"/>
        <w:rPr>
          <w:bCs/>
          <w:lang w:val="es-MX"/>
        </w:rPr>
      </w:pPr>
      <w:r w:rsidRPr="00CB2A72">
        <w:rPr>
          <w:bCs/>
          <w:lang w:val="es-MX"/>
        </w:rPr>
        <w:t>_______________________</w:t>
      </w:r>
    </w:p>
    <w:p w14:paraId="3B4996AE" w14:textId="6115F9DC" w:rsidR="00CB2A72" w:rsidRPr="00CB2A72" w:rsidRDefault="00CB2A72" w:rsidP="00CB2A72">
      <w:pPr>
        <w:pStyle w:val="Fundamentos"/>
        <w:rPr>
          <w:b/>
          <w:lang w:val="es-MX"/>
        </w:rPr>
      </w:pPr>
      <w:r w:rsidRPr="00CB2A72">
        <w:rPr>
          <w:b/>
          <w:lang w:val="es-MX"/>
        </w:rPr>
        <w:t>“EL SOLICITANTE”</w:t>
      </w:r>
      <w:r w:rsidR="000970B5">
        <w:rPr>
          <w:b/>
          <w:lang w:val="es-MX"/>
        </w:rPr>
        <w:t xml:space="preserve">» </w:t>
      </w:r>
      <w:r w:rsidR="000970B5" w:rsidRPr="000970B5">
        <w:rPr>
          <w:bCs/>
          <w:lang w:val="es-MX"/>
        </w:rPr>
        <w:t>(Sic)</w:t>
      </w:r>
    </w:p>
    <w:p w14:paraId="6BFD278E" w14:textId="77777777" w:rsidR="002A0A88" w:rsidRDefault="002A0A88" w:rsidP="006922F5">
      <w:pPr>
        <w:pBdr>
          <w:top w:val="nil"/>
          <w:left w:val="nil"/>
          <w:bottom w:val="nil"/>
          <w:right w:val="nil"/>
          <w:between w:val="nil"/>
        </w:pBdr>
        <w:contextualSpacing/>
        <w:rPr>
          <w:rFonts w:eastAsia="Palatino Linotype" w:cs="Palatino Linotype"/>
          <w:color w:val="000000"/>
          <w:szCs w:val="24"/>
        </w:rPr>
      </w:pPr>
    </w:p>
    <w:p w14:paraId="462FA5EB" w14:textId="0018C632" w:rsidR="00B25441" w:rsidRPr="006922F5" w:rsidRDefault="00B25441" w:rsidP="00B25441">
      <w:pPr>
        <w:pStyle w:val="Ttulo2"/>
        <w:rPr>
          <w:rFonts w:eastAsia="Palatino Linotype"/>
        </w:rPr>
      </w:pPr>
      <w:r>
        <w:rPr>
          <w:rFonts w:eastAsia="Palatino Linotype"/>
        </w:rPr>
        <w:t>TERCERO</w:t>
      </w:r>
      <w:r w:rsidRPr="006922F5">
        <w:rPr>
          <w:rFonts w:eastAsia="Palatino Linotype"/>
        </w:rPr>
        <w:t xml:space="preserve">. De la </w:t>
      </w:r>
      <w:r>
        <w:rPr>
          <w:rFonts w:eastAsia="Palatino Linotype"/>
        </w:rPr>
        <w:t>prórroga para dar respuesta</w:t>
      </w:r>
      <w:r w:rsidRPr="006922F5">
        <w:rPr>
          <w:rFonts w:eastAsia="Palatino Linotype"/>
        </w:rPr>
        <w:t>.</w:t>
      </w:r>
    </w:p>
    <w:p w14:paraId="2CFCF21A" w14:textId="3F8F4697" w:rsidR="00B25441" w:rsidRPr="006922F5" w:rsidRDefault="00B25441" w:rsidP="00B2544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fecha </w:t>
      </w:r>
      <w:r w:rsidR="00334F21">
        <w:rPr>
          <w:rFonts w:eastAsia="Palatino Linotype" w:cs="Palatino Linotype"/>
          <w:color w:val="000000"/>
          <w:szCs w:val="24"/>
        </w:rPr>
        <w:t xml:space="preserve">veintitrés de mayo de dos mil veintitrés el Sujeto Obligado informó al Recurrente </w:t>
      </w:r>
      <w:r w:rsidR="002E5D59">
        <w:rPr>
          <w:rFonts w:eastAsia="Palatino Linotype" w:cs="Palatino Linotype"/>
          <w:color w:val="000000"/>
          <w:szCs w:val="24"/>
        </w:rPr>
        <w:t>que el término para dar respuesta se prorrogó por siete días adicionales, sin que dicha prórroga se haya acompañado por el acuerdo emitido por el Comité de Transparencia.</w:t>
      </w:r>
    </w:p>
    <w:p w14:paraId="2C49F448" w14:textId="77777777" w:rsidR="00B25441" w:rsidRDefault="00B25441" w:rsidP="006922F5">
      <w:pPr>
        <w:pBdr>
          <w:top w:val="nil"/>
          <w:left w:val="nil"/>
          <w:bottom w:val="nil"/>
          <w:right w:val="nil"/>
          <w:between w:val="nil"/>
        </w:pBdr>
        <w:contextualSpacing/>
        <w:rPr>
          <w:rFonts w:eastAsia="Palatino Linotype" w:cs="Palatino Linotype"/>
          <w:color w:val="000000"/>
          <w:szCs w:val="24"/>
        </w:rPr>
      </w:pPr>
    </w:p>
    <w:p w14:paraId="1AEDC68E" w14:textId="425D3DBF" w:rsidR="00A970D5" w:rsidRPr="006922F5" w:rsidRDefault="002E5D59" w:rsidP="006922F5">
      <w:pPr>
        <w:pStyle w:val="Ttulo2"/>
        <w:rPr>
          <w:rFonts w:eastAsia="Palatino Linotype"/>
        </w:rPr>
      </w:pPr>
      <w:r>
        <w:rPr>
          <w:rFonts w:eastAsia="Palatino Linotype"/>
        </w:rPr>
        <w:t>CUARTO</w:t>
      </w:r>
      <w:r w:rsidR="00A970D5" w:rsidRPr="006922F5">
        <w:rPr>
          <w:rFonts w:eastAsia="Palatino Linotype"/>
        </w:rPr>
        <w:t>. De la respuesta del Sujeto Obligado.</w:t>
      </w:r>
    </w:p>
    <w:p w14:paraId="2EE6F294" w14:textId="31EA72F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C52E8">
        <w:rPr>
          <w:rFonts w:eastAsia="Palatino Linotype" w:cs="Palatino Linotype"/>
          <w:color w:val="000000"/>
          <w:szCs w:val="24"/>
        </w:rPr>
        <w:t xml:space="preserve"> </w:t>
      </w:r>
      <w:r w:rsidR="003F32E3">
        <w:rPr>
          <w:rFonts w:eastAsia="Palatino Linotype" w:cs="Palatino Linotype"/>
          <w:color w:val="000000"/>
          <w:szCs w:val="24"/>
        </w:rPr>
        <w:t>primero</w:t>
      </w:r>
      <w:r w:rsidR="000325A7">
        <w:rPr>
          <w:rFonts w:eastAsia="Palatino Linotype" w:cs="Palatino Linotype"/>
          <w:color w:val="000000"/>
          <w:szCs w:val="24"/>
        </w:rPr>
        <w:t xml:space="preserve"> de junio</w:t>
      </w:r>
      <w:r w:rsidR="00AA6C98">
        <w:rPr>
          <w:rFonts w:eastAsia="Palatino Linotype" w:cs="Palatino Linotype"/>
          <w:color w:val="000000"/>
          <w:szCs w:val="24"/>
        </w:rPr>
        <w:t xml:space="preserve">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4334F20" w14:textId="6203BF9C" w:rsidR="003F32E3" w:rsidRDefault="00851748" w:rsidP="003F32E3">
      <w:pPr>
        <w:pStyle w:val="Fundamentos"/>
      </w:pPr>
      <w:r>
        <w:t>«</w:t>
      </w:r>
      <w:r w:rsidR="003F32E3">
        <w:t>En respuesta a la solicitud recibida, nos permitimos hacer de su conocimiento que con fundamento en el artículo 53, Fracciones: II, V y VI de la Ley de Transparencia y Acceso a la Información Pública del Estado de México y Municipios, le contestamos que:</w:t>
      </w:r>
    </w:p>
    <w:p w14:paraId="2102B4ED" w14:textId="77777777" w:rsidR="003F32E3" w:rsidRDefault="003F32E3" w:rsidP="003F32E3">
      <w:pPr>
        <w:pStyle w:val="Fundamentos"/>
      </w:pPr>
    </w:p>
    <w:p w14:paraId="3FE4A9EF" w14:textId="48205B49" w:rsidR="00A970D5" w:rsidRPr="00404754" w:rsidRDefault="003F32E3" w:rsidP="003F32E3">
      <w:pPr>
        <w:pStyle w:val="Fundamentos"/>
        <w:rPr>
          <w:lang w:val="es-MX"/>
        </w:rPr>
      </w:pPr>
      <w:r>
        <w:t>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SECRETARÍA DEL AYUNTAMIENTO; por lo que en ese orden se transcriben: “En atención a la solicitud de información 00081/MELOCAM/IP/2023, envío 1 (un) archivo digital en formato pdf con la información requerida por el ciudadano. Por lo que en este momento se contesta en tiempo y forma.”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rsidR="00851748">
        <w:rPr>
          <w:lang w:val="es-MX"/>
        </w:rPr>
        <w:t>»</w:t>
      </w:r>
      <w:r w:rsidR="00A970D5" w:rsidRPr="00404754">
        <w:rPr>
          <w:lang w:val="es-MX"/>
        </w:rPr>
        <w:t xml:space="preserve">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3FED6F7" w:rsidR="0037112D" w:rsidRPr="0037112D" w:rsidRDefault="0037112D" w:rsidP="00BB7DF0">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AA6C98">
        <w:rPr>
          <w:rFonts w:eastAsia="Palatino Linotype" w:cs="Palatino Linotype"/>
          <w:color w:val="000000"/>
          <w:szCs w:val="24"/>
        </w:rPr>
        <w:t xml:space="preserve">adjuntó a su respuesta </w:t>
      </w:r>
      <w:r w:rsidR="003F32E3">
        <w:rPr>
          <w:rFonts w:eastAsia="Palatino Linotype" w:cs="Palatino Linotype"/>
          <w:color w:val="000000"/>
          <w:szCs w:val="24"/>
        </w:rPr>
        <w:t>el</w:t>
      </w:r>
      <w:r w:rsidR="00165CA1">
        <w:rPr>
          <w:rFonts w:eastAsia="Palatino Linotype" w:cs="Palatino Linotype"/>
          <w:color w:val="000000"/>
          <w:szCs w:val="24"/>
        </w:rPr>
        <w:t xml:space="preserve"> documento denominado</w:t>
      </w:r>
      <w:r>
        <w:rPr>
          <w:rFonts w:eastAsia="Palatino Linotype" w:cs="Palatino Linotype"/>
          <w:color w:val="000000"/>
          <w:szCs w:val="24"/>
        </w:rPr>
        <w:t xml:space="preserve"> </w:t>
      </w:r>
      <w:r w:rsidR="009754C3">
        <w:rPr>
          <w:rFonts w:eastAsia="Palatino Linotype" w:cs="Palatino Linotype"/>
          <w:b/>
          <w:bCs/>
          <w:color w:val="000000"/>
          <w:szCs w:val="24"/>
        </w:rPr>
        <w:t>«</w:t>
      </w:r>
      <w:r w:rsidR="003F32E3">
        <w:rPr>
          <w:rFonts w:eastAsia="Palatino Linotype" w:cs="Palatino Linotype"/>
          <w:b/>
          <w:bCs/>
          <w:color w:val="000000"/>
          <w:szCs w:val="24"/>
        </w:rPr>
        <w:t>Respuesta Mediadora 081 -083</w:t>
      </w:r>
      <w:r w:rsidR="00BB7DF0" w:rsidRPr="00BB7DF0">
        <w:rPr>
          <w:rFonts w:eastAsia="Palatino Linotype" w:cs="Palatino Linotype"/>
          <w:b/>
          <w:bCs/>
          <w:color w:val="000000"/>
          <w:szCs w:val="24"/>
        </w:rPr>
        <w:t>.pdf</w:t>
      </w:r>
      <w:r w:rsidR="009754C3">
        <w:rPr>
          <w:rFonts w:eastAsia="Palatino Linotype" w:cs="Palatino Linotype"/>
          <w:b/>
          <w:bCs/>
          <w:color w:val="000000"/>
          <w:szCs w:val="24"/>
        </w:rPr>
        <w:t>»</w:t>
      </w:r>
      <w:r w:rsidR="00363EA3">
        <w:rPr>
          <w:rFonts w:eastAsia="Palatino Linotype" w:cs="Palatino Linotype"/>
          <w:color w:val="000000"/>
          <w:szCs w:val="24"/>
        </w:rPr>
        <w:t xml:space="preserve">, </w:t>
      </w:r>
      <w:r w:rsidR="003F32E3">
        <w:rPr>
          <w:rFonts w:eastAsia="Palatino Linotype" w:cs="Palatino Linotype"/>
          <w:color w:val="000000"/>
          <w:szCs w:val="24"/>
        </w:rPr>
        <w:t>el</w:t>
      </w:r>
      <w:r w:rsidR="00363EA3">
        <w:rPr>
          <w:rFonts w:eastAsia="Palatino Linotype" w:cs="Palatino Linotype"/>
          <w:color w:val="000000"/>
          <w:szCs w:val="24"/>
        </w:rPr>
        <w:t xml:space="preserve">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10D095CA" w:rsidR="00A970D5" w:rsidRPr="006922F5" w:rsidRDefault="002E5D59" w:rsidP="006922F5">
      <w:pPr>
        <w:pStyle w:val="Ttulo2"/>
        <w:rPr>
          <w:rFonts w:eastAsia="Palatino Linotype"/>
        </w:rPr>
      </w:pPr>
      <w:r>
        <w:rPr>
          <w:rFonts w:eastAsia="Palatino Linotype"/>
        </w:rPr>
        <w:lastRenderedPageBreak/>
        <w:t>QUINTO</w:t>
      </w:r>
      <w:r w:rsidR="00A970D5" w:rsidRPr="006922F5">
        <w:rPr>
          <w:rFonts w:eastAsia="Palatino Linotype"/>
        </w:rPr>
        <w:t>. Del recurso de revisión.</w:t>
      </w:r>
    </w:p>
    <w:p w14:paraId="0C8C3A2F" w14:textId="51BE9B5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ED1397">
        <w:rPr>
          <w:rFonts w:eastAsia="Palatino Linotype" w:cs="Palatino Linotype"/>
          <w:color w:val="000000"/>
          <w:szCs w:val="24"/>
        </w:rPr>
        <w:t>l</w:t>
      </w:r>
      <w:r w:rsidR="008B2951" w:rsidRPr="006922F5">
        <w:rPr>
          <w:rFonts w:eastAsia="Palatino Linotype" w:cs="Palatino Linotype"/>
          <w:color w:val="000000"/>
          <w:szCs w:val="24"/>
        </w:rPr>
        <w:t xml:space="preserve"> </w:t>
      </w:r>
      <w:r w:rsidR="008B0626">
        <w:rPr>
          <w:rFonts w:eastAsia="Palatino Linotype" w:cs="Palatino Linotype"/>
          <w:color w:val="000000"/>
          <w:szCs w:val="24"/>
        </w:rPr>
        <w:t>día</w:t>
      </w:r>
      <w:r w:rsidR="00ED1397">
        <w:rPr>
          <w:rFonts w:eastAsia="Palatino Linotype" w:cs="Palatino Linotype"/>
          <w:color w:val="000000"/>
          <w:szCs w:val="24"/>
        </w:rPr>
        <w:t xml:space="preserve"> </w:t>
      </w:r>
      <w:r w:rsidR="003F32E3">
        <w:rPr>
          <w:rFonts w:eastAsia="Palatino Linotype" w:cs="Palatino Linotype"/>
          <w:color w:val="000000"/>
          <w:szCs w:val="24"/>
        </w:rPr>
        <w:t>ocho</w:t>
      </w:r>
      <w:r w:rsidR="004C7156">
        <w:rPr>
          <w:rFonts w:eastAsia="Palatino Linotype" w:cs="Palatino Linotype"/>
          <w:color w:val="000000"/>
          <w:szCs w:val="24"/>
        </w:rPr>
        <w:t xml:space="preserve"> de junio</w:t>
      </w:r>
      <w:r w:rsidR="00ED1397">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AC265B">
        <w:rPr>
          <w:rFonts w:eastAsia="Palatino Linotype" w:cs="Palatino Linotype"/>
          <w:b/>
          <w:color w:val="000000"/>
          <w:szCs w:val="24"/>
        </w:rPr>
        <w:t>0</w:t>
      </w:r>
      <w:r w:rsidR="003F32E3">
        <w:rPr>
          <w:rFonts w:eastAsia="Palatino Linotype" w:cs="Palatino Linotype"/>
          <w:b/>
          <w:color w:val="000000"/>
          <w:szCs w:val="24"/>
        </w:rPr>
        <w:t>322</w:t>
      </w:r>
      <w:r w:rsidR="005B643F">
        <w:rPr>
          <w:rFonts w:eastAsia="Palatino Linotype" w:cs="Palatino Linotype"/>
          <w:b/>
          <w:color w:val="000000"/>
          <w:szCs w:val="24"/>
        </w:rPr>
        <w:t>0</w:t>
      </w:r>
      <w:r w:rsidR="00657695">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35E7953" w:rsidR="00A970D5" w:rsidRPr="006922F5" w:rsidRDefault="005B643F" w:rsidP="006922F5">
      <w:pPr>
        <w:pStyle w:val="Fundamentos"/>
        <w:rPr>
          <w:b/>
        </w:rPr>
      </w:pPr>
      <w:r>
        <w:t>«</w:t>
      </w:r>
      <w:r w:rsidR="003F32E3" w:rsidRPr="003F32E3">
        <w:t>Respuesta de fecha 01 de Junio de 2023, realizada en atención a mi solicitud de información 00081/MELOCAM/IP/2023, donde el sujeto obligado remitió 1 (un) archivo digital en formato pdf con la información incompleta respecto a mi solicitud de acceso a la información pública, y que remitió a través del Sistema Saimex.</w:t>
      </w:r>
      <w:r>
        <w:t xml:space="preserve">» </w:t>
      </w:r>
      <w:r w:rsidR="00A970D5" w:rsidRPr="006922F5">
        <w:t>(Sic)</w:t>
      </w:r>
    </w:p>
    <w:p w14:paraId="3C40A441" w14:textId="77777777" w:rsidR="00A970D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41E19A1E" w:rsidR="00A970D5" w:rsidRPr="006922F5" w:rsidRDefault="00270A17" w:rsidP="006922F5">
      <w:pPr>
        <w:pStyle w:val="Fundamentos"/>
      </w:pPr>
      <w:r>
        <w:t>«</w:t>
      </w:r>
      <w:r w:rsidR="003F32E3" w:rsidRPr="003F32E3">
        <w:t xml:space="preserve">1.-Mediante solicitud de información pública con número de Folio: 00081/MELOCAM/IP/2023 y a través de la plataforma electrónica del Sistema de Acceso a la Información Mexiquense, solicite al sujeto obligado lo siguiente: “Que diga el Oficial Mediador- Conciliador cuántos convenios realizó de enero de 2022 a marzo de 2023. Y que remita en versión pública los mismos. "Que diga el Oficial Mediador- Conciliador que protocolos y manuales utiliza cuando cuando advierte que en un conflicto entre particulares existió violencia de género” (Sic) (el énfasis es nuestro) Es el caso que el sujeto obligado no remitió la versión publica de los convenios realizados de enero de 2022 a marzo de 2023, limitándose a señalar que se celebraron 51 actas de Convenio con la Ciudadanía, pero si remitir en versión pública las constancias de esas 51 actas de Convenio. Lego entonces el sujeto Obligado, Viola en mi perjuicio el artículo 6, apartado A, Fracción III de la Constitución Federal, Así como los artículos 11 y 12 de la Ley de Transparencia y Acceso a la Información Pública del Estado de México y Municipios, al negarme el derecho humano de acceso a la información pública, toda vez que remitió información incompleta al dar contestación a mi solicitud de información señalando que existen 51 actas de Convenio, pero sin remitir en versión pública dichas actas, mismas que se encuentran en su posesión y que fueron solicitadas, por medio de la solicitud de información pública con número de Folio: 00081/MELOCAM/IP/2023. Finalmente en la pregunta 2 de mi solicitud de información pública con número de Folio: 00081/MELOCAM/IP/2023 "Que diga el Oficial Mediador- Conciliador que protocolos y manuales utiliza cuando cuando advierte que en un conflicto entre particulares existió violencia de género” (Sic) El sujeto obligado nuevamente Viola en mi perjuicio el artículo 6, apartado A, Fracción III de la Constitución Federal, Así como los </w:t>
      </w:r>
      <w:r w:rsidR="003F32E3" w:rsidRPr="003F32E3">
        <w:lastRenderedPageBreak/>
        <w:t>artículos 11 y 12 de la Ley de Transparencia y Acceso a la Información Pública del Estado de México y Municipios, al negarme el derecho humano de acceso a la información pública, toda vez que omitió pronunciarse sobre si aplica o no protocolos o manuales, cuando advierte que en un conflicto entre particulares existió violencia de género, limitándose a contestar que no es competente.</w:t>
      </w:r>
      <w:r>
        <w:t>»</w:t>
      </w:r>
      <w:r w:rsidR="00A970D5" w:rsidRPr="006922F5">
        <w:t xml:space="preserve">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6A5E8FB6" w:rsidR="00A970D5" w:rsidRPr="006922F5" w:rsidRDefault="002E5D59" w:rsidP="006922F5">
      <w:pPr>
        <w:pStyle w:val="Ttulo2"/>
        <w:rPr>
          <w:rFonts w:eastAsia="Palatino Linotype"/>
        </w:rPr>
      </w:pPr>
      <w:r>
        <w:rPr>
          <w:rFonts w:eastAsia="Palatino Linotype"/>
        </w:rPr>
        <w:t>SEX</w:t>
      </w:r>
      <w:r w:rsidR="004C52E8">
        <w:rPr>
          <w:rFonts w:eastAsia="Palatino Linotype"/>
        </w:rPr>
        <w:t>TO</w:t>
      </w:r>
      <w:r w:rsidR="00A970D5" w:rsidRPr="006922F5">
        <w:rPr>
          <w:rFonts w:eastAsia="Palatino Linotype"/>
        </w:rPr>
        <w:t>. Del turno y admisión del recurso de revisión.</w:t>
      </w:r>
    </w:p>
    <w:p w14:paraId="2459DEBA" w14:textId="550CC6F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3F32E3">
        <w:rPr>
          <w:rFonts w:eastAsia="Palatino Linotype" w:cs="Palatino Linotype"/>
          <w:color w:val="000000"/>
          <w:szCs w:val="24"/>
        </w:rPr>
        <w:t>trece</w:t>
      </w:r>
      <w:r w:rsidR="00A12D9D">
        <w:rPr>
          <w:rFonts w:eastAsia="Palatino Linotype" w:cs="Palatino Linotype"/>
          <w:color w:val="000000"/>
          <w:szCs w:val="24"/>
        </w:rPr>
        <w:t xml:space="preserve"> de junio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84409D" w:rsidR="00A970D5" w:rsidRPr="006922F5" w:rsidRDefault="002E5D59" w:rsidP="006922F5">
      <w:pPr>
        <w:pStyle w:val="Ttulo2"/>
        <w:rPr>
          <w:rFonts w:eastAsia="Palatino Linotype"/>
        </w:rPr>
      </w:pPr>
      <w:r>
        <w:rPr>
          <w:rFonts w:eastAsia="Palatino Linotype"/>
        </w:rPr>
        <w:t>SÉPTIMO</w:t>
      </w:r>
      <w:r w:rsidR="00A970D5" w:rsidRPr="006922F5">
        <w:rPr>
          <w:rFonts w:eastAsia="Palatino Linotype"/>
        </w:rPr>
        <w:t>. De la etapa de instrucción.</w:t>
      </w:r>
    </w:p>
    <w:p w14:paraId="212747E7" w14:textId="555F83D2" w:rsidR="00AC265B" w:rsidRPr="00AC265B" w:rsidRDefault="00FE7B8E" w:rsidP="00AC265B">
      <w:pPr>
        <w:pBdr>
          <w:top w:val="nil"/>
          <w:left w:val="nil"/>
          <w:bottom w:val="nil"/>
          <w:right w:val="nil"/>
          <w:between w:val="nil"/>
        </w:pBdr>
        <w:contextualSpacing/>
        <w:rPr>
          <w:rFonts w:eastAsia="Palatino Linotype" w:cs="Palatino Linotype"/>
          <w:color w:val="000000"/>
          <w:szCs w:val="24"/>
        </w:rPr>
      </w:pPr>
      <w:r w:rsidRPr="00A671E7">
        <w:rPr>
          <w:rFonts w:eastAsia="Palatino Linotype" w:cs="Palatino Linotype"/>
          <w:color w:val="000000"/>
          <w:szCs w:val="24"/>
        </w:rPr>
        <w:t xml:space="preserve">Una vez abierta la etapa de instrucción, se observa que el Sujeto Obligado omitió rendir el Informe Justificado. </w:t>
      </w:r>
      <w:r w:rsidR="003F32E3">
        <w:rPr>
          <w:rFonts w:eastAsia="Palatino Linotype" w:cs="Palatino Linotype"/>
          <w:color w:val="000000"/>
          <w:szCs w:val="24"/>
        </w:rPr>
        <w:t>Asimismo, e</w:t>
      </w:r>
      <w:r w:rsidRPr="00A671E7">
        <w:rPr>
          <w:rFonts w:eastAsia="Palatino Linotype" w:cs="Palatino Linotype"/>
          <w:color w:val="000000"/>
          <w:szCs w:val="24"/>
        </w:rPr>
        <w:t>l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D7E6FF1" w:rsidR="00A970D5" w:rsidRPr="006922F5" w:rsidRDefault="002E5D59" w:rsidP="006922F5">
      <w:pPr>
        <w:pStyle w:val="Ttulo2"/>
        <w:rPr>
          <w:rFonts w:eastAsia="Palatino Linotype"/>
        </w:rPr>
      </w:pPr>
      <w:r>
        <w:rPr>
          <w:rFonts w:eastAsia="Palatino Linotype"/>
        </w:rPr>
        <w:t>OCTAVO</w:t>
      </w:r>
      <w:r w:rsidR="00A970D5" w:rsidRPr="006922F5">
        <w:rPr>
          <w:rFonts w:eastAsia="Palatino Linotype"/>
        </w:rPr>
        <w:t>. Del cierre de instrucción.</w:t>
      </w:r>
    </w:p>
    <w:p w14:paraId="2456F4BD" w14:textId="269D358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9D6D1D">
        <w:rPr>
          <w:rFonts w:eastAsia="Palatino Linotype" w:cs="Palatino Linotype"/>
          <w:color w:val="000000"/>
          <w:szCs w:val="24"/>
        </w:rPr>
        <w:t>veinti</w:t>
      </w:r>
      <w:r w:rsidR="003F32E3">
        <w:rPr>
          <w:rFonts w:eastAsia="Palatino Linotype" w:cs="Palatino Linotype"/>
          <w:color w:val="000000"/>
          <w:szCs w:val="24"/>
        </w:rPr>
        <w:t>trés</w:t>
      </w:r>
      <w:r w:rsidR="009D6D1D">
        <w:rPr>
          <w:rFonts w:eastAsia="Palatino Linotype" w:cs="Palatino Linotype"/>
          <w:color w:val="000000"/>
          <w:szCs w:val="24"/>
        </w:rPr>
        <w:t xml:space="preserve"> de </w:t>
      </w:r>
      <w:r w:rsidR="00CF610C">
        <w:rPr>
          <w:rFonts w:eastAsia="Palatino Linotype" w:cs="Palatino Linotype"/>
          <w:color w:val="000000"/>
          <w:szCs w:val="24"/>
        </w:rPr>
        <w:t xml:space="preserve">junio </w:t>
      </w:r>
      <w:r w:rsidR="00C510A7">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618EEEA9" w:rsidR="00A914F3" w:rsidRPr="00047890" w:rsidRDefault="002E5D59" w:rsidP="006922F5">
      <w:pPr>
        <w:pStyle w:val="Ttulo2"/>
        <w:rPr>
          <w:rFonts w:eastAsiaTheme="minorHAnsi"/>
          <w:lang w:eastAsia="en-US"/>
        </w:rPr>
      </w:pPr>
      <w:r>
        <w:rPr>
          <w:rFonts w:eastAsiaTheme="minorHAnsi"/>
          <w:lang w:eastAsia="en-US"/>
        </w:rPr>
        <w:lastRenderedPageBreak/>
        <w:t>NOVENO</w:t>
      </w:r>
      <w:r w:rsidR="00A914F3" w:rsidRPr="00047890">
        <w:rPr>
          <w:rFonts w:eastAsiaTheme="minorHAnsi"/>
          <w:lang w:eastAsia="en-US"/>
        </w:rPr>
        <w:t>. De la ampliación del término para resolver.</w:t>
      </w:r>
    </w:p>
    <w:p w14:paraId="500FCB6C" w14:textId="07D2EBF0" w:rsidR="00D86696" w:rsidRPr="006922F5" w:rsidRDefault="00D86696" w:rsidP="00D86696">
      <w:pPr>
        <w:rPr>
          <w:rFonts w:eastAsiaTheme="minorHAnsi" w:cstheme="minorBidi"/>
          <w:szCs w:val="24"/>
          <w:lang w:eastAsia="en-US"/>
        </w:rPr>
      </w:pPr>
      <w:r w:rsidRPr="00047890">
        <w:rPr>
          <w:rFonts w:eastAsiaTheme="minorHAnsi" w:cstheme="minorBidi"/>
          <w:szCs w:val="24"/>
          <w:lang w:eastAsia="en-US"/>
        </w:rPr>
        <w:t xml:space="preserve">En fecha </w:t>
      </w:r>
      <w:r w:rsidR="003F32E3">
        <w:rPr>
          <w:rFonts w:eastAsiaTheme="minorHAnsi" w:cstheme="minorBidi"/>
          <w:szCs w:val="24"/>
          <w:lang w:eastAsia="en-US"/>
        </w:rPr>
        <w:t>ocho</w:t>
      </w:r>
      <w:r w:rsidR="002F7ED4" w:rsidRPr="00047890">
        <w:rPr>
          <w:rFonts w:eastAsiaTheme="minorHAnsi" w:cstheme="minorBidi"/>
          <w:szCs w:val="24"/>
          <w:lang w:eastAsia="en-US"/>
        </w:rPr>
        <w:t xml:space="preserve"> de agosto</w:t>
      </w:r>
      <w:r w:rsidR="00ED1397" w:rsidRPr="00047890">
        <w:rPr>
          <w:rFonts w:eastAsiaTheme="minorHAnsi" w:cstheme="minorBidi"/>
          <w:szCs w:val="24"/>
          <w:lang w:eastAsia="en-US"/>
        </w:rPr>
        <w:t xml:space="preserve"> </w:t>
      </w:r>
      <w:r w:rsidRPr="00047890">
        <w:rPr>
          <w:rFonts w:eastAsiaTheme="minorHAnsi" w:cstheme="minorBidi"/>
          <w:szCs w:val="24"/>
          <w:lang w:eastAsia="en-US"/>
        </w:rPr>
        <w:t>de dos mil veinti</w:t>
      </w:r>
      <w:r w:rsidR="00FE7B8E" w:rsidRPr="00047890">
        <w:rPr>
          <w:rFonts w:eastAsiaTheme="minorHAnsi" w:cstheme="minorBidi"/>
          <w:szCs w:val="24"/>
          <w:lang w:eastAsia="en-US"/>
        </w:rPr>
        <w:t>trés</w:t>
      </w:r>
      <w:r w:rsidRPr="00047890">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Default="00D86696" w:rsidP="00D86696">
      <w:pPr>
        <w:pBdr>
          <w:top w:val="nil"/>
          <w:left w:val="nil"/>
          <w:bottom w:val="nil"/>
          <w:right w:val="nil"/>
          <w:between w:val="nil"/>
        </w:pBdr>
        <w:contextualSpacing/>
        <w:rPr>
          <w:rFonts w:eastAsia="Palatino Linotype" w:cs="Palatino Linotype"/>
          <w:color w:val="000000"/>
          <w:szCs w:val="24"/>
        </w:rPr>
      </w:pPr>
    </w:p>
    <w:p w14:paraId="1505CA4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2D0CC9"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D50477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D1C4BF"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9758F2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02AF9B"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8178342"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134C6C"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467B615"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9C11E38"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70B114F8" w14:textId="085D598F"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Complejidad del asunto: La complejidad de la prueba, la pluralidad de sujetos procesales, el tiempo transcurrido, las características y contexto del recurso.</w:t>
      </w:r>
    </w:p>
    <w:p w14:paraId="547E6B00" w14:textId="7B692C80"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Actividad Procesal del interesado: Acciones u omisiones del interesado.</w:t>
      </w:r>
    </w:p>
    <w:p w14:paraId="10DBB10D" w14:textId="2F9FFD45"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Conducta de la Autoridad: Las Acciones u omisiones realizadas en el procedimiento. Así como si la autoridad actuó con la debida diligencia.</w:t>
      </w:r>
    </w:p>
    <w:p w14:paraId="5723EF3A" w14:textId="172678ED" w:rsidR="009A70F6" w:rsidRPr="009A70F6" w:rsidRDefault="009A70F6" w:rsidP="009A70F6">
      <w:pPr>
        <w:pStyle w:val="Prrafodelista"/>
        <w:numPr>
          <w:ilvl w:val="0"/>
          <w:numId w:val="44"/>
        </w:numPr>
        <w:pBdr>
          <w:top w:val="nil"/>
          <w:left w:val="nil"/>
          <w:bottom w:val="nil"/>
          <w:right w:val="nil"/>
          <w:between w:val="nil"/>
        </w:pBdr>
        <w:contextualSpacing/>
        <w:rPr>
          <w:rFonts w:eastAsiaTheme="minorHAnsi" w:cstheme="minorBidi"/>
          <w:lang w:eastAsia="en-US"/>
        </w:rPr>
      </w:pPr>
      <w:r w:rsidRPr="009A70F6">
        <w:rPr>
          <w:rFonts w:eastAsiaTheme="minorHAnsi" w:cstheme="minorBidi"/>
          <w:lang w:eastAsia="en-US"/>
        </w:rPr>
        <w:t>La afectación generada en la situación jurídica de la persona involucrada en el proceso: Violación a sus derechos humanos.</w:t>
      </w:r>
    </w:p>
    <w:p w14:paraId="189D640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69143AB6"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1D38D9"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241AC9C8" w14:textId="0C21768E"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 xml:space="preserve">Argumento que encuentra sustento en la jurisprudencia P./J. 32/92 emitida por el Pleno de la Suprema Corte de Justicia de la Nación de rubro </w:t>
      </w:r>
      <w:r w:rsidR="007B2759">
        <w:rPr>
          <w:rFonts w:eastAsiaTheme="minorHAnsi" w:cstheme="minorBidi"/>
          <w:szCs w:val="24"/>
          <w:lang w:eastAsia="en-US"/>
        </w:rPr>
        <w:t>«</w:t>
      </w:r>
      <w:r w:rsidRPr="004926E7">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7B2759">
        <w:rPr>
          <w:rFonts w:eastAsiaTheme="minorHAnsi" w:cstheme="minorBidi"/>
          <w:szCs w:val="24"/>
          <w:lang w:eastAsia="en-US"/>
        </w:rPr>
        <w:t>»</w:t>
      </w:r>
      <w:r w:rsidRPr="004926E7">
        <w:rPr>
          <w:rFonts w:eastAsiaTheme="minorHAnsi" w:cstheme="minorBidi"/>
          <w:szCs w:val="24"/>
          <w:lang w:eastAsia="en-US"/>
        </w:rPr>
        <w:t>, visible en la Gaceta del Seminario Judicial de la Federación con el registro digital 205635.</w:t>
      </w:r>
    </w:p>
    <w:p w14:paraId="32BBB52E"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4657C91F" w14:textId="77777777" w:rsidR="007B2759"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0BB71E30" w14:textId="77777777" w:rsidR="007B2759" w:rsidRDefault="007B2759" w:rsidP="009A70F6">
      <w:pPr>
        <w:pBdr>
          <w:top w:val="nil"/>
          <w:left w:val="nil"/>
          <w:bottom w:val="nil"/>
          <w:right w:val="nil"/>
          <w:between w:val="nil"/>
        </w:pBdr>
        <w:contextualSpacing/>
        <w:rPr>
          <w:rFonts w:eastAsiaTheme="minorHAnsi" w:cstheme="minorBidi"/>
          <w:szCs w:val="24"/>
          <w:lang w:eastAsia="en-US"/>
        </w:rPr>
      </w:pPr>
    </w:p>
    <w:p w14:paraId="6622700A" w14:textId="30CB8B98"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23110AA"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3F592C37" w14:textId="318595DA" w:rsidR="009A70F6" w:rsidRPr="004926E7" w:rsidRDefault="007B2759" w:rsidP="009A70F6">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9A70F6" w:rsidRPr="004926E7">
        <w:rPr>
          <w:rFonts w:eastAsiaTheme="minorHAnsi" w:cstheme="minorBidi"/>
          <w:szCs w:val="24"/>
          <w:lang w:eastAsia="en-US"/>
        </w:rPr>
        <w:t>PLAZO RAZONABLE PARA RESOLVER. DIMENSIÓN Y EFECTOS DE ESTE CONCEPTO CUANDO SE ADUCE EXCESIVA CARGA DE TRABAJO</w:t>
      </w:r>
      <w:r>
        <w:rPr>
          <w:rFonts w:eastAsiaTheme="minorHAnsi" w:cstheme="minorBidi"/>
          <w:szCs w:val="24"/>
          <w:lang w:eastAsia="en-US"/>
        </w:rPr>
        <w:t>»,</w:t>
      </w:r>
      <w:r w:rsidR="009A70F6" w:rsidRPr="004926E7">
        <w:rPr>
          <w:rFonts w:eastAsiaTheme="minorHAnsi" w:cstheme="minorBidi"/>
          <w:szCs w:val="24"/>
          <w:lang w:eastAsia="en-US"/>
        </w:rPr>
        <w:t xml:space="preserve"> consultable en el Seminario Judicial de la Federación y su gaceta, con el registro digital 2002351.</w:t>
      </w:r>
    </w:p>
    <w:p w14:paraId="5B020761"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77E2066D" w14:textId="4A498943" w:rsidR="009A70F6" w:rsidRPr="004926E7" w:rsidRDefault="00777824" w:rsidP="009A70F6">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9A70F6" w:rsidRPr="004926E7">
        <w:rPr>
          <w:rFonts w:eastAsiaTheme="minorHAnsi" w:cstheme="minorBidi"/>
          <w:szCs w:val="24"/>
          <w:lang w:eastAsia="en-US"/>
        </w:rPr>
        <w:t>PLAZO RAZONABLE PARA RESOLVER. CONCEPTO Y ELEMENTOS QUE LO INTEGRAN A LA LUZ DEL DERECHO INTERNACIONAL DE LOS DERECHOS HUMANOS</w:t>
      </w:r>
      <w:r>
        <w:rPr>
          <w:rFonts w:eastAsiaTheme="minorHAnsi" w:cstheme="minorBidi"/>
          <w:szCs w:val="24"/>
          <w:lang w:eastAsia="en-US"/>
        </w:rPr>
        <w:t>»</w:t>
      </w:r>
      <w:r w:rsidR="009A70F6" w:rsidRPr="004926E7">
        <w:rPr>
          <w:rFonts w:eastAsiaTheme="minorHAnsi" w:cstheme="minorBidi"/>
          <w:szCs w:val="24"/>
          <w:lang w:eastAsia="en-US"/>
        </w:rPr>
        <w:t>, visible en el Seminario Judicial de la Federación y su gaceta, con el registro digital 2002350.</w:t>
      </w:r>
    </w:p>
    <w:p w14:paraId="351D7CE8" w14:textId="77777777" w:rsidR="009A70F6" w:rsidRPr="004926E7" w:rsidRDefault="009A70F6" w:rsidP="009A70F6">
      <w:pPr>
        <w:pBdr>
          <w:top w:val="nil"/>
          <w:left w:val="nil"/>
          <w:bottom w:val="nil"/>
          <w:right w:val="nil"/>
          <w:between w:val="nil"/>
        </w:pBdr>
        <w:contextualSpacing/>
        <w:rPr>
          <w:rFonts w:eastAsiaTheme="minorHAnsi" w:cstheme="minorBidi"/>
          <w:szCs w:val="24"/>
          <w:lang w:eastAsia="en-US"/>
        </w:rPr>
      </w:pPr>
    </w:p>
    <w:p w14:paraId="474DAD1E" w14:textId="77777777" w:rsidR="009A70F6" w:rsidRDefault="009A70F6" w:rsidP="009A70F6">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0FEF71B"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ED1397">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D04F852" w14:textId="538D5E71" w:rsidR="00A970D5" w:rsidRPr="006922F5" w:rsidRDefault="003F32E3" w:rsidP="006922F5">
      <w:pPr>
        <w:pStyle w:val="Ttulo2"/>
        <w:rPr>
          <w:rFonts w:eastAsia="Palatino Linotype"/>
        </w:rPr>
      </w:pPr>
      <w:r>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80475C7" w:rsidR="00A970D5" w:rsidRPr="006922F5" w:rsidRDefault="003F32E3" w:rsidP="006922F5">
      <w:pPr>
        <w:pStyle w:val="Ttulo2"/>
        <w:rPr>
          <w:rFonts w:eastAsia="Palatino Linotype"/>
        </w:rPr>
      </w:pPr>
      <w:r>
        <w:rPr>
          <w:rFonts w:eastAsia="Palatino Linotype"/>
        </w:rPr>
        <w:lastRenderedPageBreak/>
        <w:t>CUAR</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6218068" w14:textId="4C0759CE" w:rsidR="00047890" w:rsidRDefault="00A970D5" w:rsidP="003F32E3">
      <w:pPr>
        <w:pBdr>
          <w:top w:val="nil"/>
          <w:left w:val="nil"/>
          <w:bottom w:val="nil"/>
          <w:right w:val="nil"/>
          <w:between w:val="nil"/>
        </w:pBdr>
        <w:contextualSpacing/>
        <w:rPr>
          <w:rFonts w:eastAsia="Palatino Linotype" w:cs="Palatino Linotype"/>
          <w:color w:val="000000"/>
          <w:szCs w:val="24"/>
        </w:rPr>
      </w:pPr>
      <w:r w:rsidRPr="00047890">
        <w:rPr>
          <w:rFonts w:eastAsia="Palatino Linotype" w:cs="Palatino Linotype"/>
          <w:color w:val="000000"/>
          <w:szCs w:val="24"/>
        </w:rPr>
        <w:t>Por tanto</w:t>
      </w:r>
      <w:r w:rsidR="007F3F9F" w:rsidRPr="00047890">
        <w:rPr>
          <w:rFonts w:eastAsia="Palatino Linotype" w:cs="Palatino Linotype"/>
          <w:color w:val="000000"/>
          <w:szCs w:val="24"/>
        </w:rPr>
        <w:t xml:space="preserve">, es conveniente recordar que </w:t>
      </w:r>
      <w:r w:rsidR="006D438A" w:rsidRPr="00047890">
        <w:rPr>
          <w:rFonts w:eastAsia="Palatino Linotype" w:cs="Palatino Linotype"/>
          <w:color w:val="000000"/>
          <w:szCs w:val="24"/>
        </w:rPr>
        <w:t>el</w:t>
      </w:r>
      <w:r w:rsidRPr="00047890">
        <w:rPr>
          <w:rFonts w:eastAsia="Palatino Linotype" w:cs="Palatino Linotype"/>
          <w:color w:val="000000"/>
          <w:szCs w:val="24"/>
        </w:rPr>
        <w:t xml:space="preserve"> hoy Recurrente </w:t>
      </w:r>
      <w:r w:rsidR="003F32E3">
        <w:rPr>
          <w:rFonts w:eastAsia="Palatino Linotype" w:cs="Palatino Linotype"/>
          <w:color w:val="000000"/>
          <w:szCs w:val="24"/>
        </w:rPr>
        <w:t>requirió que el Oficial Mediador-Conciliador le informara lo siguiente:</w:t>
      </w:r>
    </w:p>
    <w:p w14:paraId="1C4AA91B" w14:textId="77777777" w:rsidR="003F32E3" w:rsidRDefault="003F32E3" w:rsidP="003F32E3">
      <w:pPr>
        <w:pBdr>
          <w:top w:val="nil"/>
          <w:left w:val="nil"/>
          <w:bottom w:val="nil"/>
          <w:right w:val="nil"/>
          <w:between w:val="nil"/>
        </w:pBdr>
        <w:contextualSpacing/>
        <w:rPr>
          <w:rFonts w:eastAsia="Palatino Linotype" w:cs="Palatino Linotype"/>
          <w:color w:val="000000"/>
          <w:szCs w:val="24"/>
        </w:rPr>
      </w:pPr>
    </w:p>
    <w:p w14:paraId="5DA7DF9D" w14:textId="5F0E5044" w:rsidR="003F32E3" w:rsidRPr="003F1C2E" w:rsidRDefault="003F1C2E" w:rsidP="003F1C2E">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3F1C2E">
        <w:rPr>
          <w:rFonts w:eastAsia="Palatino Linotype" w:cs="Palatino Linotype"/>
          <w:color w:val="000000"/>
        </w:rPr>
        <w:t>Cuántos convenios realizó del primero de enero de dos mil veintidós al treinta y uno de marzo de dos mil veintitrés y que se remita la versión pública de éstos.</w:t>
      </w:r>
    </w:p>
    <w:p w14:paraId="45E68304" w14:textId="2FC2E88B" w:rsidR="003F1C2E" w:rsidRPr="003F1C2E" w:rsidRDefault="003F1C2E" w:rsidP="003F1C2E">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3F1C2E">
        <w:rPr>
          <w:rFonts w:eastAsia="Palatino Linotype" w:cs="Palatino Linotype"/>
          <w:color w:val="000000"/>
        </w:rPr>
        <w:t>Qué protocolos y manuales utiliza cuando advierte que en un conflicto entre particulares existe violencia de género.</w:t>
      </w:r>
    </w:p>
    <w:p w14:paraId="77F8E3A3" w14:textId="77777777" w:rsidR="00744A98" w:rsidRDefault="00744A98" w:rsidP="00C006C6">
      <w:pPr>
        <w:pBdr>
          <w:top w:val="nil"/>
          <w:left w:val="nil"/>
          <w:bottom w:val="nil"/>
          <w:right w:val="nil"/>
          <w:between w:val="nil"/>
        </w:pBdr>
        <w:contextualSpacing/>
        <w:rPr>
          <w:rFonts w:eastAsia="Palatino Linotype" w:cs="Palatino Linotype"/>
          <w:color w:val="000000"/>
          <w:szCs w:val="24"/>
        </w:rPr>
      </w:pPr>
    </w:p>
    <w:p w14:paraId="71B46838" w14:textId="1002FAD6" w:rsidR="003F1C2E" w:rsidRDefault="003F1C2E" w:rsidP="00C006C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Cabe señalar que el Sujeto Obligado requirió una aclaración al solicitante la cual fue atendida por el particular con el documento descrito en el Antecedente Segundo. Asimismo, el Sujeto Obligado prorrogó el término para atender la solicitud sin que se proporcionara el acuerdo emitido por el Comité de Transparencia con el que se aprobara dicha prórroga, tal como se establece en el artículo </w:t>
      </w:r>
      <w:r w:rsidR="0010303E">
        <w:rPr>
          <w:rFonts w:eastAsia="Palatino Linotype" w:cs="Palatino Linotype"/>
          <w:color w:val="000000"/>
          <w:szCs w:val="24"/>
        </w:rPr>
        <w:t>163 de la Ley de Transparencia estatal, que a la letra estipula lo siguiente:</w:t>
      </w:r>
    </w:p>
    <w:p w14:paraId="6A70B1A9" w14:textId="77777777" w:rsidR="0010303E" w:rsidRDefault="0010303E" w:rsidP="00C006C6">
      <w:pPr>
        <w:pBdr>
          <w:top w:val="nil"/>
          <w:left w:val="nil"/>
          <w:bottom w:val="nil"/>
          <w:right w:val="nil"/>
          <w:between w:val="nil"/>
        </w:pBdr>
        <w:contextualSpacing/>
        <w:rPr>
          <w:rFonts w:eastAsia="Palatino Linotype" w:cs="Palatino Linotype"/>
          <w:color w:val="000000"/>
          <w:szCs w:val="24"/>
        </w:rPr>
      </w:pPr>
    </w:p>
    <w:p w14:paraId="35C8E764" w14:textId="77777777" w:rsidR="0010303E" w:rsidRPr="0010303E" w:rsidRDefault="0010303E" w:rsidP="0010303E">
      <w:pPr>
        <w:pStyle w:val="Fundamentos"/>
        <w:rPr>
          <w:lang w:val="es-MX"/>
        </w:rPr>
      </w:pPr>
      <w:r w:rsidRPr="0010303E">
        <w:rPr>
          <w:b/>
          <w:lang w:val="es-MX"/>
        </w:rPr>
        <w:t xml:space="preserve">Artículo 163. </w:t>
      </w:r>
      <w:r w:rsidRPr="0010303E">
        <w:rPr>
          <w:lang w:val="es-MX"/>
        </w:rPr>
        <w:t>La Unidad de Transparencia deberá notificar la respuesta a la solicitud al interesado en el menor tiempo posible, que no podrá exceder de quince días hábiles, contados a partir del día siguiente a la presentación de aquélla.</w:t>
      </w:r>
    </w:p>
    <w:p w14:paraId="7761C895" w14:textId="77777777" w:rsidR="0010303E" w:rsidRPr="0010303E" w:rsidRDefault="0010303E" w:rsidP="0010303E">
      <w:pPr>
        <w:pStyle w:val="Fundamentos"/>
        <w:rPr>
          <w:lang w:val="es-MX"/>
        </w:rPr>
      </w:pPr>
    </w:p>
    <w:p w14:paraId="79CF5EAD" w14:textId="7D58F37C" w:rsidR="0010303E" w:rsidRDefault="0010303E" w:rsidP="0010303E">
      <w:pPr>
        <w:pStyle w:val="Fundamentos"/>
      </w:pPr>
      <w:r w:rsidRPr="0010303E">
        <w:rPr>
          <w:b/>
          <w:bCs/>
          <w:u w:val="single"/>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10303E">
        <w:rPr>
          <w:lang w:val="es-MX"/>
        </w:rPr>
        <w:t>. No podrán invocarse como causales de ampliación del plazo motivos que supongan negligencia o descuido del sujeto obligado en el desahogo de la solicitud.</w:t>
      </w:r>
    </w:p>
    <w:p w14:paraId="2C6C5CC8" w14:textId="77777777" w:rsidR="003F1C2E" w:rsidRDefault="003F1C2E" w:rsidP="00C006C6">
      <w:pPr>
        <w:pBdr>
          <w:top w:val="nil"/>
          <w:left w:val="nil"/>
          <w:bottom w:val="nil"/>
          <w:right w:val="nil"/>
          <w:between w:val="nil"/>
        </w:pBdr>
        <w:contextualSpacing/>
        <w:rPr>
          <w:rFonts w:eastAsia="Palatino Linotype" w:cs="Palatino Linotype"/>
          <w:color w:val="000000"/>
          <w:szCs w:val="24"/>
        </w:rPr>
      </w:pPr>
    </w:p>
    <w:p w14:paraId="12ADC8A5" w14:textId="45809364" w:rsidR="0010303E" w:rsidRDefault="0010303E" w:rsidP="00C006C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anterior, se insta al Sujeto Obligado para que en posteriores ocasiones actúe con apego a lo dispuesto en el precepto citado.</w:t>
      </w:r>
    </w:p>
    <w:p w14:paraId="36DD85F2" w14:textId="77777777" w:rsidR="0010303E" w:rsidRDefault="0010303E" w:rsidP="00C006C6">
      <w:pPr>
        <w:pBdr>
          <w:top w:val="nil"/>
          <w:left w:val="nil"/>
          <w:bottom w:val="nil"/>
          <w:right w:val="nil"/>
          <w:between w:val="nil"/>
        </w:pBdr>
        <w:contextualSpacing/>
        <w:rPr>
          <w:rFonts w:eastAsia="Palatino Linotype" w:cs="Palatino Linotype"/>
          <w:color w:val="000000"/>
          <w:szCs w:val="24"/>
        </w:rPr>
      </w:pPr>
    </w:p>
    <w:p w14:paraId="46A58DB1" w14:textId="02B9A7DD"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D57F1A">
        <w:rPr>
          <w:rFonts w:eastAsia="Palatino Linotype" w:cs="Palatino Linotype"/>
          <w:color w:val="000000"/>
          <w:szCs w:val="24"/>
        </w:rPr>
        <w:t>mediante la entrega de</w:t>
      </w:r>
      <w:r w:rsidR="0010303E">
        <w:rPr>
          <w:rFonts w:eastAsia="Palatino Linotype" w:cs="Palatino Linotype"/>
          <w:color w:val="000000"/>
          <w:szCs w:val="24"/>
        </w:rPr>
        <w:t>l</w:t>
      </w:r>
      <w:r w:rsidR="00D57F1A">
        <w:rPr>
          <w:rFonts w:eastAsia="Palatino Linotype" w:cs="Palatino Linotype"/>
          <w:color w:val="000000"/>
          <w:szCs w:val="24"/>
        </w:rPr>
        <w:t xml:space="preserve"> siguiente documento:</w:t>
      </w:r>
    </w:p>
    <w:p w14:paraId="34CF62B0" w14:textId="1309BD00" w:rsidR="00A978AF" w:rsidRDefault="00A978AF" w:rsidP="007143A2"/>
    <w:p w14:paraId="4B6CF25F" w14:textId="4CCFB4EA" w:rsidR="00047890" w:rsidRDefault="0010303E" w:rsidP="00032686">
      <w:pPr>
        <w:pStyle w:val="Prrafodelista"/>
        <w:numPr>
          <w:ilvl w:val="0"/>
          <w:numId w:val="49"/>
        </w:numPr>
        <w:rPr>
          <w:rFonts w:eastAsia="Palatino Linotype" w:cs="Palatino Linotype"/>
          <w:color w:val="000000"/>
        </w:rPr>
      </w:pPr>
      <w:r w:rsidRPr="0010303E">
        <w:rPr>
          <w:rFonts w:eastAsia="Palatino Linotype" w:cs="Palatino Linotype"/>
          <w:b/>
          <w:bCs/>
          <w:color w:val="000000"/>
        </w:rPr>
        <w:t>Respuesta Mediadora 081 -083.pdf</w:t>
      </w:r>
      <w:r w:rsidR="00047890">
        <w:rPr>
          <w:rFonts w:eastAsia="Palatino Linotype" w:cs="Palatino Linotype"/>
          <w:bCs/>
          <w:color w:val="000000"/>
        </w:rPr>
        <w:t>.</w:t>
      </w:r>
      <w:r w:rsidR="00B07742">
        <w:rPr>
          <w:rFonts w:eastAsia="Palatino Linotype" w:cs="Palatino Linotype"/>
          <w:bCs/>
          <w:color w:val="000000"/>
        </w:rPr>
        <w:t xml:space="preserve"> </w:t>
      </w:r>
      <w:r w:rsidR="00DE658C">
        <w:rPr>
          <w:rFonts w:eastAsia="Palatino Linotype" w:cs="Palatino Linotype"/>
          <w:bCs/>
          <w:color w:val="000000"/>
        </w:rPr>
        <w:t xml:space="preserve">Escrito suscrito por </w:t>
      </w:r>
      <w:r w:rsidR="004E7C8B">
        <w:rPr>
          <w:rFonts w:eastAsia="Palatino Linotype" w:cs="Palatino Linotype"/>
          <w:bCs/>
          <w:color w:val="000000"/>
        </w:rPr>
        <w:t xml:space="preserve">la Oficial Mediadora Conciliadora, mediante el cual dio respuesta a la solicitud de mérito, manifestando que se emitieron cincuenta y </w:t>
      </w:r>
      <w:r w:rsidR="00B47408">
        <w:rPr>
          <w:rFonts w:eastAsia="Palatino Linotype" w:cs="Palatino Linotype"/>
          <w:bCs/>
          <w:color w:val="000000"/>
        </w:rPr>
        <w:t>una actas</w:t>
      </w:r>
      <w:r w:rsidR="004E7C8B">
        <w:rPr>
          <w:rFonts w:eastAsia="Palatino Linotype" w:cs="Palatino Linotype"/>
          <w:bCs/>
          <w:color w:val="000000"/>
        </w:rPr>
        <w:t xml:space="preserve"> de convenios a la ciudadanía en el periodo referido sin que se remitieran las versiones públicas correspondientes. Por otra parte, tocante a los protocolo y manuales que se utilizan ante un conflicto en el que se advierta violencia de género, se respondió que la violencia de género considerada como delito no es facultad de los oficiales mediadores conciliadores, sino de la autoridad competente, puntualizando que el fundamento legal es el artículo 4 del Reglamento de la Ley de Mediación, Conciliación y Promoción de la </w:t>
      </w:r>
      <w:r w:rsidR="004E7C8B">
        <w:rPr>
          <w:rFonts w:eastAsia="Palatino Linotype" w:cs="Palatino Linotype"/>
          <w:bCs/>
          <w:color w:val="000000"/>
        </w:rPr>
        <w:lastRenderedPageBreak/>
        <w:t>Paz Social para el Estado de México y la Ley General de Acceso a de las Mujeres a una Vida Libre de Violencia.</w:t>
      </w:r>
    </w:p>
    <w:p w14:paraId="3268ECFC" w14:textId="77777777" w:rsidR="0010303E" w:rsidRDefault="0010303E" w:rsidP="006922F5">
      <w:pPr>
        <w:pBdr>
          <w:top w:val="nil"/>
          <w:left w:val="nil"/>
          <w:bottom w:val="nil"/>
          <w:right w:val="nil"/>
          <w:between w:val="nil"/>
        </w:pBdr>
        <w:contextualSpacing/>
        <w:rPr>
          <w:rFonts w:eastAsia="Palatino Linotype" w:cs="Palatino Linotype"/>
          <w:color w:val="000000"/>
          <w:szCs w:val="24"/>
        </w:rPr>
      </w:pPr>
    </w:p>
    <w:p w14:paraId="6128DFF4" w14:textId="6642E445"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43556C">
        <w:rPr>
          <w:rFonts w:eastAsia="Palatino Linotype" w:cs="Palatino Linotype"/>
          <w:color w:val="000000"/>
          <w:szCs w:val="24"/>
        </w:rPr>
        <w:t xml:space="preserve"> que se le entregó un documento con </w:t>
      </w:r>
      <w:r w:rsidR="0031447F">
        <w:rPr>
          <w:rFonts w:eastAsia="Palatino Linotype" w:cs="Palatino Linotype"/>
          <w:color w:val="000000"/>
          <w:szCs w:val="24"/>
        </w:rPr>
        <w:t>información incompleta</w:t>
      </w:r>
      <w:r w:rsidR="00730102">
        <w:rPr>
          <w:rFonts w:eastAsia="Palatino Linotype" w:cs="Palatino Linotype"/>
          <w:color w:val="000000"/>
          <w:szCs w:val="24"/>
        </w:rPr>
        <w:t xml:space="preserve">; dando como </w:t>
      </w:r>
      <w:r w:rsidR="002156A3">
        <w:rPr>
          <w:rFonts w:eastAsia="Palatino Linotype" w:cs="Palatino Linotype"/>
          <w:color w:val="000000"/>
          <w:szCs w:val="24"/>
        </w:rPr>
        <w:t>razones o motivo de inconformidad</w:t>
      </w:r>
      <w:r w:rsidR="0031447F">
        <w:rPr>
          <w:rFonts w:eastAsia="Palatino Linotype" w:cs="Palatino Linotype"/>
          <w:color w:val="000000"/>
          <w:szCs w:val="24"/>
        </w:rPr>
        <w:t>, fundamentalmente,</w:t>
      </w:r>
      <w:r w:rsidR="002156A3">
        <w:rPr>
          <w:rFonts w:eastAsia="Palatino Linotype" w:cs="Palatino Linotype"/>
          <w:color w:val="000000"/>
          <w:szCs w:val="24"/>
        </w:rPr>
        <w:t xml:space="preserve"> que </w:t>
      </w:r>
      <w:r w:rsidR="00730102">
        <w:rPr>
          <w:rFonts w:eastAsia="Palatino Linotype" w:cs="Palatino Linotype"/>
          <w:color w:val="000000"/>
          <w:szCs w:val="24"/>
        </w:rPr>
        <w:t xml:space="preserve">no se entregó </w:t>
      </w:r>
      <w:r w:rsidR="0031447F">
        <w:rPr>
          <w:rFonts w:eastAsia="Palatino Linotype" w:cs="Palatino Linotype"/>
          <w:color w:val="000000"/>
          <w:szCs w:val="24"/>
        </w:rPr>
        <w:t>la versión pública de las actas referidas por el Sujeto Obligado y que se omitió el pronunciamiento respecto de la aplicación de protocolos o manuales cuando se advierta la existencia de violencia de género en un conflicto entre particulares, respondiendo únicamente que no es competente.</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Default="00E41C8A" w:rsidP="006922F5">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Default="00E41C8A" w:rsidP="006922F5">
      <w:pPr>
        <w:pBdr>
          <w:top w:val="nil"/>
          <w:left w:val="nil"/>
          <w:bottom w:val="nil"/>
          <w:right w:val="nil"/>
          <w:between w:val="nil"/>
        </w:pBdr>
        <w:contextualSpacing/>
        <w:rPr>
          <w:szCs w:val="24"/>
        </w:rPr>
      </w:pPr>
    </w:p>
    <w:p w14:paraId="64B9BA8A" w14:textId="257F606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730102">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68DC24BA" w:rsidR="00A970D5" w:rsidRPr="006922F5" w:rsidRDefault="0052655F" w:rsidP="006922F5">
      <w:pPr>
        <w:pStyle w:val="Fundamentos"/>
      </w:pPr>
      <w:r>
        <w:lastRenderedPageBreak/>
        <w:t xml:space="preserve">IV. </w:t>
      </w:r>
      <w:r w:rsidR="00A970D5" w:rsidRPr="006922F5">
        <w:t>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40A6AED2" w:rsidR="00A970D5" w:rsidRPr="006922F5" w:rsidRDefault="0052655F" w:rsidP="006922F5">
      <w:pPr>
        <w:pStyle w:val="Fundamentos"/>
      </w:pPr>
      <w:r>
        <w:t>[</w:t>
      </w:r>
      <w:r w:rsidR="00A970D5" w:rsidRPr="006922F5">
        <w:t>…</w:t>
      </w:r>
      <w:r>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5554E9B9" w:rsidR="00A970D5" w:rsidRDefault="00A970D5" w:rsidP="006922F5">
      <w:pPr>
        <w:pStyle w:val="Fundamentos"/>
      </w:pPr>
      <w:r w:rsidRPr="006922F5">
        <w:rPr>
          <w:b/>
          <w:bCs/>
        </w:rPr>
        <w:t>Artículo 5.</w:t>
      </w:r>
      <w:r w:rsidRPr="006922F5">
        <w:t xml:space="preserve"> </w:t>
      </w:r>
      <w:r w:rsidR="0052655F">
        <w:t>[</w:t>
      </w:r>
      <w:r w:rsidRPr="006922F5">
        <w:t>…</w:t>
      </w:r>
      <w:r w:rsidR="0052655F">
        <w:t>]</w:t>
      </w:r>
    </w:p>
    <w:p w14:paraId="2EA6EE73" w14:textId="77777777" w:rsidR="0052655F" w:rsidRPr="006922F5" w:rsidRDefault="0052655F" w:rsidP="006922F5">
      <w:pPr>
        <w:pStyle w:val="Fundamentos"/>
      </w:pP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7025ECE0" w14:textId="058AECB9" w:rsidR="00C82268" w:rsidRPr="006922F5" w:rsidRDefault="0052655F" w:rsidP="006922F5">
      <w:pPr>
        <w:pStyle w:val="Fundamentos"/>
      </w:pPr>
      <w:r>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4039AA4B" w:rsidR="00C82268" w:rsidRPr="006922F5" w:rsidRDefault="0052655F" w:rsidP="006922F5">
      <w:pPr>
        <w:pStyle w:val="Fundamentos"/>
      </w:pPr>
      <w:r>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177F85">
      <w:r w:rsidRPr="006922F5">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177F85"/>
    <w:p w14:paraId="689F81DE" w14:textId="6C830F3B" w:rsidR="005D27D9" w:rsidRDefault="00A970D5" w:rsidP="002D1E08">
      <w:r w:rsidRPr="006922F5">
        <w:t xml:space="preserve">En segundo término, </w:t>
      </w:r>
      <w:r w:rsidR="00DA17F7">
        <w:t xml:space="preserve">se </w:t>
      </w:r>
      <w:r w:rsidR="005D27D9">
        <w:t xml:space="preserve">debe enfatizar que el Recurrente solicitó que un área específica del Sujeto Obligado atendiera sus pretensiones; por tanto, una vez que la solicitud fue atendida por la Oficial Conciliadora Mediadora, se debe </w:t>
      </w:r>
      <w:r w:rsidR="00951E25">
        <w:t>entender que ésta fue atendida por la instancia idónea para responder.</w:t>
      </w:r>
    </w:p>
    <w:p w14:paraId="7C3AA025" w14:textId="77777777" w:rsidR="005D27D9" w:rsidRDefault="005D27D9" w:rsidP="002D1E08"/>
    <w:p w14:paraId="58B5D860" w14:textId="4283AEC7" w:rsidR="00F73053" w:rsidRDefault="00951E25" w:rsidP="002D1E08">
      <w:r>
        <w:t xml:space="preserve">Ahora bien, se </w:t>
      </w:r>
      <w:r w:rsidR="00F73053">
        <w:t>considera conveniente que el estudio en la presente resolución se realice por separando ambos requerimientos, esto con la finalidad de emitir una resolución apegada a derecho.</w:t>
      </w:r>
    </w:p>
    <w:p w14:paraId="0ED1BB0B" w14:textId="77777777" w:rsidR="00F73053" w:rsidRDefault="00F73053" w:rsidP="002D1E08"/>
    <w:p w14:paraId="0FBBF654" w14:textId="57AA02CC" w:rsidR="00F73053" w:rsidRDefault="00F73053" w:rsidP="002D1E08">
      <w:r>
        <w:t>En ese sentido, el primer requerimiento consistió en que se informara el número de convenios realizados entre el primero de enero de dos mil veintidós al treinta y uno de marzo de dos mil veintitrés, y que se proporcionaran las versiones públicas de dichos convenios.</w:t>
      </w:r>
    </w:p>
    <w:p w14:paraId="429DA3A3" w14:textId="77777777" w:rsidR="00F73053" w:rsidRDefault="00F73053" w:rsidP="002D1E08"/>
    <w:p w14:paraId="4DB55FF2" w14:textId="67460059" w:rsidR="00F73053" w:rsidRDefault="00F73053" w:rsidP="002D1E08">
      <w:r>
        <w:t xml:space="preserve">Al respecto, el Sujeto Obligado respondió que se generaron cincuenta y </w:t>
      </w:r>
      <w:r w:rsidR="00B47408">
        <w:t>una actas</w:t>
      </w:r>
      <w:r>
        <w:t xml:space="preserve"> de convenio; no obstante, no se remitieron las versiones públicas de dich</w:t>
      </w:r>
      <w:r w:rsidR="00951E25">
        <w:t>as actas, lo cual actualiza la causal de procedencia prevista en el artículo 179 fracción V de la Ley de la materia, que dispone lo siguiente:</w:t>
      </w:r>
    </w:p>
    <w:p w14:paraId="57A4B4A9" w14:textId="77777777" w:rsidR="00951E25" w:rsidRDefault="00951E25" w:rsidP="002D1E08"/>
    <w:p w14:paraId="5C46FBF0" w14:textId="77777777" w:rsidR="00951E25" w:rsidRPr="00951E25" w:rsidRDefault="00951E25" w:rsidP="00951E25">
      <w:pPr>
        <w:pStyle w:val="Fundamentos"/>
        <w:rPr>
          <w:lang w:val="es-MX"/>
        </w:rPr>
      </w:pPr>
      <w:r w:rsidRPr="00951E25">
        <w:rPr>
          <w:b/>
          <w:lang w:val="es-MX"/>
        </w:rPr>
        <w:t xml:space="preserve">Artículo 179. </w:t>
      </w:r>
      <w:r w:rsidRPr="00951E25">
        <w:rPr>
          <w:lang w:val="es-MX"/>
        </w:rPr>
        <w:t>El recurso de revisión es un medio de protección que la Ley otorga a los particulares, para hacer valer su derecho de acceso a la información pública, y procederá en contra de las siguientes causas:</w:t>
      </w:r>
    </w:p>
    <w:p w14:paraId="5C132BB6" w14:textId="078258EE" w:rsidR="00951E25" w:rsidRDefault="00951E25" w:rsidP="00951E25">
      <w:pPr>
        <w:pStyle w:val="Fundamentos"/>
        <w:rPr>
          <w:lang w:val="es-MX"/>
        </w:rPr>
      </w:pPr>
      <w:r>
        <w:rPr>
          <w:lang w:val="es-MX"/>
        </w:rPr>
        <w:t>[…]</w:t>
      </w:r>
    </w:p>
    <w:p w14:paraId="702D9D63" w14:textId="375A9799" w:rsidR="00951E25" w:rsidRPr="00951E25" w:rsidRDefault="00951E25" w:rsidP="00951E25">
      <w:pPr>
        <w:pStyle w:val="Fundamentos"/>
        <w:rPr>
          <w:lang w:val="es-MX"/>
        </w:rPr>
      </w:pPr>
      <w:r w:rsidRPr="00951E25">
        <w:rPr>
          <w:b/>
          <w:bCs/>
          <w:lang w:val="es-MX"/>
        </w:rPr>
        <w:t>V.</w:t>
      </w:r>
      <w:r w:rsidRPr="00951E25">
        <w:rPr>
          <w:lang w:val="es-MX"/>
        </w:rPr>
        <w:tab/>
      </w:r>
      <w:r w:rsidRPr="00951E25">
        <w:rPr>
          <w:b/>
          <w:bCs/>
          <w:u w:val="single"/>
          <w:lang w:val="es-MX"/>
        </w:rPr>
        <w:t>La entrega de información incompleta</w:t>
      </w:r>
      <w:r w:rsidRPr="00951E25">
        <w:rPr>
          <w:lang w:val="es-MX"/>
        </w:rPr>
        <w:t>;</w:t>
      </w:r>
    </w:p>
    <w:p w14:paraId="76FC0E36" w14:textId="6FE8DD6E" w:rsidR="00951E25" w:rsidRDefault="00951E25" w:rsidP="00951E25">
      <w:pPr>
        <w:pStyle w:val="Fundamentos"/>
      </w:pPr>
      <w:r>
        <w:t>[…]</w:t>
      </w:r>
    </w:p>
    <w:p w14:paraId="07A20149" w14:textId="77777777" w:rsidR="00951E25" w:rsidRDefault="00951E25" w:rsidP="002D1E08"/>
    <w:p w14:paraId="4A924356" w14:textId="2A3A69D1" w:rsidR="00951E25" w:rsidRDefault="00951E25" w:rsidP="002D1E08">
      <w:r>
        <w:t>De tal forma que se debe hacer referencia a lo dispuesto en los artículos 4, 12 y 24 último párrafo de la Ley de Transparencia estatal, en los que se establece lo siguiente:</w:t>
      </w:r>
    </w:p>
    <w:p w14:paraId="2383E8B6" w14:textId="77777777" w:rsidR="00951E25" w:rsidRDefault="00951E25" w:rsidP="002D1E08"/>
    <w:p w14:paraId="05893D3F" w14:textId="77777777" w:rsidR="00951E25" w:rsidRPr="00951E25" w:rsidRDefault="00951E25" w:rsidP="006C1705">
      <w:pPr>
        <w:pStyle w:val="Fundamentos"/>
        <w:rPr>
          <w:lang w:val="es-MX"/>
        </w:rPr>
      </w:pPr>
      <w:r w:rsidRPr="00951E25">
        <w:rPr>
          <w:b/>
          <w:lang w:val="es-MX"/>
        </w:rPr>
        <w:t xml:space="preserve">Artículo 4. </w:t>
      </w:r>
      <w:r w:rsidRPr="00951E25">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7CFF55D3" w14:textId="77777777" w:rsidR="00951E25" w:rsidRPr="00951E25" w:rsidRDefault="00951E25" w:rsidP="006C1705">
      <w:pPr>
        <w:pStyle w:val="Fundamentos"/>
        <w:rPr>
          <w:lang w:val="es-MX"/>
        </w:rPr>
      </w:pPr>
    </w:p>
    <w:p w14:paraId="6A8C8BD7" w14:textId="77777777" w:rsidR="00951E25" w:rsidRPr="00951E25" w:rsidRDefault="00951E25" w:rsidP="006C1705">
      <w:pPr>
        <w:pStyle w:val="Fundamentos"/>
        <w:rPr>
          <w:lang w:val="es-MX"/>
        </w:rPr>
      </w:pPr>
      <w:r w:rsidRPr="006C1705">
        <w:rPr>
          <w:b/>
          <w:bCs/>
          <w:u w:val="single"/>
          <w:lang w:val="es-MX"/>
        </w:rPr>
        <w:t>Toda la información generada, obtenida, adquirida, transformada, administrada o en posesión de los sujetos obligados es pública y accesible de manera permanente a cualquier persona</w:t>
      </w:r>
      <w:r w:rsidRPr="00951E25">
        <w:rPr>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6C1705">
        <w:rPr>
          <w:b/>
          <w:bCs/>
          <w:u w:val="single"/>
          <w:lang w:val="es-MX"/>
        </w:rPr>
        <w:t>Solo podrá ser clasificada excepcionalmente como reservada temporalmente por razones de interés público, en los términos de las causas legítimas y estrictamente necesarias previstas por esta Ley</w:t>
      </w:r>
      <w:r w:rsidRPr="00951E25">
        <w:rPr>
          <w:lang w:val="es-MX"/>
        </w:rPr>
        <w:t>.</w:t>
      </w:r>
    </w:p>
    <w:p w14:paraId="44E570FA" w14:textId="77777777" w:rsidR="00951E25" w:rsidRDefault="00951E25" w:rsidP="006C1705">
      <w:pPr>
        <w:pStyle w:val="Fundamentos"/>
        <w:rPr>
          <w:lang w:val="es-MX"/>
        </w:rPr>
      </w:pPr>
    </w:p>
    <w:p w14:paraId="37711DDA" w14:textId="77777777" w:rsidR="00951E25" w:rsidRPr="00951E25" w:rsidRDefault="00951E25" w:rsidP="006C1705">
      <w:pPr>
        <w:pStyle w:val="Fundamentos"/>
        <w:rPr>
          <w:lang w:val="es-MX"/>
        </w:rPr>
      </w:pPr>
      <w:r w:rsidRPr="00951E25">
        <w:rPr>
          <w:b/>
          <w:lang w:val="es-MX"/>
        </w:rPr>
        <w:t xml:space="preserve">Artículo 12. </w:t>
      </w:r>
      <w:r w:rsidRPr="00951E25">
        <w:rPr>
          <w:lang w:val="es-MX"/>
        </w:rPr>
        <w:t>Quienes generen, recopilen, administren, manejen, procesen, archiven o conserven información pública serán responsables de la misma en los términos de las disposiciones jurídicas aplicables.</w:t>
      </w:r>
    </w:p>
    <w:p w14:paraId="09931621" w14:textId="77777777" w:rsidR="00951E25" w:rsidRPr="00951E25" w:rsidRDefault="00951E25" w:rsidP="006C1705">
      <w:pPr>
        <w:pStyle w:val="Fundamentos"/>
        <w:rPr>
          <w:lang w:val="es-MX"/>
        </w:rPr>
      </w:pPr>
    </w:p>
    <w:p w14:paraId="6AC4B2F9" w14:textId="77777777" w:rsidR="00951E25" w:rsidRPr="00951E25" w:rsidRDefault="00951E25" w:rsidP="006C1705">
      <w:pPr>
        <w:pStyle w:val="Fundamentos"/>
        <w:rPr>
          <w:lang w:val="es-MX"/>
        </w:rPr>
      </w:pPr>
      <w:r w:rsidRPr="006C1705">
        <w:rPr>
          <w:b/>
          <w:bCs/>
          <w:u w:val="single"/>
          <w:lang w:val="es-MX"/>
        </w:rPr>
        <w:t>Los sujetos obligados sólo proporcionarán la información pública que se les requiera y que obre en sus archivos y en el estado en que ésta se encuentre</w:t>
      </w:r>
      <w:r w:rsidRPr="00951E25">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453831CB" w14:textId="77777777" w:rsidR="00951E25" w:rsidRDefault="00951E25" w:rsidP="006C1705">
      <w:pPr>
        <w:pStyle w:val="Fundamentos"/>
        <w:rPr>
          <w:lang w:val="es-MX"/>
        </w:rPr>
      </w:pPr>
    </w:p>
    <w:p w14:paraId="49F79B14" w14:textId="7E39295C" w:rsidR="00951E25" w:rsidRDefault="00951E25" w:rsidP="006C1705">
      <w:pPr>
        <w:pStyle w:val="Fundamentos"/>
        <w:rPr>
          <w:bCs/>
          <w:lang w:val="es-MX"/>
        </w:rPr>
      </w:pPr>
      <w:r w:rsidRPr="00951E25">
        <w:rPr>
          <w:b/>
          <w:lang w:val="es-MX"/>
        </w:rPr>
        <w:t>Artículo 24.</w:t>
      </w:r>
      <w:r>
        <w:rPr>
          <w:bCs/>
          <w:lang w:val="es-MX"/>
        </w:rPr>
        <w:t xml:space="preserve"> </w:t>
      </w:r>
      <w:r w:rsidR="006C1705">
        <w:rPr>
          <w:bCs/>
          <w:lang w:val="es-MX"/>
        </w:rPr>
        <w:t>[…]</w:t>
      </w:r>
    </w:p>
    <w:p w14:paraId="502D00B4" w14:textId="77777777" w:rsidR="006C1705" w:rsidRDefault="006C1705" w:rsidP="006C1705">
      <w:pPr>
        <w:pStyle w:val="Fundamentos"/>
        <w:rPr>
          <w:bCs/>
          <w:lang w:val="es-MX"/>
        </w:rPr>
      </w:pPr>
    </w:p>
    <w:p w14:paraId="1205A423" w14:textId="79787743" w:rsidR="006C1705" w:rsidRPr="00951E25" w:rsidRDefault="006C1705" w:rsidP="006C1705">
      <w:pPr>
        <w:pStyle w:val="Fundamentos"/>
        <w:rPr>
          <w:bCs/>
          <w:lang w:val="es-MX"/>
        </w:rPr>
      </w:pPr>
      <w:r w:rsidRPr="006C1705">
        <w:rPr>
          <w:bCs/>
          <w:lang w:val="es-MX"/>
        </w:rPr>
        <w:t>Los sujetos obligados solo proporcionarán la información pública que generen, administren o posean en el ejercicio de sus atribuciones.</w:t>
      </w:r>
    </w:p>
    <w:p w14:paraId="5047E0D3" w14:textId="77777777" w:rsidR="00951E25" w:rsidRDefault="00951E25" w:rsidP="002D1E08">
      <w:pPr>
        <w:rPr>
          <w:lang w:val="es-MX"/>
        </w:rPr>
      </w:pPr>
    </w:p>
    <w:p w14:paraId="4D98636D" w14:textId="055F9F1E" w:rsidR="00951E25" w:rsidRDefault="006C1705" w:rsidP="002D1E08">
      <w:pPr>
        <w:rPr>
          <w:lang w:val="es-MX"/>
        </w:rPr>
      </w:pPr>
      <w:r>
        <w:rPr>
          <w:lang w:val="es-MX"/>
        </w:rPr>
        <w:t>De los preceptos citados se desprende que toda la información que los sujetos obligados generen, posean o administren en el ejercicio de sus atribuciones, facultades o competencias es pública y ésta sólo podrá ser clasificada cuando se actualicen las hipótesis previstas en la Ley; asimismo, se tiene que los sujetos obligados deberán proporcionar la información que se les requiera y que obre en sus archivos.</w:t>
      </w:r>
    </w:p>
    <w:p w14:paraId="71EC36A3" w14:textId="77777777" w:rsidR="006C1705" w:rsidRDefault="006C1705" w:rsidP="002D1E08">
      <w:pPr>
        <w:rPr>
          <w:lang w:val="es-MX"/>
        </w:rPr>
      </w:pPr>
    </w:p>
    <w:p w14:paraId="2246E6F0" w14:textId="68349F47" w:rsidR="006C1705" w:rsidRDefault="006C1705" w:rsidP="002D1E08">
      <w:pPr>
        <w:rPr>
          <w:lang w:val="es-MX"/>
        </w:rPr>
      </w:pPr>
      <w:r>
        <w:rPr>
          <w:lang w:val="es-MX"/>
        </w:rPr>
        <w:t>En ese orden de ideas, es importante señalar que, si bien es cierto que el derecho de acceso a la información implica que toda la información en posesión de los sujetos obligados es pública; también lo es que este derecho no es absoluto, sino que se encuentra limitado por razones de interés público; así, en los casos en los que se actualicen las hipótesis previstas en los artículos 140 y 143 de la Ley de Transparencia local, es procedente la clasificación de la información ya sea como reservada o confidencial.</w:t>
      </w:r>
    </w:p>
    <w:p w14:paraId="3B84D1CD" w14:textId="77777777" w:rsidR="006C1705" w:rsidRDefault="006C1705" w:rsidP="002D1E08">
      <w:pPr>
        <w:rPr>
          <w:lang w:val="es-MX"/>
        </w:rPr>
      </w:pPr>
    </w:p>
    <w:p w14:paraId="26BE594F" w14:textId="291B37AA" w:rsidR="006C1705" w:rsidRDefault="006C1705" w:rsidP="002D1E08">
      <w:pPr>
        <w:rPr>
          <w:lang w:val="es-MX"/>
        </w:rPr>
      </w:pPr>
      <w:r>
        <w:rPr>
          <w:lang w:val="es-MX"/>
        </w:rPr>
        <w:t>Ahora bien, en el presente caso, la titular de la Oficialía Mediadora Conciliadora se limitó a informar que se generaron cincuenta y un actas de convenio en el periodo referido por el Recurrente</w:t>
      </w:r>
      <w:r w:rsidR="006E78FE">
        <w:rPr>
          <w:lang w:val="es-MX"/>
        </w:rPr>
        <w:t xml:space="preserve"> e hizo referencia a la protección de datos personales, lo cual resulta </w:t>
      </w:r>
      <w:r w:rsidR="006E78FE">
        <w:rPr>
          <w:lang w:val="es-MX"/>
        </w:rPr>
        <w:lastRenderedPageBreak/>
        <w:t>insuficiente para colmar plenamente la primera pretensión del particular, pues se omitió proporcionara las causas, debidamente fundadas y motivadas, por las que no se remitieron las actas referidas, lo que implica que el solicitante no tenga la debida certeza jurídica de las circunstancias que llevaron al Sujeto Obligado a no entregar la documentación solicitada.</w:t>
      </w:r>
    </w:p>
    <w:p w14:paraId="0D3EAD92" w14:textId="77777777" w:rsidR="006E78FE" w:rsidRDefault="006E78FE" w:rsidP="002D1E08">
      <w:pPr>
        <w:rPr>
          <w:lang w:val="es-MX"/>
        </w:rPr>
      </w:pPr>
    </w:p>
    <w:p w14:paraId="58A56678" w14:textId="22CB0D13" w:rsidR="006E78FE" w:rsidRPr="00951E25" w:rsidRDefault="006E78FE" w:rsidP="002D1E08">
      <w:pPr>
        <w:rPr>
          <w:lang w:val="es-MX"/>
        </w:rPr>
      </w:pPr>
      <w:r>
        <w:rPr>
          <w:lang w:val="es-MX"/>
        </w:rPr>
        <w:t>Por lo anterior, se considera procedente que el Sujeto Obligado haga entrega de la versión pública de las cincuenta y un actas de convenios referidas en la respuesta, acompañado del acuerdo que emita su Comité de Transparencia debidamente fundado y motiviado</w:t>
      </w:r>
    </w:p>
    <w:p w14:paraId="4D4EDE13" w14:textId="77777777" w:rsidR="00951E25" w:rsidRDefault="00951E25" w:rsidP="002D1E08"/>
    <w:p w14:paraId="5171D5D6" w14:textId="5CACC544" w:rsidR="00951E25" w:rsidRDefault="006E78FE" w:rsidP="002D1E08">
      <w:r>
        <w:t xml:space="preserve">Por otra parte, respecto del segundo </w:t>
      </w:r>
      <w:r w:rsidR="00B54E24">
        <w:t>requerimiento del particular, en el que se solicitó que se le informara qué protocolos o manuales se siguen cuando se advierte violencia de género en un conflicto entre particulares. Al respecto, la Oficial Mediadora Conciliadora respondió que la violencia de género considerada como delito no es facultad de los oficiales mediadores conciliadores, sino de la autoridad competente, conforme al Reglamento de la Ley de Mediación, Conciliación y Promoción de la Paz Social para el Estado de México y la Ley General de Acceso de las Mujeres a una Vida Libre de Violencia.</w:t>
      </w:r>
    </w:p>
    <w:p w14:paraId="2A7B7084" w14:textId="77777777" w:rsidR="00B54E24" w:rsidRDefault="00B54E24" w:rsidP="002D1E08"/>
    <w:p w14:paraId="5579249D" w14:textId="165BCDFF" w:rsidR="00B54E24" w:rsidRDefault="00B54E24" w:rsidP="002D1E08">
      <w:r>
        <w:t xml:space="preserve">En </w:t>
      </w:r>
      <w:r w:rsidR="009B139E">
        <w:t xml:space="preserve">esa tesitura, se considera pertinente hacer referencia a lo dispuesto en </w:t>
      </w:r>
      <w:r w:rsidR="00B84191">
        <w:t>los</w:t>
      </w:r>
      <w:r w:rsidR="009B139E">
        <w:t xml:space="preserve"> artículo</w:t>
      </w:r>
      <w:r w:rsidR="00B84191">
        <w:t>s 2 y</w:t>
      </w:r>
      <w:r w:rsidR="009B139E">
        <w:t xml:space="preserve"> 50 de la Ley General referida, que a la letra establece lo siguiente:</w:t>
      </w:r>
    </w:p>
    <w:p w14:paraId="4F84DBF0" w14:textId="77777777" w:rsidR="009B139E" w:rsidRDefault="009B139E" w:rsidP="002D1E08"/>
    <w:p w14:paraId="57E3D09D" w14:textId="77777777" w:rsidR="00B84191" w:rsidRPr="00B84191" w:rsidRDefault="00B84191" w:rsidP="00B84191">
      <w:pPr>
        <w:pStyle w:val="Fundamentos"/>
      </w:pPr>
      <w:r w:rsidRPr="00B84191">
        <w:rPr>
          <w:b/>
          <w:bCs/>
        </w:rPr>
        <w:t xml:space="preserve">ARTÍCULO 2.- </w:t>
      </w:r>
      <w:r w:rsidRPr="00B84191">
        <w:t xml:space="preserve">La Federación, las entidades federativas, las demarcaciones territoriales de la Ciudad de México y los municipios, en el ámbito de sus respectivas competencias expedirán las normas legales y tomarán las medidas presupuestales y administrativas correspondientes, </w:t>
      </w:r>
      <w:r w:rsidRPr="00B84191">
        <w:lastRenderedPageBreak/>
        <w:t>para garantizar el derecho de las mujeres a una vida libre de violencia, de conformidad con los Tratados Internacionales en Materia de Derechos Humanos de las Mujeres, ratificados por el Estado mexicano.</w:t>
      </w:r>
    </w:p>
    <w:p w14:paraId="59C6EABB" w14:textId="77777777" w:rsidR="00B84191" w:rsidRPr="00B84191" w:rsidRDefault="00B84191" w:rsidP="00B84191">
      <w:pPr>
        <w:pStyle w:val="Fundamentos"/>
      </w:pPr>
    </w:p>
    <w:p w14:paraId="5650F7D2" w14:textId="3F27DDA7" w:rsidR="00B84191" w:rsidRDefault="00B84191" w:rsidP="00B84191">
      <w:pPr>
        <w:pStyle w:val="Fundamentos"/>
      </w:pPr>
      <w:r w:rsidRPr="00B84191">
        <w:t>La Federación, las entidades federativas, las demarcaciones territoriales de la Ciudad de México y los municipios deberán instrumentar las medidas presupuestales y administrativas necesarias y suficientes de carácter extraordinario para hacer frente a la Alerta de Violencia de Género contra las mujeres.</w:t>
      </w:r>
    </w:p>
    <w:p w14:paraId="7D6D3F58" w14:textId="77777777" w:rsidR="00B84191" w:rsidRDefault="00B84191" w:rsidP="00B84191">
      <w:pPr>
        <w:pStyle w:val="Fundamentos"/>
      </w:pPr>
    </w:p>
    <w:p w14:paraId="7AEC0620" w14:textId="1ACECC40" w:rsidR="00B84191" w:rsidRPr="00B84191" w:rsidRDefault="00B84191" w:rsidP="00B84191">
      <w:pPr>
        <w:pStyle w:val="Fundamentos"/>
        <w:rPr>
          <w:b/>
          <w:bCs/>
          <w:u w:val="single"/>
        </w:rPr>
      </w:pPr>
      <w:r w:rsidRPr="00B84191">
        <w:rPr>
          <w:b/>
          <w:bCs/>
          <w:u w:val="single"/>
        </w:rPr>
        <w:t>La Federación y las entidades federativas deberán contar con fiscalías especializadas para atender los delitos contra las mujeres y Centros de Justicia para las Mujeres</w:t>
      </w:r>
      <w:r>
        <w:rPr>
          <w:b/>
          <w:bCs/>
          <w:u w:val="single"/>
        </w:rPr>
        <w:t>.</w:t>
      </w:r>
    </w:p>
    <w:p w14:paraId="66CB140D" w14:textId="77777777" w:rsidR="00B84191" w:rsidRDefault="00B84191" w:rsidP="009B139E">
      <w:pPr>
        <w:pStyle w:val="Fundamentos"/>
        <w:rPr>
          <w:b/>
          <w:bCs/>
        </w:rPr>
      </w:pPr>
    </w:p>
    <w:p w14:paraId="7D870D82" w14:textId="7B4024A7" w:rsidR="009B139E" w:rsidRDefault="009B139E" w:rsidP="009B139E">
      <w:pPr>
        <w:pStyle w:val="Fundamentos"/>
      </w:pPr>
      <w:r w:rsidRPr="009B139E">
        <w:rPr>
          <w:b/>
          <w:bCs/>
        </w:rPr>
        <w:t>ARTÍCULO 50.-</w:t>
      </w:r>
      <w:r>
        <w:t xml:space="preserve"> </w:t>
      </w:r>
      <w:r w:rsidRPr="00B84191">
        <w:rPr>
          <w:b/>
          <w:bCs/>
          <w:u w:val="single"/>
        </w:rPr>
        <w:t>Corresponde a los municipios</w:t>
      </w:r>
      <w:r>
        <w:t xml:space="preserve"> y a las demarcaciones territoriales de la Ciudad de México, de conformidad con esta ley y las leyes locales en la materia y acorde con la perspectiva de género, las siguientes atribuciones:</w:t>
      </w:r>
    </w:p>
    <w:p w14:paraId="3DA8FEE6" w14:textId="77777777" w:rsidR="009B139E" w:rsidRDefault="009B139E" w:rsidP="009B139E">
      <w:pPr>
        <w:pStyle w:val="Fundamentos"/>
      </w:pPr>
    </w:p>
    <w:p w14:paraId="17479C44" w14:textId="77777777" w:rsidR="009B139E" w:rsidRDefault="009B139E" w:rsidP="009B139E">
      <w:pPr>
        <w:pStyle w:val="Fundamentos"/>
      </w:pPr>
      <w:r w:rsidRPr="009B139E">
        <w:rPr>
          <w:b/>
          <w:bCs/>
        </w:rPr>
        <w:t>I.</w:t>
      </w:r>
      <w:r>
        <w:t xml:space="preserve"> </w:t>
      </w:r>
      <w:r>
        <w:tab/>
        <w:t>Instrumentar y articular, en concordancia con la política nacional y estatal, la política municipal orientada a erradicar la violencia contra las mujeres;</w:t>
      </w:r>
    </w:p>
    <w:p w14:paraId="650BDF11" w14:textId="77777777" w:rsidR="009B139E" w:rsidRDefault="009B139E" w:rsidP="009B139E">
      <w:pPr>
        <w:pStyle w:val="Fundamentos"/>
      </w:pPr>
      <w:r w:rsidRPr="009B139E">
        <w:rPr>
          <w:b/>
          <w:bCs/>
        </w:rPr>
        <w:t>II.</w:t>
      </w:r>
      <w:r>
        <w:t xml:space="preserve"> </w:t>
      </w:r>
      <w:r>
        <w:tab/>
        <w:t>Coadyuvar con la Federación y las entidades federativas, en la adopción y consolidación del Sistema;</w:t>
      </w:r>
    </w:p>
    <w:p w14:paraId="35A73A24" w14:textId="77777777" w:rsidR="009B139E" w:rsidRDefault="009B139E" w:rsidP="009B139E">
      <w:pPr>
        <w:pStyle w:val="Fundamentos"/>
      </w:pPr>
      <w:r w:rsidRPr="009B139E">
        <w:rPr>
          <w:b/>
          <w:bCs/>
        </w:rPr>
        <w:t>III.</w:t>
      </w:r>
      <w:r>
        <w:t xml:space="preserve"> </w:t>
      </w:r>
      <w:r>
        <w:tab/>
        <w:t>Promover, en coordinación con las entidades federativas, cursos de capacitación a las personas que atienden a víctimas;</w:t>
      </w:r>
    </w:p>
    <w:p w14:paraId="0090AB27" w14:textId="77777777" w:rsidR="009B139E" w:rsidRDefault="009B139E" w:rsidP="009B139E">
      <w:pPr>
        <w:pStyle w:val="Fundamentos"/>
      </w:pPr>
      <w:r w:rsidRPr="009B139E">
        <w:rPr>
          <w:b/>
          <w:bCs/>
        </w:rPr>
        <w:t>IV.</w:t>
      </w:r>
      <w:r>
        <w:t xml:space="preserve"> </w:t>
      </w:r>
      <w:r>
        <w:tab/>
        <w:t>Ejecutar las acciones necesarias para el cumplimiento del Programa;</w:t>
      </w:r>
    </w:p>
    <w:p w14:paraId="06818BCF" w14:textId="77777777" w:rsidR="009B139E" w:rsidRDefault="009B139E" w:rsidP="009B139E">
      <w:pPr>
        <w:pStyle w:val="Fundamentos"/>
      </w:pPr>
      <w:r w:rsidRPr="009B139E">
        <w:rPr>
          <w:b/>
          <w:bCs/>
        </w:rPr>
        <w:t>V.</w:t>
      </w:r>
      <w:r>
        <w:t xml:space="preserve"> </w:t>
      </w:r>
      <w:r>
        <w:tab/>
        <w:t>Apoyar la creación de programas de reeducación integral para los agresores;</w:t>
      </w:r>
    </w:p>
    <w:p w14:paraId="6A6EA7DF" w14:textId="77777777" w:rsidR="009B139E" w:rsidRDefault="009B139E" w:rsidP="009B139E">
      <w:pPr>
        <w:pStyle w:val="Fundamentos"/>
      </w:pPr>
      <w:r w:rsidRPr="009B139E">
        <w:rPr>
          <w:b/>
          <w:bCs/>
        </w:rPr>
        <w:t>VI.</w:t>
      </w:r>
      <w:r>
        <w:t xml:space="preserve"> </w:t>
      </w:r>
      <w:r>
        <w:tab/>
        <w:t>Promover programas educativos sobre la igualdad y la equidad entre los géneros para eliminar la violencia contra las mujeres;</w:t>
      </w:r>
    </w:p>
    <w:p w14:paraId="397EB379" w14:textId="77777777" w:rsidR="009B139E" w:rsidRDefault="009B139E" w:rsidP="009B139E">
      <w:pPr>
        <w:pStyle w:val="Fundamentos"/>
      </w:pPr>
      <w:r w:rsidRPr="009B139E">
        <w:rPr>
          <w:b/>
          <w:bCs/>
        </w:rPr>
        <w:t>VII.</w:t>
      </w:r>
      <w:r>
        <w:t xml:space="preserve"> </w:t>
      </w:r>
      <w:r>
        <w:tab/>
        <w:t>Apoyar la creación, operación o el fortalecimiento de refugios para las víctimas, sus hijas e hijos de acuerdo con las condiciones establecidas en el Capítulo V de la presente Ley;</w:t>
      </w:r>
    </w:p>
    <w:p w14:paraId="4B8BB6FF" w14:textId="77777777" w:rsidR="009B139E" w:rsidRDefault="009B139E" w:rsidP="009B139E">
      <w:pPr>
        <w:pStyle w:val="Fundamentos"/>
      </w:pPr>
      <w:r w:rsidRPr="009B139E">
        <w:rPr>
          <w:b/>
          <w:bCs/>
        </w:rPr>
        <w:t>VIII.</w:t>
      </w:r>
      <w:r>
        <w:t xml:space="preserve"> </w:t>
      </w:r>
      <w:r>
        <w:tab/>
        <w:t>Participar y coadyuvar en la prevención, atención y erradicación de la violencia contra las mujeres;</w:t>
      </w:r>
    </w:p>
    <w:p w14:paraId="50021CAA" w14:textId="77777777" w:rsidR="009B139E" w:rsidRDefault="009B139E" w:rsidP="009B139E">
      <w:pPr>
        <w:pStyle w:val="Fundamentos"/>
      </w:pPr>
      <w:r w:rsidRPr="009B139E">
        <w:rPr>
          <w:b/>
          <w:bCs/>
        </w:rPr>
        <w:t>IX.</w:t>
      </w:r>
      <w:r>
        <w:t xml:space="preserve"> </w:t>
      </w:r>
      <w:r>
        <w:tab/>
        <w:t>Llevar a cabo, de acuerdo con el Sistema, programas de información a la población respecto de la violencia contra las mujeres;</w:t>
      </w:r>
    </w:p>
    <w:p w14:paraId="6FACC01C" w14:textId="77777777" w:rsidR="009B139E" w:rsidRDefault="009B139E" w:rsidP="009B139E">
      <w:pPr>
        <w:pStyle w:val="Fundamentos"/>
      </w:pPr>
      <w:r w:rsidRPr="009B139E">
        <w:rPr>
          <w:b/>
          <w:bCs/>
        </w:rPr>
        <w:t>X.</w:t>
      </w:r>
      <w:r>
        <w:t xml:space="preserve"> </w:t>
      </w:r>
      <w:r>
        <w:tab/>
        <w:t>Celebrar convenios de cooperación, coordinación y concertación en la materia;</w:t>
      </w:r>
    </w:p>
    <w:p w14:paraId="4A4602E5" w14:textId="5E5649A5" w:rsidR="009B139E" w:rsidRDefault="009B139E" w:rsidP="009B139E">
      <w:pPr>
        <w:pStyle w:val="Fundamentos"/>
      </w:pPr>
      <w:r>
        <w:t xml:space="preserve">XI. </w:t>
      </w:r>
      <w:r>
        <w:tab/>
        <w:t xml:space="preserve">Realizar las acciones necesarias para implementar las medidas establecidas en la </w:t>
      </w:r>
    </w:p>
    <w:p w14:paraId="79200706" w14:textId="77777777" w:rsidR="009B139E" w:rsidRDefault="009B139E" w:rsidP="009B139E">
      <w:pPr>
        <w:pStyle w:val="Fundamentos"/>
      </w:pPr>
      <w:r w:rsidRPr="009B139E">
        <w:rPr>
          <w:b/>
          <w:bCs/>
        </w:rPr>
        <w:t>XII.</w:t>
      </w:r>
      <w:r>
        <w:t xml:space="preserve"> </w:t>
      </w:r>
      <w:r>
        <w:tab/>
        <w:t>La atención de los demás asuntos que en materia de violencia contra las mujeres les conceda esta ley u otros ordenamientos legales.</w:t>
      </w:r>
    </w:p>
    <w:p w14:paraId="0C51094E" w14:textId="77777777" w:rsidR="00951E25" w:rsidRDefault="00951E25" w:rsidP="002D1E08"/>
    <w:p w14:paraId="443A9C05" w14:textId="0DF0BC11" w:rsidR="00B84191" w:rsidRDefault="00B84191" w:rsidP="002D1E08">
      <w:r>
        <w:lastRenderedPageBreak/>
        <w:t>Como se observa en los preceptos citados, las entidades federativas deberán contar con fiscalías especializadas para atender delitos contra las mujeres y Centros de Justicia para las Mujeres; además, los municipios deben realizar cada una de las acciones previstas en el artículo 50, sin que se advierta que alguna de esas facultades sea competencia de las oficialías conciliadoras mediadoras.</w:t>
      </w:r>
    </w:p>
    <w:p w14:paraId="347EAA88" w14:textId="77777777" w:rsidR="00B84191" w:rsidRDefault="00B84191" w:rsidP="002D1E08"/>
    <w:p w14:paraId="7250F48D" w14:textId="0A5CDB03" w:rsidR="00B84191" w:rsidRDefault="00B84191" w:rsidP="002D1E08">
      <w:r>
        <w:t>En el mismo sentido, el artículo 150</w:t>
      </w:r>
      <w:r>
        <w:rPr>
          <w:rStyle w:val="Refdenotaalpie"/>
        </w:rPr>
        <w:footnoteReference w:id="3"/>
      </w:r>
      <w:r>
        <w:t>, fracción I, inciso J</w:t>
      </w:r>
      <w:r w:rsidR="008C6360">
        <w:t xml:space="preserve"> de la Ley Orgánica Municipal del Estado de México que se encontraba vigente al momento de realizar la solicitud de información, establecía que los oficiales mediadores conciliadores estaban facultados para atender a los vecinos de su adscripción en los conflictos </w:t>
      </w:r>
      <w:r w:rsidR="008C6360">
        <w:rPr>
          <w:b/>
          <w:bCs/>
        </w:rPr>
        <w:t>que no sean constitutivos de delito ni de la competencia de los órganos judiciales o de otras autoridades</w:t>
      </w:r>
      <w:r w:rsidR="008C6360">
        <w:t>.</w:t>
      </w:r>
    </w:p>
    <w:p w14:paraId="769A7F10" w14:textId="77777777" w:rsidR="008C6360" w:rsidRDefault="008C6360" w:rsidP="002D1E08"/>
    <w:p w14:paraId="272823A8" w14:textId="6F0D6CB3" w:rsidR="008C6360" w:rsidRDefault="008C6360" w:rsidP="002D1E08">
      <w:r>
        <w:t>De tal forma que la violencia de género se encuentra definida en el artículo 286 Bis fracción II del Código Penal del Estado de México, debiéndose entender</w:t>
      </w:r>
      <w:r w:rsidR="009755CD">
        <w:t xml:space="preserve"> dicho concepto</w:t>
      </w:r>
      <w:r>
        <w:t xml:space="preserve"> como se observa a continuación:</w:t>
      </w:r>
    </w:p>
    <w:p w14:paraId="72E3ACFC" w14:textId="77777777" w:rsidR="008C6360" w:rsidRDefault="008C6360" w:rsidP="002D1E08"/>
    <w:p w14:paraId="22C52204" w14:textId="77777777" w:rsidR="008C6360" w:rsidRDefault="008C6360" w:rsidP="008C6360">
      <w:pPr>
        <w:pStyle w:val="Fundamentos"/>
      </w:pPr>
      <w:r w:rsidRPr="008C6360">
        <w:rPr>
          <w:b/>
          <w:bCs/>
        </w:rPr>
        <w:t>Artículo 286 Bis.-</w:t>
      </w:r>
      <w:r>
        <w:t xml:space="preserve"> Para efectos de lo dispuesto en el presente Subtítulo se entenderá por:</w:t>
      </w:r>
    </w:p>
    <w:p w14:paraId="7FB6C605" w14:textId="59478EF6" w:rsidR="008C6360" w:rsidRDefault="008C6360" w:rsidP="008C6360">
      <w:pPr>
        <w:pStyle w:val="Fundamentos"/>
      </w:pPr>
      <w:r>
        <w:t>[…]</w:t>
      </w:r>
    </w:p>
    <w:p w14:paraId="2095E52D" w14:textId="1E0B5245" w:rsidR="008C6360" w:rsidRPr="008C6360" w:rsidRDefault="008C6360" w:rsidP="008C6360">
      <w:pPr>
        <w:pStyle w:val="Fundamentos"/>
      </w:pPr>
      <w:r>
        <w:t xml:space="preserve">II. Violencia de Género: Al conjunto de amenazas, agravios, maltrato, lesiones y daños asociados a la exclusión, la subordinación, la discriminación y la explotación de las mujeres y las niñas y que es consubstancial a la opresión de género en todas sus modalidades. La violencia de género contra las mujeres y las niñas involucra tanto a las personas como a la sociedad en sus distintas formas y organizaciones, comunidades, relaciones, prácticas e instituciones sociales y al Estado que la reproduce al no garantizar la igualdad, al perpetuar formas legales, jurídicas, judiciales, políticas androcéntricas y de jerarquía de género y al no dar garantías de seguridad a las mujeres. La violencia de género se ejerce tanto en el ámbito privado como en el </w:t>
      </w:r>
      <w:r>
        <w:lastRenderedPageBreak/>
        <w:t>ámbito público manifestándose en diversos tipos y modalidades como la familiar, en la comunidad, institucional, laboral, docente y feminicida de manera enunciativa y no limitativa.</w:t>
      </w:r>
    </w:p>
    <w:p w14:paraId="2D08E635" w14:textId="77777777" w:rsidR="00B84191" w:rsidRDefault="00B84191" w:rsidP="002D1E08"/>
    <w:p w14:paraId="0DB3549A" w14:textId="001C4A8B" w:rsidR="00B84191" w:rsidRDefault="008C6360" w:rsidP="002D1E08">
      <w:r>
        <w:t>Asimismo, dicho Código tipifica los delitos de violencia de género en su Subtítulo Quinto, en específico del artículo 275 al 286 Bis</w:t>
      </w:r>
      <w:r w:rsidR="009755CD">
        <w:t xml:space="preserve">; por tanto, se considera que en el presente caso se actualizó </w:t>
      </w:r>
      <w:r w:rsidR="00DB447B">
        <w:rPr>
          <w:i/>
          <w:iCs/>
        </w:rPr>
        <w:t xml:space="preserve">a contrario sensu </w:t>
      </w:r>
      <w:r w:rsidR="009755CD">
        <w:t xml:space="preserve">el supuesto previsto en el artículo 150, fracción I, inciso j), </w:t>
      </w:r>
      <w:r w:rsidR="00DB447B">
        <w:t xml:space="preserve">pues ya que la violencia de género se considera un delito tipificado en el Código Penal local </w:t>
      </w:r>
      <w:r w:rsidR="00DB447B">
        <w:rPr>
          <w:b/>
          <w:bCs/>
        </w:rPr>
        <w:t>la oficialía mediadora conciliadora no puede atender casos constitutivos de delitos</w:t>
      </w:r>
      <w:r w:rsidR="00DB447B">
        <w:t>.</w:t>
      </w:r>
    </w:p>
    <w:p w14:paraId="1E3CB2E7" w14:textId="77777777" w:rsidR="00DB447B" w:rsidRDefault="00DB447B" w:rsidP="002D1E08"/>
    <w:p w14:paraId="5D303A2E" w14:textId="3C15EAD0" w:rsidR="00DB447B" w:rsidRDefault="00DB447B" w:rsidP="002D1E08">
      <w:r>
        <w:t>En consecuencia, al responder a la solicitud del Recurrente manifestando que no se cuenta con la facultad para atender situaciones de violencia de género, se debe entender que se está frente a los denominados hechos negativos.</w:t>
      </w:r>
    </w:p>
    <w:p w14:paraId="7230DEB6" w14:textId="77777777" w:rsidR="00DB447B" w:rsidRDefault="00DB447B" w:rsidP="002D1E08"/>
    <w:p w14:paraId="6182798F" w14:textId="109C33BF" w:rsidR="00DB447B" w:rsidRPr="00A00FFB" w:rsidRDefault="00DB447B" w:rsidP="00DB447B">
      <w:pPr>
        <w:pStyle w:val="Sinespaciado"/>
        <w:spacing w:line="360" w:lineRule="auto"/>
        <w:jc w:val="both"/>
        <w:rPr>
          <w:rFonts w:ascii="Palatino Linotype" w:eastAsiaTheme="minorHAnsi" w:hAnsi="Palatino Linotype" w:cs="Arial"/>
        </w:rPr>
      </w:pPr>
      <w:r w:rsidRPr="00A00FFB">
        <w:rPr>
          <w:rFonts w:ascii="Palatino Linotype" w:eastAsia="Palatino Linotype" w:hAnsi="Palatino Linotype" w:cs="Palatino Linotype"/>
          <w:lang w:val="es-ES_tradnl"/>
        </w:rPr>
        <w:t xml:space="preserve">Lo anterior se deriva de que la respuesta </w:t>
      </w:r>
      <w:r>
        <w:rPr>
          <w:rFonts w:ascii="Palatino Linotype" w:eastAsia="Palatino Linotype" w:hAnsi="Palatino Linotype" w:cs="Palatino Linotype"/>
          <w:lang w:val="es-ES_tradnl"/>
        </w:rPr>
        <w:t xml:space="preserve">de la unidad administrativa idónea para atender la solicitud adscrita al Sujeto Obligado </w:t>
      </w:r>
      <w:r w:rsidRPr="00A00FFB">
        <w:rPr>
          <w:rFonts w:ascii="Palatino Linotype" w:eastAsiaTheme="minorHAnsi" w:hAnsi="Palatino Linotype" w:cstheme="minorHAnsi"/>
          <w:lang w:eastAsia="en-US"/>
        </w:rPr>
        <w:t xml:space="preserve">se traduce en un pronunciamiento en sentido negativo; es decir, </w:t>
      </w:r>
      <w:r w:rsidRPr="00A00FFB">
        <w:rPr>
          <w:rFonts w:ascii="Palatino Linotype" w:eastAsiaTheme="minorHAnsi" w:hAnsi="Palatino Linotype" w:cstheme="minorBidi"/>
          <w:lang w:eastAsia="en-US"/>
        </w:rPr>
        <w:t xml:space="preserve">se concluye que la respuesta constituye hechos negativos, pues no se han generado, poseído o administrado </w:t>
      </w:r>
      <w:r>
        <w:rPr>
          <w:rFonts w:ascii="Palatino Linotype" w:eastAsiaTheme="minorHAnsi" w:hAnsi="Palatino Linotype" w:cstheme="minorBidi"/>
          <w:lang w:eastAsia="en-US"/>
        </w:rPr>
        <w:t xml:space="preserve">la documentación requerida por el Recurrente en el segundo punto de su solicitud de información. </w:t>
      </w:r>
      <w:r w:rsidRPr="00A00FFB">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657E560A" w14:textId="77777777" w:rsidR="00DB447B" w:rsidRDefault="00DB447B" w:rsidP="00DB447B">
      <w:pPr>
        <w:rPr>
          <w:rFonts w:eastAsiaTheme="minorHAnsi" w:cstheme="minorBidi"/>
          <w:szCs w:val="24"/>
          <w:lang w:val="es-MX"/>
        </w:rPr>
      </w:pPr>
    </w:p>
    <w:p w14:paraId="3AB79779" w14:textId="77777777" w:rsidR="00DB447B" w:rsidRPr="00AF115C" w:rsidRDefault="00DB447B" w:rsidP="00DB447B">
      <w:pPr>
        <w:spacing w:line="240" w:lineRule="auto"/>
        <w:ind w:left="567" w:right="567"/>
        <w:rPr>
          <w:rFonts w:eastAsiaTheme="minorHAnsi" w:cstheme="minorBidi"/>
          <w:b/>
          <w:i/>
          <w:sz w:val="22"/>
        </w:rPr>
      </w:pPr>
      <w:r w:rsidRPr="00AF115C">
        <w:rPr>
          <w:rFonts w:eastAsiaTheme="minorHAnsi" w:cstheme="minorBidi"/>
          <w:b/>
          <w:i/>
          <w:sz w:val="22"/>
        </w:rPr>
        <w:t xml:space="preserve">HECHOS NEGATIVOS, NO SON SUSCEPTIBLES DE DEMOSTRACIÓN. </w:t>
      </w:r>
    </w:p>
    <w:p w14:paraId="303ACEA1" w14:textId="77777777" w:rsidR="00DB447B" w:rsidRPr="00AF115C" w:rsidRDefault="00DB447B" w:rsidP="00DB447B">
      <w:pPr>
        <w:spacing w:line="240" w:lineRule="auto"/>
        <w:ind w:left="567" w:right="567"/>
        <w:rPr>
          <w:rFonts w:eastAsiaTheme="minorHAnsi" w:cstheme="minorBidi"/>
          <w:i/>
          <w:sz w:val="22"/>
        </w:rPr>
      </w:pPr>
      <w:r w:rsidRPr="00AF115C">
        <w:rPr>
          <w:rFonts w:eastAsiaTheme="minorHAnsi" w:cstheme="minorBidi"/>
          <w:i/>
          <w:sz w:val="22"/>
        </w:rPr>
        <w:lastRenderedPageBreak/>
        <w:t>Tratándose de un hecho negativo, el Juez no tiene por qué invocar prueba alguna de la que se desprenda, ya que es bien sabido que esta clase de hechos no son susceptibles de demostración.</w:t>
      </w:r>
    </w:p>
    <w:p w14:paraId="5B15CFE0" w14:textId="77777777" w:rsidR="00DB447B" w:rsidRPr="00A00FFB" w:rsidRDefault="00DB447B" w:rsidP="00DB447B">
      <w:pPr>
        <w:ind w:left="567" w:right="567"/>
        <w:rPr>
          <w:rFonts w:eastAsiaTheme="minorHAnsi" w:cstheme="minorBidi"/>
          <w:i/>
          <w:szCs w:val="24"/>
        </w:rPr>
      </w:pPr>
    </w:p>
    <w:p w14:paraId="6ED4B8F6" w14:textId="77777777" w:rsidR="00DB447B" w:rsidRPr="00A00FFB" w:rsidRDefault="00DB447B" w:rsidP="00DB447B">
      <w:pPr>
        <w:rPr>
          <w:rFonts w:eastAsiaTheme="minorHAnsi" w:cstheme="minorBidi"/>
          <w:szCs w:val="24"/>
          <w:lang w:eastAsia="en-US"/>
        </w:rPr>
      </w:pPr>
      <w:r w:rsidRPr="00A00FFB">
        <w:rPr>
          <w:rFonts w:eastAsiaTheme="minorHAnsi" w:cstheme="minorBidi"/>
          <w:szCs w:val="24"/>
        </w:rPr>
        <w:t xml:space="preserve">Además, de conformidad con lo establecido en el artículo 12 de la Ley de la materia, el Sujeto Obligado sólo proporcionará la información que obra en sus archivos, lo que </w:t>
      </w:r>
      <w:r w:rsidRPr="00A00FFB">
        <w:rPr>
          <w:rFonts w:eastAsiaTheme="minorHAnsi" w:cstheme="minorBidi"/>
          <w:i/>
          <w:szCs w:val="24"/>
        </w:rPr>
        <w:t>a contrario sensu</w:t>
      </w:r>
      <w:r w:rsidRPr="00A00FFB">
        <w:rPr>
          <w:rFonts w:eastAsiaTheme="minorHAnsi" w:cstheme="minorBidi"/>
          <w:szCs w:val="24"/>
        </w:rPr>
        <w:t xml:space="preserve"> significa que no está obligado a proporcionar lo que no obre en sus archivos.</w:t>
      </w:r>
    </w:p>
    <w:p w14:paraId="71C8A77B" w14:textId="77777777" w:rsidR="00DB447B" w:rsidRPr="00A00FFB" w:rsidRDefault="00DB447B" w:rsidP="00DB447B">
      <w:pPr>
        <w:rPr>
          <w:rFonts w:eastAsiaTheme="minorHAnsi" w:cstheme="minorBidi"/>
          <w:szCs w:val="24"/>
          <w:lang w:eastAsia="en-US"/>
        </w:rPr>
      </w:pPr>
    </w:p>
    <w:p w14:paraId="39CE0C1A" w14:textId="0EACF6A8" w:rsidR="00DB447B" w:rsidRPr="00A00FFB" w:rsidRDefault="00DB447B" w:rsidP="00DB447B">
      <w:pPr>
        <w:rPr>
          <w:rFonts w:eastAsiaTheme="minorHAnsi" w:cstheme="minorBidi"/>
          <w:szCs w:val="24"/>
          <w:lang w:eastAsia="en-US"/>
        </w:rPr>
      </w:pPr>
      <w:r w:rsidRPr="00A00FFB">
        <w:rPr>
          <w:rFonts w:eastAsiaTheme="minorHAnsi" w:cstheme="minorBidi"/>
          <w:szCs w:val="24"/>
          <w:lang w:eastAsia="en-US"/>
        </w:rPr>
        <w:t xml:space="preserve">Asimismo, se destaca que </w:t>
      </w:r>
      <w:r>
        <w:rPr>
          <w:rFonts w:eastAsiaTheme="minorHAnsi" w:cstheme="minorBidi"/>
          <w:szCs w:val="24"/>
          <w:lang w:eastAsia="en-US"/>
        </w:rPr>
        <w:t>la oficialía mediadora conciliadora</w:t>
      </w:r>
      <w:r w:rsidRPr="00A00FFB">
        <w:rPr>
          <w:rFonts w:eastAsiaTheme="minorHAnsi" w:cstheme="minorBidi"/>
          <w:szCs w:val="24"/>
          <w:lang w:eastAsia="en-US"/>
        </w:rPr>
        <w:t xml:space="preserve"> emitió un pronunciamiento. Por ende, al existir un pronunciamiento, aún en sentido negativo por parte del Sujeto Obligado, </w:t>
      </w:r>
      <w:r w:rsidRPr="00A00FFB">
        <w:rPr>
          <w:rFonts w:eastAsiaTheme="minorHAnsi" w:cstheme="minorBidi"/>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30B30302" w14:textId="77777777" w:rsidR="00DB447B" w:rsidRPr="00A00FFB" w:rsidRDefault="00DB447B" w:rsidP="00DB447B">
      <w:pPr>
        <w:rPr>
          <w:rFonts w:eastAsiaTheme="minorHAnsi" w:cstheme="minorBidi"/>
          <w:szCs w:val="24"/>
        </w:rPr>
      </w:pPr>
    </w:p>
    <w:p w14:paraId="5E873B17" w14:textId="77777777" w:rsidR="00DB447B" w:rsidRPr="00AF115C" w:rsidRDefault="00DB447B" w:rsidP="00DB447B">
      <w:pPr>
        <w:spacing w:line="240" w:lineRule="auto"/>
        <w:ind w:left="567" w:right="567"/>
        <w:rPr>
          <w:rFonts w:eastAsiaTheme="minorHAnsi" w:cstheme="minorBidi"/>
          <w:sz w:val="22"/>
          <w:lang w:eastAsia="en-US"/>
        </w:rPr>
      </w:pPr>
      <w:r w:rsidRPr="00AF115C">
        <w:rPr>
          <w:rFonts w:eastAsiaTheme="minorHAnsi" w:cs="Arial"/>
          <w:b/>
          <w:i/>
          <w:sz w:val="22"/>
        </w:rPr>
        <w:t>EL INSTITUTO FEDERAL DE ACCESO A LA INFORMACIÓN Y PROTECCIÓN DE DATOS NO CUENTA CON FACULTADES PARA PRONUNCIARSE RESPECTO DE LA VERACIDAD DE LOS DOCUMENTOS PROPORCIONADOS POR LOS SUJETOS OBLIGADOS.</w:t>
      </w:r>
      <w:r w:rsidRPr="00AF115C">
        <w:rPr>
          <w:rFonts w:eastAsiaTheme="minorHAnsi"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w:t>
      </w:r>
      <w:r w:rsidRPr="00AF115C">
        <w:rPr>
          <w:rFonts w:eastAsiaTheme="minorHAnsi" w:cs="Arial"/>
          <w:i/>
          <w:sz w:val="22"/>
        </w:rPr>
        <w:lastRenderedPageBreak/>
        <w:t>Información Pública Gubernamental no se prevé una causal que permita al Instituto Federal de Acceso a la Información y Protección de Datos conocer, vía recurso de revisión, al respecto.</w:t>
      </w:r>
    </w:p>
    <w:p w14:paraId="04F2D99F" w14:textId="77777777" w:rsidR="00DB447B" w:rsidRPr="00A00FFB" w:rsidRDefault="00DB447B" w:rsidP="00DB447B">
      <w:pPr>
        <w:rPr>
          <w:rFonts w:eastAsiaTheme="minorHAnsi" w:cs="Arial"/>
          <w:szCs w:val="24"/>
          <w:lang w:eastAsia="en-US"/>
        </w:rPr>
      </w:pPr>
    </w:p>
    <w:p w14:paraId="73934A54" w14:textId="16ADCA16" w:rsidR="00DB447B" w:rsidRPr="00A00FFB" w:rsidRDefault="00DB447B" w:rsidP="00DB447B">
      <w:pPr>
        <w:contextualSpacing/>
        <w:rPr>
          <w:rFonts w:eastAsia="Palatino Linotype" w:cs="Palatino Linotype"/>
          <w:bCs/>
          <w:szCs w:val="24"/>
          <w:lang w:val="es-ES"/>
        </w:rPr>
      </w:pPr>
      <w:r w:rsidRPr="00A00FFB">
        <w:rPr>
          <w:rFonts w:eastAsiaTheme="minorHAnsi" w:cs="Arial"/>
          <w:szCs w:val="24"/>
          <w:lang w:eastAsia="en-US"/>
        </w:rPr>
        <w:t>De tal forma que el Sujeto Obligado realizó un pronunciamiento con el cual respondió a</w:t>
      </w:r>
      <w:r>
        <w:rPr>
          <w:rFonts w:eastAsiaTheme="minorHAnsi" w:cs="Arial"/>
          <w:szCs w:val="24"/>
          <w:lang w:eastAsia="en-US"/>
        </w:rPr>
        <w:t xml:space="preserve">l requerimiento planteado en </w:t>
      </w:r>
      <w:r w:rsidRPr="00A00FFB">
        <w:rPr>
          <w:rFonts w:eastAsiaTheme="minorHAnsi" w:cs="Arial"/>
          <w:szCs w:val="24"/>
          <w:lang w:eastAsia="en-US"/>
        </w:rPr>
        <w:t xml:space="preserve">la solicitud realizada por el hoy Recurrente, cuyo sentido no transgrede el derecho de acceso a la información del particular debido a que </w:t>
      </w:r>
      <w:r>
        <w:rPr>
          <w:rFonts w:eastAsiaTheme="minorHAnsi" w:cs="Arial"/>
          <w:szCs w:val="24"/>
          <w:lang w:eastAsia="en-US"/>
        </w:rPr>
        <w:t xml:space="preserve">la unidad administrativa referida por el propio solicitante </w:t>
      </w:r>
      <w:r w:rsidRPr="00A00FFB">
        <w:rPr>
          <w:rFonts w:eastAsiaTheme="minorHAnsi" w:cs="Arial"/>
          <w:szCs w:val="24"/>
          <w:lang w:eastAsia="en-US"/>
        </w:rPr>
        <w:t xml:space="preserve">no </w:t>
      </w:r>
      <w:r>
        <w:rPr>
          <w:rFonts w:eastAsiaTheme="minorHAnsi" w:cs="Arial"/>
          <w:szCs w:val="24"/>
          <w:lang w:eastAsia="en-US"/>
        </w:rPr>
        <w:t xml:space="preserve">se encuentra </w:t>
      </w:r>
      <w:r w:rsidRPr="00A00FFB">
        <w:rPr>
          <w:rFonts w:eastAsiaTheme="minorHAnsi" w:cs="Arial"/>
          <w:szCs w:val="24"/>
          <w:lang w:eastAsia="en-US"/>
        </w:rPr>
        <w:t>constreñido a generar, poseer o administrar la información solicitada</w:t>
      </w:r>
      <w:r>
        <w:rPr>
          <w:rFonts w:eastAsiaTheme="minorHAnsi" w:cs="Arial"/>
          <w:szCs w:val="24"/>
          <w:lang w:eastAsia="en-US"/>
        </w:rPr>
        <w:t xml:space="preserve">, debido a que no cuenta con las facultades, atribuciones o competencias para generarla. </w:t>
      </w:r>
    </w:p>
    <w:p w14:paraId="4E43BB7D" w14:textId="77777777" w:rsidR="00DB447B" w:rsidRPr="00DB447B" w:rsidRDefault="00DB447B" w:rsidP="002D1E08">
      <w:pPr>
        <w:rPr>
          <w:lang w:val="es-ES"/>
        </w:rPr>
      </w:pPr>
    </w:p>
    <w:p w14:paraId="1F1B3ABA" w14:textId="496D6AF5" w:rsidR="00DB447B" w:rsidRDefault="00DB447B" w:rsidP="002D1E08">
      <w:r>
        <w:t xml:space="preserve">Por lo anterior, dado que la unidad administrativa referida por el Recurrente atendió </w:t>
      </w:r>
      <w:r w:rsidR="00AF115C">
        <w:t>su planteamiento correctamente, se considera que dicho punto se encuentra colmado.</w:t>
      </w:r>
    </w:p>
    <w:p w14:paraId="4BBF244C" w14:textId="77777777" w:rsidR="00DB447B" w:rsidRDefault="00DB447B" w:rsidP="002D1E08"/>
    <w:p w14:paraId="1CC5B21C" w14:textId="03A61622" w:rsidR="004C75B3" w:rsidRDefault="00AF115C" w:rsidP="004C75B3">
      <w:pPr>
        <w:rPr>
          <w:rFonts w:eastAsia="Palatino Linotype" w:cs="Palatino Linotype"/>
          <w:szCs w:val="24"/>
        </w:rPr>
      </w:pPr>
      <w:r>
        <w:t xml:space="preserve">Por lo argumentado en párrafos anteriores, </w:t>
      </w:r>
      <w:r w:rsidR="004C75B3" w:rsidRPr="00754B8E">
        <w:rPr>
          <w:rFonts w:eastAsia="Palatino Linotype" w:cs="Palatino Linotype"/>
          <w:szCs w:val="24"/>
        </w:rPr>
        <w:t>este Instituto estima que los motivos de inconformidad planteados po</w:t>
      </w:r>
      <w:r w:rsidR="007E205A" w:rsidRPr="00754B8E">
        <w:rPr>
          <w:rFonts w:eastAsia="Palatino Linotype" w:cs="Palatino Linotype"/>
          <w:szCs w:val="24"/>
        </w:rPr>
        <w:t xml:space="preserve">r el Recurrente devienen </w:t>
      </w:r>
      <w:r>
        <w:rPr>
          <w:rFonts w:eastAsia="Palatino Linotype" w:cs="Palatino Linotype"/>
          <w:szCs w:val="24"/>
        </w:rPr>
        <w:t xml:space="preserve">parcialmente </w:t>
      </w:r>
      <w:r w:rsidR="004C75B3" w:rsidRPr="00754B8E">
        <w:rPr>
          <w:rFonts w:eastAsia="Palatino Linotype" w:cs="Palatino Linotype"/>
          <w:szCs w:val="24"/>
        </w:rPr>
        <w:t>fundados, por lo que es procedente</w:t>
      </w:r>
      <w:r w:rsidR="003B006E" w:rsidRPr="00754B8E">
        <w:rPr>
          <w:rFonts w:eastAsia="Palatino Linotype" w:cs="Palatino Linotype"/>
          <w:szCs w:val="24"/>
        </w:rPr>
        <w:t xml:space="preserve"> modificar la respuesta y</w:t>
      </w:r>
      <w:r w:rsidR="004C75B3" w:rsidRPr="00754B8E">
        <w:rPr>
          <w:rFonts w:eastAsia="Palatino Linotype" w:cs="Palatino Linotype"/>
          <w:szCs w:val="24"/>
        </w:rPr>
        <w:t xml:space="preserve"> ordenar al Sujeto Obligado </w:t>
      </w:r>
      <w:r>
        <w:rPr>
          <w:rFonts w:eastAsia="Palatino Linotype" w:cs="Palatino Linotype"/>
          <w:szCs w:val="24"/>
        </w:rPr>
        <w:t xml:space="preserve">que haga entrega de la versión pública de las cincuenta y </w:t>
      </w:r>
      <w:r w:rsidR="00B47408">
        <w:rPr>
          <w:rFonts w:eastAsia="Palatino Linotype" w:cs="Palatino Linotype"/>
          <w:szCs w:val="24"/>
        </w:rPr>
        <w:t>una actas</w:t>
      </w:r>
      <w:r>
        <w:rPr>
          <w:rFonts w:eastAsia="Palatino Linotype" w:cs="Palatino Linotype"/>
          <w:szCs w:val="24"/>
        </w:rPr>
        <w:t xml:space="preserve"> de convenios referidas en respuesta, acompañadas del acuerdo emitido por el Comité de Transparencia con el que se fundamente y motive dicha versión pública. </w:t>
      </w:r>
    </w:p>
    <w:p w14:paraId="59FFF080" w14:textId="77777777" w:rsidR="00DA17F7" w:rsidRDefault="00DA17F7" w:rsidP="00177F85"/>
    <w:p w14:paraId="08F47F87" w14:textId="77777777" w:rsidR="000A1377" w:rsidRDefault="000A1377" w:rsidP="000A1377">
      <w:pPr>
        <w:pStyle w:val="Ttulo3"/>
        <w:rPr>
          <w:rFonts w:eastAsia="Palatino Linotype"/>
        </w:rPr>
      </w:pPr>
      <w:r>
        <w:rPr>
          <w:rFonts w:eastAsia="Palatino Linotype"/>
        </w:rPr>
        <w:t>DE LA VERSIÓN PÚBLICA</w:t>
      </w:r>
    </w:p>
    <w:p w14:paraId="00F8E4C5" w14:textId="77777777" w:rsidR="00AF115C" w:rsidRPr="00483078" w:rsidRDefault="00AF115C" w:rsidP="00AF115C">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76D01A7" w14:textId="77777777" w:rsidR="00AF115C" w:rsidRPr="00483078" w:rsidRDefault="00AF115C" w:rsidP="00AF115C">
      <w:pPr>
        <w:rPr>
          <w:rFonts w:eastAsia="Palatino Linotype" w:cs="Palatino Linotype"/>
          <w:szCs w:val="24"/>
        </w:rPr>
      </w:pPr>
    </w:p>
    <w:p w14:paraId="5BE54453"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057B1599"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w:t>
      </w:r>
    </w:p>
    <w:p w14:paraId="5DF84235"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810CADD"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5743516E"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97DE4C"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w:t>
      </w:r>
    </w:p>
    <w:p w14:paraId="7937F4AE"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72B2A6B4"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w:t>
      </w:r>
    </w:p>
    <w:p w14:paraId="4AB22C05" w14:textId="77777777" w:rsidR="00AF115C" w:rsidRPr="00483078" w:rsidRDefault="00AF115C" w:rsidP="00AF115C">
      <w:pPr>
        <w:spacing w:line="259" w:lineRule="auto"/>
        <w:ind w:left="567" w:right="567"/>
        <w:rPr>
          <w:rFonts w:eastAsia="Palatino Linotype" w:cs="Palatino Linotype"/>
          <w:i/>
          <w:sz w:val="22"/>
        </w:rPr>
      </w:pPr>
    </w:p>
    <w:p w14:paraId="304F938F"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77DCA352" w14:textId="77777777" w:rsidR="00AF115C" w:rsidRPr="00483078" w:rsidRDefault="00AF115C" w:rsidP="00AF115C">
      <w:pPr>
        <w:spacing w:line="259" w:lineRule="auto"/>
        <w:ind w:left="567" w:right="567"/>
        <w:rPr>
          <w:rFonts w:eastAsia="Palatino Linotype" w:cs="Palatino Linotype"/>
          <w:i/>
          <w:sz w:val="22"/>
        </w:rPr>
      </w:pPr>
    </w:p>
    <w:p w14:paraId="667280D7"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51C5A247"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25EF6665"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6C37FA0B" w14:textId="77777777" w:rsidR="00AF115C" w:rsidRPr="00483078" w:rsidRDefault="00AF115C" w:rsidP="00AF115C">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3A807188"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w:t>
      </w:r>
    </w:p>
    <w:p w14:paraId="6C9039B5" w14:textId="77777777" w:rsidR="00AF115C" w:rsidRPr="00483078" w:rsidRDefault="00AF115C" w:rsidP="00AF115C">
      <w:pPr>
        <w:rPr>
          <w:rFonts w:eastAsia="Palatino Linotype" w:cs="Palatino Linotype"/>
          <w:i/>
          <w:szCs w:val="24"/>
        </w:rPr>
      </w:pPr>
    </w:p>
    <w:p w14:paraId="7402C3A5" w14:textId="77777777" w:rsidR="00AF115C" w:rsidRPr="00483078" w:rsidRDefault="00AF115C" w:rsidP="00AF115C">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9188A8D" w14:textId="77777777" w:rsidR="00AF115C" w:rsidRDefault="00AF115C" w:rsidP="00AF115C">
      <w:pPr>
        <w:rPr>
          <w:rFonts w:eastAsia="Palatino Linotype" w:cs="Palatino Linotype"/>
        </w:rPr>
      </w:pPr>
    </w:p>
    <w:p w14:paraId="2D881592" w14:textId="77777777" w:rsidR="00AF115C" w:rsidRPr="00483078" w:rsidRDefault="00AF115C" w:rsidP="00AF115C">
      <w:pPr>
        <w:rPr>
          <w:rFonts w:eastAsia="Palatino Linotype" w:cs="Palatino Linotype"/>
          <w:szCs w:val="24"/>
        </w:rPr>
      </w:pPr>
      <w:r w:rsidRPr="00483078">
        <w:rPr>
          <w:rFonts w:eastAsia="Palatino Linotype" w:cs="Palatino Linotype"/>
          <w:szCs w:val="24"/>
        </w:rPr>
        <w:lastRenderedPageBreak/>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B04D6A" w14:textId="77777777" w:rsidR="00AF115C" w:rsidRPr="00483078" w:rsidRDefault="00AF115C" w:rsidP="00AF115C">
      <w:pPr>
        <w:rPr>
          <w:rFonts w:eastAsia="Palatino Linotype" w:cs="Palatino Linotype"/>
          <w:szCs w:val="24"/>
        </w:rPr>
      </w:pPr>
    </w:p>
    <w:p w14:paraId="7E96D15E" w14:textId="77777777" w:rsidR="00AF115C" w:rsidRPr="00483078" w:rsidRDefault="00AF115C" w:rsidP="00AF115C">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7AEAF8A2" w14:textId="77777777" w:rsidR="00AF115C" w:rsidRPr="00483078" w:rsidRDefault="00AF115C" w:rsidP="00AF115C">
      <w:pPr>
        <w:rPr>
          <w:rFonts w:eastAsia="Palatino Linotype" w:cs="Palatino Linotype"/>
          <w:sz w:val="22"/>
        </w:rPr>
      </w:pPr>
    </w:p>
    <w:p w14:paraId="235157DD" w14:textId="3F40E1E8"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Pr>
          <w:rFonts w:eastAsia="Palatino Linotype" w:cs="Palatino Linotype"/>
          <w:i/>
          <w:sz w:val="22"/>
        </w:rPr>
        <w:t>Cuando la elaboración de l</w:t>
      </w:r>
      <w:r w:rsidRPr="00483078">
        <w:rPr>
          <w:rFonts w:eastAsia="Palatino Linotype" w:cs="Palatino Linotype"/>
          <w:i/>
          <w:sz w:val="22"/>
        </w:rPr>
        <w:t xml:space="preserve">a versión pública del documento o expediente que contenga partes o secciones reservadas o </w:t>
      </w:r>
      <w:r w:rsidR="00B47408" w:rsidRPr="00483078">
        <w:rPr>
          <w:rFonts w:eastAsia="Palatino Linotype" w:cs="Palatino Linotype"/>
          <w:i/>
          <w:sz w:val="22"/>
        </w:rPr>
        <w:t>confidenciales</w:t>
      </w:r>
      <w:r w:rsidR="00B47408">
        <w:rPr>
          <w:rFonts w:eastAsia="Palatino Linotype" w:cs="Palatino Linotype"/>
          <w:i/>
          <w:sz w:val="22"/>
        </w:rPr>
        <w:t>,</w:t>
      </w:r>
      <w:r>
        <w:rPr>
          <w:rFonts w:eastAsia="Palatino Linotype" w:cs="Palatino Linotype"/>
          <w:i/>
          <w:sz w:val="22"/>
        </w:rPr>
        <w:t xml:space="preserve"> genere costos por reproducción por derivar de una solicitud de información o determinación de una autoridad competente, ésta será elaborada hasta que se haya acreditado el pago correspondiente.</w:t>
      </w:r>
    </w:p>
    <w:p w14:paraId="02A47A41" w14:textId="77777777" w:rsidR="00AF115C" w:rsidRPr="00483078" w:rsidRDefault="00AF115C" w:rsidP="00AF115C">
      <w:pPr>
        <w:spacing w:line="259" w:lineRule="auto"/>
        <w:ind w:left="567" w:right="567"/>
        <w:rPr>
          <w:rFonts w:eastAsia="Palatino Linotype" w:cs="Palatino Linotype"/>
          <w:i/>
          <w:sz w:val="22"/>
        </w:rPr>
      </w:pPr>
    </w:p>
    <w:p w14:paraId="7AF2AF3B"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4B395D4D"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2BD2EE8"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5EBD759D"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2555E120"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AAA6156" w14:textId="77777777" w:rsidR="00AF115C" w:rsidRPr="00483078" w:rsidRDefault="00AF115C" w:rsidP="00AF115C">
      <w:pPr>
        <w:spacing w:line="259" w:lineRule="auto"/>
        <w:ind w:left="567" w:right="567"/>
        <w:rPr>
          <w:rFonts w:eastAsia="Palatino Linotype" w:cs="Palatino Linotype"/>
          <w:i/>
          <w:sz w:val="22"/>
        </w:rPr>
      </w:pPr>
    </w:p>
    <w:p w14:paraId="256522D8"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i/>
          <w:sz w:val="22"/>
        </w:rPr>
        <w:lastRenderedPageBreak/>
        <w:t xml:space="preserve">Lo anterior, siempre y cuando no se acredite alguna causal de clasificación, prevista en las leyes o en los tratados internacionales suscritos por el Estado mexicano. </w:t>
      </w:r>
    </w:p>
    <w:p w14:paraId="33F682F3" w14:textId="77777777" w:rsidR="00AF115C" w:rsidRPr="00483078" w:rsidRDefault="00AF115C" w:rsidP="00AF115C">
      <w:pPr>
        <w:spacing w:line="259" w:lineRule="auto"/>
        <w:ind w:left="567" w:right="567"/>
        <w:rPr>
          <w:rFonts w:eastAsia="Palatino Linotype" w:cs="Palatino Linotype"/>
          <w:i/>
          <w:sz w:val="22"/>
        </w:rPr>
      </w:pPr>
    </w:p>
    <w:p w14:paraId="130A6CE3" w14:textId="77777777" w:rsidR="00AF115C" w:rsidRPr="00483078" w:rsidRDefault="00AF115C" w:rsidP="00AF115C">
      <w:pPr>
        <w:spacing w:line="259" w:lineRule="auto"/>
        <w:ind w:left="567" w:right="567"/>
        <w:rPr>
          <w:rFonts w:eastAsia="Palatino Linotype" w:cs="Palatino Linotype"/>
          <w:i/>
          <w:sz w:val="22"/>
        </w:rPr>
      </w:pPr>
      <w:r w:rsidRPr="00483078">
        <w:rPr>
          <w:rFonts w:eastAsia="Palatino Linotype" w:cs="Palatino Linotype"/>
          <w:b/>
          <w:i/>
          <w:sz w:val="22"/>
        </w:rPr>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Pr>
          <w:rFonts w:eastAsia="Palatino Linotype" w:cs="Palatino Linotype"/>
          <w:i/>
          <w:sz w:val="22"/>
        </w:rPr>
        <w:t xml:space="preserve">la </w:t>
      </w:r>
      <w:r w:rsidRPr="00483078">
        <w:rPr>
          <w:rFonts w:eastAsia="Palatino Linotype" w:cs="Palatino Linotype"/>
          <w:i/>
          <w:sz w:val="22"/>
        </w:rPr>
        <w:t>visualización de la misma.</w:t>
      </w:r>
    </w:p>
    <w:p w14:paraId="11FFF452" w14:textId="77777777" w:rsidR="00AF115C" w:rsidRPr="00483078" w:rsidRDefault="00AF115C" w:rsidP="00AF115C">
      <w:pPr>
        <w:rPr>
          <w:rFonts w:eastAsia="Palatino Linotype" w:cs="Palatino Linotype"/>
          <w:i/>
          <w:szCs w:val="24"/>
        </w:rPr>
      </w:pPr>
    </w:p>
    <w:p w14:paraId="234C9594" w14:textId="77777777" w:rsidR="00AF115C" w:rsidRPr="00483078" w:rsidRDefault="00AF115C" w:rsidP="00AF115C">
      <w:pPr>
        <w:rPr>
          <w:rFonts w:eastAsia="Palatino Linotype" w:cs="Palatino Linotype"/>
          <w:szCs w:val="24"/>
        </w:rPr>
      </w:pPr>
      <w:r w:rsidRPr="00483078">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C13138D" w14:textId="77777777" w:rsidR="00AF115C" w:rsidRPr="00483078" w:rsidRDefault="00AF115C" w:rsidP="00AF115C">
      <w:pPr>
        <w:rPr>
          <w:rFonts w:eastAsia="Palatino Linotype" w:cs="Palatino Linotype"/>
          <w:szCs w:val="24"/>
        </w:rPr>
      </w:pPr>
    </w:p>
    <w:p w14:paraId="12E1D853" w14:textId="77777777" w:rsidR="00AF115C" w:rsidRPr="00483078" w:rsidRDefault="00AF115C" w:rsidP="00AF115C">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7D34A24B" w14:textId="77777777" w:rsidR="00AF115C" w:rsidRPr="00483078" w:rsidRDefault="00AF115C" w:rsidP="00AF115C">
      <w:pPr>
        <w:rPr>
          <w:rFonts w:eastAsia="Palatino Linotype" w:cs="Palatino Linotype"/>
          <w:szCs w:val="24"/>
        </w:rPr>
      </w:pPr>
    </w:p>
    <w:p w14:paraId="674315A6" w14:textId="77777777" w:rsidR="00AF115C" w:rsidRPr="00483078" w:rsidRDefault="00AF115C" w:rsidP="00AF115C">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w:t>
      </w:r>
      <w:r w:rsidRPr="00483078">
        <w:rPr>
          <w:rFonts w:eastAsia="Palatino Linotype" w:cs="Palatino Linotype"/>
          <w:color w:val="000000"/>
          <w:szCs w:val="24"/>
        </w:rPr>
        <w:t xml:space="preserve"> Recurrente.</w:t>
      </w:r>
    </w:p>
    <w:p w14:paraId="793E519A" w14:textId="77777777" w:rsidR="000A1377" w:rsidRDefault="000A1377" w:rsidP="00177F85"/>
    <w:p w14:paraId="7244CAFA" w14:textId="491FE556"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2A0A88">
        <w:rPr>
          <w:rFonts w:eastAsia="Palatino Linotype" w:cs="Palatino Linotype"/>
          <w:b/>
          <w:bCs/>
          <w:color w:val="000000"/>
          <w:szCs w:val="24"/>
        </w:rPr>
        <w:t>00081/MELOCAM/IP/2023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1BE7A540"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2A0A88">
        <w:rPr>
          <w:rFonts w:eastAsia="Palatino Linotype" w:cs="Palatino Linotype"/>
          <w:b/>
          <w:bCs/>
          <w:color w:val="000000"/>
          <w:szCs w:val="24"/>
        </w:rPr>
        <w:t>00081/MELOCAM/IP/2023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00B47408">
        <w:rPr>
          <w:rFonts w:eastAsia="Palatino Linotype" w:cs="Palatino Linotype"/>
          <w:color w:val="000000" w:themeColor="text1"/>
        </w:rPr>
        <w:t xml:space="preserve">parcialmente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B47408">
        <w:rPr>
          <w:rFonts w:eastAsia="Palatino Linotype" w:cs="Palatino Linotype"/>
          <w:b/>
          <w:bCs/>
          <w:color w:val="000000" w:themeColor="text1"/>
        </w:rPr>
        <w:t>CUAR</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7B4B4954"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haga entrega al Recurrente mediante el Sistema de Acceso a la Información Mexiquense (SAIMEX)</w:t>
      </w:r>
      <w:r w:rsidR="00381BAB">
        <w:rPr>
          <w:rFonts w:eastAsia="Palatino Linotype" w:cs="Palatino Linotype"/>
          <w:color w:val="000000"/>
          <w:szCs w:val="24"/>
        </w:rPr>
        <w:t xml:space="preserve">, en versión pública </w:t>
      </w:r>
      <w:r w:rsidR="005E68C5" w:rsidRPr="00982EC2">
        <w:rPr>
          <w:rFonts w:eastAsia="Palatino Linotype" w:cs="Palatino Linotype"/>
          <w:color w:val="000000"/>
          <w:szCs w:val="24"/>
        </w:rPr>
        <w:t xml:space="preserve">y en términos del </w:t>
      </w:r>
      <w:r w:rsidR="005E68C5" w:rsidRPr="005E68C5">
        <w:rPr>
          <w:rFonts w:eastAsia="Palatino Linotype" w:cs="Palatino Linotype"/>
          <w:b/>
          <w:color w:val="000000"/>
          <w:szCs w:val="24"/>
        </w:rPr>
        <w:t xml:space="preserve">Considerando </w:t>
      </w:r>
      <w:r w:rsidR="00B47408">
        <w:rPr>
          <w:rFonts w:eastAsia="Palatino Linotype" w:cs="Palatino Linotype"/>
          <w:b/>
          <w:color w:val="000000"/>
          <w:szCs w:val="24"/>
        </w:rPr>
        <w:t>CUAR</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xml:space="preserve">, de 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294063D8" w14:textId="449403ED" w:rsidR="005E68C5" w:rsidRPr="004B104F" w:rsidRDefault="00B47408" w:rsidP="00B47408">
      <w:pPr>
        <w:numPr>
          <w:ilvl w:val="0"/>
          <w:numId w:val="6"/>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t>Las cincuenta y una actas de convenio referidas en la respuesta.</w:t>
      </w:r>
    </w:p>
    <w:p w14:paraId="50B49537" w14:textId="77777777" w:rsidR="004B104F" w:rsidRPr="00381BAB" w:rsidRDefault="004B104F" w:rsidP="004B104F"/>
    <w:p w14:paraId="42A3D480" w14:textId="5C379A79" w:rsidR="005A40C1" w:rsidRPr="004926E7" w:rsidRDefault="003C0A73" w:rsidP="005A40C1">
      <w:pPr>
        <w:pBdr>
          <w:top w:val="nil"/>
          <w:left w:val="nil"/>
          <w:bottom w:val="nil"/>
          <w:right w:val="nil"/>
          <w:between w:val="nil"/>
        </w:pBdr>
        <w:rPr>
          <w:rFonts w:eastAsia="Palatino Linotype" w:cs="Palatino Linotype"/>
          <w:color w:val="000000"/>
          <w:szCs w:val="24"/>
        </w:rPr>
      </w:pPr>
      <w:r w:rsidRPr="00381BAB">
        <w:rPr>
          <w:rFonts w:eastAsia="Palatino Linotype" w:cs="Palatino Linotype"/>
          <w:color w:val="000000"/>
          <w:szCs w:val="24"/>
        </w:rPr>
        <w:lastRenderedPageBreak/>
        <w:t>Como sustento de la versión pública</w:t>
      </w:r>
      <w:r w:rsidR="005A40C1" w:rsidRPr="00381BAB">
        <w:rPr>
          <w:rFonts w:eastAsia="Palatino Linotype" w:cs="Palatino Linotype"/>
          <w:color w:val="000000"/>
          <w:szCs w:val="24"/>
        </w:rPr>
        <w:t>,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w:t>
      </w:r>
      <w:r w:rsidRPr="00381BAB">
        <w:rPr>
          <w:rFonts w:eastAsia="Palatino Linotype" w:cs="Palatino Linotype"/>
          <w:color w:val="000000"/>
          <w:szCs w:val="24"/>
        </w:rPr>
        <w:t>l soporte documental respectivo</w:t>
      </w:r>
      <w:r w:rsidR="00381BAB" w:rsidRPr="00381BAB">
        <w:rPr>
          <w:rFonts w:eastAsia="Palatino Linotype" w:cs="Palatino Linotype"/>
          <w:color w:val="000000"/>
          <w:szCs w:val="24"/>
        </w:rPr>
        <w:t>.</w:t>
      </w:r>
    </w:p>
    <w:p w14:paraId="7295FD83" w14:textId="77777777" w:rsidR="005A40C1" w:rsidRPr="00325BCB" w:rsidRDefault="005A40C1" w:rsidP="005E68C5">
      <w:pPr>
        <w:pBdr>
          <w:top w:val="nil"/>
          <w:left w:val="nil"/>
          <w:bottom w:val="nil"/>
          <w:right w:val="nil"/>
          <w:between w:val="nil"/>
        </w:pBdr>
        <w:rPr>
          <w:rFonts w:eastAsia="Palatino Linotype" w:cs="Palatino Linotype"/>
          <w:color w:val="000000"/>
          <w:szCs w:val="24"/>
        </w:rPr>
      </w:pPr>
    </w:p>
    <w:p w14:paraId="56D18FDF" w14:textId="37D9E3B3" w:rsidR="00103A9A" w:rsidRPr="00325BCB" w:rsidRDefault="00103A9A" w:rsidP="005E68C5">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325BCB"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325BCB" w:rsidRDefault="00270C64" w:rsidP="00103A9A">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QUINT</w:t>
      </w:r>
      <w:r w:rsidR="005E68C5" w:rsidRPr="00325BCB">
        <w:rPr>
          <w:rFonts w:eastAsia="Palatino Linotype" w:cs="Palatino Linotype"/>
          <w:b/>
          <w:color w:val="000000"/>
          <w:szCs w:val="24"/>
        </w:rPr>
        <w:t>O</w:t>
      </w:r>
      <w:r w:rsidR="00103A9A" w:rsidRPr="00325BCB">
        <w:rPr>
          <w:rFonts w:eastAsia="Palatino Linotype" w:cs="Palatino Linotype"/>
          <w:b/>
          <w:color w:val="000000"/>
          <w:szCs w:val="24"/>
        </w:rPr>
        <w:t xml:space="preserve">. Notifíquese </w:t>
      </w:r>
      <w:r w:rsidR="00103A9A" w:rsidRPr="00325BCB">
        <w:rPr>
          <w:rFonts w:eastAsia="Palatino Linotype" w:cs="Palatino Linotype"/>
          <w:color w:val="000000"/>
          <w:szCs w:val="24"/>
        </w:rPr>
        <w:t xml:space="preserve">la presente resolución al Recurrente mediante el Sistema de Acceso a la Información Mexiquense (SAIMEX) y hágase de su conocimiento que, en caso </w:t>
      </w:r>
      <w:r w:rsidR="00103A9A" w:rsidRPr="00325BCB">
        <w:rPr>
          <w:rFonts w:eastAsia="Palatino Linotype" w:cs="Palatino Linotype"/>
          <w:color w:val="000000"/>
          <w:szCs w:val="24"/>
        </w:rPr>
        <w:lastRenderedPageBreak/>
        <w:t>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325BCB" w:rsidRDefault="00103A9A" w:rsidP="006F4C9E">
      <w:pPr>
        <w:pBdr>
          <w:top w:val="nil"/>
          <w:left w:val="nil"/>
          <w:bottom w:val="nil"/>
          <w:right w:val="nil"/>
          <w:between w:val="nil"/>
        </w:pBdr>
        <w:contextualSpacing/>
        <w:rPr>
          <w:rFonts w:eastAsia="Palatino Linotype" w:cs="Palatino Linotype"/>
          <w:szCs w:val="24"/>
        </w:rPr>
      </w:pPr>
    </w:p>
    <w:p w14:paraId="20573BFF" w14:textId="0B871552"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 Y GUADALUPE RAMÍREZ PEÑA, 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11108B">
        <w:rPr>
          <w:rFonts w:eastAsia="Palatino Linotype" w:cs="Palatino Linotype"/>
          <w:color w:val="000000"/>
          <w:szCs w:val="24"/>
        </w:rPr>
        <w:t xml:space="preserve">SEGUNDA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VEINTICUATRO DE </w:t>
      </w:r>
      <w:r w:rsidR="0011108B" w:rsidRPr="0011108B">
        <w:rPr>
          <w:rFonts w:eastAsia="Palatino Linotype" w:cs="Palatino Linotype"/>
          <w:color w:val="000000"/>
          <w:szCs w:val="24"/>
        </w:rPr>
        <w:t>ENERO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CUATRO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325BCB">
        <w:rPr>
          <w:rFonts w:eastAsia="Palatino Linotype" w:cs="Palatino Linotype"/>
          <w:color w:val="000000"/>
          <w:szCs w:val="24"/>
        </w:rPr>
        <w:t>--------------------------------------------------------------------------------------------------------------------</w:t>
      </w:r>
      <w:r w:rsidR="0011108B">
        <w:rPr>
          <w:rFonts w:eastAsia="Palatino Linotype" w:cs="Palatino Linotype"/>
          <w:color w:val="000000"/>
          <w:szCs w:val="24"/>
        </w:rPr>
        <w:t>--------</w:t>
      </w:r>
      <w:r w:rsidR="00325BCB">
        <w:rPr>
          <w:rFonts w:eastAsia="Palatino Linotype" w:cs="Palatino Linotype"/>
          <w:color w:val="000000"/>
          <w:szCs w:val="24"/>
        </w:rPr>
        <w:t>---------------------------------------------------------------------------------------------------------------------------------------------------------------------------------------------------------------------------------------------------------------------------------------------------------------------------------------------------------------------------------------------------------------------------------------------------------------------------------------------------------------------------------------------------------------------------------------------------------------------------------------------------------------------------------------------------------------------------</w:t>
      </w:r>
      <w:r w:rsidR="00B47408">
        <w:rPr>
          <w:rFonts w:eastAsia="Palatino Linotype" w:cs="Palatino Linotype"/>
          <w:color w:val="000000"/>
          <w:szCs w:val="24"/>
        </w:rPr>
        <w:t>------------------------------------------------------------------------------------------------------------------------------------------------------------------------------------------------------------------------------------------</w:t>
      </w:r>
      <w:r w:rsidR="0011108B">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56FBB" w14:textId="77777777" w:rsidR="0015549B" w:rsidRDefault="0015549B" w:rsidP="00F2498E">
      <w:pPr>
        <w:spacing w:line="240" w:lineRule="auto"/>
      </w:pPr>
      <w:r>
        <w:separator/>
      </w:r>
    </w:p>
  </w:endnote>
  <w:endnote w:type="continuationSeparator" w:id="0">
    <w:p w14:paraId="64EBC185" w14:textId="77777777" w:rsidR="0015549B" w:rsidRDefault="0015549B" w:rsidP="00F2498E">
      <w:pPr>
        <w:spacing w:line="240" w:lineRule="auto"/>
      </w:pPr>
      <w:r>
        <w:continuationSeparator/>
      </w:r>
    </w:p>
  </w:endnote>
  <w:endnote w:type="continuationNotice" w:id="1">
    <w:p w14:paraId="22A9A300" w14:textId="77777777" w:rsidR="0015549B" w:rsidRDefault="001554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B07742" w:rsidRPr="00871A91" w:rsidRDefault="00B077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51C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51CC">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B07742" w:rsidRPr="00871A91" w:rsidRDefault="00B0774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51C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51CC">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2AD4B" w14:textId="77777777" w:rsidR="0015549B" w:rsidRDefault="0015549B" w:rsidP="00F2498E">
      <w:pPr>
        <w:spacing w:line="240" w:lineRule="auto"/>
      </w:pPr>
      <w:r>
        <w:separator/>
      </w:r>
    </w:p>
  </w:footnote>
  <w:footnote w:type="continuationSeparator" w:id="0">
    <w:p w14:paraId="30785B52" w14:textId="77777777" w:rsidR="0015549B" w:rsidRDefault="0015549B" w:rsidP="00F2498E">
      <w:pPr>
        <w:spacing w:line="240" w:lineRule="auto"/>
      </w:pPr>
      <w:r>
        <w:continuationSeparator/>
      </w:r>
    </w:p>
  </w:footnote>
  <w:footnote w:type="continuationNotice" w:id="1">
    <w:p w14:paraId="7D18BCCE" w14:textId="77777777" w:rsidR="0015549B" w:rsidRDefault="0015549B">
      <w:pPr>
        <w:spacing w:line="240" w:lineRule="auto"/>
      </w:pPr>
    </w:p>
  </w:footnote>
  <w:footnote w:id="2">
    <w:p w14:paraId="2348F3B8" w14:textId="77777777" w:rsidR="00B07742" w:rsidRPr="0031280C" w:rsidRDefault="00B0774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B07742" w:rsidRPr="0031280C" w:rsidRDefault="00B0774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B07742" w:rsidRPr="0031280C" w:rsidRDefault="00B0774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B07742" w:rsidRPr="0031280C" w:rsidRDefault="00B0774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5369E1A" w14:textId="20F95EE4" w:rsidR="00B84191" w:rsidRDefault="00B84191">
      <w:pPr>
        <w:pStyle w:val="Textonotapie"/>
      </w:pPr>
      <w:r>
        <w:rPr>
          <w:rStyle w:val="Refdenotaalpie"/>
        </w:rPr>
        <w:footnoteRef/>
      </w:r>
      <w:r>
        <w:t xml:space="preserve"> Actualmente dicho artículo se encuentra derogado conforme al Decreto Número 212 publicado en el Periódico Oficial Gaceta del Gobierno el día veintidós de noviembre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07742" w:rsidRDefault="000151CC">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7742" w:rsidRPr="00B17577" w14:paraId="37B9EBDE" w14:textId="77777777" w:rsidTr="003938ED">
      <w:trPr>
        <w:trHeight w:val="227"/>
      </w:trPr>
      <w:tc>
        <w:tcPr>
          <w:tcW w:w="5103" w:type="dxa"/>
          <w:hideMark/>
        </w:tcPr>
        <w:p w14:paraId="4964FBC5" w14:textId="54CDA645" w:rsidR="00B07742" w:rsidRPr="00096248" w:rsidRDefault="00B0774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34C227B" w:rsidR="00B07742" w:rsidRPr="00096248" w:rsidRDefault="00B07742" w:rsidP="00011C4D">
          <w:pPr>
            <w:spacing w:after="120" w:line="240" w:lineRule="auto"/>
            <w:ind w:right="71"/>
            <w:jc w:val="right"/>
            <w:rPr>
              <w:rFonts w:cs="Arial"/>
              <w:b/>
              <w:szCs w:val="24"/>
            </w:rPr>
          </w:pPr>
          <w:r>
            <w:rPr>
              <w:rFonts w:cs="Arial"/>
              <w:b/>
              <w:bCs/>
              <w:szCs w:val="24"/>
            </w:rPr>
            <w:t>03</w:t>
          </w:r>
          <w:r w:rsidR="00077748">
            <w:rPr>
              <w:rFonts w:cs="Arial"/>
              <w:b/>
              <w:bCs/>
              <w:szCs w:val="24"/>
            </w:rPr>
            <w:t>22</w:t>
          </w:r>
          <w:r>
            <w:rPr>
              <w:rFonts w:cs="Arial"/>
              <w:b/>
              <w:bCs/>
              <w:szCs w:val="24"/>
            </w:rPr>
            <w:t>0</w:t>
          </w:r>
          <w:r w:rsidRPr="00096248">
            <w:rPr>
              <w:rFonts w:cs="Arial"/>
              <w:b/>
              <w:bCs/>
              <w:szCs w:val="24"/>
            </w:rPr>
            <w:t>/INFOEM/IP/RR/202</w:t>
          </w:r>
          <w:r>
            <w:rPr>
              <w:rFonts w:cs="Arial"/>
              <w:b/>
              <w:bCs/>
              <w:szCs w:val="24"/>
            </w:rPr>
            <w:t>3</w:t>
          </w:r>
        </w:p>
      </w:tc>
    </w:tr>
    <w:tr w:rsidR="00B07742" w14:paraId="7591D3C9" w14:textId="77777777" w:rsidTr="003938ED">
      <w:trPr>
        <w:trHeight w:val="242"/>
      </w:trPr>
      <w:tc>
        <w:tcPr>
          <w:tcW w:w="5103" w:type="dxa"/>
          <w:hideMark/>
        </w:tcPr>
        <w:p w14:paraId="729A65A8" w14:textId="77777777" w:rsidR="00B07742" w:rsidRPr="00096248" w:rsidRDefault="00B0774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8D8E067" w:rsidR="00B07742" w:rsidRPr="00096248" w:rsidRDefault="00B07742" w:rsidP="00011C4D">
          <w:pPr>
            <w:spacing w:after="120" w:line="240" w:lineRule="auto"/>
            <w:ind w:left="-81" w:right="71"/>
            <w:jc w:val="right"/>
            <w:rPr>
              <w:rFonts w:cs="Arial"/>
              <w:szCs w:val="24"/>
            </w:rPr>
          </w:pPr>
          <w:r>
            <w:rPr>
              <w:rFonts w:cs="Arial"/>
              <w:szCs w:val="24"/>
            </w:rPr>
            <w:t xml:space="preserve">Ayuntamiento de </w:t>
          </w:r>
          <w:r w:rsidR="00077748">
            <w:rPr>
              <w:rFonts w:cs="Arial"/>
              <w:szCs w:val="24"/>
            </w:rPr>
            <w:t>Melchor Ocampo</w:t>
          </w:r>
        </w:p>
      </w:tc>
    </w:tr>
    <w:tr w:rsidR="00B07742" w:rsidRPr="00F63239" w14:paraId="037E914D" w14:textId="77777777" w:rsidTr="003938ED">
      <w:trPr>
        <w:trHeight w:val="342"/>
      </w:trPr>
      <w:tc>
        <w:tcPr>
          <w:tcW w:w="5103" w:type="dxa"/>
          <w:hideMark/>
        </w:tcPr>
        <w:p w14:paraId="7676B68F" w14:textId="64D69EAF" w:rsidR="00B07742" w:rsidRPr="00096248" w:rsidRDefault="00B0774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B07742" w:rsidRDefault="00B0774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B07742" w:rsidRPr="00711916" w:rsidRDefault="00B07742" w:rsidP="00011C4D">
          <w:pPr>
            <w:spacing w:after="120" w:line="240" w:lineRule="auto"/>
            <w:ind w:left="-486" w:right="71" w:firstLine="567"/>
            <w:jc w:val="right"/>
            <w:rPr>
              <w:rFonts w:cs="Arial"/>
              <w:sz w:val="2"/>
              <w:szCs w:val="2"/>
            </w:rPr>
          </w:pPr>
        </w:p>
      </w:tc>
    </w:tr>
  </w:tbl>
  <w:p w14:paraId="2998DBFD" w14:textId="25A9F426" w:rsidR="00B07742" w:rsidRPr="00871A91" w:rsidRDefault="000151CC">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B0774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07742" w14:paraId="0F9FE9B6" w14:textId="77777777" w:rsidTr="003938ED">
      <w:trPr>
        <w:trHeight w:val="227"/>
      </w:trPr>
      <w:tc>
        <w:tcPr>
          <w:tcW w:w="5103" w:type="dxa"/>
          <w:hideMark/>
        </w:tcPr>
        <w:p w14:paraId="6D1D9D71" w14:textId="11150E5A" w:rsidR="00B07742" w:rsidRPr="00663A37" w:rsidRDefault="00B0774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7C74549" w:rsidR="00B07742" w:rsidRPr="00C81ECD" w:rsidRDefault="00B07742" w:rsidP="00011C4D">
          <w:pPr>
            <w:spacing w:after="120" w:line="240" w:lineRule="auto"/>
            <w:ind w:left="-486" w:right="68" w:firstLine="558"/>
            <w:jc w:val="right"/>
            <w:rPr>
              <w:rFonts w:cs="Arial"/>
              <w:b/>
              <w:szCs w:val="24"/>
            </w:rPr>
          </w:pPr>
          <w:r>
            <w:rPr>
              <w:rFonts w:cs="Arial"/>
              <w:b/>
              <w:bCs/>
              <w:szCs w:val="24"/>
            </w:rPr>
            <w:t>03</w:t>
          </w:r>
          <w:r w:rsidR="00077748">
            <w:rPr>
              <w:rFonts w:cs="Arial"/>
              <w:b/>
              <w:bCs/>
              <w:szCs w:val="24"/>
            </w:rPr>
            <w:t>22</w:t>
          </w:r>
          <w:r>
            <w:rPr>
              <w:rFonts w:cs="Arial"/>
              <w:b/>
              <w:bCs/>
              <w:szCs w:val="24"/>
            </w:rPr>
            <w:t>0/INFOEM/IP/RR/2023</w:t>
          </w:r>
        </w:p>
      </w:tc>
    </w:tr>
    <w:tr w:rsidR="00B07742" w:rsidRPr="001F57CD" w14:paraId="1377D264" w14:textId="77777777" w:rsidTr="003938ED">
      <w:trPr>
        <w:trHeight w:val="196"/>
      </w:trPr>
      <w:tc>
        <w:tcPr>
          <w:tcW w:w="5103" w:type="dxa"/>
          <w:hideMark/>
        </w:tcPr>
        <w:p w14:paraId="04D597A1" w14:textId="77777777" w:rsidR="00B07742" w:rsidRPr="00663A37" w:rsidRDefault="00B0774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D587D7F" w:rsidR="00B07742" w:rsidRPr="00663A37" w:rsidRDefault="000151CC" w:rsidP="00657695">
          <w:pPr>
            <w:spacing w:after="120" w:line="240" w:lineRule="auto"/>
            <w:ind w:right="68"/>
            <w:jc w:val="right"/>
            <w:rPr>
              <w:rFonts w:cs="Arial"/>
              <w:szCs w:val="24"/>
            </w:rPr>
          </w:pPr>
          <w:r>
            <w:rPr>
              <w:rFonts w:cs="Arial"/>
              <w:szCs w:val="24"/>
            </w:rPr>
            <w:t>XXXXXXXXXXXXXXXX</w:t>
          </w:r>
        </w:p>
      </w:tc>
    </w:tr>
    <w:tr w:rsidR="00B07742" w14:paraId="4DC11993" w14:textId="77777777" w:rsidTr="003938ED">
      <w:trPr>
        <w:trHeight w:val="242"/>
      </w:trPr>
      <w:tc>
        <w:tcPr>
          <w:tcW w:w="5103" w:type="dxa"/>
          <w:hideMark/>
        </w:tcPr>
        <w:p w14:paraId="76CEF1B5" w14:textId="77777777" w:rsidR="00B07742" w:rsidRPr="00663A37" w:rsidRDefault="00B0774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45E71A9" w:rsidR="00B07742" w:rsidRPr="00663A37" w:rsidRDefault="00B07742" w:rsidP="00011C4D">
          <w:pPr>
            <w:spacing w:after="120" w:line="240" w:lineRule="auto"/>
            <w:ind w:left="-70" w:right="68"/>
            <w:jc w:val="right"/>
            <w:rPr>
              <w:rFonts w:cs="Arial"/>
              <w:szCs w:val="24"/>
            </w:rPr>
          </w:pPr>
          <w:r>
            <w:rPr>
              <w:rFonts w:cs="Arial"/>
              <w:szCs w:val="24"/>
            </w:rPr>
            <w:t xml:space="preserve">Ayuntamiento de </w:t>
          </w:r>
          <w:r w:rsidR="00077748">
            <w:rPr>
              <w:rFonts w:cs="Arial"/>
              <w:szCs w:val="24"/>
            </w:rPr>
            <w:t>Melchor Ocampo</w:t>
          </w:r>
        </w:p>
      </w:tc>
    </w:tr>
    <w:tr w:rsidR="00B07742" w14:paraId="5C2B511D" w14:textId="77777777" w:rsidTr="003938ED">
      <w:trPr>
        <w:trHeight w:val="342"/>
      </w:trPr>
      <w:tc>
        <w:tcPr>
          <w:tcW w:w="5103" w:type="dxa"/>
          <w:hideMark/>
        </w:tcPr>
        <w:p w14:paraId="03FEF68C" w14:textId="45E91CF4" w:rsidR="00B07742" w:rsidRPr="00663A37" w:rsidRDefault="00B0774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07742" w:rsidRPr="00663A37" w:rsidRDefault="00B0774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B07742" w:rsidRPr="00871A91" w:rsidRDefault="000151CC">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B0774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11800"/>
    <w:multiLevelType w:val="hybridMultilevel"/>
    <w:tmpl w:val="F8045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FE7676"/>
    <w:multiLevelType w:val="hybridMultilevel"/>
    <w:tmpl w:val="BB68321E"/>
    <w:lvl w:ilvl="0" w:tplc="1ED434A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1907C6"/>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96787E"/>
    <w:multiLevelType w:val="hybridMultilevel"/>
    <w:tmpl w:val="A26EDEF0"/>
    <w:lvl w:ilvl="0" w:tplc="20C0C424">
      <w:start w:val="1"/>
      <w:numFmt w:val="upperRoman"/>
      <w:lvlText w:val="%1."/>
      <w:lvlJc w:val="left"/>
      <w:pPr>
        <w:ind w:left="709" w:hanging="425"/>
      </w:pPr>
      <w:rPr>
        <w:rFonts w:hint="default"/>
        <w:lang w:val="es-ES_tradnl"/>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87D1A3D"/>
    <w:multiLevelType w:val="hybridMultilevel"/>
    <w:tmpl w:val="0A388702"/>
    <w:lvl w:ilvl="0" w:tplc="E73EBE4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69025C"/>
    <w:multiLevelType w:val="hybridMultilevel"/>
    <w:tmpl w:val="3CFC1450"/>
    <w:lvl w:ilvl="0" w:tplc="47923A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4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C7EB0"/>
    <w:multiLevelType w:val="hybridMultilevel"/>
    <w:tmpl w:val="E7A2D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1"/>
  </w:num>
  <w:num w:numId="3">
    <w:abstractNumId w:val="4"/>
  </w:num>
  <w:num w:numId="4">
    <w:abstractNumId w:val="34"/>
  </w:num>
  <w:num w:numId="5">
    <w:abstractNumId w:val="32"/>
  </w:num>
  <w:num w:numId="6">
    <w:abstractNumId w:val="9"/>
  </w:num>
  <w:num w:numId="7">
    <w:abstractNumId w:val="38"/>
  </w:num>
  <w:num w:numId="8">
    <w:abstractNumId w:val="48"/>
  </w:num>
  <w:num w:numId="9">
    <w:abstractNumId w:val="40"/>
  </w:num>
  <w:num w:numId="10">
    <w:abstractNumId w:val="3"/>
  </w:num>
  <w:num w:numId="11">
    <w:abstractNumId w:val="36"/>
  </w:num>
  <w:num w:numId="12">
    <w:abstractNumId w:val="10"/>
  </w:num>
  <w:num w:numId="13">
    <w:abstractNumId w:val="12"/>
  </w:num>
  <w:num w:numId="14">
    <w:abstractNumId w:val="33"/>
  </w:num>
  <w:num w:numId="15">
    <w:abstractNumId w:val="18"/>
  </w:num>
  <w:num w:numId="16">
    <w:abstractNumId w:val="43"/>
  </w:num>
  <w:num w:numId="17">
    <w:abstractNumId w:val="45"/>
  </w:num>
  <w:num w:numId="18">
    <w:abstractNumId w:val="1"/>
  </w:num>
  <w:num w:numId="19">
    <w:abstractNumId w:val="39"/>
  </w:num>
  <w:num w:numId="20">
    <w:abstractNumId w:val="8"/>
  </w:num>
  <w:num w:numId="21">
    <w:abstractNumId w:val="29"/>
  </w:num>
  <w:num w:numId="22">
    <w:abstractNumId w:val="2"/>
  </w:num>
  <w:num w:numId="23">
    <w:abstractNumId w:val="0"/>
  </w:num>
  <w:num w:numId="24">
    <w:abstractNumId w:val="16"/>
  </w:num>
  <w:num w:numId="25">
    <w:abstractNumId w:val="19"/>
  </w:num>
  <w:num w:numId="26">
    <w:abstractNumId w:val="17"/>
  </w:num>
  <w:num w:numId="27">
    <w:abstractNumId w:val="47"/>
  </w:num>
  <w:num w:numId="28">
    <w:abstractNumId w:val="44"/>
  </w:num>
  <w:num w:numId="29">
    <w:abstractNumId w:val="5"/>
  </w:num>
  <w:num w:numId="30">
    <w:abstractNumId w:val="31"/>
  </w:num>
  <w:num w:numId="31">
    <w:abstractNumId w:val="37"/>
  </w:num>
  <w:num w:numId="32">
    <w:abstractNumId w:val="20"/>
  </w:num>
  <w:num w:numId="33">
    <w:abstractNumId w:val="21"/>
  </w:num>
  <w:num w:numId="34">
    <w:abstractNumId w:val="35"/>
  </w:num>
  <w:num w:numId="35">
    <w:abstractNumId w:val="24"/>
  </w:num>
  <w:num w:numId="36">
    <w:abstractNumId w:val="25"/>
  </w:num>
  <w:num w:numId="37">
    <w:abstractNumId w:val="15"/>
  </w:num>
  <w:num w:numId="38">
    <w:abstractNumId w:val="11"/>
  </w:num>
  <w:num w:numId="39">
    <w:abstractNumId w:val="28"/>
  </w:num>
  <w:num w:numId="40">
    <w:abstractNumId w:val="14"/>
  </w:num>
  <w:num w:numId="41">
    <w:abstractNumId w:val="42"/>
  </w:num>
  <w:num w:numId="42">
    <w:abstractNumId w:val="46"/>
  </w:num>
  <w:num w:numId="43">
    <w:abstractNumId w:val="27"/>
  </w:num>
  <w:num w:numId="44">
    <w:abstractNumId w:val="26"/>
  </w:num>
  <w:num w:numId="45">
    <w:abstractNumId w:val="13"/>
  </w:num>
  <w:num w:numId="46">
    <w:abstractNumId w:val="30"/>
  </w:num>
  <w:num w:numId="47">
    <w:abstractNumId w:val="22"/>
  </w:num>
  <w:num w:numId="48">
    <w:abstractNumId w:val="6"/>
  </w:num>
  <w:num w:numId="4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1CC"/>
    <w:rsid w:val="00015487"/>
    <w:rsid w:val="000154CA"/>
    <w:rsid w:val="000171BE"/>
    <w:rsid w:val="00021122"/>
    <w:rsid w:val="00021165"/>
    <w:rsid w:val="00021A08"/>
    <w:rsid w:val="000221D0"/>
    <w:rsid w:val="00024A6D"/>
    <w:rsid w:val="00025560"/>
    <w:rsid w:val="00026582"/>
    <w:rsid w:val="00031BA3"/>
    <w:rsid w:val="000325A7"/>
    <w:rsid w:val="00032686"/>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748"/>
    <w:rsid w:val="00077A55"/>
    <w:rsid w:val="00077F28"/>
    <w:rsid w:val="000802BA"/>
    <w:rsid w:val="00082E5D"/>
    <w:rsid w:val="00083498"/>
    <w:rsid w:val="0008496A"/>
    <w:rsid w:val="0008591E"/>
    <w:rsid w:val="00085EA2"/>
    <w:rsid w:val="0008628E"/>
    <w:rsid w:val="000864CC"/>
    <w:rsid w:val="0008737D"/>
    <w:rsid w:val="00087AFB"/>
    <w:rsid w:val="00087F54"/>
    <w:rsid w:val="0009020C"/>
    <w:rsid w:val="00090297"/>
    <w:rsid w:val="00090A37"/>
    <w:rsid w:val="00092681"/>
    <w:rsid w:val="00092B31"/>
    <w:rsid w:val="00092D82"/>
    <w:rsid w:val="0009320C"/>
    <w:rsid w:val="0009328A"/>
    <w:rsid w:val="0009397B"/>
    <w:rsid w:val="00094B23"/>
    <w:rsid w:val="00094FD7"/>
    <w:rsid w:val="000951B9"/>
    <w:rsid w:val="00095F45"/>
    <w:rsid w:val="0009609D"/>
    <w:rsid w:val="00096248"/>
    <w:rsid w:val="000970B5"/>
    <w:rsid w:val="000A00BB"/>
    <w:rsid w:val="000A110B"/>
    <w:rsid w:val="000A1377"/>
    <w:rsid w:val="000A1D0D"/>
    <w:rsid w:val="000A1D2C"/>
    <w:rsid w:val="000A2CA6"/>
    <w:rsid w:val="000A2F65"/>
    <w:rsid w:val="000A3F41"/>
    <w:rsid w:val="000A4202"/>
    <w:rsid w:val="000A5EA1"/>
    <w:rsid w:val="000A7D80"/>
    <w:rsid w:val="000B1F27"/>
    <w:rsid w:val="000B2390"/>
    <w:rsid w:val="000B28CF"/>
    <w:rsid w:val="000B29E0"/>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03E"/>
    <w:rsid w:val="00103A9A"/>
    <w:rsid w:val="00103C89"/>
    <w:rsid w:val="00103D8C"/>
    <w:rsid w:val="001050A9"/>
    <w:rsid w:val="001059AF"/>
    <w:rsid w:val="001067FE"/>
    <w:rsid w:val="00107256"/>
    <w:rsid w:val="0011071D"/>
    <w:rsid w:val="001107C4"/>
    <w:rsid w:val="0011108B"/>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49B"/>
    <w:rsid w:val="00155CC6"/>
    <w:rsid w:val="00155F53"/>
    <w:rsid w:val="001564E3"/>
    <w:rsid w:val="00156699"/>
    <w:rsid w:val="001568D5"/>
    <w:rsid w:val="00156DAA"/>
    <w:rsid w:val="00157D2B"/>
    <w:rsid w:val="00160608"/>
    <w:rsid w:val="001624E8"/>
    <w:rsid w:val="0016322B"/>
    <w:rsid w:val="0016339A"/>
    <w:rsid w:val="0016392B"/>
    <w:rsid w:val="001641EC"/>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523"/>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245F"/>
    <w:rsid w:val="0022406E"/>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A17"/>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0A8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1B5E"/>
    <w:rsid w:val="002E2D8A"/>
    <w:rsid w:val="002E37DA"/>
    <w:rsid w:val="002E40AD"/>
    <w:rsid w:val="002E55C9"/>
    <w:rsid w:val="002E5AFA"/>
    <w:rsid w:val="002E5D59"/>
    <w:rsid w:val="002E72F0"/>
    <w:rsid w:val="002F368E"/>
    <w:rsid w:val="002F3AAF"/>
    <w:rsid w:val="002F40FF"/>
    <w:rsid w:val="002F5101"/>
    <w:rsid w:val="002F5C83"/>
    <w:rsid w:val="002F713F"/>
    <w:rsid w:val="002F799E"/>
    <w:rsid w:val="002F7D3E"/>
    <w:rsid w:val="002F7ED4"/>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447F"/>
    <w:rsid w:val="00315AE3"/>
    <w:rsid w:val="00315CA2"/>
    <w:rsid w:val="0031667E"/>
    <w:rsid w:val="00316A7B"/>
    <w:rsid w:val="003176D1"/>
    <w:rsid w:val="00321B9A"/>
    <w:rsid w:val="00324F09"/>
    <w:rsid w:val="00325BCB"/>
    <w:rsid w:val="00325C6E"/>
    <w:rsid w:val="003265D6"/>
    <w:rsid w:val="003275F8"/>
    <w:rsid w:val="0033070B"/>
    <w:rsid w:val="00331513"/>
    <w:rsid w:val="0033491A"/>
    <w:rsid w:val="00334F21"/>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157C"/>
    <w:rsid w:val="00381BAB"/>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06E"/>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0A73"/>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C2E"/>
    <w:rsid w:val="003F2491"/>
    <w:rsid w:val="003F308A"/>
    <w:rsid w:val="003F32E3"/>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556C"/>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679"/>
    <w:rsid w:val="00474C35"/>
    <w:rsid w:val="004750A1"/>
    <w:rsid w:val="004756C6"/>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04F"/>
    <w:rsid w:val="004B1A74"/>
    <w:rsid w:val="004B3514"/>
    <w:rsid w:val="004B37E3"/>
    <w:rsid w:val="004B3867"/>
    <w:rsid w:val="004B3EDF"/>
    <w:rsid w:val="004B4346"/>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156"/>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E7C8B"/>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55F"/>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0649"/>
    <w:rsid w:val="005A1C6D"/>
    <w:rsid w:val="005A1EA5"/>
    <w:rsid w:val="005A2CE7"/>
    <w:rsid w:val="005A2F92"/>
    <w:rsid w:val="005A40C1"/>
    <w:rsid w:val="005A43E7"/>
    <w:rsid w:val="005A4480"/>
    <w:rsid w:val="005A45B1"/>
    <w:rsid w:val="005A60E9"/>
    <w:rsid w:val="005A77E1"/>
    <w:rsid w:val="005A7E33"/>
    <w:rsid w:val="005B10CC"/>
    <w:rsid w:val="005B4E14"/>
    <w:rsid w:val="005B52A0"/>
    <w:rsid w:val="005B538B"/>
    <w:rsid w:val="005B5434"/>
    <w:rsid w:val="005B643F"/>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27D9"/>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14E"/>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129"/>
    <w:rsid w:val="00657595"/>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1705"/>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7FD"/>
    <w:rsid w:val="006E4B54"/>
    <w:rsid w:val="006E4C8D"/>
    <w:rsid w:val="006E5987"/>
    <w:rsid w:val="006E59C4"/>
    <w:rsid w:val="006E5CBF"/>
    <w:rsid w:val="006E5E9F"/>
    <w:rsid w:val="006E6076"/>
    <w:rsid w:val="006E6DD7"/>
    <w:rsid w:val="006E78FE"/>
    <w:rsid w:val="006E7985"/>
    <w:rsid w:val="006F0222"/>
    <w:rsid w:val="006F04A3"/>
    <w:rsid w:val="006F114C"/>
    <w:rsid w:val="006F1A99"/>
    <w:rsid w:val="006F22DE"/>
    <w:rsid w:val="006F428B"/>
    <w:rsid w:val="006F48A5"/>
    <w:rsid w:val="006F4C9E"/>
    <w:rsid w:val="006F52DF"/>
    <w:rsid w:val="006F676C"/>
    <w:rsid w:val="006F6AB6"/>
    <w:rsid w:val="006F7555"/>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0102"/>
    <w:rsid w:val="007327E4"/>
    <w:rsid w:val="00732AB3"/>
    <w:rsid w:val="007332CF"/>
    <w:rsid w:val="0073486B"/>
    <w:rsid w:val="00734FB5"/>
    <w:rsid w:val="00735D93"/>
    <w:rsid w:val="00736F47"/>
    <w:rsid w:val="00736F6B"/>
    <w:rsid w:val="00740ACC"/>
    <w:rsid w:val="00740DFE"/>
    <w:rsid w:val="007410C2"/>
    <w:rsid w:val="007411F0"/>
    <w:rsid w:val="0074208A"/>
    <w:rsid w:val="00743802"/>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77824"/>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759"/>
    <w:rsid w:val="007B28CF"/>
    <w:rsid w:val="007B363B"/>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2D8"/>
    <w:rsid w:val="007E0B5E"/>
    <w:rsid w:val="007E0C9C"/>
    <w:rsid w:val="007E0FE3"/>
    <w:rsid w:val="007E18F8"/>
    <w:rsid w:val="007E205A"/>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21E2"/>
    <w:rsid w:val="008151D2"/>
    <w:rsid w:val="00815716"/>
    <w:rsid w:val="00816C5A"/>
    <w:rsid w:val="00817344"/>
    <w:rsid w:val="00817678"/>
    <w:rsid w:val="0082049D"/>
    <w:rsid w:val="008217BC"/>
    <w:rsid w:val="00822BA1"/>
    <w:rsid w:val="00822DED"/>
    <w:rsid w:val="00823D90"/>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72B"/>
    <w:rsid w:val="00841963"/>
    <w:rsid w:val="00845B52"/>
    <w:rsid w:val="00846D3E"/>
    <w:rsid w:val="00846DE7"/>
    <w:rsid w:val="008477B9"/>
    <w:rsid w:val="00847C27"/>
    <w:rsid w:val="008505FB"/>
    <w:rsid w:val="00851748"/>
    <w:rsid w:val="008523FA"/>
    <w:rsid w:val="008529E6"/>
    <w:rsid w:val="00852CDD"/>
    <w:rsid w:val="008542A4"/>
    <w:rsid w:val="0085493E"/>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7E2"/>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626"/>
    <w:rsid w:val="008B06BA"/>
    <w:rsid w:val="008B0DFB"/>
    <w:rsid w:val="008B2951"/>
    <w:rsid w:val="008B2BBB"/>
    <w:rsid w:val="008B389B"/>
    <w:rsid w:val="008B3EFD"/>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C6360"/>
    <w:rsid w:val="008D0ADE"/>
    <w:rsid w:val="008D0EE2"/>
    <w:rsid w:val="008D29AF"/>
    <w:rsid w:val="008D2D8F"/>
    <w:rsid w:val="008D344B"/>
    <w:rsid w:val="008D346A"/>
    <w:rsid w:val="008D370B"/>
    <w:rsid w:val="008D41FC"/>
    <w:rsid w:val="008D4DD5"/>
    <w:rsid w:val="008D4ED9"/>
    <w:rsid w:val="008D5835"/>
    <w:rsid w:val="008D6B04"/>
    <w:rsid w:val="008D72B9"/>
    <w:rsid w:val="008E2254"/>
    <w:rsid w:val="008E2654"/>
    <w:rsid w:val="008E35F3"/>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A28"/>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2B33"/>
    <w:rsid w:val="009453A6"/>
    <w:rsid w:val="00945CE6"/>
    <w:rsid w:val="009464A3"/>
    <w:rsid w:val="00946522"/>
    <w:rsid w:val="00946796"/>
    <w:rsid w:val="00950969"/>
    <w:rsid w:val="009511AA"/>
    <w:rsid w:val="0095183B"/>
    <w:rsid w:val="00951E25"/>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4C3"/>
    <w:rsid w:val="009755CD"/>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0F6"/>
    <w:rsid w:val="009A7F00"/>
    <w:rsid w:val="009B139E"/>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6D1D"/>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2D9D"/>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EE4"/>
    <w:rsid w:val="00A51D25"/>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115C"/>
    <w:rsid w:val="00AF434D"/>
    <w:rsid w:val="00AF4EE4"/>
    <w:rsid w:val="00AF5B98"/>
    <w:rsid w:val="00B0036F"/>
    <w:rsid w:val="00B00C8E"/>
    <w:rsid w:val="00B02674"/>
    <w:rsid w:val="00B02AA5"/>
    <w:rsid w:val="00B045EC"/>
    <w:rsid w:val="00B04F50"/>
    <w:rsid w:val="00B05CA6"/>
    <w:rsid w:val="00B07742"/>
    <w:rsid w:val="00B1073D"/>
    <w:rsid w:val="00B11CD7"/>
    <w:rsid w:val="00B1205D"/>
    <w:rsid w:val="00B128F0"/>
    <w:rsid w:val="00B13307"/>
    <w:rsid w:val="00B1367C"/>
    <w:rsid w:val="00B13B7B"/>
    <w:rsid w:val="00B15202"/>
    <w:rsid w:val="00B1553A"/>
    <w:rsid w:val="00B17577"/>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1A2E"/>
    <w:rsid w:val="00B42083"/>
    <w:rsid w:val="00B42270"/>
    <w:rsid w:val="00B427A9"/>
    <w:rsid w:val="00B42A26"/>
    <w:rsid w:val="00B43455"/>
    <w:rsid w:val="00B435F8"/>
    <w:rsid w:val="00B4620E"/>
    <w:rsid w:val="00B46CB0"/>
    <w:rsid w:val="00B4725D"/>
    <w:rsid w:val="00B47408"/>
    <w:rsid w:val="00B52A3F"/>
    <w:rsid w:val="00B539AD"/>
    <w:rsid w:val="00B5462A"/>
    <w:rsid w:val="00B54BC7"/>
    <w:rsid w:val="00B54E24"/>
    <w:rsid w:val="00B565AE"/>
    <w:rsid w:val="00B56C15"/>
    <w:rsid w:val="00B57348"/>
    <w:rsid w:val="00B61934"/>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191"/>
    <w:rsid w:val="00B84A8A"/>
    <w:rsid w:val="00B87C64"/>
    <w:rsid w:val="00B87E47"/>
    <w:rsid w:val="00B91A82"/>
    <w:rsid w:val="00B9279C"/>
    <w:rsid w:val="00B934BE"/>
    <w:rsid w:val="00B93569"/>
    <w:rsid w:val="00B94B37"/>
    <w:rsid w:val="00B95178"/>
    <w:rsid w:val="00B9576A"/>
    <w:rsid w:val="00B962BB"/>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B7DF0"/>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2D09"/>
    <w:rsid w:val="00BE346A"/>
    <w:rsid w:val="00BE46DF"/>
    <w:rsid w:val="00BE635E"/>
    <w:rsid w:val="00BE6364"/>
    <w:rsid w:val="00BE6D71"/>
    <w:rsid w:val="00BE718D"/>
    <w:rsid w:val="00BE7A12"/>
    <w:rsid w:val="00BE7ADF"/>
    <w:rsid w:val="00BE7CAE"/>
    <w:rsid w:val="00BE7D4F"/>
    <w:rsid w:val="00BF5945"/>
    <w:rsid w:val="00BF5C5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3568"/>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2A72"/>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10C"/>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1F91"/>
    <w:rsid w:val="00D44AD8"/>
    <w:rsid w:val="00D4515E"/>
    <w:rsid w:val="00D4521D"/>
    <w:rsid w:val="00D45819"/>
    <w:rsid w:val="00D46397"/>
    <w:rsid w:val="00D464F2"/>
    <w:rsid w:val="00D50F44"/>
    <w:rsid w:val="00D52933"/>
    <w:rsid w:val="00D52C36"/>
    <w:rsid w:val="00D52FF0"/>
    <w:rsid w:val="00D537E5"/>
    <w:rsid w:val="00D5591C"/>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77C21"/>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7B"/>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58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27A9D"/>
    <w:rsid w:val="00E31001"/>
    <w:rsid w:val="00E314BF"/>
    <w:rsid w:val="00E328C4"/>
    <w:rsid w:val="00E34A4E"/>
    <w:rsid w:val="00E35198"/>
    <w:rsid w:val="00E35AA6"/>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2D4B"/>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B57"/>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1397"/>
    <w:rsid w:val="00ED28F4"/>
    <w:rsid w:val="00ED2D91"/>
    <w:rsid w:val="00ED30A9"/>
    <w:rsid w:val="00ED3204"/>
    <w:rsid w:val="00ED3FD9"/>
    <w:rsid w:val="00ED42D5"/>
    <w:rsid w:val="00ED43C6"/>
    <w:rsid w:val="00ED52D1"/>
    <w:rsid w:val="00ED5476"/>
    <w:rsid w:val="00ED62D1"/>
    <w:rsid w:val="00ED7413"/>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1B8"/>
    <w:rsid w:val="00F04A95"/>
    <w:rsid w:val="00F058D3"/>
    <w:rsid w:val="00F10A38"/>
    <w:rsid w:val="00F1176A"/>
    <w:rsid w:val="00F11FF3"/>
    <w:rsid w:val="00F12BF1"/>
    <w:rsid w:val="00F12F4D"/>
    <w:rsid w:val="00F12FB0"/>
    <w:rsid w:val="00F13A10"/>
    <w:rsid w:val="00F16039"/>
    <w:rsid w:val="00F1603A"/>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3053"/>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AE31C2"/>
    <w:pPr>
      <w:numPr>
        <w:numId w:val="37"/>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45"/>
      </w:numPr>
    </w:pPr>
  </w:style>
  <w:style w:type="character" w:customStyle="1" w:styleId="UnresolvedMention">
    <w:name w:val="Unresolved Mention"/>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1AABD-E72D-48DF-9C5D-71B2881E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39</Pages>
  <Words>10769</Words>
  <Characters>59233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56</cp:revision>
  <cp:lastPrinted>2024-01-26T01:29:00Z</cp:lastPrinted>
  <dcterms:created xsi:type="dcterms:W3CDTF">2023-10-09T22:26:00Z</dcterms:created>
  <dcterms:modified xsi:type="dcterms:W3CDTF">2024-01-31T23:26:00Z</dcterms:modified>
</cp:coreProperties>
</file>