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94630"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noviembre de dos mil veinticuatro. </w:t>
      </w:r>
    </w:p>
    <w:p w14:paraId="6FC68723" w14:textId="053226E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VISTO</w:t>
      </w:r>
      <w:r w:rsidRPr="004827EF">
        <w:rPr>
          <w:rFonts w:ascii="Palatino Linotype" w:eastAsia="Palatino Linotype" w:hAnsi="Palatino Linotype" w:cs="Palatino Linotype"/>
        </w:rPr>
        <w:t xml:space="preserve"> el expediente formado con motivo del recurso de revisión </w:t>
      </w:r>
      <w:r w:rsidRPr="004827EF">
        <w:rPr>
          <w:rFonts w:ascii="Palatino Linotype" w:eastAsia="Palatino Linotype" w:hAnsi="Palatino Linotype" w:cs="Palatino Linotype"/>
          <w:b/>
        </w:rPr>
        <w:t>05719/INFOEM/IP/RR/2024</w:t>
      </w:r>
      <w:r w:rsidRPr="004827EF">
        <w:rPr>
          <w:rFonts w:ascii="Palatino Linotype" w:eastAsia="Palatino Linotype" w:hAnsi="Palatino Linotype" w:cs="Palatino Linotype"/>
        </w:rPr>
        <w:t>, interpuesto por</w:t>
      </w:r>
      <w:r w:rsidRPr="004827EF">
        <w:rPr>
          <w:rFonts w:ascii="Palatino Linotype" w:eastAsia="Palatino Linotype" w:hAnsi="Palatino Linotype" w:cs="Palatino Linotype"/>
          <w:b/>
        </w:rPr>
        <w:t xml:space="preserve"> </w:t>
      </w:r>
      <w:r w:rsidR="00E505A8">
        <w:rPr>
          <w:rFonts w:ascii="Palatino Linotype" w:eastAsia="Palatino Linotype" w:hAnsi="Palatino Linotype" w:cs="Palatino Linotype"/>
          <w:b/>
          <w:sz w:val="22"/>
          <w:szCs w:val="22"/>
        </w:rPr>
        <w:t>XXXX XXXXXXXXX XXXXXX</w:t>
      </w:r>
      <w:r w:rsidRPr="004827EF">
        <w:rPr>
          <w:rFonts w:ascii="Palatino Linotype" w:eastAsia="Palatino Linotype" w:hAnsi="Palatino Linotype" w:cs="Palatino Linotype"/>
        </w:rPr>
        <w:t xml:space="preserve">, en lo sucesivo la parte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xml:space="preserve"> en contra de la respuesta a su solicitud de información con número de folio</w:t>
      </w:r>
      <w:r w:rsidRPr="004827EF">
        <w:rPr>
          <w:rFonts w:ascii="Palatino Linotype" w:eastAsia="Palatino Linotype" w:hAnsi="Palatino Linotype" w:cs="Palatino Linotype"/>
          <w:b/>
        </w:rPr>
        <w:t xml:space="preserve"> 00108/TEMOAYA/IP/2024, </w:t>
      </w:r>
      <w:r w:rsidRPr="004827EF">
        <w:rPr>
          <w:rFonts w:ascii="Palatino Linotype" w:eastAsia="Palatino Linotype" w:hAnsi="Palatino Linotype" w:cs="Palatino Linotype"/>
        </w:rPr>
        <w:t xml:space="preserve">por parte del </w:t>
      </w:r>
      <w:r w:rsidRPr="004827EF">
        <w:rPr>
          <w:rFonts w:ascii="Palatino Linotype" w:eastAsia="Palatino Linotype" w:hAnsi="Palatino Linotype" w:cs="Palatino Linotype"/>
          <w:b/>
        </w:rPr>
        <w:t xml:space="preserve">Ayuntamiento de Temoaya, </w:t>
      </w:r>
      <w:r w:rsidRPr="004827EF">
        <w:rPr>
          <w:rFonts w:ascii="Palatino Linotype" w:eastAsia="Palatino Linotype" w:hAnsi="Palatino Linotype" w:cs="Palatino Linotype"/>
        </w:rPr>
        <w:t xml:space="preserve">en lo sucesivo el </w:t>
      </w:r>
      <w:r w:rsidRPr="004827EF">
        <w:rPr>
          <w:rFonts w:ascii="Palatino Linotype" w:eastAsia="Palatino Linotype" w:hAnsi="Palatino Linotype" w:cs="Palatino Linotype"/>
          <w:b/>
        </w:rPr>
        <w:t xml:space="preserve">SUJETO OBLIGADO, </w:t>
      </w:r>
      <w:r w:rsidRPr="004827EF">
        <w:rPr>
          <w:rFonts w:ascii="Palatino Linotype" w:eastAsia="Palatino Linotype" w:hAnsi="Palatino Linotype" w:cs="Palatino Linotype"/>
        </w:rPr>
        <w:t xml:space="preserve">se procede a dictar la presente resolución con base en los siguientes: </w:t>
      </w:r>
    </w:p>
    <w:p w14:paraId="2E3B328A" w14:textId="77777777" w:rsidR="00BF22D2" w:rsidRPr="004827EF" w:rsidRDefault="00D63F3D">
      <w:pPr>
        <w:spacing w:before="240" w:after="240" w:line="360" w:lineRule="auto"/>
        <w:jc w:val="center"/>
        <w:rPr>
          <w:rFonts w:ascii="Palatino Linotype" w:eastAsia="Palatino Linotype" w:hAnsi="Palatino Linotype" w:cs="Palatino Linotype"/>
          <w:b/>
        </w:rPr>
      </w:pPr>
      <w:r w:rsidRPr="004827EF">
        <w:rPr>
          <w:rFonts w:ascii="Palatino Linotype" w:eastAsia="Palatino Linotype" w:hAnsi="Palatino Linotype" w:cs="Palatino Linotype"/>
          <w:b/>
        </w:rPr>
        <w:t>I. A N T E C E D E N T E S</w:t>
      </w:r>
    </w:p>
    <w:p w14:paraId="300EB678"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1. Solicitud de acceso a la información.</w:t>
      </w:r>
      <w:r w:rsidRPr="004827EF">
        <w:rPr>
          <w:rFonts w:ascii="Palatino Linotype" w:eastAsia="Palatino Linotype" w:hAnsi="Palatino Linotype" w:cs="Palatino Linotype"/>
        </w:rPr>
        <w:t xml:space="preserve"> Con fecha </w:t>
      </w:r>
      <w:r w:rsidRPr="004827EF">
        <w:rPr>
          <w:rFonts w:ascii="Palatino Linotype" w:eastAsia="Palatino Linotype" w:hAnsi="Palatino Linotype" w:cs="Palatino Linotype"/>
          <w:b/>
        </w:rPr>
        <w:t>veintisiete de agosto del dos mil veinticuatro,</w:t>
      </w:r>
      <w:r w:rsidRPr="004827EF">
        <w:rPr>
          <w:rFonts w:ascii="Palatino Linotype" w:eastAsia="Palatino Linotype" w:hAnsi="Palatino Linotype" w:cs="Palatino Linotype"/>
        </w:rPr>
        <w:t xml:space="preserve"> la parte </w:t>
      </w:r>
      <w:r w:rsidRPr="004827EF">
        <w:rPr>
          <w:rFonts w:ascii="Palatino Linotype" w:eastAsia="Palatino Linotype" w:hAnsi="Palatino Linotype" w:cs="Palatino Linotype"/>
          <w:b/>
        </w:rPr>
        <w:t xml:space="preserve">RECURRENTE </w:t>
      </w:r>
      <w:r w:rsidRPr="004827EF">
        <w:rPr>
          <w:rFonts w:ascii="Palatino Linotype" w:eastAsia="Palatino Linotype" w:hAnsi="Palatino Linotype" w:cs="Palatino Linotype"/>
        </w:rPr>
        <w:t xml:space="preserve">presentó, a través del Sistema de Acceso a la Información Mexiquense, en lo subsecuente el </w:t>
      </w:r>
      <w:r w:rsidRPr="004827EF">
        <w:rPr>
          <w:rFonts w:ascii="Palatino Linotype" w:eastAsia="Palatino Linotype" w:hAnsi="Palatino Linotype" w:cs="Palatino Linotype"/>
          <w:b/>
        </w:rPr>
        <w:t>SAIMEX,</w:t>
      </w:r>
      <w:r w:rsidRPr="004827EF">
        <w:rPr>
          <w:rFonts w:ascii="Palatino Linotype" w:eastAsia="Palatino Linotype" w:hAnsi="Palatino Linotype" w:cs="Palatino Linotype"/>
        </w:rPr>
        <w:t xml:space="preserve"> ante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la solicitud de acceso a la información pública, a la que se le asignó el número</w:t>
      </w:r>
      <w:r w:rsidRPr="004827EF">
        <w:rPr>
          <w:rFonts w:ascii="Palatino Linotype" w:eastAsia="Palatino Linotype" w:hAnsi="Palatino Linotype" w:cs="Palatino Linotype"/>
          <w:b/>
        </w:rPr>
        <w:t xml:space="preserve"> 00108/TEMOAYA/IP/2024, </w:t>
      </w:r>
      <w:r w:rsidRPr="004827EF">
        <w:rPr>
          <w:rFonts w:ascii="Palatino Linotype" w:eastAsia="Palatino Linotype" w:hAnsi="Palatino Linotype" w:cs="Palatino Linotype"/>
        </w:rPr>
        <w:t xml:space="preserve">mediante la cual requirió la información siguiente: </w:t>
      </w:r>
    </w:p>
    <w:p w14:paraId="3F7AE75F" w14:textId="77777777" w:rsidR="00BF22D2" w:rsidRPr="004827EF" w:rsidRDefault="00D63F3D">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4827EF">
        <w:rPr>
          <w:rFonts w:ascii="Palatino Linotype" w:eastAsia="Palatino Linotype" w:hAnsi="Palatino Linotype" w:cs="Palatino Linotype"/>
          <w:i/>
          <w:sz w:val="22"/>
          <w:szCs w:val="22"/>
        </w:rPr>
        <w:t xml:space="preserve">“Solicitud de Información sobre el Servicio de Recolección de Residuos Sólidos en el Municipio de Temoaya Recorridos de los camiones de basura en las diferentes localidades del municipio de Temoaya: Listado de localidades y sus respectivos recorridos. Frecuencia con la que pasan los camiones de basura en cada localidad (número de veces por semana). Días de la semana en que se realiza la recolección de basura en cada localidad. Horarios específicos de recolección para cada localidad. Inventario de camiones de basura del municipio de Temoaya: Número total de camiones o unidades de basura con las que cuenta el municipio. Distinción entre camiones propios y camiones rentados. Detalles de los camiones </w:t>
      </w:r>
      <w:r w:rsidRPr="004827EF">
        <w:rPr>
          <w:rFonts w:ascii="Palatino Linotype" w:eastAsia="Palatino Linotype" w:hAnsi="Palatino Linotype" w:cs="Palatino Linotype"/>
          <w:i/>
          <w:sz w:val="22"/>
          <w:szCs w:val="22"/>
        </w:rPr>
        <w:lastRenderedPageBreak/>
        <w:t xml:space="preserve">propios: Fecha de adquisición de cada camión. Costo de adquisición de cada camión. Detalles de los camiones rentados: Fecha desde la que se rentan. Nombre de la empresa o persona a quien se rentan. Costo de renta de cada camión. Duración del contrato de renta de cada camión. Características de cada camión de basura: Capacidad de carga: (en toneladas o metros cúbicos de residuos sólidos). Año de fabricación: Año en que se fabricó cada camión. Modelo: Modelo específico de cada camión. Tipo de camión: (por ejemplo, compactador, recolector lateral, recolector trasero, etc.). Condición actual del vehículo: Estado del camión (nuevo, usado, en reparación, fuera de servicio). Kilometraje actual: Total de kilómetros recorridos por cada camión. Tipo de combustible utilizado: (diésel, gasolina, gas natural, etc.). Consumo de combustible: Rendimiento promedio de combustible por kilómetro. Características técnicas adicionales: Número de ejes. Capacidad del motor (en caballos de fuerza). Equipamiento especial (como sistemas de compactación, elevadores hidráulicos, etc.). Mantenimiento: Frecuencia del mantenimiento (mensual, trimestral, etc.) y tipo de mantenimiento realizado. Años de vida útil restante: Estimación del tiempo que cada camión podrá seguir operando eficientemente. Infraestructura de recolección: Número y ubicación de contenedores de basura distribuidos en el municipio. Descripción de las estaciones de transferencia, si existen. Equipos de protección personal y herramientas disponibles para los trabajadores de recolección. Infraestructura adicional utilizada para el manejo y recolección de residuos (por ejemplo, puntos de acopio, instalaciones de reciclaje). Mantenimiento de la infraestructura: Frecuencia y tipo de mantenimiento realizado en los contenedores, estaciones de transferencia, y otros equipos. Personal asignado para la recolección de basura: Número total de personas asignadas para la recolección de basura. Puestos específicos (chofer, ayudante, supervisor, etc.). Sueldo neto y bruto de cada trabajador. Horario de trabajo del personal asignado (horas diarias y días de la semana). Experiencia y capacitación del personal (años de servicio, cursos de manejo de residuos, etc.). Dirección responsable del servicio de limpia, recolección y disposición final de residuos sólidos: Nombre y ubicación de la dirección encargada. Nombre del responsable o director del área. Datos de contacto (teléfono, correo electrónico). Presupuesto asignado al servicio de limpia, recolección y disposición final de residuos sólidos (2016-2024): Monto del presupuesto anual asignado a estas actividades desde el año 2016 hasta el año 2024. Desglose del presupuesto por rubros (adquisición de camiones, mantenimiento, sueldos, combustibles, renta de camiones, infraestructura, etc.). Fuente de los recursos (municipales, estatales, federales, otros). Variaciones o ajustes presupuestarios realizados en cada año. Justificación para los cambios en el presupuesto durante el periodo mencionado. Transferencia y disposición final de residuos sólidos: Destino final de los residuos sólidos una </w:t>
      </w:r>
      <w:r w:rsidRPr="004827EF">
        <w:rPr>
          <w:rFonts w:ascii="Palatino Linotype" w:eastAsia="Palatino Linotype" w:hAnsi="Palatino Linotype" w:cs="Palatino Linotype"/>
          <w:i/>
          <w:sz w:val="22"/>
          <w:szCs w:val="22"/>
        </w:rPr>
        <w:lastRenderedPageBreak/>
        <w:t xml:space="preserve">vez recolectados. Detalles del lugar o entidad a la que se transfieren los residuos (nombre, ubicación, tipo de instalación, etc.). Información sobre si la transferencia se realiza por contrato o convenio. Solicitud de copia del contrato o convenio de transferencia de residuos. Condiciones económicas de la transferencia: si se paga por el servicio o si se recibe alguna remuneración. Centros de acopio y depósitos específicos: Ubicación de centros de acopio de PET y depósitos de fierro en el municipio. Información sobre los convenios o contratos establecidos para el manejo de PET y depósitos de fierro. Detalles sobre la existencia de alguna remuneración al municipio por el manejo de estos materiales o si el municipio paga a terceros por llevárselos. Solicitud de copia de los convenios o contratos relacionados con estos centros de acopio y depósitos. Documentación de soporte: Solicito que se envíe toda la documentación que soporte las respuestas proporcionadas, </w:t>
      </w:r>
      <w:proofErr w:type="gramStart"/>
      <w:r w:rsidRPr="004827EF">
        <w:rPr>
          <w:rFonts w:ascii="Palatino Linotype" w:eastAsia="Palatino Linotype" w:hAnsi="Palatino Linotype" w:cs="Palatino Linotype"/>
          <w:i/>
          <w:sz w:val="22"/>
          <w:szCs w:val="22"/>
        </w:rPr>
        <w:t>incluyendo</w:t>
      </w:r>
      <w:proofErr w:type="gramEnd"/>
      <w:r w:rsidRPr="004827EF">
        <w:rPr>
          <w:rFonts w:ascii="Palatino Linotype" w:eastAsia="Palatino Linotype" w:hAnsi="Palatino Linotype" w:cs="Palatino Linotype"/>
          <w:i/>
          <w:sz w:val="22"/>
          <w:szCs w:val="22"/>
        </w:rPr>
        <w:t xml:space="preserve"> pero no limitándose a contratos, convenios, actas de compra, documentos presupuestarios, reportes de mantenimiento, registros de nómina, y cualquier otro documento relevante que avale la información proporcionada.” (Sic)</w:t>
      </w:r>
    </w:p>
    <w:p w14:paraId="690AEFD1" w14:textId="77777777" w:rsidR="00BF22D2" w:rsidRPr="004827EF" w:rsidRDefault="00BF22D2">
      <w:pPr>
        <w:spacing w:before="240"/>
        <w:ind w:left="851" w:right="902"/>
        <w:jc w:val="both"/>
        <w:rPr>
          <w:rFonts w:ascii="Palatino Linotype" w:eastAsia="Palatino Linotype" w:hAnsi="Palatino Linotype" w:cs="Palatino Linotype"/>
          <w:i/>
          <w:sz w:val="22"/>
          <w:szCs w:val="22"/>
        </w:rPr>
      </w:pPr>
    </w:p>
    <w:p w14:paraId="639F09A1"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Modalidad de Entrega:</w:t>
      </w:r>
      <w:r w:rsidRPr="004827EF">
        <w:rPr>
          <w:rFonts w:ascii="Palatino Linotype" w:eastAsia="Palatino Linotype" w:hAnsi="Palatino Linotype" w:cs="Palatino Linotype"/>
        </w:rPr>
        <w:t xml:space="preserve"> A través de SAIMEX.</w:t>
      </w:r>
    </w:p>
    <w:p w14:paraId="6741441F" w14:textId="77777777" w:rsidR="00BF22D2" w:rsidRPr="004827EF" w:rsidRDefault="00BF22D2">
      <w:pPr>
        <w:spacing w:line="360" w:lineRule="auto"/>
        <w:jc w:val="both"/>
        <w:rPr>
          <w:rFonts w:ascii="Palatino Linotype" w:eastAsia="Palatino Linotype" w:hAnsi="Palatino Linotype" w:cs="Palatino Linotype"/>
        </w:rPr>
      </w:pPr>
    </w:p>
    <w:p w14:paraId="4DDF42E9" w14:textId="77777777" w:rsidR="00BF22D2" w:rsidRPr="004827EF" w:rsidRDefault="00D63F3D">
      <w:pPr>
        <w:spacing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 xml:space="preserve">2. Respuesta. </w:t>
      </w:r>
      <w:r w:rsidRPr="004827EF">
        <w:rPr>
          <w:rFonts w:ascii="Palatino Linotype" w:eastAsia="Palatino Linotype" w:hAnsi="Palatino Linotype" w:cs="Palatino Linotype"/>
        </w:rPr>
        <w:t xml:space="preserve">Con fecha </w:t>
      </w:r>
      <w:r w:rsidRPr="004827EF">
        <w:rPr>
          <w:rFonts w:ascii="Palatino Linotype" w:eastAsia="Palatino Linotype" w:hAnsi="Palatino Linotype" w:cs="Palatino Linotype"/>
          <w:b/>
        </w:rPr>
        <w:t>dieciocho de septiembre de dos mil veinticuatro</w:t>
      </w:r>
      <w:r w:rsidRPr="004827EF">
        <w:rPr>
          <w:rFonts w:ascii="Palatino Linotype" w:eastAsia="Palatino Linotype" w:hAnsi="Palatino Linotype" w:cs="Palatino Linotype"/>
        </w:rPr>
        <w:t xml:space="preserve">, el </w:t>
      </w:r>
      <w:r w:rsidRPr="004827EF">
        <w:rPr>
          <w:rFonts w:ascii="Palatino Linotype" w:eastAsia="Palatino Linotype" w:hAnsi="Palatino Linotype" w:cs="Palatino Linotype"/>
          <w:b/>
        </w:rPr>
        <w:t xml:space="preserve">SUJETO OBLIGADO </w:t>
      </w:r>
      <w:r w:rsidRPr="004827E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916C2D5" w14:textId="77777777" w:rsidR="00BF22D2" w:rsidRPr="004827EF" w:rsidRDefault="00D63F3D">
      <w:pPr>
        <w:spacing w:line="360" w:lineRule="auto"/>
        <w:jc w:val="both"/>
        <w:rPr>
          <w:rFonts w:ascii="Palatino Linotype" w:eastAsia="Palatino Linotype" w:hAnsi="Palatino Linotype" w:cs="Palatino Linotype"/>
          <w:b/>
        </w:rPr>
      </w:pPr>
      <w:r w:rsidRPr="004827EF">
        <w:rPr>
          <w:rFonts w:ascii="Palatino Linotype" w:eastAsia="Palatino Linotype" w:hAnsi="Palatino Linotype" w:cs="Palatino Linotype"/>
        </w:rPr>
        <w:t xml:space="preserve"> </w:t>
      </w:r>
    </w:p>
    <w:p w14:paraId="493D2538"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“…Se adjunta en formato </w:t>
      </w:r>
      <w:proofErr w:type="spellStart"/>
      <w:r w:rsidRPr="004827EF">
        <w:rPr>
          <w:rFonts w:ascii="Palatino Linotype" w:eastAsia="Palatino Linotype" w:hAnsi="Palatino Linotype" w:cs="Palatino Linotype"/>
          <w:i/>
          <w:sz w:val="22"/>
          <w:szCs w:val="22"/>
        </w:rPr>
        <w:t>pdf</w:t>
      </w:r>
      <w:proofErr w:type="spellEnd"/>
      <w:r w:rsidRPr="004827EF">
        <w:rPr>
          <w:rFonts w:ascii="Palatino Linotype" w:eastAsia="Palatino Linotype" w:hAnsi="Palatino Linotype" w:cs="Palatino Linotype"/>
          <w:i/>
          <w:sz w:val="22"/>
          <w:szCs w:val="22"/>
        </w:rPr>
        <w:t>, la respuesta emitida por la Dirección de Servicios Públicos del Ayuntamiento de Temoaya...” (Sic)</w:t>
      </w:r>
    </w:p>
    <w:p w14:paraId="49C9A5E4" w14:textId="77777777" w:rsidR="00BF22D2" w:rsidRPr="004827EF" w:rsidRDefault="00BF22D2">
      <w:pPr>
        <w:spacing w:before="240"/>
        <w:ind w:left="851" w:right="902"/>
        <w:jc w:val="both"/>
        <w:rPr>
          <w:rFonts w:ascii="Palatino Linotype" w:eastAsia="Palatino Linotype" w:hAnsi="Palatino Linotype" w:cs="Palatino Linotype"/>
          <w:i/>
          <w:sz w:val="22"/>
          <w:szCs w:val="22"/>
        </w:rPr>
      </w:pPr>
    </w:p>
    <w:p w14:paraId="57EDFFC8"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adjuntó a su respuesta el archivo electrónico siguiente:</w:t>
      </w:r>
    </w:p>
    <w:p w14:paraId="607A8155"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w:t>
      </w:r>
      <w:hyperlink r:id="rId8">
        <w:r w:rsidRPr="004827EF">
          <w:rPr>
            <w:rFonts w:ascii="Palatino Linotype" w:eastAsia="Palatino Linotype" w:hAnsi="Palatino Linotype" w:cs="Palatino Linotype"/>
          </w:rPr>
          <w:t>DIRECCIÓN DE SERVICIOS PÚBLICOS.pdf</w:t>
        </w:r>
      </w:hyperlink>
      <w:r w:rsidRPr="004827EF">
        <w:rPr>
          <w:rFonts w:ascii="Palatino Linotype" w:eastAsia="Palatino Linotype" w:hAnsi="Palatino Linotype" w:cs="Palatino Linotype"/>
        </w:rPr>
        <w:t xml:space="preserve">”, el cual contiene el oficio número SP/367/2024, por medio del cual el </w:t>
      </w:r>
      <w:proofErr w:type="gramStart"/>
      <w:r w:rsidRPr="004827EF">
        <w:rPr>
          <w:rFonts w:ascii="Palatino Linotype" w:eastAsia="Palatino Linotype" w:hAnsi="Palatino Linotype" w:cs="Palatino Linotype"/>
        </w:rPr>
        <w:t>Director</w:t>
      </w:r>
      <w:proofErr w:type="gramEnd"/>
      <w:r w:rsidRPr="004827EF">
        <w:rPr>
          <w:rFonts w:ascii="Palatino Linotype" w:eastAsia="Palatino Linotype" w:hAnsi="Palatino Linotype" w:cs="Palatino Linotype"/>
        </w:rPr>
        <w:t xml:space="preserve"> de Servicios Públicos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informó lo siguiente:</w:t>
      </w:r>
    </w:p>
    <w:p w14:paraId="56C08660"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1.- Listado de Localidades y sus respectivos recorridos:</w:t>
      </w:r>
    </w:p>
    <w:p w14:paraId="32EFEB51"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noProof/>
          <w:lang w:val="es-MX"/>
        </w:rPr>
        <w:drawing>
          <wp:inline distT="0" distB="0" distL="0" distR="0" wp14:anchorId="2C19A4AC" wp14:editId="6ECF202A">
            <wp:extent cx="5612130" cy="3003550"/>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3003550"/>
                    </a:xfrm>
                    <a:prstGeom prst="rect">
                      <a:avLst/>
                    </a:prstGeom>
                    <a:ln/>
                  </pic:spPr>
                </pic:pic>
              </a:graphicData>
            </a:graphic>
          </wp:inline>
        </w:drawing>
      </w:r>
    </w:p>
    <w:p w14:paraId="39233F1E"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noProof/>
          <w:lang w:val="es-MX"/>
        </w:rPr>
        <w:drawing>
          <wp:inline distT="0" distB="0" distL="0" distR="0" wp14:anchorId="1B11E89E" wp14:editId="1915A488">
            <wp:extent cx="5612130" cy="3587750"/>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587750"/>
                    </a:xfrm>
                    <a:prstGeom prst="rect">
                      <a:avLst/>
                    </a:prstGeom>
                    <a:ln/>
                  </pic:spPr>
                </pic:pic>
              </a:graphicData>
            </a:graphic>
          </wp:inline>
        </w:drawing>
      </w:r>
    </w:p>
    <w:p w14:paraId="183940AF"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noProof/>
          <w:lang w:val="es-MX"/>
        </w:rPr>
        <w:lastRenderedPageBreak/>
        <w:drawing>
          <wp:inline distT="0" distB="0" distL="0" distR="0" wp14:anchorId="6E55B28C" wp14:editId="68AF8717">
            <wp:extent cx="5612130" cy="1822450"/>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1822450"/>
                    </a:xfrm>
                    <a:prstGeom prst="rect">
                      <a:avLst/>
                    </a:prstGeom>
                    <a:ln/>
                  </pic:spPr>
                </pic:pic>
              </a:graphicData>
            </a:graphic>
          </wp:inline>
        </w:drawing>
      </w:r>
    </w:p>
    <w:p w14:paraId="67734ACB"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Aclarando que no se tiene un horario específico para cada comunidad; sin </w:t>
      </w:r>
      <w:proofErr w:type="gramStart"/>
      <w:r w:rsidRPr="004827EF">
        <w:rPr>
          <w:rFonts w:ascii="Palatino Linotype" w:eastAsia="Palatino Linotype" w:hAnsi="Palatino Linotype" w:cs="Palatino Linotype"/>
        </w:rPr>
        <w:t>embargo</w:t>
      </w:r>
      <w:proofErr w:type="gramEnd"/>
      <w:r w:rsidRPr="004827EF">
        <w:rPr>
          <w:rFonts w:ascii="Palatino Linotype" w:eastAsia="Palatino Linotype" w:hAnsi="Palatino Linotype" w:cs="Palatino Linotype"/>
        </w:rPr>
        <w:t xml:space="preserve"> el horario estipulado en su contrato es de lunes a viernes de 8:00 a 17:00 horas.</w:t>
      </w:r>
    </w:p>
    <w:p w14:paraId="4D094A0D"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Por otra </w:t>
      </w:r>
      <w:proofErr w:type="gramStart"/>
      <w:r w:rsidRPr="004827EF">
        <w:rPr>
          <w:rFonts w:ascii="Palatino Linotype" w:eastAsia="Palatino Linotype" w:hAnsi="Palatino Linotype" w:cs="Palatino Linotype"/>
        </w:rPr>
        <w:t>parte</w:t>
      </w:r>
      <w:proofErr w:type="gramEnd"/>
      <w:r w:rsidRPr="004827EF">
        <w:rPr>
          <w:rFonts w:ascii="Palatino Linotype" w:eastAsia="Palatino Linotype" w:hAnsi="Palatino Linotype" w:cs="Palatino Linotype"/>
        </w:rPr>
        <w:t xml:space="preserve"> señaló que el Municipio cuenta con 13 unidades recolectora de residuos las cuales 6 son de renta y las otras pertenecen al Municipio.  </w:t>
      </w:r>
    </w:p>
    <w:p w14:paraId="786ABBAC"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En cuanto a los detalles de cada unidad como son de renta, etc., corresponde a informarlo a la Dirección de Administración y Desarrollo de Personal, proporcionando la siguiente información:</w:t>
      </w:r>
    </w:p>
    <w:p w14:paraId="31AEA55B"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noProof/>
          <w:lang w:val="es-MX"/>
        </w:rPr>
        <w:drawing>
          <wp:inline distT="0" distB="0" distL="0" distR="0" wp14:anchorId="30DE5C4A" wp14:editId="5D87620A">
            <wp:extent cx="5612130" cy="2819400"/>
            <wp:effectExtent l="0" t="0" r="0" b="0"/>
            <wp:docPr id="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12130" cy="2819400"/>
                    </a:xfrm>
                    <a:prstGeom prst="rect">
                      <a:avLst/>
                    </a:prstGeom>
                    <a:ln/>
                  </pic:spPr>
                </pic:pic>
              </a:graphicData>
            </a:graphic>
          </wp:inline>
        </w:drawing>
      </w:r>
    </w:p>
    <w:p w14:paraId="140A4EE1"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noProof/>
          <w:lang w:val="es-MX"/>
        </w:rPr>
        <w:lastRenderedPageBreak/>
        <w:drawing>
          <wp:inline distT="0" distB="0" distL="0" distR="0" wp14:anchorId="2DC90DB3" wp14:editId="151F4D5E">
            <wp:extent cx="5612130" cy="6452870"/>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12130" cy="6452870"/>
                    </a:xfrm>
                    <a:prstGeom prst="rect">
                      <a:avLst/>
                    </a:prstGeom>
                    <a:ln/>
                  </pic:spPr>
                </pic:pic>
              </a:graphicData>
            </a:graphic>
          </wp:inline>
        </w:drawing>
      </w:r>
    </w:p>
    <w:p w14:paraId="6A80D7C4"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Por otro </w:t>
      </w:r>
      <w:proofErr w:type="gramStart"/>
      <w:r w:rsidRPr="004827EF">
        <w:rPr>
          <w:rFonts w:ascii="Palatino Linotype" w:eastAsia="Palatino Linotype" w:hAnsi="Palatino Linotype" w:cs="Palatino Linotype"/>
        </w:rPr>
        <w:t>lado</w:t>
      </w:r>
      <w:proofErr w:type="gramEnd"/>
      <w:r w:rsidRPr="004827EF">
        <w:rPr>
          <w:rFonts w:ascii="Palatino Linotype" w:eastAsia="Palatino Linotype" w:hAnsi="Palatino Linotype" w:cs="Palatino Linotype"/>
        </w:rPr>
        <w:t xml:space="preserve"> informó que en el Municipio no se tiene estaciones de transferencias. </w:t>
      </w:r>
    </w:p>
    <w:p w14:paraId="6BE265B9"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También, precisó que el personal asignado a la cuadrilla de residuos sólidos urbanos es de 39 personas, de las cuales 13 son choferes y los restantes son ayudantes, cuyo salario bruto y neto, dicha información le corresponde a la Jefatura de Recursos Humanos.</w:t>
      </w:r>
    </w:p>
    <w:p w14:paraId="67655D25"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Asimismo, indicó que no se tiene como tal una capacitación, son personas que ya llevan muchos años como choferes y que la Dirección responsable es Servicios Públicos, proporcionando su dirección y correo electrónico oficial. </w:t>
      </w:r>
    </w:p>
    <w:p w14:paraId="36B346DC"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cuanto a los residuos sólidos recolectados, precisó que se llevan a un relleno sanitario en San Luis Mextepec, Municipio de Zinacantepec denominado “Mantenimiento y Servicios Ambientales S. A. de C. V.”, la transferencia es mediante un contrato, el cual obra en archivo de la Dirección de Administración y Desarrollo de Personal.  </w:t>
      </w:r>
    </w:p>
    <w:p w14:paraId="16B22769" w14:textId="77777777" w:rsidR="00BF22D2" w:rsidRPr="004827EF" w:rsidRDefault="00D63F3D">
      <w:pPr>
        <w:spacing w:before="240" w:after="240" w:line="360" w:lineRule="auto"/>
        <w:ind w:right="49"/>
        <w:jc w:val="both"/>
        <w:rPr>
          <w:rFonts w:ascii="Palatino Linotype" w:eastAsia="Palatino Linotype" w:hAnsi="Palatino Linotype" w:cs="Palatino Linotype"/>
        </w:rPr>
      </w:pPr>
      <w:proofErr w:type="gramStart"/>
      <w:r w:rsidRPr="004827EF">
        <w:rPr>
          <w:rFonts w:ascii="Palatino Linotype" w:eastAsia="Palatino Linotype" w:hAnsi="Palatino Linotype" w:cs="Palatino Linotype"/>
        </w:rPr>
        <w:t>Finalmente</w:t>
      </w:r>
      <w:proofErr w:type="gramEnd"/>
      <w:r w:rsidRPr="004827EF">
        <w:rPr>
          <w:rFonts w:ascii="Palatino Linotype" w:eastAsia="Palatino Linotype" w:hAnsi="Palatino Linotype" w:cs="Palatino Linotype"/>
        </w:rPr>
        <w:t xml:space="preserve"> en cuanto al presupuesto y ajustes presupuestarios, señaló que corresponde informarlo a la Tesorería Municipal. </w:t>
      </w:r>
    </w:p>
    <w:p w14:paraId="4B9EB78B"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b/>
        </w:rPr>
        <w:t xml:space="preserve">3. Interposición del recurso de revisión. </w:t>
      </w:r>
      <w:r w:rsidRPr="004827EF">
        <w:rPr>
          <w:rFonts w:ascii="Palatino Linotype" w:eastAsia="Palatino Linotype" w:hAnsi="Palatino Linotype" w:cs="Palatino Linotype"/>
        </w:rPr>
        <w:t xml:space="preserve">Inconforme con los términos de la respuesta emitida por parte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el </w:t>
      </w:r>
      <w:r w:rsidRPr="004827EF">
        <w:rPr>
          <w:rFonts w:ascii="Palatino Linotype" w:eastAsia="Palatino Linotype" w:hAnsi="Palatino Linotype" w:cs="Palatino Linotype"/>
          <w:b/>
        </w:rPr>
        <w:t>diecinueve de septiembre del dos mil veinticuatro,</w:t>
      </w:r>
      <w:r w:rsidRPr="004827EF">
        <w:rPr>
          <w:rFonts w:ascii="Palatino Linotype" w:eastAsia="Palatino Linotype" w:hAnsi="Palatino Linotype" w:cs="Palatino Linotype"/>
        </w:rPr>
        <w:t xml:space="preserve"> la parte recurrente interpuso el recurso de revisión a través de </w:t>
      </w:r>
      <w:r w:rsidRPr="004827EF">
        <w:rPr>
          <w:rFonts w:ascii="Palatino Linotype" w:eastAsia="Palatino Linotype" w:hAnsi="Palatino Linotype" w:cs="Palatino Linotype"/>
          <w:b/>
        </w:rPr>
        <w:t xml:space="preserve">SAIMEX, </w:t>
      </w:r>
      <w:r w:rsidRPr="004827EF">
        <w:rPr>
          <w:rFonts w:ascii="Palatino Linotype" w:eastAsia="Palatino Linotype" w:hAnsi="Palatino Linotype" w:cs="Palatino Linotype"/>
        </w:rPr>
        <w:t>en donde se manifestó de la siguiente manera:</w:t>
      </w:r>
    </w:p>
    <w:p w14:paraId="22F42584" w14:textId="77777777" w:rsidR="00BF22D2" w:rsidRPr="004827EF" w:rsidRDefault="00D63F3D">
      <w:pPr>
        <w:tabs>
          <w:tab w:val="left" w:pos="2745"/>
        </w:tabs>
        <w:spacing w:before="240" w:after="240" w:line="360" w:lineRule="auto"/>
        <w:jc w:val="both"/>
        <w:rPr>
          <w:rFonts w:ascii="Palatino Linotype" w:eastAsia="Palatino Linotype" w:hAnsi="Palatino Linotype" w:cs="Palatino Linotype"/>
          <w:b/>
        </w:rPr>
      </w:pPr>
      <w:r w:rsidRPr="004827EF">
        <w:rPr>
          <w:rFonts w:ascii="Palatino Linotype" w:eastAsia="Palatino Linotype" w:hAnsi="Palatino Linotype" w:cs="Palatino Linotype"/>
          <w:b/>
        </w:rPr>
        <w:t xml:space="preserve">Acto impugnado: </w:t>
      </w:r>
      <w:r w:rsidRPr="004827EF">
        <w:rPr>
          <w:rFonts w:ascii="Palatino Linotype" w:eastAsia="Palatino Linotype" w:hAnsi="Palatino Linotype" w:cs="Palatino Linotype"/>
          <w:b/>
        </w:rPr>
        <w:tab/>
      </w:r>
    </w:p>
    <w:p w14:paraId="0B500083"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“No responde la solicitud de </w:t>
      </w:r>
      <w:proofErr w:type="spellStart"/>
      <w:r w:rsidRPr="004827EF">
        <w:rPr>
          <w:rFonts w:ascii="Palatino Linotype" w:eastAsia="Palatino Linotype" w:hAnsi="Palatino Linotype" w:cs="Palatino Linotype"/>
          <w:i/>
          <w:sz w:val="22"/>
          <w:szCs w:val="22"/>
        </w:rPr>
        <w:t>transaprecia</w:t>
      </w:r>
      <w:proofErr w:type="spellEnd"/>
      <w:r w:rsidRPr="004827EF">
        <w:rPr>
          <w:rFonts w:ascii="Palatino Linotype" w:eastAsia="Palatino Linotype" w:hAnsi="Palatino Linotype" w:cs="Palatino Linotype"/>
          <w:i/>
          <w:sz w:val="22"/>
          <w:szCs w:val="22"/>
        </w:rPr>
        <w:t xml:space="preserve">, puede dar a entender que sus procesos no son transparentes y tienen un nivel de corrupción, por lo que se solicita nuevamente: Solicitud de Información sobre el Servicio de Recolección de Residuos Sólidos en el Municipio de Temoaya Recorridos de los camiones de </w:t>
      </w:r>
      <w:r w:rsidRPr="004827EF">
        <w:rPr>
          <w:rFonts w:ascii="Palatino Linotype" w:eastAsia="Palatino Linotype" w:hAnsi="Palatino Linotype" w:cs="Palatino Linotype"/>
          <w:i/>
          <w:sz w:val="22"/>
          <w:szCs w:val="22"/>
        </w:rPr>
        <w:lastRenderedPageBreak/>
        <w:t xml:space="preserve">basura en las diferentes localidades del municipio de Temoaya: Horarios específicos de recolección para cada localidad. Inventario de camiones de basura del municipio de Temoaya: Número total de camiones o unidades de basura con las que cuenta el municipio. Distinción entre camiones propios y camiones rentados. Detalles de los camiones propios: Fecha de adquisición de cada camión. Costo de adquisición de cada camión. Detalles de los camiones rentados: Fecha desde la que se rentan. Nombre de la empresa o persona a quien se rentan. Costo de renta de cada camión. Duración del contrato de renta de cada camión. Características de cada camión de basura: Capacidad de carga: (en toneladas o metros cúbicos de residuos sólidos). Año de fabricación: Año en que se fabricó cada camión. Modelo: Modelo específico de cada camión. Tipo de camión: (por ejemplo, compactador, recolector lateral, recolector trasero, etc.). Condición actual del vehículo: Estado del camión (nuevo, usado, en reparación, fuera de servicio). Kilometraje actual: Total de kilómetros recorridos por cada camión. Tipo de combustible utilizado: (diésel, gasolina, gas natural, etc.). Consumo de combustible: Rendimiento promedio de combustible por kilómetro. Características técnicas adicionales: Número de ejes. Capacidad del motor (en caballos de fuerza). Equipamiento especial (como sistemas de compactación, elevadores hidráulicos, etc.). Mantenimiento: Frecuencia del mantenimiento (mensual, trimestral, etc.) y tipo de mantenimiento realizado. Años de vida útil restante: Estimación del tiempo que cada camión podrá seguir operando eficientemente. Infraestructura de recolección: Número y ubicación de contenedores de basura distribuidos en el municipio. Descripción de las estaciones de transferencia, si existen. Equipos de protección personal y herramientas disponibles para los trabajadores de recolección. Infraestructura adicional utilizada para el manejo y recolección de residuos (por ejemplo, puntos de acopio, instalaciones de reciclaje). Mantenimiento de la infraestructura: Frecuencia y tipo de mantenimiento realizado en los contenedores, estaciones de transferencia, y otros equipos. Personal asignado para la recolección de basura: Número total de personas asignadas para la recolección de basura. Puestos específicos (chofer, ayudante, supervisor, etc.). Sueldo neto y bruto de cada trabajador. Horario de trabajo del personal asignado (horas diarias y días de la semana). Experiencia y capacitación del personal (años de servicio, cursos de manejo de residuos, etc.). Dirección responsable del servicio de limpia, recolección y disposición final de residuos sólidos: Nombre y ubicación de la dirección encargada. Nombre del responsable o director del área. Datos de contacto (teléfono, correo electrónico). Presupuesto asignado al servicio de limpia, recolección y disposición final de residuos sólidos (2016-2024): Monto del presupuesto anual asignado a estas actividades desde el año 2016 hasta el año 2024. Desglose del presupuesto por rubros (adquisición de camiones, mantenimiento, sueldos, combustibles, renta de </w:t>
      </w:r>
      <w:r w:rsidRPr="004827EF">
        <w:rPr>
          <w:rFonts w:ascii="Palatino Linotype" w:eastAsia="Palatino Linotype" w:hAnsi="Palatino Linotype" w:cs="Palatino Linotype"/>
          <w:i/>
          <w:sz w:val="22"/>
          <w:szCs w:val="22"/>
        </w:rPr>
        <w:lastRenderedPageBreak/>
        <w:t>camiones, infraestructura, etc.). Fuente de los recursos (municipales, estatales, federales, otros). Variaciones o ajustes presupuestarios realizados en cada año. Justificación para los cambios en el presupuesto durante el periodo mencionado. Transferencia y disposición final de residuos sólidos: Destino final de los residuos sólidos una vez recolectados. Detalles del lugar o entidad a la que se transfieren los residuos (nombre, ubicación, tipo de instalación, etc.). Información sobre si la transferencia se realiza por contrato o convenio. Solicitud de copia del contrato o convenio de transferencia de residuos. Condiciones económicas de la transferencia: si se paga por el servicio o si se recibe alguna remuneración. Centros de acopio y depósitos específicos: Ubicación de centros de acopio de PET y depósitos de fierro en el municipio. Información sobre los convenios o contratos establecidos para el manejo de PET y depósitos de fierro. Detalles sobre la existencia de alguna remuneración al municipio por el manejo de estos materiales o si el municipio paga a terceros por llevárselos. Solicitud de copia de los convenios o contratos relacionados con estos centros de acopio y depósitos. Documentación de soporte: Solicito que se envíe toda la documentación que soporte las respuestas proporcionadas, incluyendo pero no limitándose a contratos, convenios, actas de compra, documentos presupuestarios, reportes de mantenimiento, registros de nómina, y cualquier otro documento relevante que avale la información proporcionada</w:t>
      </w:r>
      <w:proofErr w:type="gramStart"/>
      <w:r w:rsidRPr="004827EF">
        <w:rPr>
          <w:rFonts w:ascii="Palatino Linotype" w:eastAsia="Palatino Linotype" w:hAnsi="Palatino Linotype" w:cs="Palatino Linotype"/>
          <w:i/>
          <w:sz w:val="22"/>
          <w:szCs w:val="22"/>
        </w:rPr>
        <w:t>.”(</w:t>
      </w:r>
      <w:proofErr w:type="gramEnd"/>
      <w:r w:rsidRPr="004827EF">
        <w:rPr>
          <w:rFonts w:ascii="Palatino Linotype" w:eastAsia="Palatino Linotype" w:hAnsi="Palatino Linotype" w:cs="Palatino Linotype"/>
          <w:i/>
          <w:sz w:val="22"/>
          <w:szCs w:val="22"/>
        </w:rPr>
        <w:t>Sic)</w:t>
      </w:r>
    </w:p>
    <w:p w14:paraId="173066FA" w14:textId="77777777" w:rsidR="00BF22D2" w:rsidRPr="004827EF" w:rsidRDefault="00BF22D2">
      <w:pPr>
        <w:ind w:left="851" w:right="902"/>
        <w:jc w:val="both"/>
        <w:rPr>
          <w:rFonts w:ascii="Palatino Linotype" w:eastAsia="Palatino Linotype" w:hAnsi="Palatino Linotype" w:cs="Palatino Linotype"/>
          <w:i/>
          <w:sz w:val="22"/>
          <w:szCs w:val="22"/>
        </w:rPr>
      </w:pPr>
    </w:p>
    <w:p w14:paraId="36EB3FF1"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Y Razones o motivos de inconformidad</w:t>
      </w:r>
      <w:r w:rsidRPr="004827EF">
        <w:rPr>
          <w:rFonts w:ascii="Palatino Linotype" w:eastAsia="Palatino Linotype" w:hAnsi="Palatino Linotype" w:cs="Palatino Linotype"/>
        </w:rPr>
        <w:t>:</w:t>
      </w:r>
    </w:p>
    <w:p w14:paraId="7A00C016" w14:textId="77777777" w:rsidR="00BF22D2" w:rsidRPr="004827EF" w:rsidRDefault="00D63F3D">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 xml:space="preserve">Solo </w:t>
      </w:r>
      <w:proofErr w:type="spellStart"/>
      <w:r w:rsidRPr="004827EF">
        <w:rPr>
          <w:rFonts w:ascii="Palatino Linotype" w:eastAsia="Palatino Linotype" w:hAnsi="Palatino Linotype" w:cs="Palatino Linotype"/>
          <w:b/>
          <w:i/>
          <w:sz w:val="22"/>
          <w:szCs w:val="22"/>
        </w:rPr>
        <w:t>respondio</w:t>
      </w:r>
      <w:proofErr w:type="spellEnd"/>
      <w:r w:rsidRPr="004827EF">
        <w:rPr>
          <w:rFonts w:ascii="Palatino Linotype" w:eastAsia="Palatino Linotype" w:hAnsi="Palatino Linotype" w:cs="Palatino Linotype"/>
          <w:b/>
          <w:i/>
          <w:sz w:val="22"/>
          <w:szCs w:val="22"/>
        </w:rPr>
        <w:t xml:space="preserve"> las localidades y días de la semana</w:t>
      </w:r>
      <w:r w:rsidRPr="004827EF">
        <w:rPr>
          <w:rFonts w:ascii="Palatino Linotype" w:eastAsia="Palatino Linotype" w:hAnsi="Palatino Linotype" w:cs="Palatino Linotype"/>
          <w:i/>
          <w:sz w:val="22"/>
          <w:szCs w:val="22"/>
        </w:rPr>
        <w:t>, no responde todo lo que se solicitó</w:t>
      </w:r>
      <w:proofErr w:type="gramStart"/>
      <w:r w:rsidRPr="004827EF">
        <w:rPr>
          <w:rFonts w:ascii="Palatino Linotype" w:eastAsia="Palatino Linotype" w:hAnsi="Palatino Linotype" w:cs="Palatino Linotype"/>
          <w:i/>
          <w:sz w:val="22"/>
          <w:szCs w:val="22"/>
        </w:rPr>
        <w:t>.”(</w:t>
      </w:r>
      <w:proofErr w:type="gramEnd"/>
      <w:r w:rsidRPr="004827EF">
        <w:rPr>
          <w:rFonts w:ascii="Palatino Linotype" w:eastAsia="Palatino Linotype" w:hAnsi="Palatino Linotype" w:cs="Palatino Linotype"/>
          <w:i/>
          <w:sz w:val="22"/>
          <w:szCs w:val="22"/>
        </w:rPr>
        <w:t>Sic)</w:t>
      </w:r>
    </w:p>
    <w:p w14:paraId="09D60D66" w14:textId="77777777" w:rsidR="00BF22D2" w:rsidRPr="004827EF" w:rsidRDefault="00BF22D2">
      <w:pPr>
        <w:ind w:left="851" w:right="902"/>
        <w:jc w:val="both"/>
        <w:rPr>
          <w:rFonts w:ascii="Palatino Linotype" w:eastAsia="Palatino Linotype" w:hAnsi="Palatino Linotype" w:cs="Palatino Linotype"/>
          <w:i/>
          <w:sz w:val="22"/>
          <w:szCs w:val="22"/>
        </w:rPr>
      </w:pPr>
    </w:p>
    <w:p w14:paraId="73CCA9D7" w14:textId="77777777" w:rsidR="00BF22D2" w:rsidRPr="004827EF" w:rsidRDefault="00D63F3D">
      <w:pPr>
        <w:spacing w:line="360" w:lineRule="auto"/>
        <w:ind w:right="51"/>
        <w:jc w:val="both"/>
        <w:rPr>
          <w:rFonts w:ascii="Palatino Linotype" w:eastAsia="Palatino Linotype" w:hAnsi="Palatino Linotype" w:cs="Palatino Linotype"/>
        </w:rPr>
      </w:pPr>
      <w:r w:rsidRPr="004827EF">
        <w:rPr>
          <w:rFonts w:ascii="Palatino Linotype" w:eastAsia="Palatino Linotype" w:hAnsi="Palatino Linotype" w:cs="Palatino Linotype"/>
          <w:b/>
        </w:rPr>
        <w:t xml:space="preserve">4. Turno. </w:t>
      </w:r>
      <w:r w:rsidRPr="004827E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827EF">
        <w:rPr>
          <w:rFonts w:ascii="Palatino Linotype" w:eastAsia="Palatino Linotype" w:hAnsi="Palatino Linotype" w:cs="Palatino Linotype"/>
          <w:b/>
        </w:rPr>
        <w:t xml:space="preserve">Guadalupe Ramírez Peña, </w:t>
      </w:r>
      <w:r w:rsidRPr="004827EF">
        <w:rPr>
          <w:rFonts w:ascii="Palatino Linotype" w:eastAsia="Palatino Linotype" w:hAnsi="Palatino Linotype" w:cs="Palatino Linotype"/>
        </w:rPr>
        <w:t xml:space="preserve">a efecto de que analizara sobre su admisión o su </w:t>
      </w:r>
      <w:proofErr w:type="spellStart"/>
      <w:r w:rsidRPr="004827EF">
        <w:rPr>
          <w:rFonts w:ascii="Palatino Linotype" w:eastAsia="Palatino Linotype" w:hAnsi="Palatino Linotype" w:cs="Palatino Linotype"/>
        </w:rPr>
        <w:t>desechamiento</w:t>
      </w:r>
      <w:proofErr w:type="spellEnd"/>
      <w:r w:rsidRPr="004827EF">
        <w:rPr>
          <w:rFonts w:ascii="Palatino Linotype" w:eastAsia="Palatino Linotype" w:hAnsi="Palatino Linotype" w:cs="Palatino Linotype"/>
        </w:rPr>
        <w:t>.</w:t>
      </w:r>
    </w:p>
    <w:p w14:paraId="0D9C8842" w14:textId="77777777" w:rsidR="00BF22D2" w:rsidRPr="004827EF" w:rsidRDefault="00BF22D2">
      <w:pPr>
        <w:spacing w:line="360" w:lineRule="auto"/>
        <w:ind w:right="51"/>
        <w:jc w:val="both"/>
        <w:rPr>
          <w:rFonts w:ascii="Palatino Linotype" w:eastAsia="Palatino Linotype" w:hAnsi="Palatino Linotype" w:cs="Palatino Linotype"/>
        </w:rPr>
      </w:pPr>
    </w:p>
    <w:p w14:paraId="4923F5DC" w14:textId="77777777" w:rsidR="00BF22D2" w:rsidRPr="004827EF" w:rsidRDefault="00D63F3D">
      <w:pPr>
        <w:spacing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5. Admisión del Recurso de revisión.</w:t>
      </w:r>
      <w:r w:rsidRPr="004827EF">
        <w:rPr>
          <w:rFonts w:ascii="Palatino Linotype" w:eastAsia="Palatino Linotype" w:hAnsi="Palatino Linotype" w:cs="Palatino Linotype"/>
        </w:rPr>
        <w:t xml:space="preserve"> Con fecha</w:t>
      </w:r>
      <w:r w:rsidRPr="004827EF">
        <w:rPr>
          <w:rFonts w:ascii="Palatino Linotype" w:eastAsia="Palatino Linotype" w:hAnsi="Palatino Linotype" w:cs="Palatino Linotype"/>
          <w:b/>
        </w:rPr>
        <w:t xml:space="preserve"> veinticuatro de septiembre de dos mil veinticuatro, </w:t>
      </w:r>
      <w:r w:rsidRPr="004827EF">
        <w:rPr>
          <w:rFonts w:ascii="Palatino Linotype" w:eastAsia="Palatino Linotype" w:hAnsi="Palatino Linotype" w:cs="Palatino Linotype"/>
        </w:rPr>
        <w:t xml:space="preserve">este Instituto de Transparencia, Acceso a la Información Pública y </w:t>
      </w:r>
      <w:r w:rsidRPr="004827EF">
        <w:rPr>
          <w:rFonts w:ascii="Palatino Linotype" w:eastAsia="Palatino Linotype" w:hAnsi="Palatino Linotype" w:cs="Palatino Linotype"/>
        </w:rPr>
        <w:lastRenderedPageBreak/>
        <w:t xml:space="preserve">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827EF">
        <w:rPr>
          <w:rFonts w:ascii="Palatino Linotype" w:eastAsia="Palatino Linotype" w:hAnsi="Palatino Linotype" w:cs="Palatino Linotype"/>
          <w:b/>
        </w:rPr>
        <w:t xml:space="preserve">SUJETO OBLIGADO </w:t>
      </w:r>
      <w:r w:rsidRPr="004827EF">
        <w:rPr>
          <w:rFonts w:ascii="Palatino Linotype" w:eastAsia="Palatino Linotype" w:hAnsi="Palatino Linotype" w:cs="Palatino Linotype"/>
        </w:rPr>
        <w:t>presentara su informe justificado.</w:t>
      </w:r>
    </w:p>
    <w:p w14:paraId="039BE75F" w14:textId="77777777" w:rsidR="00BF22D2" w:rsidRPr="004827EF" w:rsidRDefault="00D63F3D">
      <w:pPr>
        <w:spacing w:before="240" w:after="240" w:line="360" w:lineRule="auto"/>
        <w:jc w:val="both"/>
      </w:pPr>
      <w:r w:rsidRPr="004827EF">
        <w:rPr>
          <w:rFonts w:ascii="Palatino Linotype" w:eastAsia="Palatino Linotype" w:hAnsi="Palatino Linotype" w:cs="Palatino Linotype"/>
          <w:b/>
        </w:rPr>
        <w:t>6. Manifestaciones</w:t>
      </w:r>
      <w:r w:rsidRPr="004827EF">
        <w:rPr>
          <w:rFonts w:ascii="Palatino Linotype" w:eastAsia="Palatino Linotype" w:hAnsi="Palatino Linotype" w:cs="Palatino Linotype"/>
        </w:rPr>
        <w:t xml:space="preserve">. De las constancias que obran en el expediente electrónico del SAIMEX se desprende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no rindió su informe justificado, del mismo modo la parte</w:t>
      </w:r>
      <w:r w:rsidRPr="004827EF">
        <w:rPr>
          <w:rFonts w:ascii="Palatino Linotype" w:eastAsia="Palatino Linotype" w:hAnsi="Palatino Linotype" w:cs="Palatino Linotype"/>
          <w:b/>
        </w:rPr>
        <w:t xml:space="preserve"> RECURRENTE</w:t>
      </w:r>
      <w:r w:rsidRPr="004827EF">
        <w:rPr>
          <w:rFonts w:ascii="Palatino Linotype" w:eastAsia="Palatino Linotype" w:hAnsi="Palatino Linotype" w:cs="Palatino Linotype"/>
        </w:rPr>
        <w:t xml:space="preserve"> omitió realizar manifestaciones, como se observa a continuación:</w:t>
      </w:r>
    </w:p>
    <w:p w14:paraId="0F07D0F3" w14:textId="77777777" w:rsidR="00BF22D2" w:rsidRPr="004827EF" w:rsidRDefault="00D63F3D">
      <w:pPr>
        <w:spacing w:before="240" w:after="240" w:line="360" w:lineRule="auto"/>
        <w:jc w:val="both"/>
      </w:pPr>
      <w:r w:rsidRPr="004827EF">
        <w:rPr>
          <w:noProof/>
          <w:lang w:val="es-MX"/>
        </w:rPr>
        <w:drawing>
          <wp:inline distT="0" distB="0" distL="0" distR="0" wp14:anchorId="6CE7D19B" wp14:editId="14612BEF">
            <wp:extent cx="5612130" cy="1459230"/>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12130" cy="1459230"/>
                    </a:xfrm>
                    <a:prstGeom prst="rect">
                      <a:avLst/>
                    </a:prstGeom>
                    <a:ln/>
                  </pic:spPr>
                </pic:pic>
              </a:graphicData>
            </a:graphic>
          </wp:inline>
        </w:drawing>
      </w:r>
    </w:p>
    <w:p w14:paraId="39E7BEEA" w14:textId="77777777" w:rsidR="00BF22D2" w:rsidRPr="004827EF" w:rsidRDefault="00D63F3D">
      <w:pPr>
        <w:widowControl w:val="0"/>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7</w:t>
      </w:r>
      <w:r w:rsidRPr="004827EF">
        <w:rPr>
          <w:rFonts w:ascii="Palatino Linotype" w:eastAsia="Palatino Linotype" w:hAnsi="Palatino Linotype" w:cs="Palatino Linotype"/>
        </w:rPr>
        <w:t xml:space="preserve">. </w:t>
      </w:r>
      <w:r w:rsidRPr="004827EF">
        <w:rPr>
          <w:rFonts w:ascii="Palatino Linotype" w:eastAsia="Palatino Linotype" w:hAnsi="Palatino Linotype" w:cs="Palatino Linotype"/>
          <w:b/>
        </w:rPr>
        <w:t xml:space="preserve">Cierre de instrucción. </w:t>
      </w:r>
      <w:r w:rsidRPr="004827EF">
        <w:rPr>
          <w:rFonts w:ascii="Palatino Linotype" w:eastAsia="Palatino Linotype" w:hAnsi="Palatino Linotype" w:cs="Palatino Linotype"/>
        </w:rPr>
        <w:t>Una vez transcurrido el periodo otorgado a las partes para realizar sus manifestaciones y no habiendo documentos que integrar al expediente, el</w:t>
      </w:r>
      <w:r w:rsidRPr="004827EF">
        <w:rPr>
          <w:rFonts w:ascii="Palatino Linotype" w:eastAsia="Palatino Linotype" w:hAnsi="Palatino Linotype" w:cs="Palatino Linotype"/>
          <w:b/>
        </w:rPr>
        <w:t xml:space="preserve"> veintiuno de octubre de dos mil veinticuatro</w:t>
      </w:r>
      <w:r w:rsidRPr="004827E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A93D92C"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4FF2F5E" w14:textId="77777777" w:rsidR="00BF22D2" w:rsidRPr="004827EF" w:rsidRDefault="00D63F3D">
      <w:pPr>
        <w:widowControl w:val="0"/>
        <w:spacing w:line="360" w:lineRule="auto"/>
        <w:jc w:val="center"/>
        <w:rPr>
          <w:rFonts w:ascii="Palatino Linotype" w:eastAsia="Palatino Linotype" w:hAnsi="Palatino Linotype" w:cs="Palatino Linotype"/>
          <w:b/>
        </w:rPr>
      </w:pPr>
      <w:r w:rsidRPr="004827EF">
        <w:rPr>
          <w:rFonts w:ascii="Palatino Linotype" w:eastAsia="Palatino Linotype" w:hAnsi="Palatino Linotype" w:cs="Palatino Linotype"/>
          <w:b/>
        </w:rPr>
        <w:lastRenderedPageBreak/>
        <w:t>II. C O N S I D E R A N D O S</w:t>
      </w:r>
    </w:p>
    <w:p w14:paraId="2CC926CE" w14:textId="77777777" w:rsidR="00BF22D2" w:rsidRPr="004827EF" w:rsidRDefault="00BF22D2">
      <w:pPr>
        <w:widowControl w:val="0"/>
        <w:spacing w:line="360" w:lineRule="auto"/>
        <w:jc w:val="center"/>
        <w:rPr>
          <w:rFonts w:ascii="Palatino Linotype" w:eastAsia="Palatino Linotype" w:hAnsi="Palatino Linotype" w:cs="Palatino Linotype"/>
          <w:b/>
        </w:rPr>
      </w:pPr>
    </w:p>
    <w:p w14:paraId="3BE277C4"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Primero. Competencia.</w:t>
      </w:r>
      <w:r w:rsidRPr="004827E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A196641"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Segundo. Oportunidad y Procedibilidad del Recurso de Revisión</w:t>
      </w:r>
      <w:r w:rsidRPr="004827E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B74B377"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proporcionó su respuesta a la solicitud de información el dieciocho de septiembre del dos mil veinticuatro y el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xml:space="preserve"> presentó su recurso de revisión el </w:t>
      </w:r>
      <w:r w:rsidRPr="004827EF">
        <w:rPr>
          <w:rFonts w:ascii="Palatino Linotype" w:eastAsia="Palatino Linotype" w:hAnsi="Palatino Linotype" w:cs="Palatino Linotype"/>
        </w:rPr>
        <w:lastRenderedPageBreak/>
        <w:t>diecinueve de septiembre del mismo año; esto es, al primer día siguiente en que tuvo conocimiento de la respuesta impugnada.</w:t>
      </w:r>
    </w:p>
    <w:p w14:paraId="0715ACC8"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Asimismo,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592323F"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349E8091" w14:textId="77777777" w:rsidR="00BF22D2" w:rsidRPr="004827EF" w:rsidRDefault="00D63F3D">
      <w:pPr>
        <w:ind w:left="1276" w:right="175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 xml:space="preserve">Artículo 179. </w:t>
      </w:r>
      <w:r w:rsidRPr="004827E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FB700CF" w14:textId="77777777" w:rsidR="00BF22D2" w:rsidRPr="004827EF" w:rsidRDefault="00D63F3D">
      <w:pPr>
        <w:ind w:left="1276" w:right="175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6AA6DFA3" w14:textId="77777777" w:rsidR="00BF22D2" w:rsidRPr="004827EF" w:rsidRDefault="00D63F3D">
      <w:pPr>
        <w:ind w:left="1276" w:right="175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V. La entrega de información incompleta…” </w:t>
      </w:r>
    </w:p>
    <w:p w14:paraId="1EDE5346"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b/>
        </w:rPr>
        <w:t>Tercero. Materia de Revisión</w:t>
      </w:r>
      <w:r w:rsidRPr="004827EF">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4827E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827EF">
        <w:rPr>
          <w:rFonts w:ascii="Palatino Linotype" w:eastAsia="Palatino Linotype" w:hAnsi="Palatino Linotype" w:cs="Palatino Linotype"/>
        </w:rPr>
        <w:t xml:space="preserve">de la parte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o en su defecto, en caso de ser procedente, ordenar la entrega de información.</w:t>
      </w:r>
    </w:p>
    <w:p w14:paraId="522D5CDA"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 xml:space="preserve">Cuarto. Estudio de fondo del asunto. </w:t>
      </w:r>
      <w:r w:rsidRPr="004827EF">
        <w:rPr>
          <w:rFonts w:ascii="Palatino Linotype" w:eastAsia="Palatino Linotype" w:hAnsi="Palatino Linotype" w:cs="Palatino Linotype"/>
        </w:rPr>
        <w:t xml:space="preserve">es conveniente analizar si la respuesta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cumple con los requisitos y procedimientos del derecho de acceso a la información pública, en atención a que en la Ley de Transparencia y </w:t>
      </w:r>
      <w:r w:rsidRPr="004827EF">
        <w:rPr>
          <w:rFonts w:ascii="Palatino Linotype" w:eastAsia="Palatino Linotype" w:hAnsi="Palatino Linotype" w:cs="Palatino Linotype"/>
        </w:rPr>
        <w:lastRenderedPageBreak/>
        <w:t>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14FE86B" w14:textId="77777777" w:rsidR="00BF22D2" w:rsidRPr="004827EF" w:rsidRDefault="00D63F3D">
      <w:pPr>
        <w:spacing w:before="240"/>
        <w:ind w:left="709" w:right="76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4.</w:t>
      </w:r>
      <w:r w:rsidRPr="004827E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9426D0" w14:textId="77777777" w:rsidR="00BF22D2" w:rsidRPr="004827EF" w:rsidRDefault="00D63F3D">
      <w:pPr>
        <w:ind w:left="709" w:right="76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827E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BA1E084" w14:textId="77777777" w:rsidR="00BF22D2" w:rsidRPr="004827EF" w:rsidRDefault="00D63F3D">
      <w:pPr>
        <w:ind w:left="709" w:right="76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827EF">
        <w:rPr>
          <w:rFonts w:ascii="Palatino Linotype" w:eastAsia="Palatino Linotype" w:hAnsi="Palatino Linotype" w:cs="Palatino Linotype"/>
          <w:i/>
          <w:sz w:val="22"/>
          <w:szCs w:val="22"/>
        </w:rPr>
        <w:t>.”</w:t>
      </w:r>
    </w:p>
    <w:p w14:paraId="5C2EF175"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FF1F69D" w14:textId="77777777" w:rsidR="00BF22D2" w:rsidRPr="004827EF" w:rsidRDefault="00D63F3D">
      <w:pPr>
        <w:ind w:left="567" w:right="758"/>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lastRenderedPageBreak/>
        <w:t>“</w:t>
      </w:r>
      <w:r w:rsidRPr="004827EF">
        <w:rPr>
          <w:rFonts w:ascii="Palatino Linotype" w:eastAsia="Palatino Linotype" w:hAnsi="Palatino Linotype" w:cs="Palatino Linotype"/>
          <w:b/>
          <w:i/>
          <w:sz w:val="22"/>
          <w:szCs w:val="22"/>
        </w:rPr>
        <w:t>Artículo12.-</w:t>
      </w:r>
      <w:r w:rsidRPr="004827E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8EA818" w14:textId="77777777" w:rsidR="00BF22D2" w:rsidRPr="004827EF" w:rsidRDefault="00D63F3D">
      <w:pPr>
        <w:ind w:left="567" w:right="758"/>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BD3905E" w14:textId="77777777" w:rsidR="00BF22D2" w:rsidRPr="004827EF" w:rsidRDefault="00BF22D2">
      <w:pPr>
        <w:spacing w:line="360" w:lineRule="auto"/>
        <w:ind w:right="-93"/>
        <w:jc w:val="both"/>
        <w:rPr>
          <w:rFonts w:ascii="Palatino Linotype" w:eastAsia="Palatino Linotype" w:hAnsi="Palatino Linotype" w:cs="Palatino Linotype"/>
        </w:rPr>
      </w:pPr>
    </w:p>
    <w:p w14:paraId="4E560BFD" w14:textId="77777777" w:rsidR="00BF22D2" w:rsidRPr="004827EF" w:rsidRDefault="00D63F3D">
      <w:pPr>
        <w:spacing w:line="360" w:lineRule="auto"/>
        <w:ind w:right="-93"/>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5616B855" w14:textId="77777777" w:rsidR="00BF22D2" w:rsidRPr="004827EF" w:rsidRDefault="00BF22D2">
      <w:pPr>
        <w:spacing w:line="360" w:lineRule="auto"/>
        <w:jc w:val="both"/>
        <w:rPr>
          <w:rFonts w:ascii="Palatino Linotype" w:eastAsia="Palatino Linotype" w:hAnsi="Palatino Linotype" w:cs="Palatino Linotype"/>
        </w:rPr>
      </w:pPr>
    </w:p>
    <w:p w14:paraId="40AA8366"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687FB6D2" w14:textId="77777777" w:rsidR="00BF22D2" w:rsidRPr="004827EF" w:rsidRDefault="00D63F3D">
      <w:pPr>
        <w:spacing w:line="360" w:lineRule="auto"/>
        <w:jc w:val="both"/>
        <w:rPr>
          <w:rFonts w:ascii="Palatino Linotype" w:eastAsia="Palatino Linotype" w:hAnsi="Palatino Linotype" w:cs="Palatino Linotype"/>
          <w:b/>
        </w:rPr>
      </w:pPr>
      <w:r w:rsidRPr="004827EF">
        <w:rPr>
          <w:rFonts w:ascii="Palatino Linotype" w:eastAsia="Palatino Linotype" w:hAnsi="Palatino Linotype" w:cs="Palatino Linotype"/>
          <w:b/>
        </w:rPr>
        <w:t xml:space="preserve"> </w:t>
      </w:r>
    </w:p>
    <w:p w14:paraId="06957D2B"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No existe obligación de elaborar documentos ad hoc para atender las solicitudes de acceso a la información.</w:t>
      </w:r>
      <w:r w:rsidRPr="004827E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4827EF">
        <w:rPr>
          <w:rFonts w:ascii="Palatino Linotype" w:eastAsia="Palatino Linotype" w:hAnsi="Palatino Linotype" w:cs="Palatino Linotype"/>
          <w:i/>
          <w:sz w:val="22"/>
          <w:szCs w:val="22"/>
        </w:rPr>
        <w:lastRenderedPageBreak/>
        <w:t>archivos; sin necesidad de elaborar documentos ad hoc para atender las solicitudes de información.</w:t>
      </w:r>
    </w:p>
    <w:p w14:paraId="2FEF9D29"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Resoluciones: </w:t>
      </w:r>
    </w:p>
    <w:p w14:paraId="166CECC3"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Noto Sans Symbols" w:eastAsia="Noto Sans Symbols" w:hAnsi="Noto Sans Symbols" w:cs="Noto Sans Symbols"/>
          <w:i/>
          <w:sz w:val="22"/>
          <w:szCs w:val="22"/>
        </w:rPr>
        <w:t>∙</w:t>
      </w:r>
      <w:r w:rsidRPr="004827EF">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6BC3B786"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Noto Sans Symbols" w:eastAsia="Noto Sans Symbols" w:hAnsi="Noto Sans Symbols" w:cs="Noto Sans Symbols"/>
          <w:i/>
          <w:sz w:val="22"/>
          <w:szCs w:val="22"/>
        </w:rPr>
        <w:t>∙</w:t>
      </w:r>
      <w:r w:rsidRPr="004827EF">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4E6482D8"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Noto Sans Symbols" w:eastAsia="Noto Sans Symbols" w:hAnsi="Noto Sans Symbols" w:cs="Noto Sans Symbols"/>
          <w:i/>
          <w:sz w:val="22"/>
          <w:szCs w:val="22"/>
        </w:rPr>
        <w:t>∙</w:t>
      </w:r>
      <w:r w:rsidRPr="004827EF">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
    <w:p w14:paraId="00FC795B" w14:textId="77777777" w:rsidR="00BF22D2" w:rsidRPr="004827EF" w:rsidRDefault="00BF22D2">
      <w:pPr>
        <w:spacing w:line="360" w:lineRule="auto"/>
        <w:jc w:val="both"/>
        <w:rPr>
          <w:rFonts w:ascii="Palatino Linotype" w:eastAsia="Palatino Linotype" w:hAnsi="Palatino Linotype" w:cs="Palatino Linotype"/>
        </w:rPr>
      </w:pPr>
    </w:p>
    <w:p w14:paraId="70C84636" w14:textId="77777777" w:rsidR="00BF22D2" w:rsidRPr="004827EF" w:rsidRDefault="00D63F3D">
      <w:pPr>
        <w:spacing w:line="360" w:lineRule="auto"/>
        <w:jc w:val="both"/>
        <w:rPr>
          <w:rFonts w:ascii="Palatino Linotype" w:eastAsia="Palatino Linotype" w:hAnsi="Palatino Linotype" w:cs="Palatino Linotype"/>
          <w:strike/>
        </w:rPr>
      </w:pPr>
      <w:r w:rsidRPr="004827EF">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4E3A81A0" w14:textId="77777777" w:rsidR="00BF22D2" w:rsidRPr="004827EF" w:rsidRDefault="00BF22D2">
      <w:pPr>
        <w:spacing w:line="360" w:lineRule="auto"/>
        <w:jc w:val="both"/>
        <w:rPr>
          <w:rFonts w:ascii="Palatino Linotype" w:eastAsia="Palatino Linotype" w:hAnsi="Palatino Linotype" w:cs="Palatino Linotype"/>
        </w:rPr>
      </w:pPr>
    </w:p>
    <w:p w14:paraId="358BADD1" w14:textId="77777777" w:rsidR="00BF22D2" w:rsidRPr="004827EF" w:rsidRDefault="00D63F3D">
      <w:pPr>
        <w:spacing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A980AD5" w14:textId="77777777" w:rsidR="00BF22D2" w:rsidRPr="004827EF" w:rsidRDefault="00BF22D2">
      <w:pPr>
        <w:spacing w:line="360" w:lineRule="auto"/>
        <w:ind w:right="49"/>
        <w:jc w:val="both"/>
        <w:rPr>
          <w:rFonts w:ascii="Palatino Linotype" w:eastAsia="Palatino Linotype" w:hAnsi="Palatino Linotype" w:cs="Palatino Linotype"/>
        </w:rPr>
      </w:pPr>
    </w:p>
    <w:p w14:paraId="45E47A66"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387FE8" w14:textId="77777777" w:rsidR="00BF22D2" w:rsidRPr="004827EF" w:rsidRDefault="00BF22D2">
      <w:pPr>
        <w:ind w:left="851" w:right="899"/>
        <w:jc w:val="both"/>
        <w:rPr>
          <w:rFonts w:ascii="Palatino Linotype" w:eastAsia="Palatino Linotype" w:hAnsi="Palatino Linotype" w:cs="Palatino Linotype"/>
          <w:i/>
          <w:sz w:val="22"/>
          <w:szCs w:val="22"/>
        </w:rPr>
      </w:pPr>
    </w:p>
    <w:p w14:paraId="378FD3DA" w14:textId="77777777" w:rsidR="00BF22D2" w:rsidRPr="004827EF" w:rsidRDefault="00D63F3D">
      <w:pP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 xml:space="preserve">Artículo 3. </w:t>
      </w:r>
      <w:r w:rsidRPr="004827EF">
        <w:rPr>
          <w:rFonts w:ascii="Palatino Linotype" w:eastAsia="Palatino Linotype" w:hAnsi="Palatino Linotype" w:cs="Palatino Linotype"/>
          <w:i/>
          <w:sz w:val="22"/>
          <w:szCs w:val="22"/>
        </w:rPr>
        <w:t>Para los efectos de la presente Ley se entenderá por:</w:t>
      </w:r>
    </w:p>
    <w:p w14:paraId="23BF339B" w14:textId="77777777" w:rsidR="00BF22D2" w:rsidRPr="004827EF" w:rsidRDefault="00D63F3D">
      <w:pP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792B79E0" w14:textId="77777777" w:rsidR="00BF22D2" w:rsidRPr="004827EF" w:rsidRDefault="00D63F3D">
      <w:pP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XI. Documento:</w:t>
      </w:r>
      <w:r w:rsidRPr="004827EF">
        <w:rPr>
          <w:rFonts w:ascii="Palatino Linotype" w:eastAsia="Palatino Linotype" w:hAnsi="Palatino Linotype" w:cs="Palatino Linotype"/>
          <w:i/>
          <w:sz w:val="22"/>
          <w:szCs w:val="22"/>
        </w:rPr>
        <w:t xml:space="preserve"> Los expedientes, reportes, estudios, actas</w:t>
      </w:r>
      <w:r w:rsidRPr="004827EF">
        <w:rPr>
          <w:rFonts w:ascii="Palatino Linotype" w:eastAsia="Palatino Linotype" w:hAnsi="Palatino Linotype" w:cs="Palatino Linotype"/>
          <w:b/>
          <w:i/>
          <w:sz w:val="22"/>
          <w:szCs w:val="22"/>
        </w:rPr>
        <w:t>,</w:t>
      </w:r>
      <w:r w:rsidRPr="004827E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3EF8BE6" w14:textId="77777777" w:rsidR="00BF22D2" w:rsidRPr="004827EF" w:rsidRDefault="00BF22D2">
      <w:pPr>
        <w:ind w:left="851" w:right="899"/>
        <w:jc w:val="both"/>
        <w:rPr>
          <w:rFonts w:ascii="Palatino Linotype" w:eastAsia="Palatino Linotype" w:hAnsi="Palatino Linotype" w:cs="Palatino Linotype"/>
          <w:sz w:val="22"/>
          <w:szCs w:val="22"/>
        </w:rPr>
      </w:pPr>
    </w:p>
    <w:p w14:paraId="67D6C467"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539990E" w14:textId="77777777" w:rsidR="00BF22D2" w:rsidRPr="004827EF" w:rsidRDefault="00BF22D2">
      <w:pPr>
        <w:ind w:left="851" w:right="899"/>
        <w:jc w:val="both"/>
        <w:rPr>
          <w:rFonts w:ascii="Palatino Linotype" w:eastAsia="Palatino Linotype" w:hAnsi="Palatino Linotype" w:cs="Palatino Linotype"/>
        </w:rPr>
      </w:pPr>
    </w:p>
    <w:p w14:paraId="7DB18EAA" w14:textId="77777777" w:rsidR="00BF22D2" w:rsidRPr="004827EF" w:rsidRDefault="00D63F3D">
      <w:pPr>
        <w:ind w:left="851" w:right="899"/>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sz w:val="22"/>
          <w:szCs w:val="22"/>
        </w:rPr>
        <w:t>“</w:t>
      </w:r>
      <w:r w:rsidRPr="004827EF">
        <w:rPr>
          <w:rFonts w:ascii="Palatino Linotype" w:eastAsia="Palatino Linotype" w:hAnsi="Palatino Linotype" w:cs="Palatino Linotype"/>
          <w:b/>
          <w:i/>
          <w:sz w:val="22"/>
          <w:szCs w:val="22"/>
        </w:rPr>
        <w:t>CRITERIO 0002-11</w:t>
      </w:r>
    </w:p>
    <w:p w14:paraId="1FBB1522" w14:textId="77777777" w:rsidR="00BF22D2" w:rsidRPr="004827EF" w:rsidRDefault="00D63F3D">
      <w:pP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827EF">
        <w:rPr>
          <w:rFonts w:ascii="Palatino Linotype" w:eastAsia="Palatino Linotype" w:hAnsi="Palatino Linotype" w:cs="Palatino Linotype"/>
          <w:i/>
          <w:sz w:val="22"/>
          <w:szCs w:val="22"/>
        </w:rPr>
        <w:t xml:space="preserve"> De conformidad con los artículos antes referidos, el derecho de acceso a la información pública, se </w:t>
      </w:r>
      <w:r w:rsidRPr="004827EF">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726791D" w14:textId="77777777" w:rsidR="00BF22D2" w:rsidRPr="004827EF" w:rsidRDefault="00D63F3D">
      <w:pP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En </w:t>
      </w:r>
      <w:proofErr w:type="gramStart"/>
      <w:r w:rsidRPr="004827EF">
        <w:rPr>
          <w:rFonts w:ascii="Palatino Linotype" w:eastAsia="Palatino Linotype" w:hAnsi="Palatino Linotype" w:cs="Palatino Linotype"/>
          <w:i/>
          <w:sz w:val="22"/>
          <w:szCs w:val="22"/>
        </w:rPr>
        <w:t>consecuencia</w:t>
      </w:r>
      <w:proofErr w:type="gramEnd"/>
      <w:r w:rsidRPr="004827E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A013D7A" w14:textId="77777777" w:rsidR="00BF22D2" w:rsidRPr="004827EF" w:rsidRDefault="00D63F3D">
      <w:pP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827EF">
        <w:rPr>
          <w:rFonts w:ascii="Palatino Linotype" w:eastAsia="Palatino Linotype" w:hAnsi="Palatino Linotype" w:cs="Palatino Linotype"/>
          <w:i/>
          <w:sz w:val="22"/>
          <w:szCs w:val="22"/>
        </w:rPr>
        <w:t>que</w:t>
      </w:r>
      <w:proofErr w:type="gramEnd"/>
      <w:r w:rsidRPr="004827EF">
        <w:rPr>
          <w:rFonts w:ascii="Palatino Linotype" w:eastAsia="Palatino Linotype" w:hAnsi="Palatino Linotype" w:cs="Palatino Linotype"/>
          <w:i/>
          <w:sz w:val="22"/>
          <w:szCs w:val="22"/>
        </w:rPr>
        <w:t xml:space="preserve"> en ejercicio de las atribuciones conferidas, sea generada por los Sujetos Obligados;</w:t>
      </w:r>
    </w:p>
    <w:p w14:paraId="2CA05966" w14:textId="77777777" w:rsidR="00BF22D2" w:rsidRPr="004827EF" w:rsidRDefault="00D63F3D">
      <w:pPr>
        <w:ind w:left="851" w:right="899"/>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4827EF">
        <w:rPr>
          <w:rFonts w:ascii="Palatino Linotype" w:eastAsia="Palatino Linotype" w:hAnsi="Palatino Linotype" w:cs="Palatino Linotype"/>
          <w:b/>
          <w:i/>
          <w:sz w:val="22"/>
          <w:szCs w:val="22"/>
        </w:rPr>
        <w:t>que</w:t>
      </w:r>
      <w:proofErr w:type="gramEnd"/>
      <w:r w:rsidRPr="004827EF">
        <w:rPr>
          <w:rFonts w:ascii="Palatino Linotype" w:eastAsia="Palatino Linotype" w:hAnsi="Palatino Linotype" w:cs="Palatino Linotype"/>
          <w:b/>
          <w:i/>
          <w:sz w:val="22"/>
          <w:szCs w:val="22"/>
        </w:rPr>
        <w:t xml:space="preserve"> en ejercicio de las atribuciones conferidas, sea administrada por los Sujetos Obligados, y</w:t>
      </w:r>
    </w:p>
    <w:p w14:paraId="1E925CFF" w14:textId="77777777" w:rsidR="00BF22D2" w:rsidRPr="004827EF" w:rsidRDefault="00D63F3D">
      <w:pPr>
        <w:ind w:left="851" w:right="899"/>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4827EF">
        <w:rPr>
          <w:rFonts w:ascii="Palatino Linotype" w:eastAsia="Palatino Linotype" w:hAnsi="Palatino Linotype" w:cs="Palatino Linotype"/>
          <w:b/>
          <w:i/>
          <w:sz w:val="22"/>
          <w:szCs w:val="22"/>
        </w:rPr>
        <w:t>.”(</w:t>
      </w:r>
      <w:proofErr w:type="gramEnd"/>
      <w:r w:rsidRPr="004827EF">
        <w:rPr>
          <w:rFonts w:ascii="Palatino Linotype" w:eastAsia="Palatino Linotype" w:hAnsi="Palatino Linotype" w:cs="Palatino Linotype"/>
          <w:b/>
          <w:i/>
          <w:sz w:val="22"/>
          <w:szCs w:val="22"/>
        </w:rPr>
        <w:t>Sic)</w:t>
      </w:r>
    </w:p>
    <w:p w14:paraId="70066C4A"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Temoaya, en relación al servicio de recolección de residuos sólidos, lo siguiente:</w:t>
      </w:r>
    </w:p>
    <w:p w14:paraId="417541ED"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 Recorridos de los camiones de basura en las diferentes localidades del municipio de Temoaya: Listado de localidades y sus respectivos recorridos. Frecuencia con la que pasan los camiones de basura en cada localidad (número de veces por semana). Días de la semana en que se realiza la recolección de basura en cada localidad. </w:t>
      </w:r>
    </w:p>
    <w:p w14:paraId="4A6F026E"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2.- Horarios específicos de recolección para cada localidad. </w:t>
      </w:r>
    </w:p>
    <w:p w14:paraId="1FBD0DEE"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3.- Inventario de camiones de basura del municipio de Temoaya: Número total de camiones o unidades de basura con las que cuenta el municipio. Distinción entre camiones propios y camiones rentados. Detalles de los camiones propios: Fecha de adquisición de cada camión. Costo de adquisición de cada camión. Detalles de los camiones rentados: Fecha desde la que se rentan. Nombre de la empresa o persona </w:t>
      </w:r>
      <w:r w:rsidRPr="004827EF">
        <w:rPr>
          <w:rFonts w:ascii="Palatino Linotype" w:eastAsia="Palatino Linotype" w:hAnsi="Palatino Linotype" w:cs="Palatino Linotype"/>
        </w:rPr>
        <w:lastRenderedPageBreak/>
        <w:t xml:space="preserve">a quien se rentan. Costo de renta de cada camión. Duración del contrato de renta de cada camión. Características de cada camión de basura: Capacidad de carga: (en toneladas o metros cúbicos de residuos sólidos). Año de fabricación: Año en que se fabricó cada camión. Modelo: Modelo específico de cada camión. Tipo de camión: (por ejemplo, compactador, recolector lateral, recolector trasero, etc.). Condición actual del vehículo: Estado del camión (nuevo, usado, en reparación, fuera de servicio). Kilometraje actual: Total de kilómetros recorridos por cada camión. Tipo de combustible utilizado: (diésel, gasolina, gas natural, etc.). Consumo de combustible: Rendimiento promedio de combustible por kilómetro. Características técnicas adicionales: Número de ejes. Capacidad del motor (en caballos de fuerza). Equipamiento especial (como sistemas de compactación, elevadores hidráulicos, etc.). Mantenimiento: Frecuencia del mantenimiento (mensual, trimestral, etc.) y tipo de mantenimiento realizado. Años de vida útil restante: Estimación del tiempo que cada camión podrá seguir operando eficientemente. </w:t>
      </w:r>
    </w:p>
    <w:p w14:paraId="32CC2061"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4.- </w:t>
      </w:r>
      <w:r w:rsidRPr="004827EF">
        <w:rPr>
          <w:rFonts w:ascii="Palatino Linotype" w:eastAsia="Palatino Linotype" w:hAnsi="Palatino Linotype" w:cs="Palatino Linotype"/>
          <w:b/>
        </w:rPr>
        <w:t>Infraestructura de recolección</w:t>
      </w:r>
      <w:r w:rsidRPr="004827EF">
        <w:rPr>
          <w:rFonts w:ascii="Palatino Linotype" w:eastAsia="Palatino Linotype" w:hAnsi="Palatino Linotype" w:cs="Palatino Linotype"/>
        </w:rPr>
        <w:t xml:space="preserve">: Número y ubicación de contenedores de basura distribuidos en el municipio. </w:t>
      </w:r>
    </w:p>
    <w:p w14:paraId="5C02F690"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5.- Descripción de las estaciones de transferencia, si existen. </w:t>
      </w:r>
    </w:p>
    <w:p w14:paraId="78B9DD88"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6.- Equipos de protección personal y herramientas disponibles para los trabajadores de recolección. </w:t>
      </w:r>
    </w:p>
    <w:p w14:paraId="0D74A7D7"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7.- Infraestructura adicional utilizada para el manejo y recolección de residuos (por ejemplo, puntos de acopio, instalaciones de reciclaje). </w:t>
      </w:r>
    </w:p>
    <w:p w14:paraId="4F579947"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8.- </w:t>
      </w:r>
      <w:r w:rsidRPr="004827EF">
        <w:rPr>
          <w:rFonts w:ascii="Palatino Linotype" w:eastAsia="Palatino Linotype" w:hAnsi="Palatino Linotype" w:cs="Palatino Linotype"/>
          <w:b/>
        </w:rPr>
        <w:t>Mantenimiento de la infraestructura</w:t>
      </w:r>
      <w:r w:rsidRPr="004827EF">
        <w:rPr>
          <w:rFonts w:ascii="Palatino Linotype" w:eastAsia="Palatino Linotype" w:hAnsi="Palatino Linotype" w:cs="Palatino Linotype"/>
        </w:rPr>
        <w:t xml:space="preserve">: Frecuencia y tipo de mantenimiento realizado en los contenedores, estaciones de transferencia, y otros equipos. </w:t>
      </w:r>
    </w:p>
    <w:p w14:paraId="6EA01F24"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9.- Personal asignado para la recolección de basura: Número total de personas asignadas para la recolección de basura. Puestos específicos (chofer, ayudante, supervisor, etc.). </w:t>
      </w:r>
    </w:p>
    <w:p w14:paraId="0FD7ACEE"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10.- Sueldo neto y bruto de cada trabajador. Horario de trabajo del personal asignado (horas diarias y días de la semana). </w:t>
      </w:r>
    </w:p>
    <w:p w14:paraId="6011DBE2"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11. Experiencia y capacitación del personal (años de servicio, cursos de manejo de residuos, etc.). </w:t>
      </w:r>
    </w:p>
    <w:p w14:paraId="282D5A80"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12.- Dirección responsable del servicio de limpia, recolección y disposición final de residuos sólidos: Nombre y ubicación de la dirección encargada. Nombre del responsable o director del área. Datos de contacto (teléfono, correo electrónico). </w:t>
      </w:r>
    </w:p>
    <w:p w14:paraId="6EF59B77"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13.- Presupuesto asignado al servicio de limpia, recolección y disposición final de residuos sólidos (2016-2024): Monto del presupuesto anual asignado a estas actividades desde el año 2016 hasta el año 2024. Desglose del presupuesto por rubros (adquisición de camiones, mantenimiento, sueldos, combustibles, renta de camiones, infraestructura, etc.). Fuente de los recursos (municipales, estatales, federales, otros). Variaciones o ajustes presupuestarios realizados en cada año. Justificación para los cambios en el presupuesto durante el periodo mencionado. </w:t>
      </w:r>
    </w:p>
    <w:p w14:paraId="5F5A228F"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14.-Transferencia y disposición final de residuos sólidos: Destino final de los residuos sólidos una vez recolectados. Detalles del lugar o entidad a la que se transfieren los residuos (nombre, ubicación, tipo de instalación, etc.). </w:t>
      </w:r>
    </w:p>
    <w:p w14:paraId="1FECAB62"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15.- Información sobre si la transferencia se realiza por contrato o convenio. </w:t>
      </w:r>
    </w:p>
    <w:p w14:paraId="55778380"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16.- Solicitud de copia del contrato o convenio de transferencia de residuos. </w:t>
      </w:r>
    </w:p>
    <w:p w14:paraId="64FCA87A"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17.- Condiciones económicas de la transferencia</w:t>
      </w:r>
      <w:r w:rsidRPr="004827EF">
        <w:rPr>
          <w:rFonts w:ascii="Palatino Linotype" w:eastAsia="Palatino Linotype" w:hAnsi="Palatino Linotype" w:cs="Palatino Linotype"/>
        </w:rPr>
        <w:t xml:space="preserve">: si se paga por el servicio o si se recibe alguna remuneración. </w:t>
      </w:r>
    </w:p>
    <w:p w14:paraId="4BD84E80"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18.- </w:t>
      </w:r>
      <w:r w:rsidRPr="004827EF">
        <w:rPr>
          <w:rFonts w:ascii="Palatino Linotype" w:eastAsia="Palatino Linotype" w:hAnsi="Palatino Linotype" w:cs="Palatino Linotype"/>
          <w:b/>
        </w:rPr>
        <w:t>Centros de acopio y depósitos específicos</w:t>
      </w:r>
      <w:r w:rsidRPr="004827EF">
        <w:rPr>
          <w:rFonts w:ascii="Palatino Linotype" w:eastAsia="Palatino Linotype" w:hAnsi="Palatino Linotype" w:cs="Palatino Linotype"/>
        </w:rPr>
        <w:t>: Ubicación de centros de acopio de PET y depósitos de fierro en el municipio.</w:t>
      </w:r>
    </w:p>
    <w:p w14:paraId="444859D8"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19.- Información sobre los convenios o contratos establecidos para el manejo de PET y depósitos de fierro. </w:t>
      </w:r>
    </w:p>
    <w:p w14:paraId="26AB890A"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20.-Detalles sobre la existencia de alguna remuneración al municipio por el manejo de estos materiales o si el municipio paga a terceros por llevárselos. </w:t>
      </w:r>
    </w:p>
    <w:p w14:paraId="1DB508BF"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21.- Solicitud de copia de los convenios o contratos relacionados con estos centros de acopio y depósitos.  </w:t>
      </w:r>
    </w:p>
    <w:p w14:paraId="451D3F22"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respuesta, el </w:t>
      </w:r>
      <w:r w:rsidRPr="004827EF">
        <w:rPr>
          <w:rFonts w:ascii="Palatino Linotype" w:eastAsia="Palatino Linotype" w:hAnsi="Palatino Linotype" w:cs="Palatino Linotype"/>
          <w:b/>
        </w:rPr>
        <w:t xml:space="preserve">SUJETO OBLIGADO, </w:t>
      </w:r>
      <w:r w:rsidRPr="004827EF">
        <w:rPr>
          <w:rFonts w:ascii="Palatino Linotype" w:eastAsia="Palatino Linotype" w:hAnsi="Palatino Linotype" w:cs="Palatino Linotype"/>
        </w:rPr>
        <w:t>a través de su</w:t>
      </w:r>
      <w:r w:rsidRPr="004827EF">
        <w:rPr>
          <w:rFonts w:ascii="Palatino Linotype" w:eastAsia="Palatino Linotype" w:hAnsi="Palatino Linotype" w:cs="Palatino Linotype"/>
          <w:b/>
        </w:rPr>
        <w:t xml:space="preserve"> Dirección de Servicios Públicos Municipales, dio contestación a cada requerimiento.  </w:t>
      </w:r>
    </w:p>
    <w:p w14:paraId="0E0BDA97" w14:textId="77777777" w:rsidR="00BF22D2" w:rsidRPr="004827EF" w:rsidRDefault="00D63F3D">
      <w:pPr>
        <w:spacing w:before="240" w:after="240" w:line="360" w:lineRule="auto"/>
        <w:ind w:right="51"/>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La parte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al presentar el recurso de revisión que nos ocupa, en lo medular por la entrega de la información incompleta.</w:t>
      </w:r>
    </w:p>
    <w:p w14:paraId="77CD8128" w14:textId="77777777" w:rsidR="00BF22D2" w:rsidRPr="004827EF" w:rsidRDefault="00D63F3D">
      <w:pPr>
        <w:spacing w:before="240" w:after="240" w:line="360" w:lineRule="auto"/>
        <w:ind w:right="51"/>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Ante la interposición del recurso de revisión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fue omiso en rendir su informe justificado. </w:t>
      </w:r>
    </w:p>
    <w:p w14:paraId="21E0E57A"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virtud de lo anterior, se determina que la información emitida por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en su respuesta, no cumple con lo establecido por los artículos 4, 12, 24 </w:t>
      </w:r>
      <w:r w:rsidRPr="004827EF">
        <w:rPr>
          <w:rFonts w:ascii="Palatino Linotype" w:eastAsia="Palatino Linotype" w:hAnsi="Palatino Linotype" w:cs="Palatino Linotype"/>
        </w:rPr>
        <w:lastRenderedPageBreak/>
        <w:t xml:space="preserve">último párrafo y 162 de la Ley de Transparencia y Acceso a la Información Pública del Estado de México y Municipios; de ahí que, los motivos de inconformidad acontecen fundados para modificar la respuesta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en razón de las consideraciones de derecho que a continuación se exponen:</w:t>
      </w:r>
    </w:p>
    <w:p w14:paraId="4BD03C3B"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veintisiete de agosto del año dos mil veinticuatro, discernimiento que encuentra apoyado en los Criterios 1/2010 y 2/2010,  emitidos por el “Comité de Acceso a la Información y Protección de Datos personales” de la Suprema Corte de Justicia de la Nación, que disponen: </w:t>
      </w:r>
    </w:p>
    <w:p w14:paraId="0EA38525" w14:textId="77777777" w:rsidR="00BF22D2" w:rsidRPr="004827EF" w:rsidRDefault="00BF22D2">
      <w:pPr>
        <w:spacing w:line="360" w:lineRule="auto"/>
        <w:jc w:val="both"/>
        <w:rPr>
          <w:rFonts w:ascii="Palatino Linotype" w:eastAsia="Palatino Linotype" w:hAnsi="Palatino Linotype" w:cs="Palatino Linotype"/>
        </w:rPr>
      </w:pPr>
    </w:p>
    <w:p w14:paraId="32378A86"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rPr>
        <w:t xml:space="preserve"> </w:t>
      </w:r>
      <w:r w:rsidRPr="004827EF">
        <w:rPr>
          <w:rFonts w:ascii="Palatino Linotype" w:eastAsia="Palatino Linotype" w:hAnsi="Palatino Linotype" w:cs="Palatino Linotype"/>
          <w:i/>
          <w:sz w:val="22"/>
          <w:szCs w:val="22"/>
        </w:rPr>
        <w:t>“Criterio 1/2010</w:t>
      </w:r>
    </w:p>
    <w:p w14:paraId="17CA055B"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3C3C4342"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6EED1497"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lastRenderedPageBreak/>
        <w:t>Clasificación de Información 69/2009-A. 30 de septiembre de 2009. Unanimidad de votos.”</w:t>
      </w:r>
    </w:p>
    <w:p w14:paraId="183BC7FD"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“Criterio 2/2010.</w:t>
      </w:r>
    </w:p>
    <w:p w14:paraId="4873F460"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2372DAF2"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0846481D"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Clasificación de Información 69/2009-A. 30 de septiembre de 2009. Unanimidad de votos</w:t>
      </w:r>
      <w:proofErr w:type="gramStart"/>
      <w:r w:rsidRPr="004827EF">
        <w:rPr>
          <w:rFonts w:ascii="Palatino Linotype" w:eastAsia="Palatino Linotype" w:hAnsi="Palatino Linotype" w:cs="Palatino Linotype"/>
          <w:i/>
          <w:sz w:val="22"/>
          <w:szCs w:val="22"/>
        </w:rPr>
        <w:t>.”(</w:t>
      </w:r>
      <w:proofErr w:type="gramEnd"/>
      <w:r w:rsidRPr="004827EF">
        <w:rPr>
          <w:rFonts w:ascii="Palatino Linotype" w:eastAsia="Palatino Linotype" w:hAnsi="Palatino Linotype" w:cs="Palatino Linotype"/>
          <w:i/>
          <w:sz w:val="22"/>
          <w:szCs w:val="22"/>
        </w:rPr>
        <w:t>Sic)</w:t>
      </w:r>
    </w:p>
    <w:p w14:paraId="0B493DFB" w14:textId="77777777" w:rsidR="00BF22D2" w:rsidRPr="004827EF" w:rsidRDefault="00BF22D2">
      <w:pPr>
        <w:spacing w:line="360" w:lineRule="auto"/>
        <w:jc w:val="both"/>
        <w:rPr>
          <w:rFonts w:ascii="Palatino Linotype" w:eastAsia="Palatino Linotype" w:hAnsi="Palatino Linotype" w:cs="Palatino Linotype"/>
        </w:rPr>
      </w:pPr>
    </w:p>
    <w:p w14:paraId="13DB7790"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Asimismo, se debe precisar </w:t>
      </w:r>
      <w:proofErr w:type="gramStart"/>
      <w:r w:rsidRPr="004827EF">
        <w:rPr>
          <w:rFonts w:ascii="Palatino Linotype" w:eastAsia="Palatino Linotype" w:hAnsi="Palatino Linotype" w:cs="Palatino Linotype"/>
        </w:rPr>
        <w:t>que</w:t>
      </w:r>
      <w:proofErr w:type="gramEnd"/>
      <w:r w:rsidRPr="004827EF">
        <w:rPr>
          <w:rFonts w:ascii="Palatino Linotype" w:eastAsia="Palatino Linotype" w:hAnsi="Palatino Linotype" w:cs="Palatino Linotype"/>
        </w:rPr>
        <w:t xml:space="preserve"> de los motivos de inconformidad de la parte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no se advierte inconformidad respecto a las localidades y días de la semana, relacionado con el punto 1, concerniente a:</w:t>
      </w:r>
    </w:p>
    <w:p w14:paraId="65869DAF"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 Recorridos de los camiones de basura en las diferentes localidades del municipio de Temoaya: Listado de localidades y sus respectivos recorridos. Frecuencia con la que pasan los camiones de basura en cada localidad (número de veces por semana). Días de la semana en que se realiza la recolección de basura en cada localidad. </w:t>
      </w:r>
    </w:p>
    <w:p w14:paraId="785C42A0"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674DE3A" w14:textId="77777777" w:rsidR="00BF22D2" w:rsidRPr="004827EF" w:rsidRDefault="00D63F3D">
      <w:pPr>
        <w:spacing w:before="240" w:after="240" w:line="276" w:lineRule="auto"/>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sz w:val="22"/>
          <w:szCs w:val="22"/>
        </w:rPr>
        <w:lastRenderedPageBreak/>
        <w:t>“</w:t>
      </w:r>
      <w:r w:rsidRPr="004827EF">
        <w:rPr>
          <w:rFonts w:ascii="Palatino Linotype" w:eastAsia="Palatino Linotype" w:hAnsi="Palatino Linotype" w:cs="Palatino Linotype"/>
          <w:b/>
          <w:i/>
          <w:sz w:val="22"/>
          <w:szCs w:val="22"/>
        </w:rPr>
        <w:t>REVISIÓN EN AMPARO. LOS RESOLUTIVOS NO COMBATIDOS DEBEN DECLARARSE FIRMES</w:t>
      </w:r>
      <w:r w:rsidRPr="004827EF">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4827EF">
        <w:rPr>
          <w:rFonts w:ascii="Palatino Linotype" w:eastAsia="Palatino Linotype" w:hAnsi="Palatino Linotype" w:cs="Palatino Linotype"/>
          <w:i/>
          <w:sz w:val="22"/>
          <w:szCs w:val="22"/>
        </w:rPr>
        <w:t>.”(</w:t>
      </w:r>
      <w:proofErr w:type="gramEnd"/>
      <w:r w:rsidRPr="004827EF">
        <w:rPr>
          <w:rFonts w:ascii="Palatino Linotype" w:eastAsia="Palatino Linotype" w:hAnsi="Palatino Linotype" w:cs="Palatino Linotype"/>
          <w:i/>
          <w:sz w:val="22"/>
          <w:szCs w:val="22"/>
        </w:rPr>
        <w:t>Sic)</w:t>
      </w:r>
    </w:p>
    <w:p w14:paraId="4C7E1257"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Esto es, la parte de la solicitud sobre la que no se expresó inconformidad, debe declararse consentida por la parte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1B926115"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59A3356C" w14:textId="77777777" w:rsidR="00BF22D2" w:rsidRPr="004827EF" w:rsidRDefault="00D63F3D">
      <w:pPr>
        <w:spacing w:before="240" w:after="240" w:line="276" w:lineRule="auto"/>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ACTOS CONSENTIDOS. SON LOS QUE NO SE IMPUGNAN MEDIANTE EL RECURSO IDÓNEO</w:t>
      </w:r>
      <w:r w:rsidRPr="004827EF">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6545656C"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Ahora bien, para esclarecer el presente asunto se procede a realizar un cuadro comparativo de los requerimientos de información con lo entregado en respuesta para determinar sí se colmó el derecho de acceso a la información pública de la parte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conforme a lo siguiente:</w:t>
      </w:r>
    </w:p>
    <w:p w14:paraId="3250BD5F" w14:textId="77777777" w:rsidR="00BF22D2" w:rsidRPr="004827EF" w:rsidRDefault="00BF22D2">
      <w:pPr>
        <w:spacing w:line="360" w:lineRule="auto"/>
        <w:jc w:val="both"/>
        <w:rPr>
          <w:rFonts w:ascii="Palatino Linotype" w:eastAsia="Palatino Linotype" w:hAnsi="Palatino Linotype" w:cs="Palatino Linotype"/>
        </w:rPr>
      </w:pP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0"/>
        <w:gridCol w:w="4317"/>
        <w:gridCol w:w="1701"/>
        <w:gridCol w:w="1320"/>
      </w:tblGrid>
      <w:tr w:rsidR="004827EF" w:rsidRPr="004827EF" w14:paraId="2454AAE6" w14:textId="77777777">
        <w:trPr>
          <w:jc w:val="center"/>
        </w:trPr>
        <w:tc>
          <w:tcPr>
            <w:tcW w:w="1490" w:type="dxa"/>
          </w:tcPr>
          <w:p w14:paraId="5E7DB6E2"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 xml:space="preserve">Requerimiento </w:t>
            </w:r>
          </w:p>
        </w:tc>
        <w:tc>
          <w:tcPr>
            <w:tcW w:w="4317" w:type="dxa"/>
          </w:tcPr>
          <w:p w14:paraId="17DDDFFC"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Respuesta</w:t>
            </w:r>
          </w:p>
          <w:p w14:paraId="35E67EE5"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Dirección de Servicios Públicos Municipales</w:t>
            </w:r>
          </w:p>
        </w:tc>
        <w:tc>
          <w:tcPr>
            <w:tcW w:w="1701" w:type="dxa"/>
          </w:tcPr>
          <w:p w14:paraId="669EE171"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Observaciones </w:t>
            </w:r>
          </w:p>
        </w:tc>
        <w:tc>
          <w:tcPr>
            <w:tcW w:w="1320" w:type="dxa"/>
          </w:tcPr>
          <w:p w14:paraId="783BAC7A"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Colma </w:t>
            </w:r>
          </w:p>
        </w:tc>
      </w:tr>
      <w:tr w:rsidR="004827EF" w:rsidRPr="004827EF" w14:paraId="2079E585" w14:textId="77777777">
        <w:trPr>
          <w:jc w:val="center"/>
        </w:trPr>
        <w:tc>
          <w:tcPr>
            <w:tcW w:w="1490" w:type="dxa"/>
          </w:tcPr>
          <w:p w14:paraId="5F2D06A8" w14:textId="77777777" w:rsidR="00BF22D2" w:rsidRPr="004827EF" w:rsidRDefault="00D63F3D">
            <w:pPr>
              <w:spacing w:before="240"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2.- Horarios específicos de recolección para cada localidad. </w:t>
            </w:r>
          </w:p>
        </w:tc>
        <w:tc>
          <w:tcPr>
            <w:tcW w:w="4317" w:type="dxa"/>
          </w:tcPr>
          <w:p w14:paraId="5D653159" w14:textId="77777777" w:rsidR="00BF22D2" w:rsidRPr="004827EF" w:rsidRDefault="00D63F3D">
            <w:pPr>
              <w:spacing w:before="240"/>
              <w:ind w:right="51"/>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Aclaró que no se tiene un horario específico para cada comunidad; sin </w:t>
            </w:r>
            <w:proofErr w:type="gramStart"/>
            <w:r w:rsidRPr="004827EF">
              <w:rPr>
                <w:rFonts w:ascii="Palatino Linotype" w:eastAsia="Palatino Linotype" w:hAnsi="Palatino Linotype" w:cs="Palatino Linotype"/>
                <w:sz w:val="18"/>
                <w:szCs w:val="18"/>
              </w:rPr>
              <w:t>embargo</w:t>
            </w:r>
            <w:proofErr w:type="gramEnd"/>
            <w:r w:rsidRPr="004827EF">
              <w:rPr>
                <w:rFonts w:ascii="Palatino Linotype" w:eastAsia="Palatino Linotype" w:hAnsi="Palatino Linotype" w:cs="Palatino Linotype"/>
                <w:sz w:val="18"/>
                <w:szCs w:val="18"/>
              </w:rPr>
              <w:t xml:space="preserve"> el horario estipulado en su contrato es de lunes a viernes de 8:00 a 17:00 horas.</w:t>
            </w:r>
          </w:p>
          <w:p w14:paraId="0E2306C4" w14:textId="77777777" w:rsidR="00BF22D2" w:rsidRPr="004827EF" w:rsidRDefault="00BF22D2">
            <w:pPr>
              <w:spacing w:after="240"/>
              <w:jc w:val="both"/>
              <w:rPr>
                <w:rFonts w:ascii="Palatino Linotype" w:eastAsia="Palatino Linotype" w:hAnsi="Palatino Linotype" w:cs="Palatino Linotype"/>
                <w:sz w:val="18"/>
                <w:szCs w:val="18"/>
              </w:rPr>
            </w:pPr>
          </w:p>
        </w:tc>
        <w:tc>
          <w:tcPr>
            <w:tcW w:w="1701" w:type="dxa"/>
          </w:tcPr>
          <w:p w14:paraId="70C7421A" w14:textId="77777777" w:rsidR="00BF22D2" w:rsidRPr="004827EF" w:rsidRDefault="00BF22D2">
            <w:pPr>
              <w:jc w:val="both"/>
              <w:rPr>
                <w:rFonts w:ascii="Palatino Linotype" w:eastAsia="Palatino Linotype" w:hAnsi="Palatino Linotype" w:cs="Palatino Linotype"/>
                <w:sz w:val="18"/>
                <w:szCs w:val="18"/>
              </w:rPr>
            </w:pPr>
          </w:p>
          <w:p w14:paraId="273FC26D"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Proporciona el horario y señaló que no tiene un horario por cada comunidad </w:t>
            </w:r>
          </w:p>
          <w:p w14:paraId="5412A77D" w14:textId="77777777" w:rsidR="00BF22D2" w:rsidRPr="004827EF" w:rsidRDefault="00BF22D2">
            <w:pPr>
              <w:jc w:val="both"/>
              <w:rPr>
                <w:rFonts w:ascii="Palatino Linotype" w:eastAsia="Palatino Linotype" w:hAnsi="Palatino Linotype" w:cs="Palatino Linotype"/>
                <w:sz w:val="18"/>
                <w:szCs w:val="18"/>
              </w:rPr>
            </w:pPr>
          </w:p>
          <w:p w14:paraId="6AB042B8"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Asume que hay un contrato. </w:t>
            </w:r>
          </w:p>
        </w:tc>
        <w:tc>
          <w:tcPr>
            <w:tcW w:w="1320" w:type="dxa"/>
          </w:tcPr>
          <w:p w14:paraId="06FC84A8"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Sí</w:t>
            </w:r>
          </w:p>
        </w:tc>
      </w:tr>
      <w:tr w:rsidR="004827EF" w:rsidRPr="004827EF" w14:paraId="7533A74E" w14:textId="77777777">
        <w:trPr>
          <w:jc w:val="center"/>
        </w:trPr>
        <w:tc>
          <w:tcPr>
            <w:tcW w:w="1490" w:type="dxa"/>
          </w:tcPr>
          <w:p w14:paraId="7F66D38A"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 3.- Inventario de camiones de basura del municipio de Temoaya: Número total de camiones o unidades de basura con las que cuenta el municipio. Distinción entre camiones propios y camiones rentados. Detalles de los camiones propios: </w:t>
            </w:r>
          </w:p>
          <w:p w14:paraId="26CE4620"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-Fecha de adquisición de cada camión. </w:t>
            </w:r>
          </w:p>
          <w:p w14:paraId="5265102B" w14:textId="77777777" w:rsidR="00BF22D2" w:rsidRPr="004827EF" w:rsidRDefault="00BF22D2">
            <w:pPr>
              <w:jc w:val="both"/>
              <w:rPr>
                <w:rFonts w:ascii="Palatino Linotype" w:eastAsia="Palatino Linotype" w:hAnsi="Palatino Linotype" w:cs="Palatino Linotype"/>
                <w:sz w:val="18"/>
                <w:szCs w:val="18"/>
              </w:rPr>
            </w:pPr>
          </w:p>
          <w:p w14:paraId="0A2A1399"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-Costo de adquisición de cada camión. </w:t>
            </w:r>
          </w:p>
          <w:p w14:paraId="0B3E7D1F" w14:textId="77777777" w:rsidR="00BF22D2" w:rsidRPr="004827EF" w:rsidRDefault="00BF22D2">
            <w:pPr>
              <w:jc w:val="both"/>
              <w:rPr>
                <w:rFonts w:ascii="Palatino Linotype" w:eastAsia="Palatino Linotype" w:hAnsi="Palatino Linotype" w:cs="Palatino Linotype"/>
                <w:sz w:val="18"/>
                <w:szCs w:val="18"/>
              </w:rPr>
            </w:pPr>
          </w:p>
          <w:p w14:paraId="7752CC00"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Detalles de los camiones rentados:</w:t>
            </w:r>
          </w:p>
          <w:p w14:paraId="3E690F9D" w14:textId="77777777" w:rsidR="00BF22D2" w:rsidRPr="004827EF" w:rsidRDefault="00BF22D2">
            <w:pPr>
              <w:jc w:val="both"/>
              <w:rPr>
                <w:rFonts w:ascii="Palatino Linotype" w:eastAsia="Palatino Linotype" w:hAnsi="Palatino Linotype" w:cs="Palatino Linotype"/>
                <w:sz w:val="18"/>
                <w:szCs w:val="18"/>
              </w:rPr>
            </w:pPr>
          </w:p>
          <w:p w14:paraId="5F88DE5D"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-Fecha desde la que se rentan. </w:t>
            </w:r>
          </w:p>
          <w:p w14:paraId="20C777F2" w14:textId="77777777" w:rsidR="00BF22D2" w:rsidRPr="004827EF" w:rsidRDefault="00BF22D2">
            <w:pPr>
              <w:jc w:val="both"/>
              <w:rPr>
                <w:rFonts w:ascii="Palatino Linotype" w:eastAsia="Palatino Linotype" w:hAnsi="Palatino Linotype" w:cs="Palatino Linotype"/>
                <w:sz w:val="18"/>
                <w:szCs w:val="18"/>
              </w:rPr>
            </w:pPr>
          </w:p>
          <w:p w14:paraId="1F513072"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-Nombre de la empresa o </w:t>
            </w:r>
            <w:r w:rsidRPr="004827EF">
              <w:rPr>
                <w:rFonts w:ascii="Palatino Linotype" w:eastAsia="Palatino Linotype" w:hAnsi="Palatino Linotype" w:cs="Palatino Linotype"/>
                <w:sz w:val="18"/>
                <w:szCs w:val="18"/>
              </w:rPr>
              <w:lastRenderedPageBreak/>
              <w:t xml:space="preserve">persona a quien se rentan. </w:t>
            </w:r>
          </w:p>
          <w:p w14:paraId="08BC3B5E"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-Costo de renta de cada camión. </w:t>
            </w:r>
          </w:p>
          <w:p w14:paraId="383E303C" w14:textId="77777777" w:rsidR="00BF22D2" w:rsidRPr="004827EF" w:rsidRDefault="00BF22D2">
            <w:pPr>
              <w:jc w:val="both"/>
              <w:rPr>
                <w:rFonts w:ascii="Palatino Linotype" w:eastAsia="Palatino Linotype" w:hAnsi="Palatino Linotype" w:cs="Palatino Linotype"/>
                <w:sz w:val="18"/>
                <w:szCs w:val="18"/>
              </w:rPr>
            </w:pPr>
          </w:p>
          <w:p w14:paraId="44CD3248"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-Duración del contrato de renta de cada camión. </w:t>
            </w:r>
          </w:p>
          <w:p w14:paraId="0F0ECEBF" w14:textId="77777777" w:rsidR="00BF22D2" w:rsidRPr="004827EF" w:rsidRDefault="00BF22D2">
            <w:pPr>
              <w:jc w:val="both"/>
              <w:rPr>
                <w:rFonts w:ascii="Palatino Linotype" w:eastAsia="Palatino Linotype" w:hAnsi="Palatino Linotype" w:cs="Palatino Linotype"/>
                <w:sz w:val="18"/>
                <w:szCs w:val="18"/>
              </w:rPr>
            </w:pPr>
          </w:p>
          <w:p w14:paraId="461E4004"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Características de cada camión de basura: </w:t>
            </w:r>
          </w:p>
          <w:p w14:paraId="118AB000" w14:textId="77777777" w:rsidR="00BF22D2" w:rsidRPr="004827EF" w:rsidRDefault="00BF22D2">
            <w:pPr>
              <w:jc w:val="both"/>
              <w:rPr>
                <w:rFonts w:ascii="Palatino Linotype" w:eastAsia="Palatino Linotype" w:hAnsi="Palatino Linotype" w:cs="Palatino Linotype"/>
                <w:sz w:val="18"/>
                <w:szCs w:val="18"/>
              </w:rPr>
            </w:pPr>
          </w:p>
          <w:p w14:paraId="108E9B9D"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-Capacidad de carga: (en toneladas o metros cúbicos de residuos sólidos). </w:t>
            </w:r>
          </w:p>
          <w:p w14:paraId="49F47E92" w14:textId="77777777" w:rsidR="00BF22D2" w:rsidRPr="004827EF" w:rsidRDefault="00BF22D2">
            <w:pPr>
              <w:jc w:val="both"/>
              <w:rPr>
                <w:rFonts w:ascii="Palatino Linotype" w:eastAsia="Palatino Linotype" w:hAnsi="Palatino Linotype" w:cs="Palatino Linotype"/>
                <w:sz w:val="18"/>
                <w:szCs w:val="18"/>
              </w:rPr>
            </w:pPr>
          </w:p>
          <w:p w14:paraId="43A88B25"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-Año de fabricación: </w:t>
            </w:r>
          </w:p>
          <w:p w14:paraId="33EED7B2" w14:textId="77777777" w:rsidR="00BF22D2" w:rsidRPr="004827EF" w:rsidRDefault="00BF22D2">
            <w:pPr>
              <w:jc w:val="both"/>
              <w:rPr>
                <w:rFonts w:ascii="Palatino Linotype" w:eastAsia="Palatino Linotype" w:hAnsi="Palatino Linotype" w:cs="Palatino Linotype"/>
                <w:sz w:val="18"/>
                <w:szCs w:val="18"/>
              </w:rPr>
            </w:pPr>
          </w:p>
          <w:p w14:paraId="6CD5858D"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-Año en que se fabricó cada camión. </w:t>
            </w:r>
          </w:p>
          <w:p w14:paraId="567173C6"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Modelo: </w:t>
            </w:r>
          </w:p>
          <w:p w14:paraId="59734F04"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Modelo específico de cada camión. </w:t>
            </w:r>
          </w:p>
          <w:p w14:paraId="37AB2F5C" w14:textId="77777777" w:rsidR="00BF22D2" w:rsidRPr="004827EF" w:rsidRDefault="00BF22D2">
            <w:pPr>
              <w:jc w:val="both"/>
              <w:rPr>
                <w:rFonts w:ascii="Palatino Linotype" w:eastAsia="Palatino Linotype" w:hAnsi="Palatino Linotype" w:cs="Palatino Linotype"/>
                <w:sz w:val="18"/>
                <w:szCs w:val="18"/>
              </w:rPr>
            </w:pPr>
          </w:p>
          <w:p w14:paraId="3D44AD45"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-Tipo de camión: (por ejemplo, compactador, recolector lateral, recolector trasero, etc.). </w:t>
            </w:r>
          </w:p>
          <w:p w14:paraId="0EB80989" w14:textId="77777777" w:rsidR="00BF22D2" w:rsidRPr="004827EF" w:rsidRDefault="00BF22D2">
            <w:pPr>
              <w:jc w:val="both"/>
              <w:rPr>
                <w:rFonts w:ascii="Palatino Linotype" w:eastAsia="Palatino Linotype" w:hAnsi="Palatino Linotype" w:cs="Palatino Linotype"/>
                <w:sz w:val="18"/>
                <w:szCs w:val="18"/>
              </w:rPr>
            </w:pPr>
          </w:p>
          <w:p w14:paraId="45527B9A"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-Condición actual del vehículo: Estado del camión (nuevo, usado, en reparación, </w:t>
            </w:r>
            <w:r w:rsidRPr="004827EF">
              <w:rPr>
                <w:rFonts w:ascii="Palatino Linotype" w:eastAsia="Palatino Linotype" w:hAnsi="Palatino Linotype" w:cs="Palatino Linotype"/>
                <w:sz w:val="18"/>
                <w:szCs w:val="18"/>
              </w:rPr>
              <w:lastRenderedPageBreak/>
              <w:t xml:space="preserve">fuera de servicio). </w:t>
            </w:r>
          </w:p>
          <w:p w14:paraId="085C8A95" w14:textId="77777777" w:rsidR="00BF22D2" w:rsidRPr="004827EF" w:rsidRDefault="00BF22D2">
            <w:pPr>
              <w:jc w:val="both"/>
              <w:rPr>
                <w:rFonts w:ascii="Palatino Linotype" w:eastAsia="Palatino Linotype" w:hAnsi="Palatino Linotype" w:cs="Palatino Linotype"/>
                <w:sz w:val="18"/>
                <w:szCs w:val="18"/>
              </w:rPr>
            </w:pPr>
          </w:p>
          <w:p w14:paraId="613D1C1E"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-Kilometraje actual: Total de kilómetros recorridos por cada camión. </w:t>
            </w:r>
          </w:p>
          <w:p w14:paraId="006C8843" w14:textId="77777777" w:rsidR="00BF22D2" w:rsidRPr="004827EF" w:rsidRDefault="00BF22D2">
            <w:pPr>
              <w:jc w:val="both"/>
              <w:rPr>
                <w:rFonts w:ascii="Palatino Linotype" w:eastAsia="Palatino Linotype" w:hAnsi="Palatino Linotype" w:cs="Palatino Linotype"/>
                <w:sz w:val="18"/>
                <w:szCs w:val="18"/>
              </w:rPr>
            </w:pPr>
          </w:p>
          <w:p w14:paraId="5EB43241"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-Tipo de combustible utilizado: (diésel, gasolina, gas natural, etc.). </w:t>
            </w:r>
          </w:p>
          <w:p w14:paraId="41F8BF22" w14:textId="77777777" w:rsidR="00BF22D2" w:rsidRPr="004827EF" w:rsidRDefault="00BF22D2">
            <w:pPr>
              <w:jc w:val="both"/>
              <w:rPr>
                <w:rFonts w:ascii="Palatino Linotype" w:eastAsia="Palatino Linotype" w:hAnsi="Palatino Linotype" w:cs="Palatino Linotype"/>
                <w:sz w:val="18"/>
                <w:szCs w:val="18"/>
              </w:rPr>
            </w:pPr>
          </w:p>
          <w:p w14:paraId="7EC94048"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-Consumo de combustible: </w:t>
            </w:r>
          </w:p>
          <w:p w14:paraId="09B40E8F" w14:textId="77777777" w:rsidR="00BF22D2" w:rsidRPr="004827EF" w:rsidRDefault="00BF22D2">
            <w:pPr>
              <w:jc w:val="both"/>
              <w:rPr>
                <w:rFonts w:ascii="Palatino Linotype" w:eastAsia="Palatino Linotype" w:hAnsi="Palatino Linotype" w:cs="Palatino Linotype"/>
                <w:sz w:val="18"/>
                <w:szCs w:val="18"/>
              </w:rPr>
            </w:pPr>
          </w:p>
          <w:p w14:paraId="5B9F35ED"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Rendimiento promedio de combustible por kilómetro. </w:t>
            </w:r>
          </w:p>
          <w:p w14:paraId="05E4A4DC" w14:textId="77777777" w:rsidR="00BF22D2" w:rsidRPr="004827EF" w:rsidRDefault="00BF22D2">
            <w:pPr>
              <w:jc w:val="both"/>
              <w:rPr>
                <w:rFonts w:ascii="Palatino Linotype" w:eastAsia="Palatino Linotype" w:hAnsi="Palatino Linotype" w:cs="Palatino Linotype"/>
                <w:sz w:val="18"/>
                <w:szCs w:val="18"/>
              </w:rPr>
            </w:pPr>
          </w:p>
          <w:p w14:paraId="2F9544A5"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-Características técnicas adicionales: </w:t>
            </w:r>
          </w:p>
          <w:p w14:paraId="0C7734AD"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-Número de ejes. Capacidad del motor (en caballos de fuerza). Equipamiento especial (como sistemas de compactación, elevadores hidráulicos, etc.). </w:t>
            </w:r>
          </w:p>
          <w:p w14:paraId="542C964E" w14:textId="77777777" w:rsidR="00BF22D2" w:rsidRPr="004827EF" w:rsidRDefault="00BF22D2">
            <w:pPr>
              <w:jc w:val="both"/>
              <w:rPr>
                <w:rFonts w:ascii="Palatino Linotype" w:eastAsia="Palatino Linotype" w:hAnsi="Palatino Linotype" w:cs="Palatino Linotype"/>
                <w:sz w:val="18"/>
                <w:szCs w:val="18"/>
              </w:rPr>
            </w:pPr>
          </w:p>
          <w:p w14:paraId="4D8F16C9"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-Mantenimiento: Frecuencia del mantenimiento (mensual, trimestral, etc.) y tipo de mantenimiento realizado. </w:t>
            </w:r>
          </w:p>
          <w:p w14:paraId="0569FECE" w14:textId="77777777" w:rsidR="00BF22D2" w:rsidRPr="004827EF" w:rsidRDefault="00BF22D2">
            <w:pPr>
              <w:jc w:val="both"/>
              <w:rPr>
                <w:rFonts w:ascii="Palatino Linotype" w:eastAsia="Palatino Linotype" w:hAnsi="Palatino Linotype" w:cs="Palatino Linotype"/>
                <w:sz w:val="18"/>
                <w:szCs w:val="18"/>
              </w:rPr>
            </w:pPr>
          </w:p>
          <w:p w14:paraId="4E60D9E2"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Años de vida útil restante: </w:t>
            </w:r>
          </w:p>
          <w:p w14:paraId="7493A404" w14:textId="77777777" w:rsidR="00BF22D2" w:rsidRPr="004827EF" w:rsidRDefault="00BF22D2">
            <w:pPr>
              <w:jc w:val="both"/>
              <w:rPr>
                <w:rFonts w:ascii="Palatino Linotype" w:eastAsia="Palatino Linotype" w:hAnsi="Palatino Linotype" w:cs="Palatino Linotype"/>
                <w:sz w:val="18"/>
                <w:szCs w:val="18"/>
              </w:rPr>
            </w:pPr>
          </w:p>
          <w:p w14:paraId="5F082364"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Estimación del tiempo que cada camión podrá seguir operando eficientemente. </w:t>
            </w:r>
          </w:p>
          <w:p w14:paraId="56428992" w14:textId="77777777" w:rsidR="00BF22D2" w:rsidRPr="004827EF" w:rsidRDefault="00BF22D2">
            <w:pPr>
              <w:jc w:val="both"/>
              <w:rPr>
                <w:rFonts w:ascii="Palatino Linotype" w:eastAsia="Palatino Linotype" w:hAnsi="Palatino Linotype" w:cs="Palatino Linotype"/>
                <w:sz w:val="18"/>
                <w:szCs w:val="18"/>
              </w:rPr>
            </w:pPr>
          </w:p>
          <w:p w14:paraId="51A48280" w14:textId="77777777" w:rsidR="00BF22D2" w:rsidRPr="004827EF" w:rsidRDefault="00BF22D2">
            <w:pPr>
              <w:spacing w:after="240"/>
              <w:jc w:val="both"/>
              <w:rPr>
                <w:rFonts w:ascii="Palatino Linotype" w:eastAsia="Palatino Linotype" w:hAnsi="Palatino Linotype" w:cs="Palatino Linotype"/>
                <w:sz w:val="18"/>
                <w:szCs w:val="18"/>
              </w:rPr>
            </w:pPr>
          </w:p>
        </w:tc>
        <w:tc>
          <w:tcPr>
            <w:tcW w:w="4317" w:type="dxa"/>
          </w:tcPr>
          <w:p w14:paraId="2F2F47E3" w14:textId="77777777" w:rsidR="00BF22D2" w:rsidRPr="004827EF" w:rsidRDefault="00BF22D2">
            <w:pPr>
              <w:jc w:val="both"/>
              <w:rPr>
                <w:rFonts w:ascii="Palatino Linotype" w:eastAsia="Palatino Linotype" w:hAnsi="Palatino Linotype" w:cs="Palatino Linotype"/>
                <w:sz w:val="18"/>
                <w:szCs w:val="18"/>
              </w:rPr>
            </w:pPr>
          </w:p>
          <w:p w14:paraId="43E58BB5" w14:textId="77777777" w:rsidR="00BF22D2" w:rsidRPr="004827EF" w:rsidRDefault="00D63F3D">
            <w:pPr>
              <w:ind w:right="51"/>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Señaló que el Municipio cuenta con 13 unidades recolectora de residuos las cuales 6 son de renta y las otras pertenecen al Municipio, proporcionando de cada uno lo siguiente:</w:t>
            </w:r>
          </w:p>
          <w:p w14:paraId="582D7A17" w14:textId="77777777" w:rsidR="00BF22D2" w:rsidRPr="004827EF" w:rsidRDefault="00BF22D2">
            <w:pPr>
              <w:ind w:right="51"/>
              <w:jc w:val="both"/>
              <w:rPr>
                <w:rFonts w:ascii="Palatino Linotype" w:eastAsia="Palatino Linotype" w:hAnsi="Palatino Linotype" w:cs="Palatino Linotype"/>
                <w:sz w:val="18"/>
                <w:szCs w:val="18"/>
              </w:rPr>
            </w:pPr>
          </w:p>
          <w:p w14:paraId="63B1AE4D" w14:textId="77777777" w:rsidR="00BF22D2" w:rsidRPr="004827EF" w:rsidRDefault="00D63F3D">
            <w:pPr>
              <w:ind w:right="51"/>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noProof/>
                <w:lang w:val="es-MX"/>
              </w:rPr>
              <w:drawing>
                <wp:inline distT="0" distB="0" distL="0" distR="0" wp14:anchorId="6EDF36C7" wp14:editId="04457106">
                  <wp:extent cx="2361149" cy="2837102"/>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361149" cy="2837102"/>
                          </a:xfrm>
                          <a:prstGeom prst="rect">
                            <a:avLst/>
                          </a:prstGeom>
                          <a:ln/>
                        </pic:spPr>
                      </pic:pic>
                    </a:graphicData>
                  </a:graphic>
                </wp:inline>
              </w:drawing>
            </w:r>
          </w:p>
          <w:p w14:paraId="3278BA08" w14:textId="77777777" w:rsidR="00BF22D2" w:rsidRPr="004827EF" w:rsidRDefault="00D63F3D">
            <w:pPr>
              <w:ind w:right="51"/>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noProof/>
                <w:lang w:val="es-MX"/>
              </w:rPr>
              <w:lastRenderedPageBreak/>
              <w:drawing>
                <wp:inline distT="0" distB="0" distL="0" distR="0" wp14:anchorId="770DA90D" wp14:editId="621B4890">
                  <wp:extent cx="2661202" cy="6496575"/>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661202" cy="6496575"/>
                          </a:xfrm>
                          <a:prstGeom prst="rect">
                            <a:avLst/>
                          </a:prstGeom>
                          <a:ln/>
                        </pic:spPr>
                      </pic:pic>
                    </a:graphicData>
                  </a:graphic>
                </wp:inline>
              </w:drawing>
            </w:r>
          </w:p>
          <w:p w14:paraId="5C859A9F" w14:textId="77777777" w:rsidR="00BF22D2" w:rsidRPr="004827EF" w:rsidRDefault="00BF22D2">
            <w:pPr>
              <w:ind w:right="51"/>
              <w:jc w:val="both"/>
              <w:rPr>
                <w:rFonts w:ascii="Palatino Linotype" w:eastAsia="Palatino Linotype" w:hAnsi="Palatino Linotype" w:cs="Palatino Linotype"/>
                <w:sz w:val="18"/>
                <w:szCs w:val="18"/>
              </w:rPr>
            </w:pPr>
          </w:p>
          <w:p w14:paraId="0C89BE2D" w14:textId="77777777" w:rsidR="00BF22D2" w:rsidRPr="004827EF" w:rsidRDefault="00D63F3D">
            <w:pPr>
              <w:spacing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u w:val="single"/>
              </w:rPr>
              <w:t>En cuanto a los detalles de cada unidad como son de renta, etc., señalo que corresponde a informarlo a la Dirección de Administración</w:t>
            </w:r>
            <w:r w:rsidRPr="004827EF">
              <w:rPr>
                <w:rFonts w:ascii="Palatino Linotype" w:eastAsia="Palatino Linotype" w:hAnsi="Palatino Linotype" w:cs="Palatino Linotype"/>
                <w:sz w:val="18"/>
                <w:szCs w:val="18"/>
              </w:rPr>
              <w:t>.</w:t>
            </w:r>
          </w:p>
        </w:tc>
        <w:tc>
          <w:tcPr>
            <w:tcW w:w="1701" w:type="dxa"/>
          </w:tcPr>
          <w:p w14:paraId="1B5173DB"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 xml:space="preserve">Se tiene por atendido lo relativo al número de camiones con los cuales cuenta el municipio de Temoaya. </w:t>
            </w:r>
          </w:p>
          <w:p w14:paraId="1ED6522E" w14:textId="77777777" w:rsidR="00BF22D2" w:rsidRPr="004827EF" w:rsidRDefault="00BF22D2">
            <w:pPr>
              <w:jc w:val="both"/>
              <w:rPr>
                <w:rFonts w:ascii="Palatino Linotype" w:eastAsia="Palatino Linotype" w:hAnsi="Palatino Linotype" w:cs="Palatino Linotype"/>
                <w:sz w:val="18"/>
                <w:szCs w:val="18"/>
              </w:rPr>
            </w:pPr>
          </w:p>
          <w:p w14:paraId="1F1B7C57"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-Se tiene por atendido la distinción entre los camiones propios y camiones rentados. </w:t>
            </w:r>
          </w:p>
          <w:p w14:paraId="7C7DCFF9" w14:textId="77777777" w:rsidR="00BF22D2" w:rsidRPr="004827EF" w:rsidRDefault="00BF22D2">
            <w:pPr>
              <w:jc w:val="both"/>
              <w:rPr>
                <w:rFonts w:ascii="Palatino Linotype" w:eastAsia="Palatino Linotype" w:hAnsi="Palatino Linotype" w:cs="Palatino Linotype"/>
                <w:sz w:val="18"/>
                <w:szCs w:val="18"/>
              </w:rPr>
            </w:pPr>
          </w:p>
          <w:p w14:paraId="01A07068"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-Se tiene por atendido la capacidad de carga.</w:t>
            </w:r>
          </w:p>
          <w:p w14:paraId="0304FD75" w14:textId="77777777" w:rsidR="00BF22D2" w:rsidRPr="004827EF" w:rsidRDefault="00BF22D2">
            <w:pPr>
              <w:jc w:val="both"/>
              <w:rPr>
                <w:rFonts w:ascii="Palatino Linotype" w:eastAsia="Palatino Linotype" w:hAnsi="Palatino Linotype" w:cs="Palatino Linotype"/>
                <w:sz w:val="18"/>
                <w:szCs w:val="18"/>
              </w:rPr>
            </w:pPr>
          </w:p>
          <w:p w14:paraId="717C2368"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-Se tiene por atendido el tipo de camión.</w:t>
            </w:r>
          </w:p>
          <w:p w14:paraId="42673112" w14:textId="77777777" w:rsidR="00BF22D2" w:rsidRPr="004827EF" w:rsidRDefault="00D63F3D">
            <w:pPr>
              <w:spacing w:before="240"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-Se tiene por atendido el tipo de combustible utilizado.</w:t>
            </w:r>
          </w:p>
          <w:p w14:paraId="0BD25A6E"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-Faltó lo relativo a los costos de los camiones.</w:t>
            </w:r>
          </w:p>
          <w:p w14:paraId="1FE3EE1A" w14:textId="77777777" w:rsidR="00BF22D2" w:rsidRPr="004827EF" w:rsidRDefault="00BF22D2">
            <w:pPr>
              <w:jc w:val="both"/>
              <w:rPr>
                <w:rFonts w:ascii="Palatino Linotype" w:eastAsia="Palatino Linotype" w:hAnsi="Palatino Linotype" w:cs="Palatino Linotype"/>
                <w:sz w:val="18"/>
                <w:szCs w:val="18"/>
              </w:rPr>
            </w:pPr>
          </w:p>
          <w:p w14:paraId="06322182"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-Faltó los detalles de los camiones rentados.</w:t>
            </w:r>
          </w:p>
          <w:p w14:paraId="4C3C2555" w14:textId="77777777" w:rsidR="00BF22D2" w:rsidRPr="004827EF" w:rsidRDefault="00BF22D2">
            <w:pPr>
              <w:jc w:val="both"/>
              <w:rPr>
                <w:rFonts w:ascii="Palatino Linotype" w:eastAsia="Palatino Linotype" w:hAnsi="Palatino Linotype" w:cs="Palatino Linotype"/>
                <w:sz w:val="18"/>
                <w:szCs w:val="18"/>
              </w:rPr>
            </w:pPr>
          </w:p>
          <w:p w14:paraId="3A71150E"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 xml:space="preserve">-Se tiene por atendido el estado de los camiones. (condición actual) </w:t>
            </w:r>
          </w:p>
          <w:p w14:paraId="1F41987F" w14:textId="77777777" w:rsidR="00BF22D2" w:rsidRPr="004827EF" w:rsidRDefault="00BF22D2">
            <w:pPr>
              <w:jc w:val="both"/>
              <w:rPr>
                <w:rFonts w:ascii="Palatino Linotype" w:eastAsia="Palatino Linotype" w:hAnsi="Palatino Linotype" w:cs="Palatino Linotype"/>
                <w:sz w:val="18"/>
                <w:szCs w:val="18"/>
              </w:rPr>
            </w:pPr>
          </w:p>
          <w:p w14:paraId="328414E2"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-Se tiene por atendido lo relativo al mantenimiento.</w:t>
            </w:r>
          </w:p>
          <w:p w14:paraId="1021E64A" w14:textId="77777777" w:rsidR="00BF22D2" w:rsidRPr="004827EF" w:rsidRDefault="00BF22D2">
            <w:pPr>
              <w:jc w:val="both"/>
              <w:rPr>
                <w:rFonts w:ascii="Palatino Linotype" w:eastAsia="Palatino Linotype" w:hAnsi="Palatino Linotype" w:cs="Palatino Linotype"/>
                <w:sz w:val="18"/>
                <w:szCs w:val="18"/>
              </w:rPr>
            </w:pPr>
          </w:p>
          <w:p w14:paraId="7F8C6398"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-Faltó lo relativo al año de fabricación, modelo, tipo, kilometraje, consumo de combustible, características técnicas de cada camión.</w:t>
            </w:r>
          </w:p>
          <w:p w14:paraId="47D5BFB2" w14:textId="77777777" w:rsidR="00BF22D2" w:rsidRPr="004827EF" w:rsidRDefault="00BF22D2">
            <w:pPr>
              <w:jc w:val="both"/>
              <w:rPr>
                <w:rFonts w:ascii="Palatino Linotype" w:eastAsia="Palatino Linotype" w:hAnsi="Palatino Linotype" w:cs="Palatino Linotype"/>
                <w:sz w:val="18"/>
                <w:szCs w:val="18"/>
              </w:rPr>
            </w:pPr>
          </w:p>
          <w:p w14:paraId="6E27E4B5"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-Faltó lo relativo a la estimación del tiempo que cada camión podrá seguir operando eficientemente</w:t>
            </w:r>
          </w:p>
        </w:tc>
        <w:tc>
          <w:tcPr>
            <w:tcW w:w="1320" w:type="dxa"/>
          </w:tcPr>
          <w:p w14:paraId="0B7DD3D1"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Parcialmente</w:t>
            </w:r>
          </w:p>
        </w:tc>
      </w:tr>
      <w:tr w:rsidR="004827EF" w:rsidRPr="004827EF" w14:paraId="3C83B1F9" w14:textId="77777777">
        <w:trPr>
          <w:jc w:val="center"/>
        </w:trPr>
        <w:tc>
          <w:tcPr>
            <w:tcW w:w="1490" w:type="dxa"/>
          </w:tcPr>
          <w:p w14:paraId="59A645E2"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 xml:space="preserve">4.- </w:t>
            </w:r>
            <w:r w:rsidRPr="004827EF">
              <w:rPr>
                <w:rFonts w:ascii="Palatino Linotype" w:eastAsia="Palatino Linotype" w:hAnsi="Palatino Linotype" w:cs="Palatino Linotype"/>
                <w:b/>
                <w:sz w:val="18"/>
                <w:szCs w:val="18"/>
              </w:rPr>
              <w:t>Infraestructura de recolección</w:t>
            </w:r>
            <w:r w:rsidRPr="004827EF">
              <w:rPr>
                <w:rFonts w:ascii="Palatino Linotype" w:eastAsia="Palatino Linotype" w:hAnsi="Palatino Linotype" w:cs="Palatino Linotype"/>
                <w:sz w:val="18"/>
                <w:szCs w:val="18"/>
              </w:rPr>
              <w:t xml:space="preserve">: Número y ubicación de contenedores de basura distribuidos en el municipio. </w:t>
            </w:r>
          </w:p>
          <w:p w14:paraId="5AD3D454" w14:textId="77777777" w:rsidR="00BF22D2" w:rsidRPr="004827EF" w:rsidRDefault="00BF22D2">
            <w:pPr>
              <w:spacing w:after="240"/>
              <w:jc w:val="both"/>
              <w:rPr>
                <w:rFonts w:ascii="Palatino Linotype" w:eastAsia="Palatino Linotype" w:hAnsi="Palatino Linotype" w:cs="Palatino Linotype"/>
                <w:sz w:val="18"/>
                <w:szCs w:val="18"/>
              </w:rPr>
            </w:pPr>
          </w:p>
        </w:tc>
        <w:tc>
          <w:tcPr>
            <w:tcW w:w="4317" w:type="dxa"/>
          </w:tcPr>
          <w:p w14:paraId="0B858392" w14:textId="77777777" w:rsidR="00BF22D2" w:rsidRPr="004827EF" w:rsidRDefault="00BF22D2">
            <w:pPr>
              <w:jc w:val="both"/>
              <w:rPr>
                <w:rFonts w:ascii="Palatino Linotype" w:eastAsia="Palatino Linotype" w:hAnsi="Palatino Linotype" w:cs="Palatino Linotype"/>
                <w:sz w:val="18"/>
                <w:szCs w:val="18"/>
              </w:rPr>
            </w:pPr>
          </w:p>
          <w:p w14:paraId="1C151E7B"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 No se pronunció </w:t>
            </w:r>
          </w:p>
        </w:tc>
        <w:tc>
          <w:tcPr>
            <w:tcW w:w="1701" w:type="dxa"/>
          </w:tcPr>
          <w:p w14:paraId="713F0F20"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No hay pronunciamiento</w:t>
            </w:r>
          </w:p>
        </w:tc>
        <w:tc>
          <w:tcPr>
            <w:tcW w:w="1320" w:type="dxa"/>
          </w:tcPr>
          <w:p w14:paraId="1B34328B"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No </w:t>
            </w:r>
          </w:p>
        </w:tc>
      </w:tr>
      <w:tr w:rsidR="004827EF" w:rsidRPr="004827EF" w14:paraId="293BC5FB" w14:textId="77777777">
        <w:trPr>
          <w:jc w:val="center"/>
        </w:trPr>
        <w:tc>
          <w:tcPr>
            <w:tcW w:w="1490" w:type="dxa"/>
          </w:tcPr>
          <w:p w14:paraId="234F6F22"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5.- Descripción de las estaciones de transferencia, si existen.</w:t>
            </w:r>
          </w:p>
          <w:p w14:paraId="39671E61" w14:textId="77777777" w:rsidR="00BF22D2" w:rsidRPr="004827EF" w:rsidRDefault="00BF22D2">
            <w:pPr>
              <w:jc w:val="both"/>
              <w:rPr>
                <w:rFonts w:ascii="Palatino Linotype" w:eastAsia="Palatino Linotype" w:hAnsi="Palatino Linotype" w:cs="Palatino Linotype"/>
                <w:sz w:val="18"/>
                <w:szCs w:val="18"/>
              </w:rPr>
            </w:pPr>
          </w:p>
          <w:p w14:paraId="44053D77"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7.- Infraestructura adicional utilizada para el manejo y recolección de residuos (por ejemplo, puntos de acopio, instalaciones de reciclaje). </w:t>
            </w:r>
          </w:p>
          <w:p w14:paraId="1813C9FC" w14:textId="77777777" w:rsidR="00BF22D2" w:rsidRPr="004827EF" w:rsidRDefault="00BF22D2">
            <w:pPr>
              <w:jc w:val="both"/>
              <w:rPr>
                <w:rFonts w:ascii="Palatino Linotype" w:eastAsia="Palatino Linotype" w:hAnsi="Palatino Linotype" w:cs="Palatino Linotype"/>
                <w:sz w:val="18"/>
                <w:szCs w:val="18"/>
              </w:rPr>
            </w:pPr>
          </w:p>
          <w:p w14:paraId="4A389486" w14:textId="77777777" w:rsidR="00BF22D2" w:rsidRPr="004827EF" w:rsidRDefault="00BF22D2">
            <w:pPr>
              <w:jc w:val="both"/>
              <w:rPr>
                <w:rFonts w:ascii="Palatino Linotype" w:eastAsia="Palatino Linotype" w:hAnsi="Palatino Linotype" w:cs="Palatino Linotype"/>
                <w:sz w:val="18"/>
                <w:szCs w:val="18"/>
              </w:rPr>
            </w:pPr>
          </w:p>
          <w:p w14:paraId="77A6B98F" w14:textId="77777777" w:rsidR="00BF22D2" w:rsidRPr="004827EF" w:rsidRDefault="00D63F3D">
            <w:pPr>
              <w:spacing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8.- </w:t>
            </w:r>
            <w:r w:rsidRPr="004827EF">
              <w:rPr>
                <w:rFonts w:ascii="Palatino Linotype" w:eastAsia="Palatino Linotype" w:hAnsi="Palatino Linotype" w:cs="Palatino Linotype"/>
                <w:b/>
                <w:sz w:val="18"/>
                <w:szCs w:val="18"/>
              </w:rPr>
              <w:t>Mantenimiento de la infraestructura</w:t>
            </w:r>
            <w:r w:rsidRPr="004827EF">
              <w:rPr>
                <w:rFonts w:ascii="Palatino Linotype" w:eastAsia="Palatino Linotype" w:hAnsi="Palatino Linotype" w:cs="Palatino Linotype"/>
                <w:sz w:val="18"/>
                <w:szCs w:val="18"/>
              </w:rPr>
              <w:t xml:space="preserve">: </w:t>
            </w:r>
            <w:r w:rsidRPr="004827EF">
              <w:rPr>
                <w:rFonts w:ascii="Palatino Linotype" w:eastAsia="Palatino Linotype" w:hAnsi="Palatino Linotype" w:cs="Palatino Linotype"/>
                <w:sz w:val="18"/>
                <w:szCs w:val="18"/>
              </w:rPr>
              <w:lastRenderedPageBreak/>
              <w:t xml:space="preserve">Frecuencia y tipo de mantenimiento …. estaciones de transferencia, y otros equipos. </w:t>
            </w:r>
          </w:p>
        </w:tc>
        <w:tc>
          <w:tcPr>
            <w:tcW w:w="4317" w:type="dxa"/>
          </w:tcPr>
          <w:p w14:paraId="52299DD5" w14:textId="77777777" w:rsidR="00BF22D2" w:rsidRPr="004827EF" w:rsidRDefault="00BF22D2">
            <w:pPr>
              <w:jc w:val="both"/>
              <w:rPr>
                <w:rFonts w:ascii="Palatino Linotype" w:eastAsia="Palatino Linotype" w:hAnsi="Palatino Linotype" w:cs="Palatino Linotype"/>
                <w:sz w:val="18"/>
                <w:szCs w:val="18"/>
              </w:rPr>
            </w:pPr>
          </w:p>
          <w:p w14:paraId="2198CA06" w14:textId="77777777" w:rsidR="00BF22D2" w:rsidRPr="004827EF" w:rsidRDefault="00D63F3D">
            <w:pPr>
              <w:spacing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Informó que en el Municipio no se tiene estaciones de transferencias </w:t>
            </w:r>
          </w:p>
        </w:tc>
        <w:tc>
          <w:tcPr>
            <w:tcW w:w="1701" w:type="dxa"/>
          </w:tcPr>
          <w:p w14:paraId="7D8B1341"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Se tiene por atendido dicho requerimiento</w:t>
            </w:r>
          </w:p>
          <w:p w14:paraId="5B6EA4F7" w14:textId="77777777" w:rsidR="00BF22D2" w:rsidRPr="004827EF" w:rsidRDefault="00BF22D2">
            <w:pPr>
              <w:jc w:val="both"/>
              <w:rPr>
                <w:rFonts w:ascii="Palatino Linotype" w:eastAsia="Palatino Linotype" w:hAnsi="Palatino Linotype" w:cs="Palatino Linotype"/>
                <w:sz w:val="18"/>
                <w:szCs w:val="18"/>
              </w:rPr>
            </w:pPr>
          </w:p>
          <w:p w14:paraId="3EBB776A"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(hecho negativo) </w:t>
            </w:r>
          </w:p>
        </w:tc>
        <w:tc>
          <w:tcPr>
            <w:tcW w:w="1320" w:type="dxa"/>
          </w:tcPr>
          <w:p w14:paraId="38E0F5A0"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Sí  </w:t>
            </w:r>
          </w:p>
        </w:tc>
      </w:tr>
      <w:tr w:rsidR="004827EF" w:rsidRPr="004827EF" w14:paraId="22BEED9F" w14:textId="77777777">
        <w:trPr>
          <w:jc w:val="center"/>
        </w:trPr>
        <w:tc>
          <w:tcPr>
            <w:tcW w:w="1490" w:type="dxa"/>
          </w:tcPr>
          <w:p w14:paraId="7526F344"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6.- Equipos de protección personal y herramientas disponibles para los trabajadores de recolección</w:t>
            </w:r>
          </w:p>
          <w:p w14:paraId="724F63AC" w14:textId="77777777" w:rsidR="00BF22D2" w:rsidRPr="004827EF" w:rsidRDefault="00BF22D2">
            <w:pPr>
              <w:spacing w:after="240"/>
              <w:jc w:val="both"/>
              <w:rPr>
                <w:rFonts w:ascii="Palatino Linotype" w:eastAsia="Palatino Linotype" w:hAnsi="Palatino Linotype" w:cs="Palatino Linotype"/>
                <w:sz w:val="18"/>
                <w:szCs w:val="18"/>
              </w:rPr>
            </w:pPr>
          </w:p>
        </w:tc>
        <w:tc>
          <w:tcPr>
            <w:tcW w:w="4317" w:type="dxa"/>
          </w:tcPr>
          <w:p w14:paraId="6AAFB3F2"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Señaló que no se cuenta con equipo de protección personal y ni herramienta</w:t>
            </w:r>
          </w:p>
          <w:p w14:paraId="71972B7E"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 </w:t>
            </w:r>
          </w:p>
        </w:tc>
        <w:tc>
          <w:tcPr>
            <w:tcW w:w="1701" w:type="dxa"/>
          </w:tcPr>
          <w:p w14:paraId="4F6C8625"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Se tiene por atendido dicho requerimiento</w:t>
            </w:r>
          </w:p>
        </w:tc>
        <w:tc>
          <w:tcPr>
            <w:tcW w:w="1320" w:type="dxa"/>
          </w:tcPr>
          <w:p w14:paraId="11631F92"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Sí </w:t>
            </w:r>
          </w:p>
        </w:tc>
      </w:tr>
      <w:tr w:rsidR="004827EF" w:rsidRPr="004827EF" w14:paraId="7EAE956B" w14:textId="77777777">
        <w:trPr>
          <w:jc w:val="center"/>
        </w:trPr>
        <w:tc>
          <w:tcPr>
            <w:tcW w:w="1490" w:type="dxa"/>
          </w:tcPr>
          <w:p w14:paraId="11AEAE7A"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9.- Personal asignado para la recolección de basura: Número total de personas asignadas para la recolección de basura. Puestos específicos (chofer, ayudante, supervisor, etc.). </w:t>
            </w:r>
          </w:p>
          <w:p w14:paraId="75683D42"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10.- Sueldo neto y bruto de cada trabajador. Horario de trabajo del personal asignado (horas diarias y días de la semana). </w:t>
            </w:r>
          </w:p>
          <w:p w14:paraId="3B02FCFF" w14:textId="77777777" w:rsidR="00BF22D2" w:rsidRPr="004827EF" w:rsidRDefault="00BF22D2">
            <w:pPr>
              <w:jc w:val="both"/>
              <w:rPr>
                <w:rFonts w:ascii="Palatino Linotype" w:eastAsia="Palatino Linotype" w:hAnsi="Palatino Linotype" w:cs="Palatino Linotype"/>
                <w:sz w:val="18"/>
                <w:szCs w:val="18"/>
              </w:rPr>
            </w:pPr>
          </w:p>
          <w:p w14:paraId="7CB08B64" w14:textId="77777777" w:rsidR="00BF22D2" w:rsidRPr="004827EF" w:rsidRDefault="00D63F3D">
            <w:pPr>
              <w:spacing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11. Experiencia y capacitación del personal (años de </w:t>
            </w:r>
            <w:r w:rsidRPr="004827EF">
              <w:rPr>
                <w:rFonts w:ascii="Palatino Linotype" w:eastAsia="Palatino Linotype" w:hAnsi="Palatino Linotype" w:cs="Palatino Linotype"/>
                <w:sz w:val="18"/>
                <w:szCs w:val="18"/>
              </w:rPr>
              <w:lastRenderedPageBreak/>
              <w:t xml:space="preserve">servicio, cursos de manejo de residuos, etc.). </w:t>
            </w:r>
          </w:p>
        </w:tc>
        <w:tc>
          <w:tcPr>
            <w:tcW w:w="4317" w:type="dxa"/>
          </w:tcPr>
          <w:p w14:paraId="1BE0637B"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Precisó que el personal asignado a la cuadrilla de residuos sólidos urbanos es de 39 personas, de las cuales 13 son choferes y los restantes son ayudantes, cuyo salario bruto y neto, dicha información le corresponde a la Jefatura de Recursos Humanos.</w:t>
            </w:r>
          </w:p>
          <w:p w14:paraId="0A552BBF" w14:textId="77777777" w:rsidR="00BF22D2" w:rsidRPr="004827EF" w:rsidRDefault="00BF22D2">
            <w:pPr>
              <w:jc w:val="both"/>
              <w:rPr>
                <w:rFonts w:ascii="Palatino Linotype" w:eastAsia="Palatino Linotype" w:hAnsi="Palatino Linotype" w:cs="Palatino Linotype"/>
                <w:sz w:val="18"/>
                <w:szCs w:val="18"/>
              </w:rPr>
            </w:pPr>
          </w:p>
          <w:p w14:paraId="007BEB7F"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Asimismo, indicó que no se tiene como tal una capacitación, son personas que ya llevan muchos años como choferes y que la Dirección responsable es Servicios Públicos, proporcionando su dirección y correo electrónico oficial. </w:t>
            </w:r>
          </w:p>
          <w:p w14:paraId="2D0627F4" w14:textId="77777777" w:rsidR="00BF22D2" w:rsidRPr="004827EF" w:rsidRDefault="00BF22D2">
            <w:pPr>
              <w:jc w:val="both"/>
              <w:rPr>
                <w:rFonts w:ascii="Palatino Linotype" w:eastAsia="Palatino Linotype" w:hAnsi="Palatino Linotype" w:cs="Palatino Linotype"/>
                <w:sz w:val="18"/>
                <w:szCs w:val="18"/>
              </w:rPr>
            </w:pPr>
          </w:p>
        </w:tc>
        <w:tc>
          <w:tcPr>
            <w:tcW w:w="1701" w:type="dxa"/>
          </w:tcPr>
          <w:p w14:paraId="603773B0"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-No se pronunció sobre el horario del personal asignado a la recolección de basura.</w:t>
            </w:r>
          </w:p>
          <w:p w14:paraId="4A5E072F" w14:textId="77777777" w:rsidR="00BF22D2" w:rsidRPr="004827EF" w:rsidRDefault="00BF22D2">
            <w:pPr>
              <w:jc w:val="both"/>
              <w:rPr>
                <w:rFonts w:ascii="Palatino Linotype" w:eastAsia="Palatino Linotype" w:hAnsi="Palatino Linotype" w:cs="Palatino Linotype"/>
                <w:sz w:val="18"/>
                <w:szCs w:val="18"/>
              </w:rPr>
            </w:pPr>
          </w:p>
          <w:p w14:paraId="144668F3"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-Falta lo relativo al sueldo neto y bruto de cada trabajador. </w:t>
            </w:r>
          </w:p>
          <w:p w14:paraId="6C34E1B4" w14:textId="77777777" w:rsidR="00BF22D2" w:rsidRPr="004827EF" w:rsidRDefault="00BF22D2">
            <w:pPr>
              <w:jc w:val="both"/>
              <w:rPr>
                <w:rFonts w:ascii="Palatino Linotype" w:eastAsia="Palatino Linotype" w:hAnsi="Palatino Linotype" w:cs="Palatino Linotype"/>
                <w:sz w:val="18"/>
                <w:szCs w:val="18"/>
              </w:rPr>
            </w:pPr>
          </w:p>
          <w:p w14:paraId="43C3B5C5" w14:textId="77777777" w:rsidR="00BF22D2" w:rsidRPr="004827EF" w:rsidRDefault="00BF22D2">
            <w:pPr>
              <w:jc w:val="both"/>
              <w:rPr>
                <w:rFonts w:ascii="Palatino Linotype" w:eastAsia="Palatino Linotype" w:hAnsi="Palatino Linotype" w:cs="Palatino Linotype"/>
                <w:sz w:val="18"/>
                <w:szCs w:val="18"/>
              </w:rPr>
            </w:pPr>
          </w:p>
        </w:tc>
        <w:tc>
          <w:tcPr>
            <w:tcW w:w="1320" w:type="dxa"/>
          </w:tcPr>
          <w:p w14:paraId="46211850"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Parcialmente</w:t>
            </w:r>
          </w:p>
        </w:tc>
      </w:tr>
      <w:tr w:rsidR="004827EF" w:rsidRPr="004827EF" w14:paraId="0BABD1C4" w14:textId="77777777">
        <w:trPr>
          <w:jc w:val="center"/>
        </w:trPr>
        <w:tc>
          <w:tcPr>
            <w:tcW w:w="1490" w:type="dxa"/>
          </w:tcPr>
          <w:p w14:paraId="0AA71A58"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12.- Dirección responsable del servicio de limpia, recolección y disposición final de residuos sólidos: Nombre y ubicación de la dirección encargada. Nombre del responsable o director del área. Datos de contacto (teléfono, correo electrónico). </w:t>
            </w:r>
          </w:p>
          <w:p w14:paraId="47AA47CF" w14:textId="77777777" w:rsidR="00BF22D2" w:rsidRPr="004827EF" w:rsidRDefault="00BF22D2">
            <w:pPr>
              <w:spacing w:after="240"/>
              <w:jc w:val="both"/>
              <w:rPr>
                <w:rFonts w:ascii="Palatino Linotype" w:eastAsia="Palatino Linotype" w:hAnsi="Palatino Linotype" w:cs="Palatino Linotype"/>
                <w:sz w:val="18"/>
                <w:szCs w:val="18"/>
              </w:rPr>
            </w:pPr>
          </w:p>
        </w:tc>
        <w:tc>
          <w:tcPr>
            <w:tcW w:w="4317" w:type="dxa"/>
          </w:tcPr>
          <w:p w14:paraId="6A919F9F" w14:textId="77777777" w:rsidR="00BF22D2" w:rsidRPr="004827EF" w:rsidRDefault="00D63F3D">
            <w:pPr>
              <w:spacing w:before="240"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noProof/>
                <w:sz w:val="18"/>
                <w:szCs w:val="18"/>
                <w:lang w:val="es-MX"/>
              </w:rPr>
              <w:drawing>
                <wp:inline distT="0" distB="0" distL="0" distR="0" wp14:anchorId="4BBBAB6E" wp14:editId="79AC831C">
                  <wp:extent cx="2740516" cy="827326"/>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740516" cy="827326"/>
                          </a:xfrm>
                          <a:prstGeom prst="rect">
                            <a:avLst/>
                          </a:prstGeom>
                          <a:ln/>
                        </pic:spPr>
                      </pic:pic>
                    </a:graphicData>
                  </a:graphic>
                </wp:inline>
              </w:drawing>
            </w:r>
          </w:p>
        </w:tc>
        <w:tc>
          <w:tcPr>
            <w:tcW w:w="1701" w:type="dxa"/>
          </w:tcPr>
          <w:p w14:paraId="6FA58547"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Se tiene por atendido </w:t>
            </w:r>
          </w:p>
        </w:tc>
        <w:tc>
          <w:tcPr>
            <w:tcW w:w="1320" w:type="dxa"/>
          </w:tcPr>
          <w:p w14:paraId="3BF6F1EC"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Sí </w:t>
            </w:r>
          </w:p>
        </w:tc>
      </w:tr>
      <w:tr w:rsidR="004827EF" w:rsidRPr="004827EF" w14:paraId="2E40D6B1" w14:textId="77777777">
        <w:trPr>
          <w:jc w:val="center"/>
        </w:trPr>
        <w:tc>
          <w:tcPr>
            <w:tcW w:w="1490" w:type="dxa"/>
          </w:tcPr>
          <w:p w14:paraId="599AF650"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13.- Presupuesto asignado al servicio de limpia, recolección y disposición final de residuos sólidos (2016-2024): Monto del presupuesto anual asignado a estas actividades desde el año 2016 hasta el año 2024. Desglose del presupuesto </w:t>
            </w:r>
            <w:r w:rsidRPr="004827EF">
              <w:rPr>
                <w:rFonts w:ascii="Palatino Linotype" w:eastAsia="Palatino Linotype" w:hAnsi="Palatino Linotype" w:cs="Palatino Linotype"/>
                <w:sz w:val="18"/>
                <w:szCs w:val="18"/>
              </w:rPr>
              <w:lastRenderedPageBreak/>
              <w:t xml:space="preserve">por rubros (adquisición de camiones, mantenimiento, sueldos, combustibles, renta de camiones, infraestructura, etc.). Fuente de los recursos (municipales, estatales, federales, otros). Variaciones o ajustes presupuestarios realizados en cada año. Justificación para los cambios en el presupuesto durante el periodo mencionado. </w:t>
            </w:r>
          </w:p>
          <w:p w14:paraId="28E8380D" w14:textId="77777777" w:rsidR="00BF22D2" w:rsidRPr="004827EF" w:rsidRDefault="00BF22D2">
            <w:pPr>
              <w:spacing w:after="240"/>
              <w:jc w:val="both"/>
              <w:rPr>
                <w:rFonts w:ascii="Palatino Linotype" w:eastAsia="Palatino Linotype" w:hAnsi="Palatino Linotype" w:cs="Palatino Linotype"/>
                <w:sz w:val="18"/>
                <w:szCs w:val="18"/>
              </w:rPr>
            </w:pPr>
          </w:p>
        </w:tc>
        <w:tc>
          <w:tcPr>
            <w:tcW w:w="4317" w:type="dxa"/>
          </w:tcPr>
          <w:p w14:paraId="6FBB0E28"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 xml:space="preserve">Informó </w:t>
            </w:r>
            <w:proofErr w:type="gramStart"/>
            <w:r w:rsidRPr="004827EF">
              <w:rPr>
                <w:rFonts w:ascii="Palatino Linotype" w:eastAsia="Palatino Linotype" w:hAnsi="Palatino Linotype" w:cs="Palatino Linotype"/>
                <w:sz w:val="18"/>
                <w:szCs w:val="18"/>
              </w:rPr>
              <w:t>que</w:t>
            </w:r>
            <w:proofErr w:type="gramEnd"/>
            <w:r w:rsidRPr="004827EF">
              <w:rPr>
                <w:rFonts w:ascii="Palatino Linotype" w:eastAsia="Palatino Linotype" w:hAnsi="Palatino Linotype" w:cs="Palatino Linotype"/>
                <w:sz w:val="18"/>
                <w:szCs w:val="18"/>
              </w:rPr>
              <w:t xml:space="preserve"> en cuanto al presupuesto y ajustes presupuestarios, señaló que corresponde informarlo a la Tesorería Municipal. </w:t>
            </w:r>
          </w:p>
          <w:p w14:paraId="761B00A6" w14:textId="77777777" w:rsidR="00BF22D2" w:rsidRPr="004827EF" w:rsidRDefault="00BF22D2">
            <w:pPr>
              <w:spacing w:after="240"/>
              <w:jc w:val="both"/>
              <w:rPr>
                <w:rFonts w:ascii="Palatino Linotype" w:eastAsia="Palatino Linotype" w:hAnsi="Palatino Linotype" w:cs="Palatino Linotype"/>
                <w:sz w:val="18"/>
                <w:szCs w:val="18"/>
              </w:rPr>
            </w:pPr>
          </w:p>
        </w:tc>
        <w:tc>
          <w:tcPr>
            <w:tcW w:w="1701" w:type="dxa"/>
          </w:tcPr>
          <w:p w14:paraId="04F4E4B5"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No se pronunció Tesorería Municipal </w:t>
            </w:r>
          </w:p>
        </w:tc>
        <w:tc>
          <w:tcPr>
            <w:tcW w:w="1320" w:type="dxa"/>
          </w:tcPr>
          <w:p w14:paraId="41F6A5BB"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No </w:t>
            </w:r>
          </w:p>
        </w:tc>
      </w:tr>
      <w:tr w:rsidR="004827EF" w:rsidRPr="004827EF" w14:paraId="738FEEE9" w14:textId="77777777">
        <w:trPr>
          <w:jc w:val="center"/>
        </w:trPr>
        <w:tc>
          <w:tcPr>
            <w:tcW w:w="1490" w:type="dxa"/>
          </w:tcPr>
          <w:p w14:paraId="08792363"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14.-Transferencia y disposición final de residuos sólidos: Destino final de los residuos sólidos una vez recolectados. Detalles del lugar o entidad a la que se transfieren los residuos (nombre, ubicación, tipo de instalación, etc.). </w:t>
            </w:r>
          </w:p>
          <w:p w14:paraId="2A4F53B3" w14:textId="77777777" w:rsidR="00BF22D2" w:rsidRPr="004827EF" w:rsidRDefault="00BF22D2">
            <w:pPr>
              <w:spacing w:after="240"/>
              <w:jc w:val="both"/>
              <w:rPr>
                <w:rFonts w:ascii="Palatino Linotype" w:eastAsia="Palatino Linotype" w:hAnsi="Palatino Linotype" w:cs="Palatino Linotype"/>
                <w:sz w:val="18"/>
                <w:szCs w:val="18"/>
              </w:rPr>
            </w:pPr>
          </w:p>
        </w:tc>
        <w:tc>
          <w:tcPr>
            <w:tcW w:w="4317" w:type="dxa"/>
          </w:tcPr>
          <w:p w14:paraId="404ABF7C"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 xml:space="preserve">En cuanto a los residuos sólidos recolectados, precisó que se llevan a un relleno sanitario en San Luis Mextepec, Municipio de Zinacantepec denominado “Mantenimiento y Servicios Ambientales S. A. de C. V.”, la transferencia es mediante un contrato, el cual obra en archivo de la Dirección de Administración y Desarrollo de Personal.  </w:t>
            </w:r>
          </w:p>
          <w:p w14:paraId="0EA0E080" w14:textId="77777777" w:rsidR="00BF22D2" w:rsidRPr="004827EF" w:rsidRDefault="00BF22D2">
            <w:pPr>
              <w:spacing w:after="240"/>
              <w:jc w:val="both"/>
              <w:rPr>
                <w:rFonts w:ascii="Palatino Linotype" w:eastAsia="Palatino Linotype" w:hAnsi="Palatino Linotype" w:cs="Palatino Linotype"/>
                <w:sz w:val="18"/>
                <w:szCs w:val="18"/>
              </w:rPr>
            </w:pPr>
          </w:p>
        </w:tc>
        <w:tc>
          <w:tcPr>
            <w:tcW w:w="1701" w:type="dxa"/>
          </w:tcPr>
          <w:p w14:paraId="4CD149EB"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Preciso el nombre y ubicación.</w:t>
            </w:r>
          </w:p>
          <w:p w14:paraId="140D97C9" w14:textId="77777777" w:rsidR="00BF22D2" w:rsidRPr="004827EF" w:rsidRDefault="00BF22D2">
            <w:pPr>
              <w:jc w:val="both"/>
              <w:rPr>
                <w:rFonts w:ascii="Palatino Linotype" w:eastAsia="Palatino Linotype" w:hAnsi="Palatino Linotype" w:cs="Palatino Linotype"/>
                <w:sz w:val="18"/>
                <w:szCs w:val="18"/>
              </w:rPr>
            </w:pPr>
          </w:p>
          <w:p w14:paraId="6884C492"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Asume que hay un contrato </w:t>
            </w:r>
          </w:p>
        </w:tc>
        <w:tc>
          <w:tcPr>
            <w:tcW w:w="1320" w:type="dxa"/>
          </w:tcPr>
          <w:p w14:paraId="48760AFA"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Sí </w:t>
            </w:r>
          </w:p>
        </w:tc>
      </w:tr>
      <w:tr w:rsidR="004827EF" w:rsidRPr="004827EF" w14:paraId="6C6487C4" w14:textId="77777777">
        <w:trPr>
          <w:jc w:val="center"/>
        </w:trPr>
        <w:tc>
          <w:tcPr>
            <w:tcW w:w="1490" w:type="dxa"/>
          </w:tcPr>
          <w:p w14:paraId="73CD5588"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15.- Información sobre si la transferencia se realiza por contrato o convenio</w:t>
            </w:r>
          </w:p>
          <w:p w14:paraId="27572A09"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16.- Solicitud de copia del contrato o convenio de transferencia de residuos.</w:t>
            </w:r>
          </w:p>
          <w:p w14:paraId="55F456D6" w14:textId="77777777" w:rsidR="00BF22D2" w:rsidRPr="004827EF" w:rsidRDefault="00D63F3D">
            <w:pPr>
              <w:spacing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b/>
                <w:sz w:val="18"/>
                <w:szCs w:val="18"/>
              </w:rPr>
              <w:t>17.- Condiciones económicas de la transferencia</w:t>
            </w:r>
            <w:r w:rsidRPr="004827EF">
              <w:rPr>
                <w:rFonts w:ascii="Palatino Linotype" w:eastAsia="Palatino Linotype" w:hAnsi="Palatino Linotype" w:cs="Palatino Linotype"/>
                <w:sz w:val="18"/>
                <w:szCs w:val="18"/>
              </w:rPr>
              <w:t>: si se paga por el servicio o si se recibe alguna remuneración</w:t>
            </w:r>
          </w:p>
        </w:tc>
        <w:tc>
          <w:tcPr>
            <w:tcW w:w="4317" w:type="dxa"/>
          </w:tcPr>
          <w:p w14:paraId="19B43918"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Asumió que si hay un contrato y que el </w:t>
            </w:r>
            <w:proofErr w:type="gramStart"/>
            <w:r w:rsidRPr="004827EF">
              <w:rPr>
                <w:rFonts w:ascii="Palatino Linotype" w:eastAsia="Palatino Linotype" w:hAnsi="Palatino Linotype" w:cs="Palatino Linotype"/>
                <w:sz w:val="18"/>
                <w:szCs w:val="18"/>
              </w:rPr>
              <w:t>mismo obra</w:t>
            </w:r>
            <w:proofErr w:type="gramEnd"/>
            <w:r w:rsidRPr="004827EF">
              <w:rPr>
                <w:rFonts w:ascii="Palatino Linotype" w:eastAsia="Palatino Linotype" w:hAnsi="Palatino Linotype" w:cs="Palatino Linotype"/>
                <w:sz w:val="18"/>
                <w:szCs w:val="18"/>
              </w:rPr>
              <w:t xml:space="preserve"> en archivo de la Dirección de Administración y Desarrollo de Personal.  </w:t>
            </w:r>
          </w:p>
          <w:p w14:paraId="31FF1008" w14:textId="77777777" w:rsidR="00BF22D2" w:rsidRPr="004827EF" w:rsidRDefault="00BF22D2">
            <w:pPr>
              <w:spacing w:after="240"/>
              <w:jc w:val="both"/>
              <w:rPr>
                <w:rFonts w:ascii="Palatino Linotype" w:eastAsia="Palatino Linotype" w:hAnsi="Palatino Linotype" w:cs="Palatino Linotype"/>
                <w:sz w:val="18"/>
                <w:szCs w:val="18"/>
              </w:rPr>
            </w:pPr>
          </w:p>
        </w:tc>
        <w:tc>
          <w:tcPr>
            <w:tcW w:w="1701" w:type="dxa"/>
          </w:tcPr>
          <w:p w14:paraId="2116D33B"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No se pronunció la Dirección de Administración y Desarrollo de Personal</w:t>
            </w:r>
          </w:p>
          <w:p w14:paraId="03B24D7D" w14:textId="77777777" w:rsidR="00BF22D2" w:rsidRPr="004827EF" w:rsidRDefault="00BF22D2">
            <w:pPr>
              <w:jc w:val="both"/>
              <w:rPr>
                <w:rFonts w:ascii="Palatino Linotype" w:eastAsia="Palatino Linotype" w:hAnsi="Palatino Linotype" w:cs="Palatino Linotype"/>
                <w:sz w:val="18"/>
                <w:szCs w:val="18"/>
              </w:rPr>
            </w:pPr>
          </w:p>
          <w:p w14:paraId="6A5359B9"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En el contrato debe constar el monto del contrato </w:t>
            </w:r>
          </w:p>
        </w:tc>
        <w:tc>
          <w:tcPr>
            <w:tcW w:w="1320" w:type="dxa"/>
          </w:tcPr>
          <w:p w14:paraId="1AA5F995"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No </w:t>
            </w:r>
          </w:p>
        </w:tc>
      </w:tr>
      <w:tr w:rsidR="004827EF" w:rsidRPr="004827EF" w14:paraId="2B42A147" w14:textId="77777777">
        <w:trPr>
          <w:jc w:val="center"/>
        </w:trPr>
        <w:tc>
          <w:tcPr>
            <w:tcW w:w="1490" w:type="dxa"/>
          </w:tcPr>
          <w:p w14:paraId="67B964B5" w14:textId="77777777" w:rsidR="00BF22D2" w:rsidRPr="004827EF" w:rsidRDefault="00D63F3D">
            <w:pPr>
              <w:spacing w:before="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7.- Infraestructura adicional utilizada para el manejo y recolección de residuos (por ejemplo, puntos de acopio, instalaciones de reciclaje). </w:t>
            </w:r>
          </w:p>
          <w:p w14:paraId="4E59735B" w14:textId="77777777" w:rsidR="00BF22D2" w:rsidRPr="004827EF" w:rsidRDefault="00BF22D2">
            <w:pPr>
              <w:jc w:val="both"/>
              <w:rPr>
                <w:rFonts w:ascii="Palatino Linotype" w:eastAsia="Palatino Linotype" w:hAnsi="Palatino Linotype" w:cs="Palatino Linotype"/>
                <w:sz w:val="18"/>
                <w:szCs w:val="18"/>
              </w:rPr>
            </w:pPr>
          </w:p>
          <w:p w14:paraId="58AB50B6"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8.- </w:t>
            </w:r>
            <w:r w:rsidRPr="004827EF">
              <w:rPr>
                <w:rFonts w:ascii="Palatino Linotype" w:eastAsia="Palatino Linotype" w:hAnsi="Palatino Linotype" w:cs="Palatino Linotype"/>
                <w:b/>
                <w:sz w:val="18"/>
                <w:szCs w:val="18"/>
              </w:rPr>
              <w:t>Mantenimiento de la infraestructura</w:t>
            </w:r>
            <w:r w:rsidRPr="004827EF">
              <w:rPr>
                <w:rFonts w:ascii="Palatino Linotype" w:eastAsia="Palatino Linotype" w:hAnsi="Palatino Linotype" w:cs="Palatino Linotype"/>
                <w:sz w:val="18"/>
                <w:szCs w:val="18"/>
              </w:rPr>
              <w:t>: Frecuencia y tipo de mantenimiento realizado en los contenedores.</w:t>
            </w:r>
          </w:p>
          <w:p w14:paraId="3F442A1D" w14:textId="77777777" w:rsidR="00BF22D2" w:rsidRPr="004827EF" w:rsidRDefault="00BF22D2">
            <w:pPr>
              <w:jc w:val="both"/>
              <w:rPr>
                <w:rFonts w:ascii="Palatino Linotype" w:eastAsia="Palatino Linotype" w:hAnsi="Palatino Linotype" w:cs="Palatino Linotype"/>
                <w:sz w:val="18"/>
                <w:szCs w:val="18"/>
              </w:rPr>
            </w:pPr>
          </w:p>
          <w:p w14:paraId="351065C4"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 xml:space="preserve">18.- </w:t>
            </w:r>
            <w:r w:rsidRPr="004827EF">
              <w:rPr>
                <w:rFonts w:ascii="Palatino Linotype" w:eastAsia="Palatino Linotype" w:hAnsi="Palatino Linotype" w:cs="Palatino Linotype"/>
                <w:b/>
                <w:sz w:val="18"/>
                <w:szCs w:val="18"/>
              </w:rPr>
              <w:t>Centros de acopio y depósitos específicos</w:t>
            </w:r>
            <w:r w:rsidRPr="004827EF">
              <w:rPr>
                <w:rFonts w:ascii="Palatino Linotype" w:eastAsia="Palatino Linotype" w:hAnsi="Palatino Linotype" w:cs="Palatino Linotype"/>
                <w:sz w:val="18"/>
                <w:szCs w:val="18"/>
              </w:rPr>
              <w:t>: Ubicación de centros de acopio de PET y depósitos de fierro en el municipio.</w:t>
            </w:r>
          </w:p>
          <w:p w14:paraId="511CD1C4"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19.- Información sobre los convenios o contratos establecidos para el manejo de PET y depósitos de fierro. </w:t>
            </w:r>
          </w:p>
          <w:p w14:paraId="59A82391"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20.-Detalles sobre la existencia de alguna remuneración al municipio por el manejo de estos materiales o si el municipio paga a terceros por llevárselos. </w:t>
            </w:r>
          </w:p>
          <w:p w14:paraId="226969F0" w14:textId="77777777" w:rsidR="00BF22D2" w:rsidRPr="004827EF" w:rsidRDefault="00D63F3D">
            <w:pPr>
              <w:spacing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21.- Solicitud de copia de los convenios o contratos relacionados con estos centros de acopio y depósitos</w:t>
            </w:r>
          </w:p>
        </w:tc>
        <w:tc>
          <w:tcPr>
            <w:tcW w:w="4317" w:type="dxa"/>
          </w:tcPr>
          <w:p w14:paraId="4111E41E" w14:textId="77777777" w:rsidR="00BF22D2" w:rsidRPr="004827EF" w:rsidRDefault="00D63F3D">
            <w:pPr>
              <w:spacing w:before="240" w:after="240"/>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lastRenderedPageBreak/>
              <w:t xml:space="preserve">No se pronunció </w:t>
            </w:r>
          </w:p>
        </w:tc>
        <w:tc>
          <w:tcPr>
            <w:tcW w:w="1701" w:type="dxa"/>
          </w:tcPr>
          <w:p w14:paraId="66693B1F"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No hay pronunciamiento </w:t>
            </w:r>
          </w:p>
        </w:tc>
        <w:tc>
          <w:tcPr>
            <w:tcW w:w="1320" w:type="dxa"/>
          </w:tcPr>
          <w:p w14:paraId="6E0E0780" w14:textId="77777777" w:rsidR="00BF22D2" w:rsidRPr="004827EF" w:rsidRDefault="00D63F3D">
            <w:pPr>
              <w:jc w:val="both"/>
              <w:rPr>
                <w:rFonts w:ascii="Palatino Linotype" w:eastAsia="Palatino Linotype" w:hAnsi="Palatino Linotype" w:cs="Palatino Linotype"/>
                <w:sz w:val="18"/>
                <w:szCs w:val="18"/>
              </w:rPr>
            </w:pPr>
            <w:r w:rsidRPr="004827EF">
              <w:rPr>
                <w:rFonts w:ascii="Palatino Linotype" w:eastAsia="Palatino Linotype" w:hAnsi="Palatino Linotype" w:cs="Palatino Linotype"/>
                <w:sz w:val="18"/>
                <w:szCs w:val="18"/>
              </w:rPr>
              <w:t xml:space="preserve">No </w:t>
            </w:r>
          </w:p>
        </w:tc>
      </w:tr>
    </w:tbl>
    <w:p w14:paraId="3631EA4C"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33F646B8"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4827EF">
        <w:rPr>
          <w:rFonts w:ascii="Palatino Linotype" w:eastAsia="Palatino Linotype" w:hAnsi="Palatino Linotype" w:cs="Palatino Linotype"/>
          <w:b/>
          <w:u w:val="single"/>
        </w:rPr>
        <w:lastRenderedPageBreak/>
        <w:t>Conforme al cuadro anterior, en el punto donde se tiene por colmado en derecho de acceso a la información pública, es específico el numeral 2, 3, 5, 6, 8, 9, 11, 12, 14, relacionados con:</w:t>
      </w:r>
    </w:p>
    <w:p w14:paraId="0A03C3E8"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2. Horarios específicos de recolección para cada localidad.</w:t>
      </w:r>
    </w:p>
    <w:p w14:paraId="4D7F6490"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3. Número de camiones con los cuales cuenta el municipio de Temoaya, distinción entre los camiones propios y camiones rentados, estado de los camiones, mantenimiento de los camiones, la capacidad de carga, el tipo de camión y el tipo de combustible utilizado.</w:t>
      </w:r>
    </w:p>
    <w:p w14:paraId="2B41B484"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12B6FB61"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5. Descripción de las estaciones de transferencia, si existen.</w:t>
      </w:r>
    </w:p>
    <w:p w14:paraId="10D68066"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10087976"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6.- Equipos de protección personal y herramientas disponibles para los trabajadores de recolección.</w:t>
      </w:r>
    </w:p>
    <w:p w14:paraId="30286462"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189FC624"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8.- Mantenimiento de la infraestructura: Frecuencia y tipo de mantenimiento realizado a las estaciones de transferencia y otros equipos.</w:t>
      </w:r>
    </w:p>
    <w:p w14:paraId="448111F1"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269A339A"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9.- Personal asignado para la recolección de basura: Número total de personas asignadas para la recolección de basura. Puestos, específicos (chofer, ayudante, supervisor, etc.). </w:t>
      </w:r>
    </w:p>
    <w:p w14:paraId="04BA67C0"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7E2AEB31"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11. Experiencia y capacitación del personal (años de servicio, cursos de manejo de residuos, etc.).</w:t>
      </w:r>
    </w:p>
    <w:p w14:paraId="4F8DAAB7"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08DB0853"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12.- Dirección responsable del servicio de limpia, recolección y disposición final de residuos sólidos: Nombre y ubicación de la dirección encargada. Nombre del responsable o director del área. Datos de contacto (teléfono, correo electrónico). </w:t>
      </w:r>
    </w:p>
    <w:p w14:paraId="55DB0376"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4E209F42"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14.-Transferencia y disposición final de residuos sólidos: Destino final de los residuos sólidos una vez recolectados. Detalles del lugar o entidad a la que se transfieren los residuos (nombre, ubicación, tipo de instalación, etc.). </w:t>
      </w:r>
    </w:p>
    <w:p w14:paraId="548A7533"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5EBF17A4"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Así, como de los puntos donde se advierte como un hecho negativo,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63FAE0EB" w14:textId="77777777" w:rsidR="00BF22D2" w:rsidRPr="004827EF" w:rsidRDefault="00BF22D2">
      <w:pPr>
        <w:spacing w:line="360" w:lineRule="auto"/>
        <w:jc w:val="both"/>
        <w:rPr>
          <w:rFonts w:ascii="Palatino Linotype" w:eastAsia="Palatino Linotype" w:hAnsi="Palatino Linotype" w:cs="Palatino Linotype"/>
        </w:rPr>
      </w:pPr>
    </w:p>
    <w:p w14:paraId="2A937841" w14:textId="77777777" w:rsidR="00BF22D2" w:rsidRPr="004827EF" w:rsidRDefault="00D63F3D">
      <w:pPr>
        <w:ind w:left="567" w:right="851"/>
        <w:jc w:val="center"/>
        <w:rPr>
          <w:rFonts w:ascii="Palatino Linotype" w:eastAsia="Palatino Linotype" w:hAnsi="Palatino Linotype" w:cs="Palatino Linotype"/>
          <w:i/>
          <w:sz w:val="22"/>
          <w:szCs w:val="22"/>
        </w:rPr>
      </w:pPr>
      <w:r w:rsidRPr="004827EF">
        <w:rPr>
          <w:rFonts w:ascii="Palatino Linotype" w:eastAsia="Palatino Linotype" w:hAnsi="Palatino Linotype" w:cs="Palatino Linotype"/>
        </w:rPr>
        <w:t xml:space="preserve"> “</w:t>
      </w:r>
      <w:r w:rsidRPr="004827EF">
        <w:rPr>
          <w:rFonts w:ascii="Palatino Linotype" w:eastAsia="Palatino Linotype" w:hAnsi="Palatino Linotype" w:cs="Palatino Linotype"/>
          <w:b/>
          <w:i/>
          <w:sz w:val="22"/>
          <w:szCs w:val="22"/>
        </w:rPr>
        <w:t>HECHOS NEGATIVOS, NO SON SUSCEPTIBLES DE DEMOSTRACIÓN</w:t>
      </w:r>
      <w:r w:rsidRPr="004827EF">
        <w:rPr>
          <w:rFonts w:ascii="Palatino Linotype" w:eastAsia="Palatino Linotype" w:hAnsi="Palatino Linotype" w:cs="Palatino Linotype"/>
          <w:i/>
          <w:sz w:val="22"/>
          <w:szCs w:val="22"/>
        </w:rPr>
        <w:t>.</w:t>
      </w:r>
    </w:p>
    <w:p w14:paraId="76792A21" w14:textId="77777777" w:rsidR="00BF22D2" w:rsidRPr="004827EF" w:rsidRDefault="00D63F3D">
      <w:pPr>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21522FFF" w14:textId="77777777" w:rsidR="00BF22D2" w:rsidRPr="004827EF" w:rsidRDefault="00BF22D2">
      <w:pPr>
        <w:ind w:left="851" w:right="851"/>
        <w:jc w:val="both"/>
        <w:rPr>
          <w:rFonts w:ascii="Palatino Linotype" w:eastAsia="Palatino Linotype" w:hAnsi="Palatino Linotype" w:cs="Palatino Linotype"/>
          <w:i/>
          <w:sz w:val="22"/>
          <w:szCs w:val="22"/>
        </w:rPr>
      </w:pPr>
    </w:p>
    <w:p w14:paraId="690814CA" w14:textId="77777777" w:rsidR="00BF22D2" w:rsidRPr="004827EF" w:rsidRDefault="00D63F3D">
      <w:pPr>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Amparo en revisión 2022/61. José García </w:t>
      </w:r>
      <w:proofErr w:type="gramStart"/>
      <w:r w:rsidRPr="004827EF">
        <w:rPr>
          <w:rFonts w:ascii="Palatino Linotype" w:eastAsia="Palatino Linotype" w:hAnsi="Palatino Linotype" w:cs="Palatino Linotype"/>
          <w:i/>
          <w:sz w:val="22"/>
          <w:szCs w:val="22"/>
        </w:rPr>
        <w:t>Florín</w:t>
      </w:r>
      <w:proofErr w:type="gramEnd"/>
      <w:r w:rsidRPr="004827EF">
        <w:rPr>
          <w:rFonts w:ascii="Palatino Linotype" w:eastAsia="Palatino Linotype" w:hAnsi="Palatino Linotype" w:cs="Palatino Linotype"/>
          <w:i/>
          <w:sz w:val="22"/>
          <w:szCs w:val="22"/>
        </w:rPr>
        <w:t xml:space="preserve"> (Menor). 9 de octubre de 1961. Cinco votos. Ponente: José Rivera Pérez Campos.” </w:t>
      </w:r>
    </w:p>
    <w:p w14:paraId="76126A56" w14:textId="77777777" w:rsidR="00BF22D2" w:rsidRPr="004827EF" w:rsidRDefault="00BF22D2">
      <w:pPr>
        <w:spacing w:line="360" w:lineRule="auto"/>
        <w:jc w:val="both"/>
        <w:rPr>
          <w:rFonts w:ascii="Palatino Linotype" w:eastAsia="Palatino Linotype" w:hAnsi="Palatino Linotype" w:cs="Palatino Linotype"/>
        </w:rPr>
      </w:pPr>
    </w:p>
    <w:p w14:paraId="3B866718"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ese contexto, el área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que proporcionó la información señalada en el presente punto, fue la Dirección de Servicios Públicos Municipales de Temoaya, que en términos de lo señalado por el artículo 76 del Bando Municipal del </w:t>
      </w:r>
      <w:r w:rsidRPr="004827EF">
        <w:rPr>
          <w:rFonts w:ascii="Palatino Linotype" w:eastAsia="Palatino Linotype" w:hAnsi="Palatino Linotype" w:cs="Palatino Linotype"/>
          <w:b/>
        </w:rPr>
        <w:t>SUJETO OBLIGADO del año 2024</w:t>
      </w:r>
      <w:r w:rsidRPr="004827EF">
        <w:rPr>
          <w:rFonts w:ascii="Palatino Linotype" w:eastAsia="Palatino Linotype" w:hAnsi="Palatino Linotype" w:cs="Palatino Linotype"/>
        </w:rPr>
        <w:t>, tienen las siguientes atribuciones:</w:t>
      </w:r>
    </w:p>
    <w:p w14:paraId="2E2DD551" w14:textId="77777777" w:rsidR="00BF22D2" w:rsidRPr="004827EF" w:rsidRDefault="00BF22D2">
      <w:pPr>
        <w:ind w:left="851" w:right="901"/>
        <w:jc w:val="both"/>
        <w:rPr>
          <w:rFonts w:ascii="Palatino Linotype" w:eastAsia="Palatino Linotype" w:hAnsi="Palatino Linotype" w:cs="Palatino Linotype"/>
          <w:i/>
          <w:sz w:val="22"/>
          <w:szCs w:val="22"/>
        </w:rPr>
      </w:pPr>
    </w:p>
    <w:p w14:paraId="2F5D56D9"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lastRenderedPageBreak/>
        <w:t>“Artículo 76.- En el Municipio de Temamatla, Estado de México, el Ayuntamiento tendrá a su cargo la prestación, explotación, administración y conservación de los servicios públicos municipales señalados en el Artículo 115 fracción III de la Constitución Federal; 122 de la Constitución Local y 125 de la Ley Orgánica Municipal, considerándose enunciativa y no limitativamente los siguientes:</w:t>
      </w:r>
    </w:p>
    <w:p w14:paraId="2AD9952E"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783CD116"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III. Limpia, recolección, traslado, tratamiento y disposición final de residuos sólidos…”</w:t>
      </w:r>
    </w:p>
    <w:p w14:paraId="502E2EDB"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16C856C3"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Toda vez que el Ayuntamiento de Temoaya a través de su Dirección de Servicios Públicos le corresponde la limpia, recolección, traslado, tratamiento y disposición final de residuos sólidos. </w:t>
      </w:r>
    </w:p>
    <w:p w14:paraId="1EB52A18"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271C977D"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Siendo el área competente para conocer de la información requerida, colmando con ello dichos requerimientos; además,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histórico 31-10 emitido por el entonces Instituto Federal de Accesos a la Información y Protección de Datos, que a la letra establece lo siguiente:</w:t>
      </w:r>
    </w:p>
    <w:p w14:paraId="0EEC55CE" w14:textId="77777777" w:rsidR="00BF22D2" w:rsidRPr="004827EF" w:rsidRDefault="00D63F3D">
      <w:pPr>
        <w:spacing w:before="120" w:after="120"/>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827EF">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w:t>
      </w:r>
      <w:r w:rsidRPr="004827EF">
        <w:rPr>
          <w:rFonts w:ascii="Palatino Linotype" w:eastAsia="Palatino Linotype" w:hAnsi="Palatino Linotype" w:cs="Palatino Linotype"/>
          <w:i/>
          <w:sz w:val="22"/>
          <w:szCs w:val="22"/>
        </w:rPr>
        <w:lastRenderedPageBreak/>
        <w:t>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A46694" w14:textId="77777777" w:rsidR="00BF22D2" w:rsidRPr="004827EF" w:rsidRDefault="00BF22D2">
      <w:pPr>
        <w:spacing w:line="360" w:lineRule="auto"/>
        <w:jc w:val="both"/>
        <w:rPr>
          <w:rFonts w:ascii="Palatino Linotype" w:eastAsia="Palatino Linotype" w:hAnsi="Palatino Linotype" w:cs="Palatino Linotype"/>
        </w:rPr>
      </w:pPr>
    </w:p>
    <w:p w14:paraId="0CFFEBB9" w14:textId="77777777" w:rsidR="00BF22D2" w:rsidRPr="004827EF" w:rsidRDefault="00D63F3D">
      <w:pPr>
        <w:spacing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De lo anterior, este Organismo Garante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5102D546" w14:textId="77777777" w:rsidR="00BF22D2" w:rsidRPr="004827EF" w:rsidRDefault="00D63F3D">
      <w:pPr>
        <w:spacing w:line="360" w:lineRule="auto"/>
        <w:jc w:val="both"/>
        <w:rPr>
          <w:rFonts w:ascii="Palatino Linotype" w:eastAsia="Palatino Linotype" w:hAnsi="Palatino Linotype" w:cs="Palatino Linotype"/>
          <w:b/>
          <w:u w:val="single"/>
        </w:rPr>
      </w:pPr>
      <w:r w:rsidRPr="004827EF">
        <w:rPr>
          <w:rFonts w:ascii="Palatino Linotype" w:eastAsia="Palatino Linotype" w:hAnsi="Palatino Linotype" w:cs="Palatino Linotype"/>
          <w:b/>
          <w:u w:val="single"/>
        </w:rPr>
        <w:t>En otro orden de ideas en cuanto al punto 3, relacionado con:</w:t>
      </w:r>
    </w:p>
    <w:p w14:paraId="74BCB9B1" w14:textId="77777777" w:rsidR="00BF22D2" w:rsidRPr="004827EF" w:rsidRDefault="00BF22D2">
      <w:pPr>
        <w:jc w:val="both"/>
        <w:rPr>
          <w:rFonts w:ascii="Palatino Linotype" w:eastAsia="Palatino Linotype" w:hAnsi="Palatino Linotype" w:cs="Palatino Linotype"/>
        </w:rPr>
      </w:pPr>
    </w:p>
    <w:p w14:paraId="072C9E49"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*Detalles de los camiones propios: </w:t>
      </w:r>
    </w:p>
    <w:p w14:paraId="55C1080C" w14:textId="77777777" w:rsidR="00BF22D2" w:rsidRPr="004827EF" w:rsidRDefault="00BF22D2">
      <w:pPr>
        <w:jc w:val="both"/>
        <w:rPr>
          <w:rFonts w:ascii="Palatino Linotype" w:eastAsia="Palatino Linotype" w:hAnsi="Palatino Linotype" w:cs="Palatino Linotype"/>
        </w:rPr>
      </w:pPr>
    </w:p>
    <w:p w14:paraId="695E90AB"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-Fecha de adquisición de cada camión. </w:t>
      </w:r>
    </w:p>
    <w:p w14:paraId="6BE0E7EE"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-Costo de adquisición de cada camión. </w:t>
      </w:r>
    </w:p>
    <w:p w14:paraId="2E2E804F" w14:textId="77777777" w:rsidR="00BF22D2" w:rsidRPr="004827EF" w:rsidRDefault="00BF22D2">
      <w:pPr>
        <w:jc w:val="both"/>
        <w:rPr>
          <w:rFonts w:ascii="Palatino Linotype" w:eastAsia="Palatino Linotype" w:hAnsi="Palatino Linotype" w:cs="Palatino Linotype"/>
        </w:rPr>
      </w:pPr>
    </w:p>
    <w:p w14:paraId="48FD3170"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*Detalles de los camiones rentados:</w:t>
      </w:r>
    </w:p>
    <w:p w14:paraId="345E6E41" w14:textId="77777777" w:rsidR="00BF22D2" w:rsidRPr="004827EF" w:rsidRDefault="00BF22D2">
      <w:pPr>
        <w:jc w:val="both"/>
        <w:rPr>
          <w:rFonts w:ascii="Palatino Linotype" w:eastAsia="Palatino Linotype" w:hAnsi="Palatino Linotype" w:cs="Palatino Linotype"/>
        </w:rPr>
      </w:pPr>
    </w:p>
    <w:p w14:paraId="25B881EA"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-Fecha desde la que se rentan. </w:t>
      </w:r>
    </w:p>
    <w:p w14:paraId="325CC0BB"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-Nombre de la empresa o persona a quien se rentan. </w:t>
      </w:r>
    </w:p>
    <w:p w14:paraId="2B5A8DCB"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-Costo de renta de cada camión. </w:t>
      </w:r>
    </w:p>
    <w:p w14:paraId="4BFE5FA4"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-Duración del contrato de renta de cada camión. </w:t>
      </w:r>
    </w:p>
    <w:p w14:paraId="78A7E793" w14:textId="77777777" w:rsidR="00BF22D2" w:rsidRPr="004827EF" w:rsidRDefault="00BF22D2">
      <w:pPr>
        <w:jc w:val="both"/>
        <w:rPr>
          <w:rFonts w:ascii="Palatino Linotype" w:eastAsia="Palatino Linotype" w:hAnsi="Palatino Linotype" w:cs="Palatino Linotype"/>
        </w:rPr>
      </w:pPr>
    </w:p>
    <w:p w14:paraId="5C6BD9CD"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*Características de cada camión de basura: </w:t>
      </w:r>
    </w:p>
    <w:p w14:paraId="308F80CA" w14:textId="77777777" w:rsidR="00BF22D2" w:rsidRPr="004827EF" w:rsidRDefault="00BF22D2">
      <w:pPr>
        <w:jc w:val="both"/>
        <w:rPr>
          <w:rFonts w:ascii="Palatino Linotype" w:eastAsia="Palatino Linotype" w:hAnsi="Palatino Linotype" w:cs="Palatino Linotype"/>
        </w:rPr>
      </w:pPr>
    </w:p>
    <w:p w14:paraId="0C4C8DC4"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-Año de fabricación: </w:t>
      </w:r>
    </w:p>
    <w:p w14:paraId="6FE75D82"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-Año en que se fabricó cada camión. </w:t>
      </w:r>
    </w:p>
    <w:p w14:paraId="19FB451B" w14:textId="77777777" w:rsidR="00BF22D2" w:rsidRPr="004827EF" w:rsidRDefault="00BF22D2">
      <w:pPr>
        <w:jc w:val="both"/>
        <w:rPr>
          <w:rFonts w:ascii="Palatino Linotype" w:eastAsia="Palatino Linotype" w:hAnsi="Palatino Linotype" w:cs="Palatino Linotype"/>
        </w:rPr>
      </w:pPr>
    </w:p>
    <w:p w14:paraId="5796E078"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*Modelo:</w:t>
      </w:r>
    </w:p>
    <w:p w14:paraId="522E3642" w14:textId="77777777" w:rsidR="00BF22D2" w:rsidRPr="004827EF" w:rsidRDefault="00BF22D2">
      <w:pPr>
        <w:jc w:val="both"/>
        <w:rPr>
          <w:rFonts w:ascii="Palatino Linotype" w:eastAsia="Palatino Linotype" w:hAnsi="Palatino Linotype" w:cs="Palatino Linotype"/>
        </w:rPr>
      </w:pPr>
    </w:p>
    <w:p w14:paraId="51E45393"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Modelo específico de cada camión. </w:t>
      </w:r>
    </w:p>
    <w:p w14:paraId="3F6700D3"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-Tipo de camión: (por ejemplo, compactador, recolector lateral, recolector trasero, etc.). </w:t>
      </w:r>
    </w:p>
    <w:p w14:paraId="6D9770FF"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-Condición actual del vehículo: Estado del camión (nuevo, usado, en reparación, fuera de servicio). </w:t>
      </w:r>
    </w:p>
    <w:p w14:paraId="65D6D860"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-Kilometraje actual: Total de kilómetros recorridos por cada camión. </w:t>
      </w:r>
    </w:p>
    <w:p w14:paraId="7E37D0E2"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-Consumo de combustible: Rendimiento promedio de combustible por kilómetro. </w:t>
      </w:r>
    </w:p>
    <w:p w14:paraId="3E557187" w14:textId="77777777" w:rsidR="00BF22D2" w:rsidRPr="004827EF" w:rsidRDefault="00BF22D2">
      <w:pPr>
        <w:jc w:val="both"/>
        <w:rPr>
          <w:rFonts w:ascii="Palatino Linotype" w:eastAsia="Palatino Linotype" w:hAnsi="Palatino Linotype" w:cs="Palatino Linotype"/>
        </w:rPr>
      </w:pPr>
    </w:p>
    <w:p w14:paraId="6EF11298"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*Características técnicas adicionales: </w:t>
      </w:r>
    </w:p>
    <w:p w14:paraId="31634728" w14:textId="77777777" w:rsidR="00BF22D2" w:rsidRPr="004827EF" w:rsidRDefault="00BF22D2">
      <w:pPr>
        <w:jc w:val="both"/>
        <w:rPr>
          <w:rFonts w:ascii="Palatino Linotype" w:eastAsia="Palatino Linotype" w:hAnsi="Palatino Linotype" w:cs="Palatino Linotype"/>
        </w:rPr>
      </w:pPr>
    </w:p>
    <w:p w14:paraId="48AD9FC6"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-Número de ejes. Capacidad del motor (en caballos de fuerza). </w:t>
      </w:r>
    </w:p>
    <w:p w14:paraId="47D74B64"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-Equipamiento especial (como sistemas de compactación, elevadores hidráulicos, etc.). </w:t>
      </w:r>
    </w:p>
    <w:p w14:paraId="29741AB7"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-Años de vida útil restante: </w:t>
      </w:r>
    </w:p>
    <w:p w14:paraId="66319AB9" w14:textId="77777777" w:rsidR="00BF22D2" w:rsidRPr="004827EF" w:rsidRDefault="00D63F3D">
      <w:pPr>
        <w:jc w:val="both"/>
        <w:rPr>
          <w:rFonts w:ascii="Palatino Linotype" w:eastAsia="Palatino Linotype" w:hAnsi="Palatino Linotype" w:cs="Palatino Linotype"/>
        </w:rPr>
      </w:pPr>
      <w:r w:rsidRPr="004827EF">
        <w:rPr>
          <w:rFonts w:ascii="Palatino Linotype" w:eastAsia="Palatino Linotype" w:hAnsi="Palatino Linotype" w:cs="Palatino Linotype"/>
        </w:rPr>
        <w:t>-Estimación del tiempo que cada camión podrá seguir operando eficientemente.</w:t>
      </w:r>
    </w:p>
    <w:p w14:paraId="1809868C" w14:textId="77777777" w:rsidR="00BF22D2" w:rsidRPr="004827EF" w:rsidRDefault="00BF22D2">
      <w:pPr>
        <w:spacing w:line="360" w:lineRule="auto"/>
        <w:jc w:val="both"/>
        <w:rPr>
          <w:rFonts w:ascii="Palatino Linotype" w:eastAsia="Palatino Linotype" w:hAnsi="Palatino Linotype" w:cs="Palatino Linotype"/>
        </w:rPr>
      </w:pPr>
    </w:p>
    <w:p w14:paraId="407B6C72"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respuesta la Dirección de Servicios Públicos señaló que el área competente para informar los detalles le corresponde a la Dirección de Administración y de Personal, con lo cual se acredita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no hizo la búsqueda exhaustiva en las áreas competentes, incumpliendo con ello con el procedimiento de búsqueda establecido en el artículo 162 de la Ley de Transparencia y Acceso a la Información Pública del Estado de México y Municipios, al no gestionar el requerimiento de información al área competente para conocer de lo peticionado, como así lo determina dicho ordenamiento legal que señala:</w:t>
      </w:r>
    </w:p>
    <w:p w14:paraId="59FC251C" w14:textId="77777777" w:rsidR="00BF22D2" w:rsidRPr="004827EF" w:rsidRDefault="00BF22D2">
      <w:pPr>
        <w:spacing w:line="360" w:lineRule="auto"/>
        <w:jc w:val="both"/>
        <w:rPr>
          <w:rFonts w:ascii="Palatino Linotype" w:eastAsia="Palatino Linotype" w:hAnsi="Palatino Linotype" w:cs="Palatino Linotype"/>
        </w:rPr>
      </w:pPr>
    </w:p>
    <w:p w14:paraId="392878E4"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60B294DF" w14:textId="77777777" w:rsidR="00BF22D2" w:rsidRPr="004827EF" w:rsidRDefault="00BF22D2">
      <w:pPr>
        <w:spacing w:line="360" w:lineRule="auto"/>
        <w:ind w:right="-28"/>
      </w:pPr>
    </w:p>
    <w:p w14:paraId="3E062B3E" w14:textId="77777777" w:rsidR="00BF22D2" w:rsidRPr="004827EF" w:rsidRDefault="00D63F3D">
      <w:pPr>
        <w:shd w:val="clear" w:color="auto" w:fill="FFFFFF"/>
        <w:spacing w:line="360" w:lineRule="auto"/>
        <w:jc w:val="both"/>
      </w:pPr>
      <w:r w:rsidRPr="004827EF">
        <w:rPr>
          <w:rFonts w:ascii="Palatino Linotype" w:eastAsia="Palatino Linotype" w:hAnsi="Palatino Linotype" w:cs="Palatino Linotype"/>
        </w:rPr>
        <w:lastRenderedPageBreak/>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4827EF">
        <w:rPr>
          <w:rFonts w:ascii="Palatino Linotype" w:eastAsia="Palatino Linotype" w:hAnsi="Palatino Linotype" w:cs="Palatino Linotype"/>
          <w:vertAlign w:val="superscript"/>
        </w:rPr>
        <w:footnoteReference w:id="1"/>
      </w:r>
      <w:r w:rsidRPr="004827EF">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0DB5C983" w14:textId="77777777" w:rsidR="00BF22D2" w:rsidRPr="004827EF" w:rsidRDefault="00BF22D2">
      <w:pPr>
        <w:shd w:val="clear" w:color="auto" w:fill="FFFFFF"/>
        <w:ind w:left="993" w:right="1041"/>
        <w:jc w:val="both"/>
        <w:rPr>
          <w:rFonts w:ascii="Palatino Linotype" w:eastAsia="Palatino Linotype" w:hAnsi="Palatino Linotype" w:cs="Palatino Linotype"/>
          <w:b/>
          <w:i/>
          <w:sz w:val="22"/>
          <w:szCs w:val="22"/>
        </w:rPr>
      </w:pPr>
    </w:p>
    <w:p w14:paraId="12004DDB" w14:textId="77777777" w:rsidR="00BF22D2" w:rsidRPr="004827EF" w:rsidRDefault="00D63F3D">
      <w:pPr>
        <w:shd w:val="clear" w:color="auto" w:fill="FFFFFF"/>
        <w:ind w:left="993" w:right="1041"/>
        <w:jc w:val="both"/>
      </w:pPr>
      <w:r w:rsidRPr="004827EF">
        <w:rPr>
          <w:rFonts w:ascii="Palatino Linotype" w:eastAsia="Palatino Linotype" w:hAnsi="Palatino Linotype" w:cs="Palatino Linotype"/>
          <w:b/>
          <w:i/>
          <w:sz w:val="22"/>
          <w:szCs w:val="22"/>
        </w:rPr>
        <w:t>“Artículo 160. </w:t>
      </w:r>
      <w:r w:rsidRPr="004827EF">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0B784EE" w14:textId="77777777" w:rsidR="00BF22D2" w:rsidRPr="004827EF" w:rsidRDefault="00D63F3D">
      <w:pPr>
        <w:shd w:val="clear" w:color="auto" w:fill="FFFFFF"/>
        <w:ind w:left="993" w:right="1041"/>
        <w:jc w:val="both"/>
      </w:pPr>
      <w:r w:rsidRPr="004827EF">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0B73650C" w14:textId="77777777" w:rsidR="00BF22D2" w:rsidRPr="004827EF" w:rsidRDefault="00D63F3D">
      <w:pPr>
        <w:shd w:val="clear" w:color="auto" w:fill="FFFFFF"/>
        <w:ind w:left="993" w:right="1041"/>
        <w:jc w:val="both"/>
      </w:pPr>
      <w:r w:rsidRPr="004827EF">
        <w:rPr>
          <w:rFonts w:ascii="Palatino Linotype" w:eastAsia="Palatino Linotype" w:hAnsi="Palatino Linotype" w:cs="Palatino Linotype"/>
          <w:b/>
          <w:i/>
          <w:sz w:val="22"/>
          <w:szCs w:val="22"/>
        </w:rPr>
        <w:t>Artículo 163.</w:t>
      </w:r>
      <w:r w:rsidRPr="004827EF">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64F834E1" w14:textId="77777777" w:rsidR="00BF22D2" w:rsidRPr="004827EF" w:rsidRDefault="00D63F3D">
      <w:pPr>
        <w:shd w:val="clear" w:color="auto" w:fill="FFFFFF"/>
        <w:ind w:left="993" w:right="1041"/>
        <w:jc w:val="both"/>
      </w:pPr>
      <w:r w:rsidRPr="004827EF">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w:t>
      </w:r>
      <w:r w:rsidRPr="004827EF">
        <w:rPr>
          <w:rFonts w:ascii="Palatino Linotype" w:eastAsia="Palatino Linotype" w:hAnsi="Palatino Linotype" w:cs="Palatino Linotype"/>
          <w:i/>
          <w:sz w:val="22"/>
          <w:szCs w:val="22"/>
        </w:rPr>
        <w:lastRenderedPageBreak/>
        <w:t>del plazo motivos que supongan negligencia o descuido del sujeto obligado en el desahogo de la solicitud.</w:t>
      </w:r>
    </w:p>
    <w:p w14:paraId="21118C6F" w14:textId="77777777" w:rsidR="00BF22D2" w:rsidRPr="004827EF" w:rsidRDefault="00D63F3D">
      <w:pPr>
        <w:shd w:val="clear" w:color="auto" w:fill="FFFFFF"/>
        <w:ind w:left="993" w:right="1041"/>
        <w:jc w:val="both"/>
      </w:pPr>
      <w:r w:rsidRPr="004827EF">
        <w:rPr>
          <w:rFonts w:ascii="Palatino Linotype" w:eastAsia="Palatino Linotype" w:hAnsi="Palatino Linotype" w:cs="Palatino Linotype"/>
          <w:b/>
          <w:i/>
          <w:sz w:val="22"/>
          <w:szCs w:val="22"/>
        </w:rPr>
        <w:t>Artículo 165.</w:t>
      </w:r>
      <w:r w:rsidRPr="004827EF">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394538FE" w14:textId="77777777" w:rsidR="00BF22D2" w:rsidRPr="004827EF" w:rsidRDefault="00D63F3D">
      <w:pPr>
        <w:shd w:val="clear" w:color="auto" w:fill="FFFFFF"/>
        <w:ind w:left="993" w:right="1041"/>
        <w:jc w:val="both"/>
      </w:pPr>
      <w:r w:rsidRPr="004827EF">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2FA84ABB" w14:textId="77777777" w:rsidR="00BF22D2" w:rsidRPr="004827EF" w:rsidRDefault="00D63F3D">
      <w:pPr>
        <w:shd w:val="clear" w:color="auto" w:fill="FFFFFF"/>
        <w:spacing w:after="240"/>
        <w:ind w:left="993" w:right="1041"/>
        <w:jc w:val="both"/>
      </w:pPr>
      <w:r w:rsidRPr="004827EF">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6647B555"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Así que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4827EF">
        <w:rPr>
          <w:rFonts w:ascii="Palatino Linotype" w:eastAsia="Palatino Linotype" w:hAnsi="Palatino Linotype" w:cs="Palatino Linotype"/>
          <w:vertAlign w:val="superscript"/>
        </w:rPr>
        <w:footnoteReference w:id="2"/>
      </w:r>
      <w:r w:rsidRPr="004827EF">
        <w:rPr>
          <w:rFonts w:ascii="Palatino Linotype" w:eastAsia="Palatino Linotype" w:hAnsi="Palatino Linotype" w:cs="Palatino Linotype"/>
        </w:rPr>
        <w:t xml:space="preserve">, situación que no se advierte en el presente caso, toda vez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a través de su la Dirección de Administración y Desarrollo de Personal, no se pronunció sobre los requerimientos de información. </w:t>
      </w:r>
    </w:p>
    <w:p w14:paraId="68047011"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Por consiguiente, se determina que la respuesta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0D4C357D" w14:textId="77777777" w:rsidR="00BF22D2" w:rsidRPr="004827EF" w:rsidRDefault="00D63F3D">
      <w:pPr>
        <w:spacing w:before="80" w:after="240"/>
        <w:ind w:left="567" w:right="90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 xml:space="preserve">“Congruencia y exhaustividad. Sus alcances para garantizar el derecho de acceso a la información. </w:t>
      </w:r>
      <w:r w:rsidRPr="004827EF">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827EF">
        <w:rPr>
          <w:rFonts w:ascii="Palatino Linotype" w:eastAsia="Palatino Linotype" w:hAnsi="Palatino Linotype" w:cs="Palatino Linotype"/>
          <w:b/>
          <w:i/>
          <w:sz w:val="22"/>
          <w:szCs w:val="22"/>
        </w:rPr>
        <w:t xml:space="preserve">la congruencia implica que exista concordancia entre el requerimiento formulado por el </w:t>
      </w:r>
      <w:r w:rsidRPr="004827EF">
        <w:rPr>
          <w:rFonts w:ascii="Palatino Linotype" w:eastAsia="Palatino Linotype" w:hAnsi="Palatino Linotype" w:cs="Palatino Linotype"/>
          <w:b/>
          <w:i/>
          <w:sz w:val="22"/>
          <w:szCs w:val="22"/>
        </w:rPr>
        <w:lastRenderedPageBreak/>
        <w:t>particular y la respuesta proporcionada por el sujeto obligado</w:t>
      </w:r>
      <w:r w:rsidRPr="004827EF">
        <w:rPr>
          <w:rFonts w:ascii="Palatino Linotype" w:eastAsia="Palatino Linotype" w:hAnsi="Palatino Linotype" w:cs="Palatino Linotype"/>
          <w:i/>
          <w:sz w:val="22"/>
          <w:szCs w:val="22"/>
        </w:rPr>
        <w:t xml:space="preserve">; mientras que </w:t>
      </w:r>
      <w:r w:rsidRPr="004827EF">
        <w:rPr>
          <w:rFonts w:ascii="Palatino Linotype" w:eastAsia="Palatino Linotype" w:hAnsi="Palatino Linotype" w:cs="Palatino Linotype"/>
          <w:b/>
          <w:i/>
          <w:sz w:val="22"/>
          <w:szCs w:val="22"/>
        </w:rPr>
        <w:t>la exhaustividad significa que dicha respuesta se refiera expresamente a cada uno de los puntos solicitados</w:t>
      </w:r>
      <w:r w:rsidRPr="004827EF">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3FACB2CF"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Razones por las cuales lo procedente es ordenar, previa búsqueda exhaustiva y razonable, el documento o documentos en donde conste al veintisiete al de agosto del año dos mil </w:t>
      </w:r>
      <w:proofErr w:type="gramStart"/>
      <w:r w:rsidRPr="004827EF">
        <w:rPr>
          <w:rFonts w:ascii="Palatino Linotype" w:eastAsia="Palatino Linotype" w:hAnsi="Palatino Linotype" w:cs="Palatino Linotype"/>
        </w:rPr>
        <w:t>veinticuatro,  lo</w:t>
      </w:r>
      <w:proofErr w:type="gramEnd"/>
      <w:r w:rsidRPr="004827EF">
        <w:rPr>
          <w:rFonts w:ascii="Palatino Linotype" w:eastAsia="Palatino Linotype" w:hAnsi="Palatino Linotype" w:cs="Palatino Linotype"/>
        </w:rPr>
        <w:t xml:space="preserve"> siguiente:</w:t>
      </w:r>
    </w:p>
    <w:p w14:paraId="5F548417" w14:textId="77777777" w:rsidR="00BF22D2" w:rsidRPr="004827EF" w:rsidRDefault="00BF22D2">
      <w:pPr>
        <w:spacing w:line="360" w:lineRule="auto"/>
        <w:rPr>
          <w:rFonts w:ascii="Palatino Linotype" w:eastAsia="Palatino Linotype" w:hAnsi="Palatino Linotype" w:cs="Palatino Linotype"/>
        </w:rPr>
      </w:pPr>
    </w:p>
    <w:p w14:paraId="485C5ED7" w14:textId="77777777" w:rsidR="00BF22D2" w:rsidRPr="004827EF" w:rsidRDefault="00D63F3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Los detalles y características de cada una de las unidades recolectoras señaladas en la respuesta, al mayor grado de detalle que se tenga, en el que se incluya el consumo de combustible.  </w:t>
      </w:r>
    </w:p>
    <w:p w14:paraId="1AAF3AF2" w14:textId="77777777" w:rsidR="00BF22D2" w:rsidRPr="004827EF" w:rsidRDefault="00D63F3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Costos de Adquisición de las unidades recolectoras señaladas en respuesta, propiedad del Ayuntamiento de Temoaya. </w:t>
      </w:r>
    </w:p>
    <w:p w14:paraId="4F750B6A" w14:textId="77777777" w:rsidR="00BF22D2" w:rsidRPr="004827EF" w:rsidRDefault="00BF22D2">
      <w:pPr>
        <w:spacing w:line="360" w:lineRule="auto"/>
        <w:rPr>
          <w:rFonts w:ascii="Palatino Linotype" w:eastAsia="Palatino Linotype" w:hAnsi="Palatino Linotype" w:cs="Palatino Linotype"/>
        </w:rPr>
      </w:pPr>
    </w:p>
    <w:p w14:paraId="5843AF82"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versión pública de ser procedente conforme a lo señalado por el considerando quinto del presente fallo. </w:t>
      </w:r>
    </w:p>
    <w:p w14:paraId="37B0EB70" w14:textId="77777777" w:rsidR="00BF22D2" w:rsidRPr="004827EF" w:rsidRDefault="00BF22D2">
      <w:pPr>
        <w:spacing w:line="360" w:lineRule="auto"/>
        <w:rPr>
          <w:rFonts w:ascii="Palatino Linotype" w:eastAsia="Palatino Linotype" w:hAnsi="Palatino Linotype" w:cs="Palatino Linotype"/>
        </w:rPr>
      </w:pPr>
    </w:p>
    <w:p w14:paraId="19450008"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Los documentos en donde constaría la información </w:t>
      </w:r>
      <w:proofErr w:type="gramStart"/>
      <w:r w:rsidRPr="004827EF">
        <w:rPr>
          <w:rFonts w:ascii="Palatino Linotype" w:eastAsia="Palatino Linotype" w:hAnsi="Palatino Linotype" w:cs="Palatino Linotype"/>
        </w:rPr>
        <w:t>seria</w:t>
      </w:r>
      <w:proofErr w:type="gramEnd"/>
      <w:r w:rsidRPr="004827EF">
        <w:rPr>
          <w:rFonts w:ascii="Palatino Linotype" w:eastAsia="Palatino Linotype" w:hAnsi="Palatino Linotype" w:cs="Palatino Linotype"/>
        </w:rPr>
        <w:t xml:space="preserve"> de manera enunciativa más no limitada serían los propios contratos de arrendamiento (camiones de renta) y contratos de compraventa (camiones propios), en términos de lo señalado por el artículo 92 fracciones XXXII, que señala:</w:t>
      </w:r>
    </w:p>
    <w:p w14:paraId="071EEC4E" w14:textId="77777777" w:rsidR="00BF22D2" w:rsidRPr="004827EF" w:rsidRDefault="00BF22D2">
      <w:pPr>
        <w:spacing w:line="360" w:lineRule="auto"/>
        <w:jc w:val="both"/>
        <w:rPr>
          <w:rFonts w:ascii="Palatino Linotype" w:eastAsia="Palatino Linotype" w:hAnsi="Palatino Linotype" w:cs="Palatino Linotype"/>
        </w:rPr>
      </w:pPr>
    </w:p>
    <w:p w14:paraId="485C250E" w14:textId="77777777" w:rsidR="00BF22D2" w:rsidRPr="004827EF" w:rsidRDefault="00D63F3D">
      <w:pPr>
        <w:spacing w:before="80" w:after="240"/>
        <w:ind w:left="567" w:right="90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w:t>
      </w:r>
      <w:r w:rsidRPr="004827EF">
        <w:rPr>
          <w:rFonts w:ascii="Palatino Linotype" w:eastAsia="Palatino Linotype" w:hAnsi="Palatino Linotype" w:cs="Palatino Linotype"/>
          <w:i/>
          <w:sz w:val="22"/>
          <w:szCs w:val="22"/>
        </w:rPr>
        <w:lastRenderedPageBreak/>
        <w:t>funciones u objeto social, según corresponda, la información, por lo menos, de los temas, documentos y políticas que a continuación se señalan:</w:t>
      </w:r>
    </w:p>
    <w:p w14:paraId="1206772F" w14:textId="77777777" w:rsidR="00BF22D2" w:rsidRPr="004827EF" w:rsidRDefault="00D63F3D">
      <w:pPr>
        <w:spacing w:before="80" w:after="240"/>
        <w:ind w:left="567" w:right="90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1D170B89" w14:textId="77777777" w:rsidR="00BF22D2" w:rsidRPr="004827EF" w:rsidRDefault="00D63F3D">
      <w:pPr>
        <w:spacing w:before="80" w:after="240"/>
        <w:ind w:left="567" w:right="90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XXXII. Las concesiones, </w:t>
      </w:r>
      <w:r w:rsidRPr="004827EF">
        <w:rPr>
          <w:rFonts w:ascii="Palatino Linotype" w:eastAsia="Palatino Linotype" w:hAnsi="Palatino Linotype" w:cs="Palatino Linotype"/>
          <w:b/>
          <w:i/>
          <w:sz w:val="22"/>
          <w:szCs w:val="22"/>
        </w:rPr>
        <w:t xml:space="preserve">contratos, </w:t>
      </w:r>
      <w:r w:rsidRPr="004827EF">
        <w:rPr>
          <w:rFonts w:ascii="Palatino Linotype" w:eastAsia="Palatino Linotype" w:hAnsi="Palatino Linotype" w:cs="Palatino Linotype"/>
          <w:i/>
          <w:sz w:val="22"/>
          <w:szCs w:val="22"/>
        </w:rPr>
        <w:t>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182248DC" w14:textId="77777777" w:rsidR="00BF22D2" w:rsidRPr="004827EF" w:rsidRDefault="00BF22D2">
      <w:pPr>
        <w:shd w:val="clear" w:color="auto" w:fill="FFFFFF"/>
        <w:spacing w:before="240" w:line="360" w:lineRule="auto"/>
        <w:jc w:val="both"/>
        <w:rPr>
          <w:rFonts w:ascii="Palatino Linotype" w:eastAsia="Palatino Linotype" w:hAnsi="Palatino Linotype" w:cs="Palatino Linotype"/>
        </w:rPr>
      </w:pPr>
    </w:p>
    <w:p w14:paraId="7651DB56" w14:textId="77777777" w:rsidR="00BF22D2" w:rsidRPr="004827EF" w:rsidRDefault="00D63F3D">
      <w:pPr>
        <w:shd w:val="clear" w:color="auto" w:fill="FFFFFF"/>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Así como el inventario de bienes muebles, los cuales deben ser reportados al Organismo Superior de Fiscalización del Estado de México, </w:t>
      </w:r>
      <w:proofErr w:type="gramStart"/>
      <w:r w:rsidRPr="004827EF">
        <w:rPr>
          <w:rFonts w:ascii="Palatino Linotype" w:eastAsia="Palatino Linotype" w:hAnsi="Palatino Linotype" w:cs="Palatino Linotype"/>
        </w:rPr>
        <w:t>ya que</w:t>
      </w:r>
      <w:proofErr w:type="gramEnd"/>
      <w:r w:rsidRPr="004827EF">
        <w:rPr>
          <w:rFonts w:ascii="Palatino Linotype" w:eastAsia="Palatino Linotype" w:hAnsi="Palatino Linotype" w:cs="Palatino Linotype"/>
        </w:rPr>
        <w:t xml:space="preserve"> de los Lineamientos para la Integración del Informe Trimestral Municipal, emitidos por el mismo Órgano Superior para el ejercicio fiscal 2024, en específico en el módulo cuatro se aprecia que se debe reportar la información de los bienes inmuebles, como así se aprecia en las siguientes imágenes que de manera ilustrativa se insertan a continuación:</w:t>
      </w:r>
    </w:p>
    <w:p w14:paraId="3D587405" w14:textId="77777777" w:rsidR="00BF22D2" w:rsidRPr="004827EF" w:rsidRDefault="00D63F3D">
      <w:pPr>
        <w:spacing w:line="360" w:lineRule="auto"/>
        <w:jc w:val="both"/>
      </w:pPr>
      <w:r w:rsidRPr="004827EF">
        <w:rPr>
          <w:noProof/>
          <w:lang w:val="es-MX"/>
        </w:rPr>
        <w:lastRenderedPageBreak/>
        <w:drawing>
          <wp:inline distT="0" distB="0" distL="0" distR="0" wp14:anchorId="6A2EB571" wp14:editId="1CF39C06">
            <wp:extent cx="5623858" cy="4974283"/>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23858" cy="4974283"/>
                    </a:xfrm>
                    <a:prstGeom prst="rect">
                      <a:avLst/>
                    </a:prstGeom>
                    <a:ln/>
                  </pic:spPr>
                </pic:pic>
              </a:graphicData>
            </a:graphic>
          </wp:inline>
        </w:drawing>
      </w:r>
    </w:p>
    <w:p w14:paraId="0567AE60" w14:textId="77777777" w:rsidR="00BF22D2" w:rsidRPr="004827EF" w:rsidRDefault="00BF22D2">
      <w:pPr>
        <w:spacing w:line="360" w:lineRule="auto"/>
        <w:jc w:val="both"/>
        <w:rPr>
          <w:rFonts w:ascii="Palatino Linotype" w:eastAsia="Palatino Linotype" w:hAnsi="Palatino Linotype" w:cs="Palatino Linotype"/>
        </w:rPr>
      </w:pPr>
    </w:p>
    <w:p w14:paraId="75994215"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noProof/>
          <w:lang w:val="es-MX"/>
        </w:rPr>
        <w:lastRenderedPageBreak/>
        <w:drawing>
          <wp:inline distT="0" distB="0" distL="0" distR="0" wp14:anchorId="48B56234" wp14:editId="71853E6D">
            <wp:extent cx="5612130" cy="6541770"/>
            <wp:effectExtent l="0" t="0" r="0" 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612130" cy="6541770"/>
                    </a:xfrm>
                    <a:prstGeom prst="rect">
                      <a:avLst/>
                    </a:prstGeom>
                    <a:ln/>
                  </pic:spPr>
                </pic:pic>
              </a:graphicData>
            </a:graphic>
          </wp:inline>
        </w:drawing>
      </w:r>
    </w:p>
    <w:p w14:paraId="13891C16"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De las anteriores imágenes se acredita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debe tener previamente toda la documentación relacionada con sus bienes muebles propiedad del Municipio de Temamatla como los que tiene en renta, para así integrar el reporte </w:t>
      </w:r>
      <w:r w:rsidRPr="004827EF">
        <w:rPr>
          <w:rFonts w:ascii="Palatino Linotype" w:eastAsia="Palatino Linotype" w:hAnsi="Palatino Linotype" w:cs="Palatino Linotype"/>
        </w:rPr>
        <w:lastRenderedPageBreak/>
        <w:t>semestral del inventario de sus bienes inmuebles, integración que se enfatiza en el formato, que se deberá anotar nombre del mueble, modelo, marca, costo, alta del bien, anotar el tiempo de vida útil del bien, porcentaje, importe mensual y acumulado por bien, entre otros aspectos.</w:t>
      </w:r>
    </w:p>
    <w:p w14:paraId="0E074698" w14:textId="77777777" w:rsidR="00BF22D2" w:rsidRPr="004827EF" w:rsidRDefault="00BF22D2">
      <w:pPr>
        <w:spacing w:line="360" w:lineRule="auto"/>
        <w:jc w:val="both"/>
        <w:rPr>
          <w:rFonts w:ascii="Palatino Linotype" w:eastAsia="Palatino Linotype" w:hAnsi="Palatino Linotype" w:cs="Palatino Linotype"/>
        </w:rPr>
      </w:pPr>
    </w:p>
    <w:p w14:paraId="482BFD73" w14:textId="77777777" w:rsidR="00BF22D2" w:rsidRPr="004827EF" w:rsidRDefault="00D63F3D">
      <w:pPr>
        <w:spacing w:line="360" w:lineRule="auto"/>
        <w:jc w:val="both"/>
      </w:pPr>
      <w:r w:rsidRPr="004827EF">
        <w:rPr>
          <w:rFonts w:ascii="Palatino Linotype" w:eastAsia="Palatino Linotype" w:hAnsi="Palatino Linotype" w:cs="Palatino Linotype"/>
        </w:rPr>
        <w:t>Sobre el consumo de combustible,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5AA70283"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342.</w:t>
      </w:r>
      <w:proofErr w:type="gramStart"/>
      <w:r w:rsidRPr="004827EF">
        <w:rPr>
          <w:rFonts w:ascii="Palatino Linotype" w:eastAsia="Palatino Linotype" w:hAnsi="Palatino Linotype" w:cs="Palatino Linotype"/>
          <w:b/>
          <w:i/>
          <w:sz w:val="22"/>
          <w:szCs w:val="22"/>
        </w:rPr>
        <w:t>-</w:t>
      </w:r>
      <w:r w:rsidRPr="004827EF">
        <w:rPr>
          <w:rFonts w:ascii="Palatino Linotype" w:eastAsia="Palatino Linotype" w:hAnsi="Palatino Linotype" w:cs="Palatino Linotype"/>
          <w:i/>
          <w:sz w:val="22"/>
          <w:szCs w:val="22"/>
        </w:rPr>
        <w:t xml:space="preserve">  El</w:t>
      </w:r>
      <w:proofErr w:type="gramEnd"/>
      <w:r w:rsidRPr="004827EF">
        <w:rPr>
          <w:rFonts w:ascii="Palatino Linotype" w:eastAsia="Palatino Linotype" w:hAnsi="Palatino Linotype" w:cs="Palatino Linotype"/>
          <w:i/>
          <w:sz w:val="22"/>
          <w:szCs w:val="22"/>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54183E58"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411C9F3E"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b/>
          <w:i/>
          <w:sz w:val="22"/>
          <w:szCs w:val="22"/>
        </w:rPr>
        <w:t>Artículo 343.-</w:t>
      </w:r>
      <w:r w:rsidRPr="004827EF">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0215EF3C"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1E877EE1"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4827EF">
        <w:rPr>
          <w:rFonts w:ascii="Palatino Linotype" w:eastAsia="Palatino Linotype" w:hAnsi="Palatino Linotype" w:cs="Palatino Linotype"/>
          <w:b/>
          <w:i/>
          <w:sz w:val="22"/>
          <w:szCs w:val="22"/>
          <w:u w:val="single"/>
        </w:rPr>
        <w:t xml:space="preserve">registrarán contablemente el efecto patrimonial y presupuestal de las operaciones financieras que realicen, en el momento </w:t>
      </w:r>
      <w:r w:rsidRPr="004827EF">
        <w:rPr>
          <w:rFonts w:ascii="Palatino Linotype" w:eastAsia="Palatino Linotype" w:hAnsi="Palatino Linotype" w:cs="Palatino Linotype"/>
          <w:b/>
          <w:i/>
          <w:sz w:val="22"/>
          <w:szCs w:val="22"/>
          <w:u w:val="single"/>
        </w:rPr>
        <w:lastRenderedPageBreak/>
        <w:t>en que ocurran, con base en el sistema y políticas de registro establecidas, en el caso de los Municipios, se hará por la Tesorería</w:t>
      </w:r>
      <w:r w:rsidRPr="004827EF">
        <w:rPr>
          <w:rFonts w:ascii="Palatino Linotype" w:eastAsia="Palatino Linotype" w:hAnsi="Palatino Linotype" w:cs="Palatino Linotype"/>
          <w:b/>
          <w:i/>
          <w:sz w:val="22"/>
          <w:szCs w:val="22"/>
        </w:rPr>
        <w:t>.</w:t>
      </w:r>
    </w:p>
    <w:p w14:paraId="4F1B4C6A" w14:textId="77777777" w:rsidR="00BF22D2" w:rsidRPr="004827EF" w:rsidRDefault="00BF22D2">
      <w:pPr>
        <w:spacing w:line="276" w:lineRule="auto"/>
      </w:pPr>
    </w:p>
    <w:p w14:paraId="654F64B5"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4827EF">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4827EF">
        <w:rPr>
          <w:rFonts w:ascii="Palatino Linotype" w:eastAsia="Palatino Linotype" w:hAnsi="Palatino Linotype" w:cs="Palatino Linotype"/>
          <w:b/>
          <w:i/>
          <w:sz w:val="22"/>
          <w:szCs w:val="22"/>
        </w:rPr>
        <w:t xml:space="preserve"> en el caso de los Municipios, dicha obligación corresponderá a la Tesorería.</w:t>
      </w:r>
    </w:p>
    <w:p w14:paraId="31D76AAB"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i/>
          <w:sz w:val="22"/>
          <w:szCs w:val="22"/>
        </w:rPr>
        <w:t>Tratándose de documentos de carácter histórico, se estará a lo dispuesto por la legislación de la materia.</w:t>
      </w:r>
    </w:p>
    <w:p w14:paraId="3023DFB7"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i/>
          <w:sz w:val="22"/>
          <w:szCs w:val="22"/>
        </w:rPr>
        <w:t>…</w:t>
      </w:r>
    </w:p>
    <w:p w14:paraId="6B4A2ECB"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b/>
          <w:i/>
          <w:sz w:val="22"/>
          <w:szCs w:val="22"/>
        </w:rPr>
        <w:t>Artículo 345.-</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4827EF">
        <w:rPr>
          <w:rFonts w:ascii="Palatino Linotype" w:eastAsia="Palatino Linotype" w:hAnsi="Palatino Linotype" w:cs="Palatino Linotype"/>
          <w:i/>
          <w:sz w:val="22"/>
          <w:szCs w:val="22"/>
        </w:rPr>
        <w:t>registro contable.</w:t>
      </w:r>
    </w:p>
    <w:p w14:paraId="17F20E3F"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3C193AF6" w14:textId="77777777" w:rsidR="00BF22D2" w:rsidRPr="004827EF" w:rsidRDefault="00D63F3D">
      <w:pPr>
        <w:pBdr>
          <w:top w:val="nil"/>
          <w:left w:val="nil"/>
          <w:bottom w:val="nil"/>
          <w:right w:val="nil"/>
          <w:between w:val="nil"/>
        </w:pBdr>
        <w:spacing w:before="120" w:after="120" w:line="276" w:lineRule="auto"/>
        <w:ind w:left="860" w:right="860"/>
        <w:jc w:val="both"/>
      </w:pPr>
      <w:r w:rsidRPr="004827EF">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4827EF">
        <w:rPr>
          <w:rFonts w:ascii="Palatino Linotype" w:eastAsia="Palatino Linotype" w:hAnsi="Palatino Linotype" w:cs="Palatino Linotype"/>
          <w:b/>
          <w:i/>
          <w:sz w:val="22"/>
          <w:szCs w:val="22"/>
        </w:rPr>
        <w:t xml:space="preserve"> </w:t>
      </w:r>
      <w:r w:rsidRPr="004827EF">
        <w:rPr>
          <w:rFonts w:ascii="Palatino Linotype" w:eastAsia="Palatino Linotype" w:hAnsi="Palatino Linotype" w:cs="Palatino Linotype"/>
          <w:i/>
          <w:sz w:val="22"/>
          <w:szCs w:val="22"/>
        </w:rPr>
        <w:t>“(Sic)</w:t>
      </w:r>
    </w:p>
    <w:p w14:paraId="2EF7D26C" w14:textId="77777777" w:rsidR="00BF22D2" w:rsidRPr="004827EF" w:rsidRDefault="00BF22D2">
      <w:pPr>
        <w:pBdr>
          <w:top w:val="nil"/>
          <w:left w:val="nil"/>
          <w:bottom w:val="nil"/>
          <w:right w:val="nil"/>
          <w:between w:val="nil"/>
        </w:pBdr>
        <w:spacing w:before="120" w:after="120"/>
        <w:ind w:left="860" w:right="860"/>
        <w:jc w:val="both"/>
      </w:pPr>
    </w:p>
    <w:p w14:paraId="74505804" w14:textId="77777777" w:rsidR="00BF22D2" w:rsidRPr="004827EF" w:rsidRDefault="00D63F3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94D890A"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Además, los Sujetos Obligados se encuentran constreñidos a documentar todo acto que derive del ejercicio de sus facultades, competencias o funciones considerando la eventual publicación y reutilización de la información que generen, según lo dispuesto en los artículos 18, 24 fracción XXII y 160 párrafo primero de la Ley de la Materia, que son del tenor literal siguiente:</w:t>
      </w:r>
    </w:p>
    <w:p w14:paraId="3E8F1A93" w14:textId="77777777" w:rsidR="00BF22D2" w:rsidRPr="004827EF" w:rsidRDefault="00BF22D2">
      <w:pPr>
        <w:ind w:left="851" w:right="902"/>
        <w:jc w:val="both"/>
        <w:rPr>
          <w:rFonts w:ascii="Palatino Linotype" w:eastAsia="Palatino Linotype" w:hAnsi="Palatino Linotype" w:cs="Palatino Linotype"/>
          <w:i/>
          <w:sz w:val="22"/>
          <w:szCs w:val="22"/>
        </w:rPr>
      </w:pPr>
    </w:p>
    <w:p w14:paraId="12FB605B" w14:textId="77777777" w:rsidR="00BF22D2" w:rsidRPr="004827EF" w:rsidRDefault="00D63F3D">
      <w:pP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18.</w:t>
      </w:r>
      <w:r w:rsidRPr="004827EF">
        <w:rPr>
          <w:rFonts w:ascii="Palatino Linotype" w:eastAsia="Palatino Linotype" w:hAnsi="Palatino Linotype" w:cs="Palatino Linotype"/>
          <w:i/>
          <w:sz w:val="22"/>
          <w:szCs w:val="22"/>
        </w:rPr>
        <w:t xml:space="preserve"> Los sujetos obligados </w:t>
      </w:r>
      <w:r w:rsidRPr="004827EF">
        <w:rPr>
          <w:rFonts w:ascii="Palatino Linotype" w:eastAsia="Palatino Linotype" w:hAnsi="Palatino Linotype" w:cs="Palatino Linotype"/>
          <w:b/>
          <w:i/>
          <w:sz w:val="22"/>
          <w:szCs w:val="22"/>
        </w:rPr>
        <w:t>deberán documentar todo acto</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que derive del ejercicio de sus facultades, competencias o funciones</w:t>
      </w:r>
      <w:r w:rsidRPr="004827EF">
        <w:rPr>
          <w:rFonts w:ascii="Palatino Linotype" w:eastAsia="Palatino Linotype" w:hAnsi="Palatino Linotype" w:cs="Palatino Linotype"/>
          <w:i/>
          <w:sz w:val="22"/>
          <w:szCs w:val="22"/>
        </w:rPr>
        <w:t>, considerando desde su origen la eventual publicidad y reutilización de la información que generen.</w:t>
      </w:r>
    </w:p>
    <w:p w14:paraId="50AC4C90" w14:textId="77777777" w:rsidR="00BF22D2" w:rsidRPr="004827EF" w:rsidRDefault="00D63F3D">
      <w:pP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7D02116B" w14:textId="77777777" w:rsidR="00BF22D2" w:rsidRPr="004827EF" w:rsidRDefault="00D63F3D">
      <w:pP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24.</w:t>
      </w:r>
      <w:r w:rsidRPr="004827EF">
        <w:rPr>
          <w:rFonts w:ascii="Palatino Linotype" w:eastAsia="Palatino Linotype" w:hAnsi="Palatino Linotype" w:cs="Palatino Linotype"/>
          <w:i/>
          <w:sz w:val="22"/>
          <w:szCs w:val="22"/>
        </w:rPr>
        <w:t xml:space="preserve"> Para el cumplimiento de los objetivos de esta Ley</w:t>
      </w:r>
      <w:r w:rsidRPr="004827EF">
        <w:rPr>
          <w:rFonts w:ascii="Palatino Linotype" w:eastAsia="Palatino Linotype" w:hAnsi="Palatino Linotype" w:cs="Palatino Linotype"/>
          <w:b/>
          <w:i/>
          <w:sz w:val="22"/>
          <w:szCs w:val="22"/>
        </w:rPr>
        <w:t>, los sujetos obligados deberán cumplir con las siguientes obligaciones</w:t>
      </w:r>
      <w:r w:rsidRPr="004827EF">
        <w:rPr>
          <w:rFonts w:ascii="Palatino Linotype" w:eastAsia="Palatino Linotype" w:hAnsi="Palatino Linotype" w:cs="Palatino Linotype"/>
          <w:i/>
          <w:sz w:val="22"/>
          <w:szCs w:val="22"/>
        </w:rPr>
        <w:t>, según corresponda, de acuerdo a su naturaleza:</w:t>
      </w:r>
    </w:p>
    <w:p w14:paraId="53631F4B" w14:textId="77777777" w:rsidR="00BF22D2" w:rsidRPr="004827EF" w:rsidRDefault="00D63F3D">
      <w:pP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1CB46FF7" w14:textId="77777777" w:rsidR="00BF22D2" w:rsidRPr="004827EF" w:rsidRDefault="00D63F3D">
      <w:pP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XXII.</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Documentar todo acto que derive del ejercicio de sus facultades, competencias o funciones</w:t>
      </w:r>
      <w:r w:rsidRPr="004827EF">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513829E6" w14:textId="77777777" w:rsidR="00BF22D2" w:rsidRPr="004827EF" w:rsidRDefault="00D63F3D">
      <w:pPr>
        <w:spacing w:before="120" w:after="120"/>
        <w:ind w:left="567" w:right="902"/>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w:t>
      </w:r>
    </w:p>
    <w:p w14:paraId="72AC4E38" w14:textId="77777777" w:rsidR="00BF22D2" w:rsidRPr="004827EF" w:rsidRDefault="00D63F3D">
      <w:pPr>
        <w:spacing w:before="120" w:after="120"/>
        <w:ind w:left="567" w:right="902"/>
        <w:jc w:val="both"/>
        <w:rPr>
          <w:rFonts w:ascii="Palatino Linotype" w:eastAsia="Palatino Linotype" w:hAnsi="Palatino Linotype" w:cs="Palatino Linotype"/>
          <w:i/>
          <w:sz w:val="36"/>
          <w:szCs w:val="36"/>
        </w:rPr>
      </w:pPr>
      <w:r w:rsidRPr="004827EF">
        <w:rPr>
          <w:rFonts w:ascii="Palatino Linotype" w:eastAsia="Palatino Linotype" w:hAnsi="Palatino Linotype" w:cs="Palatino Linotype"/>
          <w:b/>
          <w:i/>
          <w:sz w:val="22"/>
          <w:szCs w:val="22"/>
        </w:rPr>
        <w:t>Artículo 160</w:t>
      </w:r>
      <w:r w:rsidRPr="004827EF">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741A93D" w14:textId="77777777" w:rsidR="00BF22D2" w:rsidRPr="004827EF" w:rsidRDefault="00BF22D2">
      <w:pPr>
        <w:spacing w:line="360" w:lineRule="auto"/>
        <w:jc w:val="both"/>
        <w:rPr>
          <w:rFonts w:ascii="Palatino Linotype" w:eastAsia="Palatino Linotype" w:hAnsi="Palatino Linotype" w:cs="Palatino Linotype"/>
        </w:rPr>
      </w:pPr>
    </w:p>
    <w:p w14:paraId="0D065C69" w14:textId="77777777" w:rsidR="00BF22D2" w:rsidRPr="004827EF" w:rsidRDefault="00BF22D2">
      <w:pPr>
        <w:spacing w:line="360" w:lineRule="auto"/>
        <w:jc w:val="both"/>
        <w:rPr>
          <w:rFonts w:ascii="Palatino Linotype" w:eastAsia="Palatino Linotype" w:hAnsi="Palatino Linotype" w:cs="Palatino Linotype"/>
        </w:rPr>
      </w:pPr>
    </w:p>
    <w:p w14:paraId="4813D40D"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Finalmente, no se omite comentar que de una revisión al Bando Municipal del Ayuntamiento de Temoaya para el año 2024, como de los preceptos legales y formato señalados con anterioridad, no se advierte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deba generar la información con las especificaciones que señaladas por la parte </w:t>
      </w:r>
      <w:r w:rsidRPr="004827EF">
        <w:rPr>
          <w:rFonts w:ascii="Palatino Linotype" w:eastAsia="Palatino Linotype" w:hAnsi="Palatino Linotype" w:cs="Palatino Linotype"/>
          <w:b/>
        </w:rPr>
        <w:t>RECURRENT</w:t>
      </w:r>
      <w:r w:rsidRPr="004827EF">
        <w:rPr>
          <w:rFonts w:ascii="Palatino Linotype" w:eastAsia="Palatino Linotype" w:hAnsi="Palatino Linotype" w:cs="Palatino Linotype"/>
        </w:rPr>
        <w:t xml:space="preserve">E en su solicitud de acceso a la información pública, toda vez que los Sujetos Obligados, no están obligados a generar resúmenes, efectuar procedimientos para obtener la información, calcular y practicar investigaciones, para dar contestación a las solicitudes de acceso a la información pública; es decir, los Sujetos Obligados sólo se concretarán a proporcionar la información solicitada que tengan en su poder en el estado que se encuentran, sin necesidad de concretarse al interés o términos específicos del solicitante. </w:t>
      </w:r>
    </w:p>
    <w:p w14:paraId="3BBAE17F" w14:textId="77777777" w:rsidR="00BF22D2" w:rsidRPr="004827EF" w:rsidRDefault="00BF22D2">
      <w:pPr>
        <w:spacing w:line="360" w:lineRule="auto"/>
        <w:jc w:val="both"/>
        <w:rPr>
          <w:rFonts w:ascii="Palatino Linotype" w:eastAsia="Palatino Linotype" w:hAnsi="Palatino Linotype" w:cs="Palatino Linotype"/>
        </w:rPr>
      </w:pPr>
    </w:p>
    <w:p w14:paraId="0B6998C3"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6D161939" w14:textId="77777777" w:rsidR="00BF22D2" w:rsidRPr="004827EF" w:rsidRDefault="00D63F3D">
      <w:pPr>
        <w:spacing w:line="360" w:lineRule="auto"/>
        <w:jc w:val="both"/>
        <w:rPr>
          <w:rFonts w:ascii="Palatino Linotype" w:eastAsia="Palatino Linotype" w:hAnsi="Palatino Linotype" w:cs="Palatino Linotype"/>
          <w:b/>
        </w:rPr>
      </w:pPr>
      <w:r w:rsidRPr="004827EF">
        <w:rPr>
          <w:rFonts w:ascii="Palatino Linotype" w:eastAsia="Palatino Linotype" w:hAnsi="Palatino Linotype" w:cs="Palatino Linotype"/>
          <w:b/>
        </w:rPr>
        <w:t xml:space="preserve"> </w:t>
      </w:r>
    </w:p>
    <w:p w14:paraId="03D29C3E"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No existe obligación de elaborar documentos ad hoc para atender las solicitudes de acceso a la información.</w:t>
      </w:r>
      <w:r w:rsidRPr="004827E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1C0A5CE"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Resoluciones: </w:t>
      </w:r>
    </w:p>
    <w:p w14:paraId="16A59AEB"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Noto Sans Symbols" w:eastAsia="Noto Sans Symbols" w:hAnsi="Noto Sans Symbols" w:cs="Noto Sans Symbols"/>
          <w:i/>
          <w:sz w:val="22"/>
          <w:szCs w:val="22"/>
        </w:rPr>
        <w:t>∙</w:t>
      </w:r>
      <w:r w:rsidRPr="004827EF">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6A34DCFF"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Noto Sans Symbols" w:eastAsia="Noto Sans Symbols" w:hAnsi="Noto Sans Symbols" w:cs="Noto Sans Symbols"/>
          <w:i/>
          <w:sz w:val="22"/>
          <w:szCs w:val="22"/>
        </w:rPr>
        <w:lastRenderedPageBreak/>
        <w:t>∙</w:t>
      </w:r>
      <w:r w:rsidRPr="004827EF">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90F0240" w14:textId="77777777" w:rsidR="00BF22D2" w:rsidRPr="004827EF" w:rsidRDefault="00D63F3D">
      <w:pPr>
        <w:ind w:left="851" w:right="901"/>
        <w:jc w:val="both"/>
        <w:rPr>
          <w:rFonts w:ascii="Palatino Linotype" w:eastAsia="Palatino Linotype" w:hAnsi="Palatino Linotype" w:cs="Palatino Linotype"/>
          <w:i/>
          <w:sz w:val="22"/>
          <w:szCs w:val="22"/>
        </w:rPr>
      </w:pPr>
      <w:r w:rsidRPr="004827EF">
        <w:rPr>
          <w:rFonts w:ascii="Noto Sans Symbols" w:eastAsia="Noto Sans Symbols" w:hAnsi="Noto Sans Symbols" w:cs="Noto Sans Symbols"/>
          <w:i/>
          <w:sz w:val="22"/>
          <w:szCs w:val="22"/>
        </w:rPr>
        <w:t>∙</w:t>
      </w:r>
      <w:r w:rsidRPr="004827EF">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4827EF">
        <w:rPr>
          <w:rFonts w:ascii="Palatino Linotype" w:eastAsia="Palatino Linotype" w:hAnsi="Palatino Linotype" w:cs="Palatino Linotype"/>
          <w:i/>
          <w:sz w:val="22"/>
          <w:szCs w:val="22"/>
        </w:rPr>
        <w:t>.”(</w:t>
      </w:r>
      <w:proofErr w:type="gramEnd"/>
      <w:r w:rsidRPr="004827EF">
        <w:rPr>
          <w:rFonts w:ascii="Palatino Linotype" w:eastAsia="Palatino Linotype" w:hAnsi="Palatino Linotype" w:cs="Palatino Linotype"/>
          <w:i/>
          <w:sz w:val="22"/>
          <w:szCs w:val="22"/>
        </w:rPr>
        <w:t>Sic)</w:t>
      </w:r>
    </w:p>
    <w:p w14:paraId="1FD5FC09" w14:textId="77777777" w:rsidR="00BF22D2" w:rsidRPr="004827EF" w:rsidRDefault="00BF22D2">
      <w:pPr>
        <w:spacing w:line="360" w:lineRule="auto"/>
        <w:jc w:val="both"/>
        <w:rPr>
          <w:rFonts w:ascii="Palatino Linotype" w:eastAsia="Palatino Linotype" w:hAnsi="Palatino Linotype" w:cs="Palatino Linotype"/>
        </w:rPr>
      </w:pPr>
    </w:p>
    <w:p w14:paraId="6F32B43E"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otras palabras,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sólo se </w:t>
      </w:r>
      <w:proofErr w:type="gramStart"/>
      <w:r w:rsidRPr="004827EF">
        <w:rPr>
          <w:rFonts w:ascii="Palatino Linotype" w:eastAsia="Palatino Linotype" w:hAnsi="Palatino Linotype" w:cs="Palatino Linotype"/>
        </w:rPr>
        <w:t>concretara</w:t>
      </w:r>
      <w:proofErr w:type="gramEnd"/>
      <w:r w:rsidRPr="004827EF">
        <w:rPr>
          <w:rFonts w:ascii="Palatino Linotype" w:eastAsia="Palatino Linotype" w:hAnsi="Palatino Linotype" w:cs="Palatino Linotype"/>
        </w:rPr>
        <w:t xml:space="preserve"> a entregar la información tal como obra en sus archivos, sin necesidad de elaborar un documento ad-hoc para concretarse al interés o términos específicos del solicitante; razón por la cual se ordena la información al mayor grado de detalle que se tenga.  </w:t>
      </w:r>
    </w:p>
    <w:p w14:paraId="0739999A"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u w:val="single"/>
        </w:rPr>
        <w:t>En otro orden de ideas, en cuanto a los requerimientos señalados en la solicitud con los numerales 4, 7, 18, 19, 20 y 21 relativos a</w:t>
      </w:r>
      <w:r w:rsidRPr="004827EF">
        <w:rPr>
          <w:rFonts w:ascii="Palatino Linotype" w:eastAsia="Palatino Linotype" w:hAnsi="Palatino Linotype" w:cs="Palatino Linotype"/>
        </w:rPr>
        <w:t>:</w:t>
      </w:r>
    </w:p>
    <w:p w14:paraId="47C64BC9"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4.- Infraestructura de recolección: Número y ubicación de contenedores de basura distribuidos en el municipio. </w:t>
      </w:r>
    </w:p>
    <w:p w14:paraId="1D56499E"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7.- Infraestructura adicional utilizada para el manejo y recolección de residuos (por ejemplo, puntos de acopio, instalaciones de reciclaje). </w:t>
      </w:r>
    </w:p>
    <w:p w14:paraId="125305F2"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18.- Centros de acopio y depósitos específicos: Ubicación de centros de acopio de PET y depósitos de fierro en el municipio.</w:t>
      </w:r>
    </w:p>
    <w:p w14:paraId="1617DCB3"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19.- Información sobre los convenios o contratos establecidos para el manejo de PET y depósitos de fierro. </w:t>
      </w:r>
    </w:p>
    <w:p w14:paraId="2C7A72F4"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20.-Detalles sobre la existencia de alguna remuneración al municipio por el manejo de estos materiales o si el municipio paga a terceros por llevárselos. </w:t>
      </w:r>
    </w:p>
    <w:p w14:paraId="7098CFC2"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21.- Solicitud de copia de los convenios o contratos relacionados con estos centros de acopio y depósitos</w:t>
      </w:r>
    </w:p>
    <w:p w14:paraId="31672C81"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La Dirección de Servicios Públicos del Ayuntamiento de Temoaya omitió pronunciarse al respecto, en ese sentido, de una revisión al Plan de Desarrollo Municipal del Ayuntamiento de Temoaya 2022-2024, se localizó en el numeral “</w:t>
      </w:r>
      <w:proofErr w:type="gramStart"/>
      <w:r w:rsidRPr="004827EF">
        <w:rPr>
          <w:rFonts w:ascii="Palatino Linotype" w:eastAsia="Palatino Linotype" w:hAnsi="Palatino Linotype" w:cs="Palatino Linotype"/>
        </w:rPr>
        <w:t>VIII.III.II.</w:t>
      </w:r>
      <w:proofErr w:type="gramEnd"/>
      <w:r w:rsidRPr="004827EF">
        <w:rPr>
          <w:rFonts w:ascii="Palatino Linotype" w:eastAsia="Palatino Linotype" w:hAnsi="Palatino Linotype" w:cs="Palatino Linotype"/>
        </w:rPr>
        <w:t xml:space="preserve"> Subtema: Limpia, recolección, traslado, tratamiento y disposición final de residuos sólidos, pagina 158”, el cual puede ser consultado en la siguiente liga electrónica: </w:t>
      </w:r>
      <w:hyperlink r:id="rId18">
        <w:r w:rsidRPr="004827EF">
          <w:rPr>
            <w:rFonts w:ascii="Palatino Linotype" w:eastAsia="Palatino Linotype" w:hAnsi="Palatino Linotype" w:cs="Palatino Linotype"/>
            <w:u w:val="single"/>
          </w:rPr>
          <w:t>https://copladem.edomex.gob.mx/sites/copladem.edomex.gob.mx/files/files/pdf/Planes%20y%20programas/Mpales-2022-2024/Temoaya_PDM_2022_2024.pdf</w:t>
        </w:r>
      </w:hyperlink>
      <w:r w:rsidRPr="004827EF">
        <w:rPr>
          <w:rFonts w:ascii="Palatino Linotype" w:eastAsia="Palatino Linotype" w:hAnsi="Palatino Linotype" w:cs="Palatino Linotype"/>
        </w:rPr>
        <w:t>, para mayor referencia, lo siguiente:</w:t>
      </w:r>
    </w:p>
    <w:p w14:paraId="5E232169" w14:textId="77777777" w:rsidR="00BF22D2" w:rsidRPr="004827EF" w:rsidRDefault="00D63F3D">
      <w:pPr>
        <w:spacing w:before="80" w:after="240"/>
        <w:ind w:left="567" w:right="90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“…Cabe señalar que dentro del municipio se localizan 2 centros de acopio para PET y 20 depósitos de fierro…” (Sic)</w:t>
      </w:r>
    </w:p>
    <w:p w14:paraId="04C59D1A"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rPr>
        <w:t xml:space="preserve">En donde consta que el Ayuntamiento de Temoaya si conoce sobre los centros de acopio PET y depósitos de fierro; por consiguiente, se determina que la respuesta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careció de los principios de congruencia y exhaustividad, como refuerzo de lo anterior, resulta crucial el Criterio 02/17, emitido por el Pleno del Instituto Nacional de Transparencia y Acceso a la Información y Protección de Datos Personales, alusivo.</w:t>
      </w:r>
    </w:p>
    <w:p w14:paraId="2C28ADC3"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Razones por las cuales lo procedente es ordenar, previa búsqueda exhaustiva y razonable, el documento o documentos en donde conste al veintisiete de agosto del año dos mil veinticuatro, lo siguiente:</w:t>
      </w:r>
    </w:p>
    <w:p w14:paraId="2F9ED7F9" w14:textId="77777777" w:rsidR="00BF22D2" w:rsidRPr="004827EF" w:rsidRDefault="00D63F3D">
      <w:pPr>
        <w:numPr>
          <w:ilvl w:val="0"/>
          <w:numId w:val="5"/>
        </w:num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Número y ubicación de contenedores de basura que se encuentran distribuidos en el Municipio de Temoaya y tipo de mantenimiento. </w:t>
      </w:r>
    </w:p>
    <w:p w14:paraId="7BD045E4" w14:textId="77777777" w:rsidR="00BF22D2" w:rsidRPr="004827EF" w:rsidRDefault="00D63F3D">
      <w:pPr>
        <w:numPr>
          <w:ilvl w:val="0"/>
          <w:numId w:val="5"/>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Ubicación de los centros de acopio de PET y Depósitos de Fierro en el Municipio de Temoaya. </w:t>
      </w:r>
    </w:p>
    <w:p w14:paraId="00164540" w14:textId="77777777" w:rsidR="00BF22D2" w:rsidRPr="004827EF" w:rsidRDefault="00D63F3D">
      <w:pPr>
        <w:numPr>
          <w:ilvl w:val="0"/>
          <w:numId w:val="5"/>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Convenios o contratos establecidos para el manejo de PET y Depósitos de Fierro. </w:t>
      </w:r>
    </w:p>
    <w:p w14:paraId="716B60D1" w14:textId="77777777" w:rsidR="00BF22D2" w:rsidRPr="004827EF" w:rsidRDefault="00D63F3D">
      <w:pPr>
        <w:numPr>
          <w:ilvl w:val="0"/>
          <w:numId w:val="5"/>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Costo por el manejo de materiales PET y de Fierro. </w:t>
      </w:r>
    </w:p>
    <w:p w14:paraId="3F6E3773" w14:textId="77777777" w:rsidR="00BF22D2" w:rsidRPr="004827EF" w:rsidRDefault="00BF22D2">
      <w:pPr>
        <w:pBdr>
          <w:top w:val="nil"/>
          <w:left w:val="nil"/>
          <w:bottom w:val="nil"/>
          <w:right w:val="nil"/>
          <w:between w:val="nil"/>
        </w:pBdr>
        <w:spacing w:line="360" w:lineRule="auto"/>
        <w:ind w:left="720"/>
        <w:rPr>
          <w:rFonts w:ascii="Palatino Linotype" w:eastAsia="Palatino Linotype" w:hAnsi="Palatino Linotype" w:cs="Palatino Linotype"/>
        </w:rPr>
      </w:pPr>
    </w:p>
    <w:p w14:paraId="02521245" w14:textId="77777777" w:rsidR="00BF22D2" w:rsidRPr="004827EF" w:rsidRDefault="00D63F3D">
      <w:pPr>
        <w:spacing w:line="360" w:lineRule="auto"/>
        <w:rPr>
          <w:rFonts w:ascii="Palatino Linotype" w:eastAsia="Palatino Linotype" w:hAnsi="Palatino Linotype" w:cs="Palatino Linotype"/>
        </w:rPr>
      </w:pPr>
      <w:r w:rsidRPr="004827EF">
        <w:rPr>
          <w:rFonts w:ascii="Palatino Linotype" w:eastAsia="Palatino Linotype" w:hAnsi="Palatino Linotype" w:cs="Palatino Linotype"/>
        </w:rPr>
        <w:t xml:space="preserve">En versión pública de ser procedente conforme a lo señalado por el considerando quinto del presente fallo. </w:t>
      </w:r>
    </w:p>
    <w:p w14:paraId="21938C3A" w14:textId="77777777" w:rsidR="00BF22D2" w:rsidRPr="004827EF" w:rsidRDefault="00BF22D2">
      <w:pPr>
        <w:spacing w:line="360" w:lineRule="auto"/>
        <w:rPr>
          <w:rFonts w:ascii="Palatino Linotype" w:eastAsia="Palatino Linotype" w:hAnsi="Palatino Linotype" w:cs="Palatino Linotype"/>
        </w:rPr>
      </w:pPr>
    </w:p>
    <w:p w14:paraId="34775887"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Para el caso de que no se cuente con la información que se ordena en los numerales 1, 3 y 4,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618BFA26" w14:textId="77777777" w:rsidR="00BF22D2" w:rsidRPr="004827EF" w:rsidRDefault="00D63F3D">
      <w:pPr>
        <w:spacing w:before="120" w:line="276" w:lineRule="auto"/>
        <w:ind w:left="851" w:right="902"/>
        <w:jc w:val="both"/>
        <w:rPr>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19</w:t>
      </w:r>
      <w:r w:rsidRPr="004827EF">
        <w:rPr>
          <w:rFonts w:ascii="Palatino Linotype" w:eastAsia="Palatino Linotype" w:hAnsi="Palatino Linotype" w:cs="Palatino Linotype"/>
          <w:i/>
          <w:sz w:val="22"/>
          <w:szCs w:val="22"/>
        </w:rPr>
        <w:t>…</w:t>
      </w:r>
    </w:p>
    <w:p w14:paraId="52086C1B" w14:textId="77777777" w:rsidR="00BF22D2" w:rsidRPr="004827EF" w:rsidRDefault="00D63F3D">
      <w:pPr>
        <w:spacing w:line="276" w:lineRule="auto"/>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8281BA8" w14:textId="77777777" w:rsidR="00BF22D2" w:rsidRPr="004827EF" w:rsidRDefault="00BF22D2">
      <w:pPr>
        <w:spacing w:line="276" w:lineRule="auto"/>
        <w:ind w:left="851" w:right="902"/>
        <w:jc w:val="both"/>
      </w:pPr>
    </w:p>
    <w:p w14:paraId="25B9B953"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w:t>
      </w:r>
      <w:r w:rsidRPr="004827EF">
        <w:rPr>
          <w:rFonts w:ascii="Palatino Linotype" w:eastAsia="Palatino Linotype" w:hAnsi="Palatino Linotype" w:cs="Palatino Linotype"/>
        </w:rPr>
        <w:lastRenderedPageBreak/>
        <w:t>aplicación lo estatuido en el artículo 49, fracción XIII de la Ley de Transparencia y Acceso a la Información Pública del Estado de México y Municipios.</w:t>
      </w:r>
    </w:p>
    <w:p w14:paraId="61076EF4"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b/>
          <w:u w:val="single"/>
        </w:rPr>
      </w:pPr>
      <w:r w:rsidRPr="004827EF">
        <w:rPr>
          <w:rFonts w:ascii="Palatino Linotype" w:eastAsia="Palatino Linotype" w:hAnsi="Palatino Linotype" w:cs="Palatino Linotype"/>
          <w:b/>
          <w:u w:val="single"/>
        </w:rPr>
        <w:t>En cuanto al requerimiento marcado con el número 10, relacionado con:</w:t>
      </w:r>
    </w:p>
    <w:p w14:paraId="7538839E"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10.- Sueldo neto y bruto de cada trabajador y horario de trabajo del personal asignado (horas diarias y días de la semana). </w:t>
      </w:r>
    </w:p>
    <w:p w14:paraId="141E43B4"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La Dirección de Servicios Públicos del Ayuntamiento de Temoaya, precisó que el personal asignado a la cuadrilla de residuos sólidos urbanos es de 39 personas, de las cuales 13 son choferes y los restantes son ayudantes, cuyo salario bruto y neto, dicha información le corresponde a la Jefatura de Recursos Humanos, en cuanto a su horario omitió pronunciarse al respecto. </w:t>
      </w:r>
    </w:p>
    <w:p w14:paraId="68181B3E"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Sobre el sueldo bruto y neto</w:t>
      </w:r>
      <w:r w:rsidRPr="004827EF">
        <w:rPr>
          <w:rFonts w:ascii="Palatino Linotype" w:eastAsia="Palatino Linotype" w:hAnsi="Palatino Linotype" w:cs="Palatino Linotype"/>
        </w:rPr>
        <w:t xml:space="preserve">, es conveniente a traer lo señalado por el artículo 147 de la Constitución Política del Estado Libre y Soberano de México, los trabajadores al servicio del Estado, recibirán una remuneración adecuada e irrenunciable por el desempeño de su empleo, cargo o comisión que será determinada en el presupuesto de egresos que corresponda. </w:t>
      </w:r>
    </w:p>
    <w:p w14:paraId="7FDA04F8" w14:textId="77777777" w:rsidR="00BF22D2" w:rsidRPr="004827EF" w:rsidRDefault="00D63F3D">
      <w:pPr>
        <w:spacing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69FD8A10" w14:textId="77777777" w:rsidR="00BF22D2" w:rsidRPr="004827EF" w:rsidRDefault="00BF22D2">
      <w:pPr>
        <w:spacing w:line="360" w:lineRule="auto"/>
        <w:ind w:right="49"/>
        <w:jc w:val="both"/>
        <w:rPr>
          <w:rFonts w:ascii="Palatino Linotype" w:eastAsia="Palatino Linotype" w:hAnsi="Palatino Linotype" w:cs="Palatino Linotype"/>
        </w:rPr>
      </w:pPr>
    </w:p>
    <w:p w14:paraId="3EA67E46"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Por su parte, la Ley del Trabajo de los Servidores Públicos del Estado y Municipios, en su artículo 220 K, fracciones II y IV, establece que: </w:t>
      </w:r>
    </w:p>
    <w:p w14:paraId="144723F1" w14:textId="77777777" w:rsidR="00BF22D2" w:rsidRPr="004827EF" w:rsidRDefault="00BF22D2">
      <w:pPr>
        <w:spacing w:line="360" w:lineRule="auto"/>
        <w:jc w:val="both"/>
        <w:rPr>
          <w:rFonts w:ascii="Palatino Linotype" w:eastAsia="Palatino Linotype" w:hAnsi="Palatino Linotype" w:cs="Palatino Linotype"/>
        </w:rPr>
      </w:pPr>
    </w:p>
    <w:p w14:paraId="083A863B" w14:textId="77777777" w:rsidR="00BF22D2" w:rsidRPr="004827EF" w:rsidRDefault="00D63F3D">
      <w:pPr>
        <w:ind w:left="567" w:right="843"/>
        <w:jc w:val="both"/>
        <w:rPr>
          <w:rFonts w:ascii="Palatino Linotype" w:eastAsia="Palatino Linotype" w:hAnsi="Palatino Linotype" w:cs="Palatino Linotype"/>
          <w:i/>
        </w:rPr>
      </w:pPr>
      <w:r w:rsidRPr="004827EF">
        <w:rPr>
          <w:rFonts w:ascii="Palatino Linotype" w:eastAsia="Palatino Linotype" w:hAnsi="Palatino Linotype" w:cs="Palatino Linotype"/>
          <w:b/>
          <w:i/>
        </w:rPr>
        <w:t>ARTÍCULO 220 K</w:t>
      </w:r>
      <w:r w:rsidRPr="004827EF">
        <w:rPr>
          <w:rFonts w:ascii="Palatino Linotype" w:eastAsia="Palatino Linotype" w:hAnsi="Palatino Linotype" w:cs="Palatino Linotype"/>
          <w:i/>
        </w:rPr>
        <w:t>.- La institución o dependencia pública tiene la obligación de conservar y exhibir en el proceso los documentos que a continuación se precisan:</w:t>
      </w:r>
    </w:p>
    <w:p w14:paraId="483C4952" w14:textId="77777777" w:rsidR="00BF22D2" w:rsidRPr="004827EF" w:rsidRDefault="00D63F3D">
      <w:pPr>
        <w:ind w:left="567" w:right="843"/>
        <w:jc w:val="both"/>
        <w:rPr>
          <w:rFonts w:ascii="Palatino Linotype" w:eastAsia="Palatino Linotype" w:hAnsi="Palatino Linotype" w:cs="Palatino Linotype"/>
          <w:i/>
        </w:rPr>
      </w:pPr>
      <w:r w:rsidRPr="004827EF">
        <w:rPr>
          <w:rFonts w:ascii="Palatino Linotype" w:eastAsia="Palatino Linotype" w:hAnsi="Palatino Linotype" w:cs="Palatino Linotype"/>
          <w:i/>
        </w:rPr>
        <w:t>…</w:t>
      </w:r>
    </w:p>
    <w:p w14:paraId="4BD597FE" w14:textId="77777777" w:rsidR="00BF22D2" w:rsidRPr="004827EF" w:rsidRDefault="00D63F3D">
      <w:pPr>
        <w:ind w:left="567" w:right="843"/>
        <w:jc w:val="both"/>
        <w:rPr>
          <w:rFonts w:ascii="Palatino Linotype" w:eastAsia="Palatino Linotype" w:hAnsi="Palatino Linotype" w:cs="Palatino Linotype"/>
          <w:i/>
        </w:rPr>
      </w:pPr>
      <w:r w:rsidRPr="004827EF">
        <w:rPr>
          <w:rFonts w:ascii="Palatino Linotype" w:eastAsia="Palatino Linotype" w:hAnsi="Palatino Linotype" w:cs="Palatino Linotype"/>
          <w:i/>
        </w:rPr>
        <w:t>II. Recibos de pagos de salarios o las constancias documentales del pago de salario cuando sea por depósito o mediante información electrónica;</w:t>
      </w:r>
    </w:p>
    <w:p w14:paraId="5C34D6DE" w14:textId="77777777" w:rsidR="00BF22D2" w:rsidRPr="004827EF" w:rsidRDefault="00D63F3D">
      <w:pPr>
        <w:ind w:left="567" w:right="843"/>
        <w:jc w:val="both"/>
        <w:rPr>
          <w:rFonts w:ascii="Palatino Linotype" w:eastAsia="Palatino Linotype" w:hAnsi="Palatino Linotype" w:cs="Palatino Linotype"/>
          <w:i/>
        </w:rPr>
      </w:pPr>
      <w:r w:rsidRPr="004827EF">
        <w:rPr>
          <w:rFonts w:ascii="Palatino Linotype" w:eastAsia="Palatino Linotype" w:hAnsi="Palatino Linotype" w:cs="Palatino Linotype"/>
          <w:i/>
        </w:rPr>
        <w:t>…</w:t>
      </w:r>
    </w:p>
    <w:p w14:paraId="7223FC8E" w14:textId="77777777" w:rsidR="00BF22D2" w:rsidRPr="004827EF" w:rsidRDefault="00D63F3D">
      <w:pPr>
        <w:ind w:left="567" w:right="843"/>
        <w:jc w:val="both"/>
        <w:rPr>
          <w:rFonts w:ascii="Palatino Linotype" w:eastAsia="Palatino Linotype" w:hAnsi="Palatino Linotype" w:cs="Palatino Linotype"/>
          <w:i/>
        </w:rPr>
      </w:pPr>
      <w:r w:rsidRPr="004827EF">
        <w:rPr>
          <w:rFonts w:ascii="Palatino Linotype" w:eastAsia="Palatino Linotype" w:hAnsi="Palatino Linotype" w:cs="Palatino Linotype"/>
          <w:i/>
        </w:rPr>
        <w:t xml:space="preserve">IV. Recibos o las constancias de </w:t>
      </w:r>
      <w:proofErr w:type="spellStart"/>
      <w:r w:rsidRPr="004827EF">
        <w:rPr>
          <w:rFonts w:ascii="Palatino Linotype" w:eastAsia="Palatino Linotype" w:hAnsi="Palatino Linotype" w:cs="Palatino Linotype"/>
          <w:i/>
        </w:rPr>
        <w:t>deposito</w:t>
      </w:r>
      <w:proofErr w:type="spellEnd"/>
      <w:r w:rsidRPr="004827EF">
        <w:rPr>
          <w:rFonts w:ascii="Palatino Linotype" w:eastAsia="Palatino Linotype" w:hAnsi="Palatino Linotype" w:cs="Palatino Linotype"/>
          <w:i/>
        </w:rPr>
        <w:t xml:space="preserve"> o del medio de información magnética o electrónica que sean utilizadas para el pago de salarios, prima vacacional, aguinaldo y demás prestaciones establecidas en la presente ley; </w:t>
      </w:r>
    </w:p>
    <w:p w14:paraId="699CC1BA" w14:textId="77777777" w:rsidR="00BF22D2" w:rsidRPr="004827EF" w:rsidRDefault="00BF22D2">
      <w:pPr>
        <w:ind w:left="567" w:right="843"/>
        <w:jc w:val="both"/>
        <w:rPr>
          <w:rFonts w:ascii="Palatino Linotype" w:eastAsia="Palatino Linotype" w:hAnsi="Palatino Linotype" w:cs="Palatino Linotype"/>
          <w:i/>
        </w:rPr>
      </w:pPr>
    </w:p>
    <w:p w14:paraId="3DC0FD5F"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2FC50891" w14:textId="77777777" w:rsidR="00BF22D2" w:rsidRPr="004827EF" w:rsidRDefault="00BF22D2">
      <w:pPr>
        <w:spacing w:line="360" w:lineRule="auto"/>
        <w:ind w:right="49"/>
        <w:jc w:val="both"/>
        <w:rPr>
          <w:rFonts w:ascii="Palatino Linotype" w:eastAsia="Palatino Linotype" w:hAnsi="Palatino Linotype" w:cs="Palatino Linotype"/>
        </w:rPr>
      </w:pPr>
    </w:p>
    <w:p w14:paraId="34E68176"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w:t>
      </w:r>
      <w:r w:rsidRPr="004827EF">
        <w:rPr>
          <w:rFonts w:ascii="Palatino Linotype" w:eastAsia="Palatino Linotype" w:hAnsi="Palatino Linotype" w:cs="Palatino Linotype"/>
        </w:rPr>
        <w:lastRenderedPageBreak/>
        <w:t xml:space="preserve">encuentran los sueldos, prestaciones, gratificaciones, primas, comisiones, dietas, bonos, estímulos, ingresos, entre otros, tal como se aprecia a continuación: </w:t>
      </w:r>
    </w:p>
    <w:p w14:paraId="0A015D18" w14:textId="77777777" w:rsidR="00BF22D2" w:rsidRPr="004827EF" w:rsidRDefault="00BF22D2">
      <w:pPr>
        <w:spacing w:line="360" w:lineRule="auto"/>
        <w:jc w:val="both"/>
        <w:rPr>
          <w:rFonts w:ascii="Palatino Linotype" w:eastAsia="Palatino Linotype" w:hAnsi="Palatino Linotype" w:cs="Palatino Linotype"/>
        </w:rPr>
      </w:pPr>
    </w:p>
    <w:p w14:paraId="715D114C" w14:textId="77777777" w:rsidR="00BF22D2" w:rsidRPr="004827EF" w:rsidRDefault="00D63F3D">
      <w:pPr>
        <w:ind w:left="567" w:right="843"/>
        <w:jc w:val="center"/>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“Ley General de Transparencia y Acceso a la Información Pública</w:t>
      </w:r>
    </w:p>
    <w:p w14:paraId="1A6D7790" w14:textId="77777777" w:rsidR="00BF22D2" w:rsidRPr="004827EF" w:rsidRDefault="00BF22D2">
      <w:pPr>
        <w:ind w:left="567" w:right="843"/>
        <w:jc w:val="both"/>
        <w:rPr>
          <w:rFonts w:ascii="Palatino Linotype" w:eastAsia="Palatino Linotype" w:hAnsi="Palatino Linotype" w:cs="Palatino Linotype"/>
          <w:i/>
          <w:sz w:val="22"/>
          <w:szCs w:val="22"/>
        </w:rPr>
      </w:pPr>
    </w:p>
    <w:p w14:paraId="749098F7" w14:textId="77777777" w:rsidR="00BF22D2" w:rsidRPr="004827EF" w:rsidRDefault="00D63F3D">
      <w:pPr>
        <w:ind w:left="567" w:right="8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70.</w:t>
      </w:r>
      <w:r w:rsidRPr="004827EF">
        <w:rPr>
          <w:rFonts w:ascii="Palatino Linotype" w:eastAsia="Palatino Linotype" w:hAnsi="Palatino Linotype" w:cs="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A492AC6" w14:textId="77777777" w:rsidR="00BF22D2" w:rsidRPr="004827EF" w:rsidRDefault="00D63F3D">
      <w:pPr>
        <w:ind w:left="567" w:right="8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13FACF44" w14:textId="77777777" w:rsidR="00BF22D2" w:rsidRPr="004827EF" w:rsidRDefault="00D63F3D">
      <w:pPr>
        <w:ind w:left="567" w:right="8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7EE154F" w14:textId="77777777" w:rsidR="00BF22D2" w:rsidRPr="004827EF" w:rsidRDefault="00D63F3D">
      <w:pPr>
        <w:ind w:left="567" w:right="8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23B4349E" w14:textId="77777777" w:rsidR="00BF22D2" w:rsidRPr="004827EF" w:rsidRDefault="00D63F3D">
      <w:pPr>
        <w:ind w:left="567" w:right="843"/>
        <w:jc w:val="center"/>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Ley de Transparencia y Acceso a la Información Pública del Estado de México y Municipios</w:t>
      </w:r>
    </w:p>
    <w:p w14:paraId="53535EB9" w14:textId="77777777" w:rsidR="00BF22D2" w:rsidRPr="004827EF" w:rsidRDefault="00BF22D2">
      <w:pPr>
        <w:ind w:left="567" w:right="843"/>
        <w:jc w:val="both"/>
        <w:rPr>
          <w:rFonts w:ascii="Palatino Linotype" w:eastAsia="Palatino Linotype" w:hAnsi="Palatino Linotype" w:cs="Palatino Linotype"/>
          <w:i/>
          <w:sz w:val="22"/>
          <w:szCs w:val="22"/>
        </w:rPr>
      </w:pPr>
    </w:p>
    <w:p w14:paraId="4065CA6E" w14:textId="77777777" w:rsidR="00BF22D2" w:rsidRPr="004827EF" w:rsidRDefault="00D63F3D">
      <w:pPr>
        <w:ind w:left="567" w:right="8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92.</w:t>
      </w:r>
      <w:r w:rsidRPr="004827EF">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13B508" w14:textId="77777777" w:rsidR="00BF22D2" w:rsidRPr="004827EF" w:rsidRDefault="00D63F3D">
      <w:pPr>
        <w:ind w:left="567" w:right="8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3B14A9EE" w14:textId="77777777" w:rsidR="00BF22D2" w:rsidRPr="004827EF" w:rsidRDefault="00D63F3D">
      <w:pPr>
        <w:ind w:left="567" w:right="8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2C7E7E1" w14:textId="77777777" w:rsidR="00BF22D2" w:rsidRPr="004827EF" w:rsidRDefault="00BF22D2">
      <w:pPr>
        <w:ind w:left="567" w:right="843"/>
        <w:jc w:val="both"/>
        <w:rPr>
          <w:rFonts w:ascii="Palatino Linotype" w:eastAsia="Palatino Linotype" w:hAnsi="Palatino Linotype" w:cs="Palatino Linotype"/>
          <w:i/>
        </w:rPr>
      </w:pPr>
    </w:p>
    <w:p w14:paraId="6A176319" w14:textId="77777777" w:rsidR="00BF22D2" w:rsidRPr="004827EF" w:rsidRDefault="00D63F3D">
      <w:pPr>
        <w:spacing w:line="360" w:lineRule="auto"/>
        <w:ind w:right="134"/>
        <w:jc w:val="both"/>
        <w:rPr>
          <w:rFonts w:ascii="Palatino Linotype" w:eastAsia="Palatino Linotype" w:hAnsi="Palatino Linotype" w:cs="Palatino Linotype"/>
        </w:rPr>
      </w:pPr>
      <w:r w:rsidRPr="004827EF">
        <w:rPr>
          <w:rFonts w:ascii="Palatino Linotype" w:eastAsia="Palatino Linotype" w:hAnsi="Palatino Linotype" w:cs="Palatino Linotype"/>
        </w:rPr>
        <w:t>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w:t>
      </w:r>
    </w:p>
    <w:p w14:paraId="1E41B769" w14:textId="77777777" w:rsidR="00BF22D2" w:rsidRPr="004827EF" w:rsidRDefault="00BF22D2">
      <w:pPr>
        <w:spacing w:line="360" w:lineRule="auto"/>
        <w:ind w:right="134"/>
        <w:jc w:val="both"/>
        <w:rPr>
          <w:rFonts w:ascii="Palatino Linotype" w:eastAsia="Palatino Linotype" w:hAnsi="Palatino Linotype" w:cs="Palatino Linotype"/>
        </w:rPr>
      </w:pPr>
    </w:p>
    <w:p w14:paraId="5A25FE40"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7E97C58C" w14:textId="77777777" w:rsidR="00BF22D2" w:rsidRPr="004827EF" w:rsidRDefault="00BF22D2">
      <w:pPr>
        <w:spacing w:line="360" w:lineRule="auto"/>
        <w:jc w:val="both"/>
        <w:rPr>
          <w:rFonts w:ascii="Palatino Linotype" w:eastAsia="Palatino Linotype" w:hAnsi="Palatino Linotype" w:cs="Palatino Linotype"/>
          <w:sz w:val="22"/>
          <w:szCs w:val="22"/>
        </w:rPr>
      </w:pPr>
    </w:p>
    <w:p w14:paraId="1F828612" w14:textId="77777777" w:rsidR="00BF22D2" w:rsidRPr="004827EF" w:rsidRDefault="00D63F3D">
      <w:pPr>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“RECIBOS DE PAGO</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4827EF">
        <w:rPr>
          <w:rFonts w:ascii="Palatino Linotype" w:eastAsia="Palatino Linotype" w:hAnsi="Palatino Linotype" w:cs="Palatino Linotype"/>
          <w:i/>
          <w:sz w:val="22"/>
          <w:szCs w:val="22"/>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6D5E1DE7" w14:textId="77777777" w:rsidR="00BF22D2" w:rsidRPr="004827EF" w:rsidRDefault="00BF22D2">
      <w:pPr>
        <w:spacing w:line="360" w:lineRule="auto"/>
        <w:jc w:val="both"/>
        <w:rPr>
          <w:rFonts w:ascii="Palatino Linotype" w:eastAsia="Palatino Linotype" w:hAnsi="Palatino Linotype" w:cs="Palatino Linotype"/>
          <w:b/>
          <w:i/>
          <w:sz w:val="22"/>
          <w:szCs w:val="22"/>
        </w:rPr>
      </w:pPr>
    </w:p>
    <w:p w14:paraId="4EAE1E0E"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De la tesis transcrita, se desprende que </w:t>
      </w:r>
      <w:r w:rsidRPr="004827EF">
        <w:rPr>
          <w:rFonts w:ascii="Palatino Linotype" w:eastAsia="Palatino Linotype" w:hAnsi="Palatino Linotype" w:cs="Palatino Linotype"/>
          <w:b/>
        </w:rPr>
        <w:t>en materia burocrática</w:t>
      </w:r>
      <w:r w:rsidRPr="004827EF">
        <w:rPr>
          <w:rFonts w:ascii="Palatino Linotype" w:eastAsia="Palatino Linotype" w:hAnsi="Palatino Linotype" w:cs="Palatino Linotype"/>
        </w:rPr>
        <w:t xml:space="preserve"> </w:t>
      </w:r>
      <w:r w:rsidRPr="004827EF">
        <w:rPr>
          <w:rFonts w:ascii="Palatino Linotype" w:eastAsia="Palatino Linotype" w:hAnsi="Palatino Linotype" w:cs="Palatino Linotype"/>
          <w:b/>
        </w:rPr>
        <w:t>los recibos de pago acreditan los conceptos y montos que en ellos se insertan</w:t>
      </w:r>
      <w:r w:rsidRPr="004827EF">
        <w:rPr>
          <w:rFonts w:ascii="Palatino Linotype" w:eastAsia="Palatino Linotype" w:hAnsi="Palatino Linotype" w:cs="Palatino Linotype"/>
        </w:rPr>
        <w:t xml:space="preserve">, y constituyen prueba para demostrar las percepciones y montos que reciben los servidores públicos. </w:t>
      </w:r>
    </w:p>
    <w:p w14:paraId="08C3D1BC" w14:textId="77777777" w:rsidR="00BF22D2" w:rsidRPr="004827EF" w:rsidRDefault="00BF22D2">
      <w:pPr>
        <w:tabs>
          <w:tab w:val="left" w:pos="426"/>
        </w:tabs>
        <w:spacing w:line="360" w:lineRule="auto"/>
        <w:ind w:right="49"/>
        <w:jc w:val="both"/>
        <w:rPr>
          <w:rFonts w:ascii="Palatino Linotype" w:eastAsia="Palatino Linotype" w:hAnsi="Palatino Linotype" w:cs="Palatino Linotype"/>
        </w:rPr>
      </w:pPr>
    </w:p>
    <w:p w14:paraId="5B51DA2F" w14:textId="77777777" w:rsidR="00BF22D2" w:rsidRPr="004827EF" w:rsidRDefault="00D63F3D">
      <w:pPr>
        <w:tabs>
          <w:tab w:val="left" w:pos="426"/>
        </w:tabs>
        <w:spacing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Sirve de apoyo a lo anterior por analogía, los criterios 01/2003 y 02/2003 emitidos por el Comité de Acceso a la Información y Protección de Datos Personales de la Suprema Corte de Justicia de la Nación que a continuación se citan:</w:t>
      </w:r>
    </w:p>
    <w:p w14:paraId="6E2C2273" w14:textId="77777777" w:rsidR="00BF22D2" w:rsidRPr="004827EF" w:rsidRDefault="00BF22D2">
      <w:pPr>
        <w:spacing w:line="360" w:lineRule="auto"/>
        <w:ind w:right="49"/>
        <w:jc w:val="both"/>
        <w:rPr>
          <w:rFonts w:ascii="Palatino Linotype" w:eastAsia="Palatino Linotype" w:hAnsi="Palatino Linotype" w:cs="Palatino Linotype"/>
        </w:rPr>
      </w:pPr>
    </w:p>
    <w:p w14:paraId="2E328CC4" w14:textId="77777777" w:rsidR="00BF22D2" w:rsidRPr="004827EF" w:rsidRDefault="00D63F3D">
      <w:pPr>
        <w:tabs>
          <w:tab w:val="left" w:pos="851"/>
        </w:tabs>
        <w:ind w:left="567" w:right="567"/>
        <w:jc w:val="center"/>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Criterio 01/2003.</w:t>
      </w:r>
    </w:p>
    <w:p w14:paraId="644EFFC3" w14:textId="77777777" w:rsidR="00BF22D2" w:rsidRPr="004827EF" w:rsidRDefault="00D63F3D">
      <w:pPr>
        <w:tabs>
          <w:tab w:val="left" w:pos="851"/>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INGRESOS DE LOS SERVIDORES PÚBLICOS. CONSTITUYEN INFORMACIÓN PÚBLICA AÚN CUANDO SU DIFUSIÓN PUEDE AFECTAR LA VIDA O LA SEGURIDAD DE AQUELLOS</w:t>
      </w:r>
      <w:r w:rsidRPr="004827EF">
        <w:rPr>
          <w:rFonts w:ascii="Palatino Linotype" w:eastAsia="Palatino Linotype" w:hAnsi="Palatino Linotype" w:cs="Palatino Linotype"/>
          <w:i/>
          <w:sz w:val="22"/>
          <w:szCs w:val="22"/>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5B6BD65" w14:textId="77777777" w:rsidR="00BF22D2" w:rsidRPr="004827EF" w:rsidRDefault="00BF22D2">
      <w:pPr>
        <w:tabs>
          <w:tab w:val="left" w:pos="851"/>
        </w:tabs>
        <w:ind w:left="567" w:right="567"/>
        <w:jc w:val="both"/>
        <w:rPr>
          <w:rFonts w:ascii="Palatino Linotype" w:eastAsia="Palatino Linotype" w:hAnsi="Palatino Linotype" w:cs="Palatino Linotype"/>
          <w:i/>
          <w:sz w:val="22"/>
          <w:szCs w:val="22"/>
        </w:rPr>
      </w:pPr>
    </w:p>
    <w:p w14:paraId="0E8CB891" w14:textId="77777777" w:rsidR="00BF22D2" w:rsidRPr="004827EF" w:rsidRDefault="00D63F3D">
      <w:pPr>
        <w:tabs>
          <w:tab w:val="left" w:pos="851"/>
        </w:tabs>
        <w:ind w:left="567" w:right="567"/>
        <w:jc w:val="center"/>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Criterio 02/2003.</w:t>
      </w:r>
    </w:p>
    <w:p w14:paraId="4791433B" w14:textId="77777777" w:rsidR="00BF22D2" w:rsidRPr="004827EF" w:rsidRDefault="00D63F3D">
      <w:pPr>
        <w:ind w:left="567" w:right="618"/>
        <w:jc w:val="both"/>
        <w:rPr>
          <w:rFonts w:ascii="Palatino Linotype" w:eastAsia="Palatino Linotype" w:hAnsi="Palatino Linotype" w:cs="Palatino Linotype"/>
        </w:rPr>
      </w:pPr>
      <w:r w:rsidRPr="004827EF">
        <w:rPr>
          <w:rFonts w:ascii="Palatino Linotype" w:eastAsia="Palatino Linotype" w:hAnsi="Palatino Linotype" w:cs="Palatino Linotype"/>
          <w:b/>
          <w:i/>
          <w:sz w:val="22"/>
          <w:szCs w:val="22"/>
        </w:rPr>
        <w:t>INGRESOS DE LOS SERVIDORES PÚBLICOS, SON INFORMACIÓN PÚBLICA AÚN CUANDO CONSTITUYEN DATOS PERSONALES QUE SE REFIEREN AL PATRIMONIO DE AQUÉLLOS.</w:t>
      </w:r>
      <w:r w:rsidRPr="004827EF">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w:t>
      </w:r>
    </w:p>
    <w:p w14:paraId="2ACCFCE3" w14:textId="77777777" w:rsidR="00BF22D2" w:rsidRPr="004827EF" w:rsidRDefault="00BF22D2">
      <w:pPr>
        <w:shd w:val="clear" w:color="auto" w:fill="FFFFFF"/>
        <w:spacing w:before="240" w:after="240" w:line="360" w:lineRule="auto"/>
        <w:jc w:val="both"/>
        <w:rPr>
          <w:rFonts w:ascii="Palatino Linotype" w:eastAsia="Palatino Linotype" w:hAnsi="Palatino Linotype" w:cs="Palatino Linotype"/>
        </w:rPr>
      </w:pPr>
    </w:p>
    <w:p w14:paraId="150E4AC3"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ese sentido, de la respuesta de la Dirección de Servicios Públicos del Ayuntamiento de Temoaya, se advierte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no siguió el procedimiento establecido en el artículo 162 de la Ley de Transparencia y Acceso a </w:t>
      </w:r>
      <w:r w:rsidRPr="004827EF">
        <w:rPr>
          <w:rFonts w:ascii="Palatino Linotype" w:eastAsia="Palatino Linotype" w:hAnsi="Palatino Linotype" w:cs="Palatino Linotype"/>
        </w:rPr>
        <w:lastRenderedPageBreak/>
        <w:t>la Información Pública del Estado de México y Municipios, para la búsqueda de la información; de ahí que, el Ayuntamiento de Temoaya deberá seguir el procedimiento señalado en el presente considerando para hacer la búsqueda exhaustiva y razonable de la información solicitada, siendo de manera enunciativa mas no limitada la Jefatura de Recursos Humanos como así lo señaló la mencionada Dirección.</w:t>
      </w:r>
    </w:p>
    <w:p w14:paraId="6056DA74"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rPr>
        <w:t xml:space="preserve">Por consiguiente, se determina que la respuesta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careció de los principios de congruencia y exhaustividad, como refuerzo de lo anterior, resulta crucial el Criterio 02/17, emitido por el Pleno del Instituto Nacional de Transparencia y Acceso a la Información y Protección de Datos Personales, referido.</w:t>
      </w:r>
    </w:p>
    <w:p w14:paraId="7F077625"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Razones por las cuales lo procedente es ordenar, previa búsqueda exhaustiva y razonable, el documento o documentos en donde conste de la segunda quincena de julio y primera quincena de agosto del año dos mil veinticuatro, lo siguiente:</w:t>
      </w:r>
    </w:p>
    <w:p w14:paraId="5C4C59C2" w14:textId="77777777" w:rsidR="00BF22D2" w:rsidRPr="004827EF" w:rsidRDefault="00D63F3D">
      <w:pPr>
        <w:numPr>
          <w:ilvl w:val="0"/>
          <w:numId w:val="6"/>
        </w:numPr>
        <w:pBdr>
          <w:top w:val="nil"/>
          <w:left w:val="nil"/>
          <w:bottom w:val="nil"/>
          <w:right w:val="nil"/>
          <w:between w:val="nil"/>
        </w:pBdr>
        <w:spacing w:before="28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Sueldo bruto y neto del personal asignado a la cuadrilla de residuos sólidos urbanos, señalados en respuesta.  </w:t>
      </w:r>
    </w:p>
    <w:p w14:paraId="781C4C1A" w14:textId="77777777" w:rsidR="00BF22D2" w:rsidRPr="004827EF" w:rsidRDefault="00BF22D2">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70A07F79" w14:textId="77777777" w:rsidR="00BF22D2" w:rsidRPr="004827EF" w:rsidRDefault="00D63F3D">
      <w:pPr>
        <w:spacing w:line="360" w:lineRule="auto"/>
        <w:rPr>
          <w:rFonts w:ascii="Palatino Linotype" w:eastAsia="Palatino Linotype" w:hAnsi="Palatino Linotype" w:cs="Palatino Linotype"/>
        </w:rPr>
      </w:pPr>
      <w:r w:rsidRPr="004827EF">
        <w:rPr>
          <w:rFonts w:ascii="Palatino Linotype" w:eastAsia="Palatino Linotype" w:hAnsi="Palatino Linotype" w:cs="Palatino Linotype"/>
        </w:rPr>
        <w:t xml:space="preserve">En versión pública conforme a lo señalado por el considerando quinto del presente fallo. </w:t>
      </w:r>
    </w:p>
    <w:p w14:paraId="584732E0" w14:textId="77777777" w:rsidR="00BF22D2" w:rsidRPr="004827EF" w:rsidRDefault="00BF22D2">
      <w:pPr>
        <w:spacing w:line="360" w:lineRule="auto"/>
        <w:rPr>
          <w:rFonts w:ascii="Palatino Linotype" w:eastAsia="Palatino Linotype" w:hAnsi="Palatino Linotype" w:cs="Palatino Linotype"/>
        </w:rPr>
      </w:pPr>
    </w:p>
    <w:p w14:paraId="3E77A732"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 xml:space="preserve">Por lo que hace al horario de trabajo del personal asignado, </w:t>
      </w:r>
      <w:r w:rsidRPr="004827EF">
        <w:rPr>
          <w:rFonts w:ascii="Palatino Linotype" w:eastAsia="Palatino Linotype" w:hAnsi="Palatino Linotype" w:cs="Palatino Linotype"/>
        </w:rPr>
        <w:t xml:space="preserve">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omitió pronunciarse al respecto, es oportuno referir que la justificación de la publicidad de la información requerida descansa en el artículo 49 de la Ley del Trabajo de los Servidores Públicos del Estado de México y Municipios, el cual </w:t>
      </w:r>
      <w:r w:rsidRPr="004827EF">
        <w:rPr>
          <w:rFonts w:ascii="Palatino Linotype" w:eastAsia="Palatino Linotype" w:hAnsi="Palatino Linotype" w:cs="Palatino Linotype"/>
        </w:rPr>
        <w:lastRenderedPageBreak/>
        <w:t xml:space="preserve">determina los requisitos para tener por formalizada una relación de trabajo entre el servidor y las entidades públicas, los cuales se enlistan a continuación: </w:t>
      </w:r>
    </w:p>
    <w:p w14:paraId="0F56119E" w14:textId="77777777" w:rsidR="00BF22D2" w:rsidRPr="004827EF" w:rsidRDefault="00D63F3D">
      <w:pPr>
        <w:spacing w:before="120"/>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49.-</w:t>
      </w:r>
      <w:r w:rsidRPr="004827EF">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14:paraId="73EE95D0"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 xml:space="preserve">I. </w:t>
      </w:r>
      <w:r w:rsidRPr="004827EF">
        <w:rPr>
          <w:rFonts w:ascii="Palatino Linotype" w:eastAsia="Palatino Linotype" w:hAnsi="Palatino Linotype" w:cs="Palatino Linotype"/>
          <w:i/>
          <w:sz w:val="22"/>
          <w:szCs w:val="22"/>
        </w:rPr>
        <w:t xml:space="preserve">Nombre completo del servidor público; </w:t>
      </w:r>
    </w:p>
    <w:p w14:paraId="22F64E57"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w:t>
      </w:r>
      <w:r w:rsidRPr="004827EF">
        <w:rPr>
          <w:rFonts w:ascii="Palatino Linotype" w:eastAsia="Palatino Linotype" w:hAnsi="Palatino Linotype" w:cs="Palatino Linotype"/>
          <w:i/>
          <w:sz w:val="22"/>
          <w:szCs w:val="22"/>
        </w:rPr>
        <w:t xml:space="preserve">. Cargo para el que es designado, fecha de inicio de sus servicios y lugar de adscripción; </w:t>
      </w:r>
    </w:p>
    <w:p w14:paraId="5E282A28"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III.</w:t>
      </w:r>
      <w:r w:rsidRPr="004827EF">
        <w:rPr>
          <w:rFonts w:ascii="Palatino Linotype" w:eastAsia="Palatino Linotype" w:hAnsi="Palatino Linotype" w:cs="Palatino Linotype"/>
          <w:i/>
          <w:sz w:val="22"/>
          <w:szCs w:val="22"/>
        </w:rPr>
        <w:t xml:space="preserve"> Carácter del nombramiento, ya sea de servidores públicos generales o de confianza, así como la temporalidad del mismo; </w:t>
      </w:r>
    </w:p>
    <w:p w14:paraId="45E63678"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IV</w:t>
      </w:r>
      <w:r w:rsidRPr="004827EF">
        <w:rPr>
          <w:rFonts w:ascii="Palatino Linotype" w:eastAsia="Palatino Linotype" w:hAnsi="Palatino Linotype" w:cs="Palatino Linotype"/>
          <w:i/>
          <w:sz w:val="22"/>
          <w:szCs w:val="22"/>
        </w:rPr>
        <w:t xml:space="preserve">. Remuneración correspondiente al puesto; </w:t>
      </w:r>
    </w:p>
    <w:p w14:paraId="2BC46FB0" w14:textId="77777777" w:rsidR="00BF22D2" w:rsidRPr="004827EF" w:rsidRDefault="00D63F3D">
      <w:pPr>
        <w:tabs>
          <w:tab w:val="left" w:pos="6140"/>
        </w:tabs>
        <w:ind w:left="1134" w:right="902"/>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 xml:space="preserve">V. Jornada de trabajo; </w:t>
      </w:r>
      <w:r w:rsidRPr="004827EF">
        <w:rPr>
          <w:rFonts w:ascii="Palatino Linotype" w:eastAsia="Palatino Linotype" w:hAnsi="Palatino Linotype" w:cs="Palatino Linotype"/>
          <w:b/>
          <w:i/>
          <w:sz w:val="22"/>
          <w:szCs w:val="22"/>
        </w:rPr>
        <w:tab/>
      </w:r>
    </w:p>
    <w:p w14:paraId="29FD8177"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VI.</w:t>
      </w:r>
      <w:r w:rsidRPr="004827EF">
        <w:rPr>
          <w:rFonts w:ascii="Palatino Linotype" w:eastAsia="Palatino Linotype" w:hAnsi="Palatino Linotype" w:cs="Palatino Linotype"/>
          <w:i/>
          <w:sz w:val="22"/>
          <w:szCs w:val="22"/>
        </w:rPr>
        <w:t xml:space="preserve"> Derogada; </w:t>
      </w:r>
    </w:p>
    <w:p w14:paraId="7D5C737D"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VII.</w:t>
      </w:r>
      <w:r w:rsidRPr="004827EF">
        <w:rPr>
          <w:rFonts w:ascii="Palatino Linotype" w:eastAsia="Palatino Linotype" w:hAnsi="Palatino Linotype" w:cs="Palatino Linotype"/>
          <w:i/>
          <w:sz w:val="22"/>
          <w:szCs w:val="22"/>
        </w:rPr>
        <w:t xml:space="preserve"> Firma del servidor público autorizado para emitir el nombramiento, contrato o formato único de Movimientos de Personal, así como el fundamento legal de esa atribución.”</w:t>
      </w:r>
    </w:p>
    <w:p w14:paraId="5EC78AA1" w14:textId="77777777" w:rsidR="00BF22D2" w:rsidRPr="004827EF" w:rsidRDefault="00BF22D2">
      <w:pPr>
        <w:spacing w:line="360" w:lineRule="auto"/>
        <w:jc w:val="both"/>
        <w:rPr>
          <w:rFonts w:ascii="Palatino Linotype" w:eastAsia="Palatino Linotype" w:hAnsi="Palatino Linotype" w:cs="Palatino Linotype"/>
        </w:rPr>
      </w:pPr>
    </w:p>
    <w:p w14:paraId="281E2505"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Del citado ordenamiento legal, se advierte que, en los nombramientos, contratos o formatos únicos de movimientos de personal, deben contener, entre otros requisitos, la jornada de trabajo; </w:t>
      </w:r>
      <w:r w:rsidRPr="004827EF">
        <w:rPr>
          <w:rFonts w:ascii="Palatino Linotype" w:eastAsia="Palatino Linotype" w:hAnsi="Palatino Linotype" w:cs="Palatino Linotype"/>
          <w:b/>
        </w:rPr>
        <w:t>es decir el periodo o espacio de tiempo por el cual el servidor público prestará su servicio al ente público del que se trate</w:t>
      </w:r>
      <w:r w:rsidRPr="004827EF">
        <w:rPr>
          <w:rFonts w:ascii="Palatino Linotype" w:eastAsia="Palatino Linotype" w:hAnsi="Palatino Linotype" w:cs="Palatino Linotype"/>
        </w:rPr>
        <w:t xml:space="preserve">, lo que se robustece con lo establecido en los artículos 56 y 59 del mismo ordenamiento legal, que dispone lo siguiente: </w:t>
      </w:r>
    </w:p>
    <w:p w14:paraId="277F0530" w14:textId="77777777" w:rsidR="00BF22D2" w:rsidRPr="004827EF" w:rsidRDefault="00BF22D2">
      <w:pPr>
        <w:spacing w:line="360" w:lineRule="auto"/>
        <w:jc w:val="both"/>
        <w:rPr>
          <w:rFonts w:ascii="Palatino Linotype" w:eastAsia="Palatino Linotype" w:hAnsi="Palatino Linotype" w:cs="Palatino Linotype"/>
        </w:rPr>
      </w:pPr>
    </w:p>
    <w:p w14:paraId="4EF6CA25"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56</w:t>
      </w:r>
      <w:r w:rsidRPr="004827EF">
        <w:rPr>
          <w:rFonts w:ascii="Palatino Linotype" w:eastAsia="Palatino Linotype" w:hAnsi="Palatino Linotype" w:cs="Palatino Linotype"/>
          <w:i/>
          <w:sz w:val="22"/>
          <w:szCs w:val="22"/>
        </w:rPr>
        <w:t>. Las condiciones generales de trabajo, establecerán como mínimo:</w:t>
      </w:r>
    </w:p>
    <w:p w14:paraId="6CB5C0C2"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w:t>
      </w:r>
      <w:r w:rsidRPr="004827EF">
        <w:rPr>
          <w:rFonts w:ascii="Palatino Linotype" w:eastAsia="Palatino Linotype" w:hAnsi="Palatino Linotype" w:cs="Palatino Linotype"/>
          <w:i/>
          <w:sz w:val="22"/>
          <w:szCs w:val="22"/>
        </w:rPr>
        <w:t xml:space="preserve"> Duración de la jornada de trabajo;</w:t>
      </w:r>
    </w:p>
    <w:p w14:paraId="13B0D215"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 </w:t>
      </w:r>
    </w:p>
    <w:p w14:paraId="01782FFF"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59.</w:t>
      </w:r>
      <w:r w:rsidRPr="004827EF">
        <w:rPr>
          <w:rFonts w:ascii="Palatino Linotype" w:eastAsia="Palatino Linotype" w:hAnsi="Palatino Linotype" w:cs="Palatino Linotype"/>
          <w:i/>
          <w:sz w:val="22"/>
          <w:szCs w:val="22"/>
        </w:rPr>
        <w:t xml:space="preserve"> Jornada de trabajo es el tiempo durante el cual el servidor público está a disposición de la institución pública para prestar sus servicios. El </w:t>
      </w:r>
      <w:r w:rsidRPr="004827EF">
        <w:rPr>
          <w:rFonts w:ascii="Palatino Linotype" w:eastAsia="Palatino Linotype" w:hAnsi="Palatino Linotype" w:cs="Palatino Linotype"/>
          <w:b/>
          <w:i/>
          <w:sz w:val="22"/>
          <w:szCs w:val="22"/>
        </w:rPr>
        <w:t>horario de trabajo será determinado conforme a las necesidades del servicio de la institución pública o dependencia</w:t>
      </w:r>
      <w:r w:rsidRPr="004827EF">
        <w:rPr>
          <w:rFonts w:ascii="Palatino Linotype" w:eastAsia="Palatino Linotype" w:hAnsi="Palatino Linotype" w:cs="Palatino Linotype"/>
          <w:i/>
          <w:sz w:val="22"/>
          <w:szCs w:val="22"/>
        </w:rPr>
        <w:t>, de acuerdo a lo estipulado en las condiciones generales de trabajo, sin que exceda los máximos legales”.</w:t>
      </w:r>
    </w:p>
    <w:p w14:paraId="7AD5FE3C" w14:textId="77777777" w:rsidR="00BF22D2" w:rsidRPr="004827EF" w:rsidRDefault="00BF22D2">
      <w:pPr>
        <w:spacing w:after="120"/>
        <w:ind w:left="851" w:right="902"/>
        <w:jc w:val="both"/>
        <w:rPr>
          <w:rFonts w:ascii="Palatino Linotype" w:eastAsia="Palatino Linotype" w:hAnsi="Palatino Linotype" w:cs="Palatino Linotype"/>
          <w:i/>
          <w:sz w:val="22"/>
          <w:szCs w:val="22"/>
        </w:rPr>
      </w:pPr>
    </w:p>
    <w:p w14:paraId="7E873144" w14:textId="77777777" w:rsidR="00BF22D2" w:rsidRPr="004827EF" w:rsidRDefault="00D63F3D">
      <w:pPr>
        <w:spacing w:before="120" w:after="240" w:line="360" w:lineRule="auto"/>
        <w:ind w:right="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rPr>
        <w:lastRenderedPageBreak/>
        <w:t xml:space="preserve">En ese contexto, la duración de la jornada de trabajo puede ser de varias maneras, las cuales se encuentran establecidas en el artículo 60, 61, 62 y 63 de la mencionada Ley de Trabajo que literalmente señalan lo siguiente: </w:t>
      </w:r>
    </w:p>
    <w:p w14:paraId="2379F19F" w14:textId="77777777" w:rsidR="00BF22D2" w:rsidRPr="004827EF" w:rsidRDefault="00D63F3D">
      <w:pPr>
        <w:spacing w:before="120"/>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60</w:t>
      </w:r>
      <w:r w:rsidRPr="004827EF">
        <w:rPr>
          <w:rFonts w:ascii="Palatino Linotype" w:eastAsia="Palatino Linotype" w:hAnsi="Palatino Linotype" w:cs="Palatino Linotype"/>
          <w:i/>
          <w:sz w:val="22"/>
          <w:szCs w:val="22"/>
        </w:rPr>
        <w:t xml:space="preserve">. La jornada de trabajo puede ser diurna, nocturna o mixta, conforme a lo siguiente: </w:t>
      </w:r>
    </w:p>
    <w:p w14:paraId="1837143D"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w:t>
      </w:r>
      <w:r w:rsidRPr="004827EF">
        <w:rPr>
          <w:rFonts w:ascii="Palatino Linotype" w:eastAsia="Palatino Linotype" w:hAnsi="Palatino Linotype" w:cs="Palatino Linotype"/>
          <w:i/>
          <w:sz w:val="22"/>
          <w:szCs w:val="22"/>
        </w:rPr>
        <w:t xml:space="preserve"> Diurna, la comprendida entre las seis y las veinte horas; </w:t>
      </w:r>
    </w:p>
    <w:p w14:paraId="141039D6" w14:textId="77777777" w:rsidR="00BF22D2" w:rsidRPr="004827EF" w:rsidRDefault="00D63F3D">
      <w:pPr>
        <w:ind w:left="1134" w:right="902"/>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w:t>
      </w:r>
      <w:r w:rsidRPr="004827EF">
        <w:rPr>
          <w:rFonts w:ascii="Palatino Linotype" w:eastAsia="Palatino Linotype" w:hAnsi="Palatino Linotype" w:cs="Palatino Linotype"/>
          <w:i/>
          <w:sz w:val="22"/>
          <w:szCs w:val="22"/>
        </w:rPr>
        <w:t xml:space="preserve"> Nocturna, la comprendida entre las veinte y las seis horas; y </w:t>
      </w:r>
    </w:p>
    <w:p w14:paraId="4D8779C5" w14:textId="77777777" w:rsidR="00BF22D2" w:rsidRPr="004827EF" w:rsidRDefault="00D63F3D">
      <w:pPr>
        <w:ind w:left="1134" w:right="902"/>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III.</w:t>
      </w:r>
      <w:r w:rsidRPr="004827EF">
        <w:rPr>
          <w:rFonts w:ascii="Palatino Linotype" w:eastAsia="Palatino Linotype" w:hAnsi="Palatino Linotype" w:cs="Palatino Linotype"/>
          <w:i/>
          <w:sz w:val="22"/>
          <w:szCs w:val="22"/>
        </w:rPr>
        <w:t xml:space="preserve"> Mixta, la que comprenda períodos de tiempo de las jornadas diurna y nocturna, siempre que el período nocturno sea menor de tres horas y media, pues en caso contrario, se considerará como jornada nocturna. </w:t>
      </w:r>
    </w:p>
    <w:p w14:paraId="615748CA"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61.</w:t>
      </w:r>
      <w:r w:rsidRPr="004827EF">
        <w:rPr>
          <w:rFonts w:ascii="Palatino Linotype" w:eastAsia="Palatino Linotype" w:hAnsi="Palatino Linotype" w:cs="Palatino Linotype"/>
          <w:i/>
          <w:sz w:val="22"/>
          <w:szCs w:val="22"/>
        </w:rPr>
        <w:t xml:space="preserve"> Cuando la naturaleza del trabajo así lo exija, la jornada se reducirá teniendo en cuenta el número de horas que pueda trabajar un individuo normal sin sufrir quebranto en su salud. </w:t>
      </w:r>
    </w:p>
    <w:p w14:paraId="6C905F7F"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62.</w:t>
      </w:r>
      <w:r w:rsidRPr="004827EF">
        <w:rPr>
          <w:rFonts w:ascii="Palatino Linotype" w:eastAsia="Palatino Linotype" w:hAnsi="Palatino Linotype" w:cs="Palatino Linotype"/>
          <w:i/>
          <w:sz w:val="22"/>
          <w:szCs w:val="22"/>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79AC7D79"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63.</w:t>
      </w:r>
      <w:r w:rsidRPr="004827EF">
        <w:rPr>
          <w:rFonts w:ascii="Palatino Linotype" w:eastAsia="Palatino Linotype" w:hAnsi="Palatino Linotype" w:cs="Palatino Linotype"/>
          <w:i/>
          <w:sz w:val="22"/>
          <w:szCs w:val="22"/>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14:paraId="6956925A" w14:textId="77777777" w:rsidR="00BF22D2" w:rsidRPr="004827EF" w:rsidRDefault="00BF22D2">
      <w:pPr>
        <w:spacing w:after="120"/>
        <w:ind w:left="851" w:right="902"/>
        <w:jc w:val="both"/>
        <w:rPr>
          <w:rFonts w:ascii="Palatino Linotype" w:eastAsia="Palatino Linotype" w:hAnsi="Palatino Linotype" w:cs="Palatino Linotype"/>
          <w:i/>
          <w:sz w:val="22"/>
          <w:szCs w:val="22"/>
        </w:rPr>
      </w:pPr>
    </w:p>
    <w:p w14:paraId="3939693A" w14:textId="77777777" w:rsidR="00BF22D2" w:rsidRPr="004827EF" w:rsidRDefault="00D63F3D">
      <w:pPr>
        <w:spacing w:before="12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6A86AA70" w14:textId="77777777" w:rsidR="00BF22D2" w:rsidRPr="004827EF" w:rsidRDefault="00D63F3D">
      <w:pPr>
        <w:spacing w:before="120"/>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88.</w:t>
      </w:r>
      <w:r w:rsidRPr="004827EF">
        <w:rPr>
          <w:rFonts w:ascii="Palatino Linotype" w:eastAsia="Palatino Linotype" w:hAnsi="Palatino Linotype" w:cs="Palatino Linotype"/>
          <w:i/>
          <w:sz w:val="22"/>
          <w:szCs w:val="22"/>
        </w:rPr>
        <w:t xml:space="preserve"> Son obligaciones de los servidores públicos: </w:t>
      </w:r>
    </w:p>
    <w:p w14:paraId="4B4578C2"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43367DCC"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III.</w:t>
      </w:r>
      <w:r w:rsidRPr="004827EF">
        <w:rPr>
          <w:rFonts w:ascii="Palatino Linotype" w:eastAsia="Palatino Linotype" w:hAnsi="Palatino Linotype" w:cs="Palatino Linotype"/>
          <w:i/>
          <w:sz w:val="22"/>
          <w:szCs w:val="22"/>
        </w:rPr>
        <w:t xml:space="preserve"> Asistir puntualmente a sus labores y no faltar sin causa justificada o sin permiso. En caso de inasistencia, el servidor público deberá comunicar a la institución pública o dependencia en que presta sus servicios, por los medios </w:t>
      </w:r>
      <w:r w:rsidRPr="004827EF">
        <w:rPr>
          <w:rFonts w:ascii="Palatino Linotype" w:eastAsia="Palatino Linotype" w:hAnsi="Palatino Linotype" w:cs="Palatino Linotype"/>
          <w:i/>
          <w:sz w:val="22"/>
          <w:szCs w:val="22"/>
        </w:rPr>
        <w:lastRenderedPageBreak/>
        <w:t xml:space="preserve">posibles a su alcance, la causa de la misma dentro de las 24 horas siguientes al momento en que debió haberse presentado a trabajar. No dar aviso, hará presumir que la falta fue injustificada; </w:t>
      </w:r>
    </w:p>
    <w:p w14:paraId="1C84D45A"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2ED340FC"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VI.</w:t>
      </w:r>
      <w:r w:rsidRPr="004827EF">
        <w:rPr>
          <w:rFonts w:ascii="Palatino Linotype" w:eastAsia="Palatino Linotype" w:hAnsi="Palatino Linotype" w:cs="Palatino Linotype"/>
          <w:i/>
          <w:sz w:val="22"/>
          <w:szCs w:val="22"/>
        </w:rPr>
        <w:t xml:space="preserve"> Cumplir con las obligaciones que señalan las condiciones generales de trabajo;”</w:t>
      </w:r>
    </w:p>
    <w:p w14:paraId="7970D78A" w14:textId="77777777" w:rsidR="00BF22D2" w:rsidRPr="004827EF" w:rsidRDefault="00BF22D2">
      <w:pPr>
        <w:ind w:left="1134" w:right="902"/>
        <w:jc w:val="both"/>
        <w:rPr>
          <w:rFonts w:ascii="Palatino Linotype" w:eastAsia="Palatino Linotype" w:hAnsi="Palatino Linotype" w:cs="Palatino Linotype"/>
          <w:i/>
          <w:sz w:val="22"/>
          <w:szCs w:val="22"/>
        </w:rPr>
      </w:pPr>
    </w:p>
    <w:p w14:paraId="7909BAB9"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14:paraId="054D3323" w14:textId="77777777" w:rsidR="00BF22D2" w:rsidRPr="004827EF" w:rsidRDefault="00BF22D2">
      <w:pPr>
        <w:spacing w:line="360" w:lineRule="auto"/>
        <w:jc w:val="both"/>
        <w:rPr>
          <w:rFonts w:ascii="Palatino Linotype" w:eastAsia="Palatino Linotype" w:hAnsi="Palatino Linotype" w:cs="Palatino Linotype"/>
        </w:rPr>
      </w:pPr>
    </w:p>
    <w:p w14:paraId="7DAF76CA"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93.</w:t>
      </w:r>
      <w:r w:rsidRPr="004827EF">
        <w:rPr>
          <w:rFonts w:ascii="Palatino Linotype" w:eastAsia="Palatino Linotype" w:hAnsi="Palatino Linotype" w:cs="Palatino Linotype"/>
          <w:i/>
          <w:sz w:val="22"/>
          <w:szCs w:val="22"/>
        </w:rPr>
        <w:t xml:space="preserve"> Son causas de rescisión de la relación laboral, sin responsabilidad para las instituciones públicas:</w:t>
      </w:r>
    </w:p>
    <w:p w14:paraId="4F6D229C"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28D5A4FF"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V.</w:t>
      </w:r>
      <w:r w:rsidRPr="004827EF">
        <w:rPr>
          <w:rFonts w:ascii="Palatino Linotype" w:eastAsia="Palatino Linotype" w:hAnsi="Palatino Linotype" w:cs="Palatino Linotype"/>
          <w:i/>
          <w:sz w:val="22"/>
          <w:szCs w:val="22"/>
        </w:rPr>
        <w:t xml:space="preserve"> Incurrir en cuatro o más faltas de asistencia a sus labores sin causa justificada, dentro de un lapso de treinta días;</w:t>
      </w:r>
    </w:p>
    <w:p w14:paraId="27279AD0"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V</w:t>
      </w:r>
      <w:r w:rsidRPr="004827EF">
        <w:rPr>
          <w:rFonts w:ascii="Palatino Linotype" w:eastAsia="Palatino Linotype" w:hAnsi="Palatino Linotype" w:cs="Palatino Linotype"/>
          <w:i/>
          <w:sz w:val="22"/>
          <w:szCs w:val="22"/>
        </w:rPr>
        <w:t>. Abandonar las labores sin autorización previa o razón plenamente justificada, en contravención a lo establecido en las condiciones generales de trabajo;</w:t>
      </w:r>
    </w:p>
    <w:p w14:paraId="356ADEAD"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5FED66C4" w14:textId="77777777" w:rsidR="00BF22D2" w:rsidRPr="004827EF" w:rsidRDefault="00D63F3D">
      <w:pPr>
        <w:spacing w:after="120"/>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XVII</w:t>
      </w:r>
      <w:r w:rsidRPr="004827EF">
        <w:rPr>
          <w:rFonts w:ascii="Palatino Linotype" w:eastAsia="Palatino Linotype" w:hAnsi="Palatino Linotype" w:cs="Palatino Linotype"/>
          <w:i/>
          <w:sz w:val="22"/>
          <w:szCs w:val="22"/>
        </w:rPr>
        <w:t xml:space="preserve">. Sustraer tarjetas o listas de puntualidad y asistencia del lugar destinado para ello, ya sea la del propio servidor público o la de otro, utilizar o registrar asistencia con gafete-credencial o </w:t>
      </w:r>
      <w:proofErr w:type="gramStart"/>
      <w:r w:rsidRPr="004827EF">
        <w:rPr>
          <w:rFonts w:ascii="Palatino Linotype" w:eastAsia="Palatino Linotype" w:hAnsi="Palatino Linotype" w:cs="Palatino Linotype"/>
          <w:i/>
          <w:sz w:val="22"/>
          <w:szCs w:val="22"/>
        </w:rPr>
        <w:t>tarjeta distinto</w:t>
      </w:r>
      <w:proofErr w:type="gramEnd"/>
      <w:r w:rsidRPr="004827EF">
        <w:rPr>
          <w:rFonts w:ascii="Palatino Linotype" w:eastAsia="Palatino Linotype" w:hAnsi="Palatino Linotype" w:cs="Palatino Linotype"/>
          <w:i/>
          <w:sz w:val="22"/>
          <w:szCs w:val="22"/>
        </w:rPr>
        <w:t xml:space="preserve"> al suyo o alterar en cualquier forma los registros de control de puntualidad y asistencia; siempre y cuando no sea resultado de un error involuntario;”</w:t>
      </w:r>
    </w:p>
    <w:p w14:paraId="318C57D4" w14:textId="77777777" w:rsidR="00BF22D2" w:rsidRPr="004827EF" w:rsidRDefault="00D63F3D">
      <w:pPr>
        <w:spacing w:before="12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Ahora bien, para comprobar el cumplimiento de la jornada de trabajo del Servidor Público, de conformidad con lo que establecen la fracción III y el penúltimo párrafo del artículo 220-K de la Ley en cita, precisa que: </w:t>
      </w:r>
    </w:p>
    <w:p w14:paraId="701225B2" w14:textId="77777777" w:rsidR="00BF22D2" w:rsidRPr="004827EF" w:rsidRDefault="00D63F3D">
      <w:pPr>
        <w:spacing w:before="120"/>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220 K.-</w:t>
      </w:r>
      <w:r w:rsidRPr="004827EF">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033D1B06" w14:textId="77777777" w:rsidR="00BF22D2" w:rsidRPr="004827EF" w:rsidRDefault="00D63F3D">
      <w:pPr>
        <w:ind w:left="1134"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lastRenderedPageBreak/>
        <w:t>…</w:t>
      </w:r>
    </w:p>
    <w:p w14:paraId="5A42644F" w14:textId="77777777" w:rsidR="00BF22D2" w:rsidRPr="004827EF" w:rsidRDefault="00D63F3D">
      <w:pPr>
        <w:ind w:left="1134" w:right="902"/>
        <w:jc w:val="both"/>
        <w:rPr>
          <w:rFonts w:ascii="Palatino Linotype" w:eastAsia="Palatino Linotype" w:hAnsi="Palatino Linotype" w:cs="Palatino Linotype"/>
          <w:i/>
          <w:sz w:val="22"/>
          <w:szCs w:val="22"/>
          <w:u w:val="single"/>
        </w:rPr>
      </w:pPr>
      <w:r w:rsidRPr="004827EF">
        <w:rPr>
          <w:rFonts w:ascii="Palatino Linotype" w:eastAsia="Palatino Linotype" w:hAnsi="Palatino Linotype" w:cs="Palatino Linotype"/>
          <w:b/>
          <w:i/>
          <w:sz w:val="22"/>
          <w:szCs w:val="22"/>
        </w:rPr>
        <w:t xml:space="preserve">III. </w:t>
      </w:r>
      <w:r w:rsidRPr="004827EF">
        <w:rPr>
          <w:rFonts w:ascii="Palatino Linotype" w:eastAsia="Palatino Linotype" w:hAnsi="Palatino Linotype" w:cs="Palatino Linotype"/>
          <w:b/>
          <w:i/>
          <w:sz w:val="22"/>
          <w:szCs w:val="22"/>
          <w:u w:val="single"/>
        </w:rPr>
        <w:t>Controles de asistencia</w:t>
      </w:r>
      <w:r w:rsidRPr="004827EF">
        <w:rPr>
          <w:rFonts w:ascii="Palatino Linotype" w:eastAsia="Palatino Linotype" w:hAnsi="Palatino Linotype" w:cs="Palatino Linotype"/>
          <w:b/>
          <w:i/>
          <w:sz w:val="22"/>
          <w:szCs w:val="22"/>
        </w:rPr>
        <w:t xml:space="preserve"> </w:t>
      </w:r>
      <w:r w:rsidRPr="004827EF">
        <w:rPr>
          <w:rFonts w:ascii="Palatino Linotype" w:eastAsia="Palatino Linotype" w:hAnsi="Palatino Linotype" w:cs="Palatino Linotype"/>
          <w:b/>
          <w:i/>
          <w:sz w:val="22"/>
          <w:szCs w:val="22"/>
          <w:u w:val="single"/>
        </w:rPr>
        <w:t>o la información magnética o electrónica de asistencia de los servidores públicos</w:t>
      </w:r>
      <w:r w:rsidRPr="004827EF">
        <w:rPr>
          <w:rFonts w:ascii="Palatino Linotype" w:eastAsia="Palatino Linotype" w:hAnsi="Palatino Linotype" w:cs="Palatino Linotype"/>
          <w:i/>
          <w:sz w:val="22"/>
          <w:szCs w:val="22"/>
          <w:u w:val="single"/>
        </w:rPr>
        <w:t xml:space="preserve">; </w:t>
      </w:r>
    </w:p>
    <w:p w14:paraId="400F0E35" w14:textId="77777777" w:rsidR="00BF22D2" w:rsidRPr="004827EF" w:rsidRDefault="00D63F3D">
      <w:pP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1CA0DA21" w14:textId="77777777" w:rsidR="00BF22D2" w:rsidRPr="004827EF" w:rsidRDefault="00D63F3D">
      <w:pPr>
        <w:spacing w:after="120"/>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4827EF">
        <w:rPr>
          <w:rFonts w:ascii="Palatino Linotype" w:eastAsia="Palatino Linotype" w:hAnsi="Palatino Linotype" w:cs="Palatino Linotype"/>
          <w:b/>
          <w:i/>
          <w:sz w:val="22"/>
          <w:szCs w:val="22"/>
        </w:rPr>
        <w:t>los señalados por las fracciones</w:t>
      </w:r>
      <w:r w:rsidRPr="004827EF">
        <w:rPr>
          <w:rFonts w:ascii="Palatino Linotype" w:eastAsia="Palatino Linotype" w:hAnsi="Palatino Linotype" w:cs="Palatino Linotype"/>
          <w:i/>
          <w:sz w:val="22"/>
          <w:szCs w:val="22"/>
        </w:rPr>
        <w:t xml:space="preserve"> II, </w:t>
      </w:r>
      <w:r w:rsidRPr="004827EF">
        <w:rPr>
          <w:rFonts w:ascii="Palatino Linotype" w:eastAsia="Palatino Linotype" w:hAnsi="Palatino Linotype" w:cs="Palatino Linotype"/>
          <w:b/>
          <w:i/>
          <w:sz w:val="22"/>
          <w:szCs w:val="22"/>
        </w:rPr>
        <w:t>III,</w:t>
      </w:r>
      <w:r w:rsidRPr="004827EF">
        <w:rPr>
          <w:rFonts w:ascii="Palatino Linotype" w:eastAsia="Palatino Linotype" w:hAnsi="Palatino Linotype" w:cs="Palatino Linotype"/>
          <w:i/>
          <w:sz w:val="22"/>
          <w:szCs w:val="22"/>
        </w:rPr>
        <w:t xml:space="preserve"> IV </w:t>
      </w:r>
      <w:r w:rsidRPr="004827EF">
        <w:rPr>
          <w:rFonts w:ascii="Palatino Linotype" w:eastAsia="Palatino Linotype" w:hAnsi="Palatino Linotype" w:cs="Palatino Linotype"/>
          <w:b/>
          <w:i/>
          <w:sz w:val="22"/>
          <w:szCs w:val="22"/>
        </w:rPr>
        <w:t>durante el último año y un año después de que se extinga la relación laboral</w:t>
      </w:r>
      <w:r w:rsidRPr="004827EF">
        <w:rPr>
          <w:rFonts w:ascii="Palatino Linotype" w:eastAsia="Palatino Linotype" w:hAnsi="Palatino Linotype" w:cs="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1DCD36B"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Es decir, que los documentos que den cuenta de la asistencia de los servidores públicos deben ser conservados durante el último año y un año después de que se extinga la relación laboral.</w:t>
      </w:r>
    </w:p>
    <w:p w14:paraId="6FA788E2"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este contexto, es dable ordenar al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previa búsqueda exhaustiva y razonable</w:t>
      </w:r>
      <w:r w:rsidRPr="004827EF">
        <w:rPr>
          <w:rFonts w:ascii="Palatino Linotype" w:eastAsia="Palatino Linotype" w:hAnsi="Palatino Linotype" w:cs="Palatino Linotype"/>
          <w:b/>
        </w:rPr>
        <w:t xml:space="preserve">, </w:t>
      </w:r>
      <w:r w:rsidRPr="004827EF">
        <w:rPr>
          <w:rFonts w:ascii="Palatino Linotype" w:eastAsia="Palatino Linotype" w:hAnsi="Palatino Linotype" w:cs="Palatino Linotype"/>
        </w:rPr>
        <w:t xml:space="preserve">el documento en donde conste el horario de trabajo del personal asignado a la cuadrilla de residuos sólidos urbanos, señalados en respuesta y de ser procedente en versión pública conforme a lo señalado en el considerando quinto del presente fallo. </w:t>
      </w:r>
    </w:p>
    <w:p w14:paraId="093B3E37"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En cuanto al punto 13, concerniente a:</w:t>
      </w:r>
    </w:p>
    <w:p w14:paraId="40CE7E0D"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13.- Presupuesto asignado al servicio de limpia, recolección y disposición final de residuos sólidos (2016-2024): </w:t>
      </w:r>
    </w:p>
    <w:p w14:paraId="4CC689CB"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-Monto del presupuesto anual asignado a estas actividades desde el año 2016 hasta el año 2024. </w:t>
      </w:r>
    </w:p>
    <w:p w14:paraId="77A11F1D"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-Desglose del presupuesto por rubros (adquisición de camiones, mantenimiento, sueldos, combustibles, renta de camiones, infraestructura, etc.). </w:t>
      </w:r>
    </w:p>
    <w:p w14:paraId="7B338ABA"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-Fuente de los recursos (municipales, estatales, federales, otros). </w:t>
      </w:r>
    </w:p>
    <w:p w14:paraId="035DF0B1"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-Variaciones o ajustes presupuestarios realizados en cada año. </w:t>
      </w:r>
    </w:p>
    <w:p w14:paraId="45E7782A"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-Justificación para los cambios en el presupuesto durante el periodo mencionado. </w:t>
      </w:r>
    </w:p>
    <w:p w14:paraId="5BF9B022"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Sobre el tema en cuestión, es necesario precisar que de acuerdo con el párrafo tercero del artículo 285, del Código Financiero del Estado de México y Municipios, que precisa que el Ayuntamiento es el encargado de aprobar el Presupuesto de Egresos del Municipio, como así lo señala a continuación:</w:t>
      </w:r>
    </w:p>
    <w:p w14:paraId="14E6F021" w14:textId="77777777" w:rsidR="00BF22D2" w:rsidRPr="004827EF" w:rsidRDefault="00BF22D2">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7A96EB6A"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“Artículo 285.-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 </w:t>
      </w:r>
    </w:p>
    <w:p w14:paraId="0AD24203"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El gasto total aprobado en el Presupuesto de Egresos, no podrá exceder al total de los ingresos autorizados en la Ley de Ingresos, de tal forma que contribuya a un balance presupuestario sostenible. </w:t>
      </w:r>
    </w:p>
    <w:p w14:paraId="3F3B3459"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En el caso de los municipios, el Presupuesto de Egresos, será el que se apruebe por el Ayuntamiento.</w:t>
      </w:r>
      <w:r w:rsidRPr="004827EF">
        <w:rPr>
          <w:rFonts w:ascii="Palatino Linotype" w:eastAsia="Palatino Linotype" w:hAnsi="Palatino Linotype" w:cs="Palatino Linotype"/>
          <w:i/>
          <w:sz w:val="22"/>
          <w:szCs w:val="22"/>
        </w:rPr>
        <w:t xml:space="preserve"> </w:t>
      </w:r>
    </w:p>
    <w:p w14:paraId="5D540A34"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En la aprobación del presupuesto de egresos de los municipios, los ayuntamientos determinarán la remuneración que corresponda a cada empleo, cargo o comisión. Cuando se trate de la creación de un nuevo empleo cuya remuneración no hubiere sido fijada, deberá determinarse tomando como base la prevista para algún empleo similar. Las remuneraciones estarán sujetas a las modificaciones que, en su caso, sean convenidas conforme a la legislación laboral</w:t>
      </w:r>
      <w:proofErr w:type="gramStart"/>
      <w:r w:rsidRPr="004827EF">
        <w:rPr>
          <w:rFonts w:ascii="Palatino Linotype" w:eastAsia="Palatino Linotype" w:hAnsi="Palatino Linotype" w:cs="Palatino Linotype"/>
          <w:i/>
          <w:sz w:val="22"/>
          <w:szCs w:val="22"/>
        </w:rPr>
        <w:t>…”(</w:t>
      </w:r>
      <w:proofErr w:type="gramEnd"/>
      <w:r w:rsidRPr="004827EF">
        <w:rPr>
          <w:rFonts w:ascii="Palatino Linotype" w:eastAsia="Palatino Linotype" w:hAnsi="Palatino Linotype" w:cs="Palatino Linotype"/>
          <w:i/>
          <w:sz w:val="22"/>
          <w:szCs w:val="22"/>
        </w:rPr>
        <w:t>Sic)</w:t>
      </w:r>
    </w:p>
    <w:p w14:paraId="7C185EDA" w14:textId="77777777" w:rsidR="00BF22D2" w:rsidRPr="004827EF" w:rsidRDefault="00BF22D2">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4DFBDBF6" w14:textId="77777777" w:rsidR="00BF22D2" w:rsidRPr="004827EF" w:rsidRDefault="00D63F3D">
      <w:pPr>
        <w:spacing w:line="360" w:lineRule="auto"/>
        <w:ind w:right="-93"/>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En el mismo sentido, el artículo 31, fracción XIX, de la Ley Orgánica Municipal del Estado de México, establece que los Ayuntamientos serán los encargados de aprobar anualmente, el Presupuesto de Egresos, en base a los ingresos presupuestados para el ejercicio de corresponda, cual literalidad en la siguiente:</w:t>
      </w:r>
    </w:p>
    <w:p w14:paraId="5232557E" w14:textId="77777777" w:rsidR="00BF22D2" w:rsidRPr="004827EF" w:rsidRDefault="00BF22D2">
      <w:pPr>
        <w:spacing w:line="360" w:lineRule="auto"/>
        <w:ind w:right="-93"/>
        <w:jc w:val="both"/>
        <w:rPr>
          <w:rFonts w:ascii="Palatino Linotype" w:eastAsia="Palatino Linotype" w:hAnsi="Palatino Linotype" w:cs="Palatino Linotype"/>
        </w:rPr>
      </w:pPr>
    </w:p>
    <w:p w14:paraId="7006968A"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“Artículo 31.- Son atribuciones de los ayuntamientos:</w:t>
      </w:r>
    </w:p>
    <w:p w14:paraId="47CA2F2F"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3280EC13"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16ED721E" w14:textId="77777777" w:rsidR="00BF22D2" w:rsidRPr="004827EF" w:rsidRDefault="00BF22D2">
      <w:pPr>
        <w:spacing w:line="360" w:lineRule="auto"/>
        <w:ind w:right="-93"/>
        <w:jc w:val="both"/>
        <w:rPr>
          <w:rFonts w:ascii="Palatino Linotype" w:eastAsia="Palatino Linotype" w:hAnsi="Palatino Linotype" w:cs="Palatino Linotype"/>
        </w:rPr>
      </w:pPr>
    </w:p>
    <w:p w14:paraId="2E3F9AE1" w14:textId="77777777" w:rsidR="00BF22D2" w:rsidRPr="004827EF" w:rsidRDefault="00D63F3D">
      <w:pPr>
        <w:spacing w:line="360" w:lineRule="auto"/>
        <w:ind w:right="-93"/>
        <w:jc w:val="both"/>
        <w:rPr>
          <w:rFonts w:ascii="Palatino Linotype" w:eastAsia="Palatino Linotype" w:hAnsi="Palatino Linotype" w:cs="Palatino Linotype"/>
          <w:b/>
        </w:rPr>
      </w:pPr>
      <w:r w:rsidRPr="004827EF">
        <w:rPr>
          <w:rFonts w:ascii="Palatino Linotype" w:eastAsia="Palatino Linotype" w:hAnsi="Palatino Linotype" w:cs="Palatino Linotype"/>
        </w:rPr>
        <w:t>En ese contexto, de conformidad con el artículo 100 y 101, fracción II, de dicho ordenamiento jurídico, el Presupuesto de Egresos, deberá contener las previsiones de gasto público y se conformará, entre otras cosas, por la</w:t>
      </w:r>
      <w:r w:rsidRPr="004827EF">
        <w:rPr>
          <w:rFonts w:ascii="Palatino Linotype" w:eastAsia="Palatino Linotype" w:hAnsi="Palatino Linotype" w:cs="Palatino Linotype"/>
          <w:b/>
        </w:rPr>
        <w:t xml:space="preserve"> estimación de los ingresos y gastos del ejercicio fiscal calendarizados, los cuales señalan:</w:t>
      </w:r>
    </w:p>
    <w:p w14:paraId="59256322" w14:textId="77777777" w:rsidR="00BF22D2" w:rsidRPr="004827EF" w:rsidRDefault="00BF22D2">
      <w:pPr>
        <w:spacing w:line="360" w:lineRule="auto"/>
        <w:ind w:right="-93"/>
        <w:jc w:val="both"/>
        <w:rPr>
          <w:rFonts w:ascii="Palatino Linotype" w:eastAsia="Palatino Linotype" w:hAnsi="Palatino Linotype" w:cs="Palatino Linotype"/>
          <w:b/>
        </w:rPr>
      </w:pPr>
    </w:p>
    <w:p w14:paraId="0A58EE70"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“Artículo 100.- El presupuesto de egresos deberá contener las previsiones de gasto público que habrán de realizar los municipios. </w:t>
      </w:r>
    </w:p>
    <w:p w14:paraId="10C0056C"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Artículo 101.- El proyecto del presupuesto de egresos se integrará básicamente con:</w:t>
      </w:r>
    </w:p>
    <w:p w14:paraId="319CC5B2"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6658FFC0"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 Estimación de los ingresos y gastos del ejercicio fiscal calendarizados…”</w:t>
      </w:r>
    </w:p>
    <w:p w14:paraId="7F584A87" w14:textId="77777777" w:rsidR="00BF22D2" w:rsidRPr="004827EF" w:rsidRDefault="00BF22D2">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79301ED1" w14:textId="77777777" w:rsidR="00BF22D2" w:rsidRPr="004827EF" w:rsidRDefault="00D63F3D">
      <w:pPr>
        <w:spacing w:line="360" w:lineRule="auto"/>
        <w:ind w:right="-93"/>
        <w:jc w:val="both"/>
        <w:rPr>
          <w:rFonts w:ascii="Palatino Linotype" w:eastAsia="Palatino Linotype" w:hAnsi="Palatino Linotype" w:cs="Palatino Linotype"/>
        </w:rPr>
      </w:pPr>
      <w:r w:rsidRPr="004827EF">
        <w:rPr>
          <w:rFonts w:ascii="Palatino Linotype" w:eastAsia="Palatino Linotype" w:hAnsi="Palatino Linotype" w:cs="Palatino Linotype"/>
        </w:rPr>
        <w:t>Así, el Manual para la Planeación, Programación y Presupuesto de Egresos Municipal para el Ejercicio Fiscal desde el año 2016 al 2024, contemplan que el Presupuesto es la estimación financiera anticipada de los ingresos y egresos del gobierno, necesarios para cumplir con los objetivos establecidos.</w:t>
      </w:r>
    </w:p>
    <w:p w14:paraId="461B28D8" w14:textId="77777777" w:rsidR="00BF22D2" w:rsidRPr="004827EF" w:rsidRDefault="00BF22D2">
      <w:pPr>
        <w:spacing w:line="360" w:lineRule="auto"/>
        <w:ind w:right="-93"/>
        <w:jc w:val="both"/>
        <w:rPr>
          <w:rFonts w:ascii="Palatino Linotype" w:eastAsia="Palatino Linotype" w:hAnsi="Palatino Linotype" w:cs="Palatino Linotype"/>
        </w:rPr>
      </w:pPr>
    </w:p>
    <w:p w14:paraId="1AFAB61F"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Por su parte el Manual Único de Contabilidad Gubernamental para las Dependencias y Entidades Públicas del Gobierno y Municipios del Estado De México del año 2016 al 2024, contempla las diferentes partidas en las que se divide el gasto y la información generada por área del ente público, como por ejemplo la partida 2000, la cual corresponde a:</w:t>
      </w:r>
    </w:p>
    <w:p w14:paraId="1F2979F6" w14:textId="77777777" w:rsidR="00BF22D2" w:rsidRPr="004827EF" w:rsidRDefault="00BF22D2">
      <w:pPr>
        <w:spacing w:line="360" w:lineRule="auto"/>
        <w:jc w:val="both"/>
        <w:rPr>
          <w:rFonts w:ascii="Palatino Linotype" w:eastAsia="Palatino Linotype" w:hAnsi="Palatino Linotype" w:cs="Palatino Linotype"/>
        </w:rPr>
      </w:pPr>
    </w:p>
    <w:p w14:paraId="15389CC6"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“2000 MATERIALES Y SUMINISTROS. Agrupa las asignaciones destinadas a la adquisición de toda clase de insumos y suministros requeridos para la prestación de bienes y </w:t>
      </w:r>
      <w:r w:rsidRPr="004827EF">
        <w:rPr>
          <w:rFonts w:ascii="Palatino Linotype" w:eastAsia="Palatino Linotype" w:hAnsi="Palatino Linotype" w:cs="Palatino Linotype"/>
          <w:b/>
          <w:i/>
          <w:sz w:val="22"/>
          <w:szCs w:val="22"/>
        </w:rPr>
        <w:t>servicios públicos</w:t>
      </w:r>
      <w:r w:rsidRPr="004827EF">
        <w:rPr>
          <w:rFonts w:ascii="Palatino Linotype" w:eastAsia="Palatino Linotype" w:hAnsi="Palatino Linotype" w:cs="Palatino Linotype"/>
          <w:i/>
          <w:sz w:val="22"/>
          <w:szCs w:val="22"/>
        </w:rPr>
        <w:t xml:space="preserve"> y para el desempeño de las actividades administrativas.”</w:t>
      </w:r>
    </w:p>
    <w:p w14:paraId="37E31991" w14:textId="77777777" w:rsidR="00BF22D2" w:rsidRPr="004827EF" w:rsidRDefault="00BF22D2">
      <w:pPr>
        <w:spacing w:line="360" w:lineRule="auto"/>
        <w:ind w:right="-93"/>
        <w:jc w:val="both"/>
        <w:rPr>
          <w:rFonts w:ascii="Palatino Linotype" w:eastAsia="Palatino Linotype" w:hAnsi="Palatino Linotype" w:cs="Palatino Linotype"/>
        </w:rPr>
      </w:pPr>
    </w:p>
    <w:p w14:paraId="1E58AE03" w14:textId="77777777" w:rsidR="00BF22D2" w:rsidRPr="004827EF" w:rsidRDefault="00D63F3D">
      <w:pPr>
        <w:spacing w:line="360" w:lineRule="auto"/>
        <w:ind w:right="-93"/>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La cual contempla las asignaciones presupuestales destinadas a servicios públicos, </w:t>
      </w:r>
      <w:proofErr w:type="gramStart"/>
      <w:r w:rsidRPr="004827EF">
        <w:rPr>
          <w:rFonts w:ascii="Palatino Linotype" w:eastAsia="Palatino Linotype" w:hAnsi="Palatino Linotype" w:cs="Palatino Linotype"/>
        </w:rPr>
        <w:t>que</w:t>
      </w:r>
      <w:proofErr w:type="gramEnd"/>
      <w:r w:rsidRPr="004827EF">
        <w:rPr>
          <w:rFonts w:ascii="Palatino Linotype" w:eastAsia="Palatino Linotype" w:hAnsi="Palatino Linotype" w:cs="Palatino Linotype"/>
        </w:rPr>
        <w:t xml:space="preserve"> conforme a lo señalado en el presente considerado, un servicio público es el de Limpia, recolección, traslado, tratamiento y disposición final de residuos sólidos.</w:t>
      </w:r>
    </w:p>
    <w:p w14:paraId="4B1876DD" w14:textId="77777777" w:rsidR="00BF22D2" w:rsidRPr="004827EF" w:rsidRDefault="00BF22D2">
      <w:pPr>
        <w:spacing w:line="360" w:lineRule="auto"/>
        <w:ind w:right="-93"/>
        <w:jc w:val="both"/>
        <w:rPr>
          <w:rFonts w:ascii="Palatino Linotype" w:eastAsia="Palatino Linotype" w:hAnsi="Palatino Linotype" w:cs="Palatino Linotype"/>
        </w:rPr>
      </w:pPr>
    </w:p>
    <w:p w14:paraId="0494EAF5" w14:textId="77777777" w:rsidR="00BF22D2" w:rsidRPr="004827EF" w:rsidRDefault="00D63F3D">
      <w:pPr>
        <w:spacing w:line="360" w:lineRule="auto"/>
        <w:ind w:right="-93"/>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También dentro del mencionado Manual, contempla las modificaciones realizadas al presupuesto de egresos aprobado. </w:t>
      </w:r>
    </w:p>
    <w:p w14:paraId="60067758" w14:textId="77777777" w:rsidR="00BF22D2" w:rsidRPr="004827EF" w:rsidRDefault="00BF22D2">
      <w:pPr>
        <w:spacing w:line="360" w:lineRule="auto"/>
        <w:ind w:right="-93"/>
        <w:jc w:val="both"/>
        <w:rPr>
          <w:rFonts w:ascii="Palatino Linotype" w:eastAsia="Palatino Linotype" w:hAnsi="Palatino Linotype" w:cs="Palatino Linotype"/>
        </w:rPr>
      </w:pPr>
    </w:p>
    <w:p w14:paraId="731D499A" w14:textId="77777777" w:rsidR="00BF22D2" w:rsidRPr="004827EF" w:rsidRDefault="00D63F3D">
      <w:pPr>
        <w:spacing w:line="360" w:lineRule="auto"/>
        <w:ind w:right="-93"/>
        <w:jc w:val="both"/>
        <w:rPr>
          <w:rFonts w:ascii="Palatino Linotype" w:eastAsia="Palatino Linotype" w:hAnsi="Palatino Linotype" w:cs="Palatino Linotype"/>
        </w:rPr>
      </w:pPr>
      <w:r w:rsidRPr="004827EF">
        <w:rPr>
          <w:rFonts w:ascii="Palatino Linotype" w:eastAsia="Palatino Linotype" w:hAnsi="Palatino Linotype" w:cs="Palatino Linotype"/>
        </w:rPr>
        <w:t>De una revisión a la página oficial del Ayuntamiento de Temoaya de su Información Pública de Oficio Mexiquense (IPOMEX), que observa que desde el año 2016 al 2024, se aprobó presupuesto para materiales y suministros, como se observa a continuación de manera de ejemplo:</w:t>
      </w:r>
    </w:p>
    <w:p w14:paraId="459D8298" w14:textId="77777777" w:rsidR="00BF22D2" w:rsidRPr="004827EF" w:rsidRDefault="00BF22D2">
      <w:pPr>
        <w:spacing w:line="360" w:lineRule="auto"/>
        <w:ind w:right="-93"/>
        <w:jc w:val="both"/>
        <w:rPr>
          <w:rFonts w:ascii="Palatino Linotype" w:eastAsia="Palatino Linotype" w:hAnsi="Palatino Linotype" w:cs="Palatino Linotype"/>
        </w:rPr>
      </w:pPr>
    </w:p>
    <w:p w14:paraId="46A7DF8E" w14:textId="77777777" w:rsidR="00BF22D2" w:rsidRPr="004827EF" w:rsidRDefault="00D63F3D">
      <w:pPr>
        <w:spacing w:line="360" w:lineRule="auto"/>
        <w:ind w:right="-93"/>
        <w:jc w:val="both"/>
        <w:rPr>
          <w:rFonts w:ascii="Palatino Linotype" w:eastAsia="Palatino Linotype" w:hAnsi="Palatino Linotype" w:cs="Palatino Linotype"/>
        </w:rPr>
      </w:pPr>
      <w:r w:rsidRPr="004827EF">
        <w:rPr>
          <w:rFonts w:ascii="Palatino Linotype" w:eastAsia="Palatino Linotype" w:hAnsi="Palatino Linotype" w:cs="Palatino Linotype"/>
          <w:noProof/>
          <w:lang w:val="es-MX"/>
        </w:rPr>
        <w:lastRenderedPageBreak/>
        <w:drawing>
          <wp:inline distT="0" distB="0" distL="0" distR="0" wp14:anchorId="1FB8DE20" wp14:editId="122E354A">
            <wp:extent cx="5616004" cy="5624916"/>
            <wp:effectExtent l="0" t="0" r="0" b="0"/>
            <wp:docPr id="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6004" cy="5624916"/>
                    </a:xfrm>
                    <a:prstGeom prst="rect">
                      <a:avLst/>
                    </a:prstGeom>
                    <a:ln/>
                  </pic:spPr>
                </pic:pic>
              </a:graphicData>
            </a:graphic>
          </wp:inline>
        </w:drawing>
      </w:r>
      <w:r w:rsidRPr="004827EF">
        <w:rPr>
          <w:noProof/>
          <w:lang w:val="es-MX"/>
        </w:rPr>
        <mc:AlternateContent>
          <mc:Choice Requires="wpg">
            <w:drawing>
              <wp:anchor distT="0" distB="0" distL="114300" distR="114300" simplePos="0" relativeHeight="251658240" behindDoc="0" locked="0" layoutInCell="1" hidden="0" allowOverlap="1" wp14:anchorId="11BF0C30" wp14:editId="694338AB">
                <wp:simplePos x="0" y="0"/>
                <wp:positionH relativeFrom="column">
                  <wp:posOffset>1549400</wp:posOffset>
                </wp:positionH>
                <wp:positionV relativeFrom="paragraph">
                  <wp:posOffset>5410200</wp:posOffset>
                </wp:positionV>
                <wp:extent cx="447091" cy="233918"/>
                <wp:effectExtent l="0" t="0" r="0" b="0"/>
                <wp:wrapNone/>
                <wp:docPr id="52" name="Flecha: hacia la izquierda 52"/>
                <wp:cNvGraphicFramePr/>
                <a:graphic xmlns:a="http://schemas.openxmlformats.org/drawingml/2006/main">
                  <a:graphicData uri="http://schemas.microsoft.com/office/word/2010/wordprocessingShape">
                    <wps:wsp>
                      <wps:cNvSpPr/>
                      <wps:spPr>
                        <a:xfrm>
                          <a:off x="5127217" y="3667804"/>
                          <a:ext cx="437566" cy="224393"/>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8B5BB10" w14:textId="77777777" w:rsidR="00BF22D2" w:rsidRDefault="00BF22D2">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1549400</wp:posOffset>
                </wp:positionH>
                <wp:positionV relativeFrom="paragraph">
                  <wp:posOffset>5410200</wp:posOffset>
                </wp:positionV>
                <wp:extent cx="447091" cy="233918"/>
                <wp:effectExtent b="0" l="0" r="0" t="0"/>
                <wp:wrapNone/>
                <wp:docPr id="52"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447091" cy="233918"/>
                        </a:xfrm>
                        <a:prstGeom prst="rect"/>
                        <a:ln/>
                      </pic:spPr>
                    </pic:pic>
                  </a:graphicData>
                </a:graphic>
              </wp:anchor>
            </w:drawing>
          </mc:Fallback>
        </mc:AlternateContent>
      </w:r>
    </w:p>
    <w:p w14:paraId="3138185D" w14:textId="77777777" w:rsidR="00BF22D2" w:rsidRPr="004827EF" w:rsidRDefault="00BF22D2">
      <w:pPr>
        <w:spacing w:line="360" w:lineRule="auto"/>
        <w:ind w:right="-93"/>
        <w:jc w:val="both"/>
        <w:rPr>
          <w:rFonts w:ascii="Palatino Linotype" w:eastAsia="Palatino Linotype" w:hAnsi="Palatino Linotype" w:cs="Palatino Linotype"/>
        </w:rPr>
      </w:pPr>
    </w:p>
    <w:p w14:paraId="500B7017" w14:textId="77777777" w:rsidR="00BF22D2" w:rsidRPr="004827EF" w:rsidRDefault="00D63F3D">
      <w:pPr>
        <w:spacing w:line="360" w:lineRule="auto"/>
        <w:ind w:right="-93"/>
        <w:jc w:val="both"/>
        <w:rPr>
          <w:rFonts w:ascii="Palatino Linotype" w:eastAsia="Palatino Linotype" w:hAnsi="Palatino Linotype" w:cs="Palatino Linotype"/>
        </w:rPr>
      </w:pPr>
      <w:r w:rsidRPr="004827EF">
        <w:rPr>
          <w:rFonts w:ascii="Palatino Linotype" w:eastAsia="Palatino Linotype" w:hAnsi="Palatino Linotype" w:cs="Palatino Linotype"/>
          <w:noProof/>
          <w:lang w:val="es-MX"/>
        </w:rPr>
        <w:lastRenderedPageBreak/>
        <w:drawing>
          <wp:inline distT="0" distB="0" distL="0" distR="0" wp14:anchorId="52E1F0E8" wp14:editId="40E3C6A1">
            <wp:extent cx="5612130" cy="3750310"/>
            <wp:effectExtent l="0" t="0" r="0" b="0"/>
            <wp:docPr id="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612130" cy="3750310"/>
                    </a:xfrm>
                    <a:prstGeom prst="rect">
                      <a:avLst/>
                    </a:prstGeom>
                    <a:ln/>
                  </pic:spPr>
                </pic:pic>
              </a:graphicData>
            </a:graphic>
          </wp:inline>
        </w:drawing>
      </w:r>
      <w:r w:rsidRPr="004827EF">
        <w:rPr>
          <w:noProof/>
          <w:lang w:val="es-MX"/>
        </w:rPr>
        <mc:AlternateContent>
          <mc:Choice Requires="wpg">
            <w:drawing>
              <wp:anchor distT="0" distB="0" distL="114300" distR="114300" simplePos="0" relativeHeight="251659264" behindDoc="0" locked="0" layoutInCell="1" hidden="0" allowOverlap="1" wp14:anchorId="7D47D9DD" wp14:editId="487DE926">
                <wp:simplePos x="0" y="0"/>
                <wp:positionH relativeFrom="column">
                  <wp:posOffset>2311400</wp:posOffset>
                </wp:positionH>
                <wp:positionV relativeFrom="paragraph">
                  <wp:posOffset>1066800</wp:posOffset>
                </wp:positionV>
                <wp:extent cx="357333" cy="278796"/>
                <wp:effectExtent l="0" t="0" r="0" b="0"/>
                <wp:wrapNone/>
                <wp:docPr id="53" name="Flecha: hacia la izquierda 53"/>
                <wp:cNvGraphicFramePr/>
                <a:graphic xmlns:a="http://schemas.openxmlformats.org/drawingml/2006/main">
                  <a:graphicData uri="http://schemas.microsoft.com/office/word/2010/wordprocessingShape">
                    <wps:wsp>
                      <wps:cNvSpPr/>
                      <wps:spPr>
                        <a:xfrm>
                          <a:off x="5172096" y="3645365"/>
                          <a:ext cx="347808" cy="269271"/>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A32E98D" w14:textId="77777777" w:rsidR="00BF22D2" w:rsidRDefault="00BF22D2">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1066800</wp:posOffset>
                </wp:positionV>
                <wp:extent cx="357333" cy="278796"/>
                <wp:effectExtent b="0" l="0" r="0" t="0"/>
                <wp:wrapNone/>
                <wp:docPr id="53"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357333" cy="278796"/>
                        </a:xfrm>
                        <a:prstGeom prst="rect"/>
                        <a:ln/>
                      </pic:spPr>
                    </pic:pic>
                  </a:graphicData>
                </a:graphic>
              </wp:anchor>
            </w:drawing>
          </mc:Fallback>
        </mc:AlternateContent>
      </w:r>
    </w:p>
    <w:p w14:paraId="61D8070F" w14:textId="77777777" w:rsidR="00BF22D2" w:rsidRPr="004827EF" w:rsidRDefault="00D63F3D">
      <w:pPr>
        <w:spacing w:line="360" w:lineRule="auto"/>
        <w:ind w:right="-93"/>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Establecido lo anterior, de la respuesta la  </w:t>
      </w:r>
      <w:r w:rsidRPr="004827EF">
        <w:rPr>
          <w:rFonts w:ascii="Palatino Linotype" w:eastAsia="Palatino Linotype" w:hAnsi="Palatino Linotype" w:cs="Palatino Linotype"/>
          <w:b/>
        </w:rPr>
        <w:t xml:space="preserve">SUJETO OBLIGADO </w:t>
      </w:r>
      <w:r w:rsidRPr="004827EF">
        <w:rPr>
          <w:rFonts w:ascii="Palatino Linotype" w:eastAsia="Palatino Linotype" w:hAnsi="Palatino Linotype" w:cs="Palatino Linotype"/>
        </w:rPr>
        <w:t xml:space="preserve">a través de su Dirección de Servicios Públicos Municipales, señaló que en cuanto al presupuesto y ajustes presupuestarios, le corresponde informarlo a la Tesorería Municipal, con lo cual se acredita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no siguió el procedimiento establecido en el artículo 162 de la Ley de Transparencia y Acceso a la Información Pública del Estado de México y Municipios, para la búsqueda de la información; de ahí que, el Ayuntamiento de Temoaya deberá seguir el procedimiento señalado en el presente considerando para hacer la búsqueda exhaustiva y razonable de la información solicitada, siendo de manera enunciativa mas no limitada la Tesorería Municipal que en términos de lo señalado por el artículo  95 fracciones V y VI Bis de la Ley Orgánica Municipal del Estado de México, que señala:</w:t>
      </w:r>
    </w:p>
    <w:p w14:paraId="3793A916" w14:textId="77777777" w:rsidR="00BF22D2" w:rsidRPr="004827EF" w:rsidRDefault="00BF22D2">
      <w:pPr>
        <w:spacing w:line="360" w:lineRule="auto"/>
        <w:ind w:right="-93"/>
        <w:jc w:val="both"/>
        <w:rPr>
          <w:rFonts w:ascii="Palatino Linotype" w:eastAsia="Palatino Linotype" w:hAnsi="Palatino Linotype" w:cs="Palatino Linotype"/>
        </w:rPr>
      </w:pPr>
    </w:p>
    <w:p w14:paraId="36CA7447"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lastRenderedPageBreak/>
        <w:t>“Artículo 95.- Son atribuciones del tesorero municipal:</w:t>
      </w:r>
    </w:p>
    <w:p w14:paraId="0FDBA5FB"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787B4E05"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2D6D0CBB"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4B8E1F99" w14:textId="77777777" w:rsidR="00BF22D2" w:rsidRPr="004827EF" w:rsidRDefault="00D63F3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VI Bis. Proporcionar para la formulación del proyecto de Presupuesto de Egresos Municipales la información financiera relativa a la solución o en su caso, el pago de los litigios laborales…”</w:t>
      </w:r>
    </w:p>
    <w:p w14:paraId="265F1D3B" w14:textId="77777777" w:rsidR="00BF22D2" w:rsidRPr="004827EF" w:rsidRDefault="00D63F3D">
      <w:pPr>
        <w:shd w:val="clear" w:color="auto" w:fill="FFFFFF"/>
        <w:spacing w:before="240" w:after="240" w:line="360" w:lineRule="auto"/>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rPr>
        <w:t xml:space="preserve">Por consiguiente, se determina que la respuesta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careció de los principios de congruencia y exhaustividad, como refuerzo de lo anterior, resulta crucial el Criterio 02/17, emitido por el Pleno del Instituto Nacional de Transparencia y Acceso a la Información y Protección de Datos Personales, expresado.</w:t>
      </w:r>
    </w:p>
    <w:p w14:paraId="29F12272"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Razones por las cuales lo procedente es ordenar, previa búsqueda exhaustiva y razonable, el documento o documentos en donde conste lo siguiente:</w:t>
      </w:r>
    </w:p>
    <w:p w14:paraId="22C34A3B" w14:textId="77777777" w:rsidR="00BF22D2" w:rsidRPr="004827EF" w:rsidRDefault="00D63F3D">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Presupuesto asignado al servicio de limpia, recolección y disposición final de residuos sólidos en los años 2016, 2017, 2018, 2019, 2020, 2021, 2022, 2023 y del primero de enero al veintisiete de agosto del año 2024, al mayor grado de desagregación que lo tenga, en el que se incluya la fuente de los recursos y variaciones o ajustes presupuestarios realizados en cada año. </w:t>
      </w:r>
    </w:p>
    <w:p w14:paraId="3903729B" w14:textId="77777777" w:rsidR="00BF22D2" w:rsidRPr="004827EF" w:rsidRDefault="00BF22D2">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54506E7D" w14:textId="77777777" w:rsidR="00BF22D2" w:rsidRPr="004827EF" w:rsidRDefault="00D63F3D">
      <w:pPr>
        <w:spacing w:line="360" w:lineRule="auto"/>
        <w:rPr>
          <w:rFonts w:ascii="Palatino Linotype" w:eastAsia="Palatino Linotype" w:hAnsi="Palatino Linotype" w:cs="Palatino Linotype"/>
        </w:rPr>
      </w:pPr>
      <w:r w:rsidRPr="004827EF">
        <w:rPr>
          <w:rFonts w:ascii="Palatino Linotype" w:eastAsia="Palatino Linotype" w:hAnsi="Palatino Linotype" w:cs="Palatino Linotype"/>
        </w:rPr>
        <w:t xml:space="preserve">En versión pública de ser procedente conforme a lo señalado por el considerando quinto del presente fallo. </w:t>
      </w:r>
    </w:p>
    <w:p w14:paraId="2CAB8482" w14:textId="77777777" w:rsidR="00BF22D2" w:rsidRPr="004827EF" w:rsidRDefault="00BF22D2">
      <w:pPr>
        <w:spacing w:line="360" w:lineRule="auto"/>
        <w:rPr>
          <w:rFonts w:ascii="Palatino Linotype" w:eastAsia="Palatino Linotype" w:hAnsi="Palatino Linotype" w:cs="Palatino Linotype"/>
        </w:rPr>
      </w:pPr>
    </w:p>
    <w:p w14:paraId="4B073390"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Para el caso de que en alguno o todos los años de los que se ordena la información, no se haya realizado variaciones o ajustes presupuestarios,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6E51E7F6" w14:textId="77777777" w:rsidR="00BF22D2" w:rsidRPr="004827EF" w:rsidRDefault="00D63F3D">
      <w:pPr>
        <w:spacing w:before="120" w:line="276" w:lineRule="auto"/>
        <w:ind w:left="851" w:right="902"/>
        <w:jc w:val="both"/>
        <w:rPr>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19</w:t>
      </w:r>
      <w:r w:rsidRPr="004827EF">
        <w:rPr>
          <w:rFonts w:ascii="Palatino Linotype" w:eastAsia="Palatino Linotype" w:hAnsi="Palatino Linotype" w:cs="Palatino Linotype"/>
          <w:i/>
          <w:sz w:val="22"/>
          <w:szCs w:val="22"/>
        </w:rPr>
        <w:t>…</w:t>
      </w:r>
    </w:p>
    <w:p w14:paraId="573CC19A" w14:textId="77777777" w:rsidR="00BF22D2" w:rsidRPr="004827EF" w:rsidRDefault="00D63F3D">
      <w:pPr>
        <w:spacing w:line="276" w:lineRule="auto"/>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0DC06E3" w14:textId="77777777" w:rsidR="00BF22D2" w:rsidRPr="004827EF" w:rsidRDefault="00BF22D2">
      <w:pPr>
        <w:spacing w:line="276" w:lineRule="auto"/>
        <w:ind w:left="851" w:right="902"/>
        <w:jc w:val="both"/>
      </w:pPr>
    </w:p>
    <w:p w14:paraId="2401196B"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5938E760" w14:textId="77777777" w:rsidR="00BF22D2" w:rsidRPr="004827EF" w:rsidRDefault="00BF22D2">
      <w:pPr>
        <w:spacing w:line="360" w:lineRule="auto"/>
        <w:jc w:val="both"/>
        <w:rPr>
          <w:rFonts w:ascii="Palatino Linotype" w:eastAsia="Palatino Linotype" w:hAnsi="Palatino Linotype" w:cs="Palatino Linotype"/>
        </w:rPr>
      </w:pPr>
    </w:p>
    <w:p w14:paraId="77112EFB" w14:textId="77777777" w:rsidR="00BF22D2" w:rsidRPr="004827EF" w:rsidRDefault="00D63F3D">
      <w:pPr>
        <w:spacing w:before="80" w:after="240" w:line="360" w:lineRule="auto"/>
        <w:jc w:val="both"/>
        <w:rPr>
          <w:rFonts w:ascii="Palatino Linotype" w:eastAsia="Palatino Linotype" w:hAnsi="Palatino Linotype" w:cs="Palatino Linotype"/>
        </w:rPr>
      </w:pPr>
      <w:bookmarkStart w:id="2" w:name="_heading=h.2et92p0" w:colFirst="0" w:colLast="0"/>
      <w:bookmarkEnd w:id="2"/>
      <w:r w:rsidRPr="004827EF">
        <w:rPr>
          <w:rFonts w:ascii="Palatino Linotype" w:eastAsia="Palatino Linotype" w:hAnsi="Palatino Linotype" w:cs="Palatino Linotype"/>
        </w:rPr>
        <w:t xml:space="preserve">Por otra parte, y en atención a que se ordena información desde el año 2016, es importante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sidRPr="004827EF">
        <w:rPr>
          <w:rFonts w:ascii="Palatino Linotype" w:eastAsia="Palatino Linotype" w:hAnsi="Palatino Linotype" w:cs="Palatino Linotype"/>
        </w:rPr>
        <w:lastRenderedPageBreak/>
        <w:t>adquirida, transformada y contar con sistemas de información, ágiles y eficientes”, al tenor de lo siguiente:</w:t>
      </w:r>
    </w:p>
    <w:p w14:paraId="69443C9B"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“Cuarto.</w:t>
      </w:r>
    </w:p>
    <w:p w14:paraId="79D5F606"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204C3DB7"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27E860EF"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14:paraId="18DB874B"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38E21340"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54095145"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047FA7CD"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30550DE2"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X. Ciclo vital del documento: </w:t>
      </w:r>
      <w:proofErr w:type="gramStart"/>
      <w:r w:rsidRPr="004827EF">
        <w:rPr>
          <w:rFonts w:ascii="Palatino Linotype" w:eastAsia="Palatino Linotype" w:hAnsi="Palatino Linotype" w:cs="Palatino Linotype"/>
          <w:i/>
          <w:sz w:val="22"/>
          <w:szCs w:val="22"/>
        </w:rPr>
        <w:t>La etapas</w:t>
      </w:r>
      <w:proofErr w:type="gramEnd"/>
      <w:r w:rsidRPr="004827EF">
        <w:rPr>
          <w:rFonts w:ascii="Palatino Linotype" w:eastAsia="Palatino Linotype" w:hAnsi="Palatino Linotype" w:cs="Palatino Linotype"/>
          <w:i/>
          <w:sz w:val="22"/>
          <w:szCs w:val="22"/>
        </w:rPr>
        <w:t xml:space="preserve"> de los documentos desde su producción o recepción hasta su baja o transferencia a un archivo histórico;</w:t>
      </w:r>
    </w:p>
    <w:p w14:paraId="4A026999"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5999EBE5"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0FB9DD1" w14:textId="77777777" w:rsidR="00BF22D2" w:rsidRPr="004827EF" w:rsidRDefault="00BF22D2">
      <w:pPr>
        <w:spacing w:before="240" w:after="240"/>
        <w:ind w:left="567" w:right="616"/>
        <w:jc w:val="both"/>
        <w:rPr>
          <w:rFonts w:ascii="Palatino Linotype" w:eastAsia="Palatino Linotype" w:hAnsi="Palatino Linotype" w:cs="Palatino Linotype"/>
          <w:i/>
          <w:sz w:val="22"/>
          <w:szCs w:val="22"/>
        </w:rPr>
      </w:pPr>
    </w:p>
    <w:p w14:paraId="4FE2046F"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2CD1084B"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6A37EEC0" w14:textId="77777777" w:rsidR="00BF22D2" w:rsidRPr="004827EF" w:rsidRDefault="00D63F3D">
      <w:pPr>
        <w:spacing w:before="240" w:after="240"/>
        <w:ind w:left="567" w:right="90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20.</w:t>
      </w:r>
      <w:r w:rsidRPr="004827EF">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7ECF1CDB"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6A92E6FB"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4827EF">
        <w:rPr>
          <w:rFonts w:ascii="Palatino Linotype" w:eastAsia="Palatino Linotype" w:hAnsi="Palatino Linotype" w:cs="Palatino Linotype"/>
          <w:i/>
          <w:sz w:val="22"/>
          <w:szCs w:val="22"/>
        </w:rPr>
        <w:t>precaucional</w:t>
      </w:r>
      <w:proofErr w:type="spellEnd"/>
      <w:r w:rsidRPr="004827EF">
        <w:rPr>
          <w:rFonts w:ascii="Palatino Linotype" w:eastAsia="Palatino Linotype" w:hAnsi="Palatino Linotype" w:cs="Palatino Linotype"/>
          <w:i/>
          <w:sz w:val="22"/>
          <w:szCs w:val="22"/>
        </w:rPr>
        <w:t xml:space="preserve"> de éstos en el Archivo de Concentración.</w:t>
      </w:r>
    </w:p>
    <w:p w14:paraId="20B41AE7"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Para determinar el plazo de conservación </w:t>
      </w:r>
      <w:proofErr w:type="spellStart"/>
      <w:r w:rsidRPr="004827EF">
        <w:rPr>
          <w:rFonts w:ascii="Palatino Linotype" w:eastAsia="Palatino Linotype" w:hAnsi="Palatino Linotype" w:cs="Palatino Linotype"/>
          <w:i/>
          <w:sz w:val="22"/>
          <w:szCs w:val="22"/>
        </w:rPr>
        <w:t>precaucional</w:t>
      </w:r>
      <w:proofErr w:type="spellEnd"/>
      <w:r w:rsidRPr="004827EF">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3878E317" w14:textId="77777777" w:rsidR="00BF22D2" w:rsidRPr="004827EF" w:rsidRDefault="00D63F3D">
      <w:pPr>
        <w:spacing w:before="240" w:after="240"/>
        <w:ind w:left="567" w:right="616"/>
        <w:jc w:val="both"/>
        <w:rPr>
          <w:rFonts w:ascii="Palatino Linotype" w:eastAsia="Palatino Linotype" w:hAnsi="Palatino Linotype" w:cs="Palatino Linotype"/>
          <w:b/>
          <w:i/>
          <w:sz w:val="22"/>
          <w:szCs w:val="22"/>
          <w:u w:val="single"/>
        </w:rPr>
      </w:pPr>
      <w:r w:rsidRPr="004827EF">
        <w:rPr>
          <w:rFonts w:ascii="Palatino Linotype" w:eastAsia="Palatino Linotype" w:hAnsi="Palatino Linotype" w:cs="Palatino Linotype"/>
          <w:b/>
          <w:i/>
          <w:sz w:val="22"/>
          <w:szCs w:val="22"/>
          <w:u w:val="single"/>
        </w:rPr>
        <w:t>I. 6 años para expedientes con información administrativa;</w:t>
      </w:r>
    </w:p>
    <w:p w14:paraId="10ACB4A9"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 6 años como mínimo para expedientes con información fiscal y presupuestal contable;</w:t>
      </w:r>
    </w:p>
    <w:p w14:paraId="4C9B7FED"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lastRenderedPageBreak/>
        <w:t>III. 12 años como mínimo para expedientes con información jurídico-legal, obra pública y activo fijo; y</w:t>
      </w:r>
    </w:p>
    <w:p w14:paraId="04877A59"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5C6D543D" w14:textId="77777777" w:rsidR="00BF22D2" w:rsidRPr="004827EF" w:rsidRDefault="00D63F3D">
      <w:pPr>
        <w:spacing w:before="240" w:after="240"/>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4827EF">
        <w:rPr>
          <w:rFonts w:ascii="Palatino Linotype" w:eastAsia="Palatino Linotype" w:hAnsi="Palatino Linotype" w:cs="Palatino Linotype"/>
          <w:i/>
          <w:sz w:val="22"/>
          <w:szCs w:val="22"/>
        </w:rPr>
        <w:t>precaucional</w:t>
      </w:r>
      <w:proofErr w:type="spellEnd"/>
      <w:r w:rsidRPr="004827EF">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694592EE" w14:textId="77777777" w:rsidR="00BF22D2" w:rsidRPr="004827EF" w:rsidRDefault="00D63F3D">
      <w:pPr>
        <w:tabs>
          <w:tab w:val="left" w:pos="7371"/>
        </w:tabs>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4827EF">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4827EF">
        <w:rPr>
          <w:rFonts w:ascii="Palatino Linotype" w:eastAsia="Palatino Linotype" w:hAnsi="Palatino Linotype" w:cs="Palatino Linotype"/>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w:t>
      </w:r>
    </w:p>
    <w:p w14:paraId="2D22AE72" w14:textId="77777777" w:rsidR="00BF22D2" w:rsidRPr="004827EF" w:rsidRDefault="00D63F3D">
      <w:pPr>
        <w:tabs>
          <w:tab w:val="left" w:pos="7371"/>
        </w:tabs>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Por consiguiente, para el caso en el que derivado de la búsqueda exhaustiva y razonable que se ordena, se determine que la información solicitada no obra en sus archivos, por cuestiones de baja documental, lo procedente es emitir una declaratoria formal de la inexistencia de la información, acompañada del acta de la baja documental que acredite la legal destrucción de la información solicitada. </w:t>
      </w:r>
    </w:p>
    <w:p w14:paraId="268B1A2A" w14:textId="77777777" w:rsidR="00BF22D2" w:rsidRPr="004827EF" w:rsidRDefault="00D63F3D">
      <w:pPr>
        <w:tabs>
          <w:tab w:val="left" w:pos="7371"/>
        </w:tabs>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Lo anterior, en términos de lo que señala el artículo 19, tercer párrafo, 49, fracciones II y XIII; 169 y 170 de la Ley de Transparencia y Acceso a la Información Pública del Estado de México y Municipios, que se leen como sigue:</w:t>
      </w:r>
    </w:p>
    <w:p w14:paraId="4177936D"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19.</w:t>
      </w:r>
      <w:r w:rsidRPr="004827EF">
        <w:rPr>
          <w:rFonts w:ascii="Palatino Linotype" w:eastAsia="Palatino Linotype" w:hAnsi="Palatino Linotype" w:cs="Palatino Linotype"/>
          <w:i/>
          <w:sz w:val="22"/>
          <w:szCs w:val="22"/>
        </w:rPr>
        <w:t xml:space="preserve"> (…)</w:t>
      </w:r>
    </w:p>
    <w:p w14:paraId="235F9218"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4827EF">
        <w:rPr>
          <w:rFonts w:ascii="Palatino Linotype" w:eastAsia="Palatino Linotype" w:hAnsi="Palatino Linotype" w:cs="Palatino Linotype"/>
          <w:i/>
          <w:sz w:val="22"/>
          <w:szCs w:val="22"/>
        </w:rPr>
        <w:t>, debidamente fundado y motivado, en el que detalle las razones del por qué no obra en sus archivos.”</w:t>
      </w:r>
    </w:p>
    <w:p w14:paraId="24745FDD"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49.</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Los Comités de Transparencia</w:t>
      </w:r>
      <w:r w:rsidRPr="004827EF">
        <w:rPr>
          <w:rFonts w:ascii="Palatino Linotype" w:eastAsia="Palatino Linotype" w:hAnsi="Palatino Linotype" w:cs="Palatino Linotype"/>
          <w:i/>
          <w:sz w:val="22"/>
          <w:szCs w:val="22"/>
        </w:rPr>
        <w:t xml:space="preserve"> tendrán las siguientes </w:t>
      </w:r>
      <w:r w:rsidRPr="004827EF">
        <w:rPr>
          <w:rFonts w:ascii="Palatino Linotype" w:eastAsia="Palatino Linotype" w:hAnsi="Palatino Linotype" w:cs="Palatino Linotype"/>
          <w:b/>
          <w:i/>
          <w:sz w:val="22"/>
          <w:szCs w:val="22"/>
        </w:rPr>
        <w:t>atribuciones</w:t>
      </w:r>
      <w:r w:rsidRPr="004827EF">
        <w:rPr>
          <w:rFonts w:ascii="Palatino Linotype" w:eastAsia="Palatino Linotype" w:hAnsi="Palatino Linotype" w:cs="Palatino Linotype"/>
          <w:i/>
          <w:sz w:val="22"/>
          <w:szCs w:val="22"/>
        </w:rPr>
        <w:t>:</w:t>
      </w:r>
    </w:p>
    <w:p w14:paraId="1F8E5D28"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b/>
          <w:i/>
          <w:sz w:val="22"/>
          <w:szCs w:val="22"/>
        </w:rPr>
        <w:t>II.</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 xml:space="preserve">Confirmar, modificar o revocar las determinaciones </w:t>
      </w:r>
      <w:proofErr w:type="gramStart"/>
      <w:r w:rsidRPr="004827EF">
        <w:rPr>
          <w:rFonts w:ascii="Palatino Linotype" w:eastAsia="Palatino Linotype" w:hAnsi="Palatino Linotype" w:cs="Palatino Linotype"/>
          <w:b/>
          <w:i/>
          <w:sz w:val="22"/>
          <w:szCs w:val="22"/>
        </w:rPr>
        <w:t>que</w:t>
      </w:r>
      <w:proofErr w:type="gramEnd"/>
      <w:r w:rsidRPr="004827EF">
        <w:rPr>
          <w:rFonts w:ascii="Palatino Linotype" w:eastAsia="Palatino Linotype" w:hAnsi="Palatino Linotype" w:cs="Palatino Linotype"/>
          <w:b/>
          <w:i/>
          <w:sz w:val="22"/>
          <w:szCs w:val="22"/>
        </w:rPr>
        <w:t xml:space="preserve"> en materia de</w:t>
      </w:r>
      <w:r w:rsidRPr="004827EF">
        <w:rPr>
          <w:rFonts w:ascii="Palatino Linotype" w:eastAsia="Palatino Linotype" w:hAnsi="Palatino Linotype" w:cs="Palatino Linotype"/>
          <w:i/>
          <w:sz w:val="22"/>
          <w:szCs w:val="22"/>
        </w:rPr>
        <w:t xml:space="preserve"> ampliación del plazo de respuesta, clasificación de la información y </w:t>
      </w:r>
      <w:r w:rsidRPr="004827EF">
        <w:rPr>
          <w:rFonts w:ascii="Palatino Linotype" w:eastAsia="Palatino Linotype" w:hAnsi="Palatino Linotype" w:cs="Palatino Linotype"/>
          <w:b/>
          <w:i/>
          <w:sz w:val="22"/>
          <w:szCs w:val="22"/>
        </w:rPr>
        <w:t>declaración de inexistencia</w:t>
      </w:r>
      <w:r w:rsidRPr="004827EF">
        <w:rPr>
          <w:rFonts w:ascii="Palatino Linotype" w:eastAsia="Palatino Linotype" w:hAnsi="Palatino Linotype" w:cs="Palatino Linotype"/>
          <w:i/>
          <w:sz w:val="22"/>
          <w:szCs w:val="22"/>
        </w:rPr>
        <w:t xml:space="preserve"> o de incompetencia realicen los titulares de las áreas de los sujetos obligados;</w:t>
      </w:r>
    </w:p>
    <w:p w14:paraId="33988007"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b/>
          <w:i/>
          <w:sz w:val="22"/>
          <w:szCs w:val="22"/>
        </w:rPr>
        <w:t>XIII</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Dictaminar las declaratorias de inexistencia de la información</w:t>
      </w:r>
      <w:r w:rsidRPr="004827EF">
        <w:rPr>
          <w:rFonts w:ascii="Palatino Linotype" w:eastAsia="Palatino Linotype" w:hAnsi="Palatino Linotype" w:cs="Palatino Linotype"/>
          <w:i/>
          <w:sz w:val="22"/>
          <w:szCs w:val="22"/>
        </w:rPr>
        <w:t xml:space="preserve"> que les remitan las unidades administrativas y resolver en consecuencia…”</w:t>
      </w:r>
    </w:p>
    <w:p w14:paraId="7C7464BB"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169</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Cuando la información no se encuentre en los archivos del sujeto obligado, el Comité de Transparencia</w:t>
      </w:r>
      <w:r w:rsidRPr="004827EF">
        <w:rPr>
          <w:rFonts w:ascii="Palatino Linotype" w:eastAsia="Palatino Linotype" w:hAnsi="Palatino Linotype" w:cs="Palatino Linotype"/>
          <w:i/>
          <w:sz w:val="22"/>
          <w:szCs w:val="22"/>
        </w:rPr>
        <w:t>: </w:t>
      </w:r>
    </w:p>
    <w:p w14:paraId="1849521F"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b/>
          <w:i/>
          <w:sz w:val="22"/>
          <w:szCs w:val="22"/>
        </w:rPr>
        <w:t>I.</w:t>
      </w:r>
      <w:r w:rsidRPr="004827EF">
        <w:rPr>
          <w:rFonts w:ascii="Palatino Linotype" w:eastAsia="Palatino Linotype" w:hAnsi="Palatino Linotype" w:cs="Palatino Linotype"/>
          <w:i/>
          <w:sz w:val="22"/>
          <w:szCs w:val="22"/>
        </w:rPr>
        <w:t xml:space="preserve"> Analizará el caso y tomará las medidas necesarias para localizar la información; </w:t>
      </w:r>
    </w:p>
    <w:p w14:paraId="4FE03039"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b/>
          <w:i/>
          <w:sz w:val="22"/>
          <w:szCs w:val="22"/>
        </w:rPr>
        <w:t>II</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Expedirá una resolución que confirme la inexistencia del documento</w:t>
      </w:r>
      <w:r w:rsidRPr="004827EF">
        <w:rPr>
          <w:rFonts w:ascii="Palatino Linotype" w:eastAsia="Palatino Linotype" w:hAnsi="Palatino Linotype" w:cs="Palatino Linotype"/>
          <w:i/>
          <w:sz w:val="22"/>
          <w:szCs w:val="22"/>
        </w:rPr>
        <w:t>; </w:t>
      </w:r>
    </w:p>
    <w:p w14:paraId="66A6E70D"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b/>
          <w:i/>
          <w:sz w:val="22"/>
          <w:szCs w:val="22"/>
        </w:rPr>
        <w:t>III.</w:t>
      </w:r>
      <w:r w:rsidRPr="004827EF">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BFAD097"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b/>
          <w:i/>
          <w:sz w:val="22"/>
          <w:szCs w:val="22"/>
        </w:rPr>
        <w:t>IV.</w:t>
      </w:r>
      <w:r w:rsidRPr="004827EF">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5020F5CA"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i/>
          <w:sz w:val="22"/>
          <w:szCs w:val="22"/>
        </w:rPr>
        <w:lastRenderedPageBreak/>
        <w:t>La Unidad de Transparencia deberá notificarlo al solicitante por escrito, en un plazo que no exceda de quince días hábiles contados a partir del día siguiente a la presentación de la solicitud. </w:t>
      </w:r>
    </w:p>
    <w:p w14:paraId="1B82246C"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ABBF522" w14:textId="77777777" w:rsidR="00BF22D2" w:rsidRPr="004827EF" w:rsidRDefault="00D63F3D">
      <w:pPr>
        <w:pBdr>
          <w:top w:val="nil"/>
          <w:left w:val="nil"/>
          <w:bottom w:val="nil"/>
          <w:right w:val="nil"/>
          <w:between w:val="nil"/>
        </w:pBdr>
        <w:spacing w:before="120" w:after="120"/>
        <w:ind w:left="851" w:right="902"/>
        <w:jc w:val="both"/>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170.</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que permitan al solicitante tener la certeza de que se utilizó un criterio de búsqueda exhaustivo</w:t>
      </w:r>
      <w:r w:rsidRPr="004827EF">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47B81881" w14:textId="77777777" w:rsidR="00BF22D2" w:rsidRPr="004827EF" w:rsidRDefault="00BF22D2">
      <w:pPr>
        <w:pBdr>
          <w:top w:val="nil"/>
          <w:left w:val="nil"/>
          <w:bottom w:val="nil"/>
          <w:right w:val="nil"/>
          <w:between w:val="nil"/>
        </w:pBdr>
        <w:spacing w:before="120" w:after="120"/>
        <w:ind w:right="902"/>
        <w:jc w:val="both"/>
      </w:pPr>
    </w:p>
    <w:p w14:paraId="7C90F011" w14:textId="77777777" w:rsidR="00BF22D2" w:rsidRPr="004827EF" w:rsidRDefault="00D63F3D">
      <w:pPr>
        <w:pBdr>
          <w:top w:val="nil"/>
          <w:left w:val="nil"/>
          <w:bottom w:val="nil"/>
          <w:right w:val="nil"/>
          <w:between w:val="nil"/>
        </w:pBdr>
        <w:spacing w:before="120" w:after="12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t>Asimismo, el Instituto Nacional de Transparencia, Acceso a la Información y Protección de Datos Personales en su criterio SO/014/2019, señala lo siguiente respecto a la baja documental:</w:t>
      </w:r>
    </w:p>
    <w:p w14:paraId="5F56A8E5" w14:textId="77777777" w:rsidR="00BF22D2" w:rsidRPr="004827EF" w:rsidRDefault="00D63F3D">
      <w:pPr>
        <w:ind w:left="567" w:right="902"/>
        <w:jc w:val="both"/>
        <w:rPr>
          <w:rFonts w:ascii="Palatino Linotype" w:eastAsia="Palatino Linotype" w:hAnsi="Palatino Linotype" w:cs="Palatino Linotype"/>
          <w:i/>
        </w:rPr>
      </w:pPr>
      <w:r w:rsidRPr="004827EF">
        <w:rPr>
          <w:rFonts w:ascii="Palatino Linotype" w:eastAsia="Palatino Linotype" w:hAnsi="Palatino Linotype" w:cs="Palatino Linotype"/>
          <w:b/>
          <w:i/>
          <w:sz w:val="22"/>
          <w:szCs w:val="22"/>
        </w:rPr>
        <w:t xml:space="preserve">“Baja documental. Las dependencias y entidades deben proporcionar los particulares el documento que acredite dicha situación. </w:t>
      </w:r>
      <w:r w:rsidRPr="004827EF">
        <w:rPr>
          <w:rFonts w:ascii="Palatino Linotype" w:eastAsia="Palatino Linotype" w:hAnsi="Palatino Linotype" w:cs="Palatino Linotype"/>
          <w:i/>
          <w:sz w:val="22"/>
          <w:szCs w:val="22"/>
        </w:rPr>
        <w:t>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 </w:t>
      </w:r>
    </w:p>
    <w:p w14:paraId="1A9A489D" w14:textId="77777777" w:rsidR="00BF22D2" w:rsidRPr="004827EF" w:rsidRDefault="00BF22D2">
      <w:pPr>
        <w:ind w:left="567" w:right="902"/>
        <w:jc w:val="both"/>
        <w:rPr>
          <w:rFonts w:ascii="Palatino Linotype" w:eastAsia="Palatino Linotype" w:hAnsi="Palatino Linotype" w:cs="Palatino Linotype"/>
          <w:i/>
          <w:sz w:val="22"/>
          <w:szCs w:val="22"/>
        </w:rPr>
      </w:pPr>
    </w:p>
    <w:p w14:paraId="2BE06655" w14:textId="77777777" w:rsidR="00BF22D2" w:rsidRPr="004827EF" w:rsidRDefault="00D63F3D">
      <w:pPr>
        <w:ind w:left="567" w:right="902"/>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Precedentes:</w:t>
      </w:r>
    </w:p>
    <w:p w14:paraId="5AC2A6AA" w14:textId="77777777" w:rsidR="00BF22D2" w:rsidRPr="004827EF" w:rsidRDefault="00D63F3D">
      <w:pPr>
        <w:numPr>
          <w:ilvl w:val="0"/>
          <w:numId w:val="1"/>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Acceso a la información pública. 4650/07. Sesión del 06 de febrero de 2008. Votación por unanimidad. Sin votos disidentes o particulares. Instituto de Seguridad y Servicios Sociales de los Trabajadores del Estado. Comisionado Ponente Alonso Lujambio Irazábal.</w:t>
      </w:r>
    </w:p>
    <w:p w14:paraId="7880B526" w14:textId="77777777" w:rsidR="00BF22D2" w:rsidRPr="004827EF" w:rsidRDefault="00D63F3D">
      <w:pPr>
        <w:numPr>
          <w:ilvl w:val="0"/>
          <w:numId w:val="1"/>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Acceso a la información pública. 0908/08. Sesión del 14 de mayo de 2008. Votación por unanimidad. Sin votos disidentes o particulares. Instituto Mexicano del Seguro Social. Comisionado Ponente Alonso Lujambio Irazábal.</w:t>
      </w:r>
    </w:p>
    <w:p w14:paraId="7CB27A7F" w14:textId="77777777" w:rsidR="00BF22D2" w:rsidRPr="004827EF" w:rsidRDefault="00D63F3D">
      <w:pPr>
        <w:numPr>
          <w:ilvl w:val="0"/>
          <w:numId w:val="1"/>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lastRenderedPageBreak/>
        <w:t xml:space="preserve">Acceso a la información pública. 4961/08. Sesión del 04 de febrero de 2009. Votación por unanimidad. Sin votos disidentes o particulares. Instituto Mexicano del Seguro Social. Comisionado Ponente Alonso Gómez-Robledo V. </w:t>
      </w:r>
    </w:p>
    <w:p w14:paraId="6612588A" w14:textId="77777777" w:rsidR="00BF22D2" w:rsidRPr="004827EF" w:rsidRDefault="00D63F3D">
      <w:pPr>
        <w:numPr>
          <w:ilvl w:val="0"/>
          <w:numId w:val="1"/>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Acceso a la información pública. 0820/09. Sesión del 25 de marzo de 2009. Votación por unanimidad. Sin votos disidentes o particulares. Secretaría de Agricultura, Ganadería, Desarrollo Rural, Pesca y Alimentación. Comisionada Ponente Jacqueline </w:t>
      </w:r>
      <w:proofErr w:type="spellStart"/>
      <w:r w:rsidRPr="004827EF">
        <w:rPr>
          <w:rFonts w:ascii="Palatino Linotype" w:eastAsia="Palatino Linotype" w:hAnsi="Palatino Linotype" w:cs="Palatino Linotype"/>
          <w:i/>
          <w:sz w:val="22"/>
          <w:szCs w:val="22"/>
        </w:rPr>
        <w:t>Peschard</w:t>
      </w:r>
      <w:proofErr w:type="spellEnd"/>
      <w:r w:rsidRPr="004827EF">
        <w:rPr>
          <w:rFonts w:ascii="Palatino Linotype" w:eastAsia="Palatino Linotype" w:hAnsi="Palatino Linotype" w:cs="Palatino Linotype"/>
          <w:i/>
          <w:sz w:val="22"/>
          <w:szCs w:val="22"/>
        </w:rPr>
        <w:t xml:space="preserve"> Mariscal.</w:t>
      </w:r>
    </w:p>
    <w:p w14:paraId="68DB9074" w14:textId="77777777" w:rsidR="00BF22D2" w:rsidRPr="004827EF" w:rsidRDefault="00D63F3D">
      <w:pPr>
        <w:numPr>
          <w:ilvl w:val="0"/>
          <w:numId w:val="1"/>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Acceso a la información pública. 3928/09. Sesión del 14 de octubre de 2009. Votación por unanimidad. Sin votos disidentes o particulares. Administración Federal de Servicios Educativos en el Distrito Federal. Comisionada Ponente María </w:t>
      </w:r>
      <w:proofErr w:type="spellStart"/>
      <w:r w:rsidRPr="004827EF">
        <w:rPr>
          <w:rFonts w:ascii="Palatino Linotype" w:eastAsia="Palatino Linotype" w:hAnsi="Palatino Linotype" w:cs="Palatino Linotype"/>
          <w:i/>
          <w:sz w:val="22"/>
          <w:szCs w:val="22"/>
        </w:rPr>
        <w:t>Marván</w:t>
      </w:r>
      <w:proofErr w:type="spellEnd"/>
      <w:r w:rsidRPr="004827EF">
        <w:rPr>
          <w:rFonts w:ascii="Palatino Linotype" w:eastAsia="Palatino Linotype" w:hAnsi="Palatino Linotype" w:cs="Palatino Linotype"/>
          <w:i/>
          <w:sz w:val="22"/>
          <w:szCs w:val="22"/>
        </w:rPr>
        <w:t xml:space="preserve"> Laborde.”</w:t>
      </w:r>
    </w:p>
    <w:p w14:paraId="4A41A8AD" w14:textId="77777777" w:rsidR="00BF22D2" w:rsidRPr="004827EF" w:rsidRDefault="00D63F3D">
      <w:pPr>
        <w:pBdr>
          <w:top w:val="nil"/>
          <w:left w:val="nil"/>
          <w:bottom w:val="nil"/>
          <w:right w:val="nil"/>
          <w:between w:val="nil"/>
        </w:pBdr>
        <w:spacing w:before="240" w:after="240" w:line="360" w:lineRule="auto"/>
        <w:jc w:val="both"/>
      </w:pPr>
      <w:r w:rsidRPr="004827EF">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xml:space="preserve"> y comprobar la inexistencia de la información.</w:t>
      </w:r>
    </w:p>
    <w:p w14:paraId="53F0DC53" w14:textId="77777777" w:rsidR="00BF22D2" w:rsidRPr="004827EF" w:rsidRDefault="00D63F3D">
      <w:pPr>
        <w:pBdr>
          <w:top w:val="nil"/>
          <w:left w:val="nil"/>
          <w:bottom w:val="nil"/>
          <w:right w:val="nil"/>
          <w:between w:val="nil"/>
        </w:pBdr>
        <w:spacing w:line="360" w:lineRule="auto"/>
        <w:jc w:val="both"/>
      </w:pPr>
      <w:r w:rsidRPr="004827EF">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5A413012" w14:textId="77777777" w:rsidR="00BF22D2" w:rsidRPr="004827EF" w:rsidRDefault="00D63F3D">
      <w:pPr>
        <w:pBdr>
          <w:top w:val="nil"/>
          <w:left w:val="nil"/>
          <w:bottom w:val="nil"/>
          <w:right w:val="nil"/>
          <w:between w:val="nil"/>
        </w:pBdr>
        <w:ind w:left="851" w:right="902"/>
        <w:jc w:val="both"/>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INEXISTENCIA. DECLARATORIA DE LA. ALCANCES Y PROCEDIMIENTOS</w:t>
      </w:r>
      <w:r w:rsidRPr="004827EF">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w:t>
      </w:r>
      <w:r w:rsidRPr="004827EF">
        <w:rPr>
          <w:rFonts w:ascii="Palatino Linotype" w:eastAsia="Palatino Linotype" w:hAnsi="Palatino Linotype" w:cs="Palatino Linotype"/>
          <w:i/>
          <w:sz w:val="22"/>
          <w:szCs w:val="22"/>
        </w:rPr>
        <w:lastRenderedPageBreak/>
        <w:t>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11DE0D2A" w14:textId="77777777" w:rsidR="00BF22D2" w:rsidRPr="004827EF" w:rsidRDefault="00D63F3D">
      <w:pPr>
        <w:pBdr>
          <w:top w:val="nil"/>
          <w:left w:val="nil"/>
          <w:bottom w:val="nil"/>
          <w:right w:val="nil"/>
          <w:between w:val="nil"/>
        </w:pBdr>
        <w:ind w:left="851" w:right="902"/>
        <w:jc w:val="both"/>
      </w:pPr>
      <w:r w:rsidRPr="004827EF">
        <w:rPr>
          <w:rFonts w:ascii="Palatino Linotype" w:eastAsia="Palatino Linotype" w:hAnsi="Palatino Linotype" w:cs="Palatino Linotype"/>
          <w:i/>
          <w:sz w:val="22"/>
          <w:szCs w:val="22"/>
        </w:rPr>
        <w:t>Bajo el entendido de que dicha búsqueda exhaustiva permitirá dos determinaciones: </w:t>
      </w:r>
    </w:p>
    <w:p w14:paraId="0EABC9F2" w14:textId="77777777" w:rsidR="00BF22D2" w:rsidRPr="004827EF" w:rsidRDefault="00D63F3D">
      <w:pPr>
        <w:pBdr>
          <w:top w:val="nil"/>
          <w:left w:val="nil"/>
          <w:bottom w:val="nil"/>
          <w:right w:val="nil"/>
          <w:between w:val="nil"/>
        </w:pBdr>
        <w:ind w:left="851" w:right="902"/>
        <w:jc w:val="both"/>
      </w:pPr>
      <w:r w:rsidRPr="004827EF">
        <w:rPr>
          <w:rFonts w:ascii="Palatino Linotype" w:eastAsia="Palatino Linotype" w:hAnsi="Palatino Linotype" w:cs="Palatino Linotype"/>
          <w:b/>
          <w:i/>
          <w:sz w:val="22"/>
          <w:szCs w:val="22"/>
        </w:rPr>
        <w:t>1ª)</w:t>
      </w:r>
      <w:r w:rsidRPr="004827EF">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6F6EF98A" w14:textId="77777777" w:rsidR="00BF22D2" w:rsidRPr="004827EF" w:rsidRDefault="00D63F3D">
      <w:pPr>
        <w:pBdr>
          <w:top w:val="nil"/>
          <w:left w:val="nil"/>
          <w:bottom w:val="nil"/>
          <w:right w:val="nil"/>
          <w:between w:val="nil"/>
        </w:pBdr>
        <w:ind w:left="851" w:right="902"/>
        <w:jc w:val="both"/>
      </w:pPr>
      <w:r w:rsidRPr="004827EF">
        <w:rPr>
          <w:rFonts w:ascii="Palatino Linotype" w:eastAsia="Palatino Linotype" w:hAnsi="Palatino Linotype" w:cs="Palatino Linotype"/>
          <w:b/>
          <w:i/>
          <w:sz w:val="22"/>
          <w:szCs w:val="22"/>
        </w:rPr>
        <w:t>2ª)</w:t>
      </w:r>
      <w:r w:rsidRPr="004827EF">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4827EF">
        <w:rPr>
          <w:rFonts w:ascii="Palatino Linotype" w:eastAsia="Palatino Linotype" w:hAnsi="Palatino Linotype" w:cs="Palatino Linotype"/>
          <w:i/>
          <w:sz w:val="22"/>
          <w:szCs w:val="22"/>
        </w:rPr>
        <w:t>que</w:t>
      </w:r>
      <w:proofErr w:type="gramEnd"/>
      <w:r w:rsidRPr="004827EF">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0F681EEB" w14:textId="77777777" w:rsidR="00BF22D2" w:rsidRPr="004827EF" w:rsidRDefault="00D63F3D">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4827EF">
        <w:rPr>
          <w:rFonts w:ascii="Palatino Linotype" w:eastAsia="Palatino Linotype" w:hAnsi="Palatino Linotype" w:cs="Palatino Linotype"/>
          <w:i/>
          <w:sz w:val="22"/>
          <w:szCs w:val="22"/>
        </w:rPr>
        <w:t>aquéllas</w:t>
      </w:r>
      <w:proofErr w:type="gramEnd"/>
      <w:r w:rsidRPr="004827EF">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2876D38C" w14:textId="77777777" w:rsidR="00BF22D2" w:rsidRPr="004827EF" w:rsidRDefault="00BF22D2">
      <w:pPr>
        <w:pBdr>
          <w:top w:val="nil"/>
          <w:left w:val="nil"/>
          <w:bottom w:val="nil"/>
          <w:right w:val="nil"/>
          <w:between w:val="nil"/>
        </w:pBdr>
        <w:ind w:left="851" w:right="902"/>
        <w:jc w:val="both"/>
      </w:pPr>
    </w:p>
    <w:p w14:paraId="719E61D8" w14:textId="77777777" w:rsidR="00BF22D2" w:rsidRPr="004827EF" w:rsidRDefault="00D63F3D">
      <w:pPr>
        <w:pBdr>
          <w:top w:val="nil"/>
          <w:left w:val="nil"/>
          <w:bottom w:val="nil"/>
          <w:right w:val="nil"/>
          <w:between w:val="nil"/>
        </w:pBdr>
        <w:spacing w:after="240" w:line="360" w:lineRule="auto"/>
        <w:jc w:val="both"/>
      </w:pPr>
      <w:r w:rsidRPr="004827EF">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debió de haber generado, administrado o poseído la </w:t>
      </w:r>
      <w:r w:rsidRPr="004827EF">
        <w:rPr>
          <w:rFonts w:ascii="Palatino Linotype" w:eastAsia="Palatino Linotype" w:hAnsi="Palatino Linotype" w:cs="Palatino Linotype"/>
        </w:rPr>
        <w:lastRenderedPageBreak/>
        <w:t>información pero en incumplimiento a la norma no lo llevo a cabo. Tal como se lee del criterio que para mayor referencia se transcribe a continuación:</w:t>
      </w:r>
    </w:p>
    <w:p w14:paraId="641CA051" w14:textId="77777777" w:rsidR="00BF22D2" w:rsidRPr="004827EF" w:rsidRDefault="00D63F3D">
      <w:pPr>
        <w:pBdr>
          <w:top w:val="nil"/>
          <w:left w:val="nil"/>
          <w:bottom w:val="nil"/>
          <w:right w:val="nil"/>
          <w:between w:val="nil"/>
        </w:pBdr>
        <w:spacing w:before="240"/>
        <w:ind w:left="567" w:right="902"/>
        <w:jc w:val="both"/>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INEXISTENCIA, CONCEPTO DE, EN MATERIA DE TRANSPARENCIA</w:t>
      </w:r>
      <w:r w:rsidRPr="004827EF">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4827EF">
        <w:rPr>
          <w:rFonts w:ascii="Palatino Linotype" w:eastAsia="Palatino Linotype" w:hAnsi="Palatino Linotype" w:cs="Palatino Linotype"/>
          <w:b/>
          <w:i/>
          <w:sz w:val="22"/>
          <w:szCs w:val="22"/>
        </w:rPr>
        <w:t>supuestos:</w:t>
      </w:r>
      <w:r w:rsidRPr="004827EF">
        <w:rPr>
          <w:rFonts w:ascii="Palatino Linotype" w:eastAsia="Palatino Linotype" w:hAnsi="Palatino Linotype" w:cs="Palatino Linotype"/>
          <w:i/>
          <w:sz w:val="22"/>
          <w:szCs w:val="22"/>
        </w:rPr>
        <w:t> </w:t>
      </w:r>
    </w:p>
    <w:p w14:paraId="393F1F37" w14:textId="77777777" w:rsidR="00BF22D2" w:rsidRPr="004827EF" w:rsidRDefault="00D63F3D">
      <w:pPr>
        <w:numPr>
          <w:ilvl w:val="0"/>
          <w:numId w:val="2"/>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459D4803" w14:textId="77777777" w:rsidR="00BF22D2" w:rsidRPr="004827EF" w:rsidRDefault="00D63F3D">
      <w:pPr>
        <w:numPr>
          <w:ilvl w:val="0"/>
          <w:numId w:val="2"/>
        </w:numPr>
        <w:pBdr>
          <w:top w:val="nil"/>
          <w:left w:val="nil"/>
          <w:bottom w:val="nil"/>
          <w:right w:val="nil"/>
          <w:between w:val="nil"/>
        </w:pBdr>
        <w:ind w:left="567" w:right="902"/>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En los casos en que por las atribuciones conferidas al Sujeto Obligado éste debió generar, administrar o poseer la información, pero en incumplimiento a la normatividad respectiva no llevó a cabo ninguna de esas acciones. </w:t>
      </w:r>
    </w:p>
    <w:p w14:paraId="3DE07C6C" w14:textId="77777777" w:rsidR="00BF22D2" w:rsidRPr="004827EF" w:rsidRDefault="00D63F3D">
      <w:pPr>
        <w:pBdr>
          <w:top w:val="nil"/>
          <w:left w:val="nil"/>
          <w:bottom w:val="nil"/>
          <w:right w:val="nil"/>
          <w:between w:val="nil"/>
        </w:pBdr>
        <w:ind w:left="567" w:right="902"/>
        <w:jc w:val="both"/>
      </w:pPr>
      <w:r w:rsidRPr="004827EF">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8121333" w14:textId="77777777" w:rsidR="00BF22D2" w:rsidRPr="004827EF" w:rsidRDefault="00BF22D2">
      <w:pPr>
        <w:pBdr>
          <w:top w:val="nil"/>
          <w:left w:val="nil"/>
          <w:bottom w:val="nil"/>
          <w:right w:val="nil"/>
          <w:between w:val="nil"/>
        </w:pBdr>
        <w:spacing w:line="360" w:lineRule="auto"/>
        <w:jc w:val="both"/>
        <w:rPr>
          <w:rFonts w:ascii="Palatino Linotype" w:eastAsia="Palatino Linotype" w:hAnsi="Palatino Linotype" w:cs="Palatino Linotype"/>
        </w:rPr>
      </w:pPr>
    </w:p>
    <w:p w14:paraId="18776ECF"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4827EF">
        <w:rPr>
          <w:rFonts w:ascii="Palatino Linotype" w:eastAsia="Palatino Linotype" w:hAnsi="Palatino Linotype" w:cs="Palatino Linotype"/>
          <w:b/>
        </w:rPr>
        <w:t xml:space="preserve">, </w:t>
      </w:r>
      <w:r w:rsidRPr="004827EF">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4827EF">
        <w:rPr>
          <w:rFonts w:ascii="Palatino Linotype" w:eastAsia="Palatino Linotype" w:hAnsi="Palatino Linotype" w:cs="Palatino Linotype"/>
          <w:b/>
        </w:rPr>
        <w:t xml:space="preserve">SUJETO OBLIGADO, </w:t>
      </w:r>
      <w:r w:rsidRPr="004827EF">
        <w:rPr>
          <w:rFonts w:ascii="Palatino Linotype" w:eastAsia="Palatino Linotype" w:hAnsi="Palatino Linotype" w:cs="Palatino Linotype"/>
        </w:rPr>
        <w:t>de instruir una búsqueda exhaustiva a todas y cada una de las áreas administrativas de las que se compone, que permitirá:</w:t>
      </w:r>
    </w:p>
    <w:p w14:paraId="38E2C887" w14:textId="77777777" w:rsidR="00BF22D2" w:rsidRPr="004827EF" w:rsidRDefault="00BF22D2">
      <w:pPr>
        <w:pBdr>
          <w:top w:val="nil"/>
          <w:left w:val="nil"/>
          <w:bottom w:val="nil"/>
          <w:right w:val="nil"/>
          <w:between w:val="nil"/>
        </w:pBdr>
        <w:spacing w:line="360" w:lineRule="auto"/>
        <w:jc w:val="both"/>
      </w:pPr>
    </w:p>
    <w:p w14:paraId="6F33A7E6" w14:textId="77777777" w:rsidR="00BF22D2" w:rsidRPr="004827EF" w:rsidRDefault="00D63F3D">
      <w:pPr>
        <w:numPr>
          <w:ilvl w:val="0"/>
          <w:numId w:val="9"/>
        </w:numPr>
        <w:pBdr>
          <w:top w:val="nil"/>
          <w:left w:val="nil"/>
          <w:bottom w:val="nil"/>
          <w:right w:val="nil"/>
          <w:between w:val="nil"/>
        </w:pBdr>
        <w:spacing w:after="240" w:line="360" w:lineRule="auto"/>
        <w:ind w:left="567"/>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Que se localice la documentación que contenga la información solicitada. En este caso habrá que señalar que, de acuerdo con las disposiciones </w:t>
      </w:r>
      <w:r w:rsidRPr="004827EF">
        <w:rPr>
          <w:rFonts w:ascii="Palatino Linotype" w:eastAsia="Palatino Linotype" w:hAnsi="Palatino Linotype" w:cs="Palatino Linotype"/>
        </w:rPr>
        <w:lastRenderedPageBreak/>
        <w:t>transcritas, la información puede obrar en sus archivos ya sea porque la genera, la administra o simplemente la posee.</w:t>
      </w:r>
    </w:p>
    <w:p w14:paraId="2BBD1FFC" w14:textId="77777777" w:rsidR="00BF22D2" w:rsidRPr="004827EF" w:rsidRDefault="00D63F3D">
      <w:pPr>
        <w:pBdr>
          <w:top w:val="nil"/>
          <w:left w:val="nil"/>
          <w:bottom w:val="nil"/>
          <w:right w:val="nil"/>
          <w:between w:val="nil"/>
        </w:pBdr>
        <w:spacing w:before="240" w:after="240" w:line="360" w:lineRule="auto"/>
        <w:jc w:val="both"/>
      </w:pPr>
      <w:r w:rsidRPr="004827EF">
        <w:rPr>
          <w:rFonts w:ascii="Palatino Linotype" w:eastAsia="Palatino Linotype" w:hAnsi="Palatino Linotype" w:cs="Palatino Linotype"/>
        </w:rPr>
        <w:t xml:space="preserve">De actualizarse esta primera hipótesis, la información debe entregarse a </w:t>
      </w:r>
      <w:r w:rsidRPr="004827EF">
        <w:rPr>
          <w:rFonts w:ascii="Palatino Linotype" w:eastAsia="Palatino Linotype" w:hAnsi="Palatino Linotype" w:cs="Palatino Linotype"/>
          <w:b/>
        </w:rPr>
        <w:t>la parte RECURRENTE</w:t>
      </w:r>
      <w:r w:rsidRPr="004827EF">
        <w:rPr>
          <w:rFonts w:ascii="Palatino Linotype" w:eastAsia="Palatino Linotype" w:hAnsi="Palatino Linotype" w:cs="Palatino Linotype"/>
        </w:rPr>
        <w:t xml:space="preserve"> a través del o los documentos fuente.</w:t>
      </w:r>
    </w:p>
    <w:p w14:paraId="1180E316" w14:textId="77777777" w:rsidR="00BF22D2" w:rsidRPr="004827EF" w:rsidRDefault="00D63F3D">
      <w:pPr>
        <w:numPr>
          <w:ilvl w:val="0"/>
          <w:numId w:val="9"/>
        </w:num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Que no se localice documento alguno que contenga la información requerida, en este supuesto, el Comité de Transparencia deberá resolver la declaratoria de inexistencia de la información y notificarla a </w:t>
      </w:r>
      <w:r w:rsidRPr="004827EF">
        <w:rPr>
          <w:rFonts w:ascii="Palatino Linotype" w:eastAsia="Palatino Linotype" w:hAnsi="Palatino Linotype" w:cs="Palatino Linotype"/>
          <w:b/>
        </w:rPr>
        <w:t>la parte Recurrente</w:t>
      </w:r>
      <w:r w:rsidRPr="004827EF">
        <w:rPr>
          <w:rFonts w:ascii="Palatino Linotype" w:eastAsia="Palatino Linotype" w:hAnsi="Palatino Linotype" w:cs="Palatino Linotype"/>
        </w:rPr>
        <w:t xml:space="preserve"> y a este Pleno.</w:t>
      </w:r>
    </w:p>
    <w:p w14:paraId="189482FC" w14:textId="77777777" w:rsidR="00BF22D2" w:rsidRPr="004827EF" w:rsidRDefault="00D63F3D">
      <w:pPr>
        <w:numPr>
          <w:ilvl w:val="0"/>
          <w:numId w:val="10"/>
        </w:num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rPr>
      </w:pPr>
      <w:r w:rsidRPr="004827EF">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1471B5AC" w14:textId="77777777" w:rsidR="00BF22D2" w:rsidRPr="004827EF" w:rsidRDefault="00D63F3D">
      <w:pPr>
        <w:pBdr>
          <w:top w:val="nil"/>
          <w:left w:val="nil"/>
          <w:bottom w:val="nil"/>
          <w:right w:val="nil"/>
          <w:between w:val="nil"/>
        </w:pBdr>
        <w:spacing w:before="240" w:after="240" w:line="360" w:lineRule="auto"/>
        <w:jc w:val="both"/>
      </w:pPr>
      <w:r w:rsidRPr="004827EF">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69533CD5" w14:textId="77777777" w:rsidR="00BF22D2" w:rsidRPr="004827EF" w:rsidRDefault="00D63F3D">
      <w:pPr>
        <w:spacing w:line="360" w:lineRule="auto"/>
        <w:rPr>
          <w:rFonts w:ascii="Palatino Linotype" w:eastAsia="Palatino Linotype" w:hAnsi="Palatino Linotype" w:cs="Palatino Linotype"/>
          <w:b/>
          <w:u w:val="single"/>
        </w:rPr>
      </w:pPr>
      <w:r w:rsidRPr="004827EF">
        <w:rPr>
          <w:rFonts w:ascii="Palatino Linotype" w:eastAsia="Palatino Linotype" w:hAnsi="Palatino Linotype" w:cs="Palatino Linotype"/>
          <w:b/>
          <w:u w:val="single"/>
        </w:rPr>
        <w:t>Por último, en cuanto a los requerimientos marcados con los números 15, 16 y 17, relacionados con:</w:t>
      </w:r>
    </w:p>
    <w:p w14:paraId="39519DCE" w14:textId="77777777" w:rsidR="00BF22D2" w:rsidRPr="004827EF" w:rsidRDefault="00BF22D2">
      <w:pPr>
        <w:spacing w:line="360" w:lineRule="auto"/>
        <w:rPr>
          <w:rFonts w:ascii="Palatino Linotype" w:eastAsia="Palatino Linotype" w:hAnsi="Palatino Linotype" w:cs="Palatino Linotype"/>
        </w:rPr>
      </w:pPr>
    </w:p>
    <w:p w14:paraId="0B1FCD4B" w14:textId="77777777" w:rsidR="00BF22D2" w:rsidRPr="004827EF" w:rsidRDefault="00D63F3D">
      <w:pPr>
        <w:spacing w:line="360" w:lineRule="auto"/>
        <w:rPr>
          <w:rFonts w:ascii="Palatino Linotype" w:eastAsia="Palatino Linotype" w:hAnsi="Palatino Linotype" w:cs="Palatino Linotype"/>
        </w:rPr>
      </w:pPr>
      <w:r w:rsidRPr="004827EF">
        <w:rPr>
          <w:rFonts w:ascii="Palatino Linotype" w:eastAsia="Palatino Linotype" w:hAnsi="Palatino Linotype" w:cs="Palatino Linotype"/>
        </w:rPr>
        <w:t>15.- Información sobre si la transferencia se realiza por contrato o convenio.</w:t>
      </w:r>
    </w:p>
    <w:p w14:paraId="5E136779" w14:textId="77777777" w:rsidR="00BF22D2" w:rsidRPr="004827EF" w:rsidRDefault="00BF22D2">
      <w:pPr>
        <w:spacing w:line="360" w:lineRule="auto"/>
        <w:rPr>
          <w:rFonts w:ascii="Palatino Linotype" w:eastAsia="Palatino Linotype" w:hAnsi="Palatino Linotype" w:cs="Palatino Linotype"/>
        </w:rPr>
      </w:pPr>
    </w:p>
    <w:p w14:paraId="297573C3" w14:textId="77777777" w:rsidR="00BF22D2" w:rsidRPr="004827EF" w:rsidRDefault="00D63F3D">
      <w:pPr>
        <w:spacing w:line="360" w:lineRule="auto"/>
        <w:rPr>
          <w:rFonts w:ascii="Palatino Linotype" w:eastAsia="Palatino Linotype" w:hAnsi="Palatino Linotype" w:cs="Palatino Linotype"/>
        </w:rPr>
      </w:pPr>
      <w:r w:rsidRPr="004827EF">
        <w:rPr>
          <w:rFonts w:ascii="Palatino Linotype" w:eastAsia="Palatino Linotype" w:hAnsi="Palatino Linotype" w:cs="Palatino Linotype"/>
        </w:rPr>
        <w:t>16.- Solicitud de copia del contrato o convenio de transferencia de residuos.</w:t>
      </w:r>
    </w:p>
    <w:p w14:paraId="19E6BB69" w14:textId="77777777" w:rsidR="00BF22D2" w:rsidRPr="004827EF" w:rsidRDefault="00BF22D2">
      <w:pPr>
        <w:spacing w:line="360" w:lineRule="auto"/>
        <w:rPr>
          <w:rFonts w:ascii="Palatino Linotype" w:eastAsia="Palatino Linotype" w:hAnsi="Palatino Linotype" w:cs="Palatino Linotype"/>
        </w:rPr>
      </w:pPr>
    </w:p>
    <w:p w14:paraId="43B06E21" w14:textId="77777777" w:rsidR="00BF22D2" w:rsidRPr="004827EF" w:rsidRDefault="00D63F3D">
      <w:pPr>
        <w:spacing w:line="360" w:lineRule="auto"/>
        <w:rPr>
          <w:rFonts w:ascii="Palatino Linotype" w:eastAsia="Palatino Linotype" w:hAnsi="Palatino Linotype" w:cs="Palatino Linotype"/>
        </w:rPr>
      </w:pPr>
      <w:r w:rsidRPr="004827EF">
        <w:rPr>
          <w:rFonts w:ascii="Palatino Linotype" w:eastAsia="Palatino Linotype" w:hAnsi="Palatino Linotype" w:cs="Palatino Linotype"/>
        </w:rPr>
        <w:t>17.- Condiciones económicas de la transferencia: si se paga por el servicio o si se recibe alguna remuneración.</w:t>
      </w:r>
    </w:p>
    <w:p w14:paraId="627DD0A9" w14:textId="77777777" w:rsidR="00BF22D2" w:rsidRPr="004827EF" w:rsidRDefault="00BF22D2">
      <w:pPr>
        <w:spacing w:line="360" w:lineRule="auto"/>
        <w:rPr>
          <w:rFonts w:ascii="Palatino Linotype" w:eastAsia="Palatino Linotype" w:hAnsi="Palatino Linotype" w:cs="Palatino Linotype"/>
        </w:rPr>
      </w:pPr>
    </w:p>
    <w:p w14:paraId="0FBADA16"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De la respuesta proporcionada por la Dirección de Servicios Públicos del Ayuntamiento de Temoaya, señaló que los residuos sólidos recolectados, se llevan a un relleno sanitario en San Luis Mextepec, Municipio de Zinacantepec denominado “Mantenimiento y Servicios Ambientales S. A. de C. V.”, la transferencia es mediante un contrato, el cual obra en archivo de la Dirección de Administración y Desarrollo de Personal, así también en cuanto a la respuesta otorgada en el número dos relativo a: horarios específicos de recolección para cada localidad, dicha Dirección asumió contar con un contrato a referir: “que no se tiene un horario específico para cada comunidad; sin embargo el horario </w:t>
      </w:r>
      <w:r w:rsidRPr="004827EF">
        <w:rPr>
          <w:rFonts w:ascii="Palatino Linotype" w:eastAsia="Palatino Linotype" w:hAnsi="Palatino Linotype" w:cs="Palatino Linotype"/>
          <w:b/>
        </w:rPr>
        <w:t>estipulado en su contrato</w:t>
      </w:r>
      <w:r w:rsidRPr="004827EF">
        <w:rPr>
          <w:rFonts w:ascii="Palatino Linotype" w:eastAsia="Palatino Linotype" w:hAnsi="Palatino Linotype" w:cs="Palatino Linotype"/>
        </w:rPr>
        <w:t xml:space="preserve"> es de lunes a viernes de 8:00 a 17:00 horas”. </w:t>
      </w:r>
    </w:p>
    <w:p w14:paraId="0E4D26AE" w14:textId="77777777" w:rsidR="00BF22D2" w:rsidRPr="004827EF" w:rsidRDefault="00BF22D2">
      <w:pPr>
        <w:spacing w:line="360" w:lineRule="auto"/>
        <w:jc w:val="both"/>
        <w:rPr>
          <w:rFonts w:ascii="Palatino Linotype" w:eastAsia="Palatino Linotype" w:hAnsi="Palatino Linotype" w:cs="Palatino Linotype"/>
        </w:rPr>
      </w:pPr>
    </w:p>
    <w:p w14:paraId="40D1ACE4"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Asumiendo que existe un contrato, pero este no lo proporcionó porque obra en el archivo de la Dirección de Administración y Desarrollo de Personal, ante ello, se advierte que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incumplió con el procedimiento establecido en el artículo 162 de la Ley de Transparencia y Acceso a la Información Pública del Estado de México y Municipios, procedimiento que ya fue expuesto en el presente considerando mismo que debe seguir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debiendo turnar la solicitud a la Dirección de Administración y Desarrollo de Personal, para que se pronuncie al respecto; por consiguiente, se determina que la respuesta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careció de los principios de congruencia y exhaustividad, como </w:t>
      </w:r>
      <w:r w:rsidRPr="004827EF">
        <w:rPr>
          <w:rFonts w:ascii="Palatino Linotype" w:eastAsia="Palatino Linotype" w:hAnsi="Palatino Linotype" w:cs="Palatino Linotype"/>
        </w:rPr>
        <w:lastRenderedPageBreak/>
        <w:t>refuerzo de lo anterior, resulta crucial el Criterio 02/17, emitido por el Pleno del Instituto Nacional de Transparencia y Acceso a la Información y Protección de Datos Personales, sobredicho.</w:t>
      </w:r>
    </w:p>
    <w:p w14:paraId="46E26BD6" w14:textId="77777777" w:rsidR="00BF22D2" w:rsidRPr="004827EF" w:rsidRDefault="00BF22D2">
      <w:pPr>
        <w:spacing w:line="360" w:lineRule="auto"/>
        <w:jc w:val="both"/>
        <w:rPr>
          <w:rFonts w:ascii="Palatino Linotype" w:eastAsia="Palatino Linotype" w:hAnsi="Palatino Linotype" w:cs="Palatino Linotype"/>
          <w:i/>
          <w:sz w:val="22"/>
          <w:szCs w:val="22"/>
        </w:rPr>
      </w:pPr>
    </w:p>
    <w:p w14:paraId="774FD5BE"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Razones por las cuales lo procedente es ordenar, previa búsqueda exhaustiva y razonable, de lo siguiente:</w:t>
      </w:r>
    </w:p>
    <w:p w14:paraId="4CC7D488" w14:textId="77777777" w:rsidR="00BF22D2" w:rsidRPr="004827EF" w:rsidRDefault="00D63F3D">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El contrato para la transferencia de los residuos sólidos recolectados, referido en respuesta. </w:t>
      </w:r>
    </w:p>
    <w:p w14:paraId="29313EA6" w14:textId="77777777" w:rsidR="00BF22D2" w:rsidRPr="004827EF" w:rsidRDefault="00BF22D2">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613D2697" w14:textId="77777777" w:rsidR="00BF22D2" w:rsidRPr="004827EF" w:rsidRDefault="00D63F3D">
      <w:pPr>
        <w:spacing w:line="360" w:lineRule="auto"/>
        <w:rPr>
          <w:rFonts w:ascii="Palatino Linotype" w:eastAsia="Palatino Linotype" w:hAnsi="Palatino Linotype" w:cs="Palatino Linotype"/>
        </w:rPr>
      </w:pPr>
      <w:r w:rsidRPr="004827EF">
        <w:rPr>
          <w:rFonts w:ascii="Palatino Linotype" w:eastAsia="Palatino Linotype" w:hAnsi="Palatino Linotype" w:cs="Palatino Linotype"/>
        </w:rPr>
        <w:t xml:space="preserve">En versión pública de ser procedente conforme a lo señalado por el considerando quinto del presente fallo. </w:t>
      </w:r>
    </w:p>
    <w:p w14:paraId="01FE6938" w14:textId="77777777" w:rsidR="00BF22D2" w:rsidRPr="004827EF" w:rsidRDefault="00BF22D2">
      <w:pPr>
        <w:tabs>
          <w:tab w:val="left" w:pos="709"/>
        </w:tabs>
        <w:spacing w:line="360" w:lineRule="auto"/>
        <w:jc w:val="both"/>
        <w:rPr>
          <w:rFonts w:ascii="Palatino Linotype" w:eastAsia="Palatino Linotype" w:hAnsi="Palatino Linotype" w:cs="Palatino Linotype"/>
          <w:b/>
        </w:rPr>
      </w:pPr>
    </w:p>
    <w:p w14:paraId="18172E36" w14:textId="77777777" w:rsidR="00BF22D2" w:rsidRPr="004827EF" w:rsidRDefault="00D63F3D">
      <w:pPr>
        <w:tabs>
          <w:tab w:val="left" w:pos="709"/>
        </w:tabs>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 xml:space="preserve">Quinto. Versión Pública. </w:t>
      </w:r>
      <w:r w:rsidRPr="004827EF">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4C548F2E" w14:textId="77777777" w:rsidR="00BF22D2" w:rsidRPr="004827EF" w:rsidRDefault="00BF22D2">
      <w:pPr>
        <w:tabs>
          <w:tab w:val="left" w:pos="709"/>
        </w:tabs>
        <w:spacing w:line="360" w:lineRule="auto"/>
        <w:jc w:val="both"/>
        <w:rPr>
          <w:rFonts w:ascii="Palatino Linotype" w:eastAsia="Palatino Linotype" w:hAnsi="Palatino Linotype" w:cs="Palatino Linotype"/>
        </w:rPr>
      </w:pPr>
    </w:p>
    <w:p w14:paraId="6305C614"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3.</w:t>
      </w:r>
      <w:r w:rsidRPr="004827EF">
        <w:rPr>
          <w:rFonts w:ascii="Palatino Linotype" w:eastAsia="Palatino Linotype" w:hAnsi="Palatino Linotype" w:cs="Palatino Linotype"/>
          <w:i/>
          <w:sz w:val="22"/>
          <w:szCs w:val="22"/>
        </w:rPr>
        <w:t xml:space="preserve"> Para los efectos de la presente Ley se entenderá </w:t>
      </w:r>
      <w:proofErr w:type="gramStart"/>
      <w:r w:rsidRPr="004827EF">
        <w:rPr>
          <w:rFonts w:ascii="Palatino Linotype" w:eastAsia="Palatino Linotype" w:hAnsi="Palatino Linotype" w:cs="Palatino Linotype"/>
          <w:i/>
          <w:sz w:val="22"/>
          <w:szCs w:val="22"/>
        </w:rPr>
        <w:t>por:…</w:t>
      </w:r>
      <w:proofErr w:type="gramEnd"/>
    </w:p>
    <w:p w14:paraId="6F8CDC75"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XX.</w:t>
      </w:r>
      <w:r w:rsidRPr="004827EF">
        <w:rPr>
          <w:rFonts w:ascii="Palatino Linotype" w:eastAsia="Palatino Linotype" w:hAnsi="Palatino Linotype" w:cs="Palatino Linotype"/>
          <w:i/>
          <w:sz w:val="22"/>
          <w:szCs w:val="22"/>
        </w:rPr>
        <w:t xml:space="preserve"> Información clasificada: Aquella considerada por la presente Ley como reservada o confidencial; </w:t>
      </w:r>
    </w:p>
    <w:p w14:paraId="09F263A0"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XXI.</w:t>
      </w:r>
      <w:r w:rsidRPr="004827EF">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E4B2FD"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0AB360CA"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XXXIV</w:t>
      </w:r>
      <w:r w:rsidRPr="004827EF">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1E94E6CC"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5166E98A"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XLV.</w:t>
      </w:r>
      <w:r w:rsidRPr="004827EF">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741A2D45"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91.</w:t>
      </w:r>
      <w:r w:rsidRPr="004827E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B479D9D"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122.</w:t>
      </w:r>
      <w:r w:rsidRPr="004827EF">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4827EF">
        <w:rPr>
          <w:rFonts w:ascii="Palatino Linotype" w:eastAsia="Palatino Linotype" w:hAnsi="Palatino Linotype" w:cs="Palatino Linotype"/>
          <w:i/>
          <w:sz w:val="22"/>
          <w:szCs w:val="22"/>
        </w:rPr>
        <w:t>actualiza</w:t>
      </w:r>
      <w:proofErr w:type="spellEnd"/>
      <w:r w:rsidRPr="004827EF">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5765916"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5844A504"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5C7B6664"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135.</w:t>
      </w:r>
      <w:r w:rsidRPr="004827EF">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513DF4D" w14:textId="77777777" w:rsidR="00BF22D2" w:rsidRPr="004827EF" w:rsidRDefault="00D63F3D">
      <w:pPr>
        <w:tabs>
          <w:tab w:val="left" w:pos="709"/>
        </w:tabs>
        <w:ind w:left="567" w:right="567"/>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66A3FB2"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143</w:t>
      </w:r>
      <w:r w:rsidRPr="004827E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51A8EBF" w14:textId="77777777" w:rsidR="00BF22D2" w:rsidRPr="004827EF" w:rsidRDefault="00D63F3D">
      <w:pPr>
        <w:tabs>
          <w:tab w:val="left" w:pos="709"/>
        </w:tabs>
        <w:ind w:left="567" w:right="567"/>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36E2EB43"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lastRenderedPageBreak/>
        <w:t>II.</w:t>
      </w:r>
      <w:r w:rsidRPr="004827E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A6833D2"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III.</w:t>
      </w:r>
      <w:r w:rsidRPr="004827EF">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A98C7E5"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2397667"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18041EE" w14:textId="77777777" w:rsidR="00BF22D2" w:rsidRPr="004827EF" w:rsidRDefault="00D63F3D">
      <w:pPr>
        <w:tabs>
          <w:tab w:val="left" w:pos="709"/>
        </w:tabs>
        <w:ind w:left="567" w:right="567"/>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406E329C"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148.</w:t>
      </w:r>
      <w:r w:rsidRPr="004827EF">
        <w:rPr>
          <w:rFonts w:ascii="Palatino Linotype" w:eastAsia="Palatino Linotype" w:hAnsi="Palatino Linotype" w:cs="Palatino Linotype"/>
          <w:i/>
          <w:sz w:val="22"/>
          <w:szCs w:val="22"/>
        </w:rPr>
        <w:t xml:space="preserve"> No se requerirá el consentimiento del titular de la información confidencial cuando:</w:t>
      </w:r>
    </w:p>
    <w:p w14:paraId="5E985AC5"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w:t>
      </w:r>
      <w:r w:rsidRPr="004827EF">
        <w:rPr>
          <w:rFonts w:ascii="Palatino Linotype" w:eastAsia="Palatino Linotype" w:hAnsi="Palatino Linotype" w:cs="Palatino Linotype"/>
          <w:i/>
          <w:sz w:val="22"/>
          <w:szCs w:val="22"/>
        </w:rPr>
        <w:t xml:space="preserve"> La información se encuentre en registros públicos o fuentes de acceso público;</w:t>
      </w:r>
    </w:p>
    <w:p w14:paraId="15DF1814"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w:t>
      </w:r>
      <w:r w:rsidRPr="004827EF">
        <w:rPr>
          <w:rFonts w:ascii="Palatino Linotype" w:eastAsia="Palatino Linotype" w:hAnsi="Palatino Linotype" w:cs="Palatino Linotype"/>
          <w:i/>
          <w:sz w:val="22"/>
          <w:szCs w:val="22"/>
        </w:rPr>
        <w:t xml:space="preserve"> Por Ley tenga el carácter de pública;</w:t>
      </w:r>
    </w:p>
    <w:p w14:paraId="2AAB68F2"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III</w:t>
      </w:r>
      <w:r w:rsidRPr="004827EF">
        <w:rPr>
          <w:rFonts w:ascii="Palatino Linotype" w:eastAsia="Palatino Linotype" w:hAnsi="Palatino Linotype" w:cs="Palatino Linotype"/>
          <w:i/>
          <w:sz w:val="22"/>
          <w:szCs w:val="22"/>
        </w:rPr>
        <w:t>. Exista una orden judicial;</w:t>
      </w:r>
    </w:p>
    <w:p w14:paraId="0CE5CFCD"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IV.</w:t>
      </w:r>
      <w:r w:rsidRPr="004827EF">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6761B4AD"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V.</w:t>
      </w:r>
      <w:r w:rsidRPr="004827EF">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2A5D3C72"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55E4B4F5" w14:textId="77777777" w:rsidR="00BF22D2" w:rsidRPr="004827EF" w:rsidRDefault="00D63F3D">
      <w:pPr>
        <w:tabs>
          <w:tab w:val="left" w:pos="709"/>
        </w:tabs>
        <w:ind w:left="567" w:right="567"/>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149.</w:t>
      </w:r>
      <w:r w:rsidRPr="004827EF">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41FF0926" w14:textId="77777777" w:rsidR="00BF22D2" w:rsidRPr="004827EF" w:rsidRDefault="00BF22D2">
      <w:pPr>
        <w:spacing w:line="360" w:lineRule="auto"/>
        <w:ind w:right="49"/>
        <w:jc w:val="both"/>
        <w:rPr>
          <w:rFonts w:ascii="Palatino Linotype" w:eastAsia="Palatino Linotype" w:hAnsi="Palatino Linotype" w:cs="Palatino Linotype"/>
        </w:rPr>
      </w:pPr>
    </w:p>
    <w:p w14:paraId="700ED117"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w:t>
      </w:r>
      <w:r w:rsidRPr="004827EF">
        <w:rPr>
          <w:rFonts w:ascii="Palatino Linotype" w:eastAsia="Palatino Linotype" w:hAnsi="Palatino Linotype" w:cs="Palatino Linotype"/>
        </w:rPr>
        <w:lastRenderedPageBreak/>
        <w:t>clasificar la información, la cual puede ser de dos maneras: Reservada o Confidencial.</w:t>
      </w:r>
    </w:p>
    <w:p w14:paraId="03785AD7" w14:textId="77777777" w:rsidR="00BF22D2" w:rsidRPr="004827EF" w:rsidRDefault="00BF22D2">
      <w:pPr>
        <w:spacing w:line="360" w:lineRule="auto"/>
        <w:jc w:val="both"/>
        <w:rPr>
          <w:rFonts w:ascii="Palatino Linotype" w:eastAsia="Palatino Linotype" w:hAnsi="Palatino Linotype" w:cs="Palatino Linotype"/>
        </w:rPr>
      </w:pPr>
    </w:p>
    <w:p w14:paraId="3B41AAC5"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6141180A" w14:textId="77777777" w:rsidR="00BF22D2" w:rsidRPr="004827EF" w:rsidRDefault="00BF22D2">
      <w:pPr>
        <w:spacing w:line="360" w:lineRule="auto"/>
        <w:jc w:val="both"/>
        <w:rPr>
          <w:rFonts w:ascii="Palatino Linotype" w:eastAsia="Palatino Linotype" w:hAnsi="Palatino Linotype" w:cs="Palatino Linotype"/>
        </w:rPr>
      </w:pPr>
    </w:p>
    <w:p w14:paraId="1944149F"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63D7DB32" w14:textId="77777777" w:rsidR="00BF22D2" w:rsidRPr="004827EF" w:rsidRDefault="00BF22D2">
      <w:pPr>
        <w:spacing w:line="360" w:lineRule="auto"/>
        <w:jc w:val="both"/>
        <w:rPr>
          <w:rFonts w:ascii="Palatino Linotype" w:eastAsia="Palatino Linotype" w:hAnsi="Palatino Linotype" w:cs="Palatino Linotype"/>
        </w:rPr>
      </w:pPr>
    </w:p>
    <w:p w14:paraId="6B00F949"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168</w:t>
      </w:r>
      <w:r w:rsidRPr="004827EF">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1F68437B"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w:t>
      </w:r>
      <w:r w:rsidRPr="004827EF">
        <w:rPr>
          <w:rFonts w:ascii="Palatino Linotype" w:eastAsia="Palatino Linotype" w:hAnsi="Palatino Linotype" w:cs="Palatino Linotype"/>
          <w:i/>
          <w:sz w:val="22"/>
          <w:szCs w:val="22"/>
        </w:rPr>
        <w:t xml:space="preserve"> El Área deberá remitir la solicitud, así como un escrito en el que </w:t>
      </w:r>
      <w:r w:rsidRPr="004827EF">
        <w:rPr>
          <w:rFonts w:ascii="Palatino Linotype" w:eastAsia="Palatino Linotype" w:hAnsi="Palatino Linotype" w:cs="Palatino Linotype"/>
          <w:b/>
          <w:i/>
          <w:sz w:val="22"/>
          <w:szCs w:val="22"/>
        </w:rPr>
        <w:t>funde y motive la clasificación al Comité de Transparencia</w:t>
      </w:r>
      <w:r w:rsidRPr="004827EF">
        <w:rPr>
          <w:rFonts w:ascii="Palatino Linotype" w:eastAsia="Palatino Linotype" w:hAnsi="Palatino Linotype" w:cs="Palatino Linotype"/>
          <w:i/>
          <w:sz w:val="22"/>
          <w:szCs w:val="22"/>
        </w:rPr>
        <w:t>, mismo que deberá resolver para:</w:t>
      </w:r>
    </w:p>
    <w:p w14:paraId="7DF19721" w14:textId="77777777" w:rsidR="00BF22D2" w:rsidRPr="004827EF" w:rsidRDefault="00D63F3D">
      <w:pPr>
        <w:ind w:left="567" w:right="616"/>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i/>
          <w:sz w:val="22"/>
          <w:szCs w:val="22"/>
        </w:rPr>
        <w:t>a</w:t>
      </w:r>
      <w:r w:rsidRPr="004827EF">
        <w:rPr>
          <w:rFonts w:ascii="Palatino Linotype" w:eastAsia="Palatino Linotype" w:hAnsi="Palatino Linotype" w:cs="Palatino Linotype"/>
          <w:b/>
          <w:i/>
          <w:sz w:val="22"/>
          <w:szCs w:val="22"/>
        </w:rPr>
        <w:t>) Confirmar la clasificación;</w:t>
      </w:r>
    </w:p>
    <w:p w14:paraId="383FB7D6"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7F7C677A"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w:t>
      </w:r>
      <w:r w:rsidRPr="004827EF">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629AB23F" w14:textId="77777777" w:rsidR="00BF22D2" w:rsidRPr="004827EF" w:rsidRDefault="00D63F3D">
      <w:pPr>
        <w:ind w:left="567" w:right="616"/>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III.</w:t>
      </w:r>
      <w:r w:rsidRPr="004827EF">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63B50FB3" w14:textId="77777777" w:rsidR="00BF22D2" w:rsidRPr="004827EF" w:rsidRDefault="00BF22D2">
      <w:pPr>
        <w:spacing w:line="360" w:lineRule="auto"/>
        <w:jc w:val="both"/>
        <w:rPr>
          <w:rFonts w:ascii="Palatino Linotype" w:eastAsia="Palatino Linotype" w:hAnsi="Palatino Linotype" w:cs="Palatino Linotype"/>
        </w:rPr>
      </w:pPr>
    </w:p>
    <w:p w14:paraId="342826B0" w14:textId="77777777" w:rsidR="00BF22D2" w:rsidRPr="004827EF" w:rsidRDefault="00D63F3D">
      <w:pPr>
        <w:spacing w:line="360" w:lineRule="auto"/>
        <w:ind w:right="51"/>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deberá proceder a testar los datos personales que se encuentren contenidos en los documentos a entregar por parte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360ED8E"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4827EF">
        <w:rPr>
          <w:rFonts w:ascii="Palatino Linotype" w:eastAsia="Palatino Linotype" w:hAnsi="Palatino Linotype" w:cs="Palatino Linotype"/>
          <w:b/>
        </w:rPr>
        <w:t>Registro Federal de Contribuyentes</w:t>
      </w:r>
      <w:r w:rsidRPr="004827EF">
        <w:rPr>
          <w:rFonts w:ascii="Palatino Linotype" w:eastAsia="Palatino Linotype" w:hAnsi="Palatino Linotype" w:cs="Palatino Linotype"/>
        </w:rPr>
        <w:t xml:space="preserve"> (RFC), la </w:t>
      </w:r>
      <w:r w:rsidRPr="004827EF">
        <w:rPr>
          <w:rFonts w:ascii="Palatino Linotype" w:eastAsia="Palatino Linotype" w:hAnsi="Palatino Linotype" w:cs="Palatino Linotype"/>
          <w:b/>
        </w:rPr>
        <w:t>Clave Única de Registro de Población</w:t>
      </w:r>
      <w:r w:rsidRPr="004827EF">
        <w:rPr>
          <w:rFonts w:ascii="Palatino Linotype" w:eastAsia="Palatino Linotype" w:hAnsi="Palatino Linotype" w:cs="Palatino Linotype"/>
        </w:rPr>
        <w:t xml:space="preserve"> (CURP) y la </w:t>
      </w:r>
      <w:r w:rsidRPr="004827EF">
        <w:rPr>
          <w:rFonts w:ascii="Palatino Linotype" w:eastAsia="Palatino Linotype" w:hAnsi="Palatino Linotype" w:cs="Palatino Linotype"/>
          <w:b/>
        </w:rPr>
        <w:t>Clave de cualquier tipo de seguridad social</w:t>
      </w:r>
      <w:r w:rsidRPr="004827EF">
        <w:rPr>
          <w:rFonts w:ascii="Palatino Linotype" w:eastAsia="Palatino Linotype" w:hAnsi="Palatino Linotype" w:cs="Palatino Linotype"/>
        </w:rPr>
        <w:t xml:space="preserve"> (ISSEMYM, u otros), así como, los </w:t>
      </w:r>
      <w:r w:rsidRPr="004827EF">
        <w:rPr>
          <w:rFonts w:ascii="Palatino Linotype" w:eastAsia="Palatino Linotype" w:hAnsi="Palatino Linotype" w:cs="Palatino Linotype"/>
          <w:b/>
        </w:rPr>
        <w:t>préstamos o descuentos</w:t>
      </w:r>
      <w:r w:rsidRPr="004827EF">
        <w:rPr>
          <w:rFonts w:ascii="Palatino Linotype" w:eastAsia="Palatino Linotype" w:hAnsi="Palatino Linotype" w:cs="Palatino Linotype"/>
        </w:rPr>
        <w:t xml:space="preserve"> que se le hagan a la persona y que no tengan relación con los impuestos o la cuota por seguridad social, así el</w:t>
      </w:r>
      <w:r w:rsidRPr="004827EF">
        <w:rPr>
          <w:rFonts w:ascii="Palatino Linotype" w:eastAsia="Palatino Linotype" w:hAnsi="Palatino Linotype" w:cs="Palatino Linotype"/>
          <w:b/>
        </w:rPr>
        <w:t xml:space="preserve"> número de empleado, </w:t>
      </w:r>
      <w:r w:rsidRPr="004827EF">
        <w:rPr>
          <w:rFonts w:ascii="Palatino Linotype" w:eastAsia="Palatino Linotype" w:hAnsi="Palatino Linotype" w:cs="Palatino Linotype"/>
        </w:rPr>
        <w:t xml:space="preserve">así como de ser el caso, el </w:t>
      </w:r>
      <w:r w:rsidRPr="004827EF">
        <w:rPr>
          <w:rFonts w:ascii="Palatino Linotype" w:eastAsia="Palatino Linotype" w:hAnsi="Palatino Linotype" w:cs="Palatino Linotype"/>
          <w:b/>
        </w:rPr>
        <w:t>folio fiscal</w:t>
      </w:r>
      <w:r w:rsidRPr="004827EF">
        <w:rPr>
          <w:rFonts w:ascii="Palatino Linotype" w:eastAsia="Palatino Linotype" w:hAnsi="Palatino Linotype" w:cs="Palatino Linotype"/>
        </w:rPr>
        <w:t xml:space="preserve">, la  </w:t>
      </w:r>
      <w:r w:rsidRPr="004827EF">
        <w:rPr>
          <w:rFonts w:ascii="Palatino Linotype" w:eastAsia="Palatino Linotype" w:hAnsi="Palatino Linotype" w:cs="Palatino Linotype"/>
          <w:b/>
        </w:rPr>
        <w:t xml:space="preserve">cadena original, </w:t>
      </w:r>
      <w:r w:rsidRPr="004827EF">
        <w:rPr>
          <w:rFonts w:ascii="Palatino Linotype" w:eastAsia="Palatino Linotype" w:hAnsi="Palatino Linotype" w:cs="Palatino Linotype"/>
        </w:rPr>
        <w:t>los</w:t>
      </w:r>
      <w:r w:rsidRPr="004827EF">
        <w:rPr>
          <w:rFonts w:ascii="Palatino Linotype" w:eastAsia="Palatino Linotype" w:hAnsi="Palatino Linotype" w:cs="Palatino Linotype"/>
          <w:b/>
        </w:rPr>
        <w:t xml:space="preserve"> códigos bidimensionales o códigos QR,</w:t>
      </w:r>
      <w:r w:rsidRPr="004827EF">
        <w:rPr>
          <w:rFonts w:ascii="Palatino Linotype" w:eastAsia="Palatino Linotype" w:hAnsi="Palatino Linotype" w:cs="Palatino Linotype"/>
        </w:rPr>
        <w:t xml:space="preserve"> y cualquier información de carácter fiscal, bajo las siguientes consideraciones. </w:t>
      </w:r>
    </w:p>
    <w:p w14:paraId="38861C3B" w14:textId="77777777" w:rsidR="00BF22D2" w:rsidRPr="004827EF" w:rsidRDefault="00D63F3D">
      <w:pPr>
        <w:spacing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En cuanto al RFC, este constituye un dato personal, ya que para su obtención es necesario acreditar ante la autoridad fiscal previamente la identidad de la persona, su fecha de nacimiento, entre otros aspectos.</w:t>
      </w:r>
    </w:p>
    <w:p w14:paraId="0BF5CD64"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FD53384"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61264603" w14:textId="77777777" w:rsidR="00BF22D2" w:rsidRPr="004827EF" w:rsidRDefault="00D63F3D">
      <w:pPr>
        <w:spacing w:after="120"/>
        <w:ind w:left="851" w:right="902"/>
        <w:jc w:val="both"/>
        <w:rPr>
          <w:rFonts w:ascii="Arial" w:eastAsia="Arial" w:hAnsi="Arial" w:cs="Arial"/>
        </w:rPr>
      </w:pPr>
      <w:r w:rsidRPr="004827EF">
        <w:rPr>
          <w:rFonts w:ascii="Palatino Linotype" w:eastAsia="Palatino Linotype" w:hAnsi="Palatino Linotype" w:cs="Palatino Linotype"/>
          <w:b/>
          <w:i/>
          <w:sz w:val="20"/>
          <w:szCs w:val="20"/>
        </w:rPr>
        <w:t xml:space="preserve">“Registro Federal de Contribuyentes (RFC) de personas físicas. </w:t>
      </w:r>
      <w:r w:rsidRPr="004827EF">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1458D30F" w14:textId="77777777" w:rsidR="00BF22D2" w:rsidRPr="004827EF" w:rsidRDefault="00D63F3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4827EF">
        <w:rPr>
          <w:rFonts w:ascii="Palatino Linotype" w:eastAsia="Palatino Linotype" w:hAnsi="Palatino Linotype" w:cs="Palatino Linotype"/>
        </w:rPr>
        <w:t>homoclave</w:t>
      </w:r>
      <w:proofErr w:type="spellEnd"/>
      <w:r w:rsidRPr="004827EF">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EA5A47E" w14:textId="77777777" w:rsidR="00BF22D2" w:rsidRPr="004827EF" w:rsidRDefault="00D63F3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cuanto al CURP, en virtud de que éste se integra por datos personales que únicamente le conciernen a un particular como son su fecha de nacimiento, su </w:t>
      </w:r>
      <w:r w:rsidRPr="004827EF">
        <w:rPr>
          <w:rFonts w:ascii="Palatino Linotype" w:eastAsia="Palatino Linotype" w:hAnsi="Palatino Linotype" w:cs="Palatino Linotype"/>
        </w:rPr>
        <w:lastRenderedPageBreak/>
        <w:t>nombre, sus apellidos y su lugar de nacimiento; información que permite distinguirlo del resto de los habitantes, se considera que es de carácter confidencial.</w:t>
      </w:r>
    </w:p>
    <w:p w14:paraId="23A43889"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Argumento que es compartido por el Instituto Nacional de Transparencia, Acceso a la Información y Protección de Datos (INAI)</w:t>
      </w:r>
      <w:r w:rsidRPr="004827EF">
        <w:rPr>
          <w:rFonts w:ascii="Palatino Linotype" w:eastAsia="Palatino Linotype" w:hAnsi="Palatino Linotype" w:cs="Palatino Linotype"/>
          <w:b/>
        </w:rPr>
        <w:t xml:space="preserve">, conforme al </w:t>
      </w:r>
      <w:r w:rsidRPr="004827EF">
        <w:rPr>
          <w:rFonts w:ascii="Palatino Linotype" w:eastAsia="Palatino Linotype" w:hAnsi="Palatino Linotype" w:cs="Palatino Linotype"/>
        </w:rPr>
        <w:t xml:space="preserve">criterio número 18/17, el cual refiere: </w:t>
      </w:r>
    </w:p>
    <w:p w14:paraId="6E19B389" w14:textId="77777777" w:rsidR="00BF22D2" w:rsidRPr="004827EF" w:rsidRDefault="00D63F3D">
      <w:pPr>
        <w:pBdr>
          <w:top w:val="nil"/>
          <w:left w:val="nil"/>
          <w:bottom w:val="nil"/>
          <w:right w:val="nil"/>
          <w:between w:val="nil"/>
        </w:pBdr>
        <w:spacing w:after="120"/>
        <w:ind w:left="851" w:right="902"/>
        <w:jc w:val="both"/>
        <w:rPr>
          <w:rFonts w:ascii="Arial" w:eastAsia="Arial" w:hAnsi="Arial" w:cs="Arial"/>
          <w:b/>
        </w:rPr>
      </w:pPr>
      <w:r w:rsidRPr="004827EF">
        <w:rPr>
          <w:rFonts w:ascii="Palatino Linotype" w:eastAsia="Palatino Linotype" w:hAnsi="Palatino Linotype" w:cs="Palatino Linotype"/>
          <w:b/>
          <w:i/>
          <w:sz w:val="20"/>
          <w:szCs w:val="20"/>
        </w:rPr>
        <w:t xml:space="preserve">“Clave Única de Registro de Población (CURP). </w:t>
      </w:r>
      <w:r w:rsidRPr="004827EF">
        <w:rPr>
          <w:rFonts w:ascii="Palatino Linotype" w:eastAsia="Palatino Linotype" w:hAnsi="Palatino Linotype" w:cs="Palatino Linotype"/>
          <w:i/>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B0991D1"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692BF34A" w14:textId="77777777" w:rsidR="00BF22D2" w:rsidRPr="004827EF" w:rsidRDefault="00D63F3D">
      <w:pPr>
        <w:spacing w:before="240" w:after="240"/>
        <w:ind w:left="567" w:right="900"/>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“El número de ficha de identificación única de los trabajadores es información de carácter confidencial.</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i/>
          <w:sz w:val="22"/>
          <w:szCs w:val="22"/>
          <w:u w:val="single"/>
        </w:rPr>
        <w:t>dicha información es susceptible de clasificarse con el carácter de confidencial</w:t>
      </w:r>
      <w:r w:rsidRPr="004827EF">
        <w:rPr>
          <w:rFonts w:ascii="Palatino Linotype" w:eastAsia="Palatino Linotype" w:hAnsi="Palatino Linotype" w:cs="Palatino Linotype"/>
          <w:i/>
          <w:sz w:val="22"/>
          <w:szCs w:val="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14:paraId="56213B2B"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Respecto de los </w:t>
      </w:r>
      <w:r w:rsidRPr="004827EF">
        <w:rPr>
          <w:rFonts w:ascii="Palatino Linotype" w:eastAsia="Palatino Linotype" w:hAnsi="Palatino Linotype" w:cs="Palatino Linotype"/>
          <w:b/>
        </w:rPr>
        <w:t>préstamos o descuentos</w:t>
      </w:r>
      <w:r w:rsidRPr="004827EF">
        <w:rPr>
          <w:rFonts w:ascii="Palatino Linotype" w:eastAsia="Palatino Linotype" w:hAnsi="Palatino Linotype" w:cs="Palatino Linotype"/>
        </w:rPr>
        <w:t xml:space="preserve"> </w:t>
      </w:r>
      <w:r w:rsidRPr="004827EF">
        <w:rPr>
          <w:rFonts w:ascii="Palatino Linotype" w:eastAsia="Palatino Linotype" w:hAnsi="Palatino Linotype" w:cs="Palatino Linotype"/>
          <w:b/>
        </w:rPr>
        <w:t>de carácter personal</w:t>
      </w:r>
      <w:r w:rsidRPr="004827EF">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3E7BFEE" w14:textId="77777777" w:rsidR="00BF22D2" w:rsidRPr="004827EF" w:rsidRDefault="00D63F3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827EF">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7CBAE918" w14:textId="77777777" w:rsidR="00BF22D2" w:rsidRPr="004827EF" w:rsidRDefault="00D63F3D">
      <w:pPr>
        <w:ind w:left="851" w:right="851"/>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 xml:space="preserve">“ARTÍCULO 84. </w:t>
      </w:r>
      <w:r w:rsidRPr="004827EF">
        <w:rPr>
          <w:rFonts w:ascii="Palatino Linotype" w:eastAsia="Palatino Linotype" w:hAnsi="Palatino Linotype" w:cs="Palatino Linotype"/>
          <w:i/>
          <w:sz w:val="22"/>
          <w:szCs w:val="22"/>
        </w:rPr>
        <w:t>Sólo podrán hacerse retenciones, descuentos o deducciones al sueldo de los servidores públicos por concepto de:</w:t>
      </w:r>
    </w:p>
    <w:p w14:paraId="298D438B" w14:textId="77777777" w:rsidR="00BF22D2" w:rsidRPr="004827EF" w:rsidRDefault="00D63F3D">
      <w:pPr>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 Gravámenes fiscales relacionados con el sueldo;</w:t>
      </w:r>
    </w:p>
    <w:p w14:paraId="2B64EEDC" w14:textId="77777777" w:rsidR="00BF22D2" w:rsidRPr="004827EF" w:rsidRDefault="00D63F3D">
      <w:pPr>
        <w:ind w:left="851" w:right="851"/>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5A2C2CB6" w14:textId="77777777" w:rsidR="00BF22D2" w:rsidRPr="004827EF" w:rsidRDefault="00D63F3D">
      <w:pPr>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III. Cuotas sindicales;</w:t>
      </w:r>
    </w:p>
    <w:p w14:paraId="6BBC2432" w14:textId="77777777" w:rsidR="00BF22D2" w:rsidRPr="004827EF" w:rsidRDefault="00D63F3D">
      <w:pPr>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2BC58974" w14:textId="77777777" w:rsidR="00BF22D2" w:rsidRPr="004827EF" w:rsidRDefault="00D63F3D">
      <w:pPr>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436E136" w14:textId="77777777" w:rsidR="00BF22D2" w:rsidRPr="004827EF" w:rsidRDefault="00D63F3D">
      <w:pPr>
        <w:ind w:left="851" w:right="851"/>
        <w:jc w:val="both"/>
        <w:rPr>
          <w:rFonts w:ascii="Palatino Linotype" w:eastAsia="Palatino Linotype" w:hAnsi="Palatino Linotype" w:cs="Palatino Linotype"/>
          <w:i/>
          <w:sz w:val="22"/>
          <w:szCs w:val="22"/>
        </w:rPr>
      </w:pPr>
      <w:bookmarkStart w:id="3" w:name="_heading=h.1fob9te" w:colFirst="0" w:colLast="0"/>
      <w:bookmarkEnd w:id="3"/>
      <w:r w:rsidRPr="004827EF">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86AA5B0" w14:textId="77777777" w:rsidR="00BF22D2" w:rsidRPr="004827EF" w:rsidRDefault="00D63F3D">
      <w:pPr>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VII. Faltas de puntualidad o de asistencia injustificadas;</w:t>
      </w:r>
    </w:p>
    <w:p w14:paraId="0E633F4F" w14:textId="77777777" w:rsidR="00BF22D2" w:rsidRPr="004827EF" w:rsidRDefault="00D63F3D">
      <w:pPr>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VIII. Pensiones alimenticias ordenadas por la autoridad judicial;</w:t>
      </w:r>
      <w:r w:rsidRPr="004827EF">
        <w:rPr>
          <w:rFonts w:ascii="Palatino Linotype" w:eastAsia="Palatino Linotype" w:hAnsi="Palatino Linotype" w:cs="Palatino Linotype"/>
          <w:i/>
          <w:sz w:val="22"/>
          <w:szCs w:val="22"/>
        </w:rPr>
        <w:t xml:space="preserve"> o</w:t>
      </w:r>
    </w:p>
    <w:p w14:paraId="10808288" w14:textId="77777777" w:rsidR="00BF22D2" w:rsidRPr="004827EF" w:rsidRDefault="00D63F3D">
      <w:pPr>
        <w:ind w:left="851" w:right="851"/>
        <w:jc w:val="both"/>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IX. Cualquier otro convenido con instituciones de servicios y aceptado por el servidor público.</w:t>
      </w:r>
    </w:p>
    <w:p w14:paraId="2D1C642A" w14:textId="77777777" w:rsidR="00BF22D2" w:rsidRPr="004827EF" w:rsidRDefault="00D63F3D">
      <w:pPr>
        <w:spacing w:after="120"/>
        <w:ind w:left="851" w:right="8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w:t>
      </w:r>
      <w:r w:rsidRPr="004827EF">
        <w:rPr>
          <w:rFonts w:ascii="Palatino Linotype" w:eastAsia="Palatino Linotype" w:hAnsi="Palatino Linotype" w:cs="Palatino Linotype"/>
          <w:i/>
          <w:sz w:val="22"/>
          <w:szCs w:val="22"/>
        </w:rPr>
        <w:lastRenderedPageBreak/>
        <w:t>para hacer posible el derecho constitucional a una vivienda digna, o se refieran a lo establecido en la fracción VIII de este artículo, en que se ajustará a lo determinado por la autoridad judicial.” (Sic)</w:t>
      </w:r>
    </w:p>
    <w:p w14:paraId="353B610C" w14:textId="77777777" w:rsidR="00BF22D2" w:rsidRPr="004827EF" w:rsidRDefault="00D63F3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206CF45" w14:textId="77777777" w:rsidR="00BF22D2" w:rsidRPr="004827EF" w:rsidRDefault="00D63F3D">
      <w:p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1A4A4F9A"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De la información fiscal</w:t>
      </w:r>
      <w:r w:rsidRPr="004827EF">
        <w:rPr>
          <w:rFonts w:ascii="Palatino Linotype" w:eastAsia="Palatino Linotype" w:hAnsi="Palatino Linotype" w:cs="Palatino Linotype"/>
        </w:rPr>
        <w:t xml:space="preserve">: </w:t>
      </w:r>
    </w:p>
    <w:p w14:paraId="2FDC9000"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La </w:t>
      </w:r>
      <w:r w:rsidRPr="004827EF">
        <w:rPr>
          <w:rFonts w:ascii="Palatino Linotype" w:eastAsia="Palatino Linotype" w:hAnsi="Palatino Linotype" w:cs="Palatino Linotype"/>
          <w:b/>
        </w:rPr>
        <w:t>Cadena Original</w:t>
      </w:r>
      <w:r w:rsidRPr="004827EF">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3B8D2DA9"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Los </w:t>
      </w:r>
      <w:r w:rsidRPr="004827EF">
        <w:rPr>
          <w:rFonts w:ascii="Palatino Linotype" w:eastAsia="Palatino Linotype" w:hAnsi="Palatino Linotype" w:cs="Palatino Linotype"/>
          <w:b/>
        </w:rPr>
        <w:t>códigos bidimensionales</w:t>
      </w:r>
      <w:r w:rsidRPr="004827EF">
        <w:rPr>
          <w:rFonts w:ascii="Palatino Linotype" w:eastAsia="Palatino Linotype" w:hAnsi="Palatino Linotype" w:cs="Palatino Linotype"/>
        </w:rPr>
        <w:t xml:space="preserve"> o </w:t>
      </w:r>
      <w:r w:rsidRPr="004827EF">
        <w:rPr>
          <w:rFonts w:ascii="Palatino Linotype" w:eastAsia="Palatino Linotype" w:hAnsi="Palatino Linotype" w:cs="Palatino Linotype"/>
          <w:b/>
        </w:rPr>
        <w:t xml:space="preserve">códigos QR, </w:t>
      </w:r>
      <w:r w:rsidRPr="004827EF">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w:t>
      </w:r>
      <w:r w:rsidRPr="004827EF">
        <w:rPr>
          <w:rFonts w:ascii="Palatino Linotype" w:eastAsia="Palatino Linotype" w:hAnsi="Palatino Linotype" w:cs="Palatino Linotype"/>
        </w:rPr>
        <w:lastRenderedPageBreak/>
        <w:t xml:space="preserve">a través de lectores que pueden ser obtenidos por cualquier persona, pueden contener datos personales, no susceptibles de conocimiento público, debiendo el </w:t>
      </w:r>
      <w:r w:rsidRPr="004827EF">
        <w:rPr>
          <w:rFonts w:ascii="Palatino Linotype" w:eastAsia="Palatino Linotype" w:hAnsi="Palatino Linotype" w:cs="Palatino Linotype"/>
          <w:b/>
        </w:rPr>
        <w:t xml:space="preserve">Sujeto Obligado </w:t>
      </w:r>
      <w:r w:rsidRPr="004827EF">
        <w:rPr>
          <w:rFonts w:ascii="Palatino Linotype" w:eastAsia="Palatino Linotype" w:hAnsi="Palatino Linotype" w:cs="Palatino Linotype"/>
        </w:rPr>
        <w:t>analizar dicha circunstancia con la finalidad de determinar si se actualiza algún supuesto de confidencialidad.</w:t>
      </w:r>
    </w:p>
    <w:p w14:paraId="321D882F"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tal sentido, si derivado del análisis efectuado por </w:t>
      </w:r>
      <w:r w:rsidRPr="004827EF">
        <w:rPr>
          <w:rFonts w:ascii="Palatino Linotype" w:eastAsia="Palatino Linotype" w:hAnsi="Palatino Linotype" w:cs="Palatino Linotype"/>
          <w:b/>
        </w:rPr>
        <w:t xml:space="preserve">Sujeto Obligado </w:t>
      </w:r>
      <w:r w:rsidRPr="004827EF">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31FE3A1C" w14:textId="77777777" w:rsidR="00BF22D2" w:rsidRPr="004827EF" w:rsidRDefault="00D63F3D">
      <w:pPr>
        <w:spacing w:line="360" w:lineRule="auto"/>
        <w:ind w:right="51"/>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4827EF">
        <w:rPr>
          <w:rFonts w:ascii="Palatino Linotype" w:eastAsia="Palatino Linotype" w:hAnsi="Palatino Linotype" w:cs="Palatino Linotype"/>
        </w:rPr>
        <w:t>Responsable</w:t>
      </w:r>
      <w:proofErr w:type="gramEnd"/>
      <w:r w:rsidRPr="004827EF">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107FF25" w14:textId="77777777" w:rsidR="00BF22D2" w:rsidRPr="004827EF" w:rsidRDefault="00BF22D2">
      <w:pPr>
        <w:spacing w:line="360" w:lineRule="auto"/>
        <w:ind w:right="51"/>
        <w:jc w:val="both"/>
        <w:rPr>
          <w:rFonts w:ascii="Palatino Linotype" w:eastAsia="Palatino Linotype" w:hAnsi="Palatino Linotype" w:cs="Palatino Linotype"/>
        </w:rPr>
      </w:pPr>
    </w:p>
    <w:p w14:paraId="2AD3E00C" w14:textId="77777777" w:rsidR="00BF22D2" w:rsidRPr="004827EF" w:rsidRDefault="00D63F3D">
      <w:pPr>
        <w:ind w:left="992" w:right="10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49.</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Los Comités de Transparencia</w:t>
      </w:r>
      <w:r w:rsidRPr="004827EF">
        <w:rPr>
          <w:rFonts w:ascii="Palatino Linotype" w:eastAsia="Palatino Linotype" w:hAnsi="Palatino Linotype" w:cs="Palatino Linotype"/>
          <w:i/>
          <w:sz w:val="22"/>
          <w:szCs w:val="22"/>
        </w:rPr>
        <w:t xml:space="preserve"> tendrán las siguientes atribuciones:</w:t>
      </w:r>
    </w:p>
    <w:p w14:paraId="1D46E948" w14:textId="77777777" w:rsidR="00BF22D2" w:rsidRPr="004827EF" w:rsidRDefault="00D63F3D">
      <w:pPr>
        <w:ind w:left="992" w:right="10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VIII. Aprobar, modificar o revocar la clasificación de la información</w:t>
      </w:r>
      <w:r w:rsidRPr="004827EF">
        <w:rPr>
          <w:rFonts w:ascii="Palatino Linotype" w:eastAsia="Palatino Linotype" w:hAnsi="Palatino Linotype" w:cs="Palatino Linotype"/>
          <w:i/>
          <w:sz w:val="22"/>
          <w:szCs w:val="22"/>
        </w:rPr>
        <w:t>…”</w:t>
      </w:r>
    </w:p>
    <w:p w14:paraId="4470219F" w14:textId="77777777" w:rsidR="00BF22D2" w:rsidRPr="004827EF" w:rsidRDefault="00D63F3D">
      <w:pPr>
        <w:ind w:left="992" w:right="10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53.</w:t>
      </w:r>
      <w:r w:rsidRPr="004827EF">
        <w:rPr>
          <w:rFonts w:ascii="Palatino Linotype" w:eastAsia="Palatino Linotype" w:hAnsi="Palatino Linotype" w:cs="Palatino Linotype"/>
          <w:i/>
          <w:sz w:val="22"/>
          <w:szCs w:val="22"/>
        </w:rPr>
        <w:t xml:space="preserve"> Las </w:t>
      </w:r>
      <w:r w:rsidRPr="004827EF">
        <w:rPr>
          <w:rFonts w:ascii="Palatino Linotype" w:eastAsia="Palatino Linotype" w:hAnsi="Palatino Linotype" w:cs="Palatino Linotype"/>
          <w:b/>
          <w:i/>
          <w:sz w:val="22"/>
          <w:szCs w:val="22"/>
        </w:rPr>
        <w:t>Unidades de Transparencia</w:t>
      </w:r>
      <w:r w:rsidRPr="004827EF">
        <w:rPr>
          <w:rFonts w:ascii="Palatino Linotype" w:eastAsia="Palatino Linotype" w:hAnsi="Palatino Linotype" w:cs="Palatino Linotype"/>
          <w:i/>
          <w:sz w:val="22"/>
          <w:szCs w:val="22"/>
        </w:rPr>
        <w:t xml:space="preserve"> tendrán las siguientes </w:t>
      </w:r>
      <w:r w:rsidRPr="004827EF">
        <w:rPr>
          <w:rFonts w:ascii="Palatino Linotype" w:eastAsia="Palatino Linotype" w:hAnsi="Palatino Linotype" w:cs="Palatino Linotype"/>
          <w:b/>
          <w:i/>
          <w:sz w:val="22"/>
          <w:szCs w:val="22"/>
        </w:rPr>
        <w:t>funciones</w:t>
      </w:r>
      <w:r w:rsidRPr="004827EF">
        <w:rPr>
          <w:rFonts w:ascii="Palatino Linotype" w:eastAsia="Palatino Linotype" w:hAnsi="Palatino Linotype" w:cs="Palatino Linotype"/>
          <w:i/>
          <w:sz w:val="22"/>
          <w:szCs w:val="22"/>
        </w:rPr>
        <w:t>:</w:t>
      </w:r>
    </w:p>
    <w:p w14:paraId="1CC6A446" w14:textId="77777777" w:rsidR="00BF22D2" w:rsidRPr="004827EF" w:rsidRDefault="00D63F3D">
      <w:pPr>
        <w:ind w:left="992" w:right="10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lastRenderedPageBreak/>
        <w:t>X. Presentar ante el Comité, el proyecto de clasificación de información</w:t>
      </w:r>
      <w:r w:rsidRPr="004827EF">
        <w:rPr>
          <w:rFonts w:ascii="Palatino Linotype" w:eastAsia="Palatino Linotype" w:hAnsi="Palatino Linotype" w:cs="Palatino Linotype"/>
          <w:i/>
          <w:sz w:val="22"/>
          <w:szCs w:val="22"/>
        </w:rPr>
        <w:t xml:space="preserve">…” </w:t>
      </w:r>
    </w:p>
    <w:p w14:paraId="0B98C296" w14:textId="77777777" w:rsidR="00BF22D2" w:rsidRPr="004827EF" w:rsidRDefault="00D63F3D">
      <w:pPr>
        <w:ind w:left="992" w:right="10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“Artículo 59.</w:t>
      </w:r>
      <w:r w:rsidRPr="004827EF">
        <w:rPr>
          <w:rFonts w:ascii="Palatino Linotype" w:eastAsia="Palatino Linotype" w:hAnsi="Palatino Linotype" w:cs="Palatino Linotype"/>
          <w:i/>
          <w:sz w:val="22"/>
          <w:szCs w:val="22"/>
        </w:rPr>
        <w:t xml:space="preserve"> Los </w:t>
      </w:r>
      <w:r w:rsidRPr="004827EF">
        <w:rPr>
          <w:rFonts w:ascii="Palatino Linotype" w:eastAsia="Palatino Linotype" w:hAnsi="Palatino Linotype" w:cs="Palatino Linotype"/>
          <w:b/>
          <w:i/>
          <w:sz w:val="22"/>
          <w:szCs w:val="22"/>
        </w:rPr>
        <w:t>servidores públicos habilitados</w:t>
      </w:r>
      <w:r w:rsidRPr="004827EF">
        <w:rPr>
          <w:rFonts w:ascii="Palatino Linotype" w:eastAsia="Palatino Linotype" w:hAnsi="Palatino Linotype" w:cs="Palatino Linotype"/>
          <w:i/>
          <w:sz w:val="22"/>
          <w:szCs w:val="22"/>
        </w:rPr>
        <w:t xml:space="preserve"> tendrán las </w:t>
      </w:r>
      <w:r w:rsidRPr="004827EF">
        <w:rPr>
          <w:rFonts w:ascii="Palatino Linotype" w:eastAsia="Palatino Linotype" w:hAnsi="Palatino Linotype" w:cs="Palatino Linotype"/>
          <w:b/>
          <w:i/>
          <w:sz w:val="22"/>
          <w:szCs w:val="22"/>
        </w:rPr>
        <w:t>funciones</w:t>
      </w:r>
      <w:r w:rsidRPr="004827EF">
        <w:rPr>
          <w:rFonts w:ascii="Palatino Linotype" w:eastAsia="Palatino Linotype" w:hAnsi="Palatino Linotype" w:cs="Palatino Linotype"/>
          <w:i/>
          <w:sz w:val="22"/>
          <w:szCs w:val="22"/>
        </w:rPr>
        <w:t xml:space="preserve"> siguientes:</w:t>
      </w:r>
    </w:p>
    <w:p w14:paraId="7E6DADF5" w14:textId="77777777" w:rsidR="00BF22D2" w:rsidRPr="004827EF" w:rsidRDefault="00D63F3D">
      <w:pPr>
        <w:ind w:left="992" w:right="1043"/>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827EF">
        <w:rPr>
          <w:rFonts w:ascii="Palatino Linotype" w:eastAsia="Palatino Linotype" w:hAnsi="Palatino Linotype" w:cs="Palatino Linotype"/>
          <w:i/>
          <w:sz w:val="22"/>
          <w:szCs w:val="22"/>
        </w:rPr>
        <w:t>, la cual tendrá los fundamentos y argumentos en que se basa dicha propuesta</w:t>
      </w:r>
      <w:proofErr w:type="gramStart"/>
      <w:r w:rsidRPr="004827EF">
        <w:rPr>
          <w:rFonts w:ascii="Palatino Linotype" w:eastAsia="Palatino Linotype" w:hAnsi="Palatino Linotype" w:cs="Palatino Linotype"/>
          <w:i/>
          <w:sz w:val="22"/>
          <w:szCs w:val="22"/>
        </w:rPr>
        <w:t>…”(</w:t>
      </w:r>
      <w:proofErr w:type="gramEnd"/>
      <w:r w:rsidRPr="004827EF">
        <w:rPr>
          <w:rFonts w:ascii="Palatino Linotype" w:eastAsia="Palatino Linotype" w:hAnsi="Palatino Linotype" w:cs="Palatino Linotype"/>
          <w:i/>
          <w:sz w:val="22"/>
          <w:szCs w:val="22"/>
        </w:rPr>
        <w:t>Sic)</w:t>
      </w:r>
    </w:p>
    <w:p w14:paraId="50B79C6B" w14:textId="77777777" w:rsidR="00BF22D2" w:rsidRPr="004827EF" w:rsidRDefault="00BF22D2">
      <w:pPr>
        <w:ind w:left="992" w:right="1043"/>
        <w:jc w:val="both"/>
        <w:rPr>
          <w:rFonts w:ascii="Palatino Linotype" w:eastAsia="Palatino Linotype" w:hAnsi="Palatino Linotype" w:cs="Palatino Linotype"/>
          <w:i/>
          <w:sz w:val="22"/>
          <w:szCs w:val="22"/>
        </w:rPr>
      </w:pPr>
    </w:p>
    <w:p w14:paraId="2EF89DFF"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2D21369" w14:textId="77777777" w:rsidR="00BF22D2" w:rsidRPr="004827EF" w:rsidRDefault="00BF22D2">
      <w:pPr>
        <w:spacing w:line="360" w:lineRule="auto"/>
        <w:jc w:val="both"/>
        <w:rPr>
          <w:rFonts w:ascii="Palatino Linotype" w:eastAsia="Palatino Linotype" w:hAnsi="Palatino Linotype" w:cs="Palatino Linotype"/>
        </w:rPr>
      </w:pPr>
    </w:p>
    <w:p w14:paraId="203F5978"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9581E85" w14:textId="77777777" w:rsidR="00BF22D2" w:rsidRPr="004827EF" w:rsidRDefault="00BF22D2">
      <w:pPr>
        <w:spacing w:line="360" w:lineRule="auto"/>
        <w:jc w:val="both"/>
        <w:rPr>
          <w:rFonts w:ascii="Palatino Linotype" w:eastAsia="Palatino Linotype" w:hAnsi="Palatino Linotype" w:cs="Palatino Linotype"/>
        </w:rPr>
      </w:pPr>
    </w:p>
    <w:p w14:paraId="0497AA90" w14:textId="77777777" w:rsidR="00BF22D2" w:rsidRPr="004827EF" w:rsidRDefault="00D63F3D">
      <w:pPr>
        <w:spacing w:after="240"/>
        <w:ind w:left="993" w:right="104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r w:rsidRPr="004827EF">
        <w:rPr>
          <w:rFonts w:ascii="Palatino Linotype" w:eastAsia="Palatino Linotype" w:hAnsi="Palatino Linotype" w:cs="Palatino Linotype"/>
          <w:b/>
          <w:i/>
          <w:sz w:val="22"/>
          <w:szCs w:val="22"/>
        </w:rPr>
        <w:t>Artículo 149.</w:t>
      </w:r>
      <w:r w:rsidRPr="004827EF">
        <w:rPr>
          <w:rFonts w:ascii="Palatino Linotype" w:eastAsia="Palatino Linotype" w:hAnsi="Palatino Linotype" w:cs="Palatino Linotype"/>
          <w:i/>
          <w:sz w:val="22"/>
          <w:szCs w:val="22"/>
        </w:rPr>
        <w:t xml:space="preserve"> El </w:t>
      </w:r>
      <w:r w:rsidRPr="004827EF">
        <w:rPr>
          <w:rFonts w:ascii="Palatino Linotype" w:eastAsia="Palatino Linotype" w:hAnsi="Palatino Linotype" w:cs="Palatino Linotype"/>
          <w:b/>
          <w:i/>
          <w:sz w:val="22"/>
          <w:szCs w:val="22"/>
        </w:rPr>
        <w:t>acuerdo que clasifique la información como confidencial</w:t>
      </w:r>
      <w:r w:rsidRPr="004827E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9770C69" w14:textId="77777777" w:rsidR="00BF22D2" w:rsidRPr="004827EF" w:rsidRDefault="00BF22D2">
      <w:pPr>
        <w:spacing w:before="240" w:line="360" w:lineRule="auto"/>
        <w:ind w:right="51"/>
        <w:jc w:val="both"/>
        <w:rPr>
          <w:rFonts w:ascii="Palatino Linotype" w:eastAsia="Palatino Linotype" w:hAnsi="Palatino Linotype" w:cs="Palatino Linotype"/>
        </w:rPr>
      </w:pPr>
    </w:p>
    <w:p w14:paraId="7723F786" w14:textId="77777777" w:rsidR="00BF22D2" w:rsidRPr="004827EF" w:rsidRDefault="00D63F3D">
      <w:pPr>
        <w:spacing w:line="360" w:lineRule="auto"/>
        <w:ind w:right="51"/>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Es decir,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w:t>
      </w:r>
      <w:r w:rsidRPr="004827EF">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9DBD8A6" w14:textId="77777777" w:rsidR="00BF22D2" w:rsidRPr="004827EF" w:rsidRDefault="00BF22D2">
      <w:pPr>
        <w:spacing w:line="360" w:lineRule="auto"/>
        <w:ind w:right="51"/>
        <w:jc w:val="both"/>
        <w:rPr>
          <w:rFonts w:ascii="Palatino Linotype" w:eastAsia="Palatino Linotype" w:hAnsi="Palatino Linotype" w:cs="Palatino Linotype"/>
        </w:rPr>
      </w:pPr>
    </w:p>
    <w:p w14:paraId="421333A4"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Al respecto, se destaca que la versión pública que elabore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827EF">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4827EF">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5B10486" w14:textId="77777777" w:rsidR="00BF22D2" w:rsidRPr="004827EF" w:rsidRDefault="00BF22D2">
      <w:pPr>
        <w:ind w:left="709" w:right="709"/>
        <w:jc w:val="both"/>
        <w:rPr>
          <w:rFonts w:ascii="Palatino Linotype" w:eastAsia="Palatino Linotype" w:hAnsi="Palatino Linotype" w:cs="Palatino Linotype"/>
          <w:b/>
          <w:i/>
          <w:sz w:val="22"/>
          <w:szCs w:val="22"/>
        </w:rPr>
      </w:pPr>
    </w:p>
    <w:p w14:paraId="230782BD"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22F6273"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i/>
          <w:sz w:val="22"/>
          <w:szCs w:val="22"/>
        </w:rPr>
        <w:t>“</w:t>
      </w:r>
      <w:proofErr w:type="gramStart"/>
      <w:r w:rsidRPr="004827EF">
        <w:rPr>
          <w:rFonts w:ascii="Palatino Linotype" w:eastAsia="Palatino Linotype" w:hAnsi="Palatino Linotype" w:cs="Palatino Linotype"/>
          <w:b/>
          <w:i/>
          <w:sz w:val="22"/>
          <w:szCs w:val="22"/>
        </w:rPr>
        <w:t>Segundo.-</w:t>
      </w:r>
      <w:proofErr w:type="gramEnd"/>
      <w:r w:rsidRPr="004827EF">
        <w:rPr>
          <w:rFonts w:ascii="Palatino Linotype" w:eastAsia="Palatino Linotype" w:hAnsi="Palatino Linotype" w:cs="Palatino Linotype"/>
          <w:i/>
          <w:sz w:val="22"/>
          <w:szCs w:val="22"/>
        </w:rPr>
        <w:t xml:space="preserve"> Para efectos de los presentes Lineamientos Generales, se entenderá por:</w:t>
      </w:r>
    </w:p>
    <w:p w14:paraId="1EE0D528"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XVIII.</w:t>
      </w:r>
      <w:r w:rsidRPr="004827EF">
        <w:rPr>
          <w:rFonts w:ascii="Palatino Linotype" w:eastAsia="Palatino Linotype" w:hAnsi="Palatino Linotype" w:cs="Palatino Linotype"/>
          <w:i/>
          <w:sz w:val="22"/>
          <w:szCs w:val="22"/>
        </w:rPr>
        <w:t xml:space="preserve"> </w:t>
      </w:r>
      <w:r w:rsidRPr="004827EF">
        <w:rPr>
          <w:rFonts w:ascii="Palatino Linotype" w:eastAsia="Palatino Linotype" w:hAnsi="Palatino Linotype" w:cs="Palatino Linotype"/>
          <w:b/>
          <w:i/>
          <w:sz w:val="22"/>
          <w:szCs w:val="22"/>
        </w:rPr>
        <w:t>Versión pública:</w:t>
      </w:r>
      <w:r w:rsidRPr="004827E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827EF">
        <w:rPr>
          <w:rFonts w:ascii="Palatino Linotype" w:eastAsia="Palatino Linotype" w:hAnsi="Palatino Linotype" w:cs="Palatino Linotype"/>
          <w:b/>
          <w:i/>
          <w:sz w:val="22"/>
          <w:szCs w:val="22"/>
          <w:u w:val="single"/>
        </w:rPr>
        <w:t>fundando y motivando la</w:t>
      </w:r>
      <w:r w:rsidRPr="004827EF">
        <w:rPr>
          <w:rFonts w:ascii="Palatino Linotype" w:eastAsia="Palatino Linotype" w:hAnsi="Palatino Linotype" w:cs="Palatino Linotype"/>
          <w:i/>
          <w:sz w:val="22"/>
          <w:szCs w:val="22"/>
        </w:rPr>
        <w:t xml:space="preserve"> reserva o </w:t>
      </w:r>
      <w:r w:rsidRPr="004827EF">
        <w:rPr>
          <w:rFonts w:ascii="Palatino Linotype" w:eastAsia="Palatino Linotype" w:hAnsi="Palatino Linotype" w:cs="Palatino Linotype"/>
          <w:b/>
          <w:i/>
          <w:sz w:val="22"/>
          <w:szCs w:val="22"/>
          <w:u w:val="single"/>
        </w:rPr>
        <w:lastRenderedPageBreak/>
        <w:t>confidencialidad</w:t>
      </w:r>
      <w:r w:rsidRPr="004827EF">
        <w:rPr>
          <w:rFonts w:ascii="Palatino Linotype" w:eastAsia="Palatino Linotype" w:hAnsi="Palatino Linotype" w:cs="Palatino Linotype"/>
          <w:i/>
          <w:sz w:val="22"/>
          <w:szCs w:val="22"/>
        </w:rPr>
        <w:t>, a través de la resolución que para tal efecto emita el Comité de Transparencia.</w:t>
      </w:r>
    </w:p>
    <w:p w14:paraId="325E3147"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Cuarto.</w:t>
      </w:r>
      <w:r w:rsidRPr="004827EF">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955126"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5570F46"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Quinto.</w:t>
      </w:r>
      <w:r w:rsidRPr="004827E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7F1BC8F"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w:t>
      </w:r>
    </w:p>
    <w:p w14:paraId="1FDB8268"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Séptimo.</w:t>
      </w:r>
      <w:r w:rsidRPr="004827EF">
        <w:rPr>
          <w:rFonts w:ascii="Palatino Linotype" w:eastAsia="Palatino Linotype" w:hAnsi="Palatino Linotype" w:cs="Palatino Linotype"/>
          <w:i/>
          <w:sz w:val="22"/>
          <w:szCs w:val="22"/>
        </w:rPr>
        <w:t xml:space="preserve"> La clasificación de la información se llevará a cabo en el momento en que:</w:t>
      </w:r>
    </w:p>
    <w:p w14:paraId="43269C0F"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I.</w:t>
      </w:r>
      <w:r w:rsidRPr="004827EF">
        <w:rPr>
          <w:rFonts w:ascii="Palatino Linotype" w:eastAsia="Palatino Linotype" w:hAnsi="Palatino Linotype" w:cs="Palatino Linotype"/>
          <w:i/>
          <w:sz w:val="22"/>
          <w:szCs w:val="22"/>
        </w:rPr>
        <w:t xml:space="preserve"> Se reciba una solicitud de acceso a la información;</w:t>
      </w:r>
    </w:p>
    <w:p w14:paraId="3B3DC1D8" w14:textId="77777777" w:rsidR="00BF22D2" w:rsidRPr="004827EF" w:rsidRDefault="00D63F3D">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II.</w:t>
      </w:r>
      <w:r w:rsidRPr="004827EF">
        <w:rPr>
          <w:rFonts w:ascii="Palatino Linotype" w:eastAsia="Palatino Linotype" w:hAnsi="Palatino Linotype" w:cs="Palatino Linotype"/>
          <w:i/>
          <w:sz w:val="22"/>
          <w:szCs w:val="22"/>
        </w:rPr>
        <w:t xml:space="preserve"> </w:t>
      </w:r>
      <w:proofErr w:type="gramStart"/>
      <w:r w:rsidRPr="004827EF">
        <w:rPr>
          <w:rFonts w:ascii="Palatino Linotype" w:eastAsia="Palatino Linotype" w:hAnsi="Palatino Linotype" w:cs="Palatino Linotype"/>
          <w:i/>
          <w:sz w:val="22"/>
          <w:szCs w:val="22"/>
        </w:rPr>
        <w:t>Se  determine</w:t>
      </w:r>
      <w:proofErr w:type="gramEnd"/>
      <w:r w:rsidRPr="004827EF">
        <w:rPr>
          <w:rFonts w:ascii="Palatino Linotype" w:eastAsia="Palatino Linotype" w:hAnsi="Palatino Linotype" w:cs="Palatino Linotype"/>
          <w:i/>
          <w:sz w:val="22"/>
          <w:szCs w:val="22"/>
        </w:rPr>
        <w:t xml:space="preserve"> mediante resolución del Comité de Transparencia, el órgano garante </w:t>
      </w:r>
    </w:p>
    <w:p w14:paraId="4B423F81"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i/>
          <w:sz w:val="22"/>
          <w:szCs w:val="22"/>
        </w:rPr>
        <w:t>competente, o en cumplimiento a una sentencia del Poder Judicial; o</w:t>
      </w:r>
    </w:p>
    <w:p w14:paraId="478B0F01"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III.</w:t>
      </w:r>
      <w:r w:rsidRPr="004827E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CCB7CB8"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57C7323"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Octavo.</w:t>
      </w:r>
      <w:r w:rsidRPr="004827E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259ECD0"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EDEE55D" w14:textId="77777777" w:rsidR="00BF22D2" w:rsidRPr="004827EF" w:rsidRDefault="00D63F3D">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8122017"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lastRenderedPageBreak/>
        <w:t>Noveno.</w:t>
      </w:r>
      <w:r w:rsidRPr="004827E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A65DD35"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b/>
          <w:i/>
          <w:sz w:val="22"/>
          <w:szCs w:val="22"/>
        </w:rPr>
        <w:t>Décimo.</w:t>
      </w:r>
      <w:r w:rsidRPr="004827E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0E425B4"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B873026" w14:textId="77777777" w:rsidR="00BF22D2" w:rsidRPr="004827EF" w:rsidRDefault="00D63F3D">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Décimo primero.</w:t>
      </w:r>
      <w:r w:rsidRPr="004827E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C4EFFC4" w14:textId="77777777" w:rsidR="00BF22D2" w:rsidRPr="004827EF" w:rsidRDefault="00BF22D2">
      <w:pPr>
        <w:pBdr>
          <w:top w:val="nil"/>
          <w:left w:val="nil"/>
          <w:bottom w:val="nil"/>
          <w:right w:val="nil"/>
          <w:between w:val="nil"/>
        </w:pBdr>
        <w:ind w:right="709"/>
        <w:jc w:val="both"/>
      </w:pPr>
    </w:p>
    <w:p w14:paraId="0DB6D381" w14:textId="77777777" w:rsidR="00BF22D2" w:rsidRPr="004827EF" w:rsidRDefault="00D63F3D">
      <w:pPr>
        <w:pBdr>
          <w:top w:val="nil"/>
          <w:left w:val="nil"/>
          <w:bottom w:val="nil"/>
          <w:right w:val="nil"/>
          <w:between w:val="nil"/>
        </w:pBdr>
        <w:ind w:left="709" w:right="709"/>
        <w:jc w:val="both"/>
      </w:pPr>
      <w:r w:rsidRPr="004827EF">
        <w:rPr>
          <w:rFonts w:ascii="Palatino Linotype" w:eastAsia="Palatino Linotype" w:hAnsi="Palatino Linotype" w:cs="Palatino Linotype"/>
          <w:i/>
          <w:sz w:val="22"/>
          <w:szCs w:val="22"/>
        </w:rPr>
        <w:t>[…]</w:t>
      </w:r>
    </w:p>
    <w:p w14:paraId="39DCB269" w14:textId="77777777" w:rsidR="00BF22D2" w:rsidRPr="004827EF" w:rsidRDefault="00D63F3D">
      <w:pPr>
        <w:pBdr>
          <w:top w:val="nil"/>
          <w:left w:val="nil"/>
          <w:bottom w:val="nil"/>
          <w:right w:val="nil"/>
          <w:between w:val="nil"/>
        </w:pBdr>
        <w:ind w:left="709" w:right="709"/>
        <w:jc w:val="center"/>
      </w:pPr>
      <w:r w:rsidRPr="004827EF">
        <w:rPr>
          <w:rFonts w:ascii="Palatino Linotype" w:eastAsia="Palatino Linotype" w:hAnsi="Palatino Linotype" w:cs="Palatino Linotype"/>
          <w:b/>
          <w:i/>
          <w:sz w:val="22"/>
          <w:szCs w:val="22"/>
        </w:rPr>
        <w:t>CAPÍTULO VIII</w:t>
      </w:r>
    </w:p>
    <w:p w14:paraId="62B548F9" w14:textId="77777777" w:rsidR="00BF22D2" w:rsidRPr="004827EF" w:rsidRDefault="00D63F3D">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4827EF">
        <w:rPr>
          <w:rFonts w:ascii="Palatino Linotype" w:eastAsia="Palatino Linotype" w:hAnsi="Palatino Linotype" w:cs="Palatino Linotype"/>
          <w:b/>
          <w:i/>
          <w:sz w:val="22"/>
          <w:szCs w:val="22"/>
        </w:rPr>
        <w:t>DE LOS ELEMENTOS PARA LA CLASIFICACIÓN</w:t>
      </w:r>
    </w:p>
    <w:p w14:paraId="5FBD68B3"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Quincuagésimo</w:t>
      </w:r>
      <w:r w:rsidRPr="004827EF">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066789E"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Quincuagésimo primero</w:t>
      </w:r>
      <w:r w:rsidRPr="004827EF">
        <w:rPr>
          <w:rFonts w:ascii="Palatino Linotype" w:eastAsia="Palatino Linotype" w:hAnsi="Palatino Linotype" w:cs="Palatino Linotype"/>
          <w:i/>
          <w:sz w:val="22"/>
          <w:szCs w:val="22"/>
        </w:rPr>
        <w:t>. Toda acta del Comité de Transparencia deberá contener:</w:t>
      </w:r>
    </w:p>
    <w:p w14:paraId="762DF3DA"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I. El número de sesión y fecha; </w:t>
      </w:r>
    </w:p>
    <w:p w14:paraId="5BF0E3B6"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 El nombre del área que solicitó la clasificación de información;</w:t>
      </w:r>
    </w:p>
    <w:p w14:paraId="435CAC89"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III. La fundamentación legal y motivación correspondiente;</w:t>
      </w:r>
    </w:p>
    <w:p w14:paraId="5553E16E"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IV. La resolución o resoluciones aprobadas; y</w:t>
      </w:r>
    </w:p>
    <w:p w14:paraId="0DFC14C0"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V. La rúbrica o firma digital de cada integrante del Comité de Transparencia. </w:t>
      </w:r>
    </w:p>
    <w:p w14:paraId="1AB4D0C9"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5BA69FD"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lastRenderedPageBreak/>
        <w:t>I. Los motivos y razonamientos que sustenten la confirmación o modificación de la prueba de daño;</w:t>
      </w:r>
    </w:p>
    <w:p w14:paraId="7B80E6DF"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 Descripción de las partes o secciones reservadas, en caso de clasificación parcial;</w:t>
      </w:r>
    </w:p>
    <w:p w14:paraId="1B2602A8"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III. El periodo por el que mantendrá su clasificación y fecha de expiración; y</w:t>
      </w:r>
    </w:p>
    <w:p w14:paraId="1C40B46F"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IV. El nombre del titular y área encargada de realizar la versión pública del documento, en su caso.</w:t>
      </w:r>
    </w:p>
    <w:p w14:paraId="7956D226"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2C8F51E"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270365F"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b/>
          <w:i/>
          <w:sz w:val="22"/>
          <w:szCs w:val="22"/>
        </w:rPr>
        <w:t>Quincuagésimo segundo</w:t>
      </w:r>
      <w:r w:rsidRPr="004827EF">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5E2B65F"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57B4EE0"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68DC496"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7BB86D6"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III. Señalar las personas o instancias autorizadas a acceder a la información clasificada.</w:t>
      </w:r>
    </w:p>
    <w:p w14:paraId="60307923"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EA412CD"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w:t>
      </w:r>
    </w:p>
    <w:p w14:paraId="37720935" w14:textId="77777777" w:rsidR="00BF22D2" w:rsidRPr="004827EF" w:rsidRDefault="00D63F3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Quincuagésimo cuarto. Cuando el Comité de Transparencia confirme la clasificación de documentos reservados y/o confidenciales, sea total o parcialmente; se deberá anexar al expediente la resolución que determinó la clasificación o, en su defecto, </w:t>
      </w:r>
      <w:r w:rsidRPr="004827EF">
        <w:rPr>
          <w:rFonts w:ascii="Palatino Linotype" w:eastAsia="Palatino Linotype" w:hAnsi="Palatino Linotype" w:cs="Palatino Linotype"/>
          <w:i/>
          <w:sz w:val="22"/>
          <w:szCs w:val="22"/>
        </w:rPr>
        <w:lastRenderedPageBreak/>
        <w:t>identificar en la carátula del expediente del cual formen parte, la fecha y sesión del Comité de Transparencia en la que se confirmó dicha clasificación.</w:t>
      </w:r>
    </w:p>
    <w:p w14:paraId="2CD7FBB7" w14:textId="77777777" w:rsidR="00BF22D2" w:rsidRPr="004827EF" w:rsidRDefault="00D63F3D">
      <w:pPr>
        <w:pBdr>
          <w:top w:val="nil"/>
          <w:left w:val="nil"/>
          <w:bottom w:val="nil"/>
          <w:right w:val="nil"/>
          <w:between w:val="nil"/>
        </w:pBdr>
        <w:spacing w:after="160"/>
        <w:ind w:left="709" w:right="709"/>
        <w:jc w:val="both"/>
      </w:pPr>
      <w:r w:rsidRPr="004827EF">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4827EF">
        <w:rPr>
          <w:rFonts w:ascii="Palatino Linotype" w:eastAsia="Palatino Linotype" w:hAnsi="Palatino Linotype" w:cs="Palatino Linotype"/>
          <w:i/>
          <w:sz w:val="22"/>
          <w:szCs w:val="22"/>
        </w:rPr>
        <w:t>testado</w:t>
      </w:r>
      <w:proofErr w:type="spellEnd"/>
      <w:r w:rsidRPr="004827EF">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74E05D90" w14:textId="77777777" w:rsidR="00BF22D2" w:rsidRPr="004827EF" w:rsidRDefault="00BF22D2">
      <w:pPr>
        <w:spacing w:before="240" w:line="360" w:lineRule="auto"/>
        <w:ind w:right="51"/>
        <w:jc w:val="both"/>
        <w:rPr>
          <w:rFonts w:ascii="Palatino Linotype" w:eastAsia="Palatino Linotype" w:hAnsi="Palatino Linotype" w:cs="Palatino Linotype"/>
        </w:rPr>
      </w:pPr>
    </w:p>
    <w:p w14:paraId="5E726575"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5AB14FD" w14:textId="77777777" w:rsidR="00BF22D2" w:rsidRPr="004827EF" w:rsidRDefault="00BF22D2">
      <w:pPr>
        <w:spacing w:line="360" w:lineRule="auto"/>
        <w:jc w:val="both"/>
        <w:rPr>
          <w:rFonts w:ascii="Palatino Linotype" w:eastAsia="Palatino Linotype" w:hAnsi="Palatino Linotype" w:cs="Palatino Linotype"/>
        </w:rPr>
      </w:pPr>
    </w:p>
    <w:p w14:paraId="6F5125CB" w14:textId="77777777" w:rsidR="00BF22D2" w:rsidRPr="004827EF" w:rsidRDefault="00D63F3D">
      <w:pPr>
        <w:shd w:val="clear" w:color="auto" w:fill="FFFFFF"/>
        <w:spacing w:line="360" w:lineRule="auto"/>
        <w:ind w:right="51"/>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w:t>
      </w:r>
    </w:p>
    <w:p w14:paraId="1723CE91" w14:textId="77777777" w:rsidR="00BF22D2" w:rsidRPr="004827EF" w:rsidRDefault="00BF22D2">
      <w:pPr>
        <w:spacing w:line="360" w:lineRule="auto"/>
        <w:jc w:val="both"/>
        <w:rPr>
          <w:rFonts w:ascii="Palatino Linotype" w:eastAsia="Palatino Linotype" w:hAnsi="Palatino Linotype" w:cs="Palatino Linotype"/>
        </w:rPr>
      </w:pPr>
    </w:p>
    <w:p w14:paraId="53B840DB" w14:textId="77777777" w:rsidR="00BF22D2" w:rsidRPr="004827EF" w:rsidRDefault="00D63F3D">
      <w:pP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5E9CE387" w14:textId="77777777" w:rsidR="00BF22D2" w:rsidRPr="004827EF" w:rsidRDefault="00BF22D2">
      <w:pPr>
        <w:jc w:val="both"/>
      </w:pPr>
    </w:p>
    <w:p w14:paraId="43D1A74E"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D0C3F70" w14:textId="77777777" w:rsidR="00BF22D2" w:rsidRPr="004827EF" w:rsidRDefault="00D63F3D">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827EF">
        <w:rPr>
          <w:rFonts w:ascii="Palatino Linotype" w:eastAsia="Palatino Linotype" w:hAnsi="Palatino Linotype" w:cs="Palatino Linotype"/>
          <w:b/>
        </w:rPr>
        <w:t>R E S U E L V E:</w:t>
      </w:r>
    </w:p>
    <w:p w14:paraId="39EA9F4D" w14:textId="77777777" w:rsidR="00BF22D2" w:rsidRPr="004827EF" w:rsidRDefault="00D63F3D">
      <w:pPr>
        <w:spacing w:before="240" w:after="240" w:line="360" w:lineRule="auto"/>
        <w:jc w:val="both"/>
        <w:rPr>
          <w:rFonts w:ascii="Palatino Linotype" w:eastAsia="Palatino Linotype" w:hAnsi="Palatino Linotype" w:cs="Palatino Linotype"/>
          <w:b/>
        </w:rPr>
      </w:pPr>
      <w:r w:rsidRPr="004827EF">
        <w:rPr>
          <w:rFonts w:ascii="Palatino Linotype" w:eastAsia="Palatino Linotype" w:hAnsi="Palatino Linotype" w:cs="Palatino Linotype"/>
          <w:b/>
        </w:rPr>
        <w:t xml:space="preserve">Primero. </w:t>
      </w:r>
      <w:r w:rsidRPr="004827EF">
        <w:rPr>
          <w:rFonts w:ascii="Palatino Linotype" w:eastAsia="Palatino Linotype" w:hAnsi="Palatino Linotype" w:cs="Palatino Linotype"/>
        </w:rPr>
        <w:t xml:space="preserve">Resultan fundados los motivos de inconformidad hechos valer por la parte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xml:space="preserve"> en el Recurso de Revisión </w:t>
      </w:r>
      <w:r w:rsidRPr="004827EF">
        <w:rPr>
          <w:rFonts w:ascii="Palatino Linotype" w:eastAsia="Palatino Linotype" w:hAnsi="Palatino Linotype" w:cs="Palatino Linotype"/>
          <w:b/>
        </w:rPr>
        <w:t xml:space="preserve">05719/INFOEM/IP/RR/2024; </w:t>
      </w:r>
      <w:r w:rsidRPr="004827EF">
        <w:rPr>
          <w:rFonts w:ascii="Palatino Linotype" w:eastAsia="Palatino Linotype" w:hAnsi="Palatino Linotype" w:cs="Palatino Linotype"/>
        </w:rPr>
        <w:t xml:space="preserve">por lo que, en términos del considerando </w:t>
      </w:r>
      <w:r w:rsidRPr="004827EF">
        <w:rPr>
          <w:rFonts w:ascii="Palatino Linotype" w:eastAsia="Palatino Linotype" w:hAnsi="Palatino Linotype" w:cs="Palatino Linotype"/>
          <w:b/>
        </w:rPr>
        <w:t xml:space="preserve">Cuarto </w:t>
      </w:r>
      <w:r w:rsidRPr="004827EF">
        <w:rPr>
          <w:rFonts w:ascii="Palatino Linotype" w:eastAsia="Palatino Linotype" w:hAnsi="Palatino Linotype" w:cs="Palatino Linotype"/>
        </w:rPr>
        <w:t xml:space="preserve">de esta resolución, se </w:t>
      </w:r>
      <w:r w:rsidRPr="004827EF">
        <w:rPr>
          <w:rFonts w:ascii="Palatino Linotype" w:eastAsia="Palatino Linotype" w:hAnsi="Palatino Linotype" w:cs="Palatino Linotype"/>
          <w:b/>
        </w:rPr>
        <w:t xml:space="preserve">MODIFICA </w:t>
      </w:r>
      <w:r w:rsidRPr="004827EF">
        <w:rPr>
          <w:rFonts w:ascii="Palatino Linotype" w:eastAsia="Palatino Linotype" w:hAnsi="Palatino Linotype" w:cs="Palatino Linotype"/>
        </w:rPr>
        <w:t xml:space="preserve">la respuesta emitida por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w:t>
      </w:r>
    </w:p>
    <w:p w14:paraId="78EE3139" w14:textId="77777777" w:rsidR="00BF22D2" w:rsidRPr="004827EF" w:rsidRDefault="00D63F3D">
      <w:pPr>
        <w:spacing w:before="240" w:after="240"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b/>
        </w:rPr>
        <w:t xml:space="preserve">Segundo. </w:t>
      </w:r>
      <w:r w:rsidRPr="004827EF">
        <w:rPr>
          <w:rFonts w:ascii="Palatino Linotype" w:eastAsia="Palatino Linotype" w:hAnsi="Palatino Linotype" w:cs="Palatino Linotype"/>
        </w:rPr>
        <w:t>Se</w:t>
      </w:r>
      <w:r w:rsidRPr="004827EF">
        <w:rPr>
          <w:rFonts w:ascii="Palatino Linotype" w:eastAsia="Palatino Linotype" w:hAnsi="Palatino Linotype" w:cs="Palatino Linotype"/>
          <w:b/>
        </w:rPr>
        <w:t xml:space="preserve"> ORDENA </w:t>
      </w:r>
      <w:r w:rsidRPr="004827EF">
        <w:rPr>
          <w:rFonts w:ascii="Palatino Linotype" w:eastAsia="Palatino Linotype" w:hAnsi="Palatino Linotype" w:cs="Palatino Linotype"/>
        </w:rPr>
        <w:t xml:space="preserve">al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a que,</w:t>
      </w:r>
      <w:r w:rsidRPr="004827EF">
        <w:rPr>
          <w:rFonts w:ascii="Palatino Linotype" w:eastAsia="Palatino Linotype" w:hAnsi="Palatino Linotype" w:cs="Palatino Linotype"/>
          <w:b/>
        </w:rPr>
        <w:t xml:space="preserve"> </w:t>
      </w:r>
      <w:r w:rsidRPr="004827EF">
        <w:rPr>
          <w:rFonts w:ascii="Palatino Linotype" w:eastAsia="Palatino Linotype" w:hAnsi="Palatino Linotype" w:cs="Palatino Linotype"/>
        </w:rPr>
        <w:t>en términos de los Considerandos Cuarto y Quinto, haga entrega vía SAIMEX, previa búsqueda exhaustiva y razonable, en versión pública de ser procedente, del documento o documentos en donde conste lo siguiente:</w:t>
      </w:r>
    </w:p>
    <w:p w14:paraId="64E35942" w14:textId="77777777" w:rsidR="00BF22D2" w:rsidRPr="004827EF" w:rsidRDefault="00D63F3D">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4827EF">
        <w:rPr>
          <w:rFonts w:ascii="Palatino Linotype" w:eastAsia="Palatino Linotype" w:hAnsi="Palatino Linotype" w:cs="Palatino Linotype"/>
        </w:rPr>
        <w:lastRenderedPageBreak/>
        <w:t xml:space="preserve">Los detalles y características de cada una de las unidades recolectoras señaladas en la respuesta, al mayor grado de detalle, en el que se incluya el consumo de combustible, al </w:t>
      </w:r>
      <w:proofErr w:type="gramStart"/>
      <w:r w:rsidRPr="004827EF">
        <w:rPr>
          <w:rFonts w:ascii="Palatino Linotype" w:eastAsia="Palatino Linotype" w:hAnsi="Palatino Linotype" w:cs="Palatino Linotype"/>
        </w:rPr>
        <w:t>veintisiete agosto</w:t>
      </w:r>
      <w:proofErr w:type="gramEnd"/>
      <w:r w:rsidRPr="004827EF">
        <w:rPr>
          <w:rFonts w:ascii="Palatino Linotype" w:eastAsia="Palatino Linotype" w:hAnsi="Palatino Linotype" w:cs="Palatino Linotype"/>
        </w:rPr>
        <w:t xml:space="preserve"> del año dos mil veinticuatro. </w:t>
      </w:r>
    </w:p>
    <w:p w14:paraId="00E41511" w14:textId="77777777" w:rsidR="00BF22D2" w:rsidRPr="004827EF" w:rsidRDefault="00D63F3D">
      <w:pPr>
        <w:numPr>
          <w:ilvl w:val="0"/>
          <w:numId w:val="8"/>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Número y ubicación de contenedores de basura que se encuentran distribuidos en el Municipio de Temoaya y tipo de mantenimiento realizado, al veintisiete de agosto del año dos mil veinticuatro.</w:t>
      </w:r>
    </w:p>
    <w:p w14:paraId="4908E9B8" w14:textId="77777777" w:rsidR="00BF22D2" w:rsidRPr="004827EF" w:rsidRDefault="00D63F3D">
      <w:pPr>
        <w:numPr>
          <w:ilvl w:val="0"/>
          <w:numId w:val="8"/>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Ubicación de los centros de acopio de PET y Depósitos de Fierro en el Municipio de Temoaya, al veintisiete de agosto del año dos mil veinticuatro</w:t>
      </w:r>
    </w:p>
    <w:p w14:paraId="75FB08B1" w14:textId="77777777" w:rsidR="00BF22D2" w:rsidRPr="004827EF" w:rsidRDefault="00D63F3D">
      <w:pPr>
        <w:numPr>
          <w:ilvl w:val="0"/>
          <w:numId w:val="8"/>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Convenios o contratos establecidos para el manejo de PET y Depósitos de Fierro, vigente al veintisiete de agosto del año dos mil veinticuatro.</w:t>
      </w:r>
    </w:p>
    <w:p w14:paraId="3A89533B" w14:textId="77777777" w:rsidR="00BF22D2" w:rsidRPr="004827EF" w:rsidRDefault="00D63F3D">
      <w:pPr>
        <w:numPr>
          <w:ilvl w:val="0"/>
          <w:numId w:val="8"/>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Costo por el manejo de materiales PET y de Fierro, al veintisiete de agosto del año dos mil veinticuatro.</w:t>
      </w:r>
    </w:p>
    <w:p w14:paraId="414ACBAF" w14:textId="77777777" w:rsidR="00BF22D2" w:rsidRPr="004827EF" w:rsidRDefault="00D63F3D">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Sueldo bruto y neto del personal asignado a la cuadrilla de residuos sólidos urbanos, señalados en respuesta de la segunda quincena de julio y primera quincena de agosto del año dos mil veinticuatro  </w:t>
      </w:r>
    </w:p>
    <w:p w14:paraId="6D74DCD3" w14:textId="77777777" w:rsidR="00BF22D2" w:rsidRPr="004827EF" w:rsidRDefault="00D63F3D">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4827EF">
        <w:rPr>
          <w:rFonts w:ascii="Palatino Linotype" w:eastAsia="Palatino Linotype" w:hAnsi="Palatino Linotype" w:cs="Palatino Linotype"/>
        </w:rPr>
        <w:t>El horario de trabajo del personal asignado a la cuadrilla de residuos sólidos urbanos, señalados en respuesta, al veintisiete de agosto del año dos mil veinticuatro.</w:t>
      </w:r>
    </w:p>
    <w:p w14:paraId="37488C34" w14:textId="77777777" w:rsidR="00BF22D2" w:rsidRPr="004827EF" w:rsidRDefault="00D63F3D">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 xml:space="preserve">Presupuesto asignado al servicio de limpia, recolección y disposición final de residuos sólidos en los años 2016, 2017, 2018, 2019, 2020, 2021, 2022, 2023 y del primero de enero al veintisiete de agosto del año 2024, al mayor grado de desagregación, en el que se incluya la fuente de los recursos y variaciones o ajustes presupuestarios realizados en cada año. </w:t>
      </w:r>
    </w:p>
    <w:p w14:paraId="753782F9" w14:textId="77777777" w:rsidR="00BF22D2" w:rsidRPr="004827EF" w:rsidRDefault="00D63F3D">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lastRenderedPageBreak/>
        <w:t xml:space="preserve">El contrato para la transferencia de los residuos sólidos recolectados, referido en respuesta. </w:t>
      </w:r>
    </w:p>
    <w:p w14:paraId="6DA893B9" w14:textId="77777777" w:rsidR="00BF22D2" w:rsidRPr="004827EF" w:rsidRDefault="00D63F3D">
      <w:pPr>
        <w:numPr>
          <w:ilvl w:val="0"/>
          <w:numId w:val="8"/>
        </w:num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Costos de Adquisición de las unidades recolectoras señaladas en respuesta, propiedad del Ayuntamiento de Temoaya, al veintisiete de agosto del año dos mil veinticuatro.</w:t>
      </w:r>
    </w:p>
    <w:p w14:paraId="7738176A" w14:textId="77777777" w:rsidR="00BF22D2" w:rsidRPr="004827EF" w:rsidRDefault="00D63F3D">
      <w:pPr>
        <w:pBdr>
          <w:top w:val="nil"/>
          <w:left w:val="nil"/>
          <w:bottom w:val="nil"/>
          <w:right w:val="nil"/>
          <w:between w:val="nil"/>
        </w:pBdr>
        <w:ind w:left="360" w:right="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4827EF">
        <w:rPr>
          <w:rFonts w:ascii="Palatino Linotype" w:eastAsia="Palatino Linotype" w:hAnsi="Palatino Linotype" w:cs="Palatino Linotype"/>
          <w:b/>
          <w:i/>
          <w:sz w:val="22"/>
          <w:szCs w:val="22"/>
        </w:rPr>
        <w:t>RECURRENTE</w:t>
      </w:r>
      <w:r w:rsidRPr="004827EF">
        <w:rPr>
          <w:rFonts w:ascii="Palatino Linotype" w:eastAsia="Palatino Linotype" w:hAnsi="Palatino Linotype" w:cs="Palatino Linotype"/>
          <w:i/>
          <w:sz w:val="22"/>
          <w:szCs w:val="22"/>
        </w:rPr>
        <w:t>, mismo que igualmente hará de su conocimiento.</w:t>
      </w:r>
    </w:p>
    <w:p w14:paraId="3DE73D69" w14:textId="77777777" w:rsidR="00BF22D2" w:rsidRPr="004827EF" w:rsidRDefault="00BF22D2">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6B2BC161" w14:textId="77777777" w:rsidR="00BF22D2" w:rsidRPr="004827EF" w:rsidRDefault="00D63F3D">
      <w:pPr>
        <w:pBdr>
          <w:top w:val="nil"/>
          <w:left w:val="nil"/>
          <w:bottom w:val="nil"/>
          <w:right w:val="nil"/>
          <w:between w:val="nil"/>
        </w:pBdr>
        <w:ind w:left="360" w:right="51"/>
        <w:jc w:val="both"/>
        <w:rPr>
          <w:rFonts w:ascii="Palatino Linotype" w:eastAsia="Palatino Linotype" w:hAnsi="Palatino Linotype" w:cs="Palatino Linotype"/>
          <w:i/>
          <w:sz w:val="22"/>
          <w:szCs w:val="22"/>
        </w:rPr>
      </w:pPr>
      <w:r w:rsidRPr="004827EF">
        <w:rPr>
          <w:rFonts w:ascii="Palatino Linotype" w:eastAsia="Palatino Linotype" w:hAnsi="Palatino Linotype" w:cs="Palatino Linotype"/>
          <w:i/>
          <w:sz w:val="22"/>
          <w:szCs w:val="22"/>
        </w:rPr>
        <w:t xml:space="preserve">Para el caso de que, no se haya generado la información que se ordena en el número 2, 4, 5 y 8 </w:t>
      </w:r>
      <w:r w:rsidRPr="004827EF">
        <w:rPr>
          <w:rFonts w:ascii="Palatino Linotype" w:eastAsia="Palatino Linotype" w:hAnsi="Palatino Linotype" w:cs="Palatino Linotype"/>
          <w:i/>
          <w:sz w:val="22"/>
          <w:szCs w:val="22"/>
          <w:u w:val="single"/>
        </w:rPr>
        <w:t>sólo respecto de que en alguno o todos los años de los que se ordena la información, no se haya realizado variaciones o ajustes presupuestarios</w:t>
      </w:r>
      <w:r w:rsidRPr="004827EF">
        <w:rPr>
          <w:rFonts w:ascii="Palatino Linotype" w:eastAsia="Palatino Linotype" w:hAnsi="Palatino Linotype" w:cs="Palatino Linotype"/>
          <w:i/>
          <w:sz w:val="22"/>
          <w:szCs w:val="22"/>
        </w:rPr>
        <w:t xml:space="preserve">, bastará que así se lo haga saber a la parte </w:t>
      </w:r>
      <w:r w:rsidRPr="004827EF">
        <w:rPr>
          <w:rFonts w:ascii="Palatino Linotype" w:eastAsia="Palatino Linotype" w:hAnsi="Palatino Linotype" w:cs="Palatino Linotype"/>
          <w:b/>
          <w:i/>
          <w:sz w:val="22"/>
          <w:szCs w:val="22"/>
        </w:rPr>
        <w:t>RECURRENTE</w:t>
      </w:r>
      <w:r w:rsidRPr="004827EF">
        <w:rPr>
          <w:rFonts w:ascii="Palatino Linotype" w:eastAsia="Palatino Linotype" w:hAnsi="Palatino Linotype" w:cs="Palatino Linotype"/>
          <w:i/>
          <w:sz w:val="22"/>
          <w:szCs w:val="22"/>
        </w:rPr>
        <w:t>, en términos de lo señalado por el segundo párrafo del artículo 19 de la Ley de la Materia, para tener por colmado el requerimiento de información.</w:t>
      </w:r>
    </w:p>
    <w:p w14:paraId="08A69716" w14:textId="77777777" w:rsidR="00BF22D2" w:rsidRPr="004827EF" w:rsidRDefault="00BF22D2">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79FEC962" w14:textId="77777777" w:rsidR="00BF22D2" w:rsidRPr="004827EF" w:rsidRDefault="00BF22D2">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3E809CC1" w14:textId="77777777" w:rsidR="00BF22D2" w:rsidRPr="004827EF" w:rsidRDefault="00D63F3D">
      <w:pPr>
        <w:spacing w:line="360" w:lineRule="auto"/>
        <w:ind w:right="49"/>
        <w:jc w:val="both"/>
        <w:rPr>
          <w:rFonts w:ascii="Palatino Linotype" w:eastAsia="Palatino Linotype" w:hAnsi="Palatino Linotype" w:cs="Palatino Linotype"/>
        </w:rPr>
      </w:pPr>
      <w:r w:rsidRPr="004827EF">
        <w:rPr>
          <w:rFonts w:ascii="Palatino Linotype" w:eastAsia="Palatino Linotype" w:hAnsi="Palatino Linotype" w:cs="Palatino Linotype"/>
          <w:b/>
        </w:rPr>
        <w:t xml:space="preserve">Tercero. Notifíquese, </w:t>
      </w:r>
      <w:r w:rsidRPr="004827EF">
        <w:rPr>
          <w:rFonts w:ascii="Palatino Linotype" w:eastAsia="Palatino Linotype" w:hAnsi="Palatino Linotype" w:cs="Palatino Linotype"/>
        </w:rPr>
        <w:t xml:space="preserve">vía </w:t>
      </w:r>
      <w:r w:rsidRPr="004827EF">
        <w:rPr>
          <w:rFonts w:ascii="Palatino Linotype" w:eastAsia="Palatino Linotype" w:hAnsi="Palatino Linotype" w:cs="Palatino Linotype"/>
          <w:b/>
        </w:rPr>
        <w:t>SAIMEX</w:t>
      </w:r>
      <w:r w:rsidRPr="004827EF">
        <w:rPr>
          <w:rFonts w:ascii="Palatino Linotype" w:eastAsia="Palatino Linotype" w:hAnsi="Palatino Linotype" w:cs="Palatino Linotype"/>
        </w:rPr>
        <w:t xml:space="preserve">, al Titular de la Unidad de Transparencia del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70A5E2B" w14:textId="77777777" w:rsidR="00BF22D2" w:rsidRPr="004827EF" w:rsidRDefault="00BF22D2">
      <w:pPr>
        <w:spacing w:line="360" w:lineRule="auto"/>
        <w:ind w:right="49"/>
        <w:jc w:val="both"/>
        <w:rPr>
          <w:rFonts w:ascii="Palatino Linotype" w:eastAsia="Palatino Linotype" w:hAnsi="Palatino Linotype" w:cs="Palatino Linotype"/>
        </w:rPr>
      </w:pPr>
    </w:p>
    <w:p w14:paraId="13CB9175" w14:textId="77777777" w:rsidR="00BF22D2" w:rsidRPr="004827EF" w:rsidRDefault="00D63F3D">
      <w:pPr>
        <w:spacing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 xml:space="preserve">Cuarto. </w:t>
      </w:r>
      <w:r w:rsidRPr="004827EF">
        <w:rPr>
          <w:rFonts w:ascii="Palatino Linotype" w:eastAsia="Palatino Linotype" w:hAnsi="Palatino Linotype" w:cs="Palatino Linotype"/>
        </w:rPr>
        <w:t xml:space="preserve">Notifíquese, vía </w:t>
      </w:r>
      <w:r w:rsidRPr="004827EF">
        <w:rPr>
          <w:rFonts w:ascii="Palatino Linotype" w:eastAsia="Palatino Linotype" w:hAnsi="Palatino Linotype" w:cs="Palatino Linotype"/>
          <w:b/>
        </w:rPr>
        <w:t>SAIMEX</w:t>
      </w:r>
      <w:r w:rsidRPr="004827EF">
        <w:rPr>
          <w:rFonts w:ascii="Palatino Linotype" w:eastAsia="Palatino Linotype" w:hAnsi="Palatino Linotype" w:cs="Palatino Linotype"/>
        </w:rPr>
        <w:t xml:space="preserve">, a la parte </w:t>
      </w:r>
      <w:r w:rsidRPr="004827EF">
        <w:rPr>
          <w:rFonts w:ascii="Palatino Linotype" w:eastAsia="Palatino Linotype" w:hAnsi="Palatino Linotype" w:cs="Palatino Linotype"/>
          <w:b/>
        </w:rPr>
        <w:t>RECURRENTE</w:t>
      </w:r>
      <w:r w:rsidRPr="004827E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397F652"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b/>
        </w:rPr>
        <w:t>Quinto.</w:t>
      </w:r>
      <w:r w:rsidRPr="004827EF">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4827EF">
        <w:rPr>
          <w:rFonts w:ascii="Palatino Linotype" w:eastAsia="Palatino Linotype" w:hAnsi="Palatino Linotype" w:cs="Palatino Linotype"/>
          <w:b/>
        </w:rPr>
        <w:t>SUJETO OBLIGADO</w:t>
      </w:r>
      <w:r w:rsidRPr="004827EF">
        <w:rPr>
          <w:rFonts w:ascii="Palatino Linotype" w:eastAsia="Palatino Linotype" w:hAnsi="Palatino Linotype" w:cs="Palatino Linotype"/>
        </w:rPr>
        <w:t xml:space="preserve"> de manera fundada y motivada, podrá solicitar una ampliación de plazo para el cumplimiento de la presente resolución.</w:t>
      </w:r>
    </w:p>
    <w:p w14:paraId="77D15FD5" w14:textId="77777777" w:rsidR="00BF22D2" w:rsidRPr="004827EF" w:rsidRDefault="00D63F3D">
      <w:pPr>
        <w:spacing w:before="240" w:after="240" w:line="360" w:lineRule="auto"/>
        <w:jc w:val="both"/>
        <w:rPr>
          <w:rFonts w:ascii="Palatino Linotype" w:eastAsia="Palatino Linotype" w:hAnsi="Palatino Linotype" w:cs="Palatino Linotype"/>
        </w:rPr>
      </w:pPr>
      <w:r w:rsidRPr="004827E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w:t>
      </w:r>
    </w:p>
    <w:p w14:paraId="3656697D" w14:textId="500EA9D5" w:rsidR="00BF22D2" w:rsidRPr="004827EF" w:rsidRDefault="00BF22D2">
      <w:pPr>
        <w:spacing w:before="240" w:after="240" w:line="360" w:lineRule="auto"/>
        <w:jc w:val="both"/>
        <w:rPr>
          <w:rFonts w:ascii="Palatino Linotype" w:eastAsia="Palatino Linotype" w:hAnsi="Palatino Linotype" w:cs="Palatino Linotype"/>
        </w:rPr>
      </w:pPr>
    </w:p>
    <w:p w14:paraId="5D962FFD" w14:textId="65BBDBEB" w:rsidR="004827EF" w:rsidRPr="004827EF" w:rsidRDefault="004827EF">
      <w:pPr>
        <w:spacing w:before="240" w:after="240" w:line="360" w:lineRule="auto"/>
        <w:jc w:val="both"/>
        <w:rPr>
          <w:rFonts w:ascii="Palatino Linotype" w:eastAsia="Palatino Linotype" w:hAnsi="Palatino Linotype" w:cs="Palatino Linotype"/>
        </w:rPr>
      </w:pPr>
    </w:p>
    <w:p w14:paraId="72F0AC7F" w14:textId="16167415" w:rsidR="004827EF" w:rsidRPr="004827EF" w:rsidRDefault="004827EF">
      <w:pPr>
        <w:spacing w:before="240" w:after="240" w:line="360" w:lineRule="auto"/>
        <w:jc w:val="both"/>
        <w:rPr>
          <w:rFonts w:ascii="Palatino Linotype" w:eastAsia="Palatino Linotype" w:hAnsi="Palatino Linotype" w:cs="Palatino Linotype"/>
        </w:rPr>
      </w:pPr>
    </w:p>
    <w:p w14:paraId="76700B7D" w14:textId="4375ADA6" w:rsidR="004827EF" w:rsidRPr="004827EF" w:rsidRDefault="004827EF">
      <w:pPr>
        <w:spacing w:before="240" w:after="240" w:line="360" w:lineRule="auto"/>
        <w:jc w:val="both"/>
        <w:rPr>
          <w:rFonts w:ascii="Palatino Linotype" w:eastAsia="Palatino Linotype" w:hAnsi="Palatino Linotype" w:cs="Palatino Linotype"/>
        </w:rPr>
      </w:pPr>
    </w:p>
    <w:p w14:paraId="1493A13C" w14:textId="77777777" w:rsidR="004827EF" w:rsidRPr="004827EF" w:rsidRDefault="004827EF">
      <w:pPr>
        <w:spacing w:before="240" w:after="240" w:line="360" w:lineRule="auto"/>
        <w:jc w:val="both"/>
        <w:rPr>
          <w:rFonts w:ascii="Palatino Linotype" w:eastAsia="Palatino Linotype" w:hAnsi="Palatino Linotype" w:cs="Palatino Linotype"/>
        </w:rPr>
      </w:pPr>
    </w:p>
    <w:sectPr w:rsidR="004827EF" w:rsidRPr="004827EF">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86C30" w14:textId="77777777" w:rsidR="007C7159" w:rsidRDefault="007C7159">
      <w:r>
        <w:separator/>
      </w:r>
    </w:p>
  </w:endnote>
  <w:endnote w:type="continuationSeparator" w:id="0">
    <w:p w14:paraId="5275AF65" w14:textId="77777777" w:rsidR="007C7159" w:rsidRDefault="007C7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D1AB" w14:textId="77777777" w:rsidR="00BF22D2" w:rsidRDefault="00D63F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527A2">
      <w:rPr>
        <w:rFonts w:ascii="Palatino Linotype" w:eastAsia="Palatino Linotype" w:hAnsi="Palatino Linotype" w:cs="Palatino Linotype"/>
        <w:b/>
        <w:noProof/>
        <w:color w:val="000000"/>
        <w:sz w:val="20"/>
        <w:szCs w:val="20"/>
      </w:rPr>
      <w:t>98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527A2">
      <w:rPr>
        <w:rFonts w:ascii="Palatino Linotype" w:eastAsia="Palatino Linotype" w:hAnsi="Palatino Linotype" w:cs="Palatino Linotype"/>
        <w:b/>
        <w:noProof/>
        <w:color w:val="000000"/>
        <w:sz w:val="20"/>
        <w:szCs w:val="20"/>
      </w:rPr>
      <w:t>98</w:t>
    </w:r>
    <w:r>
      <w:rPr>
        <w:rFonts w:ascii="Palatino Linotype" w:eastAsia="Palatino Linotype" w:hAnsi="Palatino Linotype" w:cs="Palatino Linotype"/>
        <w:b/>
        <w:color w:val="000000"/>
        <w:sz w:val="20"/>
        <w:szCs w:val="20"/>
      </w:rPr>
      <w:fldChar w:fldCharType="end"/>
    </w:r>
  </w:p>
  <w:p w14:paraId="437362C4" w14:textId="77777777" w:rsidR="00BF22D2" w:rsidRDefault="00BF22D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EB73" w14:textId="77777777" w:rsidR="00BF22D2" w:rsidRDefault="00D63F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527A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527A2">
      <w:rPr>
        <w:rFonts w:ascii="Palatino Linotype" w:eastAsia="Palatino Linotype" w:hAnsi="Palatino Linotype" w:cs="Palatino Linotype"/>
        <w:b/>
        <w:noProof/>
        <w:color w:val="000000"/>
        <w:sz w:val="20"/>
        <w:szCs w:val="20"/>
      </w:rPr>
      <w:t>98</w:t>
    </w:r>
    <w:r>
      <w:rPr>
        <w:rFonts w:ascii="Palatino Linotype" w:eastAsia="Palatino Linotype" w:hAnsi="Palatino Linotype" w:cs="Palatino Linotype"/>
        <w:b/>
        <w:color w:val="000000"/>
        <w:sz w:val="20"/>
        <w:szCs w:val="20"/>
      </w:rPr>
      <w:fldChar w:fldCharType="end"/>
    </w:r>
  </w:p>
  <w:p w14:paraId="44E95CA4" w14:textId="77777777" w:rsidR="00BF22D2" w:rsidRDefault="00BF22D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5BFB2" w14:textId="77777777" w:rsidR="007C7159" w:rsidRDefault="007C7159">
      <w:r>
        <w:separator/>
      </w:r>
    </w:p>
  </w:footnote>
  <w:footnote w:type="continuationSeparator" w:id="0">
    <w:p w14:paraId="5BBDE45D" w14:textId="77777777" w:rsidR="007C7159" w:rsidRDefault="007C7159">
      <w:r>
        <w:continuationSeparator/>
      </w:r>
    </w:p>
  </w:footnote>
  <w:footnote w:id="1">
    <w:p w14:paraId="43C1C304" w14:textId="77777777" w:rsidR="00BF22D2" w:rsidRDefault="00D63F3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7B633C6D" w14:textId="77777777" w:rsidR="00BF22D2" w:rsidRDefault="00D63F3D">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1D0E" w14:textId="77777777" w:rsidR="00BF22D2" w:rsidRDefault="00D63F3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8ADB1CC" wp14:editId="3A8ADF9D">
          <wp:simplePos x="0" y="0"/>
          <wp:positionH relativeFrom="column">
            <wp:posOffset>-1080131</wp:posOffset>
          </wp:positionH>
          <wp:positionV relativeFrom="paragraph">
            <wp:posOffset>-488311</wp:posOffset>
          </wp:positionV>
          <wp:extent cx="7809865" cy="10165715"/>
          <wp:effectExtent l="0" t="0" r="0" b="0"/>
          <wp:wrapNone/>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BF22D2" w14:paraId="1A3DCF8E" w14:textId="77777777">
      <w:tc>
        <w:tcPr>
          <w:tcW w:w="2489" w:type="dxa"/>
          <w:shd w:val="clear" w:color="auto" w:fill="auto"/>
        </w:tcPr>
        <w:p w14:paraId="15D7617A" w14:textId="77777777" w:rsidR="00BF22D2" w:rsidRDefault="00D63F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2C3526D" w14:textId="77777777" w:rsidR="00BF22D2" w:rsidRDefault="00D63F3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05719/INFOEM/IP/RR/2024</w:t>
          </w:r>
        </w:p>
      </w:tc>
    </w:tr>
    <w:tr w:rsidR="00BF22D2" w14:paraId="6B61F1BC" w14:textId="77777777">
      <w:trPr>
        <w:trHeight w:val="228"/>
      </w:trPr>
      <w:tc>
        <w:tcPr>
          <w:tcW w:w="2489" w:type="dxa"/>
          <w:shd w:val="clear" w:color="auto" w:fill="auto"/>
          <w:vAlign w:val="center"/>
        </w:tcPr>
        <w:p w14:paraId="505037A7" w14:textId="77777777" w:rsidR="00BF22D2" w:rsidRDefault="00D63F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073F3EF" w14:textId="77777777" w:rsidR="00BF22D2" w:rsidRDefault="00D63F3D">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Temoaya.</w:t>
          </w:r>
        </w:p>
      </w:tc>
    </w:tr>
    <w:tr w:rsidR="00BF22D2" w14:paraId="1E50F3FF" w14:textId="77777777">
      <w:tc>
        <w:tcPr>
          <w:tcW w:w="2489" w:type="dxa"/>
          <w:shd w:val="clear" w:color="auto" w:fill="auto"/>
          <w:vAlign w:val="center"/>
        </w:tcPr>
        <w:p w14:paraId="2783B84D" w14:textId="77777777" w:rsidR="00BF22D2" w:rsidRDefault="00D63F3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3423752" w14:textId="77777777" w:rsidR="00BF22D2" w:rsidRDefault="00D63F3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AD41C0" w14:textId="77777777" w:rsidR="00BF22D2" w:rsidRDefault="00D63F3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D824" w14:textId="77777777" w:rsidR="00BF22D2" w:rsidRDefault="00BF22D2">
    <w:pPr>
      <w:widowControl w:val="0"/>
      <w:pBdr>
        <w:top w:val="nil"/>
        <w:left w:val="nil"/>
        <w:bottom w:val="nil"/>
        <w:right w:val="nil"/>
        <w:between w:val="nil"/>
      </w:pBdr>
      <w:spacing w:line="276" w:lineRule="auto"/>
      <w:ind w:right="191"/>
      <w:rPr>
        <w:rFonts w:ascii="Palatino Linotype" w:eastAsia="Palatino Linotype" w:hAnsi="Palatino Linotype" w:cs="Palatino Linotype"/>
        <w:color w:val="000000"/>
        <w:sz w:val="16"/>
        <w:szCs w:val="16"/>
      </w:rPr>
    </w:pPr>
  </w:p>
  <w:tbl>
    <w:tblPr>
      <w:tblStyle w:val="a2"/>
      <w:tblW w:w="5670" w:type="dxa"/>
      <w:tblInd w:w="3261" w:type="dxa"/>
      <w:tblLayout w:type="fixed"/>
      <w:tblLook w:val="0400" w:firstRow="0" w:lastRow="0" w:firstColumn="0" w:lastColumn="0" w:noHBand="0" w:noVBand="1"/>
    </w:tblPr>
    <w:tblGrid>
      <w:gridCol w:w="2551"/>
      <w:gridCol w:w="3119"/>
    </w:tblGrid>
    <w:tr w:rsidR="00BF22D2" w14:paraId="29A44C10" w14:textId="77777777">
      <w:tc>
        <w:tcPr>
          <w:tcW w:w="2551" w:type="dxa"/>
          <w:shd w:val="clear" w:color="auto" w:fill="auto"/>
          <w:vAlign w:val="center"/>
        </w:tcPr>
        <w:p w14:paraId="7BEEE30C" w14:textId="77777777" w:rsidR="00BF22D2" w:rsidRDefault="00D63F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6893ADF" w14:textId="77777777" w:rsidR="00BF22D2" w:rsidRDefault="00D63F3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05719/INFOEM/IP/RR/2024</w:t>
          </w:r>
        </w:p>
      </w:tc>
    </w:tr>
    <w:tr w:rsidR="00BF22D2" w14:paraId="7CFE20A8" w14:textId="77777777">
      <w:trPr>
        <w:trHeight w:val="130"/>
      </w:trPr>
      <w:tc>
        <w:tcPr>
          <w:tcW w:w="2551" w:type="dxa"/>
          <w:shd w:val="clear" w:color="auto" w:fill="auto"/>
          <w:vAlign w:val="center"/>
        </w:tcPr>
        <w:p w14:paraId="1F06CD7E" w14:textId="77777777" w:rsidR="00BF22D2" w:rsidRDefault="00D63F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3061FC8" w14:textId="27DC5469" w:rsidR="00BF22D2" w:rsidRDefault="00E505A8">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XXXXXXXXX XXXXXX </w:t>
          </w:r>
        </w:p>
      </w:tc>
    </w:tr>
    <w:tr w:rsidR="00BF22D2" w14:paraId="5F096D29" w14:textId="77777777">
      <w:trPr>
        <w:trHeight w:val="228"/>
      </w:trPr>
      <w:tc>
        <w:tcPr>
          <w:tcW w:w="2551" w:type="dxa"/>
          <w:shd w:val="clear" w:color="auto" w:fill="auto"/>
          <w:vAlign w:val="center"/>
        </w:tcPr>
        <w:p w14:paraId="3C37C78A" w14:textId="77777777" w:rsidR="00BF22D2" w:rsidRDefault="00D63F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2EED25F" w14:textId="77777777" w:rsidR="00BF22D2" w:rsidRDefault="00D63F3D">
          <w:pPr>
            <w:ind w:left="-45" w:right="27"/>
            <w:jc w:val="both"/>
          </w:pPr>
          <w:r>
            <w:rPr>
              <w:rFonts w:ascii="Palatino Linotype" w:eastAsia="Palatino Linotype" w:hAnsi="Palatino Linotype" w:cs="Palatino Linotype"/>
              <w:b/>
              <w:sz w:val="22"/>
              <w:szCs w:val="22"/>
            </w:rPr>
            <w:t>Ayuntamiento de Temoaya.</w:t>
          </w:r>
        </w:p>
      </w:tc>
    </w:tr>
    <w:tr w:rsidR="00BF22D2" w14:paraId="5ACA0008" w14:textId="77777777">
      <w:tc>
        <w:tcPr>
          <w:tcW w:w="2551" w:type="dxa"/>
          <w:shd w:val="clear" w:color="auto" w:fill="auto"/>
          <w:vAlign w:val="center"/>
        </w:tcPr>
        <w:p w14:paraId="07ADB842" w14:textId="77777777" w:rsidR="00BF22D2" w:rsidRDefault="00D63F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E8260D8" w14:textId="77777777" w:rsidR="00BF22D2" w:rsidRDefault="00D63F3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700A47" w14:textId="77777777" w:rsidR="00BF22D2" w:rsidRDefault="00D63F3D">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CB1514A" wp14:editId="39887A1F">
          <wp:simplePos x="0" y="0"/>
          <wp:positionH relativeFrom="column">
            <wp:posOffset>-1089656</wp:posOffset>
          </wp:positionH>
          <wp:positionV relativeFrom="paragraph">
            <wp:posOffset>-1169666</wp:posOffset>
          </wp:positionV>
          <wp:extent cx="7809865" cy="10165715"/>
          <wp:effectExtent l="0" t="0" r="0" b="0"/>
          <wp:wrapNone/>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3038"/>
    <w:multiLevelType w:val="multilevel"/>
    <w:tmpl w:val="07048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954E79"/>
    <w:multiLevelType w:val="multilevel"/>
    <w:tmpl w:val="61905C4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013C3A"/>
    <w:multiLevelType w:val="multilevel"/>
    <w:tmpl w:val="98185C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6A6DF7"/>
    <w:multiLevelType w:val="multilevel"/>
    <w:tmpl w:val="C0DA062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BD62F7"/>
    <w:multiLevelType w:val="multilevel"/>
    <w:tmpl w:val="DC007E1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C090802"/>
    <w:multiLevelType w:val="multilevel"/>
    <w:tmpl w:val="C9B47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EA7FF2"/>
    <w:multiLevelType w:val="multilevel"/>
    <w:tmpl w:val="6AB62E3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1B559F"/>
    <w:multiLevelType w:val="multilevel"/>
    <w:tmpl w:val="DC10D62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59A2C8D"/>
    <w:multiLevelType w:val="multilevel"/>
    <w:tmpl w:val="D32011C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91313C"/>
    <w:multiLevelType w:val="multilevel"/>
    <w:tmpl w:val="18F023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
  </w:num>
  <w:num w:numId="3">
    <w:abstractNumId w:val="3"/>
  </w:num>
  <w:num w:numId="4">
    <w:abstractNumId w:val="6"/>
  </w:num>
  <w:num w:numId="5">
    <w:abstractNumId w:val="2"/>
  </w:num>
  <w:num w:numId="6">
    <w:abstractNumId w:val="0"/>
  </w:num>
  <w:num w:numId="7">
    <w:abstractNumId w:val="5"/>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2D2"/>
    <w:rsid w:val="004827EF"/>
    <w:rsid w:val="007C7159"/>
    <w:rsid w:val="00BF22D2"/>
    <w:rsid w:val="00D63F3D"/>
    <w:rsid w:val="00E505A8"/>
    <w:rsid w:val="00E527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17527"/>
  <w15:docId w15:val="{2BAD1372-D10A-4B5D-A58C-C9FC8868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character" w:customStyle="1" w:styleId="object">
    <w:name w:val="object"/>
    <w:basedOn w:val="Fuentedeprrafopredeter"/>
    <w:rsid w:val="001A55EF"/>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220042.page" TargetMode="External"/><Relationship Id="rId13" Type="http://schemas.openxmlformats.org/officeDocument/2006/relationships/image" Target="media/image5.png"/><Relationship Id="rId18" Type="http://schemas.openxmlformats.org/officeDocument/2006/relationships/hyperlink" Target="https://copladem.edomex.gob.mx/sites/copladem.edomex.gob.mx/files/files/pdf/Planes%20y%20programas/Mpales-2022-2024/Temoaya_PDM_2022_2024.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JWIy5HVxYNu4jJP0VnTpTl+rBw==">CgMxLjAyCGguZ2pkZ3hzMgloLjMwajB6bGwyCWguMmV0OTJwMDIJaC4xZm9iOXRlOAByITF3YUx6ZnJFLXV5cXdaZC1YM2xUdGRVRGZueHVWLV93bw==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98</Pages>
  <Words>24376</Words>
  <Characters>134071</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2024-11-08T17:21:00Z</cp:lastPrinted>
  <dcterms:created xsi:type="dcterms:W3CDTF">2024-12-02T19:29:00Z</dcterms:created>
  <dcterms:modified xsi:type="dcterms:W3CDTF">2024-12-02T19:29:00Z</dcterms:modified>
</cp:coreProperties>
</file>