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19BC9717" w:rsidR="00662C69" w:rsidRPr="009E2C08" w:rsidRDefault="009B11D6" w:rsidP="00C1682A">
      <w:pPr>
        <w:tabs>
          <w:tab w:val="left" w:pos="0"/>
          <w:tab w:val="left" w:pos="3465"/>
        </w:tabs>
        <w:spacing w:line="360" w:lineRule="auto"/>
        <w:jc w:val="both"/>
        <w:rPr>
          <w:rFonts w:ascii="Palatino Linotype" w:hAnsi="Palatino Linotype"/>
        </w:rPr>
      </w:pPr>
      <w:r w:rsidRPr="009E2C08">
        <w:rPr>
          <w:rFonts w:ascii="Palatino Linotype" w:hAnsi="Palatino Linotype"/>
        </w:rPr>
        <w:t>R</w:t>
      </w:r>
      <w:r w:rsidR="00662C69" w:rsidRPr="009E2C08">
        <w:rPr>
          <w:rFonts w:ascii="Palatino Linotype" w:hAnsi="Palatino Linotype"/>
        </w:rPr>
        <w:t>esolución del Pleno del Instituto de Transparencia, Acceso a la Información Pública y Protección de Datos Personales del Estado de México y Mun</w:t>
      </w:r>
      <w:r w:rsidR="000D5A1D" w:rsidRPr="009E2C08">
        <w:rPr>
          <w:rFonts w:ascii="Palatino Linotype" w:hAnsi="Palatino Linotype"/>
        </w:rPr>
        <w:t>icipios, con</w:t>
      </w:r>
      <w:r w:rsidR="00662C69" w:rsidRPr="009E2C08">
        <w:rPr>
          <w:rFonts w:ascii="Palatino Linotype" w:hAnsi="Palatino Linotype"/>
        </w:rPr>
        <w:t xml:space="preserve"> </w:t>
      </w:r>
      <w:r w:rsidR="00485DB6" w:rsidRPr="009E2C08">
        <w:rPr>
          <w:rFonts w:ascii="Palatino Linotype" w:hAnsi="Palatino Linotype"/>
        </w:rPr>
        <w:t xml:space="preserve">domicilio </w:t>
      </w:r>
      <w:r w:rsidR="00662C69" w:rsidRPr="009E2C08">
        <w:rPr>
          <w:rFonts w:ascii="Palatino Linotype" w:hAnsi="Palatino Linotype"/>
        </w:rPr>
        <w:t xml:space="preserve">en Metepec, Estado de México; de </w:t>
      </w:r>
      <w:r w:rsidR="00B637DA" w:rsidRPr="009E2C08">
        <w:rPr>
          <w:rFonts w:ascii="Palatino Linotype" w:hAnsi="Palatino Linotype"/>
        </w:rPr>
        <w:t xml:space="preserve">fecha </w:t>
      </w:r>
      <w:r w:rsidR="00A52850" w:rsidRPr="009E2C08">
        <w:rPr>
          <w:rFonts w:ascii="Palatino Linotype" w:hAnsi="Palatino Linotype"/>
        </w:rPr>
        <w:t xml:space="preserve">treinta y uno </w:t>
      </w:r>
      <w:r w:rsidR="009E2C08" w:rsidRPr="009E2C08">
        <w:rPr>
          <w:rFonts w:ascii="Palatino Linotype" w:hAnsi="Palatino Linotype"/>
        </w:rPr>
        <w:t xml:space="preserve">(31) </w:t>
      </w:r>
      <w:r w:rsidR="00A52850" w:rsidRPr="009E2C08">
        <w:rPr>
          <w:rFonts w:ascii="Palatino Linotype" w:hAnsi="Palatino Linotype"/>
        </w:rPr>
        <w:t>de enero de dos mil veinticuatro.</w:t>
      </w:r>
    </w:p>
    <w:p w14:paraId="5A51B5EC" w14:textId="77777777" w:rsidR="008A5A73" w:rsidRPr="009E2C08" w:rsidRDefault="008A5A73" w:rsidP="00C1682A">
      <w:pPr>
        <w:tabs>
          <w:tab w:val="left" w:pos="0"/>
          <w:tab w:val="left" w:pos="3465"/>
        </w:tabs>
        <w:spacing w:line="360" w:lineRule="auto"/>
        <w:jc w:val="both"/>
        <w:rPr>
          <w:rFonts w:ascii="Palatino Linotype" w:hAnsi="Palatino Linotype"/>
        </w:rPr>
      </w:pPr>
    </w:p>
    <w:p w14:paraId="7DF270C3" w14:textId="56F37B8B" w:rsidR="00112BFF" w:rsidRPr="009E2C08" w:rsidRDefault="00112BFF" w:rsidP="00112BFF">
      <w:pPr>
        <w:pStyle w:val="Encabezado"/>
        <w:spacing w:line="360" w:lineRule="auto"/>
        <w:jc w:val="both"/>
        <w:rPr>
          <w:rFonts w:ascii="Palatino Linotype" w:eastAsia="Times New Roman" w:hAnsi="Palatino Linotype" w:cs="Times New Roman"/>
          <w:b/>
          <w:color w:val="000000" w:themeColor="text1"/>
        </w:rPr>
      </w:pPr>
      <w:r w:rsidRPr="009E2C08">
        <w:rPr>
          <w:rFonts w:ascii="Palatino Linotype" w:eastAsia="Times New Roman" w:hAnsi="Palatino Linotype" w:cs="Times New Roman"/>
          <w:b/>
          <w:color w:val="000000" w:themeColor="text1"/>
        </w:rPr>
        <w:t>VISTO</w:t>
      </w:r>
      <w:r w:rsidR="00620589" w:rsidRPr="009E2C08">
        <w:rPr>
          <w:rFonts w:ascii="Palatino Linotype" w:eastAsia="Times New Roman" w:hAnsi="Palatino Linotype" w:cs="Times New Roman"/>
          <w:color w:val="000000" w:themeColor="text1"/>
        </w:rPr>
        <w:t xml:space="preserve"> en </w:t>
      </w:r>
      <w:r w:rsidR="000249BD" w:rsidRPr="009E2C08">
        <w:rPr>
          <w:rFonts w:ascii="Palatino Linotype" w:eastAsia="Times New Roman" w:hAnsi="Palatino Linotype" w:cs="Times New Roman"/>
          <w:color w:val="000000" w:themeColor="text1"/>
        </w:rPr>
        <w:t>el</w:t>
      </w:r>
      <w:r w:rsidRPr="009E2C08">
        <w:rPr>
          <w:rFonts w:ascii="Palatino Linotype" w:eastAsia="Times New Roman" w:hAnsi="Palatino Linotype" w:cs="Times New Roman"/>
          <w:color w:val="000000" w:themeColor="text1"/>
        </w:rPr>
        <w:t xml:space="preserve"> expediente</w:t>
      </w:r>
      <w:r w:rsidR="000249BD" w:rsidRPr="009E2C08">
        <w:rPr>
          <w:rFonts w:ascii="Palatino Linotype" w:eastAsia="Times New Roman" w:hAnsi="Palatino Linotype" w:cs="Times New Roman"/>
          <w:color w:val="000000" w:themeColor="text1"/>
        </w:rPr>
        <w:t xml:space="preserve"> </w:t>
      </w:r>
      <w:r w:rsidRPr="009E2C08">
        <w:rPr>
          <w:rFonts w:ascii="Palatino Linotype" w:eastAsia="Times New Roman" w:hAnsi="Palatino Linotype" w:cs="Times New Roman"/>
          <w:color w:val="000000" w:themeColor="text1"/>
        </w:rPr>
        <w:t>electrónico formado con motivo de</w:t>
      </w:r>
      <w:r w:rsidR="000249BD" w:rsidRPr="009E2C08">
        <w:rPr>
          <w:rFonts w:ascii="Palatino Linotype" w:eastAsia="Times New Roman" w:hAnsi="Palatino Linotype" w:cs="Times New Roman"/>
          <w:color w:val="000000" w:themeColor="text1"/>
        </w:rPr>
        <w:t>l</w:t>
      </w:r>
      <w:r w:rsidRPr="009E2C08">
        <w:rPr>
          <w:rFonts w:ascii="Palatino Linotype" w:eastAsia="Times New Roman" w:hAnsi="Palatino Linotype" w:cs="Times New Roman"/>
          <w:color w:val="000000" w:themeColor="text1"/>
        </w:rPr>
        <w:t xml:space="preserve"> recurso de revisión número </w:t>
      </w:r>
      <w:r w:rsidR="00A52850" w:rsidRPr="009E2C08">
        <w:rPr>
          <w:rFonts w:ascii="Palatino Linotype" w:hAnsi="Palatino Linotype" w:cs="Arial"/>
          <w:b/>
          <w:bCs/>
          <w:color w:val="000000" w:themeColor="text1"/>
          <w:lang w:eastAsia="es-MX"/>
        </w:rPr>
        <w:t>08593</w:t>
      </w:r>
      <w:r w:rsidRPr="009E2C08">
        <w:rPr>
          <w:rFonts w:ascii="Palatino Linotype" w:hAnsi="Palatino Linotype" w:cs="Arial"/>
          <w:b/>
          <w:bCs/>
          <w:color w:val="000000" w:themeColor="text1"/>
          <w:lang w:eastAsia="es-MX"/>
        </w:rPr>
        <w:t>/INFOEM/IP/RR/</w:t>
      </w:r>
      <w:r w:rsidR="00006F07" w:rsidRPr="009E2C08">
        <w:rPr>
          <w:rFonts w:ascii="Palatino Linotype" w:hAnsi="Palatino Linotype" w:cs="Arial"/>
          <w:b/>
          <w:bCs/>
          <w:color w:val="000000" w:themeColor="text1"/>
          <w:lang w:eastAsia="es-MX"/>
        </w:rPr>
        <w:t>202</w:t>
      </w:r>
      <w:r w:rsidR="00A52850" w:rsidRPr="009E2C08">
        <w:rPr>
          <w:rFonts w:ascii="Palatino Linotype" w:hAnsi="Palatino Linotype" w:cs="Arial"/>
          <w:b/>
          <w:bCs/>
          <w:color w:val="000000" w:themeColor="text1"/>
          <w:lang w:eastAsia="es-MX"/>
        </w:rPr>
        <w:t>3</w:t>
      </w:r>
      <w:r w:rsidRPr="009E2C08">
        <w:rPr>
          <w:rFonts w:ascii="Palatino Linotype" w:eastAsia="Times New Roman" w:hAnsi="Palatino Linotype" w:cs="Arial"/>
          <w:bCs/>
          <w:color w:val="000000" w:themeColor="text1"/>
        </w:rPr>
        <w:t xml:space="preserve">, </w:t>
      </w:r>
      <w:r w:rsidRPr="009E2C08">
        <w:rPr>
          <w:rFonts w:ascii="Palatino Linotype" w:eastAsia="Times New Roman" w:hAnsi="Palatino Linotype" w:cs="Times New Roman"/>
          <w:color w:val="000000" w:themeColor="text1"/>
        </w:rPr>
        <w:t xml:space="preserve">promovido por </w:t>
      </w:r>
      <w:r w:rsidR="00A52850" w:rsidRPr="009E2C08">
        <w:rPr>
          <w:rFonts w:ascii="Palatino Linotype" w:hAnsi="Palatino Linotype"/>
          <w:b/>
        </w:rPr>
        <w:t>un</w:t>
      </w:r>
      <w:r w:rsidR="009E2C08" w:rsidRPr="009E2C08">
        <w:rPr>
          <w:rFonts w:ascii="Palatino Linotype" w:hAnsi="Palatino Linotype"/>
          <w:b/>
        </w:rPr>
        <w:t xml:space="preserve">a persona que no proporcionó nombre alguno para ser </w:t>
      </w:r>
      <w:r w:rsidR="009E2C08">
        <w:rPr>
          <w:rFonts w:ascii="Palatino Linotype" w:hAnsi="Palatino Linotype"/>
          <w:b/>
        </w:rPr>
        <w:t>identificada</w:t>
      </w:r>
      <w:r w:rsidR="009E2C08">
        <w:rPr>
          <w:rFonts w:ascii="Palatino Linotype" w:hAnsi="Palatino Linotype"/>
        </w:rPr>
        <w:t xml:space="preserve">, en lo sucesivo se denominará como </w:t>
      </w:r>
      <w:r w:rsidR="009C14CD" w:rsidRPr="009E2C08">
        <w:rPr>
          <w:rFonts w:ascii="Palatino Linotype" w:hAnsi="Palatino Linotype"/>
        </w:rPr>
        <w:t xml:space="preserve"> </w:t>
      </w:r>
      <w:r w:rsidR="009C14CD" w:rsidRPr="009E2C08">
        <w:rPr>
          <w:rFonts w:ascii="Palatino Linotype" w:hAnsi="Palatino Linotype"/>
          <w:b/>
        </w:rPr>
        <w:t>RECURRENTE</w:t>
      </w:r>
      <w:r w:rsidRPr="009E2C08">
        <w:rPr>
          <w:rFonts w:ascii="Palatino Linotype" w:eastAsia="Times New Roman" w:hAnsi="Palatino Linotype" w:cs="Arial"/>
          <w:color w:val="000000" w:themeColor="text1"/>
        </w:rPr>
        <w:t>, en contra de la respuesta d</w:t>
      </w:r>
      <w:r w:rsidR="000249BD" w:rsidRPr="009E2C08">
        <w:rPr>
          <w:rFonts w:ascii="Palatino Linotype" w:eastAsia="Times New Roman" w:hAnsi="Palatino Linotype" w:cs="Arial"/>
          <w:color w:val="000000" w:themeColor="text1"/>
        </w:rPr>
        <w:t>e</w:t>
      </w:r>
      <w:r w:rsidR="00A52850" w:rsidRPr="009E2C08">
        <w:rPr>
          <w:rFonts w:ascii="Palatino Linotype" w:eastAsia="Times New Roman" w:hAnsi="Palatino Linotype" w:cs="Arial"/>
          <w:color w:val="000000" w:themeColor="text1"/>
        </w:rPr>
        <w:t xml:space="preserve"> </w:t>
      </w:r>
      <w:r w:rsidR="000249BD" w:rsidRPr="009E2C08">
        <w:rPr>
          <w:rFonts w:ascii="Palatino Linotype" w:eastAsia="Times New Roman" w:hAnsi="Palatino Linotype" w:cs="Arial"/>
          <w:color w:val="000000" w:themeColor="text1"/>
        </w:rPr>
        <w:t>l</w:t>
      </w:r>
      <w:r w:rsidR="00A52850" w:rsidRPr="009E2C08">
        <w:rPr>
          <w:rFonts w:ascii="Palatino Linotype" w:eastAsia="Times New Roman" w:hAnsi="Palatino Linotype" w:cs="Arial"/>
          <w:color w:val="000000" w:themeColor="text1"/>
        </w:rPr>
        <w:t>a</w:t>
      </w:r>
      <w:r w:rsidR="000249BD" w:rsidRPr="009E2C08">
        <w:rPr>
          <w:rFonts w:ascii="Palatino Linotype" w:eastAsia="Times New Roman" w:hAnsi="Palatino Linotype" w:cs="Arial"/>
          <w:color w:val="000000" w:themeColor="text1"/>
        </w:rPr>
        <w:t xml:space="preserve"> </w:t>
      </w:r>
      <w:r w:rsidR="00A52850" w:rsidRPr="009E2C08">
        <w:rPr>
          <w:rFonts w:ascii="Palatino Linotype" w:eastAsia="Times New Roman" w:hAnsi="Palatino Linotype" w:cs="Arial"/>
          <w:b/>
          <w:bCs/>
          <w:color w:val="000000" w:themeColor="text1"/>
        </w:rPr>
        <w:t>Comisión de Conciliación y Arbitraje Médico del Estado de México</w:t>
      </w:r>
      <w:r w:rsidRPr="009E2C08">
        <w:rPr>
          <w:rFonts w:ascii="Palatino Linotype" w:eastAsia="Calibri" w:hAnsi="Palatino Linotype" w:cs="Arial"/>
          <w:color w:val="000000" w:themeColor="text1"/>
          <w:lang w:val="es-ES"/>
        </w:rPr>
        <w:t xml:space="preserve">, </w:t>
      </w:r>
      <w:r w:rsidRPr="009E2C08">
        <w:rPr>
          <w:rFonts w:ascii="Palatino Linotype" w:eastAsia="Times New Roman" w:hAnsi="Palatino Linotype" w:cs="Times New Roman"/>
          <w:color w:val="000000" w:themeColor="text1"/>
        </w:rPr>
        <w:t xml:space="preserve">en </w:t>
      </w:r>
      <w:r w:rsidR="009E2C08">
        <w:rPr>
          <w:rFonts w:ascii="Palatino Linotype" w:eastAsia="Times New Roman" w:hAnsi="Palatino Linotype" w:cs="Times New Roman"/>
          <w:color w:val="000000" w:themeColor="text1"/>
        </w:rPr>
        <w:t>adelante</w:t>
      </w:r>
      <w:r w:rsidRPr="009E2C08">
        <w:rPr>
          <w:rFonts w:ascii="Palatino Linotype" w:eastAsia="Times New Roman" w:hAnsi="Palatino Linotype" w:cs="Times New Roman"/>
          <w:color w:val="000000" w:themeColor="text1"/>
        </w:rPr>
        <w:t xml:space="preserve"> el</w:t>
      </w:r>
      <w:r w:rsidRPr="009E2C08">
        <w:rPr>
          <w:rFonts w:ascii="Palatino Linotype" w:eastAsia="Times New Roman" w:hAnsi="Palatino Linotype" w:cs="Times New Roman"/>
          <w:b/>
          <w:color w:val="000000" w:themeColor="text1"/>
        </w:rPr>
        <w:t xml:space="preserve"> SUJETO OBLIGADO, </w:t>
      </w:r>
      <w:r w:rsidRPr="009E2C08">
        <w:rPr>
          <w:rFonts w:ascii="Palatino Linotype" w:eastAsia="Times New Roman" w:hAnsi="Palatino Linotype" w:cs="Times New Roman"/>
          <w:color w:val="000000" w:themeColor="text1"/>
        </w:rPr>
        <w:t>se procede a dictar la presente resolución, con base en los siguientes:</w:t>
      </w:r>
    </w:p>
    <w:p w14:paraId="6C589A49" w14:textId="77777777" w:rsidR="00933948" w:rsidRPr="009E2C08" w:rsidRDefault="00933948" w:rsidP="00C1682A">
      <w:pPr>
        <w:tabs>
          <w:tab w:val="left" w:pos="0"/>
        </w:tabs>
        <w:spacing w:line="360" w:lineRule="auto"/>
        <w:jc w:val="both"/>
        <w:rPr>
          <w:rFonts w:ascii="Palatino Linotype" w:hAnsi="Palatino Linotype"/>
        </w:rPr>
      </w:pPr>
    </w:p>
    <w:p w14:paraId="468D1AB4" w14:textId="093D8014" w:rsidR="008A5A73" w:rsidRPr="009E2C08" w:rsidRDefault="00662C69" w:rsidP="005D4F86">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748489"/>
      <w:r w:rsidRPr="009E2C08">
        <w:rPr>
          <w:rFonts w:ascii="Palatino Linotype" w:hAnsi="Palatino Linotype"/>
          <w:b/>
          <w:color w:val="000000" w:themeColor="text1"/>
          <w:sz w:val="24"/>
          <w:szCs w:val="24"/>
        </w:rPr>
        <w:t>ANTECEDENTES</w:t>
      </w:r>
      <w:bookmarkEnd w:id="0"/>
      <w:bookmarkEnd w:id="1"/>
      <w:bookmarkEnd w:id="2"/>
      <w:bookmarkEnd w:id="3"/>
    </w:p>
    <w:p w14:paraId="1294B304" w14:textId="77777777" w:rsidR="00C1682A" w:rsidRPr="009E2C08" w:rsidRDefault="00C1682A" w:rsidP="00C1682A">
      <w:pPr>
        <w:rPr>
          <w:lang w:eastAsia="en-US"/>
        </w:rPr>
      </w:pPr>
    </w:p>
    <w:p w14:paraId="5C8255BB" w14:textId="51F579E7" w:rsidR="00946C27" w:rsidRPr="009E2C08"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El </w:t>
      </w:r>
      <w:r w:rsidR="00A52850" w:rsidRPr="009E2C08">
        <w:rPr>
          <w:rFonts w:ascii="Palatino Linotype" w:eastAsia="Calibri" w:hAnsi="Palatino Linotype" w:cs="Arial"/>
          <w:bCs/>
          <w:color w:val="000000" w:themeColor="text1"/>
          <w:lang w:val="es-ES"/>
        </w:rPr>
        <w:t>veintiuno de noviembre de dos mil veintitrés</w:t>
      </w:r>
      <w:r w:rsidRPr="009E2C08">
        <w:rPr>
          <w:rFonts w:ascii="Palatino Linotype" w:eastAsia="Calibri" w:hAnsi="Palatino Linotype" w:cs="Times New Roman"/>
          <w:color w:val="000000" w:themeColor="text1"/>
          <w:lang w:val="es-ES"/>
        </w:rPr>
        <w:t xml:space="preserve"> </w:t>
      </w:r>
      <w:r w:rsidRPr="009E2C08">
        <w:rPr>
          <w:rFonts w:ascii="Palatino Linotype" w:eastAsia="Calibri" w:hAnsi="Palatino Linotype" w:cs="Arial"/>
          <w:color w:val="000000" w:themeColor="text1"/>
          <w:lang w:val="es-ES"/>
        </w:rPr>
        <w:t>se</w:t>
      </w:r>
      <w:r w:rsidRPr="009E2C08">
        <w:rPr>
          <w:rFonts w:ascii="Palatino Linotype" w:eastAsia="Calibri" w:hAnsi="Palatino Linotype" w:cs="Arial"/>
          <w:b/>
          <w:color w:val="000000" w:themeColor="text1"/>
          <w:lang w:val="es-ES"/>
        </w:rPr>
        <w:t xml:space="preserve"> </w:t>
      </w:r>
      <w:r w:rsidR="00620589" w:rsidRPr="009E2C08">
        <w:rPr>
          <w:rFonts w:ascii="Palatino Linotype" w:hAnsi="Palatino Linotype"/>
          <w:color w:val="000000" w:themeColor="text1"/>
        </w:rPr>
        <w:t>present</w:t>
      </w:r>
      <w:r w:rsidR="00A52850" w:rsidRPr="009E2C08">
        <w:rPr>
          <w:rFonts w:ascii="Palatino Linotype" w:hAnsi="Palatino Linotype"/>
          <w:color w:val="000000" w:themeColor="text1"/>
        </w:rPr>
        <w:t>ó</w:t>
      </w:r>
      <w:r w:rsidRPr="009E2C08">
        <w:rPr>
          <w:rFonts w:ascii="Palatino Linotype" w:hAnsi="Palatino Linotype"/>
          <w:b/>
          <w:color w:val="000000" w:themeColor="text1"/>
        </w:rPr>
        <w:t xml:space="preserve"> </w:t>
      </w:r>
      <w:r w:rsidRPr="009E2C08">
        <w:rPr>
          <w:rFonts w:ascii="Palatino Linotype" w:eastAsia="Calibri" w:hAnsi="Palatino Linotype" w:cs="Arial"/>
          <w:color w:val="000000" w:themeColor="text1"/>
        </w:rPr>
        <w:t xml:space="preserve">vía </w:t>
      </w:r>
      <w:r w:rsidR="001656D5" w:rsidRPr="009E2C08">
        <w:rPr>
          <w:rFonts w:ascii="Palatino Linotype" w:eastAsia="Calibri" w:hAnsi="Palatino Linotype" w:cs="Arial"/>
          <w:color w:val="000000" w:themeColor="text1"/>
        </w:rPr>
        <w:t xml:space="preserve">Sistema de Acceso a la Información Mexiquense </w:t>
      </w:r>
      <w:r w:rsidR="001656D5" w:rsidRPr="009E2C08">
        <w:rPr>
          <w:rFonts w:ascii="Palatino Linotype" w:eastAsia="Calibri" w:hAnsi="Palatino Linotype" w:cs="Arial"/>
          <w:b/>
          <w:color w:val="000000" w:themeColor="text1"/>
        </w:rPr>
        <w:t>(SAIMEX)</w:t>
      </w:r>
      <w:r w:rsidRPr="009E2C08">
        <w:rPr>
          <w:rFonts w:ascii="Palatino Linotype" w:eastAsia="Calibri" w:hAnsi="Palatino Linotype" w:cs="Arial"/>
          <w:b/>
          <w:color w:val="000000" w:themeColor="text1"/>
          <w:lang w:val="es-ES"/>
        </w:rPr>
        <w:t>,</w:t>
      </w:r>
      <w:r w:rsidRPr="009E2C08">
        <w:rPr>
          <w:rFonts w:ascii="Palatino Linotype" w:eastAsia="Calibri" w:hAnsi="Palatino Linotype" w:cs="Arial"/>
          <w:color w:val="000000" w:themeColor="text1"/>
          <w:lang w:val="es-ES"/>
        </w:rPr>
        <w:t xml:space="preserve"> la</w:t>
      </w:r>
      <w:r w:rsidR="000249BD" w:rsidRPr="009E2C08">
        <w:rPr>
          <w:rFonts w:ascii="Palatino Linotype" w:eastAsia="Calibri" w:hAnsi="Palatino Linotype" w:cs="Arial"/>
          <w:color w:val="000000" w:themeColor="text1"/>
          <w:lang w:val="es-ES"/>
        </w:rPr>
        <w:t xml:space="preserve"> </w:t>
      </w:r>
      <w:r w:rsidRPr="009E2C08">
        <w:rPr>
          <w:rFonts w:ascii="Palatino Linotype" w:eastAsia="Calibri" w:hAnsi="Palatino Linotype" w:cs="Arial"/>
          <w:color w:val="000000" w:themeColor="text1"/>
          <w:lang w:val="es-ES"/>
        </w:rPr>
        <w:t>solicitud de información pública registrada</w:t>
      </w:r>
      <w:r w:rsidR="00D956DB" w:rsidRPr="009E2C08">
        <w:rPr>
          <w:rFonts w:ascii="Palatino Linotype" w:eastAsia="Calibri" w:hAnsi="Palatino Linotype" w:cs="Arial"/>
          <w:color w:val="000000" w:themeColor="text1"/>
          <w:lang w:val="es-ES"/>
        </w:rPr>
        <w:t xml:space="preserve"> con </w:t>
      </w:r>
      <w:r w:rsidR="000249BD" w:rsidRPr="009E2C08">
        <w:rPr>
          <w:rFonts w:ascii="Palatino Linotype" w:eastAsia="Calibri" w:hAnsi="Palatino Linotype" w:cs="Arial"/>
          <w:color w:val="000000" w:themeColor="text1"/>
          <w:lang w:val="es-ES"/>
        </w:rPr>
        <w:t>el</w:t>
      </w:r>
      <w:r w:rsidRPr="009E2C08">
        <w:rPr>
          <w:rFonts w:ascii="Palatino Linotype" w:eastAsia="Calibri" w:hAnsi="Palatino Linotype" w:cs="Arial"/>
          <w:color w:val="000000" w:themeColor="text1"/>
          <w:lang w:val="es-ES"/>
        </w:rPr>
        <w:t xml:space="preserve"> número </w:t>
      </w:r>
      <w:r w:rsidR="00D956DB" w:rsidRPr="009E2C08">
        <w:rPr>
          <w:rFonts w:ascii="Palatino Linotype" w:hAnsi="Palatino Linotype"/>
          <w:b/>
        </w:rPr>
        <w:t>00</w:t>
      </w:r>
      <w:r w:rsidR="00A52850" w:rsidRPr="009E2C08">
        <w:rPr>
          <w:rFonts w:ascii="Palatino Linotype" w:hAnsi="Palatino Linotype"/>
          <w:b/>
        </w:rPr>
        <w:t>072</w:t>
      </w:r>
      <w:r w:rsidR="007D17AA" w:rsidRPr="009E2C08">
        <w:rPr>
          <w:rFonts w:ascii="Palatino Linotype" w:hAnsi="Palatino Linotype"/>
          <w:b/>
        </w:rPr>
        <w:t>/</w:t>
      </w:r>
      <w:r w:rsidR="00A52850" w:rsidRPr="009E2C08">
        <w:rPr>
          <w:rFonts w:ascii="Palatino Linotype" w:hAnsi="Palatino Linotype"/>
          <w:b/>
        </w:rPr>
        <w:t>CAMEM</w:t>
      </w:r>
      <w:r w:rsidR="00006F07" w:rsidRPr="009E2C08">
        <w:rPr>
          <w:rFonts w:ascii="Palatino Linotype" w:hAnsi="Palatino Linotype"/>
          <w:b/>
        </w:rPr>
        <w:t>/IP/202</w:t>
      </w:r>
      <w:r w:rsidR="00A52850" w:rsidRPr="009E2C08">
        <w:rPr>
          <w:rFonts w:ascii="Palatino Linotype" w:hAnsi="Palatino Linotype"/>
          <w:b/>
        </w:rPr>
        <w:t>3</w:t>
      </w:r>
      <w:r w:rsidRPr="009E2C08">
        <w:rPr>
          <w:rFonts w:ascii="Palatino Linotype" w:hAnsi="Palatino Linotype"/>
          <w:b/>
          <w:bCs/>
          <w:color w:val="000000" w:themeColor="text1"/>
        </w:rPr>
        <w:t>,</w:t>
      </w:r>
      <w:r w:rsidRPr="009E2C08">
        <w:rPr>
          <w:rFonts w:ascii="Palatino Linotype" w:eastAsia="Calibri" w:hAnsi="Palatino Linotype" w:cs="Arial"/>
          <w:color w:val="000000" w:themeColor="text1"/>
          <w:lang w:val="es-ES"/>
        </w:rPr>
        <w:t xml:space="preserve"> mediante la</w:t>
      </w:r>
      <w:r w:rsidR="000249BD" w:rsidRPr="009E2C08">
        <w:rPr>
          <w:rFonts w:ascii="Palatino Linotype" w:eastAsia="Calibri" w:hAnsi="Palatino Linotype" w:cs="Arial"/>
          <w:color w:val="000000" w:themeColor="text1"/>
          <w:lang w:val="es-ES"/>
        </w:rPr>
        <w:t xml:space="preserve"> </w:t>
      </w:r>
      <w:r w:rsidRPr="009E2C08">
        <w:rPr>
          <w:rFonts w:ascii="Palatino Linotype" w:eastAsia="Calibri" w:hAnsi="Palatino Linotype" w:cs="Arial"/>
          <w:color w:val="000000" w:themeColor="text1"/>
          <w:lang w:val="es-ES"/>
        </w:rPr>
        <w:t>cual se requirió</w:t>
      </w:r>
      <w:r w:rsidR="007D17AA" w:rsidRPr="009E2C08">
        <w:rPr>
          <w:rFonts w:ascii="Palatino Linotype" w:eastAsia="Calibri" w:hAnsi="Palatino Linotype" w:cs="Arial"/>
          <w:color w:val="000000" w:themeColor="text1"/>
          <w:lang w:val="es-ES"/>
        </w:rPr>
        <w:t xml:space="preserve"> lo siguiente</w:t>
      </w:r>
      <w:r w:rsidRPr="009E2C08">
        <w:rPr>
          <w:rFonts w:ascii="Palatino Linotype" w:eastAsia="Calibri" w:hAnsi="Palatino Linotype" w:cs="Arial"/>
          <w:color w:val="000000" w:themeColor="text1"/>
          <w:lang w:val="es-ES"/>
        </w:rPr>
        <w:t>:</w:t>
      </w:r>
    </w:p>
    <w:p w14:paraId="570919F0" w14:textId="77777777" w:rsidR="009C14CD" w:rsidRPr="009E2C08" w:rsidRDefault="009C14CD" w:rsidP="00BA0921">
      <w:pPr>
        <w:ind w:right="565"/>
        <w:jc w:val="both"/>
        <w:rPr>
          <w:rFonts w:ascii="Palatino Linotype" w:hAnsi="Palatino Linotype"/>
          <w:i/>
          <w:iCs/>
          <w:color w:val="000000"/>
        </w:rPr>
      </w:pPr>
    </w:p>
    <w:p w14:paraId="6ECE3332" w14:textId="61EC72E9" w:rsidR="009C14CD" w:rsidRPr="009E2C08" w:rsidRDefault="009C14CD" w:rsidP="00A52850">
      <w:pPr>
        <w:ind w:left="567" w:right="565"/>
        <w:jc w:val="both"/>
        <w:rPr>
          <w:rFonts w:ascii="Palatino Linotype" w:hAnsi="Palatino Linotype"/>
          <w:i/>
          <w:iCs/>
        </w:rPr>
      </w:pPr>
      <w:r w:rsidRPr="009E2C08">
        <w:rPr>
          <w:rFonts w:ascii="Palatino Linotype" w:hAnsi="Palatino Linotype"/>
          <w:i/>
          <w:iCs/>
          <w:color w:val="000000"/>
        </w:rPr>
        <w:t>“</w:t>
      </w:r>
      <w:r w:rsidR="00A52850" w:rsidRPr="009E2C08">
        <w:rPr>
          <w:rFonts w:ascii="Palatino Linotype" w:hAnsi="Palatino Linotype"/>
          <w:i/>
          <w:iCs/>
          <w:color w:val="000000"/>
        </w:rPr>
        <w:t>La renuncia de Luis Nazareth Carmona Méndez</w:t>
      </w:r>
      <w:r w:rsidR="00C84E47" w:rsidRPr="009E2C08">
        <w:rPr>
          <w:rFonts w:ascii="Palatino Linotype" w:hAnsi="Palatino Linotype"/>
          <w:i/>
          <w:iCs/>
          <w:color w:val="000000"/>
        </w:rPr>
        <w:t>.</w:t>
      </w:r>
      <w:r w:rsidRPr="009E2C08">
        <w:rPr>
          <w:rFonts w:ascii="Palatino Linotype" w:hAnsi="Palatino Linotype"/>
          <w:i/>
          <w:iCs/>
        </w:rPr>
        <w:t>” (Sic)</w:t>
      </w:r>
    </w:p>
    <w:p w14:paraId="72EA22AC" w14:textId="77777777" w:rsidR="004F680B" w:rsidRPr="009E2C08" w:rsidRDefault="004F680B" w:rsidP="004F680B">
      <w:pPr>
        <w:tabs>
          <w:tab w:val="left" w:pos="426"/>
          <w:tab w:val="left" w:pos="567"/>
        </w:tabs>
        <w:jc w:val="both"/>
        <w:rPr>
          <w:rFonts w:ascii="Palatino Linotype" w:hAnsi="Palatino Linotype"/>
          <w:b/>
          <w:color w:val="000000" w:themeColor="text1"/>
        </w:rPr>
      </w:pPr>
    </w:p>
    <w:p w14:paraId="600CA5F9" w14:textId="6EC6DD4D" w:rsidR="001146E4" w:rsidRPr="009E2C08" w:rsidRDefault="007D17AA" w:rsidP="001146E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Se </w:t>
      </w:r>
      <w:r w:rsidR="0010179B" w:rsidRPr="009E2C08">
        <w:rPr>
          <w:rFonts w:ascii="Palatino Linotype" w:eastAsia="Times New Roman" w:hAnsi="Palatino Linotype" w:cs="Arial"/>
          <w:lang w:val="es-ES"/>
        </w:rPr>
        <w:t xml:space="preserve">señaló como modalidad de entrega de la información: a través de </w:t>
      </w:r>
      <w:r w:rsidR="0010179B" w:rsidRPr="009E2C08">
        <w:rPr>
          <w:rFonts w:ascii="Palatino Linotype" w:eastAsia="Times New Roman" w:hAnsi="Palatino Linotype" w:cs="Arial"/>
          <w:b/>
          <w:lang w:val="es-ES"/>
        </w:rPr>
        <w:t>SAIMEX</w:t>
      </w:r>
      <w:r w:rsidR="005B6592" w:rsidRPr="009E2C08">
        <w:rPr>
          <w:rFonts w:ascii="Palatino Linotype" w:eastAsia="Times New Roman" w:hAnsi="Palatino Linotype" w:cs="Arial"/>
          <w:b/>
          <w:lang w:val="es-ES"/>
        </w:rPr>
        <w:t>.</w:t>
      </w:r>
    </w:p>
    <w:p w14:paraId="2AE102A6" w14:textId="77777777" w:rsidR="001146E4" w:rsidRPr="009E2C08" w:rsidRDefault="001146E4" w:rsidP="00A52850">
      <w:pPr>
        <w:rPr>
          <w:rFonts w:ascii="Palatino Linotype" w:eastAsia="Calibri" w:hAnsi="Palatino Linotype" w:cs="Arial"/>
          <w:color w:val="000000" w:themeColor="text1"/>
          <w:lang w:val="es-AR"/>
        </w:rPr>
      </w:pPr>
    </w:p>
    <w:p w14:paraId="5FB721CC" w14:textId="2591EFE4" w:rsidR="00A52850" w:rsidRPr="009E2C08" w:rsidRDefault="00A52850" w:rsidP="00A52850">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9E2C08">
        <w:rPr>
          <w:rFonts w:ascii="Palatino Linotype" w:hAnsi="Palatino Linotype"/>
          <w:color w:val="000000" w:themeColor="text1"/>
        </w:rPr>
        <w:lastRenderedPageBreak/>
        <w:t>El veintisiete de noviembre de dos mil veintitrés, el SUJETO OBLIGADO realizó un requerimiento de aclaración de la solicitud de información, en los siguientes términos:</w:t>
      </w:r>
    </w:p>
    <w:p w14:paraId="5E85E6A1" w14:textId="619D4BCC" w:rsidR="00A52850" w:rsidRPr="009E2C08" w:rsidRDefault="00A52850" w:rsidP="00A52850">
      <w:pPr>
        <w:pStyle w:val="Prrafodelista"/>
        <w:tabs>
          <w:tab w:val="left" w:pos="426"/>
          <w:tab w:val="left" w:pos="567"/>
        </w:tabs>
        <w:ind w:left="567" w:right="565"/>
        <w:jc w:val="both"/>
        <w:rPr>
          <w:rFonts w:ascii="Palatino Linotype" w:hAnsi="Palatino Linotype"/>
          <w:i/>
          <w:iCs/>
          <w:color w:val="000000"/>
          <w:sz w:val="22"/>
        </w:rPr>
      </w:pPr>
      <w:r w:rsidRPr="009E2C08">
        <w:rPr>
          <w:rFonts w:ascii="Palatino Linotype" w:hAnsi="Palatino Linotype"/>
          <w:i/>
          <w:iCs/>
          <w:color w:val="000000" w:themeColor="text1"/>
          <w:sz w:val="22"/>
        </w:rPr>
        <w:t>“…</w:t>
      </w:r>
      <w:r w:rsidRPr="009E2C08">
        <w:rPr>
          <w:rFonts w:ascii="Palatino Linotype" w:hAnsi="Palatino Linotype"/>
          <w:i/>
          <w:iCs/>
          <w:color w:val="000000"/>
          <w:sz w:val="22"/>
        </w:rPr>
        <w:t>Con fundamento en el articulo 159 de la Ley de Transparencia y Acceso a la Información Pública del Estado de México y Municipios, se le requiere para que dentro del plazo de diez días hábiles realice lo siguiente:</w:t>
      </w:r>
    </w:p>
    <w:p w14:paraId="61F1AB81" w14:textId="77777777" w:rsidR="00A52850" w:rsidRPr="009E2C08" w:rsidRDefault="00A52850" w:rsidP="00A52850">
      <w:pPr>
        <w:pStyle w:val="Prrafodelista"/>
        <w:tabs>
          <w:tab w:val="left" w:pos="426"/>
          <w:tab w:val="left" w:pos="567"/>
        </w:tabs>
        <w:ind w:left="567" w:right="565"/>
        <w:jc w:val="both"/>
        <w:rPr>
          <w:rFonts w:ascii="Palatino Linotype" w:hAnsi="Palatino Linotype"/>
          <w:i/>
          <w:iCs/>
          <w:color w:val="000000" w:themeColor="text1"/>
          <w:sz w:val="22"/>
        </w:rPr>
      </w:pPr>
    </w:p>
    <w:p w14:paraId="7EA6A09A" w14:textId="6A71AE65" w:rsidR="00A52850" w:rsidRPr="009E2C08" w:rsidRDefault="00A52850" w:rsidP="00A52850">
      <w:pPr>
        <w:pStyle w:val="Prrafodelista"/>
        <w:tabs>
          <w:tab w:val="left" w:pos="426"/>
          <w:tab w:val="left" w:pos="567"/>
        </w:tabs>
        <w:ind w:left="567" w:right="565"/>
        <w:jc w:val="both"/>
        <w:rPr>
          <w:rFonts w:ascii="Palatino Linotype" w:hAnsi="Palatino Linotype"/>
          <w:i/>
          <w:iCs/>
          <w:color w:val="000000"/>
          <w:sz w:val="22"/>
        </w:rPr>
      </w:pPr>
      <w:r w:rsidRPr="009E2C08">
        <w:rPr>
          <w:rFonts w:ascii="Palatino Linotype" w:hAnsi="Palatino Linotype"/>
          <w:i/>
          <w:iCs/>
          <w:color w:val="000000" w:themeColor="text1"/>
          <w:sz w:val="22"/>
        </w:rPr>
        <w:t>S</w:t>
      </w:r>
      <w:r w:rsidRPr="009E2C08">
        <w:rPr>
          <w:rFonts w:ascii="Palatino Linotype" w:hAnsi="Palatino Linotype"/>
          <w:i/>
          <w:iCs/>
          <w:color w:val="000000"/>
          <w:sz w:val="22"/>
        </w:rPr>
        <w:t>e anexa al presente oficio 208C0201000100S/602/2023</w:t>
      </w:r>
    </w:p>
    <w:p w14:paraId="263C3801" w14:textId="6F3D33A2" w:rsidR="00A52850" w:rsidRPr="009E2C08" w:rsidRDefault="00A52850" w:rsidP="00A52850">
      <w:pPr>
        <w:pStyle w:val="Prrafodelista"/>
        <w:tabs>
          <w:tab w:val="left" w:pos="426"/>
          <w:tab w:val="left" w:pos="567"/>
        </w:tabs>
        <w:ind w:left="567" w:right="565"/>
        <w:jc w:val="both"/>
        <w:rPr>
          <w:rFonts w:ascii="Palatino Linotype" w:hAnsi="Palatino Linotype"/>
          <w:i/>
          <w:iCs/>
          <w:color w:val="000000"/>
          <w:sz w:val="22"/>
        </w:rPr>
      </w:pPr>
    </w:p>
    <w:p w14:paraId="19F2D3AD" w14:textId="2B419BDC" w:rsidR="00A52850" w:rsidRPr="009E2C08" w:rsidRDefault="00A52850" w:rsidP="00A52850">
      <w:pPr>
        <w:pStyle w:val="Prrafodelista"/>
        <w:tabs>
          <w:tab w:val="left" w:pos="426"/>
          <w:tab w:val="left" w:pos="567"/>
        </w:tabs>
        <w:ind w:left="567" w:right="565"/>
        <w:jc w:val="both"/>
        <w:rPr>
          <w:rFonts w:ascii="Palatino Linotype" w:hAnsi="Palatino Linotype"/>
          <w:i/>
          <w:iCs/>
          <w:color w:val="000000" w:themeColor="text1"/>
          <w:sz w:val="22"/>
        </w:rPr>
      </w:pPr>
      <w:r w:rsidRPr="009E2C08">
        <w:rPr>
          <w:rFonts w:ascii="Palatino Linotype" w:hAnsi="Palatino Linotype"/>
          <w:i/>
          <w:iCs/>
          <w:color w:val="000000"/>
          <w:sz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5BDAB05A" w14:textId="7152FD92" w:rsidR="00A52850" w:rsidRPr="009E2C08" w:rsidRDefault="00A52850" w:rsidP="00A52850">
      <w:pPr>
        <w:rPr>
          <w:rFonts w:ascii="Palatino Linotype" w:eastAsia="Calibri" w:hAnsi="Palatino Linotype" w:cs="Arial"/>
          <w:color w:val="000000" w:themeColor="text1"/>
          <w:sz w:val="22"/>
          <w:lang w:val="es-AR"/>
        </w:rPr>
      </w:pPr>
    </w:p>
    <w:p w14:paraId="17D6C6A6" w14:textId="6FD92532" w:rsidR="00A52850" w:rsidRPr="009E2C08" w:rsidRDefault="00A52850" w:rsidP="00E540D8">
      <w:pPr>
        <w:jc w:val="both"/>
        <w:rPr>
          <w:rFonts w:ascii="Palatino Linotype" w:eastAsia="Calibri" w:hAnsi="Palatino Linotype" w:cs="Arial"/>
          <w:color w:val="000000" w:themeColor="text1"/>
          <w:sz w:val="22"/>
          <w:lang w:val="es-AR"/>
        </w:rPr>
      </w:pPr>
      <w:r w:rsidRPr="009E2C08">
        <w:rPr>
          <w:rFonts w:ascii="Palatino Linotype" w:eastAsia="Calibri" w:hAnsi="Palatino Linotype" w:cs="Arial"/>
          <w:color w:val="000000" w:themeColor="text1"/>
          <w:sz w:val="22"/>
          <w:lang w:val="es-AR"/>
        </w:rPr>
        <w:t xml:space="preserve">Se adjuntó el archivo electrónico denominado </w:t>
      </w:r>
      <w:hyperlink r:id="rId8" w:tgtFrame="_blank" w:history="1">
        <w:r w:rsidRPr="009E2C08">
          <w:rPr>
            <w:rStyle w:val="Hipervnculo"/>
            <w:rFonts w:ascii="Palatino Linotype" w:hAnsi="Palatino Linotype" w:cs="Arial"/>
            <w:b/>
            <w:bCs/>
            <w:color w:val="000000" w:themeColor="text1"/>
            <w:sz w:val="22"/>
            <w:u w:val="none"/>
          </w:rPr>
          <w:t>oficio 602.pdf</w:t>
        </w:r>
      </w:hyperlink>
      <w:r w:rsidRPr="009E2C08">
        <w:rPr>
          <w:rFonts w:ascii="Palatino Linotype" w:hAnsi="Palatino Linotype"/>
          <w:b/>
          <w:bCs/>
          <w:color w:val="000000" w:themeColor="text1"/>
          <w:sz w:val="22"/>
        </w:rPr>
        <w:t>,</w:t>
      </w:r>
      <w:r w:rsidRPr="009E2C08">
        <w:rPr>
          <w:rFonts w:ascii="Palatino Linotype" w:hAnsi="Palatino Linotype"/>
          <w:color w:val="000000" w:themeColor="text1"/>
          <w:sz w:val="22"/>
        </w:rPr>
        <w:t xml:space="preserve"> </w:t>
      </w:r>
      <w:r w:rsidRPr="009E2C08">
        <w:rPr>
          <w:rFonts w:ascii="Palatino Linotype" w:hAnsi="Palatino Linotype"/>
          <w:sz w:val="22"/>
        </w:rPr>
        <w:t>consistente en la copia digitalizada del oficio número 208C0201000100S/602/2023</w:t>
      </w:r>
      <w:r w:rsidR="00E540D8" w:rsidRPr="009E2C08">
        <w:rPr>
          <w:rFonts w:ascii="Palatino Linotype" w:hAnsi="Palatino Linotype"/>
          <w:sz w:val="22"/>
        </w:rPr>
        <w:t>, suscrito por el suplente del Jefe de la Unidad de Apoyo Administrativo, por medio del cual, respecto a la solicitud de información, requirió le indicaran otros elementos que complementaran o ampliaran los datos proporcionados para que la Unidad Administrativa ofreciera una respuesta id</w:t>
      </w:r>
      <w:r w:rsidR="00AC10E0" w:rsidRPr="009E2C08">
        <w:rPr>
          <w:rFonts w:ascii="Palatino Linotype" w:hAnsi="Palatino Linotype"/>
          <w:sz w:val="22"/>
        </w:rPr>
        <w:t>ó</w:t>
      </w:r>
      <w:r w:rsidR="00E540D8" w:rsidRPr="009E2C08">
        <w:rPr>
          <w:rFonts w:ascii="Palatino Linotype" w:hAnsi="Palatino Linotype"/>
          <w:sz w:val="22"/>
        </w:rPr>
        <w:t>nea.</w:t>
      </w:r>
    </w:p>
    <w:p w14:paraId="2FACBE39" w14:textId="77777777" w:rsidR="00A52850" w:rsidRPr="009E2C08" w:rsidRDefault="00A52850" w:rsidP="00E540D8">
      <w:pPr>
        <w:pStyle w:val="Prrafodelista"/>
        <w:tabs>
          <w:tab w:val="left" w:pos="426"/>
          <w:tab w:val="left" w:pos="567"/>
        </w:tabs>
        <w:spacing w:line="360" w:lineRule="auto"/>
        <w:ind w:left="0"/>
        <w:jc w:val="both"/>
        <w:rPr>
          <w:rFonts w:ascii="Palatino Linotype" w:hAnsi="Palatino Linotype"/>
          <w:color w:val="000000" w:themeColor="text1"/>
        </w:rPr>
      </w:pPr>
    </w:p>
    <w:p w14:paraId="54CA1857" w14:textId="58A90979" w:rsidR="00E540D8" w:rsidRPr="009E2C08" w:rsidRDefault="00E540D8"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9E2C08">
        <w:rPr>
          <w:rFonts w:ascii="Palatino Linotype" w:hAnsi="Palatino Linotype"/>
          <w:color w:val="000000" w:themeColor="text1"/>
        </w:rPr>
        <w:t xml:space="preserve">El veintiocho de noviembre de dos mil veintitrés, el </w:t>
      </w:r>
      <w:r w:rsidRPr="009E2C08">
        <w:rPr>
          <w:rFonts w:ascii="Palatino Linotype" w:hAnsi="Palatino Linotype"/>
          <w:b/>
          <w:bCs/>
          <w:color w:val="000000" w:themeColor="text1"/>
        </w:rPr>
        <w:t>RECURRENTE</w:t>
      </w:r>
      <w:r w:rsidRPr="009E2C08">
        <w:rPr>
          <w:rFonts w:ascii="Palatino Linotype" w:hAnsi="Palatino Linotype"/>
          <w:color w:val="000000" w:themeColor="text1"/>
        </w:rPr>
        <w:t xml:space="preserve"> emitió respuesta a al requerimiento de aclaración, en los siguientes términos:</w:t>
      </w:r>
    </w:p>
    <w:p w14:paraId="03730206" w14:textId="4567981B" w:rsidR="00E540D8" w:rsidRPr="009E2C08" w:rsidRDefault="00E540D8" w:rsidP="00E540D8">
      <w:pPr>
        <w:pStyle w:val="Prrafodelista"/>
        <w:tabs>
          <w:tab w:val="left" w:pos="426"/>
          <w:tab w:val="left" w:pos="567"/>
        </w:tabs>
        <w:ind w:left="567" w:right="565"/>
        <w:jc w:val="both"/>
        <w:rPr>
          <w:rFonts w:ascii="Palatino Linotype" w:hAnsi="Palatino Linotype"/>
          <w:color w:val="000000" w:themeColor="text1"/>
          <w:sz w:val="22"/>
        </w:rPr>
      </w:pPr>
      <w:r w:rsidRPr="009E2C08">
        <w:rPr>
          <w:rFonts w:ascii="Palatino Linotype" w:hAnsi="Palatino Linotype"/>
          <w:color w:val="000000" w:themeColor="text1"/>
          <w:sz w:val="22"/>
        </w:rPr>
        <w:t>“</w:t>
      </w:r>
      <w:r w:rsidRPr="009E2C08">
        <w:rPr>
          <w:rFonts w:ascii="Palatino Linotype" w:hAnsi="Palatino Linotype"/>
          <w:i/>
          <w:iCs/>
          <w:color w:val="000000"/>
          <w:sz w:val="22"/>
        </w:rPr>
        <w:t>Se requiere el documento que compruebe por qué el C. Luis Nazareth Carmona Méndez ya no labora en la dependencia o que justifique su ausencia de la misma. Este documento puede ser Renuncia; Acta por fallecimiento; Rescisión de la relación laboral por causa fundamentada en la Ley del Trabajo de los Servidores Públicos del Estado y Municipios; Aplicación de resolución de la Secretaría de la Contraloría; Permiso con o sin goce de sueldo o cualquier otro documento justificante.” (Sic)</w:t>
      </w:r>
    </w:p>
    <w:p w14:paraId="7ACCE860" w14:textId="77777777" w:rsidR="00E540D8" w:rsidRPr="009E2C08" w:rsidRDefault="00E540D8" w:rsidP="00E540D8">
      <w:pPr>
        <w:pStyle w:val="Prrafodelista"/>
        <w:tabs>
          <w:tab w:val="left" w:pos="426"/>
          <w:tab w:val="left" w:pos="567"/>
        </w:tabs>
        <w:spacing w:line="360" w:lineRule="auto"/>
        <w:ind w:left="0"/>
        <w:jc w:val="both"/>
        <w:rPr>
          <w:rFonts w:ascii="Palatino Linotype" w:hAnsi="Palatino Linotype"/>
          <w:color w:val="000000" w:themeColor="text1"/>
          <w:sz w:val="22"/>
        </w:rPr>
      </w:pPr>
    </w:p>
    <w:p w14:paraId="2C0F5609" w14:textId="5BF373AE" w:rsidR="00E65127" w:rsidRPr="009E2C08" w:rsidRDefault="00946C27"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9E2C08">
        <w:rPr>
          <w:rFonts w:ascii="Palatino Linotype" w:eastAsia="Calibri" w:hAnsi="Palatino Linotype" w:cs="Arial"/>
          <w:color w:val="000000" w:themeColor="text1"/>
          <w:lang w:val="es-AR"/>
        </w:rPr>
        <w:t>E</w:t>
      </w:r>
      <w:r w:rsidR="009C14CD" w:rsidRPr="009E2C08">
        <w:rPr>
          <w:rFonts w:ascii="Palatino Linotype" w:eastAsia="Calibri" w:hAnsi="Palatino Linotype" w:cs="Arial"/>
          <w:color w:val="000000" w:themeColor="text1"/>
          <w:lang w:val="es-AR"/>
        </w:rPr>
        <w:t>l</w:t>
      </w:r>
      <w:r w:rsidRPr="009E2C08">
        <w:rPr>
          <w:rFonts w:ascii="Palatino Linotype" w:eastAsia="Calibri" w:hAnsi="Palatino Linotype" w:cs="Arial"/>
          <w:color w:val="000000" w:themeColor="text1"/>
          <w:lang w:val="es-AR"/>
        </w:rPr>
        <w:t xml:space="preserve"> </w:t>
      </w:r>
      <w:r w:rsidRPr="009E2C08">
        <w:rPr>
          <w:rFonts w:ascii="Palatino Linotype" w:eastAsia="Times New Roman" w:hAnsi="Palatino Linotype" w:cs="Arial"/>
          <w:b/>
          <w:color w:val="000000" w:themeColor="text1"/>
          <w:lang w:val="es-ES"/>
        </w:rPr>
        <w:t xml:space="preserve">SUJETO </w:t>
      </w:r>
      <w:r w:rsidR="008B1D05" w:rsidRPr="009E2C08">
        <w:rPr>
          <w:rFonts w:ascii="Palatino Linotype" w:hAnsi="Palatino Linotype" w:cs="Arial"/>
          <w:b/>
        </w:rPr>
        <w:t>OBLIGADO</w:t>
      </w:r>
      <w:r w:rsidR="008B1D05" w:rsidRPr="009E2C08">
        <w:rPr>
          <w:rFonts w:ascii="Palatino Linotype" w:hAnsi="Palatino Linotype" w:cs="Arial"/>
        </w:rPr>
        <w:t xml:space="preserve"> fue omiso en emitir respuesta a la solicitud de información</w:t>
      </w:r>
      <w:r w:rsidR="00E540D8" w:rsidRPr="009E2C08">
        <w:rPr>
          <w:rFonts w:ascii="Palatino Linotype" w:hAnsi="Palatino Linotype" w:cs="Arial"/>
        </w:rPr>
        <w:t xml:space="preserve"> según consta en el </w:t>
      </w:r>
      <w:r w:rsidR="00E540D8" w:rsidRPr="009E2C08">
        <w:rPr>
          <w:rFonts w:ascii="Palatino Linotype" w:hAnsi="Palatino Linotype" w:cs="Arial"/>
          <w:b/>
          <w:bCs/>
        </w:rPr>
        <w:t>SAIMEX.</w:t>
      </w:r>
    </w:p>
    <w:p w14:paraId="6323F36D" w14:textId="7C03F626" w:rsidR="00D9301B" w:rsidRPr="009E2C08"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Times New Roman" w:hAnsi="Palatino Linotype" w:cs="Arial"/>
          <w:color w:val="000000" w:themeColor="text1"/>
          <w:lang w:val="es-ES"/>
        </w:rPr>
        <w:lastRenderedPageBreak/>
        <w:t xml:space="preserve">El </w:t>
      </w:r>
      <w:r w:rsidR="00E540D8" w:rsidRPr="009E2C08">
        <w:rPr>
          <w:rFonts w:ascii="Palatino Linotype" w:eastAsia="Times New Roman" w:hAnsi="Palatino Linotype" w:cs="Arial"/>
          <w:bCs/>
          <w:color w:val="000000" w:themeColor="text1"/>
          <w:lang w:val="es-ES"/>
        </w:rPr>
        <w:t>veinte de diciembre de dos mil veintitrés</w:t>
      </w:r>
      <w:r w:rsidRPr="009E2C08">
        <w:rPr>
          <w:rFonts w:ascii="Palatino Linotype" w:eastAsia="Times New Roman" w:hAnsi="Palatino Linotype" w:cs="Arial"/>
          <w:color w:val="000000" w:themeColor="text1"/>
          <w:lang w:val="es-ES"/>
        </w:rPr>
        <w:t xml:space="preserve">, </w:t>
      </w:r>
      <w:r w:rsidRPr="009E2C08">
        <w:rPr>
          <w:rFonts w:ascii="Palatino Linotype" w:hAnsi="Palatino Linotype"/>
          <w:color w:val="000000" w:themeColor="text1"/>
        </w:rPr>
        <w:t xml:space="preserve">se </w:t>
      </w:r>
      <w:r w:rsidR="00FD1469" w:rsidRPr="009E2C08">
        <w:rPr>
          <w:rFonts w:ascii="Palatino Linotype" w:eastAsia="Times New Roman" w:hAnsi="Palatino Linotype" w:cs="Arial"/>
          <w:color w:val="000000" w:themeColor="text1"/>
          <w:lang w:val="es-ES"/>
        </w:rPr>
        <w:t>interpus</w:t>
      </w:r>
      <w:r w:rsidR="009C14CD" w:rsidRPr="009E2C08">
        <w:rPr>
          <w:rFonts w:ascii="Palatino Linotype" w:eastAsia="Times New Roman" w:hAnsi="Palatino Linotype" w:cs="Arial"/>
          <w:color w:val="000000" w:themeColor="text1"/>
          <w:lang w:val="es-ES"/>
        </w:rPr>
        <w:t>o</w:t>
      </w:r>
      <w:r w:rsidR="00FD1469" w:rsidRPr="009E2C08">
        <w:rPr>
          <w:rFonts w:ascii="Palatino Linotype" w:eastAsia="Times New Roman" w:hAnsi="Palatino Linotype" w:cs="Arial"/>
          <w:color w:val="000000" w:themeColor="text1"/>
          <w:lang w:val="es-ES"/>
        </w:rPr>
        <w:t xml:space="preserve"> </w:t>
      </w:r>
      <w:r w:rsidR="009C14CD" w:rsidRPr="009E2C08">
        <w:rPr>
          <w:rFonts w:ascii="Palatino Linotype" w:eastAsia="Times New Roman" w:hAnsi="Palatino Linotype" w:cs="Arial"/>
          <w:color w:val="000000" w:themeColor="text1"/>
          <w:lang w:val="es-ES"/>
        </w:rPr>
        <w:t>el</w:t>
      </w:r>
      <w:r w:rsidRPr="009E2C08">
        <w:rPr>
          <w:rFonts w:ascii="Palatino Linotype" w:eastAsia="Times New Roman" w:hAnsi="Palatino Linotype" w:cs="Arial"/>
          <w:color w:val="000000" w:themeColor="text1"/>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9E2C08" w:rsidRDefault="00FD1469" w:rsidP="0076671F">
      <w:pPr>
        <w:pStyle w:val="Prrafodelista"/>
        <w:tabs>
          <w:tab w:val="left" w:pos="426"/>
          <w:tab w:val="left" w:pos="567"/>
        </w:tabs>
        <w:ind w:left="0"/>
        <w:jc w:val="both"/>
        <w:rPr>
          <w:rFonts w:ascii="Palatino Linotype" w:eastAsia="Calibri" w:hAnsi="Palatino Linotype" w:cs="Arial"/>
          <w:color w:val="000000" w:themeColor="text1"/>
          <w:sz w:val="22"/>
          <w:lang w:val="es-ES"/>
        </w:rPr>
      </w:pPr>
    </w:p>
    <w:p w14:paraId="34DB471A" w14:textId="4F8D3AAA" w:rsidR="00BC1F07" w:rsidRPr="009E2C08" w:rsidRDefault="00284D3E" w:rsidP="001146E4">
      <w:pPr>
        <w:ind w:left="567" w:right="565"/>
        <w:jc w:val="both"/>
        <w:rPr>
          <w:sz w:val="22"/>
        </w:rPr>
      </w:pPr>
      <w:r w:rsidRPr="009E2C08">
        <w:rPr>
          <w:rFonts w:ascii="Palatino Linotype" w:eastAsia="Calibri" w:hAnsi="Palatino Linotype" w:cs="Arial"/>
          <w:b/>
          <w:sz w:val="22"/>
        </w:rPr>
        <w:t>Acto impugnado</w:t>
      </w:r>
      <w:r w:rsidRPr="009E2C08">
        <w:rPr>
          <w:rFonts w:ascii="Palatino Linotype" w:eastAsia="Calibri" w:hAnsi="Palatino Linotype" w:cs="Arial"/>
          <w:sz w:val="22"/>
        </w:rPr>
        <w:t>:</w:t>
      </w:r>
      <w:r w:rsidRPr="009E2C08">
        <w:rPr>
          <w:rFonts w:ascii="Palatino Linotype" w:eastAsia="Calibri" w:hAnsi="Palatino Linotype" w:cs="Arial"/>
          <w:i/>
          <w:iCs/>
          <w:sz w:val="22"/>
        </w:rPr>
        <w:t xml:space="preserve"> “</w:t>
      </w:r>
      <w:r w:rsidR="00E540D8" w:rsidRPr="009E2C08">
        <w:rPr>
          <w:rFonts w:ascii="Palatino Linotype" w:hAnsi="Palatino Linotype"/>
          <w:i/>
          <w:iCs/>
          <w:color w:val="000000"/>
          <w:sz w:val="22"/>
        </w:rPr>
        <w:t>No entregó la información solicitada.</w:t>
      </w:r>
      <w:r w:rsidR="00BC1F07" w:rsidRPr="009E2C08">
        <w:rPr>
          <w:rFonts w:ascii="Palatino Linotype" w:hAnsi="Palatino Linotype"/>
          <w:i/>
          <w:iCs/>
          <w:color w:val="000000"/>
          <w:sz w:val="22"/>
        </w:rPr>
        <w:t>” (Sic)</w:t>
      </w:r>
    </w:p>
    <w:p w14:paraId="2BB8579E" w14:textId="77777777" w:rsidR="00284D3E" w:rsidRPr="009E2C08" w:rsidRDefault="00284D3E" w:rsidP="001146E4">
      <w:pPr>
        <w:ind w:left="567" w:right="565"/>
        <w:jc w:val="both"/>
        <w:rPr>
          <w:rFonts w:ascii="Palatino Linotype" w:hAnsi="Palatino Linotype"/>
          <w:i/>
          <w:iCs/>
          <w:sz w:val="22"/>
        </w:rPr>
      </w:pPr>
    </w:p>
    <w:p w14:paraId="5A062037" w14:textId="0DD5F9B1" w:rsidR="00284D3E" w:rsidRPr="009E2C08" w:rsidRDefault="00284D3E" w:rsidP="001146E4">
      <w:pPr>
        <w:ind w:left="567" w:right="565"/>
        <w:jc w:val="both"/>
        <w:rPr>
          <w:rFonts w:ascii="Palatino Linotype" w:hAnsi="Palatino Linotype"/>
          <w:i/>
          <w:iCs/>
          <w:sz w:val="22"/>
        </w:rPr>
      </w:pPr>
      <w:r w:rsidRPr="009E2C08">
        <w:rPr>
          <w:rFonts w:ascii="Palatino Linotype" w:eastAsia="Calibri" w:hAnsi="Palatino Linotype" w:cs="Arial"/>
          <w:b/>
          <w:sz w:val="22"/>
        </w:rPr>
        <w:t>Razones o Motivos de inconformidad</w:t>
      </w:r>
      <w:r w:rsidRPr="009E2C08">
        <w:rPr>
          <w:rFonts w:ascii="Palatino Linotype" w:eastAsia="Calibri" w:hAnsi="Palatino Linotype" w:cs="Arial"/>
          <w:sz w:val="22"/>
        </w:rPr>
        <w:t>:</w:t>
      </w:r>
      <w:r w:rsidRPr="009E2C08">
        <w:rPr>
          <w:rFonts w:ascii="Palatino Linotype" w:eastAsia="Calibri" w:hAnsi="Palatino Linotype" w:cs="Arial"/>
          <w:i/>
          <w:iCs/>
          <w:sz w:val="22"/>
        </w:rPr>
        <w:t xml:space="preserve"> “</w:t>
      </w:r>
      <w:r w:rsidR="00E540D8" w:rsidRPr="009E2C08">
        <w:rPr>
          <w:rFonts w:ascii="Palatino Linotype" w:hAnsi="Palatino Linotype"/>
          <w:i/>
          <w:iCs/>
          <w:color w:val="000000"/>
          <w:sz w:val="22"/>
        </w:rPr>
        <w:t>No dio respuesta a la solicitud de información.</w:t>
      </w:r>
      <w:r w:rsidRPr="009E2C08">
        <w:rPr>
          <w:rFonts w:ascii="Palatino Linotype" w:hAnsi="Palatino Linotype"/>
          <w:i/>
          <w:iCs/>
          <w:sz w:val="22"/>
        </w:rPr>
        <w:t>” (Sic)</w:t>
      </w:r>
    </w:p>
    <w:p w14:paraId="40C903E9" w14:textId="77777777" w:rsidR="00533150" w:rsidRPr="009E2C08" w:rsidRDefault="00533150" w:rsidP="00533150">
      <w:pPr>
        <w:pStyle w:val="Prrafodelista"/>
        <w:tabs>
          <w:tab w:val="left" w:pos="851"/>
        </w:tabs>
        <w:spacing w:line="360" w:lineRule="auto"/>
        <w:ind w:left="0"/>
        <w:jc w:val="both"/>
        <w:rPr>
          <w:rFonts w:ascii="Palatino Linotype" w:eastAsia="Calibri" w:hAnsi="Palatino Linotype" w:cs="Arial"/>
          <w:b/>
          <w:color w:val="000000" w:themeColor="text1"/>
          <w:sz w:val="22"/>
          <w:lang w:val="es-ES"/>
        </w:rPr>
      </w:pPr>
    </w:p>
    <w:p w14:paraId="6BAE1CB4" w14:textId="32E5FA3E" w:rsidR="000D02C9" w:rsidRPr="009E2C08"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L</w:t>
      </w:r>
      <w:r w:rsidR="00D171D4" w:rsidRPr="009E2C08">
        <w:rPr>
          <w:rFonts w:ascii="Palatino Linotype" w:eastAsia="Calibri" w:hAnsi="Palatino Linotype" w:cs="Arial"/>
          <w:color w:val="000000" w:themeColor="text1"/>
          <w:lang w:val="es-ES"/>
        </w:rPr>
        <w:t xml:space="preserve">a </w:t>
      </w:r>
      <w:r w:rsidRPr="009E2C08">
        <w:rPr>
          <w:rFonts w:ascii="Palatino Linotype" w:eastAsia="Calibri" w:hAnsi="Palatino Linotype"/>
        </w:rPr>
        <w:t>Comisionad</w:t>
      </w:r>
      <w:r w:rsidR="00D171D4" w:rsidRPr="009E2C08">
        <w:rPr>
          <w:rFonts w:ascii="Palatino Linotype" w:eastAsia="Calibri" w:hAnsi="Palatino Linotype"/>
        </w:rPr>
        <w:t>a</w:t>
      </w:r>
      <w:r w:rsidRPr="009E2C08">
        <w:rPr>
          <w:rFonts w:ascii="Palatino Linotype" w:eastAsia="Calibri" w:hAnsi="Palatino Linotype" w:cs="Arial"/>
        </w:rPr>
        <w:t xml:space="preserve"> Ponente</w:t>
      </w:r>
      <w:r w:rsidR="00D171D4" w:rsidRPr="009E2C08">
        <w:rPr>
          <w:rFonts w:ascii="Palatino Linotype" w:eastAsia="Calibri" w:hAnsi="Palatino Linotype" w:cs="Arial"/>
        </w:rPr>
        <w:t xml:space="preserve"> </w:t>
      </w:r>
      <w:r w:rsidRPr="009E2C08">
        <w:rPr>
          <w:rFonts w:ascii="Palatino Linotype" w:eastAsia="Calibri" w:hAnsi="Palatino Linotype" w:cs="Arial"/>
        </w:rPr>
        <w:t>con fundamento en lo dispuesto por el artículo 185 fracción II de la ley de la materia, a través de</w:t>
      </w:r>
      <w:r w:rsidR="00D171D4" w:rsidRPr="009E2C08">
        <w:rPr>
          <w:rFonts w:ascii="Palatino Linotype" w:eastAsia="Calibri" w:hAnsi="Palatino Linotype" w:cs="Arial"/>
        </w:rPr>
        <w:t>l</w:t>
      </w:r>
      <w:r w:rsidRPr="009E2C08">
        <w:rPr>
          <w:rFonts w:ascii="Palatino Linotype" w:eastAsia="Calibri" w:hAnsi="Palatino Linotype" w:cs="Arial"/>
        </w:rPr>
        <w:t xml:space="preserve"> acuerdo de admisión del </w:t>
      </w:r>
      <w:r w:rsidR="00E540D8" w:rsidRPr="009E2C08">
        <w:rPr>
          <w:rFonts w:ascii="Palatino Linotype" w:eastAsia="Calibri" w:hAnsi="Palatino Linotype" w:cs="Arial"/>
        </w:rPr>
        <w:t>dieciséis de enero de dos mil veintitrés</w:t>
      </w:r>
      <w:r w:rsidRPr="009E2C08">
        <w:rPr>
          <w:rFonts w:ascii="Palatino Linotype" w:eastAsia="Calibri" w:hAnsi="Palatino Linotype" w:cs="Arial"/>
        </w:rPr>
        <w:t>, pus</w:t>
      </w:r>
      <w:r w:rsidR="00D171D4" w:rsidRPr="009E2C08">
        <w:rPr>
          <w:rFonts w:ascii="Palatino Linotype" w:eastAsia="Calibri" w:hAnsi="Palatino Linotype" w:cs="Arial"/>
        </w:rPr>
        <w:t xml:space="preserve">o </w:t>
      </w:r>
      <w:r w:rsidRPr="009E2C08">
        <w:rPr>
          <w:rFonts w:ascii="Palatino Linotype" w:eastAsia="Calibri" w:hAnsi="Palatino Linotype" w:cs="Arial"/>
        </w:rPr>
        <w:t xml:space="preserve">a disposición de las partes </w:t>
      </w:r>
      <w:r w:rsidR="00D171D4" w:rsidRPr="009E2C08">
        <w:rPr>
          <w:rFonts w:ascii="Palatino Linotype" w:eastAsia="Calibri" w:hAnsi="Palatino Linotype" w:cs="Arial"/>
        </w:rPr>
        <w:t>el</w:t>
      </w:r>
      <w:r w:rsidRPr="009E2C08">
        <w:rPr>
          <w:rFonts w:ascii="Palatino Linotype" w:eastAsia="Calibri" w:hAnsi="Palatino Linotype" w:cs="Arial"/>
        </w:rPr>
        <w:t xml:space="preserve"> expediente electrónico vía Sistema de Acceso a la Información Mexiquense </w:t>
      </w:r>
      <w:r w:rsidRPr="009E2C08">
        <w:rPr>
          <w:rFonts w:ascii="Palatino Linotype" w:eastAsia="Calibri" w:hAnsi="Palatino Linotype" w:cs="Arial"/>
          <w:b/>
        </w:rPr>
        <w:t xml:space="preserve">SAIMEX, </w:t>
      </w:r>
      <w:r w:rsidRPr="009E2C08">
        <w:rPr>
          <w:rFonts w:ascii="Palatino Linotype" w:eastAsia="Calibri" w:hAnsi="Palatino Linotype" w:cs="Arial"/>
        </w:rPr>
        <w:t>a efecto de que en un plazo máximo de siete días manifestaran</w:t>
      </w:r>
      <w:r w:rsidR="00D171D4" w:rsidRPr="009E2C08">
        <w:rPr>
          <w:rFonts w:ascii="Palatino Linotype" w:eastAsia="Calibri" w:hAnsi="Palatino Linotype" w:cs="Arial"/>
        </w:rPr>
        <w:t xml:space="preserve"> </w:t>
      </w:r>
      <w:r w:rsidRPr="009E2C08">
        <w:rPr>
          <w:rFonts w:ascii="Palatino Linotype" w:eastAsia="Calibri" w:hAnsi="Palatino Linotype" w:cs="Arial"/>
        </w:rPr>
        <w:t xml:space="preserve">lo que a su derecho conviniera, ofrecieran pruebas y alegatos según corresponda, de esta forma para que el </w:t>
      </w:r>
      <w:r w:rsidRPr="009E2C08">
        <w:rPr>
          <w:rFonts w:ascii="Palatino Linotype" w:eastAsia="Calibri" w:hAnsi="Palatino Linotype" w:cs="Arial"/>
          <w:b/>
        </w:rPr>
        <w:t>SUJETO OBLIGADO</w:t>
      </w:r>
      <w:r w:rsidRPr="009E2C08">
        <w:rPr>
          <w:rFonts w:ascii="Palatino Linotype" w:eastAsia="Calibri" w:hAnsi="Palatino Linotype" w:cs="Arial"/>
        </w:rPr>
        <w:t xml:space="preserve"> presentará </w:t>
      </w:r>
      <w:r w:rsidR="00D171D4" w:rsidRPr="009E2C08">
        <w:rPr>
          <w:rFonts w:ascii="Palatino Linotype" w:eastAsia="Calibri" w:hAnsi="Palatino Linotype" w:cs="Arial"/>
        </w:rPr>
        <w:t>el</w:t>
      </w:r>
      <w:r w:rsidRPr="009E2C08">
        <w:rPr>
          <w:rFonts w:ascii="Palatino Linotype" w:eastAsia="Calibri" w:hAnsi="Palatino Linotype" w:cs="Arial"/>
        </w:rPr>
        <w:t xml:space="preserve"> Informe Justificado procedente</w:t>
      </w:r>
      <w:r w:rsidR="00D171D4" w:rsidRPr="009E2C08">
        <w:rPr>
          <w:rFonts w:ascii="Palatino Linotype" w:eastAsia="Calibri" w:hAnsi="Palatino Linotype" w:cs="Arial"/>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9E2C08"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BEF4D65" w14:textId="76BF9708" w:rsidR="0099059B" w:rsidRPr="009E2C08" w:rsidRDefault="00BE2314"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El</w:t>
      </w:r>
      <w:r w:rsidR="00E540D8" w:rsidRPr="009E2C08">
        <w:rPr>
          <w:rFonts w:ascii="Palatino Linotype" w:eastAsia="Calibri" w:hAnsi="Palatino Linotype" w:cs="Arial"/>
          <w:bCs/>
          <w:color w:val="000000" w:themeColor="text1"/>
          <w:lang w:val="es-ES"/>
        </w:rPr>
        <w:t xml:space="preserve"> diecisiete de enero de dos mil veinticuatro</w:t>
      </w:r>
      <w:r w:rsidR="00B41A55" w:rsidRPr="009E2C08">
        <w:rPr>
          <w:rFonts w:ascii="Palatino Linotype" w:eastAsia="Calibri" w:hAnsi="Palatino Linotype" w:cs="Arial"/>
          <w:color w:val="000000" w:themeColor="text1"/>
          <w:lang w:val="es-ES"/>
        </w:rPr>
        <w:t xml:space="preserve">, el </w:t>
      </w:r>
      <w:r w:rsidR="00B41A55" w:rsidRPr="009E2C08">
        <w:rPr>
          <w:rFonts w:ascii="Palatino Linotype" w:eastAsia="Calibri" w:hAnsi="Palatino Linotype" w:cs="Arial"/>
          <w:b/>
          <w:color w:val="000000" w:themeColor="text1"/>
          <w:lang w:val="es-ES"/>
        </w:rPr>
        <w:t>SUJETO OBLIGADO</w:t>
      </w:r>
      <w:r w:rsidR="00B41A55" w:rsidRPr="009E2C08">
        <w:rPr>
          <w:rFonts w:ascii="Palatino Linotype" w:eastAsia="Calibri" w:hAnsi="Palatino Linotype" w:cs="Arial"/>
          <w:color w:val="000000" w:themeColor="text1"/>
          <w:lang w:val="es-ES"/>
        </w:rPr>
        <w:t xml:space="preserve"> rindió su </w:t>
      </w:r>
      <w:r w:rsidR="00B41A55" w:rsidRPr="009E2C08">
        <w:rPr>
          <w:rFonts w:ascii="Palatino Linotype" w:eastAsia="Calibri" w:hAnsi="Palatino Linotype" w:cs="Arial"/>
          <w:lang w:val="es-ES"/>
        </w:rPr>
        <w:t>informe</w:t>
      </w:r>
      <w:r w:rsidR="00D171D4" w:rsidRPr="009E2C08">
        <w:rPr>
          <w:rFonts w:ascii="Palatino Linotype" w:eastAsia="Calibri" w:hAnsi="Palatino Linotype" w:cs="Arial"/>
          <w:lang w:val="es-ES"/>
        </w:rPr>
        <w:t xml:space="preserve"> </w:t>
      </w:r>
      <w:r w:rsidR="00B41A55" w:rsidRPr="009E2C08">
        <w:rPr>
          <w:rFonts w:ascii="Palatino Linotype" w:eastAsia="Calibri" w:hAnsi="Palatino Linotype" w:cs="Arial"/>
          <w:lang w:val="es-ES"/>
        </w:rPr>
        <w:t>justificado</w:t>
      </w:r>
      <w:r w:rsidR="00E540D8" w:rsidRPr="009E2C08">
        <w:rPr>
          <w:rFonts w:ascii="Palatino Linotype" w:eastAsia="Calibri" w:hAnsi="Palatino Linotype" w:cs="Arial"/>
          <w:lang w:val="es-ES"/>
        </w:rPr>
        <w:t xml:space="preserve"> correspondiente, por medio de los siguientes archivos electrónicos:</w:t>
      </w:r>
      <w:r w:rsidR="005171E1" w:rsidRPr="009E2C08">
        <w:rPr>
          <w:rFonts w:ascii="Palatino Linotype" w:eastAsia="Calibri" w:hAnsi="Palatino Linotype" w:cs="Arial"/>
          <w:lang w:val="es-ES"/>
        </w:rPr>
        <w:t xml:space="preserve"> </w:t>
      </w:r>
    </w:p>
    <w:p w14:paraId="55AC3FD5" w14:textId="7DED8899" w:rsidR="00D171D4" w:rsidRPr="009E2C08" w:rsidRDefault="00137B66" w:rsidP="00114F1C">
      <w:pPr>
        <w:pStyle w:val="Prrafodelista"/>
        <w:tabs>
          <w:tab w:val="left" w:pos="426"/>
          <w:tab w:val="left" w:pos="567"/>
        </w:tabs>
        <w:ind w:left="567" w:right="565"/>
        <w:jc w:val="both"/>
        <w:rPr>
          <w:rFonts w:ascii="Palatino Linotype" w:hAnsi="Palatino Linotype"/>
          <w:b/>
          <w:bCs/>
          <w:color w:val="000000" w:themeColor="text1"/>
          <w:sz w:val="22"/>
        </w:rPr>
      </w:pPr>
      <w:hyperlink r:id="rId9" w:history="1">
        <w:r w:rsidR="00114F1C" w:rsidRPr="009E2C08">
          <w:rPr>
            <w:rStyle w:val="Hipervnculo"/>
            <w:rFonts w:ascii="Palatino Linotype" w:hAnsi="Palatino Linotype" w:cs="Arial"/>
            <w:b/>
            <w:bCs/>
            <w:color w:val="000000" w:themeColor="text1"/>
            <w:sz w:val="22"/>
            <w:u w:val="none"/>
          </w:rPr>
          <w:t>Acta Primera Sesión Extraordinaria_Transparencia2024.pdf</w:t>
        </w:r>
      </w:hyperlink>
      <w:r w:rsidR="00114F1C" w:rsidRPr="009E2C08">
        <w:rPr>
          <w:rFonts w:ascii="Palatino Linotype" w:hAnsi="Palatino Linotype"/>
          <w:b/>
          <w:bCs/>
          <w:color w:val="000000" w:themeColor="text1"/>
          <w:sz w:val="22"/>
        </w:rPr>
        <w:t>:</w:t>
      </w:r>
      <w:r w:rsidR="00096E08" w:rsidRPr="009E2C08">
        <w:rPr>
          <w:rFonts w:ascii="Palatino Linotype" w:hAnsi="Palatino Linotype"/>
          <w:b/>
          <w:bCs/>
          <w:color w:val="000000" w:themeColor="text1"/>
          <w:sz w:val="22"/>
        </w:rPr>
        <w:t xml:space="preserve"> </w:t>
      </w:r>
      <w:r w:rsidR="00096E08" w:rsidRPr="009E2C08">
        <w:rPr>
          <w:rFonts w:ascii="Palatino Linotype" w:hAnsi="Palatino Linotype"/>
          <w:color w:val="000000" w:themeColor="text1"/>
          <w:sz w:val="22"/>
        </w:rPr>
        <w:t xml:space="preserve">Acta de la Primera Sesión Extraordinaria del Comité de Transparencia de la Comisión de Conciliación y Arbitraje Médico del Estado de México del Ejercicio 2024, por medio de la cual, se propuso y aprobó la clasificación como información confidencial de manera parcial, del </w:t>
      </w:r>
      <w:r w:rsidR="00096E08" w:rsidRPr="009E2C08">
        <w:rPr>
          <w:rFonts w:ascii="Palatino Linotype" w:hAnsi="Palatino Linotype"/>
          <w:b/>
          <w:bCs/>
          <w:color w:val="000000" w:themeColor="text1"/>
          <w:sz w:val="22"/>
        </w:rPr>
        <w:t xml:space="preserve">“Aviso de movimiento de Baja del ISSEMyM” </w:t>
      </w:r>
      <w:r w:rsidR="00096E08" w:rsidRPr="009E2C08">
        <w:rPr>
          <w:rFonts w:ascii="Palatino Linotype" w:hAnsi="Palatino Linotype"/>
          <w:color w:val="000000" w:themeColor="text1"/>
          <w:sz w:val="22"/>
        </w:rPr>
        <w:t xml:space="preserve">de la persona referida en la solicitud de información </w:t>
      </w:r>
      <w:r w:rsidR="00096E08" w:rsidRPr="009E2C08">
        <w:rPr>
          <w:rFonts w:ascii="Palatino Linotype" w:hAnsi="Palatino Linotype" w:cs="Arial"/>
          <w:color w:val="000000" w:themeColor="text1"/>
          <w:sz w:val="22"/>
        </w:rPr>
        <w:t>ooo72/CAMEM/IP/2023.</w:t>
      </w:r>
    </w:p>
    <w:p w14:paraId="364D713F" w14:textId="77777777" w:rsidR="00114F1C" w:rsidRPr="009E2C08" w:rsidRDefault="00114F1C" w:rsidP="00114F1C">
      <w:pPr>
        <w:pStyle w:val="Prrafodelista"/>
        <w:tabs>
          <w:tab w:val="left" w:pos="426"/>
          <w:tab w:val="left" w:pos="567"/>
        </w:tabs>
        <w:ind w:left="567" w:right="565"/>
        <w:jc w:val="both"/>
        <w:rPr>
          <w:rFonts w:ascii="Palatino Linotype" w:hAnsi="Palatino Linotype"/>
          <w:b/>
          <w:bCs/>
          <w:color w:val="000000" w:themeColor="text1"/>
        </w:rPr>
      </w:pPr>
    </w:p>
    <w:p w14:paraId="64E5E47F" w14:textId="0CF88834" w:rsidR="00114F1C" w:rsidRPr="009E2C08" w:rsidRDefault="00137B66" w:rsidP="00114F1C">
      <w:pPr>
        <w:ind w:left="567" w:right="565"/>
        <w:jc w:val="both"/>
        <w:rPr>
          <w:rFonts w:ascii="Palatino Linotype" w:hAnsi="Palatino Linotype" w:cs="Arial"/>
          <w:b/>
          <w:bCs/>
          <w:color w:val="000000" w:themeColor="text1"/>
          <w:sz w:val="22"/>
        </w:rPr>
      </w:pPr>
      <w:hyperlink r:id="rId10" w:history="1">
        <w:r w:rsidR="009E2C08" w:rsidRPr="009E2C08">
          <w:rPr>
            <w:rStyle w:val="Hipervnculo"/>
            <w:rFonts w:ascii="Palatino Linotype" w:hAnsi="Palatino Linotype" w:cs="Arial"/>
            <w:b/>
            <w:bCs/>
            <w:color w:val="000000" w:themeColor="text1"/>
            <w:sz w:val="22"/>
            <w:u w:val="none"/>
          </w:rPr>
          <w:t>Oficio</w:t>
        </w:r>
        <w:r w:rsidR="00114F1C" w:rsidRPr="009E2C08">
          <w:rPr>
            <w:rStyle w:val="Hipervnculo"/>
            <w:rFonts w:ascii="Palatino Linotype" w:hAnsi="Palatino Linotype" w:cs="Arial"/>
            <w:b/>
            <w:bCs/>
            <w:color w:val="000000" w:themeColor="text1"/>
            <w:sz w:val="22"/>
            <w:u w:val="none"/>
          </w:rPr>
          <w:t xml:space="preserve"> 015_UT.pdf</w:t>
        </w:r>
      </w:hyperlink>
      <w:r w:rsidR="00114F1C" w:rsidRPr="009E2C08">
        <w:rPr>
          <w:rFonts w:ascii="Palatino Linotype" w:hAnsi="Palatino Linotype" w:cs="Arial"/>
          <w:b/>
          <w:bCs/>
          <w:color w:val="000000" w:themeColor="text1"/>
          <w:sz w:val="22"/>
        </w:rPr>
        <w:t>:</w:t>
      </w:r>
      <w:r w:rsidR="00076F25" w:rsidRPr="009E2C08">
        <w:rPr>
          <w:rFonts w:ascii="Palatino Linotype" w:hAnsi="Palatino Linotype" w:cs="Arial"/>
          <w:b/>
          <w:bCs/>
          <w:color w:val="000000" w:themeColor="text1"/>
          <w:sz w:val="22"/>
        </w:rPr>
        <w:t xml:space="preserve"> </w:t>
      </w:r>
      <w:r w:rsidR="00076F25" w:rsidRPr="009E2C08">
        <w:rPr>
          <w:rFonts w:ascii="Palatino Linotype" w:hAnsi="Palatino Linotype" w:cs="Arial"/>
          <w:color w:val="000000" w:themeColor="text1"/>
          <w:sz w:val="22"/>
        </w:rPr>
        <w:t>Oficio suscrito por el Jefe de Calidad en el Servicio Médico y Titular de la Unidad de Transparencia, por medio del cual, solicitó al suplente del Jefe de la Unidad de Apoyo Administrativo dar cumplimiento a la solicitud de información ooo72/CAMEM/IP/2023.</w:t>
      </w:r>
    </w:p>
    <w:p w14:paraId="7E2E22E2" w14:textId="77777777" w:rsidR="00114F1C" w:rsidRPr="009E2C08" w:rsidRDefault="00114F1C" w:rsidP="00114F1C">
      <w:pPr>
        <w:ind w:left="567" w:right="565"/>
        <w:jc w:val="both"/>
        <w:rPr>
          <w:rFonts w:ascii="Palatino Linotype" w:hAnsi="Palatino Linotype" w:cs="Arial"/>
          <w:b/>
          <w:bCs/>
          <w:color w:val="000000" w:themeColor="text1"/>
          <w:sz w:val="22"/>
        </w:rPr>
      </w:pPr>
    </w:p>
    <w:p w14:paraId="61276BC4" w14:textId="4AC3F7B0" w:rsidR="00E540D8" w:rsidRPr="009E2C08" w:rsidRDefault="00137B66" w:rsidP="00114F1C">
      <w:pPr>
        <w:pStyle w:val="Prrafodelista"/>
        <w:tabs>
          <w:tab w:val="left" w:pos="426"/>
          <w:tab w:val="left" w:pos="567"/>
        </w:tabs>
        <w:ind w:left="567" w:right="565"/>
        <w:jc w:val="both"/>
        <w:rPr>
          <w:rFonts w:ascii="Palatino Linotype" w:hAnsi="Palatino Linotype"/>
          <w:color w:val="000000" w:themeColor="text1"/>
          <w:sz w:val="22"/>
        </w:rPr>
      </w:pPr>
      <w:hyperlink r:id="rId11" w:history="1">
        <w:r w:rsidR="00114F1C" w:rsidRPr="009E2C08">
          <w:rPr>
            <w:rStyle w:val="Hipervnculo"/>
            <w:rFonts w:ascii="Palatino Linotype" w:hAnsi="Palatino Linotype" w:cs="Arial"/>
            <w:b/>
            <w:bCs/>
            <w:color w:val="000000" w:themeColor="text1"/>
            <w:sz w:val="22"/>
            <w:u w:val="none"/>
          </w:rPr>
          <w:t>Oficio 019_UAA.pdf</w:t>
        </w:r>
      </w:hyperlink>
      <w:r w:rsidR="00114F1C" w:rsidRPr="009E2C08">
        <w:rPr>
          <w:rFonts w:ascii="Palatino Linotype" w:hAnsi="Palatino Linotype"/>
          <w:b/>
          <w:bCs/>
          <w:color w:val="000000" w:themeColor="text1"/>
          <w:sz w:val="22"/>
        </w:rPr>
        <w:t>:</w:t>
      </w:r>
      <w:r w:rsidR="001967C4" w:rsidRPr="009E2C08">
        <w:rPr>
          <w:rFonts w:ascii="Palatino Linotype" w:hAnsi="Palatino Linotype"/>
          <w:b/>
          <w:bCs/>
          <w:color w:val="000000" w:themeColor="text1"/>
          <w:sz w:val="22"/>
        </w:rPr>
        <w:t xml:space="preserve"> </w:t>
      </w:r>
      <w:r w:rsidR="001967C4" w:rsidRPr="009E2C08">
        <w:rPr>
          <w:rFonts w:ascii="Palatino Linotype" w:hAnsi="Palatino Linotype"/>
          <w:color w:val="000000" w:themeColor="text1"/>
          <w:sz w:val="22"/>
        </w:rPr>
        <w:t>Oficio suscrito por el suplente del Jefe de la Unidad de Apoyo Administrativo, por medio del cual</w:t>
      </w:r>
      <w:r w:rsidR="001967C4" w:rsidRPr="009E2C08">
        <w:rPr>
          <w:rFonts w:ascii="Palatino Linotype" w:hAnsi="Palatino Linotype" w:cs="Arial"/>
          <w:color w:val="000000" w:themeColor="text1"/>
          <w:sz w:val="22"/>
        </w:rPr>
        <w:t>,</w:t>
      </w:r>
      <w:r w:rsidR="001967C4" w:rsidRPr="009E2C08">
        <w:rPr>
          <w:rFonts w:ascii="Palatino Linotype" w:hAnsi="Palatino Linotype"/>
          <w:color w:val="000000" w:themeColor="text1"/>
          <w:sz w:val="22"/>
        </w:rPr>
        <w:t xml:space="preserve"> remitió la copia fotostática del </w:t>
      </w:r>
      <w:r w:rsidR="001967C4" w:rsidRPr="009E2C08">
        <w:rPr>
          <w:rFonts w:ascii="Palatino Linotype" w:hAnsi="Palatino Linotype"/>
          <w:b/>
          <w:bCs/>
          <w:color w:val="000000" w:themeColor="text1"/>
          <w:sz w:val="22"/>
        </w:rPr>
        <w:t xml:space="preserve">“Aviso de movimiento de Baja del ISSEMyM” </w:t>
      </w:r>
      <w:r w:rsidR="001967C4" w:rsidRPr="009E2C08">
        <w:rPr>
          <w:rFonts w:ascii="Palatino Linotype" w:hAnsi="Palatino Linotype"/>
          <w:color w:val="000000" w:themeColor="text1"/>
          <w:sz w:val="22"/>
        </w:rPr>
        <w:t xml:space="preserve">en versión pública, de la persona referida en la solicitud de información </w:t>
      </w:r>
      <w:r w:rsidR="001967C4" w:rsidRPr="009E2C08">
        <w:rPr>
          <w:rFonts w:ascii="Palatino Linotype" w:hAnsi="Palatino Linotype" w:cs="Arial"/>
          <w:color w:val="000000" w:themeColor="text1"/>
          <w:sz w:val="22"/>
        </w:rPr>
        <w:t>ooo72/CAMEM/IP/2023.</w:t>
      </w:r>
    </w:p>
    <w:p w14:paraId="23A86A34" w14:textId="77777777" w:rsidR="001967C4" w:rsidRPr="009E2C08" w:rsidRDefault="001967C4" w:rsidP="001967C4">
      <w:pPr>
        <w:tabs>
          <w:tab w:val="left" w:pos="426"/>
          <w:tab w:val="left" w:pos="567"/>
        </w:tabs>
        <w:ind w:right="565"/>
        <w:jc w:val="both"/>
        <w:rPr>
          <w:rFonts w:ascii="Palatino Linotype" w:hAnsi="Palatino Linotype"/>
          <w:color w:val="000000" w:themeColor="text1"/>
        </w:rPr>
      </w:pPr>
    </w:p>
    <w:p w14:paraId="51C8E596" w14:textId="5D68A1B0" w:rsidR="00836ADD" w:rsidRPr="009E2C08" w:rsidRDefault="00D130AF" w:rsidP="00DA3622">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9E2C08">
        <w:rPr>
          <w:rFonts w:ascii="Palatino Linotype" w:hAnsi="Palatino Linotype"/>
        </w:rPr>
        <w:t>La Comisionada</w:t>
      </w:r>
      <w:r w:rsidR="009B36C8" w:rsidRPr="009E2C08">
        <w:rPr>
          <w:rFonts w:ascii="Palatino Linotype" w:hAnsi="Palatino Linotype"/>
        </w:rPr>
        <w:t xml:space="preserve"> Ponente decretó</w:t>
      </w:r>
      <w:r w:rsidR="00AD225D" w:rsidRPr="009E2C08">
        <w:rPr>
          <w:rFonts w:ascii="Palatino Linotype" w:hAnsi="Palatino Linotype"/>
        </w:rPr>
        <w:t xml:space="preserve"> el cierre de instrucción mediante acuerdo del </w:t>
      </w:r>
      <w:r w:rsidR="00114F1C" w:rsidRPr="009E2C08">
        <w:rPr>
          <w:rFonts w:ascii="Palatino Linotype" w:hAnsi="Palatino Linotype"/>
        </w:rPr>
        <w:t>treinta de enero de dos mil veinticuatro</w:t>
      </w:r>
      <w:r w:rsidR="00AD225D" w:rsidRPr="009E2C08">
        <w:rPr>
          <w:rFonts w:ascii="Palatino Linotype" w:hAnsi="Palatino Linotype"/>
        </w:rPr>
        <w:t>;</w:t>
      </w:r>
      <w:r w:rsidR="003F0EEF" w:rsidRPr="009E2C08">
        <w:rPr>
          <w:rFonts w:ascii="Palatino Linotype" w:hAnsi="Palatino Linotype"/>
        </w:rPr>
        <w:t xml:space="preserve"> </w:t>
      </w:r>
      <w:r w:rsidR="00AD225D" w:rsidRPr="009E2C08">
        <w:rPr>
          <w:rFonts w:ascii="Palatino Linotype" w:hAnsi="Palatino Linotype"/>
        </w:rPr>
        <w:t>por lo que se ordenó turnar el expediente a resolución</w:t>
      </w:r>
      <w:r w:rsidR="001146E4" w:rsidRPr="009E2C08">
        <w:rPr>
          <w:rFonts w:ascii="Palatino Linotype" w:hAnsi="Palatino Linotype"/>
        </w:rPr>
        <w:t>, misma que ahora se pronuncia.</w:t>
      </w:r>
      <w:r w:rsidR="0079454A" w:rsidRPr="009E2C08">
        <w:rPr>
          <w:rFonts w:ascii="Palatino Linotype" w:hAnsi="Palatino Linotype"/>
        </w:rPr>
        <w:t xml:space="preserve"> </w:t>
      </w:r>
      <w:r w:rsidR="00BE2314" w:rsidRPr="009E2C08">
        <w:rPr>
          <w:rFonts w:ascii="Palatino Linotype" w:hAnsi="Palatino Linotype"/>
        </w:rPr>
        <w:t xml:space="preserve">- - </w:t>
      </w:r>
      <w:r w:rsidR="003F0EEF" w:rsidRPr="009E2C08">
        <w:rPr>
          <w:rFonts w:ascii="Palatino Linotype" w:hAnsi="Palatino Linotype"/>
        </w:rPr>
        <w:t xml:space="preserve">- - - - - - - - - - - - - - - </w:t>
      </w:r>
      <w:r w:rsidR="00E869D5" w:rsidRPr="009E2C08">
        <w:rPr>
          <w:rFonts w:ascii="Palatino Linotype" w:hAnsi="Palatino Linotype"/>
        </w:rPr>
        <w:t xml:space="preserve">- - </w:t>
      </w:r>
      <w:r w:rsidR="001146E4" w:rsidRPr="009E2C08">
        <w:rPr>
          <w:rFonts w:ascii="Palatino Linotype" w:hAnsi="Palatino Linotype"/>
        </w:rPr>
        <w:t xml:space="preserve">- - - - - - - - - - </w:t>
      </w:r>
    </w:p>
    <w:p w14:paraId="49A4F1F0" w14:textId="77777777" w:rsidR="0003153F" w:rsidRPr="009E2C08" w:rsidRDefault="0003153F" w:rsidP="0003153F">
      <w:pPr>
        <w:pStyle w:val="Prrafodelista"/>
        <w:tabs>
          <w:tab w:val="left" w:pos="426"/>
          <w:tab w:val="left" w:pos="567"/>
        </w:tabs>
        <w:spacing w:line="360" w:lineRule="auto"/>
        <w:ind w:left="0"/>
        <w:jc w:val="both"/>
        <w:rPr>
          <w:rFonts w:ascii="Palatino Linotype" w:hAnsi="Palatino Linotype"/>
        </w:rPr>
      </w:pPr>
    </w:p>
    <w:p w14:paraId="49ED3AA2" w14:textId="3AA53315" w:rsidR="00946C27" w:rsidRPr="009E2C08" w:rsidRDefault="00946C27" w:rsidP="005D4F86">
      <w:pPr>
        <w:pStyle w:val="Ttulo2"/>
        <w:jc w:val="center"/>
        <w:rPr>
          <w:rFonts w:ascii="Palatino Linotype" w:hAnsi="Palatino Linotype"/>
          <w:b/>
          <w:color w:val="000000" w:themeColor="text1"/>
          <w:sz w:val="24"/>
          <w:szCs w:val="24"/>
        </w:rPr>
      </w:pPr>
      <w:bookmarkStart w:id="18" w:name="_Toc88748490"/>
      <w:r w:rsidRPr="009E2C08">
        <w:rPr>
          <w:rFonts w:ascii="Palatino Linotype" w:hAnsi="Palatino Linotype"/>
          <w:b/>
          <w:color w:val="000000" w:themeColor="text1"/>
          <w:sz w:val="24"/>
          <w:szCs w:val="24"/>
        </w:rPr>
        <w:t>CONSIDERANDO</w:t>
      </w:r>
      <w:bookmarkEnd w:id="18"/>
    </w:p>
    <w:p w14:paraId="6A5FAF93" w14:textId="77777777" w:rsidR="00946C27" w:rsidRPr="009E2C08" w:rsidRDefault="00946C27" w:rsidP="00946C27">
      <w:pPr>
        <w:rPr>
          <w:lang w:eastAsia="en-US"/>
        </w:rPr>
      </w:pPr>
    </w:p>
    <w:p w14:paraId="2CEF2C06" w14:textId="30F762B1" w:rsidR="00946C27" w:rsidRPr="009E2C08" w:rsidRDefault="00946C27" w:rsidP="00946C27">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748491"/>
      <w:r w:rsidRPr="009E2C08">
        <w:rPr>
          <w:rFonts w:ascii="Palatino Linotype" w:hAnsi="Palatino Linotype"/>
          <w:b/>
          <w:color w:val="auto"/>
          <w:sz w:val="24"/>
          <w:szCs w:val="24"/>
        </w:rPr>
        <w:t>PRIMERO. De la competencia</w:t>
      </w:r>
      <w:bookmarkEnd w:id="19"/>
      <w:bookmarkEnd w:id="20"/>
      <w:bookmarkEnd w:id="21"/>
      <w:bookmarkEnd w:id="22"/>
    </w:p>
    <w:p w14:paraId="444E9104" w14:textId="13A9C610" w:rsidR="008E7BCF" w:rsidRPr="009E2C08" w:rsidRDefault="00946C27"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Times New Roman"/>
        </w:rPr>
        <w:t xml:space="preserve">Este </w:t>
      </w:r>
      <w:r w:rsidR="0079454A" w:rsidRPr="009E2C08">
        <w:rPr>
          <w:rFonts w:ascii="Palatino Linotype" w:eastAsia="Calibri" w:hAnsi="Palatino Linotype"/>
          <w:bCs/>
          <w:color w:val="000000" w:themeColor="text1"/>
        </w:rPr>
        <w:t xml:space="preserve">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w:t>
      </w:r>
      <w:r w:rsidR="0079454A" w:rsidRPr="009E2C08">
        <w:rPr>
          <w:rFonts w:ascii="Palatino Linotype" w:eastAsia="Calibri" w:hAnsi="Palatino Linotype"/>
          <w:bCs/>
          <w:color w:val="000000" w:themeColor="text1"/>
        </w:rPr>
        <w:lastRenderedPageBreak/>
        <w:t>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r w:rsidR="0079454A" w:rsidRPr="009E2C08">
        <w:rPr>
          <w:rFonts w:ascii="Palatino Linotype" w:hAnsi="Palatino Linotype"/>
        </w:rPr>
        <w:t>.</w:t>
      </w:r>
    </w:p>
    <w:p w14:paraId="38FAB7E8" w14:textId="77777777" w:rsidR="00E869D5" w:rsidRPr="009E2C08" w:rsidRDefault="00E869D5" w:rsidP="00995D2C">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BD99F47" w14:textId="6D0BF704" w:rsidR="00946C27" w:rsidRPr="009E2C08" w:rsidRDefault="00946C27" w:rsidP="00CF403D">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748492"/>
      <w:r w:rsidRPr="009E2C08">
        <w:rPr>
          <w:rFonts w:ascii="Palatino Linotype" w:hAnsi="Palatino Linotype"/>
          <w:b/>
          <w:color w:val="auto"/>
          <w:sz w:val="24"/>
          <w:szCs w:val="24"/>
        </w:rPr>
        <w:t>SEGUNDO. De la oportunidad y procedencia.</w:t>
      </w:r>
      <w:bookmarkEnd w:id="23"/>
      <w:bookmarkEnd w:id="24"/>
      <w:bookmarkEnd w:id="25"/>
      <w:bookmarkEnd w:id="26"/>
    </w:p>
    <w:p w14:paraId="7AC7FA5E" w14:textId="50638F13" w:rsidR="00E95684" w:rsidRPr="009E2C08" w:rsidRDefault="00946C27"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9E2C08">
        <w:rPr>
          <w:rFonts w:ascii="Palatino Linotype" w:eastAsia="Calibri" w:hAnsi="Palatino Linotype" w:cs="Arial"/>
          <w:color w:val="000000" w:themeColor="text1"/>
          <w:lang w:val="es-ES"/>
        </w:rPr>
        <w:t xml:space="preserve"> </w:t>
      </w:r>
      <w:r w:rsidR="00E95684" w:rsidRPr="009E2C08">
        <w:rPr>
          <w:rFonts w:ascii="Palatino Linotype" w:eastAsia="Calibri" w:hAnsi="Palatino Linotype" w:cs="Arial"/>
          <w:color w:val="000000" w:themeColor="text1"/>
        </w:rPr>
        <w:t>E</w:t>
      </w:r>
      <w:r w:rsidR="00576667" w:rsidRPr="009E2C08">
        <w:rPr>
          <w:rFonts w:ascii="Palatino Linotype" w:eastAsia="Calibri" w:hAnsi="Palatino Linotype" w:cs="Arial"/>
          <w:color w:val="000000" w:themeColor="text1"/>
        </w:rPr>
        <w:t xml:space="preserve">s </w:t>
      </w:r>
      <w:r w:rsidR="00576667" w:rsidRPr="009E2C08">
        <w:rPr>
          <w:rFonts w:ascii="Palatino Linotype" w:eastAsia="Calibri" w:hAnsi="Palatino Linotype" w:cs="Arial"/>
          <w:lang w:val="es-ES"/>
        </w:rPr>
        <w:t xml:space="preserve">de precisar, que la Ley de Transparencia y Acceso a la Información Pública del Estado de México y Municipios, en el artículo 178 describe la procedencia del recurso de revisión, asimismo señala que el plazo del </w:t>
      </w:r>
      <w:r w:rsidR="00576667" w:rsidRPr="009E2C08">
        <w:rPr>
          <w:rFonts w:ascii="Palatino Linotype" w:eastAsia="Calibri" w:hAnsi="Palatino Linotype" w:cs="Arial"/>
          <w:b/>
          <w:lang w:val="es-ES"/>
        </w:rPr>
        <w:t>SUJETO OBLIGADO</w:t>
      </w:r>
      <w:r w:rsidR="00576667" w:rsidRPr="009E2C08">
        <w:rPr>
          <w:rFonts w:ascii="Palatino Linotype" w:eastAsia="Calibri" w:hAnsi="Palatino Linotype" w:cs="Arial"/>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w:t>
      </w:r>
    </w:p>
    <w:p w14:paraId="484C5556" w14:textId="77777777" w:rsidR="00E15F90" w:rsidRPr="009E2C08" w:rsidRDefault="00E15F90" w:rsidP="00E15F90">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C73F72A" w14:textId="163C9DB3" w:rsidR="00E15F90" w:rsidRPr="009E2C08" w:rsidRDefault="00E15F90"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Por </w:t>
      </w:r>
      <w:r w:rsidRPr="009E2C08">
        <w:rPr>
          <w:rFonts w:ascii="Palatino Linotype" w:eastAsia="Calibri" w:hAnsi="Palatino Linotype" w:cs="Arial"/>
          <w:lang w:val="es-ES"/>
        </w:rPr>
        <w:t xml:space="preserve">ende, se constituye la figura jurídica de la </w:t>
      </w:r>
      <w:r w:rsidRPr="009E2C08">
        <w:rPr>
          <w:rFonts w:ascii="Palatino Linotype" w:eastAsia="Calibri" w:hAnsi="Palatino Linotype" w:cs="Arial"/>
          <w:i/>
          <w:lang w:val="es-ES"/>
        </w:rPr>
        <w:t>negativa ficta</w:t>
      </w:r>
      <w:r w:rsidRPr="009E2C08">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9E2C08">
        <w:rPr>
          <w:rFonts w:ascii="Palatino Linotype" w:eastAsia="Calibri" w:hAnsi="Palatino Linotype" w:cs="Arial"/>
          <w:b/>
          <w:lang w:val="es-ES"/>
        </w:rPr>
        <w:t>178</w:t>
      </w:r>
      <w:r w:rsidRPr="009E2C08">
        <w:rPr>
          <w:rFonts w:ascii="Palatino Linotype" w:eastAsia="Calibri" w:hAnsi="Palatino Linotype" w:cs="Arial"/>
          <w:lang w:val="es-ES"/>
        </w:rPr>
        <w:t xml:space="preserve"> segundo párrafo de </w:t>
      </w:r>
      <w:r w:rsidRPr="009E2C08">
        <w:rPr>
          <w:rFonts w:ascii="Palatino Linotype" w:eastAsia="Calibri" w:hAnsi="Palatino Linotype" w:cs="Arial"/>
          <w:b/>
          <w:lang w:val="es-ES"/>
        </w:rPr>
        <w:t>Ley de Transparencia y Acceso a la Información Pública del Estado de México y Municipios</w:t>
      </w:r>
      <w:r w:rsidRPr="009E2C08">
        <w:rPr>
          <w:rFonts w:ascii="Palatino Linotype" w:eastAsia="Calibri" w:hAnsi="Palatino Linotype"/>
          <w:shd w:val="clear" w:color="auto" w:fill="FFFFFF"/>
        </w:rPr>
        <w:t xml:space="preserve">, que dispone; ante la falta de respuesta del </w:t>
      </w:r>
      <w:r w:rsidRPr="009E2C08">
        <w:rPr>
          <w:rFonts w:ascii="Palatino Linotype" w:eastAsia="Calibri" w:hAnsi="Palatino Linotype"/>
          <w:b/>
          <w:shd w:val="clear" w:color="auto" w:fill="FFFFFF"/>
        </w:rPr>
        <w:t>SUJETO OBLIGADO,</w:t>
      </w:r>
      <w:r w:rsidRPr="009E2C08">
        <w:rPr>
          <w:rFonts w:ascii="Palatino Linotype" w:eastAsia="Calibri" w:hAnsi="Palatino Linotype"/>
          <w:shd w:val="clear" w:color="auto" w:fill="FFFFFF"/>
        </w:rPr>
        <w:t xml:space="preserve"> dentro de los plazos establecidos en </w:t>
      </w:r>
      <w:r w:rsidRPr="009E2C08">
        <w:rPr>
          <w:rFonts w:ascii="Palatino Linotype" w:eastAsia="Calibri" w:hAnsi="Palatino Linotype"/>
          <w:shd w:val="clear" w:color="auto" w:fill="FFFFFF"/>
        </w:rPr>
        <w:lastRenderedPageBreak/>
        <w:t xml:space="preserve">esta Ley, a una solicitud de acceso a la información pública, el recurso </w:t>
      </w:r>
      <w:r w:rsidRPr="009E2C08">
        <w:rPr>
          <w:rFonts w:ascii="Palatino Linotype" w:eastAsia="Calibri" w:hAnsi="Palatino Linotype"/>
          <w:b/>
          <w:shd w:val="clear" w:color="auto" w:fill="FFFFFF"/>
        </w:rPr>
        <w:t>podrá ser interpuesto en cualquier momento.</w:t>
      </w:r>
    </w:p>
    <w:p w14:paraId="31E8369E" w14:textId="77777777" w:rsidR="00E15F90" w:rsidRPr="009E2C08" w:rsidRDefault="00E15F90" w:rsidP="00E15F90">
      <w:pPr>
        <w:rPr>
          <w:rFonts w:ascii="Palatino Linotype" w:eastAsia="Calibri" w:hAnsi="Palatino Linotype" w:cs="Arial"/>
          <w:color w:val="000000" w:themeColor="text1"/>
          <w:lang w:val="es-ES"/>
        </w:rPr>
      </w:pPr>
    </w:p>
    <w:p w14:paraId="2E7AA3BC" w14:textId="2517BD8B" w:rsidR="00E15F90" w:rsidRPr="009E2C08" w:rsidRDefault="00E15F90"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Por </w:t>
      </w:r>
      <w:r w:rsidRPr="009E2C08">
        <w:rPr>
          <w:rFonts w:ascii="Palatino Linotype" w:eastAsia="Calibri" w:hAnsi="Palatino Linotype" w:cs="Arial"/>
          <w:lang w:val="es-ES"/>
        </w:rPr>
        <w:t xml:space="preserve">lo que, tratándose de la </w:t>
      </w:r>
      <w:r w:rsidRPr="009E2C08">
        <w:rPr>
          <w:rFonts w:ascii="Palatino Linotype" w:eastAsia="Calibri" w:hAnsi="Palatino Linotype" w:cs="Arial"/>
          <w:i/>
          <w:lang w:val="es-ES"/>
        </w:rPr>
        <w:t>negativa ficta</w:t>
      </w:r>
      <w:r w:rsidRPr="009E2C08">
        <w:rPr>
          <w:rFonts w:ascii="Palatino Linotype" w:eastAsia="Calibri" w:hAnsi="Palatino Linotype" w:cs="Arial"/>
          <w:lang w:val="es-ES"/>
        </w:rPr>
        <w:t xml:space="preserve"> no existe respuesta que se haga del conocimiento a</w:t>
      </w:r>
      <w:r w:rsidR="00084282" w:rsidRPr="009E2C08">
        <w:rPr>
          <w:rFonts w:ascii="Palatino Linotype" w:eastAsia="Calibri" w:hAnsi="Palatino Linotype" w:cs="Arial"/>
          <w:lang w:val="es-ES"/>
        </w:rPr>
        <w:t xml:space="preserve"> </w:t>
      </w:r>
      <w:r w:rsidRPr="009E2C08">
        <w:rPr>
          <w:rFonts w:ascii="Palatino Linotype" w:eastAsia="Calibri" w:hAnsi="Palatino Linotype" w:cs="Arial"/>
          <w:lang w:val="es-ES"/>
        </w:rPr>
        <w:t>l</w:t>
      </w:r>
      <w:r w:rsidR="00084282" w:rsidRPr="009E2C08">
        <w:rPr>
          <w:rFonts w:ascii="Palatino Linotype" w:eastAsia="Calibri" w:hAnsi="Palatino Linotype" w:cs="Arial"/>
          <w:lang w:val="es-ES"/>
        </w:rPr>
        <w:t>a</w:t>
      </w:r>
      <w:r w:rsidRPr="009E2C08">
        <w:rPr>
          <w:rFonts w:ascii="Palatino Linotype" w:eastAsia="Calibri" w:hAnsi="Palatino Linotype" w:cs="Arial"/>
          <w:lang w:val="es-ES"/>
        </w:rPr>
        <w:t xml:space="preserve"> </w:t>
      </w:r>
      <w:r w:rsidR="00084282" w:rsidRPr="009E2C08">
        <w:rPr>
          <w:rFonts w:ascii="Palatino Linotype" w:eastAsia="Calibri" w:hAnsi="Palatino Linotype" w:cs="Arial"/>
          <w:lang w:val="es-ES"/>
        </w:rPr>
        <w:t>Recurrente</w:t>
      </w:r>
      <w:r w:rsidRPr="009E2C08">
        <w:rPr>
          <w:rFonts w:ascii="Palatino Linotype" w:eastAsia="Calibri" w:hAnsi="Palatino Linotype" w:cs="Arial"/>
          <w:lang w:val="es-ES"/>
        </w:rPr>
        <w:t xml:space="preserve">,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9E2C08">
        <w:rPr>
          <w:rFonts w:ascii="Palatino Linotype" w:eastAsia="Calibri" w:hAnsi="Palatino Linotype" w:cs="Arial"/>
          <w:i/>
          <w:lang w:val="es-ES"/>
        </w:rPr>
        <w:t>negativa ficta</w:t>
      </w:r>
      <w:r w:rsidRPr="009E2C08">
        <w:rPr>
          <w:rFonts w:ascii="Palatino Linotype" w:eastAsia="Calibri" w:hAnsi="Palatino Linotype" w:cs="Arial"/>
          <w:lang w:val="es-ES"/>
        </w:rPr>
        <w:t>, que señala:</w:t>
      </w:r>
    </w:p>
    <w:p w14:paraId="2425F40E" w14:textId="77777777" w:rsidR="00E15F90" w:rsidRPr="009E2C08" w:rsidRDefault="00E15F90" w:rsidP="00E15F90">
      <w:pPr>
        <w:tabs>
          <w:tab w:val="left" w:pos="7655"/>
        </w:tabs>
        <w:spacing w:before="240" w:after="240"/>
        <w:ind w:left="567" w:right="567"/>
        <w:jc w:val="center"/>
        <w:rPr>
          <w:rFonts w:ascii="Palatino Linotype" w:eastAsia="Calibri" w:hAnsi="Palatino Linotype" w:cs="Arial"/>
          <w:b/>
          <w:sz w:val="22"/>
          <w:lang w:val="es-ES" w:eastAsia="es-ES"/>
        </w:rPr>
      </w:pPr>
      <w:r w:rsidRPr="009E2C08">
        <w:rPr>
          <w:rFonts w:ascii="Palatino Linotype" w:eastAsia="Calibri" w:hAnsi="Palatino Linotype" w:cs="Arial"/>
          <w:b/>
          <w:sz w:val="22"/>
          <w:lang w:val="es-ES" w:eastAsia="es-ES"/>
        </w:rPr>
        <w:t>Criterio 0001-15</w:t>
      </w:r>
    </w:p>
    <w:p w14:paraId="5F0028B1" w14:textId="09860F0F" w:rsidR="00E15F90" w:rsidRPr="009E2C08" w:rsidRDefault="00E15F90" w:rsidP="00E15F90">
      <w:pPr>
        <w:tabs>
          <w:tab w:val="left" w:pos="7655"/>
        </w:tabs>
        <w:spacing w:before="240" w:after="240"/>
        <w:ind w:left="567" w:right="567"/>
        <w:jc w:val="both"/>
        <w:rPr>
          <w:rFonts w:ascii="Palatino Linotype" w:eastAsia="Calibri" w:hAnsi="Palatino Linotype" w:cs="Arial"/>
          <w:i/>
          <w:sz w:val="22"/>
          <w:lang w:val="es-ES" w:eastAsia="es-ES"/>
        </w:rPr>
      </w:pPr>
      <w:r w:rsidRPr="009E2C08">
        <w:rPr>
          <w:rFonts w:ascii="Palatino Linotype" w:eastAsia="Calibri" w:hAnsi="Palatino Linotype" w:cs="Arial"/>
          <w:b/>
          <w:i/>
          <w:sz w:val="22"/>
          <w:lang w:val="es-ES" w:eastAsia="es-ES"/>
        </w:rPr>
        <w:t>NEGATIVA FICTA. PLAZO PARA INTERPONER EL RECURSO DE REVISIÓN TRATÁNDOSE DE.</w:t>
      </w:r>
      <w:r w:rsidRPr="009E2C08">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w:t>
      </w:r>
      <w:r w:rsidRPr="009E2C08">
        <w:rPr>
          <w:rFonts w:ascii="Palatino Linotype" w:eastAsia="Calibri" w:hAnsi="Palatino Linotype" w:cs="Arial"/>
          <w:i/>
          <w:sz w:val="22"/>
          <w:lang w:val="es-ES" w:eastAsia="es-ES"/>
        </w:rPr>
        <w:lastRenderedPageBreak/>
        <w:t>hasta en tanto no se dicte resolución expresa; es decir, mientras no haya respuesta por parte del Sujeto Obligado, momento a partir del cual deberá computarse el plazo previsto en el artículo 72 de la citada Ley.</w:t>
      </w:r>
    </w:p>
    <w:p w14:paraId="7922599E" w14:textId="77777777" w:rsidR="00946C27" w:rsidRPr="009E2C08"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B9CE9BE" w14:textId="727CBEAA" w:rsidR="00E15F90" w:rsidRPr="009E2C08" w:rsidRDefault="00E15F90"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Lo </w:t>
      </w:r>
      <w:r w:rsidRPr="009E2C08">
        <w:rPr>
          <w:rFonts w:ascii="Palatino Linotype" w:hAnsi="Palatino Linotype" w:cs="Arial"/>
          <w:lang w:val="es-ES"/>
        </w:rPr>
        <w:t xml:space="preserve">anterior, se explica porque la </w:t>
      </w:r>
      <w:r w:rsidRPr="009E2C08">
        <w:rPr>
          <w:rFonts w:ascii="Palatino Linotype" w:hAnsi="Palatino Linotype" w:cs="Arial"/>
          <w:b/>
          <w:lang w:val="es-ES"/>
        </w:rPr>
        <w:t>posible ausencia</w:t>
      </w:r>
      <w:r w:rsidRPr="009E2C08">
        <w:rPr>
          <w:rFonts w:ascii="Palatino Linotype" w:hAnsi="Palatino Linotype" w:cs="Arial"/>
          <w:lang w:val="es-ES"/>
        </w:rPr>
        <w:t xml:space="preserve"> de una respuesta en la solicitud constituye un acto que vulnera el derecho de manera continua y actualizable cada día en tanto, no se emita la respuesta a la que esté impuesto el </w:t>
      </w:r>
      <w:r w:rsidRPr="009E2C08">
        <w:rPr>
          <w:rFonts w:ascii="Palatino Linotype" w:hAnsi="Palatino Linotype" w:cs="Arial"/>
          <w:b/>
          <w:lang w:val="es-ES"/>
        </w:rPr>
        <w:t>SUJETO OBLIGADO</w:t>
      </w:r>
      <w:r w:rsidRPr="009E2C08">
        <w:rPr>
          <w:rFonts w:ascii="Palatino Linotype" w:hAnsi="Palatino Linotype" w:cs="Arial"/>
          <w:lang w:val="es-ES"/>
        </w:rPr>
        <w:t>.</w:t>
      </w:r>
    </w:p>
    <w:p w14:paraId="5C68DA8F" w14:textId="77777777" w:rsidR="00E15F90" w:rsidRPr="009E2C08" w:rsidRDefault="00E15F90" w:rsidP="00E15F90">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DF76D4D" w14:textId="3BF90CB2" w:rsidR="00B950D2" w:rsidRPr="009E2C08" w:rsidRDefault="00163084"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hAnsi="Palatino Linotype"/>
        </w:rPr>
        <w:t>Por</w:t>
      </w:r>
      <w:r w:rsidRPr="009E2C08">
        <w:rPr>
          <w:rFonts w:ascii="Palatino Linotype" w:eastAsia="Calibri" w:hAnsi="Palatino Linotype" w:cs="Arial"/>
        </w:rPr>
        <w:t xml:space="preserve"> otro lado, los</w:t>
      </w:r>
      <w:r w:rsidR="0032581C" w:rsidRPr="009E2C08">
        <w:rPr>
          <w:rFonts w:ascii="Palatino Linotype" w:eastAsia="Calibri" w:hAnsi="Palatino Linotype" w:cs="Arial"/>
        </w:rPr>
        <w:t xml:space="preserve"> escrito</w:t>
      </w:r>
      <w:r w:rsidRPr="009E2C08">
        <w:rPr>
          <w:rFonts w:ascii="Palatino Linotype" w:eastAsia="Calibri" w:hAnsi="Palatino Linotype" w:cs="Arial"/>
        </w:rPr>
        <w:t>s</w:t>
      </w:r>
      <w:r w:rsidR="0032581C" w:rsidRPr="009E2C08">
        <w:rPr>
          <w:rFonts w:ascii="Palatino Linotype" w:eastAsia="Calibri" w:hAnsi="Palatino Linotype" w:cs="Arial"/>
        </w:rPr>
        <w:t xml:space="preserve"> contiene</w:t>
      </w:r>
      <w:r w:rsidRPr="009E2C08">
        <w:rPr>
          <w:rFonts w:ascii="Palatino Linotype" w:eastAsia="Calibri" w:hAnsi="Palatino Linotype" w:cs="Arial"/>
        </w:rPr>
        <w:t>n</w:t>
      </w:r>
      <w:r w:rsidR="0032581C" w:rsidRPr="009E2C08">
        <w:rPr>
          <w:rFonts w:ascii="Palatino Linotype" w:eastAsia="Calibri" w:hAnsi="Palatino Linotype" w:cs="Arial"/>
        </w:rPr>
        <w:t xml:space="preserv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5EA3847" w14:textId="77777777" w:rsidR="00D257D1" w:rsidRPr="009E2C08" w:rsidRDefault="00D257D1"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49FF1DF" w14:textId="70404882" w:rsidR="00946C27" w:rsidRPr="009E2C08" w:rsidRDefault="00946C27" w:rsidP="00CF403D">
      <w:pPr>
        <w:pStyle w:val="Ttulo2"/>
        <w:tabs>
          <w:tab w:val="left" w:pos="0"/>
        </w:tabs>
        <w:spacing w:before="0" w:line="360" w:lineRule="auto"/>
        <w:rPr>
          <w:rFonts w:ascii="Palatino Linotype" w:hAnsi="Palatino Linotype"/>
          <w:b/>
          <w:color w:val="auto"/>
          <w:sz w:val="24"/>
          <w:szCs w:val="24"/>
        </w:rPr>
      </w:pPr>
      <w:bookmarkStart w:id="30" w:name="_Toc535334653"/>
      <w:bookmarkStart w:id="31" w:name="_Toc2248734"/>
      <w:bookmarkStart w:id="32" w:name="_Toc88748493"/>
      <w:r w:rsidRPr="009E2C08">
        <w:rPr>
          <w:rFonts w:ascii="Palatino Linotype" w:hAnsi="Palatino Linotype"/>
          <w:b/>
          <w:color w:val="auto"/>
          <w:sz w:val="24"/>
          <w:szCs w:val="24"/>
        </w:rPr>
        <w:t xml:space="preserve">TERCERO. </w:t>
      </w:r>
      <w:bookmarkEnd w:id="30"/>
      <w:bookmarkEnd w:id="31"/>
      <w:r w:rsidR="0079454A" w:rsidRPr="009E2C08">
        <w:rPr>
          <w:rFonts w:ascii="Palatino Linotype" w:hAnsi="Palatino Linotype"/>
          <w:b/>
          <w:color w:val="auto"/>
          <w:sz w:val="24"/>
          <w:szCs w:val="24"/>
        </w:rPr>
        <w:t>De las causales de sobreseimiento.</w:t>
      </w:r>
      <w:bookmarkEnd w:id="32"/>
    </w:p>
    <w:p w14:paraId="341C25EB" w14:textId="17D77F17" w:rsidR="0079454A" w:rsidRPr="009E2C08" w:rsidRDefault="0079454A"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33" w:name="_Toc529263621"/>
      <w:bookmarkStart w:id="34" w:name="_Toc530650937"/>
      <w:bookmarkStart w:id="35" w:name="_Toc535334654"/>
      <w:bookmarkStart w:id="36" w:name="_Toc2248735"/>
      <w:r w:rsidRPr="009E2C08">
        <w:rPr>
          <w:rFonts w:ascii="Palatino Linotype" w:eastAsia="Calibri" w:hAnsi="Palatino Linotype" w:cs="Arial"/>
          <w:color w:val="000000" w:themeColor="text1"/>
        </w:rPr>
        <w:t xml:space="preserve">El recurso de revisión </w:t>
      </w:r>
      <w:r w:rsidRPr="009E2C08">
        <w:rPr>
          <w:rFonts w:ascii="Palatino Linotype" w:hAnsi="Palatino Linotype" w:cs="Arial"/>
        </w:rPr>
        <w:t xml:space="preserve">tiene como finalidad reparar cualquier posible afectación al derecho de acceso a la información pública en términos del Título Octavo de la Ley de </w:t>
      </w:r>
      <w:r w:rsidRPr="009E2C08">
        <w:rPr>
          <w:rFonts w:ascii="Palatino Linotype" w:eastAsia="Calibri" w:hAnsi="Palatino Linotype" w:cs="Arial"/>
        </w:rPr>
        <w:t>Transparencia, Acceso a la Información Pública del Estado de México y Municipios</w:t>
      </w:r>
      <w:r w:rsidRPr="009E2C08">
        <w:rPr>
          <w:rFonts w:ascii="Palatino Linotype" w:hAnsi="Palatino Linotype" w:cs="Arial"/>
        </w:rPr>
        <w:t xml:space="preserve">, y determinar la confirmación; revocación o modificación; desechamiento o </w:t>
      </w:r>
      <w:r w:rsidRPr="009E2C08">
        <w:rPr>
          <w:rFonts w:ascii="Palatino Linotype" w:hAnsi="Palatino Linotype" w:cs="Arial"/>
          <w:b/>
        </w:rPr>
        <w:t>sobreseimiento</w:t>
      </w:r>
      <w:r w:rsidRPr="009E2C08">
        <w:rPr>
          <w:rFonts w:ascii="Palatino Linotype" w:hAnsi="Palatino Linotype" w:cs="Arial"/>
        </w:rPr>
        <w:t xml:space="preserve">; y en su caso ordenar la entrega de la información con respecto a la respuesta emitida por el </w:t>
      </w:r>
      <w:r w:rsidRPr="009E2C08">
        <w:rPr>
          <w:rFonts w:ascii="Palatino Linotype" w:hAnsi="Palatino Linotype" w:cs="Arial"/>
          <w:b/>
        </w:rPr>
        <w:t>SUJETO</w:t>
      </w:r>
      <w:r w:rsidRPr="009E2C08">
        <w:rPr>
          <w:rFonts w:ascii="Palatino Linotype" w:hAnsi="Palatino Linotype" w:cs="Arial"/>
        </w:rPr>
        <w:t xml:space="preserve"> </w:t>
      </w:r>
      <w:r w:rsidRPr="009E2C08">
        <w:rPr>
          <w:rFonts w:ascii="Palatino Linotype" w:hAnsi="Palatino Linotype" w:cs="Arial"/>
          <w:b/>
        </w:rPr>
        <w:t>OBLIGADO</w:t>
      </w:r>
      <w:r w:rsidRPr="009E2C08">
        <w:rPr>
          <w:rFonts w:ascii="Palatino Linotype" w:hAnsi="Palatino Linotype" w:cs="Arial"/>
        </w:rPr>
        <w:t>.</w:t>
      </w:r>
    </w:p>
    <w:p w14:paraId="6A0C7FFB" w14:textId="77777777" w:rsidR="0076671F" w:rsidRPr="009E2C08" w:rsidRDefault="0076671F" w:rsidP="0076671F">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EEB08D5" w14:textId="0A6F155A" w:rsidR="0079454A" w:rsidRPr="009E2C08" w:rsidRDefault="0079454A"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rPr>
        <w:lastRenderedPageBreak/>
        <w:t xml:space="preserve">De </w:t>
      </w:r>
      <w:r w:rsidRPr="009E2C08">
        <w:rPr>
          <w:rFonts w:ascii="Palatino Linotype" w:eastAsia="Calibri" w:hAnsi="Palatino Linotype" w:cs="Times New Roman"/>
          <w:lang w:val="es-MX"/>
        </w:rPr>
        <w:t>acuerdo al precepto legal contenido</w:t>
      </w:r>
      <w:r w:rsidRPr="009E2C08">
        <w:rPr>
          <w:rFonts w:ascii="Palatino Linotype" w:eastAsia="Calibri" w:hAnsi="Palatino Linotype" w:cs="Times New Roman"/>
        </w:rPr>
        <w:t xml:space="preserve"> en la fracción III del artículo 192 de la </w:t>
      </w:r>
      <w:r w:rsidRPr="009E2C08">
        <w:rPr>
          <w:rFonts w:ascii="Palatino Linotype" w:eastAsia="Calibri" w:hAnsi="Palatino Linotype" w:cs="Times New Roman"/>
          <w:b/>
        </w:rPr>
        <w:t>Ley de Transparencia y Acceso a la Información Pública del Estado de México y Municipios</w:t>
      </w:r>
      <w:r w:rsidRPr="009E2C08">
        <w:rPr>
          <w:rFonts w:ascii="Palatino Linotype" w:eastAsia="Calibri" w:hAnsi="Palatino Linotype" w:cs="Times New Roman"/>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688CB988" w14:textId="77777777" w:rsidR="0079454A" w:rsidRPr="009E2C08" w:rsidRDefault="0079454A" w:rsidP="009D6161">
      <w:pPr>
        <w:rPr>
          <w:rFonts w:ascii="Palatino Linotype" w:eastAsia="Calibri" w:hAnsi="Palatino Linotype" w:cs="Arial"/>
          <w:color w:val="000000" w:themeColor="text1"/>
          <w:lang w:val="es-ES"/>
        </w:rPr>
      </w:pPr>
    </w:p>
    <w:p w14:paraId="571219C2" w14:textId="08584CEF" w:rsidR="0079454A" w:rsidRPr="009E2C08" w:rsidRDefault="0079454A" w:rsidP="00CF403D">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Para </w:t>
      </w:r>
      <w:r w:rsidRPr="009E2C08">
        <w:rPr>
          <w:rFonts w:ascii="Palatino Linotype" w:eastAsia="Calibri" w:hAnsi="Palatino Linotype" w:cs="Times New Roman"/>
        </w:rPr>
        <w:t xml:space="preserve">los efectos de esta resolución, es oportuno precisar los alcances jurídicos de la fracción III de la disposición legal transcrita. Así, procede el sobreseimiento del recurso de revisión cuando el </w:t>
      </w:r>
      <w:r w:rsidRPr="009E2C08">
        <w:rPr>
          <w:rFonts w:ascii="Palatino Linotype" w:eastAsia="Calibri" w:hAnsi="Palatino Linotype" w:cs="Times New Roman"/>
          <w:b/>
        </w:rPr>
        <w:t>SUJETO OBLIGADO</w:t>
      </w:r>
      <w:r w:rsidRPr="009E2C08">
        <w:rPr>
          <w:rFonts w:ascii="Palatino Linotype" w:eastAsia="Calibri" w:hAnsi="Palatino Linotype" w:cs="Times New Roman"/>
        </w:rPr>
        <w:t>:</w:t>
      </w:r>
    </w:p>
    <w:p w14:paraId="2F3A8CA6" w14:textId="77777777" w:rsidR="0079454A" w:rsidRPr="009E2C08" w:rsidRDefault="0079454A" w:rsidP="00533150">
      <w:pPr>
        <w:numPr>
          <w:ilvl w:val="0"/>
          <w:numId w:val="6"/>
        </w:numPr>
        <w:ind w:left="567" w:right="616" w:firstLine="0"/>
        <w:contextualSpacing/>
        <w:jc w:val="both"/>
        <w:rPr>
          <w:rFonts w:ascii="Palatino Linotype" w:hAnsi="Palatino Linotype" w:cs="Arial"/>
          <w:sz w:val="22"/>
        </w:rPr>
      </w:pPr>
      <w:r w:rsidRPr="009E2C08">
        <w:rPr>
          <w:rFonts w:ascii="Palatino Linotype" w:hAnsi="Palatino Linotype" w:cs="Arial"/>
          <w:b/>
          <w:sz w:val="22"/>
        </w:rPr>
        <w:t>Modifique el acto impugnado:</w:t>
      </w:r>
      <w:r w:rsidRPr="009E2C08">
        <w:rPr>
          <w:rFonts w:ascii="Palatino Linotype" w:hAnsi="Palatino Linotype" w:cs="Arial"/>
          <w:sz w:val="22"/>
        </w:rPr>
        <w:t xml:space="preserve"> Se actualiza cuando el </w:t>
      </w:r>
      <w:r w:rsidRPr="009E2C08">
        <w:rPr>
          <w:rFonts w:ascii="Palatino Linotype" w:hAnsi="Palatino Linotype" w:cs="Arial"/>
          <w:b/>
          <w:sz w:val="22"/>
        </w:rPr>
        <w:t>SUJETO OBLIGADO</w:t>
      </w:r>
      <w:r w:rsidRPr="009E2C08">
        <w:rPr>
          <w:rFonts w:ascii="Palatino Linotype" w:hAnsi="Palatino Linotype" w:cs="Arial"/>
          <w:sz w:val="22"/>
        </w:rPr>
        <w:t xml:space="preserve"> después de haber otorgado una respuesta y hasta antes de dictada la resolución del recurso de revisión, emite una diversa en la que subsane las deficiencias que hubiera tenido.</w:t>
      </w:r>
    </w:p>
    <w:p w14:paraId="5318A789" w14:textId="77777777" w:rsidR="0079454A" w:rsidRPr="009E2C08" w:rsidRDefault="0079454A" w:rsidP="00533150">
      <w:pPr>
        <w:ind w:left="567" w:right="616"/>
        <w:contextualSpacing/>
        <w:jc w:val="both"/>
        <w:rPr>
          <w:rFonts w:ascii="Palatino Linotype" w:hAnsi="Palatino Linotype" w:cs="Arial"/>
          <w:sz w:val="22"/>
        </w:rPr>
      </w:pPr>
    </w:p>
    <w:p w14:paraId="6831BC4F" w14:textId="78580499" w:rsidR="0079454A" w:rsidRPr="009E2C08" w:rsidRDefault="0079454A" w:rsidP="00533150">
      <w:pPr>
        <w:numPr>
          <w:ilvl w:val="0"/>
          <w:numId w:val="6"/>
        </w:numPr>
        <w:ind w:left="567" w:right="616" w:firstLine="0"/>
        <w:contextualSpacing/>
        <w:jc w:val="both"/>
        <w:rPr>
          <w:rFonts w:ascii="Palatino Linotype" w:hAnsi="Palatino Linotype" w:cs="Arial"/>
          <w:sz w:val="22"/>
        </w:rPr>
      </w:pPr>
      <w:r w:rsidRPr="009E2C08">
        <w:rPr>
          <w:rFonts w:ascii="Palatino Linotype" w:hAnsi="Palatino Linotype" w:cs="Arial"/>
          <w:b/>
          <w:sz w:val="22"/>
        </w:rPr>
        <w:t>Revoque el acto impugnado:</w:t>
      </w:r>
      <w:r w:rsidRPr="009E2C08">
        <w:rPr>
          <w:rFonts w:ascii="Palatino Linotype" w:hAnsi="Palatino Linotype" w:cs="Arial"/>
          <w:sz w:val="22"/>
        </w:rPr>
        <w:t xml:space="preserve"> En este supuesto, el </w:t>
      </w:r>
      <w:r w:rsidRPr="009E2C08">
        <w:rPr>
          <w:rFonts w:ascii="Palatino Linotype" w:hAnsi="Palatino Linotype" w:cs="Arial"/>
          <w:b/>
          <w:sz w:val="22"/>
        </w:rPr>
        <w:t>SUJETO OBLIGADO</w:t>
      </w:r>
      <w:r w:rsidRPr="009E2C08">
        <w:rPr>
          <w:rFonts w:ascii="Palatino Linotype" w:hAnsi="Palatino Linotype" w:cs="Arial"/>
          <w:sz w:val="22"/>
        </w:rPr>
        <w:t xml:space="preserve"> deja sin efectos la primera respuesta y en su lugar emite otra que satisfaga lo solicitado por </w:t>
      </w:r>
      <w:r w:rsidR="009D1547" w:rsidRPr="009E2C08">
        <w:rPr>
          <w:rFonts w:ascii="Palatino Linotype" w:hAnsi="Palatino Linotype" w:cs="Arial"/>
          <w:sz w:val="22"/>
        </w:rPr>
        <w:t>la</w:t>
      </w:r>
      <w:r w:rsidRPr="009E2C08">
        <w:rPr>
          <w:rFonts w:ascii="Palatino Linotype" w:hAnsi="Palatino Linotype" w:cs="Arial"/>
          <w:sz w:val="22"/>
        </w:rPr>
        <w:t xml:space="preserve"> particular en un primer momento.</w:t>
      </w:r>
    </w:p>
    <w:p w14:paraId="1A5960AE" w14:textId="77777777" w:rsidR="0079454A" w:rsidRPr="009E2C08" w:rsidRDefault="0079454A" w:rsidP="009D6161">
      <w:pPr>
        <w:rPr>
          <w:rFonts w:ascii="Palatino Linotype" w:eastAsia="Calibri" w:hAnsi="Palatino Linotype" w:cs="Arial"/>
          <w:color w:val="000000" w:themeColor="text1"/>
          <w:sz w:val="22"/>
          <w:lang w:val="es-ES"/>
        </w:rPr>
      </w:pPr>
    </w:p>
    <w:p w14:paraId="7C0A10FF" w14:textId="75622661" w:rsidR="00D257D1" w:rsidRPr="009E2C08" w:rsidRDefault="0079454A" w:rsidP="00D257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Las </w:t>
      </w:r>
      <w:r w:rsidRPr="009E2C08">
        <w:rPr>
          <w:rFonts w:ascii="Palatino Linotype" w:eastAsia="Calibri" w:hAnsi="Palatino Linotype" w:cs="Times New Roman"/>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w:t>
      </w:r>
      <w:r w:rsidR="009D1547" w:rsidRPr="009E2C08">
        <w:rPr>
          <w:rFonts w:ascii="Palatino Linotype" w:eastAsia="Calibri" w:hAnsi="Palatino Linotype" w:cs="Times New Roman"/>
        </w:rPr>
        <w:t xml:space="preserve"> </w:t>
      </w:r>
      <w:r w:rsidRPr="009E2C08">
        <w:rPr>
          <w:rFonts w:ascii="Palatino Linotype" w:eastAsia="Calibri" w:hAnsi="Palatino Linotype" w:cs="Times New Roman"/>
        </w:rPr>
        <w:t>l</w:t>
      </w:r>
      <w:r w:rsidR="009D1547" w:rsidRPr="009E2C08">
        <w:rPr>
          <w:rFonts w:ascii="Palatino Linotype" w:eastAsia="Calibri" w:hAnsi="Palatino Linotype" w:cs="Times New Roman"/>
        </w:rPr>
        <w:t>a</w:t>
      </w:r>
      <w:r w:rsidRPr="009E2C08">
        <w:rPr>
          <w:rFonts w:ascii="Palatino Linotype" w:eastAsia="Calibri" w:hAnsi="Palatino Linotype" w:cs="Times New Roman"/>
        </w:rPr>
        <w:t xml:space="preserve"> </w:t>
      </w:r>
      <w:r w:rsidR="00084282" w:rsidRPr="009E2C08">
        <w:rPr>
          <w:rFonts w:ascii="Palatino Linotype" w:eastAsia="Calibri" w:hAnsi="Palatino Linotype" w:cs="Times New Roman"/>
        </w:rPr>
        <w:t>Recurrente</w:t>
      </w:r>
      <w:r w:rsidRPr="009E2C08">
        <w:rPr>
          <w:rFonts w:ascii="Palatino Linotype" w:eastAsia="Calibri" w:hAnsi="Palatino Linotype" w:cs="Times New Roman"/>
        </w:rPr>
        <w:t>, ya sea porque se hizo la entrega de la información solicitada o porque se completó la misma.</w:t>
      </w:r>
    </w:p>
    <w:p w14:paraId="324EA527" w14:textId="180C5717" w:rsidR="00DA3622" w:rsidRPr="009E2C08" w:rsidRDefault="00F269E9" w:rsidP="00DA3622">
      <w:pPr>
        <w:pStyle w:val="Prrafodelista"/>
        <w:numPr>
          <w:ilvl w:val="0"/>
          <w:numId w:val="3"/>
        </w:numPr>
        <w:tabs>
          <w:tab w:val="left" w:pos="426"/>
          <w:tab w:val="left" w:pos="567"/>
        </w:tabs>
        <w:spacing w:line="360" w:lineRule="auto"/>
        <w:ind w:left="0" w:firstLine="0"/>
        <w:jc w:val="both"/>
        <w:rPr>
          <w:rFonts w:ascii="Palatino Linotype" w:eastAsia="Times New Roman" w:hAnsi="Palatino Linotype" w:cs="Arial"/>
          <w:b/>
          <w:bCs/>
          <w:color w:val="000000"/>
          <w:lang w:val="es-ES"/>
        </w:rPr>
      </w:pPr>
      <w:r w:rsidRPr="009E2C08">
        <w:rPr>
          <w:rFonts w:ascii="Palatino Linotype" w:eastAsia="Calibri" w:hAnsi="Palatino Linotype" w:cs="Arial"/>
          <w:color w:val="000000" w:themeColor="text1"/>
          <w:lang w:val="es-ES"/>
        </w:rPr>
        <w:lastRenderedPageBreak/>
        <w:t xml:space="preserve">En el presente caso, </w:t>
      </w:r>
      <w:r w:rsidR="009D1547" w:rsidRPr="009E2C08">
        <w:rPr>
          <w:rFonts w:ascii="Palatino Linotype" w:eastAsia="Times New Roman" w:hAnsi="Palatino Linotype" w:cs="Arial"/>
          <w:color w:val="000000" w:themeColor="text1"/>
          <w:lang w:val="es-ES"/>
        </w:rPr>
        <w:t xml:space="preserve">la </w:t>
      </w:r>
      <w:r w:rsidR="00DA3622" w:rsidRPr="009E2C08">
        <w:rPr>
          <w:rFonts w:ascii="Palatino Linotype" w:eastAsia="Times New Roman" w:hAnsi="Palatino Linotype" w:cs="Arial"/>
          <w:b/>
          <w:bCs/>
          <w:color w:val="000000" w:themeColor="text1"/>
          <w:lang w:val="es-ES"/>
        </w:rPr>
        <w:t xml:space="preserve">RECURRENTE </w:t>
      </w:r>
      <w:r w:rsidRPr="009E2C08">
        <w:rPr>
          <w:rFonts w:ascii="Palatino Linotype" w:eastAsia="Times New Roman" w:hAnsi="Palatino Linotype" w:cs="Arial"/>
          <w:color w:val="000000" w:themeColor="text1"/>
          <w:lang w:val="es-ES"/>
        </w:rPr>
        <w:t>solicitó</w:t>
      </w:r>
      <w:r w:rsidRPr="009E2C08">
        <w:rPr>
          <w:rFonts w:ascii="Palatino Linotype" w:eastAsia="Times New Roman" w:hAnsi="Palatino Linotype" w:cs="Arial"/>
          <w:b/>
          <w:bCs/>
          <w:color w:val="000000" w:themeColor="text1"/>
          <w:lang w:val="es-ES"/>
        </w:rPr>
        <w:t xml:space="preserve"> </w:t>
      </w:r>
      <w:r w:rsidR="00DA3622" w:rsidRPr="009E2C08">
        <w:rPr>
          <w:rFonts w:ascii="Palatino Linotype" w:eastAsia="Times New Roman" w:hAnsi="Palatino Linotype" w:cs="Arial"/>
          <w:b/>
          <w:bCs/>
          <w:color w:val="000000" w:themeColor="text1"/>
          <w:lang w:val="es-ES"/>
        </w:rPr>
        <w:t>el documento donde se compruebe que la persona referida en la solicitud de información</w:t>
      </w:r>
      <w:r w:rsidR="00DA3622" w:rsidRPr="009E2C08">
        <w:rPr>
          <w:rFonts w:ascii="Palatino Linotype" w:hAnsi="Palatino Linotype" w:cs="Arial"/>
          <w:b/>
          <w:bCs/>
          <w:color w:val="000000" w:themeColor="text1"/>
        </w:rPr>
        <w:t> 00072/CAMEM/IP/2023 ya no labora en la dependencia o que justifique su ausencia de esta.</w:t>
      </w:r>
    </w:p>
    <w:p w14:paraId="7DD3760C" w14:textId="77777777" w:rsidR="0065082E" w:rsidRPr="009E2C08" w:rsidRDefault="0065082E" w:rsidP="00EE1123">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AEDFD2F" w14:textId="1B699D5A" w:rsidR="0065058A" w:rsidRPr="009E2C08" w:rsidRDefault="00CA57CC" w:rsidP="0076671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bCs/>
          <w:color w:val="000000" w:themeColor="text1"/>
          <w:lang w:val="es-ES"/>
        </w:rPr>
      </w:pPr>
      <w:r w:rsidRPr="009E2C08">
        <w:rPr>
          <w:rFonts w:ascii="Palatino Linotype" w:eastAsia="Calibri" w:hAnsi="Palatino Linotype" w:cs="Arial"/>
          <w:color w:val="000000" w:themeColor="text1"/>
          <w:lang w:val="es-ES"/>
        </w:rPr>
        <w:t xml:space="preserve">A </w:t>
      </w:r>
      <w:r w:rsidR="00EE1123" w:rsidRPr="009E2C08">
        <w:rPr>
          <w:rFonts w:ascii="Palatino Linotype" w:eastAsia="Times New Roman" w:hAnsi="Palatino Linotype" w:cs="Arial"/>
          <w:color w:val="000000"/>
          <w:lang w:val="es-ES"/>
        </w:rPr>
        <w:t>causa de la</w:t>
      </w:r>
      <w:r w:rsidR="00D96A04" w:rsidRPr="009E2C08">
        <w:rPr>
          <w:rFonts w:ascii="Palatino Linotype" w:eastAsia="Times New Roman" w:hAnsi="Palatino Linotype" w:cs="Arial"/>
          <w:color w:val="000000"/>
          <w:lang w:val="es-ES"/>
        </w:rPr>
        <w:t xml:space="preserve"> falta de</w:t>
      </w:r>
      <w:r w:rsidR="00EE1123" w:rsidRPr="009E2C08">
        <w:rPr>
          <w:rFonts w:ascii="Palatino Linotype" w:eastAsia="Times New Roman" w:hAnsi="Palatino Linotype" w:cs="Arial"/>
          <w:color w:val="000000"/>
          <w:lang w:val="es-ES"/>
        </w:rPr>
        <w:t xml:space="preserve"> respuesta</w:t>
      </w:r>
      <w:r w:rsidR="00D96A04" w:rsidRPr="009E2C08">
        <w:rPr>
          <w:rFonts w:ascii="Palatino Linotype" w:eastAsia="Times New Roman" w:hAnsi="Palatino Linotype" w:cs="Arial"/>
          <w:color w:val="000000"/>
          <w:lang w:val="es-ES"/>
        </w:rPr>
        <w:t xml:space="preserve"> del </w:t>
      </w:r>
      <w:r w:rsidR="00D96A04" w:rsidRPr="009E2C08">
        <w:rPr>
          <w:rFonts w:ascii="Palatino Linotype" w:eastAsia="Times New Roman" w:hAnsi="Palatino Linotype" w:cs="Arial"/>
          <w:b/>
          <w:bCs/>
          <w:color w:val="000000"/>
          <w:lang w:val="es-ES"/>
        </w:rPr>
        <w:t>SUJETO OBLIGADO</w:t>
      </w:r>
      <w:r w:rsidR="00EE1123" w:rsidRPr="009E2C08">
        <w:rPr>
          <w:rFonts w:ascii="Palatino Linotype" w:eastAsia="Times New Roman" w:hAnsi="Palatino Linotype" w:cs="Arial"/>
          <w:color w:val="000000"/>
          <w:lang w:val="es-ES"/>
        </w:rPr>
        <w:t xml:space="preserve">, </w:t>
      </w:r>
      <w:r w:rsidR="006C2A2B" w:rsidRPr="009E2C08">
        <w:rPr>
          <w:rFonts w:ascii="Palatino Linotype" w:eastAsia="Times New Roman" w:hAnsi="Palatino Linotype" w:cs="Arial"/>
          <w:color w:val="000000"/>
          <w:lang w:val="es-ES"/>
        </w:rPr>
        <w:t>el</w:t>
      </w:r>
      <w:r w:rsidR="00EE1123" w:rsidRPr="009E2C08">
        <w:rPr>
          <w:rFonts w:ascii="Palatino Linotype" w:eastAsia="Times New Roman" w:hAnsi="Palatino Linotype" w:cs="Arial"/>
          <w:color w:val="000000"/>
          <w:lang w:val="es-ES"/>
        </w:rPr>
        <w:t xml:space="preserve"> </w:t>
      </w:r>
      <w:r w:rsidR="00DA3622" w:rsidRPr="009E2C08">
        <w:rPr>
          <w:rFonts w:ascii="Palatino Linotype" w:eastAsia="Times New Roman" w:hAnsi="Palatino Linotype" w:cs="Arial"/>
          <w:b/>
          <w:bCs/>
          <w:color w:val="000000"/>
          <w:lang w:val="es-ES"/>
        </w:rPr>
        <w:t>RECURRENTE</w:t>
      </w:r>
      <w:r w:rsidRPr="009E2C08">
        <w:rPr>
          <w:rFonts w:ascii="Palatino Linotype" w:eastAsia="Times New Roman" w:hAnsi="Palatino Linotype" w:cs="Arial"/>
          <w:color w:val="000000"/>
          <w:lang w:val="es-ES"/>
        </w:rPr>
        <w:t xml:space="preserve"> se inconformó mediante el recurso de revisión, manifestando </w:t>
      </w:r>
      <w:r w:rsidR="0065058A" w:rsidRPr="009E2C08">
        <w:rPr>
          <w:rFonts w:ascii="Palatino Linotype" w:eastAsia="Times New Roman" w:hAnsi="Palatino Linotype" w:cs="Arial"/>
          <w:color w:val="000000"/>
          <w:lang w:val="es-ES"/>
        </w:rPr>
        <w:t xml:space="preserve">como acto impugnado: </w:t>
      </w:r>
      <w:r w:rsidR="0065058A" w:rsidRPr="009E2C08">
        <w:rPr>
          <w:rFonts w:ascii="Palatino Linotype" w:eastAsia="Calibri" w:hAnsi="Palatino Linotype" w:cs="Arial"/>
          <w:b/>
          <w:bCs/>
          <w:iCs/>
        </w:rPr>
        <w:t>“</w:t>
      </w:r>
      <w:r w:rsidR="00DA3622" w:rsidRPr="009E2C08">
        <w:rPr>
          <w:rFonts w:ascii="Palatino Linotype" w:hAnsi="Palatino Linotype"/>
          <w:b/>
          <w:bCs/>
          <w:iCs/>
          <w:color w:val="000000"/>
        </w:rPr>
        <w:t>No entregó la información solicitada.</w:t>
      </w:r>
      <w:r w:rsidR="0065058A" w:rsidRPr="009E2C08">
        <w:rPr>
          <w:rFonts w:ascii="Palatino Linotype" w:hAnsi="Palatino Linotype"/>
          <w:b/>
          <w:bCs/>
          <w:iCs/>
          <w:color w:val="000000"/>
        </w:rPr>
        <w:t>” (Sic)</w:t>
      </w:r>
      <w:r w:rsidR="00DA3622" w:rsidRPr="009E2C08">
        <w:rPr>
          <w:rFonts w:ascii="Palatino Linotype" w:hAnsi="Palatino Linotype"/>
          <w:b/>
          <w:bCs/>
          <w:iCs/>
          <w:color w:val="000000"/>
        </w:rPr>
        <w:t xml:space="preserve">; </w:t>
      </w:r>
      <w:r w:rsidR="0065058A" w:rsidRPr="009E2C08">
        <w:rPr>
          <w:rFonts w:ascii="Palatino Linotype" w:hAnsi="Palatino Linotype"/>
          <w:color w:val="000000"/>
        </w:rPr>
        <w:t>y</w:t>
      </w:r>
      <w:r w:rsidR="00DA3622" w:rsidRPr="009E2C08">
        <w:rPr>
          <w:rFonts w:ascii="Palatino Linotype" w:hAnsi="Palatino Linotype"/>
          <w:color w:val="000000"/>
        </w:rPr>
        <w:t>,</w:t>
      </w:r>
      <w:r w:rsidR="0065058A" w:rsidRPr="009E2C08">
        <w:rPr>
          <w:rFonts w:ascii="Palatino Linotype" w:hAnsi="Palatino Linotype"/>
          <w:color w:val="000000"/>
        </w:rPr>
        <w:t xml:space="preserve"> como razones o motivos de inconformidad: </w:t>
      </w:r>
      <w:r w:rsidR="0065058A" w:rsidRPr="009E2C08">
        <w:rPr>
          <w:rFonts w:ascii="Palatino Linotype" w:eastAsia="Calibri" w:hAnsi="Palatino Linotype" w:cs="Arial"/>
          <w:b/>
          <w:bCs/>
          <w:iCs/>
        </w:rPr>
        <w:t>“</w:t>
      </w:r>
      <w:r w:rsidR="00DA3622" w:rsidRPr="009E2C08">
        <w:rPr>
          <w:rFonts w:ascii="Palatino Linotype" w:hAnsi="Palatino Linotype"/>
          <w:b/>
          <w:bCs/>
          <w:iCs/>
          <w:color w:val="000000"/>
        </w:rPr>
        <w:t>No dio respuesta a la solicitud de información.</w:t>
      </w:r>
      <w:r w:rsidR="0065058A" w:rsidRPr="009E2C08">
        <w:rPr>
          <w:rFonts w:ascii="Palatino Linotype" w:hAnsi="Palatino Linotype"/>
          <w:b/>
          <w:bCs/>
          <w:iCs/>
        </w:rPr>
        <w:t>” (Sic)</w:t>
      </w:r>
    </w:p>
    <w:p w14:paraId="1BBA1C9E" w14:textId="77777777" w:rsidR="00C47458" w:rsidRPr="009E2C08" w:rsidRDefault="00C47458" w:rsidP="0076671F">
      <w:pPr>
        <w:ind w:right="565"/>
        <w:jc w:val="both"/>
        <w:rPr>
          <w:rFonts w:ascii="Palatino Linotype" w:eastAsia="Calibri" w:hAnsi="Palatino Linotype" w:cs="Arial"/>
          <w:i/>
          <w:iCs/>
          <w:color w:val="000000" w:themeColor="text1"/>
          <w:lang w:val="es-ES"/>
        </w:rPr>
      </w:pPr>
    </w:p>
    <w:p w14:paraId="77E14146" w14:textId="282F1CDE" w:rsidR="00DA3622" w:rsidRPr="009E2C08" w:rsidRDefault="006C2A2B" w:rsidP="006C2A2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Times New Roman" w:hAnsi="Palatino Linotype" w:cs="Arial"/>
          <w:color w:val="000000"/>
          <w:lang w:val="es-ES"/>
        </w:rPr>
        <w:t>Posteriormente</w:t>
      </w:r>
      <w:r w:rsidR="00DA3622" w:rsidRPr="009E2C08">
        <w:rPr>
          <w:rFonts w:ascii="Palatino Linotype" w:eastAsia="Times New Roman" w:hAnsi="Palatino Linotype" w:cs="Arial"/>
          <w:color w:val="000000"/>
          <w:lang w:val="es-ES"/>
        </w:rPr>
        <w:t xml:space="preserve">, el </w:t>
      </w:r>
      <w:r w:rsidR="00DA3622" w:rsidRPr="009E2C08">
        <w:rPr>
          <w:rFonts w:ascii="Palatino Linotype" w:eastAsia="Times New Roman" w:hAnsi="Palatino Linotype" w:cs="Arial"/>
          <w:b/>
          <w:bCs/>
          <w:color w:val="000000"/>
          <w:lang w:val="es-ES"/>
        </w:rPr>
        <w:t>SUJETO OBLIGADO</w:t>
      </w:r>
      <w:r w:rsidR="00DA3622" w:rsidRPr="009E2C08">
        <w:rPr>
          <w:rFonts w:ascii="Palatino Linotype" w:eastAsia="Times New Roman" w:hAnsi="Palatino Linotype" w:cs="Arial"/>
          <w:color w:val="000000"/>
          <w:lang w:val="es-ES"/>
        </w:rPr>
        <w:t xml:space="preserve"> c</w:t>
      </w:r>
      <w:r w:rsidR="009F16E6" w:rsidRPr="009E2C08">
        <w:rPr>
          <w:rFonts w:ascii="Palatino Linotype" w:eastAsia="Times New Roman" w:hAnsi="Palatino Linotype" w:cs="Arial"/>
          <w:color w:val="000000"/>
          <w:lang w:val="es-ES"/>
        </w:rPr>
        <w:t>on el fin de reparar el derecho de acceso a la información</w:t>
      </w:r>
      <w:r w:rsidR="00DD7C4B" w:rsidRPr="009E2C08">
        <w:rPr>
          <w:rFonts w:ascii="Palatino Linotype" w:eastAsia="Times New Roman" w:hAnsi="Palatino Linotype" w:cs="Arial"/>
          <w:color w:val="000000"/>
          <w:lang w:val="es-ES"/>
        </w:rPr>
        <w:t xml:space="preserve"> pública</w:t>
      </w:r>
      <w:r w:rsidR="009F16E6" w:rsidRPr="009E2C08">
        <w:rPr>
          <w:rFonts w:ascii="Palatino Linotype" w:eastAsia="Times New Roman" w:hAnsi="Palatino Linotype" w:cs="Arial"/>
          <w:color w:val="000000"/>
          <w:lang w:val="es-ES"/>
        </w:rPr>
        <w:t xml:space="preserve">, </w:t>
      </w:r>
      <w:r w:rsidRPr="009E2C08">
        <w:rPr>
          <w:rFonts w:ascii="Palatino Linotype" w:eastAsia="Times New Roman" w:hAnsi="Palatino Linotype" w:cs="Arial"/>
          <w:color w:val="000000"/>
          <w:lang w:val="es-ES"/>
        </w:rPr>
        <w:t>por medio</w:t>
      </w:r>
      <w:r w:rsidR="00EA3E35" w:rsidRPr="009E2C08">
        <w:rPr>
          <w:rFonts w:ascii="Palatino Linotype" w:eastAsia="Times New Roman" w:hAnsi="Palatino Linotype" w:cs="Arial"/>
          <w:color w:val="000000"/>
          <w:lang w:val="es-ES"/>
        </w:rPr>
        <w:t xml:space="preserve"> de un acto jurídico posterior</w:t>
      </w:r>
      <w:r w:rsidR="00EC2202" w:rsidRPr="009E2C08">
        <w:rPr>
          <w:rFonts w:ascii="Palatino Linotype" w:eastAsia="Times New Roman" w:hAnsi="Palatino Linotype" w:cs="Arial"/>
          <w:color w:val="000000"/>
          <w:lang w:val="es-ES"/>
        </w:rPr>
        <w:t xml:space="preserve"> </w:t>
      </w:r>
      <w:r w:rsidR="00EA3E35" w:rsidRPr="009E2C08">
        <w:rPr>
          <w:rFonts w:ascii="Palatino Linotype" w:eastAsia="Times New Roman" w:hAnsi="Palatino Linotype" w:cs="Arial"/>
          <w:color w:val="000000"/>
          <w:lang w:val="es-ES"/>
        </w:rPr>
        <w:t>como lo es</w:t>
      </w:r>
      <w:r w:rsidR="006D5007" w:rsidRPr="009E2C08">
        <w:rPr>
          <w:rFonts w:ascii="Palatino Linotype" w:eastAsia="Times New Roman" w:hAnsi="Palatino Linotype" w:cs="Arial"/>
          <w:color w:val="000000"/>
          <w:lang w:val="es-ES"/>
        </w:rPr>
        <w:t xml:space="preserve"> el informe justificado,</w:t>
      </w:r>
      <w:r w:rsidR="00DD7C4B" w:rsidRPr="009E2C08">
        <w:rPr>
          <w:rFonts w:ascii="Palatino Linotype" w:eastAsia="Times New Roman" w:hAnsi="Palatino Linotype" w:cs="Arial"/>
          <w:color w:val="000000"/>
          <w:lang w:val="es-ES"/>
        </w:rPr>
        <w:t xml:space="preserve"> </w:t>
      </w:r>
      <w:r w:rsidR="00C47458" w:rsidRPr="009E2C08">
        <w:rPr>
          <w:rFonts w:ascii="Palatino Linotype" w:eastAsia="Times New Roman" w:hAnsi="Palatino Linotype" w:cs="Arial"/>
          <w:color w:val="000000"/>
          <w:lang w:val="es-ES"/>
        </w:rPr>
        <w:t xml:space="preserve">remitió el </w:t>
      </w:r>
      <w:r w:rsidR="00EC2202" w:rsidRPr="009E2C08">
        <w:rPr>
          <w:rFonts w:ascii="Palatino Linotype" w:eastAsia="Calibri" w:hAnsi="Palatino Linotype" w:cs="Arial"/>
          <w:lang w:val="es-ES"/>
        </w:rPr>
        <w:t xml:space="preserve">archivo electrónico denominado </w:t>
      </w:r>
      <w:r w:rsidRPr="009E2C08">
        <w:rPr>
          <w:rFonts w:ascii="Palatino Linotype" w:eastAsia="Calibri" w:hAnsi="Palatino Linotype" w:cs="Arial"/>
          <w:lang w:val="es-ES"/>
        </w:rPr>
        <w:t>“</w:t>
      </w:r>
      <w:hyperlink r:id="rId12" w:history="1">
        <w:r w:rsidR="00DA3622" w:rsidRPr="009E2C08">
          <w:rPr>
            <w:rStyle w:val="Hipervnculo"/>
            <w:rFonts w:ascii="Palatino Linotype" w:hAnsi="Palatino Linotype" w:cs="Arial"/>
            <w:b/>
            <w:bCs/>
            <w:color w:val="000000" w:themeColor="text1"/>
            <w:u w:val="none"/>
          </w:rPr>
          <w:t>Oficio 019_UAA.pdf</w:t>
        </w:r>
      </w:hyperlink>
      <w:r w:rsidRPr="009E2C08">
        <w:rPr>
          <w:rFonts w:ascii="Palatino Linotype" w:hAnsi="Palatino Linotype"/>
          <w:b/>
          <w:bCs/>
          <w:color w:val="000000" w:themeColor="text1"/>
        </w:rPr>
        <w:t xml:space="preserve">”, </w:t>
      </w:r>
      <w:r w:rsidRPr="009E2C08">
        <w:rPr>
          <w:rFonts w:ascii="Palatino Linotype" w:hAnsi="Palatino Linotype"/>
          <w:color w:val="000000" w:themeColor="text1"/>
        </w:rPr>
        <w:t>documento que consta del o</w:t>
      </w:r>
      <w:r w:rsidR="00DA3622" w:rsidRPr="009E2C08">
        <w:rPr>
          <w:rFonts w:ascii="Palatino Linotype" w:hAnsi="Palatino Linotype"/>
          <w:color w:val="000000" w:themeColor="text1"/>
        </w:rPr>
        <w:t>ficio</w:t>
      </w:r>
      <w:r w:rsidRPr="009E2C08">
        <w:rPr>
          <w:rFonts w:ascii="Palatino Linotype" w:hAnsi="Palatino Linotype"/>
          <w:color w:val="000000" w:themeColor="text1"/>
        </w:rPr>
        <w:t xml:space="preserve"> número 208C0201000100S/0019/2024, </w:t>
      </w:r>
      <w:r w:rsidR="00DA3622" w:rsidRPr="009E2C08">
        <w:rPr>
          <w:rFonts w:ascii="Palatino Linotype" w:hAnsi="Palatino Linotype"/>
          <w:color w:val="000000" w:themeColor="text1"/>
        </w:rPr>
        <w:t>suscrito por el suplente del Jefe de la Unidad de Apoyo Administrativo, por medio del cual</w:t>
      </w:r>
      <w:r w:rsidR="00DA3622" w:rsidRPr="009E2C08">
        <w:rPr>
          <w:rFonts w:ascii="Palatino Linotype" w:hAnsi="Palatino Linotype" w:cs="Arial"/>
          <w:color w:val="000000" w:themeColor="text1"/>
        </w:rPr>
        <w:t>,</w:t>
      </w:r>
      <w:r w:rsidR="00DA3622" w:rsidRPr="009E2C08">
        <w:rPr>
          <w:rFonts w:ascii="Palatino Linotype" w:hAnsi="Palatino Linotype"/>
          <w:color w:val="000000" w:themeColor="text1"/>
        </w:rPr>
        <w:t xml:space="preserve"> remitió</w:t>
      </w:r>
      <w:r w:rsidRPr="009E2C08">
        <w:rPr>
          <w:rFonts w:ascii="Palatino Linotype" w:hAnsi="Palatino Linotype"/>
          <w:color w:val="000000" w:themeColor="text1"/>
        </w:rPr>
        <w:t>, en versión pública,</w:t>
      </w:r>
      <w:r w:rsidR="00DA3622" w:rsidRPr="009E2C08">
        <w:rPr>
          <w:rFonts w:ascii="Palatino Linotype" w:hAnsi="Palatino Linotype"/>
          <w:color w:val="000000" w:themeColor="text1"/>
        </w:rPr>
        <w:t xml:space="preserve"> la copia fotostática del </w:t>
      </w:r>
      <w:r w:rsidR="00DA3622" w:rsidRPr="009E2C08">
        <w:rPr>
          <w:rFonts w:ascii="Palatino Linotype" w:hAnsi="Palatino Linotype"/>
          <w:b/>
          <w:bCs/>
          <w:color w:val="000000" w:themeColor="text1"/>
        </w:rPr>
        <w:t>“Aviso de movimiento de Baja del ISSEMyM”</w:t>
      </w:r>
      <w:r w:rsidR="00DA3622" w:rsidRPr="009E2C08">
        <w:rPr>
          <w:rFonts w:ascii="Palatino Linotype" w:hAnsi="Palatino Linotype"/>
          <w:color w:val="000000" w:themeColor="text1"/>
        </w:rPr>
        <w:t xml:space="preserve"> de la persona referida en la solicitud de información </w:t>
      </w:r>
      <w:r w:rsidR="00DA3622" w:rsidRPr="009E2C08">
        <w:rPr>
          <w:rFonts w:ascii="Palatino Linotype" w:hAnsi="Palatino Linotype" w:cs="Arial"/>
          <w:color w:val="000000" w:themeColor="text1"/>
        </w:rPr>
        <w:t>ooo72/CAMEM/IP/2023.</w:t>
      </w:r>
    </w:p>
    <w:p w14:paraId="405083A5" w14:textId="77777777" w:rsidR="00DA3622" w:rsidRPr="009E2C08" w:rsidRDefault="00DA3622" w:rsidP="00DA362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6AA95E2" w14:textId="3A572C02" w:rsidR="00DA3622" w:rsidRPr="009E2C08" w:rsidRDefault="00DA3622" w:rsidP="00DA36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Asimismo, remitió el archivo electrónico denominado “</w:t>
      </w:r>
      <w:hyperlink r:id="rId13" w:history="1">
        <w:r w:rsidRPr="009E2C08">
          <w:rPr>
            <w:rStyle w:val="Hipervnculo"/>
            <w:rFonts w:ascii="Palatino Linotype" w:hAnsi="Palatino Linotype" w:cs="Arial"/>
            <w:b/>
            <w:bCs/>
            <w:color w:val="000000" w:themeColor="text1"/>
            <w:u w:val="none"/>
          </w:rPr>
          <w:t>Acta Primera Sesión Extraordinaria_Transparencia2024.pdf</w:t>
        </w:r>
      </w:hyperlink>
      <w:r w:rsidRPr="009E2C08">
        <w:rPr>
          <w:rFonts w:ascii="Palatino Linotype" w:hAnsi="Palatino Linotype"/>
          <w:b/>
          <w:bCs/>
          <w:color w:val="000000" w:themeColor="text1"/>
        </w:rPr>
        <w:t xml:space="preserve">”, </w:t>
      </w:r>
      <w:r w:rsidR="006C2A2B" w:rsidRPr="009E2C08">
        <w:rPr>
          <w:rFonts w:ascii="Palatino Linotype" w:hAnsi="Palatino Linotype"/>
          <w:color w:val="000000" w:themeColor="text1"/>
        </w:rPr>
        <w:t xml:space="preserve">documento que, como su nombre lo indica, consiste en la copia digitalizada del </w:t>
      </w:r>
      <w:r w:rsidRPr="009E2C08">
        <w:rPr>
          <w:rFonts w:ascii="Palatino Linotype" w:hAnsi="Palatino Linotype"/>
          <w:color w:val="000000" w:themeColor="text1"/>
        </w:rPr>
        <w:t xml:space="preserve">Acta de la Primera Sesión Extraordinaria </w:t>
      </w:r>
      <w:r w:rsidRPr="009E2C08">
        <w:rPr>
          <w:rFonts w:ascii="Palatino Linotype" w:hAnsi="Palatino Linotype"/>
          <w:color w:val="000000" w:themeColor="text1"/>
        </w:rPr>
        <w:lastRenderedPageBreak/>
        <w:t xml:space="preserve">del Comité de Transparencia de la Comisión de Conciliación y Arbitraje Médico del Estado de México del Ejercicio 2024, por medio de la cual, se propuso y aprobó la clasificación como información confidencial de manera parcial del </w:t>
      </w:r>
      <w:r w:rsidRPr="009E2C08">
        <w:rPr>
          <w:rFonts w:ascii="Palatino Linotype" w:hAnsi="Palatino Linotype"/>
          <w:b/>
          <w:bCs/>
          <w:color w:val="000000" w:themeColor="text1"/>
        </w:rPr>
        <w:t xml:space="preserve">“Aviso de movimiento de Baja del ISSEMyM” </w:t>
      </w:r>
      <w:r w:rsidRPr="009E2C08">
        <w:rPr>
          <w:rFonts w:ascii="Palatino Linotype" w:hAnsi="Palatino Linotype"/>
          <w:color w:val="000000" w:themeColor="text1"/>
        </w:rPr>
        <w:t xml:space="preserve">de la persona referida en la solicitud de información </w:t>
      </w:r>
      <w:r w:rsidRPr="009E2C08">
        <w:rPr>
          <w:rFonts w:ascii="Palatino Linotype" w:hAnsi="Palatino Linotype" w:cs="Arial"/>
          <w:color w:val="000000" w:themeColor="text1"/>
        </w:rPr>
        <w:t>ooo72/CAMEM/IP/2023.</w:t>
      </w:r>
    </w:p>
    <w:p w14:paraId="6081B470" w14:textId="77777777" w:rsidR="00D8452B" w:rsidRPr="009E2C08" w:rsidRDefault="00D8452B" w:rsidP="0065332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6EE333B" w14:textId="0771D422" w:rsidR="00366699" w:rsidRPr="009E2C08" w:rsidRDefault="00366699" w:rsidP="00D417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Precisado lo anterior, </w:t>
      </w:r>
      <w:r w:rsidR="00FC2DD2" w:rsidRPr="009E2C08">
        <w:rPr>
          <w:rFonts w:ascii="Palatino Linotype" w:eastAsia="Calibri" w:hAnsi="Palatino Linotype" w:cs="Arial"/>
          <w:color w:val="000000" w:themeColor="text1"/>
          <w:lang w:val="es-ES"/>
        </w:rPr>
        <w:t>es preciso mencionar que, de conformidad con el artículo 6 de la Ley de Seguridad Social para los Servidores Públicos del Estado de México</w:t>
      </w:r>
      <w:r w:rsidR="00A96FC0" w:rsidRPr="009E2C08">
        <w:rPr>
          <w:rFonts w:ascii="Palatino Linotype" w:eastAsia="Calibri" w:hAnsi="Palatino Linotype" w:cs="Arial"/>
          <w:color w:val="000000" w:themeColor="text1"/>
          <w:lang w:val="es-ES"/>
        </w:rPr>
        <w:t xml:space="preserve"> y Municipios, como parte de los derechos que los Servidores Públicos generan al momento de su ingreso al servicio público, es que las Instituciones Públicas remitan al ISSEMyM en un plazo no mayor a 10 días hábiles los datos necesarios para su registro y control.</w:t>
      </w:r>
    </w:p>
    <w:p w14:paraId="20C2FF8C" w14:textId="77777777" w:rsidR="00A96FC0" w:rsidRPr="009E2C08" w:rsidRDefault="00A96FC0" w:rsidP="00A96FC0">
      <w:pPr>
        <w:pStyle w:val="Prrafodelista"/>
        <w:rPr>
          <w:rFonts w:ascii="Palatino Linotype" w:eastAsia="Calibri" w:hAnsi="Palatino Linotype" w:cs="Arial"/>
          <w:color w:val="000000" w:themeColor="text1"/>
          <w:lang w:val="es-ES"/>
        </w:rPr>
      </w:pPr>
    </w:p>
    <w:p w14:paraId="34E3C32A" w14:textId="1719E8B3" w:rsidR="00A96FC0" w:rsidRPr="009E2C08" w:rsidRDefault="00A96FC0" w:rsidP="00D417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Mientras que el diverso 48, establece que los Servidores Públicos que dejen de prestar sus Servicios por haber causado </w:t>
      </w:r>
      <w:r w:rsidR="00565511" w:rsidRPr="009E2C08">
        <w:rPr>
          <w:rFonts w:ascii="Palatino Linotype" w:eastAsia="Calibri" w:hAnsi="Palatino Linotype" w:cs="Arial"/>
          <w:color w:val="000000" w:themeColor="text1"/>
          <w:lang w:val="es-ES"/>
        </w:rPr>
        <w:t>en alguna Institución Pública, conservaran durante los dos meses siguientes a la de la misma el derecho a recibir las del servicio de salud.</w:t>
      </w:r>
    </w:p>
    <w:p w14:paraId="32D0D318" w14:textId="77777777" w:rsidR="00565511" w:rsidRPr="009E2C08" w:rsidRDefault="00565511" w:rsidP="00565511">
      <w:pPr>
        <w:rPr>
          <w:rFonts w:ascii="Palatino Linotype" w:eastAsia="Calibri" w:hAnsi="Palatino Linotype" w:cs="Arial"/>
          <w:color w:val="000000" w:themeColor="text1"/>
          <w:lang w:val="es-ES"/>
        </w:rPr>
      </w:pPr>
    </w:p>
    <w:p w14:paraId="5800D3F9" w14:textId="0A3F2876" w:rsidR="00565511" w:rsidRPr="009E2C08" w:rsidRDefault="00565511" w:rsidP="00D417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Por lo que, se entiende que es una </w:t>
      </w:r>
      <w:r w:rsidRPr="009E2C08">
        <w:rPr>
          <w:rFonts w:ascii="Palatino Linotype" w:eastAsia="Calibri" w:hAnsi="Palatino Linotype" w:cs="Arial"/>
          <w:b/>
          <w:bCs/>
          <w:color w:val="000000" w:themeColor="text1"/>
          <w:lang w:val="es-ES"/>
        </w:rPr>
        <w:t>obligación inherente a las Instituciones Públicas realizar el “movimiento de alta y baja” de los Servidores Públicos ante el Instituto de Seguridad Social del Estado de México y Municipios</w:t>
      </w:r>
      <w:r w:rsidRPr="009E2C08">
        <w:rPr>
          <w:rFonts w:ascii="Palatino Linotype" w:eastAsia="Calibri" w:hAnsi="Palatino Linotype" w:cs="Arial"/>
          <w:color w:val="000000" w:themeColor="text1"/>
          <w:lang w:val="es-ES"/>
        </w:rPr>
        <w:t xml:space="preserve">, se lo dispuesto en el apartado IV numerales 1 y 2 de los Lineamientos Generales para la </w:t>
      </w:r>
      <w:r w:rsidRPr="009E2C08">
        <w:rPr>
          <w:rFonts w:ascii="Palatino Linotype" w:eastAsia="Calibri" w:hAnsi="Palatino Linotype" w:cs="Arial"/>
          <w:color w:val="000000" w:themeColor="text1"/>
          <w:lang w:val="es-ES"/>
        </w:rPr>
        <w:lastRenderedPageBreak/>
        <w:t>operación de la Plataforma de Recaudación e Información de Seguridad Social del ISSEMyM.</w:t>
      </w:r>
    </w:p>
    <w:p w14:paraId="5814911B" w14:textId="77777777" w:rsidR="00366699" w:rsidRPr="009E2C08" w:rsidRDefault="00366699" w:rsidP="00366699">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9A5D032" w14:textId="40AEF91A" w:rsidR="00740A53" w:rsidRPr="009E2C08" w:rsidRDefault="00565511" w:rsidP="00D417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Expuesto lo anterior, </w:t>
      </w:r>
      <w:r w:rsidR="0076671F" w:rsidRPr="009E2C08">
        <w:rPr>
          <w:rFonts w:ascii="Palatino Linotype" w:eastAsia="Calibri" w:hAnsi="Palatino Linotype" w:cs="Arial"/>
          <w:color w:val="000000" w:themeColor="text1"/>
          <w:lang w:val="es-ES"/>
        </w:rPr>
        <w:t xml:space="preserve">se advierte </w:t>
      </w:r>
      <w:r w:rsidR="00D4174A" w:rsidRPr="009E2C08">
        <w:rPr>
          <w:rFonts w:ascii="Palatino Linotype" w:eastAsia="Calibri" w:hAnsi="Palatino Linotype" w:cs="Arial"/>
          <w:color w:val="000000" w:themeColor="text1"/>
          <w:lang w:val="es-ES"/>
        </w:rPr>
        <w:t xml:space="preserve">que el </w:t>
      </w:r>
      <w:r w:rsidR="00D4174A" w:rsidRPr="009E2C08">
        <w:rPr>
          <w:rFonts w:ascii="Palatino Linotype" w:eastAsia="Calibri" w:hAnsi="Palatino Linotype" w:cs="Arial"/>
          <w:b/>
          <w:bCs/>
          <w:color w:val="000000" w:themeColor="text1"/>
          <w:lang w:val="es-ES"/>
        </w:rPr>
        <w:t>SUJETO OBLIGADO</w:t>
      </w:r>
      <w:r w:rsidR="00C874CB" w:rsidRPr="009E2C08">
        <w:rPr>
          <w:rFonts w:ascii="Palatino Linotype" w:eastAsia="Calibri" w:hAnsi="Palatino Linotype" w:cs="Arial"/>
          <w:b/>
          <w:bCs/>
          <w:color w:val="000000" w:themeColor="text1"/>
          <w:lang w:val="es-ES"/>
        </w:rPr>
        <w:t xml:space="preserve"> </w:t>
      </w:r>
      <w:r w:rsidR="00D4174A" w:rsidRPr="009E2C08">
        <w:rPr>
          <w:rFonts w:ascii="Palatino Linotype" w:eastAsia="Calibri" w:hAnsi="Palatino Linotype" w:cs="Arial"/>
          <w:color w:val="000000" w:themeColor="text1"/>
          <w:lang w:val="es-ES"/>
        </w:rPr>
        <w:t xml:space="preserve">aportó información novedosa, </w:t>
      </w:r>
      <w:r w:rsidRPr="009E2C08">
        <w:rPr>
          <w:rFonts w:ascii="Palatino Linotype" w:eastAsia="Calibri" w:hAnsi="Palatino Linotype" w:cs="Arial"/>
          <w:color w:val="000000" w:themeColor="text1"/>
          <w:lang w:val="es-ES"/>
        </w:rPr>
        <w:t xml:space="preserve">al hacer entrega del </w:t>
      </w:r>
      <w:r w:rsidRPr="009E2C08">
        <w:rPr>
          <w:rFonts w:ascii="Palatino Linotype" w:hAnsi="Palatino Linotype"/>
          <w:b/>
          <w:bCs/>
          <w:color w:val="000000" w:themeColor="text1"/>
        </w:rPr>
        <w:t xml:space="preserve">“Aviso de movimiento de Baja del ISSEMyM” </w:t>
      </w:r>
      <w:r w:rsidRPr="009E2C08">
        <w:rPr>
          <w:rFonts w:ascii="Palatino Linotype" w:hAnsi="Palatino Linotype"/>
          <w:color w:val="000000" w:themeColor="text1"/>
        </w:rPr>
        <w:t>de la persona referida en la solicitud de información</w:t>
      </w:r>
      <w:r w:rsidRPr="009E2C08">
        <w:rPr>
          <w:rFonts w:ascii="Palatino Linotype" w:eastAsia="Calibri" w:hAnsi="Palatino Linotype" w:cs="Arial"/>
          <w:color w:val="000000" w:themeColor="text1"/>
          <w:lang w:val="es-ES"/>
        </w:rPr>
        <w:t xml:space="preserve">, documento </w:t>
      </w:r>
      <w:r w:rsidR="00D4174A" w:rsidRPr="009E2C08">
        <w:rPr>
          <w:rFonts w:ascii="Palatino Linotype" w:eastAsia="Calibri" w:hAnsi="Palatino Linotype" w:cs="Arial"/>
          <w:color w:val="000000" w:themeColor="text1"/>
          <w:lang w:val="es-ES"/>
        </w:rPr>
        <w:t xml:space="preserve">que satisface </w:t>
      </w:r>
      <w:r w:rsidR="00E3161D" w:rsidRPr="009E2C08">
        <w:rPr>
          <w:rFonts w:ascii="Palatino Linotype" w:eastAsia="Calibri" w:hAnsi="Palatino Linotype" w:cs="Arial"/>
          <w:color w:val="000000" w:themeColor="text1"/>
          <w:lang w:val="es-ES"/>
        </w:rPr>
        <w:t xml:space="preserve">y colma </w:t>
      </w:r>
      <w:r w:rsidR="00D4174A" w:rsidRPr="009E2C08">
        <w:rPr>
          <w:rFonts w:ascii="Palatino Linotype" w:eastAsia="Calibri" w:hAnsi="Palatino Linotype" w:cs="Arial"/>
          <w:color w:val="000000" w:themeColor="text1"/>
          <w:lang w:val="es-ES"/>
        </w:rPr>
        <w:t>el requerimiento de</w:t>
      </w:r>
      <w:r w:rsidRPr="009E2C08">
        <w:rPr>
          <w:rFonts w:ascii="Palatino Linotype" w:eastAsia="Calibri" w:hAnsi="Palatino Linotype" w:cs="Arial"/>
          <w:color w:val="000000" w:themeColor="text1"/>
          <w:lang w:val="es-ES"/>
        </w:rPr>
        <w:t>l</w:t>
      </w:r>
      <w:r w:rsidR="00542C55" w:rsidRPr="009E2C08">
        <w:rPr>
          <w:rFonts w:ascii="Palatino Linotype" w:eastAsia="Calibri" w:hAnsi="Palatino Linotype" w:cs="Arial"/>
          <w:color w:val="000000" w:themeColor="text1"/>
          <w:lang w:val="es-ES"/>
        </w:rPr>
        <w:t xml:space="preserve"> </w:t>
      </w:r>
      <w:r w:rsidR="00C874CB" w:rsidRPr="009E2C08">
        <w:rPr>
          <w:rFonts w:ascii="Palatino Linotype" w:eastAsia="Calibri" w:hAnsi="Palatino Linotype" w:cs="Arial"/>
          <w:color w:val="000000" w:themeColor="text1"/>
          <w:lang w:val="es-ES"/>
        </w:rPr>
        <w:t>Particular.</w:t>
      </w:r>
    </w:p>
    <w:p w14:paraId="7C1CA0AB" w14:textId="77777777" w:rsidR="00740A53" w:rsidRPr="009E2C08" w:rsidRDefault="00740A53" w:rsidP="0059365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D119D6A" w14:textId="3110D018" w:rsidR="008E0416" w:rsidRPr="009E2C08" w:rsidRDefault="005A638B" w:rsidP="008E04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En este sentido</w:t>
      </w:r>
      <w:r w:rsidR="006260F0" w:rsidRPr="009E2C08">
        <w:rPr>
          <w:rFonts w:ascii="Palatino Linotype" w:eastAsia="Calibri" w:hAnsi="Palatino Linotype" w:cs="Arial"/>
          <w:color w:val="000000" w:themeColor="text1"/>
          <w:lang w:val="es-ES"/>
        </w:rPr>
        <w:t xml:space="preserve">, </w:t>
      </w:r>
      <w:r w:rsidR="00622BF6" w:rsidRPr="009E2C08">
        <w:rPr>
          <w:rFonts w:ascii="Palatino Linotype" w:hAnsi="Palatino Linotype" w:cs="Arial"/>
          <w:bCs/>
        </w:rPr>
        <w:t xml:space="preserve">es dable sostener que, al haber existido un pronunciamiento por parte del </w:t>
      </w:r>
      <w:r w:rsidR="00622BF6" w:rsidRPr="009E2C08">
        <w:rPr>
          <w:rFonts w:ascii="Palatino Linotype" w:hAnsi="Palatino Linotype" w:cs="Arial"/>
          <w:b/>
          <w:bCs/>
        </w:rPr>
        <w:t>SUJETO OBLIGADO</w:t>
      </w:r>
      <w:r w:rsidR="00622BF6" w:rsidRPr="009E2C08">
        <w:rPr>
          <w:rFonts w:ascii="Palatino Linotype" w:hAnsi="Palatino Linotype" w:cs="Arial"/>
          <w:bCs/>
        </w:rPr>
        <w:t xml:space="preserve">, este Instituto no está facultado para manifestarse sobre la veracidad </w:t>
      </w:r>
      <w:r w:rsidR="00C40D47" w:rsidRPr="009E2C08">
        <w:rPr>
          <w:rFonts w:ascii="Palatino Linotype" w:hAnsi="Palatino Linotype" w:cs="Arial"/>
          <w:bCs/>
        </w:rPr>
        <w:t>de este</w:t>
      </w:r>
      <w:r w:rsidR="00622BF6" w:rsidRPr="009E2C08">
        <w:rPr>
          <w:rFonts w:ascii="Palatino Linotype" w:hAnsi="Palatino Linotype" w:cs="Arial"/>
          <w:bCs/>
        </w:rPr>
        <w:t>, pues no existe precepto legal alguno en la Ley de la materia que lo faculte para que, vía recurso de revisión, pueda pronunciarse al respecto.</w:t>
      </w:r>
    </w:p>
    <w:p w14:paraId="5E78138C" w14:textId="77777777" w:rsidR="00565511" w:rsidRPr="009E2C08" w:rsidRDefault="00565511" w:rsidP="0056551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A9AD9F5" w14:textId="3011F599" w:rsidR="00622BF6" w:rsidRPr="009E2C08" w:rsidRDefault="00622BF6" w:rsidP="00622BF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hAnsi="Palatino Linotype" w:cs="Arial"/>
          <w:bCs/>
          <w:lang w:val="es-ES"/>
        </w:rPr>
        <w:t xml:space="preserve">Sirve de apoyo </w:t>
      </w:r>
      <w:r w:rsidR="008E0416" w:rsidRPr="009E2C08">
        <w:rPr>
          <w:rFonts w:ascii="Palatino Linotype" w:hAnsi="Palatino Linotype" w:cs="Arial"/>
          <w:bCs/>
          <w:lang w:val="es-ES"/>
        </w:rPr>
        <w:t xml:space="preserve">a lo anterior, </w:t>
      </w:r>
      <w:r w:rsidR="008E0416" w:rsidRPr="009E2C08">
        <w:rPr>
          <w:rFonts w:ascii="Palatino Linotype" w:hAnsi="Palatino Linotype" w:cs="Arial"/>
          <w:bCs/>
        </w:rPr>
        <w:t>por analogía el criterio 31-10 emitido por el entonces Instituto Federal de Acceso a la Información ahora Instituto Nacional de Transparencia, Acceso a la Información y Protección de Datos Personales (INAI) que a la letra dice:</w:t>
      </w:r>
    </w:p>
    <w:p w14:paraId="1D4D3C8B" w14:textId="77777777" w:rsidR="008E0416" w:rsidRPr="009E2C08" w:rsidRDefault="008E0416" w:rsidP="00E3161D">
      <w:pPr>
        <w:tabs>
          <w:tab w:val="left" w:pos="709"/>
        </w:tabs>
        <w:ind w:left="567" w:right="565"/>
        <w:jc w:val="both"/>
        <w:rPr>
          <w:rFonts w:ascii="Palatino Linotype" w:hAnsi="Palatino Linotype" w:cs="Arial"/>
          <w:b/>
          <w:bCs/>
          <w:i/>
          <w:sz w:val="22"/>
        </w:rPr>
      </w:pPr>
      <w:r w:rsidRPr="009E2C08">
        <w:rPr>
          <w:rFonts w:ascii="Palatino Linotype" w:hAnsi="Palatino Linotype" w:cs="Arial"/>
          <w:b/>
          <w:bCs/>
          <w:i/>
          <w:sz w:val="22"/>
        </w:rPr>
        <w:t>“El Instituto Federal de Acceso a la Información y Protección de Datos no cuenta con facultades para pronunciarse respecto de la veracidad de los documentos proporcionados por los sujetos obligados</w:t>
      </w:r>
      <w:r w:rsidRPr="009E2C08">
        <w:rPr>
          <w:rFonts w:ascii="Palatino Linotype" w:hAnsi="Palatino Linotype" w:cs="Arial"/>
          <w:bCs/>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w:t>
      </w:r>
      <w:r w:rsidRPr="009E2C08">
        <w:rPr>
          <w:rFonts w:ascii="Palatino Linotype" w:hAnsi="Palatino Linotype" w:cs="Arial"/>
          <w:bCs/>
          <w:i/>
          <w:sz w:val="22"/>
        </w:rPr>
        <w:lastRenderedPageBreak/>
        <w:t>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9E2C08">
        <w:rPr>
          <w:rFonts w:ascii="Palatino Linotype" w:hAnsi="Palatino Linotype" w:cs="Arial"/>
          <w:b/>
          <w:bCs/>
          <w:i/>
          <w:sz w:val="22"/>
        </w:rPr>
        <w:t>”</w:t>
      </w:r>
    </w:p>
    <w:p w14:paraId="7AFF74B6" w14:textId="77777777" w:rsidR="008E0416" w:rsidRPr="009E2C08" w:rsidRDefault="008E0416" w:rsidP="00696B12">
      <w:pPr>
        <w:rPr>
          <w:rFonts w:ascii="Palatino Linotype" w:eastAsia="Calibri" w:hAnsi="Palatino Linotype" w:cs="Arial"/>
          <w:color w:val="000000" w:themeColor="text1"/>
          <w:lang w:val="es-ES"/>
        </w:rPr>
      </w:pPr>
    </w:p>
    <w:p w14:paraId="24BCD336" w14:textId="36A97A82" w:rsidR="008E0416" w:rsidRPr="009E2C08" w:rsidRDefault="008E0416" w:rsidP="00622BF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Así, </w:t>
      </w:r>
      <w:r w:rsidRPr="009E2C08">
        <w:rPr>
          <w:rFonts w:ascii="Palatino Linotype" w:eastAsia="Calibri" w:hAnsi="Palatino Linotype" w:cs="Times New Roman"/>
        </w:rPr>
        <w:t xml:space="preserve">este Pleno advierte que el </w:t>
      </w:r>
      <w:r w:rsidRPr="009E2C08">
        <w:rPr>
          <w:rFonts w:ascii="Palatino Linotype" w:eastAsia="Calibri" w:hAnsi="Palatino Linotype" w:cs="Times New Roman"/>
          <w:b/>
        </w:rPr>
        <w:t>SUJETO OBLIGADO</w:t>
      </w:r>
      <w:r w:rsidRPr="009E2C08">
        <w:rPr>
          <w:rFonts w:ascii="Palatino Linotype" w:eastAsia="Calibri" w:hAnsi="Palatino Linotype" w:cs="Times New Roman"/>
        </w:rPr>
        <w:t xml:space="preserve"> con la información enviada a través del informe de justificación,</w:t>
      </w:r>
      <w:r w:rsidR="00D23DF9" w:rsidRPr="009E2C08">
        <w:rPr>
          <w:rFonts w:ascii="Palatino Linotype" w:eastAsia="Calibri" w:hAnsi="Palatino Linotype" w:cs="Times New Roman"/>
        </w:rPr>
        <w:t xml:space="preserve"> se</w:t>
      </w:r>
      <w:r w:rsidRPr="009E2C08">
        <w:rPr>
          <w:rFonts w:ascii="Palatino Linotype" w:eastAsia="Calibri" w:hAnsi="Palatino Linotype" w:cs="Times New Roman"/>
        </w:rPr>
        <w:t xml:space="preserve"> </w:t>
      </w:r>
      <w:r w:rsidRPr="009E2C08">
        <w:rPr>
          <w:rFonts w:ascii="Palatino Linotype" w:eastAsia="Calibri" w:hAnsi="Palatino Linotype" w:cs="Times New Roman"/>
          <w:b/>
        </w:rPr>
        <w:t>modifica</w:t>
      </w:r>
      <w:r w:rsidRPr="009E2C08">
        <w:rPr>
          <w:rFonts w:ascii="Palatino Linotype" w:eastAsia="Calibri" w:hAnsi="Palatino Linotype" w:cs="Times New Roman"/>
        </w:rPr>
        <w:t xml:space="preserve"> el acto que le dio origen al recurso de revisión, lo que trae como consecuencia que el mismo quede sin materia, actualizándose de este modo, la hipótesis jurídica contenida en la fracción III del citado artículo.</w:t>
      </w:r>
    </w:p>
    <w:p w14:paraId="71AA0693" w14:textId="77777777" w:rsidR="008E0416" w:rsidRPr="009E2C08" w:rsidRDefault="008E0416" w:rsidP="008E04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3F736E6" w14:textId="7B2F4268" w:rsidR="008E0416" w:rsidRPr="009E2C08" w:rsidRDefault="008E0416" w:rsidP="00622BF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Ahora bien, </w:t>
      </w:r>
      <w:r w:rsidRPr="009E2C08">
        <w:rPr>
          <w:rFonts w:ascii="Palatino Linotype" w:eastAsia="Calibri" w:hAnsi="Palatino Linotype" w:cs="Times New Roman"/>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007842FC" w:rsidRPr="009E2C08">
        <w:rPr>
          <w:rFonts w:ascii="Palatino Linotype" w:eastAsia="Calibri" w:hAnsi="Palatino Linotype" w:cs="Times New Roman"/>
          <w:bCs/>
        </w:rPr>
        <w:t>Sujetos Obligados</w:t>
      </w:r>
      <w:r w:rsidRPr="009E2C08">
        <w:rPr>
          <w:rFonts w:ascii="Palatino Linotype" w:eastAsia="Calibri" w:hAnsi="Palatino Linotype" w:cs="Times New Roman"/>
        </w:rPr>
        <w:t xml:space="preserve"> o la negativa de entrega de la misma, derivada de la solicitud de información pública.</w:t>
      </w:r>
    </w:p>
    <w:p w14:paraId="64C69BD1" w14:textId="77777777" w:rsidR="008E0416" w:rsidRPr="009E2C08" w:rsidRDefault="008E0416" w:rsidP="00740A53">
      <w:pPr>
        <w:rPr>
          <w:rFonts w:ascii="Palatino Linotype" w:eastAsia="Calibri" w:hAnsi="Palatino Linotype" w:cs="Arial"/>
          <w:color w:val="000000" w:themeColor="text1"/>
          <w:lang w:val="es-ES"/>
        </w:rPr>
      </w:pPr>
    </w:p>
    <w:p w14:paraId="22CB1A8F" w14:textId="2648D4E4" w:rsidR="008E0416" w:rsidRPr="009E2C08" w:rsidRDefault="008E0416" w:rsidP="00622BF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De </w:t>
      </w:r>
      <w:r w:rsidRPr="009E2C08">
        <w:rPr>
          <w:rFonts w:ascii="Palatino Linotype" w:eastAsia="Calibri" w:hAnsi="Palatino Linotype" w:cs="Times New Roman"/>
        </w:rPr>
        <w:t xml:space="preserve">este modo, cuando el </w:t>
      </w:r>
      <w:r w:rsidRPr="009E2C08">
        <w:rPr>
          <w:rFonts w:ascii="Palatino Linotype" w:eastAsia="Calibri" w:hAnsi="Palatino Linotype" w:cs="Times New Roman"/>
          <w:b/>
        </w:rPr>
        <w:t xml:space="preserve">SUJETO OBLIGADO, </w:t>
      </w:r>
      <w:r w:rsidRPr="009E2C08">
        <w:rPr>
          <w:rFonts w:ascii="Palatino Linotype" w:eastAsia="Calibri" w:hAnsi="Palatino Linotype" w:cs="Times New Roman"/>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w:t>
      </w:r>
      <w:r w:rsidRPr="009E2C08">
        <w:rPr>
          <w:rFonts w:ascii="Palatino Linotype" w:eastAsia="Calibri" w:hAnsi="Palatino Linotype" w:cs="Times New Roman"/>
        </w:rPr>
        <w:lastRenderedPageBreak/>
        <w:t xml:space="preserve">estudio de fondo de la </w:t>
      </w:r>
      <w:r w:rsidRPr="009E2C08">
        <w:rPr>
          <w:rFonts w:ascii="Palatino Linotype" w:eastAsia="Calibri" w:hAnsi="Palatino Linotype" w:cs="Times New Roman"/>
          <w:i/>
        </w:rPr>
        <w:t>litis</w:t>
      </w:r>
      <w:r w:rsidRPr="009E2C08">
        <w:rPr>
          <w:rFonts w:ascii="Palatino Linotype" w:eastAsia="Calibri" w:hAnsi="Palatino Linotype" w:cs="Times New Roman"/>
        </w:rPr>
        <w:t xml:space="preserve"> planteada, debido a que la afectación en su esfera de derechos fue restituida por la propia autoridad que emitió el acto motivo de impugnación.</w:t>
      </w:r>
    </w:p>
    <w:p w14:paraId="531BFC61" w14:textId="77777777" w:rsidR="008E0416" w:rsidRPr="009E2C08" w:rsidRDefault="008E0416" w:rsidP="00653321">
      <w:pPr>
        <w:rPr>
          <w:rFonts w:ascii="Palatino Linotype" w:eastAsia="Calibri" w:hAnsi="Palatino Linotype" w:cs="Arial"/>
          <w:color w:val="000000" w:themeColor="text1"/>
          <w:lang w:val="es-ES"/>
        </w:rPr>
      </w:pPr>
    </w:p>
    <w:p w14:paraId="6720901B" w14:textId="5FB3A0D6" w:rsidR="008E0416" w:rsidRPr="009E2C08" w:rsidRDefault="008E0416" w:rsidP="0065332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Sirve </w:t>
      </w:r>
      <w:r w:rsidRPr="009E2C08">
        <w:rPr>
          <w:rFonts w:ascii="Palatino Linotype" w:eastAsia="Calibri" w:hAnsi="Palatino Linotype" w:cs="Times New Roman"/>
        </w:rPr>
        <w:t>de sustento a lo anterior la siguiente jurisprudencia por contradicción, cuyo rubro, texto y datos de identificación son los siguientes:</w:t>
      </w:r>
    </w:p>
    <w:p w14:paraId="7E142D73" w14:textId="34FBEC65" w:rsidR="008E0416" w:rsidRPr="009E2C08" w:rsidRDefault="008E0416" w:rsidP="00653321">
      <w:pPr>
        <w:pStyle w:val="Prrafodelista"/>
        <w:tabs>
          <w:tab w:val="left" w:pos="426"/>
          <w:tab w:val="left" w:pos="567"/>
        </w:tabs>
        <w:ind w:left="567" w:right="565"/>
        <w:jc w:val="both"/>
        <w:rPr>
          <w:rFonts w:ascii="Palatino Linotype" w:eastAsia="Calibri" w:hAnsi="Palatino Linotype" w:cs="Arial"/>
          <w:color w:val="000000" w:themeColor="text1"/>
          <w:sz w:val="22"/>
          <w:lang w:val="es-ES"/>
        </w:rPr>
      </w:pPr>
      <w:r w:rsidRPr="009E2C08">
        <w:rPr>
          <w:rFonts w:ascii="Palatino Linotype" w:eastAsia="Calibri" w:hAnsi="Palatino Linotype" w:cs="Times New Roman"/>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9E2C08">
        <w:rPr>
          <w:rFonts w:ascii="Palatino Linotype" w:eastAsia="Calibri" w:hAnsi="Palatino Linotype" w:cs="Times New Roman"/>
          <w:i/>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02F12188" w14:textId="77777777" w:rsidR="008E0416" w:rsidRPr="009E2C08" w:rsidRDefault="008E0416" w:rsidP="00653321">
      <w:pPr>
        <w:rPr>
          <w:rFonts w:ascii="Palatino Linotype" w:eastAsia="Calibri" w:hAnsi="Palatino Linotype" w:cs="Arial"/>
          <w:color w:val="000000" w:themeColor="text1"/>
          <w:sz w:val="22"/>
          <w:lang w:val="es-ES"/>
        </w:rPr>
      </w:pPr>
    </w:p>
    <w:p w14:paraId="41646679" w14:textId="13A15724" w:rsidR="008E0416" w:rsidRPr="009E2C08" w:rsidRDefault="008E0416" w:rsidP="008E04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La </w:t>
      </w:r>
      <w:r w:rsidRPr="009E2C08">
        <w:rPr>
          <w:rFonts w:ascii="Palatino Linotype" w:eastAsia="Calibri" w:hAnsi="Palatino Linotype" w:cs="Times New Roman"/>
        </w:rPr>
        <w:t xml:space="preserve">anterior jurisprudencia resulta aplicable al presente asunto, en dos aspectos: </w:t>
      </w:r>
    </w:p>
    <w:p w14:paraId="0FBFE52D" w14:textId="77777777" w:rsidR="008E0416" w:rsidRPr="009E2C08" w:rsidRDefault="008E0416" w:rsidP="008E0416">
      <w:pPr>
        <w:pStyle w:val="Prrafodelista"/>
        <w:tabs>
          <w:tab w:val="left" w:pos="426"/>
          <w:tab w:val="left" w:pos="567"/>
        </w:tabs>
        <w:spacing w:line="360" w:lineRule="auto"/>
        <w:ind w:left="0"/>
        <w:jc w:val="both"/>
        <w:rPr>
          <w:rFonts w:ascii="Palatino Linotype" w:eastAsia="Calibri" w:hAnsi="Palatino Linotype" w:cs="Times New Roman"/>
        </w:rPr>
      </w:pPr>
    </w:p>
    <w:p w14:paraId="6AEC8905" w14:textId="77777777" w:rsidR="008E0416" w:rsidRPr="009E2C08" w:rsidRDefault="008E0416" w:rsidP="00653321">
      <w:pPr>
        <w:numPr>
          <w:ilvl w:val="0"/>
          <w:numId w:val="7"/>
        </w:numPr>
        <w:ind w:left="567" w:right="616" w:firstLine="0"/>
        <w:contextualSpacing/>
        <w:jc w:val="both"/>
        <w:rPr>
          <w:rFonts w:ascii="Palatino Linotype" w:eastAsia="Calibri" w:hAnsi="Palatino Linotype"/>
          <w:sz w:val="22"/>
        </w:rPr>
      </w:pPr>
      <w:r w:rsidRPr="009E2C08">
        <w:rPr>
          <w:rFonts w:ascii="Palatino Linotype" w:eastAsia="Calibri" w:hAnsi="Palatino Linotype"/>
          <w:b/>
          <w:sz w:val="22"/>
        </w:rPr>
        <w:lastRenderedPageBreak/>
        <w:t>La cesación de los efectos perniciosos del acto de autoridad:</w:t>
      </w:r>
      <w:r w:rsidRPr="009E2C08">
        <w:rPr>
          <w:rFonts w:ascii="Palatino Linotype" w:eastAsia="Calibri" w:hAnsi="Palatino Linotype"/>
          <w:sz w:val="22"/>
        </w:rPr>
        <w:t xml:space="preserve"> Al respecto, la Ley de Transparencia contempla la figura jurídica del sobreseimiento cuando el </w:t>
      </w:r>
      <w:r w:rsidRPr="009E2C08">
        <w:rPr>
          <w:rFonts w:ascii="Palatino Linotype" w:eastAsia="Calibri" w:hAnsi="Palatino Linotype"/>
          <w:b/>
          <w:sz w:val="22"/>
        </w:rPr>
        <w:t>SUJETO OBLIGADO</w:t>
      </w:r>
      <w:r w:rsidRPr="009E2C08">
        <w:rPr>
          <w:rFonts w:ascii="Palatino Linotype" w:eastAsia="Calibri" w:hAnsi="Palatino Linotype"/>
          <w:sz w:val="22"/>
        </w:rPr>
        <w:t xml:space="preserve"> de </w:t>
      </w:r>
      <w:r w:rsidRPr="009E2C08">
        <w:rPr>
          <w:rFonts w:ascii="Palatino Linotype" w:eastAsia="Calibri" w:hAnsi="Palatino Linotype"/>
          <w:i/>
          <w:sz w:val="22"/>
        </w:rPr>
        <w:t>motu proprio</w:t>
      </w:r>
      <w:r w:rsidRPr="009E2C08">
        <w:rPr>
          <w:rFonts w:ascii="Palatino Linotype" w:eastAsia="Calibri" w:hAnsi="Palatino Linotype"/>
          <w:sz w:val="22"/>
        </w:rPr>
        <w:t xml:space="preserve"> modifica o revoca de tal manera el acto motivo de la impugnación que lo deja sin materia; es decir, cesan los efectos de éste y el derecho de acceso a la información pública se encuentra satisfecho.</w:t>
      </w:r>
    </w:p>
    <w:p w14:paraId="0F516B3F" w14:textId="77777777" w:rsidR="008E0416" w:rsidRPr="009E2C08" w:rsidRDefault="008E0416" w:rsidP="00653321">
      <w:pPr>
        <w:ind w:left="567" w:right="616"/>
        <w:contextualSpacing/>
        <w:rPr>
          <w:rFonts w:ascii="Palatino Linotype" w:eastAsia="Calibri" w:hAnsi="Palatino Linotype"/>
          <w:sz w:val="22"/>
        </w:rPr>
      </w:pPr>
    </w:p>
    <w:p w14:paraId="3925C5AB" w14:textId="1250B6D3" w:rsidR="008E0416" w:rsidRPr="009E2C08" w:rsidRDefault="008E0416" w:rsidP="00653321">
      <w:pPr>
        <w:numPr>
          <w:ilvl w:val="0"/>
          <w:numId w:val="7"/>
        </w:numPr>
        <w:ind w:left="567" w:right="616" w:firstLine="0"/>
        <w:contextualSpacing/>
        <w:jc w:val="both"/>
        <w:rPr>
          <w:rFonts w:ascii="Palatino Linotype" w:eastAsia="Calibri" w:hAnsi="Palatino Linotype"/>
          <w:sz w:val="22"/>
        </w:rPr>
      </w:pPr>
      <w:r w:rsidRPr="009E2C08">
        <w:rPr>
          <w:rFonts w:ascii="Palatino Linotype" w:eastAsia="Calibri" w:hAnsi="Palatino Linotype"/>
          <w:b/>
          <w:sz w:val="22"/>
        </w:rPr>
        <w:t>El momento procesal para modificar el acto impugnado:</w:t>
      </w:r>
      <w:r w:rsidRPr="009E2C08">
        <w:rPr>
          <w:rFonts w:ascii="Palatino Linotype" w:eastAsia="Calibri" w:hAnsi="Palatino Linotype"/>
          <w:sz w:val="22"/>
        </w:rPr>
        <w:t xml:space="preserve"> Para que se actualice el sobreseimiento de un recurso de revisión, el </w:t>
      </w:r>
      <w:r w:rsidRPr="009E2C08">
        <w:rPr>
          <w:rFonts w:ascii="Palatino Linotype" w:eastAsia="Calibri" w:hAnsi="Palatino Linotype"/>
          <w:b/>
          <w:sz w:val="22"/>
        </w:rPr>
        <w:t>SUJETO OBLIGADO</w:t>
      </w:r>
      <w:r w:rsidRPr="009E2C08">
        <w:rPr>
          <w:rFonts w:ascii="Palatino Linotype" w:eastAsia="Calibri" w:hAnsi="Palatino Linotype"/>
          <w:sz w:val="22"/>
        </w:rPr>
        <w:t xml:space="preserve"> puede entregar o completar la información al momento de rendir su informe de justificación o </w:t>
      </w:r>
      <w:r w:rsidRPr="009E2C08">
        <w:rPr>
          <w:rFonts w:ascii="Palatino Linotype" w:eastAsia="Calibri" w:hAnsi="Palatino Linotype"/>
          <w:b/>
          <w:sz w:val="22"/>
        </w:rPr>
        <w:t>posteriormente</w:t>
      </w:r>
      <w:r w:rsidRPr="009E2C08">
        <w:rPr>
          <w:rFonts w:ascii="Palatino Linotype" w:eastAsia="Calibri" w:hAnsi="Palatino Linotype"/>
          <w:sz w:val="22"/>
        </w:rPr>
        <w:t xml:space="preserve"> a éste, siempre y cuando el Pleno del Instituto no haya dictado resolución definitiva.</w:t>
      </w:r>
    </w:p>
    <w:p w14:paraId="3D827200" w14:textId="77777777" w:rsidR="00846D80" w:rsidRPr="009E2C08" w:rsidRDefault="00846D80" w:rsidP="00846D80">
      <w:pPr>
        <w:spacing w:line="360" w:lineRule="auto"/>
        <w:ind w:right="616"/>
        <w:contextualSpacing/>
        <w:jc w:val="both"/>
        <w:rPr>
          <w:rFonts w:ascii="Palatino Linotype" w:eastAsia="Calibri" w:hAnsi="Palatino Linotype"/>
        </w:rPr>
      </w:pPr>
    </w:p>
    <w:p w14:paraId="41249A29" w14:textId="35E08B42" w:rsidR="002C26FE" w:rsidRPr="009E2C08" w:rsidRDefault="002C26FE" w:rsidP="002C26F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Eduardo Pallares, </w:t>
      </w:r>
      <w:r w:rsidRPr="009E2C08">
        <w:rPr>
          <w:rFonts w:ascii="Palatino Linotype" w:eastAsia="Calibri" w:hAnsi="Palatino Linotype" w:cs="Times New Roman"/>
        </w:rPr>
        <w:t xml:space="preserve">en su artículo </w:t>
      </w:r>
      <w:r w:rsidRPr="009E2C08">
        <w:rPr>
          <w:rFonts w:ascii="Palatino Linotype" w:eastAsia="Calibri" w:hAnsi="Palatino Linotype" w:cs="Times New Roman"/>
          <w:i/>
        </w:rPr>
        <w:t>“La caducidad y el sobreseimiento en el amparo”</w:t>
      </w:r>
      <w:r w:rsidRPr="009E2C08">
        <w:rPr>
          <w:rFonts w:ascii="Palatino Linotype" w:eastAsia="Calibri" w:hAnsi="Palatino Linotype" w:cs="Times New Roman"/>
        </w:rPr>
        <w:t xml:space="preserve">, cita la definición de Aguilera Paz, aduciendo que se </w:t>
      </w:r>
      <w:r w:rsidRPr="009E2C08">
        <w:rPr>
          <w:rFonts w:ascii="Palatino Linotype" w:eastAsia="Calibri" w:hAnsi="Palatino Linotype" w:cs="Times New Roman"/>
          <w:i/>
        </w:rPr>
        <w:t>“...entiende por sobreseimiento en el tecnicismo forense, el hecho de cesar en el procedimiento o curso de la causa, por no existir méritos bastantes para entrar en un juicio o para entablar la contienda judicial que debe ser objeto del mismo...”</w:t>
      </w:r>
      <w:r w:rsidRPr="009E2C08">
        <w:rPr>
          <w:rFonts w:ascii="Palatino Linotype" w:eastAsia="Calibri" w:hAnsi="Palatino Linotype" w:cs="Times New Roman"/>
        </w:rPr>
        <w:t xml:space="preserve">. </w:t>
      </w:r>
      <w:r w:rsidR="00836ADD" w:rsidRPr="009E2C08">
        <w:rPr>
          <w:rFonts w:ascii="Palatino Linotype" w:eastAsia="Calibri" w:hAnsi="Palatino Linotype" w:cs="Times New Roman"/>
        </w:rPr>
        <w:t>Asimismo,</w:t>
      </w:r>
      <w:r w:rsidRPr="009E2C08">
        <w:rPr>
          <w:rFonts w:ascii="Palatino Linotype" w:eastAsia="Calibri" w:hAnsi="Palatino Linotype" w:cs="Times New Roman"/>
        </w:rPr>
        <w:t xml:space="preserve"> señala que existe el sobreseimiento provisional y el definitivo</w:t>
      </w:r>
      <w:r w:rsidRPr="009E2C08">
        <w:rPr>
          <w:rFonts w:ascii="Palatino Linotype" w:eastAsia="Calibri" w:hAnsi="Palatino Linotype" w:cs="Times New Roman"/>
          <w:i/>
        </w:rPr>
        <w:t>: “...el definitivo es una verdadera sentencia que pone fin al juicio, y que una vez dictada, produce cosa juzgada, mientras que el provisorio tiene por efectos suspender la prosecución de la causa...”</w:t>
      </w:r>
    </w:p>
    <w:p w14:paraId="024B3554" w14:textId="77777777" w:rsidR="00653321" w:rsidRPr="009E2C08" w:rsidRDefault="00653321" w:rsidP="0065332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66A8A8A" w14:textId="28A0EA61" w:rsidR="002C26FE" w:rsidRPr="009E2C08" w:rsidRDefault="002C26FE" w:rsidP="008E04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Así, </w:t>
      </w:r>
      <w:r w:rsidRPr="009E2C08">
        <w:rPr>
          <w:rFonts w:ascii="Palatino Linotype" w:eastAsia="Calibri" w:hAnsi="Palatino Linotype" w:cs="Times New Roman"/>
        </w:rPr>
        <w:t xml:space="preserve">para la doctrina el sobreseimiento provoca que un procedimiento se suspenda o se resuelva en definitiva </w:t>
      </w:r>
      <w:r w:rsidRPr="009E2C08">
        <w:rPr>
          <w:rFonts w:ascii="Palatino Linotype" w:eastAsia="Calibri" w:hAnsi="Palatino Linotype" w:cs="Times New Roman"/>
          <w:b/>
        </w:rPr>
        <w:t xml:space="preserve">sin que se entre al estudio de los agravios o motivos de inconformidad. </w:t>
      </w:r>
      <w:r w:rsidRPr="009E2C08">
        <w:rPr>
          <w:rFonts w:ascii="Palatino Linotype" w:eastAsia="Calibri" w:hAnsi="Palatino Linotype" w:cs="Times New Roman"/>
        </w:rPr>
        <w:t>Este mismo criterio es compartido por el más alto tribunal del país en múltiples jurisprudencias, por lo que a continuación se agrega una de ellas que sirve como orientador en esta resolución:</w:t>
      </w:r>
    </w:p>
    <w:p w14:paraId="26546EC6" w14:textId="77777777" w:rsidR="002C26FE" w:rsidRPr="009E2C08" w:rsidRDefault="002C26FE" w:rsidP="00E3161D">
      <w:pPr>
        <w:ind w:left="567" w:right="565"/>
        <w:contextualSpacing/>
        <w:jc w:val="both"/>
        <w:rPr>
          <w:rFonts w:ascii="Palatino Linotype" w:eastAsia="Calibri" w:hAnsi="Palatino Linotype"/>
          <w:i/>
          <w:sz w:val="22"/>
          <w:lang w:val="es-AR"/>
        </w:rPr>
      </w:pPr>
      <w:r w:rsidRPr="009E2C08">
        <w:rPr>
          <w:rFonts w:ascii="Palatino Linotype" w:eastAsia="Calibri" w:hAnsi="Palatino Linotype"/>
          <w:b/>
          <w:i/>
          <w:sz w:val="22"/>
          <w:lang w:val="es-AR"/>
        </w:rPr>
        <w:lastRenderedPageBreak/>
        <w:t>SOBRESEIMIENTO EN EL JUICIO DE AMPARO DIRECTO. IMPIDE EL ESTUDIO DE LAS VIOLACIONES PROCESALES PLANTEADAS EN LOS CONCEPTOS DE VIOLACIÓN. El sobreseimiento</w:t>
      </w:r>
      <w:r w:rsidRPr="009E2C08">
        <w:rPr>
          <w:rFonts w:ascii="Palatino Linotype" w:eastAsia="Calibri" w:hAnsi="Palatino Linotype"/>
          <w:i/>
          <w:sz w:val="22"/>
          <w:lang w:val="es-AR"/>
        </w:rPr>
        <w:t xml:space="preserve"> en el juicio de amparo directo </w:t>
      </w:r>
      <w:r w:rsidRPr="009E2C08">
        <w:rPr>
          <w:rFonts w:ascii="Palatino Linotype" w:eastAsia="Calibri" w:hAnsi="Palatino Linotype"/>
          <w:b/>
          <w:i/>
          <w:sz w:val="22"/>
          <w:lang w:val="es-AR"/>
        </w:rPr>
        <w:t>provoca la terminación de la controversia planteada</w:t>
      </w:r>
      <w:r w:rsidRPr="009E2C08">
        <w:rPr>
          <w:rFonts w:ascii="Palatino Linotype" w:eastAsia="Calibri" w:hAnsi="Palatino Linotype"/>
          <w:i/>
          <w:sz w:val="22"/>
          <w:lang w:val="es-AR"/>
        </w:rPr>
        <w:t xml:space="preserve"> por el quejoso en la demanda de amparo</w:t>
      </w:r>
      <w:r w:rsidRPr="009E2C08">
        <w:rPr>
          <w:rFonts w:ascii="Palatino Linotype" w:eastAsia="Calibri" w:hAnsi="Palatino Linotype"/>
          <w:b/>
          <w:i/>
          <w:sz w:val="22"/>
          <w:lang w:val="es-AR"/>
        </w:rPr>
        <w:t>, sin hacer un pronunciamiento de fondo sobre la legalidad o ilegalidad de la sentencia reclamada</w:t>
      </w:r>
      <w:r w:rsidRPr="009E2C08">
        <w:rPr>
          <w:rFonts w:ascii="Palatino Linotype" w:eastAsia="Calibri" w:hAnsi="Palatino Linotype"/>
          <w:i/>
          <w:sz w:val="22"/>
          <w:lang w:val="es-AR"/>
        </w:rPr>
        <w:t xml:space="preserve">. </w:t>
      </w:r>
      <w:r w:rsidRPr="009E2C08">
        <w:rPr>
          <w:rFonts w:ascii="Palatino Linotype" w:eastAsia="Calibri" w:hAnsi="Palatino Linotype"/>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9E2C08">
        <w:rPr>
          <w:rFonts w:ascii="Palatino Linotype" w:eastAsia="Calibri" w:hAnsi="Palatino Linotype"/>
          <w:i/>
          <w:sz w:val="22"/>
          <w:lang w:val="es-AR"/>
        </w:rPr>
        <w:t>.</w:t>
      </w:r>
    </w:p>
    <w:p w14:paraId="102A6FB5" w14:textId="77777777" w:rsidR="002C26FE" w:rsidRPr="009E2C08" w:rsidRDefault="002C26FE" w:rsidP="00E3161D">
      <w:pPr>
        <w:ind w:left="567" w:right="565"/>
        <w:contextualSpacing/>
        <w:jc w:val="both"/>
        <w:rPr>
          <w:rFonts w:ascii="Palatino Linotype" w:eastAsia="Calibri" w:hAnsi="Palatino Linotype"/>
          <w:i/>
          <w:sz w:val="22"/>
          <w:lang w:val="es-AR"/>
        </w:rPr>
      </w:pPr>
      <w:r w:rsidRPr="009E2C08">
        <w:rPr>
          <w:rFonts w:ascii="Palatino Linotype" w:eastAsia="Calibri" w:hAnsi="Palatino Linotype"/>
          <w:i/>
          <w:sz w:val="22"/>
          <w:lang w:val="es-AR"/>
        </w:rPr>
        <w:t>SÉPTIMO TRIBUNAL COLEGIADO EN MATERIA CIVIL DEL PRIMER CIRCUITO.</w:t>
      </w:r>
    </w:p>
    <w:p w14:paraId="470C3B0F" w14:textId="77777777" w:rsidR="002C26FE" w:rsidRPr="009E2C08" w:rsidRDefault="002C26FE" w:rsidP="00E3161D">
      <w:pPr>
        <w:ind w:left="567" w:right="565"/>
        <w:contextualSpacing/>
        <w:jc w:val="both"/>
        <w:rPr>
          <w:rFonts w:ascii="Palatino Linotype" w:eastAsia="Calibri" w:hAnsi="Palatino Linotype"/>
          <w:b/>
          <w:i/>
          <w:sz w:val="22"/>
          <w:lang w:val="es-AR"/>
        </w:rPr>
      </w:pPr>
      <w:r w:rsidRPr="009E2C08">
        <w:rPr>
          <w:rFonts w:ascii="Palatino Linotype" w:eastAsia="Calibri" w:hAnsi="Palatino Linotype"/>
          <w:i/>
          <w:sz w:val="22"/>
          <w:lang w:val="es-AR"/>
        </w:rPr>
        <w:t>Amparo directo 699/2008. Mariana Leticia González Steele. 13 de noviembre de 2008. Unanimidad de votos. Ponente: Sara Judith Montalvo Trejo. Secretario: Arnulfo Mateos García.</w:t>
      </w:r>
    </w:p>
    <w:p w14:paraId="5D52F246" w14:textId="77777777" w:rsidR="002C26FE" w:rsidRPr="009E2C08" w:rsidRDefault="002C26FE" w:rsidP="00653321">
      <w:pPr>
        <w:rPr>
          <w:rFonts w:ascii="Palatino Linotype" w:eastAsia="Calibri" w:hAnsi="Palatino Linotype" w:cs="Arial"/>
          <w:color w:val="000000" w:themeColor="text1"/>
          <w:lang w:val="es-ES"/>
        </w:rPr>
      </w:pPr>
    </w:p>
    <w:p w14:paraId="4BE2F80D" w14:textId="54DFDCF6" w:rsidR="002C26FE" w:rsidRPr="009E2C08" w:rsidRDefault="002C26FE" w:rsidP="008E04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Consecuentemente, </w:t>
      </w:r>
      <w:r w:rsidRPr="009E2C08">
        <w:rPr>
          <w:rFonts w:ascii="Palatino Linotype" w:eastAsia="Calibri" w:hAnsi="Palatino Linotype" w:cs="Times New Roman"/>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2B2CA1C9" w14:textId="77777777" w:rsidR="00846D80" w:rsidRPr="009E2C08" w:rsidRDefault="00846D80" w:rsidP="00846D80">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8A173B0" w14:textId="362C90C0" w:rsidR="00846D80" w:rsidRPr="009E2C08" w:rsidRDefault="00CE3283" w:rsidP="008E04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Por otro lado, </w:t>
      </w:r>
      <w:r w:rsidR="0065550E" w:rsidRPr="009E2C08">
        <w:rPr>
          <w:rFonts w:ascii="Palatino Linotype" w:hAnsi="Palatino Linotype"/>
        </w:rPr>
        <w:t>es necesario resaltar que el recurso de revisión previsto en la Ley de la materia no es el medio para investigar y en su caso, sancionar a servidores públicos por la omisión de la entrega de información pública o en la atención a solicitudes de información</w:t>
      </w:r>
      <w:r w:rsidR="00CF403D" w:rsidRPr="009E2C08">
        <w:rPr>
          <w:rFonts w:ascii="Palatino Linotype" w:hAnsi="Palatino Linotype"/>
        </w:rPr>
        <w:t>.</w:t>
      </w:r>
    </w:p>
    <w:p w14:paraId="3D328519" w14:textId="77777777" w:rsidR="002C26FE" w:rsidRPr="009E2C08" w:rsidRDefault="002C26FE" w:rsidP="002C26F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C58DC09" w14:textId="23D09319" w:rsidR="0099101B" w:rsidRPr="009E2C08" w:rsidRDefault="002C26FE" w:rsidP="002C26F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Times New Roman"/>
        </w:rPr>
        <w:lastRenderedPageBreak/>
        <w:t xml:space="preserve">Bajo </w:t>
      </w:r>
      <w:r w:rsidRPr="009E2C08">
        <w:rPr>
          <w:rFonts w:ascii="Palatino Linotype" w:eastAsia="Calibri" w:hAnsi="Palatino Linotype" w:cs="Times New Roman"/>
          <w:lang w:val="es-CO"/>
        </w:rPr>
        <w:t xml:space="preserve">ese tenor y en términos del artículo 186 fracción I este Pleno determina el </w:t>
      </w:r>
      <w:r w:rsidRPr="009E2C08">
        <w:rPr>
          <w:rFonts w:ascii="Palatino Linotype" w:eastAsia="Calibri" w:hAnsi="Palatino Linotype" w:cs="Times New Roman"/>
          <w:b/>
          <w:lang w:val="es-CO"/>
        </w:rPr>
        <w:t xml:space="preserve">SOBRESEIMIENTO </w:t>
      </w:r>
      <w:r w:rsidRPr="009E2C08">
        <w:rPr>
          <w:rFonts w:ascii="Palatino Linotype" w:eastAsia="Calibri" w:hAnsi="Palatino Linotype" w:cs="Times New Roman"/>
          <w:lang w:val="es-CO"/>
        </w:rPr>
        <w:t>de</w:t>
      </w:r>
      <w:r w:rsidR="006D5007" w:rsidRPr="009E2C08">
        <w:rPr>
          <w:rFonts w:ascii="Palatino Linotype" w:eastAsia="Calibri" w:hAnsi="Palatino Linotype" w:cs="Times New Roman"/>
          <w:lang w:val="es-CO"/>
        </w:rPr>
        <w:t>l</w:t>
      </w:r>
      <w:r w:rsidRPr="009E2C08">
        <w:rPr>
          <w:rFonts w:ascii="Palatino Linotype" w:eastAsia="Calibri" w:hAnsi="Palatino Linotype" w:cs="Times New Roman"/>
          <w:lang w:val="es-CO"/>
        </w:rPr>
        <w:t xml:space="preserve"> presente recurso</w:t>
      </w:r>
      <w:r w:rsidR="006D5007" w:rsidRPr="009E2C08">
        <w:rPr>
          <w:rFonts w:ascii="Palatino Linotype" w:eastAsia="Calibri" w:hAnsi="Palatino Linotype" w:cs="Times New Roman"/>
          <w:lang w:val="es-CO"/>
        </w:rPr>
        <w:t xml:space="preserve"> </w:t>
      </w:r>
      <w:r w:rsidRPr="009E2C08">
        <w:rPr>
          <w:rFonts w:ascii="Palatino Linotype" w:eastAsia="Calibri" w:hAnsi="Palatino Linotype" w:cs="Times New Roman"/>
          <w:lang w:val="es-CO"/>
        </w:rPr>
        <w:t>de revisión, toda vez que la afectación al derecho de acceso a la información pública establecido constitucionalmente a favor de</w:t>
      </w:r>
      <w:r w:rsidR="009D1547" w:rsidRPr="009E2C08">
        <w:rPr>
          <w:rFonts w:ascii="Palatino Linotype" w:eastAsia="Calibri" w:hAnsi="Palatino Linotype" w:cs="Times New Roman"/>
          <w:lang w:val="es-CO"/>
        </w:rPr>
        <w:t xml:space="preserve"> </w:t>
      </w:r>
      <w:r w:rsidRPr="009E2C08">
        <w:rPr>
          <w:rFonts w:ascii="Palatino Linotype" w:eastAsia="Calibri" w:hAnsi="Palatino Linotype" w:cs="Times New Roman"/>
          <w:lang w:val="es-CO"/>
        </w:rPr>
        <w:t>l</w:t>
      </w:r>
      <w:r w:rsidR="009D1547" w:rsidRPr="009E2C08">
        <w:rPr>
          <w:rFonts w:ascii="Palatino Linotype" w:eastAsia="Calibri" w:hAnsi="Palatino Linotype" w:cs="Times New Roman"/>
          <w:lang w:val="es-CO"/>
        </w:rPr>
        <w:t>a</w:t>
      </w:r>
      <w:r w:rsidRPr="009E2C08">
        <w:rPr>
          <w:rFonts w:ascii="Palatino Linotype" w:eastAsia="Calibri" w:hAnsi="Palatino Linotype" w:cs="Times New Roman"/>
          <w:lang w:val="es-CO"/>
        </w:rPr>
        <w:t xml:space="preserve"> </w:t>
      </w:r>
      <w:r w:rsidR="00084282" w:rsidRPr="009E2C08">
        <w:rPr>
          <w:rFonts w:ascii="Palatino Linotype" w:eastAsia="Calibri" w:hAnsi="Palatino Linotype" w:cs="Times New Roman"/>
          <w:lang w:val="es-CO"/>
        </w:rPr>
        <w:t>Recurrente</w:t>
      </w:r>
      <w:r w:rsidRPr="009E2C08">
        <w:rPr>
          <w:rFonts w:ascii="Palatino Linotype" w:eastAsia="Calibri" w:hAnsi="Palatino Linotype" w:cs="Times New Roman"/>
          <w:lang w:val="es-CO"/>
        </w:rPr>
        <w:t xml:space="preserve"> ha sido resarcida.</w:t>
      </w:r>
      <w:bookmarkEnd w:id="33"/>
      <w:bookmarkEnd w:id="34"/>
      <w:bookmarkEnd w:id="35"/>
      <w:bookmarkEnd w:id="36"/>
    </w:p>
    <w:p w14:paraId="2A5E92FC" w14:textId="77777777" w:rsidR="0099101B" w:rsidRPr="009E2C08" w:rsidRDefault="0099101B" w:rsidP="0099101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E8740AD" w14:textId="5CB0A814" w:rsidR="00B65C65" w:rsidRPr="009E2C08" w:rsidRDefault="00F45BE1" w:rsidP="00B65C6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9E2C08">
        <w:rPr>
          <w:rFonts w:ascii="Palatino Linotype" w:eastAsia="Calibri" w:hAnsi="Palatino Linotype" w:cs="Arial"/>
          <w:color w:val="000000" w:themeColor="text1"/>
          <w:lang w:val="es-ES"/>
        </w:rPr>
        <w:t xml:space="preserve">Por lo anteriormente expuesto y fundado, este </w:t>
      </w:r>
      <w:r w:rsidRPr="009E2C08">
        <w:rPr>
          <w:rFonts w:ascii="Palatino Linotype" w:eastAsia="Calibri" w:hAnsi="Palatino Linotype" w:cs="Arial"/>
          <w:b/>
          <w:color w:val="000000" w:themeColor="text1"/>
          <w:lang w:val="es-ES"/>
        </w:rPr>
        <w:t>ÓRGANO GARANTE</w:t>
      </w:r>
      <w:r w:rsidRPr="009E2C08">
        <w:rPr>
          <w:rFonts w:ascii="Palatino Linotype" w:eastAsia="Calibri" w:hAnsi="Palatino Linotype" w:cs="Arial"/>
          <w:color w:val="000000" w:themeColor="text1"/>
          <w:lang w:val="es-ES"/>
        </w:rPr>
        <w:t xml:space="preserve"> emite los siguientes</w:t>
      </w:r>
      <w:r w:rsidR="00542C55" w:rsidRPr="009E2C08">
        <w:rPr>
          <w:rFonts w:ascii="Palatino Linotype" w:eastAsia="Calibri" w:hAnsi="Palatino Linotype" w:cs="Arial"/>
          <w:color w:val="000000" w:themeColor="text1"/>
          <w:lang w:val="es-ES"/>
        </w:rPr>
        <w:t>:</w:t>
      </w:r>
    </w:p>
    <w:p w14:paraId="26B85A57" w14:textId="77777777" w:rsidR="00C40D47" w:rsidRPr="009E2C08" w:rsidRDefault="00C40D47" w:rsidP="00542C5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57C9D40" w14:textId="039C309A" w:rsidR="00DF461F" w:rsidRPr="009E2C08" w:rsidRDefault="00DF461F" w:rsidP="00DF461F">
      <w:pPr>
        <w:pStyle w:val="Ttulo2"/>
        <w:tabs>
          <w:tab w:val="left" w:pos="0"/>
        </w:tabs>
        <w:spacing w:before="0" w:line="360" w:lineRule="auto"/>
        <w:jc w:val="center"/>
        <w:rPr>
          <w:rFonts w:ascii="Palatino Linotype" w:hAnsi="Palatino Linotype"/>
          <w:b/>
          <w:color w:val="auto"/>
          <w:sz w:val="24"/>
          <w:szCs w:val="24"/>
        </w:rPr>
      </w:pPr>
      <w:bookmarkStart w:id="37" w:name="_Toc88748494"/>
      <w:r w:rsidRPr="009E2C08">
        <w:rPr>
          <w:rFonts w:ascii="Palatino Linotype" w:hAnsi="Palatino Linotype"/>
          <w:b/>
          <w:color w:val="auto"/>
          <w:sz w:val="24"/>
          <w:szCs w:val="24"/>
          <w:lang w:val="es-ES"/>
        </w:rPr>
        <w:t>R E S O L U T I V O S</w:t>
      </w:r>
      <w:bookmarkEnd w:id="37"/>
    </w:p>
    <w:p w14:paraId="38056329" w14:textId="0EB0F390" w:rsidR="002C26FE" w:rsidRPr="009E2C08" w:rsidRDefault="002C26FE" w:rsidP="00DF461F">
      <w:pPr>
        <w:spacing w:line="360" w:lineRule="auto"/>
        <w:jc w:val="center"/>
        <w:rPr>
          <w:rFonts w:ascii="Palatino Linotype" w:hAnsi="Palatino Linotype"/>
          <w:lang w:val="es-ES"/>
        </w:rPr>
      </w:pPr>
    </w:p>
    <w:p w14:paraId="2E7CDDFA" w14:textId="556B2FA8" w:rsidR="002C26FE" w:rsidRPr="009E2C08" w:rsidRDefault="002C26FE" w:rsidP="00836ADD">
      <w:pPr>
        <w:pStyle w:val="Sinespaciado"/>
        <w:spacing w:line="360" w:lineRule="auto"/>
        <w:jc w:val="both"/>
        <w:rPr>
          <w:rFonts w:ascii="Palatino Linotype" w:hAnsi="Palatino Linotype"/>
        </w:rPr>
      </w:pPr>
      <w:r w:rsidRPr="009E2C08">
        <w:rPr>
          <w:rFonts w:ascii="Palatino Linotype" w:hAnsi="Palatino Linotype"/>
          <w:b/>
        </w:rPr>
        <w:t xml:space="preserve">PRIMERO. </w:t>
      </w:r>
      <w:r w:rsidRPr="009E2C08">
        <w:rPr>
          <w:rFonts w:ascii="Palatino Linotype" w:hAnsi="Palatino Linotype"/>
        </w:rPr>
        <w:t xml:space="preserve">Se </w:t>
      </w:r>
      <w:r w:rsidRPr="009E2C08">
        <w:rPr>
          <w:rFonts w:ascii="Palatino Linotype" w:hAnsi="Palatino Linotype"/>
          <w:b/>
        </w:rPr>
        <w:t>SOBRESEE</w:t>
      </w:r>
      <w:r w:rsidR="00B65C65" w:rsidRPr="009E2C08">
        <w:rPr>
          <w:rFonts w:ascii="Palatino Linotype" w:hAnsi="Palatino Linotype"/>
        </w:rPr>
        <w:t xml:space="preserve"> </w:t>
      </w:r>
      <w:r w:rsidR="006D5007" w:rsidRPr="009E2C08">
        <w:rPr>
          <w:rFonts w:ascii="Palatino Linotype" w:hAnsi="Palatino Linotype"/>
        </w:rPr>
        <w:t>el</w:t>
      </w:r>
      <w:r w:rsidRPr="009E2C08">
        <w:rPr>
          <w:rFonts w:ascii="Palatino Linotype" w:hAnsi="Palatino Linotype"/>
        </w:rPr>
        <w:t xml:space="preserve"> recurso de revisión número </w:t>
      </w:r>
      <w:r w:rsidR="00C40D47" w:rsidRPr="009E2C08">
        <w:rPr>
          <w:rFonts w:ascii="Palatino Linotype" w:hAnsi="Palatino Linotype"/>
          <w:b/>
        </w:rPr>
        <w:t>08593</w:t>
      </w:r>
      <w:r w:rsidRPr="009E2C08">
        <w:rPr>
          <w:rFonts w:ascii="Palatino Linotype" w:hAnsi="Palatino Linotype"/>
          <w:b/>
        </w:rPr>
        <w:t>/INFOEM/IP/RR/202</w:t>
      </w:r>
      <w:r w:rsidR="00C40D47" w:rsidRPr="009E2C08">
        <w:rPr>
          <w:rFonts w:ascii="Palatino Linotype" w:hAnsi="Palatino Linotype"/>
          <w:b/>
        </w:rPr>
        <w:t>3</w:t>
      </w:r>
      <w:r w:rsidR="009E2C08">
        <w:rPr>
          <w:rFonts w:ascii="Palatino Linotype" w:hAnsi="Palatino Linotype"/>
          <w:b/>
        </w:rPr>
        <w:t>,</w:t>
      </w:r>
      <w:r w:rsidR="00C40D47" w:rsidRPr="009E2C08">
        <w:rPr>
          <w:rFonts w:ascii="Palatino Linotype" w:hAnsi="Palatino Linotype"/>
          <w:b/>
        </w:rPr>
        <w:t xml:space="preserve"> </w:t>
      </w:r>
      <w:r w:rsidR="00D4174A" w:rsidRPr="009E2C08">
        <w:rPr>
          <w:rFonts w:ascii="Palatino Linotype" w:hAnsi="Palatino Linotype"/>
        </w:rPr>
        <w:t>conforme al artículo 192 fracción III de la Ley de Transparencia y Acceso a la Información Pública del Estado de México y Municipios,</w:t>
      </w:r>
      <w:r w:rsidRPr="009E2C08">
        <w:rPr>
          <w:rFonts w:ascii="Palatino Linotype" w:hAnsi="Palatino Linotype"/>
        </w:rPr>
        <w:t xml:space="preserve"> porque al </w:t>
      </w:r>
      <w:r w:rsidRPr="009E2C08">
        <w:rPr>
          <w:rFonts w:ascii="Palatino Linotype" w:hAnsi="Palatino Linotype"/>
          <w:b/>
        </w:rPr>
        <w:t>modificar la respuesta a través de</w:t>
      </w:r>
      <w:r w:rsidR="007C7F1D" w:rsidRPr="009E2C08">
        <w:rPr>
          <w:rFonts w:ascii="Palatino Linotype" w:hAnsi="Palatino Linotype"/>
          <w:b/>
        </w:rPr>
        <w:t>l</w:t>
      </w:r>
      <w:r w:rsidRPr="009E2C08">
        <w:rPr>
          <w:rFonts w:ascii="Palatino Linotype" w:hAnsi="Palatino Linotype"/>
          <w:b/>
        </w:rPr>
        <w:t xml:space="preserve"> informe justificado y atender lo solicitado,</w:t>
      </w:r>
      <w:r w:rsidRPr="009E2C08">
        <w:rPr>
          <w:rFonts w:ascii="Palatino Linotype" w:hAnsi="Palatino Linotype"/>
        </w:rPr>
        <w:t xml:space="preserve"> el recurso de revisión que</w:t>
      </w:r>
      <w:r w:rsidR="009E2C08">
        <w:rPr>
          <w:rFonts w:ascii="Palatino Linotype" w:hAnsi="Palatino Linotype"/>
        </w:rPr>
        <w:t>dó sin materia en términos del c</w:t>
      </w:r>
      <w:r w:rsidRPr="009E2C08">
        <w:rPr>
          <w:rFonts w:ascii="Palatino Linotype" w:hAnsi="Palatino Linotype"/>
        </w:rPr>
        <w:t xml:space="preserve">onsiderando </w:t>
      </w:r>
      <w:r w:rsidRPr="009E2C08">
        <w:rPr>
          <w:rFonts w:ascii="Palatino Linotype" w:hAnsi="Palatino Linotype"/>
          <w:b/>
        </w:rPr>
        <w:t>TERCERO</w:t>
      </w:r>
      <w:r w:rsidRPr="009E2C08">
        <w:rPr>
          <w:rFonts w:ascii="Palatino Linotype" w:hAnsi="Palatino Linotype"/>
        </w:rPr>
        <w:t xml:space="preserve"> de la presente resolución.</w:t>
      </w:r>
    </w:p>
    <w:p w14:paraId="075C99F6" w14:textId="77777777" w:rsidR="002C26FE" w:rsidRPr="009E2C08" w:rsidRDefault="002C26FE" w:rsidP="00836ADD">
      <w:pPr>
        <w:pStyle w:val="Sinespaciado"/>
        <w:spacing w:line="360" w:lineRule="auto"/>
        <w:jc w:val="both"/>
        <w:rPr>
          <w:rFonts w:ascii="Palatino Linotype" w:hAnsi="Palatino Linotype"/>
        </w:rPr>
      </w:pPr>
    </w:p>
    <w:p w14:paraId="068B398E" w14:textId="77777777" w:rsidR="002C26FE" w:rsidRPr="009E2C08" w:rsidRDefault="002C26FE" w:rsidP="00836ADD">
      <w:pPr>
        <w:pStyle w:val="Sinespaciado"/>
        <w:spacing w:line="360" w:lineRule="auto"/>
        <w:jc w:val="both"/>
        <w:rPr>
          <w:rFonts w:ascii="Palatino Linotype" w:eastAsia="Calibri" w:hAnsi="Palatino Linotype" w:cs="Arial"/>
          <w:b/>
          <w:bCs/>
          <w:lang w:val="es-ES"/>
        </w:rPr>
      </w:pPr>
      <w:r w:rsidRPr="009E2C08">
        <w:rPr>
          <w:rFonts w:ascii="Palatino Linotype" w:eastAsia="Calibri" w:hAnsi="Palatino Linotype" w:cs="Arial"/>
          <w:b/>
          <w:bCs/>
          <w:lang w:val="es-ES"/>
        </w:rPr>
        <w:t xml:space="preserve">SEGUNDO. REMÍTASE </w:t>
      </w:r>
      <w:r w:rsidRPr="009E2C08">
        <w:rPr>
          <w:rFonts w:ascii="Palatino Linotype" w:eastAsia="Calibri" w:hAnsi="Palatino Linotype" w:cs="Arial"/>
          <w:bCs/>
          <w:lang w:val="es-ES"/>
        </w:rPr>
        <w:t xml:space="preserve">a través del Sistema de Acceso a la Información Mexiquense </w:t>
      </w:r>
      <w:r w:rsidRPr="009E2C08">
        <w:rPr>
          <w:rFonts w:ascii="Palatino Linotype" w:eastAsia="Calibri" w:hAnsi="Palatino Linotype" w:cs="Arial"/>
          <w:b/>
          <w:bCs/>
          <w:lang w:val="es-ES"/>
        </w:rPr>
        <w:t xml:space="preserve">(SAIMEX) </w:t>
      </w:r>
      <w:r w:rsidRPr="009E2C08">
        <w:rPr>
          <w:rFonts w:ascii="Palatino Linotype" w:eastAsia="Calibri" w:hAnsi="Palatino Linotype" w:cs="Arial"/>
          <w:bCs/>
          <w:lang w:val="es-ES"/>
        </w:rPr>
        <w:t>la presente resolución al Titular de la Unidad de Transparencia del</w:t>
      </w:r>
      <w:r w:rsidRPr="009E2C08">
        <w:rPr>
          <w:rFonts w:ascii="Palatino Linotype" w:eastAsia="Calibri" w:hAnsi="Palatino Linotype" w:cs="Arial"/>
          <w:b/>
          <w:bCs/>
          <w:lang w:val="es-ES"/>
        </w:rPr>
        <w:t xml:space="preserve"> SUJETO OBLIGADO. </w:t>
      </w:r>
    </w:p>
    <w:p w14:paraId="262B9F21" w14:textId="77777777" w:rsidR="002C26FE" w:rsidRPr="009E2C08" w:rsidRDefault="002C26FE" w:rsidP="00836ADD">
      <w:pPr>
        <w:pStyle w:val="Sinespaciado"/>
        <w:spacing w:line="360" w:lineRule="auto"/>
        <w:jc w:val="both"/>
        <w:rPr>
          <w:rFonts w:ascii="Palatino Linotype" w:eastAsia="Palatino Linotype" w:hAnsi="Palatino Linotype" w:cs="Palatino Linotype"/>
          <w:b/>
        </w:rPr>
      </w:pPr>
    </w:p>
    <w:p w14:paraId="728484B6" w14:textId="1DDA8526" w:rsidR="002C26FE" w:rsidRPr="009E2C08" w:rsidRDefault="002C26FE" w:rsidP="00836ADD">
      <w:pPr>
        <w:pStyle w:val="Sinespaciado"/>
        <w:spacing w:line="360" w:lineRule="auto"/>
        <w:jc w:val="both"/>
        <w:rPr>
          <w:rFonts w:ascii="Palatino Linotype" w:eastAsia="Times New Roman" w:hAnsi="Palatino Linotype" w:cs="Times New Roman"/>
          <w:color w:val="222222"/>
          <w:lang w:val="es-ES" w:eastAsia="es-MX"/>
        </w:rPr>
      </w:pPr>
      <w:r w:rsidRPr="009E2C08">
        <w:rPr>
          <w:rFonts w:ascii="Palatino Linotype" w:eastAsia="Times New Roman" w:hAnsi="Palatino Linotype" w:cs="Arial"/>
          <w:b/>
        </w:rPr>
        <w:lastRenderedPageBreak/>
        <w:t xml:space="preserve">TERCERO. </w:t>
      </w:r>
      <w:r w:rsidRPr="009E2C08">
        <w:rPr>
          <w:rFonts w:ascii="Palatino Linotype" w:eastAsia="Times New Roman" w:hAnsi="Palatino Linotype" w:cs="Times New Roman"/>
          <w:b/>
          <w:bCs/>
          <w:lang w:val="es-ES"/>
        </w:rPr>
        <w:t xml:space="preserve">Notifíquese </w:t>
      </w:r>
      <w:r w:rsidR="00C40D47" w:rsidRPr="009E2C08">
        <w:rPr>
          <w:rFonts w:ascii="Palatino Linotype" w:eastAsia="Times New Roman" w:hAnsi="Palatino Linotype" w:cs="Times New Roman"/>
          <w:bCs/>
          <w:lang w:val="es-ES"/>
        </w:rPr>
        <w:t>al</w:t>
      </w:r>
      <w:r w:rsidRPr="009E2C08">
        <w:rPr>
          <w:rFonts w:ascii="Palatino Linotype" w:eastAsia="Times New Roman" w:hAnsi="Palatino Linotype" w:cs="Times New Roman"/>
          <w:bCs/>
          <w:lang w:val="es-ES"/>
        </w:rPr>
        <w:t xml:space="preserve"> </w:t>
      </w:r>
      <w:r w:rsidRPr="009E2C08">
        <w:rPr>
          <w:rFonts w:ascii="Palatino Linotype" w:eastAsia="Times New Roman" w:hAnsi="Palatino Linotype" w:cs="Times New Roman"/>
          <w:b/>
          <w:bCs/>
          <w:lang w:val="es-ES"/>
        </w:rPr>
        <w:t>RECURRENTE</w:t>
      </w:r>
      <w:r w:rsidRPr="009E2C08">
        <w:rPr>
          <w:rFonts w:ascii="Palatino Linotype" w:hAnsi="Palatino Linotype"/>
        </w:rPr>
        <w:t xml:space="preserve"> </w:t>
      </w:r>
      <w:r w:rsidRPr="009E2C08">
        <w:rPr>
          <w:rFonts w:ascii="Palatino Linotype" w:eastAsia="Times New Roman" w:hAnsi="Palatino Linotype" w:cs="Times New Roman"/>
          <w:lang w:val="es-ES" w:eastAsia="es-MX"/>
        </w:rPr>
        <w:t xml:space="preserve">la presente resolución, </w:t>
      </w:r>
      <w:r w:rsidRPr="009E2C08">
        <w:rPr>
          <w:rFonts w:ascii="Palatino Linotype" w:eastAsia="Calibri" w:hAnsi="Palatino Linotype" w:cs="Arial"/>
          <w:bCs/>
          <w:lang w:val="es-ES"/>
        </w:rPr>
        <w:t xml:space="preserve">a través del Sistema de Acceso a la Información Mexiquense </w:t>
      </w:r>
      <w:r w:rsidRPr="009E2C08">
        <w:rPr>
          <w:rFonts w:ascii="Palatino Linotype" w:eastAsia="Calibri" w:hAnsi="Palatino Linotype" w:cs="Arial"/>
          <w:b/>
          <w:bCs/>
          <w:lang w:val="es-ES"/>
        </w:rPr>
        <w:t>(SAIMEX)</w:t>
      </w:r>
      <w:r w:rsidR="00836ADD" w:rsidRPr="009E2C08">
        <w:rPr>
          <w:rFonts w:ascii="Palatino Linotype" w:eastAsia="Calibri" w:hAnsi="Palatino Linotype" w:cs="Arial"/>
          <w:b/>
          <w:bCs/>
          <w:lang w:val="es-ES"/>
        </w:rPr>
        <w:t>.</w:t>
      </w:r>
    </w:p>
    <w:p w14:paraId="60E41E25" w14:textId="77777777" w:rsidR="002C26FE" w:rsidRPr="009E2C08" w:rsidRDefault="002C26FE" w:rsidP="00836ADD">
      <w:pPr>
        <w:pStyle w:val="Sinespaciado"/>
        <w:spacing w:line="360" w:lineRule="auto"/>
        <w:jc w:val="both"/>
        <w:rPr>
          <w:rFonts w:ascii="Palatino Linotype" w:eastAsia="Times New Roman" w:hAnsi="Palatino Linotype" w:cs="Times New Roman"/>
          <w:color w:val="222222"/>
          <w:lang w:val="es-ES" w:eastAsia="es-MX"/>
        </w:rPr>
      </w:pPr>
    </w:p>
    <w:p w14:paraId="08F122D6" w14:textId="3DE8E691" w:rsidR="00CF403D" w:rsidRPr="009E2C08" w:rsidRDefault="002C26FE" w:rsidP="00836ADD">
      <w:pPr>
        <w:spacing w:line="360" w:lineRule="auto"/>
        <w:jc w:val="both"/>
        <w:rPr>
          <w:rFonts w:ascii="Palatino Linotype" w:eastAsia="MS Mincho" w:hAnsi="Palatino Linotype"/>
          <w:lang w:val="es-ES"/>
        </w:rPr>
      </w:pPr>
      <w:r w:rsidRPr="009E2C08">
        <w:rPr>
          <w:rFonts w:ascii="Palatino Linotype" w:eastAsia="MS Mincho" w:hAnsi="Palatino Linotype"/>
          <w:b/>
        </w:rPr>
        <w:t>CUARTO.</w:t>
      </w:r>
      <w:r w:rsidRPr="009E2C08">
        <w:rPr>
          <w:rFonts w:ascii="Palatino Linotype" w:eastAsia="MS Mincho" w:hAnsi="Palatino Linotype"/>
        </w:rPr>
        <w:t xml:space="preserve"> </w:t>
      </w:r>
      <w:r w:rsidRPr="009E2C08">
        <w:rPr>
          <w:rFonts w:ascii="Palatino Linotype" w:eastAsia="MS Mincho" w:hAnsi="Palatino Linotype"/>
          <w:lang w:val="es-ES"/>
        </w:rPr>
        <w:t>Se hace del conocimiento de</w:t>
      </w:r>
      <w:r w:rsidR="00C40D47" w:rsidRPr="009E2C08">
        <w:rPr>
          <w:rFonts w:ascii="Palatino Linotype" w:eastAsia="MS Mincho" w:hAnsi="Palatino Linotype"/>
          <w:lang w:val="es-ES"/>
        </w:rPr>
        <w:t>l</w:t>
      </w:r>
      <w:r w:rsidRPr="009E2C08">
        <w:rPr>
          <w:rFonts w:ascii="Palatino Linotype" w:eastAsia="MS Mincho" w:hAnsi="Palatino Linotype"/>
          <w:lang w:val="es-ES"/>
        </w:rPr>
        <w:t xml:space="preserve"> </w:t>
      </w:r>
      <w:r w:rsidRPr="009E2C08">
        <w:rPr>
          <w:rFonts w:ascii="Palatino Linotype" w:hAnsi="Palatino Linotype"/>
          <w:b/>
          <w:bCs/>
          <w:lang w:val="es-ES"/>
        </w:rPr>
        <w:t>RECURRENTE</w:t>
      </w:r>
      <w:r w:rsidRPr="009E2C08">
        <w:rPr>
          <w:rFonts w:ascii="Palatino Linotype" w:hAnsi="Palatino Linotype"/>
        </w:rPr>
        <w:t xml:space="preserve"> </w:t>
      </w:r>
      <w:r w:rsidRPr="009E2C08">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9E2C08">
        <w:rPr>
          <w:rFonts w:ascii="Palatino Linotype" w:eastAsia="MS Mincho" w:hAnsi="Palatino Linotype"/>
          <w:bCs/>
          <w:lang w:val="es-ES"/>
        </w:rPr>
        <w:t>vía juicio de amparo</w:t>
      </w:r>
      <w:r w:rsidRPr="009E2C08">
        <w:rPr>
          <w:rFonts w:ascii="Palatino Linotype" w:eastAsia="MS Mincho" w:hAnsi="Palatino Linotype"/>
          <w:lang w:val="es-ES"/>
        </w:rPr>
        <w:t> en los términos de las leyes aplicables.</w:t>
      </w:r>
    </w:p>
    <w:p w14:paraId="13B92E01" w14:textId="77777777" w:rsidR="002061CA" w:rsidRPr="009E2C08" w:rsidRDefault="002061CA" w:rsidP="00836ADD">
      <w:pPr>
        <w:spacing w:line="360" w:lineRule="auto"/>
        <w:jc w:val="both"/>
        <w:rPr>
          <w:rFonts w:ascii="Palatino Linotype" w:eastAsia="MS Mincho" w:hAnsi="Palatino Linotype"/>
          <w:lang w:val="es-ES"/>
        </w:rPr>
      </w:pPr>
    </w:p>
    <w:p w14:paraId="3A6D38FB" w14:textId="140A4A34" w:rsidR="009E2C08" w:rsidRPr="009E2C08" w:rsidRDefault="000E12A8" w:rsidP="009E2C08">
      <w:pPr>
        <w:spacing w:before="240" w:after="240" w:line="360" w:lineRule="auto"/>
        <w:ind w:firstLine="1"/>
        <w:jc w:val="both"/>
        <w:rPr>
          <w:rStyle w:val="Referenciasutil"/>
          <w:rFonts w:ascii="Palatino Linotype" w:hAnsi="Palatino Linotype"/>
          <w:color w:val="auto"/>
        </w:rPr>
      </w:pPr>
      <w:bookmarkStart w:id="38" w:name="_Hlk129792997"/>
      <w:bookmarkStart w:id="39" w:name="_GoBack"/>
      <w:bookmarkEnd w:id="27"/>
      <w:bookmarkEnd w:id="28"/>
      <w:bookmarkEnd w:id="29"/>
      <w:r>
        <w:rPr>
          <w:rFonts w:ascii="Palatino Linotype" w:hAnsi="Palatino Linotype"/>
          <w:smallCaps/>
          <w:noProof/>
        </w:rPr>
        <mc:AlternateContent>
          <mc:Choice Requires="wps">
            <w:drawing>
              <wp:anchor distT="0" distB="0" distL="114300" distR="114300" simplePos="0" relativeHeight="251659264" behindDoc="0" locked="0" layoutInCell="1" allowOverlap="1" wp14:anchorId="69CD647C" wp14:editId="37BF83D0">
                <wp:simplePos x="0" y="0"/>
                <wp:positionH relativeFrom="column">
                  <wp:posOffset>24765</wp:posOffset>
                </wp:positionH>
                <wp:positionV relativeFrom="paragraph">
                  <wp:posOffset>2938144</wp:posOffset>
                </wp:positionV>
                <wp:extent cx="5524500" cy="17621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524500" cy="1762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67B9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231.35pt" to="436.95pt,3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" strokecolor="#4579b8 [3044]"/>
            </w:pict>
          </mc:Fallback>
        </mc:AlternateContent>
      </w:r>
      <w:bookmarkEnd w:id="39"/>
      <w:r w:rsidR="009E2C08" w:rsidRPr="009E2C08">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VEINTICUATRO, ANTE EL SECRETARIO TÉCNICO DEL PLENO ALEXIS TAPIA RAMÍREZ. </w:t>
      </w:r>
      <w:bookmarkEnd w:id="38"/>
    </w:p>
    <w:p w14:paraId="5D21A992" w14:textId="68023F65" w:rsidR="00C1682A" w:rsidRPr="009E2C08" w:rsidRDefault="00C1682A" w:rsidP="00836ADD">
      <w:pPr>
        <w:spacing w:line="360" w:lineRule="auto"/>
        <w:jc w:val="both"/>
        <w:rPr>
          <w:rFonts w:ascii="Palatino Linotype" w:hAnsi="Palatino Linotype" w:cs="Tahoma"/>
        </w:rPr>
      </w:pPr>
    </w:p>
    <w:p w14:paraId="2948863F" w14:textId="77777777" w:rsidR="00836ADD" w:rsidRPr="009E2C08" w:rsidRDefault="00836ADD" w:rsidP="00836ADD">
      <w:pPr>
        <w:spacing w:line="360" w:lineRule="auto"/>
        <w:jc w:val="both"/>
        <w:rPr>
          <w:rFonts w:ascii="Palatino Linotype" w:hAnsi="Palatino Linotype" w:cs="Tahoma"/>
        </w:rPr>
      </w:pPr>
    </w:p>
    <w:p w14:paraId="08F3A920" w14:textId="77777777" w:rsidR="00836ADD" w:rsidRPr="009E2C08" w:rsidRDefault="00836ADD" w:rsidP="00836ADD">
      <w:pPr>
        <w:spacing w:line="360" w:lineRule="auto"/>
        <w:jc w:val="both"/>
        <w:rPr>
          <w:rFonts w:ascii="Palatino Linotype" w:hAnsi="Palatino Linotype" w:cs="Tahoma"/>
        </w:rPr>
      </w:pPr>
    </w:p>
    <w:p w14:paraId="06ABF4D0" w14:textId="77777777" w:rsidR="00836ADD" w:rsidRPr="009E2C08" w:rsidRDefault="00836ADD" w:rsidP="00836ADD">
      <w:pPr>
        <w:spacing w:line="360" w:lineRule="auto"/>
        <w:jc w:val="both"/>
        <w:rPr>
          <w:rFonts w:ascii="Palatino Linotype" w:hAnsi="Palatino Linotype" w:cs="Tahoma"/>
        </w:rPr>
      </w:pPr>
    </w:p>
    <w:p w14:paraId="0DDB8E48" w14:textId="77777777" w:rsidR="00836ADD" w:rsidRPr="009E2C08" w:rsidRDefault="00836ADD" w:rsidP="00836ADD">
      <w:pPr>
        <w:spacing w:line="360" w:lineRule="auto"/>
        <w:jc w:val="both"/>
        <w:rPr>
          <w:rFonts w:ascii="Palatino Linotype" w:hAnsi="Palatino Linotype" w:cs="Tahoma"/>
        </w:rPr>
      </w:pPr>
    </w:p>
    <w:p w14:paraId="3AEE14E8" w14:textId="77777777" w:rsidR="00836ADD" w:rsidRPr="009E2C08" w:rsidRDefault="00836ADD" w:rsidP="00836ADD">
      <w:pPr>
        <w:spacing w:line="360" w:lineRule="auto"/>
        <w:jc w:val="both"/>
        <w:rPr>
          <w:rFonts w:ascii="Palatino Linotype" w:hAnsi="Palatino Linotype" w:cs="Tahoma"/>
        </w:rPr>
      </w:pPr>
    </w:p>
    <w:p w14:paraId="5AA4DD53" w14:textId="77777777" w:rsidR="00836ADD" w:rsidRPr="009E2C08" w:rsidRDefault="00836ADD" w:rsidP="00836ADD">
      <w:pPr>
        <w:spacing w:line="360" w:lineRule="auto"/>
        <w:jc w:val="both"/>
        <w:rPr>
          <w:rFonts w:ascii="Palatino Linotype" w:hAnsi="Palatino Linotype" w:cs="Tahoma"/>
        </w:rPr>
      </w:pPr>
    </w:p>
    <w:p w14:paraId="01CB9937" w14:textId="77777777" w:rsidR="00836ADD" w:rsidRPr="009E2C08" w:rsidRDefault="00836ADD" w:rsidP="00836ADD">
      <w:pPr>
        <w:spacing w:line="360" w:lineRule="auto"/>
        <w:jc w:val="both"/>
        <w:rPr>
          <w:rFonts w:ascii="Palatino Linotype" w:hAnsi="Palatino Linotype" w:cs="Tahoma"/>
        </w:rPr>
      </w:pPr>
    </w:p>
    <w:p w14:paraId="7AC18135" w14:textId="77777777" w:rsidR="00836ADD" w:rsidRPr="009E2C08" w:rsidRDefault="00836ADD" w:rsidP="00836ADD">
      <w:pPr>
        <w:spacing w:line="360" w:lineRule="auto"/>
        <w:jc w:val="both"/>
        <w:rPr>
          <w:rFonts w:ascii="Palatino Linotype" w:hAnsi="Palatino Linotype" w:cs="Tahoma"/>
        </w:rPr>
      </w:pPr>
    </w:p>
    <w:p w14:paraId="6C86D13A" w14:textId="77777777" w:rsidR="00836ADD" w:rsidRPr="009E2C08" w:rsidRDefault="00836ADD" w:rsidP="00836ADD">
      <w:pPr>
        <w:spacing w:line="360" w:lineRule="auto"/>
        <w:jc w:val="both"/>
        <w:rPr>
          <w:rFonts w:ascii="Palatino Linotype" w:hAnsi="Palatino Linotype" w:cs="Tahoma"/>
        </w:rPr>
      </w:pPr>
    </w:p>
    <w:p w14:paraId="0B15A279" w14:textId="77777777" w:rsidR="00836ADD" w:rsidRPr="009E2C08" w:rsidRDefault="00836ADD" w:rsidP="00836ADD">
      <w:pPr>
        <w:spacing w:line="360" w:lineRule="auto"/>
        <w:jc w:val="both"/>
        <w:rPr>
          <w:rFonts w:ascii="Palatino Linotype" w:hAnsi="Palatino Linotype" w:cs="Tahoma"/>
        </w:rPr>
      </w:pPr>
    </w:p>
    <w:p w14:paraId="5806ADEF" w14:textId="77777777" w:rsidR="00836ADD" w:rsidRPr="009E2C08" w:rsidRDefault="00836ADD" w:rsidP="00836ADD">
      <w:pPr>
        <w:spacing w:line="360" w:lineRule="auto"/>
        <w:jc w:val="both"/>
        <w:rPr>
          <w:rFonts w:ascii="Palatino Linotype" w:hAnsi="Palatino Linotype" w:cs="Tahoma"/>
        </w:rPr>
      </w:pPr>
    </w:p>
    <w:p w14:paraId="134B8996" w14:textId="77777777" w:rsidR="00836ADD" w:rsidRPr="009E2C08" w:rsidRDefault="00836ADD" w:rsidP="00836ADD">
      <w:pPr>
        <w:spacing w:line="360" w:lineRule="auto"/>
        <w:jc w:val="both"/>
        <w:rPr>
          <w:rFonts w:ascii="Palatino Linotype" w:hAnsi="Palatino Linotype" w:cs="Tahoma"/>
        </w:rPr>
      </w:pPr>
    </w:p>
    <w:p w14:paraId="53E9F836" w14:textId="77777777" w:rsidR="00836ADD" w:rsidRPr="009E2C08" w:rsidRDefault="00836ADD" w:rsidP="00836ADD">
      <w:pPr>
        <w:spacing w:line="360" w:lineRule="auto"/>
        <w:jc w:val="both"/>
        <w:rPr>
          <w:rFonts w:ascii="Palatino Linotype" w:hAnsi="Palatino Linotype" w:cs="Tahoma"/>
        </w:rPr>
      </w:pPr>
    </w:p>
    <w:p w14:paraId="51E41CB6" w14:textId="77777777" w:rsidR="00836ADD" w:rsidRPr="009E2C08" w:rsidRDefault="00836ADD" w:rsidP="00836ADD">
      <w:pPr>
        <w:spacing w:line="360" w:lineRule="auto"/>
        <w:jc w:val="both"/>
        <w:rPr>
          <w:rFonts w:ascii="Palatino Linotype" w:hAnsi="Palatino Linotype" w:cs="Tahoma"/>
        </w:rPr>
      </w:pPr>
    </w:p>
    <w:p w14:paraId="372E5DF1" w14:textId="77777777" w:rsidR="00836ADD" w:rsidRPr="009E2C08" w:rsidRDefault="00836ADD" w:rsidP="00836ADD">
      <w:pPr>
        <w:spacing w:line="360" w:lineRule="auto"/>
        <w:jc w:val="both"/>
        <w:rPr>
          <w:rFonts w:ascii="Palatino Linotype" w:hAnsi="Palatino Linotype" w:cs="Tahoma"/>
        </w:rPr>
      </w:pPr>
    </w:p>
    <w:p w14:paraId="08D6A8A4" w14:textId="77777777" w:rsidR="00836ADD" w:rsidRPr="009E2C08" w:rsidRDefault="00836ADD" w:rsidP="00836ADD">
      <w:pPr>
        <w:spacing w:line="360" w:lineRule="auto"/>
        <w:jc w:val="both"/>
        <w:rPr>
          <w:rFonts w:ascii="Palatino Linotype" w:hAnsi="Palatino Linotype" w:cs="Tahoma"/>
        </w:rPr>
      </w:pPr>
    </w:p>
    <w:p w14:paraId="2E1056FF" w14:textId="77777777" w:rsidR="00836ADD" w:rsidRPr="009E2C08" w:rsidRDefault="00836ADD" w:rsidP="00836ADD">
      <w:pPr>
        <w:spacing w:line="360" w:lineRule="auto"/>
        <w:jc w:val="both"/>
        <w:rPr>
          <w:rFonts w:ascii="Palatino Linotype" w:hAnsi="Palatino Linotype" w:cs="Tahoma"/>
        </w:rPr>
      </w:pPr>
    </w:p>
    <w:sectPr w:rsidR="00836ADD" w:rsidRPr="009E2C08" w:rsidSect="00C1682A">
      <w:headerReference w:type="default" r:id="rId14"/>
      <w:footerReference w:type="default" r:id="rId15"/>
      <w:headerReference w:type="first" r:id="rId16"/>
      <w:footerReference w:type="first" r:id="rId17"/>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C7F9D" w14:textId="77777777" w:rsidR="00137B66" w:rsidRDefault="00137B66" w:rsidP="00587366">
      <w:r>
        <w:separator/>
      </w:r>
    </w:p>
  </w:endnote>
  <w:endnote w:type="continuationSeparator" w:id="0">
    <w:p w14:paraId="586913E9" w14:textId="77777777" w:rsidR="00137B66" w:rsidRDefault="00137B66"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0D02C9" w:rsidRPr="00883450" w:rsidRDefault="000D02C9">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0E12A8">
              <w:rPr>
                <w:rFonts w:ascii="Palatino Linotype" w:hAnsi="Palatino Linotype"/>
                <w:b/>
                <w:bCs/>
                <w:noProof/>
                <w:sz w:val="22"/>
                <w:szCs w:val="20"/>
              </w:rPr>
              <w:t>16</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0E12A8">
              <w:rPr>
                <w:rFonts w:ascii="Palatino Linotype" w:hAnsi="Palatino Linotype"/>
                <w:b/>
                <w:bCs/>
                <w:noProof/>
                <w:sz w:val="22"/>
                <w:szCs w:val="20"/>
              </w:rPr>
              <w:t>18</w:t>
            </w:r>
            <w:r w:rsidRPr="00883450">
              <w:rPr>
                <w:rFonts w:ascii="Palatino Linotype" w:hAnsi="Palatino Linotype"/>
                <w:b/>
                <w:bCs/>
                <w:sz w:val="22"/>
                <w:szCs w:val="20"/>
              </w:rPr>
              <w:fldChar w:fldCharType="end"/>
            </w:r>
          </w:p>
        </w:sdtContent>
      </w:sdt>
    </w:sdtContent>
  </w:sdt>
  <w:p w14:paraId="6243EC1B" w14:textId="77777777" w:rsidR="000D02C9" w:rsidRDefault="000D02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0D02C9" w:rsidRPr="00883450" w:rsidRDefault="000D02C9"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0E12A8" w:rsidRPr="000E12A8">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0E12A8" w:rsidRPr="000E12A8">
      <w:rPr>
        <w:rFonts w:ascii="Palatino Linotype" w:hAnsi="Palatino Linotype"/>
        <w:noProof/>
        <w:sz w:val="22"/>
        <w:szCs w:val="22"/>
        <w:lang w:val="es-ES"/>
      </w:rPr>
      <w:t>18</w:t>
    </w:r>
    <w:r w:rsidRPr="00883450">
      <w:rPr>
        <w:rFonts w:ascii="Palatino Linotype" w:hAnsi="Palatino Linotype"/>
        <w:sz w:val="22"/>
        <w:szCs w:val="22"/>
      </w:rPr>
      <w:fldChar w:fldCharType="end"/>
    </w:r>
  </w:p>
  <w:p w14:paraId="5F5C4865" w14:textId="77777777" w:rsidR="000D02C9" w:rsidRPr="00883450" w:rsidRDefault="000D02C9">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1CDE9" w14:textId="77777777" w:rsidR="00137B66" w:rsidRDefault="00137B66" w:rsidP="00587366">
      <w:r>
        <w:separator/>
      </w:r>
    </w:p>
  </w:footnote>
  <w:footnote w:type="continuationSeparator" w:id="0">
    <w:p w14:paraId="4E5A198C" w14:textId="77777777" w:rsidR="00137B66" w:rsidRDefault="00137B66" w:rsidP="0058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F23E" w14:textId="51DD5A43" w:rsidR="000D02C9" w:rsidRDefault="00137B66" w:rsidP="009E2C08">
    <w:pPr>
      <w:pStyle w:val="Encabezado"/>
      <w:tabs>
        <w:tab w:val="clear" w:pos="4252"/>
        <w:tab w:val="clear" w:pos="8504"/>
        <w:tab w:val="left" w:pos="8460"/>
      </w:tabs>
    </w:pPr>
    <w:r>
      <w:rPr>
        <w:noProof/>
        <w:lang w:val="es-MX" w:eastAsia="es-MX"/>
      </w:rPr>
      <w:pict w14:anchorId="4046F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0D02C9">
      <w:tab/>
    </w: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0D02C9" w:rsidRPr="009E2C08" w14:paraId="07F2896E" w14:textId="77777777" w:rsidTr="00F3586F">
      <w:trPr>
        <w:trHeight w:val="138"/>
      </w:trPr>
      <w:tc>
        <w:tcPr>
          <w:tcW w:w="3544" w:type="dxa"/>
          <w:vAlign w:val="center"/>
        </w:tcPr>
        <w:p w14:paraId="4A5B1974" w14:textId="3B2AB4E0" w:rsidR="000D02C9" w:rsidRPr="009E2C08" w:rsidRDefault="000D02C9" w:rsidP="006E6B65">
          <w:pPr>
            <w:ind w:right="34"/>
            <w:jc w:val="right"/>
            <w:rPr>
              <w:rFonts w:ascii="Palatino Linotype" w:hAnsi="Palatino Linotype"/>
              <w:b/>
              <w:sz w:val="22"/>
              <w:szCs w:val="22"/>
            </w:rPr>
          </w:pPr>
          <w:r w:rsidRPr="009E2C08">
            <w:rPr>
              <w:rFonts w:ascii="Palatino Linotype" w:hAnsi="Palatino Linotype"/>
              <w:b/>
              <w:sz w:val="22"/>
              <w:szCs w:val="22"/>
            </w:rPr>
            <w:t>RECURSO DE REVISIÓN:</w:t>
          </w:r>
        </w:p>
      </w:tc>
      <w:tc>
        <w:tcPr>
          <w:tcW w:w="4252" w:type="dxa"/>
          <w:vAlign w:val="center"/>
        </w:tcPr>
        <w:p w14:paraId="3A05B4B6" w14:textId="0CC1DAF7" w:rsidR="000D02C9" w:rsidRPr="009E2C08" w:rsidRDefault="00A52850" w:rsidP="00620589">
          <w:pPr>
            <w:pStyle w:val="Encabezado"/>
            <w:rPr>
              <w:rFonts w:ascii="Palatino Linotype" w:hAnsi="Palatino Linotype" w:cs="Arial"/>
              <w:bCs/>
              <w:sz w:val="22"/>
              <w:szCs w:val="22"/>
              <w:lang w:eastAsia="es-MX"/>
            </w:rPr>
          </w:pPr>
          <w:r w:rsidRPr="009E2C08">
            <w:rPr>
              <w:rFonts w:ascii="Palatino Linotype" w:hAnsi="Palatino Linotype" w:cs="Arial"/>
              <w:bCs/>
              <w:sz w:val="22"/>
              <w:szCs w:val="22"/>
              <w:lang w:eastAsia="es-MX"/>
            </w:rPr>
            <w:t>08593</w:t>
          </w:r>
          <w:r w:rsidR="000D02C9" w:rsidRPr="009E2C08">
            <w:rPr>
              <w:rFonts w:ascii="Palatino Linotype" w:hAnsi="Palatino Linotype" w:cs="Arial"/>
              <w:bCs/>
              <w:sz w:val="22"/>
              <w:szCs w:val="22"/>
              <w:lang w:eastAsia="es-MX"/>
            </w:rPr>
            <w:t>/INFOEM/IP/RR/202</w:t>
          </w:r>
          <w:r w:rsidR="00B66EAF" w:rsidRPr="009E2C08">
            <w:rPr>
              <w:rFonts w:ascii="Palatino Linotype" w:hAnsi="Palatino Linotype" w:cs="Arial"/>
              <w:bCs/>
              <w:sz w:val="22"/>
              <w:szCs w:val="22"/>
              <w:lang w:eastAsia="es-MX"/>
            </w:rPr>
            <w:t>3</w:t>
          </w:r>
        </w:p>
      </w:tc>
    </w:tr>
    <w:tr w:rsidR="000D02C9" w:rsidRPr="009E2C08" w14:paraId="1B5D8690" w14:textId="77777777" w:rsidTr="00F3586F">
      <w:trPr>
        <w:trHeight w:val="233"/>
      </w:trPr>
      <w:tc>
        <w:tcPr>
          <w:tcW w:w="3544" w:type="dxa"/>
          <w:vAlign w:val="center"/>
        </w:tcPr>
        <w:p w14:paraId="3903F2C6" w14:textId="35D57A2C" w:rsidR="000D02C9" w:rsidRPr="009E2C08" w:rsidRDefault="000D02C9" w:rsidP="006E6B65">
          <w:pPr>
            <w:ind w:right="34"/>
            <w:jc w:val="right"/>
            <w:rPr>
              <w:rFonts w:ascii="Palatino Linotype" w:hAnsi="Palatino Linotype"/>
              <w:b/>
              <w:sz w:val="22"/>
              <w:szCs w:val="22"/>
            </w:rPr>
          </w:pPr>
          <w:r w:rsidRPr="009E2C08">
            <w:rPr>
              <w:rFonts w:ascii="Palatino Linotype" w:hAnsi="Palatino Linotype"/>
              <w:b/>
              <w:sz w:val="22"/>
              <w:szCs w:val="22"/>
            </w:rPr>
            <w:t>SUJETO OBLIGADO:</w:t>
          </w:r>
        </w:p>
      </w:tc>
      <w:tc>
        <w:tcPr>
          <w:tcW w:w="4252" w:type="dxa"/>
          <w:vAlign w:val="center"/>
        </w:tcPr>
        <w:p w14:paraId="03C799A2" w14:textId="2ED3679E" w:rsidR="000D02C9" w:rsidRPr="009E2C08" w:rsidRDefault="00A52850" w:rsidP="00620589">
          <w:pPr>
            <w:pStyle w:val="Encabezado"/>
            <w:rPr>
              <w:rFonts w:ascii="Palatino Linotype" w:hAnsi="Palatino Linotype"/>
              <w:sz w:val="22"/>
              <w:szCs w:val="22"/>
            </w:rPr>
          </w:pPr>
          <w:r w:rsidRPr="009E2C08">
            <w:rPr>
              <w:rFonts w:ascii="Palatino Linotype" w:eastAsia="Times New Roman" w:hAnsi="Palatino Linotype"/>
              <w:sz w:val="22"/>
              <w:szCs w:val="22"/>
            </w:rPr>
            <w:t>Comisión de Conciliación y Arbitraje Médico del Estado de México</w:t>
          </w:r>
        </w:p>
      </w:tc>
    </w:tr>
    <w:tr w:rsidR="000D02C9" w:rsidRPr="009E2C08" w14:paraId="095EB01B" w14:textId="77777777" w:rsidTr="00F3586F">
      <w:trPr>
        <w:trHeight w:val="321"/>
      </w:trPr>
      <w:tc>
        <w:tcPr>
          <w:tcW w:w="3544" w:type="dxa"/>
          <w:vAlign w:val="center"/>
        </w:tcPr>
        <w:p w14:paraId="6E000A51" w14:textId="0EDEFF28" w:rsidR="000D02C9" w:rsidRPr="009E2C08" w:rsidRDefault="000D02C9" w:rsidP="006E6B65">
          <w:pPr>
            <w:ind w:right="34"/>
            <w:jc w:val="right"/>
            <w:rPr>
              <w:rFonts w:ascii="Palatino Linotype" w:hAnsi="Palatino Linotype"/>
              <w:b/>
              <w:sz w:val="22"/>
              <w:szCs w:val="22"/>
            </w:rPr>
          </w:pPr>
          <w:r w:rsidRPr="009E2C08">
            <w:rPr>
              <w:rFonts w:ascii="Palatino Linotype" w:hAnsi="Palatino Linotype"/>
              <w:b/>
              <w:sz w:val="22"/>
              <w:szCs w:val="22"/>
            </w:rPr>
            <w:t>COMISIONADA PONENTE:</w:t>
          </w:r>
        </w:p>
      </w:tc>
      <w:tc>
        <w:tcPr>
          <w:tcW w:w="4252" w:type="dxa"/>
          <w:vAlign w:val="center"/>
        </w:tcPr>
        <w:p w14:paraId="07560085" w14:textId="7F8B2514" w:rsidR="000D02C9" w:rsidRPr="009E2C08" w:rsidRDefault="000D02C9" w:rsidP="00620589">
          <w:pPr>
            <w:pStyle w:val="Encabezado"/>
            <w:rPr>
              <w:rFonts w:ascii="Palatino Linotype" w:hAnsi="Palatino Linotype"/>
              <w:sz w:val="22"/>
              <w:szCs w:val="22"/>
            </w:rPr>
          </w:pPr>
          <w:r w:rsidRPr="009E2C08">
            <w:rPr>
              <w:rFonts w:ascii="Palatino Linotype" w:hAnsi="Palatino Linotype"/>
              <w:sz w:val="22"/>
              <w:szCs w:val="22"/>
            </w:rPr>
            <w:t>María del Rosario Mejía Ayala</w:t>
          </w:r>
        </w:p>
      </w:tc>
    </w:tr>
  </w:tbl>
  <w:p w14:paraId="1096C1B8" w14:textId="193F0C87" w:rsidR="000D02C9" w:rsidRDefault="000D02C9"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0AC0A6E3" w:rsidR="000D02C9" w:rsidRDefault="00137B66" w:rsidP="00472C41">
    <w:pPr>
      <w:pStyle w:val="Encabezado"/>
      <w:tabs>
        <w:tab w:val="clear" w:pos="4252"/>
        <w:tab w:val="clear" w:pos="8504"/>
        <w:tab w:val="left" w:pos="3103"/>
      </w:tabs>
    </w:pPr>
    <w:r>
      <w:rPr>
        <w:noProof/>
        <w:lang w:val="es-MX" w:eastAsia="es-MX"/>
      </w:rPr>
      <w:pict w14:anchorId="4046F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0D02C9">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0D02C9" w:rsidRPr="009E2C08" w14:paraId="0A3256F2" w14:textId="77777777" w:rsidTr="00F3586F">
      <w:trPr>
        <w:trHeight w:val="138"/>
      </w:trPr>
      <w:tc>
        <w:tcPr>
          <w:tcW w:w="3261" w:type="dxa"/>
          <w:vAlign w:val="center"/>
        </w:tcPr>
        <w:p w14:paraId="3D80769D" w14:textId="316F11F8" w:rsidR="000D02C9" w:rsidRPr="009E2C08" w:rsidRDefault="000D02C9" w:rsidP="00620589">
          <w:pPr>
            <w:jc w:val="right"/>
            <w:rPr>
              <w:rFonts w:ascii="Palatino Linotype" w:hAnsi="Palatino Linotype"/>
              <w:b/>
              <w:sz w:val="22"/>
              <w:szCs w:val="22"/>
            </w:rPr>
          </w:pPr>
          <w:r w:rsidRPr="009E2C08">
            <w:rPr>
              <w:rFonts w:ascii="Palatino Linotype" w:hAnsi="Palatino Linotype"/>
              <w:b/>
              <w:sz w:val="22"/>
              <w:szCs w:val="22"/>
            </w:rPr>
            <w:t>RECURSO DE REVISIÓN:</w:t>
          </w:r>
        </w:p>
      </w:tc>
      <w:tc>
        <w:tcPr>
          <w:tcW w:w="4111" w:type="dxa"/>
          <w:vAlign w:val="center"/>
        </w:tcPr>
        <w:p w14:paraId="0453495E" w14:textId="632FFBF7" w:rsidR="000D02C9" w:rsidRPr="009E2C08" w:rsidRDefault="00A52850" w:rsidP="009E2C08">
          <w:pPr>
            <w:pStyle w:val="Encabezado"/>
            <w:rPr>
              <w:rFonts w:ascii="Palatino Linotype" w:hAnsi="Palatino Linotype"/>
              <w:sz w:val="22"/>
              <w:szCs w:val="22"/>
            </w:rPr>
          </w:pPr>
          <w:r w:rsidRPr="009E2C08">
            <w:rPr>
              <w:rFonts w:ascii="Palatino Linotype" w:hAnsi="Palatino Linotype" w:cs="Arial"/>
              <w:bCs/>
              <w:sz w:val="22"/>
              <w:szCs w:val="22"/>
              <w:lang w:eastAsia="es-MX"/>
            </w:rPr>
            <w:t>08593</w:t>
          </w:r>
          <w:r w:rsidR="000D02C9" w:rsidRPr="009E2C08">
            <w:rPr>
              <w:rFonts w:ascii="Palatino Linotype" w:hAnsi="Palatino Linotype" w:cs="Arial"/>
              <w:bCs/>
              <w:sz w:val="22"/>
              <w:szCs w:val="22"/>
              <w:lang w:eastAsia="es-MX"/>
            </w:rPr>
            <w:t>/INFOEM/IP/RR/202</w:t>
          </w:r>
          <w:r w:rsidRPr="009E2C08">
            <w:rPr>
              <w:rFonts w:ascii="Palatino Linotype" w:hAnsi="Palatino Linotype" w:cs="Arial"/>
              <w:bCs/>
              <w:sz w:val="22"/>
              <w:szCs w:val="22"/>
              <w:lang w:eastAsia="es-MX"/>
            </w:rPr>
            <w:t>3</w:t>
          </w:r>
        </w:p>
      </w:tc>
    </w:tr>
    <w:tr w:rsidR="000D02C9" w:rsidRPr="009E2C08" w14:paraId="128C8B3C" w14:textId="77777777" w:rsidTr="00F3586F">
      <w:trPr>
        <w:trHeight w:val="233"/>
      </w:trPr>
      <w:tc>
        <w:tcPr>
          <w:tcW w:w="3261" w:type="dxa"/>
          <w:vAlign w:val="center"/>
        </w:tcPr>
        <w:p w14:paraId="483E3371" w14:textId="66B1BC74" w:rsidR="000D02C9" w:rsidRPr="009E2C08" w:rsidRDefault="000D02C9" w:rsidP="00620589">
          <w:pPr>
            <w:jc w:val="right"/>
            <w:rPr>
              <w:rFonts w:ascii="Palatino Linotype" w:hAnsi="Palatino Linotype"/>
              <w:b/>
              <w:sz w:val="22"/>
              <w:szCs w:val="22"/>
            </w:rPr>
          </w:pPr>
          <w:r w:rsidRPr="009E2C08">
            <w:rPr>
              <w:rFonts w:ascii="Palatino Linotype" w:hAnsi="Palatino Linotype"/>
              <w:b/>
              <w:sz w:val="22"/>
              <w:szCs w:val="22"/>
            </w:rPr>
            <w:t>RECURRENTE:</w:t>
          </w:r>
        </w:p>
      </w:tc>
      <w:tc>
        <w:tcPr>
          <w:tcW w:w="4111" w:type="dxa"/>
        </w:tcPr>
        <w:p w14:paraId="1548525E" w14:textId="6AF287C6" w:rsidR="000D02C9" w:rsidRPr="009E2C08" w:rsidRDefault="000D02C9" w:rsidP="009E2C08">
          <w:pPr>
            <w:pStyle w:val="Encabezado"/>
            <w:ind w:right="234"/>
            <w:rPr>
              <w:rFonts w:ascii="Palatino Linotype" w:hAnsi="Palatino Linotype"/>
              <w:sz w:val="22"/>
              <w:szCs w:val="22"/>
            </w:rPr>
          </w:pPr>
        </w:p>
      </w:tc>
    </w:tr>
    <w:tr w:rsidR="000D02C9" w:rsidRPr="009E2C08" w14:paraId="41BE0704" w14:textId="77777777" w:rsidTr="00F3586F">
      <w:trPr>
        <w:trHeight w:val="321"/>
      </w:trPr>
      <w:tc>
        <w:tcPr>
          <w:tcW w:w="3261" w:type="dxa"/>
          <w:vAlign w:val="center"/>
        </w:tcPr>
        <w:p w14:paraId="34C64148" w14:textId="10C6C8A9" w:rsidR="000D02C9" w:rsidRPr="009E2C08" w:rsidRDefault="000D02C9" w:rsidP="00620589">
          <w:pPr>
            <w:jc w:val="right"/>
            <w:rPr>
              <w:rFonts w:ascii="Palatino Linotype" w:hAnsi="Palatino Linotype"/>
              <w:b/>
              <w:sz w:val="22"/>
              <w:szCs w:val="22"/>
            </w:rPr>
          </w:pPr>
          <w:r w:rsidRPr="009E2C08">
            <w:rPr>
              <w:rFonts w:ascii="Palatino Linotype" w:hAnsi="Palatino Linotype"/>
              <w:b/>
              <w:sz w:val="22"/>
              <w:szCs w:val="22"/>
            </w:rPr>
            <w:t>SUJETO OBLIGADO:</w:t>
          </w:r>
        </w:p>
      </w:tc>
      <w:tc>
        <w:tcPr>
          <w:tcW w:w="4111" w:type="dxa"/>
          <w:vAlign w:val="center"/>
        </w:tcPr>
        <w:p w14:paraId="34C341BF" w14:textId="3719AA77" w:rsidR="000D02C9" w:rsidRPr="009E2C08" w:rsidRDefault="00A52850" w:rsidP="009E2C08">
          <w:pPr>
            <w:pStyle w:val="Encabezado"/>
            <w:rPr>
              <w:rFonts w:ascii="Palatino Linotype" w:hAnsi="Palatino Linotype"/>
              <w:sz w:val="22"/>
              <w:szCs w:val="22"/>
            </w:rPr>
          </w:pPr>
          <w:r w:rsidRPr="009E2C08">
            <w:rPr>
              <w:rFonts w:ascii="Palatino Linotype" w:eastAsia="Times New Roman" w:hAnsi="Palatino Linotype"/>
              <w:sz w:val="22"/>
              <w:szCs w:val="22"/>
            </w:rPr>
            <w:t>Comisión de Conciliación y Arbitraje Médico del Estado de México</w:t>
          </w:r>
        </w:p>
      </w:tc>
    </w:tr>
    <w:tr w:rsidR="000D02C9" w:rsidRPr="009E2C08" w14:paraId="0C8B6193" w14:textId="77777777" w:rsidTr="00F3586F">
      <w:trPr>
        <w:trHeight w:val="321"/>
      </w:trPr>
      <w:tc>
        <w:tcPr>
          <w:tcW w:w="3261" w:type="dxa"/>
          <w:vAlign w:val="center"/>
        </w:tcPr>
        <w:p w14:paraId="321FFAFF" w14:textId="4B5194B8" w:rsidR="000D02C9" w:rsidRPr="009E2C08" w:rsidRDefault="000D02C9" w:rsidP="00620589">
          <w:pPr>
            <w:jc w:val="right"/>
            <w:rPr>
              <w:rFonts w:ascii="Palatino Linotype" w:hAnsi="Palatino Linotype"/>
              <w:b/>
              <w:sz w:val="22"/>
              <w:szCs w:val="22"/>
            </w:rPr>
          </w:pPr>
          <w:r w:rsidRPr="009E2C08">
            <w:rPr>
              <w:rFonts w:ascii="Palatino Linotype" w:hAnsi="Palatino Linotype"/>
              <w:b/>
              <w:sz w:val="22"/>
              <w:szCs w:val="22"/>
            </w:rPr>
            <w:t>COMISIONADA PONENTE:</w:t>
          </w:r>
        </w:p>
      </w:tc>
      <w:tc>
        <w:tcPr>
          <w:tcW w:w="4111" w:type="dxa"/>
          <w:vAlign w:val="center"/>
        </w:tcPr>
        <w:p w14:paraId="0FECDA9D" w14:textId="50867E5E" w:rsidR="000D02C9" w:rsidRPr="009E2C08" w:rsidRDefault="000D02C9" w:rsidP="009E2C08">
          <w:pPr>
            <w:pStyle w:val="Encabezado"/>
            <w:rPr>
              <w:rFonts w:ascii="Palatino Linotype" w:hAnsi="Palatino Linotype"/>
              <w:sz w:val="22"/>
              <w:szCs w:val="22"/>
            </w:rPr>
          </w:pPr>
          <w:r w:rsidRPr="009E2C08">
            <w:rPr>
              <w:rFonts w:ascii="Palatino Linotype" w:hAnsi="Palatino Linotype"/>
              <w:sz w:val="22"/>
              <w:szCs w:val="22"/>
            </w:rPr>
            <w:t>María del Rosario Mejía Ayala</w:t>
          </w:r>
        </w:p>
      </w:tc>
    </w:tr>
  </w:tbl>
  <w:p w14:paraId="156B5574" w14:textId="3EA5B995" w:rsidR="000D02C9" w:rsidRDefault="000D02C9"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0136A0"/>
    <w:multiLevelType w:val="hybridMultilevel"/>
    <w:tmpl w:val="ABAC8A62"/>
    <w:lvl w:ilvl="0" w:tplc="6F9E7686">
      <w:start w:val="1"/>
      <w:numFmt w:val="decimal"/>
      <w:lvlText w:val="%1."/>
      <w:lvlJc w:val="left"/>
      <w:pPr>
        <w:ind w:left="2629"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17"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abstractNumId w:val="3"/>
  </w:num>
  <w:num w:numId="2">
    <w:abstractNumId w:val="0"/>
  </w:num>
  <w:num w:numId="3">
    <w:abstractNumId w:val="15"/>
  </w:num>
  <w:num w:numId="4">
    <w:abstractNumId w:val="1"/>
  </w:num>
  <w:num w:numId="5">
    <w:abstractNumId w:val="17"/>
  </w:num>
  <w:num w:numId="6">
    <w:abstractNumId w:val="16"/>
  </w:num>
  <w:num w:numId="7">
    <w:abstractNumId w:val="6"/>
  </w:num>
  <w:num w:numId="8">
    <w:abstractNumId w:val="14"/>
  </w:num>
  <w:num w:numId="9">
    <w:abstractNumId w:val="2"/>
  </w:num>
  <w:num w:numId="10">
    <w:abstractNumId w:val="4"/>
  </w:num>
  <w:num w:numId="11">
    <w:abstractNumId w:val="9"/>
  </w:num>
  <w:num w:numId="12">
    <w:abstractNumId w:val="12"/>
  </w:num>
  <w:num w:numId="13">
    <w:abstractNumId w:val="8"/>
  </w:num>
  <w:num w:numId="14">
    <w:abstractNumId w:val="13"/>
  </w:num>
  <w:num w:numId="15">
    <w:abstractNumId w:val="7"/>
  </w:num>
  <w:num w:numId="16">
    <w:abstractNumId w:val="5"/>
  </w:num>
  <w:num w:numId="17">
    <w:abstractNumId w:val="11"/>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DDD"/>
    <w:rsid w:val="00007E8A"/>
    <w:rsid w:val="00011010"/>
    <w:rsid w:val="0001106B"/>
    <w:rsid w:val="00011199"/>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2380"/>
    <w:rsid w:val="000439C9"/>
    <w:rsid w:val="000444FF"/>
    <w:rsid w:val="00044F9D"/>
    <w:rsid w:val="000452B4"/>
    <w:rsid w:val="000454F1"/>
    <w:rsid w:val="00045B67"/>
    <w:rsid w:val="00045DD9"/>
    <w:rsid w:val="0004686A"/>
    <w:rsid w:val="000468E2"/>
    <w:rsid w:val="00050466"/>
    <w:rsid w:val="000519FA"/>
    <w:rsid w:val="00051DBD"/>
    <w:rsid w:val="0005237C"/>
    <w:rsid w:val="0005271A"/>
    <w:rsid w:val="00052A3C"/>
    <w:rsid w:val="00053402"/>
    <w:rsid w:val="00053ABC"/>
    <w:rsid w:val="00054A0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25"/>
    <w:rsid w:val="00076F6A"/>
    <w:rsid w:val="000800AC"/>
    <w:rsid w:val="000804E7"/>
    <w:rsid w:val="00080946"/>
    <w:rsid w:val="00081DF2"/>
    <w:rsid w:val="0008230A"/>
    <w:rsid w:val="00082D11"/>
    <w:rsid w:val="00084282"/>
    <w:rsid w:val="000844A2"/>
    <w:rsid w:val="000849F1"/>
    <w:rsid w:val="0008542A"/>
    <w:rsid w:val="00085543"/>
    <w:rsid w:val="00085B6E"/>
    <w:rsid w:val="000869A5"/>
    <w:rsid w:val="00086D80"/>
    <w:rsid w:val="00090D6F"/>
    <w:rsid w:val="00091508"/>
    <w:rsid w:val="00093CF9"/>
    <w:rsid w:val="00094331"/>
    <w:rsid w:val="000944D8"/>
    <w:rsid w:val="000948D4"/>
    <w:rsid w:val="00094F93"/>
    <w:rsid w:val="000967AE"/>
    <w:rsid w:val="00096E08"/>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7369"/>
    <w:rsid w:val="000D7BDE"/>
    <w:rsid w:val="000E07DC"/>
    <w:rsid w:val="000E11C3"/>
    <w:rsid w:val="000E12A8"/>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BD3"/>
    <w:rsid w:val="00113BE4"/>
    <w:rsid w:val="00114097"/>
    <w:rsid w:val="001146E4"/>
    <w:rsid w:val="00114A21"/>
    <w:rsid w:val="00114F1C"/>
    <w:rsid w:val="00115866"/>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34A"/>
    <w:rsid w:val="001339E6"/>
    <w:rsid w:val="00133B79"/>
    <w:rsid w:val="00133CE5"/>
    <w:rsid w:val="00133FAA"/>
    <w:rsid w:val="00134F05"/>
    <w:rsid w:val="0013519F"/>
    <w:rsid w:val="001352E5"/>
    <w:rsid w:val="001354DC"/>
    <w:rsid w:val="0013673A"/>
    <w:rsid w:val="00137045"/>
    <w:rsid w:val="00137B66"/>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4472"/>
    <w:rsid w:val="00174509"/>
    <w:rsid w:val="0017653A"/>
    <w:rsid w:val="001775DF"/>
    <w:rsid w:val="0017788D"/>
    <w:rsid w:val="00177CA5"/>
    <w:rsid w:val="00181E9E"/>
    <w:rsid w:val="00183AD5"/>
    <w:rsid w:val="0018435D"/>
    <w:rsid w:val="00184C8E"/>
    <w:rsid w:val="001854A8"/>
    <w:rsid w:val="001854E7"/>
    <w:rsid w:val="00185F07"/>
    <w:rsid w:val="00187007"/>
    <w:rsid w:val="00190999"/>
    <w:rsid w:val="0019100C"/>
    <w:rsid w:val="0019160F"/>
    <w:rsid w:val="0019217F"/>
    <w:rsid w:val="00192E4B"/>
    <w:rsid w:val="00194538"/>
    <w:rsid w:val="001946FE"/>
    <w:rsid w:val="001967C4"/>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50A4"/>
    <w:rsid w:val="001C54A9"/>
    <w:rsid w:val="001C6012"/>
    <w:rsid w:val="001C66F7"/>
    <w:rsid w:val="001C67B0"/>
    <w:rsid w:val="001C79FA"/>
    <w:rsid w:val="001D0572"/>
    <w:rsid w:val="001D07C9"/>
    <w:rsid w:val="001D1A8B"/>
    <w:rsid w:val="001D393C"/>
    <w:rsid w:val="001D39FC"/>
    <w:rsid w:val="001D3AB5"/>
    <w:rsid w:val="001D47E9"/>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FDC"/>
    <w:rsid w:val="0025763A"/>
    <w:rsid w:val="00257A6E"/>
    <w:rsid w:val="00257D56"/>
    <w:rsid w:val="0026064B"/>
    <w:rsid w:val="00260790"/>
    <w:rsid w:val="00260C1D"/>
    <w:rsid w:val="00261001"/>
    <w:rsid w:val="002611F7"/>
    <w:rsid w:val="00261D84"/>
    <w:rsid w:val="0026380B"/>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2260"/>
    <w:rsid w:val="00355469"/>
    <w:rsid w:val="00355A83"/>
    <w:rsid w:val="00355AEE"/>
    <w:rsid w:val="00355D3B"/>
    <w:rsid w:val="00356D43"/>
    <w:rsid w:val="0036073F"/>
    <w:rsid w:val="003607B9"/>
    <w:rsid w:val="003629EE"/>
    <w:rsid w:val="003641F0"/>
    <w:rsid w:val="003643B3"/>
    <w:rsid w:val="003646AC"/>
    <w:rsid w:val="00364ECD"/>
    <w:rsid w:val="003656E5"/>
    <w:rsid w:val="00365AD3"/>
    <w:rsid w:val="00366699"/>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71ED"/>
    <w:rsid w:val="00377CC8"/>
    <w:rsid w:val="00380295"/>
    <w:rsid w:val="0038145C"/>
    <w:rsid w:val="0038160C"/>
    <w:rsid w:val="00381F74"/>
    <w:rsid w:val="00382A03"/>
    <w:rsid w:val="003835FE"/>
    <w:rsid w:val="00383AC7"/>
    <w:rsid w:val="00383B41"/>
    <w:rsid w:val="00383E66"/>
    <w:rsid w:val="00383F27"/>
    <w:rsid w:val="003848B5"/>
    <w:rsid w:val="00384D8B"/>
    <w:rsid w:val="0038513E"/>
    <w:rsid w:val="00386D7E"/>
    <w:rsid w:val="003876F1"/>
    <w:rsid w:val="00387DC9"/>
    <w:rsid w:val="003905BB"/>
    <w:rsid w:val="00391233"/>
    <w:rsid w:val="0039193E"/>
    <w:rsid w:val="00391ADA"/>
    <w:rsid w:val="00391F80"/>
    <w:rsid w:val="00392CDB"/>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514F"/>
    <w:rsid w:val="003A6359"/>
    <w:rsid w:val="003A6417"/>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7282"/>
    <w:rsid w:val="003C788C"/>
    <w:rsid w:val="003D00D5"/>
    <w:rsid w:val="003D0758"/>
    <w:rsid w:val="003D181D"/>
    <w:rsid w:val="003D20C4"/>
    <w:rsid w:val="003D3475"/>
    <w:rsid w:val="003D3C1A"/>
    <w:rsid w:val="003D415B"/>
    <w:rsid w:val="003D4188"/>
    <w:rsid w:val="003D46D0"/>
    <w:rsid w:val="003D50CE"/>
    <w:rsid w:val="003D55AE"/>
    <w:rsid w:val="003D577C"/>
    <w:rsid w:val="003D6286"/>
    <w:rsid w:val="003D7CEC"/>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2B72"/>
    <w:rsid w:val="00433016"/>
    <w:rsid w:val="00433BF9"/>
    <w:rsid w:val="004342F1"/>
    <w:rsid w:val="004349C0"/>
    <w:rsid w:val="00436035"/>
    <w:rsid w:val="0043661D"/>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FDA"/>
    <w:rsid w:val="00447291"/>
    <w:rsid w:val="00447F0D"/>
    <w:rsid w:val="00450A5F"/>
    <w:rsid w:val="00450F7D"/>
    <w:rsid w:val="00451514"/>
    <w:rsid w:val="0045209F"/>
    <w:rsid w:val="004537BB"/>
    <w:rsid w:val="00453BB4"/>
    <w:rsid w:val="00453E1C"/>
    <w:rsid w:val="004540C4"/>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7025A"/>
    <w:rsid w:val="0047081C"/>
    <w:rsid w:val="00470B36"/>
    <w:rsid w:val="00471B63"/>
    <w:rsid w:val="00471E56"/>
    <w:rsid w:val="00472092"/>
    <w:rsid w:val="00472700"/>
    <w:rsid w:val="00472C41"/>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5468"/>
    <w:rsid w:val="00485803"/>
    <w:rsid w:val="00485DB6"/>
    <w:rsid w:val="0048658E"/>
    <w:rsid w:val="00491647"/>
    <w:rsid w:val="00491C96"/>
    <w:rsid w:val="004923B6"/>
    <w:rsid w:val="00493175"/>
    <w:rsid w:val="004937AC"/>
    <w:rsid w:val="00494294"/>
    <w:rsid w:val="00494338"/>
    <w:rsid w:val="00494ED8"/>
    <w:rsid w:val="0049522E"/>
    <w:rsid w:val="00495611"/>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2C9"/>
    <w:rsid w:val="004A677C"/>
    <w:rsid w:val="004A6E25"/>
    <w:rsid w:val="004A7D67"/>
    <w:rsid w:val="004B0546"/>
    <w:rsid w:val="004B176B"/>
    <w:rsid w:val="004B293C"/>
    <w:rsid w:val="004B2A3D"/>
    <w:rsid w:val="004B2E3E"/>
    <w:rsid w:val="004B30DA"/>
    <w:rsid w:val="004B38E8"/>
    <w:rsid w:val="004B3D59"/>
    <w:rsid w:val="004B5677"/>
    <w:rsid w:val="004B58EA"/>
    <w:rsid w:val="004B5B76"/>
    <w:rsid w:val="004B73EF"/>
    <w:rsid w:val="004C08BA"/>
    <w:rsid w:val="004C0DCD"/>
    <w:rsid w:val="004C108E"/>
    <w:rsid w:val="004C1CA2"/>
    <w:rsid w:val="004C20F2"/>
    <w:rsid w:val="004C251E"/>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5988"/>
    <w:rsid w:val="004E65CD"/>
    <w:rsid w:val="004E6E3A"/>
    <w:rsid w:val="004F063C"/>
    <w:rsid w:val="004F0C96"/>
    <w:rsid w:val="004F10A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150"/>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544F"/>
    <w:rsid w:val="00556B04"/>
    <w:rsid w:val="00556DA0"/>
    <w:rsid w:val="00557ECD"/>
    <w:rsid w:val="00560638"/>
    <w:rsid w:val="0056146A"/>
    <w:rsid w:val="0056175C"/>
    <w:rsid w:val="00561C03"/>
    <w:rsid w:val="00562702"/>
    <w:rsid w:val="00562B0A"/>
    <w:rsid w:val="00562CCE"/>
    <w:rsid w:val="00563F79"/>
    <w:rsid w:val="00564BE1"/>
    <w:rsid w:val="00565511"/>
    <w:rsid w:val="005669D6"/>
    <w:rsid w:val="00566C3D"/>
    <w:rsid w:val="0056727A"/>
    <w:rsid w:val="00567329"/>
    <w:rsid w:val="00567998"/>
    <w:rsid w:val="00571419"/>
    <w:rsid w:val="00571D7F"/>
    <w:rsid w:val="00571F07"/>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A228F"/>
    <w:rsid w:val="005A24AF"/>
    <w:rsid w:val="005A2A65"/>
    <w:rsid w:val="005A2F65"/>
    <w:rsid w:val="005A31EC"/>
    <w:rsid w:val="005A3513"/>
    <w:rsid w:val="005A364D"/>
    <w:rsid w:val="005A3B9E"/>
    <w:rsid w:val="005A3BD7"/>
    <w:rsid w:val="005A50E4"/>
    <w:rsid w:val="005A60E1"/>
    <w:rsid w:val="005A638B"/>
    <w:rsid w:val="005A6D43"/>
    <w:rsid w:val="005A76FE"/>
    <w:rsid w:val="005A786F"/>
    <w:rsid w:val="005B122E"/>
    <w:rsid w:val="005B169C"/>
    <w:rsid w:val="005B1B39"/>
    <w:rsid w:val="005B1FAC"/>
    <w:rsid w:val="005B2DD1"/>
    <w:rsid w:val="005B31C8"/>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B00"/>
    <w:rsid w:val="005E11D5"/>
    <w:rsid w:val="005E1572"/>
    <w:rsid w:val="005E2296"/>
    <w:rsid w:val="005E22BC"/>
    <w:rsid w:val="005E34D4"/>
    <w:rsid w:val="005E3AE2"/>
    <w:rsid w:val="005E3FDE"/>
    <w:rsid w:val="005E55F2"/>
    <w:rsid w:val="005E5EAB"/>
    <w:rsid w:val="005E5F08"/>
    <w:rsid w:val="005E65C7"/>
    <w:rsid w:val="005E68FC"/>
    <w:rsid w:val="005E7017"/>
    <w:rsid w:val="005E70EB"/>
    <w:rsid w:val="005E739A"/>
    <w:rsid w:val="005E7900"/>
    <w:rsid w:val="005F0A4A"/>
    <w:rsid w:val="005F1540"/>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865"/>
    <w:rsid w:val="00605995"/>
    <w:rsid w:val="00607049"/>
    <w:rsid w:val="00607B16"/>
    <w:rsid w:val="00607F0A"/>
    <w:rsid w:val="00611B94"/>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B3B"/>
    <w:rsid w:val="00693427"/>
    <w:rsid w:val="006945C7"/>
    <w:rsid w:val="00694C00"/>
    <w:rsid w:val="00695328"/>
    <w:rsid w:val="006958A7"/>
    <w:rsid w:val="00695F94"/>
    <w:rsid w:val="006964F5"/>
    <w:rsid w:val="00696B12"/>
    <w:rsid w:val="00696EF8"/>
    <w:rsid w:val="006974FC"/>
    <w:rsid w:val="006A1047"/>
    <w:rsid w:val="006A1FD1"/>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810"/>
    <w:rsid w:val="006B1C19"/>
    <w:rsid w:val="006B1F06"/>
    <w:rsid w:val="006B336C"/>
    <w:rsid w:val="006B5FE4"/>
    <w:rsid w:val="006B7A58"/>
    <w:rsid w:val="006B7D8C"/>
    <w:rsid w:val="006C0831"/>
    <w:rsid w:val="006C22E5"/>
    <w:rsid w:val="006C26B3"/>
    <w:rsid w:val="006C27BD"/>
    <w:rsid w:val="006C2A2B"/>
    <w:rsid w:val="006C2E34"/>
    <w:rsid w:val="006C2FEE"/>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F5"/>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671F"/>
    <w:rsid w:val="007674F3"/>
    <w:rsid w:val="00767CD2"/>
    <w:rsid w:val="00770859"/>
    <w:rsid w:val="007721A1"/>
    <w:rsid w:val="0077374A"/>
    <w:rsid w:val="0077381A"/>
    <w:rsid w:val="007740B2"/>
    <w:rsid w:val="00774A5F"/>
    <w:rsid w:val="00774DFD"/>
    <w:rsid w:val="007752C7"/>
    <w:rsid w:val="007753FA"/>
    <w:rsid w:val="0077544D"/>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DC2"/>
    <w:rsid w:val="00791E58"/>
    <w:rsid w:val="00792364"/>
    <w:rsid w:val="0079454A"/>
    <w:rsid w:val="00794673"/>
    <w:rsid w:val="00794BC3"/>
    <w:rsid w:val="00795F6F"/>
    <w:rsid w:val="00796BFE"/>
    <w:rsid w:val="007A0692"/>
    <w:rsid w:val="007A082B"/>
    <w:rsid w:val="007A0975"/>
    <w:rsid w:val="007A1303"/>
    <w:rsid w:val="007A17AA"/>
    <w:rsid w:val="007A22E2"/>
    <w:rsid w:val="007A2C90"/>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9A0"/>
    <w:rsid w:val="007D5D70"/>
    <w:rsid w:val="007D6D78"/>
    <w:rsid w:val="007D6FEB"/>
    <w:rsid w:val="007D79CF"/>
    <w:rsid w:val="007D7B38"/>
    <w:rsid w:val="007D7EF3"/>
    <w:rsid w:val="007E0CA6"/>
    <w:rsid w:val="007E0E2F"/>
    <w:rsid w:val="007E0F8F"/>
    <w:rsid w:val="007E2035"/>
    <w:rsid w:val="007E3FBE"/>
    <w:rsid w:val="007E4E68"/>
    <w:rsid w:val="007E5125"/>
    <w:rsid w:val="007E545F"/>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729E"/>
    <w:rsid w:val="007F763A"/>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94B"/>
    <w:rsid w:val="00817D8E"/>
    <w:rsid w:val="008200A3"/>
    <w:rsid w:val="00820BF2"/>
    <w:rsid w:val="00821A12"/>
    <w:rsid w:val="00821D8E"/>
    <w:rsid w:val="00822828"/>
    <w:rsid w:val="00824C4E"/>
    <w:rsid w:val="008252B1"/>
    <w:rsid w:val="00825DCF"/>
    <w:rsid w:val="00825F72"/>
    <w:rsid w:val="00827432"/>
    <w:rsid w:val="008320FF"/>
    <w:rsid w:val="00832218"/>
    <w:rsid w:val="00833E4C"/>
    <w:rsid w:val="00834D56"/>
    <w:rsid w:val="0083555E"/>
    <w:rsid w:val="008361C3"/>
    <w:rsid w:val="00836224"/>
    <w:rsid w:val="00836ADD"/>
    <w:rsid w:val="00836DC1"/>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5C6E"/>
    <w:rsid w:val="0089031E"/>
    <w:rsid w:val="0089067B"/>
    <w:rsid w:val="00891381"/>
    <w:rsid w:val="008920EF"/>
    <w:rsid w:val="0089412A"/>
    <w:rsid w:val="00894B33"/>
    <w:rsid w:val="0089597E"/>
    <w:rsid w:val="00896532"/>
    <w:rsid w:val="0089666C"/>
    <w:rsid w:val="00896AD4"/>
    <w:rsid w:val="008974A5"/>
    <w:rsid w:val="008A015E"/>
    <w:rsid w:val="008A0ACE"/>
    <w:rsid w:val="008A0F2E"/>
    <w:rsid w:val="008A1064"/>
    <w:rsid w:val="008A2E23"/>
    <w:rsid w:val="008A2F75"/>
    <w:rsid w:val="008A3D9B"/>
    <w:rsid w:val="008A460C"/>
    <w:rsid w:val="008A4966"/>
    <w:rsid w:val="008A52F3"/>
    <w:rsid w:val="008A5456"/>
    <w:rsid w:val="008A59AC"/>
    <w:rsid w:val="008A5A73"/>
    <w:rsid w:val="008A6CCE"/>
    <w:rsid w:val="008A72B7"/>
    <w:rsid w:val="008A7F7D"/>
    <w:rsid w:val="008B0346"/>
    <w:rsid w:val="008B0D49"/>
    <w:rsid w:val="008B1A5A"/>
    <w:rsid w:val="008B1D05"/>
    <w:rsid w:val="008B2F39"/>
    <w:rsid w:val="008B382F"/>
    <w:rsid w:val="008B4590"/>
    <w:rsid w:val="008B49B9"/>
    <w:rsid w:val="008B4C5D"/>
    <w:rsid w:val="008B551D"/>
    <w:rsid w:val="008B5AB4"/>
    <w:rsid w:val="008B64A5"/>
    <w:rsid w:val="008B6BAC"/>
    <w:rsid w:val="008B7210"/>
    <w:rsid w:val="008B732C"/>
    <w:rsid w:val="008B761A"/>
    <w:rsid w:val="008B7FFE"/>
    <w:rsid w:val="008C0446"/>
    <w:rsid w:val="008C2B3C"/>
    <w:rsid w:val="008C2BD1"/>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73E9"/>
    <w:rsid w:val="008F7E83"/>
    <w:rsid w:val="009001DD"/>
    <w:rsid w:val="0090174A"/>
    <w:rsid w:val="009018D6"/>
    <w:rsid w:val="00901E1C"/>
    <w:rsid w:val="009036B3"/>
    <w:rsid w:val="009039BC"/>
    <w:rsid w:val="00903FA7"/>
    <w:rsid w:val="0090478B"/>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C4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0AB8"/>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2C08"/>
    <w:rsid w:val="009E3562"/>
    <w:rsid w:val="009E4814"/>
    <w:rsid w:val="009E4942"/>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502EF"/>
    <w:rsid w:val="00A50B8A"/>
    <w:rsid w:val="00A51B6B"/>
    <w:rsid w:val="00A51F40"/>
    <w:rsid w:val="00A52516"/>
    <w:rsid w:val="00A52850"/>
    <w:rsid w:val="00A52982"/>
    <w:rsid w:val="00A53AF8"/>
    <w:rsid w:val="00A5413B"/>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6FC0"/>
    <w:rsid w:val="00A97364"/>
    <w:rsid w:val="00A9772B"/>
    <w:rsid w:val="00A97D3C"/>
    <w:rsid w:val="00AA0660"/>
    <w:rsid w:val="00AA0FDF"/>
    <w:rsid w:val="00AA2DC4"/>
    <w:rsid w:val="00AA3875"/>
    <w:rsid w:val="00AA3D71"/>
    <w:rsid w:val="00AA404A"/>
    <w:rsid w:val="00AA40DC"/>
    <w:rsid w:val="00AA5FE2"/>
    <w:rsid w:val="00AA6228"/>
    <w:rsid w:val="00AA69A4"/>
    <w:rsid w:val="00AA7382"/>
    <w:rsid w:val="00AB0AD5"/>
    <w:rsid w:val="00AB0C23"/>
    <w:rsid w:val="00AB2006"/>
    <w:rsid w:val="00AB2744"/>
    <w:rsid w:val="00AB274F"/>
    <w:rsid w:val="00AB2D31"/>
    <w:rsid w:val="00AB5F30"/>
    <w:rsid w:val="00AB6BE3"/>
    <w:rsid w:val="00AB6C86"/>
    <w:rsid w:val="00AC067E"/>
    <w:rsid w:val="00AC0FF4"/>
    <w:rsid w:val="00AC10E0"/>
    <w:rsid w:val="00AC25AD"/>
    <w:rsid w:val="00AC2610"/>
    <w:rsid w:val="00AC37C3"/>
    <w:rsid w:val="00AC37F3"/>
    <w:rsid w:val="00AC3E38"/>
    <w:rsid w:val="00AC489E"/>
    <w:rsid w:val="00AC4C32"/>
    <w:rsid w:val="00AC4D07"/>
    <w:rsid w:val="00AC4F4D"/>
    <w:rsid w:val="00AC535B"/>
    <w:rsid w:val="00AC5F6A"/>
    <w:rsid w:val="00AC78A1"/>
    <w:rsid w:val="00AC7C62"/>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CCA"/>
    <w:rsid w:val="00AF1F04"/>
    <w:rsid w:val="00AF3D59"/>
    <w:rsid w:val="00AF47BE"/>
    <w:rsid w:val="00AF623F"/>
    <w:rsid w:val="00AF6794"/>
    <w:rsid w:val="00B016F7"/>
    <w:rsid w:val="00B02BDD"/>
    <w:rsid w:val="00B0434E"/>
    <w:rsid w:val="00B055B9"/>
    <w:rsid w:val="00B059CC"/>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3627"/>
    <w:rsid w:val="00B23909"/>
    <w:rsid w:val="00B24217"/>
    <w:rsid w:val="00B249F0"/>
    <w:rsid w:val="00B25BF3"/>
    <w:rsid w:val="00B25D17"/>
    <w:rsid w:val="00B275EA"/>
    <w:rsid w:val="00B30C1D"/>
    <w:rsid w:val="00B312C7"/>
    <w:rsid w:val="00B316B9"/>
    <w:rsid w:val="00B32E58"/>
    <w:rsid w:val="00B335A2"/>
    <w:rsid w:val="00B34371"/>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EAF"/>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21C3"/>
    <w:rsid w:val="00B828A7"/>
    <w:rsid w:val="00B83370"/>
    <w:rsid w:val="00B8341D"/>
    <w:rsid w:val="00B83E2E"/>
    <w:rsid w:val="00B8419C"/>
    <w:rsid w:val="00B84363"/>
    <w:rsid w:val="00B84371"/>
    <w:rsid w:val="00B84B6C"/>
    <w:rsid w:val="00B85EA6"/>
    <w:rsid w:val="00B8705C"/>
    <w:rsid w:val="00B87DC4"/>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2314"/>
    <w:rsid w:val="00BE309D"/>
    <w:rsid w:val="00BE545A"/>
    <w:rsid w:val="00BE5E11"/>
    <w:rsid w:val="00BE6C95"/>
    <w:rsid w:val="00BE74FA"/>
    <w:rsid w:val="00BE75D9"/>
    <w:rsid w:val="00BF055D"/>
    <w:rsid w:val="00BF0A54"/>
    <w:rsid w:val="00BF0F1C"/>
    <w:rsid w:val="00BF1B7F"/>
    <w:rsid w:val="00BF2A79"/>
    <w:rsid w:val="00BF2C41"/>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1482"/>
    <w:rsid w:val="00C13AEF"/>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52F4"/>
    <w:rsid w:val="00C25E9A"/>
    <w:rsid w:val="00C268B5"/>
    <w:rsid w:val="00C27836"/>
    <w:rsid w:val="00C27ABF"/>
    <w:rsid w:val="00C315FB"/>
    <w:rsid w:val="00C317BD"/>
    <w:rsid w:val="00C32B1A"/>
    <w:rsid w:val="00C32E86"/>
    <w:rsid w:val="00C33279"/>
    <w:rsid w:val="00C3357E"/>
    <w:rsid w:val="00C34B44"/>
    <w:rsid w:val="00C36D48"/>
    <w:rsid w:val="00C37DED"/>
    <w:rsid w:val="00C40541"/>
    <w:rsid w:val="00C4085C"/>
    <w:rsid w:val="00C40D47"/>
    <w:rsid w:val="00C40FE3"/>
    <w:rsid w:val="00C41015"/>
    <w:rsid w:val="00C41CA7"/>
    <w:rsid w:val="00C43166"/>
    <w:rsid w:val="00C43EDF"/>
    <w:rsid w:val="00C43FC1"/>
    <w:rsid w:val="00C43FEF"/>
    <w:rsid w:val="00C4418A"/>
    <w:rsid w:val="00C44443"/>
    <w:rsid w:val="00C44811"/>
    <w:rsid w:val="00C45194"/>
    <w:rsid w:val="00C454B0"/>
    <w:rsid w:val="00C45BF0"/>
    <w:rsid w:val="00C465D1"/>
    <w:rsid w:val="00C46B4E"/>
    <w:rsid w:val="00C47330"/>
    <w:rsid w:val="00C47458"/>
    <w:rsid w:val="00C47468"/>
    <w:rsid w:val="00C512C4"/>
    <w:rsid w:val="00C53243"/>
    <w:rsid w:val="00C5368D"/>
    <w:rsid w:val="00C53DFD"/>
    <w:rsid w:val="00C540E2"/>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CB"/>
    <w:rsid w:val="00C908F8"/>
    <w:rsid w:val="00C9249D"/>
    <w:rsid w:val="00C924D7"/>
    <w:rsid w:val="00C93293"/>
    <w:rsid w:val="00C94989"/>
    <w:rsid w:val="00C9520E"/>
    <w:rsid w:val="00C95593"/>
    <w:rsid w:val="00C957E7"/>
    <w:rsid w:val="00C95BAD"/>
    <w:rsid w:val="00C96A63"/>
    <w:rsid w:val="00C97093"/>
    <w:rsid w:val="00C9742A"/>
    <w:rsid w:val="00C97602"/>
    <w:rsid w:val="00C97850"/>
    <w:rsid w:val="00CA1869"/>
    <w:rsid w:val="00CA2022"/>
    <w:rsid w:val="00CA20C8"/>
    <w:rsid w:val="00CA306F"/>
    <w:rsid w:val="00CA57C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49BE"/>
    <w:rsid w:val="00D05039"/>
    <w:rsid w:val="00D051F8"/>
    <w:rsid w:val="00D07227"/>
    <w:rsid w:val="00D12C5F"/>
    <w:rsid w:val="00D12D70"/>
    <w:rsid w:val="00D12EE7"/>
    <w:rsid w:val="00D130AF"/>
    <w:rsid w:val="00D1373C"/>
    <w:rsid w:val="00D1418F"/>
    <w:rsid w:val="00D15162"/>
    <w:rsid w:val="00D1674E"/>
    <w:rsid w:val="00D16EC5"/>
    <w:rsid w:val="00D171D4"/>
    <w:rsid w:val="00D17702"/>
    <w:rsid w:val="00D17C3D"/>
    <w:rsid w:val="00D20924"/>
    <w:rsid w:val="00D225CB"/>
    <w:rsid w:val="00D23DF9"/>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885"/>
    <w:rsid w:val="00D85A93"/>
    <w:rsid w:val="00D866C9"/>
    <w:rsid w:val="00D870F1"/>
    <w:rsid w:val="00D8720F"/>
    <w:rsid w:val="00D87527"/>
    <w:rsid w:val="00D87652"/>
    <w:rsid w:val="00D87880"/>
    <w:rsid w:val="00D91C8E"/>
    <w:rsid w:val="00D9238F"/>
    <w:rsid w:val="00D92D08"/>
    <w:rsid w:val="00D9301B"/>
    <w:rsid w:val="00D9372E"/>
    <w:rsid w:val="00D9392E"/>
    <w:rsid w:val="00D942E8"/>
    <w:rsid w:val="00D947F0"/>
    <w:rsid w:val="00D956DB"/>
    <w:rsid w:val="00D95F73"/>
    <w:rsid w:val="00D963CC"/>
    <w:rsid w:val="00D96A04"/>
    <w:rsid w:val="00D96E40"/>
    <w:rsid w:val="00D96EB7"/>
    <w:rsid w:val="00D9726D"/>
    <w:rsid w:val="00D9728D"/>
    <w:rsid w:val="00DA0C4C"/>
    <w:rsid w:val="00DA0D61"/>
    <w:rsid w:val="00DA1BEE"/>
    <w:rsid w:val="00DA3622"/>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30C"/>
    <w:rsid w:val="00DC2CE7"/>
    <w:rsid w:val="00DC301A"/>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61D"/>
    <w:rsid w:val="00E31ABA"/>
    <w:rsid w:val="00E324FC"/>
    <w:rsid w:val="00E3289D"/>
    <w:rsid w:val="00E32A41"/>
    <w:rsid w:val="00E32DDF"/>
    <w:rsid w:val="00E32E35"/>
    <w:rsid w:val="00E33108"/>
    <w:rsid w:val="00E33490"/>
    <w:rsid w:val="00E34706"/>
    <w:rsid w:val="00E34942"/>
    <w:rsid w:val="00E35EA3"/>
    <w:rsid w:val="00E37290"/>
    <w:rsid w:val="00E37AE3"/>
    <w:rsid w:val="00E41C80"/>
    <w:rsid w:val="00E42427"/>
    <w:rsid w:val="00E43ABE"/>
    <w:rsid w:val="00E44148"/>
    <w:rsid w:val="00E442D0"/>
    <w:rsid w:val="00E443E0"/>
    <w:rsid w:val="00E445BD"/>
    <w:rsid w:val="00E45562"/>
    <w:rsid w:val="00E4563C"/>
    <w:rsid w:val="00E46497"/>
    <w:rsid w:val="00E47A5F"/>
    <w:rsid w:val="00E507A5"/>
    <w:rsid w:val="00E51842"/>
    <w:rsid w:val="00E528D2"/>
    <w:rsid w:val="00E540D8"/>
    <w:rsid w:val="00E54E89"/>
    <w:rsid w:val="00E54F6E"/>
    <w:rsid w:val="00E556FC"/>
    <w:rsid w:val="00E55EB2"/>
    <w:rsid w:val="00E57F9C"/>
    <w:rsid w:val="00E600D2"/>
    <w:rsid w:val="00E601CE"/>
    <w:rsid w:val="00E602CF"/>
    <w:rsid w:val="00E60719"/>
    <w:rsid w:val="00E61EE8"/>
    <w:rsid w:val="00E62441"/>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951"/>
    <w:rsid w:val="00E80774"/>
    <w:rsid w:val="00E815A9"/>
    <w:rsid w:val="00E828A5"/>
    <w:rsid w:val="00E82B54"/>
    <w:rsid w:val="00E83035"/>
    <w:rsid w:val="00E83095"/>
    <w:rsid w:val="00E838B2"/>
    <w:rsid w:val="00E84521"/>
    <w:rsid w:val="00E856B0"/>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CA1"/>
    <w:rsid w:val="00EA0DB8"/>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F5"/>
    <w:rsid w:val="00F0190C"/>
    <w:rsid w:val="00F02E83"/>
    <w:rsid w:val="00F02E9D"/>
    <w:rsid w:val="00F036BC"/>
    <w:rsid w:val="00F04044"/>
    <w:rsid w:val="00F046C8"/>
    <w:rsid w:val="00F047AB"/>
    <w:rsid w:val="00F05DE1"/>
    <w:rsid w:val="00F06692"/>
    <w:rsid w:val="00F07200"/>
    <w:rsid w:val="00F07353"/>
    <w:rsid w:val="00F104E6"/>
    <w:rsid w:val="00F10D6B"/>
    <w:rsid w:val="00F11ACD"/>
    <w:rsid w:val="00F120C4"/>
    <w:rsid w:val="00F12139"/>
    <w:rsid w:val="00F123F5"/>
    <w:rsid w:val="00F12CDC"/>
    <w:rsid w:val="00F13A46"/>
    <w:rsid w:val="00F13E45"/>
    <w:rsid w:val="00F147C6"/>
    <w:rsid w:val="00F152E2"/>
    <w:rsid w:val="00F158B6"/>
    <w:rsid w:val="00F160E5"/>
    <w:rsid w:val="00F17FAE"/>
    <w:rsid w:val="00F21705"/>
    <w:rsid w:val="00F231FC"/>
    <w:rsid w:val="00F23AEF"/>
    <w:rsid w:val="00F24D2E"/>
    <w:rsid w:val="00F24D34"/>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4C78"/>
    <w:rsid w:val="00F452C0"/>
    <w:rsid w:val="00F459E6"/>
    <w:rsid w:val="00F45BE1"/>
    <w:rsid w:val="00F46070"/>
    <w:rsid w:val="00F4708E"/>
    <w:rsid w:val="00F5225F"/>
    <w:rsid w:val="00F52CEB"/>
    <w:rsid w:val="00F5309E"/>
    <w:rsid w:val="00F53347"/>
    <w:rsid w:val="00F53C70"/>
    <w:rsid w:val="00F53E61"/>
    <w:rsid w:val="00F5433C"/>
    <w:rsid w:val="00F55D7B"/>
    <w:rsid w:val="00F5630D"/>
    <w:rsid w:val="00F56C9C"/>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CC8"/>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2DD2"/>
    <w:rsid w:val="00FC44A1"/>
    <w:rsid w:val="00FC453A"/>
    <w:rsid w:val="00FC4DEB"/>
    <w:rsid w:val="00FC72AD"/>
    <w:rsid w:val="00FC77FF"/>
    <w:rsid w:val="00FC7E40"/>
    <w:rsid w:val="00FD1351"/>
    <w:rsid w:val="00FD1469"/>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styleId="Referenciasutil">
    <w:name w:val="Subtle Reference"/>
    <w:basedOn w:val="Fuentedeprrafopredeter"/>
    <w:uiPriority w:val="31"/>
    <w:qFormat/>
    <w:rsid w:val="009E2C0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4725283">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65234.page" TargetMode="External"/><Relationship Id="rId13" Type="http://schemas.openxmlformats.org/officeDocument/2006/relationships/hyperlink" Target="https://saimex.org.mx/saimex/solicitud/downloadAttach/1992063.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1992065.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92065.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992064.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992063.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777C-E70D-4A51-81AB-D9C62322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3968</Words>
  <Characters>21826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DTPDP578</cp:lastModifiedBy>
  <cp:revision>6</cp:revision>
  <cp:lastPrinted>2024-02-02T01:37:00Z</cp:lastPrinted>
  <dcterms:created xsi:type="dcterms:W3CDTF">2024-01-25T09:03:00Z</dcterms:created>
  <dcterms:modified xsi:type="dcterms:W3CDTF">2024-02-02T01:37:00Z</dcterms:modified>
</cp:coreProperties>
</file>