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D224B"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veintiuno de noviembre de dos mil veinticuatro. </w:t>
      </w:r>
    </w:p>
    <w:p w14:paraId="30498B50"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b/>
        </w:rPr>
        <w:t>VISTO</w:t>
      </w:r>
      <w:r w:rsidRPr="00640860">
        <w:rPr>
          <w:rFonts w:ascii="Palatino Linotype" w:eastAsia="Palatino Linotype" w:hAnsi="Palatino Linotype" w:cs="Palatino Linotype"/>
        </w:rPr>
        <w:t xml:space="preserve"> el expediente formado con motivo del recurso de revisión </w:t>
      </w:r>
      <w:r w:rsidRPr="00640860">
        <w:rPr>
          <w:rFonts w:ascii="Palatino Linotype" w:eastAsia="Palatino Linotype" w:hAnsi="Palatino Linotype" w:cs="Palatino Linotype"/>
          <w:b/>
        </w:rPr>
        <w:t>06094/INFOEM/IP/RR/2024</w:t>
      </w:r>
      <w:r w:rsidRPr="00640860">
        <w:rPr>
          <w:rFonts w:ascii="Palatino Linotype" w:eastAsia="Palatino Linotype" w:hAnsi="Palatino Linotype" w:cs="Palatino Linotype"/>
        </w:rPr>
        <w:t>, interpuesto por</w:t>
      </w:r>
      <w:r w:rsidRPr="00640860">
        <w:rPr>
          <w:rFonts w:ascii="Palatino Linotype" w:eastAsia="Palatino Linotype" w:hAnsi="Palatino Linotype" w:cs="Palatino Linotype"/>
          <w:b/>
        </w:rPr>
        <w:t xml:space="preserve"> persona que no proporciona nombre,</w:t>
      </w:r>
      <w:r w:rsidRPr="00640860">
        <w:rPr>
          <w:rFonts w:ascii="Palatino Linotype" w:eastAsia="Palatino Linotype" w:hAnsi="Palatino Linotype" w:cs="Palatino Linotype"/>
        </w:rPr>
        <w:t xml:space="preserve"> en lo sucesivo</w:t>
      </w:r>
      <w:r w:rsidRPr="00640860">
        <w:rPr>
          <w:rFonts w:ascii="Palatino Linotype" w:eastAsia="Palatino Linotype" w:hAnsi="Palatino Linotype" w:cs="Palatino Linotype"/>
          <w:b/>
        </w:rPr>
        <w:t xml:space="preserve"> </w:t>
      </w:r>
      <w:r w:rsidRPr="00640860">
        <w:rPr>
          <w:rFonts w:ascii="Palatino Linotype" w:eastAsia="Palatino Linotype" w:hAnsi="Palatino Linotype" w:cs="Palatino Linotype"/>
        </w:rPr>
        <w:t xml:space="preserve">la parte </w:t>
      </w:r>
      <w:r w:rsidRPr="00640860">
        <w:rPr>
          <w:rFonts w:ascii="Palatino Linotype" w:eastAsia="Palatino Linotype" w:hAnsi="Palatino Linotype" w:cs="Palatino Linotype"/>
          <w:b/>
        </w:rPr>
        <w:t>Recurrente,</w:t>
      </w:r>
      <w:r w:rsidRPr="00640860">
        <w:rPr>
          <w:rFonts w:ascii="Palatino Linotype" w:eastAsia="Palatino Linotype" w:hAnsi="Palatino Linotype" w:cs="Palatino Linotype"/>
        </w:rPr>
        <w:t xml:space="preserve"> en contra de la respuesta a la solicitud de información con número de folio </w:t>
      </w:r>
      <w:r w:rsidRPr="00640860">
        <w:rPr>
          <w:rFonts w:ascii="Palatino Linotype" w:eastAsia="Palatino Linotype" w:hAnsi="Palatino Linotype" w:cs="Palatino Linotype"/>
          <w:b/>
        </w:rPr>
        <w:t xml:space="preserve">00433/CAEM/IP/2024, </w:t>
      </w:r>
      <w:r w:rsidRPr="00640860">
        <w:rPr>
          <w:rFonts w:ascii="Palatino Linotype" w:eastAsia="Palatino Linotype" w:hAnsi="Palatino Linotype" w:cs="Palatino Linotype"/>
        </w:rPr>
        <w:t xml:space="preserve">por parte del </w:t>
      </w:r>
      <w:r w:rsidRPr="00640860">
        <w:rPr>
          <w:rFonts w:ascii="Palatino Linotype" w:eastAsia="Palatino Linotype" w:hAnsi="Palatino Linotype" w:cs="Palatino Linotype"/>
          <w:b/>
        </w:rPr>
        <w:t xml:space="preserve">Comisión del Agua del Estado de México, </w:t>
      </w:r>
      <w:r w:rsidRPr="00640860">
        <w:rPr>
          <w:rFonts w:ascii="Palatino Linotype" w:eastAsia="Palatino Linotype" w:hAnsi="Palatino Linotype" w:cs="Palatino Linotype"/>
        </w:rPr>
        <w:t xml:space="preserve">en lo sucesivo el </w:t>
      </w:r>
      <w:r w:rsidRPr="00640860">
        <w:rPr>
          <w:rFonts w:ascii="Palatino Linotype" w:eastAsia="Palatino Linotype" w:hAnsi="Palatino Linotype" w:cs="Palatino Linotype"/>
          <w:b/>
        </w:rPr>
        <w:t xml:space="preserve">Sujeto Obligado, </w:t>
      </w:r>
      <w:r w:rsidRPr="00640860">
        <w:rPr>
          <w:rFonts w:ascii="Palatino Linotype" w:eastAsia="Palatino Linotype" w:hAnsi="Palatino Linotype" w:cs="Palatino Linotype"/>
        </w:rPr>
        <w:t xml:space="preserve">se procede a dictar la presente resolución con base en los siguientes: </w:t>
      </w:r>
    </w:p>
    <w:p w14:paraId="10723D7A" w14:textId="77777777" w:rsidR="00080DFD" w:rsidRPr="00640860" w:rsidRDefault="008D17B9">
      <w:pPr>
        <w:spacing w:before="240" w:after="240" w:line="360" w:lineRule="auto"/>
        <w:jc w:val="center"/>
        <w:rPr>
          <w:rFonts w:ascii="Palatino Linotype" w:eastAsia="Palatino Linotype" w:hAnsi="Palatino Linotype" w:cs="Palatino Linotype"/>
          <w:b/>
        </w:rPr>
      </w:pPr>
      <w:r w:rsidRPr="00640860">
        <w:rPr>
          <w:rFonts w:ascii="Palatino Linotype" w:eastAsia="Palatino Linotype" w:hAnsi="Palatino Linotype" w:cs="Palatino Linotype"/>
          <w:b/>
        </w:rPr>
        <w:t>I. A N T E C E D E N T E S</w:t>
      </w:r>
    </w:p>
    <w:p w14:paraId="09AD3AC1" w14:textId="77777777" w:rsidR="00080DFD" w:rsidRPr="00640860" w:rsidRDefault="008D17B9">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640860">
        <w:rPr>
          <w:rFonts w:ascii="Palatino Linotype" w:eastAsia="Palatino Linotype" w:hAnsi="Palatino Linotype" w:cs="Palatino Linotype"/>
          <w:b/>
        </w:rPr>
        <w:t>1. Solicitud de acceso a la información.</w:t>
      </w:r>
      <w:r w:rsidRPr="00640860">
        <w:rPr>
          <w:rFonts w:ascii="Palatino Linotype" w:eastAsia="Palatino Linotype" w:hAnsi="Palatino Linotype" w:cs="Palatino Linotype"/>
        </w:rPr>
        <w:t xml:space="preserve"> El </w:t>
      </w:r>
      <w:r w:rsidRPr="00640860">
        <w:rPr>
          <w:rFonts w:ascii="Palatino Linotype" w:eastAsia="Palatino Linotype" w:hAnsi="Palatino Linotype" w:cs="Palatino Linotype"/>
          <w:b/>
        </w:rPr>
        <w:t xml:space="preserve">veintinueve de agosto de dos mil veinticuatro, </w:t>
      </w:r>
      <w:r w:rsidRPr="00640860">
        <w:rPr>
          <w:rFonts w:ascii="Palatino Linotype" w:eastAsia="Palatino Linotype" w:hAnsi="Palatino Linotype" w:cs="Palatino Linotype"/>
        </w:rPr>
        <w:t xml:space="preserve">la parte </w:t>
      </w:r>
      <w:r w:rsidRPr="00640860">
        <w:rPr>
          <w:rFonts w:ascii="Palatino Linotype" w:eastAsia="Palatino Linotype" w:hAnsi="Palatino Linotype" w:cs="Palatino Linotype"/>
          <w:b/>
        </w:rPr>
        <w:t xml:space="preserve">Recurrente </w:t>
      </w:r>
      <w:r w:rsidRPr="00640860">
        <w:rPr>
          <w:rFonts w:ascii="Palatino Linotype" w:eastAsia="Palatino Linotype" w:hAnsi="Palatino Linotype" w:cs="Palatino Linotype"/>
        </w:rPr>
        <w:t xml:space="preserve">presentó, a través del Sistema de Acceso a la Información Mexiquense, en lo subsecuente el </w:t>
      </w:r>
      <w:r w:rsidRPr="00640860">
        <w:rPr>
          <w:rFonts w:ascii="Palatino Linotype" w:eastAsia="Palatino Linotype" w:hAnsi="Palatino Linotype" w:cs="Palatino Linotype"/>
          <w:b/>
        </w:rPr>
        <w:t xml:space="preserve">SAIMEX, </w:t>
      </w:r>
      <w:r w:rsidRPr="00640860">
        <w:rPr>
          <w:rFonts w:ascii="Palatino Linotype" w:eastAsia="Palatino Linotype" w:hAnsi="Palatino Linotype" w:cs="Palatino Linotype"/>
        </w:rPr>
        <w:t xml:space="preserve">ante 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xml:space="preserve">, la solicitud de acceso a la información pública, mediante la cual requirió la información siguiente: </w:t>
      </w:r>
    </w:p>
    <w:p w14:paraId="55B3B1E3" w14:textId="77777777" w:rsidR="00080DFD" w:rsidRPr="00640860" w:rsidRDefault="008D17B9">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640860">
        <w:rPr>
          <w:rFonts w:ascii="Palatino Linotype" w:eastAsia="Palatino Linotype" w:hAnsi="Palatino Linotype" w:cs="Palatino Linotype"/>
          <w:i/>
          <w:sz w:val="22"/>
          <w:szCs w:val="22"/>
        </w:rPr>
        <w:t xml:space="preserve"> “Titular de la Unidad de Transparencia de la Comisión del Agua del Estado de México: Titular de la Unidad de Transparencia de la Comisión del Agua del Estado de México Solicito los nombramientos de los titulares y de estructura del Órgano Interno de Control de la Comisión del Agua del Estado de México, así como de sus respectivas estructuras orgánicas, con el fin de conocer su competencia, atribuciones y responsabilidades. Asimismo, requiero los recibos de nómina de dichos funcionarios públicos, desde el 1 de enero de 2024 hasta la fecha de esta solicitud, para verificar su nivel salarial y las prestaciones que perciben. Finalmente, pido que se me informe sobre el organigrama al que obedecen estos </w:t>
      </w:r>
      <w:r w:rsidRPr="00640860">
        <w:rPr>
          <w:rFonts w:ascii="Palatino Linotype" w:eastAsia="Palatino Linotype" w:hAnsi="Palatino Linotype" w:cs="Palatino Linotype"/>
          <w:i/>
          <w:sz w:val="22"/>
          <w:szCs w:val="22"/>
        </w:rPr>
        <w:lastRenderedPageBreak/>
        <w:t>servidores públicos, si es el que establece el Manual de Organización de la CAEM o el de la Secretaría de la Contraloría, así como sus funciones descritas por este medio ya que en el Manual de la CAEM no coincide y no aparecen sus funciones a como esta actualmente Estas solicitudes se basan en el derecho de acceso a la información pública que consagran los artículos 6 y 7 de la Constitución Política de los Estados Unidos Mexicanos, así como los artículos 3, 4, 5, 8, 11, 13, 14, 15, 16, 17 y demás relativos y aplicables de la Ley de Transparencia y Acceso a la Información Pública del Estado de México y Municipios. El objetivo de estas solicitudes es obtener información veraz, completa, oportuna y accesible sobre el ejercicio de la función pública y el manejo de los recursos públicos, para promover la rendición de cuentas, la transparencia, la participación ciudadana y el combate a la corrupción.</w:t>
      </w:r>
      <w:r w:rsidRPr="00640860">
        <w:rPr>
          <w:rFonts w:ascii="Palatino Linotype" w:eastAsia="Palatino Linotype" w:hAnsi="Palatino Linotype" w:cs="Palatino Linotype"/>
          <w:b/>
          <w:i/>
          <w:sz w:val="22"/>
          <w:szCs w:val="22"/>
        </w:rPr>
        <w:t>”</w:t>
      </w:r>
      <w:r w:rsidRPr="00640860">
        <w:rPr>
          <w:rFonts w:ascii="Palatino Linotype" w:eastAsia="Palatino Linotype" w:hAnsi="Palatino Linotype" w:cs="Palatino Linotype"/>
          <w:i/>
          <w:sz w:val="22"/>
          <w:szCs w:val="22"/>
        </w:rPr>
        <w:t xml:space="preserve"> (sic) </w:t>
      </w:r>
    </w:p>
    <w:p w14:paraId="69BC3F02" w14:textId="77777777" w:rsidR="00080DFD" w:rsidRPr="00640860" w:rsidRDefault="008D17B9">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640860">
        <w:rPr>
          <w:rFonts w:ascii="Palatino Linotype" w:eastAsia="Palatino Linotype" w:hAnsi="Palatino Linotype" w:cs="Palatino Linotype"/>
          <w:b/>
        </w:rPr>
        <w:t xml:space="preserve">Modalidad de Entrega: </w:t>
      </w:r>
      <w:r w:rsidRPr="00640860">
        <w:rPr>
          <w:rFonts w:ascii="Palatino Linotype" w:eastAsia="Palatino Linotype" w:hAnsi="Palatino Linotype" w:cs="Palatino Linotype"/>
        </w:rPr>
        <w:t xml:space="preserve">A través del SAIMEX. </w:t>
      </w:r>
    </w:p>
    <w:p w14:paraId="75CA1EFE" w14:textId="77777777" w:rsidR="00080DFD" w:rsidRPr="00640860" w:rsidRDefault="008D17B9">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b/>
        </w:rPr>
        <w:t xml:space="preserve">2. Prórroga. </w:t>
      </w:r>
      <w:r w:rsidRPr="00640860">
        <w:rPr>
          <w:rFonts w:ascii="Palatino Linotype" w:eastAsia="Palatino Linotype" w:hAnsi="Palatino Linotype" w:cs="Palatino Linotype"/>
        </w:rPr>
        <w:t xml:space="preserve">El </w:t>
      </w:r>
      <w:r w:rsidRPr="00640860">
        <w:rPr>
          <w:rFonts w:ascii="Palatino Linotype" w:eastAsia="Palatino Linotype" w:hAnsi="Palatino Linotype" w:cs="Palatino Linotype"/>
          <w:b/>
        </w:rPr>
        <w:t xml:space="preserve">veinte de septiembre de dos mil veinticuatro, </w:t>
      </w:r>
      <w:r w:rsidRPr="00640860">
        <w:rPr>
          <w:rFonts w:ascii="Palatino Linotype" w:eastAsia="Palatino Linotype" w:hAnsi="Palatino Linotype" w:cs="Palatino Linotype"/>
        </w:rPr>
        <w:t xml:space="preserve">el </w:t>
      </w:r>
      <w:r w:rsidRPr="00640860">
        <w:rPr>
          <w:rFonts w:ascii="Palatino Linotype" w:eastAsia="Palatino Linotype" w:hAnsi="Palatino Linotype" w:cs="Palatino Linotype"/>
          <w:b/>
        </w:rPr>
        <w:t xml:space="preserve">Sujeto Obligado </w:t>
      </w:r>
      <w:r w:rsidRPr="00640860">
        <w:rPr>
          <w:rFonts w:ascii="Palatino Linotype" w:eastAsia="Palatino Linotype" w:hAnsi="Palatino Linotype" w:cs="Palatino Linotype"/>
        </w:rPr>
        <w:t>notificó a la persona solicitante la prórroga para dar respuesta a la solicitud</w:t>
      </w:r>
      <w:r w:rsidRPr="00640860">
        <w:rPr>
          <w:rFonts w:ascii="Palatino Linotype" w:eastAsia="Palatino Linotype" w:hAnsi="Palatino Linotype" w:cs="Palatino Linotype"/>
          <w:b/>
        </w:rPr>
        <w:t>,</w:t>
      </w:r>
      <w:r w:rsidRPr="00640860">
        <w:rPr>
          <w:rFonts w:ascii="Palatino Linotype" w:eastAsia="Palatino Linotype" w:hAnsi="Palatino Linotype" w:cs="Palatino Linotype"/>
        </w:rPr>
        <w:t xml:space="preserve"> medularmente en los siguientes términos:</w:t>
      </w:r>
    </w:p>
    <w:p w14:paraId="6613EC5C" w14:textId="77777777" w:rsidR="00080DFD" w:rsidRPr="00640860" w:rsidRDefault="008D17B9">
      <w:pPr>
        <w:spacing w:before="240" w:after="24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55F6974" w14:textId="77777777" w:rsidR="00080DFD" w:rsidRPr="00640860" w:rsidRDefault="008D17B9">
      <w:pPr>
        <w:spacing w:before="240" w:after="24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 xml:space="preserve">En atención a su oficio 219C0110020000S/1014/2024, mediante el cual plantea la necesidad de ampliar de plazo para dar respuesta a la solicitud de acceso a la información pública 00433/CAEM/IP/2024, atendiendo al volumen de información que se requiere analizar, para verificar si contienen información susceptible de clasificación de acuerdo con la Ley General y la Ley Estatal, ambas de Transparencia y Acceso a la Información Pública para, en su caso, generar las versiones públicas correspondientes, y así permitir al peticionario tener acceso a la documentación, le informo lo siguiente: Al tener conocimiento de su solicitud, la Unidad de Transparencia convocó al Comité de Transparencia de la CAEM para que analizara la procedencia de su requerimiento, y de ser el caso, confirmar la ampliación de plazo para dar respuesta a la solicitud que nos ocupa. En consecuencia, el pasado 11 de septiembre de 2024, en sesión extraordinaria 120-E los integrantes del Comité de Transparencia de la CAEM estimaron acertado </w:t>
      </w:r>
      <w:r w:rsidRPr="00640860">
        <w:rPr>
          <w:rFonts w:ascii="Palatino Linotype" w:eastAsia="Palatino Linotype" w:hAnsi="Palatino Linotype" w:cs="Palatino Linotype"/>
          <w:i/>
          <w:sz w:val="22"/>
          <w:szCs w:val="22"/>
        </w:rPr>
        <w:lastRenderedPageBreak/>
        <w:t>que dicha área cuente con el tiempo necesario para continuar con la revisión exhaustiva de las documentales relacionada con la solicitud ingresada mediante el sistema SAIMEX, a la que se le asignó el folio 00433/CAEM/IP/2024, con el objeto de determinar si, en su caso, contienen información susceptible de clasificarse como reservada o confidencial y, en consecuencia, elaborar las versiones públicas correspondientes, ya que se advirtió que la información requerida consta de un número importante de documentos que deben ser revisados y analizados de manera minuciosa para que se pueda determinar si alguno de los datos pudiera actualizar alguna causal de reserva o confidencialidad de conformidad con las hipótesis previstas en las leyes en la materia. Por lo tanto, con fundamento en el artículo 132, segundo párrafo, de la Ley General de Transparencia y Acceso a la Información Pública y 163 segundo párrafo de la Ley de Transparencia y Acceso a la Información Pública del Estado de México y Municipios, me permito informarle que la prórroga al plazo de entrega de la respuesta a la solicitud de acceso a la información 00433/CAEM/IP/2024, fue aprobada, por hasta 7 días hábiles, tal como quedó establecido en acuerdo siguiente: COMINFORM 120-E-11092024-07 Con fundamento en lo dispuesto por los artículos 47 y 49, fracciones II y XII de la Ley de Transparencia y Acceso a la Información Pública del Estado de México y Municipios, los integrantes del Comité de Transparencia de la Comisión del Agua del Estado de México determinan como procedente la solicitud de ampliación de plazo para dar cumplimiento a la entrega de información de la solicitud ingresada mediante el sistema SAIMEX, con número de folio 000433/CAEM/IP/2024, solicitada por el Servidor Público Habilitado del Órgano Interno de Control de la Comisión del Agua del Estado de México, por lo que con base en los artículos 132, segundo párrafo, de la Ley General de Transparencia y Acceso a la Información Pública y 163 segundo párrafo de la Ley de Transparencia y Acceso a la Información Pública del Estado de México y Municipios, se aprueba ampliar el plazo de atención hasta por siete días hábiles, plazo que comienza a transcurrir a partir del 23 de septiembre y fenece el 02 de octubre de 2024...” (sic)</w:t>
      </w:r>
    </w:p>
    <w:p w14:paraId="585D4D6C" w14:textId="77777777" w:rsidR="00080DFD" w:rsidRPr="00640860" w:rsidRDefault="008D17B9">
      <w:pPr>
        <w:spacing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Como refiere 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w:t>
      </w:r>
      <w:r w:rsidRPr="00640860">
        <w:rPr>
          <w:rFonts w:ascii="Palatino Linotype" w:eastAsia="Palatino Linotype" w:hAnsi="Palatino Linotype" w:cs="Palatino Linotype"/>
        </w:rPr>
        <w:lastRenderedPageBreak/>
        <w:t>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0E70109D"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b/>
        </w:rPr>
        <w:t xml:space="preserve">3. Respuesta. </w:t>
      </w:r>
      <w:r w:rsidRPr="00640860">
        <w:rPr>
          <w:rFonts w:ascii="Palatino Linotype" w:eastAsia="Palatino Linotype" w:hAnsi="Palatino Linotype" w:cs="Palatino Linotype"/>
        </w:rPr>
        <w:t xml:space="preserve">El </w:t>
      </w:r>
      <w:r w:rsidRPr="00640860">
        <w:rPr>
          <w:rFonts w:ascii="Palatino Linotype" w:eastAsia="Palatino Linotype" w:hAnsi="Palatino Linotype" w:cs="Palatino Linotype"/>
          <w:b/>
        </w:rPr>
        <w:t>dos de octubre de dos mil veinticuatro</w:t>
      </w:r>
      <w:r w:rsidRPr="00640860">
        <w:rPr>
          <w:rFonts w:ascii="Palatino Linotype" w:eastAsia="Palatino Linotype" w:hAnsi="Palatino Linotype" w:cs="Palatino Linotype"/>
        </w:rPr>
        <w:t xml:space="preserve">, el </w:t>
      </w:r>
      <w:r w:rsidRPr="00640860">
        <w:rPr>
          <w:rFonts w:ascii="Palatino Linotype" w:eastAsia="Palatino Linotype" w:hAnsi="Palatino Linotype" w:cs="Palatino Linotype"/>
          <w:b/>
        </w:rPr>
        <w:t xml:space="preserve">Sujeto Obligado </w:t>
      </w:r>
      <w:r w:rsidRPr="00640860">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C3A0B7B" w14:textId="77777777" w:rsidR="00080DFD" w:rsidRPr="00640860" w:rsidRDefault="008D17B9">
      <w:pPr>
        <w:spacing w:before="240" w:after="24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 xml:space="preserve">“Oficio No. 219C0110010000S/ 2013 /2024 Naucalpan de Juárez, Estado de México 27 de septiembre de 2024 ESTIMADO PETICIONARIO FOLIO DE LA SOLICITUD: 00433/CAEM/IP/2024 En respuesta a la solicitud recibida, nos permitimos hacer de su conocimiento que con fundamento en los artículos 2, fracciones III, VII; 4; 15; 24 fracciones XI y XXIV de la Ley de Transparencia y Acceso a la Información Pública del Estado de México y Municipios, y en cumplimiento a lo establecido en el artículo 53, fracciones II, V y VI, su petición formulada en la Unidad de Transparencia de la Comisión del Agua del Estado de México vía electrónica se ha registrado con el número de folio 00433/CAEM/IP/2024, misma que a la letra dice: “Titular de la Unidad de Transparencia de la Comisión del Agua del Estado de México: Titular de la Unidad de Transparencia de la Comisión del Agua del Estado de México Solicito los nombramientos de los titulares y de estructura del Órgano Interno de Control de la Comisión del Agua del Estado de México, así como de sus respectivas estructuras orgánicas, con el fin de conocer su competencia, atribuciones y responsabilidades. Asimismo, requiero los recibos de nómina de dichos funcionarios públicos, desde el 1 de enero de 2024 hasta la fecha de esta solicitud, para verificar su nivel salarial y las prestaciones que perciben. Finalmente, pido que se me informe sobre el organigrama al que obedecen estos servidores públicos, si es el que establece el Manual de Organización de la CAEM o el de la Secretaría de la Contraloría, así como sus funciones descritas por este medio ya que en el Manual de la CAEM no coincide y no aparecen sus funciones a como esta actualmente Estas solicitudes se basan en el derecho de acceso a la información pública que consagran los artículos 6 y 7 de la Constitución Política de los </w:t>
      </w:r>
      <w:r w:rsidRPr="00640860">
        <w:rPr>
          <w:rFonts w:ascii="Palatino Linotype" w:eastAsia="Palatino Linotype" w:hAnsi="Palatino Linotype" w:cs="Palatino Linotype"/>
          <w:i/>
          <w:sz w:val="22"/>
          <w:szCs w:val="22"/>
        </w:rPr>
        <w:lastRenderedPageBreak/>
        <w:t>Estados Unidos Mexicanos, así como los artículos 3, 4, 5, 8, 11, 13, 14, 15, 16, 17 y demás relativos y aplicables de la Ley de Transparencia y Acceso a la Información Pública del Estado de México y Municipios. El objetivo de estas solicitudes es obtener información veraz, completa, oportuna y accesible sobre el ejercicio de la función pública y el manejo de los recursos públicos, para promover la rendición de cuentas, la transparencia, la participación ciudadana y el combate a la corrupción.” (sic) Al respecto. le informo que, en primer término,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adjunta copia del oficio de respuesta con número 219C0117L/1925/2024, suscrito por la Dirección General de Administración y Finanzas, y el oficio 219C0110020000S/1110/2024 del órgano interno de Control, con la información solicitada. Sin otro particular por el momento, aprovecho la ocasión para enviarle un cordial saludo.” (sic)</w:t>
      </w:r>
    </w:p>
    <w:p w14:paraId="59D77394" w14:textId="77777777" w:rsidR="00080DFD" w:rsidRPr="00640860" w:rsidRDefault="008D17B9">
      <w:pPr>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xml:space="preserve"> adjuntó lo siguiente: </w:t>
      </w:r>
    </w:p>
    <w:p w14:paraId="3979E562" w14:textId="77777777" w:rsidR="00080DFD" w:rsidRPr="00640860" w:rsidRDefault="008D17B9">
      <w:pPr>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Oficio con número de folio 219C0110010000S/2013/2024, del veintisiete de septiembre de dos mil veinticuatro, mediante el cual el titular de la Unidad de Transparencia notifica a la persona solicitante la respuesta proporcionada por la Dirección General de Administración y Finanzas y el Órgano Interno de Control. </w:t>
      </w:r>
    </w:p>
    <w:p w14:paraId="1461BAAB" w14:textId="77777777" w:rsidR="00080DFD" w:rsidRPr="00640860" w:rsidRDefault="008D17B9">
      <w:pPr>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Oficio con número de folio 219C0110020000S/1110/2024, del veintisiete de septiembre de dos mil veinticuatro, mediante el cual el Titular del Órgano Interno de Control atiende la solicitud de información en el ámbito de sus competencias, esto es, respecto a la estructura orgánica de la cual depende el Órgano Interno de Control de la Comisión del Agua del Estado de México, y las funciones de cada una de las áreas y departamentos que integran el Órgano Interno de Control, cuyos </w:t>
      </w:r>
      <w:r w:rsidRPr="00640860">
        <w:rPr>
          <w:rFonts w:ascii="Palatino Linotype" w:eastAsia="Palatino Linotype" w:hAnsi="Palatino Linotype" w:cs="Palatino Linotype"/>
        </w:rPr>
        <w:lastRenderedPageBreak/>
        <w:t>términos serán analizados en líneas posteriores, asimismo, manifestó que la información referente a los nombramientos de los titulares y de estructura del Órgano Interno de Control y los recibos de nómina desde el uno de enero al veintinueve de agosto de dos mil veinticuatro, de los titulares de las unidades administrativas y de estructura que integran el Órgano Interno de Control son competencia de los Departamentos de Registro y Control de Personal, y de Administración de Sueldos y Salarios, ambos adscritos a la Subdirección de Administración de Personal de la Dirección General de Administración y Finanzas. (Duplicado)</w:t>
      </w:r>
    </w:p>
    <w:p w14:paraId="0442F257" w14:textId="77777777" w:rsidR="00080DFD" w:rsidRPr="00640860" w:rsidRDefault="008D17B9">
      <w:pPr>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 Oficio con número de folio 219C0117L/1925/2024, del cuatro de septiembre de dos mil veinticuatro, mediante el cual la Directora General de Administración y Finanzas, con fundamento en el artículo 161 de la manifiesto que Ley de Transparencia y Acceso a la Información Pública del Estado de México y Municipios, sugirió consultar la información concerniente a los nombres de los titulares de las distintas unidades administrativas en la página electrónica de la Secretaría del Agua; las remuneraciones de los servidores públicos en el portal de Información Pública de Oficio Mexiquense, IPOMEX, del Sujeto Obligado; y la Estructura Orgánica, objetivos y funciones de cada unidad administrativa en el Manual General de Organización del Sujeto Obligado, proporcionando las direcciones electrónicas correspondientes para efectos de la consulta. (Duplicado)</w:t>
      </w:r>
    </w:p>
    <w:p w14:paraId="17579A45" w14:textId="77777777" w:rsidR="00080DFD" w:rsidRPr="00640860" w:rsidRDefault="008D17B9">
      <w:pPr>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 Oficio con número de folio 219C0110020000S/1014/2024, del cuatro de septiembre de dos mil veinticuatro, mediante el cual el Titular del Órgano Interno de Control solicitó la prórroga de siete días hábiles para emitir respuesta a la solicitud.</w:t>
      </w:r>
    </w:p>
    <w:p w14:paraId="16C6186B" w14:textId="77777777" w:rsidR="00080DFD" w:rsidRPr="00640860" w:rsidRDefault="008D17B9">
      <w:pPr>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 Oficio con número de folio 203400000L-051/2023, del nueve de octubre de dos mil veintitrés, mediante el cual el Oficial Mayor, hizo llegar al Director General de Administración y Finanzas, el organigrama y la codificación estructural de la Secretaría del Agua, así como los correspondientes a los organismos auxiliares que tiene sectorizados dicha dependencia, autorizados por la Oficialía Mayor.</w:t>
      </w:r>
    </w:p>
    <w:p w14:paraId="48A3820F" w14:textId="77777777" w:rsidR="00080DFD" w:rsidRPr="00640860" w:rsidRDefault="008D17B9">
      <w:pPr>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 Organigrama y codificación estructural de los organismos descentralizados de la Secretaría del Agua, entre ellos la Comisión del Agua del Estado de México.</w:t>
      </w:r>
    </w:p>
    <w:p w14:paraId="43C15456" w14:textId="77777777" w:rsidR="00080DFD" w:rsidRPr="00640860" w:rsidRDefault="008D17B9">
      <w:pPr>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b/>
        </w:rPr>
        <w:t xml:space="preserve">4. Interposición del recurso de revisión. </w:t>
      </w:r>
      <w:r w:rsidRPr="00640860">
        <w:rPr>
          <w:rFonts w:ascii="Palatino Linotype" w:eastAsia="Palatino Linotype" w:hAnsi="Palatino Linotype" w:cs="Palatino Linotype"/>
        </w:rPr>
        <w:t xml:space="preserve">Inconforme con los términos de la respuesta emitida por parte del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el</w:t>
      </w:r>
      <w:r w:rsidRPr="00640860">
        <w:rPr>
          <w:rFonts w:ascii="Palatino Linotype" w:eastAsia="Palatino Linotype" w:hAnsi="Palatino Linotype" w:cs="Palatino Linotype"/>
          <w:b/>
        </w:rPr>
        <w:t xml:space="preserve"> nueve de octubre de dos mil veinticuatro, </w:t>
      </w:r>
      <w:r w:rsidRPr="00640860">
        <w:rPr>
          <w:rFonts w:ascii="Palatino Linotype" w:eastAsia="Palatino Linotype" w:hAnsi="Palatino Linotype" w:cs="Palatino Linotype"/>
        </w:rPr>
        <w:t xml:space="preserve">la parte </w:t>
      </w:r>
      <w:r w:rsidRPr="00640860">
        <w:rPr>
          <w:rFonts w:ascii="Palatino Linotype" w:eastAsia="Palatino Linotype" w:hAnsi="Palatino Linotype" w:cs="Palatino Linotype"/>
          <w:b/>
        </w:rPr>
        <w:t>Recurrente</w:t>
      </w:r>
      <w:r w:rsidRPr="00640860">
        <w:rPr>
          <w:rFonts w:ascii="Palatino Linotype" w:eastAsia="Palatino Linotype" w:hAnsi="Palatino Linotype" w:cs="Palatino Linotype"/>
        </w:rPr>
        <w:t xml:space="preserve"> interpuso el recurso de revisión a través de </w:t>
      </w:r>
      <w:r w:rsidRPr="00640860">
        <w:rPr>
          <w:rFonts w:ascii="Palatino Linotype" w:eastAsia="Palatino Linotype" w:hAnsi="Palatino Linotype" w:cs="Palatino Linotype"/>
          <w:b/>
        </w:rPr>
        <w:t xml:space="preserve">SAIMEX, </w:t>
      </w:r>
      <w:r w:rsidRPr="00640860">
        <w:rPr>
          <w:rFonts w:ascii="Palatino Linotype" w:eastAsia="Palatino Linotype" w:hAnsi="Palatino Linotype" w:cs="Palatino Linotype"/>
        </w:rPr>
        <w:t>en donde se manifestó de la siguiente manera:</w:t>
      </w:r>
    </w:p>
    <w:p w14:paraId="6ACD4DBE" w14:textId="77777777" w:rsidR="00080DFD" w:rsidRPr="00640860" w:rsidRDefault="008D17B9">
      <w:pPr>
        <w:tabs>
          <w:tab w:val="left" w:pos="2745"/>
        </w:tabs>
        <w:spacing w:before="240" w:after="240" w:line="360" w:lineRule="auto"/>
        <w:jc w:val="both"/>
        <w:rPr>
          <w:rFonts w:ascii="Palatino Linotype" w:eastAsia="Palatino Linotype" w:hAnsi="Palatino Linotype" w:cs="Palatino Linotype"/>
          <w:b/>
        </w:rPr>
      </w:pPr>
      <w:r w:rsidRPr="00640860">
        <w:rPr>
          <w:rFonts w:ascii="Palatino Linotype" w:eastAsia="Palatino Linotype" w:hAnsi="Palatino Linotype" w:cs="Palatino Linotype"/>
          <w:b/>
        </w:rPr>
        <w:t xml:space="preserve">Acto impugnado: </w:t>
      </w:r>
    </w:p>
    <w:p w14:paraId="612C5E71" w14:textId="77777777" w:rsidR="00080DFD" w:rsidRPr="00640860" w:rsidRDefault="008D17B9">
      <w:pPr>
        <w:tabs>
          <w:tab w:val="left" w:pos="2745"/>
        </w:tabs>
        <w:spacing w:before="240" w:after="24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“Al tratar de identificar la información solicitada se observa que se niegan a enviarla” (sic)</w:t>
      </w:r>
    </w:p>
    <w:p w14:paraId="7E300EF5" w14:textId="77777777" w:rsidR="00080DFD" w:rsidRPr="00640860" w:rsidRDefault="008D17B9">
      <w:pPr>
        <w:spacing w:line="360" w:lineRule="auto"/>
        <w:jc w:val="both"/>
        <w:rPr>
          <w:rFonts w:ascii="Palatino Linotype" w:eastAsia="Palatino Linotype" w:hAnsi="Palatino Linotype" w:cs="Palatino Linotype"/>
        </w:rPr>
      </w:pPr>
      <w:bookmarkStart w:id="3" w:name="_heading=h.30j0zll" w:colFirst="0" w:colLast="0"/>
      <w:bookmarkEnd w:id="3"/>
      <w:r w:rsidRPr="00640860">
        <w:rPr>
          <w:rFonts w:ascii="Palatino Linotype" w:eastAsia="Palatino Linotype" w:hAnsi="Palatino Linotype" w:cs="Palatino Linotype"/>
          <w:b/>
        </w:rPr>
        <w:t>Y, Razones o motivos de inconformidad</w:t>
      </w:r>
      <w:r w:rsidRPr="00640860">
        <w:rPr>
          <w:rFonts w:ascii="Palatino Linotype" w:eastAsia="Palatino Linotype" w:hAnsi="Palatino Linotype" w:cs="Palatino Linotype"/>
        </w:rPr>
        <w:t>:</w:t>
      </w:r>
    </w:p>
    <w:p w14:paraId="14BABB27" w14:textId="77777777" w:rsidR="00080DFD" w:rsidRPr="00640860" w:rsidRDefault="008D17B9">
      <w:pPr>
        <w:tabs>
          <w:tab w:val="left" w:pos="2745"/>
        </w:tabs>
        <w:spacing w:before="240" w:after="24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“Al tratar de identificar la información solicitada se observa que se niegan a enviarla” (sic)</w:t>
      </w:r>
    </w:p>
    <w:p w14:paraId="5AAA7B3E" w14:textId="77777777" w:rsidR="00080DFD" w:rsidRPr="00640860" w:rsidRDefault="008D17B9">
      <w:pPr>
        <w:spacing w:before="240" w:after="240" w:line="360" w:lineRule="auto"/>
        <w:ind w:right="51"/>
        <w:jc w:val="both"/>
        <w:rPr>
          <w:rFonts w:ascii="Palatino Linotype" w:eastAsia="Palatino Linotype" w:hAnsi="Palatino Linotype" w:cs="Palatino Linotype"/>
        </w:rPr>
      </w:pPr>
      <w:r w:rsidRPr="00640860">
        <w:rPr>
          <w:rFonts w:ascii="Palatino Linotype" w:eastAsia="Palatino Linotype" w:hAnsi="Palatino Linotype" w:cs="Palatino Linotype"/>
          <w:b/>
        </w:rPr>
        <w:t xml:space="preserve">5. Turno. </w:t>
      </w:r>
      <w:r w:rsidRPr="0064086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640860">
        <w:rPr>
          <w:rFonts w:ascii="Palatino Linotype" w:eastAsia="Palatino Linotype" w:hAnsi="Palatino Linotype" w:cs="Palatino Linotype"/>
        </w:rPr>
        <w:lastRenderedPageBreak/>
        <w:t xml:space="preserve">del Estado de México y Municipios, a la Comisionada </w:t>
      </w:r>
      <w:r w:rsidRPr="00640860">
        <w:rPr>
          <w:rFonts w:ascii="Palatino Linotype" w:eastAsia="Palatino Linotype" w:hAnsi="Palatino Linotype" w:cs="Palatino Linotype"/>
          <w:b/>
        </w:rPr>
        <w:t xml:space="preserve">Guadalupe Ramírez Peña, </w:t>
      </w:r>
      <w:r w:rsidRPr="00640860">
        <w:rPr>
          <w:rFonts w:ascii="Palatino Linotype" w:eastAsia="Palatino Linotype" w:hAnsi="Palatino Linotype" w:cs="Palatino Linotype"/>
        </w:rPr>
        <w:t>a efecto de que analizara sobre su admisión o su desechamiento.</w:t>
      </w:r>
    </w:p>
    <w:p w14:paraId="5946DC94"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b/>
        </w:rPr>
        <w:t>6. Admisión del Recurso de revisión.</w:t>
      </w:r>
      <w:r w:rsidRPr="00640860">
        <w:rPr>
          <w:rFonts w:ascii="Palatino Linotype" w:eastAsia="Palatino Linotype" w:hAnsi="Palatino Linotype" w:cs="Palatino Linotype"/>
        </w:rPr>
        <w:t xml:space="preserve"> El</w:t>
      </w:r>
      <w:r w:rsidRPr="00640860">
        <w:rPr>
          <w:rFonts w:ascii="Palatino Linotype" w:eastAsia="Palatino Linotype" w:hAnsi="Palatino Linotype" w:cs="Palatino Linotype"/>
          <w:b/>
        </w:rPr>
        <w:t xml:space="preserve"> catorce de octubre de dos mil veinticuatro, </w:t>
      </w:r>
      <w:r w:rsidRPr="0064086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40860">
        <w:rPr>
          <w:rFonts w:ascii="Palatino Linotype" w:eastAsia="Palatino Linotype" w:hAnsi="Palatino Linotype" w:cs="Palatino Linotype"/>
          <w:b/>
        </w:rPr>
        <w:t xml:space="preserve">Sujeto Obligado </w:t>
      </w:r>
      <w:r w:rsidRPr="00640860">
        <w:rPr>
          <w:rFonts w:ascii="Palatino Linotype" w:eastAsia="Palatino Linotype" w:hAnsi="Palatino Linotype" w:cs="Palatino Linotype"/>
        </w:rPr>
        <w:t>presentara su informe justificado.</w:t>
      </w:r>
    </w:p>
    <w:p w14:paraId="0E88F88E" w14:textId="77777777" w:rsidR="00080DFD" w:rsidRPr="00640860" w:rsidRDefault="008D17B9">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640860">
        <w:rPr>
          <w:rFonts w:ascii="Palatino Linotype" w:eastAsia="Palatino Linotype" w:hAnsi="Palatino Linotype" w:cs="Palatino Linotype"/>
          <w:b/>
        </w:rPr>
        <w:t>7. Manifestaciones</w:t>
      </w:r>
      <w:r w:rsidRPr="00640860">
        <w:rPr>
          <w:rFonts w:ascii="Palatino Linotype" w:eastAsia="Palatino Linotype" w:hAnsi="Palatino Linotype" w:cs="Palatino Linotype"/>
        </w:rPr>
        <w:t xml:space="preserve">. En fecha </w:t>
      </w:r>
      <w:r w:rsidRPr="00640860">
        <w:rPr>
          <w:rFonts w:ascii="Palatino Linotype" w:eastAsia="Palatino Linotype" w:hAnsi="Palatino Linotype" w:cs="Palatino Linotype"/>
          <w:b/>
        </w:rPr>
        <w:t xml:space="preserve">seis de noviembre de dos mil veinticuatro, </w:t>
      </w:r>
      <w:r w:rsidRPr="00640860">
        <w:rPr>
          <w:rFonts w:ascii="Palatino Linotype" w:eastAsia="Palatino Linotype" w:hAnsi="Palatino Linotype" w:cs="Palatino Linotype"/>
        </w:rPr>
        <w:t xml:space="preserve">el </w:t>
      </w:r>
      <w:r w:rsidRPr="00640860">
        <w:rPr>
          <w:rFonts w:ascii="Palatino Linotype" w:eastAsia="Palatino Linotype" w:hAnsi="Palatino Linotype" w:cs="Palatino Linotype"/>
          <w:b/>
        </w:rPr>
        <w:t xml:space="preserve">Sujeto Obligado </w:t>
      </w:r>
      <w:r w:rsidRPr="00640860">
        <w:rPr>
          <w:rFonts w:ascii="Palatino Linotype" w:eastAsia="Palatino Linotype" w:hAnsi="Palatino Linotype" w:cs="Palatino Linotype"/>
        </w:rPr>
        <w:t xml:space="preserve">remitió, a través de SAIMEX, su informe justificado por conducto de la Unidad de Transparencia, mediante el cual en relación con los motivos de inconformidad alegados por la parte </w:t>
      </w:r>
      <w:r w:rsidRPr="00640860">
        <w:rPr>
          <w:rFonts w:ascii="Palatino Linotype" w:eastAsia="Palatino Linotype" w:hAnsi="Palatino Linotype" w:cs="Palatino Linotype"/>
          <w:b/>
        </w:rPr>
        <w:t xml:space="preserve">Recurrente, </w:t>
      </w:r>
      <w:r w:rsidRPr="00640860">
        <w:rPr>
          <w:rFonts w:ascii="Palatino Linotype" w:eastAsia="Palatino Linotype" w:hAnsi="Palatino Linotype" w:cs="Palatino Linotype"/>
        </w:rPr>
        <w:t>refiere que el Titular del Órgano Interno de Control manifestó, por medio del oficio con número de folio 219C0110020000S/1312/2024, del cuatro de noviembre de dos mil veinticuatro, que se entregó aquella información en poder del Órgano a su cargo, el cual se anexa al referido informe.</w:t>
      </w:r>
    </w:p>
    <w:p w14:paraId="37B40A72"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Una vez analizados los documentos referidos, se determinó hacerlos del conocimiento de la parte </w:t>
      </w:r>
      <w:r w:rsidRPr="00640860">
        <w:rPr>
          <w:rFonts w:ascii="Palatino Linotype" w:eastAsia="Palatino Linotype" w:hAnsi="Palatino Linotype" w:cs="Palatino Linotype"/>
          <w:b/>
        </w:rPr>
        <w:t xml:space="preserve">Recurrente </w:t>
      </w:r>
      <w:r w:rsidRPr="00640860">
        <w:rPr>
          <w:rFonts w:ascii="Palatino Linotype" w:eastAsia="Palatino Linotype" w:hAnsi="Palatino Linotype" w:cs="Palatino Linotype"/>
        </w:rPr>
        <w:t>con la finalidad de que manifestara lo que a su derecho estimara conveniente, sin embargo, fue omisa en ejercer dicha prerrogativa.</w:t>
      </w:r>
    </w:p>
    <w:p w14:paraId="11018D5C" w14:textId="77777777" w:rsidR="00080DFD" w:rsidRPr="00640860" w:rsidRDefault="00080DFD">
      <w:pPr>
        <w:spacing w:before="240" w:after="240" w:line="360" w:lineRule="auto"/>
        <w:jc w:val="both"/>
        <w:rPr>
          <w:rFonts w:ascii="Palatino Linotype" w:eastAsia="Palatino Linotype" w:hAnsi="Palatino Linotype" w:cs="Palatino Linotype"/>
        </w:rPr>
      </w:pPr>
    </w:p>
    <w:p w14:paraId="0398C304" w14:textId="77777777" w:rsidR="00080DFD" w:rsidRPr="00640860" w:rsidRDefault="008D17B9">
      <w:pPr>
        <w:widowControl w:val="0"/>
        <w:spacing w:before="240" w:after="240" w:line="360" w:lineRule="auto"/>
        <w:jc w:val="both"/>
        <w:rPr>
          <w:rFonts w:ascii="Palatino Linotype" w:eastAsia="Palatino Linotype" w:hAnsi="Palatino Linotype" w:cs="Palatino Linotype"/>
          <w:b/>
        </w:rPr>
      </w:pPr>
      <w:r w:rsidRPr="00640860">
        <w:rPr>
          <w:rFonts w:ascii="Palatino Linotype" w:eastAsia="Palatino Linotype" w:hAnsi="Palatino Linotype" w:cs="Palatino Linotype"/>
          <w:b/>
        </w:rPr>
        <w:lastRenderedPageBreak/>
        <w:t xml:space="preserve">8. Cierre de instrucción. </w:t>
      </w:r>
      <w:r w:rsidRPr="00640860">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640860">
        <w:rPr>
          <w:rFonts w:ascii="Palatino Linotype" w:eastAsia="Palatino Linotype" w:hAnsi="Palatino Linotype" w:cs="Palatino Linotype"/>
          <w:b/>
        </w:rPr>
        <w:t>quince de noviembre de dos mil veinticuatro</w:t>
      </w:r>
      <w:r w:rsidRPr="0064086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67E1399"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DC28F53" w14:textId="77777777" w:rsidR="00080DFD" w:rsidRPr="00640860" w:rsidRDefault="008D17B9">
      <w:pPr>
        <w:widowControl w:val="0"/>
        <w:spacing w:before="240" w:after="240" w:line="360" w:lineRule="auto"/>
        <w:jc w:val="center"/>
        <w:rPr>
          <w:rFonts w:ascii="Palatino Linotype" w:eastAsia="Palatino Linotype" w:hAnsi="Palatino Linotype" w:cs="Palatino Linotype"/>
          <w:b/>
        </w:rPr>
      </w:pPr>
      <w:r w:rsidRPr="00640860">
        <w:rPr>
          <w:rFonts w:ascii="Palatino Linotype" w:eastAsia="Palatino Linotype" w:hAnsi="Palatino Linotype" w:cs="Palatino Linotype"/>
          <w:b/>
        </w:rPr>
        <w:t>II. C O N S I D E R A N D O S</w:t>
      </w:r>
    </w:p>
    <w:p w14:paraId="2C014C94"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b/>
        </w:rPr>
        <w:t>Primero. Competencia.</w:t>
      </w:r>
      <w:r w:rsidRPr="0064086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8E3931F" w14:textId="77777777" w:rsidR="00080DFD" w:rsidRPr="00640860" w:rsidRDefault="008D17B9">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640860">
        <w:rPr>
          <w:rFonts w:ascii="Palatino Linotype" w:eastAsia="Palatino Linotype" w:hAnsi="Palatino Linotype" w:cs="Palatino Linotype"/>
          <w:b/>
        </w:rPr>
        <w:lastRenderedPageBreak/>
        <w:t>Segundo. Oportunidad y Procedibilidad del Recurso de Revisión</w:t>
      </w:r>
      <w:r w:rsidRPr="00640860">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D8FDF6E"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640860">
        <w:rPr>
          <w:rFonts w:ascii="Palatino Linotype" w:eastAsia="Palatino Linotype" w:hAnsi="Palatino Linotype" w:cs="Palatino Linotype"/>
          <w:b/>
        </w:rPr>
        <w:t xml:space="preserve">Sujeto Obligado </w:t>
      </w:r>
      <w:r w:rsidRPr="00640860">
        <w:rPr>
          <w:rFonts w:ascii="Palatino Linotype" w:eastAsia="Palatino Linotype" w:hAnsi="Palatino Linotype" w:cs="Palatino Linotype"/>
        </w:rPr>
        <w:t xml:space="preserve">remitió la respuesta a la solicitud de información el día </w:t>
      </w:r>
      <w:r w:rsidRPr="00640860">
        <w:rPr>
          <w:rFonts w:ascii="Palatino Linotype" w:eastAsia="Palatino Linotype" w:hAnsi="Palatino Linotype" w:cs="Palatino Linotype"/>
          <w:b/>
        </w:rPr>
        <w:t>dos de octubre de dos mil veinticuatro</w:t>
      </w:r>
      <w:r w:rsidRPr="00640860">
        <w:rPr>
          <w:rFonts w:ascii="Palatino Linotype" w:eastAsia="Palatino Linotype" w:hAnsi="Palatino Linotype" w:cs="Palatino Linotype"/>
        </w:rPr>
        <w:t>,</w:t>
      </w:r>
      <w:r w:rsidRPr="00640860">
        <w:rPr>
          <w:rFonts w:ascii="Palatino Linotype" w:eastAsia="Palatino Linotype" w:hAnsi="Palatino Linotype" w:cs="Palatino Linotype"/>
          <w:b/>
        </w:rPr>
        <w:t xml:space="preserve"> </w:t>
      </w:r>
      <w:r w:rsidRPr="00640860">
        <w:rPr>
          <w:rFonts w:ascii="Palatino Linotype" w:eastAsia="Palatino Linotype" w:hAnsi="Palatino Linotype" w:cs="Palatino Linotype"/>
        </w:rPr>
        <w:t xml:space="preserve">mientras que el recurso de revisión interpuesto por la parte </w:t>
      </w:r>
      <w:r w:rsidRPr="00640860">
        <w:rPr>
          <w:rFonts w:ascii="Palatino Linotype" w:eastAsia="Palatino Linotype" w:hAnsi="Palatino Linotype" w:cs="Palatino Linotype"/>
          <w:b/>
        </w:rPr>
        <w:t>Recurrente</w:t>
      </w:r>
      <w:r w:rsidRPr="00640860">
        <w:rPr>
          <w:rFonts w:ascii="Palatino Linotype" w:eastAsia="Palatino Linotype" w:hAnsi="Palatino Linotype" w:cs="Palatino Linotype"/>
        </w:rPr>
        <w:t xml:space="preserve">, se tuvo por presentado el día </w:t>
      </w:r>
      <w:r w:rsidRPr="00640860">
        <w:rPr>
          <w:rFonts w:ascii="Palatino Linotype" w:eastAsia="Palatino Linotype" w:hAnsi="Palatino Linotype" w:cs="Palatino Linotype"/>
          <w:b/>
        </w:rPr>
        <w:t>nueve de octubre de dos mil veinticuatro</w:t>
      </w:r>
      <w:r w:rsidRPr="00640860">
        <w:rPr>
          <w:rFonts w:ascii="Palatino Linotype" w:eastAsia="Palatino Linotype" w:hAnsi="Palatino Linotype" w:cs="Palatino Linotype"/>
        </w:rPr>
        <w:t>, esto es al quinto día hábil posterior al que tuvo conocimiento de la respuesta impugnada. En este sentido, se concluye que el presente recurso de revisión se encuentra dentro de los márgenes temporales previstos en las disposiciones legales referidas.</w:t>
      </w:r>
    </w:p>
    <w:p w14:paraId="737B70A0" w14:textId="77777777" w:rsidR="00080DFD" w:rsidRPr="00640860" w:rsidRDefault="008D17B9">
      <w:pPr>
        <w:spacing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Además, por cuanto hace a la procedibilidad del recurso de revisión, es de suma importancia señalar que la parte</w:t>
      </w:r>
      <w:r w:rsidRPr="00640860">
        <w:rPr>
          <w:rFonts w:ascii="Palatino Linotype" w:eastAsia="Palatino Linotype" w:hAnsi="Palatino Linotype" w:cs="Palatino Linotype"/>
          <w:b/>
        </w:rPr>
        <w:t xml:space="preserve"> Recurrente</w:t>
      </w:r>
      <w:r w:rsidRPr="00640860">
        <w:rPr>
          <w:rFonts w:ascii="Palatino Linotype" w:eastAsia="Palatino Linotype" w:hAnsi="Palatino Linotype" w:cs="Palatino Linotype"/>
        </w:rPr>
        <w:t xml:space="preserve">, no señaló un </w:t>
      </w:r>
      <w:r w:rsidRPr="00640860">
        <w:rPr>
          <w:rFonts w:ascii="Palatino Linotype" w:eastAsia="Palatino Linotype" w:hAnsi="Palatino Linotype" w:cs="Palatino Linotype"/>
          <w:b/>
        </w:rPr>
        <w:t>nombre</w:t>
      </w:r>
      <w:r w:rsidRPr="00640860">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19C9904"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lastRenderedPageBreak/>
        <w:t>"</w:t>
      </w:r>
      <w:r w:rsidRPr="00640860">
        <w:rPr>
          <w:rFonts w:ascii="Palatino Linotype" w:eastAsia="Palatino Linotype" w:hAnsi="Palatino Linotype" w:cs="Palatino Linotype"/>
          <w:b/>
          <w:i/>
          <w:sz w:val="22"/>
          <w:szCs w:val="22"/>
        </w:rPr>
        <w:t>Las solicitudes anónimas</w:t>
      </w:r>
      <w:r w:rsidRPr="00640860">
        <w:rPr>
          <w:rFonts w:ascii="Palatino Linotype" w:eastAsia="Palatino Linotype" w:hAnsi="Palatino Linotype" w:cs="Palatino Linotype"/>
          <w:i/>
          <w:sz w:val="22"/>
          <w:szCs w:val="22"/>
        </w:rPr>
        <w:t xml:space="preserve">, con nombre incompleto o </w:t>
      </w:r>
      <w:r w:rsidRPr="00640860">
        <w:rPr>
          <w:rFonts w:ascii="Palatino Linotype" w:eastAsia="Palatino Linotype" w:hAnsi="Palatino Linotype" w:cs="Palatino Linotype"/>
          <w:b/>
          <w:i/>
          <w:sz w:val="22"/>
          <w:szCs w:val="22"/>
        </w:rPr>
        <w:t>seudónimo</w:t>
      </w:r>
      <w:r w:rsidRPr="00640860">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 (sic)</w:t>
      </w:r>
    </w:p>
    <w:p w14:paraId="4FA72810" w14:textId="77777777" w:rsidR="00080DFD" w:rsidRPr="00640860" w:rsidRDefault="008D17B9">
      <w:pPr>
        <w:spacing w:line="360" w:lineRule="auto"/>
        <w:jc w:val="both"/>
        <w:rPr>
          <w:rFonts w:ascii="Palatino Linotype" w:eastAsia="Palatino Linotype" w:hAnsi="Palatino Linotype" w:cs="Palatino Linotype"/>
          <w:b/>
        </w:rPr>
      </w:pPr>
      <w:r w:rsidRPr="00640860">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640860">
        <w:rPr>
          <w:rFonts w:ascii="Palatino Linotype" w:eastAsia="Palatino Linotype" w:hAnsi="Palatino Linotype" w:cs="Palatino Linotype"/>
          <w:b/>
        </w:rPr>
        <w:t xml:space="preserve"> SAIMEX.</w:t>
      </w:r>
    </w:p>
    <w:p w14:paraId="5AB8C015" w14:textId="77777777" w:rsidR="00080DFD" w:rsidRPr="00640860" w:rsidRDefault="008D17B9">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640860">
        <w:rPr>
          <w:rFonts w:ascii="Palatino Linotype" w:eastAsia="Palatino Linotype" w:hAnsi="Palatino Linotype" w:cs="Palatino Linotype"/>
        </w:rPr>
        <w:t xml:space="preserve">Finalmente, se advierte que resulta procedente la interposición del recurso, según lo manifestado por la parte </w:t>
      </w:r>
      <w:r w:rsidRPr="00640860">
        <w:rPr>
          <w:rFonts w:ascii="Palatino Linotype" w:eastAsia="Palatino Linotype" w:hAnsi="Palatino Linotype" w:cs="Palatino Linotype"/>
          <w:b/>
        </w:rPr>
        <w:t>Recurrente</w:t>
      </w:r>
      <w:r w:rsidRPr="00640860">
        <w:rPr>
          <w:rFonts w:ascii="Palatino Linotype" w:eastAsia="Palatino Linotype" w:hAnsi="Palatino Linotype" w:cs="Palatino Linotype"/>
        </w:rPr>
        <w:t xml:space="preserve"> en sus motivos de inconformidad, de acuerdo al artículo 179, fracción I del ordenamiento legal citado, que a la letra dice: </w:t>
      </w:r>
    </w:p>
    <w:p w14:paraId="7CADD066" w14:textId="77777777" w:rsidR="00080DFD" w:rsidRPr="00640860" w:rsidRDefault="008D17B9">
      <w:pPr>
        <w:spacing w:before="120" w:after="12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r w:rsidRPr="00640860">
        <w:rPr>
          <w:rFonts w:ascii="Palatino Linotype" w:eastAsia="Palatino Linotype" w:hAnsi="Palatino Linotype" w:cs="Palatino Linotype"/>
          <w:b/>
          <w:i/>
          <w:sz w:val="22"/>
          <w:szCs w:val="22"/>
        </w:rPr>
        <w:t>Artículo 179.</w:t>
      </w:r>
      <w:r w:rsidRPr="0064086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320D30A" w14:textId="77777777" w:rsidR="00080DFD" w:rsidRPr="00640860" w:rsidRDefault="008D17B9">
      <w:pPr>
        <w:spacing w:before="120" w:after="120"/>
        <w:ind w:left="1134" w:right="900"/>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 xml:space="preserve">I. </w:t>
      </w:r>
      <w:r w:rsidRPr="00640860">
        <w:rPr>
          <w:rFonts w:ascii="Palatino Linotype" w:eastAsia="Palatino Linotype" w:hAnsi="Palatino Linotype" w:cs="Palatino Linotype"/>
          <w:i/>
          <w:sz w:val="22"/>
          <w:szCs w:val="22"/>
        </w:rPr>
        <w:t>La negativa a la información solicitada…”</w:t>
      </w:r>
    </w:p>
    <w:p w14:paraId="0D4CF563"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b/>
        </w:rPr>
        <w:t xml:space="preserve">Tercero. Materia de la revisión. </w:t>
      </w:r>
      <w:r w:rsidRPr="0064086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40860">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640860">
        <w:rPr>
          <w:rFonts w:ascii="Palatino Linotype" w:eastAsia="Palatino Linotype" w:hAnsi="Palatino Linotype" w:cs="Palatino Linotype"/>
        </w:rPr>
        <w:t xml:space="preserve">de la parte </w:t>
      </w:r>
      <w:r w:rsidRPr="00640860">
        <w:rPr>
          <w:rFonts w:ascii="Palatino Linotype" w:eastAsia="Palatino Linotype" w:hAnsi="Palatino Linotype" w:cs="Palatino Linotype"/>
          <w:b/>
        </w:rPr>
        <w:t>Recurrente</w:t>
      </w:r>
      <w:r w:rsidRPr="00640860">
        <w:rPr>
          <w:rFonts w:ascii="Palatino Linotype" w:eastAsia="Palatino Linotype" w:hAnsi="Palatino Linotype" w:cs="Palatino Linotype"/>
        </w:rPr>
        <w:t>, o en su defecto, en caso de ser procedente, ordenar la entrega de información.</w:t>
      </w:r>
    </w:p>
    <w:p w14:paraId="5C6E86C5"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b/>
        </w:rPr>
        <w:t xml:space="preserve">Cuarto. Estudio del asunto. </w:t>
      </w:r>
      <w:r w:rsidRPr="00640860">
        <w:rPr>
          <w:rFonts w:ascii="Palatino Linotype" w:eastAsia="Palatino Linotype" w:hAnsi="Palatino Linotype" w:cs="Palatino Linotype"/>
        </w:rPr>
        <w:t xml:space="preserve">En primer lugar, es conveniente mencionar que de conformidad con el artículo 4 de la Ley de Transparencia y Acceso a la Información </w:t>
      </w:r>
      <w:r w:rsidRPr="00640860">
        <w:rPr>
          <w:rFonts w:ascii="Palatino Linotype" w:eastAsia="Palatino Linotype" w:hAnsi="Palatino Linotype" w:cs="Palatino Linotype"/>
        </w:rPr>
        <w:lastRenderedPageBreak/>
        <w:t>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7350910"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r w:rsidRPr="00640860">
        <w:rPr>
          <w:rFonts w:ascii="Palatino Linotype" w:eastAsia="Palatino Linotype" w:hAnsi="Palatino Linotype" w:cs="Palatino Linotype"/>
          <w:b/>
          <w:i/>
          <w:sz w:val="22"/>
          <w:szCs w:val="22"/>
        </w:rPr>
        <w:t>Artículo 4</w:t>
      </w:r>
      <w:r w:rsidRPr="0064086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8A967F4"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4086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605DDDF"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640860">
        <w:rPr>
          <w:rFonts w:ascii="Palatino Linotype" w:eastAsia="Palatino Linotype" w:hAnsi="Palatino Linotype" w:cs="Palatino Linotype"/>
          <w:i/>
          <w:sz w:val="22"/>
          <w:szCs w:val="22"/>
        </w:rPr>
        <w:t>.”</w:t>
      </w:r>
    </w:p>
    <w:p w14:paraId="6A1D92DE"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sidRPr="00640860">
        <w:rPr>
          <w:rFonts w:ascii="Palatino Linotype" w:eastAsia="Palatino Linotype" w:hAnsi="Palatino Linotype" w:cs="Palatino Linotype"/>
        </w:rPr>
        <w:lastRenderedPageBreak/>
        <w:t>Transparencia y Acceso a la Información Pública del Estado de México y Municipios, que a la letra dice:</w:t>
      </w:r>
    </w:p>
    <w:p w14:paraId="0B984D35"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“Artículo 12.-</w:t>
      </w:r>
      <w:r w:rsidRPr="0064086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CD695B6"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F3A4E71" w14:textId="77777777" w:rsidR="00080DFD" w:rsidRPr="00640860" w:rsidRDefault="008D17B9">
      <w:pPr>
        <w:spacing w:before="240" w:after="240" w:line="360" w:lineRule="auto"/>
        <w:ind w:right="-93"/>
        <w:jc w:val="both"/>
        <w:rPr>
          <w:rFonts w:ascii="Palatino Linotype" w:eastAsia="Palatino Linotype" w:hAnsi="Palatino Linotype" w:cs="Palatino Linotype"/>
        </w:rPr>
      </w:pPr>
      <w:r w:rsidRPr="00640860">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AE03178" w14:textId="77777777" w:rsidR="00080DFD" w:rsidRPr="00640860" w:rsidRDefault="008D17B9">
      <w:pPr>
        <w:spacing w:before="240" w:after="240" w:line="360" w:lineRule="auto"/>
        <w:jc w:val="both"/>
        <w:rPr>
          <w:rFonts w:ascii="Palatino Linotype" w:eastAsia="Palatino Linotype" w:hAnsi="Palatino Linotype" w:cs="Palatino Linotype"/>
          <w:b/>
        </w:rPr>
      </w:pPr>
      <w:r w:rsidRPr="00640860">
        <w:rPr>
          <w:rFonts w:ascii="Palatino Linotype" w:eastAsia="Palatino Linotype" w:hAnsi="Palatino Linotype" w:cs="Palatino Linotype"/>
        </w:rPr>
        <w:t>Sirve de apoyo a lo anterior, el criterio 03/17, emitido por el Instituto Nacional de Transparencia, Acceso a la Información y Protección de Datos Personales, que por rubro y texto, dispone lo siguiente:</w:t>
      </w:r>
      <w:r w:rsidRPr="00640860">
        <w:rPr>
          <w:rFonts w:ascii="Palatino Linotype" w:eastAsia="Palatino Linotype" w:hAnsi="Palatino Linotype" w:cs="Palatino Linotype"/>
          <w:b/>
        </w:rPr>
        <w:t xml:space="preserve"> </w:t>
      </w:r>
    </w:p>
    <w:p w14:paraId="05D6C282"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r w:rsidRPr="00640860">
        <w:rPr>
          <w:rFonts w:ascii="Palatino Linotype" w:eastAsia="Palatino Linotype" w:hAnsi="Palatino Linotype" w:cs="Palatino Linotype"/>
          <w:b/>
          <w:i/>
          <w:sz w:val="22"/>
          <w:szCs w:val="22"/>
        </w:rPr>
        <w:t>No existe obligación de elaborar documentos ad hoc para atender las solicitudes de acceso a la información.</w:t>
      </w:r>
      <w:r w:rsidRPr="0064086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w:t>
      </w:r>
      <w:r w:rsidRPr="00640860">
        <w:rPr>
          <w:rFonts w:ascii="Palatino Linotype" w:eastAsia="Palatino Linotype" w:hAnsi="Palatino Linotype" w:cs="Palatino Linotype"/>
          <w:i/>
          <w:sz w:val="22"/>
          <w:szCs w:val="22"/>
        </w:rPr>
        <w:lastRenderedPageBreak/>
        <w:t>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1AF096B9" w14:textId="77777777" w:rsidR="00080DFD" w:rsidRPr="00640860" w:rsidRDefault="008D17B9">
      <w:pPr>
        <w:spacing w:before="120" w:after="12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AD2F21A" w14:textId="77777777" w:rsidR="00080DFD" w:rsidRPr="00640860" w:rsidRDefault="008D17B9">
      <w:pPr>
        <w:spacing w:before="120" w:after="12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99EA072"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r w:rsidRPr="00640860">
        <w:rPr>
          <w:rFonts w:ascii="Palatino Linotype" w:eastAsia="Palatino Linotype" w:hAnsi="Palatino Linotype" w:cs="Palatino Linotype"/>
          <w:b/>
          <w:i/>
          <w:sz w:val="22"/>
          <w:szCs w:val="22"/>
        </w:rPr>
        <w:t xml:space="preserve">Artículo 3. </w:t>
      </w:r>
      <w:r w:rsidRPr="00640860">
        <w:rPr>
          <w:rFonts w:ascii="Palatino Linotype" w:eastAsia="Palatino Linotype" w:hAnsi="Palatino Linotype" w:cs="Palatino Linotype"/>
          <w:i/>
          <w:sz w:val="22"/>
          <w:szCs w:val="22"/>
        </w:rPr>
        <w:t>Para los efectos de la presente Ley se entenderá por:</w:t>
      </w:r>
    </w:p>
    <w:p w14:paraId="457DF674"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p>
    <w:p w14:paraId="0C648D18"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XI. Documento:</w:t>
      </w:r>
      <w:r w:rsidRPr="00640860">
        <w:rPr>
          <w:rFonts w:ascii="Palatino Linotype" w:eastAsia="Palatino Linotype" w:hAnsi="Palatino Linotype" w:cs="Palatino Linotype"/>
          <w:i/>
          <w:sz w:val="22"/>
          <w:szCs w:val="22"/>
        </w:rPr>
        <w:t xml:space="preserve"> Los expedientes, reportes, estudios, actas</w:t>
      </w:r>
      <w:r w:rsidRPr="00640860">
        <w:rPr>
          <w:rFonts w:ascii="Palatino Linotype" w:eastAsia="Palatino Linotype" w:hAnsi="Palatino Linotype" w:cs="Palatino Linotype"/>
          <w:b/>
          <w:i/>
          <w:sz w:val="22"/>
          <w:szCs w:val="22"/>
        </w:rPr>
        <w:t>,</w:t>
      </w:r>
      <w:r w:rsidRPr="0064086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w:t>
      </w:r>
      <w:r w:rsidRPr="00640860">
        <w:rPr>
          <w:rFonts w:ascii="Palatino Linotype" w:eastAsia="Palatino Linotype" w:hAnsi="Palatino Linotype" w:cs="Palatino Linotype"/>
          <w:i/>
          <w:sz w:val="22"/>
          <w:szCs w:val="22"/>
        </w:rPr>
        <w:lastRenderedPageBreak/>
        <w:t>sin importar su fuente o fecha de elaboración. Los documentos podrán estar en cualquier medio, sea escrito, impreso, sonoro, visual, electrónico, informático u holográfico…” (Sic)</w:t>
      </w:r>
    </w:p>
    <w:p w14:paraId="08859A1A"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8759CC2"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sz w:val="22"/>
          <w:szCs w:val="22"/>
        </w:rPr>
        <w:t>“</w:t>
      </w:r>
      <w:r w:rsidRPr="0064086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4086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30B72A1"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9394E27"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677E277"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037E730"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2BAD154C" w14:textId="77777777" w:rsidR="00080DFD" w:rsidRPr="00640860" w:rsidRDefault="008D17B9">
      <w:pPr>
        <w:spacing w:before="240" w:after="240" w:line="360" w:lineRule="auto"/>
        <w:ind w:right="51"/>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w:t>
      </w:r>
      <w:r w:rsidRPr="00640860">
        <w:rPr>
          <w:rFonts w:ascii="Palatino Linotype" w:eastAsia="Palatino Linotype" w:hAnsi="Palatino Linotype" w:cs="Palatino Linotype"/>
        </w:rPr>
        <w:lastRenderedPageBreak/>
        <w:t>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A16DE00"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A4F743A" w14:textId="77777777" w:rsidR="00080DFD" w:rsidRPr="00640860" w:rsidRDefault="008D17B9">
      <w:pPr>
        <w:spacing w:before="240" w:after="240" w:line="360" w:lineRule="auto"/>
        <w:ind w:right="51"/>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640860">
        <w:rPr>
          <w:rFonts w:ascii="Palatino Linotype" w:eastAsia="Palatino Linotype" w:hAnsi="Palatino Linotype" w:cs="Palatino Linotype"/>
          <w:b/>
        </w:rPr>
        <w:t>Recurrente</w:t>
      </w:r>
      <w:r w:rsidRPr="00640860">
        <w:rPr>
          <w:rFonts w:ascii="Palatino Linotype" w:eastAsia="Palatino Linotype" w:hAnsi="Palatino Linotype" w:cs="Palatino Linotype"/>
        </w:rPr>
        <w:t xml:space="preserve"> requirió al </w:t>
      </w:r>
      <w:r w:rsidRPr="00640860">
        <w:rPr>
          <w:rFonts w:ascii="Palatino Linotype" w:eastAsia="Palatino Linotype" w:hAnsi="Palatino Linotype" w:cs="Palatino Linotype"/>
          <w:b/>
        </w:rPr>
        <w:t xml:space="preserve">Sujeto Obligado, </w:t>
      </w:r>
      <w:r w:rsidRPr="00640860">
        <w:rPr>
          <w:rFonts w:ascii="Palatino Linotype" w:eastAsia="Palatino Linotype" w:hAnsi="Palatino Linotype" w:cs="Palatino Linotype"/>
        </w:rPr>
        <w:t>le proporcione consistente en lo siguiente:</w:t>
      </w:r>
    </w:p>
    <w:p w14:paraId="652AA0D2" w14:textId="77777777" w:rsidR="00080DFD" w:rsidRPr="00640860" w:rsidRDefault="008D17B9">
      <w:pPr>
        <w:spacing w:before="240" w:after="240" w:line="360" w:lineRule="auto"/>
        <w:ind w:left="284" w:right="51"/>
        <w:jc w:val="both"/>
        <w:rPr>
          <w:rFonts w:ascii="Palatino Linotype" w:eastAsia="Palatino Linotype" w:hAnsi="Palatino Linotype" w:cs="Palatino Linotype"/>
        </w:rPr>
      </w:pPr>
      <w:r w:rsidRPr="00640860">
        <w:rPr>
          <w:rFonts w:ascii="Palatino Linotype" w:eastAsia="Palatino Linotype" w:hAnsi="Palatino Linotype" w:cs="Palatino Linotype"/>
        </w:rPr>
        <w:t>1. Nombramientos de los titulares y de estructura del Órgano Interno de Control, así como de sus respectivas estructuras orgánicas.</w:t>
      </w:r>
    </w:p>
    <w:p w14:paraId="2F688AA2" w14:textId="77777777" w:rsidR="00080DFD" w:rsidRPr="00640860" w:rsidRDefault="008D17B9">
      <w:pPr>
        <w:spacing w:before="240" w:after="240" w:line="360" w:lineRule="auto"/>
        <w:ind w:left="284" w:right="51"/>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2. Recibos de nómina de los funcionarios públicos referidos en el punto 1, desde el uno de enero al veintinueve de agosto de dos mil veinticuatro.</w:t>
      </w:r>
    </w:p>
    <w:p w14:paraId="589B235F" w14:textId="77777777" w:rsidR="00080DFD" w:rsidRPr="00640860" w:rsidRDefault="008D17B9">
      <w:pPr>
        <w:spacing w:before="240" w:after="240" w:line="360" w:lineRule="auto"/>
        <w:ind w:left="284" w:right="51"/>
        <w:jc w:val="both"/>
        <w:rPr>
          <w:rFonts w:ascii="Palatino Linotype" w:eastAsia="Palatino Linotype" w:hAnsi="Palatino Linotype" w:cs="Palatino Linotype"/>
        </w:rPr>
      </w:pPr>
      <w:r w:rsidRPr="00640860">
        <w:rPr>
          <w:rFonts w:ascii="Palatino Linotype" w:eastAsia="Palatino Linotype" w:hAnsi="Palatino Linotype" w:cs="Palatino Linotype"/>
        </w:rPr>
        <w:t>3. Organigrama o estructura orgánica de la cual dependen los servidores públicos referidos en el punto 1.</w:t>
      </w:r>
    </w:p>
    <w:p w14:paraId="52A8C808" w14:textId="77777777" w:rsidR="00080DFD" w:rsidRPr="00640860" w:rsidRDefault="008D17B9">
      <w:pPr>
        <w:spacing w:before="240" w:after="240" w:line="360" w:lineRule="auto"/>
        <w:ind w:left="284" w:right="51"/>
        <w:jc w:val="both"/>
        <w:rPr>
          <w:rFonts w:ascii="Palatino Linotype" w:eastAsia="Palatino Linotype" w:hAnsi="Palatino Linotype" w:cs="Palatino Linotype"/>
        </w:rPr>
      </w:pPr>
      <w:r w:rsidRPr="00640860">
        <w:rPr>
          <w:rFonts w:ascii="Palatino Linotype" w:eastAsia="Palatino Linotype" w:hAnsi="Palatino Linotype" w:cs="Palatino Linotype"/>
        </w:rPr>
        <w:t>4. Funciones de las áreas y departamentos que integran el Órgano Interno de Control.</w:t>
      </w:r>
    </w:p>
    <w:p w14:paraId="300EB08D" w14:textId="77777777" w:rsidR="00080DFD" w:rsidRPr="00640860" w:rsidRDefault="008D17B9">
      <w:pPr>
        <w:spacing w:before="240" w:after="240" w:line="360" w:lineRule="auto"/>
        <w:ind w:right="51"/>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En respuesta, 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por conducto de la Unidad de Transparencia hizo del conocimiento de la persona solicitante el pronunciamiento emitido por los servidores públicos habilitados de la Dirección General de Administración y Finanzas y el Órgano Interno de Control, cuyos términos serán analizados en líneas posteriores.</w:t>
      </w:r>
    </w:p>
    <w:p w14:paraId="3E97DC4D" w14:textId="77777777" w:rsidR="00080DFD" w:rsidRPr="00640860" w:rsidRDefault="008D17B9">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No obstante, la parte </w:t>
      </w:r>
      <w:r w:rsidRPr="00640860">
        <w:rPr>
          <w:rFonts w:ascii="Palatino Linotype" w:eastAsia="Palatino Linotype" w:hAnsi="Palatino Linotype" w:cs="Palatino Linotype"/>
          <w:b/>
        </w:rPr>
        <w:t xml:space="preserve">Recurrente </w:t>
      </w:r>
      <w:r w:rsidRPr="00640860">
        <w:rPr>
          <w:rFonts w:ascii="Palatino Linotype" w:eastAsia="Palatino Linotype" w:hAnsi="Palatino Linotype" w:cs="Palatino Linotype"/>
        </w:rPr>
        <w:t xml:space="preserve">interpuso el recurso de revisión que se resuelve, donde manifestó como motivo de inconformidad que el </w:t>
      </w:r>
      <w:r w:rsidRPr="00640860">
        <w:rPr>
          <w:rFonts w:ascii="Palatino Linotype" w:eastAsia="Palatino Linotype" w:hAnsi="Palatino Linotype" w:cs="Palatino Linotype"/>
          <w:b/>
        </w:rPr>
        <w:t xml:space="preserve">Sujeto Obligado </w:t>
      </w:r>
      <w:r w:rsidRPr="00640860">
        <w:rPr>
          <w:rFonts w:ascii="Palatino Linotype" w:eastAsia="Palatino Linotype" w:hAnsi="Palatino Linotype" w:cs="Palatino Linotype"/>
        </w:rPr>
        <w:t>se negó a enviar la información solicitada.</w:t>
      </w:r>
    </w:p>
    <w:p w14:paraId="62EB4FF6" w14:textId="77777777" w:rsidR="00080DFD" w:rsidRPr="00640860" w:rsidRDefault="008D17B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Durante la etapa de manifestaciones el servidor público habilitado del Órgano Interno de Control, ratificó en lo sustancial la respuesta emitida en primera instancia, mientras que la parte </w:t>
      </w:r>
      <w:r w:rsidRPr="00640860">
        <w:rPr>
          <w:rFonts w:ascii="Palatino Linotype" w:eastAsia="Palatino Linotype" w:hAnsi="Palatino Linotype" w:cs="Palatino Linotype"/>
          <w:b/>
        </w:rPr>
        <w:t xml:space="preserve">Recurrente </w:t>
      </w:r>
      <w:r w:rsidRPr="00640860">
        <w:rPr>
          <w:rFonts w:ascii="Palatino Linotype" w:eastAsia="Palatino Linotype" w:hAnsi="Palatino Linotype" w:cs="Palatino Linotype"/>
        </w:rPr>
        <w:t>fue omisa en remitir cualquier elemento que a su derecho conviniera, por lo tanto, se tiene por precluido su derecho para tal efecto y se procede a emitir la resolución que conforme a derecho corresponda.</w:t>
      </w:r>
    </w:p>
    <w:p w14:paraId="78676FF9" w14:textId="77777777" w:rsidR="00080DFD" w:rsidRPr="00640860" w:rsidRDefault="008D17B9">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640860">
        <w:rPr>
          <w:rFonts w:ascii="Palatino Linotype" w:eastAsia="Palatino Linotype" w:hAnsi="Palatino Linotype" w:cs="Palatino Linotype"/>
          <w:b/>
        </w:rPr>
        <w:lastRenderedPageBreak/>
        <w:t xml:space="preserve">Sujeto Obligado, </w:t>
      </w:r>
      <w:r w:rsidRPr="00640860">
        <w:rPr>
          <w:rFonts w:ascii="Palatino Linotype" w:eastAsia="Palatino Linotype" w:hAnsi="Palatino Linotype" w:cs="Palatino Linotype"/>
        </w:rPr>
        <w:t xml:space="preserve">en contraposición con el motivo de inconformidad alegado por la parte </w:t>
      </w:r>
      <w:r w:rsidRPr="00640860">
        <w:rPr>
          <w:rFonts w:ascii="Palatino Linotype" w:eastAsia="Palatino Linotype" w:hAnsi="Palatino Linotype" w:cs="Palatino Linotype"/>
          <w:b/>
        </w:rPr>
        <w:t xml:space="preserve">Recurrente, </w:t>
      </w:r>
      <w:r w:rsidRPr="00640860">
        <w:rPr>
          <w:rFonts w:ascii="Palatino Linotype" w:eastAsia="Palatino Linotype" w:hAnsi="Palatino Linotype" w:cs="Palatino Linotype"/>
        </w:rPr>
        <w:t>con la finalidad de determinar si el Derecho de acceso de esta se satisfizo, o, en su defecto, ordenar el soporte documental correspondiente, en caso de ser procedente.</w:t>
      </w:r>
    </w:p>
    <w:p w14:paraId="333F9AF8" w14:textId="77777777" w:rsidR="00080DFD" w:rsidRPr="00640860" w:rsidRDefault="008D17B9">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Ahora bien,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2A28EB25"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7ED1B61E" w14:textId="77777777" w:rsidR="00080DFD" w:rsidRPr="00640860" w:rsidRDefault="008D17B9">
      <w:pPr>
        <w:spacing w:before="240" w:after="240" w:line="360" w:lineRule="auto"/>
        <w:ind w:right="51"/>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w:t>
      </w:r>
      <w:r w:rsidRPr="00640860">
        <w:rPr>
          <w:rFonts w:ascii="Palatino Linotype" w:eastAsia="Palatino Linotype" w:hAnsi="Palatino Linotype" w:cs="Palatino Linotype"/>
        </w:rPr>
        <w:lastRenderedPageBreak/>
        <w:t>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4E448845"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362CA425"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En esta línea de pensamiento, derivado del análisis de las constancias que obran en el expediente electrónico en el que se actúa, se advirtió que la Unidad de Transparencia, turnó la solicitud de información a las áreas que, de acuerdo con sus facultades, competencias y funciones, pudieran contar con la información materia de la solicitud, esto es al Órgano Interno de Control y a la Dirección de Administración y Finanzas, las cuales, de conformidad con el Manual General de Organización de la Comisión del Agua del Estado de México, cuentan con las siguientes atribuciones, en su parte conducente:</w:t>
      </w:r>
    </w:p>
    <w:p w14:paraId="69A1FA8D" w14:textId="77777777" w:rsidR="00080DFD" w:rsidRPr="00640860" w:rsidRDefault="008D17B9">
      <w:pPr>
        <w:spacing w:before="240" w:after="240" w:line="360" w:lineRule="auto"/>
        <w:jc w:val="both"/>
        <w:rPr>
          <w:rFonts w:ascii="Palatino Linotype" w:eastAsia="Palatino Linotype" w:hAnsi="Palatino Linotype" w:cs="Palatino Linotype"/>
          <w:b/>
        </w:rPr>
      </w:pPr>
      <w:r w:rsidRPr="00640860">
        <w:rPr>
          <w:rFonts w:ascii="Palatino Linotype" w:eastAsia="Palatino Linotype" w:hAnsi="Palatino Linotype" w:cs="Palatino Linotype"/>
          <w:b/>
        </w:rPr>
        <w:lastRenderedPageBreak/>
        <w:t>229B11000 CONTRALORÍA INTERNA (Órgano Interno de Control)</w:t>
      </w:r>
    </w:p>
    <w:p w14:paraId="0615EEA2"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b/>
        </w:rPr>
        <w:t>OBJETIVO</w:t>
      </w:r>
      <w:r w:rsidRPr="00640860">
        <w:rPr>
          <w:rFonts w:ascii="Palatino Linotype" w:eastAsia="Palatino Linotype" w:hAnsi="Palatino Linotype" w:cs="Palatino Linotype"/>
        </w:rPr>
        <w:t>: Fiscalizar, revisar y evaluar el grado de eficacia, eficiencia y legalidad con que se aplica la normatividad, políticas y disposiciones jurídico-administrativas establecidas para el manejo y ejercicio de los recursos humanos, materiales y financieros, a efecto de garantizar la estricta disciplina presupuestal y la protección del patrimonio de la Comisión.</w:t>
      </w:r>
    </w:p>
    <w:p w14:paraId="1270768D" w14:textId="77777777" w:rsidR="00080DFD" w:rsidRPr="00640860" w:rsidRDefault="008D17B9">
      <w:pPr>
        <w:spacing w:before="240" w:after="240" w:line="360" w:lineRule="auto"/>
        <w:jc w:val="both"/>
        <w:rPr>
          <w:rFonts w:ascii="Palatino Linotype" w:eastAsia="Palatino Linotype" w:hAnsi="Palatino Linotype" w:cs="Palatino Linotype"/>
          <w:b/>
        </w:rPr>
      </w:pPr>
      <w:r w:rsidRPr="00640860">
        <w:rPr>
          <w:rFonts w:ascii="Palatino Linotype" w:eastAsia="Palatino Linotype" w:hAnsi="Palatino Linotype" w:cs="Palatino Linotype"/>
          <w:b/>
        </w:rPr>
        <w:t>FUNCIONES:</w:t>
      </w:r>
    </w:p>
    <w:p w14:paraId="7F80AD73"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Planear y evaluar el desarrollo de los programas que se le encomienden, de conformidad con los lineamientos que para tal efecto emita la Secretaría de la Contraloría.</w:t>
      </w:r>
    </w:p>
    <w:p w14:paraId="068B17C1"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Supervisar el cumplimiento del programa anual de control y evaluación del órgano de control interno, conforme a las políticas, lineamientos, procedimientos y demás disposiciones que al efecto se establezcan y </w:t>
      </w:r>
      <w:r w:rsidRPr="00640860">
        <w:rPr>
          <w:rFonts w:ascii="Palatino Linotype" w:eastAsia="Palatino Linotype" w:hAnsi="Palatino Linotype" w:cs="Palatino Linotype"/>
          <w:b/>
          <w:u w:val="single"/>
        </w:rPr>
        <w:t>someterlo a la consideración de la Secretaría de la Contraloría del Gobierno del Estado de México</w:t>
      </w:r>
      <w:r w:rsidRPr="00640860">
        <w:rPr>
          <w:rFonts w:ascii="Palatino Linotype" w:eastAsia="Palatino Linotype" w:hAnsi="Palatino Linotype" w:cs="Palatino Linotype"/>
        </w:rPr>
        <w:t>.</w:t>
      </w:r>
    </w:p>
    <w:p w14:paraId="211B0E13"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Iniciar, substanciar y resolver los procedimientos administrativos, disciplinarios, resarcitorios y de manifestación de bienes, de conformidad con la Ley de Responsabilidades de los Servidores Públicos del Estado y Municipios.</w:t>
      </w:r>
    </w:p>
    <w:p w14:paraId="25F7A2E8"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Dirigir las auditorías y revisiones directas y selectivas, orientadas a verificar la observancia de las normas y disposiciones en materia de sistemas de registro y contabilidad, contratación y pago de personal, contratación de servicios, obra pública, adquisiciones, arrendamientos, conservación, uso, destino, afectación, </w:t>
      </w:r>
      <w:r w:rsidRPr="00640860">
        <w:rPr>
          <w:rFonts w:ascii="Palatino Linotype" w:eastAsia="Palatino Linotype" w:hAnsi="Palatino Linotype" w:cs="Palatino Linotype"/>
        </w:rPr>
        <w:lastRenderedPageBreak/>
        <w:t>enajenación y baja de bienes muebles e inmuebles y demás activos y recursos materiales de la Comisión.</w:t>
      </w:r>
    </w:p>
    <w:p w14:paraId="28315402"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Dirigir la fiscalización e inspección del ejercicio del gasto público de la Comisión, así como verificar su congruencia con el presupuesto de egresos autorizado.</w:t>
      </w:r>
    </w:p>
    <w:p w14:paraId="07708D46"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Coordinar la fiscalización de los recursos federales derivados de los acuerdos o convenios ejercidos por la Comisión.</w:t>
      </w:r>
    </w:p>
    <w:p w14:paraId="03E860EB"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Verificar el cumplimiento de las medidas de simplificación administrativa que se adopten en la Comisión, así como de los compromisos en la materia y proponer, en su caso, las demás que se consideren convenientes.</w:t>
      </w:r>
    </w:p>
    <w:p w14:paraId="04DACA7A"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Verificar la recepción, trámite y resolución de las quejas y denuncias que se interpongan en contra de las servidoras públicas/los servidores públicos adscritos a la Comisión y, en su caso, vigilar que se reciban y tramiten las sugerencias y reconocimientos ciudadanos.</w:t>
      </w:r>
    </w:p>
    <w:p w14:paraId="58965926"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Comprobar el cumplimiento de las obligaciones derivadas de las disposiciones en materia de planeación, presupuestación, ingresos, financiamientos, inversión, deuda, patrimonio, fondos y valores asignados a la Comisión.</w:t>
      </w:r>
    </w:p>
    <w:p w14:paraId="1AE6F4CD"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Intervenir, para efectos de verificación, en los procesos de entrega y recepción de las unidades administrativas, así como de las obras públicas a cargo de la Comisión.</w:t>
      </w:r>
    </w:p>
    <w:p w14:paraId="294A28D4"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 Supervisar que las acciones de control y evaluación a los ingresos, gastos, recursos y obligaciones de la Comisión se realicen de conformidad con los lineamientos establecidos.</w:t>
      </w:r>
    </w:p>
    <w:p w14:paraId="1D0D0404"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u w:val="single"/>
        </w:rPr>
        <w:t>Cumplir con las disposiciones normativas que constituyen el marco jurídico-administrativo de actuación de la Secretaría de la Contraloría</w:t>
      </w:r>
      <w:r w:rsidRPr="00640860">
        <w:rPr>
          <w:rFonts w:ascii="Palatino Linotype" w:eastAsia="Palatino Linotype" w:hAnsi="Palatino Linotype" w:cs="Palatino Linotype"/>
          <w:b/>
        </w:rPr>
        <w:t xml:space="preserve">, </w:t>
      </w:r>
      <w:r w:rsidRPr="00640860">
        <w:rPr>
          <w:rFonts w:ascii="Palatino Linotype" w:eastAsia="Palatino Linotype" w:hAnsi="Palatino Linotype" w:cs="Palatino Linotype"/>
        </w:rPr>
        <w:t>a fin de operar eficientemente los mecanismos de control y evaluación establecidos en la Comisión.</w:t>
      </w:r>
    </w:p>
    <w:p w14:paraId="175FCD5F"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u w:val="single"/>
        </w:rPr>
        <w:t>Informar periódicamente a la Secretaría de la Contraloría</w:t>
      </w:r>
      <w:r w:rsidRPr="00640860">
        <w:rPr>
          <w:rFonts w:ascii="Palatino Linotype" w:eastAsia="Palatino Linotype" w:hAnsi="Palatino Linotype" w:cs="Palatino Linotype"/>
        </w:rPr>
        <w:t>, el resultado de las auditorías y revisiones practicadas y sugerir ala/el titular de la Comisión la instrumentación de normas complementarias en materia de control.</w:t>
      </w:r>
    </w:p>
    <w:p w14:paraId="515666AA"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u w:val="single"/>
        </w:rPr>
        <w:t>Remitir a la Dirección General de Responsabilidades de la Secretaría de la Contraloría</w:t>
      </w:r>
      <w:r w:rsidRPr="00640860">
        <w:rPr>
          <w:rFonts w:ascii="Palatino Linotype" w:eastAsia="Palatino Linotype" w:hAnsi="Palatino Linotype" w:cs="Palatino Linotype"/>
        </w:rPr>
        <w:t xml:space="preserve"> los expedientes en los que el interesado solicite la abstención de ser sancionado.</w:t>
      </w:r>
    </w:p>
    <w:p w14:paraId="7AAD6796"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Promover el fortalecimiento de mecanismos de control de gestión en las unidades administrativas de la Comisión, así como impulsar acciones de autocontrol y autoevaluación en las mismas, mediante el análisis de riesgos.</w:t>
      </w:r>
    </w:p>
    <w:p w14:paraId="696BF1E8"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Vigilar que las diferentes unidades administrativas de la Comisión cumplan con las disposiciones jurídicas y administrativas que les regulen su funcionamiento.</w:t>
      </w:r>
    </w:p>
    <w:p w14:paraId="6D2C3A67" w14:textId="77777777" w:rsidR="00080DFD" w:rsidRPr="00640860" w:rsidRDefault="00080DFD">
      <w:pPr>
        <w:spacing w:before="240" w:after="240" w:line="360" w:lineRule="auto"/>
        <w:jc w:val="both"/>
        <w:rPr>
          <w:rFonts w:ascii="Palatino Linotype" w:eastAsia="Palatino Linotype" w:hAnsi="Palatino Linotype" w:cs="Palatino Linotype"/>
          <w:b/>
        </w:rPr>
      </w:pPr>
    </w:p>
    <w:p w14:paraId="54C97B8D" w14:textId="77777777" w:rsidR="00080DFD" w:rsidRPr="00640860" w:rsidRDefault="00080DFD">
      <w:pPr>
        <w:spacing w:before="240" w:after="240" w:line="360" w:lineRule="auto"/>
        <w:jc w:val="both"/>
        <w:rPr>
          <w:rFonts w:ascii="Palatino Linotype" w:eastAsia="Palatino Linotype" w:hAnsi="Palatino Linotype" w:cs="Palatino Linotype"/>
          <w:b/>
        </w:rPr>
      </w:pPr>
    </w:p>
    <w:p w14:paraId="5095AD0F" w14:textId="77777777" w:rsidR="00080DFD" w:rsidRPr="00640860" w:rsidRDefault="008D17B9">
      <w:pPr>
        <w:spacing w:before="240" w:after="240" w:line="360" w:lineRule="auto"/>
        <w:jc w:val="both"/>
        <w:rPr>
          <w:rFonts w:ascii="Palatino Linotype" w:eastAsia="Palatino Linotype" w:hAnsi="Palatino Linotype" w:cs="Palatino Linotype"/>
          <w:b/>
        </w:rPr>
      </w:pPr>
      <w:r w:rsidRPr="00640860">
        <w:rPr>
          <w:rFonts w:ascii="Palatino Linotype" w:eastAsia="Palatino Linotype" w:hAnsi="Palatino Linotype" w:cs="Palatino Linotype"/>
          <w:b/>
        </w:rPr>
        <w:lastRenderedPageBreak/>
        <w:t>229B60000 DIRECCIÓN GENERAL DE ADMINISTRACIÓN Y FINANZAS</w:t>
      </w:r>
    </w:p>
    <w:p w14:paraId="191CF450" w14:textId="77777777" w:rsidR="00080DFD" w:rsidRPr="00640860" w:rsidRDefault="008D17B9">
      <w:pPr>
        <w:spacing w:before="240" w:after="240" w:line="360" w:lineRule="auto"/>
        <w:jc w:val="both"/>
        <w:rPr>
          <w:rFonts w:ascii="Palatino Linotype" w:eastAsia="Palatino Linotype" w:hAnsi="Palatino Linotype" w:cs="Palatino Linotype"/>
          <w:b/>
        </w:rPr>
      </w:pPr>
      <w:r w:rsidRPr="00640860">
        <w:rPr>
          <w:rFonts w:ascii="Palatino Linotype" w:eastAsia="Palatino Linotype" w:hAnsi="Palatino Linotype" w:cs="Palatino Linotype"/>
          <w:b/>
        </w:rPr>
        <w:t>OBJETIVO</w:t>
      </w:r>
      <w:r w:rsidRPr="00640860">
        <w:rPr>
          <w:rFonts w:ascii="Palatino Linotype" w:eastAsia="Palatino Linotype" w:hAnsi="Palatino Linotype" w:cs="Palatino Linotype"/>
        </w:rPr>
        <w:t xml:space="preserve">: Establecer los planes y programas para la adecuada administración de los </w:t>
      </w:r>
      <w:r w:rsidRPr="00640860">
        <w:rPr>
          <w:rFonts w:ascii="Palatino Linotype" w:eastAsia="Palatino Linotype" w:hAnsi="Palatino Linotype" w:cs="Palatino Linotype"/>
          <w:b/>
        </w:rPr>
        <w:t>recursos</w:t>
      </w:r>
      <w:r w:rsidRPr="00640860">
        <w:rPr>
          <w:rFonts w:ascii="Palatino Linotype" w:eastAsia="Palatino Linotype" w:hAnsi="Palatino Linotype" w:cs="Palatino Linotype"/>
        </w:rPr>
        <w:t xml:space="preserve"> financieros, </w:t>
      </w:r>
      <w:r w:rsidRPr="00640860">
        <w:rPr>
          <w:rFonts w:ascii="Palatino Linotype" w:eastAsia="Palatino Linotype" w:hAnsi="Palatino Linotype" w:cs="Palatino Linotype"/>
          <w:b/>
        </w:rPr>
        <w:t>humanos,</w:t>
      </w:r>
      <w:r w:rsidRPr="00640860">
        <w:rPr>
          <w:rFonts w:ascii="Palatino Linotype" w:eastAsia="Palatino Linotype" w:hAnsi="Palatino Linotype" w:cs="Palatino Linotype"/>
        </w:rPr>
        <w:t xml:space="preserve"> materiales, técnicos y de servicios generales que requiere la Comisión para el desarrollo integral de sus funciones y realizar las actividades encomendadas por atribución fiscal.</w:t>
      </w:r>
      <w:r w:rsidRPr="00640860">
        <w:rPr>
          <w:rFonts w:ascii="Palatino Linotype" w:eastAsia="Palatino Linotype" w:hAnsi="Palatino Linotype" w:cs="Palatino Linotype"/>
          <w:b/>
        </w:rPr>
        <w:t xml:space="preserve"> </w:t>
      </w:r>
    </w:p>
    <w:p w14:paraId="06D56F11" w14:textId="77777777" w:rsidR="00080DFD" w:rsidRPr="00640860" w:rsidRDefault="008D17B9">
      <w:pPr>
        <w:spacing w:before="240" w:after="240" w:line="360" w:lineRule="auto"/>
        <w:jc w:val="both"/>
        <w:rPr>
          <w:rFonts w:ascii="Palatino Linotype" w:eastAsia="Palatino Linotype" w:hAnsi="Palatino Linotype" w:cs="Palatino Linotype"/>
          <w:b/>
        </w:rPr>
      </w:pPr>
      <w:r w:rsidRPr="00640860">
        <w:rPr>
          <w:rFonts w:ascii="Palatino Linotype" w:eastAsia="Palatino Linotype" w:hAnsi="Palatino Linotype" w:cs="Palatino Linotype"/>
          <w:b/>
        </w:rPr>
        <w:t xml:space="preserve">FUNCIONES: </w:t>
      </w:r>
    </w:p>
    <w:p w14:paraId="45129606"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Planear el adecuado aprovechamiento de los recursos financieros, materiales, técnicos y humanos de acuerdo con los planes y programas autorizados por el Consejo Directivo.</w:t>
      </w:r>
    </w:p>
    <w:p w14:paraId="75123C84" w14:textId="77777777" w:rsidR="00080DFD" w:rsidRPr="00640860" w:rsidRDefault="008D17B9">
      <w:pPr>
        <w:spacing w:before="240" w:after="240" w:line="360" w:lineRule="auto"/>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Determinar las políticas para la administración y desarrollo de los recursos humanos que laboran en la Comisión.</w:t>
      </w:r>
    </w:p>
    <w:p w14:paraId="57A89A13" w14:textId="77777777" w:rsidR="00080DFD" w:rsidRPr="00640860" w:rsidRDefault="008D17B9">
      <w:pPr>
        <w:spacing w:before="240" w:after="240" w:line="360" w:lineRule="auto"/>
        <w:ind w:left="284"/>
        <w:jc w:val="both"/>
        <w:rPr>
          <w:rFonts w:ascii="Palatino Linotype" w:eastAsia="Palatino Linotype" w:hAnsi="Palatino Linotype" w:cs="Palatino Linotype"/>
          <w:b/>
        </w:rPr>
      </w:pPr>
      <w:r w:rsidRPr="00640860">
        <w:rPr>
          <w:rFonts w:ascii="Palatino Linotype" w:eastAsia="Palatino Linotype" w:hAnsi="Palatino Linotype" w:cs="Palatino Linotype"/>
        </w:rPr>
        <w:t>- Vigilar la correcta aplicación de la legislación en materia laboral.</w:t>
      </w:r>
    </w:p>
    <w:p w14:paraId="7A2BAA22"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Ahora bien, en atención a la solicitud de información los servidores públicos habilitados del Órgano Interno de Control y a la Dirección General de Administración y Finanzas, manifestaron lo siguiente respecto de los requerimientos de información:</w:t>
      </w:r>
    </w:p>
    <w:tbl>
      <w:tblPr>
        <w:tblStyle w:val="a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640860" w:rsidRPr="00640860" w14:paraId="6DCA8608" w14:textId="77777777">
        <w:tc>
          <w:tcPr>
            <w:tcW w:w="2942" w:type="dxa"/>
            <w:shd w:val="clear" w:color="auto" w:fill="BFBFBF"/>
            <w:vAlign w:val="center"/>
          </w:tcPr>
          <w:p w14:paraId="782AD561" w14:textId="77777777" w:rsidR="00080DFD" w:rsidRPr="00640860" w:rsidRDefault="008D17B9">
            <w:pPr>
              <w:spacing w:before="120" w:after="120"/>
              <w:jc w:val="center"/>
              <w:rPr>
                <w:rFonts w:ascii="Palatino Linotype" w:eastAsia="Palatino Linotype" w:hAnsi="Palatino Linotype" w:cs="Palatino Linotype"/>
                <w:b/>
                <w:sz w:val="20"/>
                <w:szCs w:val="20"/>
              </w:rPr>
            </w:pPr>
            <w:r w:rsidRPr="00640860">
              <w:rPr>
                <w:rFonts w:ascii="Palatino Linotype" w:eastAsia="Palatino Linotype" w:hAnsi="Palatino Linotype" w:cs="Palatino Linotype"/>
                <w:b/>
                <w:sz w:val="20"/>
                <w:szCs w:val="20"/>
              </w:rPr>
              <w:t>REQUERIMIENTO DE INFORMACIÓN</w:t>
            </w:r>
          </w:p>
        </w:tc>
        <w:tc>
          <w:tcPr>
            <w:tcW w:w="2943" w:type="dxa"/>
            <w:shd w:val="clear" w:color="auto" w:fill="BFBFBF"/>
            <w:vAlign w:val="center"/>
          </w:tcPr>
          <w:p w14:paraId="1E48F455" w14:textId="77777777" w:rsidR="00080DFD" w:rsidRPr="00640860" w:rsidRDefault="008D17B9">
            <w:pPr>
              <w:spacing w:before="120" w:after="120"/>
              <w:jc w:val="center"/>
              <w:rPr>
                <w:rFonts w:ascii="Palatino Linotype" w:eastAsia="Palatino Linotype" w:hAnsi="Palatino Linotype" w:cs="Palatino Linotype"/>
                <w:b/>
                <w:sz w:val="20"/>
                <w:szCs w:val="20"/>
              </w:rPr>
            </w:pPr>
            <w:r w:rsidRPr="00640860">
              <w:rPr>
                <w:rFonts w:ascii="Palatino Linotype" w:eastAsia="Palatino Linotype" w:hAnsi="Palatino Linotype" w:cs="Palatino Linotype"/>
                <w:b/>
                <w:sz w:val="20"/>
                <w:szCs w:val="20"/>
              </w:rPr>
              <w:t>ÓRGANO INTERNO DE CONTROL</w:t>
            </w:r>
          </w:p>
        </w:tc>
        <w:tc>
          <w:tcPr>
            <w:tcW w:w="2943" w:type="dxa"/>
            <w:shd w:val="clear" w:color="auto" w:fill="BFBFBF"/>
            <w:vAlign w:val="center"/>
          </w:tcPr>
          <w:p w14:paraId="6FD231B9" w14:textId="77777777" w:rsidR="00080DFD" w:rsidRPr="00640860" w:rsidRDefault="008D17B9">
            <w:pPr>
              <w:spacing w:before="120" w:after="120"/>
              <w:jc w:val="center"/>
              <w:rPr>
                <w:rFonts w:ascii="Palatino Linotype" w:eastAsia="Palatino Linotype" w:hAnsi="Palatino Linotype" w:cs="Palatino Linotype"/>
                <w:b/>
                <w:sz w:val="20"/>
                <w:szCs w:val="20"/>
              </w:rPr>
            </w:pPr>
            <w:r w:rsidRPr="00640860">
              <w:rPr>
                <w:rFonts w:ascii="Palatino Linotype" w:eastAsia="Palatino Linotype" w:hAnsi="Palatino Linotype" w:cs="Palatino Linotype"/>
                <w:b/>
                <w:sz w:val="20"/>
                <w:szCs w:val="20"/>
              </w:rPr>
              <w:t>DIRECCIÓN GENERAL DE ADMINISTRACIÓN Y FINANZAS</w:t>
            </w:r>
          </w:p>
        </w:tc>
      </w:tr>
      <w:tr w:rsidR="00640860" w:rsidRPr="00640860" w14:paraId="226214E9" w14:textId="77777777">
        <w:tc>
          <w:tcPr>
            <w:tcW w:w="2942" w:type="dxa"/>
          </w:tcPr>
          <w:p w14:paraId="0D84DC9E" w14:textId="77777777" w:rsidR="00080DFD" w:rsidRPr="00640860" w:rsidRDefault="008D17B9">
            <w:pPr>
              <w:spacing w:before="120" w:after="12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t xml:space="preserve">1. Nombramientos de los titulares y de estructura del Órgano Interno de Control, así </w:t>
            </w:r>
            <w:r w:rsidRPr="00640860">
              <w:rPr>
                <w:rFonts w:ascii="Palatino Linotype" w:eastAsia="Palatino Linotype" w:hAnsi="Palatino Linotype" w:cs="Palatino Linotype"/>
                <w:sz w:val="20"/>
                <w:szCs w:val="20"/>
              </w:rPr>
              <w:lastRenderedPageBreak/>
              <w:t>como de sus respectivas estructuras orgánicas.</w:t>
            </w:r>
          </w:p>
        </w:tc>
        <w:tc>
          <w:tcPr>
            <w:tcW w:w="2943" w:type="dxa"/>
            <w:vMerge w:val="restart"/>
            <w:vAlign w:val="center"/>
          </w:tcPr>
          <w:p w14:paraId="3D1048AE" w14:textId="77777777" w:rsidR="00080DFD" w:rsidRPr="00640860" w:rsidRDefault="008D17B9">
            <w:pPr>
              <w:spacing w:before="240" w:after="24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lastRenderedPageBreak/>
              <w:t xml:space="preserve">No administra, organiza y/o conserva documentos de archivo que produce, recibe, </w:t>
            </w:r>
            <w:r w:rsidRPr="00640860">
              <w:rPr>
                <w:rFonts w:ascii="Palatino Linotype" w:eastAsia="Palatino Linotype" w:hAnsi="Palatino Linotype" w:cs="Palatino Linotype"/>
                <w:sz w:val="20"/>
                <w:szCs w:val="20"/>
              </w:rPr>
              <w:lastRenderedPageBreak/>
              <w:t xml:space="preserve">obtenga, adquiera, transforme o posea otra Unidad Administrativa de acuerdo con sus facultades, competencias, atribuciones o funciones, aun cuando se encuentren adscritos al mismo Sujeto Obligado, que para el caso, es la Subdirección de Administración de Personal adscrita a la  Dirección General de Administración y Finanzas,  a través de los Departamentos de Registro y Control de Personal, y de Administración de Sueldos y Salarios. </w:t>
            </w:r>
          </w:p>
        </w:tc>
        <w:tc>
          <w:tcPr>
            <w:tcW w:w="2943" w:type="dxa"/>
          </w:tcPr>
          <w:p w14:paraId="34C1064A" w14:textId="77777777" w:rsidR="00080DFD" w:rsidRPr="00640860" w:rsidRDefault="008D17B9">
            <w:pPr>
              <w:spacing w:before="240" w:after="24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lastRenderedPageBreak/>
              <w:t xml:space="preserve">Sugirió consultar la información concerniente a los nombres de los titulares de las </w:t>
            </w:r>
            <w:r w:rsidRPr="00640860">
              <w:rPr>
                <w:rFonts w:ascii="Palatino Linotype" w:eastAsia="Palatino Linotype" w:hAnsi="Palatino Linotype" w:cs="Palatino Linotype"/>
                <w:sz w:val="20"/>
                <w:szCs w:val="20"/>
              </w:rPr>
              <w:lastRenderedPageBreak/>
              <w:t>unidades administrativas en la página electrónica de la Secretaría del Agua, danto clic en las pestañas “Acerca de”, “Directorio”.</w:t>
            </w:r>
          </w:p>
          <w:p w14:paraId="6C1B1EDF" w14:textId="77777777" w:rsidR="00080DFD" w:rsidRPr="00640860" w:rsidRDefault="008D17B9">
            <w:pPr>
              <w:spacing w:before="240" w:after="240"/>
              <w:jc w:val="center"/>
              <w:rPr>
                <w:rFonts w:ascii="Palatino Linotype" w:eastAsia="Palatino Linotype" w:hAnsi="Palatino Linotype" w:cs="Palatino Linotype"/>
                <w:sz w:val="20"/>
                <w:szCs w:val="20"/>
              </w:rPr>
            </w:pPr>
            <w:r w:rsidRPr="00640860">
              <w:rPr>
                <w:rFonts w:ascii="Palatino Linotype" w:eastAsia="Palatino Linotype" w:hAnsi="Palatino Linotype" w:cs="Palatino Linotype"/>
                <w:noProof/>
              </w:rPr>
              <w:drawing>
                <wp:inline distT="0" distB="0" distL="0" distR="0" wp14:anchorId="18BC66B2" wp14:editId="0EBC83DF">
                  <wp:extent cx="1620000" cy="177372"/>
                  <wp:effectExtent l="0" t="0" r="0" b="0"/>
                  <wp:docPr id="21401318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620000" cy="177372"/>
                          </a:xfrm>
                          <a:prstGeom prst="rect">
                            <a:avLst/>
                          </a:prstGeom>
                          <a:ln/>
                        </pic:spPr>
                      </pic:pic>
                    </a:graphicData>
                  </a:graphic>
                </wp:inline>
              </w:drawing>
            </w:r>
          </w:p>
          <w:p w14:paraId="677C309E" w14:textId="77777777" w:rsidR="00080DFD" w:rsidRPr="00640860" w:rsidRDefault="00080DFD">
            <w:pPr>
              <w:spacing w:before="240" w:after="240"/>
              <w:jc w:val="both"/>
              <w:rPr>
                <w:rFonts w:ascii="Palatino Linotype" w:eastAsia="Palatino Linotype" w:hAnsi="Palatino Linotype" w:cs="Palatino Linotype"/>
                <w:sz w:val="20"/>
                <w:szCs w:val="20"/>
              </w:rPr>
            </w:pPr>
          </w:p>
        </w:tc>
      </w:tr>
      <w:tr w:rsidR="00640860" w:rsidRPr="00640860" w14:paraId="130FFA5F" w14:textId="77777777">
        <w:tc>
          <w:tcPr>
            <w:tcW w:w="2942" w:type="dxa"/>
          </w:tcPr>
          <w:p w14:paraId="27C8FD9F" w14:textId="77777777" w:rsidR="00080DFD" w:rsidRPr="00640860" w:rsidRDefault="008D17B9">
            <w:pPr>
              <w:spacing w:before="240" w:after="24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lastRenderedPageBreak/>
              <w:t>2. Recibos de nómina de los funcionarios públicos referidos en el punto 1, desde el uno de enero al veintinueve de agosto de dos mil veinticuatro.</w:t>
            </w:r>
          </w:p>
        </w:tc>
        <w:tc>
          <w:tcPr>
            <w:tcW w:w="2943" w:type="dxa"/>
            <w:vMerge/>
            <w:vAlign w:val="center"/>
          </w:tcPr>
          <w:p w14:paraId="64B68178" w14:textId="77777777" w:rsidR="00080DFD" w:rsidRPr="00640860" w:rsidRDefault="00080DFD">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943" w:type="dxa"/>
          </w:tcPr>
          <w:p w14:paraId="4891C816" w14:textId="77777777" w:rsidR="00080DFD" w:rsidRPr="00640860" w:rsidRDefault="008D17B9">
            <w:pPr>
              <w:spacing w:before="240" w:after="24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t>Indicó que las remuneraciones de los servidores públicos, las cuales forman parte de las obligaciones de transparencia, es encuentran disponibles en el portal de Información Pública de Oficio Mexiquense, IPOMEX, para lo cual se deberá seleccionar al Sujeto Obligado, dar clic en la fracción VIII A, “remuneraciones”.</w:t>
            </w:r>
          </w:p>
          <w:p w14:paraId="1BB5D8A0" w14:textId="77777777" w:rsidR="00080DFD" w:rsidRPr="00640860" w:rsidRDefault="008D17B9">
            <w:pPr>
              <w:spacing w:before="240" w:after="240"/>
              <w:jc w:val="center"/>
              <w:rPr>
                <w:rFonts w:ascii="Palatino Linotype" w:eastAsia="Palatino Linotype" w:hAnsi="Palatino Linotype" w:cs="Palatino Linotype"/>
                <w:sz w:val="20"/>
                <w:szCs w:val="20"/>
              </w:rPr>
            </w:pPr>
            <w:r w:rsidRPr="00640860">
              <w:rPr>
                <w:rFonts w:ascii="Palatino Linotype" w:eastAsia="Palatino Linotype" w:hAnsi="Palatino Linotype" w:cs="Palatino Linotype"/>
                <w:noProof/>
                <w:sz w:val="20"/>
                <w:szCs w:val="20"/>
              </w:rPr>
              <w:drawing>
                <wp:inline distT="0" distB="0" distL="0" distR="0" wp14:anchorId="711BC73E" wp14:editId="51B78F6E">
                  <wp:extent cx="1620000" cy="81000"/>
                  <wp:effectExtent l="0" t="0" r="0" b="0"/>
                  <wp:docPr id="21401318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20000" cy="81000"/>
                          </a:xfrm>
                          <a:prstGeom prst="rect">
                            <a:avLst/>
                          </a:prstGeom>
                          <a:ln/>
                        </pic:spPr>
                      </pic:pic>
                    </a:graphicData>
                  </a:graphic>
                </wp:inline>
              </w:drawing>
            </w:r>
          </w:p>
          <w:p w14:paraId="2A44236E" w14:textId="77777777" w:rsidR="00080DFD" w:rsidRPr="00640860" w:rsidRDefault="008D17B9">
            <w:pPr>
              <w:spacing w:before="240" w:after="24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t xml:space="preserve">  </w:t>
            </w:r>
          </w:p>
        </w:tc>
      </w:tr>
      <w:tr w:rsidR="00640860" w:rsidRPr="00640860" w14:paraId="52F2D6F4" w14:textId="77777777">
        <w:tc>
          <w:tcPr>
            <w:tcW w:w="2942" w:type="dxa"/>
          </w:tcPr>
          <w:p w14:paraId="6704C5F5" w14:textId="77777777" w:rsidR="00080DFD" w:rsidRPr="00640860" w:rsidRDefault="008D17B9">
            <w:pPr>
              <w:spacing w:before="240" w:after="24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t>3. Organigrama o estructura orgánica de la cual dependen los servidores públicos referidos en el punto 1.</w:t>
            </w:r>
          </w:p>
        </w:tc>
        <w:tc>
          <w:tcPr>
            <w:tcW w:w="2943" w:type="dxa"/>
          </w:tcPr>
          <w:p w14:paraId="3D2B31BA" w14:textId="77777777" w:rsidR="00080DFD" w:rsidRPr="00640860" w:rsidRDefault="008D17B9">
            <w:pPr>
              <w:spacing w:before="240" w:after="24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t xml:space="preserve">La estructura vigente es la emitida mediante Autorización no. 23400000L-051/2023 del nueve de octubre de dos mil veintitrés, registrada y resguardada por la Dirección General de Innovación perteneciente a la Oficialía Mayor del Gobierno del Estado de México, documento mediante el cual se envía al entonces Director General de Administración y Finanzas y de Gestión </w:t>
            </w:r>
            <w:r w:rsidRPr="00640860">
              <w:rPr>
                <w:rFonts w:ascii="Palatino Linotype" w:eastAsia="Palatino Linotype" w:hAnsi="Palatino Linotype" w:cs="Palatino Linotype"/>
                <w:sz w:val="20"/>
                <w:szCs w:val="20"/>
              </w:rPr>
              <w:lastRenderedPageBreak/>
              <w:t>Documental el organigrama y la codificación estructural de la Secretaría del Agua, así como de los correspondientes a los organismos auxiliares que tiene sectorizados la Secretaría y que fueron autorizados por la Oficialía Mayor del Gobierno del Estado de México.</w:t>
            </w:r>
          </w:p>
          <w:p w14:paraId="3D1F91B9" w14:textId="77777777" w:rsidR="00080DFD" w:rsidRPr="00640860" w:rsidRDefault="008D17B9">
            <w:pPr>
              <w:spacing w:before="240" w:after="240"/>
              <w:jc w:val="both"/>
              <w:rPr>
                <w:rFonts w:ascii="Palatino Linotype" w:eastAsia="Palatino Linotype" w:hAnsi="Palatino Linotype" w:cs="Palatino Linotype"/>
                <w:b/>
                <w:sz w:val="20"/>
                <w:szCs w:val="20"/>
              </w:rPr>
            </w:pPr>
            <w:r w:rsidRPr="00640860">
              <w:rPr>
                <w:rFonts w:ascii="Palatino Linotype" w:eastAsia="Palatino Linotype" w:hAnsi="Palatino Linotype" w:cs="Palatino Linotype"/>
                <w:b/>
                <w:sz w:val="20"/>
                <w:szCs w:val="20"/>
              </w:rPr>
              <w:t>Anexos:</w:t>
            </w:r>
          </w:p>
          <w:p w14:paraId="7F264849" w14:textId="77777777" w:rsidR="00080DFD" w:rsidRPr="00640860" w:rsidRDefault="008D17B9">
            <w:pPr>
              <w:spacing w:before="240" w:after="24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t>- Oficio número 23400000L-051/2023, signado por el Oficial Mayor</w:t>
            </w:r>
          </w:p>
          <w:p w14:paraId="7AB00FCD" w14:textId="77777777" w:rsidR="00080DFD" w:rsidRPr="00640860" w:rsidRDefault="008D17B9">
            <w:pPr>
              <w:spacing w:before="240" w:after="24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t>- Organigrama y codificación estructural de los organismos descentralizados de la Secretaría del Agua, entre ellos la Comisión del Agua del Estado de México.</w:t>
            </w:r>
          </w:p>
        </w:tc>
        <w:tc>
          <w:tcPr>
            <w:tcW w:w="2943" w:type="dxa"/>
            <w:vMerge w:val="restart"/>
            <w:vAlign w:val="center"/>
          </w:tcPr>
          <w:p w14:paraId="4F5B3245" w14:textId="77777777" w:rsidR="00080DFD" w:rsidRPr="00640860" w:rsidRDefault="008D17B9">
            <w:pPr>
              <w:spacing w:before="240" w:after="24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lastRenderedPageBreak/>
              <w:t xml:space="preserve">Indicó que en el Manual General de Organización del Sujeto Obligado se establece la estructura orgánica, organigrama, así como los objetivos y funciones que ostenta cada unidad administrativa, el cual puede consultarse dando clic en las pestañas “Acerca de”, “Manuales”, “Manual General de Organización de la </w:t>
            </w:r>
            <w:r w:rsidRPr="00640860">
              <w:rPr>
                <w:rFonts w:ascii="Palatino Linotype" w:eastAsia="Palatino Linotype" w:hAnsi="Palatino Linotype" w:cs="Palatino Linotype"/>
                <w:sz w:val="20"/>
                <w:szCs w:val="20"/>
              </w:rPr>
              <w:lastRenderedPageBreak/>
              <w:t>Comisión del Agua del Estado de México”</w:t>
            </w:r>
          </w:p>
          <w:p w14:paraId="78A45236" w14:textId="77777777" w:rsidR="00080DFD" w:rsidRPr="00640860" w:rsidRDefault="008D17B9">
            <w:pPr>
              <w:spacing w:before="240" w:after="240"/>
              <w:jc w:val="center"/>
              <w:rPr>
                <w:rFonts w:ascii="Palatino Linotype" w:eastAsia="Palatino Linotype" w:hAnsi="Palatino Linotype" w:cs="Palatino Linotype"/>
                <w:sz w:val="20"/>
                <w:szCs w:val="20"/>
              </w:rPr>
            </w:pPr>
            <w:r w:rsidRPr="00640860">
              <w:rPr>
                <w:rFonts w:ascii="Palatino Linotype" w:eastAsia="Palatino Linotype" w:hAnsi="Palatino Linotype" w:cs="Palatino Linotype"/>
                <w:noProof/>
                <w:sz w:val="20"/>
                <w:szCs w:val="20"/>
              </w:rPr>
              <w:drawing>
                <wp:inline distT="0" distB="0" distL="0" distR="0" wp14:anchorId="0A065D2F" wp14:editId="31318EF8">
                  <wp:extent cx="1620000" cy="134069"/>
                  <wp:effectExtent l="0" t="0" r="0" b="0"/>
                  <wp:docPr id="21401318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620000" cy="134069"/>
                          </a:xfrm>
                          <a:prstGeom prst="rect">
                            <a:avLst/>
                          </a:prstGeom>
                          <a:ln/>
                        </pic:spPr>
                      </pic:pic>
                    </a:graphicData>
                  </a:graphic>
                </wp:inline>
              </w:drawing>
            </w:r>
            <w:r w:rsidRPr="00640860">
              <w:rPr>
                <w:rFonts w:ascii="Palatino Linotype" w:eastAsia="Palatino Linotype" w:hAnsi="Palatino Linotype" w:cs="Palatino Linotype"/>
                <w:noProof/>
                <w:sz w:val="20"/>
                <w:szCs w:val="20"/>
              </w:rPr>
              <w:drawing>
                <wp:inline distT="0" distB="0" distL="0" distR="0" wp14:anchorId="55469117" wp14:editId="0F3906C3">
                  <wp:extent cx="1620000" cy="101568"/>
                  <wp:effectExtent l="0" t="0" r="0" b="0"/>
                  <wp:docPr id="21401318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1620000" cy="101568"/>
                          </a:xfrm>
                          <a:prstGeom prst="rect">
                            <a:avLst/>
                          </a:prstGeom>
                          <a:ln/>
                        </pic:spPr>
                      </pic:pic>
                    </a:graphicData>
                  </a:graphic>
                </wp:inline>
              </w:drawing>
            </w:r>
          </w:p>
        </w:tc>
      </w:tr>
      <w:tr w:rsidR="00640860" w:rsidRPr="00640860" w14:paraId="198C42E1" w14:textId="77777777">
        <w:tc>
          <w:tcPr>
            <w:tcW w:w="2942" w:type="dxa"/>
          </w:tcPr>
          <w:p w14:paraId="492D39DD" w14:textId="77777777" w:rsidR="00080DFD" w:rsidRPr="00640860" w:rsidRDefault="008D17B9">
            <w:pPr>
              <w:spacing w:before="240" w:after="240"/>
              <w:ind w:right="51"/>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lastRenderedPageBreak/>
              <w:t>4. Funciones de las áreas y departamentos que integran el Órgano Interno de Control.</w:t>
            </w:r>
          </w:p>
        </w:tc>
        <w:tc>
          <w:tcPr>
            <w:tcW w:w="2943" w:type="dxa"/>
          </w:tcPr>
          <w:p w14:paraId="6711AA5A" w14:textId="77777777" w:rsidR="00080DFD" w:rsidRPr="00640860" w:rsidRDefault="008D17B9">
            <w:pPr>
              <w:spacing w:before="240" w:after="24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t>Proporcionó un cuadro donde se enuncian los ordenamientos jurídicos en donde se encuentran establecidas las funciones, y la dirección en la que se encuentran publicados los mismos:</w:t>
            </w:r>
          </w:p>
          <w:p w14:paraId="2BC11B15" w14:textId="77777777" w:rsidR="00080DFD" w:rsidRPr="00640860" w:rsidRDefault="008D17B9">
            <w:pPr>
              <w:spacing w:before="240" w:after="240"/>
              <w:jc w:val="center"/>
              <w:rPr>
                <w:rFonts w:ascii="Palatino Linotype" w:eastAsia="Palatino Linotype" w:hAnsi="Palatino Linotype" w:cs="Palatino Linotype"/>
                <w:sz w:val="20"/>
                <w:szCs w:val="20"/>
              </w:rPr>
            </w:pPr>
            <w:r w:rsidRPr="00640860">
              <w:rPr>
                <w:rFonts w:ascii="Palatino Linotype" w:eastAsia="Palatino Linotype" w:hAnsi="Palatino Linotype" w:cs="Palatino Linotype"/>
                <w:noProof/>
              </w:rPr>
              <w:drawing>
                <wp:inline distT="0" distB="0" distL="0" distR="0" wp14:anchorId="19C50D6E" wp14:editId="37A0FD58">
                  <wp:extent cx="1620000" cy="954257"/>
                  <wp:effectExtent l="0" t="0" r="0" b="0"/>
                  <wp:docPr id="21401318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620000" cy="954257"/>
                          </a:xfrm>
                          <a:prstGeom prst="rect">
                            <a:avLst/>
                          </a:prstGeom>
                          <a:ln/>
                        </pic:spPr>
                      </pic:pic>
                    </a:graphicData>
                  </a:graphic>
                </wp:inline>
              </w:drawing>
            </w:r>
          </w:p>
          <w:p w14:paraId="2A38CD0C" w14:textId="77777777" w:rsidR="00080DFD" w:rsidRPr="00640860" w:rsidRDefault="008D17B9">
            <w:pPr>
              <w:spacing w:before="240" w:after="24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t xml:space="preserve">Adicionalmente, señaló que conforme a lo establecido en la Estructura de Organización de la Comisión del Agua del </w:t>
            </w:r>
            <w:r w:rsidRPr="00640860">
              <w:rPr>
                <w:rFonts w:ascii="Palatino Linotype" w:eastAsia="Palatino Linotype" w:hAnsi="Palatino Linotype" w:cs="Palatino Linotype"/>
                <w:sz w:val="20"/>
                <w:szCs w:val="20"/>
              </w:rPr>
              <w:lastRenderedPageBreak/>
              <w:t xml:space="preserve">Estado de México emitida mediante Autorización no. 23400000L-051/2023, hay cambio de nombres y códigos de las siguientes unidades administrativas: de Contraloría Interna a Órgano Interno de Control, de Gerencia de Auditoría Técnica a Área de Auditoría (Técnica), de Gerencia de Auditoría Financiera a Área de Auditoría (Financiera), de Gerencia de Control y Evaluación a Área de Auditoría (de Control y Evaluación), mientras que la Gerencia de Responsabilidades y Situación Patrimonial se dividió en dos áreas, siendo estas el Área de Quejas y el área de Responsabilidades. </w:t>
            </w:r>
          </w:p>
          <w:p w14:paraId="601F05B9" w14:textId="77777777" w:rsidR="00080DFD" w:rsidRPr="00640860" w:rsidRDefault="008D17B9">
            <w:pPr>
              <w:spacing w:before="240" w:after="240"/>
              <w:jc w:val="both"/>
              <w:rPr>
                <w:rFonts w:ascii="Palatino Linotype" w:eastAsia="Palatino Linotype" w:hAnsi="Palatino Linotype" w:cs="Palatino Linotype"/>
                <w:b/>
                <w:sz w:val="20"/>
                <w:szCs w:val="20"/>
              </w:rPr>
            </w:pPr>
            <w:r w:rsidRPr="00640860">
              <w:rPr>
                <w:rFonts w:ascii="Palatino Linotype" w:eastAsia="Palatino Linotype" w:hAnsi="Palatino Linotype" w:cs="Palatino Linotype"/>
                <w:b/>
                <w:sz w:val="20"/>
                <w:szCs w:val="20"/>
              </w:rPr>
              <w:t>Anexos:</w:t>
            </w:r>
          </w:p>
          <w:p w14:paraId="212B652C" w14:textId="77777777" w:rsidR="00080DFD" w:rsidRPr="00640860" w:rsidRDefault="008D17B9">
            <w:pPr>
              <w:spacing w:before="240" w:after="24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t>- Oficio número 23400000L-051/2023, signado por el Oficial Mayor</w:t>
            </w:r>
          </w:p>
          <w:p w14:paraId="18D51018" w14:textId="77777777" w:rsidR="00080DFD" w:rsidRPr="00640860" w:rsidRDefault="008D17B9">
            <w:pPr>
              <w:spacing w:before="240" w:after="240"/>
              <w:jc w:val="both"/>
              <w:rPr>
                <w:rFonts w:ascii="Palatino Linotype" w:eastAsia="Palatino Linotype" w:hAnsi="Palatino Linotype" w:cs="Palatino Linotype"/>
                <w:sz w:val="20"/>
                <w:szCs w:val="20"/>
              </w:rPr>
            </w:pPr>
            <w:r w:rsidRPr="00640860">
              <w:rPr>
                <w:rFonts w:ascii="Palatino Linotype" w:eastAsia="Palatino Linotype" w:hAnsi="Palatino Linotype" w:cs="Palatino Linotype"/>
                <w:sz w:val="20"/>
                <w:szCs w:val="20"/>
              </w:rPr>
              <w:t>- Organigrama y codificación estructural de los organismos descentralizados de la Secretaría del Agua, entre ellos la Comisión del Agua del Estado de México.</w:t>
            </w:r>
          </w:p>
        </w:tc>
        <w:tc>
          <w:tcPr>
            <w:tcW w:w="2943" w:type="dxa"/>
            <w:vMerge/>
            <w:vAlign w:val="center"/>
          </w:tcPr>
          <w:p w14:paraId="40D72AA8" w14:textId="77777777" w:rsidR="00080DFD" w:rsidRPr="00640860" w:rsidRDefault="00080DFD">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bl>
    <w:p w14:paraId="34EE6F08"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En este tenor, con base en el análisis del cuadro anterior, se concluye que la información proporcionada por los servidores púbicos habilitados es insuficiente para tener por satisfecho del Derecho de Acceso a la información de la persona solicitante, por las razones que a continuación se exponen.</w:t>
      </w:r>
    </w:p>
    <w:p w14:paraId="3A264FB6"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 xml:space="preserve">En primer lugar, debe mencionarse que, si bien, la solicitud fue atendida por los servidores públicos habilitados competentes, no escapa de la óptica de este Organismo Garante que se proporcionaron diversas ligas electrónicas para efectos de consultar la información requerida en la solicitud, no obstante, es necesario puntualizar que estas se proporcionaron a través de documentos digitalizados que no permiten editar, modificar o procesar su contenido, es decir, el formato de los documentos no es abierto, siendo necesario capturar las ligas electrónicas carácter por carácter, situación que conlleva la posibilidad de cometer errores en la captura, y por consiguiente un impedimento de acceder a la información, razón por la cual las direcciones electrónicas proporcionadas no pueden tenerse por validas, ya que no cumplen la característica de ser precisas y directas. </w:t>
      </w:r>
    </w:p>
    <w:p w14:paraId="6ACCCFBB" w14:textId="77777777" w:rsidR="00080DFD" w:rsidRPr="00640860" w:rsidRDefault="008D17B9">
      <w:pPr>
        <w:tabs>
          <w:tab w:val="left" w:pos="1140"/>
        </w:tabs>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Como sustento a lo anterior, es oportuno referir que de conformidad con el artículo 24, fracción V de la Ley de Transparencia y Acceso a la Información Pública del Estado de México y Municipios, los entes públicos se encuentran obligados </w:t>
      </w:r>
      <w:r w:rsidRPr="00640860">
        <w:rPr>
          <w:rFonts w:ascii="Palatino Linotype" w:eastAsia="Palatino Linotype" w:hAnsi="Palatino Linotype" w:cs="Palatino Linotype"/>
          <w:b/>
          <w:u w:val="single"/>
        </w:rPr>
        <w:t>a promover</w:t>
      </w:r>
      <w:r w:rsidRPr="00640860">
        <w:rPr>
          <w:rFonts w:ascii="Palatino Linotype" w:eastAsia="Palatino Linotype" w:hAnsi="Palatino Linotype" w:cs="Palatino Linotype"/>
        </w:rPr>
        <w:t xml:space="preserve"> la generación, documentación y publicación de la información </w:t>
      </w:r>
      <w:r w:rsidRPr="00640860">
        <w:rPr>
          <w:rFonts w:ascii="Palatino Linotype" w:eastAsia="Palatino Linotype" w:hAnsi="Palatino Linotype" w:cs="Palatino Linotype"/>
          <w:b/>
          <w:u w:val="single"/>
        </w:rPr>
        <w:t>en formatos abiertos y accesibles</w:t>
      </w:r>
      <w:r w:rsidRPr="00640860">
        <w:rPr>
          <w:rFonts w:ascii="Palatino Linotype" w:eastAsia="Palatino Linotype" w:hAnsi="Palatino Linotype" w:cs="Palatino Linotype"/>
        </w:rPr>
        <w:t>, es decir, se debe procurar, en la medida de lo posible, que la información que se genere permita su reproducción y reutilización electrónica, de manera libre sin ninguna restricción.</w:t>
      </w:r>
    </w:p>
    <w:p w14:paraId="4E4A383C" w14:textId="77777777" w:rsidR="00080DFD" w:rsidRPr="00640860" w:rsidRDefault="008D17B9">
      <w:pPr>
        <w:tabs>
          <w:tab w:val="left" w:pos="1140"/>
        </w:tabs>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En este tenor, se insta al </w:t>
      </w:r>
      <w:r w:rsidRPr="00640860">
        <w:rPr>
          <w:rFonts w:ascii="Palatino Linotype" w:eastAsia="Palatino Linotype" w:hAnsi="Palatino Linotype" w:cs="Palatino Linotype"/>
          <w:b/>
        </w:rPr>
        <w:t xml:space="preserve">Sujeto Obligado, </w:t>
      </w:r>
      <w:r w:rsidRPr="00640860">
        <w:rPr>
          <w:rFonts w:ascii="Palatino Linotype" w:eastAsia="Palatino Linotype" w:hAnsi="Palatino Linotype" w:cs="Palatino Linotype"/>
        </w:rPr>
        <w:t xml:space="preserve">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w:t>
      </w:r>
      <w:r w:rsidRPr="00640860">
        <w:rPr>
          <w:rFonts w:ascii="Palatino Linotype" w:eastAsia="Palatino Linotype" w:hAnsi="Palatino Linotype" w:cs="Palatino Linotype"/>
          <w:b/>
          <w:u w:val="single"/>
        </w:rPr>
        <w:t xml:space="preserve">preferentemente a través de enlaces o hipervínculos, </w:t>
      </w:r>
      <w:r w:rsidRPr="00640860">
        <w:rPr>
          <w:rFonts w:ascii="Palatino Linotype" w:eastAsia="Palatino Linotype" w:hAnsi="Palatino Linotype" w:cs="Palatino Linotype"/>
          <w:b/>
          <w:u w:val="single"/>
        </w:rPr>
        <w:lastRenderedPageBreak/>
        <w:t>que permitan la conexión directa a la página o sitio en el que se aloja la información al dar clic al mismo,</w:t>
      </w:r>
      <w:r w:rsidRPr="00640860">
        <w:rPr>
          <w:rFonts w:ascii="Palatino Linotype" w:eastAsia="Palatino Linotype" w:hAnsi="Palatino Linotype" w:cs="Palatino Linotype"/>
        </w:rPr>
        <w:t xml:space="preserve"> con la finalidad de asegurar el acceso a la información que es de su interés.</w:t>
      </w:r>
    </w:p>
    <w:p w14:paraId="105C4704" w14:textId="77777777" w:rsidR="00080DFD" w:rsidRPr="00640860" w:rsidRDefault="008D17B9">
      <w:pPr>
        <w:tabs>
          <w:tab w:val="left" w:pos="1140"/>
        </w:tabs>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Adicional a lo anterior, respecto de la información que se solicita en el punto 1, relativa a los nombramientos de los titulares y de estructura del Órgano Interno de Control, así como de sus respectivas estructuras orgánicas, la Dirección General de Administración y Finanzas indicó que </w:t>
      </w:r>
      <w:r w:rsidRPr="00640860">
        <w:rPr>
          <w:rFonts w:ascii="Palatino Linotype" w:eastAsia="Palatino Linotype" w:hAnsi="Palatino Linotype" w:cs="Palatino Linotype"/>
          <w:b/>
        </w:rPr>
        <w:t>los nombres de los titulares</w:t>
      </w:r>
      <w:r w:rsidRPr="00640860">
        <w:rPr>
          <w:rFonts w:ascii="Palatino Linotype" w:eastAsia="Palatino Linotype" w:hAnsi="Palatino Linotype" w:cs="Palatino Linotype"/>
        </w:rPr>
        <w:t xml:space="preserve"> de las unidades administrativas, se encontraban en la página de la Secretaría del Agua, específicamente en la pestaña correspondiente al ”Directorio”, sin embargo, se reitera que se requirió específicamente la entrega de los nombramientos de los titulares y los servidores públicos de estructura adscritos al Órgano Interno de Control de la Comisión del Agua del Estado de México.</w:t>
      </w:r>
    </w:p>
    <w:p w14:paraId="3F1D298A" w14:textId="77777777" w:rsidR="00080DFD" w:rsidRPr="00640860" w:rsidRDefault="008D17B9">
      <w:pPr>
        <w:tabs>
          <w:tab w:val="left" w:pos="1140"/>
        </w:tabs>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En el mismo tenor, respecto del punto 2, mediante el cual se requirieron los recibos de nómina de los servidores públicos adscritos al Órgano Interno de Control, donde la Dirección General de Administración y Finanzas manifestó que dicha información, al ser una obligación de transparencia la cual se encuentra prevista en el artículo 91, fracción VIII de la Ley de Transparencia y Acceso a la Información Pública del Estado de México y Municipios, relativa a la remuneración bruta y neta de todos los servidores públicos, se encontraba publicada en el apartado del Sujeto Obligado del portal de Información Pública de Oficio Mexiquense, IPOMEX, sin embargo, la materia del requerimiento lo fue específicamente los recibos de nómina.</w:t>
      </w:r>
    </w:p>
    <w:p w14:paraId="5CCF58BD" w14:textId="77777777" w:rsidR="00080DFD" w:rsidRPr="00640860" w:rsidRDefault="008D17B9">
      <w:pPr>
        <w:tabs>
          <w:tab w:val="left" w:pos="1140"/>
        </w:tabs>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En este orden de ideas, es claro que la respuesta proporcionada por la Dirección General de Administración y Finanzas no corresponde con la información requerida en los puntos 1 y 2 de la solicitud, por consiguiente, es necesario que se haga entrega del soporte documental correspondiente.</w:t>
      </w:r>
    </w:p>
    <w:p w14:paraId="198C410D" w14:textId="77777777" w:rsidR="00080DFD" w:rsidRPr="00640860" w:rsidRDefault="008D17B9">
      <w:pPr>
        <w:widowControl w:val="0"/>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Para tales efectos, respecto al nombramiento de los servidores públicos es oportuno mencionar que los artículos 5, 45, y 48, fracción I de la Ley del Trabajo de los Servidores Públicos del Estado de México y Municipios, disponen lo siguiente:</w:t>
      </w:r>
    </w:p>
    <w:p w14:paraId="34A842E6" w14:textId="77777777" w:rsidR="00080DFD" w:rsidRPr="00640860" w:rsidRDefault="008D17B9">
      <w:pPr>
        <w:pBdr>
          <w:top w:val="nil"/>
          <w:left w:val="nil"/>
          <w:bottom w:val="nil"/>
          <w:right w:val="nil"/>
          <w:between w:val="nil"/>
        </w:pBdr>
        <w:ind w:left="851" w:right="899"/>
        <w:jc w:val="both"/>
        <w:rPr>
          <w:rFonts w:ascii="Palatino Linotype" w:eastAsia="Palatino Linotype" w:hAnsi="Palatino Linotype" w:cs="Palatino Linotype"/>
          <w:b/>
          <w:i/>
          <w:sz w:val="22"/>
          <w:szCs w:val="22"/>
        </w:rPr>
      </w:pPr>
      <w:r w:rsidRPr="00640860">
        <w:rPr>
          <w:rFonts w:ascii="Palatino Linotype" w:eastAsia="Palatino Linotype" w:hAnsi="Palatino Linotype" w:cs="Palatino Linotype"/>
          <w:i/>
          <w:sz w:val="22"/>
          <w:szCs w:val="22"/>
        </w:rPr>
        <w:t>“</w:t>
      </w:r>
      <w:r w:rsidRPr="00640860">
        <w:rPr>
          <w:rFonts w:ascii="Palatino Linotype" w:eastAsia="Palatino Linotype" w:hAnsi="Palatino Linotype" w:cs="Palatino Linotype"/>
          <w:b/>
          <w:i/>
          <w:sz w:val="22"/>
          <w:szCs w:val="22"/>
        </w:rPr>
        <w:t>ARTÍCULO 5.-</w:t>
      </w:r>
      <w:r w:rsidRPr="00640860">
        <w:rPr>
          <w:rFonts w:ascii="Palatino Linotype" w:eastAsia="Palatino Linotype" w:hAnsi="Palatino Linotype" w:cs="Palatino Linotype"/>
          <w:i/>
          <w:sz w:val="22"/>
          <w:szCs w:val="22"/>
        </w:rPr>
        <w:t xml:space="preserve"> La relación de trabajo entre las instituciones públicas y sus servidores públicos </w:t>
      </w:r>
      <w:r w:rsidRPr="00640860">
        <w:rPr>
          <w:rFonts w:ascii="Palatino Linotype" w:eastAsia="Palatino Linotype" w:hAnsi="Palatino Linotype" w:cs="Palatino Linotype"/>
          <w:b/>
          <w:i/>
          <w:sz w:val="22"/>
          <w:szCs w:val="22"/>
        </w:rPr>
        <w:t>se entiende establecida mediante nombramiento, formato único de movimiento de personal, contrato o por cualquier otro acto que tenga como consecuencia la prestación personal subordinada del servicio y la percepción de un sueldo.</w:t>
      </w:r>
    </w:p>
    <w:p w14:paraId="361B4DB8" w14:textId="77777777" w:rsidR="00080DFD" w:rsidRPr="00640860" w:rsidRDefault="008D17B9">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w:t>
      </w:r>
    </w:p>
    <w:p w14:paraId="50814F5A" w14:textId="77777777" w:rsidR="00080DFD" w:rsidRPr="00640860" w:rsidRDefault="008D17B9">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ARTÍCULO 45.-Los servidores públicos prestarán sus servicios mediante nombramiento, contrato o formato único de Movimientos de Personal</w:t>
      </w:r>
      <w:r w:rsidRPr="00640860">
        <w:rPr>
          <w:rFonts w:ascii="Palatino Linotype" w:eastAsia="Palatino Linotype" w:hAnsi="Palatino Linotype" w:cs="Palatino Linotype"/>
          <w:i/>
          <w:sz w:val="22"/>
          <w:szCs w:val="22"/>
        </w:rPr>
        <w:t xml:space="preserve"> expedidos por quien estuviere facultado legalmente para extenderlo.</w:t>
      </w:r>
    </w:p>
    <w:p w14:paraId="0BCE22CA" w14:textId="77777777" w:rsidR="00080DFD" w:rsidRPr="00640860" w:rsidRDefault="008D17B9">
      <w:pPr>
        <w:pBdr>
          <w:top w:val="nil"/>
          <w:left w:val="nil"/>
          <w:bottom w:val="nil"/>
          <w:right w:val="nil"/>
          <w:between w:val="nil"/>
        </w:pBdr>
        <w:ind w:left="851" w:right="899"/>
        <w:jc w:val="both"/>
        <w:rPr>
          <w:rFonts w:ascii="Palatino Linotype" w:eastAsia="Palatino Linotype" w:hAnsi="Palatino Linotype" w:cs="Palatino Linotype"/>
          <w:b/>
          <w:i/>
          <w:sz w:val="22"/>
          <w:szCs w:val="22"/>
        </w:rPr>
      </w:pPr>
      <w:r w:rsidRPr="00640860">
        <w:rPr>
          <w:rFonts w:ascii="Palatino Linotype" w:eastAsia="Palatino Linotype" w:hAnsi="Palatino Linotype" w:cs="Palatino Linotype"/>
          <w:b/>
          <w:i/>
          <w:sz w:val="22"/>
          <w:szCs w:val="22"/>
        </w:rPr>
        <w:t>…</w:t>
      </w:r>
    </w:p>
    <w:p w14:paraId="7E1952DB" w14:textId="77777777" w:rsidR="00080DFD" w:rsidRPr="00640860" w:rsidRDefault="008D17B9">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ARTÍCULO 48. Para iniciar la prestación de los servicios se requiere:</w:t>
      </w:r>
      <w:r w:rsidRPr="00640860">
        <w:rPr>
          <w:rFonts w:ascii="Palatino Linotype" w:eastAsia="Palatino Linotype" w:hAnsi="Palatino Linotype" w:cs="Palatino Linotype"/>
          <w:i/>
          <w:sz w:val="22"/>
          <w:szCs w:val="22"/>
        </w:rPr>
        <w:t xml:space="preserve"> </w:t>
      </w:r>
    </w:p>
    <w:p w14:paraId="2C8C9398" w14:textId="77777777" w:rsidR="00080DFD" w:rsidRPr="00640860" w:rsidRDefault="008D17B9">
      <w:pPr>
        <w:pBdr>
          <w:top w:val="nil"/>
          <w:left w:val="nil"/>
          <w:bottom w:val="nil"/>
          <w:right w:val="nil"/>
          <w:between w:val="nil"/>
        </w:pBdr>
        <w:ind w:left="1134" w:right="899"/>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 Tener conferido el nombramiento, contrato respectivo o formato único de Movimientos de Personal;</w:t>
      </w:r>
      <w:r w:rsidRPr="00640860">
        <w:rPr>
          <w:rFonts w:ascii="Palatino Linotype" w:eastAsia="Palatino Linotype" w:hAnsi="Palatino Linotype" w:cs="Palatino Linotype"/>
          <w:i/>
          <w:sz w:val="22"/>
          <w:szCs w:val="22"/>
        </w:rPr>
        <w:t xml:space="preserve"> </w:t>
      </w:r>
    </w:p>
    <w:p w14:paraId="280707C3" w14:textId="77777777" w:rsidR="00080DFD" w:rsidRPr="00640860" w:rsidRDefault="008D17B9">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p>
    <w:p w14:paraId="30C179A4" w14:textId="77777777" w:rsidR="00080DFD" w:rsidRPr="00640860" w:rsidRDefault="008D17B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rPr>
      </w:pPr>
      <w:r w:rsidRPr="00640860">
        <w:rPr>
          <w:rFonts w:ascii="Palatino Linotype" w:eastAsia="Palatino Linotype" w:hAnsi="Palatino Linotype" w:cs="Palatino Linotype"/>
        </w:rPr>
        <w:t xml:space="preserve">Por otro lado, el artículo 10 de la Ley Orgánica de la Administración Pública del Estado de México, la persona titular del poder ejecutivo cuneta con la facultad de nombrar y remover libremente a las personas servidoras públicas de la administración pública, </w:t>
      </w:r>
      <w:r w:rsidRPr="00640860">
        <w:rPr>
          <w:rFonts w:ascii="Palatino Linotype" w:eastAsia="Palatino Linotype" w:hAnsi="Palatino Linotype" w:cs="Palatino Linotype"/>
          <w:b/>
        </w:rPr>
        <w:t>cuyo nombramiento o remoción no esté determinado de otro modo en la Constitución o en las leyes del Estado.</w:t>
      </w:r>
    </w:p>
    <w:p w14:paraId="09644C18" w14:textId="77777777" w:rsidR="00080DFD" w:rsidRPr="00640860" w:rsidRDefault="008D17B9">
      <w:pPr>
        <w:widowControl w:val="0"/>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De lo anterior, podemos advertir que las relaciones de trabajo entre los servidores </w:t>
      </w:r>
      <w:r w:rsidRPr="00640860">
        <w:rPr>
          <w:rFonts w:ascii="Palatino Linotype" w:eastAsia="Palatino Linotype" w:hAnsi="Palatino Linotype" w:cs="Palatino Linotype"/>
        </w:rPr>
        <w:lastRenderedPageBreak/>
        <w:t xml:space="preserve">públicos del Estado y sus municipios se encuentran reguladas por la Ley del Trabajo de los Servidores Públicos del Estado y Municipios, la cual indica expresamente que las mismas se entenderán establecidas mediante el nombramiento, formato único de movimientos de personal, contrato o cualquiera que tenga como consecuencia la prestación personal subordinada del servicio y la percepción de un sueldo;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 </w:t>
      </w:r>
    </w:p>
    <w:p w14:paraId="67C7DB14" w14:textId="77777777" w:rsidR="00080DFD" w:rsidRPr="00640860" w:rsidRDefault="008D17B9">
      <w:pPr>
        <w:widowControl w:val="0"/>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Por consiguiente, para dar cumplimiento a la presente resolución, el Departamento de Registro y Control de Personal de la Subdirección de Administración de Personal, adscrita a la Dirección General de Administración y Finanzas deberá proporcionar el nombramiento, formato único de movimiento de personal, contrato o documento análogo del titular y de los servidores públicos de estructura adscritos al Órgano Interno de Control, en versión pública de conformidad con el considerando siguiente.</w:t>
      </w:r>
    </w:p>
    <w:p w14:paraId="792C8E77" w14:textId="77777777" w:rsidR="00080DFD" w:rsidRPr="00640860" w:rsidRDefault="008D17B9">
      <w:pPr>
        <w:widowControl w:val="0"/>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Por lo que se refiere a los recibos de nómina, debido a que 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xml:space="preserve"> es una dependencia adscrita al sector central del Poder Ejecutivo del Estado, es oportuno hacer las siguientes precisiones:</w:t>
      </w:r>
    </w:p>
    <w:p w14:paraId="3D626344" w14:textId="77777777" w:rsidR="00080DFD" w:rsidRPr="00640860" w:rsidRDefault="008D17B9">
      <w:pPr>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Como parte de la reestructuración de las dependencias del Poder Ejecutivo del Estado, que estableció el Decreto número 182 publicado en el Periódico Oficial “Gaceta del  Gobierno” del Estado de México, el once de septiembre de dos mil </w:t>
      </w:r>
      <w:r w:rsidRPr="00640860">
        <w:rPr>
          <w:rFonts w:ascii="Palatino Linotype" w:eastAsia="Palatino Linotype" w:hAnsi="Palatino Linotype" w:cs="Palatino Linotype"/>
        </w:rPr>
        <w:lastRenderedPageBreak/>
        <w:t>veintitrés, por medio del cual se expidió la Ley Orgánica de la Administración Pública del Estado de México vigente, se determinó la creación de la Oficialía Mayor, para atender los temas administrativos a cargo de la Secretaría de Finanzas, con la finalidad de permitir, a través de una dependencia especializada, una mejor aplicación de los recursos fiscales, que le dé prioridad al manejo de los recursos humanos, materiales y técnicos que fortalezcan el desempeño de todas las áreas del Poder Ejecutivo, por consiguiente, las áreas existentes en la Secretaría de Finanzas que tenían a su cargo los temas administrativos, se integraron a la Oficialía Mayor.</w:t>
      </w:r>
    </w:p>
    <w:p w14:paraId="0287013F" w14:textId="77777777" w:rsidR="00080DFD" w:rsidRPr="00640860" w:rsidRDefault="008D17B9">
      <w:pPr>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En tal sentido, mediante el Acuerdo por el que se transfieren los recursos de la Subsecretaría de Administración de la Secretaría de Finanzas a la Oficialía Mayor, publicado en el Periódico Oficial “Gaceta del Gobierno” del Estado de México, el veintisiete de septiembre de dos mil veintitrés, se transfirieron </w:t>
      </w:r>
      <w:r w:rsidRPr="00640860">
        <w:rPr>
          <w:rFonts w:ascii="Palatino Linotype" w:eastAsia="Palatino Linotype" w:hAnsi="Palatino Linotype" w:cs="Palatino Linotype"/>
          <w:b/>
        </w:rPr>
        <w:t xml:space="preserve">los recursos  humanos, materiales, presupuestales y financieros de la Subsecretaría de Administración de la Secretaría de Finanzas, a la Oficialía Mayor,  </w:t>
      </w:r>
      <w:r w:rsidRPr="00640860">
        <w:rPr>
          <w:rFonts w:ascii="Palatino Linotype" w:eastAsia="Palatino Linotype" w:hAnsi="Palatino Linotype" w:cs="Palatino Linotype"/>
          <w:b/>
          <w:u w:val="single"/>
        </w:rPr>
        <w:t>con excepción de los relativos a la Dirección General del Sistema Estatal de Informática</w:t>
      </w:r>
      <w:r w:rsidRPr="00640860">
        <w:rPr>
          <w:rFonts w:ascii="Palatino Linotype" w:eastAsia="Palatino Linotype" w:hAnsi="Palatino Linotype" w:cs="Palatino Linotype"/>
          <w:b/>
        </w:rPr>
        <w:t xml:space="preserve">, </w:t>
      </w:r>
      <w:r w:rsidRPr="00640860">
        <w:rPr>
          <w:rFonts w:ascii="Palatino Linotype" w:eastAsia="Palatino Linotype" w:hAnsi="Palatino Linotype" w:cs="Palatino Linotype"/>
        </w:rPr>
        <w:t xml:space="preserve">la cual continuaría adscrita a la Secretaría de Finanzas; en consecuencia, las referencias realizadas en disposiciones jurídicas, legales, reglamentarias, administrativas, y en cualquier tipo de documentación a la Subsecretaría de Administración o a la Secretaría de Finanzas en materia de planeación, organización, normatividad y dirección de la administración y desarrollo de los recursos humanos, materiales y servicios para el apoyo administrativo y tecnológico que requieran las dependencias del Poder Ejecutivo del Estado, con excepción de las que correspondan a la </w:t>
      </w:r>
      <w:r w:rsidRPr="00640860">
        <w:rPr>
          <w:rFonts w:ascii="Palatino Linotype" w:eastAsia="Palatino Linotype" w:hAnsi="Palatino Linotype" w:cs="Palatino Linotype"/>
        </w:rPr>
        <w:lastRenderedPageBreak/>
        <w:t>Dirección General del Sistema Estatal de Informática, se entenderán hechas a la Oficialía Mayor, de conformidad con los artículos Segundo y Tercero del Acuerdo:</w:t>
      </w:r>
    </w:p>
    <w:p w14:paraId="104783B0"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r w:rsidRPr="00640860">
        <w:rPr>
          <w:rFonts w:ascii="Palatino Linotype" w:eastAsia="Palatino Linotype" w:hAnsi="Palatino Linotype" w:cs="Palatino Linotype"/>
          <w:b/>
          <w:i/>
          <w:sz w:val="22"/>
          <w:szCs w:val="22"/>
        </w:rPr>
        <w:t>ARTÍCULO SEGUNDO</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 xml:space="preserve">Los recursos humanos, materiales, presupuestales y financieros de la </w:t>
      </w:r>
      <w:r w:rsidRPr="00640860">
        <w:rPr>
          <w:rFonts w:ascii="Palatino Linotype" w:eastAsia="Palatino Linotype" w:hAnsi="Palatino Linotype" w:cs="Palatino Linotype"/>
          <w:b/>
          <w:i/>
          <w:sz w:val="22"/>
          <w:szCs w:val="22"/>
          <w:u w:val="single"/>
        </w:rPr>
        <w:t>Subsecretaría de Administración de la Secretaría de Finanzas</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u w:val="single"/>
        </w:rPr>
        <w:t>con excepción de los relativos a la Dirección General del Sistema Estatal de Informática, que continuará adscrita a la Secretaría de Finanzas</w:t>
      </w:r>
      <w:r w:rsidRPr="00640860">
        <w:rPr>
          <w:rFonts w:ascii="Palatino Linotype" w:eastAsia="Palatino Linotype" w:hAnsi="Palatino Linotype" w:cs="Palatino Linotype"/>
          <w:b/>
          <w:i/>
          <w:sz w:val="22"/>
          <w:szCs w:val="22"/>
        </w:rPr>
        <w:t xml:space="preserve">, serán transferidos </w:t>
      </w:r>
      <w:r w:rsidRPr="00640860">
        <w:rPr>
          <w:rFonts w:ascii="Palatino Linotype" w:eastAsia="Palatino Linotype" w:hAnsi="Palatino Linotype" w:cs="Palatino Linotype"/>
          <w:i/>
          <w:sz w:val="22"/>
          <w:szCs w:val="22"/>
        </w:rPr>
        <w:t xml:space="preserve">a partir de la entrada en vigor del presente Acuerdo </w:t>
      </w:r>
      <w:r w:rsidRPr="00640860">
        <w:rPr>
          <w:rFonts w:ascii="Palatino Linotype" w:eastAsia="Palatino Linotype" w:hAnsi="Palatino Linotype" w:cs="Palatino Linotype"/>
          <w:b/>
          <w:i/>
          <w:sz w:val="22"/>
          <w:szCs w:val="22"/>
        </w:rPr>
        <w:t xml:space="preserve">a la Oficialía Mayor. </w:t>
      </w:r>
      <w:r w:rsidRPr="00640860">
        <w:rPr>
          <w:rFonts w:ascii="Palatino Linotype" w:eastAsia="Palatino Linotype" w:hAnsi="Palatino Linotype" w:cs="Palatino Linotype"/>
          <w:i/>
          <w:sz w:val="22"/>
          <w:szCs w:val="22"/>
        </w:rPr>
        <w:t>La Secretaría de Finanzas deberá llevar a cabo las acciones necesarias que permitan a la Oficialía Mayor ejercer sus atribuciones y cumplir con sus obligaciones relativas al pago de las prestaciones económicas de los recursos humanos, materiales y financieros, así como las derivadas de los contratos de arrendamiento de bienes muebles e inmuebles, de ejecución de obra pública y los correspondientes a la adquisición de los bienes y servicios.</w:t>
      </w:r>
    </w:p>
    <w:p w14:paraId="2293BA74"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r w:rsidRPr="00640860">
        <w:rPr>
          <w:rFonts w:ascii="Palatino Linotype" w:eastAsia="Palatino Linotype" w:hAnsi="Palatino Linotype" w:cs="Palatino Linotype"/>
          <w:b/>
          <w:i/>
          <w:sz w:val="22"/>
          <w:szCs w:val="22"/>
        </w:rPr>
        <w:t>ARTÍCULO TERCERO</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 xml:space="preserve">Las referencias realizadas en disposiciones jurídicas, legales, reglamentarias, administrativas, y en cualquier tipo de documentación a la Subsecretaría de Administración o a la Secretaría de Finanzas en materia de planeación, organización, normatividad y dirección de la administración y desarrollo de los recursos humanos, materiales y servicios para el apoyo administrativo y tecnológico </w:t>
      </w:r>
      <w:r w:rsidRPr="00640860">
        <w:rPr>
          <w:rFonts w:ascii="Palatino Linotype" w:eastAsia="Palatino Linotype" w:hAnsi="Palatino Linotype" w:cs="Palatino Linotype"/>
          <w:i/>
          <w:sz w:val="22"/>
          <w:szCs w:val="22"/>
        </w:rPr>
        <w:t xml:space="preserve">que requieran las dependencias del Poder Ejecutivo del Estado, con excepción de las que correspondan a la Dirección General del Sistema Estatal de Informática, </w:t>
      </w:r>
      <w:r w:rsidRPr="00640860">
        <w:rPr>
          <w:rFonts w:ascii="Palatino Linotype" w:eastAsia="Palatino Linotype" w:hAnsi="Palatino Linotype" w:cs="Palatino Linotype"/>
          <w:b/>
          <w:i/>
          <w:sz w:val="22"/>
          <w:szCs w:val="22"/>
        </w:rPr>
        <w:t>se entenderán hechas a la Oficialía Mayor.”</w:t>
      </w:r>
    </w:p>
    <w:p w14:paraId="1864B182" w14:textId="77777777" w:rsidR="00080DFD" w:rsidRPr="00640860" w:rsidRDefault="008D17B9">
      <w:pPr>
        <w:tabs>
          <w:tab w:val="left" w:pos="2820"/>
        </w:tabs>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Posteriormente, mediante el Acuerdo por el que se transfieren los recursos de la Dirección General del Sistema Estatal de Informática a la Agencia Digital del Estado de México, publicado en el Periódico Oficial “Gaceta del Gobierno” del Estado de México, el veinticinco de abril de dos mil veinticuatro, se determinó que </w:t>
      </w:r>
      <w:r w:rsidRPr="00640860">
        <w:rPr>
          <w:rFonts w:ascii="Palatino Linotype" w:eastAsia="Palatino Linotype" w:hAnsi="Palatino Linotype" w:cs="Palatino Linotype"/>
          <w:b/>
        </w:rPr>
        <w:t xml:space="preserve">los recursos humanos, materiales, presupuestales y financieros de la </w:t>
      </w:r>
      <w:r w:rsidRPr="00640860">
        <w:rPr>
          <w:rFonts w:ascii="Palatino Linotype" w:eastAsia="Palatino Linotype" w:hAnsi="Palatino Linotype" w:cs="Palatino Linotype"/>
          <w:b/>
          <w:u w:val="single"/>
        </w:rPr>
        <w:t>Dirección General del Sistema Estatal de Informática</w:t>
      </w:r>
      <w:r w:rsidRPr="00640860">
        <w:rPr>
          <w:rFonts w:ascii="Palatino Linotype" w:eastAsia="Palatino Linotype" w:hAnsi="Palatino Linotype" w:cs="Palatino Linotype"/>
          <w:b/>
        </w:rPr>
        <w:t>,</w:t>
      </w:r>
      <w:r w:rsidRPr="00640860">
        <w:rPr>
          <w:rFonts w:ascii="Palatino Linotype" w:eastAsia="Palatino Linotype" w:hAnsi="Palatino Linotype" w:cs="Palatino Linotype"/>
        </w:rPr>
        <w:t xml:space="preserve"> incluyendo los que corresponden a la Dirección de Gobierno Digital, la Dirección de Ingeniería de la Información, la Dirección de Infraestructura Tecnológica y Comunicaciones, la Dirección de Normatividad de </w:t>
      </w:r>
      <w:r w:rsidRPr="00640860">
        <w:rPr>
          <w:rFonts w:ascii="Palatino Linotype" w:eastAsia="Palatino Linotype" w:hAnsi="Palatino Linotype" w:cs="Palatino Linotype"/>
        </w:rPr>
        <w:lastRenderedPageBreak/>
        <w:t xml:space="preserve">Tecnologías de la Información y Comunicación, y su Delegación Administrativa, así como sus unidades administrativas dependientes, </w:t>
      </w:r>
      <w:r w:rsidRPr="00640860">
        <w:rPr>
          <w:rFonts w:ascii="Palatino Linotype" w:eastAsia="Palatino Linotype" w:hAnsi="Palatino Linotype" w:cs="Palatino Linotype"/>
          <w:b/>
        </w:rPr>
        <w:t xml:space="preserve">serán transferidos a la Agencia Digital del Estado de México, </w:t>
      </w:r>
      <w:r w:rsidRPr="00640860">
        <w:rPr>
          <w:rFonts w:ascii="Palatino Linotype" w:eastAsia="Palatino Linotype" w:hAnsi="Palatino Linotype" w:cs="Palatino Linotype"/>
          <w:b/>
          <w:u w:val="single"/>
        </w:rPr>
        <w:t>con excepción de la Subdirección de Soporte de Nómina y el Departamento de Bases de Datos de Nómina, que se transfirieron a la Oficialía Mayor</w:t>
      </w:r>
      <w:r w:rsidRPr="00640860">
        <w:rPr>
          <w:rFonts w:ascii="Palatino Linotype" w:eastAsia="Palatino Linotype" w:hAnsi="Palatino Linotype" w:cs="Palatino Linotype"/>
          <w:b/>
        </w:rPr>
        <w:t xml:space="preserve">, </w:t>
      </w:r>
      <w:r w:rsidRPr="00640860">
        <w:rPr>
          <w:rFonts w:ascii="Palatino Linotype" w:eastAsia="Palatino Linotype" w:hAnsi="Palatino Linotype" w:cs="Palatino Linotype"/>
        </w:rPr>
        <w:t xml:space="preserve">asimismo, las referencias realizadas en disposiciones jurídicas, legales, reglamentarias, administrativas, y en cualquier tipo de documentación a la Dirección General del Sistema Estatal de Informática o a la Secretaría de Finanzas exclusivamente como unidad jerárquica superior de la dicha Dirección, incluidas las relativas a recursos y servicios en materia tecnológica e informática, se entenderán hechas a la Agencia Digital del Estado de México, </w:t>
      </w:r>
      <w:r w:rsidRPr="00640860">
        <w:rPr>
          <w:rFonts w:ascii="Palatino Linotype" w:eastAsia="Palatino Linotype" w:hAnsi="Palatino Linotype" w:cs="Palatino Linotype"/>
          <w:b/>
        </w:rPr>
        <w:t xml:space="preserve">con excepción de las relativas a la Subdirección de Soporte de Nómina y el Departamento de Bases de Datos de Nómina, las cuales </w:t>
      </w:r>
      <w:r w:rsidRPr="00640860">
        <w:rPr>
          <w:rFonts w:ascii="Palatino Linotype" w:eastAsia="Palatino Linotype" w:hAnsi="Palatino Linotype" w:cs="Palatino Linotype"/>
          <w:b/>
          <w:u w:val="single"/>
        </w:rPr>
        <w:t>se entenderán hechas a la Oficialía Mayor,</w:t>
      </w:r>
      <w:r w:rsidRPr="00640860">
        <w:rPr>
          <w:rFonts w:ascii="Palatino Linotype" w:eastAsia="Palatino Linotype" w:hAnsi="Palatino Linotype" w:cs="Palatino Linotype"/>
        </w:rPr>
        <w:t xml:space="preserve"> según se lee en los artículos Segundo, párrafos primero y segundo, y Tercero párrafo primero del Acuerdo:</w:t>
      </w:r>
    </w:p>
    <w:p w14:paraId="69FA98FF" w14:textId="77777777" w:rsidR="00080DFD" w:rsidRPr="00640860" w:rsidRDefault="008D17B9">
      <w:pPr>
        <w:tabs>
          <w:tab w:val="left" w:pos="2820"/>
        </w:tabs>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ARTÍCULO SEGUNDO</w:t>
      </w:r>
      <w:r w:rsidRPr="00640860">
        <w:rPr>
          <w:rFonts w:ascii="Palatino Linotype" w:eastAsia="Palatino Linotype" w:hAnsi="Palatino Linotype" w:cs="Palatino Linotype"/>
          <w:i/>
          <w:sz w:val="22"/>
          <w:szCs w:val="22"/>
        </w:rPr>
        <w:t xml:space="preserve">. Los recursos humanos, materiales, presupuestales y financieros de la Dirección General del Sistema Estatal de Informática, incluyendo los que corresponden a la Dirección de Gobierno Digital, la Dirección de Ingeniería de la Información, la Dirección de Infraestructura Tecnológica y Comunicaciones, la Dirección de Normatividad de Tecnologías de la Información y Comunicación, y su Delegación Administrativa, así como sus unidades administrativas dependientes, con excepción de la Subdirección de Soporte de Nómina y el Departamento de Bases de Datos de Nómina, serán transferidos a la Agencia Digital del Estado de México. </w:t>
      </w:r>
    </w:p>
    <w:p w14:paraId="4DCC677F" w14:textId="77777777" w:rsidR="00080DFD" w:rsidRPr="00640860" w:rsidRDefault="008D17B9">
      <w:pPr>
        <w:tabs>
          <w:tab w:val="left" w:pos="2820"/>
        </w:tabs>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u w:val="single"/>
        </w:rPr>
        <w:t>La Subdirección de Soporte de Nómina y el Departamento de Bases de Datos de Nómina, incluyendo sus recursos humanos, materiales, presupuestales y financieros de serán transferidos a la Oficialía Mayor</w:t>
      </w:r>
      <w:r w:rsidRPr="00640860">
        <w:rPr>
          <w:rFonts w:ascii="Palatino Linotype" w:eastAsia="Palatino Linotype" w:hAnsi="Palatino Linotype" w:cs="Palatino Linotype"/>
          <w:i/>
          <w:sz w:val="22"/>
          <w:szCs w:val="22"/>
        </w:rPr>
        <w:t xml:space="preserve">. </w:t>
      </w:r>
    </w:p>
    <w:p w14:paraId="35AB4C74" w14:textId="77777777" w:rsidR="00080DFD" w:rsidRPr="00640860" w:rsidRDefault="008D17B9">
      <w:pPr>
        <w:tabs>
          <w:tab w:val="left" w:pos="2820"/>
        </w:tabs>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p>
    <w:p w14:paraId="07A0C567" w14:textId="77777777" w:rsidR="00080DFD" w:rsidRPr="00640860" w:rsidRDefault="008D17B9">
      <w:pPr>
        <w:tabs>
          <w:tab w:val="left" w:pos="2820"/>
        </w:tabs>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lastRenderedPageBreak/>
        <w:t>ARTÍCULO TERCERO. Las referencias realizadas en disposiciones jurídicas, legales, reglamentarias, administrativas, y en cualquier tipo de documentación</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a la Dirección General del Sistema Estatal de Informática o a la Secretaría de Finanzas</w:t>
      </w:r>
      <w:r w:rsidRPr="00640860">
        <w:rPr>
          <w:rFonts w:ascii="Palatino Linotype" w:eastAsia="Palatino Linotype" w:hAnsi="Palatino Linotype" w:cs="Palatino Linotype"/>
          <w:i/>
          <w:sz w:val="22"/>
          <w:szCs w:val="22"/>
        </w:rPr>
        <w:t xml:space="preserve"> exclusivamente como unidad jerárquica superior de la dicha Dirección, incluidas las relativas a recursos y servicios en materia tecnológica e informática, </w:t>
      </w:r>
      <w:r w:rsidRPr="00640860">
        <w:rPr>
          <w:rFonts w:ascii="Palatino Linotype" w:eastAsia="Palatino Linotype" w:hAnsi="Palatino Linotype" w:cs="Palatino Linotype"/>
          <w:b/>
          <w:i/>
          <w:sz w:val="22"/>
          <w:szCs w:val="22"/>
        </w:rPr>
        <w:t xml:space="preserve">se entenderán hechas a la Agencia Digital </w:t>
      </w:r>
      <w:r w:rsidRPr="00640860">
        <w:rPr>
          <w:rFonts w:ascii="Palatino Linotype" w:eastAsia="Palatino Linotype" w:hAnsi="Palatino Linotype" w:cs="Palatino Linotype"/>
          <w:i/>
          <w:sz w:val="22"/>
          <w:szCs w:val="22"/>
        </w:rPr>
        <w:t xml:space="preserve">del Estado de México, </w:t>
      </w:r>
      <w:r w:rsidRPr="00640860">
        <w:rPr>
          <w:rFonts w:ascii="Palatino Linotype" w:eastAsia="Palatino Linotype" w:hAnsi="Palatino Linotype" w:cs="Palatino Linotype"/>
          <w:b/>
          <w:i/>
          <w:sz w:val="22"/>
          <w:szCs w:val="22"/>
          <w:u w:val="single"/>
        </w:rPr>
        <w:t>con excepción de las relativas a la Subdirección de Soporte de Nómina y el Departamento de Bases de Datos de Nómina, las cuales se entenderán hechas a la Oficialía Mayor</w:t>
      </w:r>
      <w:r w:rsidRPr="00640860">
        <w:rPr>
          <w:rFonts w:ascii="Palatino Linotype" w:eastAsia="Palatino Linotype" w:hAnsi="Palatino Linotype" w:cs="Palatino Linotype"/>
          <w:i/>
          <w:sz w:val="22"/>
          <w:szCs w:val="22"/>
        </w:rPr>
        <w:t>…”</w:t>
      </w:r>
    </w:p>
    <w:p w14:paraId="3DC1A9EE" w14:textId="77777777" w:rsidR="00080DFD" w:rsidRPr="00640860" w:rsidRDefault="008D17B9">
      <w:pPr>
        <w:tabs>
          <w:tab w:val="left" w:pos="2820"/>
          <w:tab w:val="left" w:pos="8647"/>
        </w:tabs>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Con base en lo anterior, tomando como referencia el Manual General de Organización de la Secretaría de Finanzas, se precisa que la Coordinación de Servicios Auxiliares a Contingencias y Emergencias, la Dirección General de Personal, la Dirección General de Recursos Materiales, y la Dirección General de Innovación, así como la Subdirección de Soporte de Nómina y el Departamento de Bases de Datos de Nómina, dependiente de esta última, que anteriormente formaban parte de la estructura orgánica de la Subsecretaría de Administración de la Secretaria de Fianzas, fueron transferidas a la Oficialía Mayor, derivado de los acuerdos a los que se ha hecho alusión.</w:t>
      </w:r>
    </w:p>
    <w:p w14:paraId="49A0DB10" w14:textId="77777777" w:rsidR="00080DFD" w:rsidRPr="00640860" w:rsidRDefault="008D17B9">
      <w:pPr>
        <w:tabs>
          <w:tab w:val="left" w:pos="2820"/>
          <w:tab w:val="left" w:pos="8647"/>
        </w:tabs>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En este orden de ideas, respecto al tema que nos interesa, es oportuno referir que la Dirección General de Personal, de conformidad con el artículo 10 del Reglamento Interior de la Oficialía Mayor, tiene a su cargo las siguientes atribuciones en su parte conducente:</w:t>
      </w:r>
    </w:p>
    <w:p w14:paraId="3B00D938" w14:textId="77777777" w:rsidR="00080DFD" w:rsidRPr="00640860" w:rsidRDefault="008D17B9">
      <w:pPr>
        <w:tabs>
          <w:tab w:val="left" w:pos="2820"/>
          <w:tab w:val="left" w:pos="8647"/>
        </w:tabs>
        <w:spacing w:before="240" w:after="240"/>
        <w:ind w:left="284" w:right="49"/>
        <w:jc w:val="both"/>
        <w:rPr>
          <w:rFonts w:ascii="Palatino Linotype" w:eastAsia="Palatino Linotype" w:hAnsi="Palatino Linotype" w:cs="Palatino Linotype"/>
        </w:rPr>
      </w:pPr>
      <w:r w:rsidRPr="00640860">
        <w:rPr>
          <w:rFonts w:ascii="Palatino Linotype" w:eastAsia="Palatino Linotype" w:hAnsi="Palatino Linotype" w:cs="Palatino Linotype"/>
        </w:rPr>
        <w:t>- Proponer, desarrollar y coordinar, con la Secretaría de Finanzas, la operación y el control del Sistema Integral de Movimientos al Personal, así como las tecnologías de la información y comunicación que se requieran para el correcto desarrollo de sus funciones;</w:t>
      </w:r>
    </w:p>
    <w:p w14:paraId="2A99FC1B" w14:textId="77777777" w:rsidR="00080DFD" w:rsidRPr="00640860" w:rsidRDefault="008D17B9">
      <w:pPr>
        <w:tabs>
          <w:tab w:val="left" w:pos="2820"/>
          <w:tab w:val="left" w:pos="8647"/>
        </w:tabs>
        <w:spacing w:before="240" w:after="240"/>
        <w:ind w:left="284" w:right="49"/>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 Aplicar las disposiciones legales y normativas en materia de desarrollo y administración de personal para las personas servidoras públicas del sector central del Poder Ejecutivo;</w:t>
      </w:r>
    </w:p>
    <w:p w14:paraId="70696B93" w14:textId="77777777" w:rsidR="00080DFD" w:rsidRPr="00640860" w:rsidRDefault="008D17B9">
      <w:pPr>
        <w:tabs>
          <w:tab w:val="left" w:pos="2820"/>
          <w:tab w:val="left" w:pos="8647"/>
        </w:tabs>
        <w:spacing w:before="240" w:after="240"/>
        <w:ind w:left="284" w:right="49"/>
        <w:jc w:val="both"/>
        <w:rPr>
          <w:rFonts w:ascii="Palatino Linotype" w:eastAsia="Palatino Linotype" w:hAnsi="Palatino Linotype" w:cs="Palatino Linotype"/>
        </w:rPr>
      </w:pPr>
      <w:r w:rsidRPr="00640860">
        <w:rPr>
          <w:rFonts w:ascii="Palatino Linotype" w:eastAsia="Palatino Linotype" w:hAnsi="Palatino Linotype" w:cs="Palatino Linotype"/>
        </w:rPr>
        <w:t>- Proponer a la persona titular de la Oficialía Mayor los lineamientos que en materia de personal deben observar las dependencias y los organismos auxiliares del Poder Ejecutivo del Gobierno del Estado de México;</w:t>
      </w:r>
    </w:p>
    <w:p w14:paraId="1750E974" w14:textId="77777777" w:rsidR="00080DFD" w:rsidRPr="00640860" w:rsidRDefault="008D17B9">
      <w:pPr>
        <w:tabs>
          <w:tab w:val="left" w:pos="2820"/>
          <w:tab w:val="left" w:pos="8647"/>
        </w:tabs>
        <w:spacing w:before="240" w:after="240"/>
        <w:ind w:left="284" w:right="49"/>
        <w:jc w:val="both"/>
        <w:rPr>
          <w:rFonts w:ascii="Palatino Linotype" w:eastAsia="Palatino Linotype" w:hAnsi="Palatino Linotype" w:cs="Palatino Linotype"/>
        </w:rPr>
      </w:pPr>
      <w:r w:rsidRPr="00640860">
        <w:rPr>
          <w:rFonts w:ascii="Palatino Linotype" w:eastAsia="Palatino Linotype" w:hAnsi="Palatino Linotype" w:cs="Palatino Linotype"/>
        </w:rPr>
        <w:t>- Aplicar las disposiciones que norman la remuneración y prestaciones que deban otorgarse a las personas servidoras públicas del Poder Ejecutivo del Gobierno del Estado, en concordancia con las estructuras orgánico-funcionales y los catálogos de puestos aprobados;</w:t>
      </w:r>
    </w:p>
    <w:p w14:paraId="1618D525" w14:textId="77777777" w:rsidR="00080DFD" w:rsidRPr="00640860" w:rsidRDefault="008D17B9">
      <w:pPr>
        <w:tabs>
          <w:tab w:val="left" w:pos="2820"/>
          <w:tab w:val="left" w:pos="8647"/>
        </w:tabs>
        <w:spacing w:before="240" w:after="240"/>
        <w:ind w:left="284" w:right="49"/>
        <w:jc w:val="both"/>
        <w:rPr>
          <w:rFonts w:ascii="Palatino Linotype" w:eastAsia="Palatino Linotype" w:hAnsi="Palatino Linotype" w:cs="Palatino Linotype"/>
        </w:rPr>
      </w:pPr>
      <w:r w:rsidRPr="00640860">
        <w:rPr>
          <w:rFonts w:ascii="Palatino Linotype" w:eastAsia="Palatino Linotype" w:hAnsi="Palatino Linotype" w:cs="Palatino Linotype"/>
        </w:rPr>
        <w:t>- Coordinar acciones con la Dirección General de Recaudación de la Secretaría de Finanzas para que, en forma oportuna, se entreguen los documentos de percepciones a las personas servidoras públicas del Poder Ejecutivo del Estado, cuando esta dirección actúe como centro de pago;</w:t>
      </w:r>
    </w:p>
    <w:p w14:paraId="51B5A34A" w14:textId="77777777" w:rsidR="00080DFD" w:rsidRPr="00640860" w:rsidRDefault="008D17B9">
      <w:pPr>
        <w:tabs>
          <w:tab w:val="left" w:pos="8647"/>
        </w:tabs>
        <w:spacing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Por su parte, el Manual General de Organización de la Oficialía Mayor, establece que la Dirección General de Personal, a través de la Dirección de Remuneraciones al Personal, cuyo objetivo consiste en coordinar la sistematización y actualización de la información relativa a la situación laboral de las personas servidoras públicas de las dependencias y órganos administrativos desconcentrados del Poder Ejecutivo del Estado, a través del Sistema de Nómina del Sector Central del Poder Ejecutivo, y entregarles las percepciones a que tienen derecho por la prestación de sus servicios, tiene las siguientes atribuciones en su parte conducente:</w:t>
      </w:r>
    </w:p>
    <w:p w14:paraId="40462639" w14:textId="77777777" w:rsidR="00080DFD" w:rsidRPr="00640860" w:rsidRDefault="008D17B9">
      <w:pPr>
        <w:tabs>
          <w:tab w:val="left" w:pos="8647"/>
        </w:tabs>
        <w:spacing w:before="240" w:after="240"/>
        <w:ind w:left="284" w:right="49"/>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Coordinar con la </w:t>
      </w:r>
      <w:r w:rsidRPr="00640860">
        <w:rPr>
          <w:rFonts w:ascii="Palatino Linotype" w:eastAsia="Palatino Linotype" w:hAnsi="Palatino Linotype" w:cs="Palatino Linotype"/>
          <w:b/>
        </w:rPr>
        <w:t>Subdirección de Soporte de Nómina</w:t>
      </w: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rPr>
        <w:t>la operación del Sistema de Nómina del Sector Central del Poder Ejecutivo</w:t>
      </w:r>
      <w:r w:rsidRPr="00640860">
        <w:rPr>
          <w:rFonts w:ascii="Palatino Linotype" w:eastAsia="Palatino Linotype" w:hAnsi="Palatino Linotype" w:cs="Palatino Linotype"/>
        </w:rPr>
        <w:t>.</w:t>
      </w:r>
    </w:p>
    <w:p w14:paraId="5E353877" w14:textId="77777777" w:rsidR="00080DFD" w:rsidRPr="00640860" w:rsidRDefault="008D17B9">
      <w:pPr>
        <w:tabs>
          <w:tab w:val="left" w:pos="8647"/>
        </w:tabs>
        <w:spacing w:before="240" w:after="240"/>
        <w:ind w:left="284" w:right="49"/>
        <w:jc w:val="both"/>
        <w:rPr>
          <w:rFonts w:ascii="Palatino Linotype" w:eastAsia="Palatino Linotype" w:hAnsi="Palatino Linotype" w:cs="Palatino Linotype"/>
        </w:rPr>
      </w:pPr>
      <w:r w:rsidRPr="00640860">
        <w:rPr>
          <w:rFonts w:ascii="Palatino Linotype" w:eastAsia="Palatino Linotype" w:hAnsi="Palatino Linotype" w:cs="Palatino Linotype"/>
          <w:b/>
        </w:rPr>
        <w:t xml:space="preserve">- </w:t>
      </w:r>
      <w:r w:rsidRPr="00640860">
        <w:rPr>
          <w:rFonts w:ascii="Palatino Linotype" w:eastAsia="Palatino Linotype" w:hAnsi="Palatino Linotype" w:cs="Palatino Linotype"/>
          <w:b/>
          <w:u w:val="single"/>
        </w:rPr>
        <w:t>Proporcionar a las coordinaciones administrativas o equivalentes</w:t>
      </w:r>
      <w:r w:rsidRPr="00640860">
        <w:rPr>
          <w:rFonts w:ascii="Palatino Linotype" w:eastAsia="Palatino Linotype" w:hAnsi="Palatino Linotype" w:cs="Palatino Linotype"/>
        </w:rPr>
        <w:t xml:space="preserve"> de las dependencias y órganos administrativos desconcentrados del Poder Ejecutivo Estatal, </w:t>
      </w:r>
      <w:r w:rsidRPr="00640860">
        <w:rPr>
          <w:rFonts w:ascii="Palatino Linotype" w:eastAsia="Palatino Linotype" w:hAnsi="Palatino Linotype" w:cs="Palatino Linotype"/>
          <w:b/>
        </w:rPr>
        <w:t>la información de las personas servidoras públicas bajo su adscripción</w:t>
      </w: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rPr>
        <w:lastRenderedPageBreak/>
        <w:t xml:space="preserve">para la revisión del pago quincenal, </w:t>
      </w:r>
      <w:r w:rsidRPr="00640860">
        <w:rPr>
          <w:rFonts w:ascii="Palatino Linotype" w:eastAsia="Palatino Linotype" w:hAnsi="Palatino Linotype" w:cs="Palatino Linotype"/>
        </w:rPr>
        <w:t xml:space="preserve">así como reportar las probables inconsistencias detectadas para su análisis y eventual regularización. </w:t>
      </w:r>
    </w:p>
    <w:p w14:paraId="3AC40C51" w14:textId="77777777" w:rsidR="00080DFD" w:rsidRPr="00640860" w:rsidRDefault="008D17B9">
      <w:pPr>
        <w:tabs>
          <w:tab w:val="left" w:pos="8647"/>
        </w:tabs>
        <w:spacing w:before="240" w:after="240"/>
        <w:ind w:left="284" w:right="49"/>
        <w:jc w:val="both"/>
        <w:rPr>
          <w:rFonts w:ascii="Palatino Linotype" w:eastAsia="Palatino Linotype" w:hAnsi="Palatino Linotype" w:cs="Palatino Linotype"/>
        </w:rPr>
      </w:pPr>
      <w:r w:rsidRPr="00640860">
        <w:rPr>
          <w:rFonts w:ascii="Palatino Linotype" w:eastAsia="Palatino Linotype" w:hAnsi="Palatino Linotype" w:cs="Palatino Linotype"/>
        </w:rPr>
        <w:t>− Instrumentar, en coordinación con la Dirección General de Recaudación de la Secretaría de Finanzas y con las coordinaciones y delegaciones administrativas o equivalentes, los mecanismos que conduzcan a la entrega oportuna de las percepciones a las personas servidoras públicas por la prestación de sus servicios.</w:t>
      </w:r>
    </w:p>
    <w:p w14:paraId="0E194629" w14:textId="77777777" w:rsidR="00080DFD" w:rsidRPr="00640860" w:rsidRDefault="008D17B9">
      <w:pPr>
        <w:tabs>
          <w:tab w:val="left" w:pos="8647"/>
        </w:tabs>
        <w:spacing w:before="240" w:after="240"/>
        <w:ind w:left="284" w:right="49"/>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rPr>
        <w:t>Validar los recibos de pago de sueldos, lista de raya</w:t>
      </w:r>
      <w:r w:rsidRPr="00640860">
        <w:rPr>
          <w:rFonts w:ascii="Palatino Linotype" w:eastAsia="Palatino Linotype" w:hAnsi="Palatino Linotype" w:cs="Palatino Linotype"/>
        </w:rPr>
        <w:t>, indemnización, riesgo de trabajo por enfermedad profesional y laudo arbitral, gestionados por las coordinaciones administrativas o equivalentes de las dependencias y órganos administrativos desconcentrados del Poder Ejecutivo del Estado.</w:t>
      </w:r>
    </w:p>
    <w:p w14:paraId="7AA5585A" w14:textId="77777777" w:rsidR="00080DFD" w:rsidRPr="00640860" w:rsidRDefault="008D17B9">
      <w:pPr>
        <w:tabs>
          <w:tab w:val="left" w:pos="8647"/>
        </w:tabs>
        <w:spacing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Asimismo, la Dirección de Remuneraciones al Personal se integra de la siguiente forma:</w:t>
      </w:r>
    </w:p>
    <w:p w14:paraId="343B5D25" w14:textId="77777777" w:rsidR="00080DFD" w:rsidRPr="00640860" w:rsidRDefault="008D17B9">
      <w:pPr>
        <w:spacing w:line="360" w:lineRule="auto"/>
        <w:jc w:val="center"/>
        <w:rPr>
          <w:rFonts w:ascii="Palatino Linotype" w:eastAsia="Palatino Linotype" w:hAnsi="Palatino Linotype" w:cs="Palatino Linotype"/>
          <w:sz w:val="22"/>
          <w:szCs w:val="22"/>
        </w:rPr>
      </w:pPr>
      <w:r w:rsidRPr="00640860">
        <w:rPr>
          <w:rFonts w:ascii="Palatino Linotype" w:eastAsia="Palatino Linotype" w:hAnsi="Palatino Linotype" w:cs="Palatino Linotype"/>
          <w:noProof/>
          <w:sz w:val="22"/>
          <w:szCs w:val="22"/>
        </w:rPr>
        <w:drawing>
          <wp:inline distT="0" distB="0" distL="0" distR="0" wp14:anchorId="3623DE47" wp14:editId="1913244F">
            <wp:extent cx="5612130" cy="2536190"/>
            <wp:effectExtent l="0" t="0" r="0" b="0"/>
            <wp:docPr id="21401318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12130" cy="2536190"/>
                    </a:xfrm>
                    <a:prstGeom prst="rect">
                      <a:avLst/>
                    </a:prstGeom>
                    <a:ln/>
                  </pic:spPr>
                </pic:pic>
              </a:graphicData>
            </a:graphic>
          </wp:inline>
        </w:drawing>
      </w:r>
    </w:p>
    <w:p w14:paraId="6471365F" w14:textId="77777777" w:rsidR="00080DFD" w:rsidRPr="00640860" w:rsidRDefault="008D17B9">
      <w:pPr>
        <w:spacing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En este tenor, el Manual General de Organización de la Oficialía Mayor dispone que la </w:t>
      </w:r>
      <w:r w:rsidRPr="00640860">
        <w:rPr>
          <w:rFonts w:ascii="Palatino Linotype" w:eastAsia="Palatino Linotype" w:hAnsi="Palatino Linotype" w:cs="Palatino Linotype"/>
          <w:b/>
        </w:rPr>
        <w:t xml:space="preserve">Subdirección de Actualización de Bases de Datos </w:t>
      </w:r>
      <w:r w:rsidRPr="00640860">
        <w:rPr>
          <w:rFonts w:ascii="Palatino Linotype" w:eastAsia="Palatino Linotype" w:hAnsi="Palatino Linotype" w:cs="Palatino Linotype"/>
        </w:rPr>
        <w:t xml:space="preserve">se encarga de analizar, actualizar y capturar la información correspondiente a los movimientos centralizados y en lote de las personas servidoras públicas, así como administrar el acceso al Sistema de Nómina del Sector Central del Poder Ejecutivo para la </w:t>
      </w:r>
      <w:r w:rsidRPr="00640860">
        <w:rPr>
          <w:rFonts w:ascii="Palatino Linotype" w:eastAsia="Palatino Linotype" w:hAnsi="Palatino Linotype" w:cs="Palatino Linotype"/>
        </w:rPr>
        <w:lastRenderedPageBreak/>
        <w:t>operación de los movimientos descentralizados a las dependencias y órganos administrativos desconcentrados del Poder Ejecutivo Estatal, para lo cual se le confieren las siguientes atribuciones en su parte conducente:</w:t>
      </w:r>
    </w:p>
    <w:p w14:paraId="663FC3DC" w14:textId="77777777" w:rsidR="00080DFD" w:rsidRPr="00640860" w:rsidRDefault="008D17B9">
      <w:pPr>
        <w:spacing w:before="240" w:after="240"/>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u w:val="single"/>
        </w:rPr>
        <w:t>Enviar las claves de acceso al Sistema de Nómina del Sector Central del Poder Ejecutivo</w:t>
      </w:r>
      <w:r w:rsidRPr="00640860">
        <w:rPr>
          <w:rFonts w:ascii="Palatino Linotype" w:eastAsia="Palatino Linotype" w:hAnsi="Palatino Linotype" w:cs="Palatino Linotype"/>
        </w:rPr>
        <w:t xml:space="preserve">, generadas por el </w:t>
      </w:r>
      <w:r w:rsidRPr="00640860">
        <w:rPr>
          <w:rFonts w:ascii="Palatino Linotype" w:eastAsia="Palatino Linotype" w:hAnsi="Palatino Linotype" w:cs="Palatino Linotype"/>
          <w:b/>
        </w:rPr>
        <w:t>Departamento de Bases de Datos de Nómina adscrito a la Subdirección de Soporte de Nómina</w:t>
      </w:r>
      <w:r w:rsidRPr="00640860">
        <w:rPr>
          <w:rFonts w:ascii="Palatino Linotype" w:eastAsia="Palatino Linotype" w:hAnsi="Palatino Linotype" w:cs="Palatino Linotype"/>
        </w:rPr>
        <w:t xml:space="preserve"> de la Oficialía Mayor, </w:t>
      </w:r>
      <w:r w:rsidRPr="00640860">
        <w:rPr>
          <w:rFonts w:ascii="Palatino Linotype" w:eastAsia="Palatino Linotype" w:hAnsi="Palatino Linotype" w:cs="Palatino Linotype"/>
          <w:b/>
        </w:rPr>
        <w:t>a las coordinaciones administrativas</w:t>
      </w:r>
      <w:r w:rsidRPr="00640860">
        <w:rPr>
          <w:rFonts w:ascii="Palatino Linotype" w:eastAsia="Palatino Linotype" w:hAnsi="Palatino Linotype" w:cs="Palatino Linotype"/>
        </w:rPr>
        <w:t xml:space="preserve"> o equivalentes </w:t>
      </w:r>
      <w:r w:rsidRPr="00640860">
        <w:rPr>
          <w:rFonts w:ascii="Palatino Linotype" w:eastAsia="Palatino Linotype" w:hAnsi="Palatino Linotype" w:cs="Palatino Linotype"/>
          <w:b/>
        </w:rPr>
        <w:t>para la aplicación de los movimientos e incidencias</w:t>
      </w:r>
      <w:r w:rsidRPr="00640860">
        <w:rPr>
          <w:rFonts w:ascii="Palatino Linotype" w:eastAsia="Palatino Linotype" w:hAnsi="Palatino Linotype" w:cs="Palatino Linotype"/>
        </w:rPr>
        <w:t xml:space="preserve"> descentralizadas que afecten las dependencias y órganos administrativos desconcentrados del Poder Ejecutivo del Estado. </w:t>
      </w:r>
    </w:p>
    <w:p w14:paraId="3749B799" w14:textId="77777777" w:rsidR="00080DFD" w:rsidRPr="00640860" w:rsidRDefault="008D17B9">
      <w:pPr>
        <w:spacing w:before="240" w:after="240"/>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Mantener estrecha coordinación con la </w:t>
      </w:r>
      <w:r w:rsidRPr="00640860">
        <w:rPr>
          <w:rFonts w:ascii="Palatino Linotype" w:eastAsia="Palatino Linotype" w:hAnsi="Palatino Linotype" w:cs="Palatino Linotype"/>
          <w:b/>
        </w:rPr>
        <w:t>Subdirección de Soporte de Nómina</w:t>
      </w:r>
      <w:r w:rsidRPr="00640860">
        <w:rPr>
          <w:rFonts w:ascii="Palatino Linotype" w:eastAsia="Palatino Linotype" w:hAnsi="Palatino Linotype" w:cs="Palatino Linotype"/>
        </w:rPr>
        <w:t xml:space="preserve"> en la operación del Sistema de Nómina del Sector Central del Poder Ejecutivo, así como solicitarle la aplicación de los movimientos en lote que deben ser procesados.</w:t>
      </w:r>
    </w:p>
    <w:p w14:paraId="221538E8" w14:textId="77777777" w:rsidR="00080DFD" w:rsidRPr="00640860" w:rsidRDefault="008D17B9">
      <w:pPr>
        <w:spacing w:before="240" w:after="240"/>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u w:val="single"/>
        </w:rPr>
        <w:t xml:space="preserve">Proporcionar a las Coordinaciones Administrativas o equivalentes </w:t>
      </w:r>
      <w:r w:rsidRPr="00640860">
        <w:rPr>
          <w:rFonts w:ascii="Palatino Linotype" w:eastAsia="Palatino Linotype" w:hAnsi="Palatino Linotype" w:cs="Palatino Linotype"/>
        </w:rPr>
        <w:t xml:space="preserve">de las dependencias y órganos administrativos desconcentrados del Poder Ejecutivo Estatal, el listado alfabético de las personas servidoras públicas, así como </w:t>
      </w:r>
      <w:r w:rsidRPr="00640860">
        <w:rPr>
          <w:rFonts w:ascii="Palatino Linotype" w:eastAsia="Palatino Linotype" w:hAnsi="Palatino Linotype" w:cs="Palatino Linotype"/>
          <w:b/>
          <w:u w:val="single"/>
        </w:rPr>
        <w:t>el resumen de percepciones y deducciones a la quincena, en medio electrónico y por unidad administrativa</w:t>
      </w: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rPr>
        <w:t>a efecto de realizar la revisión del pago quincenal e identificar las posibles inconsistencias para su eventual regularización</w:t>
      </w:r>
      <w:r w:rsidRPr="00640860">
        <w:rPr>
          <w:rFonts w:ascii="Palatino Linotype" w:eastAsia="Palatino Linotype" w:hAnsi="Palatino Linotype" w:cs="Palatino Linotype"/>
        </w:rPr>
        <w:t>.</w:t>
      </w:r>
    </w:p>
    <w:p w14:paraId="2334EB55" w14:textId="77777777" w:rsidR="00080DFD" w:rsidRPr="00640860" w:rsidRDefault="008D17B9">
      <w:pPr>
        <w:spacing w:before="240" w:after="240"/>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Aplicar en el Sistema de Nómina del Sector Central del Poder Ejecutivo, las sanciones económicas que impongan las dependencias y unidades administrativas a las personas servidoras públicas.</w:t>
      </w:r>
    </w:p>
    <w:p w14:paraId="4034E78F" w14:textId="77777777" w:rsidR="00080DFD" w:rsidRPr="00640860" w:rsidRDefault="008D17B9">
      <w:pPr>
        <w:spacing w:before="240" w:after="240"/>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Realizar la transmisión del abono en cuenta, así como los procesos bancarios de las personas servidoras públicas que reciben sus percepciones por este medio y asegurarse del abono realizado.</w:t>
      </w:r>
    </w:p>
    <w:p w14:paraId="48A41DF5" w14:textId="77777777" w:rsidR="00080DFD" w:rsidRPr="00640860" w:rsidRDefault="008D17B9">
      <w:pPr>
        <w:spacing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Mientras que la </w:t>
      </w:r>
      <w:r w:rsidRPr="00640860">
        <w:rPr>
          <w:rFonts w:ascii="Palatino Linotype" w:eastAsia="Palatino Linotype" w:hAnsi="Palatino Linotype" w:cs="Palatino Linotype"/>
          <w:b/>
        </w:rPr>
        <w:t xml:space="preserve">Subdirección de Control de Pagos, </w:t>
      </w:r>
      <w:r w:rsidRPr="00640860">
        <w:rPr>
          <w:rFonts w:ascii="Palatino Linotype" w:eastAsia="Palatino Linotype" w:hAnsi="Palatino Linotype" w:cs="Palatino Linotype"/>
        </w:rPr>
        <w:t xml:space="preserve">se encarga de supervisar y entregar información de las remuneraciones a las personas servidoras públicas de </w:t>
      </w:r>
      <w:r w:rsidRPr="00640860">
        <w:rPr>
          <w:rFonts w:ascii="Palatino Linotype" w:eastAsia="Palatino Linotype" w:hAnsi="Palatino Linotype" w:cs="Palatino Linotype"/>
        </w:rPr>
        <w:lastRenderedPageBreak/>
        <w:t>las dependencias del Poder Ejecutivo Estatal, por la prestación de sus servicios,, y cuenta con las siguientes funciones en su parte conducente:</w:t>
      </w:r>
    </w:p>
    <w:p w14:paraId="5B1E2502" w14:textId="77777777" w:rsidR="00080DFD" w:rsidRPr="00640860" w:rsidRDefault="008D17B9">
      <w:pPr>
        <w:spacing w:before="240" w:after="240"/>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rPr>
        <w:t>Proporcionar asesoría así como generación de usuarios y contraseñas a las coordinaciones administrativas o equivalentes</w:t>
      </w:r>
      <w:r w:rsidRPr="00640860">
        <w:rPr>
          <w:rFonts w:ascii="Palatino Linotype" w:eastAsia="Palatino Linotype" w:hAnsi="Palatino Linotype" w:cs="Palatino Linotype"/>
        </w:rPr>
        <w:t xml:space="preserve"> de las dependencias y órganos administrativos desconcentrados del Poder Ejecutivo Estatal </w:t>
      </w:r>
      <w:r w:rsidRPr="00640860">
        <w:rPr>
          <w:rFonts w:ascii="Palatino Linotype" w:eastAsia="Palatino Linotype" w:hAnsi="Palatino Linotype" w:cs="Palatino Linotype"/>
          <w:b/>
        </w:rPr>
        <w:t xml:space="preserve">para ingresar al Sistema de Emisión de Comprobantes de Percepciones y Deducciones, a través de la red Internet en la página del Gobierno (g2g), </w:t>
      </w:r>
      <w:r w:rsidRPr="00640860">
        <w:rPr>
          <w:rFonts w:ascii="Palatino Linotype" w:eastAsia="Palatino Linotype" w:hAnsi="Palatino Linotype" w:cs="Palatino Linotype"/>
          <w:b/>
          <w:u w:val="single"/>
        </w:rPr>
        <w:t>para consultar los comprobantes de percepciones y deducciones correspondientes al pago de nómina anual y quincenal</w:t>
      </w:r>
      <w:r w:rsidRPr="00640860">
        <w:rPr>
          <w:rFonts w:ascii="Palatino Linotype" w:eastAsia="Palatino Linotype" w:hAnsi="Palatino Linotype" w:cs="Palatino Linotype"/>
        </w:rPr>
        <w:t xml:space="preserve"> de las personas servidoras públicas adscritas a sus dependencias, así como para detectar posibles inconsistencias para su eventual regularización.</w:t>
      </w:r>
    </w:p>
    <w:p w14:paraId="2E7E91DF"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Por otro lado, la </w:t>
      </w:r>
      <w:r w:rsidRPr="00640860">
        <w:rPr>
          <w:rFonts w:ascii="Palatino Linotype" w:eastAsia="Palatino Linotype" w:hAnsi="Palatino Linotype" w:cs="Palatino Linotype"/>
          <w:b/>
          <w:u w:val="single"/>
        </w:rPr>
        <w:t>Subdirección de Soporte de Nómina</w:t>
      </w:r>
      <w:r w:rsidRPr="00640860">
        <w:rPr>
          <w:rFonts w:ascii="Palatino Linotype" w:eastAsia="Palatino Linotype" w:hAnsi="Palatino Linotype" w:cs="Palatino Linotype"/>
        </w:rPr>
        <w:t xml:space="preserve"> (adscrita a la Oficialía Mayor, a partir de veinticinco de abril de dos mil veinticuatro), de conformidad con el Manual General de Organización de la Secretaría de Finanzas se encarga de orientar e impulsar la aplicación de las tecnologías de la información y comunicación, administrar el Gobierno Digital y la Red Estatal de Telecomunicaciones del Gobierno del Estado de México, así como establecer y aplicar la normatividad correlativa y proporcionar soporte, asesoría y asistencia técnica a las dependencias y organismos auxiliares de la Administración Pública Estatal, órganos autónomos, ayuntamientos y notarías públicas, a efecto de contribuir a la simplificación de la gestión gubernamental y a la prestación de los servicios, y, a través de la, elabora en coordinación con las unidades administrativas de la Dirección General de Personal, los procedimientos que integran el proceso de pago de sueldos en los sistemas de información automatizados vigentes, y </w:t>
      </w:r>
      <w:r w:rsidRPr="00640860">
        <w:rPr>
          <w:rFonts w:ascii="Palatino Linotype" w:eastAsia="Palatino Linotype" w:hAnsi="Palatino Linotype" w:cs="Palatino Linotype"/>
          <w:b/>
        </w:rPr>
        <w:t>recibe, gestiona y entrega los productos de la nómina de las unidades administrativas usuarias</w:t>
      </w:r>
      <w:r w:rsidRPr="00640860">
        <w:rPr>
          <w:rFonts w:ascii="Palatino Linotype" w:eastAsia="Palatino Linotype" w:hAnsi="Palatino Linotype" w:cs="Palatino Linotype"/>
        </w:rPr>
        <w:t>, así como verificar, registrar y controlar la información en trámite para su procesamiento, entre otras funciones.</w:t>
      </w:r>
    </w:p>
    <w:p w14:paraId="48AEF12D"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 xml:space="preserve">La </w:t>
      </w:r>
      <w:r w:rsidRPr="00640860">
        <w:rPr>
          <w:rFonts w:ascii="Palatino Linotype" w:eastAsia="Palatino Linotype" w:hAnsi="Palatino Linotype" w:cs="Palatino Linotype"/>
          <w:b/>
          <w:u w:val="single"/>
        </w:rPr>
        <w:t>Subdirección de Soporte de Nómina</w:t>
      </w:r>
      <w:r w:rsidRPr="00640860">
        <w:rPr>
          <w:rFonts w:ascii="Palatino Linotype" w:eastAsia="Palatino Linotype" w:hAnsi="Palatino Linotype" w:cs="Palatino Linotype"/>
        </w:rPr>
        <w:t xml:space="preserve"> tiene bajo su adscripción al </w:t>
      </w:r>
      <w:r w:rsidRPr="00640860">
        <w:rPr>
          <w:rFonts w:ascii="Palatino Linotype" w:eastAsia="Palatino Linotype" w:hAnsi="Palatino Linotype" w:cs="Palatino Linotype"/>
          <w:b/>
          <w:u w:val="single"/>
        </w:rPr>
        <w:t>Departamento de Bases de Datos de Nómina</w:t>
      </w:r>
      <w:r w:rsidRPr="00640860">
        <w:rPr>
          <w:rFonts w:ascii="Palatino Linotype" w:eastAsia="Palatino Linotype" w:hAnsi="Palatino Linotype" w:cs="Palatino Linotype"/>
        </w:rPr>
        <w:t xml:space="preserve">, cuyo objetivo consiste en proporcionar soporte en la operación de la base de datos los sistemas de información automatizados vigentes que, en materia de recursos humanos opera la Dirección General de Personal, mediante la aplicación de las modificaciones requeridas para satisfacer las necesidades de información, y cuenta con las siguientes funciones en su parte conducente:  </w:t>
      </w:r>
    </w:p>
    <w:p w14:paraId="7A672B07" w14:textId="77777777" w:rsidR="00080DFD" w:rsidRPr="00640860" w:rsidRDefault="008D17B9">
      <w:pPr>
        <w:spacing w:before="240" w:after="240"/>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Proporcionar soporte en la operación de la base de datos los sistemas de información automatizados vigentes que, en materia de recursos humanos opera la Dirección General de Personal, mediante la aplicación de las modificaciones requeridas para satisfacer las necesidades de información.</w:t>
      </w:r>
    </w:p>
    <w:p w14:paraId="62EAAA05" w14:textId="77777777" w:rsidR="00080DFD" w:rsidRPr="00640860" w:rsidRDefault="008D17B9">
      <w:pPr>
        <w:spacing w:before="240" w:after="240"/>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rPr>
        <w:t>Elaborar y documentar los procesos relacionados con las bases de datos de los sistemas de información automatizados</w:t>
      </w:r>
      <w:r w:rsidRPr="00640860">
        <w:rPr>
          <w:rFonts w:ascii="Palatino Linotype" w:eastAsia="Palatino Linotype" w:hAnsi="Palatino Linotype" w:cs="Palatino Linotype"/>
        </w:rPr>
        <w:t xml:space="preserve"> vigentes de su responsabilidad.</w:t>
      </w:r>
    </w:p>
    <w:p w14:paraId="5F897308" w14:textId="77777777" w:rsidR="00080DFD" w:rsidRPr="00640860" w:rsidRDefault="008D17B9">
      <w:pPr>
        <w:spacing w:before="240" w:after="240"/>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Elaborar la documentación y ejecutar procedimientos para conducir las actividades y tareas que comprenden los procesos de mantenimiento, tanto de los sistemas de información automatizados vigentes como de las bases de datos a su cargo.</w:t>
      </w:r>
    </w:p>
    <w:p w14:paraId="370EE55B" w14:textId="77777777" w:rsidR="00080DFD" w:rsidRPr="00640860" w:rsidRDefault="008D17B9">
      <w:pPr>
        <w:spacing w:before="240" w:after="240"/>
        <w:ind w:left="284"/>
        <w:jc w:val="both"/>
        <w:rPr>
          <w:rFonts w:ascii="Palatino Linotype" w:eastAsia="Palatino Linotype" w:hAnsi="Palatino Linotype" w:cs="Palatino Linotype"/>
          <w:b/>
        </w:rPr>
      </w:pP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rPr>
        <w:t>Asesorar y capacitar sobre los sistemas de información automatizados</w:t>
      </w:r>
      <w:r w:rsidRPr="00640860">
        <w:rPr>
          <w:rFonts w:ascii="Palatino Linotype" w:eastAsia="Palatino Linotype" w:hAnsi="Palatino Linotype" w:cs="Palatino Linotype"/>
        </w:rPr>
        <w:t xml:space="preserve"> vigentes y las bases de datos bajo su responsabilidad, </w:t>
      </w:r>
      <w:r w:rsidRPr="00640860">
        <w:rPr>
          <w:rFonts w:ascii="Palatino Linotype" w:eastAsia="Palatino Linotype" w:hAnsi="Palatino Linotype" w:cs="Palatino Linotype"/>
          <w:b/>
        </w:rPr>
        <w:t>para que las personas usuarias de la Dirección General de Personal puedan operar el Sistema de Gestión y Administración de Personal.</w:t>
      </w:r>
    </w:p>
    <w:p w14:paraId="518199AB" w14:textId="77777777" w:rsidR="00080DFD" w:rsidRPr="00640860" w:rsidRDefault="008D17B9">
      <w:pPr>
        <w:spacing w:before="240" w:after="240"/>
        <w:ind w:left="284"/>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u w:val="single"/>
        </w:rPr>
        <w:t>Generar las claves de acceso</w:t>
      </w:r>
      <w:r w:rsidRPr="00640860">
        <w:rPr>
          <w:rFonts w:ascii="Palatino Linotype" w:eastAsia="Palatino Linotype" w:hAnsi="Palatino Linotype" w:cs="Palatino Linotype"/>
        </w:rPr>
        <w:t xml:space="preserve"> al Sistema Integral de Gestión y Administración de Personal (SIGAP), </w:t>
      </w:r>
      <w:r w:rsidRPr="00640860">
        <w:rPr>
          <w:rFonts w:ascii="Palatino Linotype" w:eastAsia="Palatino Linotype" w:hAnsi="Palatino Linotype" w:cs="Palatino Linotype"/>
          <w:b/>
          <w:u w:val="single"/>
        </w:rPr>
        <w:t>para las coordinaciones administrativas</w:t>
      </w:r>
      <w:r w:rsidRPr="00640860">
        <w:rPr>
          <w:rFonts w:ascii="Palatino Linotype" w:eastAsia="Palatino Linotype" w:hAnsi="Palatino Linotype" w:cs="Palatino Linotype"/>
        </w:rPr>
        <w:t xml:space="preserve"> o equivalentes que sean requeridas por la Dirección General de Personal.</w:t>
      </w:r>
    </w:p>
    <w:p w14:paraId="73F10524" w14:textId="77777777" w:rsidR="00080DFD" w:rsidRPr="00640860" w:rsidRDefault="008D17B9">
      <w:pPr>
        <w:widowControl w:val="0"/>
        <w:spacing w:before="240" w:after="240" w:line="360" w:lineRule="auto"/>
        <w:jc w:val="both"/>
        <w:rPr>
          <w:rFonts w:ascii="Palatino Linotype" w:eastAsia="Palatino Linotype" w:hAnsi="Palatino Linotype" w:cs="Palatino Linotype"/>
          <w:b/>
          <w:u w:val="single"/>
        </w:rPr>
      </w:pPr>
      <w:r w:rsidRPr="00640860">
        <w:rPr>
          <w:rFonts w:ascii="Palatino Linotype" w:eastAsia="Palatino Linotype" w:hAnsi="Palatino Linotype" w:cs="Palatino Linotype"/>
        </w:rPr>
        <w:t xml:space="preserve">Hasta este punto, se advierte que el pago por las remuneraciones de los servidores públicos adscritos a las dependencias del Poder Ejecutivo del Estado, es una atribución que le corresponde a la Dirección General de Personal, sin embargo, no </w:t>
      </w:r>
      <w:r w:rsidRPr="00640860">
        <w:rPr>
          <w:rFonts w:ascii="Palatino Linotype" w:eastAsia="Palatino Linotype" w:hAnsi="Palatino Linotype" w:cs="Palatino Linotype"/>
        </w:rPr>
        <w:lastRenderedPageBreak/>
        <w:t xml:space="preserve">debe perderse de vista que para tales efectos, se emplea el Sistema de Nómina del Sector Central del Poder Ejecutivo, </w:t>
      </w:r>
      <w:r w:rsidRPr="00640860">
        <w:rPr>
          <w:rFonts w:ascii="Palatino Linotype" w:eastAsia="Palatino Linotype" w:hAnsi="Palatino Linotype" w:cs="Palatino Linotype"/>
          <w:b/>
        </w:rPr>
        <w:t xml:space="preserve">cuyas claves de acceso </w:t>
      </w:r>
      <w:r w:rsidRPr="00640860">
        <w:rPr>
          <w:rFonts w:ascii="Palatino Linotype" w:eastAsia="Palatino Linotype" w:hAnsi="Palatino Linotype" w:cs="Palatino Linotype"/>
        </w:rPr>
        <w:t xml:space="preserve"> generadas por el </w:t>
      </w:r>
      <w:r w:rsidRPr="00640860">
        <w:rPr>
          <w:rFonts w:ascii="Palatino Linotype" w:eastAsia="Palatino Linotype" w:hAnsi="Palatino Linotype" w:cs="Palatino Linotype"/>
          <w:b/>
          <w:u w:val="single"/>
        </w:rPr>
        <w:t>Departamento de Bases de Datos de Nómina, adscrito a la Subdirección de Soporte de Nómina</w:t>
      </w:r>
      <w:r w:rsidRPr="00640860">
        <w:rPr>
          <w:rFonts w:ascii="Palatino Linotype" w:eastAsia="Palatino Linotype" w:hAnsi="Palatino Linotype" w:cs="Palatino Linotype"/>
        </w:rPr>
        <w:t>,</w:t>
      </w:r>
      <w:r w:rsidRPr="00640860">
        <w:rPr>
          <w:rFonts w:ascii="Palatino Linotype" w:eastAsia="Palatino Linotype" w:hAnsi="Palatino Linotype" w:cs="Palatino Linotype"/>
          <w:b/>
        </w:rPr>
        <w:t xml:space="preserve"> son enviadas a las coordinaciones administrativas o equivalentes</w:t>
      </w:r>
      <w:r w:rsidRPr="00640860">
        <w:rPr>
          <w:rFonts w:ascii="Palatino Linotype" w:eastAsia="Palatino Linotype" w:hAnsi="Palatino Linotype" w:cs="Palatino Linotype"/>
        </w:rPr>
        <w:t xml:space="preserve"> de las dependencias del Poder Ejecutivo, para la aplicación de los movimientos e incidencias, lo que </w:t>
      </w:r>
      <w:r w:rsidRPr="00640860">
        <w:rPr>
          <w:rFonts w:ascii="Palatino Linotype" w:eastAsia="Palatino Linotype" w:hAnsi="Palatino Linotype" w:cs="Palatino Linotype"/>
          <w:b/>
          <w:u w:val="single"/>
        </w:rPr>
        <w:t>se traduce en que las Coordinaciones Administrativas o equivalentes tienen acceso a dicho Sistema.</w:t>
      </w:r>
    </w:p>
    <w:p w14:paraId="005F35FC" w14:textId="77777777" w:rsidR="00080DFD" w:rsidRPr="00640860" w:rsidRDefault="008D17B9">
      <w:pPr>
        <w:widowControl w:val="0"/>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En el mismo orden de ideas, debe tomarse en consideración que la Subdirección de Actualización de Bases de Datos cuenta con la obligación de proporcionar el li</w:t>
      </w:r>
      <w:r w:rsidRPr="00640860">
        <w:rPr>
          <w:rFonts w:ascii="Palatino Linotype" w:eastAsia="Palatino Linotype" w:hAnsi="Palatino Linotype" w:cs="Palatino Linotype"/>
          <w:b/>
        </w:rPr>
        <w:t>stado de los servidores públicos y el resumen de percepciones y deducciones a la quincena en medio magnético y por unidad administrativa,</w:t>
      </w:r>
      <w:r w:rsidRPr="00640860">
        <w:rPr>
          <w:rFonts w:ascii="Palatino Linotype" w:eastAsia="Palatino Linotype" w:hAnsi="Palatino Linotype" w:cs="Palatino Linotype"/>
        </w:rPr>
        <w:t xml:space="preserve"> con la finalidad de que revisen el pago quincenal e identifiquen las posibles inconsistencias para su eventual regularización, para que posteriormente pueda realizar la transmisión del abono en cuenta, así como los procesos bancarios de los servidores públicos que reciben sus percepciones por dicho medio.</w:t>
      </w:r>
    </w:p>
    <w:p w14:paraId="5FA6BA6B" w14:textId="77777777" w:rsidR="00080DFD" w:rsidRPr="00640860" w:rsidRDefault="008D17B9">
      <w:pPr>
        <w:spacing w:before="240" w:after="240" w:line="360" w:lineRule="auto"/>
        <w:jc w:val="both"/>
        <w:rPr>
          <w:rFonts w:ascii="Palatino Linotype" w:eastAsia="Palatino Linotype" w:hAnsi="Palatino Linotype" w:cs="Palatino Linotype"/>
          <w:b/>
        </w:rPr>
      </w:pPr>
      <w:r w:rsidRPr="00640860">
        <w:rPr>
          <w:rFonts w:ascii="Palatino Linotype" w:eastAsia="Palatino Linotype" w:hAnsi="Palatino Linotype" w:cs="Palatino Linotype"/>
        </w:rPr>
        <w:t xml:space="preserve">Mientras que la Subdirección de Control de Pagos tiene el deber de proporcionar asesoría a las coordinaciones administrativas o equivalentes de las dependencias y órganos administrativos desconcentrados del Poder Ejecutivo Estatal para ingresar al Sistema de Emisión de Comprobantes de Percepciones y Deducciones, a través de la red Internet en la página del Gobierno (g2g), </w:t>
      </w:r>
      <w:r w:rsidRPr="00640860">
        <w:rPr>
          <w:rFonts w:ascii="Palatino Linotype" w:eastAsia="Palatino Linotype" w:hAnsi="Palatino Linotype" w:cs="Palatino Linotype"/>
          <w:b/>
          <w:u w:val="single"/>
        </w:rPr>
        <w:t>para consultar los comprobantes de percepciones y deducciones correspondientes al pago de nómina quincenal</w:t>
      </w:r>
      <w:r w:rsidRPr="00640860">
        <w:rPr>
          <w:rFonts w:ascii="Palatino Linotype" w:eastAsia="Palatino Linotype" w:hAnsi="Palatino Linotype" w:cs="Palatino Linotype"/>
          <w:u w:val="single"/>
        </w:rPr>
        <w:t>,</w:t>
      </w: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rPr>
        <w:t>así como para detectar posibles inconsistencias para su eventual regularización.</w:t>
      </w:r>
    </w:p>
    <w:p w14:paraId="1A4A8BB8" w14:textId="77777777" w:rsidR="00080DFD" w:rsidRPr="00640860" w:rsidRDefault="008D17B9">
      <w:pPr>
        <w:spacing w:before="240" w:after="240" w:line="360" w:lineRule="auto"/>
        <w:jc w:val="both"/>
        <w:rPr>
          <w:rFonts w:ascii="Palatino Linotype" w:eastAsia="Palatino Linotype" w:hAnsi="Palatino Linotype" w:cs="Palatino Linotype"/>
          <w:b/>
        </w:rPr>
      </w:pPr>
      <w:r w:rsidRPr="00640860">
        <w:rPr>
          <w:rFonts w:ascii="Palatino Linotype" w:eastAsia="Palatino Linotype" w:hAnsi="Palatino Linotype" w:cs="Palatino Linotype"/>
        </w:rPr>
        <w:lastRenderedPageBreak/>
        <w:t xml:space="preserve">Con base en lo previo se colige que si bien es cierto, el </w:t>
      </w:r>
      <w:r w:rsidRPr="00640860">
        <w:rPr>
          <w:rFonts w:ascii="Palatino Linotype" w:eastAsia="Palatino Linotype" w:hAnsi="Palatino Linotype" w:cs="Palatino Linotype"/>
          <w:b/>
        </w:rPr>
        <w:t xml:space="preserve">Sujeto Obligado </w:t>
      </w:r>
      <w:r w:rsidRPr="00640860">
        <w:rPr>
          <w:rFonts w:ascii="Palatino Linotype" w:eastAsia="Palatino Linotype" w:hAnsi="Palatino Linotype" w:cs="Palatino Linotype"/>
        </w:rPr>
        <w:t>no cuenta con atribuciones para generar, administrar y/o poseer los recibos de nómina o Comprobantes Fiscales Digitales por Internet de los servidores públicos, al ser emitidos por otra dependencia, y accesibles para los trabajadores a través de la página del Gobierno del Estado de México denominado Portal de Gestión Interna g2g, mediante una clave personal confidencial que es creada por ellos mismos, tal como se muestra a continuación:</w:t>
      </w:r>
    </w:p>
    <w:p w14:paraId="38DEC279" w14:textId="77777777" w:rsidR="00080DFD" w:rsidRPr="00640860" w:rsidRDefault="008D17B9">
      <w:pPr>
        <w:widowControl w:val="0"/>
        <w:spacing w:before="240" w:after="240" w:line="360" w:lineRule="auto"/>
        <w:jc w:val="both"/>
        <w:rPr>
          <w:rFonts w:ascii="Palatino Linotype" w:eastAsia="Palatino Linotype" w:hAnsi="Palatino Linotype" w:cs="Palatino Linotype"/>
        </w:rPr>
      </w:pPr>
      <w:r w:rsidRPr="00640860">
        <w:rPr>
          <w:noProof/>
        </w:rPr>
        <w:drawing>
          <wp:anchor distT="0" distB="0" distL="114300" distR="114300" simplePos="0" relativeHeight="251658240" behindDoc="0" locked="0" layoutInCell="1" hidden="0" allowOverlap="1" wp14:anchorId="0E64AE5D" wp14:editId="4781DA16">
            <wp:simplePos x="0" y="0"/>
            <wp:positionH relativeFrom="margin">
              <wp:align>center</wp:align>
            </wp:positionH>
            <wp:positionV relativeFrom="paragraph">
              <wp:posOffset>7974</wp:posOffset>
            </wp:positionV>
            <wp:extent cx="4284345" cy="509905"/>
            <wp:effectExtent l="0" t="0" r="1905" b="4445"/>
            <wp:wrapSquare wrapText="bothSides" distT="0" distB="0" distL="114300" distR="114300"/>
            <wp:docPr id="21401318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284345" cy="509905"/>
                    </a:xfrm>
                    <a:prstGeom prst="rect">
                      <a:avLst/>
                    </a:prstGeom>
                    <a:ln/>
                  </pic:spPr>
                </pic:pic>
              </a:graphicData>
            </a:graphic>
            <wp14:sizeRelH relativeFrom="margin">
              <wp14:pctWidth>0</wp14:pctWidth>
            </wp14:sizeRelH>
            <wp14:sizeRelV relativeFrom="margin">
              <wp14:pctHeight>0</wp14:pctHeight>
            </wp14:sizeRelV>
          </wp:anchor>
        </w:drawing>
      </w:r>
    </w:p>
    <w:p w14:paraId="54D77160" w14:textId="77777777" w:rsidR="00080DFD" w:rsidRPr="00640860" w:rsidRDefault="008D17B9">
      <w:pPr>
        <w:widowControl w:val="0"/>
        <w:spacing w:before="240" w:after="240" w:line="360" w:lineRule="auto"/>
        <w:jc w:val="center"/>
        <w:rPr>
          <w:rFonts w:ascii="Palatino Linotype" w:eastAsia="Palatino Linotype" w:hAnsi="Palatino Linotype" w:cs="Palatino Linotype"/>
        </w:rPr>
      </w:pPr>
      <w:r w:rsidRPr="00640860">
        <w:rPr>
          <w:rFonts w:ascii="Palatino Linotype" w:eastAsia="Palatino Linotype" w:hAnsi="Palatino Linotype" w:cs="Palatino Linotype"/>
          <w:noProof/>
        </w:rPr>
        <w:drawing>
          <wp:inline distT="0" distB="0" distL="0" distR="0" wp14:anchorId="5B984F96" wp14:editId="7D322646">
            <wp:extent cx="4189228" cy="1360967"/>
            <wp:effectExtent l="0" t="0" r="1905" b="0"/>
            <wp:docPr id="21401318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221143" cy="1371335"/>
                    </a:xfrm>
                    <a:prstGeom prst="rect">
                      <a:avLst/>
                    </a:prstGeom>
                    <a:ln/>
                  </pic:spPr>
                </pic:pic>
              </a:graphicData>
            </a:graphic>
          </wp:inline>
        </w:drawing>
      </w:r>
    </w:p>
    <w:p w14:paraId="68254C69" w14:textId="77777777" w:rsidR="00080DFD" w:rsidRPr="00640860" w:rsidRDefault="008D17B9">
      <w:pPr>
        <w:widowControl w:val="0"/>
        <w:spacing w:before="240" w:after="240" w:line="360" w:lineRule="auto"/>
        <w:jc w:val="center"/>
        <w:rPr>
          <w:rFonts w:ascii="Palatino Linotype" w:eastAsia="Palatino Linotype" w:hAnsi="Palatino Linotype" w:cs="Palatino Linotype"/>
        </w:rPr>
      </w:pPr>
      <w:r w:rsidRPr="00640860">
        <w:rPr>
          <w:rFonts w:ascii="Palatino Linotype" w:eastAsia="Palatino Linotype" w:hAnsi="Palatino Linotype" w:cs="Palatino Linotype"/>
          <w:noProof/>
        </w:rPr>
        <w:drawing>
          <wp:inline distT="0" distB="0" distL="0" distR="0" wp14:anchorId="07F34425" wp14:editId="1A89E489">
            <wp:extent cx="3072810" cy="2371061"/>
            <wp:effectExtent l="0" t="0" r="0" b="0"/>
            <wp:docPr id="21401318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t="4652"/>
                    <a:stretch>
                      <a:fillRect/>
                    </a:stretch>
                  </pic:blipFill>
                  <pic:spPr>
                    <a:xfrm>
                      <a:off x="0" y="0"/>
                      <a:ext cx="3101786" cy="2393420"/>
                    </a:xfrm>
                    <a:prstGeom prst="rect">
                      <a:avLst/>
                    </a:prstGeom>
                    <a:ln/>
                  </pic:spPr>
                </pic:pic>
              </a:graphicData>
            </a:graphic>
          </wp:inline>
        </w:drawing>
      </w:r>
    </w:p>
    <w:p w14:paraId="79F13E7E"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También lo es que si cuenta con atribuciones para conocer las remuneraciones que perciben los servidores públicos adscritos a las unidades administrativas que integran su estructura orgánica, pues a través del Departamento de Administración de Sueldos y Salarios de la Subdirección de Administración de Personal, adscrita a la Dirección General de Administración y Finanzas, opera el Sistema de Nómina del Sector Central del Poder Ejecutivo y revisa el resumen de percepciones y deducciones quincenales que es remitido por la Subdirección de Actualización de Bases de Datos el pago quincenal, sin perder de vista que también tiene acceso al Portal de Gestión Interna g2g, donde pude consultar los comprobantes de percepciones y deducciones correspondientes, así como para detectar posibles inconsistencias para su eventual regularización, a través de la clave de acceso que genera el Departamento de Bases de Datos de Nómina adscrito a la Subdirección de Soporte de Nómina de la Oficialía Mayor, donde puede generar en línea el comprobante de percepciones y deducciones de los servidores públicos, el cual es un documento con validez oficial, como se muestra a continuación para mejor referencia:</w:t>
      </w:r>
    </w:p>
    <w:p w14:paraId="36F76C9F" w14:textId="77777777" w:rsidR="00080DFD" w:rsidRPr="00640860" w:rsidRDefault="008D17B9">
      <w:pPr>
        <w:spacing w:before="240" w:after="240" w:line="360" w:lineRule="auto"/>
        <w:jc w:val="both"/>
        <w:rPr>
          <w:rFonts w:ascii="Palatino Linotype" w:eastAsia="Palatino Linotype" w:hAnsi="Palatino Linotype" w:cs="Palatino Linotype"/>
          <w:sz w:val="22"/>
          <w:szCs w:val="22"/>
        </w:rPr>
      </w:pPr>
      <w:r w:rsidRPr="00640860">
        <w:rPr>
          <w:rFonts w:ascii="Palatino Linotype" w:eastAsia="Palatino Linotype" w:hAnsi="Palatino Linotype" w:cs="Palatino Linotype"/>
          <w:noProof/>
          <w:sz w:val="22"/>
          <w:szCs w:val="22"/>
        </w:rPr>
        <w:drawing>
          <wp:inline distT="0" distB="0" distL="0" distR="0" wp14:anchorId="37110BE0" wp14:editId="24015B61">
            <wp:extent cx="5612130" cy="2016125"/>
            <wp:effectExtent l="0" t="0" r="0" b="0"/>
            <wp:docPr id="21401318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612130" cy="2016125"/>
                    </a:xfrm>
                    <a:prstGeom prst="rect">
                      <a:avLst/>
                    </a:prstGeom>
                    <a:ln/>
                  </pic:spPr>
                </pic:pic>
              </a:graphicData>
            </a:graphic>
          </wp:inline>
        </w:drawing>
      </w:r>
      <w:r w:rsidRPr="00640860">
        <w:rPr>
          <w:noProof/>
        </w:rPr>
        <mc:AlternateContent>
          <mc:Choice Requires="wpg">
            <w:drawing>
              <wp:anchor distT="0" distB="0" distL="114300" distR="114300" simplePos="0" relativeHeight="251659264" behindDoc="0" locked="0" layoutInCell="1" hidden="0" allowOverlap="1" wp14:anchorId="631B6B42" wp14:editId="2DEEA6B5">
                <wp:simplePos x="0" y="0"/>
                <wp:positionH relativeFrom="column">
                  <wp:posOffset>3352800</wp:posOffset>
                </wp:positionH>
                <wp:positionV relativeFrom="paragraph">
                  <wp:posOffset>1409700</wp:posOffset>
                </wp:positionV>
                <wp:extent cx="638175" cy="190500"/>
                <wp:effectExtent l="0" t="0" r="0" b="0"/>
                <wp:wrapNone/>
                <wp:docPr id="2140131802" name="Conector recto de flecha 2140131802"/>
                <wp:cNvGraphicFramePr/>
                <a:graphic xmlns:a="http://schemas.openxmlformats.org/drawingml/2006/main">
                  <a:graphicData uri="http://schemas.microsoft.com/office/word/2010/wordprocessingShape">
                    <wps:wsp>
                      <wps:cNvCnPr/>
                      <wps:spPr>
                        <a:xfrm flipH="1">
                          <a:off x="5055488" y="3713325"/>
                          <a:ext cx="581025" cy="133350"/>
                        </a:xfrm>
                        <a:prstGeom prst="straightConnector1">
                          <a:avLst/>
                        </a:prstGeom>
                        <a:noFill/>
                        <a:ln w="57150" cap="flat" cmpd="sng">
                          <a:solidFill>
                            <a:srgbClr val="00206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3352800</wp:posOffset>
                </wp:positionH>
                <wp:positionV relativeFrom="paragraph">
                  <wp:posOffset>1409700</wp:posOffset>
                </wp:positionV>
                <wp:extent cx="638175" cy="190500"/>
                <wp:effectExtent b="0" l="0" r="0" t="0"/>
                <wp:wrapNone/>
                <wp:docPr id="2140131802"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638175" cy="190500"/>
                        </a:xfrm>
                        <a:prstGeom prst="rect"/>
                        <a:ln/>
                      </pic:spPr>
                    </pic:pic>
                  </a:graphicData>
                </a:graphic>
              </wp:anchor>
            </w:drawing>
          </mc:Fallback>
        </mc:AlternateContent>
      </w:r>
    </w:p>
    <w:p w14:paraId="4D0EEB8C" w14:textId="77777777" w:rsidR="00080DFD" w:rsidRPr="00640860" w:rsidRDefault="008D17B9">
      <w:pPr>
        <w:spacing w:before="240" w:after="240" w:line="360" w:lineRule="auto"/>
        <w:jc w:val="both"/>
        <w:rPr>
          <w:rFonts w:ascii="Palatino Linotype" w:eastAsia="Palatino Linotype" w:hAnsi="Palatino Linotype" w:cs="Palatino Linotype"/>
          <w:sz w:val="22"/>
          <w:szCs w:val="22"/>
        </w:rPr>
      </w:pPr>
      <w:r w:rsidRPr="00640860">
        <w:rPr>
          <w:rFonts w:ascii="Palatino Linotype" w:eastAsia="Palatino Linotype" w:hAnsi="Palatino Linotype" w:cs="Palatino Linotype"/>
          <w:noProof/>
          <w:sz w:val="22"/>
          <w:szCs w:val="22"/>
        </w:rPr>
        <w:lastRenderedPageBreak/>
        <w:drawing>
          <wp:inline distT="0" distB="0" distL="0" distR="0" wp14:anchorId="377E3E87" wp14:editId="0131938B">
            <wp:extent cx="5756275" cy="4257040"/>
            <wp:effectExtent l="0" t="0" r="0" b="0"/>
            <wp:docPr id="21401318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56275" cy="4257040"/>
                    </a:xfrm>
                    <a:prstGeom prst="rect">
                      <a:avLst/>
                    </a:prstGeom>
                    <a:ln/>
                  </pic:spPr>
                </pic:pic>
              </a:graphicData>
            </a:graphic>
          </wp:inline>
        </w:drawing>
      </w:r>
      <w:r w:rsidRPr="00640860">
        <w:rPr>
          <w:noProof/>
        </w:rPr>
        <mc:AlternateContent>
          <mc:Choice Requires="wpg">
            <w:drawing>
              <wp:anchor distT="0" distB="0" distL="114300" distR="114300" simplePos="0" relativeHeight="251660288" behindDoc="0" locked="0" layoutInCell="1" hidden="0" allowOverlap="1" wp14:anchorId="65F5EE72" wp14:editId="26C9790A">
                <wp:simplePos x="0" y="0"/>
                <wp:positionH relativeFrom="column">
                  <wp:posOffset>1968500</wp:posOffset>
                </wp:positionH>
                <wp:positionV relativeFrom="paragraph">
                  <wp:posOffset>1308100</wp:posOffset>
                </wp:positionV>
                <wp:extent cx="210995" cy="486329"/>
                <wp:effectExtent l="0" t="0" r="0" b="0"/>
                <wp:wrapNone/>
                <wp:docPr id="2140131801" name="Cerrar llave 2140131801"/>
                <wp:cNvGraphicFramePr/>
                <a:graphic xmlns:a="http://schemas.openxmlformats.org/drawingml/2006/main">
                  <a:graphicData uri="http://schemas.microsoft.com/office/word/2010/wordprocessingShape">
                    <wps:wsp>
                      <wps:cNvSpPr/>
                      <wps:spPr>
                        <a:xfrm>
                          <a:off x="5254790" y="3551123"/>
                          <a:ext cx="182420" cy="457754"/>
                        </a:xfrm>
                        <a:prstGeom prst="rightBrace">
                          <a:avLst>
                            <a:gd name="adj1" fmla="val 8333"/>
                            <a:gd name="adj2" fmla="val 50000"/>
                          </a:avLst>
                        </a:prstGeom>
                        <a:noFill/>
                        <a:ln w="28575" cap="flat" cmpd="sng">
                          <a:solidFill>
                            <a:srgbClr val="002060"/>
                          </a:solidFill>
                          <a:prstDash val="solid"/>
                          <a:round/>
                          <a:headEnd type="none" w="sm" len="sm"/>
                          <a:tailEnd type="none" w="sm" len="sm"/>
                        </a:ln>
                      </wps:spPr>
                      <wps:txbx>
                        <w:txbxContent>
                          <w:p w14:paraId="71A57BE2" w14:textId="77777777" w:rsidR="00080DFD" w:rsidRDefault="00080DFD">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1968500</wp:posOffset>
                </wp:positionH>
                <wp:positionV relativeFrom="paragraph">
                  <wp:posOffset>1308100</wp:posOffset>
                </wp:positionV>
                <wp:extent cx="210995" cy="486329"/>
                <wp:effectExtent b="0" l="0" r="0" t="0"/>
                <wp:wrapNone/>
                <wp:docPr id="2140131801"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210995" cy="486329"/>
                        </a:xfrm>
                        <a:prstGeom prst="rect"/>
                        <a:ln/>
                      </pic:spPr>
                    </pic:pic>
                  </a:graphicData>
                </a:graphic>
              </wp:anchor>
            </w:drawing>
          </mc:Fallback>
        </mc:AlternateContent>
      </w:r>
      <w:r w:rsidRPr="00640860">
        <w:rPr>
          <w:noProof/>
        </w:rPr>
        <mc:AlternateContent>
          <mc:Choice Requires="wpg">
            <w:drawing>
              <wp:anchor distT="0" distB="0" distL="114300" distR="114300" simplePos="0" relativeHeight="251661312" behindDoc="0" locked="0" layoutInCell="1" hidden="0" allowOverlap="1" wp14:anchorId="1A35299C" wp14:editId="048A0943">
                <wp:simplePos x="0" y="0"/>
                <wp:positionH relativeFrom="column">
                  <wp:posOffset>2806700</wp:posOffset>
                </wp:positionH>
                <wp:positionV relativeFrom="paragraph">
                  <wp:posOffset>3022600</wp:posOffset>
                </wp:positionV>
                <wp:extent cx="212792" cy="300341"/>
                <wp:effectExtent l="0" t="0" r="0" b="0"/>
                <wp:wrapNone/>
                <wp:docPr id="2140131800" name="Conector recto de flecha 2140131800"/>
                <wp:cNvGraphicFramePr/>
                <a:graphic xmlns:a="http://schemas.openxmlformats.org/drawingml/2006/main">
                  <a:graphicData uri="http://schemas.microsoft.com/office/word/2010/wordprocessingShape">
                    <wps:wsp>
                      <wps:cNvCnPr/>
                      <wps:spPr>
                        <a:xfrm rot="10800000" flipH="1">
                          <a:off x="5268179" y="3658405"/>
                          <a:ext cx="155642" cy="243191"/>
                        </a:xfrm>
                        <a:prstGeom prst="straightConnector1">
                          <a:avLst/>
                        </a:prstGeom>
                        <a:noFill/>
                        <a:ln w="57150" cap="flat" cmpd="sng">
                          <a:solidFill>
                            <a:srgbClr val="00206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2806700</wp:posOffset>
                </wp:positionH>
                <wp:positionV relativeFrom="paragraph">
                  <wp:posOffset>3022600</wp:posOffset>
                </wp:positionV>
                <wp:extent cx="212792" cy="300341"/>
                <wp:effectExtent b="0" l="0" r="0" t="0"/>
                <wp:wrapNone/>
                <wp:docPr id="2140131800"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212792" cy="300341"/>
                        </a:xfrm>
                        <a:prstGeom prst="rect"/>
                        <a:ln/>
                      </pic:spPr>
                    </pic:pic>
                  </a:graphicData>
                </a:graphic>
              </wp:anchor>
            </w:drawing>
          </mc:Fallback>
        </mc:AlternateContent>
      </w:r>
      <w:r w:rsidRPr="00640860">
        <w:rPr>
          <w:noProof/>
        </w:rPr>
        <mc:AlternateContent>
          <mc:Choice Requires="wpg">
            <w:drawing>
              <wp:anchor distT="0" distB="0" distL="114300" distR="114300" simplePos="0" relativeHeight="251662336" behindDoc="0" locked="0" layoutInCell="1" hidden="0" allowOverlap="1" wp14:anchorId="3E91FCAC" wp14:editId="01972835">
                <wp:simplePos x="0" y="0"/>
                <wp:positionH relativeFrom="column">
                  <wp:posOffset>2565400</wp:posOffset>
                </wp:positionH>
                <wp:positionV relativeFrom="paragraph">
                  <wp:posOffset>3365500</wp:posOffset>
                </wp:positionV>
                <wp:extent cx="261431" cy="242597"/>
                <wp:effectExtent l="0" t="0" r="0" b="0"/>
                <wp:wrapNone/>
                <wp:docPr id="2140131803" name="Conector recto de flecha 2140131803"/>
                <wp:cNvGraphicFramePr/>
                <a:graphic xmlns:a="http://schemas.openxmlformats.org/drawingml/2006/main">
                  <a:graphicData uri="http://schemas.microsoft.com/office/word/2010/wordprocessingShape">
                    <wps:wsp>
                      <wps:cNvCnPr/>
                      <wps:spPr>
                        <a:xfrm flipH="1">
                          <a:off x="5243860" y="3687277"/>
                          <a:ext cx="204281" cy="185447"/>
                        </a:xfrm>
                        <a:prstGeom prst="straightConnector1">
                          <a:avLst/>
                        </a:prstGeom>
                        <a:noFill/>
                        <a:ln w="57150" cap="flat" cmpd="sng">
                          <a:solidFill>
                            <a:srgbClr val="00206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2565400</wp:posOffset>
                </wp:positionH>
                <wp:positionV relativeFrom="paragraph">
                  <wp:posOffset>3365500</wp:posOffset>
                </wp:positionV>
                <wp:extent cx="261431" cy="242597"/>
                <wp:effectExtent b="0" l="0" r="0" t="0"/>
                <wp:wrapNone/>
                <wp:docPr id="2140131803" name="image22.png"/>
                <a:graphic>
                  <a:graphicData uri="http://schemas.openxmlformats.org/drawingml/2006/picture">
                    <pic:pic>
                      <pic:nvPicPr>
                        <pic:cNvPr id="0" name="image22.png"/>
                        <pic:cNvPicPr preferRelativeResize="0"/>
                      </pic:nvPicPr>
                      <pic:blipFill>
                        <a:blip r:embed="rId22"/>
                        <a:srcRect/>
                        <a:stretch>
                          <a:fillRect/>
                        </a:stretch>
                      </pic:blipFill>
                      <pic:spPr>
                        <a:xfrm>
                          <a:off x="0" y="0"/>
                          <a:ext cx="261431" cy="242597"/>
                        </a:xfrm>
                        <a:prstGeom prst="rect"/>
                        <a:ln/>
                      </pic:spPr>
                    </pic:pic>
                  </a:graphicData>
                </a:graphic>
              </wp:anchor>
            </w:drawing>
          </mc:Fallback>
        </mc:AlternateContent>
      </w:r>
    </w:p>
    <w:p w14:paraId="506F4741" w14:textId="77777777" w:rsidR="00080DFD" w:rsidRPr="00640860" w:rsidRDefault="008D17B9">
      <w:pPr>
        <w:spacing w:before="240" w:after="240" w:line="360" w:lineRule="auto"/>
        <w:ind w:right="51"/>
        <w:jc w:val="both"/>
        <w:rPr>
          <w:rFonts w:ascii="Palatino Linotype" w:eastAsia="Palatino Linotype" w:hAnsi="Palatino Linotype" w:cs="Palatino Linotype"/>
          <w:sz w:val="22"/>
          <w:szCs w:val="22"/>
        </w:rPr>
      </w:pPr>
      <w:r w:rsidRPr="00640860">
        <w:rPr>
          <w:rFonts w:ascii="Palatino Linotype" w:eastAsia="Palatino Linotype" w:hAnsi="Palatino Linotype" w:cs="Palatino Linotype"/>
          <w:sz w:val="22"/>
          <w:szCs w:val="22"/>
        </w:rPr>
        <w:t xml:space="preserve">Por consiguiente, para dar cumplimiento a la presente resolución el </w:t>
      </w:r>
      <w:r w:rsidRPr="00640860">
        <w:rPr>
          <w:rFonts w:ascii="Palatino Linotype" w:eastAsia="Palatino Linotype" w:hAnsi="Palatino Linotype" w:cs="Palatino Linotype"/>
          <w:b/>
          <w:sz w:val="22"/>
          <w:szCs w:val="22"/>
        </w:rPr>
        <w:t>Sujeto Obligado</w:t>
      </w:r>
      <w:r w:rsidRPr="00640860">
        <w:rPr>
          <w:rFonts w:ascii="Palatino Linotype" w:eastAsia="Palatino Linotype" w:hAnsi="Palatino Linotype" w:cs="Palatino Linotype"/>
          <w:sz w:val="22"/>
          <w:szCs w:val="22"/>
        </w:rPr>
        <w:t xml:space="preserve"> deberá hacer entrega de los comprobantes de percepciones del titular y los servidores públicos adscritos al Órgano Interno de Control, generados de la primera quincena de enero a la primera quincena de agosto de dos mil veinticuatro, en virtud de que a la fecha de presentación de la solicitud, la información de la segunda quincena de agosto aún no se había generado, sin embargo, se dejan a salvo los derechos de la persona solicitante, para que, en caso de considerarlo oportuno a sus intereses, pueda presentar una nueva solicitud de ante el Sujeto Obligado, a efectos de requerir dicha información.</w:t>
      </w:r>
    </w:p>
    <w:p w14:paraId="580D69F2" w14:textId="77777777" w:rsidR="00080DFD" w:rsidRPr="00640860" w:rsidRDefault="008D17B9">
      <w:pPr>
        <w:spacing w:before="240" w:after="240" w:line="360" w:lineRule="auto"/>
        <w:ind w:right="51"/>
        <w:jc w:val="both"/>
        <w:rPr>
          <w:rFonts w:ascii="Palatino Linotype" w:eastAsia="Palatino Linotype" w:hAnsi="Palatino Linotype" w:cs="Palatino Linotype"/>
          <w:sz w:val="22"/>
          <w:szCs w:val="22"/>
        </w:rPr>
      </w:pPr>
      <w:r w:rsidRPr="00640860">
        <w:rPr>
          <w:rFonts w:ascii="Palatino Linotype" w:eastAsia="Palatino Linotype" w:hAnsi="Palatino Linotype" w:cs="Palatino Linotype"/>
          <w:sz w:val="22"/>
          <w:szCs w:val="22"/>
        </w:rPr>
        <w:t xml:space="preserve">Asimismo, se precisa que la información que se ordena deberá entregarse en versión pública de conformidad con el considerando siguiente, acompañada del acuerdo que emita </w:t>
      </w:r>
      <w:r w:rsidRPr="00640860">
        <w:rPr>
          <w:rFonts w:ascii="Palatino Linotype" w:eastAsia="Palatino Linotype" w:hAnsi="Palatino Linotype" w:cs="Palatino Linotype"/>
          <w:sz w:val="22"/>
          <w:szCs w:val="22"/>
        </w:rPr>
        <w:lastRenderedPageBreak/>
        <w:t>el Comité de Transparencia mediante el cual, de manera fundada y motivada se sustente la clasificación de los datos personales contenidos en el soporte documental correspondiente.</w:t>
      </w:r>
    </w:p>
    <w:p w14:paraId="15A640E2" w14:textId="77777777" w:rsidR="00080DFD" w:rsidRPr="00640860" w:rsidRDefault="008D17B9">
      <w:pPr>
        <w:widowControl w:val="0"/>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Respecto a los puntos 3 y 4, mediante el cual se requirió el organigrama o estructura orgánica de la cual depende el Órgano Interno de Control, y las funciones de las áreas y departamentos que integran el Órgano Interno de Control, el servidor público habilitado de dicho Órgano precisó, en primer lugar, que la estructura vigente es la emitida mediante Autorización no. 23400000L-051/2023 del nueve de octubre de dos mil veintitrés, registrada y resguardada por la Dirección General de Innovación perteneciente a la Oficialía Mayor del Gobierno del Estado de México, documento mediante el cual se envía al entonces Director General de Administración y Finanzas y de Gestión Documental el organigrama y la codificación estructural de la Secretaría del Agua, así como de los correspondientes a los organismos auxiliares que tiene sectorizados la Secretaría y que fueron autorizados por la Oficialía Mayor del Gobierno del Estado de México.</w:t>
      </w:r>
    </w:p>
    <w:p w14:paraId="2613DB05" w14:textId="77777777" w:rsidR="00080DFD" w:rsidRPr="00640860" w:rsidRDefault="008D17B9">
      <w:pPr>
        <w:widowControl w:val="0"/>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En este sentido, el servidor público habilitado proporcionó el documento que contiene el organigrama y codificación estructural de la Comisión del Agua del Estado de México, como se ilustra a continuación para mejor referencia:</w:t>
      </w:r>
    </w:p>
    <w:p w14:paraId="62C61C24" w14:textId="77777777" w:rsidR="00080DFD" w:rsidRPr="00640860" w:rsidRDefault="008D17B9">
      <w:pPr>
        <w:widowControl w:val="0"/>
        <w:spacing w:before="240" w:after="240" w:line="360" w:lineRule="auto"/>
        <w:jc w:val="center"/>
        <w:rPr>
          <w:rFonts w:ascii="Palatino Linotype" w:eastAsia="Palatino Linotype" w:hAnsi="Palatino Linotype" w:cs="Palatino Linotype"/>
        </w:rPr>
      </w:pPr>
      <w:r w:rsidRPr="00640860">
        <w:rPr>
          <w:rFonts w:ascii="Palatino Linotype" w:eastAsia="Palatino Linotype" w:hAnsi="Palatino Linotype" w:cs="Palatino Linotype"/>
          <w:noProof/>
        </w:rPr>
        <w:lastRenderedPageBreak/>
        <w:drawing>
          <wp:inline distT="0" distB="0" distL="0" distR="0" wp14:anchorId="1EEE24F0" wp14:editId="310BE10F">
            <wp:extent cx="5400000" cy="4016702"/>
            <wp:effectExtent l="0" t="0" r="0" b="0"/>
            <wp:docPr id="21401318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400000" cy="4016702"/>
                    </a:xfrm>
                    <a:prstGeom prst="rect">
                      <a:avLst/>
                    </a:prstGeom>
                    <a:ln/>
                  </pic:spPr>
                </pic:pic>
              </a:graphicData>
            </a:graphic>
          </wp:inline>
        </w:drawing>
      </w:r>
      <w:r w:rsidRPr="00640860">
        <w:rPr>
          <w:noProof/>
        </w:rPr>
        <mc:AlternateContent>
          <mc:Choice Requires="wpg">
            <w:drawing>
              <wp:anchor distT="0" distB="0" distL="114300" distR="114300" simplePos="0" relativeHeight="251663360" behindDoc="0" locked="0" layoutInCell="1" hidden="0" allowOverlap="1" wp14:anchorId="2FC5C192" wp14:editId="509FDA50">
                <wp:simplePos x="0" y="0"/>
                <wp:positionH relativeFrom="column">
                  <wp:posOffset>3898900</wp:posOffset>
                </wp:positionH>
                <wp:positionV relativeFrom="paragraph">
                  <wp:posOffset>3556000</wp:posOffset>
                </wp:positionV>
                <wp:extent cx="367701" cy="220597"/>
                <wp:effectExtent l="0" t="0" r="0" b="0"/>
                <wp:wrapNone/>
                <wp:docPr id="2140131798" name="Conector recto de flecha 2140131798"/>
                <wp:cNvGraphicFramePr/>
                <a:graphic xmlns:a="http://schemas.openxmlformats.org/drawingml/2006/main">
                  <a:graphicData uri="http://schemas.microsoft.com/office/word/2010/wordprocessingShape">
                    <wps:wsp>
                      <wps:cNvCnPr/>
                      <wps:spPr>
                        <a:xfrm flipH="1">
                          <a:off x="5190725" y="3698277"/>
                          <a:ext cx="310551" cy="163447"/>
                        </a:xfrm>
                        <a:prstGeom prst="straightConnector1">
                          <a:avLst/>
                        </a:prstGeom>
                        <a:noFill/>
                        <a:ln w="57150" cap="flat" cmpd="sng">
                          <a:solidFill>
                            <a:srgbClr val="C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3898900</wp:posOffset>
                </wp:positionH>
                <wp:positionV relativeFrom="paragraph">
                  <wp:posOffset>3556000</wp:posOffset>
                </wp:positionV>
                <wp:extent cx="367701" cy="220597"/>
                <wp:effectExtent b="0" l="0" r="0" t="0"/>
                <wp:wrapNone/>
                <wp:docPr id="2140131798" name="image13.png"/>
                <a:graphic>
                  <a:graphicData uri="http://schemas.openxmlformats.org/drawingml/2006/picture">
                    <pic:pic>
                      <pic:nvPicPr>
                        <pic:cNvPr id="0" name="image13.png"/>
                        <pic:cNvPicPr preferRelativeResize="0"/>
                      </pic:nvPicPr>
                      <pic:blipFill>
                        <a:blip r:embed="rId24"/>
                        <a:srcRect/>
                        <a:stretch>
                          <a:fillRect/>
                        </a:stretch>
                      </pic:blipFill>
                      <pic:spPr>
                        <a:xfrm>
                          <a:off x="0" y="0"/>
                          <a:ext cx="367701" cy="220597"/>
                        </a:xfrm>
                        <a:prstGeom prst="rect"/>
                        <a:ln/>
                      </pic:spPr>
                    </pic:pic>
                  </a:graphicData>
                </a:graphic>
              </wp:anchor>
            </w:drawing>
          </mc:Fallback>
        </mc:AlternateContent>
      </w:r>
    </w:p>
    <w:p w14:paraId="65327C4C" w14:textId="77777777" w:rsidR="00080DFD" w:rsidRPr="00640860" w:rsidRDefault="008D17B9">
      <w:pPr>
        <w:tabs>
          <w:tab w:val="left" w:pos="1140"/>
        </w:tabs>
        <w:spacing w:before="240" w:after="240" w:line="360" w:lineRule="auto"/>
        <w:jc w:val="center"/>
        <w:rPr>
          <w:rFonts w:ascii="Palatino Linotype" w:eastAsia="Palatino Linotype" w:hAnsi="Palatino Linotype" w:cs="Palatino Linotype"/>
          <w:sz w:val="28"/>
          <w:szCs w:val="28"/>
        </w:rPr>
      </w:pPr>
      <w:r w:rsidRPr="00640860">
        <w:rPr>
          <w:rFonts w:ascii="Palatino Linotype" w:eastAsia="Palatino Linotype" w:hAnsi="Palatino Linotype" w:cs="Palatino Linotype"/>
          <w:noProof/>
          <w:sz w:val="28"/>
          <w:szCs w:val="28"/>
        </w:rPr>
        <w:drawing>
          <wp:inline distT="0" distB="0" distL="0" distR="0" wp14:anchorId="1F871036" wp14:editId="1B859B05">
            <wp:extent cx="4320000" cy="2879511"/>
            <wp:effectExtent l="0" t="0" r="0" b="0"/>
            <wp:docPr id="21401318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4320000" cy="2879511"/>
                    </a:xfrm>
                    <a:prstGeom prst="rect">
                      <a:avLst/>
                    </a:prstGeom>
                    <a:ln/>
                  </pic:spPr>
                </pic:pic>
              </a:graphicData>
            </a:graphic>
          </wp:inline>
        </w:drawing>
      </w:r>
    </w:p>
    <w:p w14:paraId="5CD76D0A" w14:textId="77777777" w:rsidR="00080DFD" w:rsidRPr="00640860" w:rsidRDefault="008D17B9">
      <w:pPr>
        <w:tabs>
          <w:tab w:val="left" w:pos="1140"/>
        </w:tabs>
        <w:spacing w:before="240" w:after="240" w:line="360" w:lineRule="auto"/>
        <w:jc w:val="center"/>
        <w:rPr>
          <w:rFonts w:ascii="Palatino Linotype" w:eastAsia="Palatino Linotype" w:hAnsi="Palatino Linotype" w:cs="Palatino Linotype"/>
          <w:sz w:val="28"/>
          <w:szCs w:val="28"/>
        </w:rPr>
      </w:pPr>
      <w:r w:rsidRPr="00640860">
        <w:rPr>
          <w:rFonts w:ascii="Palatino Linotype" w:eastAsia="Palatino Linotype" w:hAnsi="Palatino Linotype" w:cs="Palatino Linotype"/>
          <w:noProof/>
          <w:sz w:val="28"/>
          <w:szCs w:val="28"/>
        </w:rPr>
        <w:lastRenderedPageBreak/>
        <w:drawing>
          <wp:inline distT="0" distB="0" distL="0" distR="0" wp14:anchorId="6F98D984" wp14:editId="55DDA0D3">
            <wp:extent cx="5400000" cy="2112831"/>
            <wp:effectExtent l="0" t="0" r="0" b="0"/>
            <wp:docPr id="21401318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400000" cy="2112831"/>
                    </a:xfrm>
                    <a:prstGeom prst="rect">
                      <a:avLst/>
                    </a:prstGeom>
                    <a:ln/>
                  </pic:spPr>
                </pic:pic>
              </a:graphicData>
            </a:graphic>
          </wp:inline>
        </w:drawing>
      </w:r>
      <w:r w:rsidRPr="00640860">
        <w:rPr>
          <w:noProof/>
        </w:rPr>
        <mc:AlternateContent>
          <mc:Choice Requires="wpg">
            <w:drawing>
              <wp:anchor distT="0" distB="0" distL="114300" distR="114300" simplePos="0" relativeHeight="251664384" behindDoc="0" locked="0" layoutInCell="1" hidden="0" allowOverlap="1" wp14:anchorId="326FB2DE" wp14:editId="022DBDED">
                <wp:simplePos x="0" y="0"/>
                <wp:positionH relativeFrom="column">
                  <wp:posOffset>2209800</wp:posOffset>
                </wp:positionH>
                <wp:positionV relativeFrom="paragraph">
                  <wp:posOffset>977900</wp:posOffset>
                </wp:positionV>
                <wp:extent cx="249687" cy="1086449"/>
                <wp:effectExtent l="0" t="0" r="0" b="0"/>
                <wp:wrapNone/>
                <wp:docPr id="2140131799" name="Cerrar llave 2140131799"/>
                <wp:cNvGraphicFramePr/>
                <a:graphic xmlns:a="http://schemas.openxmlformats.org/drawingml/2006/main">
                  <a:graphicData uri="http://schemas.microsoft.com/office/word/2010/wordprocessingShape">
                    <wps:wsp>
                      <wps:cNvSpPr/>
                      <wps:spPr>
                        <a:xfrm flipH="1">
                          <a:off x="5233857" y="3249476"/>
                          <a:ext cx="224287" cy="1061049"/>
                        </a:xfrm>
                        <a:prstGeom prst="righ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1990D4F3" w14:textId="77777777" w:rsidR="00080DFD" w:rsidRDefault="00080DFD">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2209800</wp:posOffset>
                </wp:positionH>
                <wp:positionV relativeFrom="paragraph">
                  <wp:posOffset>977900</wp:posOffset>
                </wp:positionV>
                <wp:extent cx="249687" cy="1086449"/>
                <wp:effectExtent b="0" l="0" r="0" t="0"/>
                <wp:wrapNone/>
                <wp:docPr id="2140131799"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249687" cy="1086449"/>
                        </a:xfrm>
                        <a:prstGeom prst="rect"/>
                        <a:ln/>
                      </pic:spPr>
                    </pic:pic>
                  </a:graphicData>
                </a:graphic>
              </wp:anchor>
            </w:drawing>
          </mc:Fallback>
        </mc:AlternateContent>
      </w:r>
    </w:p>
    <w:p w14:paraId="4F7EF505" w14:textId="77777777" w:rsidR="00080DFD" w:rsidRPr="00640860" w:rsidRDefault="008D17B9">
      <w:pPr>
        <w:tabs>
          <w:tab w:val="left" w:pos="1140"/>
        </w:tabs>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Como se advierte, el Órgano Interno de Control constituye una unidad administrativa dentro de la estructura orgánica de la Comisión del Agua del Estado de México, lo cual se sustenta con los artículos 42 del Reglamento Interior de la Secretaría de la Contraloría, y 23 del Reglamento Interior de la  Comisión del Agua del Estado de México, a saber:</w:t>
      </w:r>
    </w:p>
    <w:p w14:paraId="548A993B" w14:textId="77777777" w:rsidR="00080DFD" w:rsidRPr="00640860" w:rsidRDefault="008D17B9">
      <w:pPr>
        <w:spacing w:before="120" w:after="120"/>
        <w:ind w:left="851" w:right="902"/>
        <w:jc w:val="both"/>
        <w:rPr>
          <w:rFonts w:ascii="Palatino Linotype" w:eastAsia="Palatino Linotype" w:hAnsi="Palatino Linotype" w:cs="Palatino Linotype"/>
          <w:b/>
          <w:i/>
          <w:sz w:val="22"/>
          <w:szCs w:val="22"/>
        </w:rPr>
      </w:pPr>
      <w:r w:rsidRPr="00640860">
        <w:rPr>
          <w:rFonts w:ascii="Palatino Linotype" w:eastAsia="Palatino Linotype" w:hAnsi="Palatino Linotype" w:cs="Palatino Linotype"/>
          <w:b/>
          <w:i/>
          <w:sz w:val="22"/>
          <w:szCs w:val="22"/>
        </w:rPr>
        <w:t>Reglamento Interior de la Secretaría de la Contraloría</w:t>
      </w:r>
    </w:p>
    <w:p w14:paraId="64255329" w14:textId="77777777" w:rsidR="00080DFD" w:rsidRPr="00640860" w:rsidRDefault="008D17B9">
      <w:pPr>
        <w:tabs>
          <w:tab w:val="left" w:pos="1140"/>
        </w:tabs>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“Artículo 42</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 xml:space="preserve">Los órganos internos de control </w:t>
      </w:r>
      <w:r w:rsidRPr="00640860">
        <w:rPr>
          <w:rFonts w:ascii="Palatino Linotype" w:eastAsia="Palatino Linotype" w:hAnsi="Palatino Linotype" w:cs="Palatino Linotype"/>
          <w:b/>
          <w:i/>
          <w:sz w:val="22"/>
          <w:szCs w:val="22"/>
          <w:u w:val="single"/>
        </w:rPr>
        <w:t>constituyen unidades administrativas dentro de la estructura orgánica de la Dependencia y Organismo Auxiliar en que se encuentren adscritos</w:t>
      </w:r>
      <w:r w:rsidRPr="00640860">
        <w:rPr>
          <w:rFonts w:ascii="Palatino Linotype" w:eastAsia="Palatino Linotype" w:hAnsi="Palatino Linotype" w:cs="Palatino Linotype"/>
          <w:b/>
          <w:i/>
          <w:sz w:val="22"/>
          <w:szCs w:val="22"/>
        </w:rPr>
        <w:t>.</w:t>
      </w:r>
      <w:r w:rsidRPr="00640860">
        <w:rPr>
          <w:rFonts w:ascii="Palatino Linotype" w:eastAsia="Palatino Linotype" w:hAnsi="Palatino Linotype" w:cs="Palatino Linotype"/>
          <w:i/>
          <w:sz w:val="22"/>
          <w:szCs w:val="22"/>
        </w:rPr>
        <w:t xml:space="preserve"> </w:t>
      </w:r>
    </w:p>
    <w:p w14:paraId="06F426DC" w14:textId="77777777" w:rsidR="00080DFD" w:rsidRPr="00640860" w:rsidRDefault="008D17B9">
      <w:pPr>
        <w:tabs>
          <w:tab w:val="left" w:pos="1140"/>
        </w:tabs>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Las dependencias y organismos auxiliares proveerán, en sus respectivos ámbitos de competencia, y con cargo a sus presupuestos, los recursos que requieran los órganos internos de control para el cumplimiento de sus funciones.”</w:t>
      </w:r>
    </w:p>
    <w:p w14:paraId="5F838D07" w14:textId="77777777" w:rsidR="00080DFD" w:rsidRPr="00640860" w:rsidRDefault="008D17B9">
      <w:pPr>
        <w:tabs>
          <w:tab w:val="left" w:pos="1140"/>
        </w:tabs>
        <w:spacing w:before="120" w:after="120"/>
        <w:ind w:left="851" w:right="902"/>
        <w:jc w:val="both"/>
        <w:rPr>
          <w:rFonts w:ascii="Palatino Linotype" w:eastAsia="Palatino Linotype" w:hAnsi="Palatino Linotype" w:cs="Palatino Linotype"/>
          <w:b/>
          <w:i/>
          <w:sz w:val="22"/>
          <w:szCs w:val="22"/>
        </w:rPr>
      </w:pPr>
      <w:r w:rsidRPr="00640860">
        <w:rPr>
          <w:rFonts w:ascii="Palatino Linotype" w:eastAsia="Palatino Linotype" w:hAnsi="Palatino Linotype" w:cs="Palatino Linotype"/>
          <w:b/>
          <w:i/>
          <w:sz w:val="22"/>
          <w:szCs w:val="22"/>
        </w:rPr>
        <w:t>Reglamento Interior de la  Comisión del Agua del Estado de México</w:t>
      </w:r>
    </w:p>
    <w:p w14:paraId="54C62DD8" w14:textId="77777777" w:rsidR="00080DFD" w:rsidRPr="00640860" w:rsidRDefault="008D17B9">
      <w:pPr>
        <w:tabs>
          <w:tab w:val="left" w:pos="1140"/>
        </w:tabs>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“Artículo 23</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 xml:space="preserve">Está adscrito </w:t>
      </w:r>
      <w:r w:rsidRPr="00640860">
        <w:rPr>
          <w:rFonts w:ascii="Palatino Linotype" w:eastAsia="Palatino Linotype" w:hAnsi="Palatino Linotype" w:cs="Palatino Linotype"/>
          <w:b/>
          <w:i/>
          <w:sz w:val="22"/>
          <w:szCs w:val="22"/>
          <w:u w:val="single"/>
        </w:rPr>
        <w:t>orgánica y presupuestalmente a la Comisión</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u w:val="single"/>
        </w:rPr>
        <w:t>un órgano interno de control</w:t>
      </w:r>
      <w:r w:rsidRPr="00640860">
        <w:rPr>
          <w:rFonts w:ascii="Palatino Linotype" w:eastAsia="Palatino Linotype" w:hAnsi="Palatino Linotype" w:cs="Palatino Linotype"/>
          <w:i/>
          <w:sz w:val="22"/>
          <w:szCs w:val="22"/>
        </w:rPr>
        <w:t xml:space="preserve">, cuyo </w:t>
      </w:r>
      <w:r w:rsidRPr="00640860">
        <w:rPr>
          <w:rFonts w:ascii="Palatino Linotype" w:eastAsia="Palatino Linotype" w:hAnsi="Palatino Linotype" w:cs="Palatino Linotype"/>
          <w:b/>
          <w:i/>
          <w:sz w:val="22"/>
          <w:szCs w:val="22"/>
        </w:rPr>
        <w:t>titular depende funcionalmente de la Secretaría de la Contraloría,</w:t>
      </w:r>
      <w:r w:rsidRPr="00640860">
        <w:rPr>
          <w:rFonts w:ascii="Palatino Linotype" w:eastAsia="Palatino Linotype" w:hAnsi="Palatino Linotype" w:cs="Palatino Linotype"/>
          <w:i/>
          <w:sz w:val="22"/>
          <w:szCs w:val="22"/>
        </w:rPr>
        <w:t xml:space="preserve"> con las atribuciones que se establecen en el Reglamento Interior de ésta y los demás ordenamientos legales y administrativos aplicables.”</w:t>
      </w:r>
    </w:p>
    <w:p w14:paraId="51D98B50" w14:textId="77777777" w:rsidR="00080DFD" w:rsidRPr="00640860" w:rsidRDefault="008D17B9">
      <w:pPr>
        <w:tabs>
          <w:tab w:val="left" w:pos="1140"/>
        </w:tabs>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 xml:space="preserve">Así, de los preceptos en cita se desprende que </w:t>
      </w:r>
      <w:r w:rsidRPr="00640860">
        <w:rPr>
          <w:rFonts w:ascii="Palatino Linotype" w:eastAsia="Palatino Linotype" w:hAnsi="Palatino Linotype" w:cs="Palatino Linotype"/>
          <w:b/>
        </w:rPr>
        <w:t>el Órgano Interno de Control</w:t>
      </w:r>
      <w:r w:rsidRPr="00640860">
        <w:rPr>
          <w:rFonts w:ascii="Palatino Linotype" w:eastAsia="Palatino Linotype" w:hAnsi="Palatino Linotype" w:cs="Palatino Linotype"/>
        </w:rPr>
        <w:t xml:space="preserve"> de las dependencias y organismos auxiliares del poder ejecutivo, </w:t>
      </w:r>
      <w:r w:rsidRPr="00640860">
        <w:rPr>
          <w:rFonts w:ascii="Palatino Linotype" w:eastAsia="Palatino Linotype" w:hAnsi="Palatino Linotype" w:cs="Palatino Linotype"/>
          <w:b/>
          <w:u w:val="single"/>
        </w:rPr>
        <w:t>se encuentra adscrito a la estructura orgánica de la dependencia u organismo auxiliar respectivo</w:t>
      </w:r>
      <w:r w:rsidRPr="00640860">
        <w:rPr>
          <w:rFonts w:ascii="Palatino Linotype" w:eastAsia="Palatino Linotype" w:hAnsi="Palatino Linotype" w:cs="Palatino Linotype"/>
        </w:rPr>
        <w:t>, en el caso concreto a la Comisión del Agua del Estado de México, tan es así que la dependencia u organismo auxiliar cuenta con la obligación de asignarle presupuesto a dicha unidad administrativa para el cumplimiento de sus funciones.</w:t>
      </w:r>
    </w:p>
    <w:p w14:paraId="21C25FB8" w14:textId="77777777" w:rsidR="00080DFD" w:rsidRPr="00640860" w:rsidRDefault="008D17B9">
      <w:pPr>
        <w:tabs>
          <w:tab w:val="left" w:pos="1140"/>
        </w:tabs>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No obstante, debe precisarse que el cumplimiento de sus funciones debe realizarse en apego a lo que mandata la Secretaría de la Contraloría, al ser esta dependencia la que define el marco de su actuación, de conformidad con los artículos 3, fracción XII y 41 del  Reglamento Interior de la Secretaría de la Contraloría, a saber:</w:t>
      </w:r>
    </w:p>
    <w:p w14:paraId="38DEDFA6" w14:textId="77777777" w:rsidR="00080DFD" w:rsidRPr="00640860" w:rsidRDefault="008D17B9">
      <w:pPr>
        <w:tabs>
          <w:tab w:val="left" w:pos="1140"/>
        </w:tabs>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 xml:space="preserve"> “Artículo 3.</w:t>
      </w:r>
      <w:r w:rsidRPr="00640860">
        <w:rPr>
          <w:rFonts w:ascii="Palatino Linotype" w:eastAsia="Palatino Linotype" w:hAnsi="Palatino Linotype" w:cs="Palatino Linotype"/>
          <w:i/>
          <w:sz w:val="22"/>
          <w:szCs w:val="22"/>
        </w:rPr>
        <w:t xml:space="preserve"> Además de las definiciones establecidas en la Ley de Responsabilidades Administrativas del Estado de México y Municipios y en la Ley del Sistema Anticorrupción del Estado de México y Municipios, para los efectos de este Reglamento se entenderá por:</w:t>
      </w:r>
    </w:p>
    <w:p w14:paraId="5936B9EC" w14:textId="77777777" w:rsidR="00080DFD" w:rsidRPr="00640860" w:rsidRDefault="008D17B9">
      <w:pPr>
        <w:tabs>
          <w:tab w:val="left" w:pos="1140"/>
        </w:tabs>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p>
    <w:p w14:paraId="23876BAD" w14:textId="77777777" w:rsidR="00080DFD" w:rsidRPr="00640860" w:rsidRDefault="008D17B9">
      <w:pPr>
        <w:tabs>
          <w:tab w:val="left" w:pos="1140"/>
        </w:tabs>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XII. Órganos internos de control:</w:t>
      </w:r>
      <w:r w:rsidRPr="00640860">
        <w:rPr>
          <w:rFonts w:ascii="Palatino Linotype" w:eastAsia="Palatino Linotype" w:hAnsi="Palatino Linotype" w:cs="Palatino Linotype"/>
          <w:i/>
          <w:sz w:val="22"/>
          <w:szCs w:val="22"/>
        </w:rPr>
        <w:t xml:space="preserve"> A </w:t>
      </w:r>
      <w:r w:rsidRPr="00640860">
        <w:rPr>
          <w:rFonts w:ascii="Palatino Linotype" w:eastAsia="Palatino Linotype" w:hAnsi="Palatino Linotype" w:cs="Palatino Linotype"/>
          <w:b/>
          <w:i/>
          <w:sz w:val="22"/>
          <w:szCs w:val="22"/>
        </w:rPr>
        <w:t>las unidades administrativas en las dependencias y organismos auxiliares</w:t>
      </w:r>
      <w:r w:rsidRPr="00640860">
        <w:rPr>
          <w:rFonts w:ascii="Palatino Linotype" w:eastAsia="Palatino Linotype" w:hAnsi="Palatino Linotype" w:cs="Palatino Linotype"/>
          <w:i/>
          <w:sz w:val="22"/>
          <w:szCs w:val="22"/>
        </w:rPr>
        <w:t xml:space="preserve">, encargadas de promover, evaluar y fortalecer el buen funcionamiento del control interno, competentes para aplicar las leyes en materia de responsabilidades de las personas servidoras públicas, y que </w:t>
      </w:r>
      <w:r w:rsidRPr="00640860">
        <w:rPr>
          <w:rFonts w:ascii="Palatino Linotype" w:eastAsia="Palatino Linotype" w:hAnsi="Palatino Linotype" w:cs="Palatino Linotype"/>
          <w:b/>
          <w:i/>
          <w:sz w:val="22"/>
          <w:szCs w:val="22"/>
          <w:u w:val="single"/>
        </w:rPr>
        <w:t>dependen jerárquica y funcionalmente de la Secretaría de la Contraloría</w:t>
      </w:r>
      <w:r w:rsidRPr="00640860">
        <w:rPr>
          <w:rFonts w:ascii="Palatino Linotype" w:eastAsia="Palatino Linotype" w:hAnsi="Palatino Linotype" w:cs="Palatino Linotype"/>
          <w:i/>
          <w:sz w:val="22"/>
          <w:szCs w:val="22"/>
        </w:rPr>
        <w:t>;</w:t>
      </w:r>
    </w:p>
    <w:p w14:paraId="1D3A96A1" w14:textId="77777777" w:rsidR="00080DFD" w:rsidRPr="00640860" w:rsidRDefault="008D17B9">
      <w:pPr>
        <w:tabs>
          <w:tab w:val="left" w:pos="1140"/>
        </w:tabs>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p>
    <w:p w14:paraId="6BB15C9A" w14:textId="77777777" w:rsidR="00080DFD" w:rsidRPr="00640860" w:rsidRDefault="008D17B9">
      <w:pPr>
        <w:tabs>
          <w:tab w:val="left" w:pos="1140"/>
        </w:tabs>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Artículo 41.</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Los órganos internos de control</w:t>
      </w:r>
      <w:r w:rsidRPr="00640860">
        <w:rPr>
          <w:rFonts w:ascii="Palatino Linotype" w:eastAsia="Palatino Linotype" w:hAnsi="Palatino Linotype" w:cs="Palatino Linotype"/>
          <w:i/>
          <w:sz w:val="22"/>
          <w:szCs w:val="22"/>
        </w:rPr>
        <w:t xml:space="preserve">, así como las Áreas de Auditoría, de Quejas y de Responsabilidades, o en su caso las personas servidoras públicas que realicen las funciones que correspondan a dichas áreas, </w:t>
      </w:r>
      <w:r w:rsidRPr="00640860">
        <w:rPr>
          <w:rFonts w:ascii="Palatino Linotype" w:eastAsia="Palatino Linotype" w:hAnsi="Palatino Linotype" w:cs="Palatino Linotype"/>
          <w:b/>
          <w:i/>
          <w:sz w:val="22"/>
          <w:szCs w:val="22"/>
        </w:rPr>
        <w:t>de las dependencias y organismos auxiliares, serán coordinados y dependerán jerárquica y funcionalmente de la Secretaría,</w:t>
      </w:r>
      <w:r w:rsidRPr="00640860">
        <w:rPr>
          <w:rFonts w:ascii="Palatino Linotype" w:eastAsia="Palatino Linotype" w:hAnsi="Palatino Linotype" w:cs="Palatino Linotype"/>
          <w:i/>
          <w:sz w:val="22"/>
          <w:szCs w:val="22"/>
        </w:rPr>
        <w:t xml:space="preserve"> quienes observarán las políticas, normas, lineamientos, procedimientos y demás disposiciones aplicables, así como los programas de trabajo de la Secretaría.”</w:t>
      </w:r>
    </w:p>
    <w:p w14:paraId="0E3A700B"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Así como el Manual General de Organización de la Comisión del Agua del Estado de México, que en su parte conducente señala lo siguiente:</w:t>
      </w:r>
    </w:p>
    <w:p w14:paraId="72E8FF47" w14:textId="77777777" w:rsidR="00080DFD" w:rsidRPr="00640860" w:rsidRDefault="008D17B9">
      <w:pPr>
        <w:spacing w:before="120" w:after="120"/>
        <w:ind w:left="851" w:right="902"/>
        <w:jc w:val="both"/>
        <w:rPr>
          <w:rFonts w:ascii="Palatino Linotype" w:eastAsia="Palatino Linotype" w:hAnsi="Palatino Linotype" w:cs="Palatino Linotype"/>
          <w:b/>
          <w:i/>
          <w:sz w:val="22"/>
          <w:szCs w:val="22"/>
        </w:rPr>
      </w:pPr>
      <w:r w:rsidRPr="00640860">
        <w:rPr>
          <w:rFonts w:ascii="Palatino Linotype" w:eastAsia="Palatino Linotype" w:hAnsi="Palatino Linotype" w:cs="Palatino Linotype"/>
          <w:b/>
          <w:i/>
          <w:sz w:val="22"/>
          <w:szCs w:val="22"/>
        </w:rPr>
        <w:t>“229B11000 CONTRALORÍA INTERNA</w:t>
      </w:r>
    </w:p>
    <w:p w14:paraId="6F964A37" w14:textId="77777777" w:rsidR="00080DFD" w:rsidRPr="00640860" w:rsidRDefault="008D17B9">
      <w:pPr>
        <w:spacing w:before="120" w:after="120"/>
        <w:ind w:left="851" w:right="902"/>
        <w:jc w:val="both"/>
        <w:rPr>
          <w:rFonts w:ascii="Palatino Linotype" w:eastAsia="Palatino Linotype" w:hAnsi="Palatino Linotype" w:cs="Palatino Linotype"/>
          <w:b/>
          <w:i/>
          <w:sz w:val="22"/>
          <w:szCs w:val="22"/>
        </w:rPr>
      </w:pPr>
      <w:r w:rsidRPr="00640860">
        <w:rPr>
          <w:rFonts w:ascii="Palatino Linotype" w:eastAsia="Palatino Linotype" w:hAnsi="Palatino Linotype" w:cs="Palatino Linotype"/>
          <w:b/>
          <w:i/>
          <w:sz w:val="22"/>
          <w:szCs w:val="22"/>
        </w:rPr>
        <w:t>FUNCIONES:</w:t>
      </w:r>
    </w:p>
    <w:p w14:paraId="73AA10E5" w14:textId="77777777" w:rsidR="00080DFD" w:rsidRPr="00640860" w:rsidRDefault="008D17B9">
      <w:pPr>
        <w:spacing w:before="120" w:after="120"/>
        <w:ind w:left="851" w:right="902"/>
        <w:jc w:val="both"/>
        <w:rPr>
          <w:rFonts w:ascii="Palatino Linotype" w:eastAsia="Palatino Linotype" w:hAnsi="Palatino Linotype" w:cs="Palatino Linotype"/>
          <w:b/>
          <w:i/>
          <w:sz w:val="22"/>
          <w:szCs w:val="22"/>
          <w:u w:val="single"/>
        </w:rPr>
      </w:pPr>
      <w:r w:rsidRPr="00640860">
        <w:rPr>
          <w:rFonts w:ascii="Palatino Linotype" w:eastAsia="Palatino Linotype" w:hAnsi="Palatino Linotype" w:cs="Palatino Linotype"/>
          <w:i/>
          <w:sz w:val="22"/>
          <w:szCs w:val="22"/>
        </w:rPr>
        <w:t xml:space="preserve">- Planear y evaluar el desarrollo de los programas que se le encomienden, </w:t>
      </w:r>
      <w:r w:rsidRPr="00640860">
        <w:rPr>
          <w:rFonts w:ascii="Palatino Linotype" w:eastAsia="Palatino Linotype" w:hAnsi="Palatino Linotype" w:cs="Palatino Linotype"/>
          <w:b/>
          <w:i/>
          <w:sz w:val="22"/>
          <w:szCs w:val="22"/>
          <w:u w:val="single"/>
        </w:rPr>
        <w:t>de conformidad con los lineamientos que para tal efecto emita la Secretaría de la Contraloría.</w:t>
      </w:r>
    </w:p>
    <w:p w14:paraId="5E571734"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 xml:space="preserve">- Supervisar el cumplimiento del programa anual de control y evaluación del órgano de control interno, conforme a las políticas, lineamientos, procedimientos y demás disposiciones que al efecto se establezcan y </w:t>
      </w:r>
      <w:r w:rsidRPr="00640860">
        <w:rPr>
          <w:rFonts w:ascii="Palatino Linotype" w:eastAsia="Palatino Linotype" w:hAnsi="Palatino Linotype" w:cs="Palatino Linotype"/>
          <w:b/>
          <w:i/>
          <w:sz w:val="22"/>
          <w:szCs w:val="22"/>
          <w:u w:val="single"/>
        </w:rPr>
        <w:t>someterlo a la consideración de la Secretaría de la Contraloría del Gobierno del Estado de México</w:t>
      </w:r>
      <w:r w:rsidRPr="00640860">
        <w:rPr>
          <w:rFonts w:ascii="Palatino Linotype" w:eastAsia="Palatino Linotype" w:hAnsi="Palatino Linotype" w:cs="Palatino Linotype"/>
          <w:i/>
          <w:sz w:val="22"/>
          <w:szCs w:val="22"/>
        </w:rPr>
        <w:t>.</w:t>
      </w:r>
    </w:p>
    <w:p w14:paraId="4E220307"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u w:val="single"/>
        </w:rPr>
        <w:t>Cumplir con las disposiciones normativas que constituyen el marco jurídico-administrativo de actuación de la Secretaría de la Contraloría</w:t>
      </w:r>
      <w:r w:rsidRPr="00640860">
        <w:rPr>
          <w:rFonts w:ascii="Palatino Linotype" w:eastAsia="Palatino Linotype" w:hAnsi="Palatino Linotype" w:cs="Palatino Linotype"/>
          <w:i/>
          <w:sz w:val="22"/>
          <w:szCs w:val="22"/>
        </w:rPr>
        <w:t>, a fin de operar eficientemente los mecanismos de control y evaluación establecidos en la Comisión.</w:t>
      </w:r>
    </w:p>
    <w:p w14:paraId="09DAF4EB"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u w:val="single"/>
        </w:rPr>
        <w:t>Informar periódicamente a la Secretaría de la Contraloría, el resultado de las auditorías y revisiones practicadas</w:t>
      </w:r>
      <w:r w:rsidRPr="00640860">
        <w:rPr>
          <w:rFonts w:ascii="Palatino Linotype" w:eastAsia="Palatino Linotype" w:hAnsi="Palatino Linotype" w:cs="Palatino Linotype"/>
          <w:i/>
          <w:sz w:val="22"/>
          <w:szCs w:val="22"/>
        </w:rPr>
        <w:t xml:space="preserve"> y sugerir ala/el titular de la Comisión la instrumentación de normas complementarias en materia de control.”</w:t>
      </w:r>
    </w:p>
    <w:p w14:paraId="2FF298E3"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En términos coloquiales, se precisa que cuando hablamos de dependencia orgánica, estamos haciendo referencia a la entidad de la cual un área o unidad administrativa depende para efectos de organización; mientras que la dependencia funcional, se refiere a la entidad que da las órdenes a efectos de las funciones que un área o unidad administrativa tiene que llevar a cabo, en el caso concreto, el Órgano Interno de Control depende orgánicamente de la Comisión del Agua del Estado de México, es decir, se encuentra dentro de la estructura orgánica de esta; sin embargo, depende funcionalmente de la Secretaría de la Contraloría, al ser esta la dependencia que define el marco de su actuación.</w:t>
      </w:r>
    </w:p>
    <w:p w14:paraId="08E01B2E"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En este sentido, el requerimiento marcado con el numeral 3 se tiene por atendido, al haber proporcionado el servidor público habilitado los documentos que dan cuenta de que el Órgano Interno de Control depende orgánicamente de la Comisión del Agua del Estado de México, es decir, que se encuentra adscrito a la estructura orgánica de dicha Comisión, no obstante, el punto 4 no puede tenerse por colmado, en virtud de que si bien señaló de manera puntual el fundamento jurídico de las funciones relacionadas con las Unidades administrativas que integran el Órgano Interno de Control, de conformidad con el Reglamento Interior de la Comisión del Agua del Estado de México, el Reglamento Interior de la Secretaría de la Contraloría y el Manual General de Organización de la Comisión del Agua del Estado de México, como se ilustra a continuación para mejor referencia:</w:t>
      </w:r>
    </w:p>
    <w:p w14:paraId="187F579B"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noProof/>
        </w:rPr>
        <w:drawing>
          <wp:inline distT="0" distB="0" distL="0" distR="0" wp14:anchorId="2FDBE751" wp14:editId="2245ED70">
            <wp:extent cx="5612130" cy="3279140"/>
            <wp:effectExtent l="0" t="0" r="0" b="0"/>
            <wp:docPr id="21401318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612130" cy="3279140"/>
                    </a:xfrm>
                    <a:prstGeom prst="rect">
                      <a:avLst/>
                    </a:prstGeom>
                    <a:ln/>
                  </pic:spPr>
                </pic:pic>
              </a:graphicData>
            </a:graphic>
          </wp:inline>
        </w:drawing>
      </w:r>
    </w:p>
    <w:p w14:paraId="68508902"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Los links para la consulta de dichos ordenamientos no se proporcionaron en formato abierto, lo cual no garantiza que la persona solicitante hubiera podido consultar la información como se precisó en líneas anteriores, razón por la cual se estima dable ordenar la entrega de los ordenamientos referidos, con la finalidad de complementar la respuesta emitida y la persona solicitante pueda conocer las funciones de las unidades administrativas que integran el Órgano Interno de Control. No obsta mencionar que podrá dar cumplimiento a dicho punto al proporcionar las direcciones electrónicas en formato abierto, que permita su reutilización e interoperabilidad, ya sea que se pueda copiar y pegar, o bien a través de un hipervínculo.</w:t>
      </w:r>
    </w:p>
    <w:p w14:paraId="74A4F84D" w14:textId="77777777" w:rsidR="00080DFD" w:rsidRPr="00640860" w:rsidRDefault="008D17B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De lo hasta aquí expuesto, se concluye que los motivos de inconformidad de la parte </w:t>
      </w:r>
      <w:r w:rsidRPr="00640860">
        <w:rPr>
          <w:rFonts w:ascii="Palatino Linotype" w:eastAsia="Palatino Linotype" w:hAnsi="Palatino Linotype" w:cs="Palatino Linotype"/>
          <w:b/>
        </w:rPr>
        <w:t xml:space="preserve">Recurrente </w:t>
      </w:r>
      <w:r w:rsidRPr="00640860">
        <w:rPr>
          <w:rFonts w:ascii="Palatino Linotype" w:eastAsia="Palatino Linotype" w:hAnsi="Palatino Linotype" w:cs="Palatino Linotype"/>
        </w:rPr>
        <w:t xml:space="preserve">devienen parcialmente fundados, siendo procedente </w:t>
      </w:r>
      <w:r w:rsidRPr="00640860">
        <w:rPr>
          <w:rFonts w:ascii="Palatino Linotype" w:eastAsia="Palatino Linotype" w:hAnsi="Palatino Linotype" w:cs="Palatino Linotype"/>
          <w:i/>
        </w:rPr>
        <w:t xml:space="preserve">Modificar </w:t>
      </w:r>
      <w:r w:rsidRPr="00640860">
        <w:rPr>
          <w:rFonts w:ascii="Palatino Linotype" w:eastAsia="Palatino Linotype" w:hAnsi="Palatino Linotype" w:cs="Palatino Linotype"/>
        </w:rPr>
        <w:t xml:space="preserve">la respuesta proporcionada por el </w:t>
      </w:r>
      <w:r w:rsidRPr="00640860">
        <w:rPr>
          <w:rFonts w:ascii="Palatino Linotype" w:eastAsia="Palatino Linotype" w:hAnsi="Palatino Linotype" w:cs="Palatino Linotype"/>
          <w:b/>
        </w:rPr>
        <w:t xml:space="preserve">Sujeto Obligado </w:t>
      </w:r>
      <w:r w:rsidRPr="00640860">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7D6955C" w14:textId="77777777" w:rsidR="00080DFD" w:rsidRPr="00640860" w:rsidRDefault="008D17B9">
      <w:pPr>
        <w:spacing w:before="240" w:after="240" w:line="360" w:lineRule="auto"/>
        <w:ind w:right="51"/>
        <w:jc w:val="both"/>
        <w:rPr>
          <w:rFonts w:ascii="Palatino Linotype" w:eastAsia="Palatino Linotype" w:hAnsi="Palatino Linotype" w:cs="Palatino Linotype"/>
        </w:rPr>
      </w:pPr>
      <w:r w:rsidRPr="00640860">
        <w:rPr>
          <w:rFonts w:ascii="Palatino Linotype" w:eastAsia="Palatino Linotype" w:hAnsi="Palatino Linotype" w:cs="Palatino Linotype"/>
          <w:b/>
        </w:rPr>
        <w:t xml:space="preserve">Quinto. Versión Pública. </w:t>
      </w:r>
      <w:r w:rsidRPr="00640860">
        <w:rPr>
          <w:rFonts w:ascii="Palatino Linotype" w:eastAsia="Palatino Linotype" w:hAnsi="Palatino Linotype" w:cs="Palatino Linotype"/>
        </w:rPr>
        <w:t>Como fue debidamente apuntado, 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E2CE021" w14:textId="77777777" w:rsidR="00080DFD" w:rsidRPr="00640860" w:rsidRDefault="008D17B9">
      <w:pPr>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A9F5FFB" w14:textId="77777777" w:rsidR="00080DFD" w:rsidRPr="00640860" w:rsidRDefault="008D17B9">
      <w:pPr>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6F31DBC0" w14:textId="77777777" w:rsidR="00080DFD" w:rsidRPr="00640860" w:rsidRDefault="008D17B9">
      <w:pPr>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vigente establecen:</w:t>
      </w:r>
    </w:p>
    <w:p w14:paraId="66C83E19"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sz w:val="22"/>
          <w:szCs w:val="22"/>
        </w:rPr>
        <w:t> </w:t>
      </w:r>
      <w:r w:rsidRPr="00640860">
        <w:rPr>
          <w:rFonts w:ascii="Palatino Linotype" w:eastAsia="Palatino Linotype" w:hAnsi="Palatino Linotype" w:cs="Palatino Linotype"/>
          <w:i/>
          <w:sz w:val="22"/>
          <w:szCs w:val="22"/>
        </w:rPr>
        <w:t>“</w:t>
      </w:r>
      <w:r w:rsidRPr="00640860">
        <w:rPr>
          <w:rFonts w:ascii="Palatino Linotype" w:eastAsia="Palatino Linotype" w:hAnsi="Palatino Linotype" w:cs="Palatino Linotype"/>
          <w:b/>
          <w:i/>
          <w:sz w:val="22"/>
          <w:szCs w:val="22"/>
        </w:rPr>
        <w:t>Artículo 3.</w:t>
      </w:r>
      <w:r w:rsidRPr="00640860">
        <w:rPr>
          <w:rFonts w:ascii="Palatino Linotype" w:eastAsia="Palatino Linotype" w:hAnsi="Palatino Linotype" w:cs="Palatino Linotype"/>
          <w:i/>
          <w:sz w:val="22"/>
          <w:szCs w:val="22"/>
        </w:rPr>
        <w:t xml:space="preserve"> Para los efectos de la presente Ley se entenderá por:</w:t>
      </w:r>
    </w:p>
    <w:p w14:paraId="2B032DE9" w14:textId="77777777" w:rsidR="00080DFD" w:rsidRPr="00640860" w:rsidRDefault="008D17B9">
      <w:pPr>
        <w:tabs>
          <w:tab w:val="left" w:pos="1276"/>
        </w:tabs>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p>
    <w:p w14:paraId="3404FB8B" w14:textId="77777777" w:rsidR="00080DFD" w:rsidRPr="00640860" w:rsidRDefault="008D17B9">
      <w:pPr>
        <w:tabs>
          <w:tab w:val="left" w:pos="1276"/>
        </w:tabs>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IX. Datos personales</w:t>
      </w:r>
      <w:r w:rsidRPr="00640860">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3E32CA4E" w14:textId="77777777" w:rsidR="00080DFD" w:rsidRPr="00640860" w:rsidRDefault="008D17B9">
      <w:pPr>
        <w:tabs>
          <w:tab w:val="left" w:pos="1276"/>
        </w:tabs>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p>
    <w:p w14:paraId="3D87DEC3" w14:textId="77777777" w:rsidR="00080DFD" w:rsidRPr="00640860" w:rsidRDefault="008D17B9">
      <w:pPr>
        <w:tabs>
          <w:tab w:val="left" w:pos="1276"/>
        </w:tabs>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XX. Información clasificada</w:t>
      </w:r>
      <w:r w:rsidRPr="00640860">
        <w:rPr>
          <w:rFonts w:ascii="Palatino Linotype" w:eastAsia="Palatino Linotype" w:hAnsi="Palatino Linotype" w:cs="Palatino Linotype"/>
          <w:i/>
          <w:sz w:val="22"/>
          <w:szCs w:val="22"/>
        </w:rPr>
        <w:t>: Aquella considerada por la presente Ley como reservada o confidencial;</w:t>
      </w:r>
    </w:p>
    <w:p w14:paraId="2079C32C" w14:textId="77777777" w:rsidR="00080DFD" w:rsidRPr="00640860" w:rsidRDefault="008D17B9">
      <w:pPr>
        <w:tabs>
          <w:tab w:val="left" w:pos="1276"/>
        </w:tabs>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XXI. Información confidencial</w:t>
      </w:r>
      <w:r w:rsidRPr="00640860">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A412AC6" w14:textId="77777777" w:rsidR="00080DFD" w:rsidRPr="00640860" w:rsidRDefault="008D17B9">
      <w:pPr>
        <w:tabs>
          <w:tab w:val="left" w:pos="1276"/>
        </w:tabs>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p>
    <w:p w14:paraId="3112EC2F" w14:textId="77777777" w:rsidR="00080DFD" w:rsidRPr="00640860" w:rsidRDefault="008D17B9">
      <w:pPr>
        <w:tabs>
          <w:tab w:val="left" w:pos="1276"/>
        </w:tabs>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lastRenderedPageBreak/>
        <w:t>XXXII. Protección de Datos Personales</w:t>
      </w:r>
      <w:r w:rsidRPr="00640860">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DFBA376" w14:textId="77777777" w:rsidR="00080DFD" w:rsidRPr="00640860" w:rsidRDefault="008D17B9">
      <w:pPr>
        <w:tabs>
          <w:tab w:val="left" w:pos="1276"/>
        </w:tabs>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p>
    <w:p w14:paraId="79BABE48" w14:textId="77777777" w:rsidR="00080DFD" w:rsidRPr="00640860" w:rsidRDefault="008D17B9">
      <w:pPr>
        <w:tabs>
          <w:tab w:val="left" w:pos="1276"/>
        </w:tabs>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XLV. Versión pública</w:t>
      </w:r>
      <w:r w:rsidRPr="0064086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C22B6E3"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 Artículo 6</w:t>
      </w:r>
      <w:r w:rsidRPr="00640860">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ACED724"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p>
    <w:p w14:paraId="5C204E27"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Artículo 91.</w:t>
      </w:r>
      <w:r w:rsidRPr="00640860">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640860">
        <w:rPr>
          <w:rFonts w:ascii="Palatino Linotype" w:eastAsia="Palatino Linotype" w:hAnsi="Palatino Linotype" w:cs="Palatino Linotype"/>
          <w:i/>
          <w:sz w:val="22"/>
          <w:szCs w:val="22"/>
        </w:rPr>
        <w:br/>
        <w:t>…</w:t>
      </w:r>
    </w:p>
    <w:p w14:paraId="5E631258"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Artículo 132.</w:t>
      </w:r>
      <w:r w:rsidRPr="00640860">
        <w:rPr>
          <w:rFonts w:ascii="Palatino Linotype" w:eastAsia="Palatino Linotype" w:hAnsi="Palatino Linotype" w:cs="Palatino Linotype"/>
          <w:i/>
          <w:sz w:val="22"/>
          <w:szCs w:val="22"/>
        </w:rPr>
        <w:t xml:space="preserve"> La clasificación de la información se llevará a cabo en el momento en que:</w:t>
      </w:r>
    </w:p>
    <w:p w14:paraId="19C3B48E"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w:t>
      </w:r>
      <w:r w:rsidRPr="00640860">
        <w:rPr>
          <w:rFonts w:ascii="Palatino Linotype" w:eastAsia="Palatino Linotype" w:hAnsi="Palatino Linotype" w:cs="Palatino Linotype"/>
          <w:i/>
          <w:sz w:val="22"/>
          <w:szCs w:val="22"/>
        </w:rPr>
        <w:t>. Se reciba una solicitud de acceso a la información;</w:t>
      </w:r>
    </w:p>
    <w:p w14:paraId="03F2655C"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II.</w:t>
      </w:r>
      <w:r w:rsidRPr="00640860">
        <w:rPr>
          <w:rFonts w:ascii="Palatino Linotype" w:eastAsia="Palatino Linotype" w:hAnsi="Palatino Linotype" w:cs="Palatino Linotype"/>
          <w:i/>
          <w:sz w:val="22"/>
          <w:szCs w:val="22"/>
        </w:rPr>
        <w:t xml:space="preserve"> Se determine mediante resolución de autoridad competente; o</w:t>
      </w:r>
    </w:p>
    <w:p w14:paraId="05272FA0"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III.</w:t>
      </w:r>
      <w:r w:rsidRPr="00640860">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B5ABF40"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w:t>
      </w:r>
    </w:p>
    <w:p w14:paraId="7367E7F1"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Artículo 137.</w:t>
      </w:r>
      <w:r w:rsidRPr="00640860">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43A05C1"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 Artículo 143.</w:t>
      </w:r>
      <w:r w:rsidRPr="00640860">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70FBAB08"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w:t>
      </w:r>
      <w:r w:rsidRPr="0064086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1DD3DBB" w14:textId="77777777" w:rsidR="00080DFD" w:rsidRPr="00640860" w:rsidRDefault="008D17B9">
      <w:pPr>
        <w:spacing w:before="240" w:after="240" w:line="360" w:lineRule="auto"/>
        <w:ind w:right="50"/>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F95F119" w14:textId="77777777" w:rsidR="00080DFD" w:rsidRPr="00640860" w:rsidRDefault="008D17B9">
      <w:pPr>
        <w:spacing w:before="240" w:after="240" w:line="360" w:lineRule="auto"/>
        <w:ind w:right="50"/>
        <w:jc w:val="both"/>
        <w:rPr>
          <w:rFonts w:ascii="Palatino Linotype" w:eastAsia="Palatino Linotype" w:hAnsi="Palatino Linotype" w:cs="Palatino Linotype"/>
        </w:rPr>
      </w:pPr>
      <w:r w:rsidRPr="00640860">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64F0E78"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En el caso específico, la información que se ordena si bien tiene el carácter información pública en razón de que se trata de documentos que se encuentran en posesión del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w:t>
      </w:r>
      <w:r w:rsidRPr="00640860">
        <w:rPr>
          <w:rFonts w:ascii="Palatino Linotype" w:eastAsia="Palatino Linotype" w:hAnsi="Palatino Linotype" w:cs="Palatino Linotype"/>
        </w:rPr>
        <w:lastRenderedPageBreak/>
        <w:t xml:space="preserve">Información Pública del Estado de México y Municipios, se consideran confidenciales y por tanto deben testarse al momento de la elaboración de versiones públicas el </w:t>
      </w:r>
      <w:r w:rsidRPr="00640860">
        <w:rPr>
          <w:rFonts w:ascii="Palatino Linotype" w:eastAsia="Palatino Linotype" w:hAnsi="Palatino Linotype" w:cs="Palatino Linotype"/>
          <w:b/>
        </w:rPr>
        <w:t>Registro Federal de Contribuyentes</w:t>
      </w:r>
      <w:r w:rsidRPr="00640860">
        <w:rPr>
          <w:rFonts w:ascii="Palatino Linotype" w:eastAsia="Palatino Linotype" w:hAnsi="Palatino Linotype" w:cs="Palatino Linotype"/>
        </w:rPr>
        <w:t xml:space="preserve"> (RFC), la </w:t>
      </w:r>
      <w:r w:rsidRPr="00640860">
        <w:rPr>
          <w:rFonts w:ascii="Palatino Linotype" w:eastAsia="Palatino Linotype" w:hAnsi="Palatino Linotype" w:cs="Palatino Linotype"/>
          <w:b/>
        </w:rPr>
        <w:t>Clave Única de Registro de Población</w:t>
      </w:r>
      <w:r w:rsidRPr="00640860">
        <w:rPr>
          <w:rFonts w:ascii="Palatino Linotype" w:eastAsia="Palatino Linotype" w:hAnsi="Palatino Linotype" w:cs="Palatino Linotype"/>
        </w:rPr>
        <w:t xml:space="preserve"> (CURP), la </w:t>
      </w:r>
      <w:r w:rsidRPr="00640860">
        <w:rPr>
          <w:rFonts w:ascii="Palatino Linotype" w:eastAsia="Palatino Linotype" w:hAnsi="Palatino Linotype" w:cs="Palatino Linotype"/>
          <w:b/>
        </w:rPr>
        <w:t>Clave de cualquier tipo de seguridad social</w:t>
      </w:r>
      <w:r w:rsidRPr="00640860">
        <w:rPr>
          <w:rFonts w:ascii="Palatino Linotype" w:eastAsia="Palatino Linotype" w:hAnsi="Palatino Linotype" w:cs="Palatino Linotype"/>
        </w:rPr>
        <w:t xml:space="preserve"> (ISSEMYM, u otros), los </w:t>
      </w:r>
      <w:r w:rsidRPr="00640860">
        <w:rPr>
          <w:rFonts w:ascii="Palatino Linotype" w:eastAsia="Palatino Linotype" w:hAnsi="Palatino Linotype" w:cs="Palatino Linotype"/>
          <w:b/>
        </w:rPr>
        <w:t>números de cuentas bancarias</w:t>
      </w:r>
      <w:r w:rsidRPr="00640860">
        <w:rPr>
          <w:rFonts w:ascii="Palatino Linotype" w:eastAsia="Palatino Linotype" w:hAnsi="Palatino Linotype" w:cs="Palatino Linotype"/>
        </w:rPr>
        <w:t xml:space="preserve">, claves estandarizadas – interbancarias - (CLABES) y de tarjetas, los </w:t>
      </w:r>
      <w:r w:rsidRPr="00640860">
        <w:rPr>
          <w:rFonts w:ascii="Palatino Linotype" w:eastAsia="Palatino Linotype" w:hAnsi="Palatino Linotype" w:cs="Palatino Linotype"/>
          <w:b/>
        </w:rPr>
        <w:t>préstamos o descuentos</w:t>
      </w:r>
      <w:r w:rsidRPr="00640860">
        <w:rPr>
          <w:rFonts w:ascii="Palatino Linotype" w:eastAsia="Palatino Linotype" w:hAnsi="Palatino Linotype" w:cs="Palatino Linotype"/>
        </w:rPr>
        <w:t xml:space="preserve"> que se le hagan a la persona y que no tengan relación con los impuestos o la cuota por seguridad social, el</w:t>
      </w:r>
      <w:r w:rsidRPr="00640860">
        <w:rPr>
          <w:rFonts w:ascii="Palatino Linotype" w:eastAsia="Palatino Linotype" w:hAnsi="Palatino Linotype" w:cs="Palatino Linotype"/>
          <w:b/>
        </w:rPr>
        <w:t xml:space="preserve"> número de empleado, </w:t>
      </w:r>
      <w:r w:rsidRPr="00640860">
        <w:rPr>
          <w:rFonts w:ascii="Palatino Linotype" w:eastAsia="Palatino Linotype" w:hAnsi="Palatino Linotype" w:cs="Palatino Linotype"/>
        </w:rPr>
        <w:t xml:space="preserve">y, de ser el caso, el </w:t>
      </w:r>
      <w:r w:rsidRPr="00640860">
        <w:rPr>
          <w:rFonts w:ascii="Palatino Linotype" w:eastAsia="Palatino Linotype" w:hAnsi="Palatino Linotype" w:cs="Palatino Linotype"/>
          <w:b/>
        </w:rPr>
        <w:t>folio fiscal</w:t>
      </w:r>
      <w:r w:rsidRPr="00640860">
        <w:rPr>
          <w:rFonts w:ascii="Palatino Linotype" w:eastAsia="Palatino Linotype" w:hAnsi="Palatino Linotype" w:cs="Palatino Linotype"/>
        </w:rPr>
        <w:t xml:space="preserve">, la </w:t>
      </w:r>
      <w:r w:rsidRPr="00640860">
        <w:rPr>
          <w:rFonts w:ascii="Palatino Linotype" w:eastAsia="Palatino Linotype" w:hAnsi="Palatino Linotype" w:cs="Palatino Linotype"/>
          <w:b/>
        </w:rPr>
        <w:t xml:space="preserve">cadena original, </w:t>
      </w:r>
      <w:r w:rsidRPr="00640860">
        <w:rPr>
          <w:rFonts w:ascii="Palatino Linotype" w:eastAsia="Palatino Linotype" w:hAnsi="Palatino Linotype" w:cs="Palatino Linotype"/>
        </w:rPr>
        <w:t>los</w:t>
      </w:r>
      <w:r w:rsidRPr="00640860">
        <w:rPr>
          <w:rFonts w:ascii="Palatino Linotype" w:eastAsia="Palatino Linotype" w:hAnsi="Palatino Linotype" w:cs="Palatino Linotype"/>
          <w:b/>
        </w:rPr>
        <w:t xml:space="preserve"> códigos bidimensionales o códigos QR,</w:t>
      </w:r>
      <w:r w:rsidRPr="00640860">
        <w:rPr>
          <w:rFonts w:ascii="Palatino Linotype" w:eastAsia="Palatino Linotype" w:hAnsi="Palatino Linotype" w:cs="Palatino Linotype"/>
        </w:rPr>
        <w:t xml:space="preserve"> y cualquier información de carácter fiscal.</w:t>
      </w:r>
    </w:p>
    <w:p w14:paraId="31EAFFE4" w14:textId="77777777" w:rsidR="00080DFD" w:rsidRPr="00640860" w:rsidRDefault="008D17B9">
      <w:pPr>
        <w:spacing w:before="240" w:after="240" w:line="360" w:lineRule="auto"/>
        <w:ind w:right="50"/>
        <w:jc w:val="both"/>
        <w:rPr>
          <w:rFonts w:ascii="Palatino Linotype" w:eastAsia="Palatino Linotype" w:hAnsi="Palatino Linotype" w:cs="Palatino Linotype"/>
        </w:rPr>
      </w:pPr>
      <w:r w:rsidRPr="00640860">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F678FB1"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Por cuanto hace al </w:t>
      </w:r>
      <w:r w:rsidRPr="00640860">
        <w:rPr>
          <w:rFonts w:ascii="Palatino Linotype" w:eastAsia="Palatino Linotype" w:hAnsi="Palatino Linotype" w:cs="Palatino Linotype"/>
          <w:b/>
        </w:rPr>
        <w:t>Registro Federal de Contribuyentes, RFC,</w:t>
      </w:r>
      <w:r w:rsidRPr="00640860">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6300462D"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C911420"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Lo anterior es compartido por el Instituto Nacional de Transparencia, Acceso a la Información y Protección de Datos Personales, INAI, a través del Criterio de interpretación con clave de control SO/019/2017, el cual es del tenor literal siguiente:</w:t>
      </w:r>
    </w:p>
    <w:p w14:paraId="04BDD90F" w14:textId="77777777" w:rsidR="00080DFD" w:rsidRPr="00640860" w:rsidRDefault="008D17B9">
      <w:pPr>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 xml:space="preserve"> “Registro Federal de Contribuyentes (RFC) de personas físicas</w:t>
      </w:r>
      <w:r w:rsidRPr="00640860">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023CC83B" w14:textId="77777777" w:rsidR="00080DFD" w:rsidRPr="00640860" w:rsidRDefault="008D17B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0DA2040" w14:textId="77777777" w:rsidR="00080DFD" w:rsidRPr="00640860" w:rsidRDefault="008D17B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7" w:name="_heading=h.44sinio" w:colFirst="0" w:colLast="0"/>
      <w:bookmarkEnd w:id="7"/>
      <w:r w:rsidRPr="00640860">
        <w:rPr>
          <w:rFonts w:ascii="Palatino Linotype" w:eastAsia="Palatino Linotype" w:hAnsi="Palatino Linotype" w:cs="Palatino Linotype"/>
        </w:rPr>
        <w:t xml:space="preserve">De igual manera la </w:t>
      </w:r>
      <w:r w:rsidRPr="00640860">
        <w:rPr>
          <w:rFonts w:ascii="Palatino Linotype" w:eastAsia="Palatino Linotype" w:hAnsi="Palatino Linotype" w:cs="Palatino Linotype"/>
          <w:b/>
        </w:rPr>
        <w:t>Clave Única de Registro de Población</w:t>
      </w: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rPr>
        <w:t>CURP,</w:t>
      </w:r>
      <w:r w:rsidRPr="00640860">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B142684" w14:textId="77777777" w:rsidR="00080DFD" w:rsidRPr="00640860" w:rsidRDefault="008D17B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Argumento que es compartido por el Instituto Nacional de Transparencia, Acceso a la Información y Protección de Datos Personales, INAI, conforme al Criterio de interpretación con Clave de control SO/018/2017, el cual refiere:</w:t>
      </w:r>
    </w:p>
    <w:p w14:paraId="4F16A30B" w14:textId="77777777" w:rsidR="00080DFD" w:rsidRPr="00640860" w:rsidRDefault="008D17B9">
      <w:pPr>
        <w:ind w:left="851" w:right="851"/>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 xml:space="preserve"> “Clave Única de Registro de Población (CURP). </w:t>
      </w:r>
      <w:r w:rsidRPr="00640860">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279B809"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Por lo que respecta a la </w:t>
      </w:r>
      <w:r w:rsidRPr="00640860">
        <w:rPr>
          <w:rFonts w:ascii="Palatino Linotype" w:eastAsia="Palatino Linotype" w:hAnsi="Palatino Linotype" w:cs="Palatino Linotype"/>
          <w:b/>
        </w:rPr>
        <w:t>clave de seguridad social</w:t>
      </w:r>
      <w:r w:rsidRPr="00640860">
        <w:rPr>
          <w:rFonts w:ascii="Palatino Linotype" w:eastAsia="Palatino Linotype" w:hAnsi="Palatino Linotype" w:cs="Palatino Linotype"/>
        </w:rPr>
        <w:t>, en virtud de que su divulgación no aporta a la transparencia o a la rendición de cuentas y sí provoca una transgresión a la vida privada e intimidad de la persona, esta información también resulta ser de carácter confidencial.</w:t>
      </w:r>
    </w:p>
    <w:p w14:paraId="0295FF59"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Respecto de los </w:t>
      </w:r>
      <w:r w:rsidRPr="00640860">
        <w:rPr>
          <w:rFonts w:ascii="Palatino Linotype" w:eastAsia="Palatino Linotype" w:hAnsi="Palatino Linotype" w:cs="Palatino Linotype"/>
          <w:b/>
        </w:rPr>
        <w:t>números de cuentas bancari</w:t>
      </w:r>
      <w:r w:rsidRPr="00640860">
        <w:rPr>
          <w:rFonts w:ascii="Palatino Linotype" w:eastAsia="Palatino Linotype" w:hAnsi="Palatino Linotype" w:cs="Palatino Linotype"/>
        </w:rPr>
        <w:t xml:space="preserve">as, </w:t>
      </w:r>
      <w:r w:rsidRPr="00640860">
        <w:rPr>
          <w:rFonts w:ascii="Palatino Linotype" w:eastAsia="Palatino Linotype" w:hAnsi="Palatino Linotype" w:cs="Palatino Linotype"/>
          <w:b/>
        </w:rPr>
        <w:t>claves estandarizadas –interbancarias- (CLABES) y de tarjetas</w:t>
      </w:r>
      <w:r w:rsidRPr="00640860">
        <w:rPr>
          <w:rFonts w:ascii="Palatino Linotype" w:eastAsia="Palatino Linotype" w:hAnsi="Palatino Linotype" w:cs="Palatino Linotype"/>
        </w:rPr>
        <w:t>, el Pleno de este Instituto ha determinado que esa información debe clasificarse como confidencial, y elaborarse una versión pública en la que se teste la misma.</w:t>
      </w:r>
    </w:p>
    <w:p w14:paraId="4F71B726"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88C0106"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Por lo anterior, el número de cuenta bancaria debe ser clasificado como confidencial con fundamento en las fracciones I y II del artículo 143 de la Ley de la Materia </w:t>
      </w:r>
      <w:r w:rsidRPr="00640860">
        <w:rPr>
          <w:rFonts w:ascii="Palatino Linotype" w:eastAsia="Palatino Linotype" w:hAnsi="Palatino Linotype" w:cs="Palatino Linotype"/>
        </w:rPr>
        <w:lastRenderedPageBreak/>
        <w:t>vigente en la Entidad; en razón de que con su difusión se estaría poniendo en riesgo la seguridad de su titular.</w:t>
      </w:r>
    </w:p>
    <w:p w14:paraId="0E103A52" w14:textId="77777777" w:rsidR="00080DFD" w:rsidRPr="00640860" w:rsidRDefault="008D17B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1F9A07ED"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732EC20C"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Lo argumentado encuentra sustento en los Criterios de interpretación con  Clave de control SO/010/2017 y SO/011/2017, emitidos por el Instituto Nacional de Transparencia, Acceso a la Información y Protección de Datos Personales, INAI, que llevan por rubro y texto los siguientes:</w:t>
      </w:r>
    </w:p>
    <w:p w14:paraId="63D733FA" w14:textId="77777777" w:rsidR="00080DFD" w:rsidRPr="00640860" w:rsidRDefault="008D17B9">
      <w:pPr>
        <w:spacing w:before="240" w:after="24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r w:rsidRPr="00640860">
        <w:rPr>
          <w:rFonts w:ascii="Palatino Linotype" w:eastAsia="Palatino Linotype" w:hAnsi="Palatino Linotype" w:cs="Palatino Linotype"/>
          <w:b/>
          <w:i/>
          <w:sz w:val="22"/>
          <w:szCs w:val="22"/>
        </w:rPr>
        <w:t>Cuentas bancarias y/o CLABE interbancaria de personas físicas y morales privadas.</w:t>
      </w:r>
      <w:r w:rsidRPr="00640860">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1F1F422" w14:textId="77777777" w:rsidR="00080DFD" w:rsidRPr="00640860" w:rsidRDefault="008D17B9">
      <w:pPr>
        <w:spacing w:before="240" w:after="24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640860">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A2F8EEC" w14:textId="77777777" w:rsidR="00080DFD" w:rsidRPr="00640860" w:rsidRDefault="008D17B9">
      <w:pPr>
        <w:spacing w:before="240" w:after="240" w:line="360" w:lineRule="auto"/>
        <w:jc w:val="both"/>
        <w:rPr>
          <w:rFonts w:ascii="Palatino Linotype" w:eastAsia="Palatino Linotype" w:hAnsi="Palatino Linotype" w:cs="Palatino Linotype"/>
        </w:rPr>
      </w:pPr>
      <w:bookmarkStart w:id="8" w:name="_heading=h.z337ya" w:colFirst="0" w:colLast="0"/>
      <w:bookmarkEnd w:id="8"/>
      <w:r w:rsidRPr="00640860">
        <w:rPr>
          <w:rFonts w:ascii="Palatino Linotype" w:eastAsia="Palatino Linotype" w:hAnsi="Palatino Linotype" w:cs="Palatino Linotype"/>
        </w:rPr>
        <w:lastRenderedPageBreak/>
        <w:t xml:space="preserve">Por cuanto hace a los </w:t>
      </w:r>
      <w:r w:rsidRPr="00640860">
        <w:rPr>
          <w:rFonts w:ascii="Palatino Linotype" w:eastAsia="Palatino Linotype" w:hAnsi="Palatino Linotype" w:cs="Palatino Linotype"/>
          <w:b/>
        </w:rPr>
        <w:t>préstamos o descuentos de carácter personal</w:t>
      </w:r>
      <w:r w:rsidRPr="00640860">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1D8AD405"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71F486F3" w14:textId="77777777" w:rsidR="00080DFD" w:rsidRPr="00640860" w:rsidRDefault="008D17B9">
      <w:pPr>
        <w:spacing w:before="120" w:after="120"/>
        <w:ind w:left="851" w:right="900"/>
        <w:jc w:val="both"/>
        <w:rPr>
          <w:rFonts w:ascii="Palatino Linotype" w:eastAsia="Palatino Linotype" w:hAnsi="Palatino Linotype" w:cs="Palatino Linotype"/>
          <w:b/>
          <w:i/>
          <w:sz w:val="22"/>
          <w:szCs w:val="22"/>
        </w:rPr>
      </w:pPr>
      <w:bookmarkStart w:id="9" w:name="_heading=h.2et92p0" w:colFirst="0" w:colLast="0"/>
      <w:bookmarkEnd w:id="9"/>
      <w:r w:rsidRPr="00640860">
        <w:rPr>
          <w:rFonts w:ascii="Palatino Linotype" w:eastAsia="Palatino Linotype" w:hAnsi="Palatino Linotype" w:cs="Palatino Linotype"/>
          <w:b/>
          <w:i/>
          <w:sz w:val="22"/>
          <w:szCs w:val="22"/>
        </w:rPr>
        <w:t xml:space="preserve">“ARTÍCULO 84. </w:t>
      </w:r>
      <w:r w:rsidRPr="00640860">
        <w:rPr>
          <w:rFonts w:ascii="Palatino Linotype" w:eastAsia="Palatino Linotype" w:hAnsi="Palatino Linotype" w:cs="Palatino Linotype"/>
          <w:i/>
          <w:sz w:val="22"/>
          <w:szCs w:val="22"/>
        </w:rPr>
        <w:t>Sólo podrán hacerse retenciones, descuentos o deducciones al sueldo de los servidores públicos por concepto de:</w:t>
      </w:r>
    </w:p>
    <w:p w14:paraId="4CEA0EE3"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w:t>
      </w:r>
      <w:r w:rsidRPr="00640860">
        <w:rPr>
          <w:rFonts w:ascii="Palatino Linotype" w:eastAsia="Palatino Linotype" w:hAnsi="Palatino Linotype" w:cs="Palatino Linotype"/>
          <w:i/>
          <w:sz w:val="22"/>
          <w:szCs w:val="22"/>
        </w:rPr>
        <w:t xml:space="preserve"> Gravámenes fiscales relacionados con el sueldo;</w:t>
      </w:r>
    </w:p>
    <w:p w14:paraId="4A4A08FC"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II.</w:t>
      </w:r>
      <w:r w:rsidRPr="00640860">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15478251"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III.</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Cuotas sindicales</w:t>
      </w:r>
      <w:r w:rsidRPr="00640860">
        <w:rPr>
          <w:rFonts w:ascii="Palatino Linotype" w:eastAsia="Palatino Linotype" w:hAnsi="Palatino Linotype" w:cs="Palatino Linotype"/>
          <w:i/>
          <w:sz w:val="22"/>
          <w:szCs w:val="22"/>
        </w:rPr>
        <w:t>;</w:t>
      </w:r>
    </w:p>
    <w:p w14:paraId="735F1DF0"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IV.</w:t>
      </w:r>
      <w:r w:rsidRPr="00640860">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230C6917"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V.</w:t>
      </w:r>
      <w:r w:rsidRPr="00640860">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2E285639"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VI.</w:t>
      </w:r>
      <w:r w:rsidRPr="00640860">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5C808B64"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VII.</w:t>
      </w:r>
      <w:r w:rsidRPr="00640860">
        <w:rPr>
          <w:rFonts w:ascii="Palatino Linotype" w:eastAsia="Palatino Linotype" w:hAnsi="Palatino Linotype" w:cs="Palatino Linotype"/>
          <w:i/>
          <w:sz w:val="22"/>
          <w:szCs w:val="22"/>
        </w:rPr>
        <w:t xml:space="preserve"> Faltas de puntualidad o de asistencia injustificadas;</w:t>
      </w:r>
    </w:p>
    <w:p w14:paraId="4A706E7E"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VIII. Pensiones alimenticias ordenadas por la autoridad judicial;</w:t>
      </w:r>
      <w:r w:rsidRPr="00640860">
        <w:rPr>
          <w:rFonts w:ascii="Palatino Linotype" w:eastAsia="Palatino Linotype" w:hAnsi="Palatino Linotype" w:cs="Palatino Linotype"/>
          <w:i/>
          <w:sz w:val="22"/>
          <w:szCs w:val="22"/>
        </w:rPr>
        <w:t xml:space="preserve"> o</w:t>
      </w:r>
    </w:p>
    <w:p w14:paraId="564BB894" w14:textId="77777777" w:rsidR="00080DFD" w:rsidRPr="00640860" w:rsidRDefault="008D17B9">
      <w:pPr>
        <w:spacing w:before="120" w:after="120"/>
        <w:ind w:left="1134" w:right="902"/>
        <w:jc w:val="both"/>
        <w:rPr>
          <w:rFonts w:ascii="Palatino Linotype" w:eastAsia="Palatino Linotype" w:hAnsi="Palatino Linotype" w:cs="Palatino Linotype"/>
          <w:b/>
          <w:i/>
          <w:sz w:val="22"/>
          <w:szCs w:val="22"/>
        </w:rPr>
      </w:pPr>
      <w:r w:rsidRPr="00640860">
        <w:rPr>
          <w:rFonts w:ascii="Palatino Linotype" w:eastAsia="Palatino Linotype" w:hAnsi="Palatino Linotype" w:cs="Palatino Linotype"/>
          <w:b/>
          <w:i/>
          <w:sz w:val="22"/>
          <w:szCs w:val="22"/>
        </w:rPr>
        <w:t>IX. Cualquier otro convenido con instituciones de servicios y aceptado por el servidor público.</w:t>
      </w:r>
    </w:p>
    <w:p w14:paraId="31F4F9AE" w14:textId="77777777" w:rsidR="00080DFD" w:rsidRPr="00640860" w:rsidRDefault="008D17B9">
      <w:pPr>
        <w:spacing w:before="120" w:after="12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w:t>
      </w:r>
      <w:r w:rsidRPr="00640860">
        <w:rPr>
          <w:rFonts w:ascii="Palatino Linotype" w:eastAsia="Palatino Linotype" w:hAnsi="Palatino Linotype" w:cs="Palatino Linotype"/>
          <w:i/>
          <w:sz w:val="22"/>
          <w:szCs w:val="22"/>
        </w:rPr>
        <w:lastRenderedPageBreak/>
        <w:t xml:space="preserve">lo establecido en la fracción VIII de este artículo, en que se ajustará a lo determinado por la autoridad judicial.” </w:t>
      </w:r>
    </w:p>
    <w:p w14:paraId="1E1B61FA"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1B8A7E87"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De este modo, los </w:t>
      </w:r>
      <w:r w:rsidRPr="00640860">
        <w:rPr>
          <w:rFonts w:ascii="Palatino Linotype" w:eastAsia="Palatino Linotype" w:hAnsi="Palatino Linotype" w:cs="Palatino Linotype"/>
          <w:b/>
        </w:rPr>
        <w:t>descuentos o deducciones por cuotas sindicales</w:t>
      </w: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rPr>
        <w:t>pensiones alimenticias</w:t>
      </w:r>
      <w:r w:rsidRPr="00640860">
        <w:rPr>
          <w:rFonts w:ascii="Palatino Linotype" w:eastAsia="Palatino Linotype" w:hAnsi="Palatino Linotype" w:cs="Palatino Linotype"/>
        </w:rPr>
        <w:t xml:space="preserve"> o </w:t>
      </w:r>
      <w:r w:rsidRPr="00640860">
        <w:rPr>
          <w:rFonts w:ascii="Palatino Linotype" w:eastAsia="Palatino Linotype" w:hAnsi="Palatino Linotype" w:cs="Palatino Linotype"/>
          <w:b/>
        </w:rPr>
        <w:t>créditos adquiridos con instituciones privadas</w:t>
      </w:r>
      <w:r w:rsidRPr="00640860">
        <w:rPr>
          <w:rFonts w:ascii="Palatino Linotype" w:eastAsia="Palatino Linotype" w:hAnsi="Palatino Linotype" w:cs="Palatino Linotype"/>
        </w:rPr>
        <w:t xml:space="preserve">, entre otros que no se relacionen con el gasto público, al revelar parte de las decisiones que adopta una persona respecto del uso y destino de su remuneración salarial, lo cual incide en la manera en que se integra su patrimonio, </w:t>
      </w:r>
      <w:r w:rsidRPr="00640860">
        <w:rPr>
          <w:rFonts w:ascii="Palatino Linotype" w:eastAsia="Palatino Linotype" w:hAnsi="Palatino Linotype" w:cs="Palatino Linotype"/>
          <w:b/>
        </w:rPr>
        <w:t>es información que no es de carácter público, sino que constituye información confidencial</w:t>
      </w:r>
      <w:r w:rsidRPr="00640860">
        <w:rPr>
          <w:rFonts w:ascii="Palatino Linotype" w:eastAsia="Palatino Linotype" w:hAnsi="Palatino Linotype" w:cs="Palatino Linotype"/>
        </w:rPr>
        <w:t xml:space="preserve"> en virtud de que corresponde con decisiones personales, y por tanto, se debe clasificar.</w:t>
      </w:r>
    </w:p>
    <w:p w14:paraId="2B24B831" w14:textId="77777777" w:rsidR="00080DFD" w:rsidRPr="00640860" w:rsidRDefault="008D17B9">
      <w:pPr>
        <w:pBdr>
          <w:top w:val="nil"/>
          <w:left w:val="nil"/>
          <w:bottom w:val="nil"/>
          <w:right w:val="nil"/>
          <w:between w:val="nil"/>
        </w:pBdr>
        <w:spacing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3ABAFDA7" w14:textId="77777777" w:rsidR="00080DFD" w:rsidRPr="00640860" w:rsidRDefault="008D17B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En conclusión, la información relacionada con los préstamos o descuentos de carácter personal, en virtud de no tener relación con la prestación del servicio y al no involucrar instituciones públicas, se consideran datos confidenciales.</w:t>
      </w:r>
    </w:p>
    <w:p w14:paraId="32A1BEF1" w14:textId="77777777" w:rsidR="00080DFD" w:rsidRPr="00640860" w:rsidRDefault="008D17B9">
      <w:pPr>
        <w:spacing w:before="240" w:after="240" w:line="360" w:lineRule="auto"/>
        <w:jc w:val="both"/>
        <w:rPr>
          <w:rFonts w:ascii="Palatino Linotype" w:eastAsia="Palatino Linotype" w:hAnsi="Palatino Linotype" w:cs="Palatino Linotype"/>
        </w:rPr>
      </w:pPr>
      <w:bookmarkStart w:id="10" w:name="_heading=h.3j2qqm3" w:colFirst="0" w:colLast="0"/>
      <w:bookmarkEnd w:id="10"/>
      <w:r w:rsidRPr="00640860">
        <w:rPr>
          <w:rFonts w:ascii="Palatino Linotype" w:eastAsia="Palatino Linotype" w:hAnsi="Palatino Linotype" w:cs="Palatino Linotype"/>
        </w:rPr>
        <w:lastRenderedPageBreak/>
        <w:t xml:space="preserve">Con relación al </w:t>
      </w:r>
      <w:r w:rsidRPr="00640860">
        <w:rPr>
          <w:rFonts w:ascii="Palatino Linotype" w:eastAsia="Palatino Linotype" w:hAnsi="Palatino Linotype" w:cs="Palatino Linotype"/>
          <w:b/>
        </w:rPr>
        <w:t>número de empleado</w:t>
      </w:r>
      <w:r w:rsidRPr="00640860">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640860">
        <w:rPr>
          <w:rFonts w:ascii="Palatino Linotype" w:eastAsia="Palatino Linotype" w:hAnsi="Palatino Linotype" w:cs="Palatino Linotype"/>
          <w:vertAlign w:val="superscript"/>
        </w:rPr>
        <w:footnoteReference w:id="1"/>
      </w:r>
      <w:r w:rsidRPr="00640860">
        <w:rPr>
          <w:rFonts w:ascii="Palatino Linotype" w:eastAsia="Palatino Linotype" w:hAnsi="Palatino Linotype" w:cs="Palatino Linotype"/>
        </w:rPr>
        <w:t>.</w:t>
      </w:r>
    </w:p>
    <w:p w14:paraId="02270423"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de interpretación con Clave de control SO/006/2019, que indica lo siguiente:</w:t>
      </w:r>
    </w:p>
    <w:p w14:paraId="2DD66B5D" w14:textId="77777777" w:rsidR="00080DFD" w:rsidRPr="00640860" w:rsidRDefault="008D17B9">
      <w:pPr>
        <w:tabs>
          <w:tab w:val="left" w:pos="7655"/>
        </w:tabs>
        <w:spacing w:before="240" w:after="240"/>
        <w:ind w:left="993" w:right="99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 xml:space="preserve">“Número de empleado. </w:t>
      </w:r>
      <w:r w:rsidRPr="00640860">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5E18E8E"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w:t>
      </w:r>
      <w:r w:rsidRPr="00640860">
        <w:rPr>
          <w:rFonts w:ascii="Palatino Linotype" w:eastAsia="Palatino Linotype" w:hAnsi="Palatino Linotype" w:cs="Palatino Linotype"/>
        </w:rPr>
        <w:lastRenderedPageBreak/>
        <w:t xml:space="preserve">siempre que requiera una contraseña para acceder a los datos personales o cuando su conformación no revele los mismos, por consiguiente, en el caso concreto, 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092697CF"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b/>
        </w:rPr>
        <w:t>De la información fiscal</w:t>
      </w:r>
      <w:r w:rsidRPr="00640860">
        <w:rPr>
          <w:rFonts w:ascii="Palatino Linotype" w:eastAsia="Palatino Linotype" w:hAnsi="Palatino Linotype" w:cs="Palatino Linotype"/>
        </w:rPr>
        <w:t xml:space="preserve">: </w:t>
      </w:r>
    </w:p>
    <w:p w14:paraId="289A98D9"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La </w:t>
      </w:r>
      <w:r w:rsidRPr="00640860">
        <w:rPr>
          <w:rFonts w:ascii="Palatino Linotype" w:eastAsia="Palatino Linotype" w:hAnsi="Palatino Linotype" w:cs="Palatino Linotype"/>
          <w:b/>
        </w:rPr>
        <w:t>Cadena Original</w:t>
      </w:r>
      <w:r w:rsidRPr="00640860">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4DE67C98"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Los </w:t>
      </w:r>
      <w:r w:rsidRPr="00640860">
        <w:rPr>
          <w:rFonts w:ascii="Palatino Linotype" w:eastAsia="Palatino Linotype" w:hAnsi="Palatino Linotype" w:cs="Palatino Linotype"/>
          <w:b/>
        </w:rPr>
        <w:t>códigos bidimensionales</w:t>
      </w:r>
      <w:r w:rsidRPr="00640860">
        <w:rPr>
          <w:rFonts w:ascii="Palatino Linotype" w:eastAsia="Palatino Linotype" w:hAnsi="Palatino Linotype" w:cs="Palatino Linotype"/>
        </w:rPr>
        <w:t xml:space="preserve"> o </w:t>
      </w:r>
      <w:r w:rsidRPr="00640860">
        <w:rPr>
          <w:rFonts w:ascii="Palatino Linotype" w:eastAsia="Palatino Linotype" w:hAnsi="Palatino Linotype" w:cs="Palatino Linotype"/>
          <w:b/>
        </w:rPr>
        <w:t xml:space="preserve">códigos QR, </w:t>
      </w:r>
      <w:r w:rsidRPr="00640860">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xml:space="preserve"> analizar dicha circunstancia con la finalidad de determinar si se actualiza algún supuesto de confidencialidad.</w:t>
      </w:r>
    </w:p>
    <w:p w14:paraId="1E46C32A"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 xml:space="preserve">En tal sentido, si derivado del análisis efectuado por 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1BB9E3F9" w14:textId="77777777" w:rsidR="00080DFD" w:rsidRPr="00640860" w:rsidRDefault="008D17B9">
      <w:pPr>
        <w:spacing w:before="240" w:after="240" w:line="360" w:lineRule="auto"/>
        <w:ind w:right="50"/>
        <w:jc w:val="both"/>
        <w:rPr>
          <w:rFonts w:ascii="Palatino Linotype" w:eastAsia="Palatino Linotype" w:hAnsi="Palatino Linotype" w:cs="Palatino Linotype"/>
        </w:rPr>
      </w:pPr>
      <w:r w:rsidRPr="00640860">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56B8666" w14:textId="77777777" w:rsidR="00080DFD" w:rsidRPr="00640860" w:rsidRDefault="008D17B9">
      <w:pPr>
        <w:spacing w:before="120" w:after="12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“Artículo 49.</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Los Comités de Transparencia</w:t>
      </w:r>
      <w:r w:rsidRPr="00640860">
        <w:rPr>
          <w:rFonts w:ascii="Palatino Linotype" w:eastAsia="Palatino Linotype" w:hAnsi="Palatino Linotype" w:cs="Palatino Linotype"/>
          <w:i/>
          <w:sz w:val="22"/>
          <w:szCs w:val="22"/>
        </w:rPr>
        <w:t xml:space="preserve"> tendrán las siguientes atribuciones:</w:t>
      </w:r>
    </w:p>
    <w:p w14:paraId="490FC0B5" w14:textId="77777777" w:rsidR="00080DFD" w:rsidRPr="00640860" w:rsidRDefault="008D17B9">
      <w:pPr>
        <w:spacing w:before="120" w:after="120"/>
        <w:ind w:left="1134"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VIII. Aprobar, modificar o revocar la clasificación de la información</w:t>
      </w:r>
      <w:r w:rsidRPr="00640860">
        <w:rPr>
          <w:rFonts w:ascii="Palatino Linotype" w:eastAsia="Palatino Linotype" w:hAnsi="Palatino Linotype" w:cs="Palatino Linotype"/>
          <w:i/>
          <w:sz w:val="22"/>
          <w:szCs w:val="22"/>
        </w:rPr>
        <w:t>…”</w:t>
      </w:r>
    </w:p>
    <w:p w14:paraId="7C60CECB" w14:textId="77777777" w:rsidR="00080DFD" w:rsidRPr="00640860" w:rsidRDefault="008D17B9">
      <w:pPr>
        <w:spacing w:before="120" w:after="12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r w:rsidRPr="00640860">
        <w:rPr>
          <w:rFonts w:ascii="Palatino Linotype" w:eastAsia="Palatino Linotype" w:hAnsi="Palatino Linotype" w:cs="Palatino Linotype"/>
          <w:b/>
          <w:i/>
          <w:sz w:val="22"/>
          <w:szCs w:val="22"/>
        </w:rPr>
        <w:t>Artículo 53.</w:t>
      </w:r>
      <w:r w:rsidRPr="00640860">
        <w:rPr>
          <w:rFonts w:ascii="Palatino Linotype" w:eastAsia="Palatino Linotype" w:hAnsi="Palatino Linotype" w:cs="Palatino Linotype"/>
          <w:i/>
          <w:sz w:val="22"/>
          <w:szCs w:val="22"/>
        </w:rPr>
        <w:t xml:space="preserve"> Las </w:t>
      </w:r>
      <w:r w:rsidRPr="00640860">
        <w:rPr>
          <w:rFonts w:ascii="Palatino Linotype" w:eastAsia="Palatino Linotype" w:hAnsi="Palatino Linotype" w:cs="Palatino Linotype"/>
          <w:b/>
          <w:i/>
          <w:sz w:val="22"/>
          <w:szCs w:val="22"/>
        </w:rPr>
        <w:t>Unidades de Transparencia</w:t>
      </w:r>
      <w:r w:rsidRPr="00640860">
        <w:rPr>
          <w:rFonts w:ascii="Palatino Linotype" w:eastAsia="Palatino Linotype" w:hAnsi="Palatino Linotype" w:cs="Palatino Linotype"/>
          <w:i/>
          <w:sz w:val="22"/>
          <w:szCs w:val="22"/>
        </w:rPr>
        <w:t xml:space="preserve"> tendrán las siguientes </w:t>
      </w:r>
      <w:r w:rsidRPr="00640860">
        <w:rPr>
          <w:rFonts w:ascii="Palatino Linotype" w:eastAsia="Palatino Linotype" w:hAnsi="Palatino Linotype" w:cs="Palatino Linotype"/>
          <w:b/>
          <w:i/>
          <w:sz w:val="22"/>
          <w:szCs w:val="22"/>
        </w:rPr>
        <w:t>funciones</w:t>
      </w:r>
      <w:r w:rsidRPr="00640860">
        <w:rPr>
          <w:rFonts w:ascii="Palatino Linotype" w:eastAsia="Palatino Linotype" w:hAnsi="Palatino Linotype" w:cs="Palatino Linotype"/>
          <w:i/>
          <w:sz w:val="22"/>
          <w:szCs w:val="22"/>
        </w:rPr>
        <w:t>:</w:t>
      </w:r>
    </w:p>
    <w:p w14:paraId="28EA494B" w14:textId="77777777" w:rsidR="00080DFD" w:rsidRPr="00640860" w:rsidRDefault="008D17B9">
      <w:pPr>
        <w:spacing w:before="120" w:after="120"/>
        <w:ind w:left="1134"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X. Presentar ante el Comité, el proyecto de clasificación de información</w:t>
      </w:r>
      <w:r w:rsidRPr="00640860">
        <w:rPr>
          <w:rFonts w:ascii="Palatino Linotype" w:eastAsia="Palatino Linotype" w:hAnsi="Palatino Linotype" w:cs="Palatino Linotype"/>
          <w:i/>
          <w:sz w:val="22"/>
          <w:szCs w:val="22"/>
        </w:rPr>
        <w:t xml:space="preserve">…” </w:t>
      </w:r>
    </w:p>
    <w:p w14:paraId="3F0A8C5A" w14:textId="77777777" w:rsidR="00080DFD" w:rsidRPr="00640860" w:rsidRDefault="008D17B9">
      <w:pPr>
        <w:spacing w:before="120" w:after="12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“Artículo 59.</w:t>
      </w:r>
      <w:r w:rsidRPr="00640860">
        <w:rPr>
          <w:rFonts w:ascii="Palatino Linotype" w:eastAsia="Palatino Linotype" w:hAnsi="Palatino Linotype" w:cs="Palatino Linotype"/>
          <w:i/>
          <w:sz w:val="22"/>
          <w:szCs w:val="22"/>
        </w:rPr>
        <w:t xml:space="preserve"> Los </w:t>
      </w:r>
      <w:r w:rsidRPr="00640860">
        <w:rPr>
          <w:rFonts w:ascii="Palatino Linotype" w:eastAsia="Palatino Linotype" w:hAnsi="Palatino Linotype" w:cs="Palatino Linotype"/>
          <w:b/>
          <w:i/>
          <w:sz w:val="22"/>
          <w:szCs w:val="22"/>
        </w:rPr>
        <w:t>servidores públicos habilitados</w:t>
      </w:r>
      <w:r w:rsidRPr="00640860">
        <w:rPr>
          <w:rFonts w:ascii="Palatino Linotype" w:eastAsia="Palatino Linotype" w:hAnsi="Palatino Linotype" w:cs="Palatino Linotype"/>
          <w:i/>
          <w:sz w:val="22"/>
          <w:szCs w:val="22"/>
        </w:rPr>
        <w:t xml:space="preserve"> tendrán las </w:t>
      </w:r>
      <w:r w:rsidRPr="00640860">
        <w:rPr>
          <w:rFonts w:ascii="Palatino Linotype" w:eastAsia="Palatino Linotype" w:hAnsi="Palatino Linotype" w:cs="Palatino Linotype"/>
          <w:b/>
          <w:i/>
          <w:sz w:val="22"/>
          <w:szCs w:val="22"/>
        </w:rPr>
        <w:t>funciones</w:t>
      </w:r>
      <w:r w:rsidRPr="00640860">
        <w:rPr>
          <w:rFonts w:ascii="Palatino Linotype" w:eastAsia="Palatino Linotype" w:hAnsi="Palatino Linotype" w:cs="Palatino Linotype"/>
          <w:i/>
          <w:sz w:val="22"/>
          <w:szCs w:val="22"/>
        </w:rPr>
        <w:t xml:space="preserve"> siguientes:</w:t>
      </w:r>
    </w:p>
    <w:p w14:paraId="12B724D3" w14:textId="77777777" w:rsidR="00080DFD" w:rsidRPr="00640860" w:rsidRDefault="008D17B9">
      <w:pPr>
        <w:spacing w:before="120" w:after="120"/>
        <w:ind w:left="1134"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640860">
        <w:rPr>
          <w:rFonts w:ascii="Palatino Linotype" w:eastAsia="Palatino Linotype" w:hAnsi="Palatino Linotype" w:cs="Palatino Linotype"/>
          <w:i/>
          <w:sz w:val="22"/>
          <w:szCs w:val="22"/>
        </w:rPr>
        <w:t>, la cual tendrá los fundamentos y argumentos en que se basa dicha propuesta…”</w:t>
      </w:r>
    </w:p>
    <w:p w14:paraId="170C7B1C"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4DBAD73"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A99EB2C"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r w:rsidRPr="00640860">
        <w:rPr>
          <w:rFonts w:ascii="Palatino Linotype" w:eastAsia="Palatino Linotype" w:hAnsi="Palatino Linotype" w:cs="Palatino Linotype"/>
          <w:b/>
          <w:i/>
          <w:sz w:val="22"/>
          <w:szCs w:val="22"/>
        </w:rPr>
        <w:t>Artículo 149.</w:t>
      </w:r>
      <w:r w:rsidRPr="00640860">
        <w:rPr>
          <w:rFonts w:ascii="Palatino Linotype" w:eastAsia="Palatino Linotype" w:hAnsi="Palatino Linotype" w:cs="Palatino Linotype"/>
          <w:i/>
          <w:sz w:val="22"/>
          <w:szCs w:val="22"/>
        </w:rPr>
        <w:t xml:space="preserve"> El </w:t>
      </w:r>
      <w:r w:rsidRPr="00640860">
        <w:rPr>
          <w:rFonts w:ascii="Palatino Linotype" w:eastAsia="Palatino Linotype" w:hAnsi="Palatino Linotype" w:cs="Palatino Linotype"/>
          <w:b/>
          <w:i/>
          <w:sz w:val="22"/>
          <w:szCs w:val="22"/>
        </w:rPr>
        <w:t>acuerdo que clasifique la información como confidencial</w:t>
      </w:r>
      <w:r w:rsidRPr="0064086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4DDFBB05" w14:textId="77777777" w:rsidR="00080DFD" w:rsidRPr="00640860" w:rsidRDefault="008D17B9">
      <w:pPr>
        <w:spacing w:before="240" w:after="240" w:line="360" w:lineRule="auto"/>
        <w:ind w:right="51"/>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Es decir, 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640860">
        <w:rPr>
          <w:rFonts w:ascii="Palatino Linotype" w:eastAsia="Palatino Linotype" w:hAnsi="Palatino Linotype" w:cs="Palatino Linotype"/>
        </w:rPr>
        <w:lastRenderedPageBreak/>
        <w:t>versión pública de la documentación entregada se estaría violentando el derecho de acceso a la información de la persona solicitante.</w:t>
      </w:r>
    </w:p>
    <w:p w14:paraId="1B1685F6" w14:textId="77777777" w:rsidR="00080DFD" w:rsidRPr="00640860" w:rsidRDefault="008D17B9">
      <w:pPr>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Atento a lo anterior, cabe señalar que el Comité de Transparencia del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que literalmente expresan:</w:t>
      </w:r>
    </w:p>
    <w:p w14:paraId="4A1DEB5C"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Segundo.-</w:t>
      </w:r>
      <w:r w:rsidRPr="00640860">
        <w:rPr>
          <w:rFonts w:ascii="Palatino Linotype" w:eastAsia="Palatino Linotype" w:hAnsi="Palatino Linotype" w:cs="Palatino Linotype"/>
          <w:i/>
          <w:sz w:val="22"/>
          <w:szCs w:val="22"/>
        </w:rPr>
        <w:t xml:space="preserve"> Para efectos de los presentes Lineamientos Generales, se entenderá por:</w:t>
      </w:r>
    </w:p>
    <w:p w14:paraId="78DAFCB7" w14:textId="77777777" w:rsidR="00080DFD" w:rsidRPr="00640860" w:rsidRDefault="008D17B9">
      <w:pPr>
        <w:tabs>
          <w:tab w:val="left" w:pos="8222"/>
        </w:tabs>
        <w:spacing w:before="120" w:after="120"/>
        <w:ind w:left="1134"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XVIII.</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Versión pública:</w:t>
      </w:r>
      <w:r w:rsidRPr="00640860">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640860">
        <w:rPr>
          <w:rFonts w:ascii="Palatino Linotype" w:eastAsia="Palatino Linotype" w:hAnsi="Palatino Linotype" w:cs="Palatino Linotype"/>
          <w:b/>
          <w:i/>
          <w:sz w:val="22"/>
          <w:szCs w:val="22"/>
        </w:rPr>
        <w:t>fundando y motivando la</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reserva o confidencialidad</w:t>
      </w:r>
      <w:r w:rsidRPr="00640860">
        <w:rPr>
          <w:rFonts w:ascii="Palatino Linotype" w:eastAsia="Palatino Linotype" w:hAnsi="Palatino Linotype" w:cs="Palatino Linotype"/>
          <w:i/>
          <w:sz w:val="22"/>
          <w:szCs w:val="22"/>
        </w:rPr>
        <w:t>, a través de la resolución que para tal efecto emita el Comité de Transparencia.</w:t>
      </w:r>
    </w:p>
    <w:p w14:paraId="041DDF96"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b/>
          <w:i/>
          <w:sz w:val="22"/>
          <w:szCs w:val="22"/>
        </w:rPr>
      </w:pPr>
      <w:r w:rsidRPr="00640860">
        <w:rPr>
          <w:rFonts w:ascii="Palatino Linotype" w:eastAsia="Palatino Linotype" w:hAnsi="Palatino Linotype" w:cs="Palatino Linotype"/>
          <w:b/>
          <w:i/>
          <w:sz w:val="22"/>
          <w:szCs w:val="22"/>
        </w:rPr>
        <w:t>...</w:t>
      </w:r>
    </w:p>
    <w:p w14:paraId="09172E93"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Cuarto.</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Para clasificar la información como</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reservada o</w:t>
      </w:r>
      <w:r w:rsidRPr="00640860">
        <w:rPr>
          <w:rFonts w:ascii="Palatino Linotype" w:eastAsia="Palatino Linotype" w:hAnsi="Palatino Linotype" w:cs="Palatino Linotype"/>
          <w:i/>
          <w:sz w:val="22"/>
          <w:szCs w:val="22"/>
        </w:rPr>
        <w:t xml:space="preserve"> </w:t>
      </w:r>
      <w:r w:rsidRPr="00640860">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640860">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9626FE7"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06BDB18"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Quinto.</w:t>
      </w:r>
      <w:r w:rsidRPr="00640860">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w:t>
      </w:r>
      <w:r w:rsidRPr="00640860">
        <w:rPr>
          <w:rFonts w:ascii="Palatino Linotype" w:eastAsia="Palatino Linotype" w:hAnsi="Palatino Linotype" w:cs="Palatino Linotype"/>
          <w:i/>
          <w:sz w:val="22"/>
          <w:szCs w:val="22"/>
        </w:rPr>
        <w:lastRenderedPageBreak/>
        <w:t>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4C0E9F5"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Sexto.</w:t>
      </w:r>
      <w:r w:rsidRPr="00640860">
        <w:rPr>
          <w:rFonts w:ascii="Palatino Linotype" w:eastAsia="Palatino Linotype" w:hAnsi="Palatino Linotype" w:cs="Palatino Linotype"/>
          <w:i/>
          <w:sz w:val="22"/>
          <w:szCs w:val="22"/>
        </w:rPr>
        <w:t xml:space="preserve"> Se deroga.</w:t>
      </w:r>
    </w:p>
    <w:p w14:paraId="67DC255B"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Séptimo.</w:t>
      </w:r>
      <w:r w:rsidRPr="00640860">
        <w:rPr>
          <w:rFonts w:ascii="Palatino Linotype" w:eastAsia="Palatino Linotype" w:hAnsi="Palatino Linotype" w:cs="Palatino Linotype"/>
          <w:i/>
          <w:sz w:val="22"/>
          <w:szCs w:val="22"/>
        </w:rPr>
        <w:t xml:space="preserve"> La clasificación de la información se llevará a cabo en el momento en que:</w:t>
      </w:r>
    </w:p>
    <w:p w14:paraId="03920D99" w14:textId="77777777" w:rsidR="00080DFD" w:rsidRPr="00640860" w:rsidRDefault="008D17B9">
      <w:pPr>
        <w:tabs>
          <w:tab w:val="left" w:pos="8222"/>
        </w:tabs>
        <w:spacing w:before="120" w:after="120"/>
        <w:ind w:left="1134"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w:t>
      </w:r>
      <w:r w:rsidRPr="00640860">
        <w:rPr>
          <w:rFonts w:ascii="Palatino Linotype" w:eastAsia="Palatino Linotype" w:hAnsi="Palatino Linotype" w:cs="Palatino Linotype"/>
          <w:i/>
          <w:sz w:val="22"/>
          <w:szCs w:val="22"/>
        </w:rPr>
        <w:t xml:space="preserve"> Se reciba una solicitud de acceso a la información;</w:t>
      </w:r>
    </w:p>
    <w:p w14:paraId="15204B86" w14:textId="77777777" w:rsidR="00080DFD" w:rsidRPr="00640860" w:rsidRDefault="008D17B9">
      <w:pPr>
        <w:tabs>
          <w:tab w:val="left" w:pos="8222"/>
        </w:tabs>
        <w:spacing w:before="120" w:after="120"/>
        <w:ind w:left="1134"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II.</w:t>
      </w:r>
      <w:r w:rsidRPr="00640860">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12FE1C37" w14:textId="77777777" w:rsidR="00080DFD" w:rsidRPr="00640860" w:rsidRDefault="008D17B9">
      <w:pPr>
        <w:tabs>
          <w:tab w:val="left" w:pos="8222"/>
        </w:tabs>
        <w:spacing w:before="120" w:after="120"/>
        <w:ind w:left="1134"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III.</w:t>
      </w:r>
      <w:r w:rsidRPr="00640860">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98D16DD"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640860">
        <w:rPr>
          <w:rFonts w:ascii="Palatino Linotype" w:eastAsia="Palatino Linotype" w:hAnsi="Palatino Linotype" w:cs="Palatino Linotype"/>
          <w:sz w:val="22"/>
          <w:szCs w:val="22"/>
        </w:rPr>
        <w:t xml:space="preserve">, </w:t>
      </w:r>
      <w:r w:rsidRPr="00640860">
        <w:rPr>
          <w:rFonts w:ascii="Palatino Linotype" w:eastAsia="Palatino Linotype" w:hAnsi="Palatino Linotype" w:cs="Palatino Linotype"/>
          <w:i/>
          <w:sz w:val="22"/>
          <w:szCs w:val="22"/>
        </w:rPr>
        <w:t>conforme a su naturaleza, si encuadra en una causal de reserva o de confidencialidad.</w:t>
      </w:r>
    </w:p>
    <w:p w14:paraId="74B2EE8E"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Octavo.</w:t>
      </w:r>
      <w:r w:rsidRPr="00640860">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F76A85D"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625A51E"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7D3C459D"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Noveno.</w:t>
      </w:r>
      <w:r w:rsidRPr="00640860">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C479073"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lastRenderedPageBreak/>
        <w:t>Décimo.</w:t>
      </w:r>
      <w:r w:rsidRPr="00640860">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07D3B5C"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F5AF902" w14:textId="77777777" w:rsidR="00080DFD" w:rsidRPr="00640860" w:rsidRDefault="008D17B9">
      <w:pPr>
        <w:tabs>
          <w:tab w:val="left" w:pos="8222"/>
        </w:tabs>
        <w:spacing w:before="120" w:after="120"/>
        <w:ind w:left="851" w:right="1134"/>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Décimo primero.</w:t>
      </w:r>
      <w:r w:rsidRPr="00640860">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700FB198" w14:textId="77777777" w:rsidR="00080DFD" w:rsidRPr="00640860" w:rsidRDefault="008D17B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Asimismo, respecto a las formalidades que deberá llevar el acuerdo de clasificación que deberá emitir 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251CF554"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 xml:space="preserve"> “Quincuagésimo. </w:t>
      </w:r>
      <w:r w:rsidRPr="00640860">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2FC5A93" w14:textId="77777777" w:rsidR="00080DFD" w:rsidRPr="00640860" w:rsidRDefault="008D17B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 xml:space="preserve">Quincuagésimo primero. </w:t>
      </w:r>
      <w:r w:rsidRPr="00640860">
        <w:rPr>
          <w:rFonts w:ascii="Palatino Linotype" w:eastAsia="Palatino Linotype" w:hAnsi="Palatino Linotype" w:cs="Palatino Linotype"/>
          <w:i/>
          <w:sz w:val="22"/>
          <w:szCs w:val="22"/>
        </w:rPr>
        <w:t xml:space="preserve">Toda acta del Comité de Transparencia deberá contener: </w:t>
      </w:r>
    </w:p>
    <w:p w14:paraId="062BA90D" w14:textId="77777777" w:rsidR="00080DFD" w:rsidRPr="00640860" w:rsidRDefault="008D17B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w:t>
      </w:r>
      <w:r w:rsidRPr="00640860">
        <w:rPr>
          <w:rFonts w:ascii="Palatino Linotype" w:eastAsia="Palatino Linotype" w:hAnsi="Palatino Linotype" w:cs="Palatino Linotype"/>
          <w:i/>
          <w:sz w:val="22"/>
          <w:szCs w:val="22"/>
        </w:rPr>
        <w:t xml:space="preserve"> El número de sesión y fecha; </w:t>
      </w:r>
    </w:p>
    <w:p w14:paraId="5400FD90" w14:textId="77777777" w:rsidR="00080DFD" w:rsidRPr="00640860" w:rsidRDefault="008D17B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II</w:t>
      </w:r>
      <w:r w:rsidRPr="00640860">
        <w:rPr>
          <w:rFonts w:ascii="Palatino Linotype" w:eastAsia="Palatino Linotype" w:hAnsi="Palatino Linotype" w:cs="Palatino Linotype"/>
          <w:i/>
          <w:sz w:val="22"/>
          <w:szCs w:val="22"/>
        </w:rPr>
        <w:t xml:space="preserve">. El nombre del área que solicitó la clasificación de información; </w:t>
      </w:r>
    </w:p>
    <w:p w14:paraId="450C4CBD" w14:textId="77777777" w:rsidR="00080DFD" w:rsidRPr="00640860" w:rsidRDefault="008D17B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III</w:t>
      </w:r>
      <w:r w:rsidRPr="00640860">
        <w:rPr>
          <w:rFonts w:ascii="Palatino Linotype" w:eastAsia="Palatino Linotype" w:hAnsi="Palatino Linotype" w:cs="Palatino Linotype"/>
          <w:i/>
          <w:sz w:val="22"/>
          <w:szCs w:val="22"/>
        </w:rPr>
        <w:t xml:space="preserve">. La fundamentación legal y motivación correspondiente; </w:t>
      </w:r>
    </w:p>
    <w:p w14:paraId="03E8B6D2" w14:textId="77777777" w:rsidR="00080DFD" w:rsidRPr="00640860" w:rsidRDefault="008D17B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IV</w:t>
      </w:r>
      <w:r w:rsidRPr="00640860">
        <w:rPr>
          <w:rFonts w:ascii="Palatino Linotype" w:eastAsia="Palatino Linotype" w:hAnsi="Palatino Linotype" w:cs="Palatino Linotype"/>
          <w:i/>
          <w:sz w:val="22"/>
          <w:szCs w:val="22"/>
        </w:rPr>
        <w:t xml:space="preserve">. La resolución o resoluciones aprobadas; y </w:t>
      </w:r>
    </w:p>
    <w:p w14:paraId="11BA46B2" w14:textId="77777777" w:rsidR="00080DFD" w:rsidRPr="00640860" w:rsidRDefault="008D17B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V</w:t>
      </w:r>
      <w:r w:rsidRPr="00640860">
        <w:rPr>
          <w:rFonts w:ascii="Palatino Linotype" w:eastAsia="Palatino Linotype" w:hAnsi="Palatino Linotype" w:cs="Palatino Linotype"/>
          <w:i/>
          <w:sz w:val="22"/>
          <w:szCs w:val="22"/>
        </w:rPr>
        <w:t xml:space="preserve">. La rúbrica o firma digital de cada integrante del Comité de Transparencia. </w:t>
      </w:r>
    </w:p>
    <w:p w14:paraId="3236DB2E" w14:textId="77777777" w:rsidR="00080DFD" w:rsidRPr="00640860" w:rsidRDefault="008D17B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lastRenderedPageBreak/>
        <w:t xml:space="preserve">Las resoluciones del Comité en las que se haya determinado confirmar o modificar la clasificación de información pública como reservada, deberán incluir, cuando menos: </w:t>
      </w:r>
    </w:p>
    <w:p w14:paraId="7D83363E" w14:textId="77777777" w:rsidR="00080DFD" w:rsidRPr="00640860" w:rsidRDefault="008D17B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w:t>
      </w:r>
      <w:r w:rsidRPr="00640860">
        <w:rPr>
          <w:rFonts w:ascii="Palatino Linotype" w:eastAsia="Palatino Linotype" w:hAnsi="Palatino Linotype" w:cs="Palatino Linotype"/>
          <w:i/>
          <w:sz w:val="22"/>
          <w:szCs w:val="22"/>
        </w:rPr>
        <w:t xml:space="preserve"> Los motivos y razonamientos que sustenten la confirmación o modificación de la prueba de daño;</w:t>
      </w:r>
    </w:p>
    <w:p w14:paraId="2DC4F41E" w14:textId="77777777" w:rsidR="00080DFD" w:rsidRPr="00640860" w:rsidRDefault="008D17B9">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640860">
        <w:rPr>
          <w:rFonts w:ascii="Palatino Linotype" w:eastAsia="Palatino Linotype" w:hAnsi="Palatino Linotype" w:cs="Palatino Linotype"/>
          <w:b/>
          <w:i/>
          <w:sz w:val="22"/>
          <w:szCs w:val="22"/>
        </w:rPr>
        <w:t>II</w:t>
      </w:r>
      <w:r w:rsidRPr="00640860">
        <w:rPr>
          <w:rFonts w:ascii="Palatino Linotype" w:eastAsia="Palatino Linotype" w:hAnsi="Palatino Linotype" w:cs="Palatino Linotype"/>
          <w:i/>
          <w:sz w:val="22"/>
          <w:szCs w:val="22"/>
        </w:rPr>
        <w:t>. Descripción de las partes o secciones reservadas, en caso de clasificación parcial</w:t>
      </w:r>
      <w:r w:rsidRPr="00640860">
        <w:rPr>
          <w:rFonts w:ascii="Palatino Linotype" w:eastAsia="Palatino Linotype" w:hAnsi="Palatino Linotype" w:cs="Palatino Linotype"/>
          <w:b/>
          <w:i/>
          <w:sz w:val="22"/>
          <w:szCs w:val="22"/>
        </w:rPr>
        <w:t xml:space="preserve">; </w:t>
      </w:r>
    </w:p>
    <w:p w14:paraId="77D5E5A8" w14:textId="77777777" w:rsidR="00080DFD" w:rsidRPr="00640860" w:rsidRDefault="008D17B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III.</w:t>
      </w:r>
      <w:r w:rsidRPr="00640860">
        <w:rPr>
          <w:rFonts w:ascii="Palatino Linotype" w:eastAsia="Palatino Linotype" w:hAnsi="Palatino Linotype" w:cs="Palatino Linotype"/>
          <w:i/>
          <w:sz w:val="22"/>
          <w:szCs w:val="22"/>
        </w:rPr>
        <w:t xml:space="preserve"> El periodo por el que mantendrá su clasificación y fecha de expiración; y </w:t>
      </w:r>
    </w:p>
    <w:p w14:paraId="63D8582A" w14:textId="77777777" w:rsidR="00080DFD" w:rsidRPr="00640860" w:rsidRDefault="008D17B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IV.</w:t>
      </w:r>
      <w:r w:rsidRPr="00640860">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7DBB2017" w14:textId="77777777" w:rsidR="00080DFD" w:rsidRPr="00640860" w:rsidRDefault="008D17B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ECB1496" w14:textId="77777777" w:rsidR="00080DFD" w:rsidRPr="00640860" w:rsidRDefault="008D17B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FE16648"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251D9CF1" w14:textId="77777777" w:rsidR="00080DFD" w:rsidRPr="00640860" w:rsidRDefault="008D17B9">
      <w:pPr>
        <w:spacing w:before="120" w:after="12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r w:rsidRPr="00640860">
        <w:rPr>
          <w:rFonts w:ascii="Palatino Linotype" w:eastAsia="Palatino Linotype" w:hAnsi="Palatino Linotype" w:cs="Palatino Linotype"/>
          <w:b/>
          <w:i/>
          <w:sz w:val="22"/>
          <w:szCs w:val="22"/>
        </w:rPr>
        <w:t>Quincuagésimo segundo</w:t>
      </w:r>
      <w:r w:rsidRPr="00640860">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C1A99A5" w14:textId="77777777" w:rsidR="00080DFD" w:rsidRPr="00640860" w:rsidRDefault="008D17B9">
      <w:pPr>
        <w:spacing w:before="120" w:after="12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238555D0" w14:textId="77777777" w:rsidR="00080DFD" w:rsidRPr="00640860" w:rsidRDefault="008D17B9">
      <w:pPr>
        <w:spacing w:before="120" w:after="120"/>
        <w:ind w:left="1134"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w:t>
      </w:r>
      <w:r w:rsidRPr="00640860">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4D39E49A" w14:textId="77777777" w:rsidR="00080DFD" w:rsidRPr="00640860" w:rsidRDefault="008D17B9">
      <w:pPr>
        <w:spacing w:before="120" w:after="120"/>
        <w:ind w:left="1134"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lastRenderedPageBreak/>
        <w:t>II.</w:t>
      </w:r>
      <w:r w:rsidRPr="00640860">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4103D232" w14:textId="77777777" w:rsidR="00080DFD" w:rsidRPr="00640860" w:rsidRDefault="008D17B9">
      <w:pPr>
        <w:spacing w:before="120" w:after="120"/>
        <w:ind w:left="1134"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III.</w:t>
      </w:r>
      <w:r w:rsidRPr="00640860">
        <w:rPr>
          <w:rFonts w:ascii="Palatino Linotype" w:eastAsia="Palatino Linotype" w:hAnsi="Palatino Linotype" w:cs="Palatino Linotype"/>
          <w:i/>
          <w:sz w:val="22"/>
          <w:szCs w:val="22"/>
        </w:rPr>
        <w:t xml:space="preserve"> Señalar las personas o instancias autorizadas a acceder a la información clasificada.</w:t>
      </w:r>
    </w:p>
    <w:p w14:paraId="4AA3915E" w14:textId="77777777" w:rsidR="00080DFD" w:rsidRPr="00640860" w:rsidRDefault="008D17B9">
      <w:pPr>
        <w:spacing w:before="120" w:after="12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00CAEC0" w14:textId="77777777" w:rsidR="00080DFD" w:rsidRPr="00640860" w:rsidRDefault="008D17B9">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t>…</w:t>
      </w:r>
    </w:p>
    <w:p w14:paraId="0198A8F0" w14:textId="77777777" w:rsidR="00080DFD" w:rsidRPr="00640860" w:rsidRDefault="008D17B9">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640860">
        <w:rPr>
          <w:rFonts w:ascii="Palatino Linotype" w:eastAsia="Palatino Linotype" w:hAnsi="Palatino Linotype" w:cs="Palatino Linotype"/>
          <w:b/>
          <w:i/>
          <w:sz w:val="22"/>
          <w:szCs w:val="22"/>
        </w:rPr>
        <w:t xml:space="preserve">Quincuagésimo cuarto. </w:t>
      </w:r>
      <w:r w:rsidRPr="00640860">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640860">
        <w:rPr>
          <w:rFonts w:ascii="Palatino Linotype" w:eastAsia="Palatino Linotype" w:hAnsi="Palatino Linotype" w:cs="Palatino Linotype"/>
          <w:b/>
          <w:i/>
          <w:sz w:val="22"/>
          <w:szCs w:val="22"/>
        </w:rPr>
        <w:t xml:space="preserve"> </w:t>
      </w:r>
    </w:p>
    <w:p w14:paraId="5895A09B"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 xml:space="preserve">Quincuagésimo quinto. </w:t>
      </w:r>
      <w:r w:rsidRPr="00640860">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F3F4240" w14:textId="77777777" w:rsidR="00080DFD" w:rsidRPr="00640860" w:rsidRDefault="008D17B9">
      <w:pPr>
        <w:spacing w:before="120" w:after="120"/>
        <w:ind w:left="851" w:right="902"/>
        <w:jc w:val="both"/>
        <w:rPr>
          <w:rFonts w:ascii="Palatino Linotype" w:eastAsia="Palatino Linotype" w:hAnsi="Palatino Linotype" w:cs="Palatino Linotype"/>
          <w:b/>
          <w:i/>
          <w:sz w:val="22"/>
          <w:szCs w:val="22"/>
        </w:rPr>
      </w:pPr>
      <w:r w:rsidRPr="00640860">
        <w:rPr>
          <w:rFonts w:ascii="Palatino Linotype" w:eastAsia="Palatino Linotype" w:hAnsi="Palatino Linotype" w:cs="Palatino Linotype"/>
          <w:b/>
          <w:i/>
          <w:sz w:val="22"/>
          <w:szCs w:val="22"/>
        </w:rPr>
        <w:t>...</w:t>
      </w:r>
    </w:p>
    <w:p w14:paraId="38DD7BA6"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Quincuagésimo séptimo</w:t>
      </w:r>
      <w:r w:rsidRPr="0064086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3DD6673"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w:t>
      </w:r>
      <w:r w:rsidRPr="00640860">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FB006C4"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II.</w:t>
      </w:r>
      <w:r w:rsidRPr="00640860">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F0087DD" w14:textId="77777777" w:rsidR="00080DFD" w:rsidRPr="00640860" w:rsidRDefault="008D17B9">
      <w:pPr>
        <w:spacing w:before="120" w:after="120"/>
        <w:ind w:left="1134"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III</w:t>
      </w:r>
      <w:r w:rsidRPr="00640860">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268EA18"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i/>
          <w:sz w:val="22"/>
          <w:szCs w:val="22"/>
        </w:rPr>
        <w:lastRenderedPageBreak/>
        <w:t xml:space="preserve">Lo anterior, siempre y cuando no se acredite alguna causal de clasificación, prevista en las leyes o en los tratados internacionales suscritas por el Estado mexicano.  </w:t>
      </w:r>
    </w:p>
    <w:p w14:paraId="3DE99F7E" w14:textId="77777777" w:rsidR="00080DFD" w:rsidRPr="00640860" w:rsidRDefault="008D17B9">
      <w:pPr>
        <w:spacing w:before="120" w:after="120"/>
        <w:ind w:left="851" w:right="902"/>
        <w:jc w:val="both"/>
        <w:rPr>
          <w:rFonts w:ascii="Palatino Linotype" w:eastAsia="Palatino Linotype" w:hAnsi="Palatino Linotype" w:cs="Palatino Linotype"/>
          <w:i/>
          <w:sz w:val="22"/>
          <w:szCs w:val="22"/>
        </w:rPr>
      </w:pPr>
      <w:r w:rsidRPr="00640860">
        <w:rPr>
          <w:rFonts w:ascii="Palatino Linotype" w:eastAsia="Palatino Linotype" w:hAnsi="Palatino Linotype" w:cs="Palatino Linotype"/>
          <w:b/>
          <w:i/>
          <w:sz w:val="22"/>
          <w:szCs w:val="22"/>
        </w:rPr>
        <w:t>Quincuagésimo octavo</w:t>
      </w:r>
      <w:r w:rsidRPr="00640860">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6987984"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627AA780" w14:textId="77777777" w:rsidR="00080DFD" w:rsidRPr="00640860" w:rsidRDefault="008D17B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40860">
        <w:rPr>
          <w:rFonts w:ascii="Palatino Linotype" w:eastAsia="Palatino Linotype" w:hAnsi="Palatino Linotype" w:cs="Palatino Linotype"/>
          <w:b/>
        </w:rPr>
        <w:t>III. R E S U E L V E</w:t>
      </w:r>
    </w:p>
    <w:p w14:paraId="1678BE95" w14:textId="77777777" w:rsidR="00080DFD" w:rsidRPr="00640860" w:rsidRDefault="008D17B9">
      <w:pPr>
        <w:spacing w:before="240" w:after="240" w:line="360" w:lineRule="auto"/>
        <w:jc w:val="both"/>
        <w:rPr>
          <w:rFonts w:ascii="Palatino Linotype" w:eastAsia="Palatino Linotype" w:hAnsi="Palatino Linotype" w:cs="Palatino Linotype"/>
        </w:rPr>
      </w:pPr>
      <w:bookmarkStart w:id="11" w:name="_heading=h.26in1rg" w:colFirst="0" w:colLast="0"/>
      <w:bookmarkEnd w:id="11"/>
      <w:r w:rsidRPr="00640860">
        <w:rPr>
          <w:rFonts w:ascii="Palatino Linotype" w:eastAsia="Palatino Linotype" w:hAnsi="Palatino Linotype" w:cs="Palatino Linotype"/>
          <w:b/>
        </w:rPr>
        <w:t xml:space="preserve">Primero. </w:t>
      </w:r>
      <w:r w:rsidRPr="00640860">
        <w:rPr>
          <w:rFonts w:ascii="Palatino Linotype" w:eastAsia="Palatino Linotype" w:hAnsi="Palatino Linotype" w:cs="Palatino Linotype"/>
        </w:rPr>
        <w:t xml:space="preserve">Resultan </w:t>
      </w:r>
      <w:r w:rsidRPr="00640860">
        <w:rPr>
          <w:rFonts w:ascii="Palatino Linotype" w:eastAsia="Palatino Linotype" w:hAnsi="Palatino Linotype" w:cs="Palatino Linotype"/>
          <w:b/>
        </w:rPr>
        <w:t>parcialmente fundadas</w:t>
      </w:r>
      <w:r w:rsidRPr="00640860">
        <w:rPr>
          <w:rFonts w:ascii="Palatino Linotype" w:eastAsia="Palatino Linotype" w:hAnsi="Palatino Linotype" w:cs="Palatino Linotype"/>
        </w:rPr>
        <w:t xml:space="preserve"> las razones o motivos de inconformidad hechos valer por la parte</w:t>
      </w:r>
      <w:r w:rsidRPr="00640860">
        <w:rPr>
          <w:rFonts w:ascii="Palatino Linotype" w:eastAsia="Palatino Linotype" w:hAnsi="Palatino Linotype" w:cs="Palatino Linotype"/>
          <w:b/>
        </w:rPr>
        <w:t xml:space="preserve"> Recurrente</w:t>
      </w:r>
      <w:r w:rsidRPr="00640860">
        <w:rPr>
          <w:rFonts w:ascii="Palatino Linotype" w:eastAsia="Palatino Linotype" w:hAnsi="Palatino Linotype" w:cs="Palatino Linotype"/>
        </w:rPr>
        <w:t xml:space="preserve"> en el recurso de revisión </w:t>
      </w:r>
      <w:r w:rsidRPr="00640860">
        <w:rPr>
          <w:rFonts w:ascii="Palatino Linotype" w:eastAsia="Palatino Linotype" w:hAnsi="Palatino Linotype" w:cs="Palatino Linotype"/>
          <w:b/>
        </w:rPr>
        <w:t>06094/INFOEM/IP/RR/2024</w:t>
      </w:r>
      <w:r w:rsidRPr="00640860">
        <w:rPr>
          <w:rFonts w:ascii="Palatino Linotype" w:eastAsia="Palatino Linotype" w:hAnsi="Palatino Linotype" w:cs="Palatino Linotype"/>
        </w:rPr>
        <w:t xml:space="preserve">; por lo que, en términos del </w:t>
      </w:r>
      <w:r w:rsidRPr="00640860">
        <w:rPr>
          <w:rFonts w:ascii="Palatino Linotype" w:eastAsia="Palatino Linotype" w:hAnsi="Palatino Linotype" w:cs="Palatino Linotype"/>
          <w:b/>
        </w:rPr>
        <w:t>Considerando</w:t>
      </w: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rPr>
        <w:t xml:space="preserve">Cuarto </w:t>
      </w:r>
      <w:r w:rsidRPr="00640860">
        <w:rPr>
          <w:rFonts w:ascii="Palatino Linotype" w:eastAsia="Palatino Linotype" w:hAnsi="Palatino Linotype" w:cs="Palatino Linotype"/>
        </w:rPr>
        <w:t xml:space="preserve">de esta resolución, se </w:t>
      </w:r>
      <w:r w:rsidRPr="00640860">
        <w:rPr>
          <w:rFonts w:ascii="Palatino Linotype" w:eastAsia="Palatino Linotype" w:hAnsi="Palatino Linotype" w:cs="Palatino Linotype"/>
          <w:b/>
        </w:rPr>
        <w:t xml:space="preserve">Modifica </w:t>
      </w:r>
      <w:r w:rsidRPr="00640860">
        <w:rPr>
          <w:rFonts w:ascii="Palatino Linotype" w:eastAsia="Palatino Linotype" w:hAnsi="Palatino Linotype" w:cs="Palatino Linotype"/>
        </w:rPr>
        <w:t xml:space="preserve">la respuesta emitida por el </w:t>
      </w:r>
      <w:r w:rsidRPr="00640860">
        <w:rPr>
          <w:rFonts w:ascii="Palatino Linotype" w:eastAsia="Palatino Linotype" w:hAnsi="Palatino Linotype" w:cs="Palatino Linotype"/>
          <w:b/>
        </w:rPr>
        <w:t xml:space="preserve">Sujeto Obligado. </w:t>
      </w:r>
    </w:p>
    <w:p w14:paraId="31340EE1" w14:textId="77777777" w:rsidR="00080DFD" w:rsidRPr="00640860" w:rsidRDefault="008D17B9">
      <w:pPr>
        <w:tabs>
          <w:tab w:val="left" w:pos="5040"/>
        </w:tabs>
        <w:spacing w:before="240" w:after="240" w:line="360" w:lineRule="auto"/>
        <w:ind w:right="49"/>
        <w:jc w:val="both"/>
        <w:rPr>
          <w:rFonts w:ascii="Palatino Linotype" w:eastAsia="Palatino Linotype" w:hAnsi="Palatino Linotype" w:cs="Palatino Linotype"/>
        </w:rPr>
      </w:pPr>
      <w:r w:rsidRPr="00640860">
        <w:rPr>
          <w:rFonts w:ascii="Palatino Linotype" w:eastAsia="Palatino Linotype" w:hAnsi="Palatino Linotype" w:cs="Palatino Linotype"/>
          <w:b/>
        </w:rPr>
        <w:t xml:space="preserve">Segundo. </w:t>
      </w:r>
      <w:r w:rsidRPr="00640860">
        <w:rPr>
          <w:rFonts w:ascii="Palatino Linotype" w:eastAsia="Palatino Linotype" w:hAnsi="Palatino Linotype" w:cs="Palatino Linotype"/>
        </w:rPr>
        <w:t xml:space="preserve">Se </w:t>
      </w:r>
      <w:r w:rsidRPr="00640860">
        <w:rPr>
          <w:rFonts w:ascii="Palatino Linotype" w:eastAsia="Palatino Linotype" w:hAnsi="Palatino Linotype" w:cs="Palatino Linotype"/>
          <w:b/>
        </w:rPr>
        <w:t xml:space="preserve">Ordena </w:t>
      </w:r>
      <w:r w:rsidRPr="00640860">
        <w:rPr>
          <w:rFonts w:ascii="Palatino Linotype" w:eastAsia="Palatino Linotype" w:hAnsi="Palatino Linotype" w:cs="Palatino Linotype"/>
        </w:rPr>
        <w:t xml:space="preserve">al </w:t>
      </w:r>
      <w:r w:rsidRPr="00640860">
        <w:rPr>
          <w:rFonts w:ascii="Palatino Linotype" w:eastAsia="Palatino Linotype" w:hAnsi="Palatino Linotype" w:cs="Palatino Linotype"/>
          <w:b/>
        </w:rPr>
        <w:t xml:space="preserve">Sujeto Obligado, </w:t>
      </w:r>
      <w:r w:rsidRPr="00640860">
        <w:rPr>
          <w:rFonts w:ascii="Palatino Linotype" w:eastAsia="Palatino Linotype" w:hAnsi="Palatino Linotype" w:cs="Palatino Linotype"/>
        </w:rPr>
        <w:t xml:space="preserve">en términos de los </w:t>
      </w:r>
      <w:r w:rsidRPr="00640860">
        <w:rPr>
          <w:rFonts w:ascii="Palatino Linotype" w:eastAsia="Palatino Linotype" w:hAnsi="Palatino Linotype" w:cs="Palatino Linotype"/>
          <w:b/>
        </w:rPr>
        <w:t>Considerandos</w:t>
      </w:r>
      <w:r w:rsidRPr="00640860">
        <w:rPr>
          <w:rFonts w:ascii="Palatino Linotype" w:eastAsia="Palatino Linotype" w:hAnsi="Palatino Linotype" w:cs="Palatino Linotype"/>
        </w:rPr>
        <w:t xml:space="preserve"> </w:t>
      </w:r>
      <w:r w:rsidRPr="00640860">
        <w:rPr>
          <w:rFonts w:ascii="Palatino Linotype" w:eastAsia="Palatino Linotype" w:hAnsi="Palatino Linotype" w:cs="Palatino Linotype"/>
          <w:b/>
        </w:rPr>
        <w:t xml:space="preserve">Cuarto </w:t>
      </w:r>
      <w:r w:rsidRPr="00640860">
        <w:rPr>
          <w:rFonts w:ascii="Palatino Linotype" w:eastAsia="Palatino Linotype" w:hAnsi="Palatino Linotype" w:cs="Palatino Linotype"/>
        </w:rPr>
        <w:t>y</w:t>
      </w:r>
      <w:r w:rsidRPr="00640860">
        <w:rPr>
          <w:rFonts w:ascii="Palatino Linotype" w:eastAsia="Palatino Linotype" w:hAnsi="Palatino Linotype" w:cs="Palatino Linotype"/>
          <w:b/>
        </w:rPr>
        <w:t xml:space="preserve"> Quinto </w:t>
      </w:r>
      <w:r w:rsidRPr="00640860">
        <w:rPr>
          <w:rFonts w:ascii="Palatino Linotype" w:eastAsia="Palatino Linotype" w:hAnsi="Palatino Linotype" w:cs="Palatino Linotype"/>
        </w:rPr>
        <w:t xml:space="preserve">de esta resolución, haga entrega, vía </w:t>
      </w:r>
      <w:r w:rsidRPr="00640860">
        <w:rPr>
          <w:rFonts w:ascii="Palatino Linotype" w:eastAsia="Palatino Linotype" w:hAnsi="Palatino Linotype" w:cs="Palatino Linotype"/>
          <w:b/>
        </w:rPr>
        <w:t>SAIMEX,</w:t>
      </w:r>
      <w:r w:rsidRPr="00640860">
        <w:rPr>
          <w:rFonts w:ascii="Palatino Linotype" w:eastAsia="Palatino Linotype" w:hAnsi="Palatino Linotype" w:cs="Palatino Linotype"/>
        </w:rPr>
        <w:t xml:space="preserve"> en versión pública de lo siguiente:</w:t>
      </w:r>
    </w:p>
    <w:p w14:paraId="352BA2C8" w14:textId="77777777" w:rsidR="00080DFD" w:rsidRPr="00640860" w:rsidRDefault="008D17B9">
      <w:pPr>
        <w:numPr>
          <w:ilvl w:val="0"/>
          <w:numId w:val="1"/>
        </w:numPr>
        <w:pBdr>
          <w:top w:val="nil"/>
          <w:left w:val="nil"/>
          <w:bottom w:val="nil"/>
          <w:right w:val="nil"/>
          <w:between w:val="nil"/>
        </w:pBdr>
        <w:tabs>
          <w:tab w:val="left" w:pos="567"/>
        </w:tabs>
        <w:spacing w:before="240" w:line="360" w:lineRule="auto"/>
        <w:ind w:left="284" w:right="51" w:firstLine="0"/>
        <w:jc w:val="both"/>
        <w:rPr>
          <w:rFonts w:ascii="Palatino Linotype" w:eastAsia="Palatino Linotype" w:hAnsi="Palatino Linotype" w:cs="Palatino Linotype"/>
        </w:rPr>
      </w:pPr>
      <w:r w:rsidRPr="00640860">
        <w:rPr>
          <w:rFonts w:ascii="Palatino Linotype" w:eastAsia="Palatino Linotype" w:hAnsi="Palatino Linotype" w:cs="Palatino Linotype"/>
        </w:rPr>
        <w:t>El nombramiento, Formato Único de Movimiento de Personal, FUMP, o documento análogo de los servidores públicos adscritos al Órgano Interno de Control, en funciones al veintinueve de agosto de dos mil veinticuatro.</w:t>
      </w:r>
    </w:p>
    <w:p w14:paraId="6610B2B6" w14:textId="77777777" w:rsidR="00080DFD" w:rsidRPr="00640860" w:rsidRDefault="008D17B9">
      <w:pPr>
        <w:numPr>
          <w:ilvl w:val="0"/>
          <w:numId w:val="1"/>
        </w:numPr>
        <w:pBdr>
          <w:top w:val="nil"/>
          <w:left w:val="nil"/>
          <w:bottom w:val="nil"/>
          <w:right w:val="nil"/>
          <w:between w:val="nil"/>
        </w:pBdr>
        <w:tabs>
          <w:tab w:val="left" w:pos="567"/>
        </w:tabs>
        <w:spacing w:after="240" w:line="360" w:lineRule="auto"/>
        <w:ind w:left="284" w:right="51" w:firstLine="0"/>
        <w:jc w:val="both"/>
        <w:rPr>
          <w:rFonts w:ascii="Palatino Linotype" w:eastAsia="Palatino Linotype" w:hAnsi="Palatino Linotype" w:cs="Palatino Linotype"/>
        </w:rPr>
      </w:pPr>
      <w:r w:rsidRPr="00640860">
        <w:rPr>
          <w:rFonts w:ascii="Palatino Linotype" w:eastAsia="Palatino Linotype" w:hAnsi="Palatino Linotype" w:cs="Palatino Linotype"/>
        </w:rPr>
        <w:lastRenderedPageBreak/>
        <w:t>Los comprobantes de percepciones de los servidores públicos referidos en el punto 1, de la primera quincena de enero a la primera quincena de agosto de dos mil veinticuatro.</w:t>
      </w:r>
    </w:p>
    <w:p w14:paraId="29A4EB14" w14:textId="77777777" w:rsidR="00080DFD" w:rsidRPr="00640860" w:rsidRDefault="008D17B9">
      <w:pPr>
        <w:tabs>
          <w:tab w:val="left" w:pos="567"/>
        </w:tabs>
        <w:spacing w:before="240" w:after="240" w:line="360" w:lineRule="auto"/>
        <w:ind w:left="284" w:right="51"/>
        <w:jc w:val="both"/>
        <w:rPr>
          <w:rFonts w:ascii="Palatino Linotype" w:eastAsia="Palatino Linotype" w:hAnsi="Palatino Linotype" w:cs="Palatino Linotype"/>
        </w:rPr>
      </w:pPr>
      <w:r w:rsidRPr="00640860">
        <w:rPr>
          <w:rFonts w:ascii="Palatino Linotype" w:eastAsia="Palatino Linotype" w:hAnsi="Palatino Linotype" w:cs="Palatino Linotype"/>
        </w:rPr>
        <w:t>3. Los reglamentos internos y el manual general de organización referidos en el oficio con número de folio 219C0110020000S/1110/2024 entregado en respuesta.</w:t>
      </w:r>
    </w:p>
    <w:p w14:paraId="36DB1484" w14:textId="77777777" w:rsidR="00080DFD" w:rsidRPr="00640860" w:rsidRDefault="008D17B9">
      <w:pPr>
        <w:spacing w:before="240" w:after="240"/>
        <w:ind w:left="284"/>
        <w:jc w:val="both"/>
        <w:rPr>
          <w:rFonts w:ascii="Palatino Linotype" w:eastAsia="Palatino Linotype" w:hAnsi="Palatino Linotype" w:cs="Palatino Linotype"/>
          <w:sz w:val="22"/>
          <w:szCs w:val="22"/>
        </w:rPr>
      </w:pPr>
      <w:r w:rsidRPr="00640860">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w:t>
      </w:r>
      <w:r w:rsidRPr="00640860">
        <w:rPr>
          <w:rFonts w:ascii="Palatino Linotype" w:eastAsia="Palatino Linotype" w:hAnsi="Palatino Linotype" w:cs="Palatino Linotype"/>
          <w:b/>
          <w:i/>
          <w:sz w:val="22"/>
          <w:szCs w:val="22"/>
        </w:rPr>
        <w:t>Recurrente</w:t>
      </w:r>
      <w:r w:rsidRPr="00640860">
        <w:rPr>
          <w:rFonts w:ascii="Palatino Linotype" w:eastAsia="Palatino Linotype" w:hAnsi="Palatino Linotype" w:cs="Palatino Linotype"/>
          <w:i/>
          <w:sz w:val="22"/>
          <w:szCs w:val="22"/>
        </w:rPr>
        <w:t>.</w:t>
      </w:r>
    </w:p>
    <w:p w14:paraId="0DAED2EA"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b/>
        </w:rPr>
        <w:t xml:space="preserve">Tercero. Notifíquese, </w:t>
      </w:r>
      <w:r w:rsidRPr="00640860">
        <w:rPr>
          <w:rFonts w:ascii="Palatino Linotype" w:eastAsia="Palatino Linotype" w:hAnsi="Palatino Linotype" w:cs="Palatino Linotype"/>
        </w:rPr>
        <w:t xml:space="preserve">vía </w:t>
      </w:r>
      <w:r w:rsidRPr="00640860">
        <w:rPr>
          <w:rFonts w:ascii="Palatino Linotype" w:eastAsia="Palatino Linotype" w:hAnsi="Palatino Linotype" w:cs="Palatino Linotype"/>
          <w:b/>
        </w:rPr>
        <w:t>SAIMEX</w:t>
      </w:r>
      <w:r w:rsidRPr="00640860">
        <w:rPr>
          <w:rFonts w:ascii="Palatino Linotype" w:eastAsia="Palatino Linotype" w:hAnsi="Palatino Linotype" w:cs="Palatino Linotype"/>
        </w:rPr>
        <w:t xml:space="preserve">, al Titular de la Unidad de Transparencia del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6DE0F03" w14:textId="77777777" w:rsidR="00080DFD" w:rsidRPr="00640860" w:rsidRDefault="008D17B9">
      <w:pPr>
        <w:spacing w:before="240" w:after="240" w:line="360" w:lineRule="auto"/>
        <w:jc w:val="both"/>
        <w:rPr>
          <w:rFonts w:ascii="Palatino Linotype" w:eastAsia="Palatino Linotype" w:hAnsi="Palatino Linotype" w:cs="Palatino Linotype"/>
        </w:rPr>
      </w:pPr>
      <w:r w:rsidRPr="0064086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40860">
        <w:rPr>
          <w:rFonts w:ascii="Palatino Linotype" w:eastAsia="Palatino Linotype" w:hAnsi="Palatino Linotype" w:cs="Palatino Linotype"/>
          <w:b/>
        </w:rPr>
        <w:t>Sujeto Obligado</w:t>
      </w:r>
      <w:r w:rsidRPr="00640860">
        <w:rPr>
          <w:rFonts w:ascii="Palatino Linotype" w:eastAsia="Palatino Linotype" w:hAnsi="Palatino Linotype" w:cs="Palatino Linotype"/>
        </w:rPr>
        <w:t xml:space="preserve"> de manera fundada y motivada, podrá solicitar una ampliación de plazo para el cumplimiento de la presente resolución.</w:t>
      </w:r>
    </w:p>
    <w:p w14:paraId="0FF29BD1" w14:textId="77777777" w:rsidR="00080DFD" w:rsidRPr="00640860" w:rsidRDefault="008D17B9">
      <w:pPr>
        <w:spacing w:before="240" w:after="240" w:line="360" w:lineRule="auto"/>
        <w:jc w:val="both"/>
        <w:rPr>
          <w:rFonts w:ascii="Palatino Linotype" w:eastAsia="Palatino Linotype" w:hAnsi="Palatino Linotype" w:cs="Palatino Linotype"/>
        </w:rPr>
      </w:pPr>
      <w:bookmarkStart w:id="12" w:name="_heading=h.17dp8vu" w:colFirst="0" w:colLast="0"/>
      <w:bookmarkEnd w:id="12"/>
      <w:r w:rsidRPr="00640860">
        <w:rPr>
          <w:rFonts w:ascii="Palatino Linotype" w:eastAsia="Palatino Linotype" w:hAnsi="Palatino Linotype" w:cs="Palatino Linotype"/>
          <w:b/>
        </w:rPr>
        <w:lastRenderedPageBreak/>
        <w:t xml:space="preserve">Cuarto.  Notifíquese, </w:t>
      </w:r>
      <w:r w:rsidRPr="00640860">
        <w:rPr>
          <w:rFonts w:ascii="Palatino Linotype" w:eastAsia="Palatino Linotype" w:hAnsi="Palatino Linotype" w:cs="Palatino Linotype"/>
        </w:rPr>
        <w:t xml:space="preserve">vía </w:t>
      </w:r>
      <w:r w:rsidRPr="00640860">
        <w:rPr>
          <w:rFonts w:ascii="Palatino Linotype" w:eastAsia="Palatino Linotype" w:hAnsi="Palatino Linotype" w:cs="Palatino Linotype"/>
          <w:b/>
        </w:rPr>
        <w:t>SAIMEX</w:t>
      </w:r>
      <w:r w:rsidRPr="00640860">
        <w:rPr>
          <w:rFonts w:ascii="Palatino Linotype" w:eastAsia="Palatino Linotype" w:hAnsi="Palatino Linotype" w:cs="Palatino Linotype"/>
        </w:rPr>
        <w:t xml:space="preserve">, a la parte </w:t>
      </w:r>
      <w:r w:rsidRPr="00640860">
        <w:rPr>
          <w:rFonts w:ascii="Palatino Linotype" w:eastAsia="Palatino Linotype" w:hAnsi="Palatino Linotype" w:cs="Palatino Linotype"/>
          <w:b/>
        </w:rPr>
        <w:t>Recurrente</w:t>
      </w:r>
      <w:r w:rsidRPr="0064086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9505D77" w14:textId="77777777" w:rsidR="00080DFD" w:rsidRPr="00640860" w:rsidRDefault="008D17B9">
      <w:pPr>
        <w:spacing w:before="240" w:after="240" w:line="360" w:lineRule="auto"/>
        <w:jc w:val="both"/>
        <w:rPr>
          <w:rFonts w:ascii="Palatino Linotype" w:eastAsia="Palatino Linotype" w:hAnsi="Palatino Linotype" w:cs="Palatino Linotype"/>
        </w:rPr>
      </w:pPr>
      <w:bookmarkStart w:id="13" w:name="_heading=h.lnxbz9" w:colFirst="0" w:colLast="0"/>
      <w:bookmarkEnd w:id="13"/>
      <w:r w:rsidRPr="0064086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VEINTIUNO DE NOVIEMBRE DE DOS MIL VEINTICUATRO, ANTE EL SECRETARIO TÉCNICO DEL PLENO ALEXIS TAPIA RAMÍREZ.</w:t>
      </w:r>
    </w:p>
    <w:p w14:paraId="4B1E9571" w14:textId="77777777" w:rsidR="00080DFD" w:rsidRPr="00640860" w:rsidRDefault="00080DFD">
      <w:pPr>
        <w:spacing w:line="360" w:lineRule="auto"/>
        <w:jc w:val="both"/>
        <w:rPr>
          <w:rFonts w:ascii="Palatino Linotype" w:eastAsia="Palatino Linotype" w:hAnsi="Palatino Linotype" w:cs="Palatino Linotype"/>
        </w:rPr>
      </w:pPr>
      <w:bookmarkStart w:id="14" w:name="_heading=h.1fob9te" w:colFirst="0" w:colLast="0"/>
      <w:bookmarkEnd w:id="14"/>
    </w:p>
    <w:p w14:paraId="6F57E983" w14:textId="77777777" w:rsidR="00080DFD" w:rsidRPr="00640860" w:rsidRDefault="00080DFD">
      <w:pPr>
        <w:rPr>
          <w:rFonts w:ascii="Palatino Linotype" w:eastAsia="Palatino Linotype" w:hAnsi="Palatino Linotype" w:cs="Palatino Linotype"/>
        </w:rPr>
      </w:pPr>
    </w:p>
    <w:p w14:paraId="1AA64226" w14:textId="77777777" w:rsidR="00080DFD" w:rsidRPr="00640860" w:rsidRDefault="00080DFD">
      <w:pPr>
        <w:rPr>
          <w:rFonts w:ascii="Palatino Linotype" w:eastAsia="Palatino Linotype" w:hAnsi="Palatino Linotype" w:cs="Palatino Linotype"/>
        </w:rPr>
      </w:pPr>
    </w:p>
    <w:p w14:paraId="77447382" w14:textId="77777777" w:rsidR="00080DFD" w:rsidRPr="00640860" w:rsidRDefault="00080DFD">
      <w:pPr>
        <w:rPr>
          <w:rFonts w:ascii="Palatino Linotype" w:eastAsia="Palatino Linotype" w:hAnsi="Palatino Linotype" w:cs="Palatino Linotype"/>
        </w:rPr>
      </w:pPr>
    </w:p>
    <w:p w14:paraId="18103BEA" w14:textId="77777777" w:rsidR="00080DFD" w:rsidRPr="00640860" w:rsidRDefault="00080DFD">
      <w:pPr>
        <w:rPr>
          <w:rFonts w:ascii="Palatino Linotype" w:eastAsia="Palatino Linotype" w:hAnsi="Palatino Linotype" w:cs="Palatino Linotype"/>
        </w:rPr>
      </w:pPr>
    </w:p>
    <w:p w14:paraId="41D732E2" w14:textId="77777777" w:rsidR="00080DFD" w:rsidRPr="00640860" w:rsidRDefault="00080DFD">
      <w:pPr>
        <w:rPr>
          <w:rFonts w:ascii="Palatino Linotype" w:eastAsia="Palatino Linotype" w:hAnsi="Palatino Linotype" w:cs="Palatino Linotype"/>
        </w:rPr>
      </w:pPr>
    </w:p>
    <w:p w14:paraId="77C7EEC0" w14:textId="77777777" w:rsidR="00080DFD" w:rsidRPr="00640860" w:rsidRDefault="00080DFD">
      <w:pPr>
        <w:rPr>
          <w:rFonts w:ascii="Palatino Linotype" w:eastAsia="Palatino Linotype" w:hAnsi="Palatino Linotype" w:cs="Palatino Linotype"/>
        </w:rPr>
      </w:pPr>
    </w:p>
    <w:p w14:paraId="4C1F361C" w14:textId="77777777" w:rsidR="00080DFD" w:rsidRPr="00640860" w:rsidRDefault="00080DFD">
      <w:pPr>
        <w:rPr>
          <w:rFonts w:ascii="Palatino Linotype" w:eastAsia="Palatino Linotype" w:hAnsi="Palatino Linotype" w:cs="Palatino Linotype"/>
        </w:rPr>
      </w:pPr>
    </w:p>
    <w:p w14:paraId="646B9B79" w14:textId="77777777" w:rsidR="00080DFD" w:rsidRPr="00640860" w:rsidRDefault="00080DFD">
      <w:pPr>
        <w:rPr>
          <w:rFonts w:ascii="Palatino Linotype" w:eastAsia="Palatino Linotype" w:hAnsi="Palatino Linotype" w:cs="Palatino Linotype"/>
        </w:rPr>
      </w:pPr>
    </w:p>
    <w:p w14:paraId="0F385FDB" w14:textId="77777777" w:rsidR="00080DFD" w:rsidRPr="00640860" w:rsidRDefault="00080DFD">
      <w:pPr>
        <w:rPr>
          <w:rFonts w:ascii="Palatino Linotype" w:eastAsia="Palatino Linotype" w:hAnsi="Palatino Linotype" w:cs="Palatino Linotype"/>
        </w:rPr>
      </w:pPr>
    </w:p>
    <w:p w14:paraId="00C20172" w14:textId="77777777" w:rsidR="00080DFD" w:rsidRPr="00640860" w:rsidRDefault="00080DFD">
      <w:pPr>
        <w:spacing w:line="360" w:lineRule="auto"/>
        <w:jc w:val="both"/>
        <w:rPr>
          <w:rFonts w:ascii="Palatino Linotype" w:eastAsia="Palatino Linotype" w:hAnsi="Palatino Linotype" w:cs="Palatino Linotype"/>
        </w:rPr>
      </w:pPr>
      <w:bookmarkStart w:id="15" w:name="_heading=h.3rdcrjn" w:colFirst="0" w:colLast="0"/>
      <w:bookmarkEnd w:id="15"/>
    </w:p>
    <w:p w14:paraId="2DBE1E53" w14:textId="77777777" w:rsidR="00080DFD" w:rsidRPr="00640860" w:rsidRDefault="00080DFD">
      <w:pPr>
        <w:spacing w:line="360" w:lineRule="auto"/>
        <w:jc w:val="both"/>
        <w:rPr>
          <w:rFonts w:ascii="Palatino Linotype" w:eastAsia="Palatino Linotype" w:hAnsi="Palatino Linotype" w:cs="Palatino Linotype"/>
        </w:rPr>
      </w:pPr>
    </w:p>
    <w:p w14:paraId="719E1A8F" w14:textId="77777777" w:rsidR="00080DFD" w:rsidRPr="00640860" w:rsidRDefault="00080DFD">
      <w:pPr>
        <w:spacing w:line="360" w:lineRule="auto"/>
        <w:jc w:val="both"/>
        <w:rPr>
          <w:rFonts w:ascii="Palatino Linotype" w:eastAsia="Palatino Linotype" w:hAnsi="Palatino Linotype" w:cs="Palatino Linotype"/>
        </w:rPr>
      </w:pPr>
    </w:p>
    <w:p w14:paraId="596DE56F" w14:textId="77777777" w:rsidR="00080DFD" w:rsidRPr="00640860" w:rsidRDefault="00080DFD">
      <w:pPr>
        <w:spacing w:line="360" w:lineRule="auto"/>
        <w:jc w:val="both"/>
        <w:rPr>
          <w:rFonts w:ascii="Palatino Linotype" w:eastAsia="Palatino Linotype" w:hAnsi="Palatino Linotype" w:cs="Palatino Linotype"/>
        </w:rPr>
      </w:pPr>
      <w:bookmarkStart w:id="16" w:name="_heading=h.1t3h5sf" w:colFirst="0" w:colLast="0"/>
      <w:bookmarkEnd w:id="16"/>
    </w:p>
    <w:p w14:paraId="6807B0C2" w14:textId="77777777" w:rsidR="00080DFD" w:rsidRPr="00640860" w:rsidRDefault="00080DFD">
      <w:pPr>
        <w:spacing w:line="360" w:lineRule="auto"/>
        <w:jc w:val="both"/>
        <w:rPr>
          <w:rFonts w:ascii="Palatino Linotype" w:eastAsia="Palatino Linotype" w:hAnsi="Palatino Linotype" w:cs="Palatino Linotype"/>
        </w:rPr>
      </w:pPr>
    </w:p>
    <w:p w14:paraId="0A14EFBA" w14:textId="77777777" w:rsidR="00080DFD" w:rsidRPr="00640860" w:rsidRDefault="00080DFD">
      <w:pPr>
        <w:spacing w:line="360" w:lineRule="auto"/>
        <w:jc w:val="both"/>
        <w:rPr>
          <w:rFonts w:ascii="Palatino Linotype" w:eastAsia="Palatino Linotype" w:hAnsi="Palatino Linotype" w:cs="Palatino Linotype"/>
        </w:rPr>
      </w:pPr>
    </w:p>
    <w:p w14:paraId="603D5F9A" w14:textId="77777777" w:rsidR="00080DFD" w:rsidRPr="00640860" w:rsidRDefault="00080DFD">
      <w:pPr>
        <w:spacing w:line="360" w:lineRule="auto"/>
        <w:jc w:val="both"/>
        <w:rPr>
          <w:rFonts w:ascii="Palatino Linotype" w:eastAsia="Palatino Linotype" w:hAnsi="Palatino Linotype" w:cs="Palatino Linotype"/>
        </w:rPr>
      </w:pPr>
    </w:p>
    <w:p w14:paraId="2D897728" w14:textId="77777777" w:rsidR="00080DFD" w:rsidRPr="00640860" w:rsidRDefault="00080DFD">
      <w:pPr>
        <w:spacing w:line="360" w:lineRule="auto"/>
        <w:jc w:val="both"/>
        <w:rPr>
          <w:rFonts w:ascii="Palatino Linotype" w:eastAsia="Palatino Linotype" w:hAnsi="Palatino Linotype" w:cs="Palatino Linotype"/>
        </w:rPr>
      </w:pPr>
    </w:p>
    <w:p w14:paraId="0DACF5B4" w14:textId="77777777" w:rsidR="00080DFD" w:rsidRPr="00640860" w:rsidRDefault="00080DFD">
      <w:pPr>
        <w:spacing w:line="360" w:lineRule="auto"/>
        <w:jc w:val="both"/>
        <w:rPr>
          <w:rFonts w:ascii="Palatino Linotype" w:eastAsia="Palatino Linotype" w:hAnsi="Palatino Linotype" w:cs="Palatino Linotype"/>
        </w:rPr>
      </w:pPr>
    </w:p>
    <w:p w14:paraId="3F5AA866" w14:textId="77777777" w:rsidR="00080DFD" w:rsidRPr="00640860" w:rsidRDefault="00080DFD">
      <w:pPr>
        <w:spacing w:line="360" w:lineRule="auto"/>
        <w:jc w:val="both"/>
        <w:rPr>
          <w:rFonts w:ascii="Palatino Linotype" w:eastAsia="Palatino Linotype" w:hAnsi="Palatino Linotype" w:cs="Palatino Linotype"/>
        </w:rPr>
      </w:pPr>
    </w:p>
    <w:p w14:paraId="13FB18C4" w14:textId="77777777" w:rsidR="00080DFD" w:rsidRPr="00640860" w:rsidRDefault="00080DFD">
      <w:pPr>
        <w:spacing w:line="360" w:lineRule="auto"/>
        <w:jc w:val="both"/>
        <w:rPr>
          <w:rFonts w:ascii="Palatino Linotype" w:eastAsia="Palatino Linotype" w:hAnsi="Palatino Linotype" w:cs="Palatino Linotype"/>
        </w:rPr>
      </w:pPr>
    </w:p>
    <w:p w14:paraId="22F1C42A" w14:textId="77777777" w:rsidR="00080DFD" w:rsidRPr="00640860" w:rsidRDefault="00080DFD">
      <w:pPr>
        <w:spacing w:line="360" w:lineRule="auto"/>
        <w:jc w:val="both"/>
        <w:rPr>
          <w:rFonts w:ascii="Palatino Linotype" w:eastAsia="Palatino Linotype" w:hAnsi="Palatino Linotype" w:cs="Palatino Linotype"/>
        </w:rPr>
      </w:pPr>
    </w:p>
    <w:p w14:paraId="2FFF3223" w14:textId="77777777" w:rsidR="00080DFD" w:rsidRPr="00640860" w:rsidRDefault="00080DFD">
      <w:pPr>
        <w:spacing w:line="360" w:lineRule="auto"/>
        <w:jc w:val="both"/>
        <w:rPr>
          <w:rFonts w:ascii="Palatino Linotype" w:eastAsia="Palatino Linotype" w:hAnsi="Palatino Linotype" w:cs="Palatino Linotype"/>
        </w:rPr>
      </w:pPr>
    </w:p>
    <w:p w14:paraId="6C332900" w14:textId="77777777" w:rsidR="00080DFD" w:rsidRPr="00640860" w:rsidRDefault="00080DFD">
      <w:pPr>
        <w:spacing w:line="360" w:lineRule="auto"/>
        <w:jc w:val="both"/>
        <w:rPr>
          <w:rFonts w:ascii="Palatino Linotype" w:eastAsia="Palatino Linotype" w:hAnsi="Palatino Linotype" w:cs="Palatino Linotype"/>
        </w:rPr>
      </w:pPr>
    </w:p>
    <w:p w14:paraId="01B8DF5D" w14:textId="77777777" w:rsidR="00080DFD" w:rsidRPr="00640860" w:rsidRDefault="00080DFD">
      <w:pPr>
        <w:spacing w:line="360" w:lineRule="auto"/>
        <w:jc w:val="both"/>
        <w:rPr>
          <w:rFonts w:ascii="Palatino Linotype" w:eastAsia="Palatino Linotype" w:hAnsi="Palatino Linotype" w:cs="Palatino Linotype"/>
        </w:rPr>
      </w:pPr>
    </w:p>
    <w:p w14:paraId="2C5D97BA" w14:textId="77777777" w:rsidR="00080DFD" w:rsidRPr="00640860" w:rsidRDefault="00080DFD">
      <w:pPr>
        <w:spacing w:line="360" w:lineRule="auto"/>
        <w:jc w:val="both"/>
        <w:rPr>
          <w:rFonts w:ascii="Palatino Linotype" w:eastAsia="Palatino Linotype" w:hAnsi="Palatino Linotype" w:cs="Palatino Linotype"/>
        </w:rPr>
      </w:pPr>
    </w:p>
    <w:p w14:paraId="1D92831B" w14:textId="77777777" w:rsidR="00080DFD" w:rsidRPr="00640860" w:rsidRDefault="00080DFD">
      <w:pPr>
        <w:spacing w:line="360" w:lineRule="auto"/>
        <w:jc w:val="both"/>
        <w:rPr>
          <w:rFonts w:ascii="Palatino Linotype" w:eastAsia="Palatino Linotype" w:hAnsi="Palatino Linotype" w:cs="Palatino Linotype"/>
        </w:rPr>
      </w:pPr>
    </w:p>
    <w:sectPr w:rsidR="00080DFD" w:rsidRPr="00640860">
      <w:headerReference w:type="default" r:id="rId29"/>
      <w:footerReference w:type="default" r:id="rId30"/>
      <w:headerReference w:type="first" r:id="rId31"/>
      <w:foot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C8E9E" w14:textId="77777777" w:rsidR="00764A93" w:rsidRDefault="00764A93">
      <w:r>
        <w:separator/>
      </w:r>
    </w:p>
  </w:endnote>
  <w:endnote w:type="continuationSeparator" w:id="0">
    <w:p w14:paraId="625F0FCA" w14:textId="77777777" w:rsidR="00764A93" w:rsidRDefault="00764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1CEC8" w14:textId="77777777" w:rsidR="00080DFD" w:rsidRDefault="008D17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70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72</w:t>
    </w:r>
    <w:r>
      <w:rPr>
        <w:rFonts w:ascii="Palatino Linotype" w:eastAsia="Palatino Linotype" w:hAnsi="Palatino Linotype" w:cs="Palatino Linotype"/>
        <w:b/>
        <w:color w:val="000000"/>
        <w:sz w:val="20"/>
        <w:szCs w:val="20"/>
      </w:rPr>
      <w:fldChar w:fldCharType="end"/>
    </w:r>
  </w:p>
  <w:p w14:paraId="28F6A487" w14:textId="77777777" w:rsidR="00080DFD" w:rsidRDefault="00080DF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1C431" w14:textId="77777777" w:rsidR="00080DFD" w:rsidRDefault="008D17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72</w:t>
    </w:r>
    <w:r>
      <w:rPr>
        <w:rFonts w:ascii="Palatino Linotype" w:eastAsia="Palatino Linotype" w:hAnsi="Palatino Linotype" w:cs="Palatino Linotype"/>
        <w:b/>
        <w:color w:val="000000"/>
        <w:sz w:val="20"/>
        <w:szCs w:val="20"/>
      </w:rPr>
      <w:fldChar w:fldCharType="end"/>
    </w:r>
  </w:p>
  <w:p w14:paraId="38B0747A" w14:textId="77777777" w:rsidR="00080DFD" w:rsidRDefault="00080DF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BAE16" w14:textId="77777777" w:rsidR="00764A93" w:rsidRDefault="00764A93">
      <w:r>
        <w:separator/>
      </w:r>
    </w:p>
  </w:footnote>
  <w:footnote w:type="continuationSeparator" w:id="0">
    <w:p w14:paraId="2A86B645" w14:textId="77777777" w:rsidR="00764A93" w:rsidRDefault="00764A93">
      <w:r>
        <w:continuationSeparator/>
      </w:r>
    </w:p>
  </w:footnote>
  <w:footnote w:id="1">
    <w:p w14:paraId="13E5DEA3" w14:textId="77777777" w:rsidR="00080DFD" w:rsidRDefault="008D17B9">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628C" w14:textId="77777777" w:rsidR="00080DFD" w:rsidRDefault="008D17B9">
    <w:pPr>
      <w:rPr>
        <w:rFonts w:ascii="Cambria" w:eastAsia="Cambria" w:hAnsi="Cambria" w:cs="Cambria"/>
        <w:color w:val="000000"/>
      </w:rPr>
    </w:pPr>
    <w:r>
      <w:rPr>
        <w:noProof/>
      </w:rPr>
      <w:drawing>
        <wp:anchor distT="0" distB="0" distL="0" distR="0" simplePos="0" relativeHeight="251658240" behindDoc="1" locked="0" layoutInCell="1" hidden="0" allowOverlap="1" wp14:anchorId="44395FF3" wp14:editId="6822D8A6">
          <wp:simplePos x="0" y="0"/>
          <wp:positionH relativeFrom="column">
            <wp:posOffset>-1080103</wp:posOffset>
          </wp:positionH>
          <wp:positionV relativeFrom="paragraph">
            <wp:posOffset>-488278</wp:posOffset>
          </wp:positionV>
          <wp:extent cx="7809865" cy="10165715"/>
          <wp:effectExtent l="0" t="0" r="0" b="0"/>
          <wp:wrapNone/>
          <wp:docPr id="21401318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489"/>
      <w:gridCol w:w="3464"/>
    </w:tblGrid>
    <w:tr w:rsidR="00080DFD" w14:paraId="3F8C8F25" w14:textId="77777777">
      <w:tc>
        <w:tcPr>
          <w:tcW w:w="2489" w:type="dxa"/>
          <w:shd w:val="clear" w:color="auto" w:fill="auto"/>
        </w:tcPr>
        <w:p w14:paraId="2E3D9B6F" w14:textId="77777777" w:rsidR="00080DFD" w:rsidRDefault="008D17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C80AD7F" w14:textId="77777777" w:rsidR="00080DFD" w:rsidRDefault="008D17B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06094/INFOEM/IP/RR/2024</w:t>
          </w:r>
        </w:p>
      </w:tc>
    </w:tr>
    <w:tr w:rsidR="00080DFD" w14:paraId="50AAEBDD" w14:textId="77777777">
      <w:trPr>
        <w:trHeight w:val="228"/>
      </w:trPr>
      <w:tc>
        <w:tcPr>
          <w:tcW w:w="2489" w:type="dxa"/>
          <w:shd w:val="clear" w:color="auto" w:fill="auto"/>
          <w:vAlign w:val="center"/>
        </w:tcPr>
        <w:p w14:paraId="0E5C4627" w14:textId="77777777" w:rsidR="00080DFD" w:rsidRDefault="008D17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4FBF321" w14:textId="77777777" w:rsidR="00080DFD" w:rsidRDefault="008D17B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del Agua del Estado de México</w:t>
          </w:r>
        </w:p>
      </w:tc>
    </w:tr>
    <w:tr w:rsidR="00080DFD" w14:paraId="51F3504D" w14:textId="77777777">
      <w:tc>
        <w:tcPr>
          <w:tcW w:w="2489" w:type="dxa"/>
          <w:shd w:val="clear" w:color="auto" w:fill="auto"/>
          <w:vAlign w:val="center"/>
        </w:tcPr>
        <w:p w14:paraId="482763F0" w14:textId="77777777" w:rsidR="00080DFD" w:rsidRDefault="008D17B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A31C22F" w14:textId="77777777" w:rsidR="00080DFD" w:rsidRDefault="008D17B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E5C81E5" w14:textId="77777777" w:rsidR="00080DFD" w:rsidRDefault="008D17B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AF61" w14:textId="77777777" w:rsidR="00080DFD" w:rsidRDefault="008D17B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1BDE3D50" wp14:editId="37E2D3D8">
          <wp:simplePos x="0" y="0"/>
          <wp:positionH relativeFrom="column">
            <wp:posOffset>-1080129</wp:posOffset>
          </wp:positionH>
          <wp:positionV relativeFrom="paragraph">
            <wp:posOffset>-369905</wp:posOffset>
          </wp:positionV>
          <wp:extent cx="7809865" cy="10165715"/>
          <wp:effectExtent l="0" t="0" r="0" b="0"/>
          <wp:wrapNone/>
          <wp:docPr id="21401318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953" w:type="dxa"/>
      <w:tblInd w:w="3261" w:type="dxa"/>
      <w:tblLayout w:type="fixed"/>
      <w:tblLook w:val="0400" w:firstRow="0" w:lastRow="0" w:firstColumn="0" w:lastColumn="0" w:noHBand="0" w:noVBand="1"/>
    </w:tblPr>
    <w:tblGrid>
      <w:gridCol w:w="2489"/>
      <w:gridCol w:w="3464"/>
    </w:tblGrid>
    <w:tr w:rsidR="00080DFD" w14:paraId="359C3C7C" w14:textId="77777777">
      <w:tc>
        <w:tcPr>
          <w:tcW w:w="2489" w:type="dxa"/>
          <w:shd w:val="clear" w:color="auto" w:fill="auto"/>
        </w:tcPr>
        <w:p w14:paraId="7C822355" w14:textId="77777777" w:rsidR="00080DFD" w:rsidRDefault="008D17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79260E7" w14:textId="77777777" w:rsidR="00080DFD" w:rsidRDefault="008D17B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06094/INFOEM/IP/RR/2024</w:t>
          </w:r>
        </w:p>
      </w:tc>
    </w:tr>
    <w:tr w:rsidR="00080DFD" w14:paraId="432E7895" w14:textId="77777777">
      <w:tc>
        <w:tcPr>
          <w:tcW w:w="2489" w:type="dxa"/>
          <w:shd w:val="clear" w:color="auto" w:fill="auto"/>
        </w:tcPr>
        <w:p w14:paraId="45C92E39" w14:textId="77777777" w:rsidR="00080DFD" w:rsidRDefault="008D17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51FF1DFE" w14:textId="77777777" w:rsidR="00080DFD" w:rsidRDefault="00080DFD">
          <w:pPr>
            <w:ind w:right="175"/>
            <w:jc w:val="both"/>
            <w:rPr>
              <w:rFonts w:ascii="Palatino Linotype" w:eastAsia="Palatino Linotype" w:hAnsi="Palatino Linotype" w:cs="Palatino Linotype"/>
              <w:b/>
              <w:sz w:val="22"/>
              <w:szCs w:val="22"/>
            </w:rPr>
          </w:pPr>
        </w:p>
      </w:tc>
    </w:tr>
    <w:tr w:rsidR="00080DFD" w14:paraId="1DAE01F9" w14:textId="77777777">
      <w:trPr>
        <w:trHeight w:val="228"/>
      </w:trPr>
      <w:tc>
        <w:tcPr>
          <w:tcW w:w="2489" w:type="dxa"/>
          <w:shd w:val="clear" w:color="auto" w:fill="auto"/>
          <w:vAlign w:val="center"/>
        </w:tcPr>
        <w:p w14:paraId="68D4C7C4" w14:textId="77777777" w:rsidR="00080DFD" w:rsidRDefault="008D17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60089A9" w14:textId="77777777" w:rsidR="00080DFD" w:rsidRDefault="008D17B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del Agua del Estado de México</w:t>
          </w:r>
        </w:p>
      </w:tc>
    </w:tr>
    <w:tr w:rsidR="00080DFD" w14:paraId="7BDFA15A" w14:textId="77777777">
      <w:tc>
        <w:tcPr>
          <w:tcW w:w="2489" w:type="dxa"/>
          <w:shd w:val="clear" w:color="auto" w:fill="auto"/>
          <w:vAlign w:val="center"/>
        </w:tcPr>
        <w:p w14:paraId="378E5E50" w14:textId="77777777" w:rsidR="00080DFD" w:rsidRDefault="008D17B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BC4E705" w14:textId="77777777" w:rsidR="00080DFD" w:rsidRDefault="008D17B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D3DE152" w14:textId="77777777" w:rsidR="00080DFD" w:rsidRDefault="00080D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AB7E7B"/>
    <w:multiLevelType w:val="multilevel"/>
    <w:tmpl w:val="27F657E2"/>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7B2A52AE"/>
    <w:multiLevelType w:val="multilevel"/>
    <w:tmpl w:val="519682A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DFD"/>
    <w:rsid w:val="00080DFD"/>
    <w:rsid w:val="000D0247"/>
    <w:rsid w:val="00370980"/>
    <w:rsid w:val="00640860"/>
    <w:rsid w:val="00751A05"/>
    <w:rsid w:val="00764A93"/>
    <w:rsid w:val="008949AC"/>
    <w:rsid w:val="008D17B9"/>
    <w:rsid w:val="009D2058"/>
    <w:rsid w:val="00E37A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6F093"/>
  <w15:docId w15:val="{8D42EAE1-C3AE-4774-B5BD-C53740DF1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171"/>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character" w:customStyle="1" w:styleId="object">
    <w:name w:val="object"/>
    <w:basedOn w:val="Fuentedeprrafopredeter"/>
    <w:rsid w:val="003E1B7B"/>
  </w:style>
  <w:style w:type="character" w:styleId="Textoennegrita">
    <w:name w:val="Strong"/>
    <w:basedOn w:val="Fuentedeprrafopredeter"/>
    <w:uiPriority w:val="22"/>
    <w:qFormat/>
    <w:rsid w:val="003E1B7B"/>
    <w:rPr>
      <w:b/>
      <w:bCs/>
    </w:r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576276"/>
    <w:rPr>
      <w:color w:val="605E5C"/>
      <w:shd w:val="clear" w:color="auto" w:fill="E1DFDD"/>
    </w:rPr>
  </w:style>
  <w:style w:type="paragraph" w:styleId="Textoindependiente">
    <w:name w:val="Body Text"/>
    <w:basedOn w:val="Normal"/>
    <w:link w:val="TextoindependienteCar"/>
    <w:uiPriority w:val="1"/>
    <w:qFormat/>
    <w:rsid w:val="001E4A02"/>
    <w:pPr>
      <w:widowControl w:val="0"/>
      <w:autoSpaceDE w:val="0"/>
      <w:autoSpaceDN w:val="0"/>
    </w:pPr>
    <w:rPr>
      <w:rFonts w:ascii="Arial" w:eastAsia="Arial" w:hAnsi="Arial" w:cs="Arial"/>
      <w:sz w:val="19"/>
      <w:szCs w:val="19"/>
      <w:lang w:val="es-ES" w:eastAsia="en-US"/>
    </w:rPr>
  </w:style>
  <w:style w:type="character" w:customStyle="1" w:styleId="TextoindependienteCar">
    <w:name w:val="Texto independiente Car"/>
    <w:basedOn w:val="Fuentedeprrafopredeter"/>
    <w:link w:val="Textoindependiente"/>
    <w:uiPriority w:val="1"/>
    <w:rsid w:val="001E4A02"/>
    <w:rPr>
      <w:rFonts w:ascii="Arial" w:eastAsia="Arial" w:hAnsi="Arial" w:cs="Arial"/>
      <w:sz w:val="19"/>
      <w:szCs w:val="19"/>
      <w:lang w:val="es-ES" w:eastAsia="en-US"/>
    </w:r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2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22.png"/><Relationship Id="rId27" Type="http://schemas.openxmlformats.org/officeDocument/2006/relationships/image" Target="media/image14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amqwjOVGJo3HL9h0QLp8NTc3Yg==">CgMxLjAyCWguNGQzNG9nODIIaC5namRneHMyCWguM2R5NnZrbTIJaC4zMGowemxsMgloLjJzOGV5bzEyCGgudHlqY3d0MgloLjN6bnlzaDcyCWguNDRzaW5pbzIIaC56MzM3eWEyCWguMmV0OTJwMDIJaC4zajJxcW0zMgloLjI2aW4xcmcyCWguMTdkcDh2dTIIaC5sbnhiejkyCWguMWZvYjl0ZTIJaC4zcmRjcmpuMgloLjF0M2g1c2Y4AHIhMWdkTmlaWEV2MmRCYk01MkFkMEJQaGRwb2FOb1NXVW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18188</Words>
  <Characters>100034</Characters>
  <Application>Microsoft Office Word</Application>
  <DocSecurity>0</DocSecurity>
  <Lines>833</Lines>
  <Paragraphs>235</Paragraphs>
  <ScaleCrop>false</ScaleCrop>
  <Company>HP Inc.</Company>
  <LinksUpToDate>false</LinksUpToDate>
  <CharactersWithSpaces>117987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2024-11-25T18:03:00Z</cp:lastPrinted>
  <dcterms:created xsi:type="dcterms:W3CDTF">2024-12-04T22:23:00Z</dcterms:created>
  <dcterms:modified xsi:type="dcterms:W3CDTF">2024-12-04T22:23:00Z</dcterms:modified>
</cp:coreProperties>
</file>