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A47593" w:rsidRDefault="00AE3DA7" w:rsidP="00A47593">
          <w:pPr>
            <w:pStyle w:val="TtulodeTDC"/>
            <w:spacing w:before="0" w:line="240" w:lineRule="auto"/>
            <w:rPr>
              <w:rFonts w:ascii="Palatino Linotype" w:hAnsi="Palatino Linotype"/>
              <w:color w:val="auto"/>
              <w:sz w:val="24"/>
              <w:szCs w:val="24"/>
              <w:lang w:val="es-ES"/>
            </w:rPr>
          </w:pPr>
          <w:r w:rsidRPr="00A47593">
            <w:rPr>
              <w:rFonts w:ascii="Palatino Linotype" w:hAnsi="Palatino Linotype"/>
              <w:color w:val="auto"/>
              <w:sz w:val="24"/>
              <w:szCs w:val="24"/>
              <w:lang w:val="es-ES"/>
            </w:rPr>
            <w:t>Contenido</w:t>
          </w:r>
        </w:p>
        <w:p w14:paraId="3EB312A7" w14:textId="77777777" w:rsidR="00AA6EA9" w:rsidRPr="00A47593" w:rsidRDefault="00AA6EA9" w:rsidP="00A47593">
          <w:pPr>
            <w:spacing w:line="240" w:lineRule="auto"/>
            <w:rPr>
              <w:sz w:val="16"/>
              <w:szCs w:val="16"/>
              <w:lang w:val="es-ES" w:eastAsia="es-MX"/>
            </w:rPr>
          </w:pPr>
        </w:p>
        <w:p w14:paraId="61118D19" w14:textId="77777777" w:rsidR="00A47593" w:rsidRPr="00A47593" w:rsidRDefault="00AE3DA7" w:rsidP="00A47593">
          <w:pPr>
            <w:pStyle w:val="TDC1"/>
            <w:tabs>
              <w:tab w:val="right" w:leader="dot" w:pos="9034"/>
            </w:tabs>
            <w:rPr>
              <w:rFonts w:asciiTheme="minorHAnsi" w:eastAsiaTheme="minorEastAsia" w:hAnsiTheme="minorHAnsi" w:cstheme="minorBidi"/>
              <w:noProof/>
              <w:szCs w:val="22"/>
              <w:lang w:eastAsia="es-MX"/>
            </w:rPr>
          </w:pPr>
          <w:r w:rsidRPr="00A47593">
            <w:rPr>
              <w:sz w:val="16"/>
              <w:szCs w:val="16"/>
            </w:rPr>
            <w:fldChar w:fldCharType="begin"/>
          </w:r>
          <w:r w:rsidRPr="00A47593">
            <w:rPr>
              <w:sz w:val="16"/>
              <w:szCs w:val="16"/>
            </w:rPr>
            <w:instrText xml:space="preserve"> TOC \o "1-3" \h \z \u </w:instrText>
          </w:r>
          <w:r w:rsidRPr="00A47593">
            <w:rPr>
              <w:sz w:val="16"/>
              <w:szCs w:val="16"/>
            </w:rPr>
            <w:fldChar w:fldCharType="separate"/>
          </w:r>
          <w:hyperlink w:anchor="_Toc179394844" w:history="1">
            <w:r w:rsidR="00A47593" w:rsidRPr="00A47593">
              <w:rPr>
                <w:rStyle w:val="Hipervnculo"/>
                <w:noProof/>
                <w:color w:val="auto"/>
              </w:rPr>
              <w:t>ANTECEDENTES</w:t>
            </w:r>
            <w:r w:rsidR="00A47593" w:rsidRPr="00A47593">
              <w:rPr>
                <w:noProof/>
                <w:webHidden/>
              </w:rPr>
              <w:tab/>
            </w:r>
            <w:r w:rsidR="00A47593" w:rsidRPr="00A47593">
              <w:rPr>
                <w:noProof/>
                <w:webHidden/>
              </w:rPr>
              <w:fldChar w:fldCharType="begin"/>
            </w:r>
            <w:r w:rsidR="00A47593" w:rsidRPr="00A47593">
              <w:rPr>
                <w:noProof/>
                <w:webHidden/>
              </w:rPr>
              <w:instrText xml:space="preserve"> PAGEREF _Toc179394844 \h </w:instrText>
            </w:r>
            <w:r w:rsidR="00A47593" w:rsidRPr="00A47593">
              <w:rPr>
                <w:noProof/>
                <w:webHidden/>
              </w:rPr>
            </w:r>
            <w:r w:rsidR="00A47593" w:rsidRPr="00A47593">
              <w:rPr>
                <w:noProof/>
                <w:webHidden/>
              </w:rPr>
              <w:fldChar w:fldCharType="separate"/>
            </w:r>
            <w:r w:rsidR="00070ED3">
              <w:rPr>
                <w:noProof/>
                <w:webHidden/>
              </w:rPr>
              <w:t>1</w:t>
            </w:r>
            <w:r w:rsidR="00A47593" w:rsidRPr="00A47593">
              <w:rPr>
                <w:noProof/>
                <w:webHidden/>
              </w:rPr>
              <w:fldChar w:fldCharType="end"/>
            </w:r>
          </w:hyperlink>
        </w:p>
        <w:p w14:paraId="795ED883" w14:textId="77777777" w:rsidR="00A47593" w:rsidRPr="00A47593" w:rsidRDefault="00D67B89" w:rsidP="00A47593">
          <w:pPr>
            <w:pStyle w:val="TDC2"/>
            <w:rPr>
              <w:rFonts w:asciiTheme="minorHAnsi" w:eastAsiaTheme="minorEastAsia" w:hAnsiTheme="minorHAnsi" w:cstheme="minorBidi"/>
              <w:noProof/>
              <w:szCs w:val="22"/>
              <w:lang w:eastAsia="es-MX"/>
            </w:rPr>
          </w:pPr>
          <w:hyperlink w:anchor="_Toc179394845" w:history="1">
            <w:r w:rsidR="00A47593" w:rsidRPr="00A47593">
              <w:rPr>
                <w:rStyle w:val="Hipervnculo"/>
                <w:noProof/>
                <w:color w:val="auto"/>
              </w:rPr>
              <w:t>DE LA SOLICITUD DE INFORMACIÓN</w:t>
            </w:r>
            <w:r w:rsidR="00A47593" w:rsidRPr="00A47593">
              <w:rPr>
                <w:noProof/>
                <w:webHidden/>
              </w:rPr>
              <w:tab/>
            </w:r>
            <w:r w:rsidR="00A47593" w:rsidRPr="00A47593">
              <w:rPr>
                <w:noProof/>
                <w:webHidden/>
              </w:rPr>
              <w:fldChar w:fldCharType="begin"/>
            </w:r>
            <w:r w:rsidR="00A47593" w:rsidRPr="00A47593">
              <w:rPr>
                <w:noProof/>
                <w:webHidden/>
              </w:rPr>
              <w:instrText xml:space="preserve"> PAGEREF _Toc179394845 \h </w:instrText>
            </w:r>
            <w:r w:rsidR="00A47593" w:rsidRPr="00A47593">
              <w:rPr>
                <w:noProof/>
                <w:webHidden/>
              </w:rPr>
            </w:r>
            <w:r w:rsidR="00A47593" w:rsidRPr="00A47593">
              <w:rPr>
                <w:noProof/>
                <w:webHidden/>
              </w:rPr>
              <w:fldChar w:fldCharType="separate"/>
            </w:r>
            <w:r w:rsidR="00070ED3">
              <w:rPr>
                <w:noProof/>
                <w:webHidden/>
              </w:rPr>
              <w:t>1</w:t>
            </w:r>
            <w:r w:rsidR="00A47593" w:rsidRPr="00A47593">
              <w:rPr>
                <w:noProof/>
                <w:webHidden/>
              </w:rPr>
              <w:fldChar w:fldCharType="end"/>
            </w:r>
          </w:hyperlink>
        </w:p>
        <w:p w14:paraId="46A51107" w14:textId="77777777" w:rsidR="00A47593" w:rsidRPr="00A47593" w:rsidRDefault="00D67B89" w:rsidP="00A47593">
          <w:pPr>
            <w:pStyle w:val="TDC3"/>
            <w:rPr>
              <w:rFonts w:asciiTheme="minorHAnsi" w:eastAsiaTheme="minorEastAsia" w:hAnsiTheme="minorHAnsi" w:cstheme="minorBidi"/>
              <w:noProof/>
              <w:szCs w:val="22"/>
              <w:lang w:eastAsia="es-MX"/>
            </w:rPr>
          </w:pPr>
          <w:hyperlink w:anchor="_Toc179394846" w:history="1">
            <w:r w:rsidR="00A47593" w:rsidRPr="00A47593">
              <w:rPr>
                <w:rStyle w:val="Hipervnculo"/>
                <w:noProof/>
                <w:color w:val="auto"/>
              </w:rPr>
              <w:t>a) Solicitud de información</w:t>
            </w:r>
            <w:r w:rsidR="00A47593" w:rsidRPr="00A47593">
              <w:rPr>
                <w:noProof/>
                <w:webHidden/>
              </w:rPr>
              <w:tab/>
            </w:r>
            <w:r w:rsidR="00A47593" w:rsidRPr="00A47593">
              <w:rPr>
                <w:noProof/>
                <w:webHidden/>
              </w:rPr>
              <w:fldChar w:fldCharType="begin"/>
            </w:r>
            <w:r w:rsidR="00A47593" w:rsidRPr="00A47593">
              <w:rPr>
                <w:noProof/>
                <w:webHidden/>
              </w:rPr>
              <w:instrText xml:space="preserve"> PAGEREF _Toc179394846 \h </w:instrText>
            </w:r>
            <w:r w:rsidR="00A47593" w:rsidRPr="00A47593">
              <w:rPr>
                <w:noProof/>
                <w:webHidden/>
              </w:rPr>
            </w:r>
            <w:r w:rsidR="00A47593" w:rsidRPr="00A47593">
              <w:rPr>
                <w:noProof/>
                <w:webHidden/>
              </w:rPr>
              <w:fldChar w:fldCharType="separate"/>
            </w:r>
            <w:r w:rsidR="00070ED3">
              <w:rPr>
                <w:noProof/>
                <w:webHidden/>
              </w:rPr>
              <w:t>1</w:t>
            </w:r>
            <w:r w:rsidR="00A47593" w:rsidRPr="00A47593">
              <w:rPr>
                <w:noProof/>
                <w:webHidden/>
              </w:rPr>
              <w:fldChar w:fldCharType="end"/>
            </w:r>
          </w:hyperlink>
        </w:p>
        <w:p w14:paraId="458B01B3" w14:textId="77777777" w:rsidR="00A47593" w:rsidRPr="00A47593" w:rsidRDefault="00D67B89" w:rsidP="00A47593">
          <w:pPr>
            <w:pStyle w:val="TDC3"/>
            <w:rPr>
              <w:rFonts w:asciiTheme="minorHAnsi" w:eastAsiaTheme="minorEastAsia" w:hAnsiTheme="minorHAnsi" w:cstheme="minorBidi"/>
              <w:noProof/>
              <w:szCs w:val="22"/>
              <w:lang w:eastAsia="es-MX"/>
            </w:rPr>
          </w:pPr>
          <w:hyperlink w:anchor="_Toc179394847" w:history="1">
            <w:r w:rsidR="00A47593" w:rsidRPr="00A47593">
              <w:rPr>
                <w:rStyle w:val="Hipervnculo"/>
                <w:noProof/>
                <w:color w:val="auto"/>
              </w:rPr>
              <w:t>b) Turno de la solicitud de información</w:t>
            </w:r>
            <w:r w:rsidR="00A47593" w:rsidRPr="00A47593">
              <w:rPr>
                <w:noProof/>
                <w:webHidden/>
              </w:rPr>
              <w:tab/>
            </w:r>
            <w:r w:rsidR="00A47593" w:rsidRPr="00A47593">
              <w:rPr>
                <w:noProof/>
                <w:webHidden/>
              </w:rPr>
              <w:fldChar w:fldCharType="begin"/>
            </w:r>
            <w:r w:rsidR="00A47593" w:rsidRPr="00A47593">
              <w:rPr>
                <w:noProof/>
                <w:webHidden/>
              </w:rPr>
              <w:instrText xml:space="preserve"> PAGEREF _Toc179394847 \h </w:instrText>
            </w:r>
            <w:r w:rsidR="00A47593" w:rsidRPr="00A47593">
              <w:rPr>
                <w:noProof/>
                <w:webHidden/>
              </w:rPr>
            </w:r>
            <w:r w:rsidR="00A47593" w:rsidRPr="00A47593">
              <w:rPr>
                <w:noProof/>
                <w:webHidden/>
              </w:rPr>
              <w:fldChar w:fldCharType="separate"/>
            </w:r>
            <w:r w:rsidR="00070ED3">
              <w:rPr>
                <w:noProof/>
                <w:webHidden/>
              </w:rPr>
              <w:t>2</w:t>
            </w:r>
            <w:r w:rsidR="00A47593" w:rsidRPr="00A47593">
              <w:rPr>
                <w:noProof/>
                <w:webHidden/>
              </w:rPr>
              <w:fldChar w:fldCharType="end"/>
            </w:r>
          </w:hyperlink>
        </w:p>
        <w:p w14:paraId="00CD06CC" w14:textId="77777777" w:rsidR="00A47593" w:rsidRPr="00A47593" w:rsidRDefault="00D67B89" w:rsidP="00A47593">
          <w:pPr>
            <w:pStyle w:val="TDC3"/>
            <w:rPr>
              <w:rFonts w:asciiTheme="minorHAnsi" w:eastAsiaTheme="minorEastAsia" w:hAnsiTheme="minorHAnsi" w:cstheme="minorBidi"/>
              <w:noProof/>
              <w:szCs w:val="22"/>
              <w:lang w:eastAsia="es-MX"/>
            </w:rPr>
          </w:pPr>
          <w:hyperlink w:anchor="_Toc179394848" w:history="1">
            <w:r w:rsidR="00A47593" w:rsidRPr="00A47593">
              <w:rPr>
                <w:rStyle w:val="Hipervnculo"/>
                <w:noProof/>
                <w:color w:val="auto"/>
                <w:lang w:val="es-ES"/>
              </w:rPr>
              <w:t xml:space="preserve">c) Respuesta </w:t>
            </w:r>
            <w:r w:rsidR="00A47593" w:rsidRPr="00A47593">
              <w:rPr>
                <w:rStyle w:val="Hipervnculo"/>
                <w:rFonts w:eastAsia="Calibri"/>
                <w:noProof/>
                <w:color w:val="auto"/>
                <w:lang w:eastAsia="en-US"/>
              </w:rPr>
              <w:t>del Sujeto Obligado</w:t>
            </w:r>
            <w:r w:rsidR="00A47593" w:rsidRPr="00A47593">
              <w:rPr>
                <w:noProof/>
                <w:webHidden/>
              </w:rPr>
              <w:tab/>
            </w:r>
            <w:r w:rsidR="00A47593" w:rsidRPr="00A47593">
              <w:rPr>
                <w:noProof/>
                <w:webHidden/>
              </w:rPr>
              <w:fldChar w:fldCharType="begin"/>
            </w:r>
            <w:r w:rsidR="00A47593" w:rsidRPr="00A47593">
              <w:rPr>
                <w:noProof/>
                <w:webHidden/>
              </w:rPr>
              <w:instrText xml:space="preserve"> PAGEREF _Toc179394848 \h </w:instrText>
            </w:r>
            <w:r w:rsidR="00A47593" w:rsidRPr="00A47593">
              <w:rPr>
                <w:noProof/>
                <w:webHidden/>
              </w:rPr>
            </w:r>
            <w:r w:rsidR="00A47593" w:rsidRPr="00A47593">
              <w:rPr>
                <w:noProof/>
                <w:webHidden/>
              </w:rPr>
              <w:fldChar w:fldCharType="separate"/>
            </w:r>
            <w:r w:rsidR="00070ED3">
              <w:rPr>
                <w:noProof/>
                <w:webHidden/>
              </w:rPr>
              <w:t>3</w:t>
            </w:r>
            <w:r w:rsidR="00A47593" w:rsidRPr="00A47593">
              <w:rPr>
                <w:noProof/>
                <w:webHidden/>
              </w:rPr>
              <w:fldChar w:fldCharType="end"/>
            </w:r>
          </w:hyperlink>
        </w:p>
        <w:p w14:paraId="548A809F" w14:textId="77777777" w:rsidR="00A47593" w:rsidRPr="00A47593" w:rsidRDefault="00D67B89" w:rsidP="00A47593">
          <w:pPr>
            <w:pStyle w:val="TDC2"/>
            <w:rPr>
              <w:rFonts w:asciiTheme="minorHAnsi" w:eastAsiaTheme="minorEastAsia" w:hAnsiTheme="minorHAnsi" w:cstheme="minorBidi"/>
              <w:noProof/>
              <w:szCs w:val="22"/>
              <w:lang w:eastAsia="es-MX"/>
            </w:rPr>
          </w:pPr>
          <w:hyperlink w:anchor="_Toc179394849" w:history="1">
            <w:r w:rsidR="00A47593" w:rsidRPr="00A47593">
              <w:rPr>
                <w:rStyle w:val="Hipervnculo"/>
                <w:noProof/>
                <w:color w:val="auto"/>
              </w:rPr>
              <w:t>DEL RECURSO DE REVISIÓN</w:t>
            </w:r>
            <w:r w:rsidR="00A47593" w:rsidRPr="00A47593">
              <w:rPr>
                <w:noProof/>
                <w:webHidden/>
              </w:rPr>
              <w:tab/>
            </w:r>
            <w:r w:rsidR="00A47593" w:rsidRPr="00A47593">
              <w:rPr>
                <w:noProof/>
                <w:webHidden/>
              </w:rPr>
              <w:fldChar w:fldCharType="begin"/>
            </w:r>
            <w:r w:rsidR="00A47593" w:rsidRPr="00A47593">
              <w:rPr>
                <w:noProof/>
                <w:webHidden/>
              </w:rPr>
              <w:instrText xml:space="preserve"> PAGEREF _Toc179394849 \h </w:instrText>
            </w:r>
            <w:r w:rsidR="00A47593" w:rsidRPr="00A47593">
              <w:rPr>
                <w:noProof/>
                <w:webHidden/>
              </w:rPr>
            </w:r>
            <w:r w:rsidR="00A47593" w:rsidRPr="00A47593">
              <w:rPr>
                <w:noProof/>
                <w:webHidden/>
              </w:rPr>
              <w:fldChar w:fldCharType="separate"/>
            </w:r>
            <w:r w:rsidR="00070ED3">
              <w:rPr>
                <w:noProof/>
                <w:webHidden/>
              </w:rPr>
              <w:t>3</w:t>
            </w:r>
            <w:r w:rsidR="00A47593" w:rsidRPr="00A47593">
              <w:rPr>
                <w:noProof/>
                <w:webHidden/>
              </w:rPr>
              <w:fldChar w:fldCharType="end"/>
            </w:r>
          </w:hyperlink>
        </w:p>
        <w:p w14:paraId="60753CA9" w14:textId="77777777" w:rsidR="00A47593" w:rsidRPr="00A47593" w:rsidRDefault="00D67B89" w:rsidP="00A47593">
          <w:pPr>
            <w:pStyle w:val="TDC3"/>
            <w:rPr>
              <w:rFonts w:asciiTheme="minorHAnsi" w:eastAsiaTheme="minorEastAsia" w:hAnsiTheme="minorHAnsi" w:cstheme="minorBidi"/>
              <w:noProof/>
              <w:szCs w:val="22"/>
              <w:lang w:eastAsia="es-MX"/>
            </w:rPr>
          </w:pPr>
          <w:hyperlink w:anchor="_Toc179394850" w:history="1">
            <w:r w:rsidR="00A47593" w:rsidRPr="00A47593">
              <w:rPr>
                <w:rStyle w:val="Hipervnculo"/>
                <w:noProof/>
                <w:color w:val="auto"/>
              </w:rPr>
              <w:t>a) Interposición del Recurso de Revisión</w:t>
            </w:r>
            <w:r w:rsidR="00A47593" w:rsidRPr="00A47593">
              <w:rPr>
                <w:noProof/>
                <w:webHidden/>
              </w:rPr>
              <w:tab/>
            </w:r>
            <w:r w:rsidR="00A47593" w:rsidRPr="00A47593">
              <w:rPr>
                <w:noProof/>
                <w:webHidden/>
              </w:rPr>
              <w:fldChar w:fldCharType="begin"/>
            </w:r>
            <w:r w:rsidR="00A47593" w:rsidRPr="00A47593">
              <w:rPr>
                <w:noProof/>
                <w:webHidden/>
              </w:rPr>
              <w:instrText xml:space="preserve"> PAGEREF _Toc179394850 \h </w:instrText>
            </w:r>
            <w:r w:rsidR="00A47593" w:rsidRPr="00A47593">
              <w:rPr>
                <w:noProof/>
                <w:webHidden/>
              </w:rPr>
            </w:r>
            <w:r w:rsidR="00A47593" w:rsidRPr="00A47593">
              <w:rPr>
                <w:noProof/>
                <w:webHidden/>
              </w:rPr>
              <w:fldChar w:fldCharType="separate"/>
            </w:r>
            <w:r w:rsidR="00070ED3">
              <w:rPr>
                <w:noProof/>
                <w:webHidden/>
              </w:rPr>
              <w:t>3</w:t>
            </w:r>
            <w:r w:rsidR="00A47593" w:rsidRPr="00A47593">
              <w:rPr>
                <w:noProof/>
                <w:webHidden/>
              </w:rPr>
              <w:fldChar w:fldCharType="end"/>
            </w:r>
          </w:hyperlink>
        </w:p>
        <w:p w14:paraId="0CA51017" w14:textId="77777777" w:rsidR="00A47593" w:rsidRPr="00A47593" w:rsidRDefault="00D67B89" w:rsidP="00A47593">
          <w:pPr>
            <w:pStyle w:val="TDC3"/>
            <w:rPr>
              <w:rFonts w:asciiTheme="minorHAnsi" w:eastAsiaTheme="minorEastAsia" w:hAnsiTheme="minorHAnsi" w:cstheme="minorBidi"/>
              <w:noProof/>
              <w:szCs w:val="22"/>
              <w:lang w:eastAsia="es-MX"/>
            </w:rPr>
          </w:pPr>
          <w:hyperlink w:anchor="_Toc179394851" w:history="1">
            <w:r w:rsidR="00A47593" w:rsidRPr="00A47593">
              <w:rPr>
                <w:rStyle w:val="Hipervnculo"/>
                <w:noProof/>
                <w:color w:val="auto"/>
              </w:rPr>
              <w:t>b) Turno del Recurso de Revisión</w:t>
            </w:r>
            <w:r w:rsidR="00A47593" w:rsidRPr="00A47593">
              <w:rPr>
                <w:noProof/>
                <w:webHidden/>
              </w:rPr>
              <w:tab/>
            </w:r>
            <w:r w:rsidR="00A47593" w:rsidRPr="00A47593">
              <w:rPr>
                <w:noProof/>
                <w:webHidden/>
              </w:rPr>
              <w:fldChar w:fldCharType="begin"/>
            </w:r>
            <w:r w:rsidR="00A47593" w:rsidRPr="00A47593">
              <w:rPr>
                <w:noProof/>
                <w:webHidden/>
              </w:rPr>
              <w:instrText xml:space="preserve"> PAGEREF _Toc179394851 \h </w:instrText>
            </w:r>
            <w:r w:rsidR="00A47593" w:rsidRPr="00A47593">
              <w:rPr>
                <w:noProof/>
                <w:webHidden/>
              </w:rPr>
            </w:r>
            <w:r w:rsidR="00A47593" w:rsidRPr="00A47593">
              <w:rPr>
                <w:noProof/>
                <w:webHidden/>
              </w:rPr>
              <w:fldChar w:fldCharType="separate"/>
            </w:r>
            <w:r w:rsidR="00070ED3">
              <w:rPr>
                <w:noProof/>
                <w:webHidden/>
              </w:rPr>
              <w:t>4</w:t>
            </w:r>
            <w:r w:rsidR="00A47593" w:rsidRPr="00A47593">
              <w:rPr>
                <w:noProof/>
                <w:webHidden/>
              </w:rPr>
              <w:fldChar w:fldCharType="end"/>
            </w:r>
          </w:hyperlink>
        </w:p>
        <w:p w14:paraId="3366FD07" w14:textId="77777777" w:rsidR="00A47593" w:rsidRPr="00A47593" w:rsidRDefault="00D67B89" w:rsidP="00A47593">
          <w:pPr>
            <w:pStyle w:val="TDC3"/>
            <w:rPr>
              <w:rFonts w:asciiTheme="minorHAnsi" w:eastAsiaTheme="minorEastAsia" w:hAnsiTheme="minorHAnsi" w:cstheme="minorBidi"/>
              <w:noProof/>
              <w:szCs w:val="22"/>
              <w:lang w:eastAsia="es-MX"/>
            </w:rPr>
          </w:pPr>
          <w:hyperlink w:anchor="_Toc179394852" w:history="1">
            <w:r w:rsidR="00A47593" w:rsidRPr="00A47593">
              <w:rPr>
                <w:rStyle w:val="Hipervnculo"/>
                <w:noProof/>
                <w:color w:val="auto"/>
              </w:rPr>
              <w:t>c) Admisión del Recurso de Revisión</w:t>
            </w:r>
            <w:r w:rsidR="00A47593" w:rsidRPr="00A47593">
              <w:rPr>
                <w:noProof/>
                <w:webHidden/>
              </w:rPr>
              <w:tab/>
            </w:r>
            <w:r w:rsidR="00A47593" w:rsidRPr="00A47593">
              <w:rPr>
                <w:noProof/>
                <w:webHidden/>
              </w:rPr>
              <w:fldChar w:fldCharType="begin"/>
            </w:r>
            <w:r w:rsidR="00A47593" w:rsidRPr="00A47593">
              <w:rPr>
                <w:noProof/>
                <w:webHidden/>
              </w:rPr>
              <w:instrText xml:space="preserve"> PAGEREF _Toc179394852 \h </w:instrText>
            </w:r>
            <w:r w:rsidR="00A47593" w:rsidRPr="00A47593">
              <w:rPr>
                <w:noProof/>
                <w:webHidden/>
              </w:rPr>
            </w:r>
            <w:r w:rsidR="00A47593" w:rsidRPr="00A47593">
              <w:rPr>
                <w:noProof/>
                <w:webHidden/>
              </w:rPr>
              <w:fldChar w:fldCharType="separate"/>
            </w:r>
            <w:r w:rsidR="00070ED3">
              <w:rPr>
                <w:noProof/>
                <w:webHidden/>
              </w:rPr>
              <w:t>4</w:t>
            </w:r>
            <w:r w:rsidR="00A47593" w:rsidRPr="00A47593">
              <w:rPr>
                <w:noProof/>
                <w:webHidden/>
              </w:rPr>
              <w:fldChar w:fldCharType="end"/>
            </w:r>
          </w:hyperlink>
        </w:p>
        <w:p w14:paraId="1105B1A3" w14:textId="77777777" w:rsidR="00A47593" w:rsidRPr="00A47593" w:rsidRDefault="00D67B89" w:rsidP="00A47593">
          <w:pPr>
            <w:pStyle w:val="TDC3"/>
            <w:rPr>
              <w:rFonts w:asciiTheme="minorHAnsi" w:eastAsiaTheme="minorEastAsia" w:hAnsiTheme="minorHAnsi" w:cstheme="minorBidi"/>
              <w:noProof/>
              <w:szCs w:val="22"/>
              <w:lang w:eastAsia="es-MX"/>
            </w:rPr>
          </w:pPr>
          <w:hyperlink w:anchor="_Toc179394853" w:history="1">
            <w:r w:rsidR="00A47593" w:rsidRPr="00A47593">
              <w:rPr>
                <w:rStyle w:val="Hipervnculo"/>
                <w:noProof/>
                <w:color w:val="auto"/>
              </w:rPr>
              <w:t>d) Informe Justificado del Sujeto Obligado</w:t>
            </w:r>
            <w:r w:rsidR="00A47593" w:rsidRPr="00A47593">
              <w:rPr>
                <w:noProof/>
                <w:webHidden/>
              </w:rPr>
              <w:tab/>
            </w:r>
            <w:r w:rsidR="00A47593" w:rsidRPr="00A47593">
              <w:rPr>
                <w:noProof/>
                <w:webHidden/>
              </w:rPr>
              <w:fldChar w:fldCharType="begin"/>
            </w:r>
            <w:r w:rsidR="00A47593" w:rsidRPr="00A47593">
              <w:rPr>
                <w:noProof/>
                <w:webHidden/>
              </w:rPr>
              <w:instrText xml:space="preserve"> PAGEREF _Toc179394853 \h </w:instrText>
            </w:r>
            <w:r w:rsidR="00A47593" w:rsidRPr="00A47593">
              <w:rPr>
                <w:noProof/>
                <w:webHidden/>
              </w:rPr>
            </w:r>
            <w:r w:rsidR="00A47593" w:rsidRPr="00A47593">
              <w:rPr>
                <w:noProof/>
                <w:webHidden/>
              </w:rPr>
              <w:fldChar w:fldCharType="separate"/>
            </w:r>
            <w:r w:rsidR="00070ED3">
              <w:rPr>
                <w:noProof/>
                <w:webHidden/>
              </w:rPr>
              <w:t>4</w:t>
            </w:r>
            <w:r w:rsidR="00A47593" w:rsidRPr="00A47593">
              <w:rPr>
                <w:noProof/>
                <w:webHidden/>
              </w:rPr>
              <w:fldChar w:fldCharType="end"/>
            </w:r>
          </w:hyperlink>
        </w:p>
        <w:p w14:paraId="227C879E" w14:textId="77777777" w:rsidR="00A47593" w:rsidRPr="00A47593" w:rsidRDefault="00D67B89" w:rsidP="00A47593">
          <w:pPr>
            <w:pStyle w:val="TDC3"/>
            <w:rPr>
              <w:rFonts w:asciiTheme="minorHAnsi" w:eastAsiaTheme="minorEastAsia" w:hAnsiTheme="minorHAnsi" w:cstheme="minorBidi"/>
              <w:noProof/>
              <w:szCs w:val="22"/>
              <w:lang w:eastAsia="es-MX"/>
            </w:rPr>
          </w:pPr>
          <w:hyperlink w:anchor="_Toc179394854" w:history="1">
            <w:r w:rsidR="00A47593" w:rsidRPr="00A47593">
              <w:rPr>
                <w:rStyle w:val="Hipervnculo"/>
                <w:rFonts w:eastAsia="Calibri"/>
                <w:bCs/>
                <w:noProof/>
                <w:color w:val="auto"/>
                <w:lang w:eastAsia="en-US"/>
              </w:rPr>
              <w:t>e)</w:t>
            </w:r>
            <w:r w:rsidR="00A47593" w:rsidRPr="00A47593">
              <w:rPr>
                <w:rStyle w:val="Hipervnculo"/>
                <w:noProof/>
                <w:color w:val="auto"/>
              </w:rPr>
              <w:t xml:space="preserve"> </w:t>
            </w:r>
            <w:r w:rsidR="00A47593" w:rsidRPr="00A47593">
              <w:rPr>
                <w:rStyle w:val="Hipervnculo"/>
                <w:noProof/>
                <w:color w:val="auto"/>
                <w:lang w:val="es-ES"/>
              </w:rPr>
              <w:t>Manifestaciones de la Parte Recurrente</w:t>
            </w:r>
            <w:r w:rsidR="00A47593" w:rsidRPr="00A47593">
              <w:rPr>
                <w:noProof/>
                <w:webHidden/>
              </w:rPr>
              <w:tab/>
            </w:r>
            <w:r w:rsidR="00A47593" w:rsidRPr="00A47593">
              <w:rPr>
                <w:noProof/>
                <w:webHidden/>
              </w:rPr>
              <w:fldChar w:fldCharType="begin"/>
            </w:r>
            <w:r w:rsidR="00A47593" w:rsidRPr="00A47593">
              <w:rPr>
                <w:noProof/>
                <w:webHidden/>
              </w:rPr>
              <w:instrText xml:space="preserve"> PAGEREF _Toc179394854 \h </w:instrText>
            </w:r>
            <w:r w:rsidR="00A47593" w:rsidRPr="00A47593">
              <w:rPr>
                <w:noProof/>
                <w:webHidden/>
              </w:rPr>
            </w:r>
            <w:r w:rsidR="00A47593" w:rsidRPr="00A47593">
              <w:rPr>
                <w:noProof/>
                <w:webHidden/>
              </w:rPr>
              <w:fldChar w:fldCharType="separate"/>
            </w:r>
            <w:r w:rsidR="00070ED3">
              <w:rPr>
                <w:noProof/>
                <w:webHidden/>
              </w:rPr>
              <w:t>5</w:t>
            </w:r>
            <w:r w:rsidR="00A47593" w:rsidRPr="00A47593">
              <w:rPr>
                <w:noProof/>
                <w:webHidden/>
              </w:rPr>
              <w:fldChar w:fldCharType="end"/>
            </w:r>
          </w:hyperlink>
        </w:p>
        <w:p w14:paraId="1E6B843A" w14:textId="77777777" w:rsidR="00A47593" w:rsidRPr="00A47593" w:rsidRDefault="00D67B89" w:rsidP="00A47593">
          <w:pPr>
            <w:pStyle w:val="TDC3"/>
            <w:rPr>
              <w:rFonts w:asciiTheme="minorHAnsi" w:eastAsiaTheme="minorEastAsia" w:hAnsiTheme="minorHAnsi" w:cstheme="minorBidi"/>
              <w:noProof/>
              <w:szCs w:val="22"/>
              <w:lang w:eastAsia="es-MX"/>
            </w:rPr>
          </w:pPr>
          <w:hyperlink w:anchor="_Toc179394855" w:history="1">
            <w:r w:rsidR="00A47593" w:rsidRPr="00A47593">
              <w:rPr>
                <w:rStyle w:val="Hipervnculo"/>
                <w:noProof/>
                <w:color w:val="auto"/>
              </w:rPr>
              <w:t>f) Cierre de instrucción</w:t>
            </w:r>
            <w:r w:rsidR="00A47593" w:rsidRPr="00A47593">
              <w:rPr>
                <w:noProof/>
                <w:webHidden/>
              </w:rPr>
              <w:tab/>
            </w:r>
            <w:r w:rsidR="00A47593" w:rsidRPr="00A47593">
              <w:rPr>
                <w:noProof/>
                <w:webHidden/>
              </w:rPr>
              <w:fldChar w:fldCharType="begin"/>
            </w:r>
            <w:r w:rsidR="00A47593" w:rsidRPr="00A47593">
              <w:rPr>
                <w:noProof/>
                <w:webHidden/>
              </w:rPr>
              <w:instrText xml:space="preserve"> PAGEREF _Toc179394855 \h </w:instrText>
            </w:r>
            <w:r w:rsidR="00A47593" w:rsidRPr="00A47593">
              <w:rPr>
                <w:noProof/>
                <w:webHidden/>
              </w:rPr>
            </w:r>
            <w:r w:rsidR="00A47593" w:rsidRPr="00A47593">
              <w:rPr>
                <w:noProof/>
                <w:webHidden/>
              </w:rPr>
              <w:fldChar w:fldCharType="separate"/>
            </w:r>
            <w:r w:rsidR="00070ED3">
              <w:rPr>
                <w:noProof/>
                <w:webHidden/>
              </w:rPr>
              <w:t>5</w:t>
            </w:r>
            <w:r w:rsidR="00A47593" w:rsidRPr="00A47593">
              <w:rPr>
                <w:noProof/>
                <w:webHidden/>
              </w:rPr>
              <w:fldChar w:fldCharType="end"/>
            </w:r>
          </w:hyperlink>
        </w:p>
        <w:p w14:paraId="1DBC7805" w14:textId="77777777" w:rsidR="00A47593" w:rsidRPr="00A47593" w:rsidRDefault="00D67B89" w:rsidP="00A47593">
          <w:pPr>
            <w:pStyle w:val="TDC1"/>
            <w:tabs>
              <w:tab w:val="right" w:leader="dot" w:pos="9034"/>
            </w:tabs>
            <w:rPr>
              <w:rFonts w:asciiTheme="minorHAnsi" w:eastAsiaTheme="minorEastAsia" w:hAnsiTheme="minorHAnsi" w:cstheme="minorBidi"/>
              <w:noProof/>
              <w:szCs w:val="22"/>
              <w:lang w:eastAsia="es-MX"/>
            </w:rPr>
          </w:pPr>
          <w:hyperlink w:anchor="_Toc179394856" w:history="1">
            <w:r w:rsidR="00A47593" w:rsidRPr="00A47593">
              <w:rPr>
                <w:rStyle w:val="Hipervnculo"/>
                <w:rFonts w:eastAsiaTheme="minorHAnsi"/>
                <w:noProof/>
                <w:color w:val="auto"/>
                <w:lang w:eastAsia="en-US"/>
              </w:rPr>
              <w:t>CONSIDERANDOS</w:t>
            </w:r>
            <w:r w:rsidR="00A47593" w:rsidRPr="00A47593">
              <w:rPr>
                <w:noProof/>
                <w:webHidden/>
              </w:rPr>
              <w:tab/>
            </w:r>
            <w:r w:rsidR="00A47593" w:rsidRPr="00A47593">
              <w:rPr>
                <w:noProof/>
                <w:webHidden/>
              </w:rPr>
              <w:fldChar w:fldCharType="begin"/>
            </w:r>
            <w:r w:rsidR="00A47593" w:rsidRPr="00A47593">
              <w:rPr>
                <w:noProof/>
                <w:webHidden/>
              </w:rPr>
              <w:instrText xml:space="preserve"> PAGEREF _Toc179394856 \h </w:instrText>
            </w:r>
            <w:r w:rsidR="00A47593" w:rsidRPr="00A47593">
              <w:rPr>
                <w:noProof/>
                <w:webHidden/>
              </w:rPr>
            </w:r>
            <w:r w:rsidR="00A47593" w:rsidRPr="00A47593">
              <w:rPr>
                <w:noProof/>
                <w:webHidden/>
              </w:rPr>
              <w:fldChar w:fldCharType="separate"/>
            </w:r>
            <w:r w:rsidR="00070ED3">
              <w:rPr>
                <w:noProof/>
                <w:webHidden/>
              </w:rPr>
              <w:t>5</w:t>
            </w:r>
            <w:r w:rsidR="00A47593" w:rsidRPr="00A47593">
              <w:rPr>
                <w:noProof/>
                <w:webHidden/>
              </w:rPr>
              <w:fldChar w:fldCharType="end"/>
            </w:r>
          </w:hyperlink>
        </w:p>
        <w:p w14:paraId="62550E36" w14:textId="77777777" w:rsidR="00A47593" w:rsidRPr="00A47593" w:rsidRDefault="00D67B89" w:rsidP="00A47593">
          <w:pPr>
            <w:pStyle w:val="TDC2"/>
            <w:rPr>
              <w:rFonts w:asciiTheme="minorHAnsi" w:eastAsiaTheme="minorEastAsia" w:hAnsiTheme="minorHAnsi" w:cstheme="minorBidi"/>
              <w:noProof/>
              <w:szCs w:val="22"/>
              <w:lang w:eastAsia="es-MX"/>
            </w:rPr>
          </w:pPr>
          <w:hyperlink w:anchor="_Toc179394857" w:history="1">
            <w:r w:rsidR="00A47593" w:rsidRPr="00A47593">
              <w:rPr>
                <w:rStyle w:val="Hipervnculo"/>
                <w:rFonts w:eastAsia="Batang"/>
                <w:noProof/>
                <w:color w:val="auto"/>
              </w:rPr>
              <w:t>PRIMERO. Procedibilidad</w:t>
            </w:r>
            <w:r w:rsidR="00A47593" w:rsidRPr="00A47593">
              <w:rPr>
                <w:noProof/>
                <w:webHidden/>
              </w:rPr>
              <w:tab/>
            </w:r>
            <w:r w:rsidR="00A47593" w:rsidRPr="00A47593">
              <w:rPr>
                <w:noProof/>
                <w:webHidden/>
              </w:rPr>
              <w:fldChar w:fldCharType="begin"/>
            </w:r>
            <w:r w:rsidR="00A47593" w:rsidRPr="00A47593">
              <w:rPr>
                <w:noProof/>
                <w:webHidden/>
              </w:rPr>
              <w:instrText xml:space="preserve"> PAGEREF _Toc179394857 \h </w:instrText>
            </w:r>
            <w:r w:rsidR="00A47593" w:rsidRPr="00A47593">
              <w:rPr>
                <w:noProof/>
                <w:webHidden/>
              </w:rPr>
            </w:r>
            <w:r w:rsidR="00A47593" w:rsidRPr="00A47593">
              <w:rPr>
                <w:noProof/>
                <w:webHidden/>
              </w:rPr>
              <w:fldChar w:fldCharType="separate"/>
            </w:r>
            <w:r w:rsidR="00070ED3">
              <w:rPr>
                <w:noProof/>
                <w:webHidden/>
              </w:rPr>
              <w:t>5</w:t>
            </w:r>
            <w:r w:rsidR="00A47593" w:rsidRPr="00A47593">
              <w:rPr>
                <w:noProof/>
                <w:webHidden/>
              </w:rPr>
              <w:fldChar w:fldCharType="end"/>
            </w:r>
          </w:hyperlink>
        </w:p>
        <w:p w14:paraId="740F28DF" w14:textId="77777777" w:rsidR="00A47593" w:rsidRPr="00A47593" w:rsidRDefault="00D67B89" w:rsidP="00A47593">
          <w:pPr>
            <w:pStyle w:val="TDC3"/>
            <w:rPr>
              <w:rFonts w:asciiTheme="minorHAnsi" w:eastAsiaTheme="minorEastAsia" w:hAnsiTheme="minorHAnsi" w:cstheme="minorBidi"/>
              <w:noProof/>
              <w:szCs w:val="22"/>
              <w:lang w:eastAsia="es-MX"/>
            </w:rPr>
          </w:pPr>
          <w:hyperlink w:anchor="_Toc179394858" w:history="1">
            <w:r w:rsidR="00A47593" w:rsidRPr="00A47593">
              <w:rPr>
                <w:rStyle w:val="Hipervnculo"/>
                <w:noProof/>
                <w:color w:val="auto"/>
              </w:rPr>
              <w:t>a) Competencia del Instituto</w:t>
            </w:r>
            <w:r w:rsidR="00A47593" w:rsidRPr="00A47593">
              <w:rPr>
                <w:noProof/>
                <w:webHidden/>
              </w:rPr>
              <w:tab/>
            </w:r>
            <w:r w:rsidR="00A47593" w:rsidRPr="00A47593">
              <w:rPr>
                <w:noProof/>
                <w:webHidden/>
              </w:rPr>
              <w:fldChar w:fldCharType="begin"/>
            </w:r>
            <w:r w:rsidR="00A47593" w:rsidRPr="00A47593">
              <w:rPr>
                <w:noProof/>
                <w:webHidden/>
              </w:rPr>
              <w:instrText xml:space="preserve"> PAGEREF _Toc179394858 \h </w:instrText>
            </w:r>
            <w:r w:rsidR="00A47593" w:rsidRPr="00A47593">
              <w:rPr>
                <w:noProof/>
                <w:webHidden/>
              </w:rPr>
            </w:r>
            <w:r w:rsidR="00A47593" w:rsidRPr="00A47593">
              <w:rPr>
                <w:noProof/>
                <w:webHidden/>
              </w:rPr>
              <w:fldChar w:fldCharType="separate"/>
            </w:r>
            <w:r w:rsidR="00070ED3">
              <w:rPr>
                <w:noProof/>
                <w:webHidden/>
              </w:rPr>
              <w:t>5</w:t>
            </w:r>
            <w:r w:rsidR="00A47593" w:rsidRPr="00A47593">
              <w:rPr>
                <w:noProof/>
                <w:webHidden/>
              </w:rPr>
              <w:fldChar w:fldCharType="end"/>
            </w:r>
          </w:hyperlink>
        </w:p>
        <w:p w14:paraId="049FEB80" w14:textId="77777777" w:rsidR="00A47593" w:rsidRPr="00A47593" w:rsidRDefault="00D67B89" w:rsidP="00A47593">
          <w:pPr>
            <w:pStyle w:val="TDC3"/>
            <w:rPr>
              <w:rFonts w:asciiTheme="minorHAnsi" w:eastAsiaTheme="minorEastAsia" w:hAnsiTheme="minorHAnsi" w:cstheme="minorBidi"/>
              <w:noProof/>
              <w:szCs w:val="22"/>
              <w:lang w:eastAsia="es-MX"/>
            </w:rPr>
          </w:pPr>
          <w:hyperlink w:anchor="_Toc179394859" w:history="1">
            <w:r w:rsidR="00A47593" w:rsidRPr="00A47593">
              <w:rPr>
                <w:rStyle w:val="Hipervnculo"/>
                <w:noProof/>
                <w:color w:val="auto"/>
              </w:rPr>
              <w:t>b) Legitimidad de la parte recurrente</w:t>
            </w:r>
            <w:r w:rsidR="00A47593" w:rsidRPr="00A47593">
              <w:rPr>
                <w:noProof/>
                <w:webHidden/>
              </w:rPr>
              <w:tab/>
            </w:r>
            <w:r w:rsidR="00A47593" w:rsidRPr="00A47593">
              <w:rPr>
                <w:noProof/>
                <w:webHidden/>
              </w:rPr>
              <w:fldChar w:fldCharType="begin"/>
            </w:r>
            <w:r w:rsidR="00A47593" w:rsidRPr="00A47593">
              <w:rPr>
                <w:noProof/>
                <w:webHidden/>
              </w:rPr>
              <w:instrText xml:space="preserve"> PAGEREF _Toc179394859 \h </w:instrText>
            </w:r>
            <w:r w:rsidR="00A47593" w:rsidRPr="00A47593">
              <w:rPr>
                <w:noProof/>
                <w:webHidden/>
              </w:rPr>
            </w:r>
            <w:r w:rsidR="00A47593" w:rsidRPr="00A47593">
              <w:rPr>
                <w:noProof/>
                <w:webHidden/>
              </w:rPr>
              <w:fldChar w:fldCharType="separate"/>
            </w:r>
            <w:r w:rsidR="00070ED3">
              <w:rPr>
                <w:noProof/>
                <w:webHidden/>
              </w:rPr>
              <w:t>6</w:t>
            </w:r>
            <w:r w:rsidR="00A47593" w:rsidRPr="00A47593">
              <w:rPr>
                <w:noProof/>
                <w:webHidden/>
              </w:rPr>
              <w:fldChar w:fldCharType="end"/>
            </w:r>
          </w:hyperlink>
        </w:p>
        <w:p w14:paraId="061A43FA" w14:textId="77777777" w:rsidR="00A47593" w:rsidRPr="00A47593" w:rsidRDefault="00D67B89" w:rsidP="00A47593">
          <w:pPr>
            <w:pStyle w:val="TDC3"/>
            <w:rPr>
              <w:rFonts w:asciiTheme="minorHAnsi" w:eastAsiaTheme="minorEastAsia" w:hAnsiTheme="minorHAnsi" w:cstheme="minorBidi"/>
              <w:noProof/>
              <w:szCs w:val="22"/>
              <w:lang w:eastAsia="es-MX"/>
            </w:rPr>
          </w:pPr>
          <w:hyperlink w:anchor="_Toc179394860" w:history="1">
            <w:r w:rsidR="00A47593" w:rsidRPr="00A47593">
              <w:rPr>
                <w:rStyle w:val="Hipervnculo"/>
                <w:rFonts w:eastAsia="Calibri"/>
                <w:noProof/>
                <w:color w:val="auto"/>
                <w:lang w:eastAsia="es-ES_tradnl"/>
              </w:rPr>
              <w:t>c) Plazo para interponer el recurso</w:t>
            </w:r>
            <w:r w:rsidR="00A47593" w:rsidRPr="00A47593">
              <w:rPr>
                <w:noProof/>
                <w:webHidden/>
              </w:rPr>
              <w:tab/>
            </w:r>
            <w:r w:rsidR="00A47593" w:rsidRPr="00A47593">
              <w:rPr>
                <w:noProof/>
                <w:webHidden/>
              </w:rPr>
              <w:fldChar w:fldCharType="begin"/>
            </w:r>
            <w:r w:rsidR="00A47593" w:rsidRPr="00A47593">
              <w:rPr>
                <w:noProof/>
                <w:webHidden/>
              </w:rPr>
              <w:instrText xml:space="preserve"> PAGEREF _Toc179394860 \h </w:instrText>
            </w:r>
            <w:r w:rsidR="00A47593" w:rsidRPr="00A47593">
              <w:rPr>
                <w:noProof/>
                <w:webHidden/>
              </w:rPr>
            </w:r>
            <w:r w:rsidR="00A47593" w:rsidRPr="00A47593">
              <w:rPr>
                <w:noProof/>
                <w:webHidden/>
              </w:rPr>
              <w:fldChar w:fldCharType="separate"/>
            </w:r>
            <w:r w:rsidR="00070ED3">
              <w:rPr>
                <w:noProof/>
                <w:webHidden/>
              </w:rPr>
              <w:t>6</w:t>
            </w:r>
            <w:r w:rsidR="00A47593" w:rsidRPr="00A47593">
              <w:rPr>
                <w:noProof/>
                <w:webHidden/>
              </w:rPr>
              <w:fldChar w:fldCharType="end"/>
            </w:r>
          </w:hyperlink>
        </w:p>
        <w:p w14:paraId="38AE8352" w14:textId="77777777" w:rsidR="00A47593" w:rsidRPr="00A47593" w:rsidRDefault="00D67B89" w:rsidP="00A47593">
          <w:pPr>
            <w:pStyle w:val="TDC3"/>
            <w:rPr>
              <w:rFonts w:asciiTheme="minorHAnsi" w:eastAsiaTheme="minorEastAsia" w:hAnsiTheme="minorHAnsi" w:cstheme="minorBidi"/>
              <w:noProof/>
              <w:szCs w:val="22"/>
              <w:lang w:eastAsia="es-MX"/>
            </w:rPr>
          </w:pPr>
          <w:hyperlink w:anchor="_Toc179394861" w:history="1">
            <w:r w:rsidR="00A47593" w:rsidRPr="00A47593">
              <w:rPr>
                <w:rStyle w:val="Hipervnculo"/>
                <w:rFonts w:eastAsia="Calibri"/>
                <w:noProof/>
                <w:color w:val="auto"/>
                <w:lang w:eastAsia="es-ES_tradnl"/>
              </w:rPr>
              <w:t>d) Causal de procedencia</w:t>
            </w:r>
            <w:r w:rsidR="00A47593" w:rsidRPr="00A47593">
              <w:rPr>
                <w:noProof/>
                <w:webHidden/>
              </w:rPr>
              <w:tab/>
            </w:r>
            <w:r w:rsidR="00A47593" w:rsidRPr="00A47593">
              <w:rPr>
                <w:noProof/>
                <w:webHidden/>
              </w:rPr>
              <w:fldChar w:fldCharType="begin"/>
            </w:r>
            <w:r w:rsidR="00A47593" w:rsidRPr="00A47593">
              <w:rPr>
                <w:noProof/>
                <w:webHidden/>
              </w:rPr>
              <w:instrText xml:space="preserve"> PAGEREF _Toc179394861 \h </w:instrText>
            </w:r>
            <w:r w:rsidR="00A47593" w:rsidRPr="00A47593">
              <w:rPr>
                <w:noProof/>
                <w:webHidden/>
              </w:rPr>
            </w:r>
            <w:r w:rsidR="00A47593" w:rsidRPr="00A47593">
              <w:rPr>
                <w:noProof/>
                <w:webHidden/>
              </w:rPr>
              <w:fldChar w:fldCharType="separate"/>
            </w:r>
            <w:r w:rsidR="00070ED3">
              <w:rPr>
                <w:noProof/>
                <w:webHidden/>
              </w:rPr>
              <w:t>8</w:t>
            </w:r>
            <w:r w:rsidR="00A47593" w:rsidRPr="00A47593">
              <w:rPr>
                <w:noProof/>
                <w:webHidden/>
              </w:rPr>
              <w:fldChar w:fldCharType="end"/>
            </w:r>
          </w:hyperlink>
        </w:p>
        <w:p w14:paraId="19F0AECB" w14:textId="77777777" w:rsidR="00A47593" w:rsidRPr="00A47593" w:rsidRDefault="00D67B89" w:rsidP="00A47593">
          <w:pPr>
            <w:pStyle w:val="TDC3"/>
            <w:rPr>
              <w:rFonts w:asciiTheme="minorHAnsi" w:eastAsiaTheme="minorEastAsia" w:hAnsiTheme="minorHAnsi" w:cstheme="minorBidi"/>
              <w:noProof/>
              <w:szCs w:val="22"/>
              <w:lang w:eastAsia="es-MX"/>
            </w:rPr>
          </w:pPr>
          <w:hyperlink w:anchor="_Toc179394862" w:history="1">
            <w:r w:rsidR="00A47593" w:rsidRPr="00A47593">
              <w:rPr>
                <w:rStyle w:val="Hipervnculo"/>
                <w:noProof/>
                <w:color w:val="auto"/>
              </w:rPr>
              <w:t>e) Requisitos formales para la interposición del recurso</w:t>
            </w:r>
            <w:r w:rsidR="00A47593" w:rsidRPr="00A47593">
              <w:rPr>
                <w:noProof/>
                <w:webHidden/>
              </w:rPr>
              <w:tab/>
            </w:r>
            <w:r w:rsidR="00A47593" w:rsidRPr="00A47593">
              <w:rPr>
                <w:noProof/>
                <w:webHidden/>
              </w:rPr>
              <w:fldChar w:fldCharType="begin"/>
            </w:r>
            <w:r w:rsidR="00A47593" w:rsidRPr="00A47593">
              <w:rPr>
                <w:noProof/>
                <w:webHidden/>
              </w:rPr>
              <w:instrText xml:space="preserve"> PAGEREF _Toc179394862 \h </w:instrText>
            </w:r>
            <w:r w:rsidR="00A47593" w:rsidRPr="00A47593">
              <w:rPr>
                <w:noProof/>
                <w:webHidden/>
              </w:rPr>
            </w:r>
            <w:r w:rsidR="00A47593" w:rsidRPr="00A47593">
              <w:rPr>
                <w:noProof/>
                <w:webHidden/>
              </w:rPr>
              <w:fldChar w:fldCharType="separate"/>
            </w:r>
            <w:r w:rsidR="00070ED3">
              <w:rPr>
                <w:noProof/>
                <w:webHidden/>
              </w:rPr>
              <w:t>8</w:t>
            </w:r>
            <w:r w:rsidR="00A47593" w:rsidRPr="00A47593">
              <w:rPr>
                <w:noProof/>
                <w:webHidden/>
              </w:rPr>
              <w:fldChar w:fldCharType="end"/>
            </w:r>
          </w:hyperlink>
        </w:p>
        <w:p w14:paraId="416E5898" w14:textId="77777777" w:rsidR="00A47593" w:rsidRPr="00A47593" w:rsidRDefault="00D67B89" w:rsidP="00A47593">
          <w:pPr>
            <w:pStyle w:val="TDC2"/>
            <w:rPr>
              <w:rFonts w:asciiTheme="minorHAnsi" w:eastAsiaTheme="minorEastAsia" w:hAnsiTheme="minorHAnsi" w:cstheme="minorBidi"/>
              <w:noProof/>
              <w:szCs w:val="22"/>
              <w:lang w:eastAsia="es-MX"/>
            </w:rPr>
          </w:pPr>
          <w:hyperlink w:anchor="_Toc179394863" w:history="1">
            <w:r w:rsidR="00A47593" w:rsidRPr="00A47593">
              <w:rPr>
                <w:rStyle w:val="Hipervnculo"/>
                <w:noProof/>
                <w:color w:val="auto"/>
              </w:rPr>
              <w:t>SEGUNDO. Estudio de Fondo</w:t>
            </w:r>
            <w:r w:rsidR="00A47593" w:rsidRPr="00A47593">
              <w:rPr>
                <w:noProof/>
                <w:webHidden/>
              </w:rPr>
              <w:tab/>
            </w:r>
            <w:r w:rsidR="00A47593" w:rsidRPr="00A47593">
              <w:rPr>
                <w:noProof/>
                <w:webHidden/>
              </w:rPr>
              <w:fldChar w:fldCharType="begin"/>
            </w:r>
            <w:r w:rsidR="00A47593" w:rsidRPr="00A47593">
              <w:rPr>
                <w:noProof/>
                <w:webHidden/>
              </w:rPr>
              <w:instrText xml:space="preserve"> PAGEREF _Toc179394863 \h </w:instrText>
            </w:r>
            <w:r w:rsidR="00A47593" w:rsidRPr="00A47593">
              <w:rPr>
                <w:noProof/>
                <w:webHidden/>
              </w:rPr>
            </w:r>
            <w:r w:rsidR="00A47593" w:rsidRPr="00A47593">
              <w:rPr>
                <w:noProof/>
                <w:webHidden/>
              </w:rPr>
              <w:fldChar w:fldCharType="separate"/>
            </w:r>
            <w:r w:rsidR="00070ED3">
              <w:rPr>
                <w:noProof/>
                <w:webHidden/>
              </w:rPr>
              <w:t>9</w:t>
            </w:r>
            <w:r w:rsidR="00A47593" w:rsidRPr="00A47593">
              <w:rPr>
                <w:noProof/>
                <w:webHidden/>
              </w:rPr>
              <w:fldChar w:fldCharType="end"/>
            </w:r>
          </w:hyperlink>
        </w:p>
        <w:p w14:paraId="4149978F" w14:textId="77777777" w:rsidR="00A47593" w:rsidRPr="00A47593" w:rsidRDefault="00D67B89" w:rsidP="00A47593">
          <w:pPr>
            <w:pStyle w:val="TDC3"/>
            <w:rPr>
              <w:rFonts w:asciiTheme="minorHAnsi" w:eastAsiaTheme="minorEastAsia" w:hAnsiTheme="minorHAnsi" w:cstheme="minorBidi"/>
              <w:noProof/>
              <w:szCs w:val="22"/>
              <w:lang w:eastAsia="es-MX"/>
            </w:rPr>
          </w:pPr>
          <w:hyperlink w:anchor="_Toc179394864" w:history="1">
            <w:r w:rsidR="00A47593" w:rsidRPr="00A47593">
              <w:rPr>
                <w:rStyle w:val="Hipervnculo"/>
                <w:noProof/>
                <w:color w:val="auto"/>
              </w:rPr>
              <w:t>a) Mandato de transparencia y responsabilidad del Sujeto Obligado</w:t>
            </w:r>
            <w:r w:rsidR="00A47593" w:rsidRPr="00A47593">
              <w:rPr>
                <w:noProof/>
                <w:webHidden/>
              </w:rPr>
              <w:tab/>
            </w:r>
            <w:r w:rsidR="00A47593" w:rsidRPr="00A47593">
              <w:rPr>
                <w:noProof/>
                <w:webHidden/>
              </w:rPr>
              <w:fldChar w:fldCharType="begin"/>
            </w:r>
            <w:r w:rsidR="00A47593" w:rsidRPr="00A47593">
              <w:rPr>
                <w:noProof/>
                <w:webHidden/>
              </w:rPr>
              <w:instrText xml:space="preserve"> PAGEREF _Toc179394864 \h </w:instrText>
            </w:r>
            <w:r w:rsidR="00A47593" w:rsidRPr="00A47593">
              <w:rPr>
                <w:noProof/>
                <w:webHidden/>
              </w:rPr>
            </w:r>
            <w:r w:rsidR="00A47593" w:rsidRPr="00A47593">
              <w:rPr>
                <w:noProof/>
                <w:webHidden/>
              </w:rPr>
              <w:fldChar w:fldCharType="separate"/>
            </w:r>
            <w:r w:rsidR="00070ED3">
              <w:rPr>
                <w:noProof/>
                <w:webHidden/>
              </w:rPr>
              <w:t>9</w:t>
            </w:r>
            <w:r w:rsidR="00A47593" w:rsidRPr="00A47593">
              <w:rPr>
                <w:noProof/>
                <w:webHidden/>
              </w:rPr>
              <w:fldChar w:fldCharType="end"/>
            </w:r>
          </w:hyperlink>
        </w:p>
        <w:p w14:paraId="3F4828B5" w14:textId="77777777" w:rsidR="00A47593" w:rsidRPr="00A47593" w:rsidRDefault="00D67B89" w:rsidP="00A47593">
          <w:pPr>
            <w:pStyle w:val="TDC3"/>
            <w:rPr>
              <w:rFonts w:asciiTheme="minorHAnsi" w:eastAsiaTheme="minorEastAsia" w:hAnsiTheme="minorHAnsi" w:cstheme="minorBidi"/>
              <w:noProof/>
              <w:szCs w:val="22"/>
              <w:lang w:eastAsia="es-MX"/>
            </w:rPr>
          </w:pPr>
          <w:hyperlink w:anchor="_Toc179394865" w:history="1">
            <w:r w:rsidR="00A47593" w:rsidRPr="00A47593">
              <w:rPr>
                <w:rStyle w:val="Hipervnculo"/>
                <w:rFonts w:eastAsia="Calibri"/>
                <w:noProof/>
                <w:color w:val="auto"/>
                <w:lang w:eastAsia="es-ES_tradnl"/>
              </w:rPr>
              <w:t>b) Controversia a resolver</w:t>
            </w:r>
            <w:r w:rsidR="00A47593" w:rsidRPr="00A47593">
              <w:rPr>
                <w:noProof/>
                <w:webHidden/>
              </w:rPr>
              <w:tab/>
            </w:r>
            <w:r w:rsidR="00A47593" w:rsidRPr="00A47593">
              <w:rPr>
                <w:noProof/>
                <w:webHidden/>
              </w:rPr>
              <w:fldChar w:fldCharType="begin"/>
            </w:r>
            <w:r w:rsidR="00A47593" w:rsidRPr="00A47593">
              <w:rPr>
                <w:noProof/>
                <w:webHidden/>
              </w:rPr>
              <w:instrText xml:space="preserve"> PAGEREF _Toc179394865 \h </w:instrText>
            </w:r>
            <w:r w:rsidR="00A47593" w:rsidRPr="00A47593">
              <w:rPr>
                <w:noProof/>
                <w:webHidden/>
              </w:rPr>
            </w:r>
            <w:r w:rsidR="00A47593" w:rsidRPr="00A47593">
              <w:rPr>
                <w:noProof/>
                <w:webHidden/>
              </w:rPr>
              <w:fldChar w:fldCharType="separate"/>
            </w:r>
            <w:r w:rsidR="00070ED3">
              <w:rPr>
                <w:noProof/>
                <w:webHidden/>
              </w:rPr>
              <w:t>12</w:t>
            </w:r>
            <w:r w:rsidR="00A47593" w:rsidRPr="00A47593">
              <w:rPr>
                <w:noProof/>
                <w:webHidden/>
              </w:rPr>
              <w:fldChar w:fldCharType="end"/>
            </w:r>
          </w:hyperlink>
        </w:p>
        <w:p w14:paraId="4E4E86D6" w14:textId="77777777" w:rsidR="00A47593" w:rsidRPr="00A47593" w:rsidRDefault="00D67B89" w:rsidP="00A47593">
          <w:pPr>
            <w:pStyle w:val="TDC3"/>
            <w:rPr>
              <w:rFonts w:asciiTheme="minorHAnsi" w:eastAsiaTheme="minorEastAsia" w:hAnsiTheme="minorHAnsi" w:cstheme="minorBidi"/>
              <w:noProof/>
              <w:szCs w:val="22"/>
              <w:lang w:eastAsia="es-MX"/>
            </w:rPr>
          </w:pPr>
          <w:hyperlink w:anchor="_Toc179394866" w:history="1">
            <w:r w:rsidR="00A47593" w:rsidRPr="00A47593">
              <w:rPr>
                <w:rStyle w:val="Hipervnculo"/>
                <w:noProof/>
                <w:color w:val="auto"/>
              </w:rPr>
              <w:t>c) Estudio de la controversia</w:t>
            </w:r>
            <w:r w:rsidR="00A47593" w:rsidRPr="00A47593">
              <w:rPr>
                <w:noProof/>
                <w:webHidden/>
              </w:rPr>
              <w:tab/>
            </w:r>
            <w:r w:rsidR="00A47593" w:rsidRPr="00A47593">
              <w:rPr>
                <w:noProof/>
                <w:webHidden/>
              </w:rPr>
              <w:fldChar w:fldCharType="begin"/>
            </w:r>
            <w:r w:rsidR="00A47593" w:rsidRPr="00A47593">
              <w:rPr>
                <w:noProof/>
                <w:webHidden/>
              </w:rPr>
              <w:instrText xml:space="preserve"> PAGEREF _Toc179394866 \h </w:instrText>
            </w:r>
            <w:r w:rsidR="00A47593" w:rsidRPr="00A47593">
              <w:rPr>
                <w:noProof/>
                <w:webHidden/>
              </w:rPr>
            </w:r>
            <w:r w:rsidR="00A47593" w:rsidRPr="00A47593">
              <w:rPr>
                <w:noProof/>
                <w:webHidden/>
              </w:rPr>
              <w:fldChar w:fldCharType="separate"/>
            </w:r>
            <w:r w:rsidR="00070ED3">
              <w:rPr>
                <w:noProof/>
                <w:webHidden/>
              </w:rPr>
              <w:t>12</w:t>
            </w:r>
            <w:r w:rsidR="00A47593" w:rsidRPr="00A47593">
              <w:rPr>
                <w:noProof/>
                <w:webHidden/>
              </w:rPr>
              <w:fldChar w:fldCharType="end"/>
            </w:r>
          </w:hyperlink>
        </w:p>
        <w:p w14:paraId="3597ACD7" w14:textId="77777777" w:rsidR="00A47593" w:rsidRPr="00A47593" w:rsidRDefault="00D67B89" w:rsidP="00A47593">
          <w:pPr>
            <w:pStyle w:val="TDC3"/>
            <w:rPr>
              <w:rFonts w:asciiTheme="minorHAnsi" w:eastAsiaTheme="minorEastAsia" w:hAnsiTheme="minorHAnsi" w:cstheme="minorBidi"/>
              <w:noProof/>
              <w:szCs w:val="22"/>
              <w:lang w:eastAsia="es-MX"/>
            </w:rPr>
          </w:pPr>
          <w:hyperlink w:anchor="_Toc179394867" w:history="1">
            <w:r w:rsidR="00A47593" w:rsidRPr="00A47593">
              <w:rPr>
                <w:rStyle w:val="Hipervnculo"/>
                <w:noProof/>
                <w:color w:val="auto"/>
              </w:rPr>
              <w:t>d) Versión Pública</w:t>
            </w:r>
            <w:r w:rsidR="00A47593" w:rsidRPr="00A47593">
              <w:rPr>
                <w:noProof/>
                <w:webHidden/>
              </w:rPr>
              <w:tab/>
            </w:r>
            <w:r w:rsidR="00A47593" w:rsidRPr="00A47593">
              <w:rPr>
                <w:noProof/>
                <w:webHidden/>
              </w:rPr>
              <w:fldChar w:fldCharType="begin"/>
            </w:r>
            <w:r w:rsidR="00A47593" w:rsidRPr="00A47593">
              <w:rPr>
                <w:noProof/>
                <w:webHidden/>
              </w:rPr>
              <w:instrText xml:space="preserve"> PAGEREF _Toc179394867 \h </w:instrText>
            </w:r>
            <w:r w:rsidR="00A47593" w:rsidRPr="00A47593">
              <w:rPr>
                <w:noProof/>
                <w:webHidden/>
              </w:rPr>
            </w:r>
            <w:r w:rsidR="00A47593" w:rsidRPr="00A47593">
              <w:rPr>
                <w:noProof/>
                <w:webHidden/>
              </w:rPr>
              <w:fldChar w:fldCharType="separate"/>
            </w:r>
            <w:r w:rsidR="00070ED3">
              <w:rPr>
                <w:noProof/>
                <w:webHidden/>
              </w:rPr>
              <w:t>21</w:t>
            </w:r>
            <w:r w:rsidR="00A47593" w:rsidRPr="00A47593">
              <w:rPr>
                <w:noProof/>
                <w:webHidden/>
              </w:rPr>
              <w:fldChar w:fldCharType="end"/>
            </w:r>
          </w:hyperlink>
        </w:p>
        <w:p w14:paraId="16CE7991" w14:textId="77777777" w:rsidR="00A47593" w:rsidRPr="00A47593" w:rsidRDefault="00D67B89" w:rsidP="00A47593">
          <w:pPr>
            <w:pStyle w:val="TDC3"/>
            <w:rPr>
              <w:rFonts w:asciiTheme="minorHAnsi" w:eastAsiaTheme="minorEastAsia" w:hAnsiTheme="minorHAnsi" w:cstheme="minorBidi"/>
              <w:noProof/>
              <w:szCs w:val="22"/>
              <w:lang w:eastAsia="es-MX"/>
            </w:rPr>
          </w:pPr>
          <w:hyperlink w:anchor="_Toc179394868" w:history="1">
            <w:r w:rsidR="00A47593" w:rsidRPr="00A47593">
              <w:rPr>
                <w:rStyle w:val="Hipervnculo"/>
                <w:noProof/>
                <w:color w:val="auto"/>
              </w:rPr>
              <w:t>e) Acuerdo de Inexistencia</w:t>
            </w:r>
            <w:r w:rsidR="00A47593" w:rsidRPr="00A47593">
              <w:rPr>
                <w:noProof/>
                <w:webHidden/>
              </w:rPr>
              <w:tab/>
            </w:r>
            <w:r w:rsidR="00A47593" w:rsidRPr="00A47593">
              <w:rPr>
                <w:noProof/>
                <w:webHidden/>
              </w:rPr>
              <w:fldChar w:fldCharType="begin"/>
            </w:r>
            <w:r w:rsidR="00A47593" w:rsidRPr="00A47593">
              <w:rPr>
                <w:noProof/>
                <w:webHidden/>
              </w:rPr>
              <w:instrText xml:space="preserve"> PAGEREF _Toc179394868 \h </w:instrText>
            </w:r>
            <w:r w:rsidR="00A47593" w:rsidRPr="00A47593">
              <w:rPr>
                <w:noProof/>
                <w:webHidden/>
              </w:rPr>
            </w:r>
            <w:r w:rsidR="00A47593" w:rsidRPr="00A47593">
              <w:rPr>
                <w:noProof/>
                <w:webHidden/>
              </w:rPr>
              <w:fldChar w:fldCharType="separate"/>
            </w:r>
            <w:r w:rsidR="00070ED3">
              <w:rPr>
                <w:noProof/>
                <w:webHidden/>
              </w:rPr>
              <w:t>27</w:t>
            </w:r>
            <w:r w:rsidR="00A47593" w:rsidRPr="00A47593">
              <w:rPr>
                <w:noProof/>
                <w:webHidden/>
              </w:rPr>
              <w:fldChar w:fldCharType="end"/>
            </w:r>
          </w:hyperlink>
        </w:p>
        <w:p w14:paraId="0A1A71C4" w14:textId="77777777" w:rsidR="00A47593" w:rsidRPr="00A47593" w:rsidRDefault="00D67B89" w:rsidP="00A47593">
          <w:pPr>
            <w:pStyle w:val="TDC3"/>
            <w:rPr>
              <w:rFonts w:asciiTheme="minorHAnsi" w:eastAsiaTheme="minorEastAsia" w:hAnsiTheme="minorHAnsi" w:cstheme="minorBidi"/>
              <w:noProof/>
              <w:szCs w:val="22"/>
              <w:lang w:eastAsia="es-MX"/>
            </w:rPr>
          </w:pPr>
          <w:hyperlink w:anchor="_Toc179394869" w:history="1">
            <w:r w:rsidR="00A47593" w:rsidRPr="00A47593">
              <w:rPr>
                <w:rStyle w:val="Hipervnculo"/>
                <w:noProof/>
                <w:color w:val="auto"/>
              </w:rPr>
              <w:t xml:space="preserve">f) Vista al </w:t>
            </w:r>
            <w:r w:rsidR="00A47593" w:rsidRPr="00A47593">
              <w:rPr>
                <w:rStyle w:val="Hipervnculo"/>
                <w:rFonts w:eastAsia="Palatino Linotype" w:cs="Palatino Linotype"/>
                <w:noProof/>
                <w:color w:val="auto"/>
                <w:lang w:val="es-ES" w:eastAsia="es-MX"/>
              </w:rPr>
              <w:t>Órgano Interno de Control</w:t>
            </w:r>
            <w:r w:rsidR="00A47593" w:rsidRPr="00A47593">
              <w:rPr>
                <w:noProof/>
                <w:webHidden/>
              </w:rPr>
              <w:tab/>
            </w:r>
            <w:r w:rsidR="00A47593" w:rsidRPr="00A47593">
              <w:rPr>
                <w:noProof/>
                <w:webHidden/>
              </w:rPr>
              <w:fldChar w:fldCharType="begin"/>
            </w:r>
            <w:r w:rsidR="00A47593" w:rsidRPr="00A47593">
              <w:rPr>
                <w:noProof/>
                <w:webHidden/>
              </w:rPr>
              <w:instrText xml:space="preserve"> PAGEREF _Toc179394869 \h </w:instrText>
            </w:r>
            <w:r w:rsidR="00A47593" w:rsidRPr="00A47593">
              <w:rPr>
                <w:noProof/>
                <w:webHidden/>
              </w:rPr>
            </w:r>
            <w:r w:rsidR="00A47593" w:rsidRPr="00A47593">
              <w:rPr>
                <w:noProof/>
                <w:webHidden/>
              </w:rPr>
              <w:fldChar w:fldCharType="separate"/>
            </w:r>
            <w:r w:rsidR="00070ED3">
              <w:rPr>
                <w:noProof/>
                <w:webHidden/>
              </w:rPr>
              <w:t>28</w:t>
            </w:r>
            <w:r w:rsidR="00A47593" w:rsidRPr="00A47593">
              <w:rPr>
                <w:noProof/>
                <w:webHidden/>
              </w:rPr>
              <w:fldChar w:fldCharType="end"/>
            </w:r>
          </w:hyperlink>
        </w:p>
        <w:p w14:paraId="338B279F" w14:textId="77777777" w:rsidR="00A47593" w:rsidRPr="00A47593" w:rsidRDefault="00D67B89" w:rsidP="00A47593">
          <w:pPr>
            <w:pStyle w:val="TDC3"/>
            <w:rPr>
              <w:rFonts w:asciiTheme="minorHAnsi" w:eastAsiaTheme="minorEastAsia" w:hAnsiTheme="minorHAnsi" w:cstheme="minorBidi"/>
              <w:noProof/>
              <w:szCs w:val="22"/>
              <w:lang w:eastAsia="es-MX"/>
            </w:rPr>
          </w:pPr>
          <w:hyperlink w:anchor="_Toc179394870" w:history="1">
            <w:r w:rsidR="00A47593" w:rsidRPr="00A47593">
              <w:rPr>
                <w:rStyle w:val="Hipervnculo"/>
                <w:noProof/>
                <w:color w:val="auto"/>
              </w:rPr>
              <w:t>g) Conclusión</w:t>
            </w:r>
            <w:r w:rsidR="00A47593" w:rsidRPr="00A47593">
              <w:rPr>
                <w:noProof/>
                <w:webHidden/>
              </w:rPr>
              <w:tab/>
            </w:r>
            <w:r w:rsidR="00A47593" w:rsidRPr="00A47593">
              <w:rPr>
                <w:noProof/>
                <w:webHidden/>
              </w:rPr>
              <w:fldChar w:fldCharType="begin"/>
            </w:r>
            <w:r w:rsidR="00A47593" w:rsidRPr="00A47593">
              <w:rPr>
                <w:noProof/>
                <w:webHidden/>
              </w:rPr>
              <w:instrText xml:space="preserve"> PAGEREF _Toc179394870 \h </w:instrText>
            </w:r>
            <w:r w:rsidR="00A47593" w:rsidRPr="00A47593">
              <w:rPr>
                <w:noProof/>
                <w:webHidden/>
              </w:rPr>
            </w:r>
            <w:r w:rsidR="00A47593" w:rsidRPr="00A47593">
              <w:rPr>
                <w:noProof/>
                <w:webHidden/>
              </w:rPr>
              <w:fldChar w:fldCharType="separate"/>
            </w:r>
            <w:r w:rsidR="00070ED3">
              <w:rPr>
                <w:noProof/>
                <w:webHidden/>
              </w:rPr>
              <w:t>29</w:t>
            </w:r>
            <w:r w:rsidR="00A47593" w:rsidRPr="00A47593">
              <w:rPr>
                <w:noProof/>
                <w:webHidden/>
              </w:rPr>
              <w:fldChar w:fldCharType="end"/>
            </w:r>
          </w:hyperlink>
        </w:p>
        <w:p w14:paraId="7C7BDA2C" w14:textId="77777777" w:rsidR="00A47593" w:rsidRPr="00A47593" w:rsidRDefault="00D67B89" w:rsidP="00A47593">
          <w:pPr>
            <w:pStyle w:val="TDC1"/>
            <w:tabs>
              <w:tab w:val="right" w:leader="dot" w:pos="9034"/>
            </w:tabs>
            <w:rPr>
              <w:rFonts w:asciiTheme="minorHAnsi" w:eastAsiaTheme="minorEastAsia" w:hAnsiTheme="minorHAnsi" w:cstheme="minorBidi"/>
              <w:noProof/>
              <w:szCs w:val="22"/>
              <w:lang w:eastAsia="es-MX"/>
            </w:rPr>
          </w:pPr>
          <w:hyperlink w:anchor="_Toc179394871" w:history="1">
            <w:r w:rsidR="00A47593" w:rsidRPr="00A47593">
              <w:rPr>
                <w:rStyle w:val="Hipervnculo"/>
                <w:noProof/>
                <w:color w:val="auto"/>
              </w:rPr>
              <w:t>RESUELVE</w:t>
            </w:r>
            <w:r w:rsidR="00A47593" w:rsidRPr="00A47593">
              <w:rPr>
                <w:noProof/>
                <w:webHidden/>
              </w:rPr>
              <w:tab/>
            </w:r>
            <w:r w:rsidR="00A47593" w:rsidRPr="00A47593">
              <w:rPr>
                <w:noProof/>
                <w:webHidden/>
              </w:rPr>
              <w:fldChar w:fldCharType="begin"/>
            </w:r>
            <w:r w:rsidR="00A47593" w:rsidRPr="00A47593">
              <w:rPr>
                <w:noProof/>
                <w:webHidden/>
              </w:rPr>
              <w:instrText xml:space="preserve"> PAGEREF _Toc179394871 \h </w:instrText>
            </w:r>
            <w:r w:rsidR="00A47593" w:rsidRPr="00A47593">
              <w:rPr>
                <w:noProof/>
                <w:webHidden/>
              </w:rPr>
            </w:r>
            <w:r w:rsidR="00A47593" w:rsidRPr="00A47593">
              <w:rPr>
                <w:noProof/>
                <w:webHidden/>
              </w:rPr>
              <w:fldChar w:fldCharType="separate"/>
            </w:r>
            <w:r w:rsidR="00070ED3">
              <w:rPr>
                <w:noProof/>
                <w:webHidden/>
              </w:rPr>
              <w:t>29</w:t>
            </w:r>
            <w:r w:rsidR="00A47593" w:rsidRPr="00A47593">
              <w:rPr>
                <w:noProof/>
                <w:webHidden/>
              </w:rPr>
              <w:fldChar w:fldCharType="end"/>
            </w:r>
          </w:hyperlink>
        </w:p>
        <w:p w14:paraId="0C82FD7A" w14:textId="0E6B496C" w:rsidR="009B2945" w:rsidRPr="00A47593" w:rsidRDefault="00AE3DA7" w:rsidP="00A47593">
          <w:pPr>
            <w:spacing w:line="240" w:lineRule="auto"/>
            <w:rPr>
              <w:b/>
              <w:bCs/>
              <w:lang w:val="es-ES"/>
            </w:rPr>
          </w:pPr>
          <w:r w:rsidRPr="00A47593">
            <w:rPr>
              <w:b/>
              <w:bCs/>
              <w:sz w:val="16"/>
              <w:szCs w:val="16"/>
              <w:lang w:val="es-ES"/>
            </w:rPr>
            <w:fldChar w:fldCharType="end"/>
          </w:r>
        </w:p>
      </w:sdtContent>
    </w:sdt>
    <w:p w14:paraId="603A07E2" w14:textId="77777777" w:rsidR="00646436" w:rsidRPr="00A47593" w:rsidRDefault="00646436" w:rsidP="00A47593">
      <w:pPr>
        <w:rPr>
          <w:rFonts w:cs="Tahoma"/>
          <w:szCs w:val="22"/>
        </w:rPr>
        <w:sectPr w:rsidR="00646436" w:rsidRPr="00A47593"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A9D7763" w:rsidR="00775BFC" w:rsidRPr="00A47593" w:rsidRDefault="00775BFC" w:rsidP="00A47593">
      <w:pPr>
        <w:rPr>
          <w:b/>
        </w:rPr>
      </w:pPr>
      <w:r w:rsidRPr="00A47593">
        <w:lastRenderedPageBreak/>
        <w:t xml:space="preserve">Resolución del Pleno del Instituto de Transparencia, Acceso a la Información Pública y Protección de Datos Personales del Estado de México y Municipios, con domicilio en Metepec, Estado de México, </w:t>
      </w:r>
      <w:r w:rsidR="009A2B26" w:rsidRPr="00A47593">
        <w:rPr>
          <w:b/>
          <w:bCs/>
        </w:rPr>
        <w:t>nueve de octubre</w:t>
      </w:r>
      <w:r w:rsidR="009A2B26" w:rsidRPr="00A47593">
        <w:rPr>
          <w:b/>
        </w:rPr>
        <w:t xml:space="preserve"> </w:t>
      </w:r>
      <w:r w:rsidRPr="00A47593">
        <w:rPr>
          <w:b/>
        </w:rPr>
        <w:t>de dos mil</w:t>
      </w:r>
      <w:r w:rsidR="00BE27D2" w:rsidRPr="00A47593">
        <w:rPr>
          <w:b/>
        </w:rPr>
        <w:t xml:space="preserve"> veinticuatro.</w:t>
      </w:r>
    </w:p>
    <w:p w14:paraId="0AF3AAC4" w14:textId="77777777" w:rsidR="00775BFC" w:rsidRPr="00A47593" w:rsidRDefault="00775BFC" w:rsidP="00A47593"/>
    <w:p w14:paraId="40EAE038" w14:textId="6A77EF2A" w:rsidR="00775BFC" w:rsidRPr="00A47593" w:rsidRDefault="00775BFC" w:rsidP="00A47593">
      <w:r w:rsidRPr="00A47593">
        <w:rPr>
          <w:b/>
        </w:rPr>
        <w:t xml:space="preserve">VISTO </w:t>
      </w:r>
      <w:r w:rsidRPr="00A47593">
        <w:t xml:space="preserve">el expediente formado con motivo del Recurso de Revisión </w:t>
      </w:r>
      <w:r w:rsidR="00A125C7" w:rsidRPr="00A47593">
        <w:rPr>
          <w:rFonts w:eastAsia="Calibri"/>
          <w:b/>
          <w:lang w:eastAsia="en-US"/>
        </w:rPr>
        <w:t>05577/INFOEM/IP/RR/2024</w:t>
      </w:r>
      <w:r w:rsidR="00F17375" w:rsidRPr="00A47593">
        <w:rPr>
          <w:rFonts w:eastAsia="Calibri"/>
          <w:b/>
          <w:lang w:eastAsia="en-US"/>
        </w:rPr>
        <w:t xml:space="preserve"> </w:t>
      </w:r>
      <w:r w:rsidRPr="00A47593">
        <w:t xml:space="preserve">interpuesto por </w:t>
      </w:r>
      <w:r w:rsidR="001524CF">
        <w:rPr>
          <w:b/>
          <w:bCs/>
        </w:rPr>
        <w:t>XXXXXXX</w:t>
      </w:r>
      <w:r w:rsidRPr="00A47593">
        <w:t xml:space="preserve">, a quien en lo subsecuente se le denominará </w:t>
      </w:r>
      <w:r w:rsidRPr="00A47593">
        <w:rPr>
          <w:b/>
          <w:bCs/>
        </w:rPr>
        <w:t>LA PARTE RECURRENTE</w:t>
      </w:r>
      <w:r w:rsidRPr="00A47593">
        <w:t xml:space="preserve">, en contra </w:t>
      </w:r>
      <w:r w:rsidR="006D1510" w:rsidRPr="00A47593">
        <w:t xml:space="preserve">de la falta de respuesta del </w:t>
      </w:r>
      <w:r w:rsidR="00F65E18" w:rsidRPr="00A47593">
        <w:rPr>
          <w:b/>
          <w:bCs/>
        </w:rPr>
        <w:t>Ayuntamiento de Ecatepec de Morelos</w:t>
      </w:r>
      <w:r w:rsidRPr="00A47593">
        <w:t xml:space="preserve">, en adelante </w:t>
      </w:r>
      <w:r w:rsidRPr="00A47593">
        <w:rPr>
          <w:b/>
          <w:bCs/>
        </w:rPr>
        <w:t>EL SUJETO OBLIGADO</w:t>
      </w:r>
      <w:r w:rsidRPr="00A47593">
        <w:rPr>
          <w:rFonts w:eastAsia="Calibri"/>
          <w:lang w:eastAsia="en-US"/>
        </w:rPr>
        <w:t xml:space="preserve">, </w:t>
      </w:r>
      <w:r w:rsidRPr="00A47593">
        <w:t>se emite la presente Resolución con base en los Antecedentes y Considerandos que se exponen a continuación:</w:t>
      </w:r>
    </w:p>
    <w:p w14:paraId="2116968C" w14:textId="77777777" w:rsidR="00775BFC" w:rsidRPr="00A47593" w:rsidRDefault="00775BFC" w:rsidP="00A47593"/>
    <w:p w14:paraId="5A444FB6" w14:textId="639D3567" w:rsidR="00664420" w:rsidRPr="00A47593" w:rsidRDefault="00664420" w:rsidP="00A47593">
      <w:pPr>
        <w:pStyle w:val="Ttulo1"/>
      </w:pPr>
      <w:bookmarkStart w:id="2" w:name="_Toc179394844"/>
      <w:r w:rsidRPr="00A47593">
        <w:t>ANTECEDENTES</w:t>
      </w:r>
      <w:bookmarkEnd w:id="2"/>
    </w:p>
    <w:p w14:paraId="7CE9E53D" w14:textId="77777777" w:rsidR="00E37A3F" w:rsidRPr="00A47593" w:rsidRDefault="00E37A3F" w:rsidP="00A47593"/>
    <w:p w14:paraId="5CB5034E" w14:textId="77777777" w:rsidR="00AC2DB8" w:rsidRPr="00A47593" w:rsidRDefault="00AC2DB8" w:rsidP="00A47593"/>
    <w:p w14:paraId="09B2D38F" w14:textId="6E49D146" w:rsidR="00664420" w:rsidRPr="00A47593" w:rsidRDefault="00E37A3F" w:rsidP="00A47593">
      <w:pPr>
        <w:pStyle w:val="Ttulo2"/>
        <w:jc w:val="left"/>
      </w:pPr>
      <w:bookmarkStart w:id="3" w:name="_Toc179394845"/>
      <w:r w:rsidRPr="00A47593">
        <w:t>DE LA SOLICITUD DE INFORMACIÓN</w:t>
      </w:r>
      <w:bookmarkEnd w:id="3"/>
    </w:p>
    <w:p w14:paraId="7B7535DF" w14:textId="77777777" w:rsidR="00E37A3F" w:rsidRPr="00A47593" w:rsidRDefault="00E37A3F" w:rsidP="00A47593"/>
    <w:p w14:paraId="2C6AD1A5" w14:textId="0405B3CD" w:rsidR="00664420" w:rsidRPr="00A47593" w:rsidRDefault="00E37A3F" w:rsidP="00A47593">
      <w:pPr>
        <w:pStyle w:val="Ttulo3"/>
      </w:pPr>
      <w:bookmarkStart w:id="4" w:name="_Toc179394846"/>
      <w:r w:rsidRPr="00A47593">
        <w:t xml:space="preserve">a) </w:t>
      </w:r>
      <w:r w:rsidR="006B10B0" w:rsidRPr="00A47593">
        <w:t>S</w:t>
      </w:r>
      <w:r w:rsidR="00664420" w:rsidRPr="00A47593">
        <w:t xml:space="preserve">olicitud de </w:t>
      </w:r>
      <w:r w:rsidR="006B10B0" w:rsidRPr="00A47593">
        <w:t>i</w:t>
      </w:r>
      <w:r w:rsidR="00664420" w:rsidRPr="00A47593">
        <w:t>nformación</w:t>
      </w:r>
      <w:bookmarkEnd w:id="4"/>
    </w:p>
    <w:p w14:paraId="06DCD29D" w14:textId="446FC551" w:rsidR="009A2D78" w:rsidRPr="00A47593" w:rsidRDefault="006B10B0" w:rsidP="00A47593">
      <w:pPr>
        <w:pStyle w:val="Prrafodelista"/>
        <w:tabs>
          <w:tab w:val="left" w:pos="0"/>
        </w:tabs>
        <w:ind w:left="0"/>
        <w:contextualSpacing w:val="0"/>
        <w:rPr>
          <w:rFonts w:cs="Tahoma"/>
        </w:rPr>
      </w:pPr>
      <w:r w:rsidRPr="00A47593">
        <w:rPr>
          <w:rFonts w:cs="Tahoma"/>
        </w:rPr>
        <w:t>El</w:t>
      </w:r>
      <w:r w:rsidR="00664420" w:rsidRPr="00A47593">
        <w:rPr>
          <w:rFonts w:cs="Tahoma"/>
        </w:rPr>
        <w:t xml:space="preserve"> </w:t>
      </w:r>
      <w:r w:rsidR="009A2B26" w:rsidRPr="00A47593">
        <w:rPr>
          <w:rFonts w:cs="Tahoma"/>
          <w:b/>
          <w:bCs/>
        </w:rPr>
        <w:t>diecinueve de agosto</w:t>
      </w:r>
      <w:r w:rsidR="006D1510" w:rsidRPr="00A47593">
        <w:rPr>
          <w:rFonts w:cs="Tahoma"/>
          <w:b/>
          <w:bCs/>
        </w:rPr>
        <w:t xml:space="preserve"> de dos mil veinticuatro</w:t>
      </w:r>
      <w:r w:rsidR="00664420" w:rsidRPr="00A47593">
        <w:rPr>
          <w:rFonts w:cs="Tahoma"/>
        </w:rPr>
        <w:t xml:space="preserve">, </w:t>
      </w:r>
      <w:r w:rsidRPr="00A47593">
        <w:rPr>
          <w:b/>
          <w:bCs/>
        </w:rPr>
        <w:t>LA PARTE RECURRENTE</w:t>
      </w:r>
      <w:r w:rsidR="00664420" w:rsidRPr="00A47593">
        <w:rPr>
          <w:rFonts w:cs="Tahoma"/>
        </w:rPr>
        <w:t xml:space="preserve"> presentó una solicitud de acceso a la información pública </w:t>
      </w:r>
      <w:r w:rsidR="001F3515" w:rsidRPr="00A47593">
        <w:rPr>
          <w:rFonts w:cs="Tahoma"/>
        </w:rPr>
        <w:t xml:space="preserve">ante el </w:t>
      </w:r>
      <w:r w:rsidR="001F3515" w:rsidRPr="00A47593">
        <w:rPr>
          <w:rFonts w:cs="Tahoma"/>
          <w:b/>
          <w:bCs/>
        </w:rPr>
        <w:t>SUJETO OBLIGADO</w:t>
      </w:r>
      <w:r w:rsidR="001F3515" w:rsidRPr="00A47593">
        <w:rPr>
          <w:rFonts w:cs="Tahoma"/>
        </w:rPr>
        <w:t xml:space="preserve">, </w:t>
      </w:r>
      <w:r w:rsidR="00664420" w:rsidRPr="00A47593">
        <w:rPr>
          <w:rFonts w:cs="Tahoma"/>
        </w:rPr>
        <w:t>a través de</w:t>
      </w:r>
      <w:r w:rsidRPr="00A47593">
        <w:rPr>
          <w:rFonts w:cs="Tahoma"/>
        </w:rPr>
        <w:t xml:space="preserve"> la Plataforma Nacional de </w:t>
      </w:r>
      <w:r w:rsidR="00380417" w:rsidRPr="00A47593">
        <w:rPr>
          <w:rFonts w:cs="Tahoma"/>
        </w:rPr>
        <w:t>T</w:t>
      </w:r>
      <w:r w:rsidRPr="00A47593">
        <w:rPr>
          <w:rFonts w:cs="Tahoma"/>
        </w:rPr>
        <w:t>ransparencia</w:t>
      </w:r>
      <w:r w:rsidR="00380417" w:rsidRPr="00A47593">
        <w:rPr>
          <w:rFonts w:cs="Tahoma"/>
        </w:rPr>
        <w:t xml:space="preserve"> (PNT)</w:t>
      </w:r>
      <w:r w:rsidRPr="00A47593">
        <w:rPr>
          <w:rFonts w:cs="Tahoma"/>
        </w:rPr>
        <w:t>, misma que se encuentra vinculada con el Sistema de Acceso a la Información Mexiquense</w:t>
      </w:r>
      <w:r w:rsidR="009A2D78" w:rsidRPr="00A47593">
        <w:rPr>
          <w:rFonts w:cs="Tahoma"/>
        </w:rPr>
        <w:t xml:space="preserve"> (</w:t>
      </w:r>
      <w:r w:rsidRPr="00A47593">
        <w:rPr>
          <w:rFonts w:cs="Tahoma"/>
        </w:rPr>
        <w:t>SAIMEX</w:t>
      </w:r>
      <w:r w:rsidR="009A2D78" w:rsidRPr="00A47593">
        <w:rPr>
          <w:rFonts w:cs="Tahoma"/>
        </w:rPr>
        <w:t>). Dicha solicitud quedó</w:t>
      </w:r>
      <w:r w:rsidRPr="00A47593">
        <w:rPr>
          <w:rFonts w:cs="Tahoma"/>
        </w:rPr>
        <w:t xml:space="preserve"> registrada c</w:t>
      </w:r>
      <w:r w:rsidR="00664420" w:rsidRPr="00A47593">
        <w:rPr>
          <w:rFonts w:cs="Tahoma"/>
        </w:rPr>
        <w:t>on el número de folio</w:t>
      </w:r>
      <w:r w:rsidR="00664420" w:rsidRPr="00A47593">
        <w:rPr>
          <w:rFonts w:cs="Tahoma"/>
          <w:b/>
          <w:bCs/>
        </w:rPr>
        <w:t xml:space="preserve"> </w:t>
      </w:r>
      <w:r w:rsidR="009A2B26" w:rsidRPr="00A47593">
        <w:rPr>
          <w:rFonts w:cs="Tahoma"/>
          <w:b/>
          <w:bCs/>
        </w:rPr>
        <w:t>01153/ECATEPEC/IP/2024</w:t>
      </w:r>
      <w:r w:rsidR="00F65E18" w:rsidRPr="00A47593">
        <w:rPr>
          <w:rFonts w:cs="Tahoma"/>
          <w:b/>
          <w:bCs/>
        </w:rPr>
        <w:t xml:space="preserve"> </w:t>
      </w:r>
      <w:r w:rsidR="002A3601" w:rsidRPr="00A47593">
        <w:rPr>
          <w:rFonts w:cs="Tahoma"/>
        </w:rPr>
        <w:t xml:space="preserve">y en ella </w:t>
      </w:r>
      <w:r w:rsidR="009A2D78" w:rsidRPr="00A47593">
        <w:rPr>
          <w:rFonts w:cs="Tahoma"/>
        </w:rPr>
        <w:t>se requirió la siguiente información:</w:t>
      </w:r>
    </w:p>
    <w:p w14:paraId="0459D6AC" w14:textId="77777777" w:rsidR="00664420" w:rsidRPr="00A47593" w:rsidRDefault="00664420" w:rsidP="00A47593">
      <w:pPr>
        <w:tabs>
          <w:tab w:val="left" w:pos="4667"/>
        </w:tabs>
        <w:ind w:left="567" w:right="567"/>
        <w:rPr>
          <w:rFonts w:cs="Tahoma"/>
          <w:b/>
          <w:bCs/>
        </w:rPr>
      </w:pPr>
    </w:p>
    <w:p w14:paraId="64B27DE3" w14:textId="22C72F63" w:rsidR="00664420" w:rsidRPr="00A47593" w:rsidRDefault="006D1510" w:rsidP="00A47593">
      <w:pPr>
        <w:pStyle w:val="Puesto"/>
        <w:ind w:left="851" w:right="822"/>
      </w:pPr>
      <w:r w:rsidRPr="00A47593">
        <w:t>“</w:t>
      </w:r>
      <w:r w:rsidR="00A125C7" w:rsidRPr="00A47593">
        <w:t xml:space="preserve">El señor </w:t>
      </w:r>
      <w:r w:rsidR="001524CF">
        <w:t>XXXXXXX XXXXXX XXXXX</w:t>
      </w:r>
      <w:r w:rsidR="00A125C7" w:rsidRPr="00A47593">
        <w:t xml:space="preserve">, mediante contrato de vender y comprar adquirió de </w:t>
      </w:r>
      <w:r w:rsidR="001524CF">
        <w:t>XXXXXXXX</w:t>
      </w:r>
      <w:r w:rsidR="00A125C7" w:rsidRPr="00A47593">
        <w:t xml:space="preserve"> el lote de terreno de la manzana 139, de la Sección Fuentes del Fraccionamiento Jardines de Morelos, como se puede apreciar del contrato que </w:t>
      </w:r>
      <w:r w:rsidR="00A125C7" w:rsidRPr="00A47593">
        <w:lastRenderedPageBreak/>
        <w:t xml:space="preserve">adjunto. En 15 de septiembre de 2015 adquirí mediante contrato privado de promesa de compraventa el inmueble ubicado en el lote 12 de la manzana 139, calle Fuente de Hércules, Colonia Jardines de Morelos, Sección Fuentes de Ecatepec, Estado de México, como se puede apreciar del contrato de compraventa que adjunto. Al revisar en el Instituto de la Función Registral del Estado de México me arroja el resultado que el Titular registral es </w:t>
      </w:r>
      <w:r w:rsidR="001524CF">
        <w:t>XXXXXXXX</w:t>
      </w:r>
      <w:r w:rsidR="00A125C7" w:rsidRPr="00A47593">
        <w:t xml:space="preserve">, S.A. de C.V. </w:t>
      </w:r>
      <w:r w:rsidR="001524CF">
        <w:t>XXXXXXXX</w:t>
      </w:r>
      <w:r w:rsidR="00A125C7" w:rsidRPr="00A47593">
        <w:t xml:space="preserve">, S.A. de C.V.se encuentra en proceso de liquidación por el Instituto para Devolverle al Pueblo l Robado. Tengo conocimiento de que existe un convenio de Cesión de Derechos entre </w:t>
      </w:r>
      <w:bookmarkStart w:id="5" w:name="_GoBack"/>
      <w:r w:rsidR="001524CF">
        <w:t>XXXXXXXX</w:t>
      </w:r>
      <w:bookmarkEnd w:id="5"/>
      <w:r w:rsidR="00A125C7" w:rsidRPr="00A47593">
        <w:t xml:space="preserve"> y el Municipio de Ecatepec, Estado de México. Expuesto lo anterior, deseo me informe: Quien es la autoridad competente para llevar a cabo el proceso de escrituración del Inmueble ubicado en el lote 12 de la manzana 139, calle Fuente de Hércules, Colonia Jardines de Morelos, Sección Fuentes de Ecatepec, Estado de México. Que requisitos debo de cumplir para que se me haga entrega de la escritora del inmueble ubicado en el lote 12 de la manzana 139, calle Fuente de Hércules, Colonia Jardines de Morelos, Sección Fuentes de Ecatepec, Estado de México. Cuál es el costo a cubrir por la escrituración del inmueble ubicado en el lote 12 de la manzana 139, calle Fuente de Hércules, Colonia Jardines de Morelos, Sección Fuentes de Ecatepec, Estado de México. El tiempo en que se lleva a cabo este proceso de escrituración. Adjunto copia de mi credencial de elector a efecto de que sea corroborada la personalidad del que suscribe.</w:t>
      </w:r>
      <w:r w:rsidRPr="00A47593">
        <w:t>” (Sic)</w:t>
      </w:r>
    </w:p>
    <w:p w14:paraId="1C5A84AB" w14:textId="77777777" w:rsidR="00F65E18" w:rsidRPr="00A47593" w:rsidRDefault="00F65E18" w:rsidP="00A47593">
      <w:pPr>
        <w:tabs>
          <w:tab w:val="left" w:pos="4667"/>
        </w:tabs>
        <w:ind w:right="-28"/>
        <w:rPr>
          <w:rFonts w:eastAsiaTheme="majorEastAsia" w:cstheme="majorBidi"/>
          <w:iCs/>
          <w:kern w:val="28"/>
          <w:szCs w:val="56"/>
        </w:rPr>
      </w:pPr>
    </w:p>
    <w:p w14:paraId="0BD6321D" w14:textId="0DDC07E5" w:rsidR="00664420" w:rsidRPr="00A47593" w:rsidRDefault="009A2D78" w:rsidP="00A47593">
      <w:pPr>
        <w:tabs>
          <w:tab w:val="left" w:pos="4667"/>
        </w:tabs>
        <w:ind w:left="567" w:right="567"/>
        <w:rPr>
          <w:rFonts w:cs="Tahoma"/>
          <w:bCs/>
          <w:szCs w:val="22"/>
        </w:rPr>
      </w:pPr>
      <w:r w:rsidRPr="00A47593">
        <w:rPr>
          <w:rFonts w:cs="Tahoma"/>
          <w:b/>
          <w:bCs/>
          <w:szCs w:val="22"/>
        </w:rPr>
        <w:t>Modalidad de entrega</w:t>
      </w:r>
      <w:r w:rsidRPr="00A47593">
        <w:rPr>
          <w:rFonts w:cs="Tahoma"/>
          <w:bCs/>
          <w:szCs w:val="22"/>
        </w:rPr>
        <w:t>: a</w:t>
      </w:r>
      <w:r w:rsidR="00664420" w:rsidRPr="00A47593">
        <w:rPr>
          <w:rFonts w:cs="Tahoma"/>
          <w:bCs/>
          <w:i/>
          <w:szCs w:val="22"/>
        </w:rPr>
        <w:t xml:space="preserve"> través del SAIMEX</w:t>
      </w:r>
      <w:r w:rsidR="00F65E18" w:rsidRPr="00A47593">
        <w:rPr>
          <w:rFonts w:cs="Tahoma"/>
          <w:bCs/>
          <w:i/>
          <w:szCs w:val="22"/>
        </w:rPr>
        <w:t xml:space="preserve"> y Correo Electrónico</w:t>
      </w:r>
      <w:r w:rsidRPr="00A47593">
        <w:rPr>
          <w:rFonts w:cs="Tahoma"/>
          <w:bCs/>
          <w:i/>
          <w:szCs w:val="22"/>
        </w:rPr>
        <w:t>.</w:t>
      </w:r>
    </w:p>
    <w:p w14:paraId="334D2860" w14:textId="77777777" w:rsidR="00664420" w:rsidRPr="00A47593" w:rsidRDefault="00664420" w:rsidP="00A47593">
      <w:pPr>
        <w:autoSpaceDE w:val="0"/>
        <w:autoSpaceDN w:val="0"/>
        <w:adjustRightInd w:val="0"/>
        <w:ind w:right="-28"/>
        <w:rPr>
          <w:rFonts w:cs="Tahoma"/>
          <w:bCs/>
          <w:i/>
          <w:szCs w:val="22"/>
        </w:rPr>
      </w:pPr>
    </w:p>
    <w:p w14:paraId="5AC1EE52" w14:textId="34C34E77" w:rsidR="00D036D3" w:rsidRPr="00A47593" w:rsidRDefault="00E37A3F" w:rsidP="00A47593">
      <w:pPr>
        <w:pStyle w:val="Ttulo3"/>
      </w:pPr>
      <w:bookmarkStart w:id="6" w:name="_Toc179394847"/>
      <w:r w:rsidRPr="00A47593">
        <w:t xml:space="preserve">b) </w:t>
      </w:r>
      <w:r w:rsidR="00D036D3" w:rsidRPr="00A47593">
        <w:t>Turno de la solicitud de información</w:t>
      </w:r>
      <w:bookmarkEnd w:id="6"/>
    </w:p>
    <w:p w14:paraId="7CEE6F8C" w14:textId="2689E403" w:rsidR="007D1C55" w:rsidRPr="00A47593" w:rsidRDefault="00D036D3" w:rsidP="00A47593">
      <w:r w:rsidRPr="00A47593">
        <w:t xml:space="preserve">En cumplimiento al artículo 162 de la Ley de Transparencia y Acceso a la Información Pública del Estado de México y Municipios, el </w:t>
      </w:r>
      <w:r w:rsidR="009A2B26" w:rsidRPr="00A47593">
        <w:rPr>
          <w:rFonts w:eastAsia="Palatino Linotype" w:cs="Palatino Linotype"/>
          <w:b/>
        </w:rPr>
        <w:t>veintiuno de agosto</w:t>
      </w:r>
      <w:r w:rsidR="00002238" w:rsidRPr="00A47593">
        <w:rPr>
          <w:rFonts w:eastAsia="Palatino Linotype" w:cs="Palatino Linotype"/>
          <w:b/>
        </w:rPr>
        <w:t xml:space="preserve"> de dos mil veinticuatro</w:t>
      </w:r>
      <w:r w:rsidRPr="00A47593">
        <w:t>, l</w:t>
      </w:r>
      <w:r w:rsidR="00F65E18" w:rsidRPr="00A47593">
        <w:t>a</w:t>
      </w:r>
      <w:r w:rsidRPr="00A47593">
        <w:t xml:space="preserve"> Titular de la Unidad de Transparencia del </w:t>
      </w:r>
      <w:r w:rsidRPr="00A47593">
        <w:rPr>
          <w:b/>
        </w:rPr>
        <w:t>SUJETO OBLIGADO</w:t>
      </w:r>
      <w:r w:rsidRPr="00A47593">
        <w:t xml:space="preserve"> turnó la solicitud de información al</w:t>
      </w:r>
      <w:r w:rsidR="007D1C55" w:rsidRPr="00A47593">
        <w:t xml:space="preserve"> </w:t>
      </w:r>
      <w:r w:rsidRPr="00A47593">
        <w:t>servidor público habilitado</w:t>
      </w:r>
      <w:r w:rsidR="00002238" w:rsidRPr="00A47593">
        <w:t xml:space="preserve"> </w:t>
      </w:r>
      <w:r w:rsidRPr="00A47593">
        <w:t>que estimó pertinente</w:t>
      </w:r>
      <w:r w:rsidR="007D1C55" w:rsidRPr="00A47593">
        <w:t>.</w:t>
      </w:r>
    </w:p>
    <w:p w14:paraId="7B667FC9" w14:textId="77777777" w:rsidR="007D1C55" w:rsidRPr="00A47593" w:rsidRDefault="007D1C55" w:rsidP="00A47593"/>
    <w:p w14:paraId="3212BA4D" w14:textId="5BB333AE" w:rsidR="00664420" w:rsidRPr="00A47593" w:rsidRDefault="00002238" w:rsidP="00A47593">
      <w:pPr>
        <w:pStyle w:val="Ttulo3"/>
        <w:rPr>
          <w:rFonts w:eastAsia="Calibri"/>
          <w:lang w:eastAsia="en-US"/>
        </w:rPr>
      </w:pPr>
      <w:bookmarkStart w:id="7" w:name="_Toc179394848"/>
      <w:r w:rsidRPr="00A47593">
        <w:rPr>
          <w:lang w:val="es-ES"/>
        </w:rPr>
        <w:lastRenderedPageBreak/>
        <w:t>c</w:t>
      </w:r>
      <w:r w:rsidR="00E37A3F" w:rsidRPr="00A47593">
        <w:rPr>
          <w:lang w:val="es-ES"/>
        </w:rPr>
        <w:t xml:space="preserve">) </w:t>
      </w:r>
      <w:r w:rsidR="00664420" w:rsidRPr="00A47593">
        <w:rPr>
          <w:lang w:val="es-ES"/>
        </w:rPr>
        <w:t xml:space="preserve">Respuesta </w:t>
      </w:r>
      <w:r w:rsidR="00664420" w:rsidRPr="00A47593">
        <w:rPr>
          <w:rFonts w:eastAsia="Calibri"/>
          <w:lang w:eastAsia="en-US"/>
        </w:rPr>
        <w:t>del Sujeto Obligado</w:t>
      </w:r>
      <w:bookmarkEnd w:id="7"/>
    </w:p>
    <w:p w14:paraId="63B5BEA9" w14:textId="2C951010" w:rsidR="00AC2B99" w:rsidRPr="00A47593" w:rsidRDefault="00AC2B99" w:rsidP="00A47593">
      <w:pPr>
        <w:rPr>
          <w:rFonts w:cs="Arial"/>
        </w:rPr>
      </w:pPr>
      <w:r w:rsidRPr="00A47593">
        <w:t xml:space="preserve">De las constancias que obran en el </w:t>
      </w:r>
      <w:r w:rsidRPr="00A47593">
        <w:rPr>
          <w:b/>
        </w:rPr>
        <w:t>SAIMEX,</w:t>
      </w:r>
      <w:r w:rsidRPr="00A47593">
        <w:t xml:space="preserve"> se advierte que </w:t>
      </w:r>
      <w:r w:rsidRPr="00A47593">
        <w:rPr>
          <w:rFonts w:cs="Arial"/>
          <w:b/>
        </w:rPr>
        <w:t>EL SUJETO OBLIGADO</w:t>
      </w:r>
      <w:r w:rsidRPr="00A47593">
        <w:rPr>
          <w:rFonts w:cs="Arial"/>
        </w:rPr>
        <w:t xml:space="preserve"> no entregó la respuesta a la solicitud de Información Pública realizada por </w:t>
      </w:r>
      <w:r w:rsidRPr="00A47593">
        <w:rPr>
          <w:b/>
          <w:bCs/>
        </w:rPr>
        <w:t>LA PARTE RECURRENTE</w:t>
      </w:r>
      <w:r w:rsidRPr="00A47593">
        <w:rPr>
          <w:rFonts w:cs="Arial"/>
        </w:rPr>
        <w:t>.</w:t>
      </w:r>
    </w:p>
    <w:p w14:paraId="2C78354F" w14:textId="77777777" w:rsidR="00664420" w:rsidRPr="00A47593" w:rsidRDefault="00664420" w:rsidP="00A47593">
      <w:pPr>
        <w:autoSpaceDE w:val="0"/>
        <w:autoSpaceDN w:val="0"/>
        <w:adjustRightInd w:val="0"/>
        <w:ind w:right="-28"/>
        <w:rPr>
          <w:rFonts w:cs="Tahoma"/>
          <w:bCs/>
          <w:szCs w:val="22"/>
          <w:lang w:val="es-ES"/>
        </w:rPr>
      </w:pPr>
    </w:p>
    <w:p w14:paraId="5A5DAB9E" w14:textId="77777777" w:rsidR="00E37A3F" w:rsidRPr="00A47593" w:rsidRDefault="00E37A3F" w:rsidP="00A47593">
      <w:pPr>
        <w:pStyle w:val="Ttulo2"/>
        <w:jc w:val="left"/>
      </w:pPr>
      <w:bookmarkStart w:id="8" w:name="_Toc179394849"/>
      <w:r w:rsidRPr="00A47593">
        <w:t>DEL RECURSO DE REVISIÓN</w:t>
      </w:r>
      <w:bookmarkEnd w:id="8"/>
    </w:p>
    <w:p w14:paraId="0B17CD08" w14:textId="77777777" w:rsidR="00664420" w:rsidRPr="00A47593" w:rsidRDefault="00664420" w:rsidP="00A47593">
      <w:pPr>
        <w:autoSpaceDE w:val="0"/>
        <w:autoSpaceDN w:val="0"/>
        <w:adjustRightInd w:val="0"/>
        <w:ind w:right="-28"/>
        <w:rPr>
          <w:rFonts w:cs="Tahoma"/>
          <w:bCs/>
          <w:szCs w:val="22"/>
          <w:lang w:val="es-ES"/>
        </w:rPr>
      </w:pPr>
    </w:p>
    <w:p w14:paraId="2B216813" w14:textId="61ADBB2B" w:rsidR="00664420" w:rsidRPr="00A47593" w:rsidRDefault="006E25BC" w:rsidP="00A47593">
      <w:pPr>
        <w:pStyle w:val="Ttulo3"/>
      </w:pPr>
      <w:bookmarkStart w:id="9" w:name="_Toc179394850"/>
      <w:r w:rsidRPr="00A47593">
        <w:rPr>
          <w:szCs w:val="32"/>
        </w:rPr>
        <w:t>a)</w:t>
      </w:r>
      <w:r w:rsidRPr="00A47593">
        <w:t xml:space="preserve"> </w:t>
      </w:r>
      <w:r w:rsidR="00664420" w:rsidRPr="00A47593">
        <w:t>Interposición del Recurso de Revisión</w:t>
      </w:r>
      <w:bookmarkEnd w:id="9"/>
    </w:p>
    <w:p w14:paraId="6279C622" w14:textId="10593B11" w:rsidR="00664420" w:rsidRPr="00A47593" w:rsidRDefault="00664420" w:rsidP="00A47593">
      <w:pPr>
        <w:autoSpaceDE w:val="0"/>
        <w:autoSpaceDN w:val="0"/>
        <w:adjustRightInd w:val="0"/>
        <w:ind w:right="-28"/>
        <w:rPr>
          <w:rFonts w:cs="Tahoma"/>
          <w:szCs w:val="22"/>
        </w:rPr>
      </w:pPr>
      <w:r w:rsidRPr="00A47593">
        <w:rPr>
          <w:rFonts w:cs="Tahoma"/>
          <w:szCs w:val="22"/>
        </w:rPr>
        <w:t xml:space="preserve">El </w:t>
      </w:r>
      <w:r w:rsidR="009A2B26" w:rsidRPr="00A47593">
        <w:rPr>
          <w:rFonts w:cs="Tahoma"/>
          <w:b/>
          <w:bCs/>
          <w:szCs w:val="22"/>
        </w:rPr>
        <w:t xml:space="preserve">diez de </w:t>
      </w:r>
      <w:r w:rsidR="00622D73" w:rsidRPr="00A47593">
        <w:rPr>
          <w:rFonts w:cs="Tahoma"/>
          <w:b/>
          <w:bCs/>
          <w:szCs w:val="22"/>
        </w:rPr>
        <w:t>septiembre</w:t>
      </w:r>
      <w:r w:rsidR="009A2B26" w:rsidRPr="00A47593">
        <w:rPr>
          <w:rFonts w:cs="Tahoma"/>
          <w:b/>
          <w:bCs/>
          <w:szCs w:val="22"/>
        </w:rPr>
        <w:t xml:space="preserve"> </w:t>
      </w:r>
      <w:r w:rsidR="00AC2B99" w:rsidRPr="00A47593">
        <w:rPr>
          <w:rFonts w:cs="Tahoma"/>
          <w:b/>
          <w:bCs/>
          <w:szCs w:val="22"/>
        </w:rPr>
        <w:t>de dos mil veinticuatro,</w:t>
      </w:r>
      <w:r w:rsidRPr="00A47593">
        <w:rPr>
          <w:rFonts w:cs="Tahoma"/>
          <w:szCs w:val="22"/>
        </w:rPr>
        <w:t xml:space="preserve"> </w:t>
      </w:r>
      <w:r w:rsidR="00F75D23" w:rsidRPr="00A47593">
        <w:rPr>
          <w:rFonts w:cs="Tahoma"/>
          <w:b/>
          <w:bCs/>
          <w:szCs w:val="22"/>
        </w:rPr>
        <w:t>LA PARTE RECURRENTE</w:t>
      </w:r>
      <w:r w:rsidR="00F75D23" w:rsidRPr="00A47593">
        <w:rPr>
          <w:rFonts w:cs="Tahoma"/>
          <w:szCs w:val="22"/>
        </w:rPr>
        <w:t xml:space="preserve"> </w:t>
      </w:r>
      <w:r w:rsidR="00AC2B99" w:rsidRPr="00A47593">
        <w:rPr>
          <w:rFonts w:cs="Tahoma"/>
          <w:szCs w:val="22"/>
        </w:rPr>
        <w:t>inconforme por la falta de respuesta d</w:t>
      </w:r>
      <w:r w:rsidR="00F75D23" w:rsidRPr="00A47593">
        <w:rPr>
          <w:rFonts w:cs="Tahoma"/>
          <w:szCs w:val="22"/>
        </w:rPr>
        <w:t xml:space="preserve">el </w:t>
      </w:r>
      <w:r w:rsidR="00F75D23" w:rsidRPr="00A47593">
        <w:rPr>
          <w:rFonts w:cs="Tahoma"/>
          <w:b/>
          <w:bCs/>
          <w:szCs w:val="22"/>
        </w:rPr>
        <w:t>SUJETO OBLIGADO</w:t>
      </w:r>
      <w:r w:rsidR="00953430" w:rsidRPr="00A47593">
        <w:rPr>
          <w:rFonts w:cs="Tahoma"/>
          <w:szCs w:val="22"/>
        </w:rPr>
        <w:t xml:space="preserve">, </w:t>
      </w:r>
      <w:r w:rsidR="00AC2B99" w:rsidRPr="00A47593">
        <w:rPr>
          <w:rFonts w:cs="Tahoma"/>
          <w:szCs w:val="22"/>
        </w:rPr>
        <w:t xml:space="preserve">interpuso el recurso de revisión </w:t>
      </w:r>
      <w:r w:rsidR="00953430" w:rsidRPr="00A47593">
        <w:rPr>
          <w:rFonts w:cs="Tahoma"/>
          <w:szCs w:val="22"/>
        </w:rPr>
        <w:t xml:space="preserve">mismo que fue registrado en el SAIMEX con el número de expediente </w:t>
      </w:r>
      <w:r w:rsidR="00A125C7" w:rsidRPr="00A47593">
        <w:rPr>
          <w:rFonts w:cs="Tahoma"/>
          <w:b/>
          <w:bCs/>
          <w:szCs w:val="22"/>
        </w:rPr>
        <w:t>05577/INFOEM/IP/RR/2024</w:t>
      </w:r>
      <w:r w:rsidR="00953430" w:rsidRPr="00A47593">
        <w:rPr>
          <w:rFonts w:cs="Tahoma"/>
          <w:szCs w:val="22"/>
        </w:rPr>
        <w:t>, y en el cual manifiesta lo siguiente</w:t>
      </w:r>
      <w:r w:rsidRPr="00A47593">
        <w:rPr>
          <w:rFonts w:cs="Tahoma"/>
          <w:szCs w:val="22"/>
        </w:rPr>
        <w:t>:</w:t>
      </w:r>
    </w:p>
    <w:p w14:paraId="74B30008" w14:textId="77777777" w:rsidR="00664420" w:rsidRPr="00A47593" w:rsidRDefault="00664420" w:rsidP="00A47593">
      <w:pPr>
        <w:tabs>
          <w:tab w:val="left" w:pos="4667"/>
        </w:tabs>
        <w:ind w:right="539"/>
        <w:rPr>
          <w:rFonts w:cs="Tahoma"/>
          <w:szCs w:val="22"/>
        </w:rPr>
      </w:pPr>
    </w:p>
    <w:p w14:paraId="12153283" w14:textId="62207ED8" w:rsidR="00664420" w:rsidRPr="00A47593" w:rsidRDefault="00664420" w:rsidP="00A47593">
      <w:pPr>
        <w:tabs>
          <w:tab w:val="left" w:pos="4667"/>
        </w:tabs>
        <w:ind w:left="567" w:right="539"/>
        <w:rPr>
          <w:rFonts w:cs="Tahoma"/>
          <w:b/>
          <w:iCs/>
        </w:rPr>
      </w:pPr>
      <w:r w:rsidRPr="00A47593">
        <w:rPr>
          <w:rFonts w:cs="Tahoma"/>
          <w:b/>
          <w:iCs/>
        </w:rPr>
        <w:t>ACTO IMPUGNADO</w:t>
      </w:r>
    </w:p>
    <w:p w14:paraId="07613CC8" w14:textId="77777777" w:rsidR="0087127C" w:rsidRPr="00A47593" w:rsidRDefault="0087127C" w:rsidP="00A47593">
      <w:pPr>
        <w:tabs>
          <w:tab w:val="left" w:pos="4667"/>
        </w:tabs>
        <w:ind w:left="567" w:right="539"/>
        <w:rPr>
          <w:rFonts w:cs="Tahoma"/>
          <w:b/>
          <w:iCs/>
        </w:rPr>
      </w:pPr>
    </w:p>
    <w:p w14:paraId="523F8BF4" w14:textId="04C06ECE" w:rsidR="00664420" w:rsidRPr="00A47593" w:rsidRDefault="00F65E18" w:rsidP="00A47593">
      <w:pPr>
        <w:pStyle w:val="Puesto"/>
      </w:pPr>
      <w:r w:rsidRPr="00A47593">
        <w:t>“</w:t>
      </w:r>
      <w:r w:rsidR="009A2B26" w:rsidRPr="00A47593">
        <w:t>No se dio respuesta a a mi solicitud de informacion, violentando mis derechos humanos.</w:t>
      </w:r>
      <w:r w:rsidRPr="00A47593">
        <w:t>” (Sic)</w:t>
      </w:r>
    </w:p>
    <w:p w14:paraId="19C3FD26" w14:textId="1D0C50A8" w:rsidR="00AC2B99" w:rsidRPr="00A47593" w:rsidRDefault="00AC2B99" w:rsidP="00A47593">
      <w:pPr>
        <w:tabs>
          <w:tab w:val="left" w:pos="4667"/>
        </w:tabs>
        <w:ind w:right="539"/>
        <w:rPr>
          <w:rFonts w:cs="Tahoma"/>
          <w:bCs/>
          <w:i/>
        </w:rPr>
      </w:pPr>
    </w:p>
    <w:p w14:paraId="5027B94A" w14:textId="51DF3937" w:rsidR="00C175A7" w:rsidRPr="00A47593" w:rsidRDefault="00C175A7" w:rsidP="00A47593">
      <w:pPr>
        <w:widowControl w:val="0"/>
        <w:autoSpaceDE w:val="0"/>
        <w:autoSpaceDN w:val="0"/>
        <w:adjustRightInd w:val="0"/>
        <w:ind w:right="49"/>
        <w:rPr>
          <w:rFonts w:eastAsia="Palatino Linotype" w:cs="Palatino Linotype"/>
          <w:lang w:eastAsia="es-MX"/>
        </w:rPr>
      </w:pPr>
      <w:r w:rsidRPr="00A47593">
        <w:rPr>
          <w:rFonts w:cs="Arial"/>
        </w:rPr>
        <w:t xml:space="preserve">Es importante destacar que </w:t>
      </w:r>
      <w:r w:rsidRPr="00A47593">
        <w:rPr>
          <w:rFonts w:cs="Tahoma"/>
          <w:b/>
          <w:bCs/>
          <w:szCs w:val="22"/>
        </w:rPr>
        <w:t>LA PARTE RECURRENTE</w:t>
      </w:r>
      <w:r w:rsidRPr="00A47593">
        <w:rPr>
          <w:rFonts w:cs="Tahoma"/>
          <w:szCs w:val="22"/>
        </w:rPr>
        <w:t xml:space="preserve"> </w:t>
      </w:r>
      <w:r w:rsidRPr="00A47593">
        <w:rPr>
          <w:rFonts w:cs="Arial"/>
        </w:rPr>
        <w:t>no manifestó r</w:t>
      </w:r>
      <w:r w:rsidRPr="00A47593">
        <w:rPr>
          <w:rFonts w:eastAsia="Palatino Linotype" w:cs="Palatino Linotype"/>
          <w:lang w:eastAsia="es-MX"/>
        </w:rPr>
        <w:t xml:space="preserve">azones o motivos de inconformidad, así mismo adjuntó el archivo electrónico denominado </w:t>
      </w:r>
      <w:r w:rsidRPr="00A47593">
        <w:rPr>
          <w:rFonts w:eastAsia="Palatino Linotype" w:cs="Palatino Linotype"/>
          <w:i/>
          <w:iCs/>
          <w:lang w:eastAsia="es-MX"/>
        </w:rPr>
        <w:t>“</w:t>
      </w:r>
      <w:r w:rsidR="009A2B26" w:rsidRPr="00A47593">
        <w:rPr>
          <w:rFonts w:eastAsia="Palatino Linotype" w:cs="Palatino Linotype"/>
          <w:i/>
          <w:iCs/>
          <w:lang w:eastAsia="es-MX"/>
        </w:rPr>
        <w:t>Archivo1726004345205null</w:t>
      </w:r>
      <w:r w:rsidRPr="00A47593">
        <w:rPr>
          <w:rFonts w:eastAsia="Palatino Linotype" w:cs="Palatino Linotype"/>
          <w:i/>
          <w:iCs/>
          <w:lang w:eastAsia="es-MX"/>
        </w:rPr>
        <w:t>”</w:t>
      </w:r>
      <w:r w:rsidRPr="00A47593">
        <w:rPr>
          <w:rFonts w:eastAsia="Palatino Linotype" w:cs="Palatino Linotype"/>
          <w:lang w:eastAsia="es-MX"/>
        </w:rPr>
        <w:t>, cuyo contenido no puede reproducirse tal y como se aprecia en la siguiente imagen:</w:t>
      </w:r>
    </w:p>
    <w:p w14:paraId="7C7EF945" w14:textId="459705BC" w:rsidR="00AC2B99" w:rsidRPr="00A47593" w:rsidRDefault="00AC2B99" w:rsidP="00A47593">
      <w:pPr>
        <w:tabs>
          <w:tab w:val="left" w:pos="4667"/>
        </w:tabs>
        <w:ind w:right="113"/>
        <w:rPr>
          <w:rFonts w:cs="Tahoma"/>
          <w:bCs/>
          <w:i/>
        </w:rPr>
      </w:pPr>
    </w:p>
    <w:p w14:paraId="4DC3CEE5" w14:textId="66A56B86" w:rsidR="00AC2B99" w:rsidRPr="00A47593" w:rsidRDefault="009A2B26" w:rsidP="00A47593">
      <w:pPr>
        <w:tabs>
          <w:tab w:val="left" w:pos="4667"/>
        </w:tabs>
        <w:ind w:right="-28"/>
        <w:jc w:val="center"/>
        <w:rPr>
          <w:rFonts w:cs="Tahoma"/>
          <w:bCs/>
          <w:i/>
        </w:rPr>
      </w:pPr>
      <w:r w:rsidRPr="00A47593">
        <w:rPr>
          <w:rFonts w:cs="Tahoma"/>
          <w:bCs/>
          <w:i/>
          <w:noProof/>
          <w:lang w:eastAsia="es-MX"/>
        </w:rPr>
        <w:lastRenderedPageBreak/>
        <w:drawing>
          <wp:inline distT="0" distB="0" distL="0" distR="0" wp14:anchorId="731ADAEE" wp14:editId="684DC1D6">
            <wp:extent cx="4867954" cy="169568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67954" cy="1695687"/>
                    </a:xfrm>
                    <a:prstGeom prst="rect">
                      <a:avLst/>
                    </a:prstGeom>
                  </pic:spPr>
                </pic:pic>
              </a:graphicData>
            </a:graphic>
          </wp:inline>
        </w:drawing>
      </w:r>
    </w:p>
    <w:p w14:paraId="6D02F22C" w14:textId="77777777" w:rsidR="00C175A7" w:rsidRPr="00A47593" w:rsidRDefault="00C175A7" w:rsidP="00A47593">
      <w:pPr>
        <w:tabs>
          <w:tab w:val="left" w:pos="4667"/>
        </w:tabs>
        <w:ind w:right="539"/>
        <w:rPr>
          <w:rFonts w:cs="Tahoma"/>
          <w:bCs/>
          <w:i/>
        </w:rPr>
      </w:pPr>
    </w:p>
    <w:p w14:paraId="6804DEF1" w14:textId="0B5250E7" w:rsidR="00664420" w:rsidRPr="00A47593" w:rsidRDefault="006E25BC" w:rsidP="00A47593">
      <w:pPr>
        <w:pStyle w:val="Ttulo3"/>
      </w:pPr>
      <w:bookmarkStart w:id="10" w:name="_Toc179394851"/>
      <w:r w:rsidRPr="00A47593">
        <w:t>b</w:t>
      </w:r>
      <w:r w:rsidR="00664420" w:rsidRPr="00A47593">
        <w:t>) Turno del Recurso de Revisión</w:t>
      </w:r>
      <w:bookmarkEnd w:id="10"/>
    </w:p>
    <w:p w14:paraId="1173671B" w14:textId="16D5C4F0" w:rsidR="00C72DAA" w:rsidRPr="00A47593" w:rsidRDefault="00C72DAA" w:rsidP="00A47593">
      <w:r w:rsidRPr="00A47593">
        <w:t>Con fundamento en el artículo 185, fracción I de la Ley de Transparencia y Acceso a la Información Pública del Estado de México y Municipios, el</w:t>
      </w:r>
      <w:r w:rsidRPr="00A47593">
        <w:rPr>
          <w:b/>
          <w:bCs/>
        </w:rPr>
        <w:t xml:space="preserve"> </w:t>
      </w:r>
      <w:r w:rsidR="009A2B26" w:rsidRPr="00A47593">
        <w:rPr>
          <w:rFonts w:eastAsia="Palatino Linotype" w:cs="Palatino Linotype"/>
          <w:b/>
        </w:rPr>
        <w:t>diez de septiembre</w:t>
      </w:r>
      <w:r w:rsidR="00C175A7" w:rsidRPr="00A47593">
        <w:rPr>
          <w:rFonts w:eastAsia="Palatino Linotype" w:cs="Palatino Linotype"/>
          <w:b/>
        </w:rPr>
        <w:t xml:space="preserve"> de dos mil veinticuatro,</w:t>
      </w:r>
      <w:r w:rsidRPr="00A47593">
        <w:t xml:space="preserve"> se turnó el recurso de revisión a través del</w:t>
      </w:r>
      <w:r w:rsidRPr="00A47593">
        <w:rPr>
          <w:rFonts w:eastAsia="Arial Unicode MS"/>
        </w:rPr>
        <w:t xml:space="preserve"> </w:t>
      </w:r>
      <w:r w:rsidRPr="00A47593">
        <w:rPr>
          <w:rFonts w:eastAsia="Arial Unicode MS"/>
          <w:bCs/>
        </w:rPr>
        <w:t>SAIMEX</w:t>
      </w:r>
      <w:r w:rsidRPr="00A47593">
        <w:t xml:space="preserve"> a la </w:t>
      </w:r>
      <w:r w:rsidRPr="00A47593">
        <w:rPr>
          <w:b/>
        </w:rPr>
        <w:t>Comisionada Sharon Cristina Morales Martínez</w:t>
      </w:r>
      <w:r w:rsidRPr="00A47593">
        <w:rPr>
          <w:bCs/>
        </w:rPr>
        <w:t xml:space="preserve">, </w:t>
      </w:r>
      <w:r w:rsidRPr="00A47593">
        <w:t xml:space="preserve">a efecto de decretar su admisión o desechamiento. </w:t>
      </w:r>
    </w:p>
    <w:p w14:paraId="18F305CB" w14:textId="77777777" w:rsidR="00664420" w:rsidRPr="00A47593" w:rsidRDefault="00664420" w:rsidP="00A47593">
      <w:pPr>
        <w:rPr>
          <w:rFonts w:eastAsia="Batang" w:cs="Tahoma"/>
          <w:bCs/>
          <w:szCs w:val="22"/>
        </w:rPr>
      </w:pPr>
    </w:p>
    <w:p w14:paraId="3E31EC2D" w14:textId="295256A1" w:rsidR="00664420" w:rsidRPr="00A47593" w:rsidRDefault="006E25BC" w:rsidP="00A47593">
      <w:pPr>
        <w:pStyle w:val="Ttulo3"/>
      </w:pPr>
      <w:bookmarkStart w:id="11" w:name="_Toc179394852"/>
      <w:r w:rsidRPr="00A47593">
        <w:t>c</w:t>
      </w:r>
      <w:r w:rsidR="00664420" w:rsidRPr="00A47593">
        <w:t>) Admisión del Recurso de Revisión</w:t>
      </w:r>
      <w:bookmarkEnd w:id="11"/>
    </w:p>
    <w:p w14:paraId="240447D5" w14:textId="74AF4A12" w:rsidR="000E09C4" w:rsidRPr="00A47593" w:rsidRDefault="000E09C4" w:rsidP="00A47593">
      <w:pPr>
        <w:rPr>
          <w:rFonts w:cs="Arial"/>
        </w:rPr>
      </w:pPr>
      <w:r w:rsidRPr="00A47593">
        <w:rPr>
          <w:rFonts w:cs="Arial"/>
        </w:rPr>
        <w:t xml:space="preserve">El </w:t>
      </w:r>
      <w:r w:rsidR="009A2B26" w:rsidRPr="00A47593">
        <w:rPr>
          <w:rFonts w:eastAsia="Palatino Linotype" w:cs="Palatino Linotype"/>
          <w:b/>
        </w:rPr>
        <w:t>trece de septiembre</w:t>
      </w:r>
      <w:r w:rsidR="00F65DE0" w:rsidRPr="00A47593">
        <w:rPr>
          <w:rFonts w:eastAsia="Palatino Linotype" w:cs="Palatino Linotype"/>
          <w:b/>
        </w:rPr>
        <w:t xml:space="preserve"> de dos mil veinticuatro,</w:t>
      </w:r>
      <w:r w:rsidRPr="00A47593">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A47593">
        <w:rPr>
          <w:rFonts w:cs="Arial"/>
        </w:rPr>
        <w:t>, fracción II</w:t>
      </w:r>
      <w:r w:rsidRPr="00A47593">
        <w:rPr>
          <w:rFonts w:cs="Arial"/>
        </w:rPr>
        <w:t xml:space="preserve"> de la Ley de Transparencia y Acceso a la Información Pública del Estado de México y Municipios.</w:t>
      </w:r>
    </w:p>
    <w:p w14:paraId="34EC3F86" w14:textId="77777777" w:rsidR="00D2790D" w:rsidRPr="00A47593" w:rsidRDefault="00D2790D" w:rsidP="00A47593">
      <w:pPr>
        <w:rPr>
          <w:rFonts w:cs="Arial"/>
        </w:rPr>
      </w:pPr>
    </w:p>
    <w:p w14:paraId="3B820F58" w14:textId="7A8BE8DC" w:rsidR="00865CF4" w:rsidRPr="00A47593" w:rsidRDefault="00F65DE0" w:rsidP="00A47593">
      <w:pPr>
        <w:pStyle w:val="Ttulo3"/>
      </w:pPr>
      <w:bookmarkStart w:id="12" w:name="_Toc179394853"/>
      <w:r w:rsidRPr="00A47593">
        <w:t>d</w:t>
      </w:r>
      <w:r w:rsidR="00664420" w:rsidRPr="00A47593">
        <w:t xml:space="preserve">) </w:t>
      </w:r>
      <w:r w:rsidR="00865CF4" w:rsidRPr="00A47593">
        <w:t>Informe Justificado del Sujeto Obligado</w:t>
      </w:r>
      <w:bookmarkEnd w:id="12"/>
    </w:p>
    <w:p w14:paraId="14A706BE" w14:textId="77777777" w:rsidR="00865CF4" w:rsidRPr="00A47593" w:rsidRDefault="00865CF4" w:rsidP="00A47593">
      <w:pPr>
        <w:rPr>
          <w:rFonts w:eastAsia="Arial Unicode MS" w:cs="Arial"/>
        </w:rPr>
      </w:pPr>
      <w:r w:rsidRPr="00A47593">
        <w:rPr>
          <w:rFonts w:cs="Tahoma"/>
          <w:b/>
          <w:szCs w:val="24"/>
        </w:rPr>
        <w:t xml:space="preserve">EL SUJETO OBLIGADO </w:t>
      </w:r>
      <w:r w:rsidRPr="00A47593">
        <w:rPr>
          <w:rFonts w:eastAsia="Arial Unicode MS" w:cs="Arial"/>
        </w:rPr>
        <w:t>no rindió su informe justificado dentro del término legalmente concedido para tal efecto.</w:t>
      </w:r>
    </w:p>
    <w:p w14:paraId="66BA6FC7" w14:textId="77777777" w:rsidR="00865CF4" w:rsidRPr="00A47593" w:rsidRDefault="00865CF4" w:rsidP="00A47593">
      <w:pPr>
        <w:rPr>
          <w:rFonts w:cs="Tahoma"/>
          <w:bCs/>
          <w:szCs w:val="24"/>
        </w:rPr>
      </w:pPr>
    </w:p>
    <w:p w14:paraId="755B7730" w14:textId="6645EDEC" w:rsidR="00664420" w:rsidRPr="00A47593" w:rsidRDefault="00F65DE0" w:rsidP="00A47593">
      <w:pPr>
        <w:pStyle w:val="Ttulo3"/>
        <w:rPr>
          <w:lang w:val="es-ES"/>
        </w:rPr>
      </w:pPr>
      <w:bookmarkStart w:id="13" w:name="_Toc179394854"/>
      <w:r w:rsidRPr="00A47593">
        <w:rPr>
          <w:rFonts w:eastAsia="Calibri"/>
          <w:bCs/>
          <w:lang w:eastAsia="en-US"/>
        </w:rPr>
        <w:lastRenderedPageBreak/>
        <w:t>e</w:t>
      </w:r>
      <w:r w:rsidR="00664420" w:rsidRPr="00A47593">
        <w:rPr>
          <w:rFonts w:eastAsia="Calibri"/>
          <w:bCs/>
          <w:lang w:eastAsia="en-US"/>
        </w:rPr>
        <w:t>)</w:t>
      </w:r>
      <w:r w:rsidR="00664420" w:rsidRPr="00A47593">
        <w:t xml:space="preserve"> </w:t>
      </w:r>
      <w:r w:rsidR="00865CF4" w:rsidRPr="00A47593">
        <w:rPr>
          <w:lang w:val="es-ES"/>
        </w:rPr>
        <w:t>Manifestaciones de la Parte Recurrente</w:t>
      </w:r>
      <w:bookmarkEnd w:id="13"/>
    </w:p>
    <w:p w14:paraId="24F87764" w14:textId="23C573DE" w:rsidR="00664420" w:rsidRPr="00A47593" w:rsidRDefault="00865CF4" w:rsidP="00A47593">
      <w:pPr>
        <w:rPr>
          <w:rFonts w:eastAsia="Arial Unicode MS" w:cs="Arial"/>
        </w:rPr>
      </w:pPr>
      <w:r w:rsidRPr="00A47593">
        <w:rPr>
          <w:rFonts w:cs="Tahoma"/>
          <w:b/>
          <w:szCs w:val="24"/>
        </w:rPr>
        <w:t xml:space="preserve">LA PARTE RECURRENTE </w:t>
      </w:r>
      <w:r w:rsidRPr="00A47593">
        <w:rPr>
          <w:rFonts w:eastAsia="Arial Unicode MS" w:cs="Arial"/>
        </w:rPr>
        <w:t>no realizó manifestación alguna dentro del término legalmente concedido para tal efecto, ni presentó pruebas o alegatos.</w:t>
      </w:r>
    </w:p>
    <w:p w14:paraId="6923684C" w14:textId="77777777" w:rsidR="00664420" w:rsidRPr="00A47593" w:rsidRDefault="00664420" w:rsidP="00A47593">
      <w:pPr>
        <w:rPr>
          <w:rFonts w:cs="Tahoma"/>
          <w:szCs w:val="22"/>
        </w:rPr>
      </w:pPr>
    </w:p>
    <w:p w14:paraId="0E651988" w14:textId="787729CB" w:rsidR="00664420" w:rsidRPr="00A47593" w:rsidRDefault="00F65DE0" w:rsidP="00A47593">
      <w:pPr>
        <w:pStyle w:val="Ttulo3"/>
      </w:pPr>
      <w:bookmarkStart w:id="14" w:name="_Toc179394855"/>
      <w:r w:rsidRPr="00A47593">
        <w:t>f</w:t>
      </w:r>
      <w:r w:rsidR="00664420" w:rsidRPr="00A47593">
        <w:t>) Cierre de instrucción</w:t>
      </w:r>
      <w:bookmarkEnd w:id="14"/>
    </w:p>
    <w:p w14:paraId="79AF95DC" w14:textId="1D38C481" w:rsidR="00664420" w:rsidRPr="00A47593" w:rsidRDefault="00BF091A" w:rsidP="00A47593">
      <w:r w:rsidRPr="00A47593">
        <w:rPr>
          <w:rFonts w:cs="Tahoma"/>
          <w:szCs w:val="22"/>
        </w:rPr>
        <w:t>Al no existir diligencias pendientes por desahogar</w:t>
      </w:r>
      <w:r w:rsidRPr="00A47593">
        <w:rPr>
          <w:rFonts w:cs="Arial"/>
        </w:rPr>
        <w:t xml:space="preserve">, el </w:t>
      </w:r>
      <w:r w:rsidR="009275A3" w:rsidRPr="00A47593">
        <w:rPr>
          <w:rFonts w:cs="Arial"/>
          <w:b/>
        </w:rPr>
        <w:t>veintiséis</w:t>
      </w:r>
      <w:r w:rsidR="009A2B26" w:rsidRPr="00A47593">
        <w:rPr>
          <w:rFonts w:cs="Arial"/>
          <w:b/>
        </w:rPr>
        <w:t xml:space="preserve"> de septiembre</w:t>
      </w:r>
      <w:r w:rsidR="00F65DE0" w:rsidRPr="00A47593">
        <w:rPr>
          <w:rFonts w:cs="Arial"/>
          <w:b/>
        </w:rPr>
        <w:t xml:space="preserve"> de dos mil veinticuatro,</w:t>
      </w:r>
      <w:r w:rsidRPr="00A47593">
        <w:rPr>
          <w:rFonts w:cs="Arial"/>
        </w:rPr>
        <w:t xml:space="preserve"> la </w:t>
      </w:r>
      <w:r w:rsidRPr="00A47593">
        <w:rPr>
          <w:rFonts w:cs="Arial"/>
          <w:b/>
          <w:bCs/>
        </w:rPr>
        <w:t xml:space="preserve">Comisionada </w:t>
      </w:r>
      <w:r w:rsidRPr="00A47593">
        <w:rPr>
          <w:b/>
        </w:rPr>
        <w:t xml:space="preserve">Sharon Cristina Morales Martínez </w:t>
      </w:r>
      <w:r w:rsidRPr="00A47593">
        <w:rPr>
          <w:rFonts w:cs="Arial"/>
        </w:rPr>
        <w:t>acordó el cierre de instrucción</w:t>
      </w:r>
      <w:r w:rsidR="0011350D" w:rsidRPr="00A47593">
        <w:rPr>
          <w:rFonts w:cs="Arial"/>
        </w:rPr>
        <w:t xml:space="preserve"> y</w:t>
      </w:r>
      <w:r w:rsidRPr="00A47593">
        <w:rPr>
          <w:rFonts w:cs="Arial"/>
        </w:rPr>
        <w:t xml:space="preserve"> </w:t>
      </w:r>
      <w:r w:rsidR="0011350D" w:rsidRPr="00A47593">
        <w:rPr>
          <w:rFonts w:cs="Arial"/>
        </w:rPr>
        <w:t xml:space="preserve">la </w:t>
      </w:r>
      <w:r w:rsidRPr="00A47593">
        <w:rPr>
          <w:rFonts w:cs="Arial"/>
        </w:rPr>
        <w:t>remisión del expediente a efecto de ser resuelto, de conformidad con lo establecido en el artículo 185 fracciones VI y VIII de la Ley de Transparencia y Acceso a la Información Pública del Estado de México y Municipios</w:t>
      </w:r>
      <w:r w:rsidRPr="00A47593">
        <w:t>.</w:t>
      </w:r>
      <w:r w:rsidR="0011350D" w:rsidRPr="00A47593">
        <w:t xml:space="preserve"> Dicho acuerdo </w:t>
      </w:r>
      <w:r w:rsidR="00664420" w:rsidRPr="00A47593">
        <w:rPr>
          <w:rFonts w:cs="Tahoma"/>
          <w:szCs w:val="22"/>
        </w:rPr>
        <w:t xml:space="preserve">fue notificado a las partes el mismo día a través del </w:t>
      </w:r>
      <w:r w:rsidR="00664420" w:rsidRPr="00A47593">
        <w:rPr>
          <w:rFonts w:cs="Tahoma"/>
          <w:szCs w:val="22"/>
          <w:lang w:val="es-ES"/>
        </w:rPr>
        <w:t>SAIMEX</w:t>
      </w:r>
      <w:r w:rsidR="00664420" w:rsidRPr="00A47593">
        <w:rPr>
          <w:rFonts w:cs="Tahoma"/>
          <w:szCs w:val="22"/>
        </w:rPr>
        <w:t>.</w:t>
      </w:r>
    </w:p>
    <w:p w14:paraId="741683E3" w14:textId="77777777" w:rsidR="0011350D" w:rsidRPr="00A47593" w:rsidRDefault="0011350D" w:rsidP="00A47593">
      <w:pPr>
        <w:rPr>
          <w:rFonts w:cs="Tahoma"/>
          <w:szCs w:val="22"/>
        </w:rPr>
      </w:pPr>
    </w:p>
    <w:p w14:paraId="7A9629DE" w14:textId="77777777" w:rsidR="00664420" w:rsidRPr="00A47593" w:rsidRDefault="00664420" w:rsidP="00A47593">
      <w:pPr>
        <w:pStyle w:val="Ttulo1"/>
        <w:rPr>
          <w:rFonts w:eastAsiaTheme="minorHAnsi"/>
          <w:lang w:eastAsia="en-US"/>
        </w:rPr>
      </w:pPr>
      <w:bookmarkStart w:id="15" w:name="_Toc179394856"/>
      <w:r w:rsidRPr="00A47593">
        <w:rPr>
          <w:rFonts w:eastAsiaTheme="minorHAnsi"/>
          <w:lang w:eastAsia="en-US"/>
        </w:rPr>
        <w:t>CONSIDERANDOS</w:t>
      </w:r>
      <w:bookmarkEnd w:id="15"/>
    </w:p>
    <w:p w14:paraId="6DD1243B" w14:textId="77777777" w:rsidR="00664420" w:rsidRPr="00A47593" w:rsidRDefault="00664420" w:rsidP="00A47593">
      <w:pPr>
        <w:contextualSpacing/>
        <w:jc w:val="center"/>
        <w:rPr>
          <w:rFonts w:eastAsiaTheme="minorHAnsi" w:cs="Tahoma"/>
          <w:b/>
          <w:szCs w:val="22"/>
          <w:lang w:eastAsia="en-US"/>
        </w:rPr>
      </w:pPr>
    </w:p>
    <w:p w14:paraId="0B67CB92" w14:textId="2E307D3B" w:rsidR="00664420" w:rsidRPr="00A47593" w:rsidRDefault="00664420" w:rsidP="00A47593">
      <w:pPr>
        <w:pStyle w:val="Ttulo2"/>
        <w:rPr>
          <w:rFonts w:eastAsia="Batang"/>
        </w:rPr>
      </w:pPr>
      <w:bookmarkStart w:id="16" w:name="_Toc179394857"/>
      <w:r w:rsidRPr="00A47593">
        <w:rPr>
          <w:rFonts w:eastAsia="Batang"/>
        </w:rPr>
        <w:t xml:space="preserve">PRIMERO. </w:t>
      </w:r>
      <w:r w:rsidR="00BA55A8" w:rsidRPr="00A47593">
        <w:rPr>
          <w:rFonts w:eastAsia="Batang"/>
        </w:rPr>
        <w:t>Procedibilidad</w:t>
      </w:r>
      <w:bookmarkEnd w:id="16"/>
    </w:p>
    <w:p w14:paraId="39C52BC1" w14:textId="56FCC20D" w:rsidR="00BA55A8" w:rsidRPr="00A47593" w:rsidRDefault="00BA55A8" w:rsidP="00A47593">
      <w:pPr>
        <w:pStyle w:val="Ttulo3"/>
      </w:pPr>
      <w:bookmarkStart w:id="17" w:name="_Toc179394858"/>
      <w:r w:rsidRPr="00A47593">
        <w:t>a) Competencia</w:t>
      </w:r>
      <w:r w:rsidR="00150C49" w:rsidRPr="00A47593">
        <w:t xml:space="preserve"> del Instituto</w:t>
      </w:r>
      <w:bookmarkEnd w:id="17"/>
    </w:p>
    <w:p w14:paraId="56E64942" w14:textId="6572EDF7" w:rsidR="0011350D" w:rsidRPr="00A47593" w:rsidRDefault="0011350D" w:rsidP="00A47593">
      <w:pPr>
        <w:rPr>
          <w:rFonts w:cs="Arial"/>
        </w:rPr>
      </w:pPr>
      <w:r w:rsidRPr="00A47593">
        <w:t xml:space="preserve">Este Instituto de Transparencia, Acceso a la Información Pública y Protección de Datos Personales del Estado de México y Municipios es competente para conocer y resolver </w:t>
      </w:r>
      <w:r w:rsidR="005F65B7" w:rsidRPr="00A47593">
        <w:t xml:space="preserve">el </w:t>
      </w:r>
      <w:r w:rsidRPr="00A47593">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A47593">
        <w:rPr>
          <w:rFonts w:cs="Arial"/>
        </w:rPr>
        <w:t xml:space="preserve">; y 9, fracciones I y XXIII y 11 del Reglamento Interior del Instituto de </w:t>
      </w:r>
      <w:r w:rsidRPr="00A47593">
        <w:rPr>
          <w:rFonts w:cs="Arial"/>
        </w:rPr>
        <w:lastRenderedPageBreak/>
        <w:t>Transparencia, Acceso a la Información Pública y Protección de Datos Personales del Estado de México y Municipios.</w:t>
      </w:r>
    </w:p>
    <w:p w14:paraId="43A74BC9" w14:textId="77777777" w:rsidR="006946E4" w:rsidRPr="00A47593" w:rsidRDefault="006946E4" w:rsidP="00A47593">
      <w:pPr>
        <w:rPr>
          <w:rFonts w:cs="Arial"/>
        </w:rPr>
      </w:pPr>
    </w:p>
    <w:p w14:paraId="517A2DD6" w14:textId="4169BE4D" w:rsidR="00664420" w:rsidRPr="00A47593" w:rsidRDefault="00BA55A8" w:rsidP="00A47593">
      <w:pPr>
        <w:pStyle w:val="Ttulo3"/>
      </w:pPr>
      <w:bookmarkStart w:id="18" w:name="_Toc179394859"/>
      <w:r w:rsidRPr="00A47593">
        <w:t>b)</w:t>
      </w:r>
      <w:r w:rsidR="00664420" w:rsidRPr="00A47593">
        <w:t xml:space="preserve"> </w:t>
      </w:r>
      <w:r w:rsidR="00D91CB4" w:rsidRPr="00A47593">
        <w:t>Legitimidad</w:t>
      </w:r>
      <w:r w:rsidRPr="00A47593">
        <w:t xml:space="preserve"> de la parte recurrente</w:t>
      </w:r>
      <w:bookmarkEnd w:id="18"/>
    </w:p>
    <w:p w14:paraId="26FEA382" w14:textId="0B06695C" w:rsidR="00D91CB4" w:rsidRPr="00A47593" w:rsidRDefault="00D91CB4" w:rsidP="00A47593">
      <w:pPr>
        <w:rPr>
          <w:rFonts w:cs="Arial"/>
          <w:bCs/>
        </w:rPr>
      </w:pPr>
      <w:r w:rsidRPr="00A47593">
        <w:rPr>
          <w:rFonts w:cs="Arial"/>
          <w:bCs/>
        </w:rPr>
        <w:t>El recurso de revisión fue interpuesto por parte legítima, ya que se presentó por la misma persona que formuló la solicitud de acceso a la Información Pública,</w:t>
      </w:r>
      <w:r w:rsidRPr="00A47593">
        <w:rPr>
          <w:rFonts w:cs="Arial"/>
          <w:b/>
          <w:bCs/>
        </w:rPr>
        <w:t xml:space="preserve"> </w:t>
      </w:r>
      <w:r w:rsidRPr="00A47593">
        <w:rPr>
          <w:rFonts w:cs="Arial"/>
        </w:rPr>
        <w:t>debido a que los datos de acceso</w:t>
      </w:r>
      <w:r w:rsidRPr="00A47593">
        <w:rPr>
          <w:rFonts w:cs="Arial"/>
          <w:b/>
          <w:bCs/>
        </w:rPr>
        <w:t xml:space="preserve"> </w:t>
      </w:r>
      <w:r w:rsidRPr="00A47593">
        <w:rPr>
          <w:rFonts w:cs="Arial"/>
        </w:rPr>
        <w:t>SAIMEX</w:t>
      </w:r>
      <w:r w:rsidRPr="00A47593">
        <w:rPr>
          <w:rFonts w:eastAsia="Calibri" w:cs="Arial"/>
          <w:lang w:eastAsia="en-US"/>
        </w:rPr>
        <w:t xml:space="preserve"> son personales e irrepetibles.</w:t>
      </w:r>
    </w:p>
    <w:p w14:paraId="2C367810" w14:textId="77777777" w:rsidR="00D91CB4" w:rsidRPr="00A47593" w:rsidRDefault="00D91CB4" w:rsidP="00A47593"/>
    <w:p w14:paraId="496490FC" w14:textId="1A5F3FDB" w:rsidR="00D91CB4" w:rsidRPr="00A47593" w:rsidRDefault="00BA55A8" w:rsidP="00A47593">
      <w:pPr>
        <w:pStyle w:val="Ttulo3"/>
        <w:rPr>
          <w:rFonts w:eastAsia="Calibri"/>
          <w:lang w:eastAsia="es-ES_tradnl"/>
        </w:rPr>
      </w:pPr>
      <w:bookmarkStart w:id="19" w:name="_Toc179394860"/>
      <w:r w:rsidRPr="00A47593">
        <w:rPr>
          <w:rFonts w:eastAsia="Calibri"/>
          <w:lang w:eastAsia="es-ES_tradnl"/>
        </w:rPr>
        <w:t>c)</w:t>
      </w:r>
      <w:r w:rsidR="00664420" w:rsidRPr="00A47593">
        <w:rPr>
          <w:rFonts w:eastAsia="Calibri"/>
          <w:lang w:eastAsia="es-ES_tradnl"/>
        </w:rPr>
        <w:t xml:space="preserve"> </w:t>
      </w:r>
      <w:r w:rsidR="00D91CB4" w:rsidRPr="00A47593">
        <w:rPr>
          <w:rFonts w:eastAsia="Calibri"/>
          <w:lang w:eastAsia="es-ES_tradnl"/>
        </w:rPr>
        <w:t>Plazo para interponer el recurso</w:t>
      </w:r>
      <w:bookmarkEnd w:id="19"/>
    </w:p>
    <w:p w14:paraId="4EF3BCBC" w14:textId="033ADB48" w:rsidR="00F65DE0" w:rsidRPr="00A47593" w:rsidRDefault="00F65DE0" w:rsidP="00A47593">
      <w:pPr>
        <w:autoSpaceDE w:val="0"/>
        <w:autoSpaceDN w:val="0"/>
        <w:adjustRightInd w:val="0"/>
        <w:spacing w:after="240"/>
        <w:ind w:right="49"/>
        <w:rPr>
          <w:rFonts w:cs="Arial"/>
          <w:lang w:val="es-ES"/>
        </w:rPr>
      </w:pPr>
      <w:r w:rsidRPr="00A47593">
        <w:rPr>
          <w:rFonts w:cs="Arial"/>
          <w:lang w:val="es-ES"/>
        </w:rPr>
        <w:t xml:space="preserve">Es de precisar que la Ley de Transparencia </w:t>
      </w:r>
      <w:r w:rsidRPr="00A47593">
        <w:t>y Acceso a la Información Pública del Estado de México y Municipios</w:t>
      </w:r>
      <w:r w:rsidRPr="00A47593">
        <w:rPr>
          <w:rFonts w:cs="Arial"/>
          <w:lang w:val="es-ES"/>
        </w:rPr>
        <w:t>, describe el mecanismo de procedencia de los Recurso Revisión, como se puede apreciar en el siguiente artículo:</w:t>
      </w:r>
    </w:p>
    <w:p w14:paraId="442FED11" w14:textId="77777777" w:rsidR="00F65DE0" w:rsidRPr="00A47593" w:rsidRDefault="00F65DE0" w:rsidP="00A47593">
      <w:pPr>
        <w:autoSpaceDE w:val="0"/>
        <w:autoSpaceDN w:val="0"/>
        <w:adjustRightInd w:val="0"/>
        <w:spacing w:line="240" w:lineRule="auto"/>
        <w:ind w:left="851" w:right="902"/>
        <w:rPr>
          <w:rFonts w:cs="Arial"/>
          <w:i/>
          <w:szCs w:val="22"/>
          <w:lang w:val="es-ES"/>
        </w:rPr>
      </w:pPr>
      <w:r w:rsidRPr="00A47593">
        <w:rPr>
          <w:rFonts w:cs="Arial"/>
          <w:b/>
          <w:i/>
          <w:szCs w:val="22"/>
          <w:lang w:val="es-ES"/>
        </w:rPr>
        <w:t>“Artículo 163.</w:t>
      </w:r>
      <w:r w:rsidRPr="00A47593">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A47593" w:rsidRDefault="00F65DE0" w:rsidP="00A47593">
      <w:pPr>
        <w:autoSpaceDE w:val="0"/>
        <w:autoSpaceDN w:val="0"/>
        <w:adjustRightInd w:val="0"/>
        <w:spacing w:line="240" w:lineRule="auto"/>
        <w:ind w:left="851" w:right="902"/>
        <w:rPr>
          <w:rFonts w:cs="Arial"/>
          <w:i/>
          <w:szCs w:val="22"/>
          <w:lang w:val="es-ES"/>
        </w:rPr>
      </w:pPr>
    </w:p>
    <w:p w14:paraId="76F65309" w14:textId="77777777" w:rsidR="00F65DE0" w:rsidRPr="00A47593" w:rsidRDefault="00F65DE0" w:rsidP="00A47593">
      <w:pPr>
        <w:autoSpaceDE w:val="0"/>
        <w:autoSpaceDN w:val="0"/>
        <w:adjustRightInd w:val="0"/>
        <w:spacing w:line="240" w:lineRule="auto"/>
        <w:ind w:left="851" w:right="902"/>
        <w:rPr>
          <w:rFonts w:cs="Arial"/>
          <w:i/>
          <w:szCs w:val="22"/>
          <w:lang w:val="es-ES"/>
        </w:rPr>
      </w:pPr>
      <w:r w:rsidRPr="00A47593">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A47593" w:rsidRDefault="00F65DE0" w:rsidP="00A47593">
      <w:pPr>
        <w:autoSpaceDE w:val="0"/>
        <w:autoSpaceDN w:val="0"/>
        <w:adjustRightInd w:val="0"/>
        <w:ind w:left="851" w:right="902"/>
        <w:rPr>
          <w:rFonts w:cs="Arial"/>
          <w:i/>
          <w:sz w:val="24"/>
          <w:szCs w:val="24"/>
          <w:lang w:val="es-ES"/>
        </w:rPr>
      </w:pPr>
    </w:p>
    <w:p w14:paraId="40A0EF0C" w14:textId="77777777" w:rsidR="00F65DE0" w:rsidRPr="00A47593" w:rsidRDefault="00F65DE0" w:rsidP="00A47593">
      <w:pPr>
        <w:rPr>
          <w:rFonts w:cs="Arial"/>
          <w:lang w:val="es-ES"/>
        </w:rPr>
      </w:pPr>
      <w:r w:rsidRPr="00A47593">
        <w:rPr>
          <w:rFonts w:cs="Arial"/>
          <w:lang w:val="es-ES"/>
        </w:rPr>
        <w:t xml:space="preserve">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w:t>
      </w:r>
      <w:r w:rsidRPr="00A47593">
        <w:rPr>
          <w:rFonts w:cs="Arial"/>
          <w:lang w:val="es-ES"/>
        </w:rPr>
        <w:lastRenderedPageBreak/>
        <w:t>entreguen la respuesta a la solicitud de información, ésta se considera negada; por lo que al solicitante le asiste el derecho para poder presentar el correspondiente Recurso Revisión.</w:t>
      </w:r>
    </w:p>
    <w:p w14:paraId="78FF84CF" w14:textId="77777777" w:rsidR="00F65DE0" w:rsidRPr="00A47593" w:rsidRDefault="00F65DE0" w:rsidP="00A47593">
      <w:pPr>
        <w:rPr>
          <w:rFonts w:cs="Arial"/>
          <w:lang w:val="es-ES"/>
        </w:rPr>
      </w:pPr>
    </w:p>
    <w:p w14:paraId="7D96F726" w14:textId="77777777" w:rsidR="00F65DE0" w:rsidRPr="00A47593" w:rsidRDefault="00F65DE0" w:rsidP="00A47593">
      <w:pPr>
        <w:rPr>
          <w:rFonts w:cs="Arial"/>
          <w:lang w:val="es-ES"/>
        </w:rPr>
      </w:pPr>
      <w:r w:rsidRPr="00A47593">
        <w:rPr>
          <w:rFonts w:cs="Arial"/>
          <w:lang w:val="es-ES"/>
        </w:rPr>
        <w:t xml:space="preserve">Derivado de lo anterior, se constituye la figura jurídica de la </w:t>
      </w:r>
      <w:r w:rsidRPr="00A47593">
        <w:rPr>
          <w:rFonts w:cs="Arial"/>
          <w:b/>
          <w:lang w:val="es-ES"/>
        </w:rPr>
        <w:t>NEGATIVA FICTA</w:t>
      </w:r>
      <w:r w:rsidRPr="00A47593">
        <w:rPr>
          <w:rFonts w:cs="Arial"/>
          <w:lang w:val="es-ES"/>
        </w:rPr>
        <w:t>, la cual consiste en atribuir un efecto negativo al silencio de la autoridad administrativa frente a las instancias y solicitudes que hagan los particulares.</w:t>
      </w:r>
    </w:p>
    <w:p w14:paraId="23947A0C" w14:textId="77777777" w:rsidR="00F65DE0" w:rsidRPr="00A47593" w:rsidRDefault="00F65DE0" w:rsidP="00A47593">
      <w:pPr>
        <w:rPr>
          <w:rFonts w:cs="Arial"/>
          <w:szCs w:val="28"/>
          <w:lang w:val="es-ES"/>
        </w:rPr>
      </w:pPr>
    </w:p>
    <w:p w14:paraId="121AE0F9" w14:textId="77777777" w:rsidR="00F65DE0" w:rsidRPr="00A47593" w:rsidRDefault="00F65DE0" w:rsidP="00A47593">
      <w:pPr>
        <w:spacing w:after="240"/>
        <w:rPr>
          <w:rFonts w:cs="Arial"/>
          <w:szCs w:val="24"/>
          <w:lang w:val="es-ES"/>
        </w:rPr>
      </w:pPr>
      <w:r w:rsidRPr="00A47593">
        <w:rPr>
          <w:rFonts w:cs="Arial"/>
          <w:lang w:val="es-ES"/>
        </w:rPr>
        <w:t>Por su parte, el artículo 178 de la Ley de Transparencia local, establece:</w:t>
      </w:r>
    </w:p>
    <w:p w14:paraId="2C35764B" w14:textId="77777777" w:rsidR="00F65DE0" w:rsidRPr="00A47593" w:rsidRDefault="00F65DE0" w:rsidP="00A47593">
      <w:pPr>
        <w:pStyle w:val="Puesto"/>
        <w:rPr>
          <w:lang w:val="es-ES"/>
        </w:rPr>
      </w:pPr>
      <w:r w:rsidRPr="00A47593">
        <w:rPr>
          <w:b/>
          <w:lang w:val="es-ES"/>
        </w:rPr>
        <w:t xml:space="preserve">“Artículo 178. </w:t>
      </w:r>
      <w:r w:rsidRPr="00A47593">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A47593" w:rsidRDefault="00F65DE0" w:rsidP="00A47593">
      <w:pPr>
        <w:pStyle w:val="Puesto"/>
        <w:rPr>
          <w:lang w:val="es-ES"/>
        </w:rPr>
      </w:pPr>
    </w:p>
    <w:p w14:paraId="3A3BCDBD" w14:textId="77777777" w:rsidR="00F65DE0" w:rsidRPr="00A47593" w:rsidRDefault="00F65DE0" w:rsidP="00A47593">
      <w:pPr>
        <w:pStyle w:val="Puesto"/>
        <w:rPr>
          <w:lang w:val="es-ES"/>
        </w:rPr>
      </w:pPr>
      <w:r w:rsidRPr="00A47593">
        <w:rPr>
          <w:b/>
          <w:u w:val="single"/>
          <w:lang w:val="es-ES"/>
        </w:rPr>
        <w:t>A falta de respuesta del sujeto obligado, dentro de los plazos establecidos en esta Ley, a una solicitud de acceso a la Información Pública, el recurso podrá ser interpuesto en cualquier momento</w:t>
      </w:r>
      <w:r w:rsidRPr="00A47593">
        <w:rPr>
          <w:lang w:val="es-ES"/>
        </w:rPr>
        <w:t>, acompañado con el documento que pruebe la fecha en que presentó la solicitud.</w:t>
      </w:r>
    </w:p>
    <w:p w14:paraId="2350A8F3" w14:textId="77777777" w:rsidR="00F65DE0" w:rsidRPr="00A47593" w:rsidRDefault="00F65DE0" w:rsidP="00A47593">
      <w:pPr>
        <w:pStyle w:val="Puesto"/>
        <w:rPr>
          <w:lang w:val="es-ES"/>
        </w:rPr>
      </w:pPr>
    </w:p>
    <w:p w14:paraId="686E2B39" w14:textId="77777777" w:rsidR="00F65DE0" w:rsidRPr="00A47593" w:rsidRDefault="00F65DE0" w:rsidP="00A47593">
      <w:pPr>
        <w:pStyle w:val="Puesto"/>
        <w:rPr>
          <w:lang w:val="es-ES"/>
        </w:rPr>
      </w:pPr>
      <w:r w:rsidRPr="00A47593">
        <w:rPr>
          <w:lang w:val="es-ES"/>
        </w:rPr>
        <w:t>En el caso de que se interponga ante la Unidad de Transparencia, ésta deberá remitir el Recurso Revisión al Instituto a más tardar al día siguiente de haberlo recibido.”</w:t>
      </w:r>
    </w:p>
    <w:p w14:paraId="657D0558" w14:textId="77777777" w:rsidR="00F65DE0" w:rsidRPr="00A47593" w:rsidRDefault="00F65DE0" w:rsidP="00A47593">
      <w:pPr>
        <w:pStyle w:val="Puesto"/>
        <w:rPr>
          <w:lang w:val="es-ES"/>
        </w:rPr>
      </w:pPr>
      <w:r w:rsidRPr="00A47593">
        <w:rPr>
          <w:lang w:val="es-ES"/>
        </w:rPr>
        <w:t xml:space="preserve">(Énfasis añadido) </w:t>
      </w:r>
    </w:p>
    <w:p w14:paraId="0842E06E" w14:textId="77777777" w:rsidR="00F65DE0" w:rsidRPr="00A47593" w:rsidRDefault="00F65DE0" w:rsidP="00A47593">
      <w:pPr>
        <w:rPr>
          <w:rFonts w:cs="Arial"/>
          <w:sz w:val="20"/>
          <w:szCs w:val="24"/>
          <w:lang w:val="es-ES"/>
        </w:rPr>
      </w:pPr>
    </w:p>
    <w:p w14:paraId="08A89F2D" w14:textId="77777777" w:rsidR="00F65DE0" w:rsidRPr="00A47593" w:rsidRDefault="00F65DE0" w:rsidP="00A47593">
      <w:pPr>
        <w:rPr>
          <w:rFonts w:cs="Arial"/>
          <w:b/>
          <w:sz w:val="24"/>
          <w:lang w:val="es-ES"/>
        </w:rPr>
      </w:pPr>
      <w:r w:rsidRPr="00A47593">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A47593">
        <w:rPr>
          <w:rFonts w:cs="Arial"/>
          <w:b/>
          <w:lang w:val="es-ES"/>
        </w:rPr>
        <w:t>SUJETO OBLIGADO.</w:t>
      </w:r>
    </w:p>
    <w:p w14:paraId="47EF3233" w14:textId="77777777" w:rsidR="00F65DE0" w:rsidRPr="00A47593" w:rsidRDefault="00F65DE0" w:rsidP="00A47593">
      <w:pPr>
        <w:rPr>
          <w:rFonts w:cs="Arial"/>
          <w:b/>
          <w:lang w:val="es-ES"/>
        </w:rPr>
      </w:pPr>
    </w:p>
    <w:p w14:paraId="106D37EE" w14:textId="10EB7C60" w:rsidR="00D91CB4" w:rsidRPr="00A47593" w:rsidRDefault="00F65DE0" w:rsidP="00A47593">
      <w:pPr>
        <w:rPr>
          <w:rFonts w:eastAsia="Calibri"/>
          <w:lang w:eastAsia="es-ES_tradnl"/>
        </w:rPr>
      </w:pPr>
      <w:r w:rsidRPr="00A47593">
        <w:rPr>
          <w:rFonts w:cs="Arial"/>
          <w:lang w:val="es-ES"/>
        </w:rPr>
        <w:t xml:space="preserve">Sin embargo, tratándose de negativa ficta no existe resolución que se haga del conocimiento del particular a partir de la cual pueda computarse dicho término, por lo que es pertinente </w:t>
      </w:r>
      <w:r w:rsidRPr="00A47593">
        <w:rPr>
          <w:rFonts w:cs="Arial"/>
          <w:lang w:val="es-ES"/>
        </w:rPr>
        <w:lastRenderedPageBreak/>
        <w:t xml:space="preserve">establecer que no hay plazo para la interposición del Recurso Revisión y, por tanto, </w:t>
      </w:r>
      <w:r w:rsidRPr="00A47593">
        <w:rPr>
          <w:rFonts w:cs="Tahoma"/>
          <w:b/>
          <w:szCs w:val="24"/>
        </w:rPr>
        <w:t>LA PARTE RECURRENTE</w:t>
      </w:r>
      <w:r w:rsidRPr="00A47593">
        <w:rPr>
          <w:rFonts w:cs="Arial"/>
          <w:b/>
          <w:lang w:val="es-ES"/>
        </w:rPr>
        <w:t xml:space="preserve"> </w:t>
      </w:r>
      <w:r w:rsidRPr="00A47593">
        <w:rPr>
          <w:rFonts w:cs="Arial"/>
          <w:lang w:val="es-ES"/>
        </w:rPr>
        <w:t>está en libertad de presentar su medio de impugnación en cualquier momento; en consecuencia, se tiene que el presente recurso se interpuso oportunamente.</w:t>
      </w:r>
    </w:p>
    <w:p w14:paraId="49076992" w14:textId="77777777" w:rsidR="00D91CB4" w:rsidRPr="00A47593" w:rsidRDefault="00D91CB4" w:rsidP="00A47593">
      <w:pPr>
        <w:rPr>
          <w:rFonts w:eastAsia="Palatino Linotype" w:cs="Palatino Linotype"/>
        </w:rPr>
      </w:pPr>
    </w:p>
    <w:p w14:paraId="46C0EB3A" w14:textId="0F931891" w:rsidR="00A53315" w:rsidRPr="00A47593" w:rsidRDefault="00BA55A8" w:rsidP="00A47593">
      <w:pPr>
        <w:pStyle w:val="Ttulo3"/>
        <w:rPr>
          <w:rFonts w:eastAsia="Calibri"/>
          <w:lang w:eastAsia="es-ES_tradnl"/>
        </w:rPr>
      </w:pPr>
      <w:bookmarkStart w:id="20" w:name="_Toc179394861"/>
      <w:r w:rsidRPr="00A47593">
        <w:rPr>
          <w:rFonts w:eastAsia="Calibri"/>
          <w:lang w:eastAsia="es-ES_tradnl"/>
        </w:rPr>
        <w:t>d)</w:t>
      </w:r>
      <w:r w:rsidR="00D91CB4" w:rsidRPr="00A47593">
        <w:rPr>
          <w:rFonts w:eastAsia="Calibri"/>
          <w:lang w:eastAsia="es-ES_tradnl"/>
        </w:rPr>
        <w:t xml:space="preserve"> </w:t>
      </w:r>
      <w:r w:rsidR="0087127C" w:rsidRPr="00A47593">
        <w:rPr>
          <w:rFonts w:eastAsia="Calibri"/>
          <w:lang w:eastAsia="es-ES_tradnl"/>
        </w:rPr>
        <w:t>Causal de procedencia</w:t>
      </w:r>
      <w:bookmarkEnd w:id="20"/>
      <w:r w:rsidR="0087127C" w:rsidRPr="00A47593">
        <w:rPr>
          <w:rFonts w:eastAsia="Calibri"/>
          <w:lang w:eastAsia="es-ES_tradnl"/>
        </w:rPr>
        <w:t xml:space="preserve"> </w:t>
      </w:r>
    </w:p>
    <w:p w14:paraId="76D40B94" w14:textId="77777777" w:rsidR="002251D8" w:rsidRPr="00A47593" w:rsidRDefault="00BA55A8" w:rsidP="00A47593">
      <w:pPr>
        <w:textAlignment w:val="baseline"/>
        <w:rPr>
          <w:rFonts w:cs="Arial"/>
          <w:lang w:val="es-ES" w:eastAsia="es-MX"/>
        </w:rPr>
      </w:pPr>
      <w:r w:rsidRPr="00A47593">
        <w:rPr>
          <w:rFonts w:cs="Arial"/>
        </w:rPr>
        <w:t xml:space="preserve">Resulta procedente la interposición del recurso de revisión, ya que </w:t>
      </w:r>
      <w:r w:rsidRPr="00A47593">
        <w:rPr>
          <w:rFonts w:eastAsia="Calibri" w:cs="Tahoma"/>
          <w:szCs w:val="22"/>
          <w:lang w:eastAsia="es-MX"/>
        </w:rPr>
        <w:t xml:space="preserve">se actualiza la causal de procedencia señalada en el artículo 179, fracción </w:t>
      </w:r>
      <w:r w:rsidR="00F65DE0" w:rsidRPr="00A47593">
        <w:rPr>
          <w:rFonts w:eastAsia="Calibri" w:cs="Tahoma"/>
          <w:szCs w:val="22"/>
          <w:lang w:eastAsia="es-MX"/>
        </w:rPr>
        <w:t>VII</w:t>
      </w:r>
      <w:r w:rsidRPr="00A47593">
        <w:rPr>
          <w:rFonts w:cs="Arial"/>
        </w:rPr>
        <w:t xml:space="preserve"> de la </w:t>
      </w:r>
      <w:r w:rsidRPr="00A47593">
        <w:t>Ley de Transparencia y Acceso a la Información Pública del Estado de México y Municipios</w:t>
      </w:r>
      <w:r w:rsidR="002251D8" w:rsidRPr="00A47593">
        <w:t xml:space="preserve">, </w:t>
      </w:r>
      <w:r w:rsidR="002251D8" w:rsidRPr="00A47593">
        <w:rPr>
          <w:rFonts w:cs="Arial"/>
          <w:lang w:val="es-ES" w:eastAsia="es-MX"/>
        </w:rPr>
        <w:t>la cual dispone:</w:t>
      </w:r>
    </w:p>
    <w:p w14:paraId="3FCD1118" w14:textId="77777777" w:rsidR="002251D8" w:rsidRPr="00A47593" w:rsidRDefault="002251D8" w:rsidP="00A47593">
      <w:pPr>
        <w:textAlignment w:val="baseline"/>
        <w:rPr>
          <w:rFonts w:cs="Arial"/>
          <w:lang w:val="es-ES" w:eastAsia="es-MX"/>
        </w:rPr>
      </w:pPr>
    </w:p>
    <w:p w14:paraId="3915A7F3" w14:textId="77777777" w:rsidR="002251D8" w:rsidRPr="00A47593" w:rsidRDefault="002251D8" w:rsidP="00A47593">
      <w:pPr>
        <w:pStyle w:val="Puesto"/>
        <w:rPr>
          <w:lang w:val="es-ES"/>
        </w:rPr>
      </w:pPr>
      <w:r w:rsidRPr="00A47593">
        <w:rPr>
          <w:lang w:val="es-ES"/>
        </w:rPr>
        <w:t>“</w:t>
      </w:r>
      <w:r w:rsidRPr="00A47593">
        <w:rPr>
          <w:b/>
          <w:lang w:val="es-ES"/>
        </w:rPr>
        <w:t>Artículo 179.</w:t>
      </w:r>
      <w:r w:rsidRPr="00A47593">
        <w:rPr>
          <w:lang w:val="es-ES"/>
        </w:rPr>
        <w:t xml:space="preserve"> El Recurso Revisión es un medio de protección que la Ley otorga a los particulares, para hacer valer su derecho de acceso a la Información Pública, y procederá en contra de las siguientes causas:</w:t>
      </w:r>
    </w:p>
    <w:p w14:paraId="0ED8F424" w14:textId="77777777" w:rsidR="002251D8" w:rsidRPr="00A47593" w:rsidRDefault="002251D8" w:rsidP="00A47593">
      <w:pPr>
        <w:pStyle w:val="Puesto"/>
        <w:rPr>
          <w:lang w:val="es-ES"/>
        </w:rPr>
      </w:pPr>
      <w:r w:rsidRPr="00A47593">
        <w:rPr>
          <w:lang w:val="es-ES"/>
        </w:rPr>
        <w:t>…</w:t>
      </w:r>
    </w:p>
    <w:p w14:paraId="341ABAE8" w14:textId="77777777" w:rsidR="002251D8" w:rsidRPr="00A47593" w:rsidRDefault="002251D8" w:rsidP="00A47593">
      <w:pPr>
        <w:pStyle w:val="Puesto"/>
        <w:rPr>
          <w:lang w:val="es-ES"/>
        </w:rPr>
      </w:pPr>
      <w:r w:rsidRPr="00A47593">
        <w:rPr>
          <w:b/>
          <w:lang w:val="es-ES"/>
        </w:rPr>
        <w:t>VII. La falta de respuesta a una solicitud de acceso a la información</w:t>
      </w:r>
      <w:r w:rsidRPr="00A47593">
        <w:rPr>
          <w:lang w:val="es-ES"/>
        </w:rPr>
        <w:t>;</w:t>
      </w:r>
    </w:p>
    <w:p w14:paraId="0081281B" w14:textId="77777777" w:rsidR="002251D8" w:rsidRPr="00A47593" w:rsidRDefault="002251D8" w:rsidP="00A47593">
      <w:pPr>
        <w:pStyle w:val="Puesto"/>
        <w:rPr>
          <w:b/>
          <w:lang w:val="es-ES"/>
        </w:rPr>
      </w:pPr>
      <w:r w:rsidRPr="00A47593">
        <w:rPr>
          <w:b/>
          <w:lang w:val="es-ES"/>
        </w:rPr>
        <w:t>…</w:t>
      </w:r>
    </w:p>
    <w:p w14:paraId="75EC54C5" w14:textId="77777777" w:rsidR="002251D8" w:rsidRPr="00A47593" w:rsidRDefault="002251D8" w:rsidP="00A47593">
      <w:pPr>
        <w:pStyle w:val="Puesto"/>
        <w:rPr>
          <w:lang w:val="es-ES"/>
        </w:rPr>
      </w:pPr>
      <w:r w:rsidRPr="00A47593">
        <w:rPr>
          <w:lang w:val="es-ES"/>
        </w:rPr>
        <w:t>(Énfasis añadido).</w:t>
      </w:r>
    </w:p>
    <w:p w14:paraId="067CF5EB" w14:textId="15C6816F" w:rsidR="002251D8" w:rsidRPr="00A47593" w:rsidRDefault="002251D8" w:rsidP="00A47593">
      <w:pPr>
        <w:widowControl w:val="0"/>
        <w:spacing w:before="100" w:beforeAutospacing="1" w:after="100" w:afterAutospacing="1"/>
        <w:rPr>
          <w:rFonts w:eastAsia="Palatino Linotype" w:cs="Palatino Linotype"/>
        </w:rPr>
      </w:pPr>
      <w:r w:rsidRPr="00A47593">
        <w:rPr>
          <w:rFonts w:eastAsia="Palatino Linotype" w:cs="Palatino Linotype"/>
        </w:rPr>
        <w:t xml:space="preserve">El precepto legal citado, establece como supuesto de procedencia de los Recursos de Revisión, en aquellos casos en que </w:t>
      </w:r>
      <w:r w:rsidRPr="00A47593">
        <w:rPr>
          <w:rFonts w:eastAsia="Palatino Linotype" w:cs="Palatino Linotype"/>
          <w:b/>
        </w:rPr>
        <w:t>EL SUJETO OBLIGADO</w:t>
      </w:r>
      <w:r w:rsidRPr="00A47593">
        <w:rPr>
          <w:rFonts w:eastAsia="Palatino Linotype" w:cs="Palatino Linotype"/>
        </w:rPr>
        <w:t xml:space="preserve"> no dé respuesta a lo solicitado; por lo que, en el presente caso, se actualiza dicha causal, ya que </w:t>
      </w:r>
      <w:r w:rsidRPr="00A47593">
        <w:rPr>
          <w:rFonts w:eastAsia="Palatino Linotype" w:cs="Palatino Linotype"/>
          <w:b/>
        </w:rPr>
        <w:t>EL SUJETO OBLIGADO</w:t>
      </w:r>
      <w:r w:rsidRPr="00A47593">
        <w:rPr>
          <w:rFonts w:eastAsia="Palatino Linotype" w:cs="Palatino Linotype"/>
        </w:rPr>
        <w:t xml:space="preserve"> omitió dar las respuestas a lo requerido por </w:t>
      </w:r>
      <w:r w:rsidRPr="00A47593">
        <w:rPr>
          <w:rFonts w:eastAsia="Palatino Linotype" w:cs="Palatino Linotype"/>
          <w:b/>
        </w:rPr>
        <w:t xml:space="preserve">EL RECURRENTE </w:t>
      </w:r>
      <w:r w:rsidRPr="00A47593">
        <w:rPr>
          <w:rFonts w:eastAsia="Palatino Linotype" w:cs="Palatino Linotype"/>
        </w:rPr>
        <w:t xml:space="preserve">en su solicitud de acceso a la Información Pública; atento a ello, este Órgano Garante considera que las razones o motivos de inconformidad son </w:t>
      </w:r>
      <w:r w:rsidRPr="00A47593">
        <w:rPr>
          <w:rFonts w:eastAsia="Palatino Linotype" w:cs="Palatino Linotype"/>
          <w:b/>
        </w:rPr>
        <w:t>fundados</w:t>
      </w:r>
      <w:r w:rsidRPr="00A47593">
        <w:rPr>
          <w:rFonts w:eastAsia="Palatino Linotype" w:cs="Palatino Linotype"/>
        </w:rPr>
        <w:t>.</w:t>
      </w:r>
    </w:p>
    <w:p w14:paraId="2284D7EB" w14:textId="3EE1D036" w:rsidR="00BA55A8" w:rsidRPr="00A47593" w:rsidRDefault="00362A11" w:rsidP="00A47593">
      <w:pPr>
        <w:pStyle w:val="Ttulo3"/>
      </w:pPr>
      <w:bookmarkStart w:id="21" w:name="_Toc179394862"/>
      <w:r w:rsidRPr="00A47593">
        <w:t>e) Requisitos formales para la interposición del recurso</w:t>
      </w:r>
      <w:bookmarkEnd w:id="21"/>
    </w:p>
    <w:p w14:paraId="1E5C9B96" w14:textId="77777777" w:rsidR="005F5301" w:rsidRPr="00A47593" w:rsidRDefault="005F5301" w:rsidP="00A47593">
      <w:pPr>
        <w:rPr>
          <w:rFonts w:cs="Arial"/>
          <w:sz w:val="24"/>
          <w:szCs w:val="24"/>
          <w:lang w:val="es-ES"/>
        </w:rPr>
      </w:pPr>
      <w:r w:rsidRPr="00A47593">
        <w:rPr>
          <w:sz w:val="24"/>
          <w:szCs w:val="24"/>
          <w:lang w:val="es-ES"/>
        </w:rPr>
        <w:t xml:space="preserve">Es importante mencionar que, de la revisión del expediente electrónico del </w:t>
      </w:r>
      <w:r w:rsidRPr="00A47593">
        <w:rPr>
          <w:bCs/>
          <w:sz w:val="24"/>
          <w:szCs w:val="24"/>
          <w:lang w:val="es-ES"/>
        </w:rPr>
        <w:t>SAIMEX,</w:t>
      </w:r>
      <w:r w:rsidRPr="00A47593">
        <w:rPr>
          <w:sz w:val="24"/>
          <w:szCs w:val="24"/>
          <w:lang w:val="es-ES"/>
        </w:rPr>
        <w:t xml:space="preserve"> se observa que </w:t>
      </w:r>
      <w:r w:rsidRPr="00A47593">
        <w:rPr>
          <w:b/>
          <w:bCs/>
          <w:sz w:val="24"/>
          <w:szCs w:val="24"/>
          <w:lang w:val="es-ES"/>
        </w:rPr>
        <w:t>LA PARTE RECURRENTE</w:t>
      </w:r>
      <w:r w:rsidRPr="00A47593">
        <w:rPr>
          <w:sz w:val="24"/>
          <w:szCs w:val="24"/>
          <w:lang w:val="es-ES"/>
        </w:rPr>
        <w:t xml:space="preserve"> no proporcionó su nombre para ser identificado, lo que en estricto sentido provoca que </w:t>
      </w:r>
      <w:r w:rsidRPr="00A47593">
        <w:rPr>
          <w:rFonts w:cs="Arial"/>
          <w:sz w:val="24"/>
          <w:szCs w:val="24"/>
          <w:lang w:val="es-ES"/>
        </w:rPr>
        <w:t>no</w:t>
      </w:r>
      <w:r w:rsidRPr="00A47593">
        <w:rPr>
          <w:sz w:val="24"/>
          <w:szCs w:val="24"/>
          <w:lang w:val="es-ES"/>
        </w:rPr>
        <w:t xml:space="preserve"> se colmen los requisitos </w:t>
      </w:r>
      <w:r w:rsidRPr="00A47593">
        <w:rPr>
          <w:sz w:val="24"/>
          <w:szCs w:val="24"/>
          <w:lang w:val="es-ES"/>
        </w:rPr>
        <w:lastRenderedPageBreak/>
        <w:t xml:space="preserve">establecidos en el artículo 180 de la Ley de Transparencia; sin embargo, el artículo 15 de </w:t>
      </w:r>
      <w:r w:rsidRPr="00A47593">
        <w:rPr>
          <w:rFonts w:cs="Arial"/>
          <w:sz w:val="24"/>
          <w:szCs w:val="24"/>
          <w:lang w:val="es-ES" w:eastAsia="es-MX"/>
        </w:rPr>
        <w:t xml:space="preserve">Ley de Transparencia y Acceso a la </w:t>
      </w:r>
      <w:r w:rsidRPr="00A47593">
        <w:rPr>
          <w:rFonts w:cs="Arial"/>
          <w:sz w:val="24"/>
          <w:szCs w:val="24"/>
          <w:lang w:val="es-ES"/>
        </w:rPr>
        <w:t>Información</w:t>
      </w:r>
      <w:r w:rsidRPr="00A47593">
        <w:rPr>
          <w:rFonts w:cs="Arial"/>
          <w:sz w:val="24"/>
          <w:szCs w:val="24"/>
          <w:lang w:val="es-ES" w:eastAsia="es-MX"/>
        </w:rPr>
        <w:t xml:space="preserve"> Pública del Estado de México y Municipios </w:t>
      </w:r>
      <w:r w:rsidRPr="00A47593">
        <w:rPr>
          <w:rFonts w:cs="Arial"/>
          <w:iCs/>
          <w:sz w:val="24"/>
          <w:szCs w:val="24"/>
          <w:lang w:val="es-ES"/>
        </w:rPr>
        <w:t xml:space="preserve">prevé que </w:t>
      </w:r>
      <w:r w:rsidRPr="00A47593">
        <w:rPr>
          <w:sz w:val="24"/>
          <w:szCs w:val="24"/>
          <w:lang w:val="es-ES"/>
        </w:rPr>
        <w:t xml:space="preserve">toda persona tendrá acceso a la información </w:t>
      </w:r>
      <w:r w:rsidRPr="00A47593">
        <w:rPr>
          <w:rFonts w:cs="Arial"/>
          <w:sz w:val="24"/>
          <w:szCs w:val="24"/>
          <w:lang w:val="es-ES"/>
        </w:rPr>
        <w:t xml:space="preserve">sin necesidad de acreditar interés alguno o justificar su utilización, de lo que se infiere que </w:t>
      </w:r>
      <w:r w:rsidRPr="00A47593">
        <w:rPr>
          <w:rFonts w:cs="Arial"/>
          <w:b/>
          <w:sz w:val="24"/>
          <w:szCs w:val="24"/>
          <w:u w:val="single"/>
          <w:lang w:val="es-ES"/>
        </w:rPr>
        <w:t xml:space="preserve">el nombre no es un requisito </w:t>
      </w:r>
      <w:r w:rsidRPr="00A47593">
        <w:rPr>
          <w:rFonts w:cs="Arial"/>
          <w:b/>
          <w:iCs/>
          <w:sz w:val="24"/>
          <w:szCs w:val="24"/>
          <w:u w:val="single"/>
          <w:lang w:val="es-ES"/>
        </w:rPr>
        <w:t>indispensable</w:t>
      </w:r>
      <w:r w:rsidRPr="00A47593">
        <w:rPr>
          <w:rFonts w:cs="Arial"/>
          <w:sz w:val="24"/>
          <w:szCs w:val="24"/>
          <w:lang w:val="es-ES"/>
        </w:rPr>
        <w:t xml:space="preserve"> para que las y los ciudadanos ejerzan el derecho de acceso a la información pública. </w:t>
      </w:r>
    </w:p>
    <w:p w14:paraId="0DBCFA60" w14:textId="77777777" w:rsidR="005F5301" w:rsidRPr="00A47593" w:rsidRDefault="005F5301" w:rsidP="00A47593">
      <w:pPr>
        <w:rPr>
          <w:rFonts w:cs="Arial"/>
          <w:sz w:val="24"/>
          <w:szCs w:val="24"/>
          <w:lang w:val="es-ES"/>
        </w:rPr>
      </w:pPr>
    </w:p>
    <w:p w14:paraId="4B63C5CE" w14:textId="647DDEF6" w:rsidR="005F5301" w:rsidRPr="00A47593" w:rsidRDefault="005F5301" w:rsidP="00A47593">
      <w:pPr>
        <w:rPr>
          <w:sz w:val="24"/>
          <w:szCs w:val="24"/>
          <w:lang w:val="es-ES"/>
        </w:rPr>
      </w:pPr>
      <w:r w:rsidRPr="00A47593">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A47593">
        <w:rPr>
          <w:sz w:val="24"/>
          <w:szCs w:val="24"/>
          <w:lang w:val="es-ES"/>
        </w:rPr>
        <w:t xml:space="preserve"> </w:t>
      </w:r>
      <w:r w:rsidRPr="00A47593">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A47593">
        <w:rPr>
          <w:sz w:val="24"/>
          <w:szCs w:val="24"/>
          <w:lang w:val="es-ES"/>
        </w:rPr>
        <w:t>algunos</w:t>
      </w:r>
      <w:r w:rsidRPr="00A47593">
        <w:rPr>
          <w:sz w:val="24"/>
          <w:szCs w:val="24"/>
          <w:lang w:val="es-ES"/>
        </w:rPr>
        <w:t xml:space="preserve"> requisitos, entre ellos, el nombre de</w:t>
      </w:r>
      <w:r w:rsidR="00057B2D" w:rsidRPr="00A47593">
        <w:rPr>
          <w:sz w:val="24"/>
          <w:szCs w:val="24"/>
          <w:lang w:val="es-ES"/>
        </w:rPr>
        <w:t xml:space="preserve"> </w:t>
      </w:r>
      <w:r w:rsidR="00057B2D" w:rsidRPr="00A47593">
        <w:rPr>
          <w:b/>
          <w:bCs/>
          <w:sz w:val="24"/>
          <w:szCs w:val="24"/>
          <w:lang w:val="es-ES"/>
        </w:rPr>
        <w:t>LA PARTE RECURRENTE</w:t>
      </w:r>
      <w:r w:rsidRPr="00A47593">
        <w:rPr>
          <w:rFonts w:cs="Arial"/>
          <w:b/>
          <w:sz w:val="24"/>
          <w:szCs w:val="24"/>
          <w:lang w:val="es-ES"/>
        </w:rPr>
        <w:t>;</w:t>
      </w:r>
      <w:r w:rsidRPr="00A47593">
        <w:rPr>
          <w:sz w:val="24"/>
          <w:szCs w:val="24"/>
          <w:lang w:val="es-ES"/>
        </w:rPr>
        <w:t xml:space="preserve"> por lo que, en el presente caso, al haber sido presentado el recurso de revisión vía </w:t>
      </w:r>
      <w:r w:rsidRPr="00A47593">
        <w:rPr>
          <w:bCs/>
          <w:sz w:val="24"/>
          <w:szCs w:val="24"/>
          <w:lang w:val="es-ES"/>
        </w:rPr>
        <w:t>SAIMEX</w:t>
      </w:r>
      <w:r w:rsidRPr="00A47593">
        <w:rPr>
          <w:sz w:val="24"/>
          <w:szCs w:val="24"/>
          <w:lang w:val="es-ES"/>
        </w:rPr>
        <w:t>, dicho requisito resulta innecesario.</w:t>
      </w:r>
    </w:p>
    <w:p w14:paraId="7744E955" w14:textId="77777777" w:rsidR="00575400" w:rsidRPr="00A47593" w:rsidRDefault="00575400" w:rsidP="00A47593">
      <w:pPr>
        <w:rPr>
          <w:rFonts w:cs="Arial"/>
        </w:rPr>
      </w:pPr>
    </w:p>
    <w:p w14:paraId="457548E9" w14:textId="3F7AF03B" w:rsidR="00C71CEF" w:rsidRPr="00A47593" w:rsidRDefault="00C71CEF" w:rsidP="00A47593">
      <w:pPr>
        <w:pStyle w:val="Ttulo2"/>
      </w:pPr>
      <w:bookmarkStart w:id="22" w:name="_Toc179394863"/>
      <w:r w:rsidRPr="00A47593">
        <w:t>SEGUNDO. Estudio de Fondo</w:t>
      </w:r>
      <w:bookmarkEnd w:id="22"/>
    </w:p>
    <w:p w14:paraId="2A308F59" w14:textId="0FF373F0" w:rsidR="00C049E2" w:rsidRPr="00A47593" w:rsidRDefault="00C71CEF" w:rsidP="00A47593">
      <w:pPr>
        <w:pStyle w:val="Ttulo3"/>
      </w:pPr>
      <w:bookmarkStart w:id="23" w:name="_Toc179394864"/>
      <w:r w:rsidRPr="00A47593">
        <w:t>a</w:t>
      </w:r>
      <w:r w:rsidR="00C049E2" w:rsidRPr="00A47593">
        <w:t>) Mandato de transparencia y responsabilidad del Sujeto Obligado</w:t>
      </w:r>
      <w:bookmarkEnd w:id="23"/>
    </w:p>
    <w:p w14:paraId="6901A889" w14:textId="59EEDAE1" w:rsidR="00C049E2" w:rsidRPr="00A47593" w:rsidRDefault="00C049E2" w:rsidP="00A47593">
      <w:pPr>
        <w:rPr>
          <w:rFonts w:eastAsia="Palatino Linotype"/>
        </w:rPr>
      </w:pPr>
      <w:r w:rsidRPr="00A47593">
        <w:rPr>
          <w:rFonts w:eastAsia="Palatino Linotype"/>
        </w:rPr>
        <w:t xml:space="preserve">El </w:t>
      </w:r>
      <w:r w:rsidR="00717E59" w:rsidRPr="00A47593">
        <w:rPr>
          <w:rFonts w:eastAsia="Palatino Linotype"/>
        </w:rPr>
        <w:t>d</w:t>
      </w:r>
      <w:r w:rsidRPr="00A47593">
        <w:rPr>
          <w:rFonts w:eastAsia="Palatino Linotype"/>
        </w:rPr>
        <w:t xml:space="preserve">erecho de </w:t>
      </w:r>
      <w:r w:rsidR="00717E59" w:rsidRPr="00A47593">
        <w:rPr>
          <w:rFonts w:eastAsia="Palatino Linotype"/>
        </w:rPr>
        <w:t>a</w:t>
      </w:r>
      <w:r w:rsidRPr="00A47593">
        <w:rPr>
          <w:rFonts w:eastAsia="Palatino Linotype"/>
        </w:rPr>
        <w:t xml:space="preserve">cceso a la </w:t>
      </w:r>
      <w:r w:rsidR="00717E59" w:rsidRPr="00A47593">
        <w:rPr>
          <w:rFonts w:eastAsia="Palatino Linotype"/>
        </w:rPr>
        <w:t>i</w:t>
      </w:r>
      <w:r w:rsidRPr="00A47593">
        <w:rPr>
          <w:rFonts w:eastAsia="Palatino Linotype"/>
        </w:rPr>
        <w:t xml:space="preserve">nformación </w:t>
      </w:r>
      <w:r w:rsidR="00717E59" w:rsidRPr="00A47593">
        <w:rPr>
          <w:rFonts w:eastAsia="Palatino Linotype"/>
        </w:rPr>
        <w:t>p</w:t>
      </w:r>
      <w:r w:rsidRPr="00A47593">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A47593">
        <w:rPr>
          <w:rFonts w:eastAsia="Palatino Linotype"/>
        </w:rPr>
        <w:t>:</w:t>
      </w:r>
    </w:p>
    <w:p w14:paraId="7FAB8D32" w14:textId="77777777" w:rsidR="00C049E2" w:rsidRPr="00A47593" w:rsidRDefault="00C049E2" w:rsidP="00A47593">
      <w:pPr>
        <w:rPr>
          <w:rFonts w:eastAsia="Palatino Linotype"/>
        </w:rPr>
      </w:pPr>
    </w:p>
    <w:p w14:paraId="05320813" w14:textId="77777777" w:rsidR="00C049E2" w:rsidRPr="00A47593" w:rsidRDefault="00C049E2" w:rsidP="00A47593">
      <w:pPr>
        <w:spacing w:line="240" w:lineRule="auto"/>
        <w:ind w:left="567" w:right="539"/>
        <w:rPr>
          <w:rFonts w:eastAsia="Palatino Linotype"/>
          <w:b/>
          <w:i/>
        </w:rPr>
      </w:pPr>
      <w:r w:rsidRPr="00A47593">
        <w:rPr>
          <w:rFonts w:eastAsia="Palatino Linotype"/>
          <w:b/>
          <w:i/>
        </w:rPr>
        <w:t>Constitución Política de los Estados Unidos Mexicanos</w:t>
      </w:r>
    </w:p>
    <w:p w14:paraId="6B6C67B6" w14:textId="77777777" w:rsidR="00C049E2" w:rsidRPr="00A47593" w:rsidRDefault="00C049E2" w:rsidP="00A47593">
      <w:pPr>
        <w:spacing w:line="240" w:lineRule="auto"/>
        <w:ind w:left="567" w:right="539"/>
        <w:rPr>
          <w:rFonts w:eastAsia="Palatino Linotype"/>
          <w:b/>
          <w:i/>
        </w:rPr>
      </w:pPr>
      <w:r w:rsidRPr="00A47593">
        <w:rPr>
          <w:rFonts w:eastAsia="Palatino Linotype"/>
          <w:b/>
          <w:i/>
        </w:rPr>
        <w:t>“Artículo 6.</w:t>
      </w:r>
    </w:p>
    <w:p w14:paraId="38D3B4C4" w14:textId="77777777" w:rsidR="00C049E2" w:rsidRPr="00A47593" w:rsidRDefault="00C049E2" w:rsidP="00A47593">
      <w:pPr>
        <w:spacing w:line="240" w:lineRule="auto"/>
        <w:ind w:left="567" w:right="539"/>
        <w:rPr>
          <w:rFonts w:eastAsia="Palatino Linotype"/>
          <w:i/>
        </w:rPr>
      </w:pPr>
      <w:r w:rsidRPr="00A47593">
        <w:rPr>
          <w:rFonts w:eastAsia="Palatino Linotype"/>
          <w:i/>
        </w:rPr>
        <w:t>(…)</w:t>
      </w:r>
    </w:p>
    <w:p w14:paraId="2CCAA297" w14:textId="6602827B" w:rsidR="00C049E2" w:rsidRPr="00A47593" w:rsidRDefault="00C049E2" w:rsidP="00A47593">
      <w:pPr>
        <w:spacing w:line="240" w:lineRule="auto"/>
        <w:ind w:left="567" w:right="539"/>
        <w:rPr>
          <w:rFonts w:eastAsia="Palatino Linotype"/>
          <w:i/>
        </w:rPr>
      </w:pPr>
      <w:r w:rsidRPr="00A47593">
        <w:rPr>
          <w:rFonts w:eastAsia="Palatino Linotype"/>
          <w:i/>
        </w:rPr>
        <w:t>Para efectos de lo dispuesto en el presente artículo se observará lo siguiente:</w:t>
      </w:r>
    </w:p>
    <w:p w14:paraId="74CC3718" w14:textId="77777777" w:rsidR="00C049E2" w:rsidRPr="00A47593" w:rsidRDefault="00C049E2" w:rsidP="00A47593">
      <w:pPr>
        <w:spacing w:line="240" w:lineRule="auto"/>
        <w:ind w:left="567" w:right="539"/>
        <w:rPr>
          <w:rFonts w:eastAsia="Palatino Linotype"/>
          <w:b/>
          <w:i/>
        </w:rPr>
      </w:pPr>
      <w:r w:rsidRPr="00A47593">
        <w:rPr>
          <w:rFonts w:eastAsia="Palatino Linotype"/>
          <w:b/>
          <w:i/>
        </w:rPr>
        <w:lastRenderedPageBreak/>
        <w:t>A</w:t>
      </w:r>
      <w:r w:rsidRPr="00A47593">
        <w:rPr>
          <w:rFonts w:eastAsia="Palatino Linotype"/>
          <w:i/>
        </w:rPr>
        <w:t xml:space="preserve">. </w:t>
      </w:r>
      <w:r w:rsidRPr="00A47593">
        <w:rPr>
          <w:rFonts w:eastAsia="Palatino Linotype"/>
          <w:b/>
          <w:i/>
        </w:rPr>
        <w:t>Para el ejercicio del derecho de acceso a la información</w:t>
      </w:r>
      <w:r w:rsidRPr="00A47593">
        <w:rPr>
          <w:rFonts w:eastAsia="Palatino Linotype"/>
          <w:i/>
        </w:rPr>
        <w:t xml:space="preserve">, la Federación y </w:t>
      </w:r>
      <w:r w:rsidRPr="00A47593">
        <w:rPr>
          <w:rFonts w:eastAsia="Palatino Linotype"/>
          <w:b/>
          <w:i/>
        </w:rPr>
        <w:t>las entidades federativas, en el ámbito de sus respectivas competencias, se regirán por los siguientes principios y bases:</w:t>
      </w:r>
    </w:p>
    <w:p w14:paraId="596A956B" w14:textId="77777777" w:rsidR="00C049E2" w:rsidRPr="00A47593" w:rsidRDefault="00C049E2" w:rsidP="00A47593">
      <w:pPr>
        <w:spacing w:line="240" w:lineRule="auto"/>
        <w:ind w:left="567" w:right="539"/>
        <w:rPr>
          <w:rFonts w:eastAsia="Palatino Linotype"/>
          <w:i/>
        </w:rPr>
      </w:pPr>
      <w:r w:rsidRPr="00A47593">
        <w:rPr>
          <w:rFonts w:eastAsia="Palatino Linotype"/>
          <w:b/>
          <w:i/>
        </w:rPr>
        <w:t xml:space="preserve">I. </w:t>
      </w:r>
      <w:r w:rsidRPr="00A47593">
        <w:rPr>
          <w:rFonts w:eastAsia="Palatino Linotype"/>
          <w:b/>
          <w:i/>
        </w:rPr>
        <w:tab/>
        <w:t>Toda la información en posesión de cualquier</w:t>
      </w:r>
      <w:r w:rsidRPr="00A47593">
        <w:rPr>
          <w:rFonts w:eastAsia="Palatino Linotype"/>
          <w:i/>
        </w:rPr>
        <w:t xml:space="preserve"> </w:t>
      </w:r>
      <w:r w:rsidRPr="00A47593">
        <w:rPr>
          <w:rFonts w:eastAsia="Palatino Linotype"/>
          <w:b/>
          <w:i/>
        </w:rPr>
        <w:t>autoridad</w:t>
      </w:r>
      <w:r w:rsidRPr="00A47593">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A47593">
        <w:rPr>
          <w:rFonts w:eastAsia="Palatino Linotype"/>
          <w:b/>
          <w:i/>
        </w:rPr>
        <w:t>municipal</w:t>
      </w:r>
      <w:r w:rsidRPr="00A47593">
        <w:rPr>
          <w:rFonts w:eastAsia="Palatino Linotype"/>
          <w:i/>
        </w:rPr>
        <w:t xml:space="preserve">, </w:t>
      </w:r>
      <w:r w:rsidRPr="00A47593">
        <w:rPr>
          <w:rFonts w:eastAsia="Palatino Linotype"/>
          <w:b/>
          <w:i/>
        </w:rPr>
        <w:t>es pública</w:t>
      </w:r>
      <w:r w:rsidRPr="00A47593">
        <w:rPr>
          <w:rFonts w:eastAsia="Palatino Linotype"/>
          <w:i/>
        </w:rPr>
        <w:t xml:space="preserve"> y sólo podrá ser reservada temporalmente por razones de interés público y seguridad nacional, en los términos que fijen las leyes. </w:t>
      </w:r>
      <w:r w:rsidRPr="00A47593">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A47593">
        <w:rPr>
          <w:rFonts w:eastAsia="Palatino Linotype"/>
          <w:i/>
        </w:rPr>
        <w:t>, la ley determinará los supuestos específicos bajo los cuales procederá la declaración de inexistencia de la información.”</w:t>
      </w:r>
    </w:p>
    <w:p w14:paraId="68F313E4" w14:textId="77777777" w:rsidR="00C049E2" w:rsidRPr="00A47593" w:rsidRDefault="00C049E2" w:rsidP="00A47593">
      <w:pPr>
        <w:spacing w:line="240" w:lineRule="auto"/>
        <w:ind w:left="567" w:right="539"/>
        <w:rPr>
          <w:rFonts w:eastAsia="Palatino Linotype"/>
          <w:b/>
          <w:i/>
        </w:rPr>
      </w:pPr>
    </w:p>
    <w:p w14:paraId="504F12DB" w14:textId="77777777" w:rsidR="00C049E2" w:rsidRPr="00A47593" w:rsidRDefault="00C049E2" w:rsidP="00A47593">
      <w:pPr>
        <w:spacing w:line="240" w:lineRule="auto"/>
        <w:ind w:left="567" w:right="539"/>
        <w:rPr>
          <w:rFonts w:eastAsia="Palatino Linotype"/>
          <w:b/>
          <w:i/>
        </w:rPr>
      </w:pPr>
      <w:r w:rsidRPr="00A47593">
        <w:rPr>
          <w:rFonts w:eastAsia="Palatino Linotype"/>
          <w:b/>
          <w:i/>
        </w:rPr>
        <w:t>Constitución Política del Estado Libre y Soberano de México</w:t>
      </w:r>
    </w:p>
    <w:p w14:paraId="04932D29" w14:textId="77777777" w:rsidR="00C049E2" w:rsidRPr="00A47593" w:rsidRDefault="00C049E2" w:rsidP="00A47593">
      <w:pPr>
        <w:spacing w:line="240" w:lineRule="auto"/>
        <w:ind w:left="567" w:right="539"/>
        <w:rPr>
          <w:rFonts w:eastAsia="Palatino Linotype"/>
          <w:i/>
        </w:rPr>
      </w:pPr>
      <w:r w:rsidRPr="00A47593">
        <w:rPr>
          <w:rFonts w:eastAsia="Palatino Linotype"/>
          <w:b/>
          <w:i/>
        </w:rPr>
        <w:t>“Artículo 5</w:t>
      </w:r>
      <w:r w:rsidRPr="00A47593">
        <w:rPr>
          <w:rFonts w:eastAsia="Palatino Linotype"/>
          <w:i/>
        </w:rPr>
        <w:t xml:space="preserve">.- </w:t>
      </w:r>
    </w:p>
    <w:p w14:paraId="1D3829F4" w14:textId="77777777" w:rsidR="00C049E2" w:rsidRPr="00A47593" w:rsidRDefault="00C049E2" w:rsidP="00A47593">
      <w:pPr>
        <w:spacing w:line="240" w:lineRule="auto"/>
        <w:ind w:left="567" w:right="539"/>
        <w:rPr>
          <w:rFonts w:eastAsia="Palatino Linotype"/>
          <w:i/>
        </w:rPr>
      </w:pPr>
      <w:r w:rsidRPr="00A47593">
        <w:rPr>
          <w:rFonts w:eastAsia="Palatino Linotype"/>
          <w:i/>
        </w:rPr>
        <w:t>(…)</w:t>
      </w:r>
    </w:p>
    <w:p w14:paraId="0EAE47FD" w14:textId="77777777" w:rsidR="00C049E2" w:rsidRPr="00A47593" w:rsidRDefault="00C049E2" w:rsidP="00A47593">
      <w:pPr>
        <w:spacing w:line="240" w:lineRule="auto"/>
        <w:ind w:left="567" w:right="539"/>
        <w:rPr>
          <w:rFonts w:eastAsia="Palatino Linotype"/>
          <w:i/>
        </w:rPr>
      </w:pPr>
      <w:r w:rsidRPr="00A47593">
        <w:rPr>
          <w:rFonts w:eastAsia="Palatino Linotype"/>
          <w:b/>
          <w:i/>
        </w:rPr>
        <w:t>El derecho a la información será garantizado por el Estado. La ley establecerá las previsiones que permitan asegurar la protección, el respeto y la difusión de este derecho</w:t>
      </w:r>
      <w:r w:rsidRPr="00A47593">
        <w:rPr>
          <w:rFonts w:eastAsia="Palatino Linotype"/>
          <w:i/>
        </w:rPr>
        <w:t>.</w:t>
      </w:r>
    </w:p>
    <w:p w14:paraId="4F0C804A" w14:textId="77777777" w:rsidR="00C049E2" w:rsidRPr="00A47593" w:rsidRDefault="00C049E2" w:rsidP="00A47593">
      <w:pPr>
        <w:spacing w:line="240" w:lineRule="auto"/>
        <w:ind w:left="567" w:right="539"/>
        <w:rPr>
          <w:rFonts w:eastAsia="Palatino Linotype"/>
          <w:i/>
        </w:rPr>
      </w:pPr>
      <w:r w:rsidRPr="00A47593">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A47593" w:rsidRDefault="00C049E2" w:rsidP="00A47593">
      <w:pPr>
        <w:spacing w:line="240" w:lineRule="auto"/>
        <w:ind w:left="567" w:right="539"/>
        <w:rPr>
          <w:rFonts w:eastAsia="Palatino Linotype"/>
          <w:i/>
        </w:rPr>
      </w:pPr>
      <w:r w:rsidRPr="00A47593">
        <w:rPr>
          <w:rFonts w:eastAsia="Palatino Linotype"/>
          <w:b/>
          <w:i/>
        </w:rPr>
        <w:t>Este derecho se regirá por los principios y bases siguientes</w:t>
      </w:r>
      <w:r w:rsidRPr="00A47593">
        <w:rPr>
          <w:rFonts w:eastAsia="Palatino Linotype"/>
          <w:i/>
        </w:rPr>
        <w:t>:</w:t>
      </w:r>
    </w:p>
    <w:p w14:paraId="4A3E8CBA" w14:textId="77777777" w:rsidR="00C049E2" w:rsidRPr="00A47593" w:rsidRDefault="00C049E2" w:rsidP="00A47593">
      <w:pPr>
        <w:spacing w:line="240" w:lineRule="auto"/>
        <w:ind w:left="567" w:right="539"/>
        <w:rPr>
          <w:rFonts w:eastAsia="Palatino Linotype"/>
          <w:i/>
        </w:rPr>
      </w:pPr>
      <w:r w:rsidRPr="00A47593">
        <w:rPr>
          <w:rFonts w:eastAsia="Palatino Linotype"/>
          <w:b/>
          <w:i/>
        </w:rPr>
        <w:t>I. Toda la información en posesión de cualquier autoridad, entidad, órgano y organismos de los</w:t>
      </w:r>
      <w:r w:rsidRPr="00A47593">
        <w:rPr>
          <w:rFonts w:eastAsia="Palatino Linotype"/>
          <w:i/>
        </w:rPr>
        <w:t xml:space="preserve"> Poderes Ejecutivo, Legislativo y Judicial, órganos autónomos, partidos políticos, fideicomisos y fondos públicos estatales y </w:t>
      </w:r>
      <w:r w:rsidRPr="00A47593">
        <w:rPr>
          <w:rFonts w:eastAsia="Palatino Linotype"/>
          <w:b/>
          <w:i/>
        </w:rPr>
        <w:t>municipales</w:t>
      </w:r>
      <w:r w:rsidRPr="00A47593">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A47593">
        <w:rPr>
          <w:rFonts w:eastAsia="Palatino Linotype"/>
          <w:b/>
          <w:i/>
        </w:rPr>
        <w:t>es pública</w:t>
      </w:r>
      <w:r w:rsidRPr="00A47593">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A47593">
        <w:rPr>
          <w:rFonts w:eastAsia="Palatino Linotype"/>
          <w:b/>
          <w:i/>
        </w:rPr>
        <w:t>En la interpretación de este derecho deberá prevalecer el principio de máxima publicidad</w:t>
      </w:r>
      <w:r w:rsidRPr="00A47593">
        <w:rPr>
          <w:rFonts w:eastAsia="Palatino Linotype"/>
          <w:i/>
        </w:rPr>
        <w:t xml:space="preserve">. </w:t>
      </w:r>
      <w:r w:rsidRPr="00A47593">
        <w:rPr>
          <w:rFonts w:eastAsia="Palatino Linotype"/>
          <w:b/>
          <w:i/>
        </w:rPr>
        <w:t>Los sujetos obligados deberán documentar todo acto que derive del ejercicio de sus facultades, competencias o funciones</w:t>
      </w:r>
      <w:r w:rsidRPr="00A47593">
        <w:rPr>
          <w:rFonts w:eastAsia="Palatino Linotype"/>
          <w:i/>
        </w:rPr>
        <w:t>, la ley determinará los supuestos específicos bajo los cuales procederá la declaración de inexistencia de la información.”</w:t>
      </w:r>
    </w:p>
    <w:p w14:paraId="5CA98E37" w14:textId="77777777" w:rsidR="00C049E2" w:rsidRPr="00A47593" w:rsidRDefault="00C049E2" w:rsidP="00A47593">
      <w:pPr>
        <w:rPr>
          <w:rFonts w:eastAsia="Palatino Linotype"/>
          <w:b/>
          <w:i/>
        </w:rPr>
      </w:pPr>
    </w:p>
    <w:p w14:paraId="6FC1BB3B" w14:textId="3BF4A33D" w:rsidR="00C049E2" w:rsidRPr="00A47593" w:rsidRDefault="00717E59" w:rsidP="00A47593">
      <w:pPr>
        <w:rPr>
          <w:rFonts w:eastAsia="Palatino Linotype"/>
          <w:i/>
        </w:rPr>
      </w:pPr>
      <w:r w:rsidRPr="00A47593">
        <w:rPr>
          <w:rFonts w:eastAsia="Palatino Linotype"/>
        </w:rPr>
        <w:lastRenderedPageBreak/>
        <w:t xml:space="preserve">Asimismo, </w:t>
      </w:r>
      <w:r w:rsidR="00C049E2" w:rsidRPr="00A47593">
        <w:rPr>
          <w:rFonts w:eastAsia="Palatino Linotype"/>
        </w:rPr>
        <w:t>el artículo 150 de la Ley de Transparencia y Acceso a la Información Pública del Estado de México y Municipios</w:t>
      </w:r>
      <w:r w:rsidR="00057B2D" w:rsidRPr="00A47593">
        <w:rPr>
          <w:rFonts w:eastAsia="Palatino Linotype"/>
        </w:rPr>
        <w:t xml:space="preserve"> </w:t>
      </w:r>
      <w:r w:rsidR="00E9335C" w:rsidRPr="00A47593">
        <w:rPr>
          <w:rFonts w:eastAsia="Palatino Linotype"/>
        </w:rPr>
        <w:t xml:space="preserve">indica </w:t>
      </w:r>
      <w:r w:rsidR="00057B2D" w:rsidRPr="00A47593">
        <w:rPr>
          <w:rFonts w:eastAsia="Palatino Linotype"/>
        </w:rPr>
        <w:t>que</w:t>
      </w:r>
      <w:r w:rsidR="00C049E2" w:rsidRPr="00A47593">
        <w:rPr>
          <w:rFonts w:eastAsia="Palatino Linotype"/>
        </w:rPr>
        <w:t xml:space="preserve"> la solicitud es la garantía primaria del Derecho de Acceso a la Información, además, establece que se regirá </w:t>
      </w:r>
      <w:r w:rsidR="00C049E2" w:rsidRPr="00A47593">
        <w:rPr>
          <w:rFonts w:eastAsia="Palatino Linotype"/>
          <w:i/>
        </w:rPr>
        <w:t>por los principios de simplicidad, rapidez</w:t>
      </w:r>
      <w:r w:rsidR="005F65B7" w:rsidRPr="00A47593">
        <w:rPr>
          <w:rFonts w:eastAsia="Palatino Linotype"/>
          <w:i/>
        </w:rPr>
        <w:t>,</w:t>
      </w:r>
      <w:r w:rsidR="00C049E2" w:rsidRPr="00A47593">
        <w:rPr>
          <w:rFonts w:eastAsia="Palatino Linotype"/>
          <w:i/>
        </w:rPr>
        <w:t xml:space="preserve"> gratuidad del procedimiento, auxilio y orientación a los particulare</w:t>
      </w:r>
      <w:r w:rsidR="001A58B3" w:rsidRPr="00A47593">
        <w:rPr>
          <w:rFonts w:eastAsia="Palatino Linotype"/>
          <w:i/>
        </w:rPr>
        <w:t>s.</w:t>
      </w:r>
    </w:p>
    <w:p w14:paraId="033466A6" w14:textId="77777777" w:rsidR="001A58B3" w:rsidRPr="00A47593" w:rsidRDefault="001A58B3" w:rsidP="00A47593">
      <w:pPr>
        <w:rPr>
          <w:rFonts w:eastAsia="Palatino Linotype"/>
          <w:i/>
        </w:rPr>
      </w:pPr>
    </w:p>
    <w:p w14:paraId="04ADA10B" w14:textId="574A944A" w:rsidR="001A58B3" w:rsidRPr="00A47593" w:rsidRDefault="00233F17" w:rsidP="00A47593">
      <w:pPr>
        <w:rPr>
          <w:rFonts w:eastAsia="Palatino Linotype" w:cs="Palatino Linotype"/>
          <w:i/>
          <w:szCs w:val="22"/>
        </w:rPr>
      </w:pPr>
      <w:r w:rsidRPr="00A47593">
        <w:rPr>
          <w:rFonts w:eastAsia="Palatino Linotype" w:cs="Palatino Linotype"/>
        </w:rPr>
        <w:t xml:space="preserve">Por su parte, el artículo 4 de </w:t>
      </w:r>
      <w:r w:rsidR="001A58B3" w:rsidRPr="00A47593">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A47593">
        <w:rPr>
          <w:rFonts w:eastAsia="Palatino Linotype" w:cs="Palatino Linotype"/>
        </w:rPr>
        <w:t>.</w:t>
      </w:r>
    </w:p>
    <w:p w14:paraId="1407DBB8" w14:textId="77777777" w:rsidR="001A58B3" w:rsidRPr="00A47593" w:rsidRDefault="001A58B3" w:rsidP="00A47593">
      <w:pPr>
        <w:rPr>
          <w:rFonts w:eastAsia="Palatino Linotype" w:cs="Palatino Linotype"/>
        </w:rPr>
      </w:pPr>
    </w:p>
    <w:p w14:paraId="7552AA79" w14:textId="5C52E4A4" w:rsidR="001A58B3" w:rsidRPr="00A47593" w:rsidRDefault="001A58B3" w:rsidP="00A47593">
      <w:pPr>
        <w:rPr>
          <w:rFonts w:eastAsia="Palatino Linotype" w:cs="Palatino Linotype"/>
        </w:rPr>
      </w:pPr>
      <w:r w:rsidRPr="00A47593">
        <w:rPr>
          <w:rFonts w:eastAsia="Palatino Linotype" w:cs="Palatino Linotype"/>
        </w:rPr>
        <w:t xml:space="preserve">Esto es, que los Sujetos Obligados </w:t>
      </w:r>
      <w:r w:rsidR="00FA5957" w:rsidRPr="00A47593">
        <w:rPr>
          <w:rFonts w:eastAsia="Palatino Linotype" w:cs="Palatino Linotype"/>
        </w:rPr>
        <w:t>deben</w:t>
      </w:r>
      <w:r w:rsidRPr="00A47593">
        <w:rPr>
          <w:rFonts w:eastAsia="Palatino Linotype" w:cs="Palatino Linotype"/>
        </w:rPr>
        <w:t xml:space="preserve"> atender las solicitudes de acceso a la información pública que se les </w:t>
      </w:r>
      <w:r w:rsidR="00FA5957" w:rsidRPr="00A47593">
        <w:rPr>
          <w:rFonts w:eastAsia="Palatino Linotype" w:cs="Palatino Linotype"/>
        </w:rPr>
        <w:t>sean realizadas,</w:t>
      </w:r>
      <w:r w:rsidRPr="00A47593">
        <w:rPr>
          <w:rFonts w:eastAsia="Palatino Linotype" w:cs="Palatino Linotype"/>
        </w:rPr>
        <w:t xml:space="preserve"> y proporcionar la información pública que obre en su poder</w:t>
      </w:r>
      <w:r w:rsidR="00FA5957" w:rsidRPr="00A47593">
        <w:rPr>
          <w:rFonts w:eastAsia="Palatino Linotype" w:cs="Palatino Linotype"/>
        </w:rPr>
        <w:t>,</w:t>
      </w:r>
      <w:r w:rsidRPr="00A47593">
        <w:rPr>
          <w:rFonts w:eastAsia="Palatino Linotype" w:cs="Palatino Linotype"/>
        </w:rPr>
        <w:t xml:space="preserve"> conforme </w:t>
      </w:r>
      <w:r w:rsidR="00FA5957" w:rsidRPr="00A47593">
        <w:rPr>
          <w:rFonts w:eastAsia="Palatino Linotype" w:cs="Palatino Linotype"/>
        </w:rPr>
        <w:t>a</w:t>
      </w:r>
      <w:r w:rsidRPr="00A47593">
        <w:rPr>
          <w:rFonts w:eastAsia="Palatino Linotype" w:cs="Palatino Linotype"/>
        </w:rPr>
        <w:t xml:space="preserve">l estado </w:t>
      </w:r>
      <w:r w:rsidR="00FA5957" w:rsidRPr="00A47593">
        <w:rPr>
          <w:rFonts w:eastAsia="Palatino Linotype" w:cs="Palatino Linotype"/>
        </w:rPr>
        <w:t xml:space="preserve">en </w:t>
      </w:r>
      <w:r w:rsidRPr="00A47593">
        <w:rPr>
          <w:rFonts w:eastAsia="Palatino Linotype" w:cs="Palatino Linotype"/>
        </w:rPr>
        <w:t>que se encuentr</w:t>
      </w:r>
      <w:r w:rsidR="00FA5957" w:rsidRPr="00A47593">
        <w:rPr>
          <w:rFonts w:eastAsia="Palatino Linotype" w:cs="Palatino Linotype"/>
        </w:rPr>
        <w:t>e, sin que sea necesario</w:t>
      </w:r>
      <w:r w:rsidRPr="00A47593">
        <w:rPr>
          <w:rFonts w:eastAsia="Palatino Linotype" w:cs="Palatino Linotype"/>
        </w:rPr>
        <w:t xml:space="preserve"> </w:t>
      </w:r>
      <w:r w:rsidR="00FA5957" w:rsidRPr="00A47593">
        <w:rPr>
          <w:rFonts w:eastAsia="Palatino Linotype" w:cs="Palatino Linotype"/>
        </w:rPr>
        <w:t>procesar</w:t>
      </w:r>
      <w:r w:rsidRPr="00A47593">
        <w:rPr>
          <w:rFonts w:eastAsia="Palatino Linotype" w:cs="Palatino Linotype"/>
        </w:rPr>
        <w:t xml:space="preserve"> la misma, ni presentarla conforme al interés del solicitante; </w:t>
      </w:r>
      <w:r w:rsidR="00FA5957" w:rsidRPr="00A47593">
        <w:rPr>
          <w:rFonts w:eastAsia="Palatino Linotype" w:cs="Palatino Linotype"/>
        </w:rPr>
        <w:t>tal y como</w:t>
      </w:r>
      <w:r w:rsidRPr="00A47593">
        <w:rPr>
          <w:rFonts w:eastAsia="Palatino Linotype" w:cs="Palatino Linotype"/>
        </w:rPr>
        <w:t xml:space="preserve"> lo establece el artículo 12 de la Ley de Transparencia y Acceso a la Información Pública del Estado de México y Municipios</w:t>
      </w:r>
      <w:r w:rsidR="00970EB3" w:rsidRPr="00A47593">
        <w:rPr>
          <w:rFonts w:eastAsia="Palatino Linotype" w:cs="Palatino Linotype"/>
        </w:rPr>
        <w:t>.</w:t>
      </w:r>
    </w:p>
    <w:p w14:paraId="73245195" w14:textId="77777777" w:rsidR="00970EB3" w:rsidRPr="00A47593" w:rsidRDefault="00970EB3" w:rsidP="00A47593">
      <w:pPr>
        <w:rPr>
          <w:rFonts w:eastAsia="Palatino Linotype" w:cs="Palatino Linotype"/>
        </w:rPr>
      </w:pPr>
    </w:p>
    <w:p w14:paraId="7F62D4DF" w14:textId="775730E1" w:rsidR="001A58B3" w:rsidRPr="00A47593" w:rsidRDefault="001A58B3" w:rsidP="00A47593">
      <w:pPr>
        <w:rPr>
          <w:rFonts w:eastAsia="Palatino Linotype" w:cs="Palatino Linotype"/>
        </w:rPr>
      </w:pPr>
      <w:r w:rsidRPr="00A47593">
        <w:rPr>
          <w:rFonts w:eastAsia="Palatino Linotype" w:cs="Palatino Linotype"/>
        </w:rPr>
        <w:t>Es decir, que todo sujeto obligado que genere, recopile, administre, procese, archive, posea o conserven, son responsables de la misma</w:t>
      </w:r>
      <w:r w:rsidR="00970EB3" w:rsidRPr="00A47593">
        <w:rPr>
          <w:rFonts w:eastAsia="Palatino Linotype" w:cs="Palatino Linotype"/>
        </w:rPr>
        <w:t>,</w:t>
      </w:r>
      <w:r w:rsidRPr="00A47593">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A47593">
        <w:rPr>
          <w:rFonts w:eastAsia="Palatino Linotype" w:cs="Palatino Linotype"/>
        </w:rPr>
        <w:t>o</w:t>
      </w:r>
      <w:r w:rsidRPr="00A47593">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A47593" w:rsidRDefault="001A58B3" w:rsidP="00A47593">
      <w:pPr>
        <w:rPr>
          <w:rFonts w:eastAsia="Palatino Linotype" w:cs="Palatino Linotype"/>
        </w:rPr>
      </w:pPr>
    </w:p>
    <w:p w14:paraId="04E42DFE" w14:textId="573F1198" w:rsidR="001A58B3" w:rsidRPr="00A47593" w:rsidRDefault="001A58B3" w:rsidP="00A47593">
      <w:pPr>
        <w:rPr>
          <w:rFonts w:eastAsia="Palatino Linotype" w:cs="Palatino Linotype"/>
        </w:rPr>
      </w:pPr>
      <w:r w:rsidRPr="00A47593">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A47593">
        <w:rPr>
          <w:rFonts w:eastAsia="Palatino Linotype" w:cs="Palatino Linotype"/>
        </w:rPr>
        <w:t>, s</w:t>
      </w:r>
      <w:r w:rsidRPr="00A47593">
        <w:rPr>
          <w:rFonts w:eastAsia="Palatino Linotype" w:cs="Palatino Linotype"/>
        </w:rPr>
        <w:t xml:space="preserve">iempre y cuando no se trate de información reservada o </w:t>
      </w:r>
      <w:r w:rsidR="00331F35" w:rsidRPr="00A47593">
        <w:rPr>
          <w:rFonts w:eastAsia="Palatino Linotype" w:cs="Palatino Linotype"/>
        </w:rPr>
        <w:t>confidencial.</w:t>
      </w:r>
    </w:p>
    <w:p w14:paraId="40C5219F" w14:textId="77777777" w:rsidR="001A58B3" w:rsidRPr="00A47593" w:rsidRDefault="001A58B3" w:rsidP="00A47593">
      <w:pPr>
        <w:rPr>
          <w:rFonts w:eastAsia="Palatino Linotype" w:cs="Palatino Linotype"/>
        </w:rPr>
      </w:pPr>
    </w:p>
    <w:p w14:paraId="2E629608" w14:textId="01727E15" w:rsidR="00C049E2" w:rsidRPr="00A47593" w:rsidRDefault="006067C7" w:rsidP="00A47593">
      <w:pPr>
        <w:rPr>
          <w:rFonts w:eastAsia="Palatino Linotype"/>
        </w:rPr>
      </w:pPr>
      <w:bookmarkStart w:id="24" w:name="_heading=h.2s8eyo1" w:colFirst="0" w:colLast="0"/>
      <w:bookmarkEnd w:id="24"/>
      <w:r w:rsidRPr="00A47593">
        <w:rPr>
          <w:rFonts w:eastAsia="Palatino Linotype"/>
        </w:rPr>
        <w:t>Con base en lo anterior</w:t>
      </w:r>
      <w:r w:rsidR="00B22A80" w:rsidRPr="00A47593">
        <w:rPr>
          <w:rFonts w:eastAsia="Palatino Linotype"/>
        </w:rPr>
        <w:t>, se considera que</w:t>
      </w:r>
      <w:r w:rsidR="00C049E2" w:rsidRPr="00A47593">
        <w:rPr>
          <w:rFonts w:eastAsia="Palatino Linotype"/>
        </w:rPr>
        <w:t xml:space="preserve"> </w:t>
      </w:r>
      <w:r w:rsidR="00B22A80" w:rsidRPr="00A47593">
        <w:rPr>
          <w:rFonts w:eastAsia="Palatino Linotype"/>
          <w:b/>
          <w:bCs/>
        </w:rPr>
        <w:t>EL</w:t>
      </w:r>
      <w:r w:rsidR="00C049E2" w:rsidRPr="00A47593">
        <w:rPr>
          <w:rFonts w:eastAsia="Palatino Linotype"/>
        </w:rPr>
        <w:t xml:space="preserve"> </w:t>
      </w:r>
      <w:r w:rsidR="00C049E2" w:rsidRPr="00A47593">
        <w:rPr>
          <w:rFonts w:eastAsia="Palatino Linotype"/>
          <w:b/>
        </w:rPr>
        <w:t>SUJETO OBLIGADO</w:t>
      </w:r>
      <w:r w:rsidR="00C049E2" w:rsidRPr="00A47593">
        <w:rPr>
          <w:rFonts w:eastAsia="Palatino Linotype"/>
        </w:rPr>
        <w:t xml:space="preserve"> </w:t>
      </w:r>
      <w:r w:rsidR="00B22A80" w:rsidRPr="00A47593">
        <w:rPr>
          <w:rFonts w:eastAsia="Palatino Linotype"/>
        </w:rPr>
        <w:t xml:space="preserve">se </w:t>
      </w:r>
      <w:r w:rsidR="00717E59" w:rsidRPr="00A47593">
        <w:rPr>
          <w:rFonts w:eastAsia="Palatino Linotype"/>
        </w:rPr>
        <w:t>encontraba</w:t>
      </w:r>
      <w:r w:rsidR="00B22A80" w:rsidRPr="00A47593">
        <w:rPr>
          <w:rFonts w:eastAsia="Palatino Linotype"/>
        </w:rPr>
        <w:t xml:space="preserve"> compelido a</w:t>
      </w:r>
      <w:r w:rsidR="00C049E2" w:rsidRPr="00A47593">
        <w:rPr>
          <w:rFonts w:eastAsia="Palatino Linotype"/>
        </w:rPr>
        <w:t xml:space="preserve"> atender la solicitud de acceso a la información </w:t>
      </w:r>
      <w:r w:rsidR="00B22A80" w:rsidRPr="00A47593">
        <w:rPr>
          <w:rFonts w:eastAsia="Palatino Linotype"/>
        </w:rPr>
        <w:t xml:space="preserve">realizada por </w:t>
      </w:r>
      <w:r w:rsidR="00B22A80" w:rsidRPr="00A47593">
        <w:rPr>
          <w:rFonts w:eastAsia="Palatino Linotype"/>
          <w:b/>
          <w:bCs/>
        </w:rPr>
        <w:t>LA PARTE RECURRENTE</w:t>
      </w:r>
      <w:r w:rsidR="00331F35" w:rsidRPr="00A47593">
        <w:rPr>
          <w:rFonts w:eastAsia="Palatino Linotype"/>
        </w:rPr>
        <w:t>.</w:t>
      </w:r>
    </w:p>
    <w:p w14:paraId="3AFB9FAE" w14:textId="77777777" w:rsidR="00AA26B0" w:rsidRPr="00A47593" w:rsidRDefault="00AA26B0" w:rsidP="00A47593">
      <w:pPr>
        <w:rPr>
          <w:rFonts w:eastAsia="Palatino Linotype"/>
        </w:rPr>
      </w:pPr>
    </w:p>
    <w:p w14:paraId="51A0E8B4" w14:textId="676DCA47" w:rsidR="00664420" w:rsidRPr="00A47593" w:rsidRDefault="00C71CEF" w:rsidP="00A47593">
      <w:pPr>
        <w:pStyle w:val="Ttulo3"/>
        <w:rPr>
          <w:rFonts w:eastAsia="Calibri"/>
          <w:lang w:eastAsia="es-ES_tradnl"/>
        </w:rPr>
      </w:pPr>
      <w:bookmarkStart w:id="25" w:name="_Toc179394865"/>
      <w:r w:rsidRPr="00A47593">
        <w:rPr>
          <w:rFonts w:eastAsia="Calibri"/>
          <w:lang w:eastAsia="es-ES_tradnl"/>
        </w:rPr>
        <w:t>b)</w:t>
      </w:r>
      <w:r w:rsidR="00A53315" w:rsidRPr="00A47593">
        <w:rPr>
          <w:rFonts w:eastAsia="Calibri"/>
          <w:lang w:eastAsia="es-ES_tradnl"/>
        </w:rPr>
        <w:t xml:space="preserve"> </w:t>
      </w:r>
      <w:r w:rsidR="00A21A20" w:rsidRPr="00A47593">
        <w:rPr>
          <w:rFonts w:eastAsia="Calibri"/>
          <w:lang w:eastAsia="es-ES_tradnl"/>
        </w:rPr>
        <w:t>Controversia a resolver</w:t>
      </w:r>
      <w:bookmarkEnd w:id="25"/>
    </w:p>
    <w:p w14:paraId="05EB4D96" w14:textId="63F2F679" w:rsidR="00AE5C5C" w:rsidRPr="00A47593" w:rsidRDefault="001C1ADC" w:rsidP="00A47593">
      <w:r w:rsidRPr="00A47593">
        <w:rPr>
          <w:rFonts w:cs="Arial"/>
          <w:lang w:val="es-ES" w:eastAsia="es-MX"/>
        </w:rPr>
        <w:t>Ante</w:t>
      </w:r>
      <w:r w:rsidR="00AE5C5C" w:rsidRPr="00A47593">
        <w:t xml:space="preserve"> la falta de respuesta a la solicitud, como el envío del Informe Justificado por parte del</w:t>
      </w:r>
      <w:r w:rsidR="00AE5C5C" w:rsidRPr="00A47593">
        <w:rPr>
          <w:b/>
        </w:rPr>
        <w:t xml:space="preserve"> SUJETO OBLIGADO</w:t>
      </w:r>
      <w:r w:rsidR="00AE5C5C" w:rsidRPr="00A47593">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A47593" w:rsidRDefault="00664420" w:rsidP="00A47593">
      <w:pPr>
        <w:contextualSpacing/>
        <w:rPr>
          <w:rFonts w:cs="Tahoma"/>
          <w:szCs w:val="22"/>
          <w:lang w:eastAsia="es-MX"/>
        </w:rPr>
      </w:pPr>
    </w:p>
    <w:p w14:paraId="414FD2D5" w14:textId="4408E416" w:rsidR="00664420" w:rsidRPr="00A47593" w:rsidRDefault="00A21A20" w:rsidP="00A47593">
      <w:pPr>
        <w:pStyle w:val="Ttulo3"/>
      </w:pPr>
      <w:bookmarkStart w:id="26" w:name="_Toc179394866"/>
      <w:r w:rsidRPr="00A47593">
        <w:t>c)</w:t>
      </w:r>
      <w:r w:rsidR="00664420" w:rsidRPr="00A47593">
        <w:t xml:space="preserve"> </w:t>
      </w:r>
      <w:r w:rsidRPr="00A47593">
        <w:t>Estudio de la controversia</w:t>
      </w:r>
      <w:bookmarkEnd w:id="26"/>
    </w:p>
    <w:p w14:paraId="435FF998" w14:textId="7B89F783" w:rsidR="001D2DED" w:rsidRPr="00A47593" w:rsidRDefault="00EA1B35" w:rsidP="00A47593">
      <w:r w:rsidRPr="00A47593">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A47593">
        <w:t>se tiene que la Ley de Transparencia local, prevé en su artículo 23, lo siguiente:</w:t>
      </w:r>
    </w:p>
    <w:p w14:paraId="53F71755" w14:textId="77777777" w:rsidR="001D2DED" w:rsidRPr="00A47593" w:rsidRDefault="001D2DED" w:rsidP="00A47593"/>
    <w:p w14:paraId="4946ECEC" w14:textId="77777777" w:rsidR="001D2DED" w:rsidRPr="00A47593" w:rsidRDefault="001D2DED" w:rsidP="00A47593">
      <w:pPr>
        <w:spacing w:line="240" w:lineRule="auto"/>
        <w:ind w:left="851" w:right="901"/>
        <w:rPr>
          <w:rFonts w:cs="Arial"/>
          <w:i/>
          <w:szCs w:val="22"/>
        </w:rPr>
      </w:pPr>
      <w:r w:rsidRPr="00A47593">
        <w:rPr>
          <w:rFonts w:cs="Arial"/>
          <w:i/>
          <w:szCs w:val="22"/>
        </w:rPr>
        <w:t>“</w:t>
      </w:r>
      <w:r w:rsidRPr="00A47593">
        <w:rPr>
          <w:rFonts w:cs="Arial"/>
          <w:b/>
          <w:i/>
          <w:szCs w:val="22"/>
        </w:rPr>
        <w:t>Artículo 23.</w:t>
      </w:r>
      <w:r w:rsidRPr="00A47593">
        <w:rPr>
          <w:rFonts w:cs="Arial"/>
          <w:i/>
          <w:szCs w:val="22"/>
        </w:rPr>
        <w:t xml:space="preserve"> Son sujetos obligados a transparentar y permitir el acceso a su información y proteger los datos personales que obren en su poder:</w:t>
      </w:r>
    </w:p>
    <w:p w14:paraId="40FBF9CB" w14:textId="77777777" w:rsidR="001D2DED" w:rsidRPr="00A47593" w:rsidRDefault="001D2DED" w:rsidP="00A47593">
      <w:pPr>
        <w:spacing w:line="240" w:lineRule="auto"/>
        <w:ind w:left="851" w:right="901"/>
        <w:rPr>
          <w:rFonts w:cs="Arial"/>
          <w:i/>
          <w:szCs w:val="22"/>
        </w:rPr>
      </w:pPr>
      <w:r w:rsidRPr="00A47593">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A47593" w:rsidRDefault="001D2DED" w:rsidP="00A47593">
      <w:pPr>
        <w:spacing w:line="240" w:lineRule="auto"/>
        <w:ind w:left="851" w:right="901"/>
        <w:rPr>
          <w:rFonts w:cs="Arial"/>
          <w:i/>
          <w:szCs w:val="22"/>
        </w:rPr>
      </w:pPr>
      <w:r w:rsidRPr="00A47593">
        <w:rPr>
          <w:rFonts w:cs="Arial"/>
          <w:i/>
          <w:szCs w:val="22"/>
        </w:rPr>
        <w:lastRenderedPageBreak/>
        <w:t>II. El Poder Legislativo del Estado, los organismos, órganos y entidades de la Legislatura y sus dependencias;</w:t>
      </w:r>
    </w:p>
    <w:p w14:paraId="38FBA738" w14:textId="77777777" w:rsidR="001D2DED" w:rsidRPr="00A47593" w:rsidRDefault="001D2DED" w:rsidP="00A47593">
      <w:pPr>
        <w:spacing w:line="240" w:lineRule="auto"/>
        <w:ind w:left="851" w:right="901"/>
        <w:rPr>
          <w:rFonts w:cs="Arial"/>
          <w:i/>
          <w:szCs w:val="22"/>
        </w:rPr>
      </w:pPr>
      <w:r w:rsidRPr="00A47593">
        <w:rPr>
          <w:rFonts w:cs="Arial"/>
          <w:i/>
          <w:szCs w:val="22"/>
        </w:rPr>
        <w:t>III. El Poder Judicial, sus organismos, órganos y entidades, así como el Consejo de la Judicatura del Estado;</w:t>
      </w:r>
    </w:p>
    <w:p w14:paraId="294AD64D" w14:textId="77777777" w:rsidR="001D2DED" w:rsidRPr="00A47593" w:rsidRDefault="001D2DED" w:rsidP="00A47593">
      <w:pPr>
        <w:spacing w:line="240" w:lineRule="auto"/>
        <w:ind w:left="851" w:right="901"/>
        <w:rPr>
          <w:rFonts w:cs="Arial"/>
          <w:b/>
          <w:i/>
          <w:szCs w:val="22"/>
        </w:rPr>
      </w:pPr>
      <w:r w:rsidRPr="00A47593">
        <w:rPr>
          <w:rFonts w:cs="Arial"/>
          <w:b/>
          <w:i/>
          <w:szCs w:val="22"/>
        </w:rPr>
        <w:t>IV. Los ayuntamientos y las dependencias, organismos, órganos y entidades de la administración municipal;</w:t>
      </w:r>
    </w:p>
    <w:p w14:paraId="370C2256" w14:textId="77777777" w:rsidR="001D2DED" w:rsidRPr="00A47593" w:rsidRDefault="001D2DED" w:rsidP="00A47593">
      <w:pPr>
        <w:spacing w:line="240" w:lineRule="auto"/>
        <w:ind w:left="851" w:right="901"/>
        <w:rPr>
          <w:rFonts w:cs="Arial"/>
          <w:i/>
          <w:szCs w:val="22"/>
        </w:rPr>
      </w:pPr>
      <w:r w:rsidRPr="00A47593">
        <w:rPr>
          <w:rFonts w:cs="Arial"/>
          <w:i/>
          <w:szCs w:val="22"/>
        </w:rPr>
        <w:t>V. Los órganos autónomos;</w:t>
      </w:r>
    </w:p>
    <w:p w14:paraId="678E1954" w14:textId="77777777" w:rsidR="001D2DED" w:rsidRPr="00A47593" w:rsidRDefault="001D2DED" w:rsidP="00A47593">
      <w:pPr>
        <w:spacing w:line="240" w:lineRule="auto"/>
        <w:ind w:left="851" w:right="901"/>
        <w:rPr>
          <w:rFonts w:cs="Arial"/>
          <w:i/>
          <w:szCs w:val="22"/>
        </w:rPr>
      </w:pPr>
      <w:r w:rsidRPr="00A47593">
        <w:rPr>
          <w:rFonts w:cs="Arial"/>
          <w:i/>
          <w:szCs w:val="22"/>
        </w:rPr>
        <w:t>VI. Los tribunales administrativos y autoridades jurisdiccionales en materia laboral;</w:t>
      </w:r>
    </w:p>
    <w:p w14:paraId="516E8E6C" w14:textId="77777777" w:rsidR="001D2DED" w:rsidRPr="00A47593" w:rsidRDefault="001D2DED" w:rsidP="00A47593">
      <w:pPr>
        <w:spacing w:line="240" w:lineRule="auto"/>
        <w:ind w:left="851" w:right="901"/>
        <w:rPr>
          <w:rFonts w:cs="Arial"/>
          <w:i/>
          <w:szCs w:val="22"/>
        </w:rPr>
      </w:pPr>
      <w:r w:rsidRPr="00A47593">
        <w:rPr>
          <w:rFonts w:cs="Arial"/>
          <w:i/>
          <w:szCs w:val="22"/>
        </w:rPr>
        <w:t>VII. Los partidos políticos y agrupaciones políticas, en los términos de las disposiciones aplicables;</w:t>
      </w:r>
    </w:p>
    <w:p w14:paraId="195A9616" w14:textId="77777777" w:rsidR="001D2DED" w:rsidRPr="00A47593" w:rsidRDefault="001D2DED" w:rsidP="00A47593">
      <w:pPr>
        <w:spacing w:line="240" w:lineRule="auto"/>
        <w:ind w:left="851" w:right="901"/>
        <w:rPr>
          <w:rFonts w:cs="Arial"/>
          <w:i/>
          <w:szCs w:val="22"/>
        </w:rPr>
      </w:pPr>
      <w:r w:rsidRPr="00A47593">
        <w:rPr>
          <w:rFonts w:cs="Arial"/>
          <w:i/>
          <w:szCs w:val="22"/>
        </w:rPr>
        <w:t>VIII. Los fideicomisos y fondos públicos que cuenten con financiamiento público, parcial o total, o con participación de entidades de gobierno;</w:t>
      </w:r>
    </w:p>
    <w:p w14:paraId="433C7D18" w14:textId="77777777" w:rsidR="001D2DED" w:rsidRPr="00A47593" w:rsidRDefault="001D2DED" w:rsidP="00A47593">
      <w:pPr>
        <w:spacing w:line="240" w:lineRule="auto"/>
        <w:ind w:left="851" w:right="901"/>
        <w:rPr>
          <w:rFonts w:cs="Arial"/>
          <w:i/>
          <w:szCs w:val="22"/>
        </w:rPr>
      </w:pPr>
      <w:r w:rsidRPr="00A47593">
        <w:rPr>
          <w:rFonts w:cs="Arial"/>
          <w:i/>
          <w:szCs w:val="22"/>
        </w:rPr>
        <w:t>IX. Los sindicatos que reciban y/o ejerzan recursos públicos en el ámbito estatal y municipal;</w:t>
      </w:r>
    </w:p>
    <w:p w14:paraId="0297D6EB" w14:textId="77777777" w:rsidR="001D2DED" w:rsidRPr="00A47593" w:rsidRDefault="001D2DED" w:rsidP="00A47593">
      <w:pPr>
        <w:spacing w:line="240" w:lineRule="auto"/>
        <w:ind w:left="851" w:right="901"/>
        <w:rPr>
          <w:rFonts w:cs="Arial"/>
          <w:i/>
          <w:szCs w:val="22"/>
        </w:rPr>
      </w:pPr>
      <w:r w:rsidRPr="00A47593">
        <w:rPr>
          <w:rFonts w:cs="Arial"/>
          <w:i/>
          <w:szCs w:val="22"/>
        </w:rPr>
        <w:t>X. Cualquier persona física o jurídico colectiva que reciba y ejerza recursos públicos en el ámbito estatal o municipal; y</w:t>
      </w:r>
    </w:p>
    <w:p w14:paraId="161C96A4" w14:textId="77777777" w:rsidR="001D2DED" w:rsidRPr="00A47593" w:rsidRDefault="001D2DED" w:rsidP="00A47593">
      <w:pPr>
        <w:spacing w:line="240" w:lineRule="auto"/>
        <w:ind w:left="851" w:right="901"/>
        <w:rPr>
          <w:rFonts w:cs="Arial"/>
          <w:i/>
          <w:szCs w:val="22"/>
        </w:rPr>
      </w:pPr>
      <w:r w:rsidRPr="00A47593">
        <w:rPr>
          <w:rFonts w:cs="Arial"/>
          <w:i/>
          <w:szCs w:val="22"/>
        </w:rPr>
        <w:t>XI. Cualquier otra autoridad, entidad, órgano u organismo de los poderes estatal o municipal, que reciba recursos públicos.</w:t>
      </w:r>
    </w:p>
    <w:p w14:paraId="61CBDDEE" w14:textId="77777777" w:rsidR="001D2DED" w:rsidRPr="00A47593" w:rsidRDefault="001D2DED" w:rsidP="00A47593">
      <w:pPr>
        <w:spacing w:line="240" w:lineRule="auto"/>
        <w:ind w:left="851" w:right="901"/>
        <w:rPr>
          <w:rFonts w:cs="Arial"/>
          <w:b/>
          <w:i/>
          <w:szCs w:val="22"/>
        </w:rPr>
      </w:pPr>
      <w:r w:rsidRPr="00A47593">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A47593" w:rsidRDefault="001D2DED" w:rsidP="00A47593">
      <w:pPr>
        <w:spacing w:line="240" w:lineRule="auto"/>
        <w:ind w:left="851" w:right="901"/>
        <w:rPr>
          <w:rFonts w:cs="Arial"/>
          <w:b/>
          <w:i/>
          <w:szCs w:val="22"/>
        </w:rPr>
      </w:pPr>
      <w:r w:rsidRPr="00A47593">
        <w:rPr>
          <w:rFonts w:cs="Arial"/>
          <w:b/>
          <w:i/>
          <w:szCs w:val="22"/>
        </w:rPr>
        <w:t>Los servidores públicos deberán transparentar sus acciones, así como garantizar y respetar el derecho de acceso a la Información Pública.</w:t>
      </w:r>
    </w:p>
    <w:p w14:paraId="618366DD" w14:textId="77777777" w:rsidR="001D2DED" w:rsidRPr="00A47593" w:rsidRDefault="001D2DED" w:rsidP="00A47593">
      <w:pPr>
        <w:spacing w:line="240" w:lineRule="auto"/>
        <w:ind w:left="851" w:right="901"/>
        <w:rPr>
          <w:rFonts w:cs="Arial"/>
          <w:i/>
          <w:szCs w:val="22"/>
        </w:rPr>
      </w:pPr>
      <w:r w:rsidRPr="00A47593">
        <w:rPr>
          <w:rFonts w:cs="Arial"/>
          <w:i/>
          <w:szCs w:val="22"/>
        </w:rPr>
        <w:t>(Énfasis añadido)</w:t>
      </w:r>
    </w:p>
    <w:p w14:paraId="090E04A1" w14:textId="77777777" w:rsidR="001D2DED" w:rsidRPr="00A47593" w:rsidRDefault="001D2DED" w:rsidP="00A47593">
      <w:pPr>
        <w:autoSpaceDE w:val="0"/>
        <w:autoSpaceDN w:val="0"/>
        <w:adjustRightInd w:val="0"/>
        <w:ind w:right="51"/>
        <w:rPr>
          <w:rFonts w:cs="Arial"/>
          <w:sz w:val="24"/>
          <w:szCs w:val="24"/>
          <w:lang w:val="es-ES"/>
        </w:rPr>
      </w:pPr>
    </w:p>
    <w:p w14:paraId="79D44DE1" w14:textId="7249AA03" w:rsidR="001D2DED" w:rsidRPr="00A47593" w:rsidRDefault="00EA1B35" w:rsidP="00A47593">
      <w:pPr>
        <w:autoSpaceDE w:val="0"/>
        <w:autoSpaceDN w:val="0"/>
        <w:adjustRightInd w:val="0"/>
        <w:ind w:right="51"/>
        <w:rPr>
          <w:rFonts w:eastAsia="Arial Unicode MS" w:cs="Arial"/>
          <w:lang w:val="es-ES"/>
        </w:rPr>
      </w:pPr>
      <w:r w:rsidRPr="00A47593">
        <w:rPr>
          <w:rFonts w:cs="Arial"/>
          <w:lang w:val="es-ES"/>
        </w:rPr>
        <w:t>De los preceptos legales citados, se establece que</w:t>
      </w:r>
      <w:r w:rsidR="001D2DED" w:rsidRPr="00A47593">
        <w:rPr>
          <w:rFonts w:cs="Arial"/>
          <w:lang w:val="es-ES"/>
        </w:rPr>
        <w:t xml:space="preserve"> la Ley de la materia delimita perfectamente los alcances de las obligaciones que corresponden a los Ayuntamientos; por lo que, en ese tenor </w:t>
      </w:r>
      <w:r w:rsidR="001D2DED" w:rsidRPr="00A47593">
        <w:rPr>
          <w:rFonts w:eastAsia="Arial Unicode MS" w:cs="Arial"/>
          <w:lang w:val="es-ES"/>
        </w:rPr>
        <w:t xml:space="preserve">es necesario referir el contenido del artículo </w:t>
      </w:r>
      <w:r w:rsidR="001D2DED" w:rsidRPr="00A47593">
        <w:rPr>
          <w:lang w:val="es-ES"/>
        </w:rPr>
        <w:t>115,</w:t>
      </w:r>
      <w:r w:rsidR="001D2DED" w:rsidRPr="00A47593">
        <w:rPr>
          <w:rFonts w:eastAsia="Arial Unicode MS" w:cs="Arial"/>
          <w:lang w:val="es-ES"/>
        </w:rPr>
        <w:t xml:space="preserve"> fracciones I, II y IV de la Constitución Política de los Estados Unidos Mexicanos, que en lo que interesa menciona:</w:t>
      </w:r>
    </w:p>
    <w:p w14:paraId="60BCB62F" w14:textId="77777777" w:rsidR="001D2DED" w:rsidRPr="00A47593" w:rsidRDefault="001D2DED" w:rsidP="00A47593">
      <w:pPr>
        <w:autoSpaceDE w:val="0"/>
        <w:autoSpaceDN w:val="0"/>
        <w:adjustRightInd w:val="0"/>
        <w:ind w:right="51"/>
        <w:rPr>
          <w:rFonts w:eastAsia="Arial Unicode MS" w:cs="Arial"/>
          <w:lang w:val="es-ES"/>
        </w:rPr>
      </w:pPr>
    </w:p>
    <w:p w14:paraId="42A6163F" w14:textId="77777777" w:rsidR="001D2DED" w:rsidRPr="00A47593" w:rsidRDefault="001D2DED" w:rsidP="00A47593">
      <w:pPr>
        <w:spacing w:line="240" w:lineRule="auto"/>
        <w:ind w:left="851" w:right="902"/>
        <w:rPr>
          <w:rFonts w:cs="Arial"/>
          <w:bCs/>
          <w:i/>
          <w:szCs w:val="22"/>
        </w:rPr>
      </w:pPr>
      <w:r w:rsidRPr="00A47593">
        <w:rPr>
          <w:rFonts w:cs="Arial"/>
          <w:bCs/>
          <w:i/>
          <w:szCs w:val="22"/>
        </w:rPr>
        <w:t>“</w:t>
      </w:r>
      <w:r w:rsidRPr="00A47593">
        <w:rPr>
          <w:rFonts w:cs="Arial"/>
          <w:b/>
          <w:bCs/>
          <w:i/>
          <w:szCs w:val="22"/>
        </w:rPr>
        <w:t>Artículo 115</w:t>
      </w:r>
      <w:r w:rsidRPr="00A47593">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A47593" w:rsidRDefault="001D2DED" w:rsidP="00A47593">
      <w:pPr>
        <w:spacing w:line="240" w:lineRule="auto"/>
        <w:ind w:left="851" w:right="902"/>
        <w:rPr>
          <w:rFonts w:cs="Arial"/>
          <w:bCs/>
          <w:i/>
          <w:szCs w:val="22"/>
        </w:rPr>
      </w:pPr>
      <w:r w:rsidRPr="00A47593">
        <w:rPr>
          <w:rFonts w:cs="Arial"/>
          <w:b/>
          <w:bCs/>
          <w:i/>
          <w:szCs w:val="22"/>
        </w:rPr>
        <w:lastRenderedPageBreak/>
        <w:t>I.</w:t>
      </w:r>
      <w:r w:rsidRPr="00A47593">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A47593" w:rsidRDefault="001D2DED" w:rsidP="00A47593">
      <w:pPr>
        <w:spacing w:line="240" w:lineRule="auto"/>
        <w:ind w:left="851" w:right="902"/>
        <w:rPr>
          <w:rFonts w:cs="Arial"/>
          <w:bCs/>
          <w:i/>
          <w:szCs w:val="22"/>
        </w:rPr>
      </w:pPr>
      <w:r w:rsidRPr="00A47593">
        <w:rPr>
          <w:rFonts w:cs="Arial"/>
          <w:bCs/>
          <w:i/>
          <w:szCs w:val="22"/>
        </w:rPr>
        <w:t>(…)</w:t>
      </w:r>
    </w:p>
    <w:p w14:paraId="0778EE90" w14:textId="77777777" w:rsidR="001D2DED" w:rsidRPr="00A47593" w:rsidRDefault="001D2DED" w:rsidP="00A47593">
      <w:pPr>
        <w:spacing w:line="240" w:lineRule="auto"/>
        <w:ind w:left="851" w:right="902"/>
        <w:rPr>
          <w:rFonts w:cs="Arial"/>
          <w:bCs/>
          <w:i/>
          <w:szCs w:val="22"/>
        </w:rPr>
      </w:pPr>
      <w:r w:rsidRPr="00A47593">
        <w:rPr>
          <w:rFonts w:cs="Arial"/>
          <w:b/>
          <w:bCs/>
          <w:i/>
          <w:szCs w:val="22"/>
        </w:rPr>
        <w:t>II.</w:t>
      </w:r>
      <w:r w:rsidRPr="00A47593">
        <w:rPr>
          <w:rFonts w:cs="Arial"/>
          <w:bCs/>
          <w:i/>
          <w:szCs w:val="22"/>
        </w:rPr>
        <w:t xml:space="preserve"> Los municipios estarán investidos de personalidad jurídica y manejarán su patrimonio conforme a la ley.</w:t>
      </w:r>
    </w:p>
    <w:p w14:paraId="4564C2CF" w14:textId="77777777" w:rsidR="001D2DED" w:rsidRPr="00A47593" w:rsidRDefault="001D2DED" w:rsidP="00A47593">
      <w:pPr>
        <w:spacing w:line="240" w:lineRule="auto"/>
        <w:ind w:left="851" w:right="902"/>
        <w:rPr>
          <w:rFonts w:cs="Arial"/>
          <w:bCs/>
          <w:i/>
          <w:szCs w:val="22"/>
        </w:rPr>
      </w:pPr>
      <w:r w:rsidRPr="00A47593">
        <w:rPr>
          <w:rFonts w:cs="Arial"/>
          <w:bCs/>
          <w:i/>
          <w:szCs w:val="22"/>
        </w:rPr>
        <w:t>(…)</w:t>
      </w:r>
    </w:p>
    <w:p w14:paraId="45925764" w14:textId="77777777" w:rsidR="001D2DED" w:rsidRPr="00A47593" w:rsidRDefault="001D2DED" w:rsidP="00A47593">
      <w:pPr>
        <w:spacing w:line="240" w:lineRule="auto"/>
        <w:ind w:left="851" w:right="902"/>
        <w:rPr>
          <w:rFonts w:cs="Arial"/>
          <w:b/>
          <w:bCs/>
          <w:i/>
          <w:szCs w:val="22"/>
        </w:rPr>
      </w:pPr>
      <w:r w:rsidRPr="00A47593">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A47593" w:rsidRDefault="001D2DED" w:rsidP="00A47593">
      <w:pPr>
        <w:spacing w:line="240" w:lineRule="auto"/>
        <w:ind w:left="851" w:right="902"/>
        <w:rPr>
          <w:rFonts w:cs="Arial"/>
          <w:bCs/>
          <w:i/>
          <w:szCs w:val="22"/>
        </w:rPr>
      </w:pPr>
      <w:r w:rsidRPr="00A47593">
        <w:rPr>
          <w:rFonts w:cs="Arial"/>
          <w:bCs/>
          <w:i/>
          <w:szCs w:val="22"/>
        </w:rPr>
        <w:t>(…)”</w:t>
      </w:r>
    </w:p>
    <w:p w14:paraId="27E1BE22" w14:textId="77777777" w:rsidR="001D2DED" w:rsidRPr="00A47593" w:rsidRDefault="001D2DED" w:rsidP="00A47593">
      <w:pPr>
        <w:spacing w:line="240" w:lineRule="auto"/>
        <w:ind w:left="851" w:right="902"/>
        <w:rPr>
          <w:rFonts w:cs="Arial"/>
          <w:bCs/>
          <w:i/>
          <w:szCs w:val="22"/>
        </w:rPr>
      </w:pPr>
      <w:r w:rsidRPr="00A47593">
        <w:rPr>
          <w:rFonts w:cs="Arial"/>
          <w:bCs/>
          <w:i/>
          <w:szCs w:val="22"/>
        </w:rPr>
        <w:t>(Énfasis añadido)</w:t>
      </w:r>
    </w:p>
    <w:p w14:paraId="1A47E456" w14:textId="77777777" w:rsidR="001D2DED" w:rsidRPr="00A47593" w:rsidRDefault="001D2DED" w:rsidP="00A47593">
      <w:pPr>
        <w:ind w:left="851" w:right="902"/>
        <w:rPr>
          <w:rFonts w:cs="Arial"/>
          <w:bCs/>
          <w:i/>
          <w:sz w:val="24"/>
          <w:szCs w:val="24"/>
        </w:rPr>
      </w:pPr>
    </w:p>
    <w:p w14:paraId="530F83BE" w14:textId="77777777" w:rsidR="001D2DED" w:rsidRPr="00A47593" w:rsidRDefault="001D2DED" w:rsidP="00A47593">
      <w:pPr>
        <w:rPr>
          <w:rFonts w:eastAsia="Arial Unicode MS" w:cs="Arial"/>
        </w:rPr>
      </w:pPr>
      <w:r w:rsidRPr="00A47593">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A47593" w:rsidRDefault="001D2DED" w:rsidP="00A47593">
      <w:pPr>
        <w:rPr>
          <w:rFonts w:eastAsia="Arial Unicode MS" w:cs="Arial"/>
        </w:rPr>
      </w:pPr>
    </w:p>
    <w:p w14:paraId="05DF56D4" w14:textId="77777777" w:rsidR="001D2DED" w:rsidRPr="00A47593" w:rsidRDefault="001D2DED" w:rsidP="00A47593">
      <w:pPr>
        <w:tabs>
          <w:tab w:val="left" w:pos="709"/>
        </w:tabs>
        <w:rPr>
          <w:rFonts w:cs="Arial"/>
        </w:rPr>
      </w:pPr>
      <w:r w:rsidRPr="00A47593">
        <w:rPr>
          <w:rFonts w:cs="Arial"/>
        </w:rPr>
        <w:t>Asimismo, en el numeral 3</w:t>
      </w:r>
      <w:r w:rsidRPr="00A47593">
        <w:rPr>
          <w:vertAlign w:val="superscript"/>
        </w:rPr>
        <w:footnoteReference w:id="1"/>
      </w:r>
      <w:r w:rsidRPr="00A47593">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6412B4EA" w14:textId="77777777" w:rsidR="001D2DED" w:rsidRPr="00A47593" w:rsidRDefault="001D2DED" w:rsidP="00A47593">
      <w:pPr>
        <w:tabs>
          <w:tab w:val="left" w:pos="709"/>
        </w:tabs>
        <w:rPr>
          <w:rFonts w:cs="Arial"/>
        </w:rPr>
      </w:pPr>
    </w:p>
    <w:p w14:paraId="3CB37429" w14:textId="77777777" w:rsidR="001D2DED" w:rsidRPr="00A47593" w:rsidRDefault="001D2DED" w:rsidP="00A47593">
      <w:pPr>
        <w:tabs>
          <w:tab w:val="left" w:pos="709"/>
        </w:tabs>
        <w:rPr>
          <w:rFonts w:cs="Arial"/>
        </w:rPr>
      </w:pPr>
      <w:r w:rsidRPr="00A47593">
        <w:rPr>
          <w:rFonts w:cs="Arial"/>
        </w:rPr>
        <w:lastRenderedPageBreak/>
        <w:t>Por otro lado, resulta importante traer a colación el contenido de los artículos 4 y 12 de la Ley de Transparencia local, mismos que a la letra señalan:</w:t>
      </w:r>
    </w:p>
    <w:p w14:paraId="4B7C2C19" w14:textId="77777777" w:rsidR="001D2DED" w:rsidRPr="00A47593" w:rsidRDefault="001D2DED" w:rsidP="00A47593">
      <w:pPr>
        <w:tabs>
          <w:tab w:val="left" w:pos="709"/>
        </w:tabs>
        <w:rPr>
          <w:rFonts w:cs="Arial"/>
        </w:rPr>
      </w:pPr>
    </w:p>
    <w:p w14:paraId="75B4A7CD" w14:textId="77777777" w:rsidR="001D2DED" w:rsidRPr="00A47593" w:rsidRDefault="001D2DED" w:rsidP="00A47593">
      <w:pPr>
        <w:pStyle w:val="Puesto"/>
      </w:pPr>
      <w:r w:rsidRPr="00A47593">
        <w:t>“</w:t>
      </w:r>
      <w:r w:rsidRPr="00A47593">
        <w:rPr>
          <w:b/>
        </w:rPr>
        <w:t>Artículo 4.</w:t>
      </w:r>
      <w:r w:rsidRPr="00A47593">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A47593" w:rsidRDefault="001D2DED" w:rsidP="00A47593">
      <w:pPr>
        <w:pStyle w:val="Puesto"/>
      </w:pPr>
      <w:r w:rsidRPr="00A47593">
        <w:rPr>
          <w:b/>
          <w:u w:val="single"/>
        </w:rPr>
        <w:t>Toda la información generada, obtenida, adquirida, transformada, administrada o en posesión de los sujetos obligados es pública y accesible de manera permanente a cualquier persona</w:t>
      </w:r>
      <w:r w:rsidRPr="00A47593">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A47593" w:rsidRDefault="001D2DED" w:rsidP="00A47593">
      <w:pPr>
        <w:pStyle w:val="Puesto"/>
      </w:pPr>
      <w:r w:rsidRPr="00A47593">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A47593" w:rsidRDefault="001D2DED" w:rsidP="00A47593">
      <w:pPr>
        <w:pStyle w:val="Puesto"/>
      </w:pPr>
    </w:p>
    <w:p w14:paraId="770DAC23" w14:textId="77777777" w:rsidR="001D2DED" w:rsidRPr="00A47593" w:rsidRDefault="001D2DED" w:rsidP="00A47593">
      <w:pPr>
        <w:pStyle w:val="Puesto"/>
      </w:pPr>
      <w:r w:rsidRPr="00A47593">
        <w:rPr>
          <w:b/>
        </w:rPr>
        <w:t>Artículo 12.</w:t>
      </w:r>
      <w:r w:rsidRPr="00A47593">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A47593" w:rsidRDefault="001D2DED" w:rsidP="00A47593">
      <w:pPr>
        <w:pStyle w:val="Puesto"/>
      </w:pPr>
      <w:r w:rsidRPr="00A47593">
        <w:rPr>
          <w:b/>
          <w:u w:val="single"/>
        </w:rPr>
        <w:t>Los sujetos obligados sólo proporcionarán la Información Pública que se les requiera y que obre en sus archivos y en el estado en que ésta se encuentre.</w:t>
      </w:r>
      <w:r w:rsidRPr="00A47593">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77777777" w:rsidR="001D2DED" w:rsidRPr="00A47593" w:rsidRDefault="001D2DED" w:rsidP="00A47593">
      <w:pPr>
        <w:pStyle w:val="Puesto"/>
      </w:pPr>
      <w:r w:rsidRPr="00A47593">
        <w:t>(Énfasis añadido)</w:t>
      </w:r>
    </w:p>
    <w:p w14:paraId="71EFF733" w14:textId="77777777" w:rsidR="001D2DED" w:rsidRPr="00A47593" w:rsidRDefault="001D2DED" w:rsidP="00A47593">
      <w:pPr>
        <w:ind w:left="851" w:right="901"/>
        <w:rPr>
          <w:rFonts w:cs="Arial"/>
          <w:i/>
          <w:szCs w:val="22"/>
        </w:rPr>
      </w:pPr>
    </w:p>
    <w:p w14:paraId="1DEB4236" w14:textId="77777777" w:rsidR="001D2DED" w:rsidRPr="00A47593" w:rsidRDefault="001D2DED" w:rsidP="00A47593">
      <w:pPr>
        <w:rPr>
          <w:rFonts w:cs="Arial"/>
          <w:sz w:val="24"/>
          <w:szCs w:val="24"/>
        </w:rPr>
      </w:pPr>
      <w:r w:rsidRPr="00A47593">
        <w:rPr>
          <w:rFonts w:cs="Arial"/>
        </w:rPr>
        <w:t xml:space="preserve">Por lo que podemos observar, de los preceptos legales antes señalados establecen que </w:t>
      </w:r>
      <w:r w:rsidRPr="00A47593">
        <w:rPr>
          <w:rFonts w:cs="Arial"/>
          <w:b/>
        </w:rPr>
        <w:t>los Sujetos Obligados se encuentran constreñidos a entregar la Información Pública solicitada por los particulares</w:t>
      </w:r>
      <w:r w:rsidRPr="00A47593">
        <w:rPr>
          <w:rFonts w:cs="Arial"/>
        </w:rPr>
        <w:t xml:space="preserve"> y que ésta misma se encuentre en sus archivos o que obre en su posesión, </w:t>
      </w:r>
      <w:r w:rsidRPr="00A47593">
        <w:rPr>
          <w:rFonts w:cs="Arial"/>
          <w:b/>
        </w:rPr>
        <w:t>privilegiando en todo momento el principio de máxima publicidad,</w:t>
      </w:r>
      <w:r w:rsidRPr="00A47593">
        <w:rPr>
          <w:rFonts w:cs="Arial"/>
        </w:rPr>
        <w:t xml:space="preserve"> sin generarla, procesarla, resumirla, ni presentarla conforme al interés del solicitante. </w:t>
      </w:r>
    </w:p>
    <w:p w14:paraId="7478ACA5" w14:textId="77777777" w:rsidR="001D2DED" w:rsidRPr="00A47593" w:rsidRDefault="001D2DED" w:rsidP="00A47593">
      <w:pPr>
        <w:rPr>
          <w:rFonts w:cs="Arial"/>
        </w:rPr>
      </w:pPr>
      <w:r w:rsidRPr="00A47593">
        <w:rPr>
          <w:rFonts w:cs="Arial"/>
        </w:rPr>
        <w:lastRenderedPageBreak/>
        <w:t xml:space="preserve">Queda de manifiesto entonces que, </w:t>
      </w:r>
      <w:r w:rsidRPr="00A47593">
        <w:rPr>
          <w:rFonts w:cs="Arial"/>
          <w:b/>
        </w:rPr>
        <w:t>se considera Información Pública al conjunto de datos que posee cualquier autoridad, obtenidos en virtud del ejercicio de sus funciones de derecho público</w:t>
      </w:r>
      <w:r w:rsidRPr="00A47593">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54842C41" w14:textId="77777777" w:rsidR="001D2DED" w:rsidRPr="00A47593" w:rsidRDefault="001D2DED" w:rsidP="00A47593">
      <w:pPr>
        <w:rPr>
          <w:rFonts w:cs="Arial"/>
        </w:rPr>
      </w:pPr>
    </w:p>
    <w:p w14:paraId="6DA28C42" w14:textId="77777777" w:rsidR="001D2DED" w:rsidRPr="00A47593" w:rsidRDefault="001D2DED" w:rsidP="00A47593">
      <w:pPr>
        <w:pStyle w:val="Puesto"/>
      </w:pPr>
      <w:r w:rsidRPr="00A47593">
        <w:t>“</w:t>
      </w:r>
      <w:r w:rsidRPr="00A47593">
        <w:rPr>
          <w:b/>
        </w:rPr>
        <w:t>INFORMACIÓN PÚBLICA. ES AQUELLA QUE SE ENCUENTRA EN POSESIÓN DE CUALQUIER AUTORIDAD, ENTIDAD, ÓRGANO Y ORGANISMO FEDERAL, ESTATAL Y MUNICIPAL, SIEMPRE QUE SE HAYA OBTENIDO POR CAUSA DEL EJERCICIO DE FUNCIONES DE DERECHO PÚBLICO</w:t>
      </w:r>
      <w:r w:rsidRPr="00A47593">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p w14:paraId="0FEBA73B" w14:textId="77777777" w:rsidR="001D2DED" w:rsidRPr="00A47593" w:rsidRDefault="001D2DED" w:rsidP="00A47593">
      <w:pPr>
        <w:ind w:left="851" w:right="901"/>
        <w:rPr>
          <w:rFonts w:cs="Arial"/>
          <w:b/>
          <w:i/>
          <w:sz w:val="24"/>
          <w:szCs w:val="22"/>
        </w:rPr>
      </w:pPr>
    </w:p>
    <w:p w14:paraId="5E7B4199" w14:textId="77777777" w:rsidR="001D2DED" w:rsidRPr="00A47593" w:rsidRDefault="001D2DED" w:rsidP="00A47593">
      <w:pPr>
        <w:rPr>
          <w:rFonts w:cs="Arial"/>
        </w:rPr>
      </w:pPr>
      <w:r w:rsidRPr="00A47593">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A47593" w:rsidRDefault="00AF6A7A" w:rsidP="00A47593">
      <w:pPr>
        <w:rPr>
          <w:rFonts w:cs="Arial"/>
          <w:szCs w:val="24"/>
        </w:rPr>
      </w:pPr>
    </w:p>
    <w:p w14:paraId="741E6CC1" w14:textId="77777777" w:rsidR="001D2DED" w:rsidRPr="00A47593" w:rsidRDefault="001D2DED" w:rsidP="00A47593">
      <w:pPr>
        <w:rPr>
          <w:rFonts w:cs="Arial"/>
        </w:rPr>
      </w:pPr>
      <w:r w:rsidRPr="00A47593">
        <w:rPr>
          <w:rFonts w:cs="Arial"/>
        </w:rPr>
        <w:lastRenderedPageBreak/>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4E3F30C8" w14:textId="77777777" w:rsidR="001D2DED" w:rsidRPr="00A47593" w:rsidRDefault="001D2DED" w:rsidP="00A47593">
      <w:pPr>
        <w:rPr>
          <w:rFonts w:cs="Arial"/>
        </w:rPr>
      </w:pPr>
    </w:p>
    <w:p w14:paraId="693F4E7B" w14:textId="77777777" w:rsidR="001D2DED" w:rsidRPr="00A47593" w:rsidRDefault="001D2DED" w:rsidP="00A47593">
      <w:pPr>
        <w:pStyle w:val="Puesto"/>
      </w:pPr>
      <w:r w:rsidRPr="00A47593">
        <w:t>“</w:t>
      </w:r>
      <w:r w:rsidRPr="00A47593">
        <w:rPr>
          <w:b/>
        </w:rPr>
        <w:t xml:space="preserve">Artículo 3. </w:t>
      </w:r>
      <w:r w:rsidRPr="00A47593">
        <w:t>Para los efectos de la presente Ley se entenderá por:</w:t>
      </w:r>
    </w:p>
    <w:p w14:paraId="3CB2BF1E" w14:textId="77777777" w:rsidR="001D2DED" w:rsidRPr="00A47593" w:rsidRDefault="001D2DED" w:rsidP="00A47593">
      <w:pPr>
        <w:pStyle w:val="Puesto"/>
      </w:pPr>
      <w:r w:rsidRPr="00A47593">
        <w:rPr>
          <w:b/>
        </w:rPr>
        <w:t>XI. Documento:</w:t>
      </w:r>
      <w:r w:rsidRPr="00A47593">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05AB419" w14:textId="77777777" w:rsidR="001D2DED" w:rsidRPr="00A47593" w:rsidRDefault="001D2DED" w:rsidP="00A47593">
      <w:pPr>
        <w:ind w:left="851" w:right="901"/>
        <w:rPr>
          <w:rFonts w:cs="Arial"/>
          <w:i/>
          <w:sz w:val="24"/>
          <w:szCs w:val="24"/>
        </w:rPr>
      </w:pPr>
    </w:p>
    <w:p w14:paraId="22BBE086" w14:textId="77777777" w:rsidR="001D2DED" w:rsidRPr="00A47593" w:rsidRDefault="001D2DED" w:rsidP="00A47593">
      <w:pPr>
        <w:autoSpaceDE w:val="0"/>
        <w:autoSpaceDN w:val="0"/>
        <w:adjustRightInd w:val="0"/>
        <w:rPr>
          <w:rFonts w:cs="Arial"/>
        </w:rPr>
      </w:pPr>
      <w:r w:rsidRPr="00A47593">
        <w:rPr>
          <w:rFonts w:cs="Arial"/>
        </w:rPr>
        <w:t xml:space="preserve">En el caso que nos ocupa es aplicable el criterio </w:t>
      </w:r>
      <w:r w:rsidRPr="00A47593">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A47593">
        <w:rPr>
          <w:rFonts w:cs="Arial"/>
        </w:rPr>
        <w:t>cuyo rubro y texto dispone:</w:t>
      </w:r>
    </w:p>
    <w:p w14:paraId="1CA14C6C" w14:textId="1260206C" w:rsidR="001D2DED" w:rsidRPr="00A47593" w:rsidRDefault="001D2DED" w:rsidP="00A47593">
      <w:pPr>
        <w:autoSpaceDE w:val="0"/>
        <w:autoSpaceDN w:val="0"/>
        <w:adjustRightInd w:val="0"/>
        <w:rPr>
          <w:rFonts w:cs="Arial"/>
        </w:rPr>
      </w:pPr>
    </w:p>
    <w:p w14:paraId="0CC87ED1" w14:textId="02B5D885" w:rsidR="00426165" w:rsidRPr="00A47593" w:rsidRDefault="00426165" w:rsidP="00A47593">
      <w:pPr>
        <w:autoSpaceDE w:val="0"/>
        <w:autoSpaceDN w:val="0"/>
        <w:adjustRightInd w:val="0"/>
        <w:rPr>
          <w:rFonts w:cs="Arial"/>
        </w:rPr>
      </w:pPr>
    </w:p>
    <w:p w14:paraId="15400976" w14:textId="54B7AE9D" w:rsidR="00426165" w:rsidRPr="00A47593" w:rsidRDefault="00426165" w:rsidP="00A47593">
      <w:pPr>
        <w:autoSpaceDE w:val="0"/>
        <w:autoSpaceDN w:val="0"/>
        <w:adjustRightInd w:val="0"/>
        <w:rPr>
          <w:rFonts w:cs="Arial"/>
        </w:rPr>
      </w:pPr>
    </w:p>
    <w:p w14:paraId="25B2971A" w14:textId="77777777" w:rsidR="00426165" w:rsidRPr="00A47593" w:rsidRDefault="00426165" w:rsidP="00A47593">
      <w:pPr>
        <w:autoSpaceDE w:val="0"/>
        <w:autoSpaceDN w:val="0"/>
        <w:adjustRightInd w:val="0"/>
        <w:rPr>
          <w:rFonts w:cs="Arial"/>
        </w:rPr>
      </w:pPr>
    </w:p>
    <w:p w14:paraId="72FD999B" w14:textId="77777777" w:rsidR="001D2DED" w:rsidRPr="00A47593" w:rsidRDefault="001D2DED" w:rsidP="00A47593">
      <w:pPr>
        <w:pStyle w:val="Puesto"/>
        <w:jc w:val="center"/>
        <w:rPr>
          <w:b/>
          <w:lang w:eastAsia="es-MX"/>
        </w:rPr>
      </w:pPr>
      <w:r w:rsidRPr="00A47593">
        <w:rPr>
          <w:lang w:eastAsia="es-MX"/>
        </w:rPr>
        <w:lastRenderedPageBreak/>
        <w:t>“</w:t>
      </w:r>
      <w:r w:rsidRPr="00A47593">
        <w:rPr>
          <w:b/>
          <w:lang w:eastAsia="es-MX"/>
        </w:rPr>
        <w:t>CRITERIO 0002-11</w:t>
      </w:r>
    </w:p>
    <w:p w14:paraId="05FACF5D" w14:textId="77777777" w:rsidR="001D2DED" w:rsidRPr="00A47593" w:rsidRDefault="001D2DED" w:rsidP="00A47593">
      <w:pPr>
        <w:pStyle w:val="Puesto"/>
        <w:rPr>
          <w:lang w:eastAsia="es-MX"/>
        </w:rPr>
      </w:pPr>
      <w:r w:rsidRPr="00A47593">
        <w:rPr>
          <w:b/>
          <w:lang w:eastAsia="es-MX"/>
        </w:rPr>
        <w:t xml:space="preserve">INFORMACIÓN PÚBLICA, CONCEPTO DE, EN MATERIA DE TRANSPARENCIA. INTERPRETACIÓN SISTEMÁTICA DE LOS ARTÍCULOS 2°, FRACCIÓN </w:t>
      </w:r>
      <w:r w:rsidRPr="00A47593">
        <w:rPr>
          <w:b/>
          <w:bCs/>
          <w:lang w:eastAsia="es-MX"/>
        </w:rPr>
        <w:t xml:space="preserve">V, XV, Y XVI, </w:t>
      </w:r>
      <w:r w:rsidRPr="00A47593">
        <w:rPr>
          <w:b/>
          <w:lang w:eastAsia="es-MX"/>
        </w:rPr>
        <w:t xml:space="preserve">3°, 4°, 11 Y 41. </w:t>
      </w:r>
      <w:r w:rsidRPr="00A47593">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A47593" w:rsidRDefault="001D2DED" w:rsidP="00A47593">
      <w:pPr>
        <w:pStyle w:val="Puesto"/>
        <w:rPr>
          <w:lang w:eastAsia="es-MX"/>
        </w:rPr>
      </w:pPr>
      <w:r w:rsidRPr="00A47593">
        <w:rPr>
          <w:lang w:eastAsia="es-MX"/>
        </w:rPr>
        <w:t>En consecuencia, el acceso a la información se refiere a que se cumplan cualquiera de los siguientes tres supuestos:</w:t>
      </w:r>
    </w:p>
    <w:p w14:paraId="38283DD2" w14:textId="77777777" w:rsidR="001D2DED" w:rsidRPr="00A47593" w:rsidRDefault="001D2DED" w:rsidP="00A47593">
      <w:pPr>
        <w:pStyle w:val="Puesto"/>
        <w:rPr>
          <w:b/>
          <w:lang w:eastAsia="es-MX"/>
        </w:rPr>
      </w:pPr>
      <w:r w:rsidRPr="00A47593">
        <w:rPr>
          <w:b/>
          <w:lang w:eastAsia="es-MX"/>
        </w:rPr>
        <w:t>1) Que se trate de información registrada en cualquier soporte documental, que, en ejercicio de las atribuciones conferidas, sea generada por los Sujetos Obligados;</w:t>
      </w:r>
    </w:p>
    <w:p w14:paraId="7AD86AA5" w14:textId="77777777" w:rsidR="001D2DED" w:rsidRPr="00A47593" w:rsidRDefault="001D2DED" w:rsidP="00A47593">
      <w:pPr>
        <w:pStyle w:val="Puesto"/>
        <w:rPr>
          <w:lang w:eastAsia="es-MX"/>
        </w:rPr>
      </w:pPr>
      <w:r w:rsidRPr="00A47593">
        <w:rPr>
          <w:lang w:eastAsia="es-MX"/>
        </w:rPr>
        <w:t xml:space="preserve">2) Que se trate de </w:t>
      </w:r>
      <w:r w:rsidRPr="00A47593">
        <w:rPr>
          <w:b/>
          <w:lang w:eastAsia="es-MX"/>
        </w:rPr>
        <w:t>información</w:t>
      </w:r>
      <w:r w:rsidRPr="00A47593">
        <w:rPr>
          <w:lang w:eastAsia="es-MX"/>
        </w:rPr>
        <w:t xml:space="preserve"> registrada en cualquier soporte documental, que, en ejercicio de las atribuciones conferidas, sea administrada por los Sujetos Obligados, y</w:t>
      </w:r>
    </w:p>
    <w:p w14:paraId="5B80261D" w14:textId="77777777" w:rsidR="001D2DED" w:rsidRPr="00A47593" w:rsidRDefault="001D2DED" w:rsidP="00A47593">
      <w:pPr>
        <w:pStyle w:val="Puesto"/>
        <w:rPr>
          <w:lang w:eastAsia="es-MX"/>
        </w:rPr>
      </w:pPr>
      <w:r w:rsidRPr="00A47593">
        <w:rPr>
          <w:lang w:eastAsia="es-MX"/>
        </w:rPr>
        <w:t>3) Que se trate de información registrada en cualquier soporte documental, que, en ejercicio de las atribuciones conferidas, se encuentre en posesión de los Sujetos Obligados.” (SIC)</w:t>
      </w:r>
    </w:p>
    <w:p w14:paraId="5E430F35" w14:textId="77777777" w:rsidR="001D2DED" w:rsidRPr="00A47593" w:rsidRDefault="001D2DED" w:rsidP="00A47593">
      <w:pPr>
        <w:pStyle w:val="Puesto"/>
        <w:rPr>
          <w:lang w:eastAsia="es-MX"/>
        </w:rPr>
      </w:pPr>
      <w:r w:rsidRPr="00A47593">
        <w:rPr>
          <w:lang w:eastAsia="es-MX"/>
        </w:rPr>
        <w:t>(Énfasis Añadido)</w:t>
      </w:r>
    </w:p>
    <w:p w14:paraId="2CB699C3" w14:textId="77777777" w:rsidR="00757B03" w:rsidRPr="00A47593" w:rsidRDefault="00757B03" w:rsidP="00A47593">
      <w:pPr>
        <w:ind w:left="851" w:right="901"/>
        <w:rPr>
          <w:rFonts w:cs="Arial"/>
          <w:sz w:val="18"/>
          <w:szCs w:val="18"/>
          <w:lang w:eastAsia="es-MX"/>
        </w:rPr>
      </w:pPr>
    </w:p>
    <w:p w14:paraId="41CC9E9A" w14:textId="77777777" w:rsidR="001D2DED" w:rsidRPr="00A47593" w:rsidRDefault="001D2DED" w:rsidP="00A47593">
      <w:pPr>
        <w:widowControl w:val="0"/>
        <w:autoSpaceDE w:val="0"/>
        <w:autoSpaceDN w:val="0"/>
        <w:adjustRightInd w:val="0"/>
        <w:rPr>
          <w:rFonts w:eastAsia="Arial Unicode MS" w:cs="Arial"/>
          <w:sz w:val="24"/>
          <w:szCs w:val="24"/>
        </w:rPr>
      </w:pPr>
      <w:r w:rsidRPr="00A47593">
        <w:rPr>
          <w:lang w:val="es-ES"/>
        </w:rPr>
        <w:t xml:space="preserve">Una vez precisado lo anterior, es importante destacar que </w:t>
      </w:r>
      <w:r w:rsidRPr="00A47593">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61ED459F" w14:textId="77777777" w:rsidR="001D2DED" w:rsidRPr="00A47593" w:rsidRDefault="001D2DED" w:rsidP="00A47593">
      <w:pPr>
        <w:widowControl w:val="0"/>
        <w:autoSpaceDE w:val="0"/>
        <w:autoSpaceDN w:val="0"/>
        <w:adjustRightInd w:val="0"/>
        <w:rPr>
          <w:rFonts w:eastAsia="Arial Unicode MS" w:cs="Arial"/>
        </w:rPr>
      </w:pPr>
    </w:p>
    <w:p w14:paraId="6694D022" w14:textId="77777777" w:rsidR="001D2DED" w:rsidRPr="00A47593" w:rsidRDefault="001D2DED" w:rsidP="00A47593">
      <w:pPr>
        <w:widowControl w:val="0"/>
        <w:tabs>
          <w:tab w:val="left" w:pos="1276"/>
        </w:tabs>
        <w:autoSpaceDE w:val="0"/>
        <w:autoSpaceDN w:val="0"/>
        <w:adjustRightInd w:val="0"/>
        <w:rPr>
          <w:rFonts w:eastAsia="Arial Unicode MS" w:cs="Arial"/>
        </w:rPr>
      </w:pPr>
      <w:r w:rsidRPr="00A47593">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76018D5A" w14:textId="77777777" w:rsidR="001D2DED" w:rsidRPr="00A47593" w:rsidRDefault="001D2DED" w:rsidP="00A47593">
      <w:pPr>
        <w:widowControl w:val="0"/>
        <w:tabs>
          <w:tab w:val="left" w:pos="1276"/>
        </w:tabs>
        <w:autoSpaceDE w:val="0"/>
        <w:autoSpaceDN w:val="0"/>
        <w:adjustRightInd w:val="0"/>
        <w:rPr>
          <w:rFonts w:eastAsia="Arial Unicode MS" w:cs="Arial"/>
        </w:rPr>
      </w:pPr>
    </w:p>
    <w:p w14:paraId="3498B034" w14:textId="05A889DC" w:rsidR="001D2DED" w:rsidRPr="00A47593" w:rsidRDefault="001D2DED" w:rsidP="00A47593">
      <w:pPr>
        <w:widowControl w:val="0"/>
        <w:tabs>
          <w:tab w:val="left" w:pos="1276"/>
        </w:tabs>
        <w:autoSpaceDE w:val="0"/>
        <w:autoSpaceDN w:val="0"/>
        <w:adjustRightInd w:val="0"/>
        <w:rPr>
          <w:rFonts w:eastAsia="Arial Unicode MS" w:cs="Arial"/>
        </w:rPr>
      </w:pPr>
      <w:r w:rsidRPr="00A47593">
        <w:rPr>
          <w:rFonts w:eastAsia="Arial Unicode MS" w:cs="Arial"/>
        </w:rPr>
        <w:t xml:space="preserve">Por su parte, el artículo 53, fracciones II, IV y V de la Ley antes citada, establece que las Unidades de Transparencia tienen, entre otras, las funciones de recibir, tramitar y dar </w:t>
      </w:r>
      <w:r w:rsidRPr="00A47593">
        <w:rPr>
          <w:rFonts w:eastAsia="Arial Unicode MS" w:cs="Arial"/>
        </w:rPr>
        <w:lastRenderedPageBreak/>
        <w:t>respuesta a las solicitudes de acceso a la información; realizar, con efectividad, los trámites internos necesarios para la atención de las solicitudes de acceso a la información; así como, entregar, en su caso, a los particulares la información solicitada.</w:t>
      </w:r>
    </w:p>
    <w:p w14:paraId="2DBD6ADB" w14:textId="77777777" w:rsidR="00EA1B35" w:rsidRPr="00A47593" w:rsidRDefault="00EA1B35" w:rsidP="00A47593">
      <w:pPr>
        <w:widowControl w:val="0"/>
        <w:tabs>
          <w:tab w:val="left" w:pos="1276"/>
        </w:tabs>
        <w:autoSpaceDE w:val="0"/>
        <w:autoSpaceDN w:val="0"/>
        <w:adjustRightInd w:val="0"/>
        <w:rPr>
          <w:rFonts w:eastAsia="Arial Unicode MS" w:cs="Arial"/>
        </w:rPr>
      </w:pPr>
    </w:p>
    <w:p w14:paraId="60AC9421" w14:textId="77777777" w:rsidR="001D2DED" w:rsidRPr="00A47593" w:rsidRDefault="001D2DED" w:rsidP="00A47593">
      <w:pPr>
        <w:rPr>
          <w:rFonts w:cs="Arial"/>
        </w:rPr>
      </w:pPr>
      <w:r w:rsidRPr="00A47593">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7BB9CA4" w14:textId="77777777" w:rsidR="001D2DED" w:rsidRPr="00A47593" w:rsidRDefault="001D2DED" w:rsidP="00A47593">
      <w:pPr>
        <w:rPr>
          <w:rFonts w:cs="Arial"/>
        </w:rPr>
      </w:pPr>
    </w:p>
    <w:p w14:paraId="53751392" w14:textId="4F5B80A9" w:rsidR="001D2DED" w:rsidRPr="00A47593" w:rsidRDefault="001D2DED" w:rsidP="00A47593">
      <w:pPr>
        <w:widowControl w:val="0"/>
        <w:tabs>
          <w:tab w:val="left" w:pos="1276"/>
        </w:tabs>
        <w:autoSpaceDE w:val="0"/>
        <w:autoSpaceDN w:val="0"/>
        <w:adjustRightInd w:val="0"/>
        <w:rPr>
          <w:rFonts w:eastAsia="Arial Unicode MS" w:cs="Arial"/>
        </w:rPr>
      </w:pPr>
      <w:r w:rsidRPr="00A47593">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0463A06D" w14:textId="77777777" w:rsidR="00426165" w:rsidRPr="00A47593" w:rsidRDefault="00426165" w:rsidP="00A47593">
      <w:pPr>
        <w:widowControl w:val="0"/>
        <w:tabs>
          <w:tab w:val="left" w:pos="1276"/>
        </w:tabs>
        <w:autoSpaceDE w:val="0"/>
        <w:autoSpaceDN w:val="0"/>
        <w:adjustRightInd w:val="0"/>
        <w:rPr>
          <w:rFonts w:eastAsia="Arial Unicode MS" w:cs="Arial"/>
        </w:rPr>
      </w:pPr>
    </w:p>
    <w:p w14:paraId="44EA3D6A" w14:textId="77777777" w:rsidR="001D2DED" w:rsidRPr="00A47593" w:rsidRDefault="001D2DED" w:rsidP="00A47593">
      <w:pPr>
        <w:rPr>
          <w:rFonts w:cs="Arial"/>
        </w:rPr>
      </w:pPr>
      <w:r w:rsidRPr="00A47593">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A47593" w:rsidRDefault="001D2DED" w:rsidP="00A47593">
      <w:pPr>
        <w:rPr>
          <w:rFonts w:cs="Arial"/>
        </w:rPr>
      </w:pPr>
    </w:p>
    <w:p w14:paraId="46067D46" w14:textId="77777777" w:rsidR="001D2DED" w:rsidRPr="00A47593" w:rsidRDefault="001D2DED" w:rsidP="00A47593">
      <w:pPr>
        <w:rPr>
          <w:rFonts w:cs="Arial"/>
        </w:rPr>
      </w:pPr>
      <w:r w:rsidRPr="00A47593">
        <w:rPr>
          <w:rFonts w:cs="Arial"/>
        </w:rPr>
        <w:t>Situación que en la especie no aconteció, para lo cual sirve de sustento el precepto legal en cita:</w:t>
      </w:r>
    </w:p>
    <w:p w14:paraId="0200AE5D" w14:textId="77777777" w:rsidR="001D2DED" w:rsidRPr="00A47593" w:rsidRDefault="001D2DED" w:rsidP="00A47593">
      <w:pPr>
        <w:rPr>
          <w:rFonts w:cs="Arial"/>
        </w:rPr>
      </w:pPr>
    </w:p>
    <w:p w14:paraId="6F2DE7A5" w14:textId="77777777" w:rsidR="001D2DED" w:rsidRPr="00A47593" w:rsidRDefault="001D2DED" w:rsidP="00A47593">
      <w:pPr>
        <w:pStyle w:val="Puesto"/>
        <w:rPr>
          <w:b/>
        </w:rPr>
      </w:pPr>
      <w:r w:rsidRPr="00A47593">
        <w:lastRenderedPageBreak/>
        <w:t>“</w:t>
      </w:r>
      <w:r w:rsidRPr="00A47593">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A47593" w:rsidRDefault="001D2DED" w:rsidP="00A47593">
      <w:pPr>
        <w:pStyle w:val="Puesto"/>
      </w:pPr>
      <w:r w:rsidRPr="00A47593">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A47593" w:rsidRDefault="001D2DED" w:rsidP="00A47593">
      <w:pPr>
        <w:pStyle w:val="Puesto"/>
      </w:pPr>
      <w:r w:rsidRPr="00A47593">
        <w:t>(Énfasis añadido.)</w:t>
      </w:r>
    </w:p>
    <w:p w14:paraId="06B95103" w14:textId="77777777" w:rsidR="001D2DED" w:rsidRPr="00A47593" w:rsidRDefault="001D2DED" w:rsidP="00A47593">
      <w:pPr>
        <w:ind w:left="851" w:right="902"/>
        <w:rPr>
          <w:sz w:val="24"/>
        </w:rPr>
      </w:pPr>
    </w:p>
    <w:p w14:paraId="0E659092" w14:textId="77777777" w:rsidR="001D2DED" w:rsidRPr="00A47593" w:rsidRDefault="001D2DED" w:rsidP="00A47593">
      <w:r w:rsidRPr="00A47593">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6967F885" w14:textId="77777777" w:rsidR="001D2DED" w:rsidRPr="00A47593" w:rsidRDefault="001D2DED" w:rsidP="00A47593">
      <w:pPr>
        <w:widowControl w:val="0"/>
        <w:autoSpaceDE w:val="0"/>
        <w:autoSpaceDN w:val="0"/>
        <w:adjustRightInd w:val="0"/>
        <w:rPr>
          <w:szCs w:val="16"/>
          <w:lang w:val="es-ES"/>
        </w:rPr>
      </w:pPr>
    </w:p>
    <w:p w14:paraId="54B5EB18" w14:textId="77777777" w:rsidR="001D2DED" w:rsidRPr="00A47593" w:rsidRDefault="001D2DED" w:rsidP="00A47593">
      <w:pPr>
        <w:rPr>
          <w:szCs w:val="24"/>
        </w:rPr>
      </w:pPr>
      <w:r w:rsidRPr="00A47593">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6208DD52" w14:textId="77777777" w:rsidR="001D2DED" w:rsidRPr="00A47593" w:rsidRDefault="001D2DED" w:rsidP="00A47593"/>
    <w:p w14:paraId="091F7852" w14:textId="77777777" w:rsidR="001D2DED" w:rsidRPr="00A47593" w:rsidRDefault="001D2DED" w:rsidP="00A47593">
      <w:r w:rsidRPr="00A47593">
        <w:t xml:space="preserve">Por ello, esta Autoridad como órgano garante del derecho de Acceso a la Información estima que lo procedente es ordenar al </w:t>
      </w:r>
      <w:r w:rsidRPr="00A47593">
        <w:rPr>
          <w:b/>
        </w:rPr>
        <w:t>SUJETO OBLIGADO</w:t>
      </w:r>
      <w:r w:rsidRPr="00A47593">
        <w:t xml:space="preserve"> dé tramité y respuesta a la solicitud del particular</w:t>
      </w:r>
    </w:p>
    <w:p w14:paraId="175799FD" w14:textId="77777777" w:rsidR="001D2DED" w:rsidRPr="00A47593" w:rsidRDefault="001D2DED" w:rsidP="00A47593"/>
    <w:p w14:paraId="16BB3B3B" w14:textId="77777777" w:rsidR="001D2DED" w:rsidRPr="00A47593" w:rsidRDefault="001D2DED" w:rsidP="00A47593">
      <w:pPr>
        <w:rPr>
          <w:rFonts w:eastAsia="Calibri"/>
          <w:szCs w:val="22"/>
          <w:lang w:eastAsia="en-US"/>
        </w:rPr>
      </w:pPr>
      <w:r w:rsidRPr="00A47593">
        <w:rPr>
          <w:rFonts w:eastAsia="Calibri"/>
          <w:szCs w:val="22"/>
          <w:lang w:eastAsia="en-US"/>
        </w:rPr>
        <w:t xml:space="preserve">Aunado a lo anterior, este Instituto estima importante referir lo que dispone el artículo 172, último párrafo de la Ley de Transparencia local, el cual refiere que los argumentos para </w:t>
      </w:r>
      <w:r w:rsidRPr="00A47593">
        <w:rPr>
          <w:rFonts w:eastAsia="Calibri"/>
          <w:szCs w:val="22"/>
          <w:lang w:eastAsia="en-US"/>
        </w:rPr>
        <w:lastRenderedPageBreak/>
        <w:t xml:space="preserve">justificar cualquier negativa de acceso a la información deben recaer en </w:t>
      </w:r>
      <w:r w:rsidRPr="00A47593">
        <w:rPr>
          <w:rFonts w:eastAsia="Calibri"/>
          <w:b/>
          <w:szCs w:val="22"/>
          <w:lang w:eastAsia="en-US"/>
        </w:rPr>
        <w:t>EL SUJETO OBLIGADO</w:t>
      </w:r>
      <w:r w:rsidRPr="00A47593">
        <w:rPr>
          <w:rFonts w:eastAsia="Calibri"/>
          <w:szCs w:val="22"/>
          <w:lang w:eastAsia="en-US"/>
        </w:rPr>
        <w:t>; por lo que, en caso de no atender de manera positiva</w:t>
      </w:r>
      <w:r w:rsidRPr="00A47593">
        <w:rPr>
          <w:vertAlign w:val="superscript"/>
        </w:rPr>
        <w:footnoteReference w:id="2"/>
      </w:r>
      <w:r w:rsidRPr="00A47593">
        <w:rPr>
          <w:rFonts w:eastAsia="Calibri"/>
          <w:szCs w:val="22"/>
          <w:lang w:eastAsia="en-US"/>
        </w:rPr>
        <w:t>, el requerimiento de información deberá manifestarse al respecto.</w:t>
      </w:r>
    </w:p>
    <w:p w14:paraId="27DC0261" w14:textId="766CB946" w:rsidR="001D2DED" w:rsidRPr="00A47593" w:rsidRDefault="001D2DED" w:rsidP="00A47593">
      <w:pPr>
        <w:rPr>
          <w:rFonts w:eastAsia="Calibri"/>
          <w:szCs w:val="22"/>
          <w:lang w:eastAsia="en-US"/>
        </w:rPr>
      </w:pPr>
    </w:p>
    <w:p w14:paraId="32ACEAF3" w14:textId="77777777" w:rsidR="003754F3" w:rsidRPr="00A47593" w:rsidRDefault="003754F3" w:rsidP="00A47593">
      <w:pPr>
        <w:pStyle w:val="Ttulo3"/>
      </w:pPr>
      <w:bookmarkStart w:id="27" w:name="_Toc173396336"/>
      <w:bookmarkStart w:id="28" w:name="_Toc179394867"/>
      <w:r w:rsidRPr="00A47593">
        <w:t>d) Versión Pública</w:t>
      </w:r>
      <w:bookmarkEnd w:id="27"/>
      <w:bookmarkEnd w:id="28"/>
    </w:p>
    <w:p w14:paraId="3E5402B4" w14:textId="77777777" w:rsidR="001D2DED" w:rsidRPr="00A47593" w:rsidRDefault="001D2DED" w:rsidP="00A47593">
      <w:pPr>
        <w:rPr>
          <w:rFonts w:cs="Arial"/>
          <w:szCs w:val="24"/>
        </w:rPr>
      </w:pPr>
      <w:r w:rsidRPr="00A47593">
        <w:rPr>
          <w:rFonts w:eastAsia="Calibri"/>
          <w:szCs w:val="22"/>
          <w:lang w:eastAsia="en-US"/>
        </w:rPr>
        <w:t>Ahora bien, en atención al sentido en que se resuelve el presente medio de impugnación, éste Órgano Garante no omite señalar que, s</w:t>
      </w:r>
      <w:r w:rsidRPr="00A47593">
        <w:rPr>
          <w:rFonts w:cs="Arial"/>
        </w:rPr>
        <w:t xml:space="preserve">i </w:t>
      </w:r>
      <w:r w:rsidRPr="00A47593">
        <w:rPr>
          <w:rFonts w:cs="Arial"/>
          <w:b/>
        </w:rPr>
        <w:t>EL SUJETO OBLIGADO</w:t>
      </w:r>
      <w:r w:rsidRPr="00A47593">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A47593" w:rsidRDefault="001D2DED" w:rsidP="00A47593">
      <w:pPr>
        <w:rPr>
          <w:rFonts w:cs="Arial"/>
        </w:rPr>
      </w:pPr>
    </w:p>
    <w:p w14:paraId="54718C10" w14:textId="4FD88CDC" w:rsidR="001D2DED" w:rsidRPr="00A47593" w:rsidRDefault="001D2DED" w:rsidP="00A47593">
      <w:pPr>
        <w:autoSpaceDE w:val="0"/>
        <w:autoSpaceDN w:val="0"/>
        <w:adjustRightInd w:val="0"/>
        <w:ind w:right="51"/>
        <w:rPr>
          <w:rFonts w:cs="Arial"/>
        </w:rPr>
      </w:pPr>
      <w:r w:rsidRPr="00A47593">
        <w:rPr>
          <w:rFonts w:cs="Arial"/>
        </w:rPr>
        <w:t xml:space="preserve">En ese sentido, es de precisar que </w:t>
      </w:r>
      <w:r w:rsidRPr="00A47593">
        <w:rPr>
          <w:rFonts w:eastAsia="Calibri" w:cs="Bookman Old Style,Bold"/>
          <w:bCs/>
          <w:lang w:eastAsia="en-US"/>
        </w:rPr>
        <w:t xml:space="preserve">la clasificación de la información no se da por el simple mandato de la Ley, sino que </w:t>
      </w:r>
      <w:r w:rsidRPr="00A47593">
        <w:t xml:space="preserve">es necesario que </w:t>
      </w:r>
      <w:r w:rsidRPr="00A47593">
        <w:rPr>
          <w:b/>
        </w:rPr>
        <w:t xml:space="preserve">EL SUJETO OBLIGADO </w:t>
      </w:r>
      <w:r w:rsidRPr="00A47593">
        <w:t xml:space="preserve">cuando clasifique algún documento o información, ya sea todo o en parte, debe atender lo dispuesto por </w:t>
      </w:r>
      <w:r w:rsidRPr="00A47593">
        <w:rPr>
          <w:rFonts w:cs="Arial"/>
        </w:rPr>
        <w:t xml:space="preserve">la Ley de la materia, ya que dicha clasificación es un trabajo en conjunto tanto de los servidores públicos habilitados, de las Unidades de Transparencia y del Comité de Transparencia del </w:t>
      </w:r>
      <w:r w:rsidRPr="00A47593">
        <w:rPr>
          <w:rFonts w:cs="Arial"/>
          <w:b/>
        </w:rPr>
        <w:t>SUJETO OBLIGADO</w:t>
      </w:r>
      <w:r w:rsidRPr="00A47593">
        <w:rPr>
          <w:rFonts w:cs="Arial"/>
        </w:rPr>
        <w:t xml:space="preserve">,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w:t>
      </w:r>
      <w:r w:rsidRPr="00A47593">
        <w:rPr>
          <w:rFonts w:cs="Arial"/>
        </w:rPr>
        <w:lastRenderedPageBreak/>
        <w:t>fundada y motivada, en atención a lo previsto en el artículo 143 de la Constitución Política del Estado Libre y Soberano de México.</w:t>
      </w:r>
    </w:p>
    <w:p w14:paraId="41A0AEBC" w14:textId="77777777" w:rsidR="00622D73" w:rsidRPr="00A47593" w:rsidRDefault="00622D73" w:rsidP="00A47593">
      <w:pPr>
        <w:autoSpaceDE w:val="0"/>
        <w:autoSpaceDN w:val="0"/>
        <w:adjustRightInd w:val="0"/>
        <w:ind w:right="51"/>
        <w:rPr>
          <w:rFonts w:cs="Arial"/>
        </w:rPr>
      </w:pPr>
    </w:p>
    <w:p w14:paraId="4A0AF624" w14:textId="77777777" w:rsidR="001D2DED" w:rsidRPr="00A47593" w:rsidRDefault="001D2DED" w:rsidP="00A47593">
      <w:pPr>
        <w:autoSpaceDE w:val="0"/>
        <w:autoSpaceDN w:val="0"/>
        <w:adjustRightInd w:val="0"/>
        <w:rPr>
          <w:rFonts w:cs="Arial"/>
        </w:rPr>
      </w:pPr>
      <w:r w:rsidRPr="00A47593">
        <w:rPr>
          <w:rFonts w:cs="Arial"/>
          <w:lang w:val="es-ES"/>
        </w:rPr>
        <w:t xml:space="preserve">Así las cosas, dentro de los datos personales que pudieran contenerse se destacan los datos personales sensibles, los cuales son aquellos </w:t>
      </w:r>
      <w:r w:rsidRPr="00A47593">
        <w:rPr>
          <w:rFonts w:cs="Arial"/>
        </w:rPr>
        <w:t xml:space="preserve">referentes de la esfera de su titular cuya utilización indebida pueda dar origen a discriminación o conlleve un riesgo grave para éste. </w:t>
      </w:r>
    </w:p>
    <w:p w14:paraId="21919175" w14:textId="77777777" w:rsidR="001D2DED" w:rsidRPr="00A47593" w:rsidRDefault="001D2DED" w:rsidP="00A47593">
      <w:pPr>
        <w:autoSpaceDE w:val="0"/>
        <w:autoSpaceDN w:val="0"/>
        <w:adjustRightInd w:val="0"/>
        <w:rPr>
          <w:rFonts w:cs="Arial"/>
        </w:rPr>
      </w:pPr>
    </w:p>
    <w:p w14:paraId="6885E8D4" w14:textId="77777777" w:rsidR="001D2DED" w:rsidRPr="00A47593" w:rsidRDefault="001D2DED" w:rsidP="00A47593">
      <w:pPr>
        <w:autoSpaceDE w:val="0"/>
        <w:autoSpaceDN w:val="0"/>
        <w:adjustRightInd w:val="0"/>
        <w:rPr>
          <w:rFonts w:cs="Arial"/>
        </w:rPr>
      </w:pPr>
      <w:r w:rsidRPr="00A47593">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A47593" w:rsidRDefault="001D2DED" w:rsidP="00A47593">
      <w:pPr>
        <w:autoSpaceDE w:val="0"/>
        <w:autoSpaceDN w:val="0"/>
        <w:adjustRightInd w:val="0"/>
        <w:rPr>
          <w:rFonts w:cs="Arial"/>
        </w:rPr>
      </w:pPr>
    </w:p>
    <w:p w14:paraId="21B1F52B" w14:textId="77777777" w:rsidR="001D2DED" w:rsidRPr="00A47593" w:rsidRDefault="001D2DED" w:rsidP="00A47593">
      <w:pPr>
        <w:autoSpaceDE w:val="0"/>
        <w:autoSpaceDN w:val="0"/>
        <w:adjustRightInd w:val="0"/>
        <w:rPr>
          <w:rFonts w:cs="Arial"/>
        </w:rPr>
      </w:pPr>
      <w:r w:rsidRPr="00A47593">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4317402C" w14:textId="77777777" w:rsidR="001D2DED" w:rsidRPr="00A47593" w:rsidRDefault="001D2DED" w:rsidP="00A47593">
      <w:pPr>
        <w:autoSpaceDE w:val="0"/>
        <w:autoSpaceDN w:val="0"/>
        <w:adjustRightInd w:val="0"/>
        <w:rPr>
          <w:rFonts w:cs="Arial"/>
        </w:rPr>
      </w:pPr>
    </w:p>
    <w:p w14:paraId="6E05B1BF" w14:textId="77777777" w:rsidR="001D2DED" w:rsidRPr="00A47593" w:rsidRDefault="001D2DED" w:rsidP="00A47593">
      <w:pPr>
        <w:autoSpaceDE w:val="0"/>
        <w:autoSpaceDN w:val="0"/>
        <w:adjustRightInd w:val="0"/>
        <w:rPr>
          <w:rFonts w:cs="Arial"/>
        </w:rPr>
      </w:pPr>
      <w:r w:rsidRPr="00A47593">
        <w:rPr>
          <w:rFonts w:cs="Arial"/>
        </w:rPr>
        <w:t xml:space="preserve">Por otra parte, </w:t>
      </w:r>
      <w:r w:rsidRPr="00A47593">
        <w:rPr>
          <w:rFonts w:eastAsia="Calibri"/>
          <w:szCs w:val="22"/>
          <w:lang w:eastAsia="en-US"/>
        </w:rPr>
        <w:t xml:space="preserve">este Órgano Garante </w:t>
      </w:r>
      <w:r w:rsidRPr="00A47593">
        <w:rPr>
          <w:rFonts w:cs="Arial"/>
        </w:rPr>
        <w:t xml:space="preserve">no omite mencionar que, si </w:t>
      </w:r>
      <w:r w:rsidRPr="00A47593">
        <w:rPr>
          <w:rFonts w:cs="Arial"/>
          <w:b/>
        </w:rPr>
        <w:t>EL SUJETO OBLIGADO</w:t>
      </w:r>
      <w:r w:rsidRPr="00A47593">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A47593" w:rsidRDefault="001D2DED" w:rsidP="00A47593">
      <w:pPr>
        <w:autoSpaceDE w:val="0"/>
        <w:autoSpaceDN w:val="0"/>
        <w:adjustRightInd w:val="0"/>
        <w:rPr>
          <w:rFonts w:cs="Arial"/>
        </w:rPr>
      </w:pPr>
    </w:p>
    <w:p w14:paraId="49BC88BA" w14:textId="4C5C41D4" w:rsidR="001D2DED" w:rsidRPr="00A47593" w:rsidRDefault="001D2DED" w:rsidP="00A47593">
      <w:pPr>
        <w:autoSpaceDE w:val="0"/>
        <w:autoSpaceDN w:val="0"/>
        <w:adjustRightInd w:val="0"/>
        <w:rPr>
          <w:rFonts w:cs="Arial"/>
        </w:rPr>
      </w:pPr>
      <w:r w:rsidRPr="00A47593">
        <w:rPr>
          <w:rFonts w:cs="Arial"/>
        </w:rPr>
        <w:lastRenderedPageBreak/>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0A565290" w14:textId="77777777" w:rsidR="00622D73" w:rsidRPr="00A47593" w:rsidRDefault="00622D73" w:rsidP="00A47593">
      <w:pPr>
        <w:autoSpaceDE w:val="0"/>
        <w:autoSpaceDN w:val="0"/>
        <w:adjustRightInd w:val="0"/>
        <w:rPr>
          <w:rFonts w:cs="Arial"/>
        </w:rPr>
      </w:pPr>
    </w:p>
    <w:p w14:paraId="110ED35B" w14:textId="77777777" w:rsidR="001D2DED" w:rsidRPr="00A47593" w:rsidRDefault="001D2DED" w:rsidP="00A47593">
      <w:pPr>
        <w:rPr>
          <w:rFonts w:cs="Arial"/>
        </w:rPr>
      </w:pPr>
      <w:r w:rsidRPr="00A47593">
        <w:rPr>
          <w:rFonts w:cs="Arial"/>
        </w:rPr>
        <w:t xml:space="preserve">Lo anterior, sin perder de vista que la Constitución Política de los Estados Unidos Mexicanos otorga a </w:t>
      </w:r>
      <w:r w:rsidRPr="00A47593">
        <w:rPr>
          <w:rFonts w:cs="Arial"/>
          <w:b/>
        </w:rPr>
        <w:t>todos los documentos</w:t>
      </w:r>
      <w:r w:rsidRPr="00A47593">
        <w:rPr>
          <w:rFonts w:cs="Arial"/>
        </w:rPr>
        <w:t xml:space="preserve"> en posesión de las autoridades </w:t>
      </w:r>
      <w:r w:rsidRPr="00A47593">
        <w:rPr>
          <w:rFonts w:cs="Arial"/>
          <w:b/>
        </w:rPr>
        <w:t>la calidad de públicos</w:t>
      </w:r>
      <w:r w:rsidRPr="00A47593">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A47593" w:rsidRDefault="001D2DED" w:rsidP="00A47593">
      <w:pPr>
        <w:rPr>
          <w:rFonts w:cs="Arial"/>
        </w:rPr>
      </w:pPr>
    </w:p>
    <w:p w14:paraId="20543D45" w14:textId="77777777" w:rsidR="001D2DED" w:rsidRPr="00A47593" w:rsidRDefault="001D2DED" w:rsidP="00A47593">
      <w:r w:rsidRPr="00A47593">
        <w:t xml:space="preserve">Es pertinente aclarar que, la información que se clasifica bajo la premisa de reservada </w:t>
      </w:r>
      <w:r w:rsidRPr="00A47593">
        <w:rPr>
          <w:b/>
        </w:rPr>
        <w:t>no pierde el carácter de pública</w:t>
      </w:r>
      <w:r w:rsidRPr="00A47593">
        <w:t xml:space="preserve">, sino que </w:t>
      </w:r>
      <w:r w:rsidRPr="00A47593">
        <w:rPr>
          <w:b/>
        </w:rPr>
        <w:t>se reserva temporalmente</w:t>
      </w:r>
      <w:r w:rsidRPr="00A47593">
        <w:t xml:space="preserve"> </w:t>
      </w:r>
      <w:r w:rsidRPr="00A47593">
        <w:rPr>
          <w:b/>
        </w:rPr>
        <w:t>del conocimiento público</w:t>
      </w:r>
      <w:r w:rsidRPr="00A47593">
        <w:t xml:space="preserve">, es decir, que, </w:t>
      </w:r>
      <w:r w:rsidRPr="00A47593">
        <w:rPr>
          <w:b/>
        </w:rPr>
        <w:t>por un tiempo determinado</w:t>
      </w:r>
      <w:r w:rsidRPr="00A47593">
        <w:t>, se conservará y custodiará la información de manera especial, y una vez transcurrido el plazo de reserva, el documento podrá divulgarse.</w:t>
      </w:r>
    </w:p>
    <w:p w14:paraId="5ABF4E11" w14:textId="77777777" w:rsidR="001D2DED" w:rsidRPr="00A47593" w:rsidRDefault="001D2DED" w:rsidP="00A47593">
      <w:pPr>
        <w:rPr>
          <w:rFonts w:eastAsia="Calibri" w:cs="Arial"/>
        </w:rPr>
      </w:pPr>
      <w:r w:rsidRPr="00A47593">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822CAE3" w14:textId="77777777" w:rsidR="001D2DED" w:rsidRPr="00A47593" w:rsidRDefault="001D2DED" w:rsidP="00A47593">
      <w:pPr>
        <w:rPr>
          <w:rFonts w:eastAsia="Calibri" w:cs="Arial"/>
        </w:rPr>
      </w:pPr>
    </w:p>
    <w:p w14:paraId="69CE4D6A" w14:textId="77777777" w:rsidR="001D2DED" w:rsidRPr="00A47593" w:rsidRDefault="001D2DED" w:rsidP="00A47593">
      <w:pPr>
        <w:rPr>
          <w:rFonts w:eastAsia="Calibri" w:cs="Arial"/>
          <w:bCs/>
        </w:rPr>
      </w:pPr>
      <w:r w:rsidRPr="00A47593">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A47593">
        <w:rPr>
          <w:rFonts w:eastAsia="Arial Unicode MS" w:cs="Arial"/>
        </w:rPr>
        <w:t>,</w:t>
      </w:r>
      <w:r w:rsidRPr="00A47593">
        <w:rPr>
          <w:rFonts w:eastAsia="Calibri" w:cs="Arial"/>
          <w:bCs/>
        </w:rPr>
        <w:t xml:space="preserve"> que literalmente señala:</w:t>
      </w:r>
    </w:p>
    <w:p w14:paraId="2A7CCB87" w14:textId="77777777" w:rsidR="001D2DED" w:rsidRPr="00A47593" w:rsidRDefault="001D2DED" w:rsidP="00A47593">
      <w:pPr>
        <w:rPr>
          <w:rFonts w:eastAsia="Calibri" w:cs="Arial"/>
          <w:bCs/>
          <w:sz w:val="20"/>
        </w:rPr>
      </w:pPr>
    </w:p>
    <w:p w14:paraId="1098C2BA" w14:textId="42BF7C38" w:rsidR="001D2DED" w:rsidRPr="00A47593" w:rsidRDefault="001D2DED" w:rsidP="00A47593">
      <w:pPr>
        <w:pStyle w:val="Puesto"/>
        <w:rPr>
          <w:rFonts w:eastAsia="Calibri"/>
        </w:rPr>
      </w:pPr>
      <w:r w:rsidRPr="00A47593">
        <w:rPr>
          <w:rFonts w:eastAsia="Calibri"/>
        </w:rPr>
        <w:lastRenderedPageBreak/>
        <w:t>“</w:t>
      </w:r>
      <w:r w:rsidRPr="00A47593">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A47593">
        <w:rPr>
          <w:rFonts w:eastAsia="Calibri"/>
        </w:rPr>
        <w:t>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w:t>
      </w:r>
      <w:r w:rsidR="00EA1B35" w:rsidRPr="00A47593">
        <w:rPr>
          <w:rFonts w:eastAsia="Calibri"/>
        </w:rPr>
        <w:t>S</w:t>
      </w:r>
      <w:r w:rsidRPr="00A47593">
        <w:rPr>
          <w:rFonts w:eastAsia="Calibri"/>
        </w:rPr>
        <w:t>ic)</w:t>
      </w:r>
    </w:p>
    <w:p w14:paraId="4F731463" w14:textId="77777777" w:rsidR="001D2DED" w:rsidRPr="00A47593" w:rsidRDefault="001D2DED" w:rsidP="00A47593">
      <w:pPr>
        <w:ind w:left="851" w:right="902"/>
        <w:rPr>
          <w:rFonts w:eastAsia="Calibri"/>
          <w:i/>
          <w:sz w:val="24"/>
          <w:szCs w:val="36"/>
        </w:rPr>
      </w:pPr>
    </w:p>
    <w:p w14:paraId="0CE20A5C" w14:textId="77777777" w:rsidR="001D2DED" w:rsidRPr="00A47593" w:rsidRDefault="001D2DED" w:rsidP="00A47593">
      <w:pPr>
        <w:rPr>
          <w:bCs/>
          <w:szCs w:val="24"/>
        </w:rPr>
      </w:pPr>
      <w:r w:rsidRPr="00A47593">
        <w:rPr>
          <w:bCs/>
        </w:rPr>
        <w:t xml:space="preserve">Lo que antecede, respecto de la reserva de la información implica una clasificación, que debe entenderse como el proceso mediante el cual </w:t>
      </w:r>
      <w:r w:rsidRPr="00A47593">
        <w:rPr>
          <w:b/>
          <w:bCs/>
        </w:rPr>
        <w:t>EL SUJETO OBLIGADO</w:t>
      </w:r>
      <w:r w:rsidRPr="00A47593">
        <w:rPr>
          <w:bCs/>
        </w:rPr>
        <w:t xml:space="preserve"> determina que la información en su poder actualiza alguno de los supuestos conforme a las normas aplicables.</w:t>
      </w:r>
    </w:p>
    <w:p w14:paraId="56B43094" w14:textId="77777777" w:rsidR="001D2DED" w:rsidRPr="00A47593" w:rsidRDefault="001D2DED" w:rsidP="00A47593">
      <w:r w:rsidRPr="00A47593">
        <w:t xml:space="preserve">En tal virtud, conforme al artículo 49, fracción VIII de la </w:t>
      </w:r>
      <w:r w:rsidRPr="00A47593">
        <w:rPr>
          <w:rFonts w:cs="Arial"/>
        </w:rPr>
        <w:t>Ley de Transparencia local</w:t>
      </w:r>
      <w:r w:rsidRPr="00A47593">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A47593">
        <w:rPr>
          <w:b/>
        </w:rPr>
        <w:t>SUJETO OBLIGADO</w:t>
      </w:r>
      <w:r w:rsidRPr="00A47593">
        <w:t xml:space="preserve"> a concluir que el caso particular se ajusta al supuesto previsto por la norma legal invocada como fundamento; además, </w:t>
      </w:r>
      <w:r w:rsidRPr="00A47593">
        <w:rPr>
          <w:b/>
        </w:rPr>
        <w:t>EL SUJETO OBLIGADO</w:t>
      </w:r>
      <w:r w:rsidRPr="00A47593">
        <w:t xml:space="preserve"> en todo momento tiene que aplicar una prueba de daño.</w:t>
      </w:r>
    </w:p>
    <w:p w14:paraId="59B890B4" w14:textId="77777777" w:rsidR="001D2DED" w:rsidRPr="00A47593" w:rsidRDefault="001D2DED" w:rsidP="00A47593">
      <w:pPr>
        <w:rPr>
          <w:szCs w:val="32"/>
        </w:rPr>
      </w:pPr>
    </w:p>
    <w:p w14:paraId="18943BA9" w14:textId="77777777" w:rsidR="001D2DED" w:rsidRPr="00A47593" w:rsidRDefault="001D2DED" w:rsidP="00A47593">
      <w:pPr>
        <w:rPr>
          <w:szCs w:val="24"/>
        </w:rPr>
      </w:pPr>
      <w:r w:rsidRPr="00A47593">
        <w:lastRenderedPageBreak/>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A47593" w:rsidRDefault="001D2DED" w:rsidP="00A47593">
      <w:pPr>
        <w:rPr>
          <w:szCs w:val="32"/>
        </w:rPr>
      </w:pPr>
    </w:p>
    <w:p w14:paraId="5DD69D8E" w14:textId="77777777" w:rsidR="001D2DED" w:rsidRPr="00A47593" w:rsidRDefault="001D2DED" w:rsidP="00A47593">
      <w:pPr>
        <w:rPr>
          <w:szCs w:val="24"/>
        </w:rPr>
      </w:pPr>
      <w:r w:rsidRPr="00A47593">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A47593" w:rsidRDefault="001D2DED" w:rsidP="00A47593"/>
    <w:p w14:paraId="49241128" w14:textId="77777777" w:rsidR="001D2DED" w:rsidRPr="00A47593" w:rsidRDefault="001D2DED" w:rsidP="00A47593">
      <w:pPr>
        <w:numPr>
          <w:ilvl w:val="0"/>
          <w:numId w:val="16"/>
        </w:numPr>
        <w:ind w:left="1276" w:hanging="425"/>
      </w:pPr>
      <w:r w:rsidRPr="00A47593">
        <w:t>Se reciba una solicitud de acceso a la información;</w:t>
      </w:r>
    </w:p>
    <w:p w14:paraId="07B31A21" w14:textId="77777777" w:rsidR="001D2DED" w:rsidRPr="00A47593" w:rsidRDefault="001D2DED" w:rsidP="00A47593">
      <w:pPr>
        <w:numPr>
          <w:ilvl w:val="0"/>
          <w:numId w:val="16"/>
        </w:numPr>
        <w:ind w:left="1276" w:hanging="425"/>
      </w:pPr>
      <w:r w:rsidRPr="00A47593">
        <w:t>Se determine mediante resolución de autoridad competente; y/o</w:t>
      </w:r>
    </w:p>
    <w:p w14:paraId="7CFE1B5B" w14:textId="77777777" w:rsidR="001D2DED" w:rsidRPr="00A47593" w:rsidRDefault="001D2DED" w:rsidP="00A47593">
      <w:pPr>
        <w:numPr>
          <w:ilvl w:val="0"/>
          <w:numId w:val="16"/>
        </w:numPr>
        <w:ind w:left="1276" w:hanging="425"/>
      </w:pPr>
      <w:r w:rsidRPr="00A47593">
        <w:t>Se generen versiones públicas para dar cumplimiento a las obligaciones de transparencia previstas en la Ley.</w:t>
      </w:r>
    </w:p>
    <w:p w14:paraId="3B6C7B2E" w14:textId="77777777" w:rsidR="001D2DED" w:rsidRPr="00A47593" w:rsidRDefault="001D2DED" w:rsidP="00A47593"/>
    <w:p w14:paraId="4BBE56C5" w14:textId="77777777" w:rsidR="001D2DED" w:rsidRPr="00A47593" w:rsidRDefault="001D2DED" w:rsidP="00A47593">
      <w:r w:rsidRPr="00A47593">
        <w:t>Situación que se robustece con el artículo 141 de la misma Ley, que señala que las causales de reserva previstas se deberán fundar y motivar, a través de la aplicación de la prueba de daño.</w:t>
      </w:r>
    </w:p>
    <w:p w14:paraId="6013B335" w14:textId="77777777" w:rsidR="001D2DED" w:rsidRPr="00A47593" w:rsidRDefault="001D2DED" w:rsidP="00A47593">
      <w:pPr>
        <w:rPr>
          <w:sz w:val="20"/>
        </w:rPr>
      </w:pPr>
    </w:p>
    <w:p w14:paraId="6ECEEAD1" w14:textId="77777777" w:rsidR="001D2DED" w:rsidRPr="00A47593" w:rsidRDefault="001D2DED" w:rsidP="00A47593">
      <w:pPr>
        <w:rPr>
          <w:sz w:val="24"/>
        </w:rPr>
      </w:pPr>
      <w:r w:rsidRPr="00A47593">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A47593" w:rsidRDefault="001D2DED" w:rsidP="00A47593">
      <w:pPr>
        <w:rPr>
          <w:sz w:val="18"/>
        </w:rPr>
      </w:pPr>
    </w:p>
    <w:p w14:paraId="65FFB9A2" w14:textId="77777777" w:rsidR="001D2DED" w:rsidRPr="00A47593" w:rsidRDefault="001D2DED" w:rsidP="00A47593">
      <w:pPr>
        <w:numPr>
          <w:ilvl w:val="0"/>
          <w:numId w:val="17"/>
        </w:numPr>
        <w:ind w:left="1134" w:hanging="283"/>
        <w:rPr>
          <w:sz w:val="24"/>
        </w:rPr>
      </w:pPr>
      <w:r w:rsidRPr="00A47593">
        <w:lastRenderedPageBreak/>
        <w:t xml:space="preserve">La divulgación de la información representa un </w:t>
      </w:r>
      <w:r w:rsidRPr="00A47593">
        <w:rPr>
          <w:b/>
        </w:rPr>
        <w:t>riesgo real, demostrable e identificable del perjuicio significativo al interés público o a la seguridad pública</w:t>
      </w:r>
      <w:r w:rsidRPr="00A47593">
        <w:t>;</w:t>
      </w:r>
    </w:p>
    <w:p w14:paraId="1E8178FC" w14:textId="77777777" w:rsidR="001D2DED" w:rsidRPr="00A47593" w:rsidRDefault="001D2DED" w:rsidP="00A47593">
      <w:pPr>
        <w:numPr>
          <w:ilvl w:val="0"/>
          <w:numId w:val="17"/>
        </w:numPr>
        <w:ind w:left="1134" w:hanging="283"/>
      </w:pPr>
      <w:r w:rsidRPr="00A47593">
        <w:t>El riesgo de perjuicio que supondría la divulgación supera el interés público general de que se difunda; y,</w:t>
      </w:r>
    </w:p>
    <w:p w14:paraId="680B1C0F" w14:textId="77777777" w:rsidR="001D2DED" w:rsidRPr="00A47593" w:rsidRDefault="001D2DED" w:rsidP="00A47593">
      <w:pPr>
        <w:numPr>
          <w:ilvl w:val="0"/>
          <w:numId w:val="17"/>
        </w:numPr>
        <w:ind w:left="1134" w:hanging="283"/>
      </w:pPr>
      <w:r w:rsidRPr="00A47593">
        <w:t xml:space="preserve">La limitación se adecua al principio de proporcionalidad y representa el medio menos restrictivo disponible para evitar el perjuicio. </w:t>
      </w:r>
    </w:p>
    <w:p w14:paraId="0D40545A" w14:textId="77777777" w:rsidR="001D2DED" w:rsidRPr="00A47593" w:rsidRDefault="001D2DED" w:rsidP="00A47593">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A47593" w:rsidRDefault="001D2DED" w:rsidP="00A47593">
      <w:pPr>
        <w:widowControl w:val="0"/>
        <w:tabs>
          <w:tab w:val="left" w:pos="1276"/>
          <w:tab w:val="left" w:pos="1701"/>
          <w:tab w:val="left" w:pos="1843"/>
        </w:tabs>
        <w:autoSpaceDE w:val="0"/>
        <w:autoSpaceDN w:val="0"/>
        <w:adjustRightInd w:val="0"/>
        <w:ind w:right="49"/>
        <w:rPr>
          <w:rFonts w:cs="Arial"/>
          <w:szCs w:val="24"/>
        </w:rPr>
      </w:pPr>
      <w:r w:rsidRPr="00A47593">
        <w:rPr>
          <w:bCs/>
        </w:rPr>
        <w:t xml:space="preserve">Atento a lo anterior, </w:t>
      </w:r>
      <w:r w:rsidRPr="00A47593">
        <w:rPr>
          <w:rFonts w:cs="Arial"/>
          <w:lang w:eastAsia="es-MX"/>
        </w:rPr>
        <w:t xml:space="preserve">es necesario hacer hincapié que para el caso de que existan </w:t>
      </w:r>
      <w:r w:rsidRPr="00A47593">
        <w:t xml:space="preserve">causas presentes que impiden la publicidad de la información durante cierto periodo de tiempo, </w:t>
      </w:r>
      <w:r w:rsidRPr="00A47593">
        <w:rPr>
          <w:rFonts w:cs="Arial"/>
          <w:lang w:eastAsia="es-MX"/>
        </w:rPr>
        <w:t xml:space="preserve">debe clasificar la información </w:t>
      </w:r>
      <w:r w:rsidRPr="00A47593">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9795EF3" w14:textId="77777777" w:rsidR="001D2DED" w:rsidRPr="00A47593" w:rsidRDefault="001D2DED" w:rsidP="00A47593">
      <w:pPr>
        <w:widowControl w:val="0"/>
        <w:tabs>
          <w:tab w:val="left" w:pos="1276"/>
          <w:tab w:val="left" w:pos="1701"/>
          <w:tab w:val="left" w:pos="1843"/>
        </w:tabs>
        <w:autoSpaceDE w:val="0"/>
        <w:autoSpaceDN w:val="0"/>
        <w:adjustRightInd w:val="0"/>
        <w:ind w:right="49"/>
        <w:rPr>
          <w:rFonts w:cs="Arial"/>
        </w:rPr>
      </w:pPr>
    </w:p>
    <w:p w14:paraId="403C7F06" w14:textId="77777777" w:rsidR="001D2DED" w:rsidRPr="00A47593" w:rsidRDefault="001D2DED" w:rsidP="00A47593">
      <w:pPr>
        <w:rPr>
          <w:rFonts w:cs="Arial"/>
        </w:rPr>
      </w:pPr>
      <w:r w:rsidRPr="00A47593">
        <w:rPr>
          <w:rFonts w:cs="Arial"/>
        </w:rPr>
        <w:t xml:space="preserve">Asimismo, este Órgano Garante de la Protección de Datos Personales no omite mencionar que, si dentro de la información que se ordena su entrega, </w:t>
      </w:r>
      <w:r w:rsidRPr="00A47593">
        <w:rPr>
          <w:rFonts w:cs="Arial"/>
          <w:b/>
        </w:rPr>
        <w:t xml:space="preserve">EL SUJETO OBLIGADO </w:t>
      </w:r>
      <w:r w:rsidRPr="00A47593">
        <w:rPr>
          <w:rFonts w:cs="Arial"/>
        </w:rPr>
        <w:t>advierte documentos que por su propia y especial naturaleza son privados, deberá efectuar el Acuerdo de Clasificación como confidencial, en términos de la legislación aplicable y en los términos abordados con antelación.</w:t>
      </w:r>
    </w:p>
    <w:p w14:paraId="6BE1CEA3" w14:textId="77777777" w:rsidR="001D2DED" w:rsidRPr="00A47593" w:rsidRDefault="001D2DED" w:rsidP="00A47593">
      <w:pPr>
        <w:rPr>
          <w:rFonts w:cs="Arial"/>
        </w:rPr>
      </w:pPr>
    </w:p>
    <w:p w14:paraId="50C12BAA" w14:textId="77777777" w:rsidR="001D2DED" w:rsidRPr="00A47593" w:rsidRDefault="001D2DED" w:rsidP="00A47593">
      <w:pPr>
        <w:rPr>
          <w:rFonts w:cs="Arial"/>
        </w:rPr>
      </w:pPr>
      <w:r w:rsidRPr="00A47593">
        <w:rPr>
          <w:rFonts w:cs="Arial"/>
        </w:rPr>
        <w:t>Por lo tanto,</w:t>
      </w:r>
      <w:r w:rsidRPr="00A47593">
        <w:t xml:space="preserve"> es importante referir que </w:t>
      </w:r>
      <w:r w:rsidRPr="00A47593">
        <w:rPr>
          <w:b/>
        </w:rPr>
        <w:t>EL SUJETO OBLIGADO</w:t>
      </w:r>
      <w:r w:rsidRPr="00A47593">
        <w:t xml:space="preserve"> deberá seguir el procedimiento legal establecido para su </w:t>
      </w:r>
      <w:r w:rsidRPr="00A47593">
        <w:rPr>
          <w:lang w:eastAsia="es-MX"/>
        </w:rPr>
        <w:t>clasificación</w:t>
      </w:r>
      <w:r w:rsidRPr="00A47593">
        <w:t>, esto es, que su Comité de</w:t>
      </w:r>
      <w:r w:rsidRPr="00A47593">
        <w:rPr>
          <w:rFonts w:cs="Arial"/>
        </w:rPr>
        <w:t xml:space="preserve"> Transparencia emita un Acuerdo de Clasificación que cumpla con las formalidades antes citadas</w:t>
      </w:r>
      <w:r w:rsidRPr="00A47593">
        <w:rPr>
          <w:rFonts w:cs="Arial"/>
          <w:b/>
        </w:rPr>
        <w:t xml:space="preserve"> </w:t>
      </w:r>
      <w:r w:rsidRPr="00A47593">
        <w:rPr>
          <w:rFonts w:cs="Arial"/>
        </w:rPr>
        <w:t xml:space="preserve">que la sustente, en el </w:t>
      </w:r>
      <w:r w:rsidRPr="00A47593">
        <w:rPr>
          <w:rFonts w:cs="Arial"/>
          <w:lang w:eastAsia="es-MX"/>
        </w:rPr>
        <w:t>que</w:t>
      </w:r>
      <w:r w:rsidRPr="00A47593">
        <w:rPr>
          <w:rFonts w:cs="Arial"/>
        </w:rPr>
        <w:t xml:space="preserve"> se expongan los fundamentos y razones que llevaron a la autoridad a </w:t>
      </w:r>
      <w:r w:rsidRPr="00A47593">
        <w:rPr>
          <w:rFonts w:cs="Arial"/>
        </w:rPr>
        <w:lastRenderedPageBreak/>
        <w:t>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04D16F12" w:rsidR="001D2DED" w:rsidRPr="00A47593" w:rsidRDefault="001D2DED" w:rsidP="00A47593"/>
    <w:p w14:paraId="6EB16833" w14:textId="77777777" w:rsidR="003754F3" w:rsidRPr="00A47593" w:rsidRDefault="003754F3" w:rsidP="00A47593">
      <w:pPr>
        <w:pStyle w:val="Ttulo3"/>
      </w:pPr>
      <w:bookmarkStart w:id="29" w:name="_Toc173396337"/>
      <w:bookmarkStart w:id="30" w:name="_Toc179394868"/>
      <w:r w:rsidRPr="00A47593">
        <w:t>e) Acuerdo de Inexistencia</w:t>
      </w:r>
      <w:bookmarkEnd w:id="29"/>
      <w:bookmarkEnd w:id="30"/>
    </w:p>
    <w:p w14:paraId="43021B49" w14:textId="77777777" w:rsidR="001D2DED" w:rsidRPr="00A47593" w:rsidRDefault="001D2DED" w:rsidP="00A47593">
      <w:pPr>
        <w:rPr>
          <w:rFonts w:eastAsia="Calibri" w:cs="Bookman Old Style"/>
          <w:lang w:eastAsia="en-US"/>
        </w:rPr>
      </w:pPr>
      <w:r w:rsidRPr="00A47593">
        <w:rPr>
          <w:rFonts w:cs="Arial"/>
        </w:rPr>
        <w:t xml:space="preserve">Por otra parte, se estima prudente señalar al </w:t>
      </w:r>
      <w:r w:rsidRPr="00A47593">
        <w:rPr>
          <w:rFonts w:cs="Arial"/>
          <w:b/>
        </w:rPr>
        <w:t>SUJETO OBLIGADO</w:t>
      </w:r>
      <w:r w:rsidRPr="00A47593">
        <w:rPr>
          <w:rFonts w:cs="Arial"/>
        </w:rPr>
        <w:t xml:space="preserve"> que, en caso de que la información solicitada, debiera obrar en sus archivos y no cuente con ella</w:t>
      </w:r>
      <w:r w:rsidRPr="00A47593">
        <w:rPr>
          <w:rFonts w:cs="Arial"/>
          <w:lang w:val="es-ES"/>
        </w:rPr>
        <w:t xml:space="preserve">, </w:t>
      </w:r>
      <w:r w:rsidRPr="00A47593">
        <w:rPr>
          <w:rFonts w:eastAsia="Calibri" w:cs="Bookman Old Style"/>
          <w:lang w:eastAsia="en-US"/>
        </w:rPr>
        <w:t>deberá entregar el Acuerdo del Comité de Transparencia, en donde conste la declaratoria de inexistencia de esta.</w:t>
      </w:r>
    </w:p>
    <w:p w14:paraId="42DDA832" w14:textId="77777777" w:rsidR="001D2DED" w:rsidRPr="00A47593" w:rsidRDefault="001D2DED" w:rsidP="00A47593">
      <w:pPr>
        <w:rPr>
          <w:rFonts w:eastAsia="Calibri" w:cs="Bookman Old Style"/>
          <w:lang w:eastAsia="en-US"/>
        </w:rPr>
      </w:pPr>
    </w:p>
    <w:p w14:paraId="4C8A567D" w14:textId="470D42B1" w:rsidR="001D2DED" w:rsidRPr="00A47593" w:rsidRDefault="001D2DED" w:rsidP="00A47593">
      <w:r w:rsidRPr="00A47593">
        <w:rPr>
          <w:rFonts w:eastAsia="Calibri" w:cs="Bookman Old Style"/>
          <w:lang w:eastAsia="en-US"/>
        </w:rPr>
        <w:t>Es</w:t>
      </w:r>
      <w:r w:rsidRPr="00A47593">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A47593" w:rsidRDefault="00EA1B35" w:rsidP="00A47593"/>
    <w:p w14:paraId="7224C875" w14:textId="77777777" w:rsidR="001D2DED" w:rsidRPr="00A47593" w:rsidRDefault="001D2DED" w:rsidP="00A47593">
      <w:pPr>
        <w:rPr>
          <w:lang w:val="es-ES" w:eastAsia="es-MX"/>
        </w:rPr>
      </w:pPr>
      <w:r w:rsidRPr="00A47593">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082B228C" w14:textId="77777777" w:rsidR="001D2DED" w:rsidRPr="00A47593" w:rsidRDefault="001D2DED" w:rsidP="00A47593">
      <w:pPr>
        <w:rPr>
          <w:szCs w:val="32"/>
          <w:lang w:val="es-ES" w:eastAsia="es-MX"/>
        </w:rPr>
      </w:pPr>
    </w:p>
    <w:p w14:paraId="79D91A04" w14:textId="2CAA0B0C" w:rsidR="001D2DED" w:rsidRPr="00A47593" w:rsidRDefault="001D2DED" w:rsidP="00A47593">
      <w:pPr>
        <w:spacing w:after="240"/>
        <w:rPr>
          <w:lang w:val="es-ES" w:eastAsia="es-MX"/>
        </w:rPr>
      </w:pPr>
      <w:r w:rsidRPr="00A47593">
        <w:rPr>
          <w:lang w:val="es-ES" w:eastAsia="es-MX"/>
        </w:rPr>
        <w:t xml:space="preserve">Resulta aplicable el criterio reiterado número </w:t>
      </w:r>
      <w:r w:rsidRPr="00A47593">
        <w:rPr>
          <w:b/>
          <w:lang w:val="es-ES" w:eastAsia="es-MX"/>
        </w:rPr>
        <w:t>08/19</w:t>
      </w:r>
      <w:r w:rsidRPr="00A47593">
        <w:rPr>
          <w:lang w:val="es-ES" w:eastAsia="es-MX"/>
        </w:rPr>
        <w:t>, emitidos por Acuerdo del Pleno del Instituto de Transparencia y Acceso a la Información Pública del Estado de México y Municipios, que a la letra dice:</w:t>
      </w:r>
    </w:p>
    <w:p w14:paraId="12768FB2" w14:textId="77777777" w:rsidR="00622D73" w:rsidRPr="00A47593" w:rsidRDefault="00622D73" w:rsidP="00A47593">
      <w:pPr>
        <w:spacing w:after="240"/>
        <w:rPr>
          <w:szCs w:val="24"/>
          <w:lang w:val="es-ES" w:eastAsia="es-MX"/>
        </w:rPr>
      </w:pPr>
    </w:p>
    <w:p w14:paraId="3E096367" w14:textId="77777777" w:rsidR="00622D73" w:rsidRPr="00A47593" w:rsidRDefault="001D2DED" w:rsidP="00A47593">
      <w:pPr>
        <w:pStyle w:val="Puesto"/>
        <w:rPr>
          <w:b/>
          <w:lang w:val="es-ES" w:eastAsia="es-MX"/>
        </w:rPr>
      </w:pPr>
      <w:r w:rsidRPr="00A47593">
        <w:rPr>
          <w:b/>
          <w:lang w:val="es-ES" w:eastAsia="es-MX"/>
        </w:rPr>
        <w:lastRenderedPageBreak/>
        <w:t>“INEXISTENCIA DE LA INFORMACIÓN. SUPUESTOS PARA EMITIR LA RESOLUCIÓN DE LA</w:t>
      </w:r>
      <w:r w:rsidRPr="00A47593">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A47593">
        <w:rPr>
          <w:rFonts w:cs="Arial"/>
        </w:rPr>
        <w:t>Transparencia</w:t>
      </w:r>
      <w:r w:rsidRPr="00A47593">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A47593">
        <w:rPr>
          <w:b/>
          <w:lang w:val="es-ES" w:eastAsia="es-MX"/>
        </w:rPr>
        <w:t>”</w:t>
      </w:r>
    </w:p>
    <w:p w14:paraId="4B7734BE" w14:textId="0C0F324D" w:rsidR="001D2DED" w:rsidRPr="00A47593" w:rsidRDefault="001D2DED" w:rsidP="00A47593">
      <w:pPr>
        <w:pStyle w:val="Puesto"/>
        <w:rPr>
          <w:szCs w:val="22"/>
          <w:lang w:val="es-ES" w:eastAsia="es-MX"/>
        </w:rPr>
      </w:pPr>
      <w:r w:rsidRPr="00A47593">
        <w:rPr>
          <w:szCs w:val="22"/>
          <w:lang w:val="es-ES" w:eastAsia="es-MX"/>
        </w:rPr>
        <w:t>(Énfasis añadido)</w:t>
      </w:r>
    </w:p>
    <w:p w14:paraId="372F44E0" w14:textId="77777777" w:rsidR="001D2DED" w:rsidRPr="00A47593" w:rsidRDefault="001D2DED" w:rsidP="00A47593">
      <w:pPr>
        <w:spacing w:line="240" w:lineRule="auto"/>
        <w:ind w:left="851" w:right="822"/>
        <w:rPr>
          <w:sz w:val="24"/>
          <w:szCs w:val="24"/>
          <w:lang w:eastAsia="es-MX"/>
        </w:rPr>
      </w:pPr>
    </w:p>
    <w:p w14:paraId="2CBFFB34" w14:textId="77777777" w:rsidR="003754F3" w:rsidRPr="00A47593" w:rsidRDefault="003754F3" w:rsidP="00A47593">
      <w:pPr>
        <w:pStyle w:val="Ttulo3"/>
        <w:spacing w:line="360" w:lineRule="auto"/>
      </w:pPr>
      <w:bookmarkStart w:id="31" w:name="_Toc173396338"/>
      <w:bookmarkStart w:id="32" w:name="_Toc179394869"/>
      <w:r w:rsidRPr="00A47593">
        <w:t xml:space="preserve">f) Vista al </w:t>
      </w:r>
      <w:r w:rsidRPr="00A47593">
        <w:rPr>
          <w:rFonts w:eastAsia="Palatino Linotype" w:cs="Palatino Linotype"/>
          <w:lang w:val="es-ES" w:eastAsia="es-MX"/>
        </w:rPr>
        <w:t>Órgano Interno de Control</w:t>
      </w:r>
      <w:bookmarkEnd w:id="31"/>
      <w:bookmarkEnd w:id="32"/>
    </w:p>
    <w:p w14:paraId="52BA22F2" w14:textId="4B2A0A23" w:rsidR="001D2DED" w:rsidRPr="00A47593" w:rsidRDefault="001D2DED" w:rsidP="00A47593">
      <w:pPr>
        <w:spacing w:before="280" w:after="280"/>
        <w:ind w:right="49"/>
        <w:rPr>
          <w:rFonts w:eastAsia="Palatino Linotype" w:cs="Palatino Linotype"/>
          <w:lang w:val="es-ES" w:eastAsia="es-MX"/>
        </w:rPr>
      </w:pPr>
      <w:r w:rsidRPr="00A47593">
        <w:rPr>
          <w:rFonts w:cs="Arial"/>
        </w:rPr>
        <w:t xml:space="preserve">Finalmente, es de señalar que, atendiendo a que </w:t>
      </w:r>
      <w:r w:rsidRPr="00A47593">
        <w:rPr>
          <w:rFonts w:cs="Arial"/>
          <w:b/>
        </w:rPr>
        <w:t xml:space="preserve">EL SUJETO OBLIGADO </w:t>
      </w:r>
      <w:r w:rsidRPr="00A47593">
        <w:rPr>
          <w:rFonts w:cs="Arial"/>
        </w:rPr>
        <w:t xml:space="preserve">fue omiso en entregar la respuesta a la solicitud de información pública sujeta a estudio y dado que los Recurso de Revisión materia del presente asunto, </w:t>
      </w:r>
      <w:r w:rsidRPr="00A47593">
        <w:t xml:space="preserve">no es el medio para investigar y en su caso, sancionar a servidores públicos </w:t>
      </w:r>
      <w:r w:rsidRPr="00A47593">
        <w:rPr>
          <w:b/>
        </w:rPr>
        <w:t>por la omisión de la entrega de información pública</w:t>
      </w:r>
      <w:r w:rsidRPr="00A47593">
        <w:t>, en atención a lo previsto en el artículo 163 de la Ley de la Materia, que señala el plazo de respuesta y atención a solicitudes de información;</w:t>
      </w:r>
      <w:r w:rsidRPr="00A47593">
        <w:rPr>
          <w:rFonts w:eastAsia="Palatino Linotype" w:cs="Palatino Linotype"/>
          <w:lang w:val="es-ES" w:eastAsia="es-MX"/>
        </w:rPr>
        <w:t xml:space="preserve"> motivo por el cual </w:t>
      </w:r>
      <w:r w:rsidRPr="00A47593">
        <w:rPr>
          <w:rFonts w:eastAsia="Palatino Linotype" w:cs="Palatino Linotype"/>
          <w:b/>
          <w:lang w:val="es-ES" w:eastAsia="es-MX"/>
        </w:rPr>
        <w:t xml:space="preserve">se ordena girar oficio a la Secretaría Técnica del Pleno de este Instituto para hacer del conocimiento del Órgano Interno de Control competente, para que resuelva lo conducente y determine en su caso el </w:t>
      </w:r>
      <w:r w:rsidRPr="00A47593">
        <w:rPr>
          <w:rFonts w:eastAsia="Palatino Linotype" w:cs="Palatino Linotype"/>
          <w:b/>
          <w:lang w:val="es-ES" w:eastAsia="es-MX"/>
        </w:rPr>
        <w:lastRenderedPageBreak/>
        <w:t>grado de responsabilidad en el incumplimiento de las obligaciones establecidas en la misma</w:t>
      </w:r>
      <w:r w:rsidRPr="00A47593">
        <w:rPr>
          <w:rFonts w:eastAsia="Palatino Linotype" w:cs="Palatino Linotype"/>
          <w:lang w:val="es-ES" w:eastAsia="es-MX"/>
        </w:rPr>
        <w:t>.</w:t>
      </w:r>
    </w:p>
    <w:p w14:paraId="178185D8" w14:textId="77777777" w:rsidR="003754F3" w:rsidRPr="00A47593" w:rsidRDefault="003754F3" w:rsidP="00A47593">
      <w:pPr>
        <w:pStyle w:val="Ttulo3"/>
      </w:pPr>
      <w:bookmarkStart w:id="33" w:name="_Toc173396339"/>
      <w:bookmarkStart w:id="34" w:name="_Toc179394870"/>
      <w:r w:rsidRPr="00A47593">
        <w:t>g) Conclusión</w:t>
      </w:r>
      <w:bookmarkEnd w:id="33"/>
      <w:bookmarkEnd w:id="34"/>
    </w:p>
    <w:p w14:paraId="6E00D2CA" w14:textId="09373F70" w:rsidR="00EA1B35" w:rsidRPr="00A47593" w:rsidRDefault="00EA1B35" w:rsidP="00A47593">
      <w:pPr>
        <w:rPr>
          <w:rFonts w:cs="Arial"/>
        </w:rPr>
      </w:pPr>
      <w:r w:rsidRPr="00A47593">
        <w:rPr>
          <w:rFonts w:cs="Arial"/>
        </w:rPr>
        <w:t xml:space="preserve">En mérito de lo anterior, se determinan </w:t>
      </w:r>
      <w:r w:rsidRPr="00A47593">
        <w:rPr>
          <w:rFonts w:cs="Arial"/>
          <w:b/>
        </w:rPr>
        <w:t>fundadas</w:t>
      </w:r>
      <w:r w:rsidRPr="00A47593">
        <w:rPr>
          <w:rFonts w:cs="Arial"/>
        </w:rPr>
        <w:t xml:space="preserve"> las razones o motivos de inconformidad hechos valer por </w:t>
      </w:r>
      <w:r w:rsidRPr="00A47593">
        <w:rPr>
          <w:rFonts w:cs="Arial"/>
          <w:b/>
          <w:lang w:val="es-ES"/>
        </w:rPr>
        <w:t>EL RECURRENTE</w:t>
      </w:r>
      <w:r w:rsidRPr="00A47593">
        <w:rPr>
          <w:rFonts w:cs="Arial"/>
        </w:rPr>
        <w:t xml:space="preserve">, por lo que el Pleno de este Instituto estima pertinente </w:t>
      </w:r>
      <w:r w:rsidRPr="00A47593">
        <w:rPr>
          <w:rFonts w:cs="Arial"/>
          <w:b/>
        </w:rPr>
        <w:t>ORDENAR</w:t>
      </w:r>
      <w:r w:rsidRPr="00A47593">
        <w:rPr>
          <w:rFonts w:cs="Arial"/>
        </w:rPr>
        <w:t xml:space="preserve"> al </w:t>
      </w:r>
      <w:r w:rsidRPr="00A47593">
        <w:rPr>
          <w:rFonts w:cs="Arial"/>
          <w:b/>
        </w:rPr>
        <w:t>SUJETO OBLIGADO</w:t>
      </w:r>
      <w:r w:rsidRPr="00A47593">
        <w:rPr>
          <w:rFonts w:cs="Arial"/>
        </w:rPr>
        <w:t xml:space="preserve"> dé respuesta a la solicitud de acceso a la información, atendiendo lo señalado en el presente Considerando.</w:t>
      </w:r>
    </w:p>
    <w:p w14:paraId="6C62B55B" w14:textId="77777777" w:rsidR="002568F8" w:rsidRPr="00A47593" w:rsidRDefault="002568F8" w:rsidP="00A47593">
      <w:pPr>
        <w:ind w:right="-93"/>
        <w:rPr>
          <w:rFonts w:cs="Tahoma"/>
          <w:bCs/>
          <w:szCs w:val="22"/>
        </w:rPr>
      </w:pPr>
    </w:p>
    <w:p w14:paraId="6B187DC8" w14:textId="2ECBDFF2" w:rsidR="002568F8" w:rsidRPr="00A47593" w:rsidRDefault="002568F8" w:rsidP="00A47593">
      <w:pPr>
        <w:spacing w:after="240"/>
        <w:ind w:right="-93"/>
        <w:rPr>
          <w:rFonts w:cs="Tahoma"/>
          <w:bCs/>
          <w:szCs w:val="22"/>
        </w:rPr>
      </w:pPr>
      <w:r w:rsidRPr="00A47593">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1BE18856" w:rsidR="00664420" w:rsidRPr="00A47593" w:rsidRDefault="00664420" w:rsidP="00A47593">
      <w:pPr>
        <w:pStyle w:val="Ttulo1"/>
      </w:pPr>
      <w:bookmarkStart w:id="35" w:name="_Toc179394871"/>
      <w:r w:rsidRPr="00A47593">
        <w:t>RESUELVE</w:t>
      </w:r>
      <w:bookmarkEnd w:id="35"/>
    </w:p>
    <w:p w14:paraId="203B7093" w14:textId="77777777" w:rsidR="00664420" w:rsidRPr="00A47593" w:rsidRDefault="00664420" w:rsidP="00A47593">
      <w:pPr>
        <w:ind w:right="113"/>
        <w:rPr>
          <w:rFonts w:cs="Arial"/>
          <w:b/>
          <w:szCs w:val="22"/>
        </w:rPr>
      </w:pPr>
    </w:p>
    <w:p w14:paraId="27F70BC7" w14:textId="5A4B2B2F" w:rsidR="00BE27D2" w:rsidRPr="00A47593" w:rsidRDefault="00FC3CE0" w:rsidP="00A47593">
      <w:pPr>
        <w:rPr>
          <w:rFonts w:cs="Arial"/>
        </w:rPr>
      </w:pPr>
      <w:r w:rsidRPr="00A47593">
        <w:rPr>
          <w:b/>
          <w:bCs/>
        </w:rPr>
        <w:t>PRIMERO.</w:t>
      </w:r>
      <w:r w:rsidRPr="00A47593">
        <w:t xml:space="preserve"> </w:t>
      </w:r>
      <w:r w:rsidR="00BE27D2" w:rsidRPr="00A47593">
        <w:rPr>
          <w:rFonts w:cs="Arial"/>
        </w:rPr>
        <w:t xml:space="preserve">Resultan </w:t>
      </w:r>
      <w:r w:rsidR="00BE27D2" w:rsidRPr="00A47593">
        <w:rPr>
          <w:rFonts w:cs="Arial"/>
          <w:b/>
        </w:rPr>
        <w:t>fundadas</w:t>
      </w:r>
      <w:r w:rsidR="00BE27D2" w:rsidRPr="00A47593">
        <w:rPr>
          <w:rFonts w:cs="Arial"/>
        </w:rPr>
        <w:t xml:space="preserve"> las </w:t>
      </w:r>
      <w:r w:rsidR="00BE27D2" w:rsidRPr="00A47593">
        <w:rPr>
          <w:rFonts w:eastAsia="Calibri" w:cs="Arial"/>
        </w:rPr>
        <w:t>razones</w:t>
      </w:r>
      <w:r w:rsidR="00BE27D2" w:rsidRPr="00A47593">
        <w:rPr>
          <w:rFonts w:cs="Arial"/>
        </w:rPr>
        <w:t xml:space="preserve"> o motivos de inconformidad hechas valer por </w:t>
      </w:r>
      <w:r w:rsidRPr="00A47593">
        <w:rPr>
          <w:rFonts w:eastAsia="Calibri" w:cs="Tahoma"/>
          <w:b/>
          <w:szCs w:val="22"/>
          <w:lang w:eastAsia="en-US"/>
        </w:rPr>
        <w:t xml:space="preserve">LA PARTE </w:t>
      </w:r>
      <w:r w:rsidR="00BE27D2" w:rsidRPr="00A47593">
        <w:rPr>
          <w:rFonts w:eastAsia="Calibri" w:cs="Tahoma"/>
          <w:b/>
          <w:szCs w:val="22"/>
          <w:lang w:eastAsia="en-US"/>
        </w:rPr>
        <w:t>RECURRENTE</w:t>
      </w:r>
      <w:r w:rsidR="00BE27D2" w:rsidRPr="00A47593">
        <w:rPr>
          <w:rFonts w:eastAsia="Calibri" w:cs="Tahoma"/>
          <w:bCs/>
          <w:szCs w:val="22"/>
          <w:lang w:eastAsia="en-US"/>
        </w:rPr>
        <w:t>,</w:t>
      </w:r>
      <w:r w:rsidR="00BE27D2" w:rsidRPr="00A47593">
        <w:rPr>
          <w:rFonts w:cs="Arial"/>
        </w:rPr>
        <w:t xml:space="preserve"> en términos del Considerando </w:t>
      </w:r>
      <w:r w:rsidR="00151010" w:rsidRPr="00A47593">
        <w:rPr>
          <w:rFonts w:cs="Arial"/>
          <w:b/>
        </w:rPr>
        <w:t>SEGUNDO</w:t>
      </w:r>
      <w:r w:rsidR="00BE27D2" w:rsidRPr="00A47593">
        <w:rPr>
          <w:rFonts w:cs="Arial"/>
        </w:rPr>
        <w:t xml:space="preserve"> de la presente resolución.</w:t>
      </w:r>
    </w:p>
    <w:p w14:paraId="78D4A482" w14:textId="77777777" w:rsidR="00FC3CE0" w:rsidRPr="00A47593" w:rsidRDefault="00FC3CE0" w:rsidP="00A47593">
      <w:pPr>
        <w:widowControl w:val="0"/>
        <w:rPr>
          <w:rFonts w:eastAsia="Calibri" w:cs="Tahoma"/>
          <w:bCs/>
          <w:szCs w:val="22"/>
          <w:lang w:eastAsia="en-US"/>
        </w:rPr>
      </w:pPr>
    </w:p>
    <w:p w14:paraId="344B6E32" w14:textId="0CF26BF5" w:rsidR="00BE27D2" w:rsidRPr="00A47593" w:rsidRDefault="00FC3CE0" w:rsidP="00A47593">
      <w:pPr>
        <w:widowControl w:val="0"/>
        <w:tabs>
          <w:tab w:val="left" w:pos="1701"/>
        </w:tabs>
        <w:autoSpaceDE w:val="0"/>
        <w:autoSpaceDN w:val="0"/>
        <w:adjustRightInd w:val="0"/>
        <w:rPr>
          <w:lang w:eastAsia="es-MX"/>
        </w:rPr>
      </w:pPr>
      <w:r w:rsidRPr="00A47593">
        <w:rPr>
          <w:rFonts w:eastAsia="Calibri" w:cs="Tahoma"/>
          <w:b/>
          <w:bCs/>
          <w:szCs w:val="22"/>
          <w:lang w:eastAsia="en-US"/>
        </w:rPr>
        <w:t>SEGUNDO.</w:t>
      </w:r>
      <w:r w:rsidRPr="00A47593">
        <w:rPr>
          <w:rFonts w:eastAsia="Calibri" w:cs="Tahoma"/>
          <w:szCs w:val="22"/>
          <w:lang w:eastAsia="es-MX"/>
        </w:rPr>
        <w:t xml:space="preserve"> </w:t>
      </w:r>
      <w:r w:rsidR="00BE27D2" w:rsidRPr="00A47593">
        <w:rPr>
          <w:lang w:eastAsia="es-MX"/>
        </w:rPr>
        <w:t>Se</w:t>
      </w:r>
      <w:r w:rsidR="00BE27D2" w:rsidRPr="00A47593">
        <w:rPr>
          <w:b/>
          <w:bCs/>
          <w:lang w:eastAsia="es-MX"/>
        </w:rPr>
        <w:t xml:space="preserve"> ORDENA </w:t>
      </w:r>
      <w:r w:rsidR="00BE27D2" w:rsidRPr="00A47593">
        <w:rPr>
          <w:lang w:eastAsia="es-MX"/>
        </w:rPr>
        <w:t xml:space="preserve">al </w:t>
      </w:r>
      <w:r w:rsidR="00BE27D2" w:rsidRPr="00A47593">
        <w:rPr>
          <w:b/>
          <w:bCs/>
          <w:lang w:eastAsia="es-MX"/>
        </w:rPr>
        <w:t xml:space="preserve">SUJETO OBLIGADO </w:t>
      </w:r>
      <w:r w:rsidR="00BE27D2" w:rsidRPr="00A47593">
        <w:rPr>
          <w:lang w:eastAsia="es-MX"/>
        </w:rPr>
        <w:t xml:space="preserve">atienda la Solicitud de Acceso a la Información Pública </w:t>
      </w:r>
      <w:r w:rsidR="00BE27D2" w:rsidRPr="00A47593">
        <w:rPr>
          <w:rFonts w:cs="Arial"/>
        </w:rPr>
        <w:t xml:space="preserve">que dio origen al Recurso Revisión número </w:t>
      </w:r>
      <w:r w:rsidR="00A125C7" w:rsidRPr="00A47593">
        <w:rPr>
          <w:b/>
          <w:lang w:val="es-ES_tradnl"/>
        </w:rPr>
        <w:t>05577/INFOEM/IP/RR/2024</w:t>
      </w:r>
      <w:r w:rsidR="00BE27D2" w:rsidRPr="00A47593">
        <w:rPr>
          <w:b/>
          <w:lang w:val="es-ES_tradnl"/>
        </w:rPr>
        <w:t xml:space="preserve">, </w:t>
      </w:r>
      <w:r w:rsidR="00BE27D2" w:rsidRPr="00A47593">
        <w:rPr>
          <w:lang w:eastAsia="es-MX"/>
        </w:rPr>
        <w:t xml:space="preserve">en términos del Considerando </w:t>
      </w:r>
      <w:r w:rsidR="00151010" w:rsidRPr="00A47593">
        <w:rPr>
          <w:b/>
          <w:bCs/>
          <w:lang w:eastAsia="es-MX"/>
        </w:rPr>
        <w:t>SEGUNDO</w:t>
      </w:r>
      <w:r w:rsidR="00BE27D2" w:rsidRPr="00A47593">
        <w:rPr>
          <w:b/>
          <w:bCs/>
          <w:lang w:eastAsia="es-MX"/>
        </w:rPr>
        <w:t xml:space="preserve"> </w:t>
      </w:r>
      <w:r w:rsidR="00BE27D2" w:rsidRPr="00A47593">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6E2C8C17" w14:textId="5CC41CB4" w:rsidR="00BE27D2" w:rsidRPr="00A47593" w:rsidRDefault="008C48EE" w:rsidP="00A47593">
      <w:pPr>
        <w:widowControl w:val="0"/>
        <w:tabs>
          <w:tab w:val="left" w:pos="1701"/>
        </w:tabs>
        <w:autoSpaceDE w:val="0"/>
        <w:autoSpaceDN w:val="0"/>
        <w:adjustRightInd w:val="0"/>
        <w:rPr>
          <w:b/>
          <w:szCs w:val="17"/>
          <w:lang w:eastAsia="es-ES_tradnl"/>
        </w:rPr>
      </w:pPr>
      <w:r w:rsidRPr="00A47593">
        <w:rPr>
          <w:b/>
          <w:bCs/>
        </w:rPr>
        <w:lastRenderedPageBreak/>
        <w:t>TERCERO</w:t>
      </w:r>
      <w:r w:rsidR="00FC3CE0" w:rsidRPr="00A47593">
        <w:rPr>
          <w:b/>
          <w:bCs/>
        </w:rPr>
        <w:t>.</w:t>
      </w:r>
      <w:r w:rsidR="00FC3CE0" w:rsidRPr="00A47593">
        <w:t xml:space="preserve"> </w:t>
      </w:r>
      <w:r w:rsidR="00BE27D2" w:rsidRPr="00A47593">
        <w:rPr>
          <w:rFonts w:eastAsia="Calibri" w:cs="Arial"/>
          <w:b/>
          <w:bCs/>
        </w:rPr>
        <w:t>N</w:t>
      </w:r>
      <w:r w:rsidR="00BE27D2" w:rsidRPr="00A47593">
        <w:rPr>
          <w:b/>
          <w:szCs w:val="17"/>
          <w:lang w:eastAsia="es-ES_tradnl"/>
        </w:rPr>
        <w:t xml:space="preserve">otifíquese </w:t>
      </w:r>
      <w:r w:rsidR="00BE27D2" w:rsidRPr="00A47593">
        <w:rPr>
          <w:szCs w:val="17"/>
          <w:lang w:eastAsia="es-ES_tradnl"/>
        </w:rPr>
        <w:t>vía Sistema de Acceso a la Información Mexiquense (</w:t>
      </w:r>
      <w:r w:rsidR="00BE27D2" w:rsidRPr="00A47593">
        <w:rPr>
          <w:b/>
          <w:szCs w:val="17"/>
          <w:lang w:eastAsia="es-ES_tradnl"/>
        </w:rPr>
        <w:t>SAIMEX)</w:t>
      </w:r>
      <w:r w:rsidR="00BE27D2" w:rsidRPr="00A47593">
        <w:rPr>
          <w:szCs w:val="17"/>
          <w:lang w:eastAsia="es-ES_tradnl"/>
        </w:rPr>
        <w:t xml:space="preserve"> la presente resolución a</w:t>
      </w:r>
      <w:r w:rsidR="00426165" w:rsidRPr="00A47593">
        <w:rPr>
          <w:szCs w:val="17"/>
          <w:lang w:eastAsia="es-ES_tradnl"/>
        </w:rPr>
        <w:t xml:space="preserve"> </w:t>
      </w:r>
      <w:r w:rsidR="00BE27D2" w:rsidRPr="00A47593">
        <w:rPr>
          <w:szCs w:val="17"/>
          <w:lang w:eastAsia="es-ES_tradnl"/>
        </w:rPr>
        <w:t>l</w:t>
      </w:r>
      <w:r w:rsidR="00426165" w:rsidRPr="00A47593">
        <w:rPr>
          <w:szCs w:val="17"/>
          <w:lang w:eastAsia="es-ES_tradnl"/>
        </w:rPr>
        <w:t>a</w:t>
      </w:r>
      <w:r w:rsidR="00BE27D2" w:rsidRPr="00A47593">
        <w:rPr>
          <w:szCs w:val="17"/>
          <w:lang w:eastAsia="es-ES_tradnl"/>
        </w:rPr>
        <w:t xml:space="preserve">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A47593">
        <w:rPr>
          <w:b/>
          <w:bCs/>
          <w:szCs w:val="17"/>
          <w:lang w:eastAsia="es-ES_tradnl"/>
        </w:rPr>
        <w:t>diez días hábiles</w:t>
      </w:r>
      <w:r w:rsidR="00BE27D2" w:rsidRPr="00A47593">
        <w:rPr>
          <w:szCs w:val="17"/>
          <w:lang w:eastAsia="es-ES_tradnl"/>
        </w:rPr>
        <w:t xml:space="preserve">, e informe a este Instituto en un plazo de </w:t>
      </w:r>
      <w:r w:rsidR="00BE27D2" w:rsidRPr="00A47593">
        <w:rPr>
          <w:b/>
          <w:bCs/>
          <w:szCs w:val="17"/>
          <w:lang w:eastAsia="es-ES_tradnl"/>
        </w:rPr>
        <w:t xml:space="preserve">tres días hábiles </w:t>
      </w:r>
      <w:r w:rsidR="00BE27D2" w:rsidRPr="00A47593">
        <w:rPr>
          <w:szCs w:val="17"/>
          <w:lang w:eastAsia="es-ES_tradnl"/>
        </w:rPr>
        <w:t xml:space="preserve">siguientes sobre el cumplimiento dado a la presente y, se le </w:t>
      </w:r>
      <w:r w:rsidR="00BE27D2" w:rsidRPr="00A47593">
        <w:rPr>
          <w:b/>
          <w:szCs w:val="17"/>
          <w:lang w:eastAsia="es-ES_tradnl"/>
        </w:rPr>
        <w:t>apercibe</w:t>
      </w:r>
      <w:r w:rsidR="00BE27D2" w:rsidRPr="00A47593">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15336ED" w14:textId="77777777" w:rsidR="00FC3CE0" w:rsidRPr="00A47593" w:rsidRDefault="00FC3CE0" w:rsidP="00A47593"/>
    <w:p w14:paraId="2BC8564F" w14:textId="1C5C1438" w:rsidR="00FC3CE0" w:rsidRPr="00A47593" w:rsidRDefault="008C48EE" w:rsidP="00A47593">
      <w:pPr>
        <w:rPr>
          <w:rFonts w:cs="Arial"/>
        </w:rPr>
      </w:pPr>
      <w:r w:rsidRPr="00A47593">
        <w:rPr>
          <w:b/>
          <w:bCs/>
        </w:rPr>
        <w:t>CUARTO</w:t>
      </w:r>
      <w:r w:rsidR="00FC3CE0" w:rsidRPr="00A47593">
        <w:t xml:space="preserve">. </w:t>
      </w:r>
      <w:r w:rsidR="00BE27D2" w:rsidRPr="00A47593">
        <w:rPr>
          <w:b/>
          <w:szCs w:val="17"/>
          <w:lang w:eastAsia="es-ES_tradnl"/>
        </w:rPr>
        <w:t>Notifíquese</w:t>
      </w:r>
      <w:r w:rsidR="00BE27D2" w:rsidRPr="00A47593">
        <w:rPr>
          <w:szCs w:val="17"/>
          <w:lang w:eastAsia="es-ES_tradnl"/>
        </w:rPr>
        <w:t xml:space="preserve"> a </w:t>
      </w:r>
      <w:r w:rsidR="00BE27D2" w:rsidRPr="00A47593">
        <w:rPr>
          <w:rFonts w:eastAsia="Calibri" w:cs="Tahoma"/>
          <w:b/>
          <w:szCs w:val="22"/>
          <w:lang w:eastAsia="en-US"/>
        </w:rPr>
        <w:t>LA PARTE RECURRENTE</w:t>
      </w:r>
      <w:r w:rsidR="00BE27D2" w:rsidRPr="00A47593">
        <w:rPr>
          <w:szCs w:val="17"/>
          <w:lang w:eastAsia="es-ES_tradnl"/>
        </w:rPr>
        <w:t xml:space="preserve"> la </w:t>
      </w:r>
      <w:r w:rsidR="00BE27D2" w:rsidRPr="00A47593">
        <w:rPr>
          <w:rFonts w:cs="Arial"/>
        </w:rPr>
        <w:t>presente</w:t>
      </w:r>
      <w:r w:rsidR="00BE27D2" w:rsidRPr="00A47593">
        <w:rPr>
          <w:szCs w:val="17"/>
          <w:lang w:eastAsia="es-ES_tradnl"/>
        </w:rPr>
        <w:t xml:space="preserve"> </w:t>
      </w:r>
      <w:r w:rsidR="00BE27D2" w:rsidRPr="00A47593">
        <w:rPr>
          <w:shd w:val="clear" w:color="auto" w:fill="FFFFFF"/>
        </w:rPr>
        <w:t xml:space="preserve">resolución </w:t>
      </w:r>
      <w:r w:rsidR="00BE27D2" w:rsidRPr="00A47593">
        <w:rPr>
          <w:szCs w:val="17"/>
          <w:lang w:eastAsia="es-ES_tradnl"/>
        </w:rPr>
        <w:t xml:space="preserve">vía </w:t>
      </w:r>
      <w:r w:rsidR="00BE27D2" w:rsidRPr="00A47593">
        <w:rPr>
          <w:rFonts w:cs="Arial"/>
        </w:rPr>
        <w:t>Sistema de Acceso a la Información Mexiquense (</w:t>
      </w:r>
      <w:r w:rsidR="00BE27D2" w:rsidRPr="00A47593">
        <w:rPr>
          <w:rFonts w:cs="Arial"/>
          <w:b/>
          <w:bCs/>
        </w:rPr>
        <w:t>SAIMEX)</w:t>
      </w:r>
      <w:r w:rsidR="00F65E18" w:rsidRPr="00A47593">
        <w:rPr>
          <w:rFonts w:cs="Arial"/>
          <w:b/>
          <w:bCs/>
        </w:rPr>
        <w:t xml:space="preserve"> y Correo Electrónico</w:t>
      </w:r>
      <w:r w:rsidR="00BE27D2" w:rsidRPr="00A47593">
        <w:rPr>
          <w:rFonts w:cs="Arial"/>
        </w:rPr>
        <w:t>.</w:t>
      </w:r>
    </w:p>
    <w:p w14:paraId="13805D8C" w14:textId="77777777" w:rsidR="00426165" w:rsidRPr="00A47593" w:rsidRDefault="00426165" w:rsidP="00A47593">
      <w:pPr>
        <w:rPr>
          <w:rFonts w:cs="Arial"/>
        </w:rPr>
      </w:pPr>
    </w:p>
    <w:p w14:paraId="648E3636" w14:textId="3861A48C" w:rsidR="00BE27D2" w:rsidRPr="00A47593" w:rsidRDefault="00BE27D2" w:rsidP="00A47593">
      <w:pPr>
        <w:widowControl w:val="0"/>
        <w:tabs>
          <w:tab w:val="left" w:pos="1276"/>
        </w:tabs>
        <w:autoSpaceDE w:val="0"/>
        <w:autoSpaceDN w:val="0"/>
        <w:adjustRightInd w:val="0"/>
        <w:ind w:right="49"/>
        <w:rPr>
          <w:szCs w:val="22"/>
          <w:lang w:eastAsia="es-ES_tradnl"/>
        </w:rPr>
      </w:pPr>
      <w:r w:rsidRPr="00A47593">
        <w:rPr>
          <w:rFonts w:cs="Arial"/>
          <w:b/>
          <w:bCs/>
          <w:szCs w:val="22"/>
          <w:lang w:eastAsia="es-MX"/>
        </w:rPr>
        <w:t>QUINTO.</w:t>
      </w:r>
      <w:r w:rsidRPr="00A47593">
        <w:rPr>
          <w:szCs w:val="22"/>
          <w:lang w:eastAsia="es-ES_tradnl"/>
        </w:rPr>
        <w:t xml:space="preserve"> </w:t>
      </w:r>
      <w:r w:rsidRPr="00A47593">
        <w:rPr>
          <w:b/>
          <w:szCs w:val="22"/>
          <w:lang w:eastAsia="es-ES_tradnl"/>
        </w:rPr>
        <w:t>Hágase</w:t>
      </w:r>
      <w:r w:rsidRPr="00A47593">
        <w:rPr>
          <w:szCs w:val="22"/>
          <w:lang w:eastAsia="es-ES_tradnl"/>
        </w:rPr>
        <w:t xml:space="preserve"> </w:t>
      </w:r>
      <w:r w:rsidRPr="00A47593">
        <w:rPr>
          <w:b/>
          <w:szCs w:val="22"/>
          <w:lang w:eastAsia="es-ES_tradnl"/>
        </w:rPr>
        <w:t>del conocimiento a</w:t>
      </w:r>
      <w:r w:rsidRPr="00A47593">
        <w:rPr>
          <w:szCs w:val="22"/>
          <w:lang w:eastAsia="es-ES_tradnl"/>
        </w:rPr>
        <w:t xml:space="preserve"> </w:t>
      </w:r>
      <w:r w:rsidRPr="00A47593">
        <w:rPr>
          <w:rFonts w:eastAsia="Calibri" w:cs="Tahoma"/>
          <w:b/>
          <w:szCs w:val="22"/>
          <w:lang w:eastAsia="en-US"/>
        </w:rPr>
        <w:t>LA PARTE RECURRENTE,</w:t>
      </w:r>
      <w:r w:rsidRPr="00A47593">
        <w:rPr>
          <w:szCs w:val="22"/>
          <w:lang w:eastAsia="es-ES_tradnl"/>
        </w:rPr>
        <w:t xml:space="preserve"> que, de conformidad </w:t>
      </w:r>
      <w:r w:rsidRPr="00A47593">
        <w:rPr>
          <w:rFonts w:cs="Arial"/>
          <w:szCs w:val="22"/>
        </w:rPr>
        <w:t>con</w:t>
      </w:r>
      <w:r w:rsidRPr="00A47593">
        <w:rPr>
          <w:szCs w:val="22"/>
          <w:lang w:eastAsia="es-ES_tradnl"/>
        </w:rPr>
        <w:t xml:space="preserve"> lo </w:t>
      </w:r>
      <w:r w:rsidRPr="00A47593">
        <w:rPr>
          <w:rFonts w:cs="Arial"/>
          <w:szCs w:val="22"/>
        </w:rPr>
        <w:t>establecido</w:t>
      </w:r>
      <w:r w:rsidRPr="00A47593">
        <w:rPr>
          <w:szCs w:val="22"/>
          <w:lang w:eastAsia="es-ES_tradnl"/>
        </w:rPr>
        <w:t xml:space="preserve"> en el artículo 196 de la Ley de </w:t>
      </w:r>
      <w:r w:rsidRPr="00A47593">
        <w:rPr>
          <w:rFonts w:cs="Arial"/>
          <w:szCs w:val="22"/>
        </w:rPr>
        <w:t>Transparencia</w:t>
      </w:r>
      <w:r w:rsidRPr="00A47593">
        <w:rPr>
          <w:szCs w:val="22"/>
          <w:lang w:eastAsia="es-ES_tradnl"/>
        </w:rPr>
        <w:t xml:space="preserve"> y </w:t>
      </w:r>
      <w:r w:rsidRPr="00A47593">
        <w:rPr>
          <w:rFonts w:cs="Arial"/>
          <w:szCs w:val="22"/>
        </w:rPr>
        <w:t>Acceso</w:t>
      </w:r>
      <w:r w:rsidRPr="00A47593">
        <w:rPr>
          <w:szCs w:val="22"/>
          <w:lang w:eastAsia="es-ES_tradnl"/>
        </w:rPr>
        <w:t xml:space="preserve"> a la Información Pública del Estado de México y Municipios, podrá impugnarla vía Juicio de Amparo en los términos de las leyes aplicables.</w:t>
      </w:r>
    </w:p>
    <w:p w14:paraId="14F263AE" w14:textId="77777777" w:rsidR="009D75C9" w:rsidRPr="00A47593" w:rsidRDefault="009D75C9" w:rsidP="00A47593">
      <w:pPr>
        <w:widowControl w:val="0"/>
        <w:tabs>
          <w:tab w:val="left" w:pos="1276"/>
        </w:tabs>
        <w:autoSpaceDE w:val="0"/>
        <w:autoSpaceDN w:val="0"/>
        <w:adjustRightInd w:val="0"/>
        <w:ind w:right="49"/>
        <w:rPr>
          <w:sz w:val="16"/>
          <w:szCs w:val="12"/>
          <w:lang w:eastAsia="es-ES_tradnl"/>
        </w:rPr>
      </w:pPr>
    </w:p>
    <w:p w14:paraId="4D059F23" w14:textId="30C3F89F" w:rsidR="00BE27D2" w:rsidRPr="00A47593" w:rsidRDefault="00BE27D2" w:rsidP="00A47593">
      <w:pPr>
        <w:widowControl w:val="0"/>
        <w:tabs>
          <w:tab w:val="left" w:pos="1701"/>
        </w:tabs>
        <w:autoSpaceDE w:val="0"/>
        <w:autoSpaceDN w:val="0"/>
        <w:adjustRightInd w:val="0"/>
        <w:ind w:right="49"/>
        <w:rPr>
          <w:szCs w:val="22"/>
          <w:lang w:eastAsia="es-MX"/>
        </w:rPr>
      </w:pPr>
      <w:r w:rsidRPr="00A47593">
        <w:rPr>
          <w:rFonts w:cs="Arial"/>
          <w:b/>
          <w:bCs/>
          <w:szCs w:val="22"/>
          <w:lang w:eastAsia="es-MX"/>
        </w:rPr>
        <w:t>SEXTO.</w:t>
      </w:r>
      <w:r w:rsidRPr="00A47593">
        <w:rPr>
          <w:szCs w:val="22"/>
          <w:lang w:eastAsia="es-ES_tradnl"/>
        </w:rPr>
        <w:t xml:space="preserve"> </w:t>
      </w:r>
      <w:r w:rsidRPr="00A47593">
        <w:rPr>
          <w:b/>
          <w:szCs w:val="22"/>
          <w:lang w:eastAsia="es-ES_tradnl"/>
        </w:rPr>
        <w:t xml:space="preserve">Hágase del conocimiento a </w:t>
      </w:r>
      <w:r w:rsidRPr="00A47593">
        <w:rPr>
          <w:rFonts w:eastAsia="Calibri" w:cs="Tahoma"/>
          <w:b/>
          <w:szCs w:val="22"/>
          <w:lang w:eastAsia="en-US"/>
        </w:rPr>
        <w:t>LA PARTE RECURRENTE</w:t>
      </w:r>
      <w:r w:rsidRPr="00A47593">
        <w:rPr>
          <w:szCs w:val="22"/>
          <w:lang w:eastAsia="es-ES_tradnl"/>
        </w:rPr>
        <w:t xml:space="preserve">, que las respuestas que dé </w:t>
      </w:r>
      <w:r w:rsidRPr="00A47593">
        <w:rPr>
          <w:b/>
          <w:szCs w:val="22"/>
          <w:lang w:eastAsia="es-ES_tradnl"/>
        </w:rPr>
        <w:t>EL SUJETO OBLIGADO</w:t>
      </w:r>
      <w:r w:rsidRPr="00A47593">
        <w:rPr>
          <w:szCs w:val="22"/>
          <w:lang w:eastAsia="es-ES_tradnl"/>
        </w:rPr>
        <w:t xml:space="preserve"> derivadas de la presente resolución son susceptibles de ser impugnadas nuevamente, mediante Recurso de Revisión, ante el Instituto, en términos del artículo 179, último párrafo de la Ley </w:t>
      </w:r>
      <w:r w:rsidRPr="00A47593">
        <w:rPr>
          <w:szCs w:val="22"/>
          <w:lang w:eastAsia="es-MX"/>
        </w:rPr>
        <w:t>de Transparencia y Acceso a la Información Pública del Estado de México y Municipios.</w:t>
      </w:r>
    </w:p>
    <w:p w14:paraId="6BB6D1D0" w14:textId="77777777" w:rsidR="00BE27D2" w:rsidRPr="00A47593" w:rsidRDefault="00BE27D2" w:rsidP="00A47593">
      <w:pPr>
        <w:widowControl w:val="0"/>
        <w:tabs>
          <w:tab w:val="left" w:pos="1701"/>
        </w:tabs>
        <w:autoSpaceDE w:val="0"/>
        <w:autoSpaceDN w:val="0"/>
        <w:adjustRightInd w:val="0"/>
        <w:ind w:right="49"/>
        <w:rPr>
          <w:sz w:val="16"/>
          <w:szCs w:val="14"/>
          <w:lang w:eastAsia="es-MX"/>
        </w:rPr>
      </w:pPr>
    </w:p>
    <w:p w14:paraId="39C2F61C" w14:textId="5FADA830" w:rsidR="00BE27D2" w:rsidRPr="00A47593" w:rsidRDefault="00BE27D2" w:rsidP="00A47593">
      <w:pPr>
        <w:rPr>
          <w:rFonts w:cs="Arial"/>
          <w:szCs w:val="22"/>
        </w:rPr>
      </w:pPr>
      <w:r w:rsidRPr="00A47593">
        <w:rPr>
          <w:rFonts w:cs="Arial"/>
          <w:b/>
          <w:bCs/>
          <w:szCs w:val="22"/>
          <w:lang w:eastAsia="es-MX"/>
        </w:rPr>
        <w:lastRenderedPageBreak/>
        <w:t>SÉPTIMO</w:t>
      </w:r>
      <w:r w:rsidRPr="00A47593">
        <w:rPr>
          <w:rFonts w:eastAsia="Calibri" w:cs="Arial"/>
          <w:b/>
          <w:bCs/>
          <w:szCs w:val="22"/>
        </w:rPr>
        <w:t xml:space="preserve">. </w:t>
      </w:r>
      <w:r w:rsidRPr="00A47593">
        <w:rPr>
          <w:b/>
          <w:szCs w:val="22"/>
          <w:lang w:eastAsia="es-ES_tradnl"/>
        </w:rPr>
        <w:t>Gírese oficio</w:t>
      </w:r>
      <w:r w:rsidRPr="00A47593">
        <w:rPr>
          <w:bCs/>
          <w:szCs w:val="22"/>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A47593">
        <w:rPr>
          <w:b/>
          <w:szCs w:val="22"/>
          <w:lang w:eastAsia="es-ES_tradnl"/>
        </w:rPr>
        <w:t>SEGUNDO</w:t>
      </w:r>
      <w:r w:rsidRPr="00A47593">
        <w:rPr>
          <w:bCs/>
          <w:szCs w:val="22"/>
          <w:lang w:eastAsia="es-ES_tradnl"/>
        </w:rPr>
        <w:t xml:space="preserve"> de la presente resolución</w:t>
      </w:r>
      <w:r w:rsidRPr="00A47593">
        <w:rPr>
          <w:szCs w:val="22"/>
          <w:lang w:eastAsia="es-ES_tradnl"/>
        </w:rPr>
        <w:t>.</w:t>
      </w:r>
    </w:p>
    <w:p w14:paraId="73936404" w14:textId="77777777" w:rsidR="00BE27D2" w:rsidRPr="00A47593" w:rsidRDefault="00BE27D2" w:rsidP="00A47593">
      <w:pPr>
        <w:rPr>
          <w:rFonts w:cs="Arial"/>
          <w:b/>
          <w:szCs w:val="22"/>
        </w:rPr>
      </w:pPr>
    </w:p>
    <w:p w14:paraId="719A5C63" w14:textId="3FCB71BA" w:rsidR="00664420" w:rsidRPr="00A47593" w:rsidRDefault="00664420" w:rsidP="00A47593">
      <w:pPr>
        <w:rPr>
          <w:rFonts w:eastAsia="Palatino Linotype" w:cs="Palatino Linotype"/>
          <w:szCs w:val="22"/>
        </w:rPr>
      </w:pPr>
      <w:r w:rsidRPr="00A47593">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9A2B26" w:rsidRPr="00A47593">
        <w:rPr>
          <w:rFonts w:eastAsia="Palatino Linotype" w:cs="Palatino Linotype"/>
          <w:szCs w:val="22"/>
        </w:rPr>
        <w:t>TRIGÉSIMA SEXTA</w:t>
      </w:r>
      <w:r w:rsidR="00BE27D2" w:rsidRPr="00A47593">
        <w:rPr>
          <w:rFonts w:eastAsia="Palatino Linotype" w:cs="Palatino Linotype"/>
          <w:szCs w:val="22"/>
        </w:rPr>
        <w:t xml:space="preserve"> </w:t>
      </w:r>
      <w:r w:rsidRPr="00A47593">
        <w:rPr>
          <w:rFonts w:eastAsia="Palatino Linotype" w:cs="Palatino Linotype"/>
          <w:szCs w:val="22"/>
        </w:rPr>
        <w:t xml:space="preserve">SESIÓN ORDINARIA, CELEBRADA EL </w:t>
      </w:r>
      <w:r w:rsidR="009A2B26" w:rsidRPr="00A47593">
        <w:rPr>
          <w:rFonts w:eastAsia="Palatino Linotype" w:cs="Palatino Linotype"/>
          <w:szCs w:val="22"/>
        </w:rPr>
        <w:t>NUEVE DE OCTUBRE</w:t>
      </w:r>
      <w:r w:rsidR="00BE27D2" w:rsidRPr="00A47593">
        <w:rPr>
          <w:rFonts w:eastAsia="Palatino Linotype" w:cs="Palatino Linotype"/>
          <w:szCs w:val="22"/>
        </w:rPr>
        <w:t xml:space="preserve"> </w:t>
      </w:r>
      <w:r w:rsidRPr="00A47593">
        <w:rPr>
          <w:rFonts w:eastAsia="Palatino Linotype" w:cs="Palatino Linotype"/>
          <w:szCs w:val="22"/>
        </w:rPr>
        <w:t xml:space="preserve">DE DOS MIL </w:t>
      </w:r>
      <w:r w:rsidR="00BE27D2" w:rsidRPr="00A47593">
        <w:rPr>
          <w:rFonts w:eastAsia="Palatino Linotype" w:cs="Palatino Linotype"/>
          <w:szCs w:val="22"/>
        </w:rPr>
        <w:t>VEINTICUATRO</w:t>
      </w:r>
      <w:r w:rsidRPr="00A47593">
        <w:rPr>
          <w:rFonts w:eastAsia="Palatino Linotype" w:cs="Palatino Linotype"/>
          <w:szCs w:val="22"/>
        </w:rPr>
        <w:t>, ANTE EL SECRETARIO TÉCNICO DEL PLENO, ALEXIS TAPIA RAMÍREZ.</w:t>
      </w:r>
    </w:p>
    <w:p w14:paraId="4033B731" w14:textId="77777777" w:rsidR="00AF6A7A" w:rsidRPr="00A47593" w:rsidRDefault="00AF6A7A" w:rsidP="00A47593">
      <w:pPr>
        <w:rPr>
          <w:rFonts w:eastAsiaTheme="minorEastAsia"/>
          <w:sz w:val="20"/>
          <w:lang w:val="es-419"/>
        </w:rPr>
      </w:pPr>
      <w:r w:rsidRPr="00A47593">
        <w:rPr>
          <w:rFonts w:eastAsiaTheme="minorEastAsia"/>
          <w:sz w:val="20"/>
          <w:lang w:val="es-ES_tradnl"/>
        </w:rPr>
        <w:t>SCMM/AGZ/DEMF/</w:t>
      </w:r>
      <w:r w:rsidRPr="00A47593">
        <w:rPr>
          <w:rFonts w:eastAsiaTheme="minorEastAsia"/>
          <w:sz w:val="20"/>
          <w:lang w:val="es-419"/>
        </w:rPr>
        <w:t>CMP</w:t>
      </w:r>
    </w:p>
    <w:p w14:paraId="49D72DA3" w14:textId="77777777" w:rsidR="00664420" w:rsidRPr="00A47593" w:rsidRDefault="00664420" w:rsidP="00A47593">
      <w:pPr>
        <w:ind w:right="-93"/>
        <w:rPr>
          <w:rFonts w:eastAsia="Calibri" w:cs="Tahoma"/>
          <w:bCs/>
          <w:szCs w:val="22"/>
          <w:lang w:eastAsia="en-US"/>
        </w:rPr>
      </w:pPr>
    </w:p>
    <w:p w14:paraId="5EFEA0CD" w14:textId="77777777" w:rsidR="00664420" w:rsidRPr="00A47593" w:rsidRDefault="00664420" w:rsidP="00A47593">
      <w:pPr>
        <w:ind w:right="-93"/>
        <w:rPr>
          <w:rFonts w:eastAsia="Calibri" w:cs="Tahoma"/>
          <w:szCs w:val="22"/>
          <w:lang w:val="es-ES"/>
        </w:rPr>
      </w:pPr>
    </w:p>
    <w:p w14:paraId="696BC976" w14:textId="77777777" w:rsidR="00664420" w:rsidRPr="00A47593" w:rsidRDefault="00664420" w:rsidP="00A47593">
      <w:pPr>
        <w:ind w:right="-93"/>
        <w:rPr>
          <w:rFonts w:eastAsia="Calibri" w:cs="Tahoma"/>
          <w:bCs/>
          <w:szCs w:val="22"/>
          <w:lang w:val="es-ES" w:eastAsia="en-US"/>
        </w:rPr>
      </w:pPr>
    </w:p>
    <w:p w14:paraId="671CB0C5" w14:textId="77777777" w:rsidR="00664420" w:rsidRPr="00A47593" w:rsidRDefault="00664420" w:rsidP="00A47593">
      <w:pPr>
        <w:ind w:right="-93"/>
        <w:rPr>
          <w:rFonts w:eastAsia="Calibri" w:cs="Tahoma"/>
          <w:bCs/>
          <w:szCs w:val="22"/>
          <w:lang w:val="es-ES_tradnl" w:eastAsia="en-US"/>
        </w:rPr>
      </w:pPr>
    </w:p>
    <w:p w14:paraId="52B66DE7" w14:textId="77777777" w:rsidR="00664420" w:rsidRPr="00A47593" w:rsidRDefault="00664420" w:rsidP="00A47593">
      <w:pPr>
        <w:ind w:right="-93"/>
        <w:rPr>
          <w:rFonts w:eastAsia="Calibri" w:cs="Tahoma"/>
          <w:bCs/>
          <w:szCs w:val="22"/>
          <w:lang w:val="es-ES_tradnl" w:eastAsia="en-US"/>
        </w:rPr>
      </w:pPr>
    </w:p>
    <w:p w14:paraId="3BA305D1" w14:textId="77777777" w:rsidR="00664420" w:rsidRPr="00A47593" w:rsidRDefault="00664420" w:rsidP="00A47593">
      <w:pPr>
        <w:ind w:right="-93"/>
        <w:rPr>
          <w:rFonts w:eastAsia="Calibri" w:cs="Tahoma"/>
          <w:bCs/>
          <w:szCs w:val="22"/>
          <w:lang w:val="es-ES_tradnl" w:eastAsia="en-US"/>
        </w:rPr>
      </w:pPr>
    </w:p>
    <w:p w14:paraId="78230707" w14:textId="77777777" w:rsidR="00664420" w:rsidRPr="00A47593" w:rsidRDefault="00664420" w:rsidP="00A47593">
      <w:pPr>
        <w:ind w:right="-93"/>
        <w:rPr>
          <w:rFonts w:eastAsia="Calibri" w:cs="Tahoma"/>
          <w:bCs/>
          <w:szCs w:val="22"/>
          <w:lang w:val="es-ES_tradnl" w:eastAsia="en-US"/>
        </w:rPr>
      </w:pPr>
    </w:p>
    <w:p w14:paraId="72D18B28" w14:textId="77777777" w:rsidR="00664420" w:rsidRPr="00A47593" w:rsidRDefault="00664420" w:rsidP="00A47593">
      <w:pPr>
        <w:ind w:right="-93"/>
        <w:rPr>
          <w:rFonts w:eastAsia="Calibri" w:cs="Tahoma"/>
          <w:bCs/>
          <w:szCs w:val="22"/>
          <w:lang w:val="es-ES_tradnl" w:eastAsia="en-US"/>
        </w:rPr>
      </w:pPr>
    </w:p>
    <w:p w14:paraId="6BD461DC" w14:textId="77777777" w:rsidR="00664420" w:rsidRPr="00A47593" w:rsidRDefault="00664420" w:rsidP="00A47593">
      <w:pPr>
        <w:tabs>
          <w:tab w:val="center" w:pos="4568"/>
        </w:tabs>
        <w:ind w:right="-93"/>
        <w:rPr>
          <w:rFonts w:eastAsia="Calibri" w:cs="Tahoma"/>
          <w:bCs/>
          <w:szCs w:val="22"/>
          <w:lang w:eastAsia="en-US"/>
        </w:rPr>
      </w:pPr>
    </w:p>
    <w:p w14:paraId="4DBB1727" w14:textId="77777777" w:rsidR="00664420" w:rsidRPr="00A47593" w:rsidRDefault="00664420" w:rsidP="00A47593">
      <w:pPr>
        <w:tabs>
          <w:tab w:val="center" w:pos="4568"/>
        </w:tabs>
        <w:ind w:right="-93"/>
        <w:rPr>
          <w:rFonts w:eastAsia="Calibri" w:cs="Tahoma"/>
          <w:bCs/>
          <w:szCs w:val="22"/>
          <w:lang w:eastAsia="en-US"/>
        </w:rPr>
      </w:pPr>
    </w:p>
    <w:p w14:paraId="1D74121B" w14:textId="77777777" w:rsidR="00664420" w:rsidRPr="00A47593" w:rsidRDefault="00664420" w:rsidP="00A47593">
      <w:pPr>
        <w:tabs>
          <w:tab w:val="center" w:pos="4568"/>
        </w:tabs>
        <w:ind w:right="-93"/>
        <w:rPr>
          <w:rFonts w:eastAsia="Calibri" w:cs="Tahoma"/>
          <w:bCs/>
          <w:szCs w:val="22"/>
          <w:lang w:eastAsia="en-US"/>
        </w:rPr>
      </w:pPr>
    </w:p>
    <w:p w14:paraId="08E74E9C" w14:textId="77777777" w:rsidR="00664420" w:rsidRPr="00A47593" w:rsidRDefault="00664420" w:rsidP="00A47593">
      <w:pPr>
        <w:tabs>
          <w:tab w:val="center" w:pos="4568"/>
        </w:tabs>
        <w:ind w:right="-93"/>
        <w:rPr>
          <w:rFonts w:eastAsia="Calibri" w:cs="Tahoma"/>
          <w:bCs/>
          <w:szCs w:val="22"/>
          <w:lang w:eastAsia="en-US"/>
        </w:rPr>
      </w:pPr>
    </w:p>
    <w:p w14:paraId="2CBF5E03" w14:textId="77777777" w:rsidR="00664420" w:rsidRPr="00A47593" w:rsidRDefault="00664420" w:rsidP="00A47593">
      <w:pPr>
        <w:tabs>
          <w:tab w:val="center" w:pos="4568"/>
        </w:tabs>
        <w:ind w:right="-93"/>
        <w:rPr>
          <w:rFonts w:eastAsia="Calibri" w:cs="Tahoma"/>
          <w:bCs/>
          <w:szCs w:val="22"/>
          <w:lang w:eastAsia="en-US"/>
        </w:rPr>
      </w:pPr>
    </w:p>
    <w:p w14:paraId="44865A6D" w14:textId="77777777" w:rsidR="00664420" w:rsidRPr="00A47593" w:rsidRDefault="00664420" w:rsidP="00A47593">
      <w:pPr>
        <w:tabs>
          <w:tab w:val="center" w:pos="4568"/>
        </w:tabs>
        <w:ind w:right="-93"/>
        <w:rPr>
          <w:rFonts w:eastAsia="Calibri" w:cs="Tahoma"/>
          <w:bCs/>
          <w:szCs w:val="22"/>
          <w:lang w:eastAsia="en-US"/>
        </w:rPr>
      </w:pPr>
    </w:p>
    <w:p w14:paraId="7147F06B" w14:textId="77777777" w:rsidR="00664420" w:rsidRPr="00A47593" w:rsidRDefault="00664420" w:rsidP="00A47593">
      <w:pPr>
        <w:tabs>
          <w:tab w:val="center" w:pos="4568"/>
        </w:tabs>
        <w:ind w:right="-93"/>
        <w:rPr>
          <w:rFonts w:eastAsia="Calibri" w:cs="Tahoma"/>
          <w:bCs/>
          <w:szCs w:val="22"/>
          <w:lang w:eastAsia="en-US"/>
        </w:rPr>
      </w:pPr>
    </w:p>
    <w:p w14:paraId="6FDF3D7E" w14:textId="77777777" w:rsidR="00664420" w:rsidRPr="00A47593" w:rsidRDefault="00664420" w:rsidP="00A47593">
      <w:pPr>
        <w:tabs>
          <w:tab w:val="center" w:pos="4568"/>
        </w:tabs>
        <w:ind w:right="-93"/>
        <w:rPr>
          <w:rFonts w:eastAsia="Calibri" w:cs="Tahoma"/>
          <w:bCs/>
          <w:szCs w:val="22"/>
          <w:lang w:eastAsia="en-US"/>
        </w:rPr>
      </w:pPr>
    </w:p>
    <w:p w14:paraId="6246F818" w14:textId="77777777" w:rsidR="00664420" w:rsidRPr="00A47593" w:rsidRDefault="00664420" w:rsidP="00A47593">
      <w:pPr>
        <w:tabs>
          <w:tab w:val="center" w:pos="4568"/>
        </w:tabs>
        <w:ind w:right="-93"/>
        <w:rPr>
          <w:rFonts w:eastAsia="Calibri" w:cs="Tahoma"/>
          <w:bCs/>
          <w:szCs w:val="22"/>
          <w:lang w:eastAsia="en-US"/>
        </w:rPr>
      </w:pPr>
    </w:p>
    <w:p w14:paraId="57A88B28" w14:textId="77777777" w:rsidR="00664420" w:rsidRPr="00A47593" w:rsidRDefault="00664420" w:rsidP="00A47593">
      <w:pPr>
        <w:tabs>
          <w:tab w:val="center" w:pos="4568"/>
        </w:tabs>
        <w:ind w:right="-93"/>
        <w:rPr>
          <w:rFonts w:eastAsia="Calibri" w:cs="Tahoma"/>
          <w:bCs/>
          <w:szCs w:val="22"/>
          <w:lang w:eastAsia="en-US"/>
        </w:rPr>
      </w:pPr>
    </w:p>
    <w:p w14:paraId="77EF6095" w14:textId="77777777" w:rsidR="00664420" w:rsidRPr="00A47593" w:rsidRDefault="00664420" w:rsidP="00A47593">
      <w:pPr>
        <w:tabs>
          <w:tab w:val="center" w:pos="4568"/>
        </w:tabs>
        <w:ind w:right="-93"/>
        <w:rPr>
          <w:rFonts w:eastAsia="Calibri" w:cs="Tahoma"/>
          <w:bCs/>
          <w:szCs w:val="22"/>
          <w:lang w:eastAsia="en-US"/>
        </w:rPr>
      </w:pPr>
    </w:p>
    <w:p w14:paraId="35593947" w14:textId="77777777" w:rsidR="00664420" w:rsidRPr="00A47593" w:rsidRDefault="00664420" w:rsidP="00A47593">
      <w:pPr>
        <w:tabs>
          <w:tab w:val="center" w:pos="4568"/>
        </w:tabs>
        <w:ind w:right="-93"/>
        <w:rPr>
          <w:rFonts w:eastAsia="Calibri" w:cs="Tahoma"/>
          <w:bCs/>
          <w:szCs w:val="22"/>
          <w:lang w:eastAsia="en-US"/>
        </w:rPr>
      </w:pPr>
    </w:p>
    <w:p w14:paraId="3AF72A17" w14:textId="77777777" w:rsidR="00664420" w:rsidRPr="00A47593" w:rsidRDefault="00664420" w:rsidP="00A47593">
      <w:pPr>
        <w:tabs>
          <w:tab w:val="center" w:pos="4568"/>
        </w:tabs>
        <w:ind w:right="-93"/>
        <w:rPr>
          <w:rFonts w:eastAsia="Calibri" w:cs="Tahoma"/>
          <w:bCs/>
          <w:szCs w:val="22"/>
          <w:lang w:eastAsia="en-US"/>
        </w:rPr>
      </w:pPr>
    </w:p>
    <w:p w14:paraId="37169144" w14:textId="77777777" w:rsidR="00664420" w:rsidRPr="00A47593" w:rsidRDefault="00664420" w:rsidP="00A47593">
      <w:pPr>
        <w:tabs>
          <w:tab w:val="center" w:pos="4568"/>
        </w:tabs>
        <w:ind w:right="-93"/>
        <w:rPr>
          <w:rFonts w:eastAsia="Calibri" w:cs="Tahoma"/>
          <w:bCs/>
          <w:szCs w:val="22"/>
          <w:lang w:eastAsia="en-US"/>
        </w:rPr>
      </w:pPr>
    </w:p>
    <w:p w14:paraId="77CFC088" w14:textId="77777777" w:rsidR="00664420" w:rsidRPr="00A47593" w:rsidRDefault="00664420" w:rsidP="00A47593">
      <w:pPr>
        <w:tabs>
          <w:tab w:val="center" w:pos="4568"/>
        </w:tabs>
        <w:ind w:right="-93"/>
        <w:rPr>
          <w:rFonts w:eastAsia="Calibri" w:cs="Tahoma"/>
          <w:bCs/>
          <w:szCs w:val="22"/>
          <w:lang w:eastAsia="en-US"/>
        </w:rPr>
      </w:pPr>
    </w:p>
    <w:p w14:paraId="781A11A5" w14:textId="77777777" w:rsidR="00664420" w:rsidRPr="00A47593" w:rsidRDefault="00664420" w:rsidP="00A47593">
      <w:pPr>
        <w:tabs>
          <w:tab w:val="center" w:pos="4568"/>
        </w:tabs>
        <w:ind w:right="-93"/>
        <w:rPr>
          <w:rFonts w:eastAsia="Calibri" w:cs="Tahoma"/>
          <w:bCs/>
          <w:szCs w:val="22"/>
          <w:lang w:eastAsia="en-US"/>
        </w:rPr>
      </w:pPr>
    </w:p>
    <w:p w14:paraId="5B4ADFF3" w14:textId="77777777" w:rsidR="00A131AC" w:rsidRPr="00A47593" w:rsidRDefault="00A131AC" w:rsidP="00A47593"/>
    <w:sectPr w:rsidR="00A131AC" w:rsidRPr="00A47593" w:rsidSect="008B09E4">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CF5A7" w14:textId="77777777" w:rsidR="00D67B89" w:rsidRDefault="00D67B89" w:rsidP="00664420">
      <w:pPr>
        <w:spacing w:line="240" w:lineRule="auto"/>
      </w:pPr>
      <w:r>
        <w:separator/>
      </w:r>
    </w:p>
  </w:endnote>
  <w:endnote w:type="continuationSeparator" w:id="0">
    <w:p w14:paraId="7D09304A" w14:textId="77777777" w:rsidR="00D67B89" w:rsidRDefault="00D67B89"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00000001" w:usb1="00000003" w:usb2="00000000" w:usb3="00000000" w:csb0="0000019F" w:csb1="00000000"/>
  </w:font>
  <w:font w:name="Aptos Display">
    <w:altName w:val="Calibri"/>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87127C" w:rsidRDefault="0087127C">
    <w:pPr>
      <w:tabs>
        <w:tab w:val="center" w:pos="4550"/>
        <w:tab w:val="left" w:pos="5818"/>
      </w:tabs>
      <w:ind w:right="260"/>
      <w:jc w:val="right"/>
      <w:rPr>
        <w:color w:val="071320" w:themeColor="text2" w:themeShade="80"/>
        <w:sz w:val="24"/>
        <w:szCs w:val="24"/>
      </w:rPr>
    </w:pPr>
  </w:p>
  <w:p w14:paraId="1BCA7F23" w14:textId="77777777" w:rsidR="0087127C" w:rsidRDefault="008712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87127C" w:rsidRDefault="0087127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1524CF" w:rsidRPr="001524CF">
      <w:rPr>
        <w:noProof/>
        <w:color w:val="0A1D30" w:themeColor="text2" w:themeShade="BF"/>
        <w:sz w:val="24"/>
        <w:szCs w:val="24"/>
        <w:lang w:val="es-ES"/>
      </w:rPr>
      <w:t>30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1524CF" w:rsidRPr="001524CF">
      <w:rPr>
        <w:noProof/>
        <w:color w:val="0A1D30" w:themeColor="text2" w:themeShade="BF"/>
        <w:sz w:val="24"/>
        <w:szCs w:val="24"/>
        <w:lang w:val="es-ES"/>
      </w:rPr>
      <w:t>34</w:t>
    </w:r>
    <w:r>
      <w:rPr>
        <w:color w:val="0A1D30" w:themeColor="text2" w:themeShade="BF"/>
        <w:sz w:val="24"/>
        <w:szCs w:val="24"/>
      </w:rPr>
      <w:fldChar w:fldCharType="end"/>
    </w:r>
  </w:p>
  <w:p w14:paraId="310E15C0" w14:textId="77777777" w:rsidR="0087127C" w:rsidRDefault="008712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923F1" w14:textId="77777777" w:rsidR="00D67B89" w:rsidRDefault="00D67B89" w:rsidP="00664420">
      <w:pPr>
        <w:spacing w:line="240" w:lineRule="auto"/>
      </w:pPr>
      <w:r>
        <w:separator/>
      </w:r>
    </w:p>
  </w:footnote>
  <w:footnote w:type="continuationSeparator" w:id="0">
    <w:p w14:paraId="175D0A19" w14:textId="77777777" w:rsidR="00D67B89" w:rsidRDefault="00D67B89" w:rsidP="00664420">
      <w:pPr>
        <w:spacing w:line="240" w:lineRule="auto"/>
      </w:pPr>
      <w:r>
        <w:continuationSeparator/>
      </w:r>
    </w:p>
  </w:footnote>
  <w:footnote w:id="1">
    <w:p w14:paraId="49DB8BD5" w14:textId="77777777" w:rsidR="0087127C" w:rsidRDefault="0087127C"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87127C" w:rsidRDefault="0087127C"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87127C" w:rsidRPr="00330DA7" w14:paraId="070A4B18" w14:textId="77777777" w:rsidTr="003F35FD">
      <w:trPr>
        <w:trHeight w:val="144"/>
        <w:jc w:val="right"/>
      </w:trPr>
      <w:tc>
        <w:tcPr>
          <w:tcW w:w="2727" w:type="dxa"/>
        </w:tcPr>
        <w:p w14:paraId="62B7493A" w14:textId="77777777" w:rsidR="0087127C" w:rsidRPr="00330DA7" w:rsidRDefault="0087127C"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7BDAF6A" w:rsidR="0087127C" w:rsidRPr="00A90C72" w:rsidRDefault="00A125C7" w:rsidP="003F35FD">
          <w:pPr>
            <w:tabs>
              <w:tab w:val="right" w:pos="8838"/>
            </w:tabs>
            <w:ind w:left="-74" w:right="-105"/>
            <w:rPr>
              <w:rFonts w:eastAsia="Calibri" w:cs="Tahoma"/>
              <w:szCs w:val="22"/>
              <w:lang w:eastAsia="en-US"/>
            </w:rPr>
          </w:pPr>
          <w:r w:rsidRPr="00A125C7">
            <w:rPr>
              <w:rFonts w:eastAsia="Calibri" w:cs="Tahoma"/>
              <w:szCs w:val="22"/>
              <w:lang w:eastAsia="en-US"/>
            </w:rPr>
            <w:t>05577/INFOEM/IP/RR/2024</w:t>
          </w:r>
        </w:p>
      </w:tc>
    </w:tr>
    <w:tr w:rsidR="0087127C" w:rsidRPr="00330DA7" w14:paraId="4521E058" w14:textId="77777777" w:rsidTr="003F35FD">
      <w:trPr>
        <w:trHeight w:val="283"/>
        <w:jc w:val="right"/>
      </w:trPr>
      <w:tc>
        <w:tcPr>
          <w:tcW w:w="2727" w:type="dxa"/>
        </w:tcPr>
        <w:p w14:paraId="0B68C086" w14:textId="77777777" w:rsidR="0087127C" w:rsidRPr="00330DA7" w:rsidRDefault="0087127C"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44413A5" w:rsidR="0087127C" w:rsidRPr="00952DD0" w:rsidRDefault="00F65E18" w:rsidP="003F35FD">
          <w:pPr>
            <w:tabs>
              <w:tab w:val="left" w:pos="2834"/>
              <w:tab w:val="right" w:pos="8838"/>
            </w:tabs>
            <w:ind w:left="-108" w:right="-105"/>
            <w:rPr>
              <w:rFonts w:eastAsia="Calibri" w:cs="Tahoma"/>
              <w:szCs w:val="22"/>
              <w:lang w:eastAsia="en-US"/>
            </w:rPr>
          </w:pPr>
          <w:r w:rsidRPr="00F65E18">
            <w:rPr>
              <w:rFonts w:eastAsia="Calibri" w:cs="Tahoma"/>
              <w:szCs w:val="22"/>
              <w:lang w:eastAsia="en-US"/>
            </w:rPr>
            <w:t>Ayuntamiento de Ecatepec de Morelos</w:t>
          </w:r>
        </w:p>
      </w:tc>
    </w:tr>
    <w:tr w:rsidR="0087127C" w:rsidRPr="00330DA7" w14:paraId="6331D9B6" w14:textId="77777777" w:rsidTr="003F35FD">
      <w:trPr>
        <w:trHeight w:val="283"/>
        <w:jc w:val="right"/>
      </w:trPr>
      <w:tc>
        <w:tcPr>
          <w:tcW w:w="2727" w:type="dxa"/>
        </w:tcPr>
        <w:p w14:paraId="3FA86BAE" w14:textId="6897C6C7" w:rsidR="0087127C" w:rsidRPr="00330DA7" w:rsidRDefault="0087127C"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E834F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87127C" w:rsidRPr="00EA66FC" w:rsidRDefault="0087127C"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87127C" w:rsidRPr="00443C6B" w:rsidRDefault="0087127C"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87127C" w:rsidRPr="00330DA7" w14:paraId="29CFF901" w14:textId="77777777" w:rsidTr="0087127C">
      <w:trPr>
        <w:trHeight w:val="1435"/>
      </w:trPr>
      <w:tc>
        <w:tcPr>
          <w:tcW w:w="283" w:type="dxa"/>
          <w:shd w:val="clear" w:color="auto" w:fill="auto"/>
        </w:tcPr>
        <w:p w14:paraId="046B9F8F" w14:textId="77777777" w:rsidR="0087127C" w:rsidRPr="00330DA7" w:rsidRDefault="0087127C"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87127C" w:rsidRPr="004F2416" w14:paraId="04F272D2" w14:textId="77777777" w:rsidTr="0087127C">
            <w:trPr>
              <w:trHeight w:val="144"/>
            </w:trPr>
            <w:tc>
              <w:tcPr>
                <w:tcW w:w="2727" w:type="dxa"/>
              </w:tcPr>
              <w:p w14:paraId="2FD4DBF6" w14:textId="77777777" w:rsidR="0087127C" w:rsidRPr="004F2416" w:rsidRDefault="0087127C"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7C8624AC" w:rsidR="0087127C" w:rsidRPr="004F2416" w:rsidRDefault="00A125C7" w:rsidP="0087127C">
                <w:pPr>
                  <w:tabs>
                    <w:tab w:val="right" w:pos="8838"/>
                  </w:tabs>
                  <w:ind w:left="-74" w:right="-105"/>
                  <w:rPr>
                    <w:rFonts w:eastAsia="Calibri" w:cs="Tahoma"/>
                    <w:szCs w:val="22"/>
                    <w:lang w:eastAsia="en-US"/>
                  </w:rPr>
                </w:pPr>
                <w:r w:rsidRPr="00A125C7">
                  <w:rPr>
                    <w:rFonts w:eastAsia="Calibri" w:cs="Tahoma"/>
                    <w:szCs w:val="22"/>
                    <w:lang w:eastAsia="en-US"/>
                  </w:rPr>
                  <w:t>05577/INFOEM/IP/RR/2024</w:t>
                </w:r>
              </w:p>
            </w:tc>
            <w:tc>
              <w:tcPr>
                <w:tcW w:w="3402" w:type="dxa"/>
              </w:tcPr>
              <w:p w14:paraId="71DEA1CF" w14:textId="77777777" w:rsidR="0087127C" w:rsidRPr="004F2416" w:rsidRDefault="0087127C" w:rsidP="0087127C">
                <w:pPr>
                  <w:tabs>
                    <w:tab w:val="right" w:pos="8838"/>
                  </w:tabs>
                  <w:ind w:left="-74" w:right="-105"/>
                  <w:rPr>
                    <w:rFonts w:eastAsia="Calibri" w:cs="Tahoma"/>
                    <w:szCs w:val="22"/>
                    <w:lang w:eastAsia="en-US"/>
                  </w:rPr>
                </w:pPr>
              </w:p>
            </w:tc>
          </w:tr>
          <w:tr w:rsidR="0087127C" w:rsidRPr="004F2416" w14:paraId="05C58951" w14:textId="77777777" w:rsidTr="0087127C">
            <w:trPr>
              <w:trHeight w:val="144"/>
            </w:trPr>
            <w:tc>
              <w:tcPr>
                <w:tcW w:w="2727" w:type="dxa"/>
              </w:tcPr>
              <w:p w14:paraId="642B9610" w14:textId="77777777" w:rsidR="0087127C" w:rsidRPr="004F2416" w:rsidRDefault="0087127C"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2FCC387E" w:rsidR="0087127C" w:rsidRPr="004F2416" w:rsidRDefault="001524CF" w:rsidP="0087127C">
                <w:pPr>
                  <w:tabs>
                    <w:tab w:val="left" w:pos="3122"/>
                    <w:tab w:val="right" w:pos="8838"/>
                  </w:tabs>
                  <w:ind w:left="-105" w:right="-105"/>
                  <w:rPr>
                    <w:rFonts w:eastAsia="Calibri" w:cs="Tahoma"/>
                    <w:szCs w:val="22"/>
                    <w:lang w:eastAsia="en-US"/>
                  </w:rPr>
                </w:pPr>
                <w:r>
                  <w:rPr>
                    <w:rFonts w:eastAsia="Calibri" w:cs="Tahoma"/>
                    <w:szCs w:val="22"/>
                    <w:lang w:eastAsia="en-US"/>
                  </w:rPr>
                  <w:t>XXXXXXX</w:t>
                </w:r>
              </w:p>
            </w:tc>
            <w:tc>
              <w:tcPr>
                <w:tcW w:w="3402" w:type="dxa"/>
              </w:tcPr>
              <w:p w14:paraId="73F47F53" w14:textId="77777777" w:rsidR="0087127C" w:rsidRPr="004F2416" w:rsidRDefault="0087127C" w:rsidP="0087127C">
                <w:pPr>
                  <w:tabs>
                    <w:tab w:val="left" w:pos="3122"/>
                    <w:tab w:val="right" w:pos="8838"/>
                  </w:tabs>
                  <w:ind w:left="-105" w:right="-105"/>
                  <w:rPr>
                    <w:rFonts w:eastAsia="Calibri" w:cs="Tahoma"/>
                    <w:szCs w:val="22"/>
                    <w:lang w:eastAsia="en-US"/>
                  </w:rPr>
                </w:pPr>
              </w:p>
            </w:tc>
          </w:tr>
          <w:bookmarkEnd w:id="1"/>
          <w:tr w:rsidR="0087127C" w:rsidRPr="004F2416" w14:paraId="00E6CDC1" w14:textId="77777777" w:rsidTr="0087127C">
            <w:trPr>
              <w:trHeight w:val="283"/>
            </w:trPr>
            <w:tc>
              <w:tcPr>
                <w:tcW w:w="2727" w:type="dxa"/>
              </w:tcPr>
              <w:p w14:paraId="0631AD24" w14:textId="77777777" w:rsidR="0087127C" w:rsidRPr="004F2416" w:rsidRDefault="0087127C"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037C5388" w:rsidR="0087127C" w:rsidRPr="004F2416" w:rsidRDefault="00F65E18" w:rsidP="0087127C">
                <w:pPr>
                  <w:tabs>
                    <w:tab w:val="left" w:pos="2834"/>
                    <w:tab w:val="right" w:pos="8838"/>
                  </w:tabs>
                  <w:ind w:left="-108" w:right="-105"/>
                  <w:rPr>
                    <w:rFonts w:eastAsia="Calibri" w:cs="Tahoma"/>
                    <w:szCs w:val="22"/>
                    <w:lang w:eastAsia="en-US"/>
                  </w:rPr>
                </w:pPr>
                <w:r w:rsidRPr="00F65E18">
                  <w:rPr>
                    <w:rFonts w:eastAsia="Calibri" w:cs="Tahoma"/>
                    <w:szCs w:val="22"/>
                    <w:lang w:eastAsia="en-US"/>
                  </w:rPr>
                  <w:t>Ayuntamiento de Ecatepec de Morelos</w:t>
                </w:r>
              </w:p>
            </w:tc>
            <w:tc>
              <w:tcPr>
                <w:tcW w:w="3402" w:type="dxa"/>
              </w:tcPr>
              <w:p w14:paraId="3A7DA319" w14:textId="77777777" w:rsidR="0087127C" w:rsidRPr="004F2416" w:rsidRDefault="0087127C" w:rsidP="0087127C">
                <w:pPr>
                  <w:tabs>
                    <w:tab w:val="left" w:pos="2834"/>
                    <w:tab w:val="right" w:pos="8838"/>
                  </w:tabs>
                  <w:ind w:left="-108" w:right="-105"/>
                  <w:rPr>
                    <w:rFonts w:eastAsia="Calibri" w:cs="Tahoma"/>
                    <w:szCs w:val="22"/>
                    <w:lang w:eastAsia="en-US"/>
                  </w:rPr>
                </w:pPr>
              </w:p>
            </w:tc>
          </w:tr>
          <w:tr w:rsidR="0087127C" w:rsidRPr="00330DA7" w14:paraId="0F6CD8D2" w14:textId="77777777" w:rsidTr="0087127C">
            <w:trPr>
              <w:trHeight w:val="283"/>
            </w:trPr>
            <w:tc>
              <w:tcPr>
                <w:tcW w:w="2727" w:type="dxa"/>
              </w:tcPr>
              <w:p w14:paraId="31700628" w14:textId="281F62DD" w:rsidR="0087127C" w:rsidRPr="004F2416" w:rsidRDefault="0087127C"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sidR="00E834F8">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87127C" w:rsidRPr="00EA66FC" w:rsidRDefault="0087127C"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87127C" w:rsidRPr="00330DA7" w:rsidRDefault="0087127C" w:rsidP="0087127C">
                <w:pPr>
                  <w:tabs>
                    <w:tab w:val="right" w:pos="8838"/>
                  </w:tabs>
                  <w:ind w:left="-108" w:right="-105"/>
                  <w:rPr>
                    <w:rFonts w:eastAsia="Calibri" w:cs="Tahoma"/>
                    <w:szCs w:val="22"/>
                    <w:lang w:eastAsia="en-US"/>
                  </w:rPr>
                </w:pPr>
              </w:p>
            </w:tc>
          </w:tr>
        </w:tbl>
        <w:p w14:paraId="5DC6AC61" w14:textId="77777777" w:rsidR="0087127C" w:rsidRPr="00330DA7" w:rsidRDefault="0087127C" w:rsidP="0087127C">
          <w:pPr>
            <w:tabs>
              <w:tab w:val="right" w:pos="8838"/>
            </w:tabs>
            <w:ind w:left="-28"/>
            <w:rPr>
              <w:rFonts w:ascii="Arial" w:eastAsia="Calibri" w:hAnsi="Arial" w:cs="Arial"/>
              <w:b/>
              <w:szCs w:val="22"/>
              <w:lang w:eastAsia="en-US"/>
            </w:rPr>
          </w:pPr>
        </w:p>
      </w:tc>
    </w:tr>
  </w:tbl>
  <w:p w14:paraId="2A906731" w14:textId="77777777" w:rsidR="0087127C" w:rsidRPr="00765661" w:rsidRDefault="00D67B89"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7B2D"/>
    <w:rsid w:val="00070ED3"/>
    <w:rsid w:val="000D0D67"/>
    <w:rsid w:val="000E052E"/>
    <w:rsid w:val="000E09C4"/>
    <w:rsid w:val="0011350D"/>
    <w:rsid w:val="00141876"/>
    <w:rsid w:val="00150C49"/>
    <w:rsid w:val="00151010"/>
    <w:rsid w:val="001524CF"/>
    <w:rsid w:val="001A58B3"/>
    <w:rsid w:val="001A633B"/>
    <w:rsid w:val="001C1ADC"/>
    <w:rsid w:val="001C7688"/>
    <w:rsid w:val="001D2DED"/>
    <w:rsid w:val="001F3515"/>
    <w:rsid w:val="002251D8"/>
    <w:rsid w:val="0023177F"/>
    <w:rsid w:val="00233005"/>
    <w:rsid w:val="002338D4"/>
    <w:rsid w:val="00233F17"/>
    <w:rsid w:val="002568F8"/>
    <w:rsid w:val="002A3601"/>
    <w:rsid w:val="002B7C6F"/>
    <w:rsid w:val="002C2588"/>
    <w:rsid w:val="002C4294"/>
    <w:rsid w:val="002C5B41"/>
    <w:rsid w:val="00302476"/>
    <w:rsid w:val="0031098F"/>
    <w:rsid w:val="00331F35"/>
    <w:rsid w:val="0034218F"/>
    <w:rsid w:val="00362A11"/>
    <w:rsid w:val="003754F3"/>
    <w:rsid w:val="00380417"/>
    <w:rsid w:val="003A40C1"/>
    <w:rsid w:val="003F35FD"/>
    <w:rsid w:val="0040558E"/>
    <w:rsid w:val="0041385B"/>
    <w:rsid w:val="00426165"/>
    <w:rsid w:val="00441BFA"/>
    <w:rsid w:val="00454FBD"/>
    <w:rsid w:val="004D7CD8"/>
    <w:rsid w:val="004E5068"/>
    <w:rsid w:val="004F2416"/>
    <w:rsid w:val="004F7A00"/>
    <w:rsid w:val="0050447B"/>
    <w:rsid w:val="005365FA"/>
    <w:rsid w:val="005723CB"/>
    <w:rsid w:val="00575400"/>
    <w:rsid w:val="005941FB"/>
    <w:rsid w:val="005A0A5F"/>
    <w:rsid w:val="005B18AF"/>
    <w:rsid w:val="005D5A50"/>
    <w:rsid w:val="005F5301"/>
    <w:rsid w:val="005F65B7"/>
    <w:rsid w:val="006067C7"/>
    <w:rsid w:val="00615506"/>
    <w:rsid w:val="006159AD"/>
    <w:rsid w:val="00622D73"/>
    <w:rsid w:val="00646436"/>
    <w:rsid w:val="006477B0"/>
    <w:rsid w:val="00650C8A"/>
    <w:rsid w:val="00664420"/>
    <w:rsid w:val="00685AD3"/>
    <w:rsid w:val="006946E4"/>
    <w:rsid w:val="006B10B0"/>
    <w:rsid w:val="006C4BA7"/>
    <w:rsid w:val="006D1510"/>
    <w:rsid w:val="006E25BC"/>
    <w:rsid w:val="006E6BBC"/>
    <w:rsid w:val="006F7768"/>
    <w:rsid w:val="00717E59"/>
    <w:rsid w:val="00736C57"/>
    <w:rsid w:val="00757B03"/>
    <w:rsid w:val="00775BFC"/>
    <w:rsid w:val="007B6074"/>
    <w:rsid w:val="007C5C93"/>
    <w:rsid w:val="007C6EB2"/>
    <w:rsid w:val="007D1C55"/>
    <w:rsid w:val="007D317F"/>
    <w:rsid w:val="007F5D06"/>
    <w:rsid w:val="0084341B"/>
    <w:rsid w:val="00865CF4"/>
    <w:rsid w:val="00867160"/>
    <w:rsid w:val="0087127C"/>
    <w:rsid w:val="00876DBC"/>
    <w:rsid w:val="008A6003"/>
    <w:rsid w:val="008A6F88"/>
    <w:rsid w:val="008B09E4"/>
    <w:rsid w:val="008B1E16"/>
    <w:rsid w:val="008C31AC"/>
    <w:rsid w:val="008C48EE"/>
    <w:rsid w:val="00900C44"/>
    <w:rsid w:val="00910FD2"/>
    <w:rsid w:val="009275A3"/>
    <w:rsid w:val="00931437"/>
    <w:rsid w:val="00952D40"/>
    <w:rsid w:val="00953430"/>
    <w:rsid w:val="009578F9"/>
    <w:rsid w:val="00970EB3"/>
    <w:rsid w:val="009950D7"/>
    <w:rsid w:val="009A2B26"/>
    <w:rsid w:val="009A2D78"/>
    <w:rsid w:val="009A7C10"/>
    <w:rsid w:val="009B2945"/>
    <w:rsid w:val="009D0146"/>
    <w:rsid w:val="009D75C9"/>
    <w:rsid w:val="009F797C"/>
    <w:rsid w:val="00A125C7"/>
    <w:rsid w:val="00A131AC"/>
    <w:rsid w:val="00A16D85"/>
    <w:rsid w:val="00A17059"/>
    <w:rsid w:val="00A203C6"/>
    <w:rsid w:val="00A21A20"/>
    <w:rsid w:val="00A3293F"/>
    <w:rsid w:val="00A47593"/>
    <w:rsid w:val="00A53315"/>
    <w:rsid w:val="00A65695"/>
    <w:rsid w:val="00A713F6"/>
    <w:rsid w:val="00A9208D"/>
    <w:rsid w:val="00AA26B0"/>
    <w:rsid w:val="00AA6EA9"/>
    <w:rsid w:val="00AC2B99"/>
    <w:rsid w:val="00AC2DB8"/>
    <w:rsid w:val="00AC3CA0"/>
    <w:rsid w:val="00AE3DA7"/>
    <w:rsid w:val="00AE5C5C"/>
    <w:rsid w:val="00AF03C4"/>
    <w:rsid w:val="00AF6A7A"/>
    <w:rsid w:val="00B22A80"/>
    <w:rsid w:val="00B62B67"/>
    <w:rsid w:val="00BA55A8"/>
    <w:rsid w:val="00BB2ABF"/>
    <w:rsid w:val="00BB64F4"/>
    <w:rsid w:val="00BD3F4F"/>
    <w:rsid w:val="00BE27D2"/>
    <w:rsid w:val="00BF0221"/>
    <w:rsid w:val="00BF091A"/>
    <w:rsid w:val="00C049E2"/>
    <w:rsid w:val="00C175A7"/>
    <w:rsid w:val="00C36795"/>
    <w:rsid w:val="00C461EC"/>
    <w:rsid w:val="00C507D4"/>
    <w:rsid w:val="00C71CEF"/>
    <w:rsid w:val="00C72DAA"/>
    <w:rsid w:val="00CD0B92"/>
    <w:rsid w:val="00CE29D3"/>
    <w:rsid w:val="00CF2D8B"/>
    <w:rsid w:val="00CF7586"/>
    <w:rsid w:val="00D036D3"/>
    <w:rsid w:val="00D2790D"/>
    <w:rsid w:val="00D41B3C"/>
    <w:rsid w:val="00D51ECD"/>
    <w:rsid w:val="00D6170E"/>
    <w:rsid w:val="00D67B89"/>
    <w:rsid w:val="00D91CB4"/>
    <w:rsid w:val="00DD5F50"/>
    <w:rsid w:val="00DD6EF3"/>
    <w:rsid w:val="00DE1133"/>
    <w:rsid w:val="00DF03AD"/>
    <w:rsid w:val="00E06F53"/>
    <w:rsid w:val="00E16BF5"/>
    <w:rsid w:val="00E37A3F"/>
    <w:rsid w:val="00E62E6A"/>
    <w:rsid w:val="00E834F8"/>
    <w:rsid w:val="00E83EF5"/>
    <w:rsid w:val="00E9335C"/>
    <w:rsid w:val="00E937AE"/>
    <w:rsid w:val="00EA0D03"/>
    <w:rsid w:val="00EA16DC"/>
    <w:rsid w:val="00EA1B35"/>
    <w:rsid w:val="00ED1C1E"/>
    <w:rsid w:val="00F07EE6"/>
    <w:rsid w:val="00F1385D"/>
    <w:rsid w:val="00F17375"/>
    <w:rsid w:val="00F33CC8"/>
    <w:rsid w:val="00F65DE0"/>
    <w:rsid w:val="00F65E18"/>
    <w:rsid w:val="00F75D23"/>
    <w:rsid w:val="00F874C5"/>
    <w:rsid w:val="00FA5957"/>
    <w:rsid w:val="00FB6780"/>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14012CC9-9073-44F0-B2F6-ADDB7B0A4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34</Pages>
  <Words>8728</Words>
  <Characters>48005</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2024-10-10T16:43:00Z</cp:lastPrinted>
  <dcterms:created xsi:type="dcterms:W3CDTF">2024-10-02T16:58:00Z</dcterms:created>
  <dcterms:modified xsi:type="dcterms:W3CDTF">2024-11-13T00:40:00Z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