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7B4E2"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diecisiete de enero de dos mil veinticuatro. </w:t>
      </w:r>
    </w:p>
    <w:p w14:paraId="3CE32B3A" w14:textId="37537591"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VISTO</w:t>
      </w:r>
      <w:r w:rsidRPr="001F764A">
        <w:rPr>
          <w:rFonts w:ascii="Palatino Linotype" w:eastAsia="Palatino Linotype" w:hAnsi="Palatino Linotype" w:cs="Palatino Linotype"/>
        </w:rPr>
        <w:t xml:space="preserve"> el expediente formado con motivo del recurso de revisión </w:t>
      </w:r>
      <w:r w:rsidRPr="001F764A">
        <w:rPr>
          <w:rFonts w:ascii="Palatino Linotype" w:eastAsia="Palatino Linotype" w:hAnsi="Palatino Linotype" w:cs="Palatino Linotype"/>
          <w:b/>
        </w:rPr>
        <w:t>03014/INFOEM/IP/RR/2023</w:t>
      </w:r>
      <w:r w:rsidRPr="001F764A">
        <w:rPr>
          <w:rFonts w:ascii="Palatino Linotype" w:eastAsia="Palatino Linotype" w:hAnsi="Palatino Linotype" w:cs="Palatino Linotype"/>
        </w:rPr>
        <w:t xml:space="preserve">, interpuesto por </w:t>
      </w:r>
      <w:r w:rsidR="00820EA2">
        <w:rPr>
          <w:rFonts w:ascii="Palatino Linotype" w:eastAsia="Palatino Linotype" w:hAnsi="Palatino Linotype" w:cs="Palatino Linotype"/>
          <w:b/>
        </w:rPr>
        <w:t>XXXXXXXXXXX XXXXXXX</w:t>
      </w:r>
      <w:bookmarkStart w:id="0" w:name="_GoBack"/>
      <w:bookmarkEnd w:id="0"/>
      <w:r w:rsidRPr="001F764A">
        <w:rPr>
          <w:rFonts w:ascii="Palatino Linotype" w:eastAsia="Palatino Linotype" w:hAnsi="Palatino Linotype" w:cs="Palatino Linotype"/>
          <w:b/>
        </w:rPr>
        <w:t>,</w:t>
      </w:r>
      <w:r w:rsidRPr="001F764A">
        <w:rPr>
          <w:rFonts w:ascii="Palatino Linotype" w:eastAsia="Palatino Linotype" w:hAnsi="Palatino Linotype" w:cs="Palatino Linotype"/>
        </w:rPr>
        <w:t xml:space="preserve"> en lo sucesivo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en contra de la respuesta a su solicitud de información con número de folio</w:t>
      </w:r>
      <w:r w:rsidRPr="001F764A">
        <w:rPr>
          <w:rFonts w:ascii="Palatino Linotype" w:eastAsia="Palatino Linotype" w:hAnsi="Palatino Linotype" w:cs="Palatino Linotype"/>
          <w:b/>
        </w:rPr>
        <w:t xml:space="preserve"> </w:t>
      </w:r>
      <w:r w:rsidRPr="001F764A">
        <w:rPr>
          <w:rFonts w:ascii="Verdana" w:eastAsia="Verdana" w:hAnsi="Verdana" w:cs="Verdana"/>
          <w:b/>
          <w:color w:val="FF0000"/>
        </w:rPr>
        <w:t> </w:t>
      </w:r>
      <w:r w:rsidRPr="001F764A">
        <w:rPr>
          <w:rFonts w:ascii="Palatino Linotype" w:eastAsia="Palatino Linotype" w:hAnsi="Palatino Linotype" w:cs="Palatino Linotype"/>
          <w:b/>
        </w:rPr>
        <w:t>00097/TULTITLA/IP/2023,</w:t>
      </w:r>
      <w:r w:rsidRPr="001F764A">
        <w:rPr>
          <w:rFonts w:ascii="Verdana" w:eastAsia="Verdana" w:hAnsi="Verdana" w:cs="Verdana"/>
          <w:b/>
          <w:color w:val="FF0000"/>
        </w:rPr>
        <w:t xml:space="preserve"> </w:t>
      </w:r>
      <w:r w:rsidRPr="001F764A">
        <w:rPr>
          <w:rFonts w:ascii="Palatino Linotype" w:eastAsia="Palatino Linotype" w:hAnsi="Palatino Linotype" w:cs="Palatino Linotype"/>
        </w:rPr>
        <w:t xml:space="preserve">por parte del </w:t>
      </w:r>
      <w:r w:rsidRPr="001F764A">
        <w:rPr>
          <w:rFonts w:ascii="Palatino Linotype" w:eastAsia="Palatino Linotype" w:hAnsi="Palatino Linotype" w:cs="Palatino Linotype"/>
          <w:b/>
        </w:rPr>
        <w:t xml:space="preserve">Ayuntamiento de Tultitlán, </w:t>
      </w:r>
      <w:r w:rsidRPr="001F764A">
        <w:rPr>
          <w:rFonts w:ascii="Palatino Linotype" w:eastAsia="Palatino Linotype" w:hAnsi="Palatino Linotype" w:cs="Palatino Linotype"/>
        </w:rPr>
        <w:t xml:space="preserve">en lo sucesivo el </w:t>
      </w:r>
      <w:r w:rsidRPr="001F764A">
        <w:rPr>
          <w:rFonts w:ascii="Palatino Linotype" w:eastAsia="Palatino Linotype" w:hAnsi="Palatino Linotype" w:cs="Palatino Linotype"/>
          <w:b/>
        </w:rPr>
        <w:t xml:space="preserve">SUJETO OBLIGADO, </w:t>
      </w:r>
      <w:r w:rsidRPr="001F764A">
        <w:rPr>
          <w:rFonts w:ascii="Palatino Linotype" w:eastAsia="Palatino Linotype" w:hAnsi="Palatino Linotype" w:cs="Palatino Linotype"/>
        </w:rPr>
        <w:t xml:space="preserve">se procede a dictar la presente resolución con base en los siguientes: </w:t>
      </w:r>
    </w:p>
    <w:p w14:paraId="71FE23D6" w14:textId="77777777" w:rsidR="00F51EFF" w:rsidRPr="001F764A" w:rsidRDefault="00CF7D80">
      <w:pPr>
        <w:spacing w:before="240" w:after="240" w:line="360" w:lineRule="auto"/>
        <w:jc w:val="center"/>
        <w:rPr>
          <w:rFonts w:ascii="Palatino Linotype" w:eastAsia="Palatino Linotype" w:hAnsi="Palatino Linotype" w:cs="Palatino Linotype"/>
          <w:b/>
        </w:rPr>
      </w:pPr>
      <w:r w:rsidRPr="001F764A">
        <w:rPr>
          <w:rFonts w:ascii="Palatino Linotype" w:eastAsia="Palatino Linotype" w:hAnsi="Palatino Linotype" w:cs="Palatino Linotype"/>
          <w:b/>
        </w:rPr>
        <w:t>I. A N T E C E D E N T E S</w:t>
      </w:r>
    </w:p>
    <w:p w14:paraId="3DB1CBCB"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1. Solicitud de acceso a la información.</w:t>
      </w:r>
      <w:r w:rsidRPr="001F764A">
        <w:rPr>
          <w:rFonts w:ascii="Palatino Linotype" w:eastAsia="Palatino Linotype" w:hAnsi="Palatino Linotype" w:cs="Palatino Linotype"/>
        </w:rPr>
        <w:t xml:space="preserve"> Con fecha </w:t>
      </w:r>
      <w:r w:rsidRPr="001F764A">
        <w:rPr>
          <w:rFonts w:ascii="Palatino Linotype" w:eastAsia="Palatino Linotype" w:hAnsi="Palatino Linotype" w:cs="Palatino Linotype"/>
          <w:b/>
        </w:rPr>
        <w:t>veintiséis de abril</w:t>
      </w:r>
      <w:r w:rsidRPr="001F764A">
        <w:rPr>
          <w:rFonts w:ascii="Palatino Linotype" w:eastAsia="Palatino Linotype" w:hAnsi="Palatino Linotype" w:cs="Palatino Linotype"/>
          <w:b/>
          <w:color w:val="FF0000"/>
        </w:rPr>
        <w:t xml:space="preserve"> </w:t>
      </w:r>
      <w:r w:rsidRPr="001F764A">
        <w:rPr>
          <w:rFonts w:ascii="Palatino Linotype" w:eastAsia="Palatino Linotype" w:hAnsi="Palatino Linotype" w:cs="Palatino Linotype"/>
          <w:b/>
        </w:rPr>
        <w:t>de dos mil veintitrés,</w:t>
      </w:r>
      <w:r w:rsidRPr="001F764A">
        <w:rPr>
          <w:rFonts w:ascii="Palatino Linotype" w:eastAsia="Palatino Linotype" w:hAnsi="Palatino Linotype" w:cs="Palatino Linotype"/>
        </w:rPr>
        <w:t xml:space="preserve"> la parte </w:t>
      </w:r>
      <w:r w:rsidRPr="001F764A">
        <w:rPr>
          <w:rFonts w:ascii="Palatino Linotype" w:eastAsia="Palatino Linotype" w:hAnsi="Palatino Linotype" w:cs="Palatino Linotype"/>
          <w:b/>
        </w:rPr>
        <w:t xml:space="preserve">RECURRENTE </w:t>
      </w:r>
      <w:r w:rsidRPr="001F764A">
        <w:rPr>
          <w:rFonts w:ascii="Palatino Linotype" w:eastAsia="Palatino Linotype" w:hAnsi="Palatino Linotype" w:cs="Palatino Linotype"/>
        </w:rPr>
        <w:t xml:space="preserve">presentó, a través del Sistema de Acceso a la Información Mexiquense, en lo subsecuente el </w:t>
      </w:r>
      <w:r w:rsidRPr="001F764A">
        <w:rPr>
          <w:rFonts w:ascii="Palatino Linotype" w:eastAsia="Palatino Linotype" w:hAnsi="Palatino Linotype" w:cs="Palatino Linotype"/>
          <w:b/>
        </w:rPr>
        <w:t>SAIMEX,</w:t>
      </w:r>
      <w:r w:rsidRPr="001F764A">
        <w:rPr>
          <w:rFonts w:ascii="Palatino Linotype" w:eastAsia="Palatino Linotype" w:hAnsi="Palatino Linotype" w:cs="Palatino Linotype"/>
        </w:rPr>
        <w:t xml:space="preserve"> ante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la solicitud de acceso a la información pública, a la que se le asignó el número</w:t>
      </w:r>
      <w:r w:rsidRPr="001F764A">
        <w:rPr>
          <w:rFonts w:ascii="Palatino Linotype" w:eastAsia="Palatino Linotype" w:hAnsi="Palatino Linotype" w:cs="Palatino Linotype"/>
          <w:b/>
        </w:rPr>
        <w:t xml:space="preserve"> 00097/TULTITLA/IP/2023, </w:t>
      </w:r>
      <w:r w:rsidRPr="001F764A">
        <w:rPr>
          <w:rFonts w:ascii="Palatino Linotype" w:eastAsia="Palatino Linotype" w:hAnsi="Palatino Linotype" w:cs="Palatino Linotype"/>
        </w:rPr>
        <w:t xml:space="preserve">mediante la cual requirió la información siguiente: </w:t>
      </w:r>
    </w:p>
    <w:p w14:paraId="68E3F8BF" w14:textId="77777777" w:rsidR="00F51EFF" w:rsidRPr="001F764A" w:rsidRDefault="00CF7D8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F764A">
        <w:rPr>
          <w:rFonts w:ascii="Palatino Linotype" w:eastAsia="Palatino Linotype" w:hAnsi="Palatino Linotype" w:cs="Palatino Linotype"/>
          <w:i/>
          <w:sz w:val="22"/>
          <w:szCs w:val="22"/>
        </w:rPr>
        <w:t>“PLANOS DE LOTIFICACION AUTORIZADOS DE LA COLONIA/PUEBLO SAN PABLO DE LAS SALINAS EN EL CUAL SE SEÑALEN LAS ÁREAS VERDES, LAS ÁREAS DE DONACIÓN, LAS ÁREAS DE EQUIPAMIENTO Y TODA LA LOTIFICACION AUTORIZADA” (Sic)</w:t>
      </w:r>
    </w:p>
    <w:p w14:paraId="0CCA949A" w14:textId="77777777" w:rsidR="00F51EFF" w:rsidRPr="001F764A" w:rsidRDefault="00F51EFF">
      <w:pPr>
        <w:spacing w:before="240"/>
        <w:ind w:left="851" w:right="902"/>
        <w:jc w:val="both"/>
        <w:rPr>
          <w:rFonts w:ascii="Palatino Linotype" w:eastAsia="Palatino Linotype" w:hAnsi="Palatino Linotype" w:cs="Palatino Linotype"/>
          <w:i/>
          <w:sz w:val="22"/>
          <w:szCs w:val="22"/>
        </w:rPr>
      </w:pPr>
    </w:p>
    <w:p w14:paraId="52B389EC"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lastRenderedPageBreak/>
        <w:t>Modalidad de Entrega:</w:t>
      </w:r>
      <w:r w:rsidRPr="001F764A">
        <w:rPr>
          <w:rFonts w:ascii="Palatino Linotype" w:eastAsia="Palatino Linotype" w:hAnsi="Palatino Linotype" w:cs="Palatino Linotype"/>
        </w:rPr>
        <w:t xml:space="preserve"> </w:t>
      </w:r>
      <w:r w:rsidRPr="001F764A">
        <w:rPr>
          <w:rFonts w:ascii="Palatino Linotype" w:eastAsia="Palatino Linotype" w:hAnsi="Palatino Linotype" w:cs="Palatino Linotype"/>
          <w:i/>
          <w:sz w:val="22"/>
          <w:szCs w:val="22"/>
        </w:rPr>
        <w:t>DE MANERA FISICA Y EN ARCHIVO ELECTRONICO USB EN FORMATO PDF.</w:t>
      </w:r>
    </w:p>
    <w:p w14:paraId="4CBF027E" w14:textId="77777777" w:rsidR="00F51EFF" w:rsidRPr="001F764A" w:rsidRDefault="00F51EFF">
      <w:pPr>
        <w:spacing w:line="360" w:lineRule="auto"/>
        <w:jc w:val="both"/>
        <w:rPr>
          <w:rFonts w:ascii="Palatino Linotype" w:eastAsia="Palatino Linotype" w:hAnsi="Palatino Linotype" w:cs="Palatino Linotype"/>
        </w:rPr>
      </w:pPr>
    </w:p>
    <w:p w14:paraId="56CF7ADB" w14:textId="77777777" w:rsidR="00BF2B15" w:rsidRPr="001F764A" w:rsidRDefault="00CF7D80" w:rsidP="00BF2B15">
      <w:pPr>
        <w:spacing w:before="240" w:after="240" w:line="360" w:lineRule="auto"/>
        <w:jc w:val="both"/>
        <w:rPr>
          <w:rFonts w:ascii="Palatino Linotype" w:eastAsia="Palatino Linotype" w:hAnsi="Palatino Linotype" w:cs="Palatino Linotype"/>
          <w:b/>
        </w:rPr>
      </w:pPr>
      <w:r w:rsidRPr="001F764A">
        <w:rPr>
          <w:rFonts w:ascii="Palatino Linotype" w:eastAsia="Palatino Linotype" w:hAnsi="Palatino Linotype" w:cs="Palatino Linotype"/>
          <w:b/>
        </w:rPr>
        <w:t xml:space="preserve">2. </w:t>
      </w:r>
      <w:r w:rsidR="00BF2B15" w:rsidRPr="001F764A">
        <w:rPr>
          <w:rFonts w:ascii="Palatino Linotype" w:eastAsia="Palatino Linotype" w:hAnsi="Palatino Linotype" w:cs="Palatino Linotype"/>
          <w:b/>
        </w:rPr>
        <w:t xml:space="preserve">Prorroga. </w:t>
      </w:r>
      <w:r w:rsidR="00BF2B15" w:rsidRPr="001F764A">
        <w:rPr>
          <w:rFonts w:ascii="Palatino Linotype" w:eastAsia="Palatino Linotype" w:hAnsi="Palatino Linotype" w:cs="Palatino Linotype"/>
        </w:rPr>
        <w:t xml:space="preserve">Con fecha </w:t>
      </w:r>
      <w:r w:rsidR="00BF2B15" w:rsidRPr="001F764A">
        <w:rPr>
          <w:rFonts w:ascii="Palatino Linotype" w:eastAsia="Palatino Linotype" w:hAnsi="Palatino Linotype" w:cs="Palatino Linotype"/>
          <w:b/>
        </w:rPr>
        <w:t xml:space="preserve">dieciocho de mayo de dos mil veintitrés, </w:t>
      </w:r>
      <w:r w:rsidR="00BF2B15" w:rsidRPr="001F764A">
        <w:rPr>
          <w:rFonts w:ascii="Palatino Linotype" w:eastAsia="Palatino Linotype" w:hAnsi="Palatino Linotype" w:cs="Palatino Linotype"/>
        </w:rPr>
        <w:t xml:space="preserve">el </w:t>
      </w:r>
      <w:r w:rsidR="00BF2B15" w:rsidRPr="001F764A">
        <w:rPr>
          <w:rFonts w:ascii="Palatino Linotype" w:eastAsia="Palatino Linotype" w:hAnsi="Palatino Linotype" w:cs="Palatino Linotype"/>
          <w:b/>
        </w:rPr>
        <w:t>Sujeto Obligado</w:t>
      </w:r>
      <w:r w:rsidR="00BF2B15" w:rsidRPr="001F764A">
        <w:rPr>
          <w:rFonts w:ascii="Palatino Linotype" w:eastAsia="Palatino Linotype" w:hAnsi="Palatino Linotype" w:cs="Palatino Linotype"/>
        </w:rPr>
        <w:t xml:space="preserve">, solicitó prórroga mediante </w:t>
      </w:r>
      <w:r w:rsidR="00BF2B15" w:rsidRPr="001F764A">
        <w:rPr>
          <w:rFonts w:ascii="Palatino Linotype" w:eastAsia="Palatino Linotype" w:hAnsi="Palatino Linotype" w:cs="Palatino Linotype"/>
          <w:b/>
        </w:rPr>
        <w:t xml:space="preserve">SAIMEX, </w:t>
      </w:r>
      <w:r w:rsidR="00BF2B15" w:rsidRPr="001F764A">
        <w:rPr>
          <w:rFonts w:ascii="Palatino Linotype" w:eastAsia="Palatino Linotype" w:hAnsi="Palatino Linotype" w:cs="Palatino Linotype"/>
        </w:rPr>
        <w:t>argumentando lo siguiente:</w:t>
      </w:r>
    </w:p>
    <w:p w14:paraId="70A910A7" w14:textId="77777777" w:rsidR="00BF2B15" w:rsidRPr="001F764A" w:rsidRDefault="00BF2B15" w:rsidP="00BF2B15">
      <w:pPr>
        <w:spacing w:before="240" w:after="240"/>
        <w:ind w:left="851" w:right="902"/>
        <w:contextualSpacing/>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0F0C27E" w14:textId="77777777" w:rsidR="00BF2B15" w:rsidRPr="001F764A" w:rsidRDefault="00BF2B15" w:rsidP="00BF2B15">
      <w:pPr>
        <w:spacing w:before="240" w:after="240"/>
        <w:ind w:left="851" w:right="902"/>
        <w:contextualSpacing/>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p>
    <w:p w14:paraId="4F621DEF" w14:textId="77777777" w:rsidR="00BF2B15" w:rsidRPr="001F764A" w:rsidRDefault="00BF2B15" w:rsidP="00BF2B15">
      <w:pPr>
        <w:spacing w:before="240" w:after="240"/>
        <w:ind w:left="851" w:right="902"/>
        <w:contextualSpacing/>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C. AARON MANUEL RUIZ ZUBIETA</w:t>
      </w:r>
    </w:p>
    <w:p w14:paraId="02234294" w14:textId="77777777" w:rsidR="00BF2B15" w:rsidRPr="001F764A" w:rsidRDefault="00BF2B15" w:rsidP="00BF2B15">
      <w:pPr>
        <w:spacing w:before="240" w:after="240"/>
        <w:ind w:left="851" w:right="902"/>
        <w:contextualSpacing/>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Responsable de la Unidad de Transparencia.”</w:t>
      </w:r>
    </w:p>
    <w:p w14:paraId="1DBDD8B2" w14:textId="77777777" w:rsidR="00BF2B15" w:rsidRPr="001F764A" w:rsidRDefault="00BF2B15" w:rsidP="00BF2B15">
      <w:pPr>
        <w:spacing w:before="240" w:after="240"/>
        <w:ind w:left="851" w:right="902"/>
        <w:contextualSpacing/>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ab/>
      </w:r>
    </w:p>
    <w:p w14:paraId="172EEF99" w14:textId="77777777" w:rsidR="00BF2B15" w:rsidRPr="001F764A" w:rsidRDefault="00BF2B15" w:rsidP="00BF2B15">
      <w:pPr>
        <w:spacing w:line="360" w:lineRule="auto"/>
        <w:jc w:val="both"/>
        <w:rPr>
          <w:rFonts w:ascii="Palatino Linotype" w:hAnsi="Palatino Linotype" w:cs="Arial"/>
        </w:rPr>
      </w:pPr>
      <w:r w:rsidRPr="001F764A">
        <w:rPr>
          <w:rFonts w:ascii="Palatino Linotype" w:hAnsi="Palatino Linotype" w:cs="Arial"/>
        </w:rPr>
        <w:t xml:space="preserve">Como refiere el </w:t>
      </w:r>
      <w:r w:rsidRPr="001F764A">
        <w:rPr>
          <w:rFonts w:ascii="Palatino Linotype" w:hAnsi="Palatino Linotype" w:cs="Arial"/>
          <w:b/>
          <w:bCs/>
        </w:rPr>
        <w:t>SUJETO OBLIGADO</w:t>
      </w:r>
      <w:r w:rsidRPr="001F764A">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EAA7D45" w14:textId="77777777" w:rsidR="00BF2B15" w:rsidRPr="001F764A" w:rsidRDefault="00BF2B15">
      <w:pPr>
        <w:spacing w:after="240" w:line="360" w:lineRule="auto"/>
        <w:jc w:val="both"/>
        <w:rPr>
          <w:rFonts w:ascii="Palatino Linotype" w:eastAsia="Palatino Linotype" w:hAnsi="Palatino Linotype" w:cs="Palatino Linotype"/>
          <w:b/>
        </w:rPr>
      </w:pPr>
    </w:p>
    <w:p w14:paraId="6D94C536" w14:textId="77777777" w:rsidR="00F51EFF" w:rsidRPr="001F764A" w:rsidRDefault="00BF2B15">
      <w:pPr>
        <w:spacing w:after="240" w:line="360" w:lineRule="auto"/>
        <w:jc w:val="both"/>
        <w:rPr>
          <w:rFonts w:ascii="Palatino Linotype" w:eastAsia="Palatino Linotype" w:hAnsi="Palatino Linotype" w:cs="Palatino Linotype"/>
          <w:b/>
        </w:rPr>
      </w:pPr>
      <w:r w:rsidRPr="001F764A">
        <w:rPr>
          <w:rFonts w:ascii="Palatino Linotype" w:eastAsia="Palatino Linotype" w:hAnsi="Palatino Linotype" w:cs="Palatino Linotype"/>
          <w:b/>
        </w:rPr>
        <w:lastRenderedPageBreak/>
        <w:t xml:space="preserve">3. </w:t>
      </w:r>
      <w:r w:rsidR="00CF7D80" w:rsidRPr="001F764A">
        <w:rPr>
          <w:rFonts w:ascii="Palatino Linotype" w:eastAsia="Palatino Linotype" w:hAnsi="Palatino Linotype" w:cs="Palatino Linotype"/>
          <w:b/>
        </w:rPr>
        <w:t xml:space="preserve">Respuesta. </w:t>
      </w:r>
      <w:r w:rsidR="00CF7D80" w:rsidRPr="001F764A">
        <w:rPr>
          <w:rFonts w:ascii="Palatino Linotype" w:eastAsia="Palatino Linotype" w:hAnsi="Palatino Linotype" w:cs="Palatino Linotype"/>
        </w:rPr>
        <w:t xml:space="preserve">Con fecha </w:t>
      </w:r>
      <w:r w:rsidR="00CF7D80" w:rsidRPr="001F764A">
        <w:rPr>
          <w:rFonts w:ascii="Palatino Linotype" w:eastAsia="Palatino Linotype" w:hAnsi="Palatino Linotype" w:cs="Palatino Linotype"/>
          <w:b/>
        </w:rPr>
        <w:t>veintinueve de mayo de dos mil veintitrés</w:t>
      </w:r>
      <w:r w:rsidR="00CF7D80" w:rsidRPr="001F764A">
        <w:rPr>
          <w:rFonts w:ascii="Palatino Linotype" w:eastAsia="Palatino Linotype" w:hAnsi="Palatino Linotype" w:cs="Palatino Linotype"/>
        </w:rPr>
        <w:t xml:space="preserve">, el </w:t>
      </w:r>
      <w:r w:rsidR="00CF7D80" w:rsidRPr="001F764A">
        <w:rPr>
          <w:rFonts w:ascii="Palatino Linotype" w:eastAsia="Palatino Linotype" w:hAnsi="Palatino Linotype" w:cs="Palatino Linotype"/>
          <w:b/>
        </w:rPr>
        <w:t xml:space="preserve">SUJETO OBLIGADO </w:t>
      </w:r>
      <w:r w:rsidR="00CF7D80" w:rsidRPr="001F764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F5EA046" w14:textId="77777777" w:rsidR="00F51EFF" w:rsidRPr="001F764A" w:rsidRDefault="00CF7D80">
      <w:pPr>
        <w:spacing w:before="240" w:after="24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“…POR ESTE MEDIO RECIBA UN CORDIAL SALUDO; AL TIEMPO QUE APROVECHO PARA DAR RESPUESTA A SU SOLICITUD DE INFORMACIÓN INGRESADA A ESTA PLATAFORMA SAIMEX CON EL FOLIO 0097/ TULTITLA/IP/2023 CON ATENCIÓN POR PARTE DE LA DIRECCIÓN DE DESARROLLO URBANO (SOPORTE DOCUMENTAL ANEXO AL PRESENTE) SIN MAS POR EL MOMENTO QUEDO A SUS ORDENES EN EL TELÉFONO 26208900 EXTENSIÓN 1106...” (Sic)</w:t>
      </w:r>
    </w:p>
    <w:p w14:paraId="6C37A0C7" w14:textId="77777777" w:rsidR="00F51EFF" w:rsidRPr="001F764A" w:rsidRDefault="00CF7D80">
      <w:pPr>
        <w:spacing w:before="240" w:after="240" w:line="360" w:lineRule="auto"/>
        <w:ind w:right="49"/>
        <w:jc w:val="both"/>
        <w:rPr>
          <w:rFonts w:ascii="Palatino Linotype" w:eastAsia="Palatino Linotype" w:hAnsi="Palatino Linotype" w:cs="Palatino Linotype"/>
          <w:b/>
        </w:rPr>
      </w:pPr>
      <w:r w:rsidRPr="001F764A">
        <w:rPr>
          <w:rFonts w:ascii="Palatino Linotype" w:eastAsia="Palatino Linotype" w:hAnsi="Palatino Linotype" w:cs="Palatino Linotype"/>
          <w:b/>
        </w:rPr>
        <w:t>El SUJETO OBLIGADO, adjuntó a su respuesta los siguientes archivos electrónicos:</w:t>
      </w:r>
    </w:p>
    <w:p w14:paraId="2D1FDC2B"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w:t>
      </w:r>
      <w:hyperlink r:id="rId8">
        <w:r w:rsidRPr="001F764A">
          <w:rPr>
            <w:rFonts w:ascii="Palatino Linotype" w:eastAsia="Palatino Linotype" w:hAnsi="Palatino Linotype" w:cs="Palatino Linotype"/>
          </w:rPr>
          <w:t>PLAN PARCIAL SAN PABLO.pdf</w:t>
        </w:r>
      </w:hyperlink>
      <w:r w:rsidRPr="001F764A">
        <w:rPr>
          <w:rFonts w:ascii="Palatino Linotype" w:eastAsia="Palatino Linotype" w:hAnsi="Palatino Linotype" w:cs="Palatino Linotype"/>
        </w:rPr>
        <w:t>”, el cual contiene la Gaceta del Gobierno del Estado de México, número 23 de fecha dos de agosto de mil novecientos noventa y tres, por medio del cual se aprobó el Plan Parcial de Desarrollo Urbano del poblado de San Pablo de las Salinas, Municipio de Tultitlán.</w:t>
      </w:r>
    </w:p>
    <w:p w14:paraId="3A4E2A6C"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w:t>
      </w:r>
      <w:hyperlink r:id="rId9">
        <w:r w:rsidRPr="001F764A">
          <w:rPr>
            <w:rFonts w:ascii="Palatino Linotype" w:eastAsia="Palatino Linotype" w:hAnsi="Palatino Linotype" w:cs="Palatino Linotype"/>
          </w:rPr>
          <w:t>S97DU.pdf</w:t>
        </w:r>
      </w:hyperlink>
      <w:r w:rsidRPr="001F764A">
        <w:rPr>
          <w:rFonts w:ascii="Palatino Linotype" w:eastAsia="Palatino Linotype" w:hAnsi="Palatino Linotype" w:cs="Palatino Linotype"/>
        </w:rPr>
        <w:t xml:space="preserve">”, el cual contiene una captura de pantalla de la respuesta otorgada por la Dirección de Desarrollo Urbano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mediante el cual expresó:</w:t>
      </w:r>
    </w:p>
    <w:p w14:paraId="63BE520A"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noProof/>
          <w:lang w:val="es-MX"/>
        </w:rPr>
        <w:drawing>
          <wp:inline distT="0" distB="0" distL="0" distR="0" wp14:anchorId="7C4FF501" wp14:editId="22771B21">
            <wp:extent cx="5612130" cy="156400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564005"/>
                    </a:xfrm>
                    <a:prstGeom prst="rect">
                      <a:avLst/>
                    </a:prstGeom>
                    <a:ln/>
                  </pic:spPr>
                </pic:pic>
              </a:graphicData>
            </a:graphic>
          </wp:inline>
        </w:drawing>
      </w:r>
    </w:p>
    <w:p w14:paraId="175E3D8D" w14:textId="77777777" w:rsidR="00F51EFF" w:rsidRPr="001F764A" w:rsidRDefault="00BF2B15">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b/>
        </w:rPr>
        <w:lastRenderedPageBreak/>
        <w:t>4</w:t>
      </w:r>
      <w:r w:rsidR="00CF7D80" w:rsidRPr="001F764A">
        <w:rPr>
          <w:rFonts w:ascii="Palatino Linotype" w:eastAsia="Palatino Linotype" w:hAnsi="Palatino Linotype" w:cs="Palatino Linotype"/>
          <w:b/>
        </w:rPr>
        <w:t xml:space="preserve">. Interposición del recurso de revisión. </w:t>
      </w:r>
      <w:r w:rsidR="00CF7D80" w:rsidRPr="001F764A">
        <w:rPr>
          <w:rFonts w:ascii="Palatino Linotype" w:eastAsia="Palatino Linotype" w:hAnsi="Palatino Linotype" w:cs="Palatino Linotype"/>
        </w:rPr>
        <w:t xml:space="preserve">Inconforme con los términos de la respuesta emitida por parte del </w:t>
      </w:r>
      <w:r w:rsidR="00CF7D80" w:rsidRPr="001F764A">
        <w:rPr>
          <w:rFonts w:ascii="Palatino Linotype" w:eastAsia="Palatino Linotype" w:hAnsi="Palatino Linotype" w:cs="Palatino Linotype"/>
          <w:b/>
        </w:rPr>
        <w:t>SUJETO OBLIGADO</w:t>
      </w:r>
      <w:r w:rsidR="00CF7D80" w:rsidRPr="001F764A">
        <w:rPr>
          <w:rFonts w:ascii="Palatino Linotype" w:eastAsia="Palatino Linotype" w:hAnsi="Palatino Linotype" w:cs="Palatino Linotype"/>
        </w:rPr>
        <w:t xml:space="preserve">, el </w:t>
      </w:r>
      <w:r w:rsidR="00CF7D80" w:rsidRPr="001F764A">
        <w:rPr>
          <w:rFonts w:ascii="Palatino Linotype" w:eastAsia="Palatino Linotype" w:hAnsi="Palatino Linotype" w:cs="Palatino Linotype"/>
          <w:b/>
        </w:rPr>
        <w:t>treinta de mayo del dos mil veintitrés,</w:t>
      </w:r>
      <w:r w:rsidR="00CF7D80" w:rsidRPr="001F764A">
        <w:rPr>
          <w:rFonts w:ascii="Palatino Linotype" w:eastAsia="Palatino Linotype" w:hAnsi="Palatino Linotype" w:cs="Palatino Linotype"/>
        </w:rPr>
        <w:t xml:space="preserve"> la parte recurrente interpuso el recurso de revisión a través de </w:t>
      </w:r>
      <w:r w:rsidR="00CF7D80" w:rsidRPr="001F764A">
        <w:rPr>
          <w:rFonts w:ascii="Palatino Linotype" w:eastAsia="Palatino Linotype" w:hAnsi="Palatino Linotype" w:cs="Palatino Linotype"/>
          <w:b/>
        </w:rPr>
        <w:t xml:space="preserve">SAIMEX, </w:t>
      </w:r>
      <w:r w:rsidR="00CF7D80" w:rsidRPr="001F764A">
        <w:rPr>
          <w:rFonts w:ascii="Palatino Linotype" w:eastAsia="Palatino Linotype" w:hAnsi="Palatino Linotype" w:cs="Palatino Linotype"/>
        </w:rPr>
        <w:t>en donde se manifestó de la siguiente manera:</w:t>
      </w:r>
    </w:p>
    <w:p w14:paraId="156BFDA0" w14:textId="77777777" w:rsidR="00F51EFF" w:rsidRPr="001F764A" w:rsidRDefault="00CF7D80">
      <w:pPr>
        <w:tabs>
          <w:tab w:val="left" w:pos="2745"/>
        </w:tabs>
        <w:spacing w:before="240" w:after="240" w:line="360" w:lineRule="auto"/>
        <w:jc w:val="both"/>
        <w:rPr>
          <w:rFonts w:ascii="Palatino Linotype" w:eastAsia="Palatino Linotype" w:hAnsi="Palatino Linotype" w:cs="Palatino Linotype"/>
          <w:b/>
        </w:rPr>
      </w:pPr>
      <w:r w:rsidRPr="001F764A">
        <w:rPr>
          <w:rFonts w:ascii="Palatino Linotype" w:eastAsia="Palatino Linotype" w:hAnsi="Palatino Linotype" w:cs="Palatino Linotype"/>
          <w:b/>
        </w:rPr>
        <w:t xml:space="preserve">Acto impugnado: </w:t>
      </w:r>
      <w:r w:rsidRPr="001F764A">
        <w:rPr>
          <w:rFonts w:ascii="Palatino Linotype" w:eastAsia="Palatino Linotype" w:hAnsi="Palatino Linotype" w:cs="Palatino Linotype"/>
          <w:b/>
        </w:rPr>
        <w:tab/>
      </w:r>
    </w:p>
    <w:p w14:paraId="6AEDADD4" w14:textId="77777777" w:rsidR="00F51EFF" w:rsidRPr="001F764A" w:rsidRDefault="00CF7D80">
      <w:pPr>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“la información proporcionada no corresponde a la solicitada” (Sic)</w:t>
      </w:r>
    </w:p>
    <w:p w14:paraId="3B327B87" w14:textId="77777777" w:rsidR="00F51EFF" w:rsidRPr="001F764A" w:rsidRDefault="00F51EFF">
      <w:pPr>
        <w:spacing w:line="360" w:lineRule="auto"/>
        <w:jc w:val="both"/>
        <w:rPr>
          <w:rFonts w:ascii="Palatino Linotype" w:eastAsia="Palatino Linotype" w:hAnsi="Palatino Linotype" w:cs="Palatino Linotype"/>
          <w:b/>
        </w:rPr>
      </w:pPr>
    </w:p>
    <w:p w14:paraId="1AB9B7E5"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Y Razones o motivos de inconformidad</w:t>
      </w:r>
      <w:r w:rsidRPr="001F764A">
        <w:rPr>
          <w:rFonts w:ascii="Palatino Linotype" w:eastAsia="Palatino Linotype" w:hAnsi="Palatino Linotype" w:cs="Palatino Linotype"/>
        </w:rPr>
        <w:t>:</w:t>
      </w:r>
    </w:p>
    <w:p w14:paraId="61D09B77" w14:textId="77777777" w:rsidR="00F51EFF" w:rsidRPr="001F764A" w:rsidRDefault="00CF7D80">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1F764A">
        <w:rPr>
          <w:rFonts w:ascii="Palatino Linotype" w:eastAsia="Palatino Linotype" w:hAnsi="Palatino Linotype" w:cs="Palatino Linotype"/>
          <w:i/>
          <w:sz w:val="22"/>
          <w:szCs w:val="22"/>
        </w:rPr>
        <w:t xml:space="preserve"> “yo solicite PLANO DE LOTIFICACION AUTORIZADO DE SAN PABLO DE LAS SALINAS, Tultitlan estado de </w:t>
      </w:r>
      <w:proofErr w:type="spellStart"/>
      <w:r w:rsidRPr="001F764A">
        <w:rPr>
          <w:rFonts w:ascii="Palatino Linotype" w:eastAsia="Palatino Linotype" w:hAnsi="Palatino Linotype" w:cs="Palatino Linotype"/>
          <w:i/>
          <w:sz w:val="22"/>
          <w:szCs w:val="22"/>
        </w:rPr>
        <w:t>mexico</w:t>
      </w:r>
      <w:proofErr w:type="spellEnd"/>
      <w:r w:rsidRPr="001F764A">
        <w:rPr>
          <w:rFonts w:ascii="Palatino Linotype" w:eastAsia="Palatino Linotype" w:hAnsi="Palatino Linotype" w:cs="Palatino Linotype"/>
          <w:i/>
          <w:sz w:val="22"/>
          <w:szCs w:val="22"/>
        </w:rPr>
        <w:t xml:space="preserve"> y me enviaron LA CAGETA DE GOBIERNO del 2 de agosto de 1993 que contiene el PLAN PARCIAL DE DESARROLLO URBANO DEL POBLADO DE SAN PABLO DE LAS SALINAS. </w:t>
      </w:r>
      <w:proofErr w:type="gramStart"/>
      <w:r w:rsidRPr="001F764A">
        <w:rPr>
          <w:rFonts w:ascii="Palatino Linotype" w:eastAsia="Palatino Linotype" w:hAnsi="Palatino Linotype" w:cs="Palatino Linotype"/>
          <w:i/>
          <w:sz w:val="22"/>
          <w:szCs w:val="22"/>
        </w:rPr>
        <w:t>es</w:t>
      </w:r>
      <w:proofErr w:type="gramEnd"/>
      <w:r w:rsidRPr="001F764A">
        <w:rPr>
          <w:rFonts w:ascii="Palatino Linotype" w:eastAsia="Palatino Linotype" w:hAnsi="Palatino Linotype" w:cs="Palatino Linotype"/>
          <w:i/>
          <w:sz w:val="22"/>
          <w:szCs w:val="22"/>
        </w:rPr>
        <w:t xml:space="preserve"> decir, nada que ver con lo solicitado, yo pedí el plano de lotificación, no la gaceta de gobierno del plan parcial de 1993, de hace 30 años, no es posible que me den información que no </w:t>
      </w:r>
      <w:proofErr w:type="spellStart"/>
      <w:r w:rsidRPr="001F764A">
        <w:rPr>
          <w:rFonts w:ascii="Palatino Linotype" w:eastAsia="Palatino Linotype" w:hAnsi="Palatino Linotype" w:cs="Palatino Linotype"/>
          <w:i/>
          <w:sz w:val="22"/>
          <w:szCs w:val="22"/>
        </w:rPr>
        <w:t>pedi</w:t>
      </w:r>
      <w:proofErr w:type="spellEnd"/>
      <w:r w:rsidRPr="001F764A">
        <w:rPr>
          <w:rFonts w:ascii="Palatino Linotype" w:eastAsia="Palatino Linotype" w:hAnsi="Palatino Linotype" w:cs="Palatino Linotype"/>
          <w:i/>
          <w:sz w:val="22"/>
          <w:szCs w:val="22"/>
        </w:rPr>
        <w:t xml:space="preserve">, solo quiero el plano de </w:t>
      </w:r>
      <w:proofErr w:type="spellStart"/>
      <w:r w:rsidRPr="001F764A">
        <w:rPr>
          <w:rFonts w:ascii="Palatino Linotype" w:eastAsia="Palatino Linotype" w:hAnsi="Palatino Linotype" w:cs="Palatino Linotype"/>
          <w:i/>
          <w:sz w:val="22"/>
          <w:szCs w:val="22"/>
        </w:rPr>
        <w:t>lotificacion</w:t>
      </w:r>
      <w:proofErr w:type="spellEnd"/>
      <w:r w:rsidRPr="001F764A">
        <w:rPr>
          <w:rFonts w:ascii="Palatino Linotype" w:eastAsia="Palatino Linotype" w:hAnsi="Palatino Linotype" w:cs="Palatino Linotype"/>
          <w:i/>
          <w:sz w:val="22"/>
          <w:szCs w:val="22"/>
        </w:rPr>
        <w:t xml:space="preserve"> no el plan de desarrollo urbano.” (Sic)</w:t>
      </w:r>
    </w:p>
    <w:p w14:paraId="1AE904D1" w14:textId="77777777" w:rsidR="00F51EFF" w:rsidRPr="001F764A" w:rsidRDefault="00F51EFF">
      <w:pPr>
        <w:ind w:left="851" w:right="902"/>
        <w:jc w:val="both"/>
        <w:rPr>
          <w:rFonts w:ascii="Palatino Linotype" w:eastAsia="Palatino Linotype" w:hAnsi="Palatino Linotype" w:cs="Palatino Linotype"/>
          <w:i/>
          <w:sz w:val="22"/>
          <w:szCs w:val="22"/>
        </w:rPr>
      </w:pPr>
    </w:p>
    <w:p w14:paraId="786A7E92" w14:textId="77777777" w:rsidR="00F51EFF" w:rsidRPr="001F764A" w:rsidRDefault="00BF2B15">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b/>
        </w:rPr>
        <w:t>5</w:t>
      </w:r>
      <w:r w:rsidR="00CF7D80" w:rsidRPr="001F764A">
        <w:rPr>
          <w:rFonts w:ascii="Palatino Linotype" w:eastAsia="Palatino Linotype" w:hAnsi="Palatino Linotype" w:cs="Palatino Linotype"/>
          <w:b/>
        </w:rPr>
        <w:t xml:space="preserve">. Turno. </w:t>
      </w:r>
      <w:r w:rsidR="00CF7D80" w:rsidRPr="001F764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CF7D80" w:rsidRPr="001F764A">
        <w:rPr>
          <w:rFonts w:ascii="Palatino Linotype" w:eastAsia="Palatino Linotype" w:hAnsi="Palatino Linotype" w:cs="Palatino Linotype"/>
          <w:b/>
        </w:rPr>
        <w:t xml:space="preserve">Guadalupe Ramírez Peña, </w:t>
      </w:r>
      <w:r w:rsidR="00CF7D80" w:rsidRPr="001F764A">
        <w:rPr>
          <w:rFonts w:ascii="Palatino Linotype" w:eastAsia="Palatino Linotype" w:hAnsi="Palatino Linotype" w:cs="Palatino Linotype"/>
        </w:rPr>
        <w:t xml:space="preserve">a efecto de que analizara sobre su admisión o su </w:t>
      </w:r>
      <w:proofErr w:type="spellStart"/>
      <w:r w:rsidR="00CF7D80" w:rsidRPr="001F764A">
        <w:rPr>
          <w:rFonts w:ascii="Palatino Linotype" w:eastAsia="Palatino Linotype" w:hAnsi="Palatino Linotype" w:cs="Palatino Linotype"/>
        </w:rPr>
        <w:t>desechamiento</w:t>
      </w:r>
      <w:proofErr w:type="spellEnd"/>
      <w:r w:rsidR="00CF7D80" w:rsidRPr="001F764A">
        <w:rPr>
          <w:rFonts w:ascii="Palatino Linotype" w:eastAsia="Palatino Linotype" w:hAnsi="Palatino Linotype" w:cs="Palatino Linotype"/>
        </w:rPr>
        <w:t>.</w:t>
      </w:r>
    </w:p>
    <w:p w14:paraId="28868D2B" w14:textId="77777777" w:rsidR="00F51EFF" w:rsidRPr="001F764A" w:rsidRDefault="00F51EFF">
      <w:pPr>
        <w:spacing w:line="360" w:lineRule="auto"/>
        <w:ind w:right="51"/>
        <w:jc w:val="both"/>
        <w:rPr>
          <w:rFonts w:ascii="Palatino Linotype" w:eastAsia="Palatino Linotype" w:hAnsi="Palatino Linotype" w:cs="Palatino Linotype"/>
        </w:rPr>
      </w:pPr>
    </w:p>
    <w:p w14:paraId="4CE27446" w14:textId="77777777" w:rsidR="00F51EFF" w:rsidRPr="001F764A" w:rsidRDefault="00BF2B15">
      <w:pPr>
        <w:spacing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6</w:t>
      </w:r>
      <w:r w:rsidR="00CF7D80" w:rsidRPr="001F764A">
        <w:rPr>
          <w:rFonts w:ascii="Palatino Linotype" w:eastAsia="Palatino Linotype" w:hAnsi="Palatino Linotype" w:cs="Palatino Linotype"/>
          <w:b/>
        </w:rPr>
        <w:t>. Admisión del Recurso de revisión.</w:t>
      </w:r>
      <w:r w:rsidR="00CF7D80" w:rsidRPr="001F764A">
        <w:rPr>
          <w:rFonts w:ascii="Palatino Linotype" w:eastAsia="Palatino Linotype" w:hAnsi="Palatino Linotype" w:cs="Palatino Linotype"/>
        </w:rPr>
        <w:t xml:space="preserve"> Con fecha</w:t>
      </w:r>
      <w:r w:rsidR="00CF7D80" w:rsidRPr="001F764A">
        <w:rPr>
          <w:rFonts w:ascii="Palatino Linotype" w:eastAsia="Palatino Linotype" w:hAnsi="Palatino Linotype" w:cs="Palatino Linotype"/>
          <w:b/>
        </w:rPr>
        <w:t xml:space="preserve"> dos de junio de dos mil veintitrés, </w:t>
      </w:r>
      <w:r w:rsidR="00CF7D80" w:rsidRPr="001F764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w:t>
      </w:r>
      <w:r w:rsidR="00CF7D80" w:rsidRPr="001F764A">
        <w:rPr>
          <w:rFonts w:ascii="Palatino Linotype" w:eastAsia="Palatino Linotype" w:hAnsi="Palatino Linotype" w:cs="Palatino Linotype"/>
        </w:rPr>
        <w:lastRenderedPageBreak/>
        <w:t xml:space="preserve">de revisión que ahora se resuelve, dando un plazo máximo de siete días hábiles para que las partes manifestaran lo que a su derecho resultara conveniente, ofrecieran pruebas, formularan alegatos y el </w:t>
      </w:r>
      <w:r w:rsidR="00CF7D80" w:rsidRPr="001F764A">
        <w:rPr>
          <w:rFonts w:ascii="Palatino Linotype" w:eastAsia="Palatino Linotype" w:hAnsi="Palatino Linotype" w:cs="Palatino Linotype"/>
          <w:b/>
        </w:rPr>
        <w:t xml:space="preserve">SUJETO OBLIGADO </w:t>
      </w:r>
      <w:r w:rsidR="00CF7D80" w:rsidRPr="001F764A">
        <w:rPr>
          <w:rFonts w:ascii="Palatino Linotype" w:eastAsia="Palatino Linotype" w:hAnsi="Palatino Linotype" w:cs="Palatino Linotype"/>
        </w:rPr>
        <w:t>presentara su informe justificado.</w:t>
      </w:r>
    </w:p>
    <w:p w14:paraId="2693907A" w14:textId="77777777" w:rsidR="00F51EFF" w:rsidRPr="001F764A" w:rsidRDefault="00BF2B15">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7</w:t>
      </w:r>
      <w:r w:rsidR="00CF7D80" w:rsidRPr="001F764A">
        <w:rPr>
          <w:rFonts w:ascii="Palatino Linotype" w:eastAsia="Palatino Linotype" w:hAnsi="Palatino Linotype" w:cs="Palatino Linotype"/>
          <w:b/>
        </w:rPr>
        <w:t>. Manifestaciones</w:t>
      </w:r>
      <w:r w:rsidR="00CF7D80" w:rsidRPr="001F764A">
        <w:rPr>
          <w:rFonts w:ascii="Palatino Linotype" w:eastAsia="Palatino Linotype" w:hAnsi="Palatino Linotype" w:cs="Palatino Linotype"/>
        </w:rPr>
        <w:t xml:space="preserve">. De las constancias que obran en el expediente electrónico del SAIMEX se desprende que el </w:t>
      </w:r>
      <w:r w:rsidR="00CF7D80" w:rsidRPr="001F764A">
        <w:rPr>
          <w:rFonts w:ascii="Palatino Linotype" w:eastAsia="Palatino Linotype" w:hAnsi="Palatino Linotype" w:cs="Palatino Linotype"/>
          <w:b/>
        </w:rPr>
        <w:t>SUJETO OBLIGADO</w:t>
      </w:r>
      <w:r w:rsidR="00CF7D80" w:rsidRPr="001F764A">
        <w:rPr>
          <w:rFonts w:ascii="Palatino Linotype" w:eastAsia="Palatino Linotype" w:hAnsi="Palatino Linotype" w:cs="Palatino Linotype"/>
        </w:rPr>
        <w:t xml:space="preserve"> no rindió su informe justificado, del mismo modo</w:t>
      </w:r>
      <w:r w:rsidR="00CF7D80" w:rsidRPr="001F764A">
        <w:rPr>
          <w:rFonts w:ascii="Palatino Linotype" w:eastAsia="Palatino Linotype" w:hAnsi="Palatino Linotype" w:cs="Palatino Linotype"/>
          <w:color w:val="FF0000"/>
        </w:rPr>
        <w:t xml:space="preserve"> </w:t>
      </w:r>
      <w:r w:rsidR="00CF7D80" w:rsidRPr="001F764A">
        <w:rPr>
          <w:rFonts w:ascii="Palatino Linotype" w:eastAsia="Palatino Linotype" w:hAnsi="Palatino Linotype" w:cs="Palatino Linotype"/>
        </w:rPr>
        <w:t>la parte</w:t>
      </w:r>
      <w:r w:rsidR="00CF7D80" w:rsidRPr="001F764A">
        <w:rPr>
          <w:rFonts w:ascii="Palatino Linotype" w:eastAsia="Palatino Linotype" w:hAnsi="Palatino Linotype" w:cs="Palatino Linotype"/>
          <w:b/>
          <w:color w:val="FF0000"/>
        </w:rPr>
        <w:t xml:space="preserve"> </w:t>
      </w:r>
      <w:r w:rsidR="00CF7D80" w:rsidRPr="001F764A">
        <w:rPr>
          <w:rFonts w:ascii="Palatino Linotype" w:eastAsia="Palatino Linotype" w:hAnsi="Palatino Linotype" w:cs="Palatino Linotype"/>
          <w:b/>
        </w:rPr>
        <w:t>RECURRENTE</w:t>
      </w:r>
      <w:r w:rsidR="00CF7D80" w:rsidRPr="001F764A">
        <w:rPr>
          <w:rFonts w:ascii="Palatino Linotype" w:eastAsia="Palatino Linotype" w:hAnsi="Palatino Linotype" w:cs="Palatino Linotype"/>
        </w:rPr>
        <w:t xml:space="preserve"> omitió realizar manifestaciones, como se observa a continuación:</w:t>
      </w:r>
    </w:p>
    <w:p w14:paraId="061A5325" w14:textId="77777777" w:rsidR="00F51EFF" w:rsidRPr="001F764A" w:rsidRDefault="00CF7D80">
      <w:pPr>
        <w:spacing w:before="240" w:after="240" w:line="360" w:lineRule="auto"/>
        <w:jc w:val="both"/>
      </w:pPr>
      <w:r w:rsidRPr="001F764A">
        <w:rPr>
          <w:noProof/>
          <w:lang w:val="es-MX"/>
        </w:rPr>
        <w:drawing>
          <wp:inline distT="0" distB="0" distL="0" distR="0" wp14:anchorId="4E58986E" wp14:editId="37DC8CD4">
            <wp:extent cx="5612130" cy="150304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1503045"/>
                    </a:xfrm>
                    <a:prstGeom prst="rect">
                      <a:avLst/>
                    </a:prstGeom>
                    <a:ln/>
                  </pic:spPr>
                </pic:pic>
              </a:graphicData>
            </a:graphic>
          </wp:inline>
        </w:drawing>
      </w:r>
    </w:p>
    <w:p w14:paraId="3AF4561C" w14:textId="77777777" w:rsidR="00F51EFF" w:rsidRPr="001F764A" w:rsidRDefault="00BF2B15">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8</w:t>
      </w:r>
      <w:r w:rsidR="00CF7D80" w:rsidRPr="001F764A">
        <w:rPr>
          <w:rFonts w:ascii="Palatino Linotype" w:eastAsia="Palatino Linotype" w:hAnsi="Palatino Linotype" w:cs="Palatino Linotype"/>
          <w:b/>
        </w:rPr>
        <w:t>. Ampliación del plazo.</w:t>
      </w:r>
      <w:r w:rsidR="00CF7D80" w:rsidRPr="001F764A">
        <w:rPr>
          <w:rFonts w:ascii="Palatino Linotype" w:eastAsia="Palatino Linotype" w:hAnsi="Palatino Linotype" w:cs="Palatino Linotype"/>
        </w:rPr>
        <w:t xml:space="preserve"> En fecha </w:t>
      </w:r>
      <w:r w:rsidR="00CF7D80" w:rsidRPr="001F764A">
        <w:rPr>
          <w:rFonts w:ascii="Palatino Linotype" w:eastAsia="Palatino Linotype" w:hAnsi="Palatino Linotype" w:cs="Palatino Linotype"/>
          <w:b/>
        </w:rPr>
        <w:t>cuatro de diciembre del año dos mil veintitrés, con fundamento en el artículo 181, párrafo tercero</w:t>
      </w:r>
      <w:r w:rsidR="00CF7D80" w:rsidRPr="001F764A">
        <w:rPr>
          <w:rFonts w:ascii="Palatino Linotype" w:eastAsia="Palatino Linotype" w:hAnsi="Palatino Linotype" w:cs="Palatino Linotype"/>
        </w:rPr>
        <w:t xml:space="preserve"> de la Ley de Transparencia y Acceso a la Información Pública del Estado de México y Municipios, se acordó la ampliación del plazo para su resolución.</w:t>
      </w:r>
    </w:p>
    <w:p w14:paraId="4A983555" w14:textId="77777777" w:rsidR="00F51EFF" w:rsidRPr="001F764A" w:rsidRDefault="00CF7D80">
      <w:pPr>
        <w:widowControl w:val="0"/>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14:paraId="4C42CA75" w14:textId="77777777" w:rsidR="00F51EFF" w:rsidRPr="001F764A" w:rsidRDefault="00F51EFF">
      <w:pPr>
        <w:spacing w:line="360" w:lineRule="auto"/>
        <w:jc w:val="both"/>
        <w:rPr>
          <w:rFonts w:ascii="Palatino Linotype" w:eastAsia="Palatino Linotype" w:hAnsi="Palatino Linotype" w:cs="Palatino Linotype"/>
        </w:rPr>
      </w:pPr>
    </w:p>
    <w:p w14:paraId="395DB668"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B2B8DB2" w14:textId="77777777" w:rsidR="00F51EFF" w:rsidRPr="001F764A" w:rsidRDefault="00F51EFF">
      <w:pPr>
        <w:spacing w:line="360" w:lineRule="auto"/>
        <w:jc w:val="both"/>
        <w:rPr>
          <w:rFonts w:ascii="Palatino Linotype" w:eastAsia="Palatino Linotype" w:hAnsi="Palatino Linotype" w:cs="Palatino Linotype"/>
        </w:rPr>
      </w:pPr>
    </w:p>
    <w:p w14:paraId="30E7BE4E"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7C8B9B" w14:textId="77777777" w:rsidR="00F51EFF" w:rsidRPr="001F764A" w:rsidRDefault="00F51EFF">
      <w:pPr>
        <w:spacing w:line="360" w:lineRule="auto"/>
        <w:jc w:val="both"/>
        <w:rPr>
          <w:rFonts w:ascii="Palatino Linotype" w:eastAsia="Palatino Linotype" w:hAnsi="Palatino Linotype" w:cs="Palatino Linotype"/>
        </w:rPr>
      </w:pPr>
    </w:p>
    <w:p w14:paraId="560487E8"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DEBDE1" w14:textId="77777777" w:rsidR="00F51EFF" w:rsidRPr="001F764A" w:rsidRDefault="00F51EFF">
      <w:pPr>
        <w:spacing w:line="360" w:lineRule="auto"/>
        <w:jc w:val="both"/>
        <w:rPr>
          <w:rFonts w:ascii="Palatino Linotype" w:eastAsia="Palatino Linotype" w:hAnsi="Palatino Linotype" w:cs="Palatino Linotype"/>
        </w:rPr>
      </w:pPr>
    </w:p>
    <w:p w14:paraId="2A27181D" w14:textId="77777777" w:rsidR="00F51EFF" w:rsidRPr="001F764A" w:rsidRDefault="00CF7D80">
      <w:pPr>
        <w:spacing w:line="360" w:lineRule="auto"/>
        <w:jc w:val="both"/>
        <w:rPr>
          <w:rFonts w:ascii="Palatino Linotype" w:eastAsia="Palatino Linotype" w:hAnsi="Palatino Linotype" w:cs="Palatino Linotype"/>
          <w:strike/>
          <w:color w:val="FF0000"/>
        </w:rPr>
      </w:pPr>
      <w:r w:rsidRPr="001F764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8D4CCEE" w14:textId="77777777" w:rsidR="00F51EFF" w:rsidRPr="001F764A" w:rsidRDefault="00F51EFF">
      <w:pPr>
        <w:spacing w:line="360" w:lineRule="auto"/>
        <w:jc w:val="both"/>
        <w:rPr>
          <w:rFonts w:ascii="Palatino Linotype" w:eastAsia="Palatino Linotype" w:hAnsi="Palatino Linotype" w:cs="Palatino Linotype"/>
        </w:rPr>
      </w:pPr>
    </w:p>
    <w:p w14:paraId="56C6895F" w14:textId="77777777" w:rsidR="00F51EFF" w:rsidRPr="001F764A" w:rsidRDefault="00CF7D80">
      <w:pPr>
        <w:numPr>
          <w:ilvl w:val="0"/>
          <w:numId w:val="5"/>
        </w:numPr>
        <w:ind w:left="8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990E339" w14:textId="77777777" w:rsidR="00F51EFF" w:rsidRPr="001F764A" w:rsidRDefault="00F51EFF">
      <w:pPr>
        <w:ind w:left="851" w:hanging="360"/>
        <w:jc w:val="both"/>
        <w:rPr>
          <w:rFonts w:ascii="Palatino Linotype" w:eastAsia="Palatino Linotype" w:hAnsi="Palatino Linotype" w:cs="Palatino Linotype"/>
        </w:rPr>
      </w:pPr>
    </w:p>
    <w:p w14:paraId="6669AFC9" w14:textId="77777777" w:rsidR="00F51EFF" w:rsidRPr="001F764A" w:rsidRDefault="00CF7D80">
      <w:pPr>
        <w:numPr>
          <w:ilvl w:val="0"/>
          <w:numId w:val="5"/>
        </w:numPr>
        <w:ind w:left="851"/>
        <w:jc w:val="both"/>
        <w:rPr>
          <w:rFonts w:ascii="Palatino Linotype" w:eastAsia="Palatino Linotype" w:hAnsi="Palatino Linotype" w:cs="Palatino Linotype"/>
        </w:rPr>
      </w:pPr>
      <w:r w:rsidRPr="001F764A">
        <w:rPr>
          <w:rFonts w:ascii="Palatino Linotype" w:eastAsia="Palatino Linotype" w:hAnsi="Palatino Linotype" w:cs="Palatino Linotype"/>
        </w:rPr>
        <w:t>Actividad Procesal del interesado. Acciones u omisiones del interesado.</w:t>
      </w:r>
    </w:p>
    <w:p w14:paraId="7F89A70E" w14:textId="77777777" w:rsidR="00F51EFF" w:rsidRPr="001F764A" w:rsidRDefault="00F51EFF">
      <w:pPr>
        <w:ind w:left="851" w:hanging="360"/>
        <w:jc w:val="both"/>
        <w:rPr>
          <w:rFonts w:ascii="Palatino Linotype" w:eastAsia="Palatino Linotype" w:hAnsi="Palatino Linotype" w:cs="Palatino Linotype"/>
        </w:rPr>
      </w:pPr>
    </w:p>
    <w:p w14:paraId="5EDAB9A6" w14:textId="77777777" w:rsidR="00F51EFF" w:rsidRPr="001F764A" w:rsidRDefault="00CF7D80">
      <w:pPr>
        <w:numPr>
          <w:ilvl w:val="0"/>
          <w:numId w:val="5"/>
        </w:numPr>
        <w:ind w:left="851"/>
        <w:jc w:val="both"/>
        <w:rPr>
          <w:rFonts w:ascii="Palatino Linotype" w:eastAsia="Palatino Linotype" w:hAnsi="Palatino Linotype" w:cs="Palatino Linotype"/>
        </w:rPr>
      </w:pPr>
      <w:r w:rsidRPr="001F764A">
        <w:rPr>
          <w:rFonts w:ascii="Palatino Linotype" w:eastAsia="Palatino Linotype" w:hAnsi="Palatino Linotype" w:cs="Palatino Linotype"/>
        </w:rPr>
        <w:t>Conducta de la Autoridad: Las Acciones u omisiones realizadas en el procedimiento. Así como si la autoridad actuó con la debida diligencia.</w:t>
      </w:r>
    </w:p>
    <w:p w14:paraId="0810EEFF" w14:textId="77777777" w:rsidR="00F51EFF" w:rsidRPr="001F764A" w:rsidRDefault="00F51EFF">
      <w:pPr>
        <w:ind w:left="851" w:hanging="360"/>
        <w:rPr>
          <w:rFonts w:ascii="Palatino Linotype" w:eastAsia="Palatino Linotype" w:hAnsi="Palatino Linotype" w:cs="Palatino Linotype"/>
        </w:rPr>
      </w:pPr>
    </w:p>
    <w:p w14:paraId="0CAD7060" w14:textId="77777777" w:rsidR="00F51EFF" w:rsidRPr="001F764A" w:rsidRDefault="00CF7D80">
      <w:pPr>
        <w:ind w:left="851" w:hanging="360"/>
        <w:jc w:val="both"/>
        <w:rPr>
          <w:rFonts w:ascii="Palatino Linotype" w:eastAsia="Palatino Linotype" w:hAnsi="Palatino Linotype" w:cs="Palatino Linotype"/>
        </w:rPr>
      </w:pPr>
      <w:r w:rsidRPr="001F764A">
        <w:rPr>
          <w:rFonts w:ascii="Palatino Linotype" w:eastAsia="Palatino Linotype" w:hAnsi="Palatino Linotype" w:cs="Palatino Linotype"/>
        </w:rPr>
        <w:t>d) La afectación generada en la situación jurídica de la persona involucrada en el proceso: Violación a sus derechos humanos.</w:t>
      </w:r>
    </w:p>
    <w:p w14:paraId="74BCCE24" w14:textId="77777777" w:rsidR="00F51EFF" w:rsidRPr="001F764A" w:rsidRDefault="00F51EFF">
      <w:pPr>
        <w:spacing w:line="360" w:lineRule="auto"/>
        <w:jc w:val="both"/>
        <w:rPr>
          <w:rFonts w:ascii="Palatino Linotype" w:eastAsia="Palatino Linotype" w:hAnsi="Palatino Linotype" w:cs="Palatino Linotype"/>
        </w:rPr>
      </w:pPr>
    </w:p>
    <w:p w14:paraId="0A3D2EEC"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3DC051" w14:textId="77777777" w:rsidR="00F51EFF" w:rsidRPr="001F764A" w:rsidRDefault="00F51EFF">
      <w:pPr>
        <w:spacing w:line="360" w:lineRule="auto"/>
        <w:jc w:val="both"/>
        <w:rPr>
          <w:rFonts w:ascii="Palatino Linotype" w:eastAsia="Palatino Linotype" w:hAnsi="Palatino Linotype" w:cs="Palatino Linotype"/>
        </w:rPr>
      </w:pPr>
    </w:p>
    <w:p w14:paraId="2407C030" w14:textId="77777777" w:rsidR="00F51EFF" w:rsidRPr="001F764A" w:rsidRDefault="00CF7D80">
      <w:pPr>
        <w:spacing w:line="360" w:lineRule="auto"/>
        <w:jc w:val="both"/>
        <w:rPr>
          <w:rFonts w:ascii="Palatino Linotype" w:eastAsia="Palatino Linotype" w:hAnsi="Palatino Linotype" w:cs="Palatino Linotype"/>
          <w:b/>
        </w:rPr>
      </w:pPr>
      <w:r w:rsidRPr="001F764A">
        <w:rPr>
          <w:rFonts w:ascii="Palatino Linotype" w:eastAsia="Palatino Linotype" w:hAnsi="Palatino Linotype" w:cs="Palatino Linotype"/>
        </w:rPr>
        <w:t>Argumento que encuentra sustento en la jurisprudencia P</w:t>
      </w:r>
      <w:proofErr w:type="gramStart"/>
      <w:r w:rsidRPr="001F764A">
        <w:rPr>
          <w:rFonts w:ascii="Palatino Linotype" w:eastAsia="Palatino Linotype" w:hAnsi="Palatino Linotype" w:cs="Palatino Linotype"/>
        </w:rPr>
        <w:t>./</w:t>
      </w:r>
      <w:proofErr w:type="gramEnd"/>
      <w:r w:rsidRPr="001F764A">
        <w:rPr>
          <w:rFonts w:ascii="Palatino Linotype" w:eastAsia="Palatino Linotype" w:hAnsi="Palatino Linotype" w:cs="Palatino Linotype"/>
        </w:rPr>
        <w:t xml:space="preserve">J. 32/92 emitida por el Pleno de la Suprema Corte de Justicia de la Nación de rubro </w:t>
      </w:r>
      <w:r w:rsidRPr="001F764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F764A">
        <w:rPr>
          <w:rFonts w:ascii="Palatino Linotype" w:eastAsia="Palatino Linotype" w:hAnsi="Palatino Linotype" w:cs="Palatino Linotype"/>
        </w:rPr>
        <w:t>, visible en la Gaceta del Seminario Judicial de la Federación con el registro digital 205635.</w:t>
      </w:r>
    </w:p>
    <w:p w14:paraId="5864C655" w14:textId="77777777" w:rsidR="00F51EFF" w:rsidRPr="001F764A" w:rsidRDefault="00F51EFF">
      <w:pPr>
        <w:spacing w:line="360" w:lineRule="auto"/>
        <w:jc w:val="both"/>
        <w:rPr>
          <w:rFonts w:ascii="Palatino Linotype" w:eastAsia="Palatino Linotype" w:hAnsi="Palatino Linotype" w:cs="Palatino Linotype"/>
        </w:rPr>
      </w:pPr>
    </w:p>
    <w:p w14:paraId="2D197D00"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1F764A">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DD45D6" w14:textId="77777777" w:rsidR="00F51EFF" w:rsidRPr="001F764A" w:rsidRDefault="00F51EFF">
      <w:pPr>
        <w:spacing w:line="360" w:lineRule="auto"/>
        <w:jc w:val="both"/>
        <w:rPr>
          <w:rFonts w:ascii="Palatino Linotype" w:eastAsia="Palatino Linotype" w:hAnsi="Palatino Linotype" w:cs="Palatino Linotype"/>
        </w:rPr>
      </w:pPr>
    </w:p>
    <w:p w14:paraId="54CCFE9A"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504E4F" w14:textId="77777777" w:rsidR="00F51EFF" w:rsidRPr="001F764A" w:rsidRDefault="00F51EFF">
      <w:pPr>
        <w:spacing w:line="360" w:lineRule="auto"/>
        <w:jc w:val="both"/>
        <w:rPr>
          <w:rFonts w:ascii="Palatino Linotype" w:eastAsia="Palatino Linotype" w:hAnsi="Palatino Linotype" w:cs="Palatino Linotype"/>
        </w:rPr>
      </w:pPr>
    </w:p>
    <w:p w14:paraId="3ED909E9"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 </w:t>
      </w:r>
      <w:r w:rsidRPr="001F764A">
        <w:rPr>
          <w:rFonts w:ascii="Palatino Linotype" w:eastAsia="Palatino Linotype" w:hAnsi="Palatino Linotype" w:cs="Palatino Linotype"/>
          <w:i/>
        </w:rPr>
        <w:t>“PLAZO RAZONABLE PARA RESOLVER. DIMENSIÓN Y EFECTOS DE ESTE CONCEPTO CUANDO SE ADUCE EXCESIVA CARGA DE TRABAJO.”</w:t>
      </w:r>
      <w:r w:rsidRPr="001F764A">
        <w:rPr>
          <w:rFonts w:ascii="Palatino Linotype" w:eastAsia="Palatino Linotype" w:hAnsi="Palatino Linotype" w:cs="Palatino Linotype"/>
        </w:rPr>
        <w:t xml:space="preserve"> consultable en el Seminario Judicial de la Federación y su gaceta, con el registro digital 2002351.</w:t>
      </w:r>
    </w:p>
    <w:p w14:paraId="275E07FD" w14:textId="77777777" w:rsidR="00F51EFF" w:rsidRPr="001F764A" w:rsidRDefault="00F51EFF">
      <w:pPr>
        <w:spacing w:line="360" w:lineRule="auto"/>
        <w:jc w:val="both"/>
        <w:rPr>
          <w:rFonts w:ascii="Palatino Linotype" w:eastAsia="Palatino Linotype" w:hAnsi="Palatino Linotype" w:cs="Palatino Linotype"/>
          <w:b/>
        </w:rPr>
      </w:pPr>
    </w:p>
    <w:p w14:paraId="5D652E4E"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i/>
        </w:rPr>
        <w:t>“PLAZO RAZONABLE PARA RESOLVER. CONCEPTO Y ELEMENTOS QUE LO INTEGRAN A LA LUZ DEL DERECHO INTERNACIONAL DE LOS DERECHOS HUMANOS.”</w:t>
      </w:r>
      <w:r w:rsidRPr="001F764A">
        <w:rPr>
          <w:rFonts w:ascii="Palatino Linotype" w:eastAsia="Palatino Linotype" w:hAnsi="Palatino Linotype" w:cs="Palatino Linotype"/>
        </w:rPr>
        <w:t>, visible en el Seminario Judicial de la Federación y su gaceta, con el registro digital 2002350.</w:t>
      </w:r>
    </w:p>
    <w:p w14:paraId="0DAE456C" w14:textId="77777777" w:rsidR="00F51EFF" w:rsidRPr="001F764A" w:rsidRDefault="00F51EFF">
      <w:pPr>
        <w:spacing w:line="360" w:lineRule="auto"/>
        <w:jc w:val="both"/>
        <w:rPr>
          <w:rFonts w:ascii="Palatino Linotype" w:eastAsia="Palatino Linotype" w:hAnsi="Palatino Linotype" w:cs="Palatino Linotype"/>
        </w:rPr>
      </w:pPr>
    </w:p>
    <w:p w14:paraId="71AA06F7"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2DA1D8E" w14:textId="77777777" w:rsidR="00F51EFF" w:rsidRPr="001F764A" w:rsidRDefault="00BF2B15">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lastRenderedPageBreak/>
        <w:t>9</w:t>
      </w:r>
      <w:r w:rsidR="00CF7D80" w:rsidRPr="001F764A">
        <w:rPr>
          <w:rFonts w:ascii="Palatino Linotype" w:eastAsia="Palatino Linotype" w:hAnsi="Palatino Linotype" w:cs="Palatino Linotype"/>
          <w:b/>
        </w:rPr>
        <w:t xml:space="preserve">. Cierre de instrucción. </w:t>
      </w:r>
      <w:r w:rsidR="00CF7D80" w:rsidRPr="001F764A">
        <w:rPr>
          <w:rFonts w:ascii="Palatino Linotype" w:eastAsia="Palatino Linotype" w:hAnsi="Palatino Linotype" w:cs="Palatino Linotype"/>
        </w:rPr>
        <w:t>Una vez transcurrido el periodo otorgado a las partes para realizar sus manifestaciones y no habiendo documentos que integrar al expediente, con fecha cinco de diciembre de dos mil veintitrés, la Comisionada Ponente determinó el cierre de instrucción en términos de la fracción VI del artículo 185 de la Ley de Transparencia y Acceso a la Información Pública del Estado de México y Municipios.</w:t>
      </w:r>
    </w:p>
    <w:p w14:paraId="24AC92C0"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B869224" w14:textId="77777777" w:rsidR="00F51EFF" w:rsidRPr="001F764A" w:rsidRDefault="00CF7D80">
      <w:pPr>
        <w:widowControl w:val="0"/>
        <w:spacing w:line="360" w:lineRule="auto"/>
        <w:jc w:val="center"/>
        <w:rPr>
          <w:rFonts w:ascii="Palatino Linotype" w:eastAsia="Palatino Linotype" w:hAnsi="Palatino Linotype" w:cs="Palatino Linotype"/>
          <w:b/>
        </w:rPr>
      </w:pPr>
      <w:r w:rsidRPr="001F764A">
        <w:rPr>
          <w:rFonts w:ascii="Palatino Linotype" w:eastAsia="Palatino Linotype" w:hAnsi="Palatino Linotype" w:cs="Palatino Linotype"/>
          <w:b/>
        </w:rPr>
        <w:t>II. C O N S I D E R A N D O S</w:t>
      </w:r>
    </w:p>
    <w:p w14:paraId="44A12002" w14:textId="77777777" w:rsidR="00F51EFF" w:rsidRPr="001F764A" w:rsidRDefault="00F51EFF">
      <w:pPr>
        <w:widowControl w:val="0"/>
        <w:spacing w:line="360" w:lineRule="auto"/>
        <w:jc w:val="center"/>
        <w:rPr>
          <w:rFonts w:ascii="Palatino Linotype" w:eastAsia="Palatino Linotype" w:hAnsi="Palatino Linotype" w:cs="Palatino Linotype"/>
          <w:b/>
        </w:rPr>
      </w:pPr>
    </w:p>
    <w:p w14:paraId="7455B7A7"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Primero. Competencia.</w:t>
      </w:r>
      <w:r w:rsidRPr="001F764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737416" w14:textId="77777777" w:rsidR="00F51EFF" w:rsidRPr="001F764A" w:rsidRDefault="00CF7D8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1F764A">
        <w:rPr>
          <w:rFonts w:ascii="Palatino Linotype" w:eastAsia="Palatino Linotype" w:hAnsi="Palatino Linotype" w:cs="Palatino Linotype"/>
          <w:b/>
        </w:rPr>
        <w:lastRenderedPageBreak/>
        <w:t xml:space="preserve">Segundo. Oportunidad y </w:t>
      </w:r>
      <w:proofErr w:type="spellStart"/>
      <w:r w:rsidRPr="001F764A">
        <w:rPr>
          <w:rFonts w:ascii="Palatino Linotype" w:eastAsia="Palatino Linotype" w:hAnsi="Palatino Linotype" w:cs="Palatino Linotype"/>
          <w:b/>
        </w:rPr>
        <w:t>Procedibilidad</w:t>
      </w:r>
      <w:proofErr w:type="spellEnd"/>
      <w:r w:rsidRPr="001F764A">
        <w:rPr>
          <w:rFonts w:ascii="Palatino Linotype" w:eastAsia="Palatino Linotype" w:hAnsi="Palatino Linotype" w:cs="Palatino Linotype"/>
          <w:b/>
        </w:rPr>
        <w:t xml:space="preserve"> del Recurso de Revisión. </w:t>
      </w:r>
      <w:r w:rsidRPr="001F764A">
        <w:rPr>
          <w:rFonts w:ascii="Palatino Linotype" w:eastAsia="Palatino Linotype" w:hAnsi="Palatino Linotype" w:cs="Palatino Linotype"/>
        </w:rPr>
        <w:t xml:space="preserve">De conformidad con los requisitos de Oportunidad y </w:t>
      </w:r>
      <w:proofErr w:type="spellStart"/>
      <w:r w:rsidRPr="001F764A">
        <w:rPr>
          <w:rFonts w:ascii="Palatino Linotype" w:eastAsia="Palatino Linotype" w:hAnsi="Palatino Linotype" w:cs="Palatino Linotype"/>
        </w:rPr>
        <w:t>Procedibilidad</w:t>
      </w:r>
      <w:proofErr w:type="spellEnd"/>
      <w:r w:rsidRPr="001F764A">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emitió su respuesta a la solicitud planteada por la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el veintinueve de mayo del año dos mil veintitrés y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presentó su recurso de revisión el treinta de mayo del mismo año</w:t>
      </w:r>
      <w:r w:rsidRPr="001F764A">
        <w:rPr>
          <w:rFonts w:ascii="Palatino Linotype" w:eastAsia="Palatino Linotype" w:hAnsi="Palatino Linotype" w:cs="Palatino Linotype"/>
          <w:b/>
        </w:rPr>
        <w:t xml:space="preserve">; </w:t>
      </w:r>
      <w:r w:rsidRPr="001F764A">
        <w:rPr>
          <w:rFonts w:ascii="Palatino Linotype" w:eastAsia="Palatino Linotype" w:hAnsi="Palatino Linotype" w:cs="Palatino Linotype"/>
        </w:rPr>
        <w:t>esto es, al primer día hábil siguiente de aquel en que tuvo conocimiento de la respuesta; evidenciándose que la interposición del recurso se encuentra dentro de los márgenes temporales previstos en el citado precepto legal.</w:t>
      </w:r>
    </w:p>
    <w:p w14:paraId="4339318E"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Por cuanto hace a la </w:t>
      </w:r>
      <w:proofErr w:type="spellStart"/>
      <w:r w:rsidRPr="001F764A">
        <w:rPr>
          <w:rFonts w:ascii="Palatino Linotype" w:eastAsia="Palatino Linotype" w:hAnsi="Palatino Linotype" w:cs="Palatino Linotype"/>
        </w:rPr>
        <w:t>procedibilidad</w:t>
      </w:r>
      <w:proofErr w:type="spellEnd"/>
      <w:r w:rsidRPr="001F764A">
        <w:rPr>
          <w:rFonts w:ascii="Palatino Linotype" w:eastAsia="Palatino Linotype" w:hAnsi="Palatino Linotype" w:cs="Palatino Linotype"/>
        </w:rPr>
        <w:t xml:space="preserve"> del recurso de revisión, es de suma importancia señalar que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2EEBF5" w14:textId="77777777" w:rsidR="00F51EFF" w:rsidRPr="001F764A" w:rsidRDefault="00CF7D80">
      <w:pPr>
        <w:spacing w:before="240" w:after="240" w:line="276" w:lineRule="auto"/>
        <w:ind w:left="851" w:right="902"/>
        <w:jc w:val="both"/>
        <w:rPr>
          <w:rFonts w:ascii="Palatino Linotype" w:eastAsia="Palatino Linotype" w:hAnsi="Palatino Linotype" w:cs="Palatino Linotype"/>
          <w:i/>
        </w:rPr>
      </w:pPr>
      <w:r w:rsidRPr="001F764A">
        <w:rPr>
          <w:rFonts w:ascii="Palatino Linotype" w:eastAsia="Palatino Linotype" w:hAnsi="Palatino Linotype" w:cs="Palatino Linotype"/>
          <w:i/>
        </w:rPr>
        <w:t>"</w:t>
      </w:r>
      <w:r w:rsidRPr="001F764A">
        <w:rPr>
          <w:rFonts w:ascii="Palatino Linotype" w:eastAsia="Palatino Linotype" w:hAnsi="Palatino Linotype" w:cs="Palatino Linotype"/>
          <w:b/>
          <w:i/>
        </w:rPr>
        <w:t>Las solicitudes anónimas</w:t>
      </w:r>
      <w:r w:rsidRPr="001F764A">
        <w:rPr>
          <w:rFonts w:ascii="Palatino Linotype" w:eastAsia="Palatino Linotype" w:hAnsi="Palatino Linotype" w:cs="Palatino Linotype"/>
          <w:i/>
        </w:rPr>
        <w:t xml:space="preserve">, con nombre incompleto o seudónimo </w:t>
      </w:r>
      <w:r w:rsidRPr="001F764A">
        <w:rPr>
          <w:rFonts w:ascii="Palatino Linotype" w:eastAsia="Palatino Linotype" w:hAnsi="Palatino Linotype" w:cs="Palatino Linotype"/>
          <w:b/>
          <w:i/>
        </w:rPr>
        <w:t>serán procedentes para su trámite por parte del sujeto obligado ante quien se presente</w:t>
      </w:r>
      <w:r w:rsidRPr="001F764A">
        <w:rPr>
          <w:rFonts w:ascii="Palatino Linotype" w:eastAsia="Palatino Linotype" w:hAnsi="Palatino Linotype" w:cs="Palatino Linotype"/>
          <w:i/>
        </w:rPr>
        <w:t>. No podrá requerirse información adicional con motivo del nombre proporcionado por el solicitante."(Sic)</w:t>
      </w:r>
    </w:p>
    <w:p w14:paraId="171EC18A" w14:textId="77777777" w:rsidR="00F51EFF" w:rsidRPr="001F764A" w:rsidRDefault="00CF7D80">
      <w:pPr>
        <w:spacing w:before="240" w:after="240"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1F39311"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485DB50A" w14:textId="77777777" w:rsidR="00F51EFF" w:rsidRPr="001F764A" w:rsidRDefault="00CF7D80">
      <w:pPr>
        <w:ind w:left="1276" w:right="175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 xml:space="preserve">Artículo 179. </w:t>
      </w:r>
      <w:r w:rsidRPr="001F764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DF70D82" w14:textId="77777777" w:rsidR="00F51EFF" w:rsidRPr="001F764A" w:rsidRDefault="00CF7D80">
      <w:pPr>
        <w:ind w:left="1276" w:right="175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p>
    <w:p w14:paraId="19CE1C01" w14:textId="77777777" w:rsidR="00F51EFF" w:rsidRPr="001F764A" w:rsidRDefault="00CF7D80">
      <w:pPr>
        <w:ind w:left="1276" w:right="1752"/>
        <w:jc w:val="both"/>
      </w:pPr>
      <w:r w:rsidRPr="001F764A">
        <w:rPr>
          <w:rFonts w:ascii="Palatino Linotype" w:eastAsia="Palatino Linotype" w:hAnsi="Palatino Linotype" w:cs="Palatino Linotype"/>
          <w:i/>
          <w:sz w:val="22"/>
          <w:szCs w:val="22"/>
        </w:rPr>
        <w:t>VI. La entrega de información que no corresponda con lo solicitado…” (Sic)</w:t>
      </w:r>
    </w:p>
    <w:p w14:paraId="13151BCC" w14:textId="77777777" w:rsidR="00F51EFF" w:rsidRPr="001F764A" w:rsidRDefault="00CF7D80">
      <w:pPr>
        <w:spacing w:before="280" w:after="28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color w:val="000000"/>
        </w:rPr>
        <w:t>Tercero. Materia de Revisión</w:t>
      </w:r>
      <w:r w:rsidRPr="001F764A">
        <w:rPr>
          <w:rFonts w:ascii="Palatino Linotype" w:eastAsia="Palatino Linotype" w:hAnsi="Palatino Linotype" w:cs="Palatino Linotype"/>
          <w:color w:val="000000"/>
        </w:rPr>
        <w:t xml:space="preserve">: </w:t>
      </w:r>
      <w:r w:rsidRPr="001F764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1F764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F764A">
        <w:rPr>
          <w:rFonts w:ascii="Palatino Linotype" w:eastAsia="Palatino Linotype" w:hAnsi="Palatino Linotype" w:cs="Palatino Linotype"/>
        </w:rPr>
        <w:t xml:space="preserve">de la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o en su defecto, en caso de ser procedente, ordenar la entrega de información.</w:t>
      </w:r>
    </w:p>
    <w:p w14:paraId="2BD814E3"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 xml:space="preserve">Cuarto. Estudio de fondo del asunto. </w:t>
      </w:r>
      <w:r w:rsidRPr="001F764A">
        <w:rPr>
          <w:rFonts w:ascii="Palatino Linotype" w:eastAsia="Palatino Linotype" w:hAnsi="Palatino Linotype" w:cs="Palatino Linotype"/>
        </w:rPr>
        <w:t xml:space="preserve">es conveniente analizar si la respuesta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1F764A">
        <w:rPr>
          <w:rFonts w:ascii="Palatino Linotype" w:eastAsia="Palatino Linotype" w:hAnsi="Palatino Linotype" w:cs="Palatino Linotype"/>
          <w:color w:val="000000"/>
        </w:rPr>
        <w:t xml:space="preserve">artículo 4, </w:t>
      </w:r>
      <w:r w:rsidRPr="001F764A">
        <w:rPr>
          <w:rFonts w:ascii="Palatino Linotype" w:eastAsia="Palatino Linotype" w:hAnsi="Palatino Linotype" w:cs="Palatino Linotype"/>
          <w:color w:val="000000"/>
        </w:rPr>
        <w:lastRenderedPageBreak/>
        <w:t>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BA60FA6" w14:textId="77777777" w:rsidR="00F51EFF" w:rsidRPr="001F764A" w:rsidRDefault="00CF7D80">
      <w:pPr>
        <w:spacing w:before="240"/>
        <w:ind w:left="709" w:right="76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4.</w:t>
      </w:r>
      <w:r w:rsidRPr="001F764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CB31C36" w14:textId="77777777" w:rsidR="00F51EFF" w:rsidRPr="001F764A" w:rsidRDefault="00CF7D80">
      <w:pPr>
        <w:ind w:left="709" w:right="76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F764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4E1358" w14:textId="77777777" w:rsidR="00F51EFF" w:rsidRPr="001F764A" w:rsidRDefault="00CF7D80">
      <w:pPr>
        <w:ind w:left="709" w:right="76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F764A">
        <w:rPr>
          <w:rFonts w:ascii="Palatino Linotype" w:eastAsia="Palatino Linotype" w:hAnsi="Palatino Linotype" w:cs="Palatino Linotype"/>
          <w:i/>
          <w:sz w:val="22"/>
          <w:szCs w:val="22"/>
        </w:rPr>
        <w:t>.”(Sic)</w:t>
      </w:r>
    </w:p>
    <w:p w14:paraId="6448D4A2"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912377F" w14:textId="77777777" w:rsidR="00F51EFF" w:rsidRPr="001F764A" w:rsidRDefault="00CF7D80">
      <w:pPr>
        <w:ind w:left="567" w:right="758"/>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lastRenderedPageBreak/>
        <w:t>“</w:t>
      </w:r>
      <w:r w:rsidRPr="001F764A">
        <w:rPr>
          <w:rFonts w:ascii="Palatino Linotype" w:eastAsia="Palatino Linotype" w:hAnsi="Palatino Linotype" w:cs="Palatino Linotype"/>
          <w:b/>
          <w:i/>
          <w:sz w:val="22"/>
          <w:szCs w:val="22"/>
        </w:rPr>
        <w:t>Artículo12.-</w:t>
      </w:r>
      <w:r w:rsidRPr="001F764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E7EB83" w14:textId="77777777" w:rsidR="00F51EFF" w:rsidRPr="001F764A" w:rsidRDefault="00CF7D80">
      <w:pPr>
        <w:ind w:left="567" w:right="758"/>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42DB68" w14:textId="77777777" w:rsidR="00F51EFF" w:rsidRPr="001F764A" w:rsidRDefault="00F51EFF">
      <w:pPr>
        <w:spacing w:line="360" w:lineRule="auto"/>
        <w:ind w:right="-93"/>
        <w:jc w:val="both"/>
        <w:rPr>
          <w:rFonts w:ascii="Palatino Linotype" w:eastAsia="Palatino Linotype" w:hAnsi="Palatino Linotype" w:cs="Palatino Linotype"/>
          <w:color w:val="000000"/>
        </w:rPr>
      </w:pPr>
    </w:p>
    <w:p w14:paraId="05E7DDF5" w14:textId="77777777" w:rsidR="00F51EFF" w:rsidRPr="001F764A" w:rsidRDefault="00CF7D80">
      <w:pPr>
        <w:spacing w:line="360" w:lineRule="auto"/>
        <w:ind w:right="-93"/>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B3AA3D2" w14:textId="77777777" w:rsidR="00F51EFF" w:rsidRPr="001F764A" w:rsidRDefault="00F51EFF">
      <w:pPr>
        <w:spacing w:line="360" w:lineRule="auto"/>
        <w:ind w:right="-93"/>
        <w:jc w:val="both"/>
        <w:rPr>
          <w:rFonts w:ascii="Palatino Linotype" w:eastAsia="Palatino Linotype" w:hAnsi="Palatino Linotype" w:cs="Palatino Linotype"/>
          <w:color w:val="000000"/>
        </w:rPr>
      </w:pPr>
    </w:p>
    <w:p w14:paraId="03AB8263" w14:textId="77777777" w:rsidR="00F51EFF" w:rsidRPr="001F764A" w:rsidRDefault="00CF7D80">
      <w:pPr>
        <w:spacing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65B5D44C" w14:textId="77777777" w:rsidR="00F51EFF" w:rsidRPr="001F764A" w:rsidRDefault="00CF7D80">
      <w:pPr>
        <w:spacing w:line="360" w:lineRule="auto"/>
        <w:jc w:val="both"/>
        <w:rPr>
          <w:rFonts w:ascii="Palatino Linotype" w:eastAsia="Palatino Linotype" w:hAnsi="Palatino Linotype" w:cs="Palatino Linotype"/>
          <w:b/>
          <w:color w:val="000000"/>
        </w:rPr>
      </w:pPr>
      <w:r w:rsidRPr="001F764A">
        <w:rPr>
          <w:rFonts w:ascii="Palatino Linotype" w:eastAsia="Palatino Linotype" w:hAnsi="Palatino Linotype" w:cs="Palatino Linotype"/>
          <w:b/>
          <w:color w:val="000000"/>
        </w:rPr>
        <w:t xml:space="preserve"> </w:t>
      </w:r>
    </w:p>
    <w:p w14:paraId="0B9E5AA1" w14:textId="77777777" w:rsidR="00F51EFF" w:rsidRPr="001F764A" w:rsidRDefault="00CF7D80">
      <w:pPr>
        <w:ind w:left="851" w:right="901"/>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w:t>
      </w:r>
      <w:r w:rsidRPr="001F764A">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1F764A">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1F764A">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14:paraId="55077EFF" w14:textId="77777777" w:rsidR="00F51EFF" w:rsidRPr="001F764A" w:rsidRDefault="00CF7D80">
      <w:pPr>
        <w:ind w:left="851" w:right="901"/>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Resoluciones: </w:t>
      </w:r>
    </w:p>
    <w:p w14:paraId="1B9FD26F" w14:textId="77777777" w:rsidR="00F51EFF" w:rsidRPr="001F764A" w:rsidRDefault="00CF7D80">
      <w:pPr>
        <w:ind w:left="851" w:right="901"/>
        <w:jc w:val="both"/>
        <w:rPr>
          <w:rFonts w:ascii="Palatino Linotype" w:eastAsia="Palatino Linotype" w:hAnsi="Palatino Linotype" w:cs="Palatino Linotype"/>
          <w:i/>
          <w:color w:val="000000"/>
          <w:sz w:val="22"/>
          <w:szCs w:val="22"/>
        </w:rPr>
      </w:pPr>
      <w:r w:rsidRPr="001F764A">
        <w:rPr>
          <w:rFonts w:ascii="Noto Sans Symbols" w:eastAsia="Noto Sans Symbols" w:hAnsi="Noto Sans Symbols" w:cs="Noto Sans Symbols"/>
          <w:i/>
          <w:color w:val="000000"/>
          <w:sz w:val="22"/>
          <w:szCs w:val="22"/>
        </w:rPr>
        <w:t>∙</w:t>
      </w:r>
      <w:r w:rsidRPr="001F764A">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5D589EF9" w14:textId="77777777" w:rsidR="00F51EFF" w:rsidRPr="001F764A" w:rsidRDefault="00CF7D80">
      <w:pPr>
        <w:ind w:left="851" w:right="901"/>
        <w:jc w:val="both"/>
        <w:rPr>
          <w:rFonts w:ascii="Palatino Linotype" w:eastAsia="Palatino Linotype" w:hAnsi="Palatino Linotype" w:cs="Palatino Linotype"/>
          <w:i/>
          <w:color w:val="000000"/>
          <w:sz w:val="22"/>
          <w:szCs w:val="22"/>
        </w:rPr>
      </w:pPr>
      <w:r w:rsidRPr="001F764A">
        <w:rPr>
          <w:rFonts w:ascii="Noto Sans Symbols" w:eastAsia="Noto Sans Symbols" w:hAnsi="Noto Sans Symbols" w:cs="Noto Sans Symbols"/>
          <w:i/>
          <w:color w:val="000000"/>
          <w:sz w:val="22"/>
          <w:szCs w:val="22"/>
        </w:rPr>
        <w:t>∙</w:t>
      </w:r>
      <w:r w:rsidRPr="001F764A">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BD7AE92" w14:textId="77777777" w:rsidR="00F51EFF" w:rsidRPr="001F764A" w:rsidRDefault="00CF7D80">
      <w:pPr>
        <w:ind w:left="851" w:right="901"/>
        <w:jc w:val="both"/>
        <w:rPr>
          <w:rFonts w:ascii="Palatino Linotype" w:eastAsia="Palatino Linotype" w:hAnsi="Palatino Linotype" w:cs="Palatino Linotype"/>
          <w:i/>
          <w:color w:val="000000"/>
          <w:sz w:val="22"/>
          <w:szCs w:val="22"/>
        </w:rPr>
      </w:pPr>
      <w:r w:rsidRPr="001F764A">
        <w:rPr>
          <w:rFonts w:ascii="Noto Sans Symbols" w:eastAsia="Noto Sans Symbols" w:hAnsi="Noto Sans Symbols" w:cs="Noto Sans Symbols"/>
          <w:i/>
          <w:color w:val="000000"/>
          <w:sz w:val="22"/>
          <w:szCs w:val="22"/>
        </w:rPr>
        <w:t>∙</w:t>
      </w:r>
      <w:r w:rsidRPr="001F764A">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0C50D109" w14:textId="77777777" w:rsidR="00F51EFF" w:rsidRPr="001F764A" w:rsidRDefault="00F51EFF">
      <w:pPr>
        <w:spacing w:line="360" w:lineRule="auto"/>
        <w:jc w:val="both"/>
        <w:rPr>
          <w:rFonts w:ascii="Palatino Linotype" w:eastAsia="Palatino Linotype" w:hAnsi="Palatino Linotype" w:cs="Palatino Linotype"/>
        </w:rPr>
      </w:pPr>
    </w:p>
    <w:p w14:paraId="13701060" w14:textId="77777777" w:rsidR="00F51EFF" w:rsidRPr="001F764A" w:rsidRDefault="00CF7D80">
      <w:pPr>
        <w:spacing w:line="360" w:lineRule="auto"/>
        <w:jc w:val="both"/>
        <w:rPr>
          <w:rFonts w:ascii="Palatino Linotype" w:eastAsia="Palatino Linotype" w:hAnsi="Palatino Linotype" w:cs="Palatino Linotype"/>
          <w:strike/>
          <w:color w:val="FF0000"/>
        </w:rPr>
      </w:pPr>
      <w:r w:rsidRPr="001F764A">
        <w:rPr>
          <w:rFonts w:ascii="Palatino Linotype" w:eastAsia="Palatino Linotype" w:hAnsi="Palatino Linotype" w:cs="Palatino Linotype"/>
        </w:rPr>
        <w:t xml:space="preserve">En esa tesitura, el artículo 24 en su último párrafo de la Ley de la Materia, dispone que los Sujetos Obligados </w:t>
      </w:r>
      <w:r w:rsidRPr="001F764A">
        <w:rPr>
          <w:rFonts w:ascii="Palatino Linotype" w:eastAsia="Palatino Linotype" w:hAnsi="Palatino Linotype" w:cs="Palatino Linotype"/>
          <w:color w:val="000000"/>
        </w:rPr>
        <w:t xml:space="preserve">sólo proporcionarán la información pública que </w:t>
      </w:r>
      <w:r w:rsidRPr="001F764A">
        <w:rPr>
          <w:rFonts w:ascii="Palatino Linotype" w:eastAsia="Palatino Linotype" w:hAnsi="Palatino Linotype" w:cs="Palatino Linotype"/>
        </w:rPr>
        <w:t>generen</w:t>
      </w:r>
      <w:r w:rsidRPr="001F764A">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4D30FF00" w14:textId="77777777" w:rsidR="00F51EFF" w:rsidRPr="001F764A" w:rsidRDefault="00F51EFF">
      <w:pPr>
        <w:spacing w:line="360" w:lineRule="auto"/>
        <w:jc w:val="both"/>
        <w:rPr>
          <w:rFonts w:ascii="Palatino Linotype" w:eastAsia="Palatino Linotype" w:hAnsi="Palatino Linotype" w:cs="Palatino Linotype"/>
          <w:color w:val="000000"/>
        </w:rPr>
      </w:pPr>
    </w:p>
    <w:p w14:paraId="6BB391D1" w14:textId="77777777" w:rsidR="00F51EFF" w:rsidRPr="001F764A" w:rsidRDefault="00CF7D80">
      <w:pPr>
        <w:spacing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EDF190" w14:textId="77777777" w:rsidR="00F51EFF" w:rsidRPr="001F764A" w:rsidRDefault="00F51EFF">
      <w:pPr>
        <w:spacing w:line="360" w:lineRule="auto"/>
        <w:ind w:right="49"/>
        <w:jc w:val="both"/>
        <w:rPr>
          <w:rFonts w:ascii="Palatino Linotype" w:eastAsia="Palatino Linotype" w:hAnsi="Palatino Linotype" w:cs="Palatino Linotype"/>
        </w:rPr>
      </w:pPr>
    </w:p>
    <w:p w14:paraId="5D591E37"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E91C51" w14:textId="77777777" w:rsidR="00F51EFF" w:rsidRPr="001F764A" w:rsidRDefault="00F51EFF">
      <w:pPr>
        <w:ind w:left="851" w:right="899"/>
        <w:jc w:val="both"/>
        <w:rPr>
          <w:rFonts w:ascii="Palatino Linotype" w:eastAsia="Palatino Linotype" w:hAnsi="Palatino Linotype" w:cs="Palatino Linotype"/>
          <w:i/>
          <w:sz w:val="22"/>
          <w:szCs w:val="22"/>
        </w:rPr>
      </w:pPr>
    </w:p>
    <w:p w14:paraId="0FF01E54" w14:textId="77777777" w:rsidR="00F51EFF" w:rsidRPr="001F764A" w:rsidRDefault="00CF7D80">
      <w:pPr>
        <w:ind w:left="851" w:right="899"/>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 xml:space="preserve">Artículo 3. </w:t>
      </w:r>
      <w:r w:rsidRPr="001F764A">
        <w:rPr>
          <w:rFonts w:ascii="Palatino Linotype" w:eastAsia="Palatino Linotype" w:hAnsi="Palatino Linotype" w:cs="Palatino Linotype"/>
          <w:i/>
          <w:sz w:val="22"/>
          <w:szCs w:val="22"/>
        </w:rPr>
        <w:t>Para los efectos de la presente Ley se entenderá por:</w:t>
      </w:r>
    </w:p>
    <w:p w14:paraId="09C83A43" w14:textId="77777777" w:rsidR="00F51EFF" w:rsidRPr="001F764A" w:rsidRDefault="00CF7D80">
      <w:pPr>
        <w:ind w:left="851" w:right="899"/>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p>
    <w:p w14:paraId="616FC33A" w14:textId="77777777" w:rsidR="00F51EFF" w:rsidRPr="001F764A" w:rsidRDefault="00CF7D80">
      <w:pPr>
        <w:ind w:left="851" w:right="89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XI. Documento:</w:t>
      </w:r>
      <w:r w:rsidRPr="001F764A">
        <w:rPr>
          <w:rFonts w:ascii="Palatino Linotype" w:eastAsia="Palatino Linotype" w:hAnsi="Palatino Linotype" w:cs="Palatino Linotype"/>
          <w:i/>
          <w:color w:val="000000"/>
          <w:sz w:val="22"/>
          <w:szCs w:val="22"/>
        </w:rPr>
        <w:t xml:space="preserve"> Los expedientes, reportes, estudios, actas</w:t>
      </w:r>
      <w:r w:rsidRPr="001F764A">
        <w:rPr>
          <w:rFonts w:ascii="Palatino Linotype" w:eastAsia="Palatino Linotype" w:hAnsi="Palatino Linotype" w:cs="Palatino Linotype"/>
          <w:b/>
          <w:i/>
          <w:color w:val="000000"/>
          <w:sz w:val="22"/>
          <w:szCs w:val="22"/>
        </w:rPr>
        <w:t>,</w:t>
      </w:r>
      <w:r w:rsidRPr="001F764A">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7A16C54" w14:textId="77777777" w:rsidR="00F51EFF" w:rsidRPr="001F764A" w:rsidRDefault="00F51EFF">
      <w:pPr>
        <w:ind w:left="851" w:right="899"/>
        <w:jc w:val="both"/>
        <w:rPr>
          <w:rFonts w:ascii="Palatino Linotype" w:eastAsia="Palatino Linotype" w:hAnsi="Palatino Linotype" w:cs="Palatino Linotype"/>
          <w:sz w:val="22"/>
          <w:szCs w:val="22"/>
        </w:rPr>
      </w:pPr>
    </w:p>
    <w:p w14:paraId="26C58758"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E5F09F" w14:textId="77777777" w:rsidR="00F51EFF" w:rsidRPr="001F764A" w:rsidRDefault="00F51EFF">
      <w:pPr>
        <w:ind w:left="851" w:right="899"/>
        <w:jc w:val="both"/>
        <w:rPr>
          <w:rFonts w:ascii="Palatino Linotype" w:eastAsia="Palatino Linotype" w:hAnsi="Palatino Linotype" w:cs="Palatino Linotype"/>
        </w:rPr>
      </w:pPr>
    </w:p>
    <w:p w14:paraId="4A4CB956" w14:textId="77777777" w:rsidR="00F51EFF" w:rsidRPr="001F764A" w:rsidRDefault="00CF7D80">
      <w:pPr>
        <w:ind w:left="851" w:right="899"/>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sz w:val="22"/>
          <w:szCs w:val="22"/>
        </w:rPr>
        <w:t>“</w:t>
      </w:r>
      <w:r w:rsidRPr="001F764A">
        <w:rPr>
          <w:rFonts w:ascii="Palatino Linotype" w:eastAsia="Palatino Linotype" w:hAnsi="Palatino Linotype" w:cs="Palatino Linotype"/>
          <w:b/>
          <w:i/>
          <w:sz w:val="22"/>
          <w:szCs w:val="22"/>
        </w:rPr>
        <w:t>CRITERIO 0002-11</w:t>
      </w:r>
    </w:p>
    <w:p w14:paraId="7C6EED36" w14:textId="77777777" w:rsidR="00F51EFF" w:rsidRPr="001F764A" w:rsidRDefault="00CF7D80">
      <w:pPr>
        <w:ind w:left="851" w:right="899"/>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F764A">
        <w:rPr>
          <w:rFonts w:ascii="Palatino Linotype" w:eastAsia="Palatino Linotype" w:hAnsi="Palatino Linotype" w:cs="Palatino Linotype"/>
          <w:i/>
          <w:sz w:val="22"/>
          <w:szCs w:val="22"/>
        </w:rPr>
        <w:t xml:space="preserve"> De conformidad con los artículos antes referidos, el derecho de acceso a la información pública, se </w:t>
      </w:r>
      <w:r w:rsidRPr="001F764A">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8F20B6" w14:textId="77777777" w:rsidR="00F51EFF" w:rsidRPr="001F764A" w:rsidRDefault="00CF7D80">
      <w:pPr>
        <w:ind w:left="851" w:right="899"/>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BE6B5C3" w14:textId="77777777" w:rsidR="00F51EFF" w:rsidRPr="001F764A" w:rsidRDefault="00CF7D80">
      <w:pPr>
        <w:ind w:left="851" w:right="899"/>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CD7FD43" w14:textId="77777777" w:rsidR="00F51EFF" w:rsidRPr="001F764A" w:rsidRDefault="00CF7D80">
      <w:pPr>
        <w:ind w:left="851" w:right="899"/>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51BE441" w14:textId="77777777" w:rsidR="00F51EFF" w:rsidRPr="001F764A" w:rsidRDefault="00CF7D80">
      <w:pPr>
        <w:ind w:left="851" w:right="899"/>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7A10878C" w14:textId="77777777" w:rsidR="00F51EFF" w:rsidRPr="001F764A" w:rsidRDefault="00F51EFF">
      <w:pPr>
        <w:ind w:left="851" w:right="899"/>
        <w:jc w:val="both"/>
        <w:rPr>
          <w:rFonts w:ascii="Palatino Linotype" w:eastAsia="Palatino Linotype" w:hAnsi="Palatino Linotype" w:cs="Palatino Linotype"/>
          <w:b/>
          <w:i/>
          <w:sz w:val="22"/>
          <w:szCs w:val="22"/>
        </w:rPr>
      </w:pPr>
    </w:p>
    <w:p w14:paraId="672D0250" w14:textId="77777777" w:rsidR="00F51EFF" w:rsidRPr="001F764A" w:rsidRDefault="00CF7D80">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1F764A">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Tultitlan, lo siguiente:</w:t>
      </w:r>
    </w:p>
    <w:p w14:paraId="44BEAC07" w14:textId="77777777" w:rsidR="00F51EFF" w:rsidRPr="001F764A" w:rsidRDefault="00CF7D8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Planos de lotificación autorizados de la colonia/pueblo San Pablo de las Salinas en el cual se señalen las áreas verdes, las áreas de donación, las áreas de equipamiento y toda la lotificación autorizada.</w:t>
      </w:r>
    </w:p>
    <w:p w14:paraId="61DA50C6"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En respuesta, el </w:t>
      </w:r>
      <w:r w:rsidRPr="001F764A">
        <w:rPr>
          <w:rFonts w:ascii="Palatino Linotype" w:eastAsia="Palatino Linotype" w:hAnsi="Palatino Linotype" w:cs="Palatino Linotype"/>
          <w:b/>
        </w:rPr>
        <w:t xml:space="preserve">SUJETO OBLIGADO </w:t>
      </w:r>
      <w:r w:rsidRPr="001F764A">
        <w:rPr>
          <w:rFonts w:ascii="Palatino Linotype" w:eastAsia="Palatino Linotype" w:hAnsi="Palatino Linotype" w:cs="Palatino Linotype"/>
        </w:rPr>
        <w:t>a través de su Dirección de Desarrollo Urbano, informó que después de realizar una búsqueda en la documentación que obra en el archivo de la dirección no fueron encontrados planos de autorización de lotificación, no obstante remitió la Gaceta del Gobierno del Estado de México, número 23 de fecha dos de agosto de mil novecientos noventa y tres, por medio del cual se aprobó el Plan Parcial de Desarrollo Urbano del poblado de San Pablo de las Salinas, Municipio de Tultitlán, siendo el antecedente localizado.</w:t>
      </w:r>
    </w:p>
    <w:p w14:paraId="0F5999AB" w14:textId="77777777" w:rsidR="00F51EFF" w:rsidRPr="001F764A" w:rsidRDefault="00CF7D80">
      <w:pPr>
        <w:spacing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lastRenderedPageBreak/>
        <w:t xml:space="preserve">No conforme con la respuesta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interpuso el recurso de revisión que se analiza en el presente asunto, por medio del cual se inconformó porque:</w:t>
      </w:r>
    </w:p>
    <w:p w14:paraId="7B68F183" w14:textId="77777777" w:rsidR="00F51EFF" w:rsidRPr="001F764A" w:rsidRDefault="00CF7D80">
      <w:pPr>
        <w:spacing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Solicitó los planos de lotificación autorizado de San Pablo de las Salinas, Tultitlan Estado de México y me enviaron la gaceta de gobierno del 2 de agosto de 1993 que contiene el plan parcial de desarrollo urbano del poblado de san pablo de las salinas. </w:t>
      </w:r>
      <w:proofErr w:type="gramStart"/>
      <w:r w:rsidRPr="001F764A">
        <w:rPr>
          <w:rFonts w:ascii="Palatino Linotype" w:eastAsia="Palatino Linotype" w:hAnsi="Palatino Linotype" w:cs="Palatino Linotype"/>
        </w:rPr>
        <w:t>es</w:t>
      </w:r>
      <w:proofErr w:type="gramEnd"/>
      <w:r w:rsidRPr="001F764A">
        <w:rPr>
          <w:rFonts w:ascii="Palatino Linotype" w:eastAsia="Palatino Linotype" w:hAnsi="Palatino Linotype" w:cs="Palatino Linotype"/>
        </w:rPr>
        <w:t xml:space="preserve"> decir, nada que ver con lo solicitado, ya que pidió el plano de lotificación, no la gaceta de gobierno del plan parcial de 1993, de hace 30 años, no es posible que me den información que no pedí, solo quiero el plano de lotificación no el plan de desarrollo urbano.” </w:t>
      </w:r>
      <w:r w:rsidRPr="001F764A">
        <w:rPr>
          <w:rFonts w:ascii="Palatino Linotype" w:eastAsia="Palatino Linotype" w:hAnsi="Palatino Linotype" w:cs="Palatino Linotype"/>
          <w:color w:val="FF0000"/>
        </w:rPr>
        <w:t xml:space="preserve"> </w:t>
      </w:r>
    </w:p>
    <w:p w14:paraId="040617DE"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Ante la interposición del recurso de revisión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fue omiso en rendir su informe justificado.</w:t>
      </w:r>
    </w:p>
    <w:p w14:paraId="78CE5B10" w14:textId="77777777" w:rsidR="00F51EFF" w:rsidRPr="001F764A" w:rsidRDefault="00F51EFF">
      <w:pPr>
        <w:spacing w:line="360" w:lineRule="auto"/>
        <w:jc w:val="both"/>
        <w:rPr>
          <w:rFonts w:ascii="Palatino Linotype" w:eastAsia="Palatino Linotype" w:hAnsi="Palatino Linotype" w:cs="Palatino Linotype"/>
          <w:color w:val="000000"/>
        </w:rPr>
      </w:pPr>
    </w:p>
    <w:p w14:paraId="1F887697"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color w:val="000000"/>
        </w:rPr>
        <w:t>Con base en lo precedente</w:t>
      </w:r>
      <w:r w:rsidRPr="001F764A">
        <w:rPr>
          <w:rFonts w:ascii="Palatino Linotype" w:eastAsia="Palatino Linotype" w:hAnsi="Palatino Linotype" w:cs="Palatino Linotype"/>
        </w:rPr>
        <w:t xml:space="preserve">, se determina que la información proporcionada por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en su respuesta como informe justificado, cumple parcialmente con lo establecido por los artículos 4, 12 y 24 último párrafo de la Ley de Transparencia y Acceso a la Información Pública del Estado de México y Municipios; por ello, los motivos de inconformidad acontecen fundados para revocar la respuesta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en razón de las consideraciones de derecho que a continuación se exponen:</w:t>
      </w:r>
    </w:p>
    <w:p w14:paraId="513A4969"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w:t>
      </w:r>
      <w:r w:rsidRPr="001F764A">
        <w:rPr>
          <w:rFonts w:ascii="Palatino Linotype" w:eastAsia="Palatino Linotype" w:hAnsi="Palatino Linotype" w:cs="Palatino Linotype"/>
        </w:rPr>
        <w:lastRenderedPageBreak/>
        <w:t xml:space="preserve">deficiencia señalada, para determinar el periodo temporal de la información solicitada, por lo que, considerando la fecha de la solicitud, se determina que la información requerida es la vigente a la solicitud de información; es decir, al diecinueve de agosto del año dos mil veintidós, discernimiento que encuentra apoyado en los Criterios 1/2010 y 2/2010,  emitidos por el “Comité de Acceso a la Información y Protección de Datos personales” de la Suprema Corte de Justicia de la Nación, que disponen: </w:t>
      </w:r>
    </w:p>
    <w:p w14:paraId="441F10B8" w14:textId="77777777" w:rsidR="00F51EFF" w:rsidRPr="001F764A" w:rsidRDefault="00F51EFF">
      <w:pPr>
        <w:spacing w:line="360" w:lineRule="auto"/>
        <w:jc w:val="both"/>
        <w:rPr>
          <w:rFonts w:ascii="Palatino Linotype" w:eastAsia="Palatino Linotype" w:hAnsi="Palatino Linotype" w:cs="Palatino Linotype"/>
        </w:rPr>
      </w:pPr>
    </w:p>
    <w:p w14:paraId="76D138EF"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rPr>
        <w:t xml:space="preserve"> </w:t>
      </w:r>
      <w:r w:rsidRPr="001F764A">
        <w:rPr>
          <w:rFonts w:ascii="Palatino Linotype" w:eastAsia="Palatino Linotype" w:hAnsi="Palatino Linotype" w:cs="Palatino Linotype"/>
          <w:i/>
          <w:sz w:val="22"/>
          <w:szCs w:val="22"/>
        </w:rPr>
        <w:t>“Criterio 1/2010</w:t>
      </w:r>
    </w:p>
    <w:p w14:paraId="53821DB6"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41BAB6BE"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330178E2"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Clasificación de Información 69/2009-A. 30 de septiembre de 2009. Unanimidad de votos.”</w:t>
      </w:r>
    </w:p>
    <w:p w14:paraId="5A87321E"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“Criterio 2/2010.</w:t>
      </w:r>
    </w:p>
    <w:p w14:paraId="0F9A95B3"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386D9D9D"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6044629B" w14:textId="77777777" w:rsidR="00F51EFF" w:rsidRPr="001F764A" w:rsidRDefault="00CF7D80">
      <w:pPr>
        <w:ind w:left="567"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lastRenderedPageBreak/>
        <w:t>Clasificación de Información 69/2009-A. 30 de septiembre de 2009. Unanimidad de votos.”(Sic)</w:t>
      </w:r>
    </w:p>
    <w:p w14:paraId="3A87B498"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Ahora bien, sobre la naturaleza de la información, dentro del Plan de Desarrollo Municipal del Ayuntamiento de Tultitlán de la administración 2022-2024, se advierte lo siguiente:</w:t>
      </w:r>
    </w:p>
    <w:p w14:paraId="0327EE5C"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noProof/>
          <w:lang w:val="es-MX"/>
        </w:rPr>
        <w:drawing>
          <wp:inline distT="0" distB="0" distL="0" distR="0" wp14:anchorId="231364D4" wp14:editId="3A0FDB41">
            <wp:extent cx="5612130" cy="268795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2687955"/>
                    </a:xfrm>
                    <a:prstGeom prst="rect">
                      <a:avLst/>
                    </a:prstGeom>
                    <a:ln/>
                  </pic:spPr>
                </pic:pic>
              </a:graphicData>
            </a:graphic>
          </wp:inline>
        </w:drawing>
      </w:r>
      <w:r w:rsidRPr="001F764A">
        <w:rPr>
          <w:noProof/>
          <w:lang w:val="es-MX"/>
        </w:rPr>
        <mc:AlternateContent>
          <mc:Choice Requires="wpg">
            <w:drawing>
              <wp:anchor distT="0" distB="0" distL="114300" distR="114300" simplePos="0" relativeHeight="251658240" behindDoc="0" locked="0" layoutInCell="1" hidden="0" allowOverlap="1" wp14:anchorId="0D5B15F9" wp14:editId="7A669E43">
                <wp:simplePos x="0" y="0"/>
                <wp:positionH relativeFrom="column">
                  <wp:posOffset>3340100</wp:posOffset>
                </wp:positionH>
                <wp:positionV relativeFrom="paragraph">
                  <wp:posOffset>25400</wp:posOffset>
                </wp:positionV>
                <wp:extent cx="377660" cy="377660"/>
                <wp:effectExtent l="0" t="0" r="0" b="0"/>
                <wp:wrapNone/>
                <wp:docPr id="1" name="Flecha izquierda 1"/>
                <wp:cNvGraphicFramePr/>
                <a:graphic xmlns:a="http://schemas.openxmlformats.org/drawingml/2006/main">
                  <a:graphicData uri="http://schemas.microsoft.com/office/word/2010/wordprocessingShape">
                    <wps:wsp>
                      <wps:cNvSpPr/>
                      <wps:spPr>
                        <a:xfrm>
                          <a:off x="5161933" y="3595933"/>
                          <a:ext cx="368135" cy="368135"/>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41374723" w14:textId="77777777" w:rsidR="00F51EFF" w:rsidRDefault="00F51EFF">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25400</wp:posOffset>
                </wp:positionV>
                <wp:extent cx="377660" cy="377660"/>
                <wp:effectExtent b="0" l="0" r="0" t="0"/>
                <wp:wrapNone/>
                <wp:docPr id="1"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377660" cy="377660"/>
                        </a:xfrm>
                        <a:prstGeom prst="rect"/>
                        <a:ln/>
                      </pic:spPr>
                    </pic:pic>
                  </a:graphicData>
                </a:graphic>
              </wp:anchor>
            </w:drawing>
          </mc:Fallback>
        </mc:AlternateContent>
      </w:r>
    </w:p>
    <w:p w14:paraId="2DEFE94F"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En donde se indicó que para instrumentar las acciones para los procesos de registro de inmuebles ante el Catastro Municipal de Tultitlán, se debería realizar levantamiento de planos topográficos en campo. </w:t>
      </w:r>
    </w:p>
    <w:p w14:paraId="67D643C8"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t xml:space="preserve">En ese sentido el área del </w:t>
      </w:r>
      <w:r w:rsidRPr="001F764A">
        <w:rPr>
          <w:rFonts w:ascii="Palatino Linotype" w:eastAsia="Palatino Linotype" w:hAnsi="Palatino Linotype" w:cs="Palatino Linotype"/>
          <w:b/>
          <w:color w:val="222222"/>
        </w:rPr>
        <w:t>SUJETO OBLIGADO</w:t>
      </w:r>
      <w:r w:rsidRPr="001F764A">
        <w:rPr>
          <w:rFonts w:ascii="Palatino Linotype" w:eastAsia="Palatino Linotype" w:hAnsi="Palatino Linotype" w:cs="Palatino Linotype"/>
          <w:color w:val="222222"/>
        </w:rPr>
        <w:t xml:space="preserve">, que se encarga de realizar los </w:t>
      </w:r>
      <w:r w:rsidRPr="001F764A">
        <w:rPr>
          <w:rFonts w:ascii="Palatino Linotype" w:eastAsia="Palatino Linotype" w:hAnsi="Palatino Linotype" w:cs="Palatino Linotype"/>
        </w:rPr>
        <w:t>levantamientos de planos topográficos</w:t>
      </w:r>
      <w:r w:rsidRPr="001F764A">
        <w:rPr>
          <w:rFonts w:ascii="Palatino Linotype" w:eastAsia="Palatino Linotype" w:hAnsi="Palatino Linotype" w:cs="Palatino Linotype"/>
          <w:color w:val="222222"/>
        </w:rPr>
        <w:t xml:space="preserve"> es la Coordinación de Catastro</w:t>
      </w:r>
      <w:r w:rsidRPr="001F764A">
        <w:rPr>
          <w:rFonts w:ascii="Palatino Linotype" w:eastAsia="Palatino Linotype" w:hAnsi="Palatino Linotype" w:cs="Palatino Linotype"/>
          <w:color w:val="000000"/>
        </w:rPr>
        <w:t xml:space="preserve">, en razón de que, dentro de su </w:t>
      </w:r>
      <w:r w:rsidRPr="001F764A">
        <w:rPr>
          <w:rFonts w:ascii="Palatino Linotype" w:eastAsia="Palatino Linotype" w:hAnsi="Palatino Linotype" w:cs="Palatino Linotype"/>
          <w:color w:val="222222"/>
        </w:rPr>
        <w:t xml:space="preserve">Manual General de Organización de la Tesorería Municipal del </w:t>
      </w:r>
      <w:r w:rsidRPr="001F764A">
        <w:rPr>
          <w:rFonts w:ascii="Palatino Linotype" w:eastAsia="Palatino Linotype" w:hAnsi="Palatino Linotype" w:cs="Palatino Linotype"/>
          <w:b/>
          <w:color w:val="222222"/>
        </w:rPr>
        <w:t>SUJETO OBLIGADO</w:t>
      </w:r>
      <w:r w:rsidRPr="001F764A">
        <w:rPr>
          <w:rFonts w:ascii="Palatino Linotype" w:eastAsia="Palatino Linotype" w:hAnsi="Palatino Linotype" w:cs="Palatino Linotype"/>
          <w:color w:val="222222"/>
        </w:rPr>
        <w:t>, en su punto 1.3., se advierte lo siguiente:</w:t>
      </w:r>
    </w:p>
    <w:p w14:paraId="21F33676" w14:textId="77777777" w:rsidR="00F51EFF" w:rsidRPr="001F764A" w:rsidRDefault="00F51EFF">
      <w:pPr>
        <w:spacing w:line="360" w:lineRule="auto"/>
        <w:ind w:right="51"/>
        <w:jc w:val="both"/>
        <w:rPr>
          <w:rFonts w:ascii="Palatino Linotype" w:eastAsia="Palatino Linotype" w:hAnsi="Palatino Linotype" w:cs="Palatino Linotype"/>
          <w:color w:val="222222"/>
        </w:rPr>
      </w:pPr>
    </w:p>
    <w:p w14:paraId="0A7D0870"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noProof/>
          <w:color w:val="222222"/>
          <w:lang w:val="es-MX"/>
        </w:rPr>
        <w:lastRenderedPageBreak/>
        <w:drawing>
          <wp:inline distT="0" distB="0" distL="0" distR="0" wp14:anchorId="4DD26201" wp14:editId="1B06AF56">
            <wp:extent cx="5612130" cy="304990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3049905"/>
                    </a:xfrm>
                    <a:prstGeom prst="rect">
                      <a:avLst/>
                    </a:prstGeom>
                    <a:ln/>
                  </pic:spPr>
                </pic:pic>
              </a:graphicData>
            </a:graphic>
          </wp:inline>
        </w:drawing>
      </w:r>
    </w:p>
    <w:p w14:paraId="79B973AC"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t>En donde la Coordinación de Catastro, es parte de las áreas que conforman a la Tesorería Municipal del Ayuntamiento de Tultitlan, Coordinación que cuenta con un Jefatura de Topografía y Cartografía y que dicha Coordinación de Catastro tendrá las siguientes atribuciones:</w:t>
      </w:r>
      <w:r w:rsidRPr="001F764A">
        <w:rPr>
          <w:noProof/>
          <w:lang w:val="es-MX"/>
        </w:rPr>
        <mc:AlternateContent>
          <mc:Choice Requires="wpg">
            <w:drawing>
              <wp:anchor distT="0" distB="0" distL="114300" distR="114300" simplePos="0" relativeHeight="251659264" behindDoc="0" locked="0" layoutInCell="1" hidden="0" allowOverlap="1" wp14:anchorId="6A812A17" wp14:editId="7838A8DE">
                <wp:simplePos x="0" y="0"/>
                <wp:positionH relativeFrom="column">
                  <wp:posOffset>88901</wp:posOffset>
                </wp:positionH>
                <wp:positionV relativeFrom="paragraph">
                  <wp:posOffset>1282700</wp:posOffset>
                </wp:positionV>
                <wp:extent cx="5458361" cy="1860137"/>
                <wp:effectExtent l="0" t="0" r="0" b="0"/>
                <wp:wrapNone/>
                <wp:docPr id="2" name="Conector recto de flecha 2"/>
                <wp:cNvGraphicFramePr/>
                <a:graphic xmlns:a="http://schemas.openxmlformats.org/drawingml/2006/main">
                  <a:graphicData uri="http://schemas.microsoft.com/office/word/2010/wordprocessingShape">
                    <wps:wsp>
                      <wps:cNvCnPr/>
                      <wps:spPr>
                        <a:xfrm>
                          <a:off x="2629520" y="2862632"/>
                          <a:ext cx="5432961" cy="1834737"/>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1282700</wp:posOffset>
                </wp:positionV>
                <wp:extent cx="5458361" cy="1860137"/>
                <wp:effectExtent b="0" l="0" r="0" t="0"/>
                <wp:wrapNone/>
                <wp:docPr id="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458361" cy="1860137"/>
                        </a:xfrm>
                        <a:prstGeom prst="rect"/>
                        <a:ln/>
                      </pic:spPr>
                    </pic:pic>
                  </a:graphicData>
                </a:graphic>
              </wp:anchor>
            </w:drawing>
          </mc:Fallback>
        </mc:AlternateContent>
      </w:r>
    </w:p>
    <w:p w14:paraId="5A977628"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noProof/>
          <w:color w:val="222222"/>
          <w:lang w:val="es-MX"/>
        </w:rPr>
        <w:drawing>
          <wp:inline distT="0" distB="0" distL="0" distR="0" wp14:anchorId="30B337CC" wp14:editId="66705D5B">
            <wp:extent cx="5620152" cy="302740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20152" cy="3027409"/>
                    </a:xfrm>
                    <a:prstGeom prst="rect">
                      <a:avLst/>
                    </a:prstGeom>
                    <a:ln/>
                  </pic:spPr>
                </pic:pic>
              </a:graphicData>
            </a:graphic>
          </wp:inline>
        </w:drawing>
      </w:r>
    </w:p>
    <w:p w14:paraId="7F9CD34A"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noProof/>
          <w:color w:val="222222"/>
          <w:lang w:val="es-MX"/>
        </w:rPr>
        <w:lastRenderedPageBreak/>
        <w:drawing>
          <wp:inline distT="0" distB="0" distL="0" distR="0" wp14:anchorId="7FBA5A80" wp14:editId="2B2ED6AA">
            <wp:extent cx="5612130" cy="346329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3463290"/>
                    </a:xfrm>
                    <a:prstGeom prst="rect">
                      <a:avLst/>
                    </a:prstGeom>
                    <a:ln/>
                  </pic:spPr>
                </pic:pic>
              </a:graphicData>
            </a:graphic>
          </wp:inline>
        </w:drawing>
      </w:r>
    </w:p>
    <w:p w14:paraId="3E62BA44"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t xml:space="preserve"> </w:t>
      </w:r>
      <w:r w:rsidRPr="001F764A">
        <w:rPr>
          <w:rFonts w:ascii="Palatino Linotype" w:eastAsia="Palatino Linotype" w:hAnsi="Palatino Linotype" w:cs="Palatino Linotype"/>
          <w:noProof/>
          <w:color w:val="222222"/>
          <w:lang w:val="es-MX"/>
        </w:rPr>
        <w:drawing>
          <wp:inline distT="0" distB="0" distL="0" distR="0" wp14:anchorId="3EEDFC78" wp14:editId="4AFB50B9">
            <wp:extent cx="5612130" cy="343281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3432810"/>
                    </a:xfrm>
                    <a:prstGeom prst="rect">
                      <a:avLst/>
                    </a:prstGeom>
                    <a:ln/>
                  </pic:spPr>
                </pic:pic>
              </a:graphicData>
            </a:graphic>
          </wp:inline>
        </w:drawing>
      </w:r>
    </w:p>
    <w:p w14:paraId="6C908A42"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noProof/>
          <w:color w:val="222222"/>
          <w:lang w:val="es-MX"/>
        </w:rPr>
        <w:lastRenderedPageBreak/>
        <w:drawing>
          <wp:inline distT="0" distB="0" distL="0" distR="0" wp14:anchorId="2654ADD6" wp14:editId="199DC269">
            <wp:extent cx="5612130" cy="104267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1042670"/>
                    </a:xfrm>
                    <a:prstGeom prst="rect">
                      <a:avLst/>
                    </a:prstGeom>
                    <a:ln/>
                  </pic:spPr>
                </pic:pic>
              </a:graphicData>
            </a:graphic>
          </wp:inline>
        </w:drawing>
      </w:r>
    </w:p>
    <w:p w14:paraId="0014F1BA"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t>Entre las que se destaca la competencia de mantener el resguardo y control de los archivos físicos, digitales, cartográficos y alfanuméricos del Catastro Municipal, coordinar y ejecutar la práctica de levantamientos topográficos y verificación de linderos de los inmuebles localizados dentro de la jurisdicción del Ayuntamiento de Tultitlan, así como sus registros geográficos, gráficos, estadísticos, alfanuméricos, elementos, características resultantes de la actividad catastral y la cartografía de los inmuebles ubicados dentro del Municipio de Tultitlán.</w:t>
      </w:r>
    </w:p>
    <w:p w14:paraId="3E8A27D7" w14:textId="77777777" w:rsidR="00F51EFF" w:rsidRPr="001F764A" w:rsidRDefault="00F51EFF">
      <w:pPr>
        <w:spacing w:line="360" w:lineRule="auto"/>
        <w:ind w:right="51"/>
        <w:jc w:val="both"/>
        <w:rPr>
          <w:rFonts w:ascii="Palatino Linotype" w:eastAsia="Palatino Linotype" w:hAnsi="Palatino Linotype" w:cs="Palatino Linotype"/>
          <w:color w:val="222222"/>
        </w:rPr>
      </w:pPr>
    </w:p>
    <w:p w14:paraId="55273095"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Además, resulta factible, esclarecer el significado de cartográfico que, de acuerdo a la Real Academia Española, menciona lo siguiente:</w:t>
      </w:r>
    </w:p>
    <w:p w14:paraId="5B7FA48F" w14:textId="77777777" w:rsidR="00F51EFF" w:rsidRPr="001F764A" w:rsidRDefault="00820EA2">
      <w:pPr>
        <w:spacing w:line="360" w:lineRule="auto"/>
        <w:jc w:val="both"/>
        <w:rPr>
          <w:rFonts w:ascii="Palatino Linotype" w:eastAsia="Palatino Linotype" w:hAnsi="Palatino Linotype" w:cs="Palatino Linotype"/>
        </w:rPr>
      </w:pPr>
      <w:hyperlink r:id="rId20">
        <w:r w:rsidR="00CF7D80" w:rsidRPr="001F764A">
          <w:rPr>
            <w:rFonts w:ascii="Palatino Linotype" w:eastAsia="Palatino Linotype" w:hAnsi="Palatino Linotype" w:cs="Palatino Linotype"/>
            <w:color w:val="0563C1"/>
            <w:u w:val="single"/>
          </w:rPr>
          <w:t>https://dle.rae.es/cartograf%C3%ADa</w:t>
        </w:r>
      </w:hyperlink>
      <w:r w:rsidR="00CF7D80" w:rsidRPr="001F764A">
        <w:rPr>
          <w:rFonts w:ascii="Palatino Linotype" w:eastAsia="Palatino Linotype" w:hAnsi="Palatino Linotype" w:cs="Palatino Linotype"/>
        </w:rPr>
        <w:t xml:space="preserve"> </w:t>
      </w:r>
    </w:p>
    <w:p w14:paraId="4AD8F962" w14:textId="77777777" w:rsidR="00F51EFF" w:rsidRPr="001F764A" w:rsidRDefault="00F51EFF">
      <w:pPr>
        <w:spacing w:line="360" w:lineRule="auto"/>
        <w:jc w:val="both"/>
        <w:rPr>
          <w:rFonts w:ascii="Palatino Linotype" w:eastAsia="Palatino Linotype" w:hAnsi="Palatino Linotype" w:cs="Palatino Linotype"/>
        </w:rPr>
      </w:pPr>
    </w:p>
    <w:p w14:paraId="00E412FA" w14:textId="77777777" w:rsidR="00F51EFF" w:rsidRPr="001F764A" w:rsidRDefault="00CF7D80">
      <w:pPr>
        <w:spacing w:line="360" w:lineRule="auto"/>
        <w:ind w:left="851"/>
        <w:jc w:val="both"/>
        <w:rPr>
          <w:rFonts w:ascii="Palatino Linotype" w:eastAsia="Palatino Linotype" w:hAnsi="Palatino Linotype" w:cs="Palatino Linotype"/>
        </w:rPr>
      </w:pPr>
      <w:r w:rsidRPr="001F764A">
        <w:rPr>
          <w:rFonts w:ascii="Palatino Linotype" w:eastAsia="Palatino Linotype" w:hAnsi="Palatino Linotype" w:cs="Palatino Linotype"/>
        </w:rPr>
        <w:t>“</w:t>
      </w:r>
      <w:r w:rsidRPr="001F764A">
        <w:rPr>
          <w:rFonts w:ascii="Palatino Linotype" w:eastAsia="Palatino Linotype" w:hAnsi="Palatino Linotype" w:cs="Palatino Linotype"/>
          <w:b/>
          <w:i/>
        </w:rPr>
        <w:t>Arte de trazar mapas geográficos</w:t>
      </w:r>
      <w:r w:rsidRPr="001F764A">
        <w:rPr>
          <w:rFonts w:ascii="Palatino Linotype" w:eastAsia="Palatino Linotype" w:hAnsi="Palatino Linotype" w:cs="Palatino Linotype"/>
        </w:rPr>
        <w:t xml:space="preserve">”. </w:t>
      </w:r>
    </w:p>
    <w:p w14:paraId="48B8A34A" w14:textId="77777777" w:rsidR="00F51EFF" w:rsidRPr="001F764A" w:rsidRDefault="00F51EFF">
      <w:pPr>
        <w:spacing w:line="360" w:lineRule="auto"/>
        <w:jc w:val="both"/>
        <w:rPr>
          <w:rFonts w:ascii="Palatino Linotype" w:eastAsia="Palatino Linotype" w:hAnsi="Palatino Linotype" w:cs="Palatino Linotype"/>
        </w:rPr>
      </w:pPr>
    </w:p>
    <w:p w14:paraId="6E5D16A3"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En ese tenor, se entiende </w:t>
      </w:r>
      <w:r w:rsidRPr="001F764A">
        <w:rPr>
          <w:rFonts w:ascii="Palatino Linotype" w:eastAsia="Palatino Linotype" w:hAnsi="Palatino Linotype" w:cs="Palatino Linotype"/>
          <w:b/>
        </w:rPr>
        <w:t>que el SUJETO OBLIGADO</w:t>
      </w:r>
      <w:r w:rsidRPr="001F764A">
        <w:rPr>
          <w:rFonts w:ascii="Palatino Linotype" w:eastAsia="Palatino Linotype" w:hAnsi="Palatino Linotype" w:cs="Palatino Linotype"/>
        </w:rPr>
        <w:t xml:space="preserve">, desarrolla planos catastrales geográficos, a efecto a fin de facilitar la identificación, ubicación y valorización de los bienes inmuebles ubicados dentro de su jurisdicción. </w:t>
      </w:r>
    </w:p>
    <w:p w14:paraId="043A5ED5" w14:textId="77777777" w:rsidR="00F51EFF" w:rsidRPr="001F764A" w:rsidRDefault="00F51EFF">
      <w:pPr>
        <w:spacing w:line="360" w:lineRule="auto"/>
        <w:ind w:right="51"/>
        <w:jc w:val="both"/>
        <w:rPr>
          <w:rFonts w:ascii="Palatino Linotype" w:eastAsia="Palatino Linotype" w:hAnsi="Palatino Linotype" w:cs="Palatino Linotype"/>
        </w:rPr>
      </w:pPr>
    </w:p>
    <w:p w14:paraId="4E54CF58"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Lo que se robustece con lo señalado por el artículo 105 de la </w:t>
      </w:r>
      <w:r w:rsidRPr="001F764A">
        <w:rPr>
          <w:rFonts w:ascii="Palatino Linotype" w:eastAsia="Palatino Linotype" w:hAnsi="Palatino Linotype" w:cs="Palatino Linotype"/>
          <w:color w:val="000000"/>
        </w:rPr>
        <w:t>del Reglamento Orgánico de la Administración Pública del Municipio de Tultitlán, Estado de México, que señala:</w:t>
      </w:r>
    </w:p>
    <w:p w14:paraId="26A34520" w14:textId="77777777" w:rsidR="00F51EFF" w:rsidRPr="001F764A" w:rsidRDefault="00F51EFF">
      <w:pPr>
        <w:spacing w:line="360" w:lineRule="auto"/>
        <w:ind w:right="51"/>
        <w:jc w:val="both"/>
        <w:rPr>
          <w:rFonts w:ascii="Palatino Linotype" w:eastAsia="Palatino Linotype" w:hAnsi="Palatino Linotype" w:cs="Palatino Linotype"/>
        </w:rPr>
      </w:pPr>
    </w:p>
    <w:p w14:paraId="609FB484"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“Artículo 105. En el cumplimiento de sus funciones la Coordinadora o Coordinador de Catastro observará en todo momento las disposiciones contenidas en la Ley Agraria y su Reglamento, Ley Orgánica de la Administración Pública del Estado de México, el Reglamento Interior del Instituto de Información e Investigación Geográfica, Estadística y Catastral del Estado de México, el Código Financiero del Estado de México y Municipios, el Código Administrativo del Estado de México, Libro Décimo Cuarto, “De la Información e Investigación Geográfica, Estadística y Catastral del Estado de México”, el Código Civil para el Estado de México, la Ley Orgánica Municipal del Estado de México, la Ley de Responsabilidades de los Servidores Públicos del Estado de México y Municipios, la Ley que Regula el Régimen de Propiedad en Condominio en el Estado de México, el Reglamento del Título Quinto del Código Financiero del Estado de México y Municipios, Denominado “Del Catastro”, el Manual Catastral del Estado de México, los Lineamientos y Especificaciones Técnicas para la Generación y Actualización de Información Geográfica, el Plan Municipal de Desarrollo Urbano, el Bando Municipal y demás atribuciones que otros ordenamientos </w:t>
      </w:r>
      <w:r w:rsidRPr="001F764A">
        <w:rPr>
          <w:rFonts w:ascii="Palatino Linotype" w:eastAsia="Palatino Linotype" w:hAnsi="Palatino Linotype" w:cs="Palatino Linotype"/>
          <w:b/>
          <w:i/>
          <w:sz w:val="22"/>
          <w:szCs w:val="22"/>
        </w:rPr>
        <w:t>le confieren en materia catastral, así como las siguientes facultades y obligaciones</w:t>
      </w:r>
      <w:r w:rsidRPr="001F764A">
        <w:rPr>
          <w:rFonts w:ascii="Palatino Linotype" w:eastAsia="Palatino Linotype" w:hAnsi="Palatino Linotype" w:cs="Palatino Linotype"/>
          <w:i/>
          <w:sz w:val="22"/>
          <w:szCs w:val="22"/>
        </w:rPr>
        <w:t xml:space="preserve">: </w:t>
      </w:r>
    </w:p>
    <w:p w14:paraId="69DD0843" w14:textId="77777777" w:rsidR="00F51EFF" w:rsidRPr="001F764A" w:rsidRDefault="00CF7D80">
      <w:pPr>
        <w:spacing w:line="276" w:lineRule="auto"/>
        <w:ind w:left="851" w:right="567"/>
        <w:jc w:val="both"/>
        <w:rPr>
          <w:rFonts w:ascii="Palatino Linotype" w:eastAsia="Palatino Linotype" w:hAnsi="Palatino Linotype" w:cs="Palatino Linotype"/>
          <w:b/>
          <w:i/>
          <w:sz w:val="22"/>
          <w:szCs w:val="22"/>
          <w:u w:val="single"/>
        </w:rPr>
      </w:pPr>
      <w:r w:rsidRPr="001F764A">
        <w:rPr>
          <w:rFonts w:ascii="Palatino Linotype" w:eastAsia="Palatino Linotype" w:hAnsi="Palatino Linotype" w:cs="Palatino Linotype"/>
          <w:i/>
          <w:sz w:val="22"/>
          <w:szCs w:val="22"/>
        </w:rPr>
        <w:t>I</w:t>
      </w:r>
      <w:r w:rsidRPr="001F764A">
        <w:rPr>
          <w:rFonts w:ascii="Palatino Linotype" w:eastAsia="Palatino Linotype" w:hAnsi="Palatino Linotype" w:cs="Palatino Linotype"/>
          <w:b/>
          <w:i/>
          <w:sz w:val="22"/>
          <w:szCs w:val="22"/>
        </w:rPr>
        <w:t xml:space="preserve">. Integrar, conservar y mantener actualizado el padrón catastral que contiene los datos técnicos y administrativos del inventario analítico con las características cualitativas y cuantitativas </w:t>
      </w:r>
      <w:r w:rsidRPr="001F764A">
        <w:rPr>
          <w:rFonts w:ascii="Palatino Linotype" w:eastAsia="Palatino Linotype" w:hAnsi="Palatino Linotype" w:cs="Palatino Linotype"/>
          <w:b/>
          <w:i/>
          <w:sz w:val="22"/>
          <w:szCs w:val="22"/>
          <w:u w:val="single"/>
        </w:rPr>
        <w:t>de los inmuebles ubicados en el Municipio, recopilando registros geográficos, gráficos, estadísticos, alfanuméricos, elementos y características resultantes de la actividad catastral;</w:t>
      </w:r>
    </w:p>
    <w:p w14:paraId="5F92EA26" w14:textId="77777777" w:rsidR="00F51EFF" w:rsidRPr="001F764A" w:rsidRDefault="00CF7D80">
      <w:pPr>
        <w:spacing w:line="276" w:lineRule="auto"/>
        <w:ind w:left="851" w:right="567"/>
        <w:jc w:val="both"/>
        <w:rPr>
          <w:rFonts w:ascii="Palatino Linotype" w:eastAsia="Palatino Linotype" w:hAnsi="Palatino Linotype" w:cs="Palatino Linotype"/>
          <w:b/>
          <w:i/>
          <w:sz w:val="22"/>
          <w:szCs w:val="22"/>
          <w:u w:val="single"/>
        </w:rPr>
      </w:pPr>
      <w:r w:rsidRPr="001F764A">
        <w:rPr>
          <w:rFonts w:ascii="Palatino Linotype" w:eastAsia="Palatino Linotype" w:hAnsi="Palatino Linotype" w:cs="Palatino Linotype"/>
          <w:i/>
          <w:sz w:val="22"/>
          <w:szCs w:val="22"/>
        </w:rPr>
        <w:t>…</w:t>
      </w:r>
    </w:p>
    <w:p w14:paraId="222D9EA8"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XIII. Coordinar y ejecutar la práctica de Levantamientos Topográficos y Verificación de Linderos, a través de personal autorizado, debidamente certificado por la Comisión Certificadora de Competencia Laboral de los Servidores Públicos del Estado de México; </w:t>
      </w:r>
    </w:p>
    <w:p w14:paraId="4B2C4742"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p>
    <w:p w14:paraId="7CB6799A"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XV. Elaborar el proyecto técnico de actualización, modificación y creación de las áreas homogéneas, bandas de valor, manzanas catastrales, códigos de clave de calle, nomenclatura y valores unitarios de suelo y construcción, remitiéndolo al Instituto </w:t>
      </w:r>
      <w:r w:rsidRPr="001F764A">
        <w:rPr>
          <w:rFonts w:ascii="Palatino Linotype" w:eastAsia="Palatino Linotype" w:hAnsi="Palatino Linotype" w:cs="Palatino Linotype"/>
          <w:i/>
          <w:sz w:val="22"/>
          <w:szCs w:val="22"/>
        </w:rPr>
        <w:lastRenderedPageBreak/>
        <w:t>de Información e Investigación, Geográfica, Estadística y Catastral del Estado de México (IGECEM), para su revisión y observaciones…”(Sic)</w:t>
      </w:r>
    </w:p>
    <w:p w14:paraId="7F6405D9" w14:textId="77777777" w:rsidR="00F51EFF" w:rsidRPr="001F764A" w:rsidRDefault="00F51EFF">
      <w:pPr>
        <w:spacing w:line="360" w:lineRule="auto"/>
        <w:jc w:val="both"/>
        <w:rPr>
          <w:rFonts w:ascii="Palatino Linotype" w:eastAsia="Palatino Linotype" w:hAnsi="Palatino Linotype" w:cs="Palatino Linotype"/>
        </w:rPr>
      </w:pPr>
    </w:p>
    <w:p w14:paraId="3B414E3E"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Establecido lo anterior, es necesario precisar que se entiende por plano, que de acuerdo a la Real Academia Española, misma que se puede consultar en la liga electrónica </w:t>
      </w:r>
      <w:r w:rsidRPr="001F764A">
        <w:rPr>
          <w:rFonts w:ascii="Palatino Linotype" w:eastAsia="Palatino Linotype" w:hAnsi="Palatino Linotype" w:cs="Palatino Linotype"/>
          <w:color w:val="0563C1"/>
          <w:u w:val="single"/>
        </w:rPr>
        <w:t>https://dle.rae.es/plano</w:t>
      </w:r>
      <w:r w:rsidRPr="001F764A">
        <w:rPr>
          <w:rFonts w:ascii="Palatino Linotype" w:eastAsia="Palatino Linotype" w:hAnsi="Palatino Linotype" w:cs="Palatino Linotype"/>
        </w:rPr>
        <w:t xml:space="preserve"> es:</w:t>
      </w:r>
    </w:p>
    <w:p w14:paraId="53637677" w14:textId="77777777" w:rsidR="00F51EFF" w:rsidRPr="001F764A" w:rsidRDefault="00F51EFF">
      <w:pPr>
        <w:spacing w:line="276" w:lineRule="auto"/>
        <w:ind w:left="851" w:right="567"/>
        <w:jc w:val="both"/>
        <w:rPr>
          <w:rFonts w:ascii="Palatino Linotype" w:eastAsia="Palatino Linotype" w:hAnsi="Palatino Linotype" w:cs="Palatino Linotype"/>
        </w:rPr>
      </w:pPr>
    </w:p>
    <w:p w14:paraId="29C49A2F"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“Representación esquemática, en dos dimensiones y a determinada escala, de un terreno, una población, una máquina, una construcción, etc.”(Sic)</w:t>
      </w:r>
    </w:p>
    <w:p w14:paraId="765BC693" w14:textId="77777777" w:rsidR="00F51EFF" w:rsidRPr="001F764A" w:rsidRDefault="00F51EFF">
      <w:pPr>
        <w:spacing w:line="276" w:lineRule="auto"/>
        <w:ind w:left="851" w:right="567"/>
        <w:jc w:val="both"/>
        <w:rPr>
          <w:rFonts w:ascii="Palatino Linotype" w:eastAsia="Palatino Linotype" w:hAnsi="Palatino Linotype" w:cs="Palatino Linotype"/>
          <w:b/>
          <w:i/>
        </w:rPr>
      </w:pPr>
    </w:p>
    <w:p w14:paraId="39DDFCE0"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Asimismo, de acuerdo al INEGI (Instituto Nacional de Estadística y Geografía), el cual puede ser consultado en la siguiente liga electrónica </w:t>
      </w:r>
      <w:hyperlink r:id="rId21">
        <w:r w:rsidRPr="001F764A">
          <w:rPr>
            <w:rFonts w:ascii="Palatino Linotype" w:eastAsia="Palatino Linotype" w:hAnsi="Palatino Linotype" w:cs="Palatino Linotype"/>
            <w:color w:val="0000FF"/>
            <w:u w:val="single"/>
          </w:rPr>
          <w:t>https://www.inegi.org.mx/temas/topografia/</w:t>
        </w:r>
      </w:hyperlink>
      <w:r w:rsidRPr="001F764A">
        <w:rPr>
          <w:rFonts w:ascii="Palatino Linotype" w:eastAsia="Palatino Linotype" w:hAnsi="Palatino Linotype" w:cs="Palatino Linotype"/>
        </w:rPr>
        <w:t>, define al Plano Topográfico como:</w:t>
      </w:r>
    </w:p>
    <w:p w14:paraId="143AE070" w14:textId="77777777" w:rsidR="00F51EFF" w:rsidRPr="001F764A" w:rsidRDefault="00F51EFF">
      <w:pPr>
        <w:spacing w:line="360" w:lineRule="auto"/>
        <w:jc w:val="both"/>
        <w:rPr>
          <w:rFonts w:ascii="Palatino Linotype" w:eastAsia="Palatino Linotype" w:hAnsi="Palatino Linotype" w:cs="Palatino Linotype"/>
        </w:rPr>
      </w:pPr>
    </w:p>
    <w:p w14:paraId="31C0F1F8" w14:textId="77777777" w:rsidR="00F51EFF" w:rsidRPr="001F764A" w:rsidRDefault="00CF7D80">
      <w:pPr>
        <w:spacing w:line="276" w:lineRule="auto"/>
        <w:ind w:left="851" w:right="567"/>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“Información que tiene como objetivo representar la infraestructura, orografía, hidrografía y las poblaciones del país. En ella se registran fielmente todos estos elementos y las relaciones que guardan entre sí. Contiene información sobre el relieve, rasgos hidrográficos, vegetación densa, áreas con actividades agrícolas, localidades y vías de comunicación, además de los nombres de los rasgos (toponimia) y las localidades” (Sic)</w:t>
      </w:r>
      <w:r w:rsidRPr="001F764A">
        <w:fldChar w:fldCharType="begin"/>
      </w:r>
      <w:r w:rsidRPr="001F764A">
        <w:instrText xml:space="preserve"> HYPERLINK "https://www.inegi.org.mx/" </w:instrText>
      </w:r>
      <w:r w:rsidRPr="001F764A">
        <w:fldChar w:fldCharType="separate"/>
      </w:r>
    </w:p>
    <w:p w14:paraId="520F834C" w14:textId="77777777" w:rsidR="00F51EFF" w:rsidRPr="001F764A" w:rsidRDefault="00CF7D80">
      <w:pPr>
        <w:spacing w:line="360" w:lineRule="auto"/>
        <w:jc w:val="both"/>
        <w:rPr>
          <w:sz w:val="22"/>
          <w:szCs w:val="22"/>
        </w:rPr>
      </w:pPr>
      <w:r w:rsidRPr="001F764A">
        <w:fldChar w:fldCharType="end"/>
      </w:r>
    </w:p>
    <w:p w14:paraId="382CCA09"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Luego entonces, el plano solicitado por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es el documento en donde se representa la infraestructura, localidades, relieve y geografía de un poblado, además de contener el nombre de los rasgos y localidades. </w:t>
      </w:r>
    </w:p>
    <w:p w14:paraId="294F836D" w14:textId="77777777" w:rsidR="00F51EFF" w:rsidRPr="001F764A" w:rsidRDefault="00F51EFF">
      <w:pPr>
        <w:spacing w:line="360" w:lineRule="auto"/>
        <w:jc w:val="both"/>
        <w:rPr>
          <w:rFonts w:ascii="Palatino Linotype" w:eastAsia="Palatino Linotype" w:hAnsi="Palatino Linotype" w:cs="Palatino Linotype"/>
        </w:rPr>
      </w:pPr>
    </w:p>
    <w:p w14:paraId="6A71C35D"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Con base a lo todo lo anterior, se acredita que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cuenta con la competencia para generar la información solicitada por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de cada una de los pueblos, comunidades, colonias, fraccionamientos, etcétera de </w:t>
      </w:r>
      <w:r w:rsidRPr="001F764A">
        <w:rPr>
          <w:rFonts w:ascii="Palatino Linotype" w:eastAsia="Palatino Linotype" w:hAnsi="Palatino Linotype" w:cs="Palatino Linotype"/>
        </w:rPr>
        <w:lastRenderedPageBreak/>
        <w:t>los inmuebles que se encuentran dentro de su jurisdicción o dentro del territorio del Municipio de Tultitlán.</w:t>
      </w:r>
    </w:p>
    <w:p w14:paraId="2960ADAA" w14:textId="77777777" w:rsidR="00F51EFF" w:rsidRPr="001F764A" w:rsidRDefault="00F51EFF">
      <w:pPr>
        <w:spacing w:line="360" w:lineRule="auto"/>
        <w:jc w:val="both"/>
        <w:rPr>
          <w:rFonts w:ascii="Palatino Linotype" w:eastAsia="Palatino Linotype" w:hAnsi="Palatino Linotype" w:cs="Palatino Linotype"/>
        </w:rPr>
      </w:pPr>
    </w:p>
    <w:p w14:paraId="7CF3154A"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Ahora bien, regresando con la respuesta, se advierte que esta fue proporcionada por la Dirección de Desarrollo Urbano, quien manifestó:</w:t>
      </w:r>
    </w:p>
    <w:p w14:paraId="1484C37A" w14:textId="77777777" w:rsidR="00F51EFF" w:rsidRPr="001F764A" w:rsidRDefault="00F51EFF">
      <w:pPr>
        <w:spacing w:line="360" w:lineRule="auto"/>
        <w:jc w:val="both"/>
        <w:rPr>
          <w:rFonts w:ascii="Palatino Linotype" w:eastAsia="Palatino Linotype" w:hAnsi="Palatino Linotype" w:cs="Palatino Linotype"/>
        </w:rPr>
      </w:pPr>
    </w:p>
    <w:p w14:paraId="444BE215" w14:textId="77777777" w:rsidR="00F51EFF" w:rsidRPr="001F764A" w:rsidRDefault="00CF7D80">
      <w:pPr>
        <w:spacing w:line="276" w:lineRule="auto"/>
        <w:ind w:left="851" w:right="616"/>
        <w:jc w:val="both"/>
        <w:rPr>
          <w:rFonts w:ascii="Palatino Linotype" w:eastAsia="Palatino Linotype" w:hAnsi="Palatino Linotype" w:cs="Palatino Linotype"/>
          <w:sz w:val="22"/>
          <w:szCs w:val="22"/>
        </w:rPr>
      </w:pPr>
      <w:r w:rsidRPr="001F764A">
        <w:rPr>
          <w:rFonts w:ascii="Palatino Linotype" w:eastAsia="Palatino Linotype" w:hAnsi="Palatino Linotype" w:cs="Palatino Linotype"/>
          <w:i/>
        </w:rPr>
        <w:t>“</w:t>
      </w:r>
      <w:r w:rsidRPr="001F764A">
        <w:rPr>
          <w:rFonts w:ascii="Palatino Linotype" w:eastAsia="Palatino Linotype" w:hAnsi="Palatino Linotype" w:cs="Palatino Linotype"/>
          <w:i/>
          <w:sz w:val="22"/>
          <w:szCs w:val="22"/>
        </w:rPr>
        <w:t>que después de realizar una búsqueda en la documentación que obra en el archivo de la dirección no fueron encontrados planos autorizados de lotificación, no obstante me permito remitir el plan parcial de Desarrollo Urbano del Poblado de San Pablo de las Salinas siendo el antecedente localizado y esperando sea de utilidad” (Sic)</w:t>
      </w:r>
    </w:p>
    <w:p w14:paraId="2E2D1366" w14:textId="77777777" w:rsidR="00F51EFF" w:rsidRPr="001F764A" w:rsidRDefault="00F51EFF">
      <w:pPr>
        <w:spacing w:line="360" w:lineRule="auto"/>
        <w:jc w:val="both"/>
        <w:rPr>
          <w:rFonts w:ascii="Palatino Linotype" w:eastAsia="Palatino Linotype" w:hAnsi="Palatino Linotype" w:cs="Palatino Linotype"/>
        </w:rPr>
      </w:pPr>
    </w:p>
    <w:p w14:paraId="124E0CBE" w14:textId="77777777" w:rsidR="00F51EFF" w:rsidRPr="001F764A" w:rsidRDefault="00CF7D80">
      <w:pPr>
        <w:spacing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Lo que daría por colmando lo relativo al plano por ser un hecho negativo; sin embargo, en atención a sus atribuciones señaladas en el artículo 217 y 2019 del Reglamento Orgánico de la Administración Pública del Municipio de Tultitlán, Estado de México, las cuales son:</w:t>
      </w:r>
    </w:p>
    <w:p w14:paraId="574BA2F3" w14:textId="77777777" w:rsidR="00F51EFF" w:rsidRPr="001F764A" w:rsidRDefault="00F51EFF">
      <w:pPr>
        <w:spacing w:line="360" w:lineRule="auto"/>
        <w:jc w:val="both"/>
        <w:rPr>
          <w:rFonts w:ascii="Palatino Linotype" w:eastAsia="Palatino Linotype" w:hAnsi="Palatino Linotype" w:cs="Palatino Linotype"/>
          <w:color w:val="000000"/>
        </w:rPr>
      </w:pPr>
    </w:p>
    <w:p w14:paraId="0BB71A86"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Artículo 217. </w:t>
      </w:r>
      <w:r w:rsidRPr="001F764A">
        <w:rPr>
          <w:rFonts w:ascii="Palatino Linotype" w:eastAsia="Palatino Linotype" w:hAnsi="Palatino Linotype" w:cs="Palatino Linotype"/>
          <w:b/>
          <w:i/>
          <w:sz w:val="22"/>
          <w:szCs w:val="22"/>
        </w:rPr>
        <w:t>La Directora o el Director de Desarrollo Urbano y Medio Ambiente</w:t>
      </w:r>
      <w:r w:rsidRPr="001F764A">
        <w:rPr>
          <w:rFonts w:ascii="Palatino Linotype" w:eastAsia="Palatino Linotype" w:hAnsi="Palatino Linotype" w:cs="Palatino Linotype"/>
          <w:i/>
          <w:sz w:val="22"/>
          <w:szCs w:val="22"/>
        </w:rPr>
        <w:t xml:space="preserve">, en la ejecución de las atribuciones que expresamente le señalan, en estricto apego a lo establecido por la Ley General de Asentamientos Humanos, Ordenamiento Territorial y Desarrollo Urbano, la Ley Orgánica Municipal del Estado de México, el Código Administrativo del Estado de México y sus respectivos Reglamentos; el Código de Procedimientos Administrativos del Estado de México; la Ley General del Equilibrio Ecológico y la Protección al Ambiente; la Ley General de Desarrollo Forestal Sustentable; el Código para la Biodiversidad del Estado de México y su Reglamento, el Plan Municipal de Desarrollo Urbano, Plan de Desarrollo Municipal y el Bando Municipal vigente; así como la demás legislación Federal y Estatal que corresponda, de sus Reglamentos, Normas Oficiales Mexicanas (NOM) y disposiciones administrativas de observancia general, </w:t>
      </w:r>
      <w:r w:rsidRPr="001F764A">
        <w:rPr>
          <w:rFonts w:ascii="Palatino Linotype" w:eastAsia="Palatino Linotype" w:hAnsi="Palatino Linotype" w:cs="Palatino Linotype"/>
          <w:b/>
          <w:i/>
          <w:sz w:val="22"/>
          <w:szCs w:val="22"/>
        </w:rPr>
        <w:t>se encargará del despacho de los siguientes asuntos:</w:t>
      </w:r>
      <w:r w:rsidRPr="001F764A">
        <w:rPr>
          <w:rFonts w:ascii="Palatino Linotype" w:eastAsia="Palatino Linotype" w:hAnsi="Palatino Linotype" w:cs="Palatino Linotype"/>
          <w:i/>
          <w:sz w:val="22"/>
          <w:szCs w:val="22"/>
        </w:rPr>
        <w:t xml:space="preserve"> </w:t>
      </w:r>
    </w:p>
    <w:p w14:paraId="0A813CC8"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lastRenderedPageBreak/>
        <w:t xml:space="preserve">I. Ordenar se inicie y ejecute el procedimiento administrativo común en términos del Código de Procedimientos Administrativos del Estado de México, de oficio y/o a petición de parte, en todo tipo de construcciones que sin licencia o permiso correspondiente, se realicen o pretendan realizarse, cualquiera que sea su régimen jurídico de propiedad, así como en las acciones que pretendan restringir el acceso a áreas verdes, de uso común, estacionamientos con mallas ciclónicas, maceteros, postes, cadenas, plumas, jardineras o cualquier otro elemento urbano que impida el libre tránsito vehicular o peatonal, así como pretender cambiar o modificar el uso o destino para los cuales fueron construidos; </w:t>
      </w:r>
    </w:p>
    <w:p w14:paraId="1B057DAE"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II. Ordenar se inicie un período de información previa, anterior al acuerdo de iniciación del procedimiento, con el fin de conocer las circunstancias del caso concreto y estar en posibilidad de determinar la conveniencia de iniciar o no el procedimiento en términos del Código de Procedimientos Administrativos del Estado de México, de oficio y/o a petición de parte, a efecto de comprobar que se cumpla con la normatividad en materia de Desarrollo Urbano y Medio Ambiente y cuenten con la respectiva licencia o permiso correspondiente para realizar sus actividades; </w:t>
      </w:r>
    </w:p>
    <w:p w14:paraId="3CB33874"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III. Ordenar se inicie y sustancie conforme a derecho hasta su final resolución, el procedimiento administrativo común a personas físicas o jurídico colectivas, unidades económicas industriales, comerciales, de servicios y/o de espectáculos públicos, que generen emisiones a la atmósfera, manejen residuos peligrosos o de manejo especial, contaminación por ruido, vibraciones, energía térmica, radiaciones electromagnéticas, lumínicas, olores perjudiciales, en los términos que establecen los ordenamientos legales en la materia y que por la cantidad y características sean de competencia estatal o federal y que mediante convenio de responsabilidad de funciones puedan estar a cargo del Municipio y/o que contravengan las disposiciones legales vigentes y aplicables en materia de Desarrollo Urbano y Medio Ambiente y/o a quien impida al personal autorizado el acceso a lugares sujetos a inspección ambiental, en los términos aplicables en la materia; </w:t>
      </w:r>
    </w:p>
    <w:p w14:paraId="4289957A"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IV. Suscribir las resoluciones administrativas que ordene y que pongan fin al procedimiento administrativo común, en términos del Código de Procedimientos Administrativos del Estado de México; </w:t>
      </w:r>
    </w:p>
    <w:p w14:paraId="33385345"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 Emitir ordenes de visita de verificación, de recorrido, invitaciones y mesas de trabajo para coordinar operativos y demoliciones en el territorio municipal, mediante la regularización en grandes y pequeñas propiedades, así como registros de obra ya </w:t>
      </w:r>
      <w:r w:rsidRPr="001F764A">
        <w:rPr>
          <w:rFonts w:ascii="Palatino Linotype" w:eastAsia="Palatino Linotype" w:hAnsi="Palatino Linotype" w:cs="Palatino Linotype"/>
          <w:i/>
          <w:sz w:val="22"/>
          <w:szCs w:val="22"/>
        </w:rPr>
        <w:lastRenderedPageBreak/>
        <w:t xml:space="preserve">consolidados, independientemente de su régimen de propiedad, sujetándose a la normatividad aplicable; </w:t>
      </w:r>
    </w:p>
    <w:p w14:paraId="12DF51C4"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VI. Emitir dictámenes de opinión en materia de Desarrollo Urbano y Medio Ambiente; </w:t>
      </w:r>
    </w:p>
    <w:p w14:paraId="1C507B8F"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VII. Imponer sanciones, medidas o medios de apremio y/o de seguridad a las personas físicas o jurídico colectivas, unidades económicas industriales, comerciales, de servicios y de espectáculos públicos, que contravengan las disposiciones legales vigentes y aplicables en materia de desarrollo urbano y medio ambiente; y </w:t>
      </w:r>
    </w:p>
    <w:p w14:paraId="56A0EEFF"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VIII. Ejercer las atribuciones y facultades que le corresponden mismas que le confieren los ordenamientos legales y normativos correspondientes; además de las que le encomiende la Presidenta o el Presidente Municipal Constitucional.</w:t>
      </w:r>
    </w:p>
    <w:p w14:paraId="76FD8280"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p>
    <w:p w14:paraId="76846ED8"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Artículo 219. Le corresponde a la Directora o el Director de Desarrollo Urbano y Medio Ambiente: </w:t>
      </w:r>
    </w:p>
    <w:p w14:paraId="519D4888"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 Suscribir conjuntamente con la Presidenta Municipal o el Presidente Municipal convenios o cualquier otro instrumento jurídico con </w:t>
      </w:r>
      <w:proofErr w:type="gramStart"/>
      <w:r w:rsidRPr="001F764A">
        <w:rPr>
          <w:rFonts w:ascii="Palatino Linotype" w:eastAsia="Palatino Linotype" w:hAnsi="Palatino Linotype" w:cs="Palatino Linotype"/>
          <w:i/>
          <w:sz w:val="22"/>
          <w:szCs w:val="22"/>
        </w:rPr>
        <w:t>las personas físicas o jurídico colectivas</w:t>
      </w:r>
      <w:proofErr w:type="gramEnd"/>
      <w:r w:rsidRPr="001F764A">
        <w:rPr>
          <w:rFonts w:ascii="Palatino Linotype" w:eastAsia="Palatino Linotype" w:hAnsi="Palatino Linotype" w:cs="Palatino Linotype"/>
          <w:i/>
          <w:sz w:val="22"/>
          <w:szCs w:val="22"/>
        </w:rPr>
        <w:t xml:space="preserve">; así como también con las diversas autoridades de los diferentes niveles de gobierno en materia de Desarrollo Urbano y Medio Ambiente; </w:t>
      </w:r>
    </w:p>
    <w:p w14:paraId="19F4712F"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II. Suscribir acuerdos, oficios, circulares, visitas de verificación, ordenes de recorrido, inspección, convenios, mesas de trabajo, imposición de medidas de seguridad y demás documentos propios de las actividades que ejerce la Dirección; </w:t>
      </w:r>
    </w:p>
    <w:p w14:paraId="51A6E181"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III. Suscribir licencias, constancias, cedulas, permisos y/o autorizaciones propias de la actividades que ejerce la Dirección de Desarrollo Urbano y Medio Ambiente, en términos de las disposiciones legales vigentes y aplicables en la materia; </w:t>
      </w:r>
    </w:p>
    <w:p w14:paraId="0A25EC01"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IV. Supervisar el crecimiento urbano y desarrollo de los centros de población del Municipio, mediante la aplicación de las normas en materia de Desarrollo Urbano y Medio Ambiente;</w:t>
      </w:r>
    </w:p>
    <w:p w14:paraId="6BDBA98B"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 Aplicar las normas técnicas procedentes en materia de Desarrollo Urbano y Medio Ambiente; </w:t>
      </w:r>
    </w:p>
    <w:p w14:paraId="650428C3"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VI. Proponer a la Presidenta Municipal o al Presidente Municipal y/o al Cabildo, la celebración de convenios con el gobierno Estatal, instituciones educativas u organizaciones civiles que tengan como finalidad apoyar el crecimiento y desarrollo de los centros de población; </w:t>
      </w:r>
    </w:p>
    <w:p w14:paraId="6B9CB700"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lastRenderedPageBreak/>
        <w:t xml:space="preserve">VII. Proponer a la Presidenta Municipal o al Presidente Municipal y/o al Cabildo, convenios para la protección al medio ambiente, en términos de las disposiciones jurídicas aplicables en la materia; </w:t>
      </w:r>
    </w:p>
    <w:p w14:paraId="762565FF"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VIII. Convenir con los diferentes órganos de gobierno, asociaciones y organizaciones sociales, empresas privadas y ciudadanos, la realización conjunta y coordinada de acciones de equilibrio ecológico y protección ambiental; </w:t>
      </w:r>
    </w:p>
    <w:p w14:paraId="13C6D02A"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IX. Fomentar programas de regularización en todo tipo de obras de construcción, independientemente de su régimen de propiedad, sujetándose a la normatividad aplicable y dejando a salvo los derechos de terceros; </w:t>
      </w:r>
    </w:p>
    <w:p w14:paraId="4D2C9DB8"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 Proponer y/o fomentar de manera coordinada con las autoridades correspondientes, programas de regularización de la Tenencia de la Tierra; </w:t>
      </w:r>
    </w:p>
    <w:p w14:paraId="43AB7A1B"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XI. Ejercer facultades delegatorias de manera personal y directa, a través de acuerdo u oficio, según lo amerite el caso, para el desempeño de cualquier encargo o comisión a cualquier servidor público adscrito a la Dirección de Desarrollo Urbano y Medio Ambiente; </w:t>
      </w:r>
    </w:p>
    <w:p w14:paraId="2478249E"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XII. Habilitar a través de acuerdo u oficio respectivo, días y horas inhábiles para el cumplimiento y ejecución de cualquiera de las facultades y atribuciones contenidas en el presente capítulo; y </w:t>
      </w:r>
    </w:p>
    <w:p w14:paraId="30218DD4" w14:textId="77777777" w:rsidR="00F51EFF" w:rsidRPr="001F764A" w:rsidRDefault="00CF7D80">
      <w:pPr>
        <w:spacing w:line="276" w:lineRule="auto"/>
        <w:ind w:left="851" w:right="616"/>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XIII. Participar en los siguientes Órganos Auxiliares: A. Comité de Planeación para el Desarrollo Municipal; B. Comité Interno de Obra Pública; C. Comité Municipal de Prevención y Control de Crecimiento Urbano; D. Consejo de la Agenda 2030; E. Comité de Protección Civil; F. Comité de Adquisiciones y Servicios del Municipio de Tultitlán; G. Comité Municipal de Dictamen de Giro; H. Comisión Municipal de Mejora </w:t>
      </w:r>
      <w:proofErr w:type="spellStart"/>
      <w:r w:rsidRPr="001F764A">
        <w:rPr>
          <w:rFonts w:ascii="Palatino Linotype" w:eastAsia="Palatino Linotype" w:hAnsi="Palatino Linotype" w:cs="Palatino Linotype"/>
          <w:i/>
          <w:sz w:val="22"/>
          <w:szCs w:val="22"/>
        </w:rPr>
        <w:t>Regulatoria,I</w:t>
      </w:r>
      <w:proofErr w:type="spellEnd"/>
      <w:r w:rsidRPr="001F764A">
        <w:rPr>
          <w:rFonts w:ascii="Palatino Linotype" w:eastAsia="Palatino Linotype" w:hAnsi="Palatino Linotype" w:cs="Palatino Linotype"/>
          <w:i/>
          <w:sz w:val="22"/>
          <w:szCs w:val="22"/>
        </w:rPr>
        <w:t>. Comité de Ética y Prevención de Conflictos de Interés de la Dirección de Desarrollo Urbano y Medio Ambiente; J. Sistema de Información Inmobiliaria Tultitlán; y K. Las demás que establezca el Cabildo, la Presidenta Municipal o al Presidente Municipal y/o las disposiciones legales vigentes y aplicables en la materia” (Sic)</w:t>
      </w:r>
    </w:p>
    <w:p w14:paraId="124ABBFC" w14:textId="77777777" w:rsidR="00F51EFF" w:rsidRPr="001F764A" w:rsidRDefault="00F51EFF">
      <w:pPr>
        <w:spacing w:line="360" w:lineRule="auto"/>
        <w:jc w:val="both"/>
        <w:rPr>
          <w:rFonts w:ascii="Palatino Linotype" w:eastAsia="Palatino Linotype" w:hAnsi="Palatino Linotype" w:cs="Palatino Linotype"/>
          <w:color w:val="000000"/>
        </w:rPr>
      </w:pPr>
    </w:p>
    <w:p w14:paraId="581A6E57"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color w:val="000000"/>
        </w:rPr>
        <w:t>Sin que se advierta alguna atribución para generar la información correspondiente a los planos</w:t>
      </w:r>
      <w:r w:rsidRPr="001F764A">
        <w:rPr>
          <w:rFonts w:ascii="Palatino Linotype" w:eastAsia="Palatino Linotype" w:hAnsi="Palatino Linotype" w:cs="Palatino Linotype"/>
        </w:rPr>
        <w:t xml:space="preserve"> catastrales geográficos, a efecto a fin de facilitar la identificación, ubicación y valorización de los bienes inmuebles ubicados dentro de su jurisdicción. </w:t>
      </w:r>
    </w:p>
    <w:p w14:paraId="0907D780" w14:textId="77777777" w:rsidR="00F51EFF" w:rsidRPr="001F764A" w:rsidRDefault="00F51EFF">
      <w:pPr>
        <w:spacing w:line="360" w:lineRule="auto"/>
        <w:ind w:right="51"/>
        <w:jc w:val="both"/>
        <w:rPr>
          <w:rFonts w:ascii="Palatino Linotype" w:eastAsia="Palatino Linotype" w:hAnsi="Palatino Linotype" w:cs="Palatino Linotype"/>
        </w:rPr>
      </w:pPr>
    </w:p>
    <w:p w14:paraId="0CE2FF74"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lastRenderedPageBreak/>
        <w:t xml:space="preserve">Con lo cual se acredita que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7B6EB039" w14:textId="77777777" w:rsidR="00F51EFF" w:rsidRPr="001F764A" w:rsidRDefault="00CF7D80">
      <w:pPr>
        <w:spacing w:before="240" w:after="240"/>
        <w:ind w:left="709" w:right="902"/>
        <w:jc w:val="both"/>
        <w:rPr>
          <w:rFonts w:ascii="Palatino Linotype" w:eastAsia="Palatino Linotype" w:hAnsi="Palatino Linotype" w:cs="Palatino Linotype"/>
          <w:i/>
          <w:sz w:val="20"/>
          <w:szCs w:val="20"/>
        </w:rPr>
      </w:pPr>
      <w:r w:rsidRPr="001F764A">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606B658E" w14:textId="77777777" w:rsidR="00F51EFF" w:rsidRPr="001F764A" w:rsidRDefault="00CF7D80">
      <w:pPr>
        <w:shd w:val="clear" w:color="auto" w:fill="FFFFFF"/>
        <w:spacing w:before="240" w:after="240" w:line="360" w:lineRule="auto"/>
        <w:jc w:val="both"/>
        <w:rPr>
          <w:color w:val="222222"/>
        </w:rPr>
      </w:pPr>
      <w:r w:rsidRPr="001F764A">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1F764A">
        <w:rPr>
          <w:rFonts w:ascii="Palatino Linotype" w:eastAsia="Palatino Linotype" w:hAnsi="Palatino Linotype" w:cs="Palatino Linotype"/>
          <w:color w:val="000000"/>
        </w:rPr>
        <w:t>de Transparencia y Acceso a la Información Pública del Estado de México y Municipios, el cual menciona lo siguiente:</w:t>
      </w:r>
    </w:p>
    <w:p w14:paraId="1323D354" w14:textId="77777777" w:rsidR="00F51EFF" w:rsidRPr="001F764A" w:rsidRDefault="00CF7D80">
      <w:pPr>
        <w:shd w:val="clear" w:color="auto" w:fill="FFFFFF"/>
        <w:spacing w:after="240" w:line="276" w:lineRule="auto"/>
        <w:ind w:left="993" w:right="1041"/>
        <w:jc w:val="both"/>
        <w:rPr>
          <w:color w:val="222222"/>
        </w:rPr>
      </w:pPr>
      <w:r w:rsidRPr="001F764A">
        <w:rPr>
          <w:rFonts w:ascii="Palatino Linotype" w:eastAsia="Palatino Linotype" w:hAnsi="Palatino Linotype" w:cs="Palatino Linotype"/>
          <w:b/>
          <w:i/>
          <w:color w:val="222222"/>
          <w:sz w:val="22"/>
          <w:szCs w:val="22"/>
        </w:rPr>
        <w:t>“Artículo 162.</w:t>
      </w:r>
      <w:r w:rsidRPr="001F764A">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06EEFB7" w14:textId="77777777" w:rsidR="00F51EFF" w:rsidRPr="001F764A" w:rsidRDefault="00CF7D80">
      <w:pPr>
        <w:shd w:val="clear" w:color="auto" w:fill="FFFFFF"/>
        <w:spacing w:line="360" w:lineRule="auto"/>
        <w:jc w:val="both"/>
        <w:rPr>
          <w:color w:val="222222"/>
        </w:rPr>
      </w:pPr>
      <w:r w:rsidRPr="001F764A">
        <w:rPr>
          <w:rFonts w:ascii="Palatino Linotype" w:eastAsia="Palatino Linotype" w:hAnsi="Palatino Linotype" w:cs="Palatino Linotype"/>
          <w:color w:val="222222"/>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1F764A">
        <w:rPr>
          <w:rFonts w:ascii="Palatino Linotype" w:eastAsia="Palatino Linotype" w:hAnsi="Palatino Linotype" w:cs="Palatino Linotype"/>
          <w:color w:val="222222"/>
        </w:rPr>
        <w:lastRenderedPageBreak/>
        <w:t>particulares con el fin de otorgar la protección más amplia de éste derecho</w:t>
      </w:r>
      <w:r w:rsidRPr="001F764A">
        <w:rPr>
          <w:rFonts w:ascii="Palatino Linotype" w:eastAsia="Palatino Linotype" w:hAnsi="Palatino Linotype" w:cs="Palatino Linotype"/>
          <w:color w:val="222222"/>
          <w:vertAlign w:val="superscript"/>
        </w:rPr>
        <w:footnoteReference w:id="1"/>
      </w:r>
      <w:r w:rsidRPr="001F764A">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AEF3425" w14:textId="77777777" w:rsidR="00F51EFF" w:rsidRPr="001F764A" w:rsidRDefault="00F51EFF">
      <w:pPr>
        <w:shd w:val="clear" w:color="auto" w:fill="FFFFFF"/>
        <w:ind w:left="993" w:right="1041"/>
        <w:jc w:val="both"/>
        <w:rPr>
          <w:rFonts w:ascii="Palatino Linotype" w:eastAsia="Palatino Linotype" w:hAnsi="Palatino Linotype" w:cs="Palatino Linotype"/>
          <w:b/>
          <w:i/>
          <w:color w:val="222222"/>
          <w:sz w:val="22"/>
          <w:szCs w:val="22"/>
        </w:rPr>
      </w:pPr>
    </w:p>
    <w:p w14:paraId="65B04229"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b/>
          <w:i/>
          <w:color w:val="222222"/>
          <w:sz w:val="22"/>
          <w:szCs w:val="22"/>
        </w:rPr>
        <w:t>“Artículo 160. </w:t>
      </w:r>
      <w:r w:rsidRPr="001F764A">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E70D1D"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7BEEF2CA"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b/>
          <w:i/>
          <w:color w:val="222222"/>
          <w:sz w:val="22"/>
          <w:szCs w:val="22"/>
        </w:rPr>
        <w:t>Artículo 163.</w:t>
      </w:r>
      <w:r w:rsidRPr="001F764A">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8E526BF"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A0C2E80"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b/>
          <w:i/>
          <w:color w:val="222222"/>
          <w:sz w:val="22"/>
          <w:szCs w:val="22"/>
        </w:rPr>
        <w:t>Artículo 165.</w:t>
      </w:r>
      <w:r w:rsidRPr="001F764A">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3060B86C" w14:textId="77777777" w:rsidR="00F51EFF" w:rsidRPr="001F764A" w:rsidRDefault="00CF7D80">
      <w:pPr>
        <w:shd w:val="clear" w:color="auto" w:fill="FFFFFF"/>
        <w:ind w:left="993" w:right="1041"/>
        <w:jc w:val="both"/>
        <w:rPr>
          <w:color w:val="222222"/>
        </w:rPr>
      </w:pPr>
      <w:r w:rsidRPr="001F764A">
        <w:rPr>
          <w:rFonts w:ascii="Palatino Linotype" w:eastAsia="Palatino Linotype" w:hAnsi="Palatino Linotype" w:cs="Palatino Linotype"/>
          <w:i/>
          <w:color w:val="222222"/>
          <w:sz w:val="22"/>
          <w:szCs w:val="22"/>
        </w:rPr>
        <w:lastRenderedPageBreak/>
        <w:t>La información que se entregue en versión pública, cuya modalidad de reproducción o envío tenga un costo, procederá una vez que se acredite el pago respectivo. No puede entenderse como reproducción la elaboración de la misma.</w:t>
      </w:r>
    </w:p>
    <w:p w14:paraId="098FCB7F" w14:textId="77777777" w:rsidR="00F51EFF" w:rsidRPr="001F764A" w:rsidRDefault="00CF7D80">
      <w:pPr>
        <w:shd w:val="clear" w:color="auto" w:fill="FFFFFF"/>
        <w:spacing w:after="240"/>
        <w:ind w:left="993" w:right="1041"/>
        <w:jc w:val="both"/>
        <w:rPr>
          <w:color w:val="222222"/>
        </w:rPr>
      </w:pPr>
      <w:r w:rsidRPr="001F764A">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6C7E8CD1" w14:textId="77777777" w:rsidR="00F51EFF" w:rsidRPr="001F764A" w:rsidRDefault="00CF7D80">
      <w:pPr>
        <w:shd w:val="clear" w:color="auto" w:fill="FFFFFF"/>
        <w:spacing w:before="240" w:after="240" w:line="360" w:lineRule="auto"/>
        <w:jc w:val="both"/>
        <w:rPr>
          <w:color w:val="222222"/>
        </w:rPr>
      </w:pPr>
      <w:r w:rsidRPr="001F764A">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1F764A">
        <w:rPr>
          <w:rFonts w:ascii="Palatino Linotype" w:eastAsia="Palatino Linotype" w:hAnsi="Palatino Linotype" w:cs="Palatino Linotype"/>
          <w:color w:val="222222"/>
          <w:vertAlign w:val="superscript"/>
        </w:rPr>
        <w:footnoteReference w:id="2"/>
      </w:r>
      <w:r w:rsidRPr="001F764A">
        <w:rPr>
          <w:rFonts w:ascii="Palatino Linotype" w:eastAsia="Palatino Linotype" w:hAnsi="Palatino Linotype" w:cs="Palatino Linotype"/>
          <w:color w:val="222222"/>
        </w:rPr>
        <w:t xml:space="preserve">, situación que no se advierte en el presente caso, toda vez que el </w:t>
      </w:r>
      <w:r w:rsidRPr="001F764A">
        <w:rPr>
          <w:rFonts w:ascii="Palatino Linotype" w:eastAsia="Palatino Linotype" w:hAnsi="Palatino Linotype" w:cs="Palatino Linotype"/>
          <w:b/>
          <w:color w:val="222222"/>
        </w:rPr>
        <w:t>SUJETO OBLIGADO</w:t>
      </w:r>
      <w:r w:rsidRPr="001F764A">
        <w:rPr>
          <w:rFonts w:ascii="Palatino Linotype" w:eastAsia="Palatino Linotype" w:hAnsi="Palatino Linotype" w:cs="Palatino Linotype"/>
          <w:color w:val="222222"/>
        </w:rPr>
        <w:t xml:space="preserve">, a través de su </w:t>
      </w:r>
      <w:r w:rsidRPr="001F764A">
        <w:rPr>
          <w:rFonts w:ascii="Palatino Linotype" w:eastAsia="Palatino Linotype" w:hAnsi="Palatino Linotype" w:cs="Palatino Linotype"/>
          <w:color w:val="000000"/>
        </w:rPr>
        <w:t xml:space="preserve">Unidad de Transparencia </w:t>
      </w:r>
      <w:r w:rsidRPr="001F764A">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4DED2B48"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t xml:space="preserve">En mérito de lo anterior, se colige que el </w:t>
      </w:r>
      <w:r w:rsidRPr="001F764A">
        <w:rPr>
          <w:rFonts w:ascii="Palatino Linotype" w:eastAsia="Palatino Linotype" w:hAnsi="Palatino Linotype" w:cs="Palatino Linotype"/>
          <w:b/>
          <w:color w:val="222222"/>
        </w:rPr>
        <w:t>SUJETO OBLIGADO</w:t>
      </w:r>
      <w:r w:rsidRPr="001F764A">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la Coordinación de Catastro en términos de sus atribuciones expuestas en el presente considerando. </w:t>
      </w:r>
    </w:p>
    <w:p w14:paraId="1EA23EA7" w14:textId="77777777" w:rsidR="00F51EFF" w:rsidRPr="001F764A" w:rsidRDefault="00F51EFF">
      <w:pPr>
        <w:spacing w:line="360" w:lineRule="auto"/>
        <w:ind w:right="51"/>
        <w:jc w:val="both"/>
        <w:rPr>
          <w:rFonts w:ascii="Palatino Linotype" w:eastAsia="Palatino Linotype" w:hAnsi="Palatino Linotype" w:cs="Palatino Linotype"/>
          <w:color w:val="222222"/>
        </w:rPr>
      </w:pPr>
    </w:p>
    <w:p w14:paraId="514A49CF" w14:textId="77777777" w:rsidR="00F51EFF" w:rsidRPr="001F764A" w:rsidRDefault="00CF7D80">
      <w:pPr>
        <w:spacing w:line="360" w:lineRule="auto"/>
        <w:ind w:right="51"/>
        <w:jc w:val="both"/>
        <w:rPr>
          <w:rFonts w:ascii="Palatino Linotype" w:eastAsia="Palatino Linotype" w:hAnsi="Palatino Linotype" w:cs="Palatino Linotype"/>
          <w:color w:val="222222"/>
        </w:rPr>
      </w:pPr>
      <w:r w:rsidRPr="001F764A">
        <w:rPr>
          <w:rFonts w:ascii="Palatino Linotype" w:eastAsia="Palatino Linotype" w:hAnsi="Palatino Linotype" w:cs="Palatino Linotype"/>
          <w:color w:val="222222"/>
        </w:rPr>
        <w:lastRenderedPageBreak/>
        <w:t xml:space="preserve">En otro orden de ideas, respecto de la Gaceta remitida en respuesta se advierte que se autorizó </w:t>
      </w:r>
      <w:r w:rsidRPr="001F764A">
        <w:rPr>
          <w:rFonts w:ascii="Palatino Linotype" w:eastAsia="Palatino Linotype" w:hAnsi="Palatino Linotype" w:cs="Palatino Linotype"/>
          <w:color w:val="000000"/>
        </w:rPr>
        <w:t xml:space="preserve">el plan parcial </w:t>
      </w:r>
      <w:r w:rsidRPr="001F764A">
        <w:rPr>
          <w:rFonts w:ascii="Palatino Linotype" w:eastAsia="Palatino Linotype" w:hAnsi="Palatino Linotype" w:cs="Palatino Linotype"/>
          <w:color w:val="222222"/>
        </w:rPr>
        <w:t>de Desarrollo Urbano del</w:t>
      </w:r>
      <w:r w:rsidRPr="001F764A">
        <w:rPr>
          <w:rFonts w:ascii="Palatino Linotype" w:eastAsia="Palatino Linotype" w:hAnsi="Palatino Linotype" w:cs="Palatino Linotype"/>
          <w:color w:val="000000"/>
        </w:rPr>
        <w:t xml:space="preserve"> Poblado de San Pablo de las Salinas, Plan Parcial que consiste en términos de la página oficial de la </w:t>
      </w:r>
      <w:r w:rsidRPr="001F764A">
        <w:rPr>
          <w:rFonts w:ascii="Palatino Linotype" w:eastAsia="Palatino Linotype" w:hAnsi="Palatino Linotype" w:cs="Palatino Linotype"/>
          <w:color w:val="222222"/>
        </w:rPr>
        <w:t xml:space="preserve">Secretaría de Desarrollo Urbano e Infraestructura, el cual puede ser consultado en la siguiente página electrónica </w:t>
      </w:r>
      <w:hyperlink r:id="rId22">
        <w:r w:rsidRPr="001F764A">
          <w:rPr>
            <w:rFonts w:ascii="Palatino Linotype" w:eastAsia="Palatino Linotype" w:hAnsi="Palatino Linotype" w:cs="Palatino Linotype"/>
            <w:color w:val="0000FF"/>
            <w:u w:val="single"/>
          </w:rPr>
          <w:t>https://sedui.edomex.gob.mx/planes_parciales_desarrollo_urbano</w:t>
        </w:r>
      </w:hyperlink>
      <w:r w:rsidRPr="001F764A">
        <w:rPr>
          <w:rFonts w:ascii="Palatino Linotype" w:eastAsia="Palatino Linotype" w:hAnsi="Palatino Linotype" w:cs="Palatino Linotype"/>
          <w:color w:val="222222"/>
        </w:rPr>
        <w:t>, para mayor referencia, en lo siguiente:</w:t>
      </w:r>
    </w:p>
    <w:p w14:paraId="29FE6C6F" w14:textId="77777777" w:rsidR="00F51EFF" w:rsidRPr="001F764A" w:rsidRDefault="00F51EFF">
      <w:pPr>
        <w:spacing w:line="360" w:lineRule="auto"/>
        <w:ind w:right="51"/>
        <w:jc w:val="both"/>
        <w:rPr>
          <w:rFonts w:ascii="Palatino Linotype" w:eastAsia="Palatino Linotype" w:hAnsi="Palatino Linotype" w:cs="Palatino Linotype"/>
          <w:color w:val="222222"/>
        </w:rPr>
      </w:pPr>
    </w:p>
    <w:p w14:paraId="209296D3" w14:textId="77777777" w:rsidR="00F51EFF" w:rsidRPr="001F764A" w:rsidRDefault="00CF7D80">
      <w:pPr>
        <w:shd w:val="clear" w:color="auto" w:fill="FFFFFF"/>
        <w:ind w:left="993" w:right="1041"/>
        <w:jc w:val="both"/>
        <w:rPr>
          <w:rFonts w:ascii="Palatino Linotype" w:eastAsia="Palatino Linotype" w:hAnsi="Palatino Linotype" w:cs="Palatino Linotype"/>
          <w:i/>
          <w:color w:val="222222"/>
          <w:sz w:val="22"/>
          <w:szCs w:val="22"/>
        </w:rPr>
      </w:pPr>
      <w:r w:rsidRPr="001F764A">
        <w:rPr>
          <w:rFonts w:ascii="Palatino Linotype" w:eastAsia="Palatino Linotype" w:hAnsi="Palatino Linotype" w:cs="Palatino Linotype"/>
          <w:i/>
          <w:color w:val="222222"/>
          <w:sz w:val="22"/>
          <w:szCs w:val="22"/>
        </w:rPr>
        <w:t>“Los Planes Parciales de Desarrollo Urbano pueden derivar:</w:t>
      </w:r>
    </w:p>
    <w:p w14:paraId="32B0CE7B" w14:textId="77777777" w:rsidR="00F51EFF" w:rsidRPr="001F764A" w:rsidRDefault="00CF7D80">
      <w:pPr>
        <w:shd w:val="clear" w:color="auto" w:fill="FFFFFF"/>
        <w:ind w:left="993" w:right="1041"/>
        <w:jc w:val="both"/>
        <w:rPr>
          <w:rFonts w:ascii="Palatino Linotype" w:eastAsia="Palatino Linotype" w:hAnsi="Palatino Linotype" w:cs="Palatino Linotype"/>
          <w:i/>
          <w:color w:val="222222"/>
          <w:sz w:val="22"/>
          <w:szCs w:val="22"/>
        </w:rPr>
      </w:pPr>
      <w:r w:rsidRPr="001F764A">
        <w:rPr>
          <w:rFonts w:ascii="Palatino Linotype" w:eastAsia="Palatino Linotype" w:hAnsi="Palatino Linotype" w:cs="Palatino Linotype"/>
          <w:i/>
          <w:color w:val="222222"/>
          <w:sz w:val="22"/>
          <w:szCs w:val="22"/>
        </w:rPr>
        <w:t>Del Plan Estatal o de los Planes Regionales, en cuyo caso tendrán por objeto especificar las acciones para ejecutar las políticas, estrategias y objetivos previstos en éstos.</w:t>
      </w:r>
    </w:p>
    <w:p w14:paraId="43EE1681" w14:textId="77777777" w:rsidR="00F51EFF" w:rsidRPr="001F764A" w:rsidRDefault="00CF7D80">
      <w:pPr>
        <w:shd w:val="clear" w:color="auto" w:fill="FFFFFF"/>
        <w:ind w:left="993" w:right="1041"/>
        <w:jc w:val="both"/>
        <w:rPr>
          <w:rFonts w:ascii="Palatino Linotype" w:eastAsia="Palatino Linotype" w:hAnsi="Palatino Linotype" w:cs="Palatino Linotype"/>
          <w:b/>
          <w:i/>
          <w:color w:val="222222"/>
          <w:sz w:val="22"/>
          <w:szCs w:val="22"/>
        </w:rPr>
      </w:pPr>
      <w:r w:rsidRPr="001F764A">
        <w:rPr>
          <w:rFonts w:ascii="Palatino Linotype" w:eastAsia="Palatino Linotype" w:hAnsi="Palatino Linotype" w:cs="Palatino Linotype"/>
          <w:b/>
          <w:i/>
          <w:color w:val="222222"/>
          <w:sz w:val="22"/>
          <w:szCs w:val="22"/>
        </w:rPr>
        <w:t>De un plan municipal, en cuyo caso tendrán por objeto especificar en una zona determinada del municipio o centro de población la zonificación, los destinos y las normas de uso, y los aprovechamientos del suelo.</w:t>
      </w:r>
    </w:p>
    <w:p w14:paraId="1FE23A31" w14:textId="77777777" w:rsidR="00F51EFF" w:rsidRPr="001F764A" w:rsidRDefault="00CF7D80">
      <w:pPr>
        <w:shd w:val="clear" w:color="auto" w:fill="FFFFFF"/>
        <w:ind w:left="993" w:right="1041"/>
        <w:jc w:val="both"/>
        <w:rPr>
          <w:rFonts w:ascii="Palatino Linotype" w:eastAsia="Palatino Linotype" w:hAnsi="Palatino Linotype" w:cs="Palatino Linotype"/>
          <w:b/>
          <w:i/>
          <w:color w:val="222222"/>
          <w:sz w:val="22"/>
          <w:szCs w:val="22"/>
        </w:rPr>
      </w:pPr>
      <w:r w:rsidRPr="001F764A">
        <w:rPr>
          <w:rFonts w:ascii="Palatino Linotype" w:eastAsia="Palatino Linotype" w:hAnsi="Palatino Linotype" w:cs="Palatino Linotype"/>
          <w:b/>
          <w:i/>
          <w:color w:val="222222"/>
          <w:sz w:val="22"/>
          <w:szCs w:val="22"/>
        </w:rPr>
        <w:t>Los Planes Parciales de Desarrollo Urbano consideran las siguientes modalidades o tipos:</w:t>
      </w:r>
    </w:p>
    <w:p w14:paraId="44DF2FC9" w14:textId="77777777" w:rsidR="00F51EFF" w:rsidRPr="001F764A" w:rsidRDefault="00CF7D80">
      <w:pPr>
        <w:shd w:val="clear" w:color="auto" w:fill="FFFFFF"/>
        <w:ind w:left="993" w:right="1041"/>
        <w:jc w:val="both"/>
        <w:rPr>
          <w:rFonts w:ascii="Palatino Linotype" w:eastAsia="Palatino Linotype" w:hAnsi="Palatino Linotype" w:cs="Palatino Linotype"/>
          <w:b/>
          <w:i/>
          <w:color w:val="222222"/>
          <w:sz w:val="22"/>
          <w:szCs w:val="22"/>
        </w:rPr>
      </w:pPr>
      <w:r w:rsidRPr="001F764A">
        <w:rPr>
          <w:rFonts w:ascii="Palatino Linotype" w:eastAsia="Palatino Linotype" w:hAnsi="Palatino Linotype" w:cs="Palatino Linotype"/>
          <w:b/>
          <w:i/>
          <w:color w:val="222222"/>
          <w:sz w:val="22"/>
          <w:szCs w:val="22"/>
        </w:rPr>
        <w:t>Los </w:t>
      </w:r>
      <w:proofErr w:type="spellStart"/>
      <w:r w:rsidRPr="001F764A">
        <w:rPr>
          <w:rFonts w:ascii="Palatino Linotype" w:eastAsia="Palatino Linotype" w:hAnsi="Palatino Linotype" w:cs="Palatino Linotype"/>
          <w:b/>
          <w:i/>
          <w:color w:val="222222"/>
          <w:sz w:val="22"/>
          <w:szCs w:val="22"/>
        </w:rPr>
        <w:t>intraurbanos</w:t>
      </w:r>
      <w:proofErr w:type="spellEnd"/>
      <w:r w:rsidRPr="001F764A">
        <w:rPr>
          <w:rFonts w:ascii="Palatino Linotype" w:eastAsia="Palatino Linotype" w:hAnsi="Palatino Linotype" w:cs="Palatino Linotype"/>
          <w:b/>
          <w:i/>
          <w:color w:val="222222"/>
          <w:sz w:val="22"/>
          <w:szCs w:val="22"/>
        </w:rPr>
        <w:t>, que derivarán de los planes de competencia municipal y se expedirán para regular a detalle las áreas urbanizables de sus centros de población, así como para la conservación y mejoramiento de sus áreas urbanas; para precisar los usos del suelo en sectores determinados, y cuando cualquier otro propósito análogo de interés público lo hicieren necesario.</w:t>
      </w:r>
    </w:p>
    <w:p w14:paraId="4138FE86" w14:textId="77777777" w:rsidR="00F51EFF" w:rsidRPr="001F764A" w:rsidRDefault="00CF7D80">
      <w:pPr>
        <w:shd w:val="clear" w:color="auto" w:fill="FFFFFF"/>
        <w:ind w:left="993" w:right="1041"/>
        <w:jc w:val="both"/>
        <w:rPr>
          <w:rFonts w:ascii="Palatino Linotype" w:eastAsia="Palatino Linotype" w:hAnsi="Palatino Linotype" w:cs="Palatino Linotype"/>
          <w:i/>
          <w:color w:val="222222"/>
          <w:sz w:val="22"/>
          <w:szCs w:val="22"/>
        </w:rPr>
      </w:pPr>
      <w:r w:rsidRPr="001F764A">
        <w:rPr>
          <w:rFonts w:ascii="Palatino Linotype" w:eastAsia="Palatino Linotype" w:hAnsi="Palatino Linotype" w:cs="Palatino Linotype"/>
          <w:i/>
          <w:color w:val="222222"/>
          <w:sz w:val="22"/>
          <w:szCs w:val="22"/>
        </w:rPr>
        <w:t>Los de </w:t>
      </w:r>
      <w:r w:rsidRPr="001F764A">
        <w:rPr>
          <w:rFonts w:ascii="Palatino Linotype" w:eastAsia="Palatino Linotype" w:hAnsi="Palatino Linotype" w:cs="Palatino Linotype"/>
          <w:b/>
          <w:i/>
          <w:color w:val="222222"/>
          <w:sz w:val="22"/>
          <w:szCs w:val="22"/>
        </w:rPr>
        <w:t>cobertura subregional</w:t>
      </w:r>
      <w:r w:rsidRPr="001F764A">
        <w:rPr>
          <w:rFonts w:ascii="Palatino Linotype" w:eastAsia="Palatino Linotype" w:hAnsi="Palatino Linotype" w:cs="Palatino Linotype"/>
          <w:i/>
          <w:color w:val="222222"/>
          <w:sz w:val="22"/>
          <w:szCs w:val="22"/>
        </w:rPr>
        <w:t>, que derivarán del Plan Estatal de Desarrollo Urbano o de los planes regionales y tendrán como propósito fundamental integrar acciones para el ordenamiento urbano en porciones determinadas del territorio estatal, incluso si se ubican en el territorio de dos o más municipios.</w:t>
      </w:r>
    </w:p>
    <w:p w14:paraId="42891F9D" w14:textId="77777777" w:rsidR="00F51EFF" w:rsidRPr="001F764A" w:rsidRDefault="00CF7D80">
      <w:pPr>
        <w:shd w:val="clear" w:color="auto" w:fill="FFFFFF"/>
        <w:ind w:left="993" w:right="1041"/>
        <w:jc w:val="both"/>
        <w:rPr>
          <w:rFonts w:ascii="Palatino Linotype" w:eastAsia="Palatino Linotype" w:hAnsi="Palatino Linotype" w:cs="Palatino Linotype"/>
          <w:i/>
          <w:color w:val="222222"/>
          <w:sz w:val="22"/>
          <w:szCs w:val="22"/>
        </w:rPr>
      </w:pPr>
      <w:r w:rsidRPr="001F764A">
        <w:rPr>
          <w:rFonts w:ascii="Palatino Linotype" w:eastAsia="Palatino Linotype" w:hAnsi="Palatino Linotype" w:cs="Palatino Linotype"/>
          <w:i/>
          <w:color w:val="222222"/>
          <w:sz w:val="22"/>
          <w:szCs w:val="22"/>
        </w:rPr>
        <w:t>Los de </w:t>
      </w:r>
      <w:r w:rsidRPr="001F764A">
        <w:rPr>
          <w:rFonts w:ascii="Palatino Linotype" w:eastAsia="Palatino Linotype" w:hAnsi="Palatino Linotype" w:cs="Palatino Linotype"/>
          <w:b/>
          <w:i/>
          <w:color w:val="222222"/>
          <w:sz w:val="22"/>
          <w:szCs w:val="22"/>
        </w:rPr>
        <w:t>incorporación territorial</w:t>
      </w:r>
      <w:r w:rsidRPr="001F764A">
        <w:rPr>
          <w:rFonts w:ascii="Palatino Linotype" w:eastAsia="Palatino Linotype" w:hAnsi="Palatino Linotype" w:cs="Palatino Linotype"/>
          <w:i/>
          <w:color w:val="222222"/>
          <w:sz w:val="22"/>
          <w:szCs w:val="22"/>
        </w:rPr>
        <w:t>, que podrán derivar del Plan Estatal, de los planes regionales o de los planes de competencia municipal y se expedirán para integrar a los centros de población nuevas áreas de crecimiento.”(Sic)</w:t>
      </w:r>
    </w:p>
    <w:p w14:paraId="218EA813" w14:textId="77777777" w:rsidR="00F51EFF" w:rsidRPr="001F764A" w:rsidRDefault="00F51EFF">
      <w:pPr>
        <w:spacing w:line="360" w:lineRule="auto"/>
        <w:ind w:right="51"/>
        <w:jc w:val="both"/>
        <w:rPr>
          <w:rFonts w:ascii="Palatino Linotype" w:eastAsia="Palatino Linotype" w:hAnsi="Palatino Linotype" w:cs="Palatino Linotype"/>
          <w:color w:val="222222"/>
        </w:rPr>
      </w:pPr>
    </w:p>
    <w:p w14:paraId="78D292CD" w14:textId="77777777" w:rsidR="00F51EFF" w:rsidRPr="001F764A" w:rsidRDefault="00CF7D80">
      <w:pPr>
        <w:spacing w:line="360" w:lineRule="auto"/>
        <w:ind w:right="51"/>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lastRenderedPageBreak/>
        <w:t xml:space="preserve">Luego entonces el plan parcial deriva de un plan municipal con la finalidad especificar en una zona determinada del municipio o centro de población la zonificación, los destinos y las normas de uso, y los aprovechamientos del suelo y que en el presente caso se trata de un plan parcial en su modalidad de los </w:t>
      </w:r>
      <w:proofErr w:type="spellStart"/>
      <w:r w:rsidRPr="001F764A">
        <w:rPr>
          <w:rFonts w:ascii="Palatino Linotype" w:eastAsia="Palatino Linotype" w:hAnsi="Palatino Linotype" w:cs="Palatino Linotype"/>
          <w:color w:val="000000"/>
        </w:rPr>
        <w:t>intraurbanos</w:t>
      </w:r>
      <w:proofErr w:type="spellEnd"/>
      <w:r w:rsidRPr="001F764A">
        <w:rPr>
          <w:rFonts w:ascii="Palatino Linotype" w:eastAsia="Palatino Linotype" w:hAnsi="Palatino Linotype" w:cs="Palatino Linotype"/>
          <w:color w:val="000000"/>
        </w:rPr>
        <w:t>, que derivarán de los planes de competencia municipal y se expedirán para regular a detalle las áreas urbanizables de sus centros de población, así como para la conservación y mejoramiento de sus áreas urbanas; para precisar los usos del suelo en sectores determinados, y cuando cualquier otro propósito análogo de interés público lo hicieren necesario.</w:t>
      </w:r>
    </w:p>
    <w:p w14:paraId="4156C1A0" w14:textId="77777777" w:rsidR="00F51EFF" w:rsidRPr="001F764A" w:rsidRDefault="00F51EFF">
      <w:pPr>
        <w:spacing w:line="360" w:lineRule="auto"/>
        <w:ind w:right="51"/>
        <w:jc w:val="both"/>
        <w:rPr>
          <w:rFonts w:ascii="Palatino Linotype" w:eastAsia="Palatino Linotype" w:hAnsi="Palatino Linotype" w:cs="Palatino Linotype"/>
          <w:color w:val="000000"/>
        </w:rPr>
      </w:pPr>
    </w:p>
    <w:p w14:paraId="384EFA68" w14:textId="77777777" w:rsidR="00F51EFF" w:rsidRPr="001F764A" w:rsidRDefault="00CF7D80">
      <w:pPr>
        <w:spacing w:line="360" w:lineRule="auto"/>
        <w:ind w:right="51"/>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Asimismo de la misma gaceta se advierte que en su transitorio segundo, se debieron registrar ante Registro Público de la Propiedad el Plan Parcial del Desarrollo Urbano de San Pablo de las Salinas como sus planos respectivos, como se observa a continuación:</w:t>
      </w:r>
    </w:p>
    <w:p w14:paraId="48E9351B" w14:textId="77777777" w:rsidR="00F51EFF" w:rsidRPr="001F764A" w:rsidRDefault="00F51EFF">
      <w:pPr>
        <w:spacing w:line="360" w:lineRule="auto"/>
        <w:ind w:right="51"/>
        <w:jc w:val="both"/>
        <w:rPr>
          <w:rFonts w:ascii="Palatino Linotype" w:eastAsia="Palatino Linotype" w:hAnsi="Palatino Linotype" w:cs="Palatino Linotype"/>
          <w:color w:val="000000"/>
        </w:rPr>
      </w:pPr>
    </w:p>
    <w:p w14:paraId="35A73808" w14:textId="77777777" w:rsidR="00F51EFF" w:rsidRPr="001F764A" w:rsidRDefault="00CF7D80">
      <w:pPr>
        <w:spacing w:line="360" w:lineRule="auto"/>
        <w:ind w:right="51"/>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noProof/>
          <w:color w:val="000000"/>
          <w:lang w:val="es-MX"/>
        </w:rPr>
        <w:drawing>
          <wp:inline distT="0" distB="0" distL="0" distR="0" wp14:anchorId="5437FD8D" wp14:editId="0306E809">
            <wp:extent cx="5638634" cy="15691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38634" cy="1569140"/>
                    </a:xfrm>
                    <a:prstGeom prst="rect">
                      <a:avLst/>
                    </a:prstGeom>
                    <a:ln/>
                  </pic:spPr>
                </pic:pic>
              </a:graphicData>
            </a:graphic>
          </wp:inline>
        </w:drawing>
      </w:r>
      <w:r w:rsidRPr="001F764A">
        <w:rPr>
          <w:rFonts w:ascii="Palatino Linotype" w:eastAsia="Palatino Linotype" w:hAnsi="Palatino Linotype" w:cs="Palatino Linotype"/>
          <w:color w:val="000000"/>
        </w:rPr>
        <w:t xml:space="preserve"> </w:t>
      </w:r>
    </w:p>
    <w:p w14:paraId="6B1D61F8" w14:textId="77777777" w:rsidR="00F51EFF" w:rsidRPr="001F764A" w:rsidRDefault="00CF7D80">
      <w:pPr>
        <w:spacing w:line="360" w:lineRule="auto"/>
        <w:ind w:right="51"/>
        <w:jc w:val="both"/>
        <w:rPr>
          <w:rFonts w:ascii="Palatino Linotype" w:eastAsia="Palatino Linotype" w:hAnsi="Palatino Linotype" w:cs="Palatino Linotype"/>
          <w:b/>
        </w:rPr>
      </w:pPr>
      <w:r w:rsidRPr="001F764A">
        <w:rPr>
          <w:rFonts w:ascii="Palatino Linotype" w:eastAsia="Palatino Linotype" w:hAnsi="Palatino Linotype" w:cs="Palatino Linotype"/>
          <w:color w:val="000000"/>
        </w:rPr>
        <w:t xml:space="preserve">Con lo cual se advierte la existencia de la información solicitada por la parte </w:t>
      </w:r>
      <w:r w:rsidRPr="001F764A">
        <w:rPr>
          <w:rFonts w:ascii="Palatino Linotype" w:eastAsia="Palatino Linotype" w:hAnsi="Palatino Linotype" w:cs="Palatino Linotype"/>
          <w:b/>
          <w:color w:val="000000"/>
        </w:rPr>
        <w:t>RECURRENTE</w:t>
      </w:r>
      <w:r w:rsidRPr="001F764A">
        <w:rPr>
          <w:rFonts w:ascii="Palatino Linotype" w:eastAsia="Palatino Linotype" w:hAnsi="Palatino Linotype" w:cs="Palatino Linotype"/>
          <w:color w:val="000000"/>
        </w:rPr>
        <w:t>.</w:t>
      </w:r>
    </w:p>
    <w:p w14:paraId="614469D8" w14:textId="77777777" w:rsidR="00F51EFF" w:rsidRPr="001F764A" w:rsidRDefault="00F51EFF">
      <w:pPr>
        <w:spacing w:line="360" w:lineRule="auto"/>
        <w:jc w:val="both"/>
        <w:rPr>
          <w:rFonts w:ascii="Palatino Linotype" w:eastAsia="Palatino Linotype" w:hAnsi="Palatino Linotype" w:cs="Palatino Linotype"/>
          <w:color w:val="000000"/>
        </w:rPr>
      </w:pPr>
    </w:p>
    <w:p w14:paraId="189D5BF6"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color w:val="222222"/>
        </w:rPr>
        <w:lastRenderedPageBreak/>
        <w:t>En consecuencia</w:t>
      </w:r>
      <w:r w:rsidRPr="001F764A">
        <w:rPr>
          <w:rFonts w:ascii="Palatino Linotype" w:eastAsia="Palatino Linotype" w:hAnsi="Palatino Linotype" w:cs="Palatino Linotype"/>
        </w:rPr>
        <w:t xml:space="preserve">, la respuesta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67DDB3B2" w14:textId="77777777" w:rsidR="00F51EFF" w:rsidRPr="001F764A" w:rsidRDefault="00CF7D80">
      <w:pPr>
        <w:spacing w:before="80" w:after="240"/>
        <w:ind w:left="567"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F764A">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F764A">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1F764A">
        <w:rPr>
          <w:rFonts w:ascii="Palatino Linotype" w:eastAsia="Palatino Linotype" w:hAnsi="Palatino Linotype" w:cs="Palatino Linotype"/>
          <w:i/>
          <w:sz w:val="22"/>
          <w:szCs w:val="22"/>
        </w:rPr>
        <w:t xml:space="preserve">; mientras que </w:t>
      </w:r>
      <w:r w:rsidRPr="001F764A">
        <w:rPr>
          <w:rFonts w:ascii="Palatino Linotype" w:eastAsia="Palatino Linotype" w:hAnsi="Palatino Linotype" w:cs="Palatino Linotype"/>
          <w:b/>
          <w:i/>
          <w:sz w:val="22"/>
          <w:szCs w:val="22"/>
        </w:rPr>
        <w:t>la exhaustividad significa que dicha respuesta se refiera expresamente a cada uno de los puntos solicitados</w:t>
      </w:r>
      <w:r w:rsidRPr="001F764A">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F43B0DF" w14:textId="77777777" w:rsidR="00F51EFF" w:rsidRPr="001F764A" w:rsidRDefault="00F51EFF">
      <w:pPr>
        <w:spacing w:line="360" w:lineRule="auto"/>
        <w:jc w:val="both"/>
        <w:rPr>
          <w:rFonts w:ascii="Palatino Linotype" w:eastAsia="Palatino Linotype" w:hAnsi="Palatino Linotype" w:cs="Palatino Linotype"/>
          <w:b/>
        </w:rPr>
      </w:pPr>
    </w:p>
    <w:p w14:paraId="22E5227F"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Razones por las cuales lo procedente es ordenar una nueva búsqueda exhaustiva y razonable del documento o documentos en donde consten los planos de lotificación autorizados del pueblo San Pablo de las Salinas en el cual se señalen las áreas verdes, las áreas de donación, las áreas de equipamiento y toda la lotificación autorizada, vigente al veintiséis de abril del año dos mil veintitrés y en versión pública conforme a lo señalado por el considerando quinto del presente fallo. </w:t>
      </w:r>
    </w:p>
    <w:p w14:paraId="4B69208D" w14:textId="77777777" w:rsidR="00F51EFF" w:rsidRPr="001F764A" w:rsidRDefault="00F51EFF">
      <w:pPr>
        <w:spacing w:line="360" w:lineRule="auto"/>
        <w:jc w:val="both"/>
        <w:rPr>
          <w:rFonts w:ascii="Palatino Linotype" w:eastAsia="Palatino Linotype" w:hAnsi="Palatino Linotype" w:cs="Palatino Linotype"/>
        </w:rPr>
      </w:pPr>
    </w:p>
    <w:p w14:paraId="1B12A6D4"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Sobre la búsqueda exhaustiva y razonable que se ordena, en el supuesto, de actualizarse la circunstancia fáctica de que, derivado de una búsqueda exhaustiva y razonable, por alguna razón, la información solicitada no obre en sus archivos, emitir una declaratoria formal de la inexistencia de la información, en términos de </w:t>
      </w:r>
      <w:r w:rsidRPr="001F764A">
        <w:rPr>
          <w:rFonts w:ascii="Palatino Linotype" w:eastAsia="Palatino Linotype" w:hAnsi="Palatino Linotype" w:cs="Palatino Linotype"/>
        </w:rPr>
        <w:lastRenderedPageBreak/>
        <w:t>lo que señala el artículo 19, tercer párrafo, 49, fracciones II y XIII; 169 y 170 de la Ley de Transparencia y Acceso a la Información Pública del Estado de México y Municipios, que se leen como sigue:</w:t>
      </w:r>
    </w:p>
    <w:p w14:paraId="3596D22E"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19.</w:t>
      </w:r>
      <w:r w:rsidRPr="001F764A">
        <w:rPr>
          <w:rFonts w:ascii="Palatino Linotype" w:eastAsia="Palatino Linotype" w:hAnsi="Palatino Linotype" w:cs="Palatino Linotype"/>
          <w:i/>
          <w:sz w:val="22"/>
          <w:szCs w:val="22"/>
        </w:rPr>
        <w:t xml:space="preserve"> (…)</w:t>
      </w:r>
    </w:p>
    <w:p w14:paraId="760A0D44"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1F764A">
        <w:rPr>
          <w:rFonts w:ascii="Palatino Linotype" w:eastAsia="Palatino Linotype" w:hAnsi="Palatino Linotype" w:cs="Palatino Linotype"/>
          <w:i/>
          <w:sz w:val="22"/>
          <w:szCs w:val="22"/>
        </w:rPr>
        <w:t>, debidamente fundado y motivado, en el que detalle las razones del por qué no obra en sus archivos.”</w:t>
      </w:r>
    </w:p>
    <w:p w14:paraId="7AABF2BE"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49.</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Los Comités de Transparencia</w:t>
      </w:r>
      <w:r w:rsidRPr="001F764A">
        <w:rPr>
          <w:rFonts w:ascii="Palatino Linotype" w:eastAsia="Palatino Linotype" w:hAnsi="Palatino Linotype" w:cs="Palatino Linotype"/>
          <w:i/>
          <w:sz w:val="22"/>
          <w:szCs w:val="22"/>
        </w:rPr>
        <w:t xml:space="preserve"> tendrán las siguientes </w:t>
      </w:r>
      <w:r w:rsidRPr="001F764A">
        <w:rPr>
          <w:rFonts w:ascii="Palatino Linotype" w:eastAsia="Palatino Linotype" w:hAnsi="Palatino Linotype" w:cs="Palatino Linotype"/>
          <w:b/>
          <w:i/>
          <w:sz w:val="22"/>
          <w:szCs w:val="22"/>
        </w:rPr>
        <w:t>atribuciones</w:t>
      </w:r>
      <w:r w:rsidRPr="001F764A">
        <w:rPr>
          <w:rFonts w:ascii="Palatino Linotype" w:eastAsia="Palatino Linotype" w:hAnsi="Palatino Linotype" w:cs="Palatino Linotype"/>
          <w:i/>
          <w:sz w:val="22"/>
          <w:szCs w:val="22"/>
        </w:rPr>
        <w:t>:</w:t>
      </w:r>
    </w:p>
    <w:p w14:paraId="318C6BC5"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II.</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Confirmar, modificar o revocar las determinaciones que en materia de</w:t>
      </w:r>
      <w:r w:rsidRPr="001F764A">
        <w:rPr>
          <w:rFonts w:ascii="Palatino Linotype" w:eastAsia="Palatino Linotype" w:hAnsi="Palatino Linotype" w:cs="Palatino Linotype"/>
          <w:i/>
          <w:sz w:val="22"/>
          <w:szCs w:val="22"/>
        </w:rPr>
        <w:t xml:space="preserve"> ampliación del plazo de respuesta, clasificación de la información y </w:t>
      </w:r>
      <w:r w:rsidRPr="001F764A">
        <w:rPr>
          <w:rFonts w:ascii="Palatino Linotype" w:eastAsia="Palatino Linotype" w:hAnsi="Palatino Linotype" w:cs="Palatino Linotype"/>
          <w:b/>
          <w:i/>
          <w:sz w:val="22"/>
          <w:szCs w:val="22"/>
        </w:rPr>
        <w:t>declaración de inexistencia</w:t>
      </w:r>
      <w:r w:rsidRPr="001F764A">
        <w:rPr>
          <w:rFonts w:ascii="Palatino Linotype" w:eastAsia="Palatino Linotype" w:hAnsi="Palatino Linotype" w:cs="Palatino Linotype"/>
          <w:i/>
          <w:sz w:val="22"/>
          <w:szCs w:val="22"/>
        </w:rPr>
        <w:t xml:space="preserve"> o de incompetencia realicen los titulares de las áreas de los sujetos obligados;</w:t>
      </w:r>
    </w:p>
    <w:p w14:paraId="730F2B12"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XIII</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Dictaminar las declaratorias de inexistencia de la información</w:t>
      </w:r>
      <w:r w:rsidRPr="001F764A">
        <w:rPr>
          <w:rFonts w:ascii="Palatino Linotype" w:eastAsia="Palatino Linotype" w:hAnsi="Palatino Linotype" w:cs="Palatino Linotype"/>
          <w:i/>
          <w:sz w:val="22"/>
          <w:szCs w:val="22"/>
        </w:rPr>
        <w:t xml:space="preserve"> que les remitan las unidades administrativas y resolver en consecuencia…”</w:t>
      </w:r>
    </w:p>
    <w:p w14:paraId="27F44ED2"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169</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Cuando la información no se encuentre en los archivos del sujeto obligado, el Comité de Transparencia</w:t>
      </w:r>
      <w:r w:rsidRPr="001F764A">
        <w:rPr>
          <w:rFonts w:ascii="Palatino Linotype" w:eastAsia="Palatino Linotype" w:hAnsi="Palatino Linotype" w:cs="Palatino Linotype"/>
          <w:i/>
          <w:sz w:val="22"/>
          <w:szCs w:val="22"/>
        </w:rPr>
        <w:t xml:space="preserve">: </w:t>
      </w:r>
    </w:p>
    <w:p w14:paraId="62809CBD"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w:t>
      </w:r>
      <w:r w:rsidRPr="001F764A">
        <w:rPr>
          <w:rFonts w:ascii="Palatino Linotype" w:eastAsia="Palatino Linotype" w:hAnsi="Palatino Linotype" w:cs="Palatino Linotype"/>
          <w:i/>
          <w:sz w:val="22"/>
          <w:szCs w:val="22"/>
        </w:rPr>
        <w:t xml:space="preserve"> Analizará el caso y tomará las medidas necesarias para localizar la información; </w:t>
      </w:r>
    </w:p>
    <w:p w14:paraId="7B09DF50"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II</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Expedirá una resolución que confirme la inexistencia del documento</w:t>
      </w:r>
      <w:r w:rsidRPr="001F764A">
        <w:rPr>
          <w:rFonts w:ascii="Palatino Linotype" w:eastAsia="Palatino Linotype" w:hAnsi="Palatino Linotype" w:cs="Palatino Linotype"/>
          <w:i/>
          <w:sz w:val="22"/>
          <w:szCs w:val="22"/>
        </w:rPr>
        <w:t xml:space="preserve">; </w:t>
      </w:r>
    </w:p>
    <w:p w14:paraId="44C90C67"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III.</w:t>
      </w:r>
      <w:r w:rsidRPr="001F764A">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FEDAD7F"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IV.</w:t>
      </w:r>
      <w:r w:rsidRPr="001F764A">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0C25D86D"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lastRenderedPageBreak/>
        <w:t xml:space="preserve">La Unidad de Transparencia deberá notificarlo al solicitante por escrito, en un plazo que no exceda de quince días hábiles contados a partir del día siguiente a la presentación de la solicitud. </w:t>
      </w:r>
    </w:p>
    <w:p w14:paraId="22EC87AB"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71D7C31"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170.</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que permitan al solicitante tener la certeza de que se utilizó un criterio de búsqueda exhaustivo</w:t>
      </w:r>
      <w:r w:rsidRPr="001F764A">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7132522B"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y comprobar la inexistencia de la información.</w:t>
      </w:r>
    </w:p>
    <w:p w14:paraId="32872AD1"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06825CAF"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INEXISTENCIA. DECLARATORIA DE LA. ALCANCES Y PROCEDIMIENTOS</w:t>
      </w:r>
      <w:r w:rsidRPr="001F764A">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w:t>
      </w:r>
      <w:r w:rsidRPr="001F764A">
        <w:rPr>
          <w:rFonts w:ascii="Palatino Linotype" w:eastAsia="Palatino Linotype" w:hAnsi="Palatino Linotype" w:cs="Palatino Linotype"/>
          <w:i/>
          <w:sz w:val="22"/>
          <w:szCs w:val="22"/>
        </w:rPr>
        <w:lastRenderedPageBreak/>
        <w:t xml:space="preserve">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22A675C"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Bajo el entendido de que dicha búsqueda exhaustiva permitirá dos determinaciones: </w:t>
      </w:r>
    </w:p>
    <w:p w14:paraId="3FCC20B2"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1ª)</w:t>
      </w:r>
      <w:r w:rsidRPr="001F764A">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150F1233"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2ª)</w:t>
      </w:r>
      <w:r w:rsidRPr="001F764A">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E39F794" w14:textId="77777777" w:rsidR="00F51EFF" w:rsidRPr="001F764A" w:rsidRDefault="00CF7D80">
      <w:pPr>
        <w:spacing w:before="240" w:after="240"/>
        <w:ind w:left="851" w:right="900"/>
        <w:jc w:val="both"/>
        <w:rPr>
          <w:rFonts w:ascii="Palatino Linotype" w:eastAsia="Palatino Linotype" w:hAnsi="Palatino Linotype" w:cs="Palatino Linotype"/>
        </w:rPr>
      </w:pPr>
      <w:r w:rsidRPr="001F764A">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0DBECCB"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en otras palabras la información se generó, administró o poseyó en el marco de sus atribuciones pero no la conserva por </w:t>
      </w:r>
      <w:r w:rsidRPr="001F764A">
        <w:rPr>
          <w:rFonts w:ascii="Palatino Linotype" w:eastAsia="Palatino Linotype" w:hAnsi="Palatino Linotype" w:cs="Palatino Linotype"/>
        </w:rPr>
        <w:lastRenderedPageBreak/>
        <w:t xml:space="preserve">distintas razones como pudieran ser, destrucción o desaparición física, sustracción ilícita, baja documental o cualquier otra; o el segundo de los supuestos sería que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6017DD51"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INEXISTENCIA, CONCEPTO DE, EN MATERIA DE TRANSPARENCIA</w:t>
      </w:r>
      <w:r w:rsidRPr="001F764A">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1F764A">
        <w:rPr>
          <w:rFonts w:ascii="Palatino Linotype" w:eastAsia="Palatino Linotype" w:hAnsi="Palatino Linotype" w:cs="Palatino Linotype"/>
          <w:b/>
          <w:i/>
          <w:sz w:val="22"/>
          <w:szCs w:val="22"/>
        </w:rPr>
        <w:t>supuestos:</w:t>
      </w:r>
      <w:r w:rsidRPr="001F764A">
        <w:rPr>
          <w:rFonts w:ascii="Palatino Linotype" w:eastAsia="Palatino Linotype" w:hAnsi="Palatino Linotype" w:cs="Palatino Linotype"/>
          <w:i/>
          <w:sz w:val="22"/>
          <w:szCs w:val="22"/>
        </w:rPr>
        <w:t xml:space="preserve"> </w:t>
      </w:r>
    </w:p>
    <w:p w14:paraId="0E9267C3" w14:textId="77777777" w:rsidR="00F51EFF" w:rsidRPr="001F764A" w:rsidRDefault="00CF7D80">
      <w:pPr>
        <w:numPr>
          <w:ilvl w:val="0"/>
          <w:numId w:val="2"/>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1A35692" w14:textId="77777777" w:rsidR="00F51EFF" w:rsidRPr="001F764A" w:rsidRDefault="00CF7D80">
      <w:pPr>
        <w:numPr>
          <w:ilvl w:val="0"/>
          <w:numId w:val="2"/>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color w:val="000000"/>
          <w:sz w:val="22"/>
          <w:szCs w:val="22"/>
        </w:rPr>
      </w:pPr>
      <w:r w:rsidRPr="001F764A">
        <w:rPr>
          <w:rFonts w:ascii="Palatino Linotype" w:eastAsia="Palatino Linotype" w:hAnsi="Palatino Linotype" w:cs="Palatino Linotype"/>
          <w:b/>
          <w:i/>
          <w:color w:val="000000"/>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1F764A">
        <w:rPr>
          <w:rFonts w:ascii="Palatino Linotype" w:eastAsia="Palatino Linotype" w:hAnsi="Palatino Linotype" w:cs="Palatino Linotype"/>
          <w:b/>
          <w:i/>
          <w:color w:val="000000"/>
          <w:sz w:val="22"/>
          <w:szCs w:val="22"/>
        </w:rPr>
        <w:t>ninguna</w:t>
      </w:r>
      <w:proofErr w:type="gramEnd"/>
      <w:r w:rsidRPr="001F764A">
        <w:rPr>
          <w:rFonts w:ascii="Palatino Linotype" w:eastAsia="Palatino Linotype" w:hAnsi="Palatino Linotype" w:cs="Palatino Linotype"/>
          <w:b/>
          <w:i/>
          <w:color w:val="000000"/>
          <w:sz w:val="22"/>
          <w:szCs w:val="22"/>
        </w:rPr>
        <w:t xml:space="preserve"> de esas acciones. </w:t>
      </w:r>
    </w:p>
    <w:p w14:paraId="123CD165" w14:textId="77777777" w:rsidR="00F51EFF" w:rsidRPr="001F764A" w:rsidRDefault="00CF7D80">
      <w:pPr>
        <w:spacing w:before="240" w:after="240"/>
        <w:ind w:left="851" w:right="900"/>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239C591"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1F764A">
        <w:rPr>
          <w:rFonts w:ascii="Palatino Linotype" w:eastAsia="Palatino Linotype" w:hAnsi="Palatino Linotype" w:cs="Palatino Linotype"/>
          <w:b/>
        </w:rPr>
        <w:t xml:space="preserve">, </w:t>
      </w:r>
      <w:r w:rsidRPr="001F764A">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1F764A">
        <w:rPr>
          <w:rFonts w:ascii="Palatino Linotype" w:eastAsia="Palatino Linotype" w:hAnsi="Palatino Linotype" w:cs="Palatino Linotype"/>
          <w:b/>
        </w:rPr>
        <w:t xml:space="preserve">SUJETO OBLIGADO, </w:t>
      </w:r>
      <w:r w:rsidRPr="001F764A">
        <w:rPr>
          <w:rFonts w:ascii="Palatino Linotype" w:eastAsia="Palatino Linotype" w:hAnsi="Palatino Linotype" w:cs="Palatino Linotype"/>
        </w:rPr>
        <w:t>de instruir una búsqueda exhaustiva a todas y cada una de las áreas administrativas de las que se compone, que permitirá:</w:t>
      </w:r>
    </w:p>
    <w:p w14:paraId="3D5D1628" w14:textId="77777777" w:rsidR="00F51EFF" w:rsidRPr="001F764A" w:rsidRDefault="00CF7D8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lastRenderedPageBreak/>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3727C523"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De actualizarse esta primera hipótesis, la información debe entregarse al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b/>
          <w:i/>
        </w:rPr>
        <w:t xml:space="preserve"> </w:t>
      </w:r>
      <w:r w:rsidRPr="001F764A">
        <w:rPr>
          <w:rFonts w:ascii="Palatino Linotype" w:eastAsia="Palatino Linotype" w:hAnsi="Palatino Linotype" w:cs="Palatino Linotype"/>
        </w:rPr>
        <w:t>a través del o los documentos fuente.</w:t>
      </w:r>
    </w:p>
    <w:p w14:paraId="0BC2A9EF" w14:textId="77777777" w:rsidR="00F51EFF" w:rsidRPr="001F764A" w:rsidRDefault="00CF7D8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 xml:space="preserve">Que no se localice documento alguno que contenga la información requerida, en este supuesto, el Comité de Transparencia deberá resolver la declaratoria de inexistencia de la información y notificarla al </w:t>
      </w:r>
      <w:r w:rsidRPr="001F764A">
        <w:rPr>
          <w:rFonts w:ascii="Palatino Linotype" w:eastAsia="Palatino Linotype" w:hAnsi="Palatino Linotype" w:cs="Palatino Linotype"/>
          <w:b/>
          <w:color w:val="000000"/>
        </w:rPr>
        <w:t>RECURRENTE</w:t>
      </w:r>
      <w:r w:rsidRPr="001F764A">
        <w:rPr>
          <w:rFonts w:ascii="Palatino Linotype" w:eastAsia="Palatino Linotype" w:hAnsi="Palatino Linotype" w:cs="Palatino Linotype"/>
          <w:b/>
          <w:i/>
          <w:color w:val="000000"/>
        </w:rPr>
        <w:t xml:space="preserve"> </w:t>
      </w:r>
      <w:r w:rsidRPr="001F764A">
        <w:rPr>
          <w:rFonts w:ascii="Palatino Linotype" w:eastAsia="Palatino Linotype" w:hAnsi="Palatino Linotype" w:cs="Palatino Linotype"/>
          <w:color w:val="000000"/>
        </w:rPr>
        <w:t>y a este Pleno.</w:t>
      </w:r>
    </w:p>
    <w:p w14:paraId="45FDDD9C" w14:textId="77777777" w:rsidR="00F51EFF" w:rsidRPr="001F764A" w:rsidRDefault="00CF7D80">
      <w:pPr>
        <w:numPr>
          <w:ilvl w:val="0"/>
          <w:numId w:val="1"/>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Que se ordene siempre que sea materialmente posible, que se genere o reponga la información en caso de que ésta tuviera que existir, derivado del ejercicio de sus facultades.</w:t>
      </w:r>
    </w:p>
    <w:p w14:paraId="372B94D2"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1DF90C64"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Lo anterior no es así, ya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w:t>
      </w:r>
      <w:r w:rsidRPr="001F764A">
        <w:rPr>
          <w:rFonts w:ascii="Palatino Linotype" w:eastAsia="Palatino Linotype" w:hAnsi="Palatino Linotype" w:cs="Palatino Linotype"/>
        </w:rPr>
        <w:lastRenderedPageBreak/>
        <w:t>segundo de la Ley de Transparencia y Acceso a la Información Pública del Estado de México y Municipios, que es del tenor literal siguiente:</w:t>
      </w:r>
    </w:p>
    <w:p w14:paraId="765D1278"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19</w:t>
      </w:r>
      <w:r w:rsidRPr="001F764A">
        <w:rPr>
          <w:rFonts w:ascii="Palatino Linotype" w:eastAsia="Palatino Linotype" w:hAnsi="Palatino Linotype" w:cs="Palatino Linotype"/>
          <w:i/>
          <w:sz w:val="22"/>
          <w:szCs w:val="22"/>
        </w:rPr>
        <w:t>…</w:t>
      </w:r>
    </w:p>
    <w:p w14:paraId="6B9A83FF"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circunstancia.”(Sic)</w:t>
      </w:r>
    </w:p>
    <w:p w14:paraId="21C6B7F6" w14:textId="77777777" w:rsidR="00F51EFF" w:rsidRPr="001F764A" w:rsidRDefault="00F51EFF">
      <w:pPr>
        <w:spacing w:line="360" w:lineRule="auto"/>
        <w:jc w:val="both"/>
        <w:rPr>
          <w:rFonts w:ascii="Palatino Linotype" w:eastAsia="Palatino Linotype" w:hAnsi="Palatino Linotype" w:cs="Palatino Linotype"/>
        </w:rPr>
      </w:pPr>
    </w:p>
    <w:p w14:paraId="5F8C289D"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Finalmente, sobre la modalidad de entrega elegida por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a través de consulta directa y archivo electrónico USB en formato PDF,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deberá observar el contenido del Capítulo X de Lineamientos Generales en Materia de Clasificación y Desclasificación de la Información, así como para la Elaboración de Versiones Públicas, respecto a la consulta directa, que señala:</w:t>
      </w:r>
    </w:p>
    <w:p w14:paraId="1EFEFD7B" w14:textId="77777777" w:rsidR="00F51EFF" w:rsidRPr="001F764A" w:rsidRDefault="00F51EFF">
      <w:pPr>
        <w:spacing w:line="360" w:lineRule="auto"/>
        <w:jc w:val="both"/>
        <w:rPr>
          <w:rFonts w:ascii="Palatino Linotype" w:eastAsia="Palatino Linotype" w:hAnsi="Palatino Linotype" w:cs="Palatino Linotype"/>
        </w:rPr>
      </w:pPr>
    </w:p>
    <w:p w14:paraId="374F277C" w14:textId="77777777" w:rsidR="00F51EFF" w:rsidRPr="001F764A" w:rsidRDefault="00CF7D80">
      <w:pPr>
        <w:spacing w:after="120"/>
        <w:ind w:left="851" w:right="902"/>
        <w:jc w:val="center"/>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CAPÍTULO X</w:t>
      </w:r>
    </w:p>
    <w:p w14:paraId="72AA84AE" w14:textId="77777777" w:rsidR="00F51EFF" w:rsidRPr="001F764A" w:rsidRDefault="00CF7D80">
      <w:pPr>
        <w:spacing w:before="120" w:after="120"/>
        <w:ind w:left="851" w:right="902"/>
        <w:jc w:val="center"/>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DE LA CONSULTA DIRECTA</w:t>
      </w:r>
    </w:p>
    <w:p w14:paraId="12B0EFBD" w14:textId="77777777" w:rsidR="00F51EFF" w:rsidRPr="001F764A" w:rsidRDefault="00CF7D80">
      <w:pPr>
        <w:spacing w:before="120" w:after="120"/>
        <w:ind w:left="851" w:right="902"/>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sz w:val="22"/>
          <w:szCs w:val="22"/>
        </w:rPr>
        <w:t>Sexagésimo séptimo</w:t>
      </w:r>
      <w:r w:rsidRPr="001F764A">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1F764A">
        <w:rPr>
          <w:rFonts w:ascii="Palatino Linotype" w:eastAsia="Palatino Linotype" w:hAnsi="Palatino Linotype" w:cs="Palatino Linotype"/>
          <w:i/>
          <w:color w:val="000000"/>
          <w:sz w:val="22"/>
          <w:szCs w:val="22"/>
        </w:rPr>
        <w:t xml:space="preserve">modalidad antes citada, previamente el Comité de Transparencia del sujeto obligado </w:t>
      </w:r>
      <w:r w:rsidRPr="001F764A">
        <w:rPr>
          <w:rFonts w:ascii="Palatino Linotype" w:eastAsia="Palatino Linotype" w:hAnsi="Palatino Linotype" w:cs="Palatino Linotype"/>
          <w:b/>
          <w:i/>
          <w:color w:val="000000"/>
          <w:sz w:val="22"/>
          <w:szCs w:val="22"/>
        </w:rPr>
        <w:t>deberá emitir la resolución en la que funde y motive la clasificación</w:t>
      </w:r>
      <w:r w:rsidRPr="001F764A">
        <w:rPr>
          <w:rFonts w:ascii="Palatino Linotype" w:eastAsia="Palatino Linotype" w:hAnsi="Palatino Linotype" w:cs="Palatino Linotype"/>
          <w:i/>
          <w:color w:val="000000"/>
          <w:sz w:val="22"/>
          <w:szCs w:val="22"/>
        </w:rPr>
        <w:t xml:space="preserve"> de las partes o secciones que no podrán dejarse a la vista del solicitante. </w:t>
      </w:r>
    </w:p>
    <w:p w14:paraId="28E9E820" w14:textId="77777777" w:rsidR="00F51EFF" w:rsidRPr="001F764A" w:rsidRDefault="00CF7D80">
      <w:pPr>
        <w:spacing w:before="120" w:after="120"/>
        <w:ind w:left="851" w:right="902"/>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Sexagésimo octavo</w:t>
      </w:r>
      <w:r w:rsidRPr="001F764A">
        <w:rPr>
          <w:rFonts w:ascii="Palatino Linotype" w:eastAsia="Palatino Linotype" w:hAnsi="Palatino Linotype" w:cs="Palatino Linotype"/>
          <w:i/>
          <w:color w:val="000000"/>
          <w:sz w:val="22"/>
          <w:szCs w:val="22"/>
        </w:rPr>
        <w:t xml:space="preserve">. En la </w:t>
      </w:r>
      <w:r w:rsidRPr="001F764A">
        <w:rPr>
          <w:rFonts w:ascii="Palatino Linotype" w:eastAsia="Palatino Linotype" w:hAnsi="Palatino Linotype" w:cs="Palatino Linotype"/>
          <w:b/>
          <w:i/>
          <w:color w:val="000000"/>
          <w:sz w:val="22"/>
          <w:szCs w:val="22"/>
        </w:rPr>
        <w:t>resolución del Comité de Transparencia</w:t>
      </w:r>
      <w:r w:rsidRPr="001F764A">
        <w:rPr>
          <w:rFonts w:ascii="Palatino Linotype" w:eastAsia="Palatino Linotype" w:hAnsi="Palatino Linotype" w:cs="Palatino Linotype"/>
          <w:i/>
          <w:color w:val="000000"/>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07ACB86"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color w:val="000000"/>
          <w:sz w:val="22"/>
          <w:szCs w:val="22"/>
        </w:rPr>
        <w:t>Sexagésimo noveno</w:t>
      </w:r>
      <w:r w:rsidRPr="001F764A">
        <w:rPr>
          <w:rFonts w:ascii="Palatino Linotype" w:eastAsia="Palatino Linotype" w:hAnsi="Palatino Linotype" w:cs="Palatino Linotype"/>
          <w:i/>
          <w:color w:val="000000"/>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1F764A">
        <w:rPr>
          <w:rFonts w:ascii="Palatino Linotype" w:eastAsia="Palatino Linotype" w:hAnsi="Palatino Linotype" w:cs="Palatino Linotype"/>
          <w:i/>
          <w:sz w:val="22"/>
          <w:szCs w:val="22"/>
        </w:rPr>
        <w:t xml:space="preserve">de </w:t>
      </w:r>
      <w:r w:rsidRPr="001F764A">
        <w:rPr>
          <w:rFonts w:ascii="Palatino Linotype" w:eastAsia="Palatino Linotype" w:hAnsi="Palatino Linotype" w:cs="Palatino Linotype"/>
          <w:i/>
          <w:sz w:val="22"/>
          <w:szCs w:val="22"/>
        </w:rPr>
        <w:lastRenderedPageBreak/>
        <w:t xml:space="preserve">ser posible, ofrecer las demás modalidades en las que es viable el acceso a la información. </w:t>
      </w:r>
    </w:p>
    <w:p w14:paraId="71DE9A7C"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Septuagésimo</w:t>
      </w:r>
      <w:r w:rsidRPr="001F764A">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03D979D7"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w:t>
      </w:r>
      <w:r w:rsidRPr="001F764A">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923EB12"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II.</w:t>
      </w:r>
      <w:r w:rsidRPr="001F764A">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01FDF3B3"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III.</w:t>
      </w:r>
      <w:r w:rsidRPr="001F764A">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67ACB8F"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IV.</w:t>
      </w:r>
      <w:r w:rsidRPr="001F764A">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2FDFE2E7"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V.</w:t>
      </w:r>
      <w:r w:rsidRPr="001F764A">
        <w:rPr>
          <w:rFonts w:ascii="Palatino Linotype" w:eastAsia="Palatino Linotype" w:hAnsi="Palatino Linotype" w:cs="Palatino Linotype"/>
          <w:i/>
          <w:sz w:val="22"/>
          <w:szCs w:val="22"/>
        </w:rPr>
        <w:t xml:space="preserve"> Abstenerse de requerir al solicitante que acredite interés alguno; </w:t>
      </w:r>
    </w:p>
    <w:p w14:paraId="3B1079FF" w14:textId="77777777" w:rsidR="00F51EFF" w:rsidRPr="001F764A" w:rsidRDefault="00CF7D80">
      <w:pPr>
        <w:spacing w:before="120" w:after="120"/>
        <w:ind w:left="1134"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VI.</w:t>
      </w:r>
      <w:r w:rsidRPr="001F764A">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224FE2D" w14:textId="77777777" w:rsidR="00F51EFF" w:rsidRPr="001F764A" w:rsidRDefault="00CF7D80">
      <w:pPr>
        <w:spacing w:before="120" w:after="120"/>
        <w:ind w:left="1418"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a)</w:t>
      </w:r>
      <w:r w:rsidRPr="001F764A">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6037A790" w14:textId="77777777" w:rsidR="00F51EFF" w:rsidRPr="001F764A" w:rsidRDefault="00CF7D80">
      <w:pPr>
        <w:spacing w:before="120" w:after="120"/>
        <w:ind w:left="1418"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b)</w:t>
      </w:r>
      <w:r w:rsidRPr="001F764A">
        <w:rPr>
          <w:rFonts w:ascii="Palatino Linotype" w:eastAsia="Palatino Linotype" w:hAnsi="Palatino Linotype" w:cs="Palatino Linotype"/>
          <w:i/>
          <w:sz w:val="22"/>
          <w:szCs w:val="22"/>
        </w:rPr>
        <w:t xml:space="preserve"> Equipo y personal de vigilancia;</w:t>
      </w:r>
    </w:p>
    <w:p w14:paraId="52242764"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c)</w:t>
      </w:r>
      <w:r w:rsidRPr="001F764A">
        <w:rPr>
          <w:rFonts w:ascii="Palatino Linotype" w:eastAsia="Palatino Linotype" w:hAnsi="Palatino Linotype" w:cs="Palatino Linotype"/>
          <w:i/>
          <w:sz w:val="22"/>
          <w:szCs w:val="22"/>
        </w:rPr>
        <w:t xml:space="preserve"> Plan de acción contra robo o vandalismo; </w:t>
      </w:r>
    </w:p>
    <w:p w14:paraId="5007FD45"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d)</w:t>
      </w:r>
      <w:r w:rsidRPr="001F764A">
        <w:rPr>
          <w:rFonts w:ascii="Palatino Linotype" w:eastAsia="Palatino Linotype" w:hAnsi="Palatino Linotype" w:cs="Palatino Linotype"/>
          <w:i/>
          <w:sz w:val="22"/>
          <w:szCs w:val="22"/>
        </w:rPr>
        <w:t xml:space="preserve"> Extintores de fuego de gas inocuo; </w:t>
      </w:r>
    </w:p>
    <w:p w14:paraId="5D8C2704"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e)</w:t>
      </w:r>
      <w:r w:rsidRPr="001F764A">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64C1B452"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f)</w:t>
      </w:r>
      <w:r w:rsidRPr="001F764A">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762F8EE5"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lastRenderedPageBreak/>
        <w:t>g)</w:t>
      </w:r>
      <w:r w:rsidRPr="001F764A">
        <w:rPr>
          <w:rFonts w:ascii="Palatino Linotype" w:eastAsia="Palatino Linotype" w:hAnsi="Palatino Linotype" w:cs="Palatino Linotype"/>
          <w:i/>
          <w:sz w:val="22"/>
          <w:szCs w:val="22"/>
        </w:rPr>
        <w:t xml:space="preserve"> Las demás que, a criterio de los sujetos obligados, resulten necesarias. </w:t>
      </w:r>
    </w:p>
    <w:p w14:paraId="1989D09E"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VII.</w:t>
      </w:r>
      <w:r w:rsidRPr="001F764A">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571506C1" w14:textId="77777777" w:rsidR="00F51EFF" w:rsidRPr="001F764A" w:rsidRDefault="00CF7D80">
      <w:pPr>
        <w:spacing w:before="120" w:after="120"/>
        <w:ind w:left="851" w:right="902"/>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VIII.</w:t>
      </w:r>
      <w:r w:rsidRPr="001F764A">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1F764A">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5CB0ED48"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 xml:space="preserve">Septuagésimo primero. </w:t>
      </w:r>
      <w:r w:rsidRPr="001F764A">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A8BD4D3"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31706B2F"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Septuagésimo segundo.</w:t>
      </w:r>
      <w:r w:rsidRPr="001F764A">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40CCBD52"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987C510"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Septuagésimo tercero</w:t>
      </w:r>
      <w:r w:rsidRPr="001F764A">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89FBB39" w14:textId="77777777" w:rsidR="00F51EFF" w:rsidRPr="001F764A" w:rsidRDefault="00CF7D80">
      <w:pPr>
        <w:spacing w:before="120" w:after="120"/>
        <w:ind w:left="851" w:right="902"/>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La información deberá ser entregada sin costo, cuando implique la entrega de no más de veinte hojas simples.”(Sic)</w:t>
      </w:r>
    </w:p>
    <w:p w14:paraId="62DE4D53" w14:textId="77777777" w:rsidR="00F51EFF" w:rsidRPr="001F764A" w:rsidRDefault="00F51EFF">
      <w:pPr>
        <w:spacing w:line="360" w:lineRule="auto"/>
        <w:jc w:val="both"/>
        <w:rPr>
          <w:rFonts w:ascii="Palatino Linotype" w:eastAsia="Palatino Linotype" w:hAnsi="Palatino Linotype" w:cs="Palatino Linotype"/>
        </w:rPr>
      </w:pPr>
    </w:p>
    <w:p w14:paraId="05495E45"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Por consiguiente,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a través del SAIMEX, deberá indicar el mecanismo y/o procedimiento que tendrá que seguir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para </w:t>
      </w:r>
      <w:r w:rsidRPr="001F764A">
        <w:rPr>
          <w:rFonts w:ascii="Palatino Linotype" w:eastAsia="Palatino Linotype" w:hAnsi="Palatino Linotype" w:cs="Palatino Linotype"/>
        </w:rPr>
        <w:lastRenderedPageBreak/>
        <w:t xml:space="preserve">acceder a la documentación, y la manera de obtener la información como domicilio de la Unidad de Transparencia, días y horarios de atención, así como el nombre del servidor público que le atenderá. </w:t>
      </w:r>
    </w:p>
    <w:p w14:paraId="6AB22CDE" w14:textId="77777777" w:rsidR="00F51EFF" w:rsidRPr="001F764A" w:rsidRDefault="00F51EFF">
      <w:pPr>
        <w:spacing w:line="360" w:lineRule="auto"/>
        <w:jc w:val="both"/>
        <w:rPr>
          <w:rFonts w:ascii="Palatino Linotype" w:eastAsia="Palatino Linotype" w:hAnsi="Palatino Linotype" w:cs="Palatino Linotype"/>
        </w:rPr>
      </w:pPr>
    </w:p>
    <w:p w14:paraId="50703C81"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Para el caso de pago de derechos, en caso de que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no presente la USB, deberá indicar a través del SAIMEX los pasos para realizar el pago de derechos.</w:t>
      </w:r>
    </w:p>
    <w:p w14:paraId="7CCE045D" w14:textId="77777777" w:rsidR="00F51EFF" w:rsidRPr="001F764A" w:rsidRDefault="00F51EFF">
      <w:pPr>
        <w:spacing w:line="360" w:lineRule="auto"/>
        <w:jc w:val="both"/>
        <w:rPr>
          <w:rFonts w:ascii="Palatino Linotype" w:eastAsia="Palatino Linotype" w:hAnsi="Palatino Linotype" w:cs="Palatino Linotype"/>
        </w:rPr>
      </w:pPr>
    </w:p>
    <w:p w14:paraId="068A6C62"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Caso contrario, se podrá acceder de manera gratuita a la información si proporciona el medio electrónico y recoge la información en la Unidad de Transparencia, indicándole a través de SAIMEX el procedimiento que tendrá que seguir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para acceder a la información como domicilio de la Unidad de Transparencia, días y horario de atención, así como el nombre del servidor pública que le atenderá. </w:t>
      </w:r>
    </w:p>
    <w:p w14:paraId="076CA42D"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b/>
        </w:rPr>
        <w:t xml:space="preserve">Quinto. Versión Pública. </w:t>
      </w:r>
      <w:r w:rsidRPr="001F764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sin menoscabar el derecho a la protección de los datos personales de terceros.</w:t>
      </w:r>
    </w:p>
    <w:p w14:paraId="6DE30B24" w14:textId="77777777" w:rsidR="00F51EFF" w:rsidRPr="001F764A" w:rsidRDefault="00CF7D80">
      <w:pPr>
        <w:spacing w:after="240" w:line="360" w:lineRule="auto"/>
        <w:ind w:right="50"/>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sidRPr="001F764A">
        <w:rPr>
          <w:rFonts w:ascii="Palatino Linotype" w:eastAsia="Palatino Linotype" w:hAnsi="Palatino Linotype" w:cs="Palatino Linotype"/>
        </w:rPr>
        <w:lastRenderedPageBreak/>
        <w:t>Información Pública del Estado de México y Municipios vigente, que se leen como sigue:</w:t>
      </w:r>
    </w:p>
    <w:p w14:paraId="3A2F5825" w14:textId="77777777" w:rsidR="00F51EFF" w:rsidRPr="001F764A" w:rsidRDefault="00CF7D80">
      <w:pPr>
        <w:ind w:left="993" w:right="1041"/>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 xml:space="preserve"> “Artículo 3. Para los efectos de la presente Ley se entenderá por:</w:t>
      </w:r>
    </w:p>
    <w:p w14:paraId="455544DB"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IX. Datos personales:</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La información concerniente a una persona, identificada o identificable</w:t>
      </w:r>
      <w:r w:rsidRPr="001F764A">
        <w:rPr>
          <w:rFonts w:ascii="Palatino Linotype" w:eastAsia="Palatino Linotype" w:hAnsi="Palatino Linotype" w:cs="Palatino Linotype"/>
          <w:i/>
          <w:sz w:val="22"/>
          <w:szCs w:val="22"/>
        </w:rPr>
        <w:t xml:space="preserve"> según lo dispuesto por la Ley de Protección de Datos Personales del Estado de México;</w:t>
      </w:r>
    </w:p>
    <w:p w14:paraId="733F4EFC"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XX. Información clasificada:</w:t>
      </w:r>
      <w:r w:rsidRPr="001F764A">
        <w:rPr>
          <w:rFonts w:ascii="Palatino Linotype" w:eastAsia="Palatino Linotype" w:hAnsi="Palatino Linotype" w:cs="Palatino Linotype"/>
          <w:i/>
          <w:sz w:val="22"/>
          <w:szCs w:val="22"/>
        </w:rPr>
        <w:t xml:space="preserve"> Aquella considerada por la presente Ley como reservada o confidencial;</w:t>
      </w:r>
    </w:p>
    <w:p w14:paraId="5EC61A0C"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XXXII. Protección de Datos Personales:</w:t>
      </w:r>
      <w:r w:rsidRPr="001F764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0E22BFA"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XLV. Versión pública</w:t>
      </w:r>
      <w:r w:rsidRPr="001F764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FBE0C0F" w14:textId="77777777" w:rsidR="00F51EFF" w:rsidRPr="001F764A" w:rsidRDefault="00F51EFF">
      <w:pPr>
        <w:ind w:left="993" w:right="1041"/>
        <w:jc w:val="both"/>
        <w:rPr>
          <w:rFonts w:ascii="Palatino Linotype" w:eastAsia="Palatino Linotype" w:hAnsi="Palatino Linotype" w:cs="Palatino Linotype"/>
          <w:i/>
          <w:sz w:val="22"/>
          <w:szCs w:val="22"/>
        </w:rPr>
      </w:pPr>
    </w:p>
    <w:p w14:paraId="28E16734"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“Artículo 6.</w:t>
      </w:r>
      <w:r w:rsidRPr="001F764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A4101DE" w14:textId="77777777" w:rsidR="00F51EFF" w:rsidRPr="001F764A" w:rsidRDefault="00F51EFF">
      <w:pPr>
        <w:ind w:left="993" w:right="1041"/>
        <w:jc w:val="both"/>
        <w:rPr>
          <w:rFonts w:ascii="Palatino Linotype" w:eastAsia="Palatino Linotype" w:hAnsi="Palatino Linotype" w:cs="Palatino Linotype"/>
          <w:i/>
          <w:sz w:val="22"/>
          <w:szCs w:val="22"/>
        </w:rPr>
      </w:pPr>
    </w:p>
    <w:p w14:paraId="5AF18288" w14:textId="77777777" w:rsidR="00F51EFF" w:rsidRPr="001F764A" w:rsidRDefault="00CF7D80">
      <w:pPr>
        <w:ind w:left="993" w:right="1041"/>
        <w:jc w:val="both"/>
        <w:rPr>
          <w:rFonts w:ascii="Palatino Linotype" w:eastAsia="Palatino Linotype" w:hAnsi="Palatino Linotype" w:cs="Palatino Linotype"/>
          <w:b/>
          <w:i/>
          <w:sz w:val="22"/>
          <w:szCs w:val="22"/>
        </w:rPr>
      </w:pPr>
      <w:r w:rsidRPr="001F764A">
        <w:rPr>
          <w:rFonts w:ascii="Palatino Linotype" w:eastAsia="Palatino Linotype" w:hAnsi="Palatino Linotype" w:cs="Palatino Linotype"/>
          <w:b/>
          <w:i/>
          <w:sz w:val="22"/>
          <w:szCs w:val="22"/>
        </w:rPr>
        <w:t>“Artículo 137.</w:t>
      </w:r>
      <w:r w:rsidRPr="001F764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296FEC" w14:textId="77777777" w:rsidR="00F51EFF" w:rsidRPr="001F764A" w:rsidRDefault="00F51EFF">
      <w:pPr>
        <w:ind w:left="993" w:right="1041"/>
        <w:jc w:val="both"/>
        <w:rPr>
          <w:rFonts w:ascii="Palatino Linotype" w:eastAsia="Palatino Linotype" w:hAnsi="Palatino Linotype" w:cs="Palatino Linotype"/>
          <w:b/>
          <w:i/>
          <w:sz w:val="22"/>
          <w:szCs w:val="22"/>
        </w:rPr>
      </w:pPr>
    </w:p>
    <w:p w14:paraId="16B7ACBE"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“Artículo 143</w:t>
      </w:r>
      <w:r w:rsidRPr="001F764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F6AC02E"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I.</w:t>
      </w:r>
      <w:r w:rsidRPr="001F764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D5B5F4E"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1F764A">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15640ED4" w14:textId="77777777" w:rsidR="00F51EFF" w:rsidRPr="001F764A" w:rsidRDefault="00CF7D80">
      <w:pPr>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A99862D" w14:textId="77777777" w:rsidR="00F51EFF" w:rsidRPr="001F764A" w:rsidRDefault="00F51EFF">
      <w:pPr>
        <w:ind w:left="993" w:right="1041"/>
        <w:jc w:val="both"/>
        <w:rPr>
          <w:rFonts w:ascii="Palatino Linotype" w:eastAsia="Palatino Linotype" w:hAnsi="Palatino Linotype" w:cs="Palatino Linotype"/>
          <w:i/>
          <w:sz w:val="22"/>
          <w:szCs w:val="22"/>
        </w:rPr>
      </w:pPr>
    </w:p>
    <w:p w14:paraId="2EBD37CD"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C1289F1" w14:textId="77777777" w:rsidR="00F51EFF" w:rsidRPr="001F764A" w:rsidRDefault="00F51EFF">
      <w:pPr>
        <w:spacing w:line="360" w:lineRule="auto"/>
        <w:ind w:right="51"/>
        <w:jc w:val="both"/>
        <w:rPr>
          <w:rFonts w:ascii="Palatino Linotype" w:eastAsia="Palatino Linotype" w:hAnsi="Palatino Linotype" w:cs="Palatino Linotype"/>
        </w:rPr>
      </w:pPr>
    </w:p>
    <w:p w14:paraId="5E42AD8D" w14:textId="77777777" w:rsidR="00F51EFF" w:rsidRPr="001F764A" w:rsidRDefault="00CF7D80">
      <w:pPr>
        <w:spacing w:line="360" w:lineRule="auto"/>
        <w:ind w:right="50"/>
        <w:jc w:val="both"/>
        <w:rPr>
          <w:rFonts w:ascii="Palatino Linotype" w:eastAsia="Palatino Linotype" w:hAnsi="Palatino Linotype" w:cs="Palatino Linotype"/>
        </w:rPr>
      </w:pPr>
      <w:r w:rsidRPr="001F764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08F39B" w14:textId="77777777" w:rsidR="00F51EFF" w:rsidRPr="001F764A" w:rsidRDefault="00F51EFF">
      <w:pPr>
        <w:spacing w:line="360" w:lineRule="auto"/>
        <w:ind w:right="51"/>
        <w:jc w:val="both"/>
        <w:rPr>
          <w:rFonts w:ascii="Palatino Linotype" w:eastAsia="Palatino Linotype" w:hAnsi="Palatino Linotype" w:cs="Palatino Linotype"/>
        </w:rPr>
      </w:pPr>
    </w:p>
    <w:p w14:paraId="5576650A"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w:t>
      </w:r>
      <w:r w:rsidRPr="001F764A">
        <w:rPr>
          <w:rFonts w:ascii="Palatino Linotype" w:eastAsia="Palatino Linotype" w:hAnsi="Palatino Linotype" w:cs="Palatino Linotype"/>
        </w:rPr>
        <w:lastRenderedPageBreak/>
        <w:t xml:space="preserve">tome el Servidor Público Habilitado o el Responsable de la Unidad de Transparencia del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A0F0168" w14:textId="77777777" w:rsidR="00F51EFF" w:rsidRPr="001F764A" w:rsidRDefault="00F51EFF">
      <w:pPr>
        <w:spacing w:line="360" w:lineRule="auto"/>
        <w:ind w:right="51"/>
        <w:jc w:val="both"/>
        <w:rPr>
          <w:rFonts w:ascii="Palatino Linotype" w:eastAsia="Palatino Linotype" w:hAnsi="Palatino Linotype" w:cs="Palatino Linotype"/>
        </w:rPr>
      </w:pPr>
    </w:p>
    <w:p w14:paraId="6CB5C546"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“Artículo 49.</w:t>
      </w:r>
      <w:r w:rsidRPr="001F764A">
        <w:rPr>
          <w:rFonts w:ascii="Palatino Linotype" w:eastAsia="Palatino Linotype" w:hAnsi="Palatino Linotype" w:cs="Palatino Linotype"/>
          <w:i/>
          <w:sz w:val="22"/>
          <w:szCs w:val="22"/>
        </w:rPr>
        <w:t xml:space="preserve"> </w:t>
      </w:r>
      <w:r w:rsidRPr="001F764A">
        <w:rPr>
          <w:rFonts w:ascii="Palatino Linotype" w:eastAsia="Palatino Linotype" w:hAnsi="Palatino Linotype" w:cs="Palatino Linotype"/>
          <w:b/>
          <w:i/>
          <w:sz w:val="22"/>
          <w:szCs w:val="22"/>
        </w:rPr>
        <w:t>Los Comités de Transparencia</w:t>
      </w:r>
      <w:r w:rsidRPr="001F764A">
        <w:rPr>
          <w:rFonts w:ascii="Palatino Linotype" w:eastAsia="Palatino Linotype" w:hAnsi="Palatino Linotype" w:cs="Palatino Linotype"/>
          <w:i/>
          <w:sz w:val="22"/>
          <w:szCs w:val="22"/>
        </w:rPr>
        <w:t xml:space="preserve"> tendrán las siguientes atribuciones:</w:t>
      </w:r>
    </w:p>
    <w:p w14:paraId="145E0E1C"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VIII. Aprobar, modificar o revocar la clasificación de la información</w:t>
      </w:r>
      <w:r w:rsidRPr="001F764A">
        <w:rPr>
          <w:rFonts w:ascii="Palatino Linotype" w:eastAsia="Palatino Linotype" w:hAnsi="Palatino Linotype" w:cs="Palatino Linotype"/>
          <w:i/>
          <w:sz w:val="22"/>
          <w:szCs w:val="22"/>
        </w:rPr>
        <w:t>…”</w:t>
      </w:r>
    </w:p>
    <w:p w14:paraId="77500F6D"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53.</w:t>
      </w:r>
      <w:r w:rsidRPr="001F764A">
        <w:rPr>
          <w:rFonts w:ascii="Palatino Linotype" w:eastAsia="Palatino Linotype" w:hAnsi="Palatino Linotype" w:cs="Palatino Linotype"/>
          <w:i/>
          <w:sz w:val="22"/>
          <w:szCs w:val="22"/>
        </w:rPr>
        <w:t xml:space="preserve"> Las </w:t>
      </w:r>
      <w:r w:rsidRPr="001F764A">
        <w:rPr>
          <w:rFonts w:ascii="Palatino Linotype" w:eastAsia="Palatino Linotype" w:hAnsi="Palatino Linotype" w:cs="Palatino Linotype"/>
          <w:b/>
          <w:i/>
          <w:sz w:val="22"/>
          <w:szCs w:val="22"/>
        </w:rPr>
        <w:t>Unidades de Transparencia</w:t>
      </w:r>
      <w:r w:rsidRPr="001F764A">
        <w:rPr>
          <w:rFonts w:ascii="Palatino Linotype" w:eastAsia="Palatino Linotype" w:hAnsi="Palatino Linotype" w:cs="Palatino Linotype"/>
          <w:i/>
          <w:sz w:val="22"/>
          <w:szCs w:val="22"/>
        </w:rPr>
        <w:t xml:space="preserve"> tendrán las siguientes </w:t>
      </w:r>
      <w:r w:rsidRPr="001F764A">
        <w:rPr>
          <w:rFonts w:ascii="Palatino Linotype" w:eastAsia="Palatino Linotype" w:hAnsi="Palatino Linotype" w:cs="Palatino Linotype"/>
          <w:b/>
          <w:i/>
          <w:sz w:val="22"/>
          <w:szCs w:val="22"/>
        </w:rPr>
        <w:t>funciones</w:t>
      </w:r>
      <w:r w:rsidRPr="001F764A">
        <w:rPr>
          <w:rFonts w:ascii="Palatino Linotype" w:eastAsia="Palatino Linotype" w:hAnsi="Palatino Linotype" w:cs="Palatino Linotype"/>
          <w:i/>
          <w:sz w:val="22"/>
          <w:szCs w:val="22"/>
        </w:rPr>
        <w:t>:</w:t>
      </w:r>
    </w:p>
    <w:p w14:paraId="556CBED5"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X. Presentar ante el Comité, el proyecto de clasificación de información</w:t>
      </w:r>
      <w:r w:rsidRPr="001F764A">
        <w:rPr>
          <w:rFonts w:ascii="Palatino Linotype" w:eastAsia="Palatino Linotype" w:hAnsi="Palatino Linotype" w:cs="Palatino Linotype"/>
          <w:i/>
          <w:sz w:val="22"/>
          <w:szCs w:val="22"/>
        </w:rPr>
        <w:t xml:space="preserve">…” </w:t>
      </w:r>
    </w:p>
    <w:p w14:paraId="47E1E37F"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“Artículo 59.</w:t>
      </w:r>
      <w:r w:rsidRPr="001F764A">
        <w:rPr>
          <w:rFonts w:ascii="Palatino Linotype" w:eastAsia="Palatino Linotype" w:hAnsi="Palatino Linotype" w:cs="Palatino Linotype"/>
          <w:i/>
          <w:sz w:val="22"/>
          <w:szCs w:val="22"/>
        </w:rPr>
        <w:t xml:space="preserve"> Los </w:t>
      </w:r>
      <w:r w:rsidRPr="001F764A">
        <w:rPr>
          <w:rFonts w:ascii="Palatino Linotype" w:eastAsia="Palatino Linotype" w:hAnsi="Palatino Linotype" w:cs="Palatino Linotype"/>
          <w:b/>
          <w:i/>
          <w:sz w:val="22"/>
          <w:szCs w:val="22"/>
        </w:rPr>
        <w:t>servidores públicos habilitados</w:t>
      </w:r>
      <w:r w:rsidRPr="001F764A">
        <w:rPr>
          <w:rFonts w:ascii="Palatino Linotype" w:eastAsia="Palatino Linotype" w:hAnsi="Palatino Linotype" w:cs="Palatino Linotype"/>
          <w:i/>
          <w:sz w:val="22"/>
          <w:szCs w:val="22"/>
        </w:rPr>
        <w:t xml:space="preserve"> tendrán las </w:t>
      </w:r>
      <w:r w:rsidRPr="001F764A">
        <w:rPr>
          <w:rFonts w:ascii="Palatino Linotype" w:eastAsia="Palatino Linotype" w:hAnsi="Palatino Linotype" w:cs="Palatino Linotype"/>
          <w:b/>
          <w:i/>
          <w:sz w:val="22"/>
          <w:szCs w:val="22"/>
        </w:rPr>
        <w:t>funciones</w:t>
      </w:r>
      <w:r w:rsidRPr="001F764A">
        <w:rPr>
          <w:rFonts w:ascii="Palatino Linotype" w:eastAsia="Palatino Linotype" w:hAnsi="Palatino Linotype" w:cs="Palatino Linotype"/>
          <w:i/>
          <w:sz w:val="22"/>
          <w:szCs w:val="22"/>
        </w:rPr>
        <w:t xml:space="preserve"> siguientes:</w:t>
      </w:r>
    </w:p>
    <w:p w14:paraId="3FE14B1D" w14:textId="77777777" w:rsidR="00F51EFF" w:rsidRPr="001F764A" w:rsidRDefault="00CF7D80">
      <w:pPr>
        <w:ind w:left="992" w:right="1043"/>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F764A">
        <w:rPr>
          <w:rFonts w:ascii="Palatino Linotype" w:eastAsia="Palatino Linotype" w:hAnsi="Palatino Linotype" w:cs="Palatino Linotype"/>
          <w:i/>
          <w:sz w:val="22"/>
          <w:szCs w:val="22"/>
        </w:rPr>
        <w:t>, la cual tendrá los fundamentos y argumentos en que se basa dicha propuesta…” (Sic)</w:t>
      </w:r>
    </w:p>
    <w:p w14:paraId="410B786B" w14:textId="77777777" w:rsidR="00F51EFF" w:rsidRPr="001F764A" w:rsidRDefault="00F51EFF">
      <w:pPr>
        <w:ind w:left="992" w:right="1043"/>
        <w:jc w:val="both"/>
        <w:rPr>
          <w:rFonts w:ascii="Palatino Linotype" w:eastAsia="Palatino Linotype" w:hAnsi="Palatino Linotype" w:cs="Palatino Linotype"/>
          <w:i/>
          <w:sz w:val="22"/>
          <w:szCs w:val="22"/>
        </w:rPr>
      </w:pPr>
    </w:p>
    <w:p w14:paraId="70177563"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EFF52F8" w14:textId="77777777" w:rsidR="00F51EFF" w:rsidRPr="001F764A" w:rsidRDefault="00F51EFF">
      <w:pPr>
        <w:spacing w:line="360" w:lineRule="auto"/>
        <w:jc w:val="both"/>
        <w:rPr>
          <w:rFonts w:ascii="Palatino Linotype" w:eastAsia="Palatino Linotype" w:hAnsi="Palatino Linotype" w:cs="Palatino Linotype"/>
        </w:rPr>
      </w:pPr>
    </w:p>
    <w:p w14:paraId="341EE59C"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205B72A2" w14:textId="77777777" w:rsidR="00F51EFF" w:rsidRPr="001F764A" w:rsidRDefault="00CF7D80">
      <w:pPr>
        <w:spacing w:after="240"/>
        <w:ind w:left="993" w:right="104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Artículo 149.</w:t>
      </w:r>
      <w:r w:rsidRPr="001F764A">
        <w:rPr>
          <w:rFonts w:ascii="Palatino Linotype" w:eastAsia="Palatino Linotype" w:hAnsi="Palatino Linotype" w:cs="Palatino Linotype"/>
          <w:i/>
          <w:sz w:val="22"/>
          <w:szCs w:val="22"/>
        </w:rPr>
        <w:t xml:space="preserve"> El </w:t>
      </w:r>
      <w:r w:rsidRPr="001F764A">
        <w:rPr>
          <w:rFonts w:ascii="Palatino Linotype" w:eastAsia="Palatino Linotype" w:hAnsi="Palatino Linotype" w:cs="Palatino Linotype"/>
          <w:b/>
          <w:i/>
          <w:sz w:val="22"/>
          <w:szCs w:val="22"/>
        </w:rPr>
        <w:t>acuerdo que clasifique la información como confidencial</w:t>
      </w:r>
      <w:r w:rsidRPr="001F764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6F4965F9" w14:textId="77777777" w:rsidR="00F51EFF" w:rsidRPr="001F764A" w:rsidRDefault="00F51EFF">
      <w:pPr>
        <w:spacing w:before="240" w:line="360" w:lineRule="auto"/>
        <w:ind w:right="51"/>
        <w:jc w:val="both"/>
        <w:rPr>
          <w:rFonts w:ascii="Palatino Linotype" w:eastAsia="Palatino Linotype" w:hAnsi="Palatino Linotype" w:cs="Palatino Linotype"/>
          <w:i/>
          <w:sz w:val="22"/>
          <w:szCs w:val="22"/>
        </w:rPr>
      </w:pPr>
    </w:p>
    <w:p w14:paraId="6DD9F957"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Es decir,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E3F706C" w14:textId="77777777" w:rsidR="00F51EFF" w:rsidRPr="001F764A" w:rsidRDefault="00F51EFF">
      <w:pPr>
        <w:spacing w:line="360" w:lineRule="auto"/>
        <w:ind w:right="51"/>
        <w:jc w:val="both"/>
        <w:rPr>
          <w:rFonts w:ascii="Palatino Linotype" w:eastAsia="Palatino Linotype" w:hAnsi="Palatino Linotype" w:cs="Palatino Linotype"/>
        </w:rPr>
      </w:pPr>
    </w:p>
    <w:p w14:paraId="42C8B5C7" w14:textId="77777777" w:rsidR="00F51EFF" w:rsidRPr="001F764A" w:rsidRDefault="00CF7D80">
      <w:pPr>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Es así,</w:t>
      </w:r>
      <w:r w:rsidRPr="001F764A">
        <w:rPr>
          <w:rFonts w:ascii="Palatino Linotype" w:eastAsia="Palatino Linotype" w:hAnsi="Palatino Linotype" w:cs="Palatino Linotype"/>
          <w:sz w:val="22"/>
          <w:szCs w:val="22"/>
        </w:rPr>
        <w:t xml:space="preserve"> </w:t>
      </w:r>
      <w:r w:rsidRPr="001F764A">
        <w:rPr>
          <w:rFonts w:ascii="Palatino Linotype" w:eastAsia="Palatino Linotype" w:hAnsi="Palatino Linotype" w:cs="Palatino Linotype"/>
        </w:rPr>
        <w:t xml:space="preserve">para el caso, que de los documentos que se ordenan, contengan claves catastrales, es información confidencial; en razón de que la clave catastral remite a información que contiene datos personales, por lo que no puede otorgarse a terceros, dada la confidencialidad que distingue a sus elementos. En ese sentido, sobre la clave catastral debe decirse que artículo 179, fracción I del </w:t>
      </w:r>
      <w:r w:rsidRPr="001F764A">
        <w:rPr>
          <w:rFonts w:ascii="Palatino Linotype" w:eastAsia="Palatino Linotype" w:hAnsi="Palatino Linotype" w:cs="Palatino Linotype"/>
          <w:i/>
        </w:rPr>
        <w:t>Código Financiero del Estado de México y Municipios,</w:t>
      </w:r>
      <w:r w:rsidRPr="001F764A">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w:t>
      </w:r>
      <w:r w:rsidRPr="001F764A">
        <w:rPr>
          <w:rFonts w:ascii="Palatino Linotype" w:eastAsia="Palatino Linotype" w:hAnsi="Palatino Linotype" w:cs="Palatino Linotype"/>
        </w:rPr>
        <w:lastRenderedPageBreak/>
        <w:t>que, integrado de dieciséis caracteres, los primeros tres identifican el código del municipio, los dos siguientes a la zona catastral, los subsecuentes tres a la manzana y los últimos dos, identifican el número de lote o predio.</w:t>
      </w:r>
    </w:p>
    <w:p w14:paraId="28F26544" w14:textId="77777777" w:rsidR="00F51EFF" w:rsidRPr="001F764A" w:rsidRDefault="00CF7D80">
      <w:pPr>
        <w:spacing w:before="240" w:after="240" w:line="360" w:lineRule="auto"/>
        <w:ind w:right="-93"/>
        <w:jc w:val="both"/>
        <w:rPr>
          <w:rFonts w:ascii="Palatino Linotype" w:eastAsia="Palatino Linotype" w:hAnsi="Palatino Linotype" w:cs="Palatino Linotype"/>
        </w:rPr>
      </w:pPr>
      <w:r w:rsidRPr="001F764A">
        <w:rPr>
          <w:rFonts w:ascii="Palatino Linotype" w:eastAsia="Palatino Linotype" w:hAnsi="Palatino Linotype" w:cs="Palatino Linotype"/>
        </w:rPr>
        <w:t>Conforme a lo descrito, se advierte que el dato en comento, hace referencia a un predio determinado.</w:t>
      </w:r>
    </w:p>
    <w:p w14:paraId="7623B09A"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523AE80C" w14:textId="77777777" w:rsidR="00F51EFF" w:rsidRPr="001F764A" w:rsidRDefault="00CF7D80">
      <w:pPr>
        <w:spacing w:before="120" w:after="120"/>
        <w:ind w:left="709" w:right="85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w:t>
      </w:r>
      <w:r w:rsidRPr="001F764A">
        <w:rPr>
          <w:rFonts w:ascii="Palatino Linotype" w:eastAsia="Palatino Linotype" w:hAnsi="Palatino Linotype" w:cs="Palatino Linotype"/>
          <w:b/>
          <w:i/>
          <w:sz w:val="22"/>
          <w:szCs w:val="22"/>
        </w:rPr>
        <w:t>Clave Catastral</w:t>
      </w:r>
      <w:r w:rsidRPr="001F764A">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38E507F9" w14:textId="77777777" w:rsidR="00F51EFF" w:rsidRPr="001F764A" w:rsidRDefault="00CF7D80">
      <w:pPr>
        <w:spacing w:before="240"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456FBFB6"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Al respecto, se destaca que la versión pública que elabore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1F764A">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1F764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1F764A">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B1A844D" w14:textId="77777777" w:rsidR="00F51EFF" w:rsidRPr="001F764A" w:rsidRDefault="00F51EFF">
      <w:pPr>
        <w:ind w:left="709" w:right="709"/>
        <w:jc w:val="both"/>
        <w:rPr>
          <w:rFonts w:ascii="Palatino Linotype" w:eastAsia="Palatino Linotype" w:hAnsi="Palatino Linotype" w:cs="Palatino Linotype"/>
          <w:b/>
          <w:i/>
          <w:sz w:val="22"/>
          <w:szCs w:val="22"/>
        </w:rPr>
      </w:pPr>
    </w:p>
    <w:p w14:paraId="73528058"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3F12B245"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w:t>
      </w:r>
      <w:r w:rsidRPr="001F764A">
        <w:rPr>
          <w:rFonts w:ascii="Palatino Linotype" w:eastAsia="Palatino Linotype" w:hAnsi="Palatino Linotype" w:cs="Palatino Linotype"/>
          <w:b/>
          <w:i/>
          <w:color w:val="000000"/>
          <w:sz w:val="22"/>
          <w:szCs w:val="22"/>
        </w:rPr>
        <w:t>Segundo.-</w:t>
      </w:r>
      <w:r w:rsidRPr="001F764A">
        <w:rPr>
          <w:rFonts w:ascii="Palatino Linotype" w:eastAsia="Palatino Linotype" w:hAnsi="Palatino Linotype" w:cs="Palatino Linotype"/>
          <w:i/>
          <w:color w:val="000000"/>
          <w:sz w:val="22"/>
          <w:szCs w:val="22"/>
        </w:rPr>
        <w:t xml:space="preserve"> Para efectos de los presentes Lineamientos Generales, se entenderá por:</w:t>
      </w:r>
    </w:p>
    <w:p w14:paraId="4B4DD61C"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XVIII.</w:t>
      </w:r>
      <w:r w:rsidRPr="001F764A">
        <w:rPr>
          <w:rFonts w:ascii="Palatino Linotype" w:eastAsia="Palatino Linotype" w:hAnsi="Palatino Linotype" w:cs="Palatino Linotype"/>
          <w:i/>
          <w:color w:val="000000"/>
          <w:sz w:val="22"/>
          <w:szCs w:val="22"/>
        </w:rPr>
        <w:t xml:space="preserve"> </w:t>
      </w:r>
      <w:r w:rsidRPr="001F764A">
        <w:rPr>
          <w:rFonts w:ascii="Palatino Linotype" w:eastAsia="Palatino Linotype" w:hAnsi="Palatino Linotype" w:cs="Palatino Linotype"/>
          <w:b/>
          <w:i/>
          <w:color w:val="000000"/>
          <w:sz w:val="22"/>
          <w:szCs w:val="22"/>
        </w:rPr>
        <w:t>Versión pública:</w:t>
      </w:r>
      <w:r w:rsidRPr="001F764A">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1F764A">
        <w:rPr>
          <w:rFonts w:ascii="Palatino Linotype" w:eastAsia="Palatino Linotype" w:hAnsi="Palatino Linotype" w:cs="Palatino Linotype"/>
          <w:b/>
          <w:i/>
          <w:color w:val="000000"/>
          <w:sz w:val="22"/>
          <w:szCs w:val="22"/>
          <w:u w:val="single"/>
        </w:rPr>
        <w:t>fundando y motivando la</w:t>
      </w:r>
      <w:r w:rsidRPr="001F764A">
        <w:rPr>
          <w:rFonts w:ascii="Palatino Linotype" w:eastAsia="Palatino Linotype" w:hAnsi="Palatino Linotype" w:cs="Palatino Linotype"/>
          <w:i/>
          <w:color w:val="000000"/>
          <w:sz w:val="22"/>
          <w:szCs w:val="22"/>
        </w:rPr>
        <w:t xml:space="preserve"> reserva o </w:t>
      </w:r>
      <w:r w:rsidRPr="001F764A">
        <w:rPr>
          <w:rFonts w:ascii="Palatino Linotype" w:eastAsia="Palatino Linotype" w:hAnsi="Palatino Linotype" w:cs="Palatino Linotype"/>
          <w:b/>
          <w:i/>
          <w:color w:val="000000"/>
          <w:sz w:val="22"/>
          <w:szCs w:val="22"/>
          <w:u w:val="single"/>
        </w:rPr>
        <w:t>confidencialidad</w:t>
      </w:r>
      <w:r w:rsidRPr="001F764A">
        <w:rPr>
          <w:rFonts w:ascii="Palatino Linotype" w:eastAsia="Palatino Linotype" w:hAnsi="Palatino Linotype" w:cs="Palatino Linotype"/>
          <w:i/>
          <w:color w:val="000000"/>
          <w:sz w:val="22"/>
          <w:szCs w:val="22"/>
        </w:rPr>
        <w:t>, a través de la resolución que para tal efecto emita el Comité de Transparencia.</w:t>
      </w:r>
    </w:p>
    <w:p w14:paraId="041BD03C"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Cuarto.</w:t>
      </w:r>
      <w:r w:rsidRPr="001F764A">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103C07"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1BDBB528"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Quinto.</w:t>
      </w:r>
      <w:r w:rsidRPr="001F764A">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C1867D"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w:t>
      </w:r>
    </w:p>
    <w:p w14:paraId="595143C6"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Séptimo.</w:t>
      </w:r>
      <w:r w:rsidRPr="001F764A">
        <w:rPr>
          <w:rFonts w:ascii="Palatino Linotype" w:eastAsia="Palatino Linotype" w:hAnsi="Palatino Linotype" w:cs="Palatino Linotype"/>
          <w:i/>
          <w:color w:val="000000"/>
          <w:sz w:val="22"/>
          <w:szCs w:val="22"/>
        </w:rPr>
        <w:t xml:space="preserve"> La clasificación de la información se llevará a cabo en el momento en que:</w:t>
      </w:r>
    </w:p>
    <w:p w14:paraId="1DA1DF05"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I.</w:t>
      </w:r>
      <w:r w:rsidRPr="001F764A">
        <w:rPr>
          <w:rFonts w:ascii="Palatino Linotype" w:eastAsia="Palatino Linotype" w:hAnsi="Palatino Linotype" w:cs="Palatino Linotype"/>
          <w:i/>
          <w:color w:val="000000"/>
          <w:sz w:val="22"/>
          <w:szCs w:val="22"/>
        </w:rPr>
        <w:t xml:space="preserve"> Se reciba una solicitud de acceso a la información;</w:t>
      </w:r>
    </w:p>
    <w:p w14:paraId="65F57F5B" w14:textId="77777777" w:rsidR="00F51EFF" w:rsidRPr="001F764A" w:rsidRDefault="00CF7D80">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lastRenderedPageBreak/>
        <w:t>II.</w:t>
      </w:r>
      <w:r w:rsidRPr="001F764A">
        <w:rPr>
          <w:rFonts w:ascii="Palatino Linotype" w:eastAsia="Palatino Linotype" w:hAnsi="Palatino Linotype" w:cs="Palatino Linotype"/>
          <w:i/>
          <w:color w:val="000000"/>
          <w:sz w:val="22"/>
          <w:szCs w:val="22"/>
        </w:rPr>
        <w:t xml:space="preserve"> Se  determine mediante resolución del Comité de Transparencia, el órgano garante </w:t>
      </w:r>
    </w:p>
    <w:p w14:paraId="1623BD46" w14:textId="77777777" w:rsidR="00F51EFF" w:rsidRPr="001F764A" w:rsidRDefault="00CF7D80">
      <w:pPr>
        <w:pBdr>
          <w:top w:val="nil"/>
          <w:left w:val="nil"/>
          <w:bottom w:val="nil"/>
          <w:right w:val="nil"/>
          <w:between w:val="nil"/>
        </w:pBdr>
        <w:ind w:left="709" w:right="709"/>
        <w:jc w:val="both"/>
        <w:rPr>
          <w:color w:val="000000"/>
        </w:rPr>
      </w:pPr>
      <w:proofErr w:type="gramStart"/>
      <w:r w:rsidRPr="001F764A">
        <w:rPr>
          <w:rFonts w:ascii="Palatino Linotype" w:eastAsia="Palatino Linotype" w:hAnsi="Palatino Linotype" w:cs="Palatino Linotype"/>
          <w:i/>
          <w:color w:val="000000"/>
          <w:sz w:val="22"/>
          <w:szCs w:val="22"/>
        </w:rPr>
        <w:t>competente</w:t>
      </w:r>
      <w:proofErr w:type="gramEnd"/>
      <w:r w:rsidRPr="001F764A">
        <w:rPr>
          <w:rFonts w:ascii="Palatino Linotype" w:eastAsia="Palatino Linotype" w:hAnsi="Palatino Linotype" w:cs="Palatino Linotype"/>
          <w:i/>
          <w:color w:val="000000"/>
          <w:sz w:val="22"/>
          <w:szCs w:val="22"/>
        </w:rPr>
        <w:t>, o en cumplimiento a una sentencia del Poder Judicial; o</w:t>
      </w:r>
    </w:p>
    <w:p w14:paraId="7420D987"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III.</w:t>
      </w:r>
      <w:r w:rsidRPr="001F764A">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2B460B9A"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937DAA7"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Octavo.</w:t>
      </w:r>
      <w:r w:rsidRPr="001F764A">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CC0BFD"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64F4C226" w14:textId="77777777" w:rsidR="00F51EFF" w:rsidRPr="001F764A" w:rsidRDefault="00CF7D80">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CC91275"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Noveno.</w:t>
      </w:r>
      <w:r w:rsidRPr="001F764A">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D5E67F"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b/>
          <w:i/>
          <w:color w:val="000000"/>
          <w:sz w:val="22"/>
          <w:szCs w:val="22"/>
        </w:rPr>
        <w:t>Décimo.</w:t>
      </w:r>
      <w:r w:rsidRPr="001F764A">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0F887BA"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097BD280" w14:textId="77777777" w:rsidR="00F51EFF" w:rsidRPr="001F764A" w:rsidRDefault="00CF7D80">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Décimo primero.</w:t>
      </w:r>
      <w:r w:rsidRPr="001F764A">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E472993" w14:textId="77777777" w:rsidR="00F51EFF" w:rsidRPr="001F764A" w:rsidRDefault="00F51EFF">
      <w:pPr>
        <w:pBdr>
          <w:top w:val="nil"/>
          <w:left w:val="nil"/>
          <w:bottom w:val="nil"/>
          <w:right w:val="nil"/>
          <w:between w:val="nil"/>
        </w:pBdr>
        <w:ind w:right="709"/>
        <w:jc w:val="both"/>
        <w:rPr>
          <w:color w:val="000000"/>
        </w:rPr>
      </w:pPr>
    </w:p>
    <w:p w14:paraId="3B12EBA2" w14:textId="77777777" w:rsidR="00F51EFF" w:rsidRPr="001F764A" w:rsidRDefault="00CF7D80">
      <w:pPr>
        <w:pBdr>
          <w:top w:val="nil"/>
          <w:left w:val="nil"/>
          <w:bottom w:val="nil"/>
          <w:right w:val="nil"/>
          <w:between w:val="nil"/>
        </w:pBdr>
        <w:ind w:left="709" w:right="709"/>
        <w:jc w:val="both"/>
        <w:rPr>
          <w:color w:val="000000"/>
        </w:rPr>
      </w:pPr>
      <w:r w:rsidRPr="001F764A">
        <w:rPr>
          <w:rFonts w:ascii="Palatino Linotype" w:eastAsia="Palatino Linotype" w:hAnsi="Palatino Linotype" w:cs="Palatino Linotype"/>
          <w:i/>
          <w:color w:val="000000"/>
          <w:sz w:val="22"/>
          <w:szCs w:val="22"/>
        </w:rPr>
        <w:t>[…]</w:t>
      </w:r>
    </w:p>
    <w:p w14:paraId="5FE669CF" w14:textId="77777777" w:rsidR="00F51EFF" w:rsidRPr="001F764A" w:rsidRDefault="00CF7D80">
      <w:pPr>
        <w:pBdr>
          <w:top w:val="nil"/>
          <w:left w:val="nil"/>
          <w:bottom w:val="nil"/>
          <w:right w:val="nil"/>
          <w:between w:val="nil"/>
        </w:pBdr>
        <w:ind w:left="709" w:right="709"/>
        <w:jc w:val="center"/>
        <w:rPr>
          <w:color w:val="000000"/>
        </w:rPr>
      </w:pPr>
      <w:r w:rsidRPr="001F764A">
        <w:rPr>
          <w:rFonts w:ascii="Palatino Linotype" w:eastAsia="Palatino Linotype" w:hAnsi="Palatino Linotype" w:cs="Palatino Linotype"/>
          <w:b/>
          <w:i/>
          <w:color w:val="000000"/>
          <w:sz w:val="22"/>
          <w:szCs w:val="22"/>
        </w:rPr>
        <w:t>CAPÍTULO VIII</w:t>
      </w:r>
    </w:p>
    <w:p w14:paraId="257620BD" w14:textId="77777777" w:rsidR="00F51EFF" w:rsidRPr="001F764A" w:rsidRDefault="00CF7D80">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1F764A">
        <w:rPr>
          <w:rFonts w:ascii="Palatino Linotype" w:eastAsia="Palatino Linotype" w:hAnsi="Palatino Linotype" w:cs="Palatino Linotype"/>
          <w:b/>
          <w:i/>
          <w:color w:val="000000"/>
          <w:sz w:val="22"/>
          <w:szCs w:val="22"/>
        </w:rPr>
        <w:lastRenderedPageBreak/>
        <w:t>DE LOS ELEMENTOS PARA LA CLASIFICACIÓN</w:t>
      </w:r>
    </w:p>
    <w:p w14:paraId="3FD2B3C6"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Quincuagésimo</w:t>
      </w:r>
      <w:r w:rsidRPr="001F764A">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14786DA"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Quincuagésimo primero</w:t>
      </w:r>
      <w:r w:rsidRPr="001F764A">
        <w:rPr>
          <w:rFonts w:ascii="Palatino Linotype" w:eastAsia="Palatino Linotype" w:hAnsi="Palatino Linotype" w:cs="Palatino Linotype"/>
          <w:i/>
          <w:color w:val="000000"/>
          <w:sz w:val="22"/>
          <w:szCs w:val="22"/>
        </w:rPr>
        <w:t>. Toda acta del Comité de Transparencia deberá contener:</w:t>
      </w:r>
    </w:p>
    <w:p w14:paraId="000D1D76"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I. El número de sesión y fecha; </w:t>
      </w:r>
    </w:p>
    <w:p w14:paraId="122FD731"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 El nombre del área que solicitó la clasificación de información;</w:t>
      </w:r>
    </w:p>
    <w:p w14:paraId="505F236E"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III. La fundamentación legal y motivación correspondiente;</w:t>
      </w:r>
    </w:p>
    <w:p w14:paraId="6CDF1608"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IV. La resolución o resoluciones aprobadas; y</w:t>
      </w:r>
    </w:p>
    <w:p w14:paraId="455D2E30"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V. La rúbrica o firma digital de cada integrante del Comité de Transparencia. </w:t>
      </w:r>
    </w:p>
    <w:p w14:paraId="22C1B5E4"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7C6BA61E"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8D0D93D"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 Descripción de las partes o secciones reservadas, en caso de clasificación parcial;</w:t>
      </w:r>
    </w:p>
    <w:p w14:paraId="0F2ADB3F"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III. El periodo por el que mantendrá su clasificación y fecha de expiración; y</w:t>
      </w:r>
    </w:p>
    <w:p w14:paraId="7A29AA71"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2B7CB7D9"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6AA5D0FA"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64EFC28"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b/>
          <w:i/>
          <w:color w:val="000000"/>
          <w:sz w:val="22"/>
          <w:szCs w:val="22"/>
        </w:rPr>
        <w:t>Quincuagésimo segundo</w:t>
      </w:r>
      <w:r w:rsidRPr="001F764A">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F764A">
        <w:rPr>
          <w:rFonts w:ascii="Palatino Linotype" w:eastAsia="Palatino Linotype" w:hAnsi="Palatino Linotype" w:cs="Palatino Linotype"/>
          <w:i/>
          <w:color w:val="000000"/>
          <w:sz w:val="22"/>
          <w:szCs w:val="22"/>
        </w:rPr>
        <w:t>sobreposición</w:t>
      </w:r>
      <w:proofErr w:type="spellEnd"/>
      <w:r w:rsidRPr="001F764A">
        <w:rPr>
          <w:rFonts w:ascii="Palatino Linotype" w:eastAsia="Palatino Linotype" w:hAnsi="Palatino Linotype" w:cs="Palatino Linotype"/>
          <w:i/>
          <w:color w:val="000000"/>
          <w:sz w:val="22"/>
          <w:szCs w:val="22"/>
        </w:rPr>
        <w:t xml:space="preserve"> de contenido distinto al autorizado por el Comité.</w:t>
      </w:r>
    </w:p>
    <w:p w14:paraId="4F2C759A"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lastRenderedPageBreak/>
        <w:t>En el caso específico de la clasificación y elaboración de versiones públicas de documentos que contengan información confidencial, las áreas de los sujetos obligados deberán:</w:t>
      </w:r>
    </w:p>
    <w:p w14:paraId="77A88483"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16F08131"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2398E1FC"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III. Señalar las personas o instancias autorizadas a acceder a la información clasificada.</w:t>
      </w:r>
    </w:p>
    <w:p w14:paraId="3B224854"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2D3D98CE" w14:textId="77777777" w:rsidR="00F51EFF" w:rsidRPr="001F764A" w:rsidRDefault="00CF7D80">
      <w:pPr>
        <w:pBdr>
          <w:top w:val="nil"/>
          <w:left w:val="nil"/>
          <w:bottom w:val="nil"/>
          <w:right w:val="nil"/>
          <w:between w:val="nil"/>
        </w:pBdr>
        <w:spacing w:after="160"/>
        <w:ind w:left="709" w:right="709"/>
        <w:jc w:val="both"/>
        <w:rPr>
          <w:color w:val="000000"/>
        </w:rPr>
      </w:pPr>
      <w:r w:rsidRPr="001F764A">
        <w:rPr>
          <w:rFonts w:ascii="Palatino Linotype" w:eastAsia="Palatino Linotype" w:hAnsi="Palatino Linotype" w:cs="Palatino Linotype"/>
          <w:b/>
          <w:i/>
          <w:color w:val="000000"/>
          <w:sz w:val="22"/>
          <w:szCs w:val="22"/>
        </w:rPr>
        <w:t xml:space="preserve">Quincuagésimo tercero. </w:t>
      </w:r>
      <w:r w:rsidRPr="001F764A">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roofErr w:type="gramStart"/>
      <w:r w:rsidRPr="001F764A">
        <w:rPr>
          <w:rFonts w:ascii="Palatino Linotype" w:eastAsia="Palatino Linotype" w:hAnsi="Palatino Linotype" w:cs="Palatino Linotype"/>
          <w:b/>
          <w:i/>
          <w:color w:val="000000"/>
          <w:sz w:val="22"/>
          <w:szCs w:val="22"/>
          <w:u w:val="single"/>
        </w:rPr>
        <w:t>:</w:t>
      </w:r>
      <w:r w:rsidRPr="001F764A">
        <w:rPr>
          <w:rFonts w:ascii="Palatino Linotype" w:eastAsia="Palatino Linotype" w:hAnsi="Palatino Linotype" w:cs="Palatino Linotype"/>
          <w:i/>
          <w:color w:val="000000"/>
          <w:sz w:val="22"/>
          <w:szCs w:val="22"/>
        </w:rPr>
        <w:t>:</w:t>
      </w:r>
      <w:proofErr w:type="gramEnd"/>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F51EFF" w:rsidRPr="001F764A" w14:paraId="408F5A34"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F1BEBF5" w14:textId="77777777" w:rsidR="00F51EFF" w:rsidRPr="001F764A" w:rsidRDefault="00F51EFF">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7D6AA"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32E98"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b/>
                <w:i/>
                <w:color w:val="000000"/>
              </w:rPr>
              <w:t>Dónde:</w:t>
            </w:r>
          </w:p>
        </w:tc>
      </w:tr>
      <w:tr w:rsidR="00F51EFF" w:rsidRPr="001F764A" w14:paraId="6924C07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466B0"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45A0F"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FCF6A"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F51EFF" w:rsidRPr="001F764A" w14:paraId="0E19E05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78BF6"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13F32"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25169"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señalará el nombre del área del cual es titular quien clasifica.</w:t>
            </w:r>
          </w:p>
        </w:tc>
      </w:tr>
      <w:tr w:rsidR="00F51EFF" w:rsidRPr="001F764A" w14:paraId="21FF75F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14AF8"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5D73F"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F6CD8"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F51EFF" w:rsidRPr="001F764A" w14:paraId="54E08E7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D0986"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34B7E"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B41D9A"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F51EFF" w:rsidRPr="001F764A" w14:paraId="02D6509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C625E6"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8CB02"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0FF7E"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F51EFF" w:rsidRPr="001F764A" w14:paraId="3780BE1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DEF6E3"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B26597"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03DD4"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F51EFF" w:rsidRPr="001F764A" w14:paraId="5413378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0A3F0B"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16109"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48084"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Rúbrica autógrafa o firma digital de quien clasifica.</w:t>
            </w:r>
          </w:p>
        </w:tc>
      </w:tr>
      <w:tr w:rsidR="00F51EFF" w:rsidRPr="001F764A" w14:paraId="1F9F99C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5D4EB"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5E88E"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7575F"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Se anotará la fecha en que se desclasifica el documento.</w:t>
            </w:r>
          </w:p>
        </w:tc>
      </w:tr>
      <w:tr w:rsidR="00F51EFF" w:rsidRPr="001F764A" w14:paraId="32F089F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C4C02" w14:textId="77777777" w:rsidR="00F51EFF" w:rsidRPr="001F764A" w:rsidRDefault="00F51EF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CC26A" w14:textId="77777777" w:rsidR="00F51EFF" w:rsidRPr="001F764A" w:rsidRDefault="00CF7D80">
            <w:pPr>
              <w:pBdr>
                <w:top w:val="nil"/>
                <w:left w:val="nil"/>
                <w:bottom w:val="nil"/>
                <w:right w:val="nil"/>
                <w:between w:val="nil"/>
              </w:pBdr>
              <w:jc w:val="center"/>
              <w:rPr>
                <w:color w:val="000000"/>
              </w:rPr>
            </w:pPr>
            <w:r w:rsidRPr="001F764A">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B469B" w14:textId="77777777" w:rsidR="00F51EFF" w:rsidRPr="001F764A" w:rsidRDefault="00CF7D80">
            <w:pPr>
              <w:pBdr>
                <w:top w:val="nil"/>
                <w:left w:val="nil"/>
                <w:bottom w:val="nil"/>
                <w:right w:val="nil"/>
                <w:between w:val="nil"/>
              </w:pBdr>
              <w:jc w:val="both"/>
              <w:rPr>
                <w:color w:val="000000"/>
              </w:rPr>
            </w:pPr>
            <w:r w:rsidRPr="001F764A">
              <w:rPr>
                <w:rFonts w:ascii="Palatino Linotype" w:eastAsia="Palatino Linotype" w:hAnsi="Palatino Linotype" w:cs="Palatino Linotype"/>
                <w:i/>
                <w:color w:val="000000"/>
              </w:rPr>
              <w:t>Rúbrica autógrafa o firma digital de quien desclasifica.</w:t>
            </w:r>
          </w:p>
        </w:tc>
      </w:tr>
      <w:tr w:rsidR="00F51EFF" w:rsidRPr="001F764A" w14:paraId="09B8AF37"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E8B01A" w14:textId="77777777" w:rsidR="00F51EFF" w:rsidRPr="001F764A" w:rsidRDefault="00F51EFF">
            <w:pPr>
              <w:widowControl w:val="0"/>
              <w:pBdr>
                <w:top w:val="nil"/>
                <w:left w:val="nil"/>
                <w:bottom w:val="nil"/>
                <w:right w:val="nil"/>
                <w:between w:val="nil"/>
              </w:pBdr>
              <w:spacing w:line="276" w:lineRule="auto"/>
              <w:rPr>
                <w:color w:val="000000"/>
              </w:rPr>
            </w:pPr>
          </w:p>
        </w:tc>
      </w:tr>
    </w:tbl>
    <w:p w14:paraId="0D267553" w14:textId="77777777" w:rsidR="00F51EFF" w:rsidRPr="001F764A" w:rsidRDefault="00CF7D80">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76FA84D" w14:textId="77777777" w:rsidR="00F51EFF" w:rsidRPr="001F764A" w:rsidRDefault="00CF7D80">
      <w:pPr>
        <w:pBdr>
          <w:top w:val="nil"/>
          <w:left w:val="nil"/>
          <w:bottom w:val="nil"/>
          <w:right w:val="nil"/>
          <w:between w:val="nil"/>
        </w:pBdr>
        <w:spacing w:after="160"/>
        <w:ind w:left="709" w:right="709"/>
        <w:jc w:val="both"/>
      </w:pPr>
      <w:r w:rsidRPr="001F764A">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1F764A">
        <w:rPr>
          <w:rFonts w:ascii="Palatino Linotype" w:eastAsia="Palatino Linotype" w:hAnsi="Palatino Linotype" w:cs="Palatino Linotype"/>
          <w:i/>
          <w:color w:val="000000"/>
          <w:sz w:val="22"/>
          <w:szCs w:val="22"/>
        </w:rPr>
        <w:t>testado</w:t>
      </w:r>
      <w:proofErr w:type="spellEnd"/>
      <w:r w:rsidRPr="001F764A">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31985FD3" w14:textId="77777777" w:rsidR="00F51EFF" w:rsidRPr="001F764A" w:rsidRDefault="00F51EFF">
      <w:pPr>
        <w:jc w:val="both"/>
      </w:pPr>
    </w:p>
    <w:p w14:paraId="3DA0F0ED" w14:textId="77777777" w:rsidR="00F51EFF" w:rsidRPr="001F764A" w:rsidRDefault="00F51EFF">
      <w:pPr>
        <w:rPr>
          <w:color w:val="000000"/>
        </w:rPr>
      </w:pPr>
    </w:p>
    <w:p w14:paraId="624794AE" w14:textId="77777777" w:rsidR="00F51EFF" w:rsidRPr="001F764A" w:rsidRDefault="00CF7D80">
      <w:pPr>
        <w:spacing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F1FB638" w14:textId="77777777" w:rsidR="00F51EFF" w:rsidRPr="001F764A" w:rsidRDefault="00F51EFF">
      <w:pPr>
        <w:spacing w:line="360" w:lineRule="auto"/>
        <w:jc w:val="both"/>
        <w:rPr>
          <w:rFonts w:ascii="Palatino Linotype" w:eastAsia="Palatino Linotype" w:hAnsi="Palatino Linotype" w:cs="Palatino Linotype"/>
        </w:rPr>
      </w:pPr>
    </w:p>
    <w:p w14:paraId="2E9E6879" w14:textId="77777777" w:rsidR="00F51EFF" w:rsidRPr="001F764A" w:rsidRDefault="00CF7D80">
      <w:pPr>
        <w:shd w:val="clear" w:color="auto" w:fill="FFFFFF"/>
        <w:spacing w:line="360" w:lineRule="auto"/>
        <w:ind w:right="51"/>
        <w:jc w:val="both"/>
        <w:rPr>
          <w:rFonts w:ascii="Palatino Linotype" w:eastAsia="Palatino Linotype" w:hAnsi="Palatino Linotype" w:cs="Palatino Linotype"/>
        </w:rPr>
      </w:pPr>
      <w:r w:rsidRPr="001F764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1F764A">
        <w:rPr>
          <w:rFonts w:ascii="Palatino Linotype" w:eastAsia="Palatino Linotype" w:hAnsi="Palatino Linotype" w:cs="Palatino Linotype"/>
        </w:rPr>
        <w:lastRenderedPageBreak/>
        <w:t xml:space="preserve">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w:t>
      </w:r>
    </w:p>
    <w:p w14:paraId="0E1AB39D" w14:textId="77777777" w:rsidR="00F51EFF" w:rsidRPr="001F764A" w:rsidRDefault="00CF7D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16956B8" w14:textId="77777777" w:rsidR="00F51EFF" w:rsidRPr="001F764A" w:rsidRDefault="00CF7D8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764A">
        <w:rPr>
          <w:rFonts w:ascii="Palatino Linotype" w:eastAsia="Palatino Linotype" w:hAnsi="Palatino Linotype" w:cs="Palatino Linotype"/>
          <w:b/>
        </w:rPr>
        <w:t>III. R E S U E L V E:</w:t>
      </w:r>
    </w:p>
    <w:p w14:paraId="31308BAA" w14:textId="77777777" w:rsidR="00F51EFF" w:rsidRPr="001F764A" w:rsidRDefault="00CF7D80">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1F764A">
        <w:rPr>
          <w:rFonts w:ascii="Palatino Linotype" w:eastAsia="Palatino Linotype" w:hAnsi="Palatino Linotype" w:cs="Palatino Linotype"/>
          <w:b/>
        </w:rPr>
        <w:t xml:space="preserve">Primero. </w:t>
      </w:r>
      <w:r w:rsidRPr="001F764A">
        <w:rPr>
          <w:rFonts w:ascii="Palatino Linotype" w:eastAsia="Palatino Linotype" w:hAnsi="Palatino Linotype" w:cs="Palatino Linotype"/>
        </w:rPr>
        <w:t xml:space="preserve">Resultan fundados los motivos de inconformidad hechos valer por el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en el Recurso de Revisión </w:t>
      </w:r>
      <w:r w:rsidRPr="001F764A">
        <w:rPr>
          <w:rFonts w:ascii="Palatino Linotype" w:eastAsia="Palatino Linotype" w:hAnsi="Palatino Linotype" w:cs="Palatino Linotype"/>
          <w:b/>
        </w:rPr>
        <w:t xml:space="preserve">03014/INFOEM/IP/RR/2023, </w:t>
      </w:r>
      <w:r w:rsidRPr="001F764A">
        <w:rPr>
          <w:rFonts w:ascii="Palatino Linotype" w:eastAsia="Palatino Linotype" w:hAnsi="Palatino Linotype" w:cs="Palatino Linotype"/>
        </w:rPr>
        <w:t xml:space="preserve">por lo que, en términos del considerando </w:t>
      </w:r>
      <w:r w:rsidRPr="001F764A">
        <w:rPr>
          <w:rFonts w:ascii="Palatino Linotype" w:eastAsia="Palatino Linotype" w:hAnsi="Palatino Linotype" w:cs="Palatino Linotype"/>
          <w:b/>
        </w:rPr>
        <w:t xml:space="preserve">Cuarto </w:t>
      </w:r>
      <w:r w:rsidRPr="001F764A">
        <w:rPr>
          <w:rFonts w:ascii="Palatino Linotype" w:eastAsia="Palatino Linotype" w:hAnsi="Palatino Linotype" w:cs="Palatino Linotype"/>
        </w:rPr>
        <w:t xml:space="preserve">de esta resolución, se </w:t>
      </w:r>
      <w:r w:rsidRPr="001F764A">
        <w:rPr>
          <w:rFonts w:ascii="Palatino Linotype" w:eastAsia="Palatino Linotype" w:hAnsi="Palatino Linotype" w:cs="Palatino Linotype"/>
          <w:b/>
        </w:rPr>
        <w:t xml:space="preserve">REVOCA </w:t>
      </w:r>
      <w:r w:rsidRPr="001F764A">
        <w:rPr>
          <w:rFonts w:ascii="Palatino Linotype" w:eastAsia="Palatino Linotype" w:hAnsi="Palatino Linotype" w:cs="Palatino Linotype"/>
        </w:rPr>
        <w:t xml:space="preserve">la respuesta emitida por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w:t>
      </w:r>
    </w:p>
    <w:p w14:paraId="2E6AC2CA" w14:textId="77777777" w:rsidR="00F51EFF" w:rsidRPr="001F764A" w:rsidRDefault="00CF7D80">
      <w:pPr>
        <w:spacing w:before="240" w:after="240"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b/>
        </w:rPr>
        <w:t xml:space="preserve">Segundo. </w:t>
      </w:r>
      <w:r w:rsidRPr="001F764A">
        <w:rPr>
          <w:rFonts w:ascii="Palatino Linotype" w:eastAsia="Palatino Linotype" w:hAnsi="Palatino Linotype" w:cs="Palatino Linotype"/>
        </w:rPr>
        <w:t>Se</w:t>
      </w:r>
      <w:r w:rsidRPr="001F764A">
        <w:rPr>
          <w:rFonts w:ascii="Palatino Linotype" w:eastAsia="Palatino Linotype" w:hAnsi="Palatino Linotype" w:cs="Palatino Linotype"/>
          <w:b/>
        </w:rPr>
        <w:t xml:space="preserve"> ORDENA </w:t>
      </w:r>
      <w:r w:rsidRPr="001F764A">
        <w:rPr>
          <w:rFonts w:ascii="Palatino Linotype" w:eastAsia="Palatino Linotype" w:hAnsi="Palatino Linotype" w:cs="Palatino Linotype"/>
        </w:rPr>
        <w:t xml:space="preserve">al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a que,</w:t>
      </w:r>
      <w:r w:rsidRPr="001F764A">
        <w:rPr>
          <w:rFonts w:ascii="Palatino Linotype" w:eastAsia="Palatino Linotype" w:hAnsi="Palatino Linotype" w:cs="Palatino Linotype"/>
          <w:b/>
        </w:rPr>
        <w:t xml:space="preserve"> </w:t>
      </w:r>
      <w:r w:rsidRPr="001F764A">
        <w:rPr>
          <w:rFonts w:ascii="Palatino Linotype" w:eastAsia="Palatino Linotype" w:hAnsi="Palatino Linotype" w:cs="Palatino Linotype"/>
        </w:rPr>
        <w:t>en términos de los Considerandos Cuarto y Quinto de la presente resolución, haga entrega vía Consulta Directa y en archivo electrónico USB en formato PDF, y en versión pública de ser procedente, previa búsqueda exhaustiva y razonable, del documento o documentos en donde conste lo siguiente:</w:t>
      </w:r>
    </w:p>
    <w:p w14:paraId="50BF848A" w14:textId="77777777" w:rsidR="00F51EFF" w:rsidRPr="001F764A" w:rsidRDefault="00CF7D8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F764A">
        <w:rPr>
          <w:rFonts w:ascii="Palatino Linotype" w:eastAsia="Palatino Linotype" w:hAnsi="Palatino Linotype" w:cs="Palatino Linotype"/>
          <w:color w:val="000000"/>
        </w:rPr>
        <w:t xml:space="preserve">Los planos de lotificación autorizados del pueblo San Pablo de las Salinas en el cual se señalen las áreas verdes, las áreas de donación, las áreas de </w:t>
      </w:r>
      <w:r w:rsidRPr="001F764A">
        <w:rPr>
          <w:rFonts w:ascii="Palatino Linotype" w:eastAsia="Palatino Linotype" w:hAnsi="Palatino Linotype" w:cs="Palatino Linotype"/>
          <w:color w:val="000000"/>
        </w:rPr>
        <w:lastRenderedPageBreak/>
        <w:t>equipamiento y toda la lotificación autorizada, vigente al veintiséis de abril del año dos mil veintitrés.</w:t>
      </w:r>
    </w:p>
    <w:p w14:paraId="5E4C9512" w14:textId="77777777" w:rsidR="00F51EFF" w:rsidRPr="001F764A" w:rsidRDefault="00F51EF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3AFFC5CE" w14:textId="77777777" w:rsidR="00F51EFF" w:rsidRPr="001F764A" w:rsidRDefault="00CF7D80">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1F764A">
        <w:rPr>
          <w:rFonts w:ascii="Palatino Linotype" w:eastAsia="Palatino Linotype" w:hAnsi="Palatino Linotype" w:cs="Palatino Linotype"/>
          <w:i/>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015449C1" w14:textId="77777777" w:rsidR="00F51EFF" w:rsidRPr="001F764A" w:rsidRDefault="00F51EFF">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199E2365" w14:textId="77777777" w:rsidR="00F51EFF" w:rsidRPr="001F764A" w:rsidRDefault="00CF7D80">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Para tal situación, a través del SAIMEX, deberá indicar el mecanismo y/o procedimiento que tendrá que seguir la parte </w:t>
      </w:r>
      <w:r w:rsidRPr="001F764A">
        <w:rPr>
          <w:rFonts w:ascii="Palatino Linotype" w:eastAsia="Palatino Linotype" w:hAnsi="Palatino Linotype" w:cs="Palatino Linotype"/>
          <w:b/>
          <w:i/>
          <w:color w:val="000000"/>
          <w:sz w:val="22"/>
          <w:szCs w:val="22"/>
        </w:rPr>
        <w:t>RECURRENTE,</w:t>
      </w:r>
      <w:r w:rsidRPr="001F764A">
        <w:rPr>
          <w:rFonts w:ascii="Palatino Linotype" w:eastAsia="Palatino Linotype" w:hAnsi="Palatino Linotype" w:cs="Palatino Linotype"/>
          <w:i/>
          <w:color w:val="000000"/>
          <w:sz w:val="22"/>
          <w:szCs w:val="22"/>
        </w:rPr>
        <w:t xml:space="preserve">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62C08899" w14:textId="77777777" w:rsidR="00F51EFF" w:rsidRPr="001F764A" w:rsidRDefault="00F51EFF">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p>
    <w:p w14:paraId="0F452FB0" w14:textId="77777777" w:rsidR="00F51EFF" w:rsidRPr="001F764A" w:rsidRDefault="00CF7D80">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r w:rsidRPr="001F764A">
        <w:rPr>
          <w:rFonts w:ascii="Palatino Linotype" w:eastAsia="Palatino Linotype" w:hAnsi="Palatino Linotype" w:cs="Palatino Linotype"/>
          <w:i/>
          <w:color w:val="000000"/>
          <w:sz w:val="22"/>
          <w:szCs w:val="22"/>
        </w:rPr>
        <w:t xml:space="preserve">En el caso que derivado de la búsqueda exhaustiva y razonable, no se localice la información que se ordena, el </w:t>
      </w:r>
      <w:r w:rsidRPr="001F764A">
        <w:rPr>
          <w:rFonts w:ascii="Palatino Linotype" w:eastAsia="Palatino Linotype" w:hAnsi="Palatino Linotype" w:cs="Palatino Linotype"/>
          <w:b/>
          <w:i/>
          <w:color w:val="000000"/>
          <w:sz w:val="22"/>
          <w:szCs w:val="22"/>
        </w:rPr>
        <w:t>SUJETO OBLIGADO</w:t>
      </w:r>
      <w:r w:rsidRPr="001F764A">
        <w:rPr>
          <w:rFonts w:ascii="Palatino Linotype" w:eastAsia="Palatino Linotype" w:hAnsi="Palatino Linotype" w:cs="Palatino Linotype"/>
          <w:i/>
          <w:color w:val="000000"/>
          <w:sz w:val="22"/>
          <w:szCs w:val="22"/>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6C43237D" w14:textId="77777777" w:rsidR="00F51EFF" w:rsidRPr="001F764A" w:rsidRDefault="00F51EFF">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p>
    <w:p w14:paraId="66B56739" w14:textId="77777777" w:rsidR="00F51EFF" w:rsidRPr="001F764A" w:rsidRDefault="00F51EFF">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5845D670" w14:textId="77777777" w:rsidR="00F51EFF" w:rsidRPr="001F764A" w:rsidRDefault="00CF7D80">
      <w:pPr>
        <w:spacing w:line="360" w:lineRule="auto"/>
        <w:ind w:right="49"/>
        <w:jc w:val="both"/>
        <w:rPr>
          <w:rFonts w:ascii="Palatino Linotype" w:eastAsia="Palatino Linotype" w:hAnsi="Palatino Linotype" w:cs="Palatino Linotype"/>
        </w:rPr>
      </w:pPr>
      <w:r w:rsidRPr="001F764A">
        <w:rPr>
          <w:rFonts w:ascii="Palatino Linotype" w:eastAsia="Palatino Linotype" w:hAnsi="Palatino Linotype" w:cs="Palatino Linotype"/>
          <w:b/>
          <w:color w:val="000000"/>
        </w:rPr>
        <w:t xml:space="preserve">Tercero. Notifíquese, </w:t>
      </w:r>
      <w:r w:rsidRPr="001F764A">
        <w:rPr>
          <w:rFonts w:ascii="Palatino Linotype" w:eastAsia="Palatino Linotype" w:hAnsi="Palatino Linotype" w:cs="Palatino Linotype"/>
          <w:color w:val="000000"/>
        </w:rPr>
        <w:t xml:space="preserve">vía </w:t>
      </w:r>
      <w:r w:rsidRPr="001F764A">
        <w:rPr>
          <w:rFonts w:ascii="Palatino Linotype" w:eastAsia="Palatino Linotype" w:hAnsi="Palatino Linotype" w:cs="Palatino Linotype"/>
          <w:b/>
          <w:color w:val="000000"/>
        </w:rPr>
        <w:t>SAIMEX</w:t>
      </w:r>
      <w:r w:rsidRPr="001F764A">
        <w:rPr>
          <w:rFonts w:ascii="Palatino Linotype" w:eastAsia="Palatino Linotype" w:hAnsi="Palatino Linotype" w:cs="Palatino Linotype"/>
          <w:color w:val="000000"/>
        </w:rPr>
        <w:t xml:space="preserve">, al Titular de la Unidad de Transparencia del </w:t>
      </w:r>
      <w:r w:rsidRPr="001F764A">
        <w:rPr>
          <w:rFonts w:ascii="Palatino Linotype" w:eastAsia="Palatino Linotype" w:hAnsi="Palatino Linotype" w:cs="Palatino Linotype"/>
          <w:b/>
          <w:color w:val="000000"/>
        </w:rPr>
        <w:t>SUJETO OBLIGADO,</w:t>
      </w:r>
      <w:r w:rsidRPr="001F764A">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1F764A">
        <w:rPr>
          <w:rFonts w:ascii="Palatino Linotype" w:eastAsia="Palatino Linotype" w:hAnsi="Palatino Linotype" w:cs="Palatino Linotype"/>
          <w:color w:val="000000"/>
        </w:rPr>
        <w:lastRenderedPageBreak/>
        <w:t>previsto en los artículos 198, 200, fracción III; 214, 215 y 216 de la Ley  de Transparencia y Acceso a la Información Pública del Estado de México y Municipios</w:t>
      </w:r>
      <w:r w:rsidRPr="001F764A">
        <w:rPr>
          <w:rFonts w:ascii="Palatino Linotype" w:eastAsia="Palatino Linotype" w:hAnsi="Palatino Linotype" w:cs="Palatino Linotype"/>
        </w:rPr>
        <w:t>.</w:t>
      </w:r>
    </w:p>
    <w:p w14:paraId="0A4073A3" w14:textId="77777777" w:rsidR="00F51EFF" w:rsidRPr="001F764A" w:rsidRDefault="00F51EFF">
      <w:pPr>
        <w:spacing w:line="360" w:lineRule="auto"/>
        <w:ind w:right="49"/>
        <w:jc w:val="both"/>
        <w:rPr>
          <w:rFonts w:ascii="Palatino Linotype" w:eastAsia="Palatino Linotype" w:hAnsi="Palatino Linotype" w:cs="Palatino Linotype"/>
        </w:rPr>
      </w:pPr>
    </w:p>
    <w:p w14:paraId="65A0EBBC" w14:textId="77777777" w:rsidR="00F51EFF" w:rsidRPr="001F764A" w:rsidRDefault="00CF7D80">
      <w:pPr>
        <w:spacing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 xml:space="preserve">Cuarto. </w:t>
      </w:r>
      <w:r w:rsidRPr="001F764A">
        <w:rPr>
          <w:rFonts w:ascii="Palatino Linotype" w:eastAsia="Palatino Linotype" w:hAnsi="Palatino Linotype" w:cs="Palatino Linotype"/>
        </w:rPr>
        <w:t xml:space="preserve">Notifíquese, vía </w:t>
      </w:r>
      <w:r w:rsidRPr="001F764A">
        <w:rPr>
          <w:rFonts w:ascii="Palatino Linotype" w:eastAsia="Palatino Linotype" w:hAnsi="Palatino Linotype" w:cs="Palatino Linotype"/>
          <w:b/>
        </w:rPr>
        <w:t>SAIMEX</w:t>
      </w:r>
      <w:r w:rsidRPr="001F764A">
        <w:rPr>
          <w:rFonts w:ascii="Palatino Linotype" w:eastAsia="Palatino Linotype" w:hAnsi="Palatino Linotype" w:cs="Palatino Linotype"/>
        </w:rPr>
        <w:t xml:space="preserve">, a la parte </w:t>
      </w:r>
      <w:r w:rsidRPr="001F764A">
        <w:rPr>
          <w:rFonts w:ascii="Palatino Linotype" w:eastAsia="Palatino Linotype" w:hAnsi="Palatino Linotype" w:cs="Palatino Linotype"/>
          <w:b/>
        </w:rPr>
        <w:t>RECURRENTE</w:t>
      </w:r>
      <w:r w:rsidRPr="001F764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9807BFD" w14:textId="77777777" w:rsidR="00F51EFF" w:rsidRPr="001F764A" w:rsidRDefault="00CF7D80">
      <w:pPr>
        <w:spacing w:after="240" w:line="360" w:lineRule="auto"/>
        <w:jc w:val="both"/>
        <w:rPr>
          <w:rFonts w:ascii="Palatino Linotype" w:eastAsia="Palatino Linotype" w:hAnsi="Palatino Linotype" w:cs="Palatino Linotype"/>
        </w:rPr>
      </w:pPr>
      <w:r w:rsidRPr="001F764A">
        <w:rPr>
          <w:rFonts w:ascii="Palatino Linotype" w:eastAsia="Palatino Linotype" w:hAnsi="Palatino Linotype" w:cs="Palatino Linotype"/>
          <w:b/>
        </w:rPr>
        <w:t>Quinto.</w:t>
      </w:r>
      <w:r w:rsidRPr="001F764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1F764A">
        <w:rPr>
          <w:rFonts w:ascii="Palatino Linotype" w:eastAsia="Palatino Linotype" w:hAnsi="Palatino Linotype" w:cs="Palatino Linotype"/>
          <w:b/>
        </w:rPr>
        <w:t>SUJETO OBLIGADO</w:t>
      </w:r>
      <w:r w:rsidRPr="001F764A">
        <w:rPr>
          <w:rFonts w:ascii="Palatino Linotype" w:eastAsia="Palatino Linotype" w:hAnsi="Palatino Linotype" w:cs="Palatino Linotype"/>
        </w:rPr>
        <w:t xml:space="preserve"> de manera fundada y motivada, podrá solicitar una ampliación de plazo para el cumplimiento de la presente resolución.</w:t>
      </w:r>
    </w:p>
    <w:p w14:paraId="012179F2" w14:textId="77105E26" w:rsidR="00F51EFF" w:rsidRDefault="00CF7D80">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F764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r>
        <w:rPr>
          <w:rFonts w:ascii="Palatino Linotype" w:eastAsia="Palatino Linotype" w:hAnsi="Palatino Linotype" w:cs="Palatino Linotype"/>
        </w:rPr>
        <w:t xml:space="preserve"> </w:t>
      </w:r>
    </w:p>
    <w:p w14:paraId="49F8DBC1" w14:textId="6B135001" w:rsidR="004F47CE" w:rsidRDefault="004F47CE">
      <w:pPr>
        <w:spacing w:before="240" w:after="240" w:line="360" w:lineRule="auto"/>
        <w:jc w:val="both"/>
        <w:rPr>
          <w:rFonts w:ascii="Palatino Linotype" w:eastAsia="Palatino Linotype" w:hAnsi="Palatino Linotype" w:cs="Palatino Linotype"/>
        </w:rPr>
      </w:pPr>
    </w:p>
    <w:p w14:paraId="5EF12ED9" w14:textId="659F17AB" w:rsidR="004F47CE" w:rsidRDefault="004F47CE">
      <w:pPr>
        <w:spacing w:before="240" w:after="240" w:line="360" w:lineRule="auto"/>
        <w:jc w:val="both"/>
        <w:rPr>
          <w:rFonts w:ascii="Palatino Linotype" w:eastAsia="Palatino Linotype" w:hAnsi="Palatino Linotype" w:cs="Palatino Linotype"/>
        </w:rPr>
      </w:pPr>
    </w:p>
    <w:p w14:paraId="235BD6FC" w14:textId="77777777" w:rsidR="004F47CE" w:rsidRDefault="004F47CE">
      <w:pPr>
        <w:spacing w:before="240" w:after="240" w:line="360" w:lineRule="auto"/>
        <w:jc w:val="both"/>
        <w:rPr>
          <w:rFonts w:ascii="Palatino Linotype" w:eastAsia="Palatino Linotype" w:hAnsi="Palatino Linotype" w:cs="Palatino Linotype"/>
        </w:rPr>
      </w:pPr>
    </w:p>
    <w:sectPr w:rsidR="004F47CE">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7205F" w14:textId="77777777" w:rsidR="00234610" w:rsidRDefault="00234610">
      <w:r>
        <w:separator/>
      </w:r>
    </w:p>
  </w:endnote>
  <w:endnote w:type="continuationSeparator" w:id="0">
    <w:p w14:paraId="6868BC17" w14:textId="77777777" w:rsidR="00234610" w:rsidRDefault="0023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0EC41" w14:textId="77777777" w:rsidR="00F51EFF" w:rsidRDefault="00CF7D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0EA2">
      <w:rPr>
        <w:rFonts w:ascii="Palatino Linotype" w:eastAsia="Palatino Linotype" w:hAnsi="Palatino Linotype" w:cs="Palatino Linotype"/>
        <w:b/>
        <w:noProof/>
        <w:color w:val="000000"/>
        <w:sz w:val="20"/>
        <w:szCs w:val="20"/>
      </w:rPr>
      <w:t>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0EA2">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BA4771F" w14:textId="77777777" w:rsidR="00F51EFF" w:rsidRDefault="00F51EF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045C4" w14:textId="77777777" w:rsidR="00F51EFF" w:rsidRDefault="00CF7D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0EA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0EA2">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2E111405" w14:textId="77777777" w:rsidR="00F51EFF" w:rsidRDefault="00F51EF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85CBF" w14:textId="77777777" w:rsidR="00234610" w:rsidRDefault="00234610">
      <w:r>
        <w:separator/>
      </w:r>
    </w:p>
  </w:footnote>
  <w:footnote w:type="continuationSeparator" w:id="0">
    <w:p w14:paraId="63AE8A30" w14:textId="77777777" w:rsidR="00234610" w:rsidRDefault="00234610">
      <w:r>
        <w:continuationSeparator/>
      </w:r>
    </w:p>
  </w:footnote>
  <w:footnote w:id="1">
    <w:p w14:paraId="2EA35454" w14:textId="77777777" w:rsidR="00F51EFF" w:rsidRDefault="00CF7D8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4AE6D4F6" w14:textId="77777777" w:rsidR="00F51EFF" w:rsidRDefault="00CF7D8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8F51B" w14:textId="77777777" w:rsidR="00F51EFF" w:rsidRDefault="00CF7D8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2F1DBEC" wp14:editId="138E9A12">
          <wp:simplePos x="0" y="0"/>
          <wp:positionH relativeFrom="column">
            <wp:posOffset>-1080130</wp:posOffset>
          </wp:positionH>
          <wp:positionV relativeFrom="paragraph">
            <wp:posOffset>-488310</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F51EFF" w14:paraId="7665DD2A" w14:textId="77777777">
      <w:tc>
        <w:tcPr>
          <w:tcW w:w="2489" w:type="dxa"/>
          <w:shd w:val="clear" w:color="auto" w:fill="auto"/>
        </w:tcPr>
        <w:p w14:paraId="1FDFD21F"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88CA369" w14:textId="77777777" w:rsidR="00F51EFF" w:rsidRDefault="00CF7D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03014/INFOEM/IP/RR/2023</w:t>
          </w:r>
        </w:p>
      </w:tc>
    </w:tr>
    <w:tr w:rsidR="00F51EFF" w14:paraId="3A6C8810" w14:textId="77777777">
      <w:trPr>
        <w:trHeight w:val="228"/>
      </w:trPr>
      <w:tc>
        <w:tcPr>
          <w:tcW w:w="2489" w:type="dxa"/>
          <w:shd w:val="clear" w:color="auto" w:fill="auto"/>
          <w:vAlign w:val="center"/>
        </w:tcPr>
        <w:p w14:paraId="3CE29549"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B85E344" w14:textId="77777777" w:rsidR="00F51EFF" w:rsidRDefault="00CF7D80">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Tultitlán.</w:t>
          </w:r>
        </w:p>
      </w:tc>
    </w:tr>
    <w:tr w:rsidR="00F51EFF" w14:paraId="28009CF5" w14:textId="77777777">
      <w:tc>
        <w:tcPr>
          <w:tcW w:w="2489" w:type="dxa"/>
          <w:shd w:val="clear" w:color="auto" w:fill="auto"/>
          <w:vAlign w:val="center"/>
        </w:tcPr>
        <w:p w14:paraId="70AC97EA" w14:textId="77777777" w:rsidR="00F51EFF" w:rsidRDefault="00CF7D8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84CDE80" w14:textId="77777777" w:rsidR="00F51EFF" w:rsidRDefault="00CF7D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922F48" w14:textId="77777777" w:rsidR="00F51EFF" w:rsidRDefault="00CF7D8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27AC6" w14:textId="77777777" w:rsidR="00F51EFF" w:rsidRDefault="00F51EF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528" w:type="dxa"/>
      <w:tblInd w:w="3261" w:type="dxa"/>
      <w:tblLayout w:type="fixed"/>
      <w:tblLook w:val="0400" w:firstRow="0" w:lastRow="0" w:firstColumn="0" w:lastColumn="0" w:noHBand="0" w:noVBand="1"/>
    </w:tblPr>
    <w:tblGrid>
      <w:gridCol w:w="2551"/>
      <w:gridCol w:w="2977"/>
    </w:tblGrid>
    <w:tr w:rsidR="00F51EFF" w14:paraId="4366861A" w14:textId="77777777">
      <w:tc>
        <w:tcPr>
          <w:tcW w:w="2551" w:type="dxa"/>
          <w:shd w:val="clear" w:color="auto" w:fill="auto"/>
          <w:vAlign w:val="center"/>
        </w:tcPr>
        <w:p w14:paraId="5A5D0746"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3DECE052" w14:textId="77777777" w:rsidR="00F51EFF" w:rsidRDefault="00CF7D8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03014/INFOEM/IP/RR/2023</w:t>
          </w:r>
        </w:p>
      </w:tc>
    </w:tr>
    <w:tr w:rsidR="00F51EFF" w14:paraId="348CEC70" w14:textId="77777777">
      <w:trPr>
        <w:trHeight w:val="130"/>
      </w:trPr>
      <w:tc>
        <w:tcPr>
          <w:tcW w:w="2551" w:type="dxa"/>
          <w:shd w:val="clear" w:color="auto" w:fill="auto"/>
          <w:vAlign w:val="center"/>
        </w:tcPr>
        <w:p w14:paraId="4F3364E4"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vAlign w:val="center"/>
        </w:tcPr>
        <w:p w14:paraId="01B269AE" w14:textId="4F70343D" w:rsidR="00F51EFF" w:rsidRDefault="00820EA2" w:rsidP="00820EA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 XXXXXXX</w:t>
          </w:r>
        </w:p>
      </w:tc>
    </w:tr>
    <w:tr w:rsidR="00F51EFF" w14:paraId="1B8CF05D" w14:textId="77777777">
      <w:trPr>
        <w:trHeight w:val="228"/>
      </w:trPr>
      <w:tc>
        <w:tcPr>
          <w:tcW w:w="2551" w:type="dxa"/>
          <w:shd w:val="clear" w:color="auto" w:fill="auto"/>
          <w:vAlign w:val="center"/>
        </w:tcPr>
        <w:p w14:paraId="1D574F52"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398AC3F9" w14:textId="77777777" w:rsidR="00F51EFF" w:rsidRDefault="00CF7D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Tultitlán.</w:t>
          </w:r>
        </w:p>
      </w:tc>
    </w:tr>
    <w:tr w:rsidR="00F51EFF" w14:paraId="4136D442" w14:textId="77777777">
      <w:tc>
        <w:tcPr>
          <w:tcW w:w="2551" w:type="dxa"/>
          <w:shd w:val="clear" w:color="auto" w:fill="auto"/>
          <w:vAlign w:val="center"/>
        </w:tcPr>
        <w:p w14:paraId="08EDEF83" w14:textId="77777777" w:rsidR="00F51EFF" w:rsidRDefault="00CF7D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2B0A3242" w14:textId="77777777" w:rsidR="00F51EFF" w:rsidRDefault="00CF7D8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79D059" w14:textId="77777777" w:rsidR="00F51EFF" w:rsidRDefault="00CF7D8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0B953E5" wp14:editId="40D4613E">
          <wp:simplePos x="0" y="0"/>
          <wp:positionH relativeFrom="column">
            <wp:posOffset>-1089655</wp:posOffset>
          </wp:positionH>
          <wp:positionV relativeFrom="paragraph">
            <wp:posOffset>-1169665</wp:posOffset>
          </wp:positionV>
          <wp:extent cx="7809865" cy="1016571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F2B5E"/>
    <w:multiLevelType w:val="multilevel"/>
    <w:tmpl w:val="C1F2DFF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3258216C"/>
    <w:multiLevelType w:val="multilevel"/>
    <w:tmpl w:val="A94C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2C049C"/>
    <w:multiLevelType w:val="multilevel"/>
    <w:tmpl w:val="1C0EA8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8550ACC"/>
    <w:multiLevelType w:val="multilevel"/>
    <w:tmpl w:val="B420C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D478D7"/>
    <w:multiLevelType w:val="multilevel"/>
    <w:tmpl w:val="6406D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FF"/>
    <w:rsid w:val="001F764A"/>
    <w:rsid w:val="00234610"/>
    <w:rsid w:val="004F47CE"/>
    <w:rsid w:val="006029CC"/>
    <w:rsid w:val="006B24F4"/>
    <w:rsid w:val="00820EA2"/>
    <w:rsid w:val="00BF2B15"/>
    <w:rsid w:val="00CF7D80"/>
    <w:rsid w:val="00F51EFF"/>
    <w:rsid w:val="00F849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B5FEB"/>
  <w15:docId w15:val="{1386F549-C84E-4740-AFE8-7D284523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820EA2"/>
    <w:pPr>
      <w:tabs>
        <w:tab w:val="center" w:pos="4419"/>
        <w:tab w:val="right" w:pos="8838"/>
      </w:tabs>
    </w:pPr>
  </w:style>
  <w:style w:type="character" w:customStyle="1" w:styleId="EncabezadoCar">
    <w:name w:val="Encabezado Car"/>
    <w:basedOn w:val="Fuentedeprrafopredeter"/>
    <w:link w:val="Encabezado"/>
    <w:uiPriority w:val="99"/>
    <w:rsid w:val="00820EA2"/>
  </w:style>
  <w:style w:type="paragraph" w:styleId="Piedepgina">
    <w:name w:val="footer"/>
    <w:basedOn w:val="Normal"/>
    <w:link w:val="PiedepginaCar"/>
    <w:uiPriority w:val="99"/>
    <w:unhideWhenUsed/>
    <w:rsid w:val="00820EA2"/>
    <w:pPr>
      <w:tabs>
        <w:tab w:val="center" w:pos="4419"/>
        <w:tab w:val="right" w:pos="8838"/>
      </w:tabs>
    </w:pPr>
  </w:style>
  <w:style w:type="character" w:customStyle="1" w:styleId="PiedepginaCar">
    <w:name w:val="Pie de página Car"/>
    <w:basedOn w:val="Fuentedeprrafopredeter"/>
    <w:link w:val="Piedepgina"/>
    <w:uiPriority w:val="99"/>
    <w:rsid w:val="00820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220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95633.page" TargetMode="External"/><Relationship Id="rId13" Type="http://schemas.openxmlformats.org/officeDocument/2006/relationships/image" Target="media/image11.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egi.org.mx/temas/topografi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le.rae.es/cartograf%C3%AD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795972.page" TargetMode="External"/><Relationship Id="rId14" Type="http://schemas.openxmlformats.org/officeDocument/2006/relationships/image" Target="media/image4.png"/><Relationship Id="rId22" Type="http://schemas.openxmlformats.org/officeDocument/2006/relationships/hyperlink" Target="https://sedui.edomex.gob.mx/planes_parciales_desarrollo_urbano"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gw4BU2p+YWCJHfDjBnj4W4IiA==">CgMxLjAyCGguZ2pkZ3hzMgloLjMwajB6bGwyCGgudHlqY3d0MgloLjFmb2I5dGUyCWguM2R5NnZrbTIJaC4zem55c2g3OAByITFORkJuN1VKUnNRUFlFZ0R2QWM0YWIxWDlNNk9MeUZsbA==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15095</Words>
  <Characters>83024</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2024-01-19T16:17:00Z</cp:lastPrinted>
  <dcterms:created xsi:type="dcterms:W3CDTF">2024-01-24T16:48:00Z</dcterms:created>
  <dcterms:modified xsi:type="dcterms:W3CDTF">2024-01-24T16:48:00Z</dcterms:modified>
</cp:coreProperties>
</file>