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00" w:rsidRDefault="00BE6800">
      <w:pPr>
        <w:widowControl w:val="0"/>
        <w:pBdr>
          <w:top w:val="nil"/>
          <w:left w:val="nil"/>
          <w:bottom w:val="nil"/>
          <w:right w:val="nil"/>
          <w:between w:val="nil"/>
        </w:pBdr>
        <w:spacing w:after="0" w:line="276" w:lineRule="auto"/>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dieciocho de diciembre de dos mil veinticuatro.</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b/>
        </w:rPr>
        <w:t xml:space="preserve">VISTO </w:t>
      </w:r>
      <w:r>
        <w:rPr>
          <w:rFonts w:ascii="Palatino Linotype" w:eastAsia="Palatino Linotype" w:hAnsi="Palatino Linotype" w:cs="Palatino Linotype"/>
        </w:rPr>
        <w:t xml:space="preserve">el expediente conformado con motivo del Recurso de Revisión </w:t>
      </w:r>
      <w:r w:rsidRPr="00A2181E">
        <w:rPr>
          <w:rFonts w:ascii="Palatino Linotype" w:eastAsia="Palatino Linotype" w:hAnsi="Palatino Linotype" w:cs="Palatino Linotype"/>
          <w:b/>
          <w:color w:val="0D0D0D"/>
        </w:rPr>
        <w:t>07356/INFOEM/IP/RR/2024</w:t>
      </w:r>
      <w:r>
        <w:rPr>
          <w:rFonts w:ascii="Palatino Linotype" w:eastAsia="Palatino Linotype" w:hAnsi="Palatino Linotype" w:cs="Palatino Linotype"/>
        </w:rPr>
        <w:t xml:space="preserve">, interpuesto por el Recurrente o Particular, en contra de la respuesta del Sujeto Obligado, </w:t>
      </w:r>
      <w:r w:rsidRPr="00A2181E">
        <w:rPr>
          <w:rFonts w:ascii="Palatino Linotype" w:eastAsia="Palatino Linotype" w:hAnsi="Palatino Linotype" w:cs="Palatino Linotype"/>
          <w:b/>
          <w:color w:val="000000"/>
        </w:rPr>
        <w:t>Ayuntamiento de Toluca</w:t>
      </w:r>
      <w:r>
        <w:rPr>
          <w:rFonts w:ascii="Palatino Linotype" w:eastAsia="Palatino Linotype" w:hAnsi="Palatino Linotype" w:cs="Palatino Linotype"/>
        </w:rPr>
        <w:t xml:space="preserve">, a la solicitud de acceso a la información pública con número de folio </w:t>
      </w:r>
      <w:r>
        <w:rPr>
          <w:rFonts w:ascii="Palatino Linotype" w:eastAsia="Palatino Linotype" w:hAnsi="Palatino Linotype" w:cs="Palatino Linotype"/>
          <w:color w:val="000000"/>
        </w:rPr>
        <w:t>02825/TOLUCA/IP/2024</w:t>
      </w:r>
      <w:r>
        <w:rPr>
          <w:rFonts w:ascii="Palatino Linotype" w:eastAsia="Palatino Linotype" w:hAnsi="Palatino Linotype" w:cs="Palatino Linotype"/>
        </w:rPr>
        <w:t>, se emite la presente Resolución, con base en los Antecedentes y Considerandos que se exponen a continuación:</w:t>
      </w:r>
    </w:p>
    <w:p w:rsidR="00BE6800" w:rsidRDefault="00BE6800">
      <w:pPr>
        <w:spacing w:after="0" w:line="360" w:lineRule="auto"/>
        <w:ind w:right="-28"/>
        <w:jc w:val="both"/>
        <w:rPr>
          <w:rFonts w:ascii="Palatino Linotype" w:eastAsia="Palatino Linotype" w:hAnsi="Palatino Linotype" w:cs="Palatino Linotype"/>
          <w:b/>
          <w:color w:val="0D0D0D"/>
        </w:rPr>
      </w:pPr>
    </w:p>
    <w:p w:rsidR="00BE6800" w:rsidRDefault="00D079A5">
      <w:pPr>
        <w:tabs>
          <w:tab w:val="center" w:pos="4522"/>
          <w:tab w:val="left" w:pos="7245"/>
          <w:tab w:val="right" w:pos="9044"/>
        </w:tabs>
        <w:spacing w:after="0" w:line="360" w:lineRule="auto"/>
        <w:ind w:right="-28"/>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rsidR="00BE6800" w:rsidRDefault="00BE6800">
      <w:pPr>
        <w:tabs>
          <w:tab w:val="center" w:pos="4522"/>
          <w:tab w:val="left" w:pos="7245"/>
          <w:tab w:val="right" w:pos="9044"/>
        </w:tabs>
        <w:spacing w:after="0" w:line="360" w:lineRule="auto"/>
        <w:ind w:right="-28"/>
        <w:rPr>
          <w:rFonts w:ascii="Palatino Linotype" w:eastAsia="Palatino Linotype" w:hAnsi="Palatino Linotype" w:cs="Palatino Linotype"/>
          <w:b/>
        </w:rPr>
      </w:pPr>
    </w:p>
    <w:p w:rsidR="00BE6800" w:rsidRDefault="00D079A5">
      <w:pPr>
        <w:pBdr>
          <w:top w:val="nil"/>
          <w:left w:val="nil"/>
          <w:bottom w:val="nil"/>
          <w:right w:val="nil"/>
          <w:between w:val="nil"/>
        </w:pBdr>
        <w:tabs>
          <w:tab w:val="left" w:pos="567"/>
        </w:tabs>
        <w:spacing w:after="0" w:line="360" w:lineRule="auto"/>
        <w:ind w:right="-2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 Presentación de la solicitud de información</w:t>
      </w:r>
    </w:p>
    <w:p w:rsidR="00BE6800" w:rsidRDefault="00BE6800">
      <w:pPr>
        <w:pBdr>
          <w:top w:val="nil"/>
          <w:left w:val="nil"/>
          <w:bottom w:val="nil"/>
          <w:right w:val="nil"/>
          <w:between w:val="nil"/>
        </w:pBdr>
        <w:tabs>
          <w:tab w:val="left" w:pos="1050"/>
        </w:tabs>
        <w:spacing w:after="0" w:line="360" w:lineRule="auto"/>
        <w:ind w:right="-28"/>
        <w:jc w:val="both"/>
        <w:rPr>
          <w:rFonts w:ascii="Palatino Linotype" w:eastAsia="Palatino Linotype" w:hAnsi="Palatino Linotype" w:cs="Palatino Linotype"/>
          <w:color w:val="000000"/>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treinta y uno de octubre de dos mil veinticuatro, el Particular presentó una solicitud de acceso a la información pública, a través del Sistema de Acceso a la Información Mexiquense (SAIMEX), ante el </w:t>
      </w:r>
      <w:r>
        <w:rPr>
          <w:rFonts w:ascii="Palatino Linotype" w:eastAsia="Palatino Linotype" w:hAnsi="Palatino Linotype" w:cs="Palatino Linotype"/>
          <w:color w:val="000000"/>
        </w:rPr>
        <w:t>Ayuntamiento de Toluca</w:t>
      </w:r>
      <w:r>
        <w:rPr>
          <w:rFonts w:ascii="Palatino Linotype" w:eastAsia="Palatino Linotype" w:hAnsi="Palatino Linotype" w:cs="Palatino Linotype"/>
          <w:b/>
        </w:rPr>
        <w:t xml:space="preserve">, </w:t>
      </w:r>
      <w:r>
        <w:rPr>
          <w:rFonts w:ascii="Palatino Linotype" w:eastAsia="Palatino Linotype" w:hAnsi="Palatino Linotype" w:cs="Palatino Linotype"/>
        </w:rPr>
        <w:t>mediante la cual requirió lo siguiente:</w:t>
      </w:r>
    </w:p>
    <w:p w:rsidR="00BE6800" w:rsidRDefault="00BE6800">
      <w:pPr>
        <w:tabs>
          <w:tab w:val="left" w:pos="4667"/>
        </w:tabs>
        <w:spacing w:after="0" w:line="360" w:lineRule="auto"/>
        <w:ind w:right="567"/>
        <w:jc w:val="both"/>
        <w:rPr>
          <w:rFonts w:ascii="Palatino Linotype" w:eastAsia="Palatino Linotype" w:hAnsi="Palatino Linotype" w:cs="Palatino Linotype"/>
          <w:b/>
          <w:i/>
        </w:rPr>
      </w:pPr>
    </w:p>
    <w:p w:rsidR="00BE6800" w:rsidRDefault="00D079A5">
      <w:pPr>
        <w:tabs>
          <w:tab w:val="left" w:pos="4667"/>
        </w:tabs>
        <w:spacing w:after="0" w:line="360" w:lineRule="auto"/>
        <w:ind w:left="567" w:right="567"/>
        <w:jc w:val="both"/>
        <w:rPr>
          <w:rFonts w:ascii="Palatino Linotype" w:eastAsia="Palatino Linotype" w:hAnsi="Palatino Linotype" w:cs="Palatino Linotype"/>
          <w:b/>
          <w:i/>
          <w:sz w:val="20"/>
          <w:szCs w:val="20"/>
        </w:rPr>
      </w:pPr>
      <w:bookmarkStart w:id="0" w:name="_heading=h.gjdgxs" w:colFirst="0" w:colLast="0"/>
      <w:bookmarkEnd w:id="0"/>
      <w:r>
        <w:rPr>
          <w:rFonts w:ascii="Palatino Linotype" w:eastAsia="Palatino Linotype" w:hAnsi="Palatino Linotype" w:cs="Palatino Linotype"/>
          <w:b/>
          <w:i/>
          <w:sz w:val="20"/>
          <w:szCs w:val="20"/>
        </w:rPr>
        <w:t>“DESCRIPCIÓN CLARA Y PRECISA DE LA INFORMACIÓN SOLICITADA:</w:t>
      </w:r>
    </w:p>
    <w:p w:rsidR="00BE6800" w:rsidRDefault="00D079A5">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color w:val="000000"/>
          <w:sz w:val="20"/>
          <w:szCs w:val="20"/>
        </w:rPr>
        <w:t xml:space="preserve">Solicito la expresión documental en la que conste el programa de obra relativo a la pavimentación de la calle “Linda Vista”, Ubicada en Colonia San Felipe </w:t>
      </w:r>
      <w:proofErr w:type="spellStart"/>
      <w:r>
        <w:rPr>
          <w:rFonts w:ascii="Palatino Linotype" w:eastAsia="Palatino Linotype" w:hAnsi="Palatino Linotype" w:cs="Palatino Linotype"/>
          <w:i/>
          <w:color w:val="000000"/>
          <w:sz w:val="20"/>
          <w:szCs w:val="20"/>
        </w:rPr>
        <w:t>Tlalmimilolpan</w:t>
      </w:r>
      <w:proofErr w:type="spellEnd"/>
      <w:r>
        <w:rPr>
          <w:rFonts w:ascii="Palatino Linotype" w:eastAsia="Palatino Linotype" w:hAnsi="Palatino Linotype" w:cs="Palatino Linotype"/>
          <w:i/>
          <w:color w:val="000000"/>
          <w:sz w:val="20"/>
          <w:szCs w:val="20"/>
        </w:rPr>
        <w:t>, Código Postal: 50250, Toluca, Estado de México. Así como saber la fecha en la que se tiene programado la ejecución del mismo.</w:t>
      </w:r>
      <w:r>
        <w:rPr>
          <w:rFonts w:ascii="Palatino Linotype" w:eastAsia="Palatino Linotype" w:hAnsi="Palatino Linotype" w:cs="Palatino Linotype"/>
          <w:i/>
          <w:sz w:val="20"/>
          <w:szCs w:val="20"/>
        </w:rPr>
        <w:t>” (Sic)</w:t>
      </w:r>
    </w:p>
    <w:p w:rsidR="00BE6800" w:rsidRDefault="00BE6800">
      <w:pPr>
        <w:tabs>
          <w:tab w:val="left" w:pos="4667"/>
        </w:tabs>
        <w:spacing w:after="0" w:line="360" w:lineRule="auto"/>
        <w:ind w:left="567" w:right="567"/>
        <w:jc w:val="both"/>
        <w:rPr>
          <w:rFonts w:ascii="Palatino Linotype" w:eastAsia="Palatino Linotype" w:hAnsi="Palatino Linotype" w:cs="Palatino Linotype"/>
          <w:i/>
          <w:sz w:val="20"/>
          <w:szCs w:val="20"/>
        </w:rPr>
      </w:pPr>
    </w:p>
    <w:p w:rsidR="00BE6800" w:rsidRDefault="00D079A5">
      <w:pPr>
        <w:tabs>
          <w:tab w:val="left" w:pos="4667"/>
        </w:tabs>
        <w:spacing w:after="0" w:line="360" w:lineRule="auto"/>
        <w:ind w:left="567" w:right="567"/>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“Modalidad de Entrega: </w:t>
      </w:r>
    </w:p>
    <w:p w:rsidR="00BE6800" w:rsidRDefault="00D079A5">
      <w:pPr>
        <w:tabs>
          <w:tab w:val="left" w:pos="567"/>
        </w:tabs>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lastRenderedPageBreak/>
        <w:t xml:space="preserve"> </w:t>
      </w:r>
      <w:r>
        <w:rPr>
          <w:rFonts w:ascii="Palatino Linotype" w:eastAsia="Palatino Linotype" w:hAnsi="Palatino Linotype" w:cs="Palatino Linotype"/>
          <w:i/>
          <w:sz w:val="20"/>
          <w:szCs w:val="20"/>
        </w:rPr>
        <w:t xml:space="preserve">A través de SAIMEX” </w:t>
      </w:r>
    </w:p>
    <w:p w:rsidR="00BE6800" w:rsidRDefault="00D079A5">
      <w:pPr>
        <w:pBdr>
          <w:top w:val="nil"/>
          <w:left w:val="nil"/>
          <w:bottom w:val="nil"/>
          <w:right w:val="nil"/>
          <w:between w:val="nil"/>
        </w:pBdr>
        <w:spacing w:after="0" w:line="360" w:lineRule="auto"/>
        <w:ind w:right="-30"/>
        <w:jc w:val="both"/>
        <w:rPr>
          <w:rFonts w:ascii="Palatino Linotype" w:eastAsia="Palatino Linotype" w:hAnsi="Palatino Linotype" w:cs="Palatino Linotype"/>
          <w:i/>
          <w:color w:val="000000"/>
          <w:sz w:val="20"/>
          <w:szCs w:val="20"/>
        </w:rPr>
      </w:pPr>
      <w:bookmarkStart w:id="1" w:name="_heading=h.30j0zll" w:colFirst="0" w:colLast="0"/>
      <w:bookmarkEnd w:id="1"/>
      <w:r>
        <w:rPr>
          <w:rFonts w:ascii="Palatino Linotype" w:eastAsia="Palatino Linotype" w:hAnsi="Palatino Linotype" w:cs="Palatino Linotype"/>
          <w:b/>
          <w:color w:val="000000"/>
        </w:rPr>
        <w:t xml:space="preserve">II. </w:t>
      </w:r>
      <w:r>
        <w:rPr>
          <w:rFonts w:ascii="Palatino Linotype" w:eastAsia="Palatino Linotype" w:hAnsi="Palatino Linotype" w:cs="Palatino Linotype"/>
          <w:b/>
          <w:color w:val="000000"/>
          <w:sz w:val="24"/>
          <w:szCs w:val="24"/>
        </w:rPr>
        <w:t>Respuesta del Sujeto Obligado</w:t>
      </w:r>
    </w:p>
    <w:p w:rsidR="00BE6800" w:rsidRDefault="00BE6800">
      <w:pPr>
        <w:tabs>
          <w:tab w:val="left" w:pos="4667"/>
        </w:tabs>
        <w:spacing w:after="0" w:line="360" w:lineRule="auto"/>
        <w:ind w:right="567"/>
        <w:jc w:val="both"/>
        <w:rPr>
          <w:rFonts w:ascii="Palatino Linotype" w:eastAsia="Palatino Linotype" w:hAnsi="Palatino Linotype" w:cs="Palatino Linotype"/>
          <w:b/>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fecha veinticinco de noviembre de dos mil veinticuatro, el</w:t>
      </w:r>
      <w:r>
        <w:rPr>
          <w:rFonts w:ascii="Palatino Linotype" w:eastAsia="Palatino Linotype" w:hAnsi="Palatino Linotype" w:cs="Palatino Linotype"/>
          <w:b/>
        </w:rPr>
        <w:t xml:space="preserve"> </w:t>
      </w:r>
      <w:r>
        <w:rPr>
          <w:rFonts w:ascii="Palatino Linotype" w:eastAsia="Palatino Linotype" w:hAnsi="Palatino Linotype" w:cs="Palatino Linotype"/>
        </w:rPr>
        <w:t>Sujeto Obligado dio respuesta a la solicitud de acceso a la información a través del Sistema de Acceso a la Información Mexiquense (SAIMEX), mediante un oficio sin número, de fecha de su presentación suscrito por la Titular de la Unidad de Transparencia, dirigido al Solicitante, por medio del cual manifiesta y expone esencialmente lo siguiente:</w:t>
      </w:r>
    </w:p>
    <w:p w:rsidR="00BE6800" w:rsidRDefault="00BE6800">
      <w:pPr>
        <w:spacing w:after="0" w:line="360" w:lineRule="auto"/>
        <w:jc w:val="both"/>
        <w:rPr>
          <w:rFonts w:ascii="Palatino Linotype" w:eastAsia="Palatino Linotype" w:hAnsi="Palatino Linotype" w:cs="Palatino Linotype"/>
        </w:rPr>
      </w:pPr>
    </w:p>
    <w:p w:rsidR="00BE6800" w:rsidRDefault="00D079A5">
      <w:pPr>
        <w:spacing w:after="0" w:line="360" w:lineRule="auto"/>
        <w:ind w:left="567" w:right="567"/>
        <w:jc w:val="both"/>
        <w:rPr>
          <w:rFonts w:ascii="Palatino Linotype" w:eastAsia="Palatino Linotype" w:hAnsi="Palatino Linotype" w:cs="Palatino Linotype"/>
          <w:i/>
          <w:sz w:val="20"/>
          <w:szCs w:val="20"/>
        </w:rPr>
      </w:pPr>
      <w:bookmarkStart w:id="2" w:name="_heading=h.1fob9te" w:colFirst="0" w:colLast="0"/>
      <w:bookmarkEnd w:id="2"/>
      <w:r>
        <w:rPr>
          <w:rFonts w:ascii="Palatino Linotype" w:eastAsia="Palatino Linotype" w:hAnsi="Palatino Linotype" w:cs="Palatino Linotype"/>
          <w:i/>
          <w:sz w:val="20"/>
          <w:szCs w:val="20"/>
        </w:rPr>
        <w:t xml:space="preserve">“…hago de su conocimiento que la Dirección General de Desarrollo Urbano, Ordenamiento Territorial y Obras Públicas y Servidor Público Habilitado, informó que se realizó una búsqueda exhaustiva y razonable a los archivos tanto físicos y digitales que obran en esta Dirección, de la cual se concluyó que no se ha generado, poseído ni administrado documento que </w:t>
      </w:r>
      <w:proofErr w:type="spellStart"/>
      <w:r>
        <w:rPr>
          <w:rFonts w:ascii="Palatino Linotype" w:eastAsia="Palatino Linotype" w:hAnsi="Palatino Linotype" w:cs="Palatino Linotype"/>
          <w:i/>
          <w:sz w:val="20"/>
          <w:szCs w:val="20"/>
        </w:rPr>
        <w:t>de</w:t>
      </w:r>
      <w:proofErr w:type="spellEnd"/>
      <w:r>
        <w:rPr>
          <w:rFonts w:ascii="Palatino Linotype" w:eastAsia="Palatino Linotype" w:hAnsi="Palatino Linotype" w:cs="Palatino Linotype"/>
          <w:i/>
          <w:sz w:val="20"/>
          <w:szCs w:val="20"/>
        </w:rPr>
        <w:t xml:space="preserve"> cuenta d la obra indicada por el peticionario…”</w:t>
      </w:r>
    </w:p>
    <w:p w:rsidR="00BE6800" w:rsidRDefault="00BE6800">
      <w:pPr>
        <w:spacing w:after="0" w:line="360" w:lineRule="auto"/>
        <w:ind w:right="-28"/>
        <w:jc w:val="both"/>
        <w:rPr>
          <w:rFonts w:ascii="Palatino Linotype" w:eastAsia="Palatino Linotype" w:hAnsi="Palatino Linotype" w:cs="Palatino Linotype"/>
          <w:b/>
        </w:rPr>
      </w:pPr>
    </w:p>
    <w:p w:rsidR="00BE6800" w:rsidRDefault="00D079A5">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III. Interposición del Recurso de Revisión</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 fecha veintiséis de noviembre de dos mil veinticuatro se recibió en este Instituto, a través del Sistema de Acceso a la Información Mexiquense (SAIMEX), el Recurso de Revisión interpuesto por la parte Recurrente, en contra de la respuesta del Sujeto Obligado, en los siguientes términos:</w:t>
      </w:r>
    </w:p>
    <w:p w:rsidR="00BE6800" w:rsidRDefault="00BE6800">
      <w:pPr>
        <w:spacing w:after="0" w:line="360" w:lineRule="auto"/>
        <w:ind w:right="-28"/>
        <w:jc w:val="both"/>
        <w:rPr>
          <w:rFonts w:ascii="Palatino Linotype" w:eastAsia="Palatino Linotype" w:hAnsi="Palatino Linotype" w:cs="Palatino Linotype"/>
          <w:i/>
        </w:rPr>
      </w:pPr>
    </w:p>
    <w:p w:rsidR="00BE6800" w:rsidRDefault="00D079A5">
      <w:pPr>
        <w:tabs>
          <w:tab w:val="left" w:pos="4667"/>
        </w:tabs>
        <w:spacing w:after="0" w:line="360" w:lineRule="auto"/>
        <w:ind w:left="567" w:right="567"/>
        <w:jc w:val="both"/>
        <w:rPr>
          <w:rFonts w:ascii="Palatino Linotype" w:eastAsia="Palatino Linotype" w:hAnsi="Palatino Linotype" w:cs="Palatino Linotype"/>
          <w:b/>
          <w:i/>
          <w:sz w:val="20"/>
          <w:szCs w:val="20"/>
        </w:rPr>
      </w:pPr>
      <w:bookmarkStart w:id="3" w:name="_heading=h.3znysh7" w:colFirst="0" w:colLast="0"/>
      <w:bookmarkEnd w:id="3"/>
      <w:r>
        <w:rPr>
          <w:rFonts w:ascii="Palatino Linotype" w:eastAsia="Palatino Linotype" w:hAnsi="Palatino Linotype" w:cs="Palatino Linotype"/>
          <w:b/>
          <w:i/>
          <w:sz w:val="20"/>
          <w:szCs w:val="20"/>
        </w:rPr>
        <w:t>“ACTO IMPUGNADO</w:t>
      </w:r>
    </w:p>
    <w:p w:rsidR="00BE6800" w:rsidRDefault="00D079A5">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La respuesta otorgada”  (Sic.)</w:t>
      </w:r>
    </w:p>
    <w:p w:rsidR="00BE6800" w:rsidRDefault="00BE6800">
      <w:pPr>
        <w:tabs>
          <w:tab w:val="left" w:pos="4667"/>
        </w:tabs>
        <w:spacing w:after="0" w:line="360" w:lineRule="auto"/>
        <w:ind w:left="567" w:right="567"/>
        <w:jc w:val="both"/>
        <w:rPr>
          <w:rFonts w:ascii="Palatino Linotype" w:eastAsia="Palatino Linotype" w:hAnsi="Palatino Linotype" w:cs="Palatino Linotype"/>
          <w:i/>
          <w:sz w:val="20"/>
          <w:szCs w:val="20"/>
        </w:rPr>
      </w:pPr>
    </w:p>
    <w:p w:rsidR="00BE6800" w:rsidRDefault="00D079A5">
      <w:pPr>
        <w:tabs>
          <w:tab w:val="left" w:pos="4667"/>
        </w:tabs>
        <w:spacing w:after="0" w:line="360" w:lineRule="auto"/>
        <w:ind w:left="567" w:right="567"/>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“RAZONES O MOTIVOS DE LA INCONFORMIDAD</w:t>
      </w:r>
    </w:p>
    <w:p w:rsidR="00BE6800" w:rsidRDefault="00D079A5">
      <w:pPr>
        <w:spacing w:after="0" w:line="360" w:lineRule="auto"/>
        <w:ind w:left="567" w:right="567"/>
        <w:jc w:val="both"/>
        <w:rPr>
          <w:rFonts w:ascii="Palatino Linotype" w:eastAsia="Palatino Linotype" w:hAnsi="Palatino Linotype" w:cs="Palatino Linotype"/>
          <w:i/>
          <w:sz w:val="20"/>
          <w:szCs w:val="20"/>
        </w:rPr>
      </w:pPr>
      <w:r>
        <w:rPr>
          <w:rFonts w:ascii="Palatino Linotype" w:eastAsia="Palatino Linotype" w:hAnsi="Palatino Linotype" w:cs="Palatino Linotype"/>
          <w:i/>
          <w:color w:val="000000"/>
          <w:sz w:val="20"/>
          <w:szCs w:val="20"/>
        </w:rPr>
        <w:lastRenderedPageBreak/>
        <w:t>Si bien se remite el documento donde contestan que no se ha generado o poseído la información, cabe destacar que la rehabilitación de calles es una atribución del Municipio a través de la Dirección General de Desarrollo Urbano, Ordenamiento Territorial y Obras Públicas. En su caso, se solicita el acuerdo de inexistencia en el que motive el por qué no se ha ejercido dicha función.</w:t>
      </w:r>
      <w:r>
        <w:rPr>
          <w:rFonts w:ascii="Palatino Linotype" w:eastAsia="Palatino Linotype" w:hAnsi="Palatino Linotype" w:cs="Palatino Linotype"/>
          <w:i/>
          <w:sz w:val="20"/>
          <w:szCs w:val="20"/>
        </w:rPr>
        <w:t>” (Sic)</w:t>
      </w:r>
    </w:p>
    <w:p w:rsidR="00BE6800" w:rsidRDefault="00BE6800">
      <w:pPr>
        <w:spacing w:after="0" w:line="360" w:lineRule="auto"/>
        <w:ind w:right="-28"/>
        <w:jc w:val="both"/>
        <w:rPr>
          <w:rFonts w:ascii="Palatino Linotype" w:eastAsia="Palatino Linotype" w:hAnsi="Palatino Linotype" w:cs="Palatino Linotype"/>
          <w:b/>
        </w:rPr>
      </w:pPr>
    </w:p>
    <w:p w:rsidR="00BE6800" w:rsidRDefault="00D079A5">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IV. Trámite del Recurso de Revisión ante el Instituto</w:t>
      </w:r>
    </w:p>
    <w:p w:rsidR="00BE6800" w:rsidRDefault="00BE6800">
      <w:pPr>
        <w:spacing w:after="0" w:line="360" w:lineRule="auto"/>
        <w:ind w:right="-28"/>
        <w:jc w:val="both"/>
        <w:rPr>
          <w:rFonts w:ascii="Palatino Linotype" w:eastAsia="Palatino Linotype" w:hAnsi="Palatino Linotype" w:cs="Palatino Linotype"/>
          <w:b/>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b/>
        </w:rPr>
        <w:t xml:space="preserve">a) Turno del Recurso de Revisión. </w:t>
      </w:r>
      <w:r>
        <w:rPr>
          <w:rFonts w:ascii="Palatino Linotype" w:eastAsia="Palatino Linotype" w:hAnsi="Palatino Linotype" w:cs="Palatino Linotype"/>
        </w:rPr>
        <w:t xml:space="preserve">El veintiséis de noviembre de dos mil veinticuatro, el Sistema de Acceso a la Información Mexiquense (SAIMEX), asignó el número de expediente </w:t>
      </w:r>
      <w:r>
        <w:rPr>
          <w:rFonts w:ascii="Palatino Linotype" w:eastAsia="Palatino Linotype" w:hAnsi="Palatino Linotype" w:cs="Palatino Linotype"/>
          <w:b/>
        </w:rPr>
        <w:t xml:space="preserve">07356/INFOEM/IP/RR/2024, </w:t>
      </w:r>
      <w:r>
        <w:rPr>
          <w:rFonts w:ascii="Palatino Linotype" w:eastAsia="Palatino Linotype" w:hAnsi="Palatino Linotype" w:cs="Palatino Linotype"/>
        </w:rPr>
        <w:t xml:space="preserve">al Recurso de Revisión y lo turnó al Comisionado Ponente </w:t>
      </w:r>
      <w:r>
        <w:rPr>
          <w:rFonts w:ascii="Palatino Linotype" w:eastAsia="Palatino Linotype" w:hAnsi="Palatino Linotype" w:cs="Palatino Linotype"/>
          <w:b/>
        </w:rPr>
        <w:t>Luis Gustavo Parra Noriega</w:t>
      </w:r>
      <w:r>
        <w:rPr>
          <w:rFonts w:ascii="Palatino Linotype" w:eastAsia="Palatino Linotype" w:hAnsi="Palatino Linotype" w:cs="Palatino Linotype"/>
        </w:rPr>
        <w:t>, para los efectos del artículo 185, fracción I, de la Ley de Transparencia y Acceso a la Información Pública del Estado de México y Municipios.</w:t>
      </w:r>
    </w:p>
    <w:p w:rsidR="00BE6800" w:rsidRDefault="00BE6800">
      <w:pPr>
        <w:spacing w:after="0" w:line="360" w:lineRule="auto"/>
        <w:ind w:right="-28"/>
        <w:jc w:val="both"/>
        <w:rPr>
          <w:rFonts w:ascii="Palatino Linotype" w:eastAsia="Palatino Linotype" w:hAnsi="Palatino Linotype" w:cs="Palatino Linotype"/>
          <w:b/>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b) Admisión del Recurso de Revisión. </w:t>
      </w:r>
      <w:r>
        <w:rPr>
          <w:rFonts w:ascii="Palatino Linotype" w:eastAsia="Palatino Linotype" w:hAnsi="Palatino Linotype" w:cs="Palatino Linotype"/>
        </w:rPr>
        <w:t>El veintinueve de noviembre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BE6800" w:rsidRDefault="00BE6800">
      <w:pPr>
        <w:spacing w:after="0" w:line="360" w:lineRule="auto"/>
        <w:jc w:val="both"/>
        <w:rPr>
          <w:rFonts w:ascii="Palatino Linotype" w:eastAsia="Palatino Linotype" w:hAnsi="Palatino Linotype" w:cs="Palatino Linotype"/>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 Informe Justificado.</w:t>
      </w:r>
      <w:r>
        <w:t xml:space="preserve"> </w:t>
      </w:r>
      <w:r>
        <w:rPr>
          <w:rFonts w:ascii="Palatino Linotype" w:eastAsia="Palatino Linotype" w:hAnsi="Palatino Linotype" w:cs="Palatino Linotype"/>
        </w:rPr>
        <w:t xml:space="preserve">El once de diciembre de dos mil veinticuatro, se recibió en este Instituto, a través del Sistema de Acceso a la Información Mexiquense (SAIMEX), el Informe Justificado del Sujeto Obligado, por medio del oficio número 2010A4000/UT/RR/0591/2024, de fecha de su recepción, suscrito por la Titular de la Unidad de Transparencia, dirigido al </w:t>
      </w:r>
      <w:r>
        <w:rPr>
          <w:rFonts w:ascii="Palatino Linotype" w:eastAsia="Palatino Linotype" w:hAnsi="Palatino Linotype" w:cs="Palatino Linotype"/>
        </w:rPr>
        <w:lastRenderedPageBreak/>
        <w:t>Comisionado Ponente, por medio del cual esencialmente ratifica la inexistencia de la información.</w:t>
      </w:r>
    </w:p>
    <w:p w:rsidR="00BE6800" w:rsidRDefault="00BE6800">
      <w:pPr>
        <w:spacing w:after="0" w:line="360" w:lineRule="auto"/>
        <w:jc w:val="both"/>
        <w:rPr>
          <w:rFonts w:ascii="Palatino Linotype" w:eastAsia="Palatino Linotype" w:hAnsi="Palatino Linotype" w:cs="Palatino Linotype"/>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d) Vista de Informe Justificado. </w:t>
      </w:r>
      <w:r>
        <w:rPr>
          <w:rFonts w:ascii="Palatino Linotype" w:eastAsia="Palatino Linotype" w:hAnsi="Palatino Linotype" w:cs="Palatino Linotype"/>
        </w:rPr>
        <w:t>El once de diciembre de dos mil veinticuatro,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rsidR="00BE6800" w:rsidRDefault="00BE6800">
      <w:pPr>
        <w:spacing w:after="0" w:line="360" w:lineRule="auto"/>
        <w:jc w:val="both"/>
        <w:rPr>
          <w:rFonts w:ascii="Palatino Linotype" w:eastAsia="Palatino Linotype" w:hAnsi="Palatino Linotype" w:cs="Palatino Linotype"/>
          <w:b/>
        </w:rPr>
      </w:pPr>
    </w:p>
    <w:p w:rsidR="00BE6800" w:rsidRDefault="00D079A5">
      <w:p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e) Cierre de instrucción. </w:t>
      </w:r>
      <w:r>
        <w:rPr>
          <w:rFonts w:ascii="Palatino Linotype" w:eastAsia="Palatino Linotype" w:hAnsi="Palatino Linotype" w:cs="Palatino Linotype"/>
        </w:rPr>
        <w:t>El diecisiete de diciembre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diecinueve de dicho mes y año, a través del Sistema de Acceso a la Información Mexiquense (SAIMEX).</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a los siguientes:</w:t>
      </w:r>
    </w:p>
    <w:p w:rsidR="00BE6800" w:rsidRDefault="00BE6800">
      <w:pPr>
        <w:spacing w:after="0" w:line="360" w:lineRule="auto"/>
        <w:ind w:right="-28"/>
        <w:jc w:val="both"/>
        <w:rPr>
          <w:rFonts w:ascii="Palatino Linotype" w:eastAsia="Palatino Linotype" w:hAnsi="Palatino Linotype" w:cs="Palatino Linotype"/>
          <w:color w:val="000000"/>
        </w:rPr>
      </w:pPr>
    </w:p>
    <w:p w:rsidR="00BE6800" w:rsidRDefault="00D079A5">
      <w:pPr>
        <w:spacing w:after="0" w:line="360" w:lineRule="auto"/>
        <w:ind w:right="-28"/>
        <w:jc w:val="center"/>
        <w:rPr>
          <w:rFonts w:ascii="Palatino Linotype" w:eastAsia="Palatino Linotype" w:hAnsi="Palatino Linotype" w:cs="Palatino Linotype"/>
          <w:b/>
        </w:rPr>
      </w:pPr>
      <w:r>
        <w:rPr>
          <w:rFonts w:ascii="Palatino Linotype" w:eastAsia="Palatino Linotype" w:hAnsi="Palatino Linotype" w:cs="Palatino Linotype"/>
          <w:b/>
        </w:rPr>
        <w:t>C O N S I D E R A N D O S</w:t>
      </w:r>
    </w:p>
    <w:p w:rsidR="00BE6800" w:rsidRDefault="00BE6800">
      <w:pPr>
        <w:spacing w:after="0" w:line="360" w:lineRule="auto"/>
        <w:ind w:right="-28"/>
        <w:jc w:val="center"/>
        <w:rPr>
          <w:rFonts w:ascii="Palatino Linotype" w:eastAsia="Palatino Linotype" w:hAnsi="Palatino Linotype" w:cs="Palatino Linotype"/>
          <w:b/>
        </w:rPr>
      </w:pPr>
    </w:p>
    <w:p w:rsidR="00BE6800" w:rsidRDefault="00D079A5">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color w:val="000000"/>
        </w:rPr>
        <w:t>PRIMERO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Competencia</w:t>
      </w:r>
    </w:p>
    <w:p w:rsidR="00BE6800" w:rsidRDefault="00BE6800">
      <w:pPr>
        <w:spacing w:after="0" w:line="360" w:lineRule="auto"/>
        <w:ind w:right="-28"/>
        <w:jc w:val="both"/>
        <w:rPr>
          <w:rFonts w:ascii="Palatino Linotype" w:eastAsia="Palatino Linotype" w:hAnsi="Palatino Linotype" w:cs="Palatino Linotype"/>
          <w:b/>
        </w:rPr>
      </w:pPr>
    </w:p>
    <w:p w:rsidR="00BE6800" w:rsidRDefault="00D079A5">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color w:val="000000"/>
        </w:rPr>
        <w:t xml:space="preserve"> 7°, </w:t>
      </w:r>
      <w:r>
        <w:rPr>
          <w:rFonts w:ascii="Palatino Linotype" w:eastAsia="Palatino Linotype" w:hAnsi="Palatino Linotype" w:cs="Palatino Linotype"/>
          <w:color w:val="000000"/>
        </w:rPr>
        <w:t>9°, fracciones I y XXIII y 11 del Reglamento Interior del Instituto de Transparencia, Acceso a la Información Pública y Protección de Datos Personales del Estado de México y Municipios.</w:t>
      </w:r>
    </w:p>
    <w:p w:rsidR="00BE6800" w:rsidRDefault="00BE6800">
      <w:pPr>
        <w:spacing w:after="0" w:line="360" w:lineRule="auto"/>
        <w:ind w:right="-28"/>
        <w:jc w:val="both"/>
        <w:rPr>
          <w:rFonts w:ascii="Palatino Linotype" w:eastAsia="Palatino Linotype" w:hAnsi="Palatino Linotype" w:cs="Palatino Linotype"/>
          <w:color w:val="000000"/>
        </w:rPr>
      </w:pPr>
    </w:p>
    <w:p w:rsidR="00BE6800" w:rsidRDefault="00D079A5">
      <w:pPr>
        <w:spacing w:after="0" w:line="360" w:lineRule="auto"/>
        <w:ind w:right="-2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SEGUNDO. Causales de improcedencia y sobreseimiento</w:t>
      </w:r>
    </w:p>
    <w:p w:rsidR="00BE6800" w:rsidRDefault="00BE6800">
      <w:pPr>
        <w:spacing w:after="0" w:line="360" w:lineRule="auto"/>
        <w:jc w:val="both"/>
        <w:rPr>
          <w:rFonts w:ascii="Palatino Linotype" w:eastAsia="Palatino Linotype" w:hAnsi="Palatino Linotype" w:cs="Palatino Linotype"/>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rPr>
        <w:t>litis</w:t>
      </w:r>
      <w:proofErr w:type="spellEnd"/>
      <w:r>
        <w:rPr>
          <w:rFonts w:ascii="Palatino Linotype" w:eastAsia="Palatino Linotype" w:hAnsi="Palatino Linotype" w:cs="Palatino Linotype"/>
        </w:rPr>
        <w:t>, es necesario estudiar las causales de improcedencia, para determinar lo que en Derecho proceda.</w:t>
      </w:r>
    </w:p>
    <w:p w:rsidR="00BE6800" w:rsidRDefault="00BE6800">
      <w:pPr>
        <w:spacing w:after="0" w:line="360" w:lineRule="auto"/>
        <w:jc w:val="both"/>
        <w:rPr>
          <w:rFonts w:ascii="Palatino Linotype" w:eastAsia="Palatino Linotype" w:hAnsi="Palatino Linotype" w:cs="Palatino Linotype"/>
        </w:rPr>
      </w:pPr>
    </w:p>
    <w:p w:rsidR="00BE6800" w:rsidRDefault="00D079A5">
      <w:pP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Causales de improcedencia</w:t>
      </w:r>
    </w:p>
    <w:p w:rsidR="00BE6800" w:rsidRDefault="00BE6800">
      <w:pPr>
        <w:spacing w:after="0" w:line="360" w:lineRule="auto"/>
        <w:jc w:val="both"/>
        <w:rPr>
          <w:rFonts w:ascii="Palatino Linotype" w:eastAsia="Palatino Linotype" w:hAnsi="Palatino Linotype" w:cs="Palatino Linotype"/>
          <w:color w:val="000000"/>
        </w:rPr>
      </w:pPr>
    </w:p>
    <w:p w:rsidR="00BE6800" w:rsidRDefault="00D079A5">
      <w:pP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w:t>
      </w:r>
      <w:r>
        <w:rPr>
          <w:rFonts w:ascii="Palatino Linotype" w:eastAsia="Palatino Linotype" w:hAnsi="Palatino Linotype" w:cs="Palatino Linotype"/>
          <w:color w:val="000000"/>
        </w:rPr>
        <w:lastRenderedPageBreak/>
        <w:t>tal suerte, deberá ser desechado cualquier Recurso de Revisión que actualice alguno de los supuestos establecidos en el artículo 191 de la Ley de Transparencia y Acceso a la Información Pública del Estado de México y Municipios, por ser improcedente.</w:t>
      </w:r>
    </w:p>
    <w:p w:rsidR="00BE6800" w:rsidRDefault="00BE6800">
      <w:pPr>
        <w:spacing w:after="0" w:line="360" w:lineRule="auto"/>
        <w:ind w:right="-28"/>
        <w:jc w:val="both"/>
        <w:rPr>
          <w:rFonts w:ascii="Palatino Linotype" w:eastAsia="Palatino Linotype" w:hAnsi="Palatino Linotype" w:cs="Palatino Linotype"/>
          <w:color w:val="000000"/>
        </w:rPr>
      </w:pPr>
    </w:p>
    <w:p w:rsidR="00BE6800" w:rsidRDefault="00D079A5">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En el presente caso, </w:t>
      </w:r>
      <w:r>
        <w:rPr>
          <w:rFonts w:ascii="Palatino Linotype" w:eastAsia="Palatino Linotype" w:hAnsi="Palatino Linotype" w:cs="Palatino Linotype"/>
          <w:b/>
        </w:rPr>
        <w:t>no se actualiza ninguna de las causales de improcedencia</w:t>
      </w:r>
      <w:r>
        <w:rPr>
          <w:rFonts w:ascii="Palatino Linotype" w:eastAsia="Palatino Linotype" w:hAnsi="Palatino Linotype" w:cs="Palatino Linotype"/>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Pr>
          <w:rFonts w:ascii="Palatino Linotype" w:eastAsia="Palatino Linotype" w:hAnsi="Palatino Linotype" w:cs="Palatino Linotype"/>
          <w:color w:val="000000"/>
        </w:rPr>
        <w:t>el medio de impugnación fue presentado en tiempo.</w:t>
      </w:r>
    </w:p>
    <w:p w:rsidR="00BE6800" w:rsidRDefault="00BE6800">
      <w:pPr>
        <w:spacing w:after="0" w:line="360" w:lineRule="auto"/>
        <w:jc w:val="both"/>
        <w:rPr>
          <w:rFonts w:ascii="Palatino Linotype" w:eastAsia="Palatino Linotype" w:hAnsi="Palatino Linotype" w:cs="Palatino Linotype"/>
          <w:color w:val="000000"/>
        </w:rPr>
      </w:pPr>
    </w:p>
    <w:p w:rsidR="00BE6800" w:rsidRDefault="00D079A5">
      <w:pPr>
        <w:widowControl w:val="0"/>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se actualiza la causal de procedencia del Recurso de Revisión señalada en el artículo 179, fracción III, de la Ley en cita, </w:t>
      </w:r>
      <w:r>
        <w:rPr>
          <w:rFonts w:ascii="Palatino Linotype" w:eastAsia="Palatino Linotype" w:hAnsi="Palatino Linotype" w:cs="Palatino Linotype"/>
          <w:color w:val="000000"/>
        </w:rPr>
        <w:t xml:space="preserve">pues el Recurrente se inconformó con </w:t>
      </w:r>
      <w:r>
        <w:rPr>
          <w:rFonts w:ascii="Palatino Linotype" w:eastAsia="Palatino Linotype" w:hAnsi="Palatino Linotype" w:cs="Palatino Linotype"/>
        </w:rPr>
        <w:t>la declaración de inexistencia de la información.</w:t>
      </w:r>
    </w:p>
    <w:p w:rsidR="00BE6800" w:rsidRDefault="00BE6800">
      <w:pPr>
        <w:widowControl w:val="0"/>
        <w:spacing w:after="0" w:line="360" w:lineRule="auto"/>
        <w:jc w:val="both"/>
        <w:rPr>
          <w:rFonts w:ascii="Palatino Linotype" w:eastAsia="Palatino Linotype" w:hAnsi="Palatino Linotype" w:cs="Palatino Linotype"/>
          <w:color w:val="222222"/>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Causales de sobreseimiento.</w:t>
      </w:r>
    </w:p>
    <w:p w:rsidR="00BE6800" w:rsidRDefault="00BE6800">
      <w:pPr>
        <w:spacing w:after="0" w:line="360" w:lineRule="auto"/>
        <w:jc w:val="both"/>
        <w:rPr>
          <w:rFonts w:ascii="Palatino Linotype" w:eastAsia="Palatino Linotype" w:hAnsi="Palatino Linotype" w:cs="Palatino Linotype"/>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ser de previo y especial pronunciamiento, este Instituto analiza si se actualiza alguna causal de sobreseimiento.</w:t>
      </w:r>
    </w:p>
    <w:p w:rsidR="00BE6800" w:rsidRDefault="00BE6800">
      <w:pPr>
        <w:spacing w:after="0" w:line="360" w:lineRule="auto"/>
        <w:jc w:val="both"/>
        <w:rPr>
          <w:rFonts w:ascii="Palatino Linotype" w:eastAsia="Palatino Linotype" w:hAnsi="Palatino Linotype" w:cs="Palatino Linotype"/>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w:t>
      </w:r>
      <w:r>
        <w:rPr>
          <w:rFonts w:ascii="Palatino Linotype" w:eastAsia="Palatino Linotype" w:hAnsi="Palatino Linotype" w:cs="Palatino Linotype"/>
        </w:rPr>
        <w:lastRenderedPageBreak/>
        <w:t>en el expediente en que se actúa, de que el Recurrente se haya desistido del recurso, haya fallecido, sobreviniera alguna causal de improcedencia, que el Sujeto Obligado hubiese modificado o revocado el acto impugnado o bien, haya quedado sin materia.</w:t>
      </w:r>
    </w:p>
    <w:p w:rsidR="00BE6800" w:rsidRDefault="00BE6800">
      <w:pPr>
        <w:spacing w:after="0" w:line="360" w:lineRule="auto"/>
        <w:jc w:val="both"/>
        <w:rPr>
          <w:rFonts w:ascii="Palatino Linotype" w:eastAsia="Palatino Linotype" w:hAnsi="Palatino Linotype" w:cs="Palatino Linotype"/>
        </w:rPr>
      </w:pPr>
    </w:p>
    <w:p w:rsidR="00BE6800" w:rsidRDefault="00D079A5">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tales motivos, se considera procedente entrar al fondo del presente asunto. </w:t>
      </w:r>
    </w:p>
    <w:p w:rsidR="00BE6800" w:rsidRDefault="00BE6800">
      <w:pPr>
        <w:tabs>
          <w:tab w:val="left" w:pos="4962"/>
        </w:tabs>
        <w:spacing w:after="0" w:line="360" w:lineRule="auto"/>
        <w:ind w:right="-28"/>
        <w:jc w:val="both"/>
        <w:rPr>
          <w:rFonts w:ascii="Palatino Linotype" w:eastAsia="Palatino Linotype" w:hAnsi="Palatino Linotype" w:cs="Palatino Linotype"/>
          <w:b/>
        </w:rPr>
      </w:pPr>
    </w:p>
    <w:p w:rsidR="00BE6800" w:rsidRDefault="00D079A5">
      <w:pPr>
        <w:tabs>
          <w:tab w:val="left" w:pos="4962"/>
        </w:tabs>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TERCERO. Determinación de la Controversia</w:t>
      </w:r>
    </w:p>
    <w:p w:rsidR="00BE6800" w:rsidRDefault="00BE6800">
      <w:pPr>
        <w:tabs>
          <w:tab w:val="left" w:pos="4962"/>
        </w:tabs>
        <w:spacing w:after="0" w:line="360" w:lineRule="auto"/>
        <w:ind w:right="-28"/>
        <w:jc w:val="both"/>
        <w:rPr>
          <w:rFonts w:ascii="Palatino Linotype" w:eastAsia="Palatino Linotype" w:hAnsi="Palatino Linotype" w:cs="Palatino Linotype"/>
        </w:rPr>
      </w:pPr>
    </w:p>
    <w:p w:rsidR="00BE6800" w:rsidRDefault="00D079A5">
      <w:pPr>
        <w:tabs>
          <w:tab w:val="left" w:pos="4962"/>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Una vez realizado el estudio de las constancias que integran el expediente en que se actúa, se desprende que el Particular solicitó, el programa de obra de pavimentación de la Calle “Linda Vista”, en la Delegación de San Felipe </w:t>
      </w:r>
      <w:proofErr w:type="spellStart"/>
      <w:r>
        <w:rPr>
          <w:rFonts w:ascii="Palatino Linotype" w:eastAsia="Palatino Linotype" w:hAnsi="Palatino Linotype" w:cs="Palatino Linotype"/>
        </w:rPr>
        <w:t>Tlalmimilolpan</w:t>
      </w:r>
      <w:proofErr w:type="spellEnd"/>
      <w:r>
        <w:rPr>
          <w:rFonts w:ascii="Palatino Linotype" w:eastAsia="Palatino Linotype" w:hAnsi="Palatino Linotype" w:cs="Palatino Linotype"/>
        </w:rPr>
        <w:t>, así como, su fecha de ejecución.</w:t>
      </w:r>
    </w:p>
    <w:p w:rsidR="00BE6800" w:rsidRDefault="00BE6800">
      <w:pPr>
        <w:tabs>
          <w:tab w:val="left" w:pos="4962"/>
        </w:tabs>
        <w:spacing w:after="0" w:line="360" w:lineRule="auto"/>
        <w:ind w:right="-28"/>
        <w:jc w:val="both"/>
        <w:rPr>
          <w:rFonts w:ascii="Palatino Linotype" w:eastAsia="Palatino Linotype" w:hAnsi="Palatino Linotype" w:cs="Palatino Linotype"/>
        </w:rPr>
      </w:pPr>
    </w:p>
    <w:p w:rsidR="00BE6800" w:rsidRDefault="00D079A5">
      <w:pPr>
        <w:tabs>
          <w:tab w:val="left" w:pos="4667"/>
        </w:tabs>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En respuesta, el Sujeto Obligado a través de la Dirección General de Desarrollo Urbano, Ordenamiento Territorial y Obras Públicas, indicó que después de realizar una búsqueda exhaustiva y razonable en sus archivos tanto físicos, como digitales, la información no había sido generada, poseída o administrada, por lo que no contaban con documentos que dieran cuenta de la realización de la obra solicitada; ante dicha circunstancia, la parte Recurrente se inconformó de la declaración de inexistencia de la información</w:t>
      </w:r>
      <w:r>
        <w:rPr>
          <w:rFonts w:ascii="Palatino Linotype" w:eastAsia="Palatino Linotype" w:hAnsi="Palatino Linotype" w:cs="Palatino Linotype"/>
          <w:color w:val="000000"/>
        </w:rPr>
        <w:t xml:space="preserve">, lo cual actualiza el supuesto previsto en el artículo 179, fracción III, de la Ley de Transparencia y Acceso a la Información Pública del Estado de México y Municipios. Así las cosas, una vez admitido y notificado el Recurso de Revisión a las partes, el Sujeto Obligado ratificó su respuesta y señaló que en el presente caso se actualizaba el supuesto previsto en el artículo 19, párrafo segundo, de la Ley de la materia. </w:t>
      </w:r>
    </w:p>
    <w:p w:rsidR="00BE6800" w:rsidRDefault="00BE6800">
      <w:pPr>
        <w:tabs>
          <w:tab w:val="left" w:pos="4667"/>
        </w:tabs>
        <w:spacing w:after="0" w:line="360" w:lineRule="auto"/>
        <w:jc w:val="both"/>
        <w:rPr>
          <w:rFonts w:ascii="Palatino Linotype" w:eastAsia="Palatino Linotype" w:hAnsi="Palatino Linotype" w:cs="Palatino Linotype"/>
          <w:color w:val="000000"/>
        </w:rPr>
      </w:pPr>
    </w:p>
    <w:p w:rsidR="00BE6800" w:rsidRDefault="00D079A5">
      <w:pPr>
        <w:tabs>
          <w:tab w:val="left" w:pos="4667"/>
        </w:tabs>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Lo anterior, se desprende de las documentales que obran en el expediente de referencia, materia de la presente resolución, consistentes en: la solicitud de acceso a la información; la </w:t>
      </w:r>
      <w:r>
        <w:rPr>
          <w:rFonts w:ascii="Palatino Linotype" w:eastAsia="Palatino Linotype" w:hAnsi="Palatino Linotype" w:cs="Palatino Linotype"/>
        </w:rPr>
        <w:lastRenderedPageBreak/>
        <w:t xml:space="preserve">respuesta proporcionada por el Sujeto Obligado,  y el escrito </w:t>
      </w:r>
      <w:proofErr w:type="spellStart"/>
      <w:r>
        <w:rPr>
          <w:rFonts w:ascii="Palatino Linotype" w:eastAsia="Palatino Linotype" w:hAnsi="Palatino Linotype" w:cs="Palatino Linotype"/>
        </w:rPr>
        <w:t>recursal</w:t>
      </w:r>
      <w:proofErr w:type="spellEnd"/>
      <w:r>
        <w:rPr>
          <w:rFonts w:ascii="Palatino Linotype" w:eastAsia="Palatino Linotype" w:hAnsi="Palatino Linotype" w:cs="Palatino Linotype"/>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rsidR="00BE6800" w:rsidRDefault="00BE6800">
      <w:pPr>
        <w:tabs>
          <w:tab w:val="left" w:pos="4962"/>
        </w:tabs>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CUARTO. Marco normativo aplicable en materia de transparencia y acceso a la información pública</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Por su parte, la Ley de Transparencia y Acceso a la Información Pública del Estado de México y Municipios (Reglamentaria del artículo 5° de la Constitución Local), establece lo siguiente:</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lastRenderedPageBreak/>
        <w:t>El artículo 12, que, quienes generen, recopilen, administren, manejen, procesen, archiven o conserven información pública serán responsables de la misma.</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El artículo 18, que, los Sujetos Obligados deberán documentar todo acto que derive del ejercicio de sus facultades, competencias o funciones, considerando desde su origen la eventual publicidad y reutilización de la información que generen.</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BE6800" w:rsidRDefault="00BE6800">
      <w:pPr>
        <w:spacing w:after="0" w:line="360" w:lineRule="auto"/>
        <w:ind w:right="-28"/>
        <w:jc w:val="both"/>
        <w:rPr>
          <w:rFonts w:ascii="Palatino Linotype" w:eastAsia="Palatino Linotype" w:hAnsi="Palatino Linotype" w:cs="Palatino Linotype"/>
          <w:b/>
        </w:rPr>
      </w:pPr>
    </w:p>
    <w:p w:rsidR="00BE6800" w:rsidRDefault="00D079A5">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b/>
        </w:rPr>
        <w:t>QUINTO. Estudio de Fondo</w:t>
      </w:r>
    </w:p>
    <w:p w:rsidR="00BE6800" w:rsidRDefault="00BE6800">
      <w:pPr>
        <w:spacing w:after="0" w:line="360" w:lineRule="auto"/>
        <w:ind w:right="-28"/>
        <w:jc w:val="both"/>
        <w:rPr>
          <w:rFonts w:ascii="Palatino Linotype" w:eastAsia="Palatino Linotype" w:hAnsi="Palatino Linotype" w:cs="Palatino Linotype"/>
          <w:b/>
        </w:rPr>
      </w:pPr>
    </w:p>
    <w:p w:rsidR="00BE6800" w:rsidRDefault="00D079A5">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Expuestas las posturas de las partes, se procede a realizar el análisis del agravio hecho valer por el ahora Recurrente, concerniente a la entrega de información que no corresponde con lo solicitado, por lo que en principio resulta necesario contextualizar la solicitud de información.</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el artículo 12.4 del Código Administrativo del Estado de México, establece que las obras públicas son aquellas cuyo objeto principal sea construir, instalar, ampliar, adecuar, remodelar, restaurar, conservar, mantener, modificar o demoler bienes inmuebles de los municipios con cargo a recursos públicos </w:t>
      </w:r>
      <w:r>
        <w:rPr>
          <w:rFonts w:ascii="Palatino Linotype" w:eastAsia="Palatino Linotype" w:hAnsi="Palatino Linotype" w:cs="Palatino Linotype"/>
          <w:b/>
        </w:rPr>
        <w:t>estatales</w:t>
      </w:r>
      <w:r>
        <w:rPr>
          <w:rFonts w:ascii="Palatino Linotype" w:eastAsia="Palatino Linotype" w:hAnsi="Palatino Linotype" w:cs="Palatino Linotype"/>
        </w:rPr>
        <w:t xml:space="preserve"> y municipales; así como los trabajos de exploración, localización y perforación, mejoramiento de suelo y subsuelo, la infraestructura agropecuaria e </w:t>
      </w:r>
      <w:proofErr w:type="spellStart"/>
      <w:r>
        <w:rPr>
          <w:rFonts w:ascii="Palatino Linotype" w:eastAsia="Palatino Linotype" w:hAnsi="Palatino Linotype" w:cs="Palatino Linotype"/>
        </w:rPr>
        <w:t>hidroagrícola</w:t>
      </w:r>
      <w:proofErr w:type="spellEnd"/>
      <w:r>
        <w:rPr>
          <w:rFonts w:ascii="Palatino Linotype" w:eastAsia="Palatino Linotype" w:hAnsi="Palatino Linotype" w:cs="Palatino Linotype"/>
        </w:rPr>
        <w:t xml:space="preserve">, entre otros. Además, conforme al artículo 12.6 de dicho ordenamiento jurídico, uno de los entes que pueden llevar a cabo contratos de obra pública o </w:t>
      </w:r>
      <w:r>
        <w:rPr>
          <w:rFonts w:ascii="Palatino Linotype" w:eastAsia="Palatino Linotype" w:hAnsi="Palatino Linotype" w:cs="Palatino Linotype"/>
        </w:rPr>
        <w:lastRenderedPageBreak/>
        <w:t>servicios relacionados con la misma, las dependencias, entidades, ayuntamientos y tribunales administrativos.</w:t>
      </w: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relación con la obra pública el artículo 12.5 señala que se </w:t>
      </w:r>
      <w:r>
        <w:rPr>
          <w:rFonts w:ascii="Palatino Linotype" w:eastAsia="Palatino Linotype" w:hAnsi="Palatino Linotype" w:cs="Palatino Linotype"/>
          <w:b/>
        </w:rPr>
        <w:t>consideran servicios relacionados  con la obra pública,</w:t>
      </w:r>
      <w:r>
        <w:rPr>
          <w:rFonts w:ascii="Palatino Linotype" w:eastAsia="Palatino Linotype" w:hAnsi="Palatino Linotype" w:cs="Palatino Linotype"/>
        </w:rPr>
        <w:t xml:space="preserve"> los trabajos que tengan por objeto concebir, diseñar y calcular los elementos que integran un proyecto de obra pública; las investigaciones, estudios, asesorías y consultorías que se vinculen con los actos que regula este Libro; la dirección y supervisión de la ejecución de las obras y los estudios que tengan por objeto principal rehabilitar, corregir o incrementar la eficiencia de las instalaciones.</w:t>
      </w: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Quedan comprendidos dentro de los servicios relacionados con la obra pública:</w:t>
      </w:r>
    </w:p>
    <w:p w:rsidR="00BE6800" w:rsidRDefault="00D079A5">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planeación, incluyendo los trabajos que tengan por objeto concebir, diseñar, proyectar y calcular los elementos que integran un proyecto de ingeniería básica, estructural de instalaciones, de infraestructura, industrial, electromecánica y de cualquier otra especialidad de la ingeniería que se requiera para integrar un proyecto ejecutivo de obra pública; </w:t>
      </w:r>
    </w:p>
    <w:p w:rsidR="00BE6800" w:rsidRDefault="00D079A5">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planeación, incluyendo los trabajos que tengan por objeto concebir, diseñar, proyectar y calcular los elementos que integran un proyecto urbanístico, arquitectónico, de diseño gráfico o artístico y de cualquier otra especialidad del diseño, la arquitectura y el urbanismo, que se requiera para integrar un proyecto ejecutivo de obra pública, así como los estudios inherentes al desarrollo urbano en el Estado; </w:t>
      </w:r>
    </w:p>
    <w:p w:rsidR="00BE6800" w:rsidRDefault="00D079A5">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Los estudios técnicos de agrología y desarrollo pecuario, hidrología, mecánica de suelos, sismología, topografía, geología, geodesia, geofísica, geotermia, meteorología, aerofotogrametría, ambientales, ecológicos y de ingeniería de tránsito; </w:t>
      </w:r>
    </w:p>
    <w:p w:rsidR="00BE6800" w:rsidRDefault="00D079A5">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Los estudios económicos y de planeación de reinversión, factibilidad técnico económica ecológica o social,</w:t>
      </w:r>
      <w:r>
        <w:rPr>
          <w:rFonts w:ascii="Palatino Linotype" w:eastAsia="Palatino Linotype" w:hAnsi="Palatino Linotype" w:cs="Palatino Linotype"/>
          <w:b/>
        </w:rPr>
        <w:t xml:space="preserve"> </w:t>
      </w:r>
      <w:r>
        <w:rPr>
          <w:rFonts w:ascii="Palatino Linotype" w:eastAsia="Palatino Linotype" w:hAnsi="Palatino Linotype" w:cs="Palatino Linotype"/>
        </w:rPr>
        <w:t>de evaluación, adaptación, tenencia de la tierra, financieros, de desarrollo y restitución de la eficiencia de las instalaciones;</w:t>
      </w:r>
    </w:p>
    <w:p w:rsidR="00BE6800" w:rsidRDefault="00D079A5">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Los trabajos de coordinación, supervisión y control de obra; de laboratorio de análisis y control de calidad; de laboratorio de geotecnia, de resistencia de materiales y radiografías industriales; de preparación de especificaciones de construcción, </w:t>
      </w:r>
      <w:proofErr w:type="spellStart"/>
      <w:r>
        <w:rPr>
          <w:rFonts w:ascii="Palatino Linotype" w:eastAsia="Palatino Linotype" w:hAnsi="Palatino Linotype" w:cs="Palatino Linotype"/>
        </w:rPr>
        <w:t>presupuestación</w:t>
      </w:r>
      <w:proofErr w:type="spellEnd"/>
      <w:r>
        <w:rPr>
          <w:rFonts w:ascii="Palatino Linotype" w:eastAsia="Palatino Linotype" w:hAnsi="Palatino Linotype" w:cs="Palatino Linotype"/>
        </w:rPr>
        <w:t xml:space="preserve"> o la elaboración de cualquier otro documento o trabajo para la adjudicación del contrato de obra correspondiente;</w:t>
      </w:r>
    </w:p>
    <w:p w:rsidR="00BE6800" w:rsidRDefault="00D079A5">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dictámenes, peritajes, avalúos y auditorías técnico normativas, y estudios aplicables a la obra pública;</w:t>
      </w:r>
    </w:p>
    <w:p w:rsidR="00BE6800" w:rsidRDefault="00D079A5">
      <w:pPr>
        <w:numPr>
          <w:ilvl w:val="0"/>
          <w:numId w:val="1"/>
        </w:num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Los estudios que tengan por objeto rehabilitar, corregir, sustituir o incrementar la eficiencia de las instalaciones en un bien inmueble;</w:t>
      </w: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esa misma consecución, de ideas el artículo 12.8 del Código en comento establece que la Secretaría del Ramo podrá autorizar a los ayuntamientos obras con cargo a fondos estatales total o parcialmente. Así mismo para la mejor planeación de la obra pública en el Estado, las dependencias, entidades y ayuntamientos que ejecuten obra, deberán dar aviso a la Secretaría del Ramo, de sus proyectos y programación de ejecución, independientemente del origen de los recursos.</w:t>
      </w:r>
    </w:p>
    <w:p w:rsidR="00BE6800" w:rsidRDefault="00BE6800">
      <w:pPr>
        <w:spacing w:after="0" w:line="360" w:lineRule="auto"/>
        <w:jc w:val="both"/>
        <w:rPr>
          <w:rFonts w:ascii="Palatino Linotype" w:eastAsia="Palatino Linotype" w:hAnsi="Palatino Linotype" w:cs="Palatino Linotype"/>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Además, el artículo 12.38 del Código Administrativo del Estado de México, establece que la adjudicación de un procedimiento de </w:t>
      </w:r>
      <w:r>
        <w:rPr>
          <w:rFonts w:ascii="Palatino Linotype" w:eastAsia="Palatino Linotype" w:hAnsi="Palatino Linotype" w:cs="Palatino Linotype"/>
          <w:b/>
        </w:rPr>
        <w:t>ejecución de obra,</w:t>
      </w:r>
      <w:r>
        <w:rPr>
          <w:rFonts w:ascii="Palatino Linotype" w:eastAsia="Palatino Linotype" w:hAnsi="Palatino Linotype" w:cs="Palatino Linotype"/>
        </w:rPr>
        <w:t xml:space="preserve"> se realizará mediante la suscripción de un contrato, entre el Ayuntamiento y la persona a la cual haya ganado el procedimiento respectivo, dentro de los diez días hábiles siguientes a la notificación del fallo.</w:t>
      </w:r>
    </w:p>
    <w:p w:rsidR="00BE6800" w:rsidRDefault="00BE6800">
      <w:pPr>
        <w:spacing w:after="0" w:line="360" w:lineRule="auto"/>
        <w:jc w:val="both"/>
        <w:rPr>
          <w:rFonts w:ascii="Palatino Linotype" w:eastAsia="Palatino Linotype" w:hAnsi="Palatino Linotype" w:cs="Palatino Linotype"/>
        </w:rPr>
      </w:pPr>
    </w:p>
    <w:p w:rsidR="00BE6800" w:rsidRDefault="00D079A5">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Ahora bien, este Instituto localizó que en la delegación de San Felipe </w:t>
      </w:r>
      <w:proofErr w:type="spellStart"/>
      <w:r>
        <w:rPr>
          <w:rFonts w:ascii="Palatino Linotype" w:eastAsia="Palatino Linotype" w:hAnsi="Palatino Linotype" w:cs="Palatino Linotype"/>
        </w:rPr>
        <w:t>Tlalmimilolpan</w:t>
      </w:r>
      <w:proofErr w:type="spellEnd"/>
      <w:r>
        <w:rPr>
          <w:rFonts w:ascii="Palatino Linotype" w:eastAsia="Palatino Linotype" w:hAnsi="Palatino Linotype" w:cs="Palatino Linotype"/>
        </w:rPr>
        <w:t xml:space="preserve">, cuenta con una calle denominada “Linda Vista”, como se puede advertir conforme a lo siguiente para una mayor referencia: </w:t>
      </w:r>
    </w:p>
    <w:p w:rsidR="00BE6800" w:rsidRDefault="00BE6800">
      <w:pPr>
        <w:spacing w:after="0" w:line="360" w:lineRule="auto"/>
        <w:jc w:val="both"/>
        <w:rPr>
          <w:rFonts w:ascii="Palatino Linotype" w:eastAsia="Palatino Linotype" w:hAnsi="Palatino Linotype" w:cs="Palatino Linotype"/>
        </w:rPr>
      </w:pPr>
    </w:p>
    <w:p w:rsidR="00BE6800" w:rsidRDefault="00D079A5">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3647139" cy="1610670"/>
            <wp:effectExtent l="0" t="0" r="0" b="0"/>
            <wp:docPr id="20845726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647139" cy="1610670"/>
                    </a:xfrm>
                    <a:prstGeom prst="rect">
                      <a:avLst/>
                    </a:prstGeom>
                    <a:ln/>
                  </pic:spPr>
                </pic:pic>
              </a:graphicData>
            </a:graphic>
          </wp:inline>
        </w:drawing>
      </w:r>
    </w:p>
    <w:p w:rsidR="00BE6800" w:rsidRDefault="00BE6800">
      <w:pPr>
        <w:spacing w:after="0" w:line="360" w:lineRule="auto"/>
        <w:jc w:val="center"/>
        <w:rPr>
          <w:rFonts w:ascii="Palatino Linotype" w:eastAsia="Palatino Linotype" w:hAnsi="Palatino Linotype" w:cs="Palatino Linotype"/>
        </w:rPr>
      </w:pPr>
    </w:p>
    <w:p w:rsidR="00BE6800" w:rsidRDefault="00D079A5">
      <w:pPr>
        <w:tabs>
          <w:tab w:val="left" w:pos="4962"/>
        </w:tabs>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Conforme a lo anterior, se logra vislumbrar que la pretensión del ahora Recurrente, es obtener el documento donde conste el programa y fecha de ejecución de la obra de pavimentación de la Calle “Linda Vista” en la Delegación de San Felipe </w:t>
      </w:r>
      <w:proofErr w:type="spellStart"/>
      <w:r>
        <w:rPr>
          <w:rFonts w:ascii="Palatino Linotype" w:eastAsia="Palatino Linotype" w:hAnsi="Palatino Linotype" w:cs="Palatino Linotype"/>
        </w:rPr>
        <w:t>Tlalmimilolpan</w:t>
      </w:r>
      <w:proofErr w:type="spellEnd"/>
      <w:r>
        <w:rPr>
          <w:rFonts w:ascii="Palatino Linotype" w:eastAsia="Palatino Linotype" w:hAnsi="Palatino Linotype" w:cs="Palatino Linotype"/>
        </w:rPr>
        <w:t>, al treinta y uno de octubre de dos mil veinticuatro.</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Establecida dicha circunstancia, se procede analizar la respuesta entregada, para lo cual, es de señalar que de las constancias que de las constancias que obran en el expediente, se logra vislumbrar que el Sujeto Obligado turno la solicitud de información a la Dirección General de Desarrollo Urbano, Ordenamiento Territorial y Obras Públicas;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Así, es necesario traer al estudio el artículo 3.53 del Código Reglamentario Municipal de Toluca, en el que se establece que el Sujeto Obligado para el ejercicio de sus funciones contará con diversas unidades administrativas, entre las cuales se encuentra Dirección General de Desarrollo Urbano, Ordenamiento Territorial y Obras Públicas, encargada de proyectar las obras públicas; vigilar la construcción de obras por contrato, administración o cualquier otra modalidad; así como, vigilar las obras por cooperación; dicha situación por medio de la Dirección de Obras Públicas. </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Así se logra vislumbrar que la Dirección General de Desarrollo Urbano, Ordenamiento Territorial y Obras Públicas, cuenta con facultades para conocer todo lo relacionado a los contratos de obra pública, por lo que, se considera que cumplió con el procedimiento de búsqueda establecido en la Ley de Transparencia y Acceso a la Información Pública.</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En respuesta, como Informe Justificado, la Dirección General de Desarrollo Urbano, Ordenamiento Territorial y Obras Públicas, indicó que después de realizar una búsqueda exhaustiva y razonable en sus archivos tanto físicos, como digitales, la información no había sido generada, poseída o administrada, por lo que no contaban con documentos que dieran cuenta de la realización de la obra solicitada.</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logra vislumbrar que el área competente aludió a que la información era inexistente, al no ser planeada, ni ejecutada la pavimentación de dicha calle; sobre dicha circunstancia, el Criterio de Interpretación, con clave de control SO/014/2017, de la Segunda Época, emitido por el Instituto Nacional de Transparencia, Acceso a la Información y Protección de Datos Personales, señala que la inexistencia de la información, es una cuestión </w:t>
      </w:r>
      <w:r>
        <w:rPr>
          <w:rFonts w:ascii="Palatino Linotype" w:eastAsia="Palatino Linotype" w:hAnsi="Palatino Linotype" w:cs="Palatino Linotype"/>
        </w:rPr>
        <w:lastRenderedPageBreak/>
        <w:t>de hecho que se le atribuye a la misma, cuando ésta no se encuentra en los archivos del Sujeto Obligado.</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Así, es posible concluir que la </w:t>
      </w:r>
      <w:r>
        <w:rPr>
          <w:rFonts w:ascii="Palatino Linotype" w:eastAsia="Palatino Linotype" w:hAnsi="Palatino Linotype" w:cs="Palatino Linotype"/>
          <w:b/>
        </w:rPr>
        <w:t>inexistencia</w:t>
      </w:r>
      <w:r>
        <w:rPr>
          <w:rFonts w:ascii="Palatino Linotype" w:eastAsia="Palatino Linotype" w:hAnsi="Palatino Linotype" w:cs="Palatino Linotype"/>
        </w:rPr>
        <w:t xml:space="preserve"> presupone la competencia del sujeto obligado para conocer de la información, pero por alguna circunstancia, la documentación solicitada no obra en sus archivos; sin embargo, no basta con que los sujetos obligados señalen dicha circunstancia, sino que también debe de señalar las razones por las cuales no cuentan con lo peticionado, es decir, las circunstancias que dan lugar a la inexistencia, lo cual aconteció, en el presente caso, el área competente informó que después de realizar una búsqueda exhaustiva y razonable en los archivos físicos y electrónicos del área.</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Lo anterior toma relevancia pues este Instituto realizó una búsqueda en el portal de información del Sujeto Obligado, así como en la página oficial y no se logró advertir que el Ayuntamiento de Toluca hubiera realizado la obra de pavimentación requerida por el Particular; además, que se revisó el Primer y Segundo Informe de Gobierno de Toluca, de la administración 2022-2023, del cual no se advirtió la realización de alguna obra de pavimentación en la calle solicitada.</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Asimismo, se revisaron los Programas Anuales de Obra Pública de los ejercicios fiscales dos mil veintidós, dos mil veintitrés y dos mil veinticuatro, y no se logró vislumbrar la planeación de la obra requerida; pues únicamente se localizó en el Programa del dos mil veinticuatro y el </w:t>
      </w:r>
      <w:r>
        <w:rPr>
          <w:rFonts w:ascii="Palatino Linotype" w:eastAsia="Palatino Linotype" w:hAnsi="Palatino Linotype" w:cs="Palatino Linotype"/>
        </w:rPr>
        <w:lastRenderedPageBreak/>
        <w:t xml:space="preserve">Seguimiento Trimestral de Obra Pública de enero a marzo de dos mil veinticuatro, la programación y ejecución de la obra “Rastreo de diversas calles en San Felipe </w:t>
      </w:r>
      <w:proofErr w:type="spellStart"/>
      <w:r>
        <w:rPr>
          <w:rFonts w:ascii="Palatino Linotype" w:eastAsia="Palatino Linotype" w:hAnsi="Palatino Linotype" w:cs="Palatino Linotype"/>
        </w:rPr>
        <w:t>Tlalmimilolpan</w:t>
      </w:r>
      <w:proofErr w:type="spellEnd"/>
      <w:r>
        <w:rPr>
          <w:rFonts w:ascii="Palatino Linotype" w:eastAsia="Palatino Linotype" w:hAnsi="Palatino Linotype" w:cs="Palatino Linotype"/>
        </w:rPr>
        <w:t>”, como se puede observar con el siguiente extracto:</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742940" cy="1627505"/>
            <wp:effectExtent l="0" t="0" r="0" b="0"/>
            <wp:docPr id="20845726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42940" cy="1627505"/>
                    </a:xfrm>
                    <a:prstGeom prst="rect">
                      <a:avLst/>
                    </a:prstGeom>
                    <a:ln/>
                  </pic:spPr>
                </pic:pic>
              </a:graphicData>
            </a:graphic>
          </wp:inline>
        </w:drawing>
      </w:r>
      <w:r>
        <w:rPr>
          <w:rFonts w:ascii="Palatino Linotype" w:eastAsia="Palatino Linotype" w:hAnsi="Palatino Linotype" w:cs="Palatino Linotype"/>
        </w:rPr>
        <w:t xml:space="preserve"> </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Cabe señalar que el rastreo de calles, consiste</w:t>
      </w:r>
      <w:bookmarkStart w:id="4" w:name="_GoBack"/>
      <w:bookmarkEnd w:id="4"/>
      <w:r>
        <w:rPr>
          <w:rFonts w:ascii="Palatino Linotype" w:eastAsia="Palatino Linotype" w:hAnsi="Palatino Linotype" w:cs="Palatino Linotype"/>
        </w:rPr>
        <w:t xml:space="preserve"> en emparejar los caminos para mejorar su circulación y no así la realización de una obra de pavimentación; en otras palabras, dicha obra consistió en nivelar las vías que no han sido pavimentadas; tan es así que de la búsqueda de la calle solicitada se advirtió que es terracería para acceder a una de las avenidas principales. </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Además, del análisis de la solicitud, así como de las razones o motivos de inconformidad, se logró advertir que el ahora Recurrente pretende acceder a información sobre la realización futura de la obra de pavimentación para culminar dicha calle; la cual no fue programada durante la administración 2022-2024.</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Así, se logra colegir que la información solicitada por la persona Recurrente es inexistente, pues el Sujeto Obligado, realizó una búsqueda de manera exhaustiva y razonable en sus archivos, al gestionar la solicitud de información a las áreas competentes, esta efectuar la indagación minuciosa en todos sus archivos y finalmente, señalar los motivos por las cuales no contaba con la peticionado; al respecto, se trae a colación, el artículo 19, segundo párrafo, </w:t>
      </w:r>
      <w:r>
        <w:rPr>
          <w:rFonts w:ascii="Palatino Linotype" w:eastAsia="Palatino Linotype" w:hAnsi="Palatino Linotype" w:cs="Palatino Linotype"/>
        </w:rPr>
        <w:lastRenderedPageBreak/>
        <w:t xml:space="preserve">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rsidR="00BE6800" w:rsidRDefault="00BE6800">
      <w:pPr>
        <w:spacing w:after="0" w:line="360" w:lineRule="auto"/>
        <w:ind w:right="-28"/>
        <w:jc w:val="both"/>
        <w:rPr>
          <w:rFonts w:ascii="Palatino Linotype" w:eastAsia="Palatino Linotype" w:hAnsi="Palatino Linotype" w:cs="Palatino Linotype"/>
        </w:rPr>
      </w:pP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De la misma manera, el Criterio de Interpretación, con clave de control SO/007/2017, de la Segunda Época, emitido por el Instituto Nacional de Transparencia, Acceso a la Información y Protección de Datos Personales,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Al respecto, dicho criterio aplica al caso en concreto, ya que durante la administración 2022-2024, no se había programado y ejecutado la realización de la obra de pavimentación requerida; por lo que, se considera que desde respuesta el Sujeto Obligado precisó las razones por las cuales no contaba con la información peticionada, en términos del artículo 19, párrafo segundo de la Ley de Transparencia y Acceso a la Información Pública del Estado de México y Municipios.</w:t>
      </w:r>
    </w:p>
    <w:p w:rsidR="00BE6800" w:rsidRDefault="00D079A5">
      <w:pPr>
        <w:spacing w:after="0" w:line="360" w:lineRule="auto"/>
        <w:ind w:right="-28"/>
        <w:jc w:val="both"/>
        <w:rPr>
          <w:rFonts w:ascii="Palatino Linotype" w:eastAsia="Palatino Linotype" w:hAnsi="Palatino Linotype" w:cs="Palatino Linotype"/>
          <w:b/>
        </w:rPr>
      </w:pPr>
      <w:r>
        <w:rPr>
          <w:rFonts w:ascii="Palatino Linotype" w:eastAsia="Palatino Linotype" w:hAnsi="Palatino Linotype" w:cs="Palatino Linotype"/>
        </w:rPr>
        <w:t xml:space="preserve">Ahora bien, es necesario precisar que el Particular señaló que en el presente caso, se debía declarar la inexistencia por Comité; sin embargo, es necesario aclarar que esto únicamente procedería en el caso de que haya sido planeado la obra, se haya pagado y no se haya realizado, no obstante, en el presente caso, si bien tiene atribuciones para realizar la pavimentación de calles, lo cierto es que se realiza en atención al presupuesto y el Programa Anual de Obras, por lo que, al no haberse ni siquiera planeado la misma, es que se considera que no resulta </w:t>
      </w:r>
      <w:r>
        <w:rPr>
          <w:rFonts w:ascii="Palatino Linotype" w:eastAsia="Palatino Linotype" w:hAnsi="Palatino Linotype" w:cs="Palatino Linotype"/>
        </w:rPr>
        <w:lastRenderedPageBreak/>
        <w:t xml:space="preserve">procedente ordenar el Acuerdo del Órgano Colegiado, lo cual da como resultado que el agravio sea </w:t>
      </w:r>
      <w:r>
        <w:rPr>
          <w:rFonts w:ascii="Palatino Linotype" w:eastAsia="Palatino Linotype" w:hAnsi="Palatino Linotype" w:cs="Palatino Linotype"/>
          <w:b/>
        </w:rPr>
        <w:t>INFUNDADO.</w:t>
      </w:r>
    </w:p>
    <w:p w:rsidR="00BE6800" w:rsidRDefault="00D079A5">
      <w:pPr>
        <w:spacing w:after="0"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BE6800" w:rsidRDefault="00D079A5">
      <w:pPr>
        <w:spacing w:after="0" w:line="360" w:lineRule="auto"/>
        <w:ind w:right="-28"/>
        <w:jc w:val="both"/>
        <w:rPr>
          <w:rFonts w:ascii="Palatino Linotype" w:eastAsia="Palatino Linotype" w:hAnsi="Palatino Linotype" w:cs="Palatino Linotype"/>
          <w:b/>
          <w:color w:val="0D0D0D"/>
        </w:rPr>
      </w:pPr>
      <w:r>
        <w:rPr>
          <w:rFonts w:ascii="Palatino Linotype" w:eastAsia="Palatino Linotype" w:hAnsi="Palatino Linotype" w:cs="Palatino Linotype"/>
          <w:b/>
          <w:color w:val="0D0D0D"/>
        </w:rPr>
        <w:t xml:space="preserve">SEXTO. Decisión. </w:t>
      </w:r>
      <w:r>
        <w:rPr>
          <w:rFonts w:ascii="Palatino Linotype" w:eastAsia="Palatino Linotype" w:hAnsi="Palatino Linotype" w:cs="Palatino Linotype"/>
          <w:b/>
          <w:color w:val="0D0D0D"/>
        </w:rPr>
        <w:tab/>
      </w:r>
    </w:p>
    <w:p w:rsidR="00BE6800" w:rsidRDefault="00D079A5">
      <w:pPr>
        <w:spacing w:after="0" w:line="360" w:lineRule="auto"/>
        <w:ind w:right="-28"/>
        <w:jc w:val="both"/>
        <w:rPr>
          <w:rFonts w:ascii="Palatino Linotype" w:eastAsia="Palatino Linotype" w:hAnsi="Palatino Linotype" w:cs="Palatino Linotype"/>
          <w:b/>
          <w:color w:val="0D0D0D"/>
        </w:rPr>
      </w:pPr>
      <w:r>
        <w:rPr>
          <w:rFonts w:ascii="Palatino Linotype" w:eastAsia="Palatino Linotype" w:hAnsi="Palatino Linotype" w:cs="Palatino Linotype"/>
          <w:b/>
          <w:color w:val="0D0D0D"/>
        </w:rPr>
        <w:t xml:space="preserve"> </w:t>
      </w: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 xml:space="preserve">Con fundamento en el artículo 186, fracción II, de la Ley de Transparencia y Acceso a la Información Pública del Estado de México y Municipios, este Instituto considera procedente </w:t>
      </w:r>
      <w:r>
        <w:rPr>
          <w:rFonts w:ascii="Palatino Linotype" w:eastAsia="Palatino Linotype" w:hAnsi="Palatino Linotype" w:cs="Palatino Linotype"/>
          <w:b/>
          <w:color w:val="0D0D0D"/>
        </w:rPr>
        <w:t xml:space="preserve">CONFIRMAR </w:t>
      </w:r>
      <w:r>
        <w:rPr>
          <w:rFonts w:ascii="Palatino Linotype" w:eastAsia="Palatino Linotype" w:hAnsi="Palatino Linotype" w:cs="Palatino Linotype"/>
          <w:color w:val="0D0D0D"/>
        </w:rPr>
        <w:t xml:space="preserve">la respuesta otorgada por el Sujeto Obligado. </w:t>
      </w: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 xml:space="preserve"> </w:t>
      </w: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b/>
          <w:color w:val="0D0D0D"/>
        </w:rPr>
        <w:t>Términos de la Resolución para conocimiento del Particular.</w:t>
      </w: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 xml:space="preserve"> </w:t>
      </w: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Se le hace del conocimiento al Particular, que, en el presente caso, no se le da la razón pues el Sujeto Obligado, desde respuesta, precisó que no había generado información relacionada con la obra solicitada, tan es así, que este Instituto no localizó algún indicio de la realización de la obra, pues únicamente en su caso, se realizó la nivelación del camino, sin que este implicara la colocación de pavimento.</w:t>
      </w:r>
    </w:p>
    <w:p w:rsidR="00BE6800" w:rsidRDefault="00BE6800">
      <w:pPr>
        <w:spacing w:after="0" w:line="360" w:lineRule="auto"/>
        <w:ind w:right="-28"/>
        <w:jc w:val="both"/>
        <w:rPr>
          <w:rFonts w:ascii="Palatino Linotype" w:eastAsia="Palatino Linotype" w:hAnsi="Palatino Linotype" w:cs="Palatino Linotype"/>
          <w:color w:val="0D0D0D"/>
        </w:rPr>
      </w:pP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Por lo expuesto y fundado, este Pleno:</w:t>
      </w:r>
    </w:p>
    <w:p w:rsidR="00BE6800" w:rsidRDefault="00D079A5">
      <w:pPr>
        <w:spacing w:after="0" w:line="360" w:lineRule="auto"/>
        <w:ind w:right="-28"/>
        <w:jc w:val="both"/>
        <w:rPr>
          <w:rFonts w:ascii="Palatino Linotype" w:eastAsia="Palatino Linotype" w:hAnsi="Palatino Linotype" w:cs="Palatino Linotype"/>
          <w:b/>
          <w:color w:val="0D0D0D"/>
        </w:rPr>
      </w:pPr>
      <w:r>
        <w:rPr>
          <w:rFonts w:ascii="Palatino Linotype" w:eastAsia="Palatino Linotype" w:hAnsi="Palatino Linotype" w:cs="Palatino Linotype"/>
          <w:b/>
          <w:color w:val="0D0D0D"/>
        </w:rPr>
        <w:t xml:space="preserve"> </w:t>
      </w:r>
    </w:p>
    <w:p w:rsidR="00BE6800" w:rsidRDefault="00D079A5">
      <w:pPr>
        <w:spacing w:after="0" w:line="360" w:lineRule="auto"/>
        <w:ind w:right="-28"/>
        <w:jc w:val="center"/>
        <w:rPr>
          <w:rFonts w:ascii="Palatino Linotype" w:eastAsia="Palatino Linotype" w:hAnsi="Palatino Linotype" w:cs="Palatino Linotype"/>
          <w:b/>
          <w:color w:val="0D0D0D"/>
        </w:rPr>
      </w:pPr>
      <w:r>
        <w:rPr>
          <w:rFonts w:ascii="Palatino Linotype" w:eastAsia="Palatino Linotype" w:hAnsi="Palatino Linotype" w:cs="Palatino Linotype"/>
          <w:b/>
          <w:color w:val="0D0D0D"/>
        </w:rPr>
        <w:t>R E S U E L V E</w:t>
      </w:r>
    </w:p>
    <w:p w:rsidR="00BE6800" w:rsidRDefault="00D079A5">
      <w:pPr>
        <w:spacing w:after="0" w:line="360" w:lineRule="auto"/>
        <w:ind w:right="-28"/>
        <w:jc w:val="both"/>
        <w:rPr>
          <w:rFonts w:ascii="Palatino Linotype" w:eastAsia="Palatino Linotype" w:hAnsi="Palatino Linotype" w:cs="Palatino Linotype"/>
          <w:b/>
          <w:color w:val="0D0D0D"/>
        </w:rPr>
      </w:pPr>
      <w:r>
        <w:rPr>
          <w:rFonts w:ascii="Palatino Linotype" w:eastAsia="Palatino Linotype" w:hAnsi="Palatino Linotype" w:cs="Palatino Linotype"/>
          <w:b/>
          <w:color w:val="0D0D0D"/>
        </w:rPr>
        <w:t xml:space="preserve"> </w:t>
      </w: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b/>
          <w:color w:val="0D0D0D"/>
        </w:rPr>
        <w:lastRenderedPageBreak/>
        <w:t xml:space="preserve">PRIMERO. </w:t>
      </w:r>
      <w:r>
        <w:rPr>
          <w:rFonts w:ascii="Palatino Linotype" w:eastAsia="Palatino Linotype" w:hAnsi="Palatino Linotype" w:cs="Palatino Linotype"/>
          <w:color w:val="0D0D0D"/>
        </w:rPr>
        <w:t xml:space="preserve">Se </w:t>
      </w:r>
      <w:r>
        <w:rPr>
          <w:rFonts w:ascii="Palatino Linotype" w:eastAsia="Palatino Linotype" w:hAnsi="Palatino Linotype" w:cs="Palatino Linotype"/>
          <w:b/>
          <w:color w:val="0D0D0D"/>
        </w:rPr>
        <w:t xml:space="preserve">CONFIRMA </w:t>
      </w:r>
      <w:r>
        <w:rPr>
          <w:rFonts w:ascii="Palatino Linotype" w:eastAsia="Palatino Linotype" w:hAnsi="Palatino Linotype" w:cs="Palatino Linotype"/>
          <w:color w:val="0D0D0D"/>
        </w:rPr>
        <w:t xml:space="preserve">la respuesta entregada por el Ayuntamiento de Toluca a la solicitud de acceso a la información 02825/TOLUCA/IP/2024, por resultar </w:t>
      </w:r>
      <w:r>
        <w:rPr>
          <w:rFonts w:ascii="Palatino Linotype" w:eastAsia="Palatino Linotype" w:hAnsi="Palatino Linotype" w:cs="Palatino Linotype"/>
          <w:b/>
          <w:color w:val="0D0D0D"/>
        </w:rPr>
        <w:t xml:space="preserve">INFUNDADAS </w:t>
      </w:r>
      <w:r>
        <w:rPr>
          <w:rFonts w:ascii="Palatino Linotype" w:eastAsia="Palatino Linotype" w:hAnsi="Palatino Linotype" w:cs="Palatino Linotype"/>
          <w:color w:val="0D0D0D"/>
        </w:rPr>
        <w:t>las razones o motivos de inconformidad hechas valer por el Recurrente, en términos de los Considerandos QUINTO y SEXTO de esta Resolución.</w:t>
      </w:r>
    </w:p>
    <w:p w:rsidR="00BE6800" w:rsidRDefault="00D079A5">
      <w:pPr>
        <w:spacing w:after="0" w:line="360" w:lineRule="auto"/>
        <w:ind w:right="-28"/>
        <w:jc w:val="both"/>
        <w:rPr>
          <w:rFonts w:ascii="Palatino Linotype" w:eastAsia="Palatino Linotype" w:hAnsi="Palatino Linotype" w:cs="Palatino Linotype"/>
          <w:b/>
          <w:color w:val="0D0D0D"/>
        </w:rPr>
      </w:pPr>
      <w:r>
        <w:rPr>
          <w:rFonts w:ascii="Palatino Linotype" w:eastAsia="Palatino Linotype" w:hAnsi="Palatino Linotype" w:cs="Palatino Linotype"/>
          <w:b/>
          <w:color w:val="0D0D0D"/>
        </w:rPr>
        <w:t xml:space="preserve"> </w:t>
      </w:r>
    </w:p>
    <w:p w:rsidR="00BE6800" w:rsidRDefault="00D079A5">
      <w:pPr>
        <w:spacing w:after="0" w:line="360" w:lineRule="auto"/>
        <w:ind w:right="-28"/>
        <w:jc w:val="both"/>
        <w:rPr>
          <w:rFonts w:ascii="Palatino Linotype" w:eastAsia="Palatino Linotype" w:hAnsi="Palatino Linotype" w:cs="Palatino Linotype"/>
          <w:b/>
          <w:color w:val="0D0D0D"/>
        </w:rPr>
      </w:pPr>
      <w:r>
        <w:rPr>
          <w:rFonts w:ascii="Palatino Linotype" w:eastAsia="Palatino Linotype" w:hAnsi="Palatino Linotype" w:cs="Palatino Linotype"/>
          <w:b/>
          <w:color w:val="0D0D0D"/>
        </w:rPr>
        <w:t xml:space="preserve">SEGUNDO. NOTIFÍQUESE POR SAIMEX </w:t>
      </w:r>
      <w:r>
        <w:rPr>
          <w:rFonts w:ascii="Palatino Linotype" w:eastAsia="Palatino Linotype" w:hAnsi="Palatino Linotype" w:cs="Palatino Linotype"/>
          <w:color w:val="0D0D0D"/>
        </w:rPr>
        <w:t>la presente resolución al Titular de la Unidad de Transparencia del Sujeto Obligado.</w:t>
      </w:r>
    </w:p>
    <w:p w:rsidR="00BE6800" w:rsidRDefault="00D079A5">
      <w:pPr>
        <w:spacing w:after="0" w:line="360" w:lineRule="auto"/>
        <w:ind w:right="-28"/>
        <w:jc w:val="both"/>
        <w:rPr>
          <w:rFonts w:ascii="Palatino Linotype" w:eastAsia="Palatino Linotype" w:hAnsi="Palatino Linotype" w:cs="Palatino Linotype"/>
          <w:b/>
          <w:color w:val="0D0D0D"/>
        </w:rPr>
      </w:pPr>
      <w:r>
        <w:rPr>
          <w:rFonts w:ascii="Palatino Linotype" w:eastAsia="Palatino Linotype" w:hAnsi="Palatino Linotype" w:cs="Palatino Linotype"/>
          <w:b/>
          <w:color w:val="0D0D0D"/>
        </w:rPr>
        <w:t xml:space="preserve"> </w:t>
      </w: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b/>
          <w:color w:val="0D0D0D"/>
        </w:rPr>
        <w:t xml:space="preserve">TERCERO. NOTIFÍQUESE POR SAIMEX </w:t>
      </w:r>
      <w:r>
        <w:rPr>
          <w:rFonts w:ascii="Palatino Linotype" w:eastAsia="Palatino Linotype" w:hAnsi="Palatino Linotype" w:cs="Palatino Linotype"/>
          <w:color w:val="0D0D0D"/>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 xml:space="preserve"> </w:t>
      </w:r>
    </w:p>
    <w:p w:rsidR="00BE6800" w:rsidRDefault="00D079A5">
      <w:pPr>
        <w:spacing w:after="0" w:line="360" w:lineRule="auto"/>
        <w:ind w:right="-28"/>
        <w:jc w:val="both"/>
        <w:rPr>
          <w:rFonts w:ascii="Palatino Linotype" w:eastAsia="Palatino Linotype" w:hAnsi="Palatino Linotype" w:cs="Palatino Linotype"/>
          <w:color w:val="0D0D0D"/>
        </w:rPr>
      </w:pPr>
      <w:r>
        <w:rPr>
          <w:rFonts w:ascii="Palatino Linotype" w:eastAsia="Palatino Linotype" w:hAnsi="Palatino Linotype" w:cs="Palatino Linotype"/>
          <w:color w:val="0D0D0D"/>
        </w:rPr>
        <w:t xml:space="preserve">ASÍ LO RESUELVE, </w:t>
      </w:r>
      <w:r w:rsidRPr="00A2181E">
        <w:rPr>
          <w:rFonts w:ascii="Palatino Linotype" w:eastAsia="Palatino Linotype" w:hAnsi="Palatino Linotype" w:cs="Palatino Linotype"/>
          <w:color w:val="0D0D0D"/>
        </w:rPr>
        <w:t xml:space="preserve">POR </w:t>
      </w:r>
      <w:r>
        <w:rPr>
          <w:rFonts w:ascii="Palatino Linotype" w:eastAsia="Palatino Linotype" w:hAnsi="Palatino Linotype" w:cs="Palatino Linotype"/>
          <w:b/>
          <w:color w:val="0D0D0D"/>
        </w:rPr>
        <w:t>UNANIMIDAD</w:t>
      </w:r>
      <w:r>
        <w:rPr>
          <w:rFonts w:ascii="Palatino Linotype" w:eastAsia="Palatino Linotype" w:hAnsi="Palatino Linotype" w:cs="Palatino Linotype"/>
          <w:color w:val="0D0D0D"/>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DE DICIEMBRE DE DOS MIL VEINTICUATRO, ANTE EL SECRETARIO TÉCNICO DEL PLENO, ALEXIS TAPIA RAMÍREZ.</w:t>
      </w:r>
    </w:p>
    <w:p w:rsidR="00BE6800" w:rsidRDefault="00BE6800">
      <w:pPr>
        <w:spacing w:after="0" w:line="360" w:lineRule="auto"/>
        <w:ind w:right="-28"/>
        <w:jc w:val="both"/>
        <w:rPr>
          <w:rFonts w:ascii="Palatino Linotype" w:eastAsia="Palatino Linotype" w:hAnsi="Palatino Linotype" w:cs="Palatino Linotype"/>
          <w:color w:val="0D0D0D"/>
        </w:rPr>
      </w:pPr>
    </w:p>
    <w:p w:rsidR="00BE6800" w:rsidRDefault="00BE6800">
      <w:pPr>
        <w:spacing w:after="0" w:line="360" w:lineRule="auto"/>
        <w:rPr>
          <w:rFonts w:ascii="Palatino Linotype" w:eastAsia="Palatino Linotype" w:hAnsi="Palatino Linotype" w:cs="Palatino Linotype"/>
          <w:b/>
        </w:rPr>
      </w:pPr>
    </w:p>
    <w:p w:rsidR="00BE6800" w:rsidRDefault="00D079A5">
      <w:pPr>
        <w:spacing w:after="0" w:line="360" w:lineRule="auto"/>
        <w:jc w:val="both"/>
        <w:rPr>
          <w:rFonts w:ascii="Palatino Linotype" w:eastAsia="Palatino Linotype" w:hAnsi="Palatino Linotype" w:cs="Palatino Linotype"/>
          <w:b/>
        </w:rPr>
      </w:pPr>
      <w:r>
        <w:br w:type="page"/>
      </w:r>
    </w:p>
    <w:p w:rsidR="00BE6800" w:rsidRDefault="00BE6800">
      <w:pPr>
        <w:spacing w:after="0" w:line="360" w:lineRule="auto"/>
        <w:jc w:val="both"/>
        <w:rPr>
          <w:rFonts w:ascii="Palatino Linotype" w:eastAsia="Palatino Linotype" w:hAnsi="Palatino Linotype" w:cs="Palatino Linotype"/>
          <w:b/>
        </w:rPr>
      </w:pPr>
    </w:p>
    <w:sectPr w:rsidR="00BE6800">
      <w:headerReference w:type="even" r:id="rId10"/>
      <w:headerReference w:type="default" r:id="rId11"/>
      <w:footerReference w:type="default" r:id="rId12"/>
      <w:headerReference w:type="first" r:id="rId13"/>
      <w:footerReference w:type="first" r:id="rId14"/>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FE" w:rsidRDefault="006D58FE">
      <w:pPr>
        <w:spacing w:after="0" w:line="240" w:lineRule="auto"/>
      </w:pPr>
      <w:r>
        <w:separator/>
      </w:r>
    </w:p>
  </w:endnote>
  <w:endnote w:type="continuationSeparator" w:id="0">
    <w:p w:rsidR="006D58FE" w:rsidRDefault="006D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00" w:rsidRDefault="00BE680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6"/>
        <w:szCs w:val="26"/>
      </w:rPr>
    </w:pPr>
  </w:p>
  <w:p w:rsidR="00BE6800" w:rsidRDefault="00D079A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275E83">
      <w:rPr>
        <w:rFonts w:ascii="Times New Roman" w:eastAsia="Times New Roman" w:hAnsi="Times New Roman" w:cs="Times New Roman"/>
        <w:b/>
        <w:noProof/>
        <w:color w:val="000000"/>
        <w:sz w:val="24"/>
        <w:szCs w:val="24"/>
      </w:rPr>
      <w:t>19</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275E83">
      <w:rPr>
        <w:rFonts w:ascii="Times New Roman" w:eastAsia="Times New Roman" w:hAnsi="Times New Roman" w:cs="Times New Roman"/>
        <w:b/>
        <w:noProof/>
        <w:color w:val="000000"/>
        <w:sz w:val="24"/>
        <w:szCs w:val="24"/>
      </w:rPr>
      <w:t>19</w:t>
    </w:r>
    <w:r>
      <w:rPr>
        <w:rFonts w:ascii="Times New Roman" w:eastAsia="Times New Roman" w:hAnsi="Times New Roman" w:cs="Times New Roman"/>
        <w:b/>
        <w:color w:val="000000"/>
        <w:sz w:val="24"/>
        <w:szCs w:val="24"/>
      </w:rPr>
      <w:fldChar w:fldCharType="end"/>
    </w:r>
  </w:p>
  <w:p w:rsidR="00BE6800" w:rsidRDefault="00BE680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00" w:rsidRDefault="00BE680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BE6800" w:rsidRDefault="00BE680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BE6800" w:rsidRDefault="00BE680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p>
  <w:p w:rsidR="00BE6800" w:rsidRDefault="00D079A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275E83">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275E83">
      <w:rPr>
        <w:rFonts w:ascii="Times New Roman" w:eastAsia="Times New Roman" w:hAnsi="Times New Roman" w:cs="Times New Roman"/>
        <w:b/>
        <w:noProof/>
        <w:color w:val="000000"/>
        <w:sz w:val="24"/>
        <w:szCs w:val="24"/>
      </w:rPr>
      <w:t>19</w:t>
    </w:r>
    <w:r>
      <w:rPr>
        <w:rFonts w:ascii="Times New Roman" w:eastAsia="Times New Roman" w:hAnsi="Times New Roman" w:cs="Times New Roman"/>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FE" w:rsidRDefault="006D58FE">
      <w:pPr>
        <w:spacing w:after="0" w:line="240" w:lineRule="auto"/>
      </w:pPr>
      <w:r>
        <w:separator/>
      </w:r>
    </w:p>
  </w:footnote>
  <w:footnote w:type="continuationSeparator" w:id="0">
    <w:p w:rsidR="006D58FE" w:rsidRDefault="006D5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00" w:rsidRDefault="006D58F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00" w:rsidRDefault="006D58FE">
    <w:pPr>
      <w:tabs>
        <w:tab w:val="left" w:pos="3416"/>
      </w:tabs>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BE6800">
      <w:trPr>
        <w:trHeight w:val="70"/>
      </w:trPr>
      <w:tc>
        <w:tcPr>
          <w:tcW w:w="2268" w:type="dxa"/>
          <w:shd w:val="clear" w:color="auto" w:fill="auto"/>
        </w:tcPr>
        <w:p w:rsidR="00BE6800" w:rsidRDefault="00BE6800">
          <w:pPr>
            <w:tabs>
              <w:tab w:val="right" w:pos="4273"/>
            </w:tabs>
            <w:rPr>
              <w:rFonts w:ascii="Garamond" w:eastAsia="Garamond" w:hAnsi="Garamond" w:cs="Garamond"/>
              <w:sz w:val="16"/>
              <w:szCs w:val="16"/>
            </w:rPr>
          </w:pPr>
        </w:p>
      </w:tc>
      <w:tc>
        <w:tcPr>
          <w:tcW w:w="7193" w:type="dxa"/>
          <w:shd w:val="clear" w:color="auto" w:fill="auto"/>
        </w:tcPr>
        <w:p w:rsidR="00BE6800" w:rsidRDefault="00BE6800">
          <w:pPr>
            <w:widowControl w:val="0"/>
            <w:pBdr>
              <w:top w:val="nil"/>
              <w:left w:val="nil"/>
              <w:bottom w:val="nil"/>
              <w:right w:val="nil"/>
              <w:between w:val="nil"/>
            </w:pBdr>
            <w:spacing w:after="0"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67"/>
            <w:gridCol w:w="4071"/>
          </w:tblGrid>
          <w:tr w:rsidR="00BE6800">
            <w:trPr>
              <w:trHeight w:val="128"/>
            </w:trPr>
            <w:tc>
              <w:tcPr>
                <w:tcW w:w="3867" w:type="dxa"/>
                <w:vAlign w:val="bottom"/>
              </w:tcPr>
              <w:p w:rsidR="00BE6800" w:rsidRDefault="00D079A5">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Recurso de Revisión:</w:t>
                </w:r>
              </w:p>
            </w:tc>
            <w:tc>
              <w:tcPr>
                <w:tcW w:w="4071" w:type="dxa"/>
              </w:tcPr>
              <w:p w:rsidR="00BE6800" w:rsidRDefault="00D079A5">
                <w:pPr>
                  <w:tabs>
                    <w:tab w:val="right" w:pos="8838"/>
                  </w:tabs>
                  <w:ind w:left="-28" w:right="683"/>
                  <w:rPr>
                    <w:rFonts w:ascii="Palatino Linotype" w:eastAsia="Palatino Linotype" w:hAnsi="Palatino Linotype" w:cs="Palatino Linotype"/>
                  </w:rPr>
                </w:pPr>
                <w:r>
                  <w:rPr>
                    <w:rFonts w:ascii="Palatino Linotype" w:eastAsia="Palatino Linotype" w:hAnsi="Palatino Linotype" w:cs="Palatino Linotype"/>
                  </w:rPr>
                  <w:t>07356/INFOEM/IP/RR/2024</w:t>
                </w:r>
              </w:p>
            </w:tc>
          </w:tr>
          <w:tr w:rsidR="00BE6800">
            <w:trPr>
              <w:trHeight w:val="251"/>
            </w:trPr>
            <w:tc>
              <w:tcPr>
                <w:tcW w:w="3867" w:type="dxa"/>
              </w:tcPr>
              <w:p w:rsidR="00BE6800" w:rsidRDefault="00D079A5">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Sujeto Obligado:</w:t>
                </w:r>
              </w:p>
            </w:tc>
            <w:tc>
              <w:tcPr>
                <w:tcW w:w="4071" w:type="dxa"/>
              </w:tcPr>
              <w:p w:rsidR="00BE6800" w:rsidRDefault="00D079A5">
                <w:pPr>
                  <w:tabs>
                    <w:tab w:val="right" w:pos="8838"/>
                  </w:tabs>
                  <w:ind w:right="1008"/>
                  <w:jc w:val="both"/>
                  <w:rPr>
                    <w:rFonts w:ascii="Palatino Linotype" w:eastAsia="Palatino Linotype" w:hAnsi="Palatino Linotype" w:cs="Palatino Linotype"/>
                  </w:rPr>
                </w:pPr>
                <w:r>
                  <w:rPr>
                    <w:rFonts w:ascii="Palatino Linotype" w:eastAsia="Palatino Linotype" w:hAnsi="Palatino Linotype" w:cs="Palatino Linotype"/>
                    <w:color w:val="000000"/>
                  </w:rPr>
                  <w:t>Ayuntamiento de Toluca</w:t>
                </w:r>
              </w:p>
            </w:tc>
          </w:tr>
          <w:tr w:rsidR="00BE6800">
            <w:trPr>
              <w:trHeight w:val="251"/>
            </w:trPr>
            <w:tc>
              <w:tcPr>
                <w:tcW w:w="3867" w:type="dxa"/>
              </w:tcPr>
              <w:p w:rsidR="00BE6800" w:rsidRDefault="00D079A5">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Comisionado Ponente:</w:t>
                </w:r>
              </w:p>
            </w:tc>
            <w:tc>
              <w:tcPr>
                <w:tcW w:w="4071" w:type="dxa"/>
              </w:tcPr>
              <w:p w:rsidR="00BE6800" w:rsidRDefault="00D079A5">
                <w:pPr>
                  <w:tabs>
                    <w:tab w:val="right" w:pos="8838"/>
                  </w:tabs>
                  <w:ind w:right="-32"/>
                  <w:rPr>
                    <w:rFonts w:ascii="Palatino Linotype" w:eastAsia="Palatino Linotype" w:hAnsi="Palatino Linotype" w:cs="Palatino Linotype"/>
                    <w:b/>
                  </w:rPr>
                </w:pPr>
                <w:r>
                  <w:rPr>
                    <w:rFonts w:ascii="Palatino Linotype" w:eastAsia="Palatino Linotype" w:hAnsi="Palatino Linotype" w:cs="Palatino Linotype"/>
                  </w:rPr>
                  <w:t>Luis Gustavo Parra Noriega</w:t>
                </w:r>
              </w:p>
            </w:tc>
          </w:tr>
        </w:tbl>
        <w:p w:rsidR="00BE6800" w:rsidRDefault="00BE6800">
          <w:pPr>
            <w:tabs>
              <w:tab w:val="right" w:pos="8838"/>
            </w:tabs>
            <w:ind w:left="-28"/>
            <w:rPr>
              <w:rFonts w:ascii="Arial" w:eastAsia="Arial" w:hAnsi="Arial" w:cs="Arial"/>
              <w:b/>
            </w:rPr>
          </w:pPr>
        </w:p>
      </w:tc>
    </w:tr>
  </w:tbl>
  <w:p w:rsidR="00BE6800" w:rsidRDefault="00BE680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4"/>
        <w:szCs w:val="14"/>
      </w:rPr>
    </w:pPr>
  </w:p>
  <w:p w:rsidR="00BE6800" w:rsidRDefault="00BE680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00" w:rsidRDefault="00BE680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1"/>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968"/>
      <w:gridCol w:w="2977"/>
    </w:tblGrid>
    <w:tr w:rsidR="00BE6800">
      <w:trPr>
        <w:trHeight w:val="302"/>
      </w:trPr>
      <w:tc>
        <w:tcPr>
          <w:tcW w:w="3969" w:type="dxa"/>
        </w:tcPr>
        <w:p w:rsidR="00BE6800" w:rsidRDefault="00D079A5">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Recurso de Revisión:</w:t>
          </w:r>
        </w:p>
      </w:tc>
      <w:tc>
        <w:tcPr>
          <w:tcW w:w="2977" w:type="dxa"/>
        </w:tcPr>
        <w:p w:rsidR="00BE6800" w:rsidRDefault="00D079A5">
          <w:pPr>
            <w:tabs>
              <w:tab w:val="right" w:pos="8838"/>
            </w:tabs>
            <w:jc w:val="both"/>
            <w:rPr>
              <w:rFonts w:ascii="Palatino Linotype" w:eastAsia="Palatino Linotype" w:hAnsi="Palatino Linotype" w:cs="Palatino Linotype"/>
            </w:rPr>
          </w:pPr>
          <w:r>
            <w:rPr>
              <w:rFonts w:ascii="Palatino Linotype" w:eastAsia="Palatino Linotype" w:hAnsi="Palatino Linotype" w:cs="Palatino Linotype"/>
            </w:rPr>
            <w:t>07356/INFOEM/IP/RR/2024</w:t>
          </w:r>
        </w:p>
      </w:tc>
    </w:tr>
    <w:tr w:rsidR="00BE6800">
      <w:trPr>
        <w:trHeight w:val="110"/>
      </w:trPr>
      <w:tc>
        <w:tcPr>
          <w:tcW w:w="3969" w:type="dxa"/>
        </w:tcPr>
        <w:p w:rsidR="00BE6800" w:rsidRDefault="00D079A5">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Recurrente:</w:t>
          </w:r>
        </w:p>
      </w:tc>
      <w:tc>
        <w:tcPr>
          <w:tcW w:w="2977" w:type="dxa"/>
        </w:tcPr>
        <w:p w:rsidR="00BE6800" w:rsidRDefault="00BE6800">
          <w:pPr>
            <w:jc w:val="both"/>
            <w:rPr>
              <w:rFonts w:ascii="Palatino Linotype" w:eastAsia="Palatino Linotype" w:hAnsi="Palatino Linotype" w:cs="Palatino Linotype"/>
            </w:rPr>
          </w:pPr>
        </w:p>
      </w:tc>
    </w:tr>
    <w:tr w:rsidR="00BE6800">
      <w:trPr>
        <w:trHeight w:val="248"/>
      </w:trPr>
      <w:tc>
        <w:tcPr>
          <w:tcW w:w="3969" w:type="dxa"/>
        </w:tcPr>
        <w:p w:rsidR="00BE6800" w:rsidRDefault="00D079A5">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Sujeto Obligado:</w:t>
          </w:r>
        </w:p>
      </w:tc>
      <w:tc>
        <w:tcPr>
          <w:tcW w:w="2977" w:type="dxa"/>
        </w:tcPr>
        <w:p w:rsidR="00BE6800" w:rsidRDefault="00D079A5">
          <w:pPr>
            <w:tabs>
              <w:tab w:val="right" w:pos="8838"/>
            </w:tabs>
            <w:jc w:val="both"/>
            <w:rPr>
              <w:rFonts w:ascii="Palatino Linotype" w:eastAsia="Palatino Linotype" w:hAnsi="Palatino Linotype" w:cs="Palatino Linotype"/>
            </w:rPr>
          </w:pPr>
          <w:r>
            <w:rPr>
              <w:rFonts w:ascii="Palatino Linotype" w:eastAsia="Palatino Linotype" w:hAnsi="Palatino Linotype" w:cs="Palatino Linotype"/>
              <w:color w:val="000000"/>
            </w:rPr>
            <w:t>Ayuntamiento de Toluca</w:t>
          </w:r>
        </w:p>
      </w:tc>
    </w:tr>
    <w:tr w:rsidR="00BE6800">
      <w:trPr>
        <w:trHeight w:val="248"/>
      </w:trPr>
      <w:tc>
        <w:tcPr>
          <w:tcW w:w="3969" w:type="dxa"/>
        </w:tcPr>
        <w:p w:rsidR="00BE6800" w:rsidRDefault="00D079A5">
          <w:pPr>
            <w:tabs>
              <w:tab w:val="right" w:pos="8838"/>
            </w:tabs>
            <w:ind w:right="-105"/>
            <w:rPr>
              <w:rFonts w:ascii="Palatino Linotype" w:eastAsia="Palatino Linotype" w:hAnsi="Palatino Linotype" w:cs="Palatino Linotype"/>
              <w:b/>
            </w:rPr>
          </w:pPr>
          <w:r>
            <w:rPr>
              <w:rFonts w:ascii="Palatino Linotype" w:eastAsia="Palatino Linotype" w:hAnsi="Palatino Linotype" w:cs="Palatino Linotype"/>
              <w:b/>
            </w:rPr>
            <w:t xml:space="preserve">                            Comisionado Ponente:</w:t>
          </w:r>
        </w:p>
      </w:tc>
      <w:tc>
        <w:tcPr>
          <w:tcW w:w="2977" w:type="dxa"/>
        </w:tcPr>
        <w:p w:rsidR="00BE6800" w:rsidRDefault="00D079A5">
          <w:pPr>
            <w:tabs>
              <w:tab w:val="right" w:pos="8838"/>
            </w:tabs>
            <w:rPr>
              <w:rFonts w:ascii="Palatino Linotype" w:eastAsia="Palatino Linotype" w:hAnsi="Palatino Linotype" w:cs="Palatino Linotype"/>
            </w:rPr>
          </w:pPr>
          <w:r>
            <w:rPr>
              <w:rFonts w:ascii="Palatino Linotype" w:eastAsia="Palatino Linotype" w:hAnsi="Palatino Linotype" w:cs="Palatino Linotype"/>
            </w:rPr>
            <w:t>Luis Gustavo Parra Noriega</w:t>
          </w:r>
        </w:p>
      </w:tc>
    </w:tr>
  </w:tbl>
  <w:p w:rsidR="00BE6800" w:rsidRDefault="006D58FE">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1542"/>
    <w:multiLevelType w:val="multilevel"/>
    <w:tmpl w:val="531CC3B0"/>
    <w:lvl w:ilvl="0">
      <w:start w:val="1"/>
      <w:numFmt w:val="upperRoman"/>
      <w:lvlText w:val="%1."/>
      <w:lvlJc w:val="left"/>
      <w:pPr>
        <w:ind w:left="1080" w:hanging="720"/>
      </w:pPr>
      <w:rPr>
        <w:rFonts w:ascii="Palatino Linotype" w:eastAsia="Palatino Linotype" w:hAnsi="Palatino Linotype" w:cs="Palatino Linotype"/>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00"/>
    <w:rsid w:val="00137823"/>
    <w:rsid w:val="00275E83"/>
    <w:rsid w:val="004F733F"/>
    <w:rsid w:val="006D58FE"/>
    <w:rsid w:val="00A2181E"/>
    <w:rsid w:val="00BE6800"/>
    <w:rsid w:val="00D079A5"/>
    <w:rsid w:val="00E45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079797F-80A0-42ED-B32D-67C39028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E2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F0E22"/>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1F0E22"/>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1F0E22"/>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1F0E22"/>
    <w:rPr>
      <w:rFonts w:ascii="Times New Roman" w:eastAsia="Times New Roman" w:hAnsi="Times New Roman" w:cs="Times New Roman"/>
      <w:kern w:val="0"/>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F0E22"/>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1F0E22"/>
    <w:rPr>
      <w:rFonts w:ascii="Century Gothic" w:eastAsia="Times New Roman" w:hAnsi="Century Gothic" w:cs="Times New Roman"/>
      <w:kern w:val="0"/>
      <w:szCs w:val="24"/>
      <w:lang w:eastAsia="es-ES"/>
    </w:rPr>
  </w:style>
  <w:style w:type="table" w:styleId="Tablaconcuadrcula">
    <w:name w:val="Table Grid"/>
    <w:basedOn w:val="Tablanormal"/>
    <w:uiPriority w:val="39"/>
    <w:rsid w:val="001F0E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F0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1F0E22"/>
  </w:style>
  <w:style w:type="character" w:customStyle="1" w:styleId="eop">
    <w:name w:val="eop"/>
    <w:basedOn w:val="Fuentedeprrafopredeter"/>
    <w:rsid w:val="001F0E22"/>
  </w:style>
  <w:style w:type="character" w:styleId="Hipervnculo">
    <w:name w:val="Hyperlink"/>
    <w:basedOn w:val="Fuentedeprrafopredeter"/>
    <w:uiPriority w:val="99"/>
    <w:unhideWhenUsed/>
    <w:rsid w:val="001F0E22"/>
    <w:rPr>
      <w:color w:val="0563C1" w:themeColor="hyperlink"/>
      <w:u w:val="single"/>
    </w:rPr>
  </w:style>
  <w:style w:type="character" w:customStyle="1" w:styleId="UnresolvedMention">
    <w:name w:val="Unresolved Mention"/>
    <w:basedOn w:val="Fuentedeprrafopredeter"/>
    <w:uiPriority w:val="99"/>
    <w:semiHidden/>
    <w:unhideWhenUsed/>
    <w:rsid w:val="009F4AB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65eKdjJjhsNLaKItqHdgd4GQg==">CgMxLjAyCGguZ2pkZ3hzMgloLjMwajB6bGwyCWguMWZvYjl0ZTIJaC4zem55c2g3OAByITFvTWdXTGZFX25OSlpYTUJTSmczVzItSm1tZDg4SWMycw==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4414</Words>
  <Characters>24282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cp:lastModifiedBy>
  <cp:revision>5</cp:revision>
  <cp:lastPrinted>2024-12-19T19:45:00Z</cp:lastPrinted>
  <dcterms:created xsi:type="dcterms:W3CDTF">2024-12-19T19:45:00Z</dcterms:created>
  <dcterms:modified xsi:type="dcterms:W3CDTF">2025-02-04T16:27:00Z</dcterms:modified>
</cp:coreProperties>
</file>