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tres de octubre de dos mil veinticuatro.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Vistos</w:t>
      </w:r>
      <w:r w:rsidDel="00000000" w:rsidR="00000000" w:rsidRPr="00000000">
        <w:rPr>
          <w:rFonts w:ascii="Palatino Linotype" w:cs="Palatino Linotype" w:eastAsia="Palatino Linotype" w:hAnsi="Palatino Linotype"/>
          <w:sz w:val="22"/>
          <w:szCs w:val="22"/>
          <w:rtl w:val="0"/>
        </w:rPr>
        <w:t xml:space="preserve"> los expedientes formados con motivo de los recursos de revisión </w:t>
      </w:r>
      <w:r w:rsidDel="00000000" w:rsidR="00000000" w:rsidRPr="00000000">
        <w:rPr>
          <w:rFonts w:ascii="Palatino Linotype" w:cs="Palatino Linotype" w:eastAsia="Palatino Linotype" w:hAnsi="Palatino Linotype"/>
          <w:b w:val="1"/>
          <w:sz w:val="22"/>
          <w:szCs w:val="22"/>
          <w:rtl w:val="0"/>
        </w:rPr>
        <w:t xml:space="preserve">04734/INFOEM/IP/RR/2024 y 04735/INFOEM/IP/RR/2024 acumulados, </w:t>
      </w:r>
      <w:r w:rsidDel="00000000" w:rsidR="00000000" w:rsidRPr="00000000">
        <w:rPr>
          <w:rFonts w:ascii="Palatino Linotype" w:cs="Palatino Linotype" w:eastAsia="Palatino Linotype" w:hAnsi="Palatino Linotype"/>
          <w:sz w:val="22"/>
          <w:szCs w:val="22"/>
          <w:rtl w:val="0"/>
        </w:rPr>
        <w:t xml:space="preserve">interpuestos por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rtl w:val="0"/>
        </w:rPr>
        <w:t xml:space="preserve">XXXXXX XXXXX</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quien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será identificado como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las respuestas en las solicitudes de información con número de folio </w:t>
      </w:r>
      <w:r w:rsidDel="00000000" w:rsidR="00000000" w:rsidRPr="00000000">
        <w:rPr>
          <w:rFonts w:ascii="Palatino Linotype" w:cs="Palatino Linotype" w:eastAsia="Palatino Linotype" w:hAnsi="Palatino Linotype"/>
          <w:b w:val="1"/>
          <w:sz w:val="22"/>
          <w:szCs w:val="22"/>
          <w:rtl w:val="0"/>
        </w:rPr>
        <w:t xml:space="preserve">00110/TLALMANA/IP/2024 y 00111/TLALMANA/IP/2024, </w:t>
      </w:r>
      <w:r w:rsidDel="00000000" w:rsidR="00000000" w:rsidRPr="00000000">
        <w:rPr>
          <w:rFonts w:ascii="Palatino Linotype" w:cs="Palatino Linotype" w:eastAsia="Palatino Linotype" w:hAnsi="Palatino Linotype"/>
          <w:sz w:val="22"/>
          <w:szCs w:val="22"/>
          <w:rtl w:val="0"/>
        </w:rPr>
        <w:t xml:space="preserve">por parte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del </w:t>
      </w:r>
      <w:r w:rsidDel="00000000" w:rsidR="00000000" w:rsidRPr="00000000">
        <w:rPr>
          <w:rFonts w:ascii="Palatino Linotype" w:cs="Palatino Linotype" w:eastAsia="Palatino Linotype" w:hAnsi="Palatino Linotype"/>
          <w:b w:val="1"/>
          <w:sz w:val="22"/>
          <w:szCs w:val="22"/>
          <w:rtl w:val="0"/>
        </w:rPr>
        <w:t xml:space="preserve">Ayuntamiento de Tlalmanalco,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bookmarkStart w:colFirst="0" w:colLast="0" w:name="_heading=h.gjdgxs" w:id="0"/>
      <w:bookmarkEnd w:id="0"/>
      <w:r w:rsidDel="00000000" w:rsidR="00000000" w:rsidRPr="00000000">
        <w:rPr>
          <w:rFonts w:ascii="Palatino Linotype" w:cs="Palatino Linotype" w:eastAsia="Palatino Linotype" w:hAnsi="Palatino Linotype"/>
          <w:b w:val="1"/>
          <w:sz w:val="22"/>
          <w:szCs w:val="22"/>
          <w:rtl w:val="0"/>
        </w:rPr>
        <w:t xml:space="preserve">1. Solicitudes de acceso a la información.</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nueve de julio de dos mil veinticuatro,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 Recurrente </w:t>
      </w:r>
      <w:r w:rsidDel="00000000" w:rsidR="00000000" w:rsidRPr="00000000">
        <w:rPr>
          <w:rFonts w:ascii="Palatino Linotype" w:cs="Palatino Linotype" w:eastAsia="Palatino Linotype" w:hAnsi="Palatino Linotype"/>
          <w:sz w:val="22"/>
          <w:szCs w:val="22"/>
          <w:rtl w:val="0"/>
        </w:rPr>
        <w:t xml:space="preserve">formuló solicitudes de acceso a información pública a través del Sistema de Acceso a la Información Mexiquense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en las que requirió lo siguiente:</w:t>
      </w:r>
    </w:p>
    <w:tbl>
      <w:tblPr>
        <w:tblStyle w:val="Table1"/>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5098"/>
        <w:tblGridChange w:id="0">
          <w:tblGrid>
            <w:gridCol w:w="3823"/>
            <w:gridCol w:w="5098"/>
          </w:tblGrid>
        </w:tblGridChange>
      </w:tblGrid>
      <w:tr>
        <w:trPr>
          <w:cantSplit w:val="0"/>
          <w:tblHeader w:val="0"/>
        </w:trPr>
        <w:tc>
          <w:tcPr>
            <w:shd w:fill="dbeef3" w:val="clear"/>
          </w:tcPr>
          <w:p w:rsidR="00000000" w:rsidDel="00000000" w:rsidP="00000000" w:rsidRDefault="00000000" w:rsidRPr="00000000" w14:paraId="00000005">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solicitud y recurso de revisión</w:t>
            </w:r>
          </w:p>
        </w:tc>
        <w:tc>
          <w:tcPr>
            <w:shd w:fill="dbeef3" w:val="clear"/>
          </w:tcPr>
          <w:p w:rsidR="00000000" w:rsidDel="00000000" w:rsidP="00000000" w:rsidRDefault="00000000" w:rsidRPr="00000000" w14:paraId="00000006">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Información requerida</w:t>
            </w:r>
          </w:p>
        </w:tc>
      </w:tr>
      <w:tr>
        <w:trPr>
          <w:cantSplit w:val="0"/>
          <w:tblHeader w:val="0"/>
        </w:trPr>
        <w:tc>
          <w:tcPr/>
          <w:p w:rsidR="00000000" w:rsidDel="00000000" w:rsidP="00000000" w:rsidRDefault="00000000" w:rsidRPr="00000000" w14:paraId="00000007">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00110/TLALMANA/IP/2024,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04734/INFOEM/IP/RR/2024</w:t>
            </w:r>
          </w:p>
        </w:tc>
        <w:tc>
          <w:tcPr/>
          <w:p w:rsidR="00000000" w:rsidDel="00000000" w:rsidP="00000000" w:rsidRDefault="00000000" w:rsidRPr="00000000" w14:paraId="00000008">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de las obras a continuación se mencionan, así como el padrón de beneficiarios y/o población beneficiada. 1</w:t>
            </w:r>
            <w:r w:rsidDel="00000000" w:rsidR="00000000" w:rsidRPr="00000000">
              <w:rPr>
                <w:rFonts w:ascii="Palatino Linotype" w:cs="Palatino Linotype" w:eastAsia="Palatino Linotype" w:hAnsi="Palatino Linotype"/>
                <w:b w:val="1"/>
                <w:i w:val="1"/>
                <w:rtl w:val="0"/>
              </w:rPr>
              <w:t xml:space="preserve">.- Por la Construcción y/o inauguración del “INAUGURACIÓN DE SUB SISTEMA DIF SAN LORENZO</w:t>
            </w:r>
            <w:r w:rsidDel="00000000" w:rsidR="00000000" w:rsidRPr="00000000">
              <w:rPr>
                <w:rFonts w:ascii="Palatino Linotype" w:cs="Palatino Linotype" w:eastAsia="Palatino Linotype" w:hAnsi="Palatino Linotype"/>
                <w:i w:val="1"/>
                <w:rtl w:val="0"/>
              </w:rPr>
              <w:t xml:space="preserve">” https://www.facebook.com/photo/?fbid=482287117683957&amp;set=pcb.482289931017009&amp;__cft__[0]=AZVG9_KIWbxy0Qpz7lv5NcFEURYNhLa5NBAiSsq0qmUbId6Vs7ZF7bm5BIKAqIotx6QmY-uwTqA-969pgKwr0bxZbEfWQKV0gwnsiVsw8nNdUUldKxv_2-1KTPZFGFI0frM4hgM6AfxyTh3eqCSXdLiXTfAFy2g4_s7xsVDYOTVEvSjr92BYNLxSXdCpyw8cfzewITRZAv1iYNugxrHYJBIl&amp;__tn__=*bH-R</w:t>
            </w:r>
          </w:p>
        </w:tc>
      </w:tr>
      <w:tr>
        <w:trPr>
          <w:cantSplit w:val="0"/>
          <w:tblHeader w:val="0"/>
        </w:trPr>
        <w:tc>
          <w:tcPr/>
          <w:p w:rsidR="00000000" w:rsidDel="00000000" w:rsidP="00000000" w:rsidRDefault="00000000" w:rsidRPr="00000000" w14:paraId="00000009">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00111/TLALMANA/IP/2024,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04735/INFOEM/IP/RR/2024</w:t>
            </w:r>
          </w:p>
        </w:tc>
        <w:tc>
          <w:tcPr/>
          <w:p w:rsidR="00000000" w:rsidDel="00000000" w:rsidP="00000000" w:rsidRDefault="00000000" w:rsidRPr="00000000" w14:paraId="0000000A">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solicita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XVIIII, XIX, incisos I, y III de la Constitución Política del Estado Libre y Soberano de México, de la siguiente información para que se haga una búsqueda de manera exhaustiva, desglosada, clara y detallada así como su entrega en versión publica y en formato PDF de los contratos correspondientes, de conformidad al dispuesto en la Ley de Contratación Pública del Estado de México y Municipios. Solicito los costos totales (IVA incluido) en moneda nacional, así como su entrega en versión pública de los Convenios celebrados, facturas, contratos celebrados, Pólizas de cheques. Del gasto, efectuado, pago y/o realizo de lo que a continuación se menciona. </w:t>
            </w:r>
            <w:r w:rsidDel="00000000" w:rsidR="00000000" w:rsidRPr="00000000">
              <w:rPr>
                <w:rFonts w:ascii="Palatino Linotype" w:cs="Palatino Linotype" w:eastAsia="Palatino Linotype" w:hAnsi="Palatino Linotype"/>
                <w:b w:val="1"/>
                <w:i w:val="1"/>
                <w:rtl w:val="0"/>
              </w:rPr>
              <w:t xml:space="preserve">Por concepto de los eventos realizados de nombre DOMINGOS FAMILIARES en la explanada municipal en el ejercicio fiscal 2024,</w:t>
            </w:r>
            <w:r w:rsidDel="00000000" w:rsidR="00000000" w:rsidRPr="00000000">
              <w:rPr>
                <w:rFonts w:ascii="Palatino Linotype" w:cs="Palatino Linotype" w:eastAsia="Palatino Linotype" w:hAnsi="Palatino Linotype"/>
                <w:i w:val="1"/>
                <w:rtl w:val="0"/>
              </w:rPr>
              <w:t xml:space="preserve"> Pago de los artistas que se presentan, lonas, escenario, luces y sonido” (Sic) </w:t>
            </w:r>
          </w:p>
        </w:tc>
      </w:tr>
    </w:tbl>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tl w:val="0"/>
        </w:rPr>
      </w:r>
    </w:p>
    <w:p w:rsidR="00000000" w:rsidDel="00000000" w:rsidP="00000000" w:rsidRDefault="00000000" w:rsidRPr="00000000" w14:paraId="0000000C">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 Respuestas. </w:t>
      </w:r>
      <w:r w:rsidDel="00000000" w:rsidR="00000000" w:rsidRPr="00000000">
        <w:rPr>
          <w:rFonts w:ascii="Palatino Linotype" w:cs="Palatino Linotype" w:eastAsia="Palatino Linotype" w:hAnsi="Palatino Linotype"/>
          <w:sz w:val="22"/>
          <w:szCs w:val="22"/>
          <w:rtl w:val="0"/>
        </w:rPr>
        <w:t xml:space="preserve">En fechas </w:t>
      </w:r>
      <w:r w:rsidDel="00000000" w:rsidR="00000000" w:rsidRPr="00000000">
        <w:rPr>
          <w:rFonts w:ascii="Palatino Linotype" w:cs="Palatino Linotype" w:eastAsia="Palatino Linotype" w:hAnsi="Palatino Linotype"/>
          <w:b w:val="1"/>
          <w:sz w:val="22"/>
          <w:szCs w:val="22"/>
          <w:rtl w:val="0"/>
        </w:rPr>
        <w:t xml:space="preserve">cinco de agosto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notificó a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ambos expedientes, las respuestas a sus solicitudes de información, en los términos siguientes: </w:t>
      </w:r>
      <w:r w:rsidDel="00000000" w:rsidR="00000000" w:rsidRPr="00000000">
        <w:rPr>
          <w:rtl w:val="0"/>
        </w:rPr>
      </w:r>
    </w:p>
    <w:tbl>
      <w:tblPr>
        <w:tblStyle w:val="Table2"/>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3"/>
        <w:gridCol w:w="5098"/>
        <w:tblGridChange w:id="0">
          <w:tblGrid>
            <w:gridCol w:w="3823"/>
            <w:gridCol w:w="5098"/>
          </w:tblGrid>
        </w:tblGridChange>
      </w:tblGrid>
      <w:tr>
        <w:trPr>
          <w:cantSplit w:val="0"/>
          <w:tblHeader w:val="0"/>
        </w:trPr>
        <w:tc>
          <w:tcPr>
            <w:shd w:fill="dbeef3" w:val="clear"/>
          </w:tcPr>
          <w:p w:rsidR="00000000" w:rsidDel="00000000" w:rsidP="00000000" w:rsidRDefault="00000000" w:rsidRPr="00000000" w14:paraId="0000000D">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Número de recurso de revisión</w:t>
            </w:r>
          </w:p>
        </w:tc>
        <w:tc>
          <w:tcPr>
            <w:shd w:fill="dbeef3" w:val="clear"/>
          </w:tcPr>
          <w:p w:rsidR="00000000" w:rsidDel="00000000" w:rsidP="00000000" w:rsidRDefault="00000000" w:rsidRPr="00000000" w14:paraId="0000000E">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Descripción de las respuestas</w:t>
            </w:r>
          </w:p>
        </w:tc>
      </w:tr>
      <w:tr>
        <w:trPr>
          <w:cantSplit w:val="0"/>
          <w:tblHeader w:val="0"/>
        </w:trPr>
        <w:tc>
          <w:tcPr/>
          <w:p w:rsidR="00000000" w:rsidDel="00000000" w:rsidP="00000000" w:rsidRDefault="00000000" w:rsidRPr="00000000" w14:paraId="0000000F">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00110/TLALMANA/IP/2024,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04734/INFOEM/IP/RR/2024</w:t>
            </w:r>
          </w:p>
        </w:tc>
        <w:tc>
          <w:tcPr/>
          <w:p w:rsidR="00000000" w:rsidDel="00000000" w:rsidP="00000000" w:rsidRDefault="00000000" w:rsidRPr="00000000" w14:paraId="00000010">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1">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lo dispuesto en el artículo 12 segundo párrafo de la Ley de Transparencia y Acceso a la Información Pública del Estado de México y Municipios, en seguimiento y respuesta a la solicitud de información pública con número de Folio 00110/TLALMANA/IP/2024, que derivado de una búsqueda exhaustiva y minuciosa de la información solicitada, en los archivos físicos y digitales de esta Dependencia administrativa, se da respuesta conforme a lo siguiente: Con fundamento en lo dispuesto en el artículo 12 segundo párrafo de la Ley de Transparencia y Acceso a la Información Pública del Estado de México y Municipios, en seguimiento y respuesta a la solicitud de información pública con número de Folio 00110/TLALMANA/IP/2024, que derivado de una búsqueda exhaustiva y minuciosa de la información solicitada, en los archivos físicos y digitales de esta Dependencia administrativa, se da respuesta conforme a lo siguiente:</w:t>
            </w:r>
          </w:p>
          <w:p w:rsidR="00000000" w:rsidDel="00000000" w:rsidP="00000000" w:rsidRDefault="00000000" w:rsidRPr="00000000" w14:paraId="00000012">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3">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en C.P y Admón. Pub. Janet Orozco Banda”</w:t>
            </w:r>
          </w:p>
          <w:p w:rsidR="00000000" w:rsidDel="00000000" w:rsidP="00000000" w:rsidRDefault="00000000" w:rsidRPr="00000000" w14:paraId="00000014">
            <w:pPr>
              <w:spacing w:after="240" w:befor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Adjuntando a su respuesta los siguientes archivos: </w:t>
            </w:r>
          </w:p>
          <w:p w:rsidR="00000000" w:rsidDel="00000000" w:rsidP="00000000" w:rsidRDefault="00000000" w:rsidRPr="00000000" w14:paraId="00000015">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SAIMEX00110.pdf. </w:t>
            </w:r>
            <w:r w:rsidDel="00000000" w:rsidR="00000000" w:rsidRPr="00000000">
              <w:rPr>
                <w:rFonts w:ascii="Palatino Linotype" w:cs="Palatino Linotype" w:eastAsia="Palatino Linotype" w:hAnsi="Palatino Linotype"/>
                <w:rtl w:val="0"/>
              </w:rPr>
              <w:t xml:space="preserve">Contiene: </w:t>
            </w:r>
          </w:p>
          <w:p w:rsidR="00000000" w:rsidDel="00000000" w:rsidP="00000000" w:rsidRDefault="00000000" w:rsidRPr="00000000" w14:paraId="00000016">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TLAL/UT/SAIMEX/00110/2024 de fecha once de julio de dos mil veinticuatro, signado por la Titular de la Unidad de Transparencia y Acceso a la Información Pública, mediante el cual solicitó al Director del Sistema Municipal DIF Tlalmanalco de atención a la solicitud de mérito. </w:t>
            </w:r>
          </w:p>
          <w:p w:rsidR="00000000" w:rsidDel="00000000" w:rsidP="00000000" w:rsidRDefault="00000000" w:rsidRPr="00000000" w14:paraId="00000017">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DIR/SMDIF/223/2024 de fecha dieciocho de julio de dos mil veinticuatro, signado por el Director del Sistema Municipal para el Desarrollo Integral de la Familia de Tlalmanalco, mediante el cual informó que la Presidenta Honorifica de este Sistema Municipal DIF le solicito al Presidente Municipal le apoyara con la construcción del Subsistema DIF de San Lorenzo Tlalmimilolpan, obteniendo una respuesta favorable, misma que concluyo con la contratación y ejecución de dicha obra por parte del municipio de Tlalmanalco, haciendo la aclaración que en fecha 1 de julio del año en curso se invitó a todo el personal de este Sistema Municipal DIF para que acudiera a la inauguración, misma que fue llevada a cabo por parte de las autoridades del Cabildo, en conjunto con las autoridades de este Sistema. </w:t>
            </w:r>
          </w:p>
          <w:p w:rsidR="00000000" w:rsidDel="00000000" w:rsidP="00000000" w:rsidRDefault="00000000" w:rsidRPr="00000000" w14:paraId="00000018">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respecta a la población beneficiada, este dato fue proporcionado por el Secretario del Ayuntamiento, </w:t>
            </w:r>
            <w:r w:rsidDel="00000000" w:rsidR="00000000" w:rsidRPr="00000000">
              <w:rPr>
                <w:rFonts w:ascii="Palatino Linotype" w:cs="Palatino Linotype" w:eastAsia="Palatino Linotype" w:hAnsi="Palatino Linotype"/>
                <w:u w:val="single"/>
                <w:rtl w:val="0"/>
              </w:rPr>
              <w:t xml:space="preserve">se beneficiara a más de 500 habitantes </w:t>
            </w:r>
            <w:r w:rsidDel="00000000" w:rsidR="00000000" w:rsidRPr="00000000">
              <w:rPr>
                <w:rFonts w:ascii="Palatino Linotype" w:cs="Palatino Linotype" w:eastAsia="Palatino Linotype" w:hAnsi="Palatino Linotype"/>
                <w:rtl w:val="0"/>
              </w:rPr>
              <w:t xml:space="preserve">dato tomado de la ficha técnica que se leyó en el evento de inauguración. </w:t>
            </w:r>
          </w:p>
          <w:p w:rsidR="00000000" w:rsidDel="00000000" w:rsidP="00000000" w:rsidRDefault="00000000" w:rsidRPr="00000000" w14:paraId="00000019">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informó que hasta el momento </w:t>
            </w:r>
            <w:r w:rsidDel="00000000" w:rsidR="00000000" w:rsidRPr="00000000">
              <w:rPr>
                <w:rFonts w:ascii="Palatino Linotype" w:cs="Palatino Linotype" w:eastAsia="Palatino Linotype" w:hAnsi="Palatino Linotype"/>
                <w:u w:val="single"/>
                <w:rtl w:val="0"/>
              </w:rPr>
              <w:t xml:space="preserve">no existe un padrón de beneficiario</w:t>
            </w:r>
            <w:r w:rsidDel="00000000" w:rsidR="00000000" w:rsidRPr="00000000">
              <w:rPr>
                <w:rFonts w:ascii="Palatino Linotype" w:cs="Palatino Linotype" w:eastAsia="Palatino Linotype" w:hAnsi="Palatino Linotype"/>
                <w:rtl w:val="0"/>
              </w:rPr>
              <w:t xml:space="preserve">s, esto debido a que se le permite el acceso a cualquier persona que quiera acudir a participar a las diferentes actividades y servicios que se proporcionan en el Subsistema DIF San Lorenzo. </w:t>
            </w:r>
          </w:p>
          <w:p w:rsidR="00000000" w:rsidDel="00000000" w:rsidP="00000000" w:rsidRDefault="00000000" w:rsidRPr="00000000" w14:paraId="0000001A">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110_24 OBRAS .pdf. </w:t>
            </w:r>
            <w:r w:rsidDel="00000000" w:rsidR="00000000" w:rsidRPr="00000000">
              <w:rPr>
                <w:rFonts w:ascii="Palatino Linotype" w:cs="Palatino Linotype" w:eastAsia="Palatino Linotype" w:hAnsi="Palatino Linotype"/>
                <w:rtl w:val="0"/>
              </w:rPr>
              <w:t xml:space="preserve">Contiene: </w:t>
            </w:r>
          </w:p>
          <w:p w:rsidR="00000000" w:rsidDel="00000000" w:rsidP="00000000" w:rsidRDefault="00000000" w:rsidRPr="00000000" w14:paraId="0000001B">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TLAL/UT/SAIMEX/00110/2024 de fecha diecinueve de julio de dos mil veinticuatro, signado por la Titular de la Unidad de Transparencia y Acceso a la Información Pública, mediante el cual solicita al Director de Desarrollo Urbano y Obras Públicas de atención a la solicitud de mérito. </w:t>
            </w:r>
          </w:p>
          <w:p w:rsidR="00000000" w:rsidDel="00000000" w:rsidP="00000000" w:rsidRDefault="00000000" w:rsidRPr="00000000" w14:paraId="0000001C">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Oficio número TLAL/DOP/182/2024 de fecha diecinueve de julio de dos mil veinticuatro, signado por el Director de Desarrollo Urbano y Obras Públicas, mediante el cual informó que en relación a los contratos celebrados por la construcción del “Parque recreativo, San Rafael”, hago de su conocimiento que se pueden consultar en la página oficial del municipio </w:t>
            </w:r>
            <w:r w:rsidDel="00000000" w:rsidR="00000000" w:rsidRPr="00000000">
              <w:rPr>
                <w:rFonts w:ascii="Palatino Linotype" w:cs="Palatino Linotype" w:eastAsia="Palatino Linotype" w:hAnsi="Palatino Linotype"/>
                <w:b w:val="1"/>
                <w:rtl w:val="0"/>
              </w:rPr>
              <w:t xml:space="preserve">Tlalmanalco Gob Mx</w:t>
            </w:r>
            <w:r w:rsidDel="00000000" w:rsidR="00000000" w:rsidRPr="00000000">
              <w:rPr>
                <w:rFonts w:ascii="Palatino Linotype" w:cs="Palatino Linotype" w:eastAsia="Palatino Linotype" w:hAnsi="Palatino Linotype"/>
                <w:rtl w:val="0"/>
              </w:rPr>
              <w:t xml:space="preserve"> apartado AYUNTAMIENTO/OBRAS PÚBLICAS/FAISMUN/FAISMUN04/CONTRATO. Anexo link:</w:t>
            </w:r>
          </w:p>
          <w:p w:rsidR="00000000" w:rsidDel="00000000" w:rsidP="00000000" w:rsidRDefault="00000000" w:rsidRPr="00000000" w14:paraId="0000001D">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091180" cy="118745"/>
                  <wp:effectExtent b="0" l="0" r="0" t="0"/>
                  <wp:docPr id="207683035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091180" cy="11874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3091180" cy="399415"/>
                  <wp:effectExtent b="0" l="0" r="0" t="0"/>
                  <wp:docPr id="2076830357"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091180" cy="39941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rFonts w:ascii="Palatino Linotype" w:cs="Palatino Linotype" w:eastAsia="Palatino Linotype" w:hAnsi="Palatino Linotype"/>
              </w:rPr>
            </w:pPr>
            <w:r w:rsidDel="00000000" w:rsidR="00000000" w:rsidRPr="00000000">
              <w:rPr>
                <w:rtl w:val="0"/>
              </w:rPr>
            </w:r>
          </w:p>
        </w:tc>
      </w:tr>
      <w:tr>
        <w:trPr>
          <w:cantSplit w:val="0"/>
          <w:tblHeader w:val="0"/>
        </w:trPr>
        <w:tc>
          <w:tcPr/>
          <w:p w:rsidR="00000000" w:rsidDel="00000000" w:rsidP="00000000" w:rsidRDefault="00000000" w:rsidRPr="00000000" w14:paraId="00000020">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00111/TLALMANA/IP/2024, </w:t>
            </w:r>
            <w:r w:rsidDel="00000000" w:rsidR="00000000" w:rsidRPr="00000000">
              <w:rPr>
                <w:rFonts w:ascii="Palatino Linotype" w:cs="Palatino Linotype" w:eastAsia="Palatino Linotype" w:hAnsi="Palatino Linotype"/>
                <w:rtl w:val="0"/>
              </w:rPr>
              <w:t xml:space="preserve">correspondiente al Recurso de Revisión</w:t>
            </w:r>
            <w:r w:rsidDel="00000000" w:rsidR="00000000" w:rsidRPr="00000000">
              <w:rPr>
                <w:rFonts w:ascii="Palatino Linotype" w:cs="Palatino Linotype" w:eastAsia="Palatino Linotype" w:hAnsi="Palatino Linotype"/>
                <w:b w:val="1"/>
                <w:rtl w:val="0"/>
              </w:rPr>
              <w:t xml:space="preserve">    04735/INFOEM/IP/RR/2024</w:t>
            </w:r>
          </w:p>
        </w:tc>
        <w:tc>
          <w:tcPr/>
          <w:p w:rsidR="00000000" w:rsidDel="00000000" w:rsidP="00000000" w:rsidRDefault="00000000" w:rsidRPr="00000000" w14:paraId="00000021">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2">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lo dispuesto en el artículo 12 segundo párrafo de la Ley de Transparencia y Acceso a la Información Pública del Estado de México y Municipios, en seguimiento y respuesta a la solicitud de información pública con número de Folio 00111/TLALMANA/IP/2024, que derivado de una búsqueda exhaustiva y minuciosa de la información solicitada, en los archivos físicos y digitales de esta Dependencia administrativa, se da respuesta conforme a lo siguiente:</w:t>
            </w:r>
          </w:p>
          <w:p w:rsidR="00000000" w:rsidDel="00000000" w:rsidP="00000000" w:rsidRDefault="00000000" w:rsidRPr="00000000" w14:paraId="00000023">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24">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en C.P y Admón. Pub. Janet Orozco Banda”</w:t>
            </w:r>
          </w:p>
          <w:p w:rsidR="00000000" w:rsidDel="00000000" w:rsidP="00000000" w:rsidRDefault="00000000" w:rsidRPr="00000000" w14:paraId="00000025">
            <w:pPr>
              <w:spacing w:after="240" w:befor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Adjuntado el archivo electrónico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i w:val="1"/>
                <w:rtl w:val="0"/>
              </w:rPr>
              <w:t xml:space="preserve">“0111 204 DU.pdf”, </w:t>
            </w:r>
            <w:r w:rsidDel="00000000" w:rsidR="00000000" w:rsidRPr="00000000">
              <w:rPr>
                <w:rFonts w:ascii="Palatino Linotype" w:cs="Palatino Linotype" w:eastAsia="Palatino Linotype" w:hAnsi="Palatino Linotype"/>
                <w:rtl w:val="0"/>
              </w:rPr>
              <w:t xml:space="preserve">el cual contiene el oficio número TLAL/TES/579/2024 de fecha quince de julio de dos mil veinticuatro, signado por el Tesorero Municipal, mediante el cual informó que después de realizar la búsqueda exhaustiva de la información, haciendo de su conocimiento que dicha información no ha sido generada. </w:t>
            </w:r>
          </w:p>
        </w:tc>
      </w:tr>
    </w:tbl>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 los recursos de revisión.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ocho de agosto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inconforme con las respuestas, interpuso los recursos de revisión que nos ocupan, expresando en ambos casos, lo siguiente: </w:t>
      </w:r>
    </w:p>
    <w:tbl>
      <w:tblPr>
        <w:tblStyle w:val="Table3"/>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4"/>
        <w:gridCol w:w="2943"/>
        <w:gridCol w:w="3180"/>
        <w:tblGridChange w:id="0">
          <w:tblGrid>
            <w:gridCol w:w="2944"/>
            <w:gridCol w:w="2943"/>
            <w:gridCol w:w="3180"/>
          </w:tblGrid>
        </w:tblGridChange>
      </w:tblGrid>
      <w:tr>
        <w:trPr>
          <w:cantSplit w:val="0"/>
          <w:tblHeader w:val="0"/>
        </w:trPr>
        <w:tc>
          <w:tcPr>
            <w:shd w:fill="ddd9c4" w:val="clear"/>
          </w:tcPr>
          <w:p w:rsidR="00000000" w:rsidDel="00000000" w:rsidP="00000000" w:rsidRDefault="00000000" w:rsidRPr="00000000" w14:paraId="00000027">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ddd9c4" w:val="clear"/>
          </w:tcPr>
          <w:p w:rsidR="00000000" w:rsidDel="00000000" w:rsidP="00000000" w:rsidRDefault="00000000" w:rsidRPr="00000000" w14:paraId="00000028">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w:t>
            </w:r>
          </w:p>
        </w:tc>
        <w:tc>
          <w:tcPr>
            <w:shd w:fill="ddd9c4" w:val="clear"/>
          </w:tcPr>
          <w:p w:rsidR="00000000" w:rsidDel="00000000" w:rsidP="00000000" w:rsidRDefault="00000000" w:rsidRPr="00000000" w14:paraId="00000029">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Razones o Motivos de Inconformidad</w:t>
            </w:r>
          </w:p>
        </w:tc>
      </w:tr>
      <w:tr>
        <w:trPr>
          <w:cantSplit w:val="0"/>
          <w:tblHeader w:val="0"/>
        </w:trPr>
        <w:tc>
          <w:tcPr/>
          <w:p w:rsidR="00000000" w:rsidDel="00000000" w:rsidP="00000000" w:rsidRDefault="00000000" w:rsidRPr="00000000" w14:paraId="0000002A">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04734/INFOEM/IP/RR/2024</w:t>
            </w:r>
          </w:p>
        </w:tc>
        <w:tc>
          <w:tcPr/>
          <w:p w:rsidR="00000000" w:rsidDel="00000000" w:rsidP="00000000" w:rsidRDefault="00000000" w:rsidRPr="00000000" w14:paraId="0000002B">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entrega de la información incompleta</w:t>
            </w:r>
          </w:p>
        </w:tc>
        <w:tc>
          <w:tcPr/>
          <w:p w:rsidR="00000000" w:rsidDel="00000000" w:rsidP="00000000" w:rsidRDefault="00000000" w:rsidRPr="00000000" w14:paraId="0000002C">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artículos 176, 178 y 179 Fracciones VII de la Ley de Transparencia y Acceso a la Información Pública del Estado de México y Municipios, la falta de respuesta a por parte del Sujeto Obligado para la entrega de </w:t>
            </w:r>
            <w:r w:rsidDel="00000000" w:rsidR="00000000" w:rsidRPr="00000000">
              <w:rPr>
                <w:rFonts w:ascii="Palatino Linotype" w:cs="Palatino Linotype" w:eastAsia="Palatino Linotype" w:hAnsi="Palatino Linotype"/>
                <w:b w:val="1"/>
                <w:i w:val="1"/>
                <w:rtl w:val="0"/>
              </w:rPr>
              <w:t xml:space="preserve">la información incompleta</w:t>
            </w:r>
            <w:r w:rsidDel="00000000" w:rsidR="00000000" w:rsidRPr="00000000">
              <w:rPr>
                <w:rFonts w:ascii="Palatino Linotype" w:cs="Palatino Linotype" w:eastAsia="Palatino Linotype" w:hAnsi="Palatino Linotype"/>
                <w:i w:val="1"/>
                <w:rtl w:val="0"/>
              </w:rPr>
              <w:t xml:space="preserve"> de respuesta a mi solicitud e información. </w:t>
            </w:r>
            <w:r w:rsidDel="00000000" w:rsidR="00000000" w:rsidRPr="00000000">
              <w:rPr>
                <w:rFonts w:ascii="Palatino Linotype" w:cs="Palatino Linotype" w:eastAsia="Palatino Linotype" w:hAnsi="Palatino Linotype"/>
                <w:b w:val="1"/>
                <w:i w:val="1"/>
                <w:rtl w:val="0"/>
              </w:rPr>
              <w:t xml:space="preserve">de los Convenios celebrados, facturas, contratos celebrados, Pólizas de cheques, del gasto, efectuado, pago y/o realizo de las obras</w:t>
            </w:r>
            <w:r w:rsidDel="00000000" w:rsidR="00000000" w:rsidRPr="00000000">
              <w:rPr>
                <w:rFonts w:ascii="Palatino Linotype" w:cs="Palatino Linotype" w:eastAsia="Palatino Linotype" w:hAnsi="Palatino Linotype"/>
                <w:i w:val="1"/>
                <w:rtl w:val="0"/>
              </w:rPr>
              <w:t xml:space="preserve">, Por otra parte, el Sujeto Obligado </w:t>
            </w:r>
            <w:r w:rsidDel="00000000" w:rsidR="00000000" w:rsidRPr="00000000">
              <w:rPr>
                <w:rFonts w:ascii="Palatino Linotype" w:cs="Palatino Linotype" w:eastAsia="Palatino Linotype" w:hAnsi="Palatino Linotype"/>
                <w:b w:val="1"/>
                <w:i w:val="1"/>
                <w:rtl w:val="0"/>
              </w:rPr>
              <w:t xml:space="preserve">Anexo un link el cual no me permite el acceso a su página oficial para visualizar la información solicitada</w:t>
            </w:r>
            <w:r w:rsidDel="00000000" w:rsidR="00000000" w:rsidRPr="00000000">
              <w:rPr>
                <w:rFonts w:ascii="Palatino Linotype" w:cs="Palatino Linotype" w:eastAsia="Palatino Linotype" w:hAnsi="Palatino Linotype"/>
                <w:i w:val="1"/>
                <w:rtl w:val="0"/>
              </w:rPr>
              <w:t xml:space="preserve">.</w:t>
            </w:r>
          </w:p>
        </w:tc>
      </w:tr>
      <w:tr>
        <w:trPr>
          <w:cantSplit w:val="0"/>
          <w:tblHeader w:val="0"/>
        </w:trPr>
        <w:tc>
          <w:tcPr/>
          <w:p w:rsidR="00000000" w:rsidDel="00000000" w:rsidP="00000000" w:rsidRDefault="00000000" w:rsidRPr="00000000" w14:paraId="0000002D">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04735/INFOEM/IP/RR/2024  </w:t>
            </w:r>
          </w:p>
        </w:tc>
        <w:tc>
          <w:tcPr/>
          <w:p w:rsidR="00000000" w:rsidDel="00000000" w:rsidP="00000000" w:rsidRDefault="00000000" w:rsidRPr="00000000" w14:paraId="0000002E">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negativa por parte del Sujeto Obligado para la entrega de la información</w:t>
            </w:r>
          </w:p>
        </w:tc>
        <w:tc>
          <w:tcPr/>
          <w:p w:rsidR="00000000" w:rsidDel="00000000" w:rsidP="00000000" w:rsidRDefault="00000000" w:rsidRPr="00000000" w14:paraId="0000002F">
            <w:pPr>
              <w:spacing w:after="240" w:before="24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artículos 162, 176, 178 y 179 Fracción I de la Ley de Transparencia y Acceso a la Información Pública del Estado de México y Municipios, </w:t>
            </w:r>
            <w:r w:rsidDel="00000000" w:rsidR="00000000" w:rsidRPr="00000000">
              <w:rPr>
                <w:rFonts w:ascii="Palatino Linotype" w:cs="Palatino Linotype" w:eastAsia="Palatino Linotype" w:hAnsi="Palatino Linotype"/>
                <w:b w:val="1"/>
                <w:i w:val="1"/>
                <w:rtl w:val="0"/>
              </w:rPr>
              <w:t xml:space="preserve">la negativa por parte del Sujeto Obligado para la entrega de la información </w:t>
            </w:r>
            <w:r w:rsidDel="00000000" w:rsidR="00000000" w:rsidRPr="00000000">
              <w:rPr>
                <w:rFonts w:ascii="Palatino Linotype" w:cs="Palatino Linotype" w:eastAsia="Palatino Linotype" w:hAnsi="Palatino Linotype"/>
                <w:i w:val="1"/>
                <w:rtl w:val="0"/>
              </w:rPr>
              <w:t xml:space="preserve">la falta de respuesta a mi solicitud e información. Por otra parte me permito adjuntar un link de Facebook de los que cada semana el sujeto obligado hace mención en su página oficial desde el año 2023 donde donde aparece que la invitación es por parte del Ayuntamiento, DIF Municipal e INJUVE y INCUFIDE https://www.facebook.com/photo/?fbid=254079013838103&amp;set=a.139798981932774&amp;__cft__[0]=AZX5Z6hNCSupnSuJwcofZHxuh5nsh68G34LY2Y9nllmkBJkNNl3UsmlYmRAOZgPkh6nfMij_XrO5LoLcXCbzTNGwQa2ozCzaQFmiFdLV8feHR8bEFl0QTXAFVaBFaIhFBks1nlFxIodgcr7VTO2TSF8HCQyxeu9syH3RlG2my_LC6qva6t0d_zgpXfL2V6BIFW7sDPaI1w80O5Ecoz2-ejTQ&amp;__tn__=EH-R https://scontent.fmex34-1.fna.fbcdn.net/v/t39.30808-6/347607547_2827532560714438_225153717079144701_n.jpg?stp=dst-jpg_p526x296&amp;_nc_cat=102&amp;ccb=1-7&amp;_nc_sid=833d8c&amp;_nc_eui2=AeFCUdSJD_fFce6AYBoFUxtCiJZMvphrHzeIlky-mGsfN1rmii0-cI5I5iWXnpxw_Wzls0dIxDDEjO8cq5Aqjxn-&amp;_nc_ohc=PFqc6cOXzbAQ7kNvgGViNIH&amp;_nc_ht=scontent.fmex34-1.fna&amp;oh=00_AYB-UC-qnSvsBlCRkNlFKjQQBiZ4SLVzRRha2Wgjt_oPuA&amp;oe=66BACA28</w:t>
            </w:r>
          </w:p>
        </w:tc>
      </w:tr>
    </w:tbl>
    <w:p w:rsidR="00000000" w:rsidDel="00000000" w:rsidP="00000000" w:rsidRDefault="00000000" w:rsidRPr="00000000" w14:paraId="0000003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Turnos.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Transparencia y Acceso a la Información Pública, los recursos de revisión fueron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turnados de la siguiente manera a efecto de presentar al Pleno los proyectos de resolución correspondientes: </w:t>
      </w:r>
    </w:p>
    <w:tbl>
      <w:tblPr>
        <w:tblStyle w:val="Table4"/>
        <w:tblW w:w="892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0"/>
        <w:gridCol w:w="4461"/>
        <w:tblGridChange w:id="0">
          <w:tblGrid>
            <w:gridCol w:w="4460"/>
            <w:gridCol w:w="4461"/>
          </w:tblGrid>
        </w:tblGridChange>
      </w:tblGrid>
      <w:tr>
        <w:trPr>
          <w:cantSplit w:val="0"/>
          <w:tblHeader w:val="0"/>
        </w:trPr>
        <w:tc>
          <w:tcPr>
            <w:shd w:fill="ddd9c4" w:val="clear"/>
          </w:tcPr>
          <w:p w:rsidR="00000000" w:rsidDel="00000000" w:rsidP="00000000" w:rsidRDefault="00000000" w:rsidRPr="00000000" w14:paraId="00000031">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ddd9c4" w:val="clear"/>
          </w:tcPr>
          <w:p w:rsidR="00000000" w:rsidDel="00000000" w:rsidP="00000000" w:rsidRDefault="00000000" w:rsidRPr="00000000" w14:paraId="00000032">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w:t>
            </w:r>
          </w:p>
        </w:tc>
      </w:tr>
      <w:tr>
        <w:trPr>
          <w:cantSplit w:val="0"/>
          <w:tblHeader w:val="0"/>
        </w:trPr>
        <w:tc>
          <w:tcPr/>
          <w:p w:rsidR="00000000" w:rsidDel="00000000" w:rsidP="00000000" w:rsidRDefault="00000000" w:rsidRPr="00000000" w14:paraId="00000033">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04734/INFOEM/IP/RR/2024</w:t>
            </w:r>
          </w:p>
        </w:tc>
        <w:tc>
          <w:tcPr/>
          <w:p w:rsidR="00000000" w:rsidDel="00000000" w:rsidP="00000000" w:rsidRDefault="00000000" w:rsidRPr="00000000" w14:paraId="00000034">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Guadalupe Ramírez Peña</w:t>
            </w:r>
          </w:p>
        </w:tc>
      </w:tr>
      <w:tr>
        <w:trPr>
          <w:cantSplit w:val="0"/>
          <w:tblHeader w:val="0"/>
        </w:trPr>
        <w:tc>
          <w:tcPr/>
          <w:p w:rsidR="00000000" w:rsidDel="00000000" w:rsidP="00000000" w:rsidRDefault="00000000" w:rsidRPr="00000000" w14:paraId="00000035">
            <w:pPr>
              <w:spacing w:after="240" w:before="240" w:line="276"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04735/INFOEM/IP/RR/2024</w:t>
            </w:r>
          </w:p>
        </w:tc>
        <w:tc>
          <w:tcPr/>
          <w:p w:rsidR="00000000" w:rsidDel="00000000" w:rsidP="00000000" w:rsidRDefault="00000000" w:rsidRPr="00000000" w14:paraId="00000036">
            <w:pPr>
              <w:spacing w:after="240" w:befor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Comisionado Presidente José Martínez Vilchis </w:t>
            </w:r>
          </w:p>
        </w:tc>
      </w:tr>
    </w:tbl>
    <w:p w:rsidR="00000000" w:rsidDel="00000000" w:rsidP="00000000" w:rsidRDefault="00000000" w:rsidRPr="00000000" w14:paraId="00000037">
      <w:pPr>
        <w:spacing w:after="240" w:before="240" w:line="360" w:lineRule="auto"/>
        <w:jc w:val="both"/>
        <w:rPr>
          <w:rFonts w:ascii="Palatino Linotype" w:cs="Palatino Linotype" w:eastAsia="Palatino Linotype" w:hAnsi="Palatino Linotype"/>
          <w:i w:val="1"/>
          <w:sz w:val="22"/>
          <w:szCs w:val="22"/>
        </w:rPr>
      </w:pPr>
      <w:bookmarkStart w:colFirst="0" w:colLast="0" w:name="_heading=h.2et92p0" w:id="1"/>
      <w:bookmarkEnd w:id="1"/>
      <w:r w:rsidDel="00000000" w:rsidR="00000000" w:rsidRPr="00000000">
        <w:rPr>
          <w:rFonts w:ascii="Palatino Linotype" w:cs="Palatino Linotype" w:eastAsia="Palatino Linotype" w:hAnsi="Palatino Linotype"/>
          <w:b w:val="1"/>
          <w:sz w:val="22"/>
          <w:szCs w:val="22"/>
          <w:rtl w:val="0"/>
        </w:rPr>
        <w:t xml:space="preserve">5. Admisiones. </w:t>
      </w:r>
      <w:r w:rsidDel="00000000" w:rsidR="00000000" w:rsidRPr="00000000">
        <w:rPr>
          <w:rFonts w:ascii="Palatino Linotype" w:cs="Palatino Linotype" w:eastAsia="Palatino Linotype" w:hAnsi="Palatino Linotype"/>
          <w:sz w:val="22"/>
          <w:szCs w:val="22"/>
          <w:rtl w:val="0"/>
        </w:rPr>
        <w:t xml:space="preserve">Los días </w:t>
      </w:r>
      <w:r w:rsidDel="00000000" w:rsidR="00000000" w:rsidRPr="00000000">
        <w:rPr>
          <w:rFonts w:ascii="Palatino Linotype" w:cs="Palatino Linotype" w:eastAsia="Palatino Linotype" w:hAnsi="Palatino Linotype"/>
          <w:b w:val="1"/>
          <w:sz w:val="22"/>
          <w:szCs w:val="22"/>
          <w:rtl w:val="0"/>
        </w:rPr>
        <w:t xml:space="preserve">trece y catorce de agosto de dos mil veinticuatro,</w:t>
      </w:r>
      <w:r w:rsidDel="00000000" w:rsidR="00000000" w:rsidRPr="00000000">
        <w:rPr>
          <w:rFonts w:ascii="Palatino Linotype" w:cs="Palatino Linotype" w:eastAsia="Palatino Linotype" w:hAnsi="Palatino Linotype"/>
          <w:sz w:val="22"/>
          <w:szCs w:val="22"/>
          <w:rtl w:val="0"/>
        </w:rPr>
        <w:t xml:space="preserve"> en términos de lo dispuesto en el artículo 185 fracciones I, II y IV de la Ley de Transparencia y Acceso a la Información Pública del Estado de México y Municipios, se admitieron a trámite los recursos de revisión.</w:t>
      </w:r>
      <w:r w:rsidDel="00000000" w:rsidR="00000000" w:rsidRPr="00000000">
        <w:rPr>
          <w:rtl w:val="0"/>
        </w:rPr>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6. Acumulación. </w:t>
      </w:r>
      <w:r w:rsidDel="00000000" w:rsidR="00000000" w:rsidRPr="00000000">
        <w:rPr>
          <w:rFonts w:ascii="Palatino Linotype" w:cs="Palatino Linotype" w:eastAsia="Palatino Linotype" w:hAnsi="Palatino Linotype"/>
          <w:sz w:val="22"/>
          <w:szCs w:val="22"/>
          <w:rtl w:val="0"/>
        </w:rPr>
        <w:t xml:space="preserve">En la </w:t>
      </w:r>
      <w:r w:rsidDel="00000000" w:rsidR="00000000" w:rsidRPr="00000000">
        <w:rPr>
          <w:rFonts w:ascii="Palatino Linotype" w:cs="Palatino Linotype" w:eastAsia="Palatino Linotype" w:hAnsi="Palatino Linotype"/>
          <w:b w:val="1"/>
          <w:sz w:val="22"/>
          <w:szCs w:val="22"/>
          <w:rtl w:val="0"/>
        </w:rPr>
        <w:t xml:space="preserve">Vigésima Novena Sesión Ordinaria</w:t>
      </w:r>
      <w:r w:rsidDel="00000000" w:rsidR="00000000" w:rsidRPr="00000000">
        <w:rPr>
          <w:rFonts w:ascii="Palatino Linotype" w:cs="Palatino Linotype" w:eastAsia="Palatino Linotype" w:hAnsi="Palatino Linotype"/>
          <w:sz w:val="22"/>
          <w:szCs w:val="22"/>
          <w:rtl w:val="0"/>
        </w:rPr>
        <w:t xml:space="preserve"> celebrada el </w:t>
      </w:r>
      <w:r w:rsidDel="00000000" w:rsidR="00000000" w:rsidRPr="00000000">
        <w:rPr>
          <w:rFonts w:ascii="Palatino Linotype" w:cs="Palatino Linotype" w:eastAsia="Palatino Linotype" w:hAnsi="Palatino Linotype"/>
          <w:b w:val="1"/>
          <w:sz w:val="22"/>
          <w:szCs w:val="22"/>
          <w:rtl w:val="0"/>
        </w:rPr>
        <w:t xml:space="preserve">veintiuno de agosto de dos mil veinticuatro</w:t>
      </w:r>
      <w:r w:rsidDel="00000000" w:rsidR="00000000" w:rsidRPr="00000000">
        <w:rPr>
          <w:rFonts w:ascii="Palatino Linotype" w:cs="Palatino Linotype" w:eastAsia="Palatino Linotype" w:hAnsi="Palatino Linotype"/>
          <w:sz w:val="22"/>
          <w:szCs w:val="22"/>
          <w:rtl w:val="0"/>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Del="00000000" w:rsidR="00000000" w:rsidRPr="00000000">
        <w:rPr>
          <w:rFonts w:ascii="Palatino Linotype" w:cs="Palatino Linotype" w:eastAsia="Palatino Linotype" w:hAnsi="Palatino Linotype"/>
          <w:b w:val="1"/>
          <w:sz w:val="22"/>
          <w:szCs w:val="22"/>
          <w:rtl w:val="0"/>
        </w:rPr>
        <w:t xml:space="preserve">Comisionada</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Guadalupe Ramírez Peña</w:t>
      </w:r>
      <w:r w:rsidDel="00000000" w:rsidR="00000000" w:rsidRPr="00000000">
        <w:rPr>
          <w:rFonts w:ascii="Palatino Linotype" w:cs="Palatino Linotype" w:eastAsia="Palatino Linotype" w:hAnsi="Palatino Linotype"/>
          <w:sz w:val="22"/>
          <w:szCs w:val="22"/>
          <w:rtl w:val="0"/>
        </w:rPr>
        <w:t xml:space="preserve">; que mediante acuerdo se notificó a las partes vía SAIMEX el </w:t>
      </w:r>
      <w:r w:rsidDel="00000000" w:rsidR="00000000" w:rsidRPr="00000000">
        <w:rPr>
          <w:rFonts w:ascii="Palatino Linotype" w:cs="Palatino Linotype" w:eastAsia="Palatino Linotype" w:hAnsi="Palatino Linotype"/>
          <w:b w:val="1"/>
          <w:sz w:val="22"/>
          <w:szCs w:val="22"/>
          <w:rtl w:val="0"/>
        </w:rPr>
        <w:t xml:space="preserve">veinticuatro de septiembre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7. Manifestaciones. </w:t>
      </w:r>
      <w:r w:rsidDel="00000000" w:rsidR="00000000" w:rsidRPr="00000000">
        <w:rPr>
          <w:rFonts w:ascii="Palatino Linotype" w:cs="Palatino Linotype" w:eastAsia="Palatino Linotype" w:hAnsi="Palatino Linotype"/>
          <w:sz w:val="22"/>
          <w:szCs w:val="22"/>
          <w:rtl w:val="0"/>
        </w:rPr>
        <w:t xml:space="preserve">De las constancias que obran en los expedientes electrónicos del SAIMEX se desprende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fechas </w:t>
      </w:r>
      <w:r w:rsidDel="00000000" w:rsidR="00000000" w:rsidRPr="00000000">
        <w:rPr>
          <w:rFonts w:ascii="Palatino Linotype" w:cs="Palatino Linotype" w:eastAsia="Palatino Linotype" w:hAnsi="Palatino Linotype"/>
          <w:b w:val="1"/>
          <w:sz w:val="22"/>
          <w:szCs w:val="22"/>
          <w:rtl w:val="0"/>
        </w:rPr>
        <w:t xml:space="preserve">catorce y veinte de agosto de dos mil veinticuatro</w:t>
      </w:r>
      <w:r w:rsidDel="00000000" w:rsidR="00000000" w:rsidRPr="00000000">
        <w:rPr>
          <w:rFonts w:ascii="Palatino Linotype" w:cs="Palatino Linotype" w:eastAsia="Palatino Linotype" w:hAnsi="Palatino Linotype"/>
          <w:sz w:val="22"/>
          <w:szCs w:val="22"/>
          <w:rtl w:val="0"/>
        </w:rPr>
        <w:t xml:space="preserve">, remitió los archivos electrónicos “</w:t>
      </w:r>
      <w:r w:rsidDel="00000000" w:rsidR="00000000" w:rsidRPr="00000000">
        <w:rPr>
          <w:rFonts w:ascii="Palatino Linotype" w:cs="Palatino Linotype" w:eastAsia="Palatino Linotype" w:hAnsi="Palatino Linotype"/>
          <w:b w:val="1"/>
          <w:i w:val="1"/>
          <w:sz w:val="22"/>
          <w:szCs w:val="22"/>
          <w:rtl w:val="0"/>
        </w:rPr>
        <w:t xml:space="preserve">110 2024 RR 04734.pdf </w:t>
      </w:r>
      <w:r w:rsidDel="00000000" w:rsidR="00000000" w:rsidRPr="00000000">
        <w:rPr>
          <w:rFonts w:ascii="Palatino Linotype" w:cs="Palatino Linotype" w:eastAsia="Palatino Linotype" w:hAnsi="Palatino Linotype"/>
          <w:sz w:val="22"/>
          <w:szCs w:val="22"/>
          <w:rtl w:val="0"/>
        </w:rPr>
        <w:t xml:space="preserve">y </w:t>
      </w:r>
      <w:r w:rsidDel="00000000" w:rsidR="00000000" w:rsidRPr="00000000">
        <w:rPr>
          <w:rFonts w:ascii="Palatino Linotype" w:cs="Palatino Linotype" w:eastAsia="Palatino Linotype" w:hAnsi="Palatino Linotype"/>
          <w:b w:val="1"/>
          <w:i w:val="1"/>
          <w:sz w:val="22"/>
          <w:szCs w:val="22"/>
          <w:rtl w:val="0"/>
        </w:rPr>
        <w:t xml:space="preserve">OFICIO DE RESPUESTA.pdf”, </w:t>
      </w:r>
      <w:r w:rsidDel="00000000" w:rsidR="00000000" w:rsidRPr="00000000">
        <w:rPr>
          <w:rFonts w:ascii="Palatino Linotype" w:cs="Palatino Linotype" w:eastAsia="Palatino Linotype" w:hAnsi="Palatino Linotype"/>
          <w:sz w:val="22"/>
          <w:szCs w:val="22"/>
          <w:rtl w:val="0"/>
        </w:rPr>
        <w:t xml:space="preserve">mismos que se describen a continuación: </w:t>
      </w:r>
      <w:r w:rsidDel="00000000" w:rsidR="00000000" w:rsidRPr="00000000">
        <w:rPr>
          <w:rtl w:val="0"/>
        </w:rPr>
      </w:r>
    </w:p>
    <w:p w:rsidR="00000000" w:rsidDel="00000000" w:rsidP="00000000" w:rsidRDefault="00000000" w:rsidRPr="00000000" w14:paraId="0000003A">
      <w:pPr>
        <w:spacing w:after="240" w:before="240" w:line="360" w:lineRule="auto"/>
        <w:ind w:left="567" w:firstLine="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Recurso de Revisión 04734/INFOEM/IP/RR/2024: </w:t>
      </w:r>
    </w:p>
    <w:p w:rsidR="00000000" w:rsidDel="00000000" w:rsidP="00000000" w:rsidRDefault="00000000" w:rsidRPr="00000000" w14:paraId="0000003B">
      <w:pPr>
        <w:spacing w:line="360"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110 2024 RR 04734.pdf: </w:t>
      </w:r>
      <w:r w:rsidDel="00000000" w:rsidR="00000000" w:rsidRPr="00000000">
        <w:rPr>
          <w:rFonts w:ascii="Palatino Linotype" w:cs="Palatino Linotype" w:eastAsia="Palatino Linotype" w:hAnsi="Palatino Linotype"/>
          <w:sz w:val="22"/>
          <w:szCs w:val="22"/>
          <w:rtl w:val="0"/>
        </w:rPr>
        <w:t xml:space="preserve">Contiene el oficio número TLAL/DOP/200/2024 de fecha nueve de agosto de dos mil veinticuatro, signado por el Director de Desarrollo Urbano y Obras Públicas, mediante el cual ratifica su respuesta. </w:t>
      </w:r>
    </w:p>
    <w:p w:rsidR="00000000" w:rsidDel="00000000" w:rsidP="00000000" w:rsidRDefault="00000000" w:rsidRPr="00000000" w14:paraId="0000003C">
      <w:pPr>
        <w:spacing w:after="240" w:before="240" w:line="360" w:lineRule="auto"/>
        <w:ind w:left="567" w:right="900" w:firstLine="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u w:val="single"/>
          <w:rtl w:val="0"/>
        </w:rPr>
        <w:t xml:space="preserve">Recurso de Revisión 04735/INFOEM/IP/RR/2024: </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40" w:before="240" w:line="360" w:lineRule="auto"/>
        <w:ind w:left="927"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OFICIO DE RESPUESTA.pdf: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TLAL/TES/612/08/2024 de fecha veinte de agosto de dos mil veinticuatro, signado por el Tesorero Municipal, mediante el cual ratifica su respuesta inicial, precisando que el link adjunto en el recurso de revisión hace referencia a una publicación del año 2023, haciendo hincapié en que la solicitud primaria refiere al año fiscal 2024. </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precisar que una vez analizada dicha documentación, se determinó ponerla a la vista de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veinticuatro de septiembre de dos mil veinticuatro</w:t>
      </w:r>
      <w:r w:rsidDel="00000000" w:rsidR="00000000" w:rsidRPr="00000000">
        <w:rPr>
          <w:rFonts w:ascii="Palatino Linotype" w:cs="Palatino Linotype" w:eastAsia="Palatino Linotype" w:hAnsi="Palatino Linotype"/>
          <w:sz w:val="22"/>
          <w:szCs w:val="22"/>
          <w:rtl w:val="0"/>
        </w:rPr>
        <w:t xml:space="preserve">, para efecto de que se pronunciara sobre estos archivos, teniendo así que esta fue omisa en emitir sus alegatos o cualquier manifestación que a su derecho conviniera.</w:t>
      </w:r>
    </w:p>
    <w:p w:rsidR="00000000" w:rsidDel="00000000" w:rsidP="00000000" w:rsidRDefault="00000000" w:rsidRPr="00000000" w14:paraId="0000003F">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8. Ampliaciones del plazo para emitir resolución.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veinticinco de septiembre de dos mil veinticuatro</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9. Cierres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 los expedientes, el </w:t>
      </w:r>
      <w:r w:rsidDel="00000000" w:rsidR="00000000" w:rsidRPr="00000000">
        <w:rPr>
          <w:rFonts w:ascii="Palatino Linotype" w:cs="Palatino Linotype" w:eastAsia="Palatino Linotype" w:hAnsi="Palatino Linotype"/>
          <w:b w:val="1"/>
          <w:sz w:val="22"/>
          <w:szCs w:val="22"/>
          <w:rtl w:val="0"/>
        </w:rPr>
        <w:t xml:space="preserve">treinta de septiembre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los cierres de instrucción en términos de la fracción VI del artículo 185 de la Ley de Transparencia y Acceso a la Información Pública del Estado de México y Municipios.</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fueron debidamente sustanciados los expedientes electrónicos y no existen diligencias pendientes de desahogo, se emite la Resolución que conforme a Derecho proceda, de acuerdo con los siguientes: </w:t>
      </w:r>
    </w:p>
    <w:p w:rsidR="00000000" w:rsidDel="00000000" w:rsidP="00000000" w:rsidRDefault="00000000" w:rsidRPr="00000000" w14:paraId="00000042">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los presentes recursos de revisión interpuestos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Segundo. Oportunidad y Procedibilidad de los Recursos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respondió a las solicitudes de información que aperturaron los recursos de revisión, el </w:t>
      </w:r>
      <w:r w:rsidDel="00000000" w:rsidR="00000000" w:rsidRPr="00000000">
        <w:rPr>
          <w:rFonts w:ascii="Palatino Linotype" w:cs="Palatino Linotype" w:eastAsia="Palatino Linotype" w:hAnsi="Palatino Linotype"/>
          <w:b w:val="1"/>
          <w:sz w:val="22"/>
          <w:szCs w:val="22"/>
          <w:rtl w:val="0"/>
        </w:rPr>
        <w:t xml:space="preserve">cinco de agosto de dos mil veinticuatro</w:t>
      </w:r>
      <w:r w:rsidDel="00000000" w:rsidR="00000000" w:rsidRPr="00000000">
        <w:rPr>
          <w:rFonts w:ascii="Palatino Linotype" w:cs="Palatino Linotype" w:eastAsia="Palatino Linotype" w:hAnsi="Palatino Linotype"/>
          <w:sz w:val="22"/>
          <w:szCs w:val="22"/>
          <w:rtl w:val="0"/>
        </w:rPr>
        <w:t xml:space="preserve">, por su parte, los recursos de revisión se interpusieron los días </w:t>
      </w:r>
      <w:r w:rsidDel="00000000" w:rsidR="00000000" w:rsidRPr="00000000">
        <w:rPr>
          <w:rFonts w:ascii="Palatino Linotype" w:cs="Palatino Linotype" w:eastAsia="Palatino Linotype" w:hAnsi="Palatino Linotype"/>
          <w:b w:val="1"/>
          <w:sz w:val="22"/>
          <w:szCs w:val="22"/>
          <w:rtl w:val="0"/>
        </w:rPr>
        <w:t xml:space="preserve">ocho de agosto de dos mil veinticuatro</w:t>
      </w:r>
      <w:r w:rsidDel="00000000" w:rsidR="00000000" w:rsidRPr="00000000">
        <w:rPr>
          <w:rFonts w:ascii="Palatino Linotype" w:cs="Palatino Linotype" w:eastAsia="Palatino Linotype" w:hAnsi="Palatino Linotype"/>
          <w:sz w:val="22"/>
          <w:szCs w:val="22"/>
          <w:rtl w:val="0"/>
        </w:rPr>
        <w:t xml:space="preserve">, esto es en el </w:t>
      </w:r>
      <w:r w:rsidDel="00000000" w:rsidR="00000000" w:rsidRPr="00000000">
        <w:rPr>
          <w:rFonts w:ascii="Palatino Linotype" w:cs="Palatino Linotype" w:eastAsia="Palatino Linotype" w:hAnsi="Palatino Linotype"/>
          <w:b w:val="1"/>
          <w:sz w:val="22"/>
          <w:szCs w:val="22"/>
          <w:rtl w:val="0"/>
        </w:rPr>
        <w:t xml:space="preserve">tercer</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día hábil</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después de conocerse las respuestas.</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 los recursos, según lo manifestado por la parte recurrente en sus motivos de inconformidad, de acuerdo al artículo 179, fracción I del ordenamiento legal citado, que a la letra dice: </w:t>
      </w:r>
    </w:p>
    <w:p w:rsidR="00000000" w:rsidDel="00000000" w:rsidP="00000000" w:rsidRDefault="00000000" w:rsidRPr="00000000" w14:paraId="00000049">
      <w:pPr>
        <w:tabs>
          <w:tab w:val="left" w:leader="none" w:pos="993"/>
        </w:tabs>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240" w:line="240" w:lineRule="auto"/>
        <w:ind w:left="851" w:right="616"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La negativa a la información solicitada;</w:t>
      </w:r>
    </w:p>
    <w:p w:rsidR="00000000" w:rsidDel="00000000" w:rsidP="00000000" w:rsidRDefault="00000000" w:rsidRPr="00000000" w14:paraId="0000004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851" w:right="616"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tabs>
          <w:tab w:val="left" w:leader="none" w:pos="851"/>
          <w:tab w:val="left" w:leader="none" w:pos="993"/>
        </w:tabs>
        <w:spacing w:after="0" w:before="0" w:line="240" w:lineRule="auto"/>
        <w:ind w:left="851" w:right="616"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La entrega de información incompleta;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851" w:right="616"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240" w:before="0" w:line="240" w:lineRule="auto"/>
        <w:ind w:left="851" w:right="616" w:firstLine="0"/>
        <w:jc w:val="both"/>
        <w:rPr>
          <w:rFonts w:ascii="Palatino Linotype" w:cs="Palatino Linotype" w:eastAsia="Palatino Linotype" w:hAnsi="Palatino Linotype"/>
          <w:b w:val="1"/>
          <w:i w:val="1"/>
          <w:smallCaps w:val="0"/>
          <w:strike w:val="0"/>
          <w:color w:val="000000"/>
          <w:sz w:val="22"/>
          <w:szCs w:val="22"/>
          <w:u w:val="singl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(Énfasis añadido)</w:t>
      </w:r>
      <w:r w:rsidDel="00000000" w:rsidR="00000000" w:rsidRPr="00000000">
        <w:rPr>
          <w:rtl w:val="0"/>
        </w:rPr>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los expedientes electrónicos se advierte, que el tema sobre el que este Organismo Garante de Transparencia y Acceso a la Información se pronunciará será: verificar si las respuestas e informes justificados por el Sujeto Obligado son adecuadas y suficientes para satisfacer el derecho de acceso a la información pública de la parte Recurrente, o en su defecto, en caso de ser procedente, ordenar la entrega de información.  </w:t>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1">
      <w:pPr>
        <w:tabs>
          <w:tab w:val="left" w:leader="none" w:pos="709"/>
        </w:tabs>
        <w:spacing w:after="240" w:before="240" w:lineRule="auto"/>
        <w:ind w:left="567"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2"/>
          <w:szCs w:val="22"/>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2">
      <w:pPr>
        <w:tabs>
          <w:tab w:val="left" w:leader="none" w:pos="709"/>
        </w:tabs>
        <w:spacing w:after="240" w:before="240" w:lineRule="auto"/>
        <w:ind w:left="567" w:right="85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3">
      <w:pPr>
        <w:tabs>
          <w:tab w:val="left" w:leader="none" w:pos="709"/>
        </w:tabs>
        <w:spacing w:after="240" w:before="240" w:lineRule="auto"/>
        <w:ind w:left="567"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2"/>
          <w:szCs w:val="22"/>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4">
      <w:pPr>
        <w:tabs>
          <w:tab w:val="left" w:leader="none" w:pos="709"/>
        </w:tabs>
        <w:spacing w:after="240" w:before="240" w:lineRule="auto"/>
        <w:ind w:left="567"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tabs>
          <w:tab w:val="left" w:leader="none" w:pos="709"/>
        </w:tabs>
        <w:spacing w:after="240" w:before="240" w:lineRule="auto"/>
        <w:ind w:left="567" w:right="85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6o.</w:t>
      </w:r>
      <w:r w:rsidDel="00000000" w:rsidR="00000000" w:rsidRPr="00000000">
        <w:rPr>
          <w:rtl w:val="0"/>
        </w:rPr>
      </w:r>
    </w:p>
    <w:p w:rsidR="00000000" w:rsidDel="00000000" w:rsidP="00000000" w:rsidRDefault="00000000" w:rsidRPr="00000000" w14:paraId="00000056">
      <w:pPr>
        <w:spacing w:after="240" w:before="240" w:lineRule="auto"/>
        <w:ind w:left="567"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7">
      <w:pPr>
        <w:spacing w:after="240" w:before="240"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2"/>
          <w:szCs w:val="22"/>
          <w:u w:val="single"/>
          <w:rtl w:val="0"/>
        </w:rPr>
        <w:t xml:space="preserve">las entidades federativas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en el ámbito de sus respectivas competencias, se regirán por los siguientes principios y bases:</w:t>
      </w:r>
    </w:p>
    <w:p w:rsidR="00000000" w:rsidDel="00000000" w:rsidP="00000000" w:rsidRDefault="00000000" w:rsidRPr="00000000" w14:paraId="00000058">
      <w:pPr>
        <w:spacing w:after="240" w:before="240"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b w:val="1"/>
          <w:i w:val="1"/>
          <w:sz w:val="22"/>
          <w:szCs w:val="22"/>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2"/>
          <w:szCs w:val="22"/>
          <w:rtl w:val="0"/>
        </w:rPr>
        <w:t xml:space="preserve"> Ejecutivo, Legislativo </w:t>
      </w:r>
      <w:r w:rsidDel="00000000" w:rsidR="00000000" w:rsidRPr="00000000">
        <w:rPr>
          <w:rFonts w:ascii="Palatino Linotype" w:cs="Palatino Linotype" w:eastAsia="Palatino Linotype" w:hAnsi="Palatino Linotype"/>
          <w:b w:val="1"/>
          <w:i w:val="1"/>
          <w:sz w:val="22"/>
          <w:szCs w:val="22"/>
          <w:u w:val="single"/>
          <w:rtl w:val="0"/>
        </w:rPr>
        <w:t xml:space="preserve">y Judicial</w:t>
      </w:r>
      <w:r w:rsidDel="00000000" w:rsidR="00000000" w:rsidRPr="00000000">
        <w:rPr>
          <w:rFonts w:ascii="Palatino Linotype" w:cs="Palatino Linotype" w:eastAsia="Palatino Linotype" w:hAnsi="Palatino Linotype"/>
          <w:i w:val="1"/>
          <w:sz w:val="22"/>
          <w:szCs w:val="22"/>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2"/>
          <w:szCs w:val="22"/>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2"/>
          <w:szCs w:val="22"/>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59">
      <w:pPr>
        <w:spacing w:after="240" w:before="240" w:lineRule="auto"/>
        <w:ind w:left="567"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5A">
      <w:pPr>
        <w:spacing w:after="240" w:before="240"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b w:val="1"/>
          <w:i w:val="1"/>
          <w:sz w:val="22"/>
          <w:szCs w:val="22"/>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2"/>
          <w:szCs w:val="22"/>
          <w:rtl w:val="0"/>
        </w:rPr>
        <w:t xml:space="preserve"> a sus datos personales o a la rectificación de éstos.</w:t>
      </w:r>
    </w:p>
    <w:p w:rsidR="00000000" w:rsidDel="00000000" w:rsidP="00000000" w:rsidRDefault="00000000" w:rsidRPr="00000000" w14:paraId="0000005B">
      <w:pPr>
        <w:spacing w:after="240" w:before="240"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IV. </w:t>
      </w:r>
      <w:r w:rsidDel="00000000" w:rsidR="00000000" w:rsidRPr="00000000">
        <w:rPr>
          <w:rFonts w:ascii="Palatino Linotype" w:cs="Palatino Linotype" w:eastAsia="Palatino Linotype" w:hAnsi="Palatino Linotype"/>
          <w:i w:val="1"/>
          <w:sz w:val="22"/>
          <w:szCs w:val="22"/>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5C">
      <w:pPr>
        <w:spacing w:after="240" w:before="240"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5D">
      <w:pPr>
        <w:spacing w:after="240" w:before="240"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5E">
      <w:pPr>
        <w:spacing w:after="240" w:before="240" w:lineRule="auto"/>
        <w:ind w:left="567"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5F">
      <w:pPr>
        <w:tabs>
          <w:tab w:val="left" w:leader="none" w:pos="709"/>
        </w:tabs>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dichos dispositivos legales.</w:t>
      </w:r>
    </w:p>
    <w:p w:rsidR="00000000" w:rsidDel="00000000" w:rsidP="00000000" w:rsidRDefault="00000000" w:rsidRPr="00000000" w14:paraId="0000006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61">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62">
      <w:pPr>
        <w:spacing w:after="240" w:before="240"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63">
      <w:pPr>
        <w:spacing w:after="240" w:before="240" w:lineRule="auto"/>
        <w:ind w:left="567"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Del="00000000" w:rsidR="00000000" w:rsidRPr="00000000">
        <w:rPr>
          <w:rFonts w:ascii="Palatino Linotype" w:cs="Palatino Linotype" w:eastAsia="Palatino Linotype" w:hAnsi="Palatino Linotype"/>
          <w:b w:val="1"/>
          <w:sz w:val="22"/>
          <w:szCs w:val="22"/>
          <w:rtl w:val="0"/>
        </w:rPr>
        <w:t xml:space="preserve">artículo 12</w:t>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el cual a la letra dice:</w:t>
      </w:r>
    </w:p>
    <w:p w:rsidR="00000000" w:rsidDel="00000000" w:rsidP="00000000" w:rsidRDefault="00000000" w:rsidRPr="00000000" w14:paraId="00000065">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66">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sz w:val="22"/>
          <w:szCs w:val="22"/>
          <w:rtl w:val="0"/>
        </w:rPr>
        <w:t xml:space="preserve">ad hoc</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como así lo establece el criterio 03/17 emitidos por el Instituto Nacional de Transparencia, Acceso a la Información Pública y Protección de Datos Personales, los cuales señalan lo siguiente:</w:t>
      </w:r>
    </w:p>
    <w:p w:rsidR="00000000" w:rsidDel="00000000" w:rsidP="00000000" w:rsidRDefault="00000000" w:rsidRPr="00000000" w14:paraId="00000068">
      <w:pPr>
        <w:spacing w:after="240" w:before="24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69">
      <w:pPr>
        <w:spacing w:after="240" w:before="240"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06A">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6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conviene mencionar que la Ley de Transparencia vigente en el Estado de México refiere: </w:t>
      </w:r>
    </w:p>
    <w:p w:rsidR="00000000" w:rsidDel="00000000" w:rsidP="00000000" w:rsidRDefault="00000000" w:rsidRPr="00000000" w14:paraId="0000006C">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documentar todo acto que derive del ejercicio de sus facultades, competencias o funciones, considerando desde su origen la eventual publicidad</w:t>
      </w:r>
      <w:r w:rsidDel="00000000" w:rsidR="00000000" w:rsidRPr="00000000">
        <w:rPr>
          <w:rFonts w:ascii="Palatino Linotype" w:cs="Palatino Linotype" w:eastAsia="Palatino Linotype" w:hAnsi="Palatino Linotype"/>
          <w:i w:val="1"/>
          <w:sz w:val="22"/>
          <w:szCs w:val="22"/>
          <w:rtl w:val="0"/>
        </w:rPr>
        <w:t xml:space="preserve"> y reutilización de la información que generen.</w:t>
      </w:r>
    </w:p>
    <w:p w:rsidR="00000000" w:rsidDel="00000000" w:rsidP="00000000" w:rsidRDefault="00000000" w:rsidRPr="00000000" w14:paraId="0000006D">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 </w:t>
      </w:r>
      <w:r w:rsidDel="00000000" w:rsidR="00000000" w:rsidRPr="00000000">
        <w:rPr>
          <w:rFonts w:ascii="Palatino Linotype" w:cs="Palatino Linotype" w:eastAsia="Palatino Linotype" w:hAnsi="Palatino Linotype"/>
          <w:b w:val="1"/>
          <w:i w:val="1"/>
          <w:sz w:val="22"/>
          <w:szCs w:val="22"/>
          <w:u w:val="single"/>
          <w:rtl w:val="0"/>
        </w:rPr>
        <w:t xml:space="preserve">Se presume que la información debe existir si se refiere a las facultades, competencias y funciones que los ordenamientos jurídicos aplicables otorgan a los sujetos obligados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E">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 </w:t>
      </w:r>
    </w:p>
    <w:p w:rsidR="00000000" w:rsidDel="00000000" w:rsidP="00000000" w:rsidRDefault="00000000" w:rsidRPr="00000000" w14:paraId="0000006F">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000000" w:rsidDel="00000000" w:rsidP="00000000" w:rsidRDefault="00000000" w:rsidRPr="00000000" w14:paraId="00000070">
      <w:pPr>
        <w:spacing w:after="240" w:before="24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sz w:val="22"/>
          <w:szCs w:val="22"/>
          <w:rtl w:val="0"/>
        </w:rPr>
        <w:t xml:space="preserve">cualquier otro registro que documente el ejercicio de las facultades, funciones, obligaciones y competencias de los Sujetos Obligados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los que, podrán estar en cualquier medio</w:t>
      </w:r>
      <w:r w:rsidDel="00000000" w:rsidR="00000000" w:rsidRPr="00000000">
        <w:rPr>
          <w:rFonts w:ascii="Palatino Linotype" w:cs="Palatino Linotype" w:eastAsia="Palatino Linotype" w:hAnsi="Palatino Linotype"/>
          <w:sz w:val="22"/>
          <w:szCs w:val="22"/>
          <w:rtl w:val="0"/>
        </w:rPr>
        <w:t xml:space="preserve">, sea escrito, impreso, sonoro, visual, </w:t>
      </w:r>
      <w:r w:rsidDel="00000000" w:rsidR="00000000" w:rsidRPr="00000000">
        <w:rPr>
          <w:rFonts w:ascii="Palatino Linotype" w:cs="Palatino Linotype" w:eastAsia="Palatino Linotype" w:hAnsi="Palatino Linotype"/>
          <w:b w:val="1"/>
          <w:sz w:val="22"/>
          <w:szCs w:val="22"/>
          <w:rtl w:val="0"/>
        </w:rPr>
        <w:t xml:space="preserve">electrónico</w:t>
      </w:r>
      <w:r w:rsidDel="00000000" w:rsidR="00000000" w:rsidRPr="00000000">
        <w:rPr>
          <w:rFonts w:ascii="Palatino Linotype" w:cs="Palatino Linotype" w:eastAsia="Palatino Linotype" w:hAnsi="Palatino Linotype"/>
          <w:sz w:val="22"/>
          <w:szCs w:val="22"/>
          <w:rtl w:val="0"/>
        </w:rPr>
        <w:t xml:space="preserve">, informático u holográfico, esto es, </w:t>
      </w:r>
      <w:r w:rsidDel="00000000" w:rsidR="00000000" w:rsidRPr="00000000">
        <w:rPr>
          <w:rFonts w:ascii="Palatino Linotype" w:cs="Palatino Linotype" w:eastAsia="Palatino Linotype" w:hAnsi="Palatino Linotype"/>
          <w:b w:val="1"/>
          <w:sz w:val="22"/>
          <w:szCs w:val="22"/>
          <w:rtl w:val="0"/>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como pudiera tratarse de aquella relacionada con las obligaciones de transparencia señaladas en los artículos 92 y 97, fracción I de la Ley de la Materia.</w:t>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iniciar el presente análisis, es de vital importancia tener en cuenta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requirió en versión pública y formato PDF, de lo siguiente:</w:t>
      </w:r>
    </w:p>
    <w:p w:rsidR="00000000" w:rsidDel="00000000" w:rsidP="00000000" w:rsidRDefault="00000000" w:rsidRPr="00000000" w14:paraId="0000007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numPr>
          <w:ilvl w:val="0"/>
          <w:numId w:val="8"/>
        </w:numPr>
        <w:pBdr>
          <w:top w:space="0" w:sz="0" w:val="nil"/>
          <w:left w:space="0" w:sz="0" w:val="nil"/>
          <w:bottom w:space="0" w:sz="0" w:val="nil"/>
          <w:right w:space="0" w:sz="0" w:val="nil"/>
          <w:between w:space="0" w:sz="0" w:val="nil"/>
        </w:pBdr>
        <w:spacing w:line="360" w:lineRule="auto"/>
        <w:ind w:left="720" w:right="900" w:hanging="360"/>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b w:val="1"/>
          <w:sz w:val="22"/>
          <w:szCs w:val="22"/>
          <w:rtl w:val="0"/>
        </w:rPr>
        <w:t xml:space="preserve">De la Construcción y/o inauguración del Subsistema DIF San Lorenzo</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Contratos y convenios celebrados.</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Costos totales con IVA incluido en moneda nacional.</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Facturas por los gastos o pagos efectuados.</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Pólizas de cheque.</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Padrón de beneficiarios y/o población beneficiada.</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90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90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los eventos realizados “Domingos Familiares” en la explanada municipal, en el ejercicio fiscal 2024, referente al pago de artistas presentados, lonas, escenario, luces y sonido:</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Contratos y convenios celebrados.</w:t>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Costos totales con IVA incluido en moneda nacional.</w:t>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Facturas por los gastos o pagos efectuados.</w:t>
      </w:r>
    </w:p>
    <w:p w:rsidR="00000000" w:rsidDel="00000000" w:rsidP="00000000" w:rsidRDefault="00000000" w:rsidRPr="00000000" w14:paraId="000000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440"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Pólizas de cheque.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900"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del Director de Desarrollo Urbano y de Obras Públicas informó que sobre los contratos celebrados para la construcción del Parque recreativo, San Rafael, indicó que el contrato se podía consultar en la página oficial del municipio, ingresando en: Tlalmanalco Gob apartado AYUNTAMIENTO/OBRAS PÚBLICAS/FAISMUN/FAISMUN04/CONTRATO, anexando un link en formato cerrado:</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5529751" cy="203346"/>
            <wp:effectExtent b="0" l="0" r="0" t="0"/>
            <wp:docPr id="207683035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529751" cy="20334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relación a los demás puntos, se indicó lo siguiente:</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left="360" w:right="49"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421185" cy="823887"/>
            <wp:effectExtent b="0" l="0" r="0" t="0"/>
            <wp:docPr id="2076830359"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5421185" cy="823887"/>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Director del Sistema Municipal para el Desarrollo Integral de la Familia de Tlalmanalco hizo del conocimiento que la Presidenta Honorífica de este Sistema Municipal DIF le solicitó al Presidente Municipal le apoyara con la construcción del Subsistema DIF de San Lorenzo Tlalmimilolpan, obteniendo una respuesta favorable, misma que concluyó con la contratación y ejecución de dicha obra por parte del municipio de Tlalmimilolpan, haciendo la aclaración que en fecha 1 de julio del año en curso se invitó a todo el personal de este Sistema Municipal DIF para que acudiera a la inauguración, misma que fue llevada a cabo por parte de las autoridades del Cabildo, en conjunto con las autoridades de este Sistema. En lo que respecta a la población beneficiada, este dato fue proporcionado por el Secretario del Ayuntamiento, se beneficiara a más de 500 habitantes dato tomado de la ficha técnica que se leyó en el evento de inauguración.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informó que, hasta el momento no existe un padrón de beneficiarios, esto debido a que se le permite el acceso a cualquier persona que quiera acudir a participar a las diferentes actividades y servicios que se proporcionan en el Subsistema DIF San Lorenzo.</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Tesorero Municipal informó que respecto a </w:t>
      </w:r>
      <w:r w:rsidDel="00000000" w:rsidR="00000000" w:rsidRPr="00000000">
        <w:rPr>
          <w:rFonts w:ascii="Palatino Linotype" w:cs="Palatino Linotype" w:eastAsia="Palatino Linotype" w:hAnsi="Palatino Linotype"/>
          <w:i w:val="1"/>
          <w:sz w:val="22"/>
          <w:szCs w:val="22"/>
          <w:rtl w:val="0"/>
        </w:rPr>
        <w:t xml:space="preserve">“los eventos realizados de nombre Domingos Familiares en la explanada municipal en el ejercicio fiscal 2024”</w:t>
      </w:r>
      <w:r w:rsidDel="00000000" w:rsidR="00000000" w:rsidRPr="00000000">
        <w:rPr>
          <w:rFonts w:ascii="Palatino Linotype" w:cs="Palatino Linotype" w:eastAsia="Palatino Linotype" w:hAnsi="Palatino Linotype"/>
          <w:sz w:val="22"/>
          <w:szCs w:val="22"/>
          <w:rtl w:val="0"/>
        </w:rPr>
        <w:t xml:space="preserve">, después de realizar la búsqueda exhaustiva de la información, dicha información no ha sido generada.</w:t>
      </w:r>
    </w:p>
    <w:p w:rsidR="00000000" w:rsidDel="00000000" w:rsidP="00000000" w:rsidRDefault="00000000" w:rsidRPr="00000000" w14:paraId="0000009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las respuestas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promovió los recursos de revisión en los que se adolece medularmente por la entrega de la información incompleta referente a los convenios, facturas, contratos, pólizas de cheques, del gasto, efectuado, pago y/o realizo de las obras, así como la entrega de información en un formato inaccesible, esto último ya que refiere que el link entregado por el ente público no permite el acceso a su página oficial para visualizar la información solicitada y finalmente por la falta de respuesta, respecto al Recurso de Revisión 04735/INFOEM/IP/RR/2024. </w:t>
      </w:r>
    </w:p>
    <w:p w:rsidR="00000000" w:rsidDel="00000000" w:rsidP="00000000" w:rsidRDefault="00000000" w:rsidRPr="00000000" w14:paraId="0000009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Admitidos los recursos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2"/>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w:t>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resaltar que durante la etapa de manifestaciones </w:t>
      </w:r>
      <w:r w:rsidDel="00000000" w:rsidR="00000000" w:rsidRPr="00000000">
        <w:rPr>
          <w:rFonts w:ascii="Palatino Linotype" w:cs="Palatino Linotype" w:eastAsia="Palatino Linotype" w:hAnsi="Palatino Linotype"/>
          <w:b w:val="1"/>
          <w:sz w:val="22"/>
          <w:szCs w:val="22"/>
          <w:rtl w:val="0"/>
        </w:rPr>
        <w:t xml:space="preserve">el Sujeto Obligado</w:t>
      </w:r>
      <w:r w:rsidDel="00000000" w:rsidR="00000000" w:rsidRPr="00000000">
        <w:rPr>
          <w:rFonts w:ascii="Palatino Linotype" w:cs="Palatino Linotype" w:eastAsia="Palatino Linotype" w:hAnsi="Palatino Linotype"/>
          <w:sz w:val="22"/>
          <w:szCs w:val="22"/>
          <w:rtl w:val="0"/>
        </w:rPr>
        <w:t xml:space="preserve"> rindió su informe justificado, en el que ratifica su respuesta inicial, y con relación al link el cual remite al contrato por la obra requerida, señaló que el mismo sí direcciona a dicho instrumento; procediendo a adjuntar de nueva cuenta el enlace y haciendo entrega de la captura de pantalla del contrato.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otro lado,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realizar manifestaciones o rendir alegatos con relación al informe justificado rendido por el </w:t>
      </w:r>
      <w:r w:rsidDel="00000000" w:rsidR="00000000" w:rsidRPr="00000000">
        <w:rPr>
          <w:rFonts w:ascii="Palatino Linotype" w:cs="Palatino Linotype" w:eastAsia="Palatino Linotype" w:hAnsi="Palatino Linotype"/>
          <w:b w:val="1"/>
          <w:sz w:val="22"/>
          <w:szCs w:val="22"/>
          <w:rtl w:val="0"/>
        </w:rPr>
        <w:t xml:space="preserve">Sujeto Obligado.</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precedente, se requiere puntualizar la naturaleza de la información requerida, para después pasar al estudio de la información entregada en respuesta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efecto de determinar si cumple o no con los requerimientos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962"/>
        </w:tabs>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naturaleza de la información requerida y la documentación proporcionada por el Sujeto Obligado.</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con relación a los conceptos por los que el particular requiere el contrato o convenio de prestación de servicios, es menester hacer referencia a la Ley de la  Contratación Pública del Estado de México y Municipios, la cual regula los procesos de licitación y contratación de los actos relativos a la planeación, programación, presupuestación, ejecución y control de la adquisición, enajenación y arrendamiento de bienes, y la </w:t>
      </w:r>
      <w:r w:rsidDel="00000000" w:rsidR="00000000" w:rsidRPr="00000000">
        <w:rPr>
          <w:rFonts w:ascii="Palatino Linotype" w:cs="Palatino Linotype" w:eastAsia="Palatino Linotype" w:hAnsi="Palatino Linotype"/>
          <w:b w:val="1"/>
          <w:sz w:val="22"/>
          <w:szCs w:val="22"/>
          <w:u w:val="single"/>
          <w:rtl w:val="0"/>
        </w:rPr>
        <w:t xml:space="preserve">contratación de servicios de cualquier naturaleza que realicen los Ayuntamientos del Estado</w:t>
      </w:r>
      <w:r w:rsidDel="00000000" w:rsidR="00000000" w:rsidRPr="00000000">
        <w:rPr>
          <w:rFonts w:ascii="Palatino Linotype" w:cs="Palatino Linotype" w:eastAsia="Palatino Linotype" w:hAnsi="Palatino Linotype"/>
          <w:sz w:val="22"/>
          <w:szCs w:val="22"/>
          <w:rtl w:val="0"/>
        </w:rPr>
        <w:t xml:space="preserve">; pues en la misma, se indica que dichos servicios se adjudicarán a través de licitaciones públicas, invitación restringida o adjudicación directa, mediante convocatoria pública, tal y como lo establecen los artículos 4, 26 y 27 de dicha Ley, los cuales son del tenor siguiente:</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en las adquisiciones, enajenaciones, arrendamientos y servicios, quedan comprendidos: </w:t>
      </w: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La adquisición de bienes muebles. </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La adquisición de bienes inmuebles, a través de compraventa. </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III. La enajenación de bienes muebles e inmuebles. </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arrendamiento de bienes muebles e inmuebles.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 La contratación de los servicios, relacionados con bienes muebles que se encuentran incorporados o adheridos a bienes inmuebles, cuya instalación o mantenimiento no implique modificación al bien inmueble. </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 La contratación de los servicios de reconstrucción y mantenimiento de bienes muebles. </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 La contratación de los servicios de maquila, seguros y transportación, así como de los de limpieza y vigilancia de bienes inmuebles</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VIII. La prestación de servicios profesionales, la contratación de consultorías, asesorías y estudios e investigaciones, excepto la contratación de servicios personales de personas físicas bajo el régimen de honorarios. </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general, otros actos que impliquen la contratación de servicios de cualquier naturaleza.</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26.- Las adquisiciones, arrendamientos y servicios se adjudicarán a través de licitaciones públicas, mediante convocatoria pública.</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27.- </w:t>
      </w:r>
      <w:r w:rsidDel="00000000" w:rsidR="00000000" w:rsidRPr="00000000">
        <w:rPr>
          <w:rFonts w:ascii="Palatino Linotype" w:cs="Palatino Linotype" w:eastAsia="Palatino Linotype" w:hAnsi="Palatino Linotype"/>
          <w:i w:val="1"/>
          <w:sz w:val="22"/>
          <w:szCs w:val="22"/>
          <w:rtl w:val="0"/>
        </w:rPr>
        <w:t xml:space="preserve">La Secretaría, las entidades, los tribunales administrativos y </w:t>
      </w:r>
      <w:r w:rsidDel="00000000" w:rsidR="00000000" w:rsidRPr="00000000">
        <w:rPr>
          <w:rFonts w:ascii="Palatino Linotype" w:cs="Palatino Linotype" w:eastAsia="Palatino Linotype" w:hAnsi="Palatino Linotype"/>
          <w:b w:val="1"/>
          <w:i w:val="1"/>
          <w:sz w:val="22"/>
          <w:szCs w:val="22"/>
          <w:rtl w:val="0"/>
        </w:rPr>
        <w:t xml:space="preserve">los ayuntamientos podrán adjudicar adquisiciones, arrendamientos y servicios, mediante las excepciones al procedimiento de licitación que a continuación se señalan: </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 Invitación restringida. </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Adjudicación directa.”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es oportuno señalar que, las disposiciones respecto a las bases, dictámenes, fallos y fianzas, se realizan con similitud al procedimiento de licitación pública, tal como lo señalan los artículos 46 y 90 de la misma Ley, que literalmente establecen:</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46.-</w:t>
      </w:r>
      <w:r w:rsidDel="00000000" w:rsidR="00000000" w:rsidRPr="00000000">
        <w:rPr>
          <w:rFonts w:ascii="Palatino Linotype" w:cs="Palatino Linotype" w:eastAsia="Palatino Linotype" w:hAnsi="Palatino Linotype"/>
          <w:i w:val="1"/>
          <w:sz w:val="22"/>
          <w:szCs w:val="22"/>
          <w:rtl w:val="0"/>
        </w:rPr>
        <w:t xml:space="preserve"> El procedimiento de invitación restringida se desarrollará en los términos de la licitación pública, a excepción de la publicación de la convocatoria.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Por ello, el Reglamento de la Ley en comento, en su artículo 90, indica cuales lo son los supuestos que deberán observarse para llevar a cabo dicho procedimiento:</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90.-</w:t>
      </w:r>
      <w:r w:rsidDel="00000000" w:rsidR="00000000" w:rsidRPr="00000000">
        <w:rPr>
          <w:rFonts w:ascii="Palatino Linotype" w:cs="Palatino Linotype" w:eastAsia="Palatino Linotype" w:hAnsi="Palatino Linotype"/>
          <w:i w:val="1"/>
          <w:sz w:val="22"/>
          <w:szCs w:val="22"/>
          <w:rtl w:val="0"/>
        </w:rPr>
        <w:t xml:space="preserve"> En el procedimiento de invitación restringida se deberá observar lo siguiente:</w:t>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 Se invitará a un mínimo de tres personas seleccionadas de entre las que se encuentren inscritas en el catálogo de proveedores y de prestadores de servicios.</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Se podrá invitar a personas que no se encuentren inscritas, cuando en el giro correspondiente del catálogo de proveedores y prestadores de servicios no exista el registro mínimo de personas requeridas para tal modalidad;</w:t>
      </w: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Las bases de la invitación restringida indicarán los aspectos de la adquisición o contratación; y</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Serán aplicables, en lo conducente, las disposiciones de la licitación pública.”</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y en cuanto hace a la adjudicación directa, el artículo 48 de la Ley de la Contratación Pública del Estado de México y Municipios y 91 del Reglamento de dicha Ley, indican en qué supuestos puede llevarse a cabo este procedimiento.</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la información relativa a la obra pública, resulta conveniente citar el contenido de los artículos 12.1, fracción III, 12.2., 12.4. Fracción I, 12.20, 12.21 y 12.42, fracción I del Libro Décimo Segundo del Código Administrativo del Estado de México, a saber:</w:t>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w:t>
      </w:r>
    </w:p>
    <w:p w:rsidR="00000000" w:rsidDel="00000000" w:rsidP="00000000" w:rsidRDefault="00000000" w:rsidRPr="00000000" w14:paraId="000000B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0">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Los ayuntamientos de los municipios del Estado;</w:t>
      </w:r>
    </w:p>
    <w:p w:rsidR="00000000" w:rsidDel="00000000" w:rsidP="00000000" w:rsidRDefault="00000000" w:rsidRPr="00000000" w14:paraId="000000C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2">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 Las disposiciones de este Libro tienen como finalidad asegurar al Gobierno del Estado y a los municipios, las mejores condiciones disponibles en cuanto a precio, calidad, financiamiento, oportunidad y demás circunstancias pertinentes, en la contratación de la obra pública y servicios relacionados con la misma, en un marco de legalidad y transparencia.”</w:t>
      </w:r>
    </w:p>
    <w:p w:rsidR="00000000" w:rsidDel="00000000" w:rsidP="00000000" w:rsidRDefault="00000000" w:rsidRPr="00000000" w14:paraId="000000C4">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12.4.- </w:t>
      </w:r>
      <w:r w:rsidDel="00000000" w:rsidR="00000000" w:rsidRPr="00000000">
        <w:rPr>
          <w:rFonts w:ascii="Palatino Linotype" w:cs="Palatino Linotype" w:eastAsia="Palatino Linotype" w:hAnsi="Palatino Linotype"/>
          <w:b w:val="1"/>
          <w:i w:val="1"/>
          <w:sz w:val="22"/>
          <w:szCs w:val="22"/>
          <w:rtl w:val="0"/>
        </w:rPr>
        <w:t xml:space="preserve">Se considera obra pública todo trabajo que tenga por objeto principal construir, instalar, ampliar, adecuar, remodelar, restaurar, conservar, mantener, modificar o demoler bienes inmuebles propiedad </w:t>
      </w:r>
      <w:r w:rsidDel="00000000" w:rsidR="00000000" w:rsidRPr="00000000">
        <w:rPr>
          <w:rFonts w:ascii="Palatino Linotype" w:cs="Palatino Linotype" w:eastAsia="Palatino Linotype" w:hAnsi="Palatino Linotype"/>
          <w:i w:val="1"/>
          <w:sz w:val="22"/>
          <w:szCs w:val="22"/>
          <w:rtl w:val="0"/>
        </w:rPr>
        <w:t xml:space="preserve">del Estado, de sus dependencias y entidades </w:t>
      </w:r>
      <w:r w:rsidDel="00000000" w:rsidR="00000000" w:rsidRPr="00000000">
        <w:rPr>
          <w:rFonts w:ascii="Palatino Linotype" w:cs="Palatino Linotype" w:eastAsia="Palatino Linotype" w:hAnsi="Palatino Linotype"/>
          <w:b w:val="1"/>
          <w:i w:val="1"/>
          <w:sz w:val="22"/>
          <w:szCs w:val="22"/>
          <w:u w:val="single"/>
          <w:rtl w:val="0"/>
        </w:rPr>
        <w:t xml:space="preserve">y de los municipios</w:t>
      </w:r>
      <w:r w:rsidDel="00000000" w:rsidR="00000000" w:rsidRPr="00000000">
        <w:rPr>
          <w:rFonts w:ascii="Palatino Linotype" w:cs="Palatino Linotype" w:eastAsia="Palatino Linotype" w:hAnsi="Palatino Linotype"/>
          <w:i w:val="1"/>
          <w:sz w:val="22"/>
          <w:szCs w:val="22"/>
          <w:rtl w:val="0"/>
        </w:rPr>
        <w:t xml:space="preserve"> y sus organismos con cargo a recursos públicos estatales o municipales. </w:t>
      </w:r>
    </w:p>
    <w:p w:rsidR="00000000" w:rsidDel="00000000" w:rsidP="00000000" w:rsidRDefault="00000000" w:rsidRPr="00000000" w14:paraId="000000C6">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Quedan comprendidos dentro de la obra pública:</w:t>
      </w:r>
    </w:p>
    <w:p w:rsidR="00000000" w:rsidDel="00000000" w:rsidP="00000000" w:rsidRDefault="00000000" w:rsidRPr="00000000" w14:paraId="000000C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9">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A">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El mantenimiento, restauración, desmantelamiento o remoción de bienes muebles incorporados o adheridos a un inmueble;</w:t>
      </w:r>
    </w:p>
    <w:p w:rsidR="00000000" w:rsidDel="00000000" w:rsidP="00000000" w:rsidRDefault="00000000" w:rsidRPr="00000000" w14:paraId="000000C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C">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12.20.- </w:t>
      </w:r>
      <w:r w:rsidDel="00000000" w:rsidR="00000000" w:rsidRPr="00000000">
        <w:rPr>
          <w:rFonts w:ascii="Palatino Linotype" w:cs="Palatino Linotype" w:eastAsia="Palatino Linotype" w:hAnsi="Palatino Linotype"/>
          <w:b w:val="1"/>
          <w:i w:val="1"/>
          <w:sz w:val="22"/>
          <w:szCs w:val="22"/>
          <w:rtl w:val="0"/>
        </w:rPr>
        <w:t xml:space="preserve">Los contratos a que se refiere este Libro, se adjudicarán a través de licitaciones públicas, mediante convocatoria pública.”</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CE">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12.21.- Las dependencias, entidades y ayuntamientos podrán adjudicar contratos para la ejecución de obra pública o servicios relacionados con la misma mediante las excepciones al procedimiento de licitación siguientes: </w:t>
      </w:r>
    </w:p>
    <w:p w:rsidR="00000000" w:rsidDel="00000000" w:rsidP="00000000" w:rsidRDefault="00000000" w:rsidRPr="00000000" w14:paraId="000000D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Invitación restringida; </w:t>
      </w:r>
    </w:p>
    <w:p w:rsidR="00000000" w:rsidDel="00000000" w:rsidP="00000000" w:rsidRDefault="00000000" w:rsidRPr="00000000" w14:paraId="000000D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Adjudicación directa.”</w:t>
      </w:r>
    </w:p>
    <w:p w:rsidR="00000000" w:rsidDel="00000000" w:rsidP="00000000" w:rsidRDefault="00000000" w:rsidRPr="00000000" w14:paraId="000000D2">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12.42.- Los contratos de obra pública o de servicios relacionados con la misma, podrán ser de tres tipos: </w:t>
      </w:r>
    </w:p>
    <w:p w:rsidR="00000000" w:rsidDel="00000000" w:rsidP="00000000" w:rsidRDefault="00000000" w:rsidRPr="00000000" w14:paraId="000000D4">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5">
      <w:pPr>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Sobre la base de precios unitarios, en cuyo caso el pago que deba cubrirse al contratista se hará por unidad de concepto de trabajo terminado;</w:t>
      </w:r>
    </w:p>
    <w:p w:rsidR="00000000" w:rsidDel="00000000" w:rsidP="00000000" w:rsidRDefault="00000000" w:rsidRPr="00000000" w14:paraId="000000D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7">
      <w:pPr>
        <w:ind w:left="851"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D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advierte que el Código de Procedimientos Administrativos del Estado de México, dispone que es considerada como </w:t>
      </w:r>
      <w:r w:rsidDel="00000000" w:rsidR="00000000" w:rsidRPr="00000000">
        <w:rPr>
          <w:rFonts w:ascii="Palatino Linotype" w:cs="Palatino Linotype" w:eastAsia="Palatino Linotype" w:hAnsi="Palatino Linotype"/>
          <w:b w:val="1"/>
          <w:sz w:val="22"/>
          <w:szCs w:val="22"/>
          <w:u w:val="single"/>
          <w:rtl w:val="0"/>
        </w:rPr>
        <w:t xml:space="preserve">obra pública</w:t>
      </w:r>
      <w:r w:rsidDel="00000000" w:rsidR="00000000" w:rsidRPr="00000000">
        <w:rPr>
          <w:rFonts w:ascii="Palatino Linotype" w:cs="Palatino Linotype" w:eastAsia="Palatino Linotype" w:hAnsi="Palatino Linotype"/>
          <w:sz w:val="22"/>
          <w:szCs w:val="22"/>
          <w:rtl w:val="0"/>
        </w:rPr>
        <w:t xml:space="preserve">, todo trabajo que tenga por objeto principal </w:t>
      </w:r>
      <w:r w:rsidDel="00000000" w:rsidR="00000000" w:rsidRPr="00000000">
        <w:rPr>
          <w:rFonts w:ascii="Palatino Linotype" w:cs="Palatino Linotype" w:eastAsia="Palatino Linotype" w:hAnsi="Palatino Linotype"/>
          <w:b w:val="1"/>
          <w:sz w:val="22"/>
          <w:szCs w:val="22"/>
          <w:u w:val="single"/>
          <w:rtl w:val="0"/>
        </w:rPr>
        <w:t xml:space="preserve">construir,</w:t>
      </w:r>
      <w:r w:rsidDel="00000000" w:rsidR="00000000" w:rsidRPr="00000000">
        <w:rPr>
          <w:rFonts w:ascii="Palatino Linotype" w:cs="Palatino Linotype" w:eastAsia="Palatino Linotype" w:hAnsi="Palatino Linotype"/>
          <w:sz w:val="22"/>
          <w:szCs w:val="22"/>
          <w:rtl w:val="0"/>
        </w:rPr>
        <w:t xml:space="preserve"> instalar, ampliar, </w:t>
      </w:r>
      <w:r w:rsidDel="00000000" w:rsidR="00000000" w:rsidRPr="00000000">
        <w:rPr>
          <w:rFonts w:ascii="Palatino Linotype" w:cs="Palatino Linotype" w:eastAsia="Palatino Linotype" w:hAnsi="Palatino Linotype"/>
          <w:b w:val="1"/>
          <w:sz w:val="22"/>
          <w:szCs w:val="22"/>
          <w:u w:val="single"/>
          <w:rtl w:val="0"/>
        </w:rPr>
        <w:t xml:space="preserve">adecuar, remodelar,</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restaurar,</w:t>
      </w:r>
      <w:r w:rsidDel="00000000" w:rsidR="00000000" w:rsidRPr="00000000">
        <w:rPr>
          <w:rFonts w:ascii="Palatino Linotype" w:cs="Palatino Linotype" w:eastAsia="Palatino Linotype" w:hAnsi="Palatino Linotype"/>
          <w:sz w:val="22"/>
          <w:szCs w:val="22"/>
          <w:rtl w:val="0"/>
        </w:rPr>
        <w:t xml:space="preserve"> conservar, mantener, </w:t>
      </w:r>
      <w:r w:rsidDel="00000000" w:rsidR="00000000" w:rsidRPr="00000000">
        <w:rPr>
          <w:rFonts w:ascii="Palatino Linotype" w:cs="Palatino Linotype" w:eastAsia="Palatino Linotype" w:hAnsi="Palatino Linotype"/>
          <w:b w:val="1"/>
          <w:sz w:val="22"/>
          <w:szCs w:val="22"/>
          <w:u w:val="single"/>
          <w:rtl w:val="0"/>
        </w:rPr>
        <w:t xml:space="preserve">modificar</w:t>
      </w:r>
      <w:r w:rsidDel="00000000" w:rsidR="00000000" w:rsidRPr="00000000">
        <w:rPr>
          <w:rFonts w:ascii="Palatino Linotype" w:cs="Palatino Linotype" w:eastAsia="Palatino Linotype" w:hAnsi="Palatino Linotype"/>
          <w:sz w:val="22"/>
          <w:szCs w:val="22"/>
          <w:rtl w:val="0"/>
        </w:rPr>
        <w:t xml:space="preserve"> o demoler </w:t>
      </w:r>
      <w:r w:rsidDel="00000000" w:rsidR="00000000" w:rsidRPr="00000000">
        <w:rPr>
          <w:rFonts w:ascii="Palatino Linotype" w:cs="Palatino Linotype" w:eastAsia="Palatino Linotype" w:hAnsi="Palatino Linotype"/>
          <w:b w:val="1"/>
          <w:sz w:val="22"/>
          <w:szCs w:val="22"/>
          <w:rtl w:val="0"/>
        </w:rPr>
        <w:t xml:space="preserve">bienes inmuebles propiedad</w:t>
      </w:r>
      <w:r w:rsidDel="00000000" w:rsidR="00000000" w:rsidRPr="00000000">
        <w:rPr>
          <w:rFonts w:ascii="Palatino Linotype" w:cs="Palatino Linotype" w:eastAsia="Palatino Linotype" w:hAnsi="Palatino Linotype"/>
          <w:sz w:val="22"/>
          <w:szCs w:val="22"/>
          <w:rtl w:val="0"/>
        </w:rPr>
        <w:t xml:space="preserve">, entre otros, </w:t>
      </w:r>
      <w:r w:rsidDel="00000000" w:rsidR="00000000" w:rsidRPr="00000000">
        <w:rPr>
          <w:rFonts w:ascii="Palatino Linotype" w:cs="Palatino Linotype" w:eastAsia="Palatino Linotype" w:hAnsi="Palatino Linotype"/>
          <w:b w:val="1"/>
          <w:sz w:val="22"/>
          <w:szCs w:val="22"/>
          <w:rtl w:val="0"/>
        </w:rPr>
        <w:t xml:space="preserve">de los municipios</w:t>
      </w:r>
      <w:r w:rsidDel="00000000" w:rsidR="00000000" w:rsidRPr="00000000">
        <w:rPr>
          <w:rFonts w:ascii="Palatino Linotype" w:cs="Palatino Linotype" w:eastAsia="Palatino Linotype" w:hAnsi="Palatino Linotype"/>
          <w:sz w:val="22"/>
          <w:szCs w:val="22"/>
          <w:rtl w:val="0"/>
        </w:rPr>
        <w:t xml:space="preserve">; considerando dentro de estos trabajos, aquellos relacionados con el mantenimiento, restauración, desmantelamiento o remoción de bienes muebles incorporados o adheridos a un inmueble.</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las contrataciones de obra pública pueden llevarse a cabo, mediante procedimientos de adquisición, entre los cuales se encuentran </w:t>
      </w:r>
      <w:r w:rsidDel="00000000" w:rsidR="00000000" w:rsidRPr="00000000">
        <w:rPr>
          <w:rFonts w:ascii="Palatino Linotype" w:cs="Palatino Linotype" w:eastAsia="Palatino Linotype" w:hAnsi="Palatino Linotype"/>
          <w:b w:val="1"/>
          <w:sz w:val="22"/>
          <w:szCs w:val="22"/>
          <w:u w:val="single"/>
          <w:rtl w:val="0"/>
        </w:rPr>
        <w:t xml:space="preserve">las licitaciones públicas, invitación restringida y adjudicación directa, </w:t>
      </w:r>
      <w:r w:rsidDel="00000000" w:rsidR="00000000" w:rsidRPr="00000000">
        <w:rPr>
          <w:rFonts w:ascii="Palatino Linotype" w:cs="Palatino Linotype" w:eastAsia="Palatino Linotype" w:hAnsi="Palatino Linotype"/>
          <w:sz w:val="22"/>
          <w:szCs w:val="22"/>
          <w:u w:val="single"/>
          <w:rtl w:val="0"/>
        </w:rPr>
        <w:t xml:space="preserve">por la contratación de obra pública.</w:t>
      </w:r>
      <w:r w:rsidDel="00000000" w:rsidR="00000000" w:rsidRPr="00000000">
        <w:rPr>
          <w:rtl w:val="0"/>
        </w:rPr>
      </w:r>
    </w:p>
    <w:p w:rsidR="00000000" w:rsidDel="00000000" w:rsidP="00000000" w:rsidRDefault="00000000" w:rsidRPr="00000000" w14:paraId="000000D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al procedimiento de </w:t>
      </w:r>
      <w:r w:rsidDel="00000000" w:rsidR="00000000" w:rsidRPr="00000000">
        <w:rPr>
          <w:rFonts w:ascii="Palatino Linotype" w:cs="Palatino Linotype" w:eastAsia="Palatino Linotype" w:hAnsi="Palatino Linotype"/>
          <w:b w:val="1"/>
          <w:sz w:val="22"/>
          <w:szCs w:val="22"/>
          <w:rtl w:val="0"/>
        </w:rPr>
        <w:t xml:space="preserve">licitación pública</w:t>
      </w:r>
      <w:r w:rsidDel="00000000" w:rsidR="00000000" w:rsidRPr="00000000">
        <w:rPr>
          <w:rFonts w:ascii="Palatino Linotype" w:cs="Palatino Linotype" w:eastAsia="Palatino Linotype" w:hAnsi="Palatino Linotype"/>
          <w:sz w:val="22"/>
          <w:szCs w:val="22"/>
          <w:rtl w:val="0"/>
        </w:rPr>
        <w:t xml:space="preserve">, es de indicar que constituye un procedimiento de contratación en que a través de una declaración unilateral de voluntad contenida en una convocatoria pública, el ente público, se obliga a celebrar un contrato para la adquisición del desarrollo de una obra pública, con aquél interesado que cumpliendo determinados requisitos prefijados en la convocatoria por el ente público de que se trate, ofrezca las mejores condiciones de contratación. </w:t>
      </w:r>
    </w:p>
    <w:p w:rsidR="00000000" w:rsidDel="00000000" w:rsidP="00000000" w:rsidRDefault="00000000" w:rsidRPr="00000000" w14:paraId="000000DE">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cuando hace a la </w:t>
      </w:r>
      <w:r w:rsidDel="00000000" w:rsidR="00000000" w:rsidRPr="00000000">
        <w:rPr>
          <w:rFonts w:ascii="Palatino Linotype" w:cs="Palatino Linotype" w:eastAsia="Palatino Linotype" w:hAnsi="Palatino Linotype"/>
          <w:b w:val="1"/>
          <w:sz w:val="22"/>
          <w:szCs w:val="22"/>
          <w:rtl w:val="0"/>
        </w:rPr>
        <w:t xml:space="preserve">adjudicación directa</w:t>
      </w:r>
      <w:r w:rsidDel="00000000" w:rsidR="00000000" w:rsidRPr="00000000">
        <w:rPr>
          <w:rFonts w:ascii="Palatino Linotype" w:cs="Palatino Linotype" w:eastAsia="Palatino Linotype" w:hAnsi="Palatino Linotype"/>
          <w:sz w:val="22"/>
          <w:szCs w:val="22"/>
          <w:rtl w:val="0"/>
        </w:rPr>
        <w:t xml:space="preserve">, es un procedimiento que se realiza sin puesta en concurrencia y, por ende, sin que exista competencia, adjudicándose el contrato a un proveedor que ha sido preseleccionado para tales efectos por la dependencia o entidad. </w:t>
      </w:r>
    </w:p>
    <w:p w:rsidR="00000000" w:rsidDel="00000000" w:rsidP="00000000" w:rsidRDefault="00000000" w:rsidRPr="00000000" w14:paraId="000000E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respecto a la </w:t>
      </w:r>
      <w:r w:rsidDel="00000000" w:rsidR="00000000" w:rsidRPr="00000000">
        <w:rPr>
          <w:rFonts w:ascii="Palatino Linotype" w:cs="Palatino Linotype" w:eastAsia="Palatino Linotype" w:hAnsi="Palatino Linotype"/>
          <w:b w:val="1"/>
          <w:sz w:val="22"/>
          <w:szCs w:val="22"/>
          <w:u w:val="single"/>
          <w:rtl w:val="0"/>
        </w:rPr>
        <w:t xml:space="preserve">invitación restringida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precisa que es un procedimiento de excepción a la licitación pública que permite al ente público, en forma discrecional, realizar un procedimiento para adquirir, arrendar o contratar, invitando a por lo menos tres oferentes a presentar propuestas.</w:t>
      </w:r>
    </w:p>
    <w:p w:rsidR="00000000" w:rsidDel="00000000" w:rsidP="00000000" w:rsidRDefault="00000000" w:rsidRPr="00000000" w14:paraId="000000E2">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virtud, resulta necesario señalar que para el presente caso, debido a que se advirtió que la obra pública de la que se requiere la información se relaciona con el procedimiento de </w:t>
      </w:r>
      <w:r w:rsidDel="00000000" w:rsidR="00000000" w:rsidRPr="00000000">
        <w:rPr>
          <w:rFonts w:ascii="Palatino Linotype" w:cs="Palatino Linotype" w:eastAsia="Palatino Linotype" w:hAnsi="Palatino Linotype"/>
          <w:b w:val="1"/>
          <w:sz w:val="22"/>
          <w:szCs w:val="22"/>
          <w:u w:val="single"/>
          <w:rtl w:val="0"/>
        </w:rPr>
        <w:t xml:space="preserve">invitación restringida, </w:t>
      </w:r>
      <w:r w:rsidDel="00000000" w:rsidR="00000000" w:rsidRPr="00000000">
        <w:rPr>
          <w:rFonts w:ascii="Palatino Linotype" w:cs="Palatino Linotype" w:eastAsia="Palatino Linotype" w:hAnsi="Palatino Linotype"/>
          <w:sz w:val="22"/>
          <w:szCs w:val="22"/>
          <w:rtl w:val="0"/>
        </w:rPr>
        <w:t xml:space="preserve">es de indicar que los artículos 12.34, 12.35 y 12.36 del Libro Décimo Segundo del Código Administrativo del Estado de México; 85, 86 y 87 del Reglamento del Libro Décimo Segundo del Código Administrativo del Estado de México, disponen lo siguiente:</w:t>
      </w:r>
    </w:p>
    <w:p w:rsidR="00000000" w:rsidDel="00000000" w:rsidP="00000000" w:rsidRDefault="00000000" w:rsidRPr="00000000" w14:paraId="000000E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12.34.-</w:t>
      </w:r>
      <w:r w:rsidDel="00000000" w:rsidR="00000000" w:rsidRPr="00000000">
        <w:rPr>
          <w:rFonts w:ascii="Palatino Linotype" w:cs="Palatino Linotype" w:eastAsia="Palatino Linotype" w:hAnsi="Palatino Linotype"/>
          <w:i w:val="1"/>
          <w:sz w:val="22"/>
          <w:szCs w:val="22"/>
          <w:rtl w:val="0"/>
        </w:rPr>
        <w:t xml:space="preserve"> Las dependencias, entidades y ayuntamientos podrán contratar obra pública o servicios relacionados con la misma, mediante el procedimiento de invitación restringida, cuando:</w:t>
      </w:r>
    </w:p>
    <w:p w:rsidR="00000000" w:rsidDel="00000000" w:rsidP="00000000" w:rsidRDefault="00000000" w:rsidRPr="00000000" w14:paraId="000000E6">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hubiere declarado desierto un procedimiento de licitación; o</w:t>
      </w:r>
    </w:p>
    <w:p w:rsidR="00000000" w:rsidDel="00000000" w:rsidP="00000000" w:rsidRDefault="00000000" w:rsidRPr="00000000" w14:paraId="000000E7">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Las obras o servicios a contratar, no rebasen los montos establecidos por el Presupuesto de Egresos del Gobierno del Estado del ejercicio correspondiente.</w:t>
      </w:r>
    </w:p>
    <w:p w:rsidR="00000000" w:rsidDel="00000000" w:rsidP="00000000" w:rsidRDefault="00000000" w:rsidRPr="00000000" w14:paraId="000000E8">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12.35.- El procedimiento a que se refiere el artículo anterior, comprende la invitación de tres personas, cuando menos, que serán seleccionadas de entre las que se inscriban en el catálogo de contratistas que para estos efectos opere la Secretaría del Ramo, en los términos que disponga la reglamentación de este Libro.</w:t>
      </w:r>
    </w:p>
    <w:p w:rsidR="00000000" w:rsidDel="00000000" w:rsidP="00000000" w:rsidRDefault="00000000" w:rsidRPr="00000000" w14:paraId="000000EA">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12.36.- El procedimiento de invitación restringida se declarará desierto, cuando en el acto de apertura no se cuente con el mínima de tres propuestas que cumplan con los requisitos establecidos en las bases.</w:t>
      </w:r>
    </w:p>
    <w:p w:rsidR="00000000" w:rsidDel="00000000" w:rsidP="00000000" w:rsidRDefault="00000000" w:rsidRPr="00000000" w14:paraId="000000E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ED">
      <w:pPr>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Reglamento del Libro Décimo Segundo del Código Administrativo del Estado de México</w:t>
      </w:r>
    </w:p>
    <w:p w:rsidR="00000000" w:rsidDel="00000000" w:rsidP="00000000" w:rsidRDefault="00000000" w:rsidRPr="00000000" w14:paraId="000000E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85.-</w:t>
      </w:r>
      <w:r w:rsidDel="00000000" w:rsidR="00000000" w:rsidRPr="00000000">
        <w:rPr>
          <w:rFonts w:ascii="Palatino Linotype" w:cs="Palatino Linotype" w:eastAsia="Palatino Linotype" w:hAnsi="Palatino Linotype"/>
          <w:i w:val="1"/>
          <w:sz w:val="22"/>
          <w:szCs w:val="22"/>
          <w:rtl w:val="0"/>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w:t>
      </w:r>
    </w:p>
    <w:p w:rsidR="00000000" w:rsidDel="00000000" w:rsidP="00000000" w:rsidRDefault="00000000" w:rsidRPr="00000000" w14:paraId="000000E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descripción general de la obra o servicio;</w:t>
      </w:r>
    </w:p>
    <w:p w:rsidR="00000000" w:rsidDel="00000000" w:rsidP="00000000" w:rsidRDefault="00000000" w:rsidRPr="00000000" w14:paraId="000000F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informe del procedimiento de licitación pública que fue declarado desierto;</w:t>
      </w:r>
    </w:p>
    <w:p w:rsidR="00000000" w:rsidDel="00000000" w:rsidP="00000000" w:rsidRDefault="00000000" w:rsidRPr="00000000" w14:paraId="000000F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fecha probable de inicio de los trabajos y el plazo de ejecución de los mismos;</w:t>
      </w:r>
    </w:p>
    <w:p w:rsidR="00000000" w:rsidDel="00000000" w:rsidP="00000000" w:rsidRDefault="00000000" w:rsidRPr="00000000" w14:paraId="000000F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presupuesto base;</w:t>
      </w:r>
    </w:p>
    <w:p w:rsidR="00000000" w:rsidDel="00000000" w:rsidP="00000000" w:rsidRDefault="00000000" w:rsidRPr="00000000" w14:paraId="000000F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autorización presupuestal;</w:t>
      </w:r>
    </w:p>
    <w:p w:rsidR="00000000" w:rsidDel="00000000" w:rsidP="00000000" w:rsidRDefault="00000000" w:rsidRPr="00000000" w14:paraId="000000F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El nombre y firma del titular del área responsable de la ejecución de los trabajos; y</w:t>
      </w:r>
    </w:p>
    <w:p w:rsidR="00000000" w:rsidDel="00000000" w:rsidP="00000000" w:rsidRDefault="00000000" w:rsidRPr="00000000" w14:paraId="000000F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El formato de caso para el dictamen de procedencia de excepción.</w:t>
      </w:r>
    </w:p>
    <w:p w:rsidR="00000000" w:rsidDel="00000000" w:rsidP="00000000" w:rsidRDefault="00000000" w:rsidRPr="00000000" w14:paraId="000000F6">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la dependencia, entidad o ayuntamiento no cuente con Comité Interno de Obra Pública, la unidad ejecutora de obra pública deberá integrar el caso que someterá a la autorización del titular.</w:t>
      </w:r>
    </w:p>
    <w:p w:rsidR="00000000" w:rsidDel="00000000" w:rsidP="00000000" w:rsidRDefault="00000000" w:rsidRPr="00000000" w14:paraId="000000F8">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w:t>
      </w:r>
    </w:p>
    <w:p w:rsidR="00000000" w:rsidDel="00000000" w:rsidP="00000000" w:rsidRDefault="00000000" w:rsidRPr="00000000" w14:paraId="000000FA">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Articulo 86.-</w:t>
      </w:r>
      <w:r w:rsidDel="00000000" w:rsidR="00000000" w:rsidRPr="00000000">
        <w:rPr>
          <w:rFonts w:ascii="Palatino Linotype" w:cs="Palatino Linotype" w:eastAsia="Palatino Linotype" w:hAnsi="Palatino Linotype"/>
          <w:i w:val="1"/>
          <w:sz w:val="22"/>
          <w:szCs w:val="22"/>
          <w:rtl w:val="0"/>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rsidR="00000000" w:rsidDel="00000000" w:rsidP="00000000" w:rsidRDefault="00000000" w:rsidRPr="00000000" w14:paraId="000000FC">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w:t>
      </w:r>
    </w:p>
    <w:p w:rsidR="00000000" w:rsidDel="00000000" w:rsidP="00000000" w:rsidRDefault="00000000" w:rsidRPr="00000000" w14:paraId="000000F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nombre del convocante;</w:t>
      </w:r>
    </w:p>
    <w:p w:rsidR="00000000" w:rsidDel="00000000" w:rsidP="00000000" w:rsidRDefault="00000000" w:rsidRPr="00000000" w14:paraId="000000F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y la ubicación de la obra o servicio;</w:t>
      </w:r>
    </w:p>
    <w:p w:rsidR="00000000" w:rsidDel="00000000" w:rsidP="00000000" w:rsidRDefault="00000000" w:rsidRPr="00000000" w14:paraId="0000010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nombre y domicilio del invitado y la referencia a su clave de registro en el catálogo de contratistas;</w:t>
      </w:r>
    </w:p>
    <w:p w:rsidR="00000000" w:rsidDel="00000000" w:rsidP="00000000" w:rsidRDefault="00000000" w:rsidRPr="00000000" w14:paraId="0000010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invitación expresa y el señalamiento de las fechas previstas para las etapas del procedimiento;</w:t>
      </w:r>
    </w:p>
    <w:p w:rsidR="00000000" w:rsidDel="00000000" w:rsidP="00000000" w:rsidRDefault="00000000" w:rsidRPr="00000000" w14:paraId="0000010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indicación de que se anexan las bases de la invitación;</w:t>
      </w:r>
    </w:p>
    <w:p w:rsidR="00000000" w:rsidDel="00000000" w:rsidP="00000000" w:rsidRDefault="00000000" w:rsidRPr="00000000" w14:paraId="0000010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Nombre y firma del servidor público responsable del proceso;</w:t>
      </w:r>
    </w:p>
    <w:p w:rsidR="00000000" w:rsidDel="00000000" w:rsidP="00000000" w:rsidRDefault="00000000" w:rsidRPr="00000000" w14:paraId="0000010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El origen de los recursos para la realización de la obra o servicio; y</w:t>
      </w:r>
    </w:p>
    <w:p w:rsidR="00000000" w:rsidDel="00000000" w:rsidP="00000000" w:rsidRDefault="00000000" w:rsidRPr="00000000" w14:paraId="0000010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 plazo de ejecución de los trabajos, indicando la fecha estimada de inicio de los mismos.</w:t>
      </w:r>
    </w:p>
    <w:p w:rsidR="00000000" w:rsidDel="00000000" w:rsidP="00000000" w:rsidRDefault="00000000" w:rsidRPr="00000000" w14:paraId="00000106">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87.-</w:t>
      </w:r>
      <w:r w:rsidDel="00000000" w:rsidR="00000000" w:rsidRPr="00000000">
        <w:rPr>
          <w:rFonts w:ascii="Palatino Linotype" w:cs="Palatino Linotype" w:eastAsia="Palatino Linotype" w:hAnsi="Palatino Linotype"/>
          <w:i w:val="1"/>
          <w:sz w:val="22"/>
          <w:szCs w:val="22"/>
          <w:rtl w:val="0"/>
        </w:rPr>
        <w:t xml:space="preserve"> El procedimiento de invitación restringida seguirá los mismos pasos que el de licitación pública salvo la publicación de la convocatoria, misma que se sustituye por la invitación señalada en el artículo anterior.”</w:t>
      </w:r>
    </w:p>
    <w:p w:rsidR="00000000" w:rsidDel="00000000" w:rsidP="00000000" w:rsidRDefault="00000000" w:rsidRPr="00000000" w14:paraId="0000010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los ayuntamientos podrán contratar obra pública o servicios relacionados con la misma, mediante el procedimiento de invitación restringida cuando se declare desierto un procedimiento de licitación; o cuando las obras o servicios a contratar, no rebasen los montos establecidos por el Presupuesto de Egresos del Gobierno del Estado del ejercicio correspondiente.</w:t>
      </w:r>
    </w:p>
    <w:p w:rsidR="00000000" w:rsidDel="00000000" w:rsidP="00000000" w:rsidRDefault="00000000" w:rsidRPr="00000000" w14:paraId="0000010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el procedimiento comprende la invitación de tres personas, cuando menos, que serán seleccionadas de entre las que se inscriban en el catálogo de contratistas que para estos efectos opere la Secretaría del Ramo, o bien el procedimiento de invitación restringida se declarará desierto, cuando en el acto de apertura no se cuente con el mínima de tres propuestas que cumplan con los requisitos establecidos en las bases.</w:t>
      </w:r>
    </w:p>
    <w:p w:rsidR="00000000" w:rsidDel="00000000" w:rsidP="00000000" w:rsidRDefault="00000000" w:rsidRPr="00000000" w14:paraId="000001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para el procedimiento de invitación restringida seguirá los mismos pasos que el de licitación pública </w:t>
      </w:r>
      <w:r w:rsidDel="00000000" w:rsidR="00000000" w:rsidRPr="00000000">
        <w:rPr>
          <w:rFonts w:ascii="Palatino Linotype" w:cs="Palatino Linotype" w:eastAsia="Palatino Linotype" w:hAnsi="Palatino Linotype"/>
          <w:sz w:val="22"/>
          <w:szCs w:val="22"/>
          <w:u w:val="single"/>
          <w:rtl w:val="0"/>
        </w:rPr>
        <w:t xml:space="preserve">salvo la publicación de la convocatoria</w:t>
      </w:r>
      <w:r w:rsidDel="00000000" w:rsidR="00000000" w:rsidRPr="00000000">
        <w:rPr>
          <w:rFonts w:ascii="Palatino Linotype" w:cs="Palatino Linotype" w:eastAsia="Palatino Linotype" w:hAnsi="Palatino Linotype"/>
          <w:sz w:val="22"/>
          <w:szCs w:val="22"/>
          <w:rtl w:val="0"/>
        </w:rPr>
        <w:t xml:space="preserve">; de este modo, los artículos 12.22, 12.23, fracción I y 12.38 del Libro Décimo Segundo del Código Administrativo del Estado de México; 29 y 30 del Reglamento del Libro Décimo Segundo del Código Administrativo del Estado de México, disponen lo siguiente:</w:t>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12.22.- En el procedimiento de licitación pública deberán establecerse los mismos requisitos y condiciones para todos los participantes, debiendo las dependencias, entidades y ayuntamientos, proporcionarles igual acceso a la información relacionada con dicho procedimiento, a fin de evitar favorecer a algún participante.”</w:t>
      </w:r>
    </w:p>
    <w:p w:rsidR="00000000" w:rsidDel="00000000" w:rsidP="00000000" w:rsidRDefault="00000000" w:rsidRPr="00000000" w14:paraId="00000110">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12.23.- Las licitaciones públicas podrán ser: </w:t>
      </w:r>
    </w:p>
    <w:p w:rsidR="00000000" w:rsidDel="00000000" w:rsidP="00000000" w:rsidRDefault="00000000" w:rsidRPr="00000000" w14:paraId="00000112">
      <w:pPr>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Nacionales, cuando únicamente puedan participar personas de nacionalidad mexicana, o </w:t>
      </w:r>
    </w:p>
    <w:p w:rsidR="00000000" w:rsidDel="00000000" w:rsidP="00000000" w:rsidRDefault="00000000" w:rsidRPr="00000000" w14:paraId="0000011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Internacionales, cuando puedan participar tanto personas de nacionalidad mexicana como extranjera.”</w:t>
      </w:r>
    </w:p>
    <w:p w:rsidR="00000000" w:rsidDel="00000000" w:rsidP="00000000" w:rsidRDefault="00000000" w:rsidRPr="00000000" w14:paraId="00000114">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12.38.- La adjudicación de la obra o servicios relacionados con la misma obligará a la dependencia, entidad o ayuntamiento y a la persona en que hubiere recaído, </w:t>
      </w:r>
      <w:r w:rsidDel="00000000" w:rsidR="00000000" w:rsidRPr="00000000">
        <w:rPr>
          <w:rFonts w:ascii="Palatino Linotype" w:cs="Palatino Linotype" w:eastAsia="Palatino Linotype" w:hAnsi="Palatino Linotype"/>
          <w:b w:val="1"/>
          <w:i w:val="1"/>
          <w:sz w:val="22"/>
          <w:szCs w:val="22"/>
          <w:u w:val="single"/>
          <w:rtl w:val="0"/>
        </w:rPr>
        <w:t xml:space="preserve">a suscribir el contrato respectivo dentro de los diez días hábiles siguientes al de la notificación del fallo.</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6">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8">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9">
      <w:pPr>
        <w:ind w:left="851" w:right="616" w:firstLine="0"/>
        <w:jc w:val="center"/>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Reglamento del Libro Décimo Segundo del Código Administrativo del Estado de México</w:t>
      </w:r>
    </w:p>
    <w:p w:rsidR="00000000" w:rsidDel="00000000" w:rsidP="00000000" w:rsidRDefault="00000000" w:rsidRPr="00000000" w14:paraId="0000011A">
      <w:pPr>
        <w:ind w:left="851" w:right="616" w:firstLine="0"/>
        <w:jc w:val="center"/>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11B">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29.- Las personas interesadas en las licitaciones públicas que norma este Reglamento tendrán sin distinción, igual acceso a la información correspondiente, cumplirán los mismos requisitos y participarán bajo las mismas condiciones.” </w:t>
      </w:r>
    </w:p>
    <w:p w:rsidR="00000000" w:rsidDel="00000000" w:rsidP="00000000" w:rsidRDefault="00000000" w:rsidRPr="00000000" w14:paraId="0000011C">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30.- El procedimiento de licitación pública inicia con la publicación de la convocatoria y concluye con el fallo y adjudicación. Cubrirá las etapas siguientes: </w:t>
      </w:r>
    </w:p>
    <w:p w:rsidR="00000000" w:rsidDel="00000000" w:rsidP="00000000" w:rsidRDefault="00000000" w:rsidRPr="00000000" w14:paraId="0000011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formulación de las bases de licitación; </w:t>
      </w:r>
    </w:p>
    <w:p w:rsidR="00000000" w:rsidDel="00000000" w:rsidP="00000000" w:rsidRDefault="00000000" w:rsidRPr="00000000" w14:paraId="0000011F">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publicación de la convocatoria; </w:t>
      </w:r>
    </w:p>
    <w:p w:rsidR="00000000" w:rsidDel="00000000" w:rsidP="00000000" w:rsidRDefault="00000000" w:rsidRPr="00000000" w14:paraId="0000012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venta de las bases de licitación; </w:t>
      </w:r>
    </w:p>
    <w:p w:rsidR="00000000" w:rsidDel="00000000" w:rsidP="00000000" w:rsidRDefault="00000000" w:rsidRPr="00000000" w14:paraId="00000121">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visita al sitio donde se realizarán los trabajos; </w:t>
      </w:r>
    </w:p>
    <w:p w:rsidR="00000000" w:rsidDel="00000000" w:rsidP="00000000" w:rsidRDefault="00000000" w:rsidRPr="00000000" w14:paraId="0000012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Las juntas de aclaraciones; </w:t>
      </w:r>
    </w:p>
    <w:p w:rsidR="00000000" w:rsidDel="00000000" w:rsidP="00000000" w:rsidRDefault="00000000" w:rsidRPr="00000000" w14:paraId="0000012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presentación y apertura de propuestas; </w:t>
      </w:r>
    </w:p>
    <w:p w:rsidR="00000000" w:rsidDel="00000000" w:rsidP="00000000" w:rsidRDefault="00000000" w:rsidRPr="00000000" w14:paraId="0000012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La evaluación de propuestas; y </w:t>
      </w:r>
    </w:p>
    <w:p w:rsidR="00000000" w:rsidDel="00000000" w:rsidP="00000000" w:rsidRDefault="00000000" w:rsidRPr="00000000" w14:paraId="0000012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El fallo y adjudicación.”</w:t>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observa que en el procedimiento de licitación pública, el Ayuntamiento, debe establecer los mismos requisitos y condiciones para todos los participantes, proporcionando igual acceso a la información relacionada con dicho procedimiento, a fin de evitar favorecer a algún participante.</w:t>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 dispone que las licitaciones públicas pueden ser nacionales como internacionales; definiendo las</w:t>
      </w:r>
      <w:r w:rsidDel="00000000" w:rsidR="00000000" w:rsidRPr="00000000">
        <w:rPr>
          <w:rFonts w:ascii="Palatino Linotype" w:cs="Palatino Linotype" w:eastAsia="Palatino Linotype" w:hAnsi="Palatino Linotype"/>
          <w:b w:val="1"/>
          <w:sz w:val="22"/>
          <w:szCs w:val="22"/>
          <w:u w:val="single"/>
          <w:rtl w:val="0"/>
        </w:rPr>
        <w:t xml:space="preserve"> primeras</w:t>
      </w:r>
      <w:r w:rsidDel="00000000" w:rsidR="00000000" w:rsidRPr="00000000">
        <w:rPr>
          <w:rFonts w:ascii="Palatino Linotype" w:cs="Palatino Linotype" w:eastAsia="Palatino Linotype" w:hAnsi="Palatino Linotype"/>
          <w:sz w:val="22"/>
          <w:szCs w:val="22"/>
          <w:rtl w:val="0"/>
        </w:rPr>
        <w:t xml:space="preserve">, como aquellas en que sólo pueden participar personas de nacionalidad mexicana; y, </w:t>
      </w:r>
      <w:r w:rsidDel="00000000" w:rsidR="00000000" w:rsidRPr="00000000">
        <w:rPr>
          <w:rFonts w:ascii="Palatino Linotype" w:cs="Palatino Linotype" w:eastAsia="Palatino Linotype" w:hAnsi="Palatino Linotype"/>
          <w:b w:val="1"/>
          <w:sz w:val="22"/>
          <w:szCs w:val="22"/>
          <w:u w:val="single"/>
          <w:rtl w:val="0"/>
        </w:rPr>
        <w:t xml:space="preserve">las segundas</w:t>
      </w:r>
      <w:r w:rsidDel="00000000" w:rsidR="00000000" w:rsidRPr="00000000">
        <w:rPr>
          <w:rFonts w:ascii="Palatino Linotype" w:cs="Palatino Linotype" w:eastAsia="Palatino Linotype" w:hAnsi="Palatino Linotype"/>
          <w:sz w:val="22"/>
          <w:szCs w:val="22"/>
          <w:rtl w:val="0"/>
        </w:rPr>
        <w:t xml:space="preserve">, aquellas en las que pueden participar personas de nacionalidad mexicana como extranjera.</w:t>
      </w:r>
    </w:p>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el procedimiento de licitación pública comprende las siguientes fases: la formulación de las bases de licitación; la publicación de la convocatoria; la venta de las bases de licitación; la visita al sitio donde se realizarán los trabajos; las juntas de aclaraciones; la presentación y apertura de propuestas; la evaluación de propuestas; y, el fallo y adjudicación.</w:t>
      </w:r>
    </w:p>
    <w:p w:rsidR="00000000" w:rsidDel="00000000" w:rsidP="00000000" w:rsidRDefault="00000000" w:rsidRPr="00000000" w14:paraId="0000012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Finalmente, para la adjudicación de la obra, el ente público, en este caso el Ayuntamiento de Tlalmanalco, </w:t>
      </w:r>
      <w:r w:rsidDel="00000000" w:rsidR="00000000" w:rsidRPr="00000000">
        <w:rPr>
          <w:rFonts w:ascii="Palatino Linotype" w:cs="Palatino Linotype" w:eastAsia="Palatino Linotype" w:hAnsi="Palatino Linotype"/>
          <w:b w:val="1"/>
          <w:sz w:val="22"/>
          <w:szCs w:val="22"/>
          <w:rtl w:val="0"/>
        </w:rPr>
        <w:t xml:space="preserve">se encuentra constreñido a suscribir el contrato respectivo dentro de los diez días hábiles siguientes al de la notificación del fallo.</w:t>
      </w:r>
    </w:p>
    <w:p w:rsidR="00000000" w:rsidDel="00000000" w:rsidP="00000000" w:rsidRDefault="00000000" w:rsidRPr="00000000" w14:paraId="0000012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no resulta óbice mencionar que </w:t>
      </w:r>
      <w:r w:rsidDel="00000000" w:rsidR="00000000" w:rsidRPr="00000000">
        <w:rPr>
          <w:rFonts w:ascii="Palatino Linotype" w:cs="Palatino Linotype" w:eastAsia="Palatino Linotype" w:hAnsi="Palatino Linotype"/>
          <w:b w:val="1"/>
          <w:sz w:val="22"/>
          <w:szCs w:val="22"/>
          <w:u w:val="single"/>
          <w:rtl w:val="0"/>
        </w:rPr>
        <w:t xml:space="preserve">tratándose de una obra pública</w:t>
      </w:r>
      <w:r w:rsidDel="00000000" w:rsidR="00000000" w:rsidRPr="00000000">
        <w:rPr>
          <w:rFonts w:ascii="Palatino Linotype" w:cs="Palatino Linotype" w:eastAsia="Palatino Linotype" w:hAnsi="Palatino Linotype"/>
          <w:sz w:val="22"/>
          <w:szCs w:val="22"/>
          <w:rtl w:val="0"/>
        </w:rPr>
        <w:t xml:space="preserve">, las dependencias, entidades, </w:t>
      </w:r>
      <w:r w:rsidDel="00000000" w:rsidR="00000000" w:rsidRPr="00000000">
        <w:rPr>
          <w:rFonts w:ascii="Palatino Linotype" w:cs="Palatino Linotype" w:eastAsia="Palatino Linotype" w:hAnsi="Palatino Linotype"/>
          <w:b w:val="1"/>
          <w:sz w:val="22"/>
          <w:szCs w:val="22"/>
          <w:u w:val="single"/>
          <w:rtl w:val="0"/>
        </w:rPr>
        <w:t xml:space="preserve">ayuntamientos</w:t>
      </w:r>
      <w:r w:rsidDel="00000000" w:rsidR="00000000" w:rsidRPr="00000000">
        <w:rPr>
          <w:rFonts w:ascii="Palatino Linotype" w:cs="Palatino Linotype" w:eastAsia="Palatino Linotype" w:hAnsi="Palatino Linotype"/>
          <w:sz w:val="22"/>
          <w:szCs w:val="22"/>
          <w:rtl w:val="0"/>
        </w:rPr>
        <w:t xml:space="preserve">, entre otros, </w:t>
      </w:r>
      <w:r w:rsidDel="00000000" w:rsidR="00000000" w:rsidRPr="00000000">
        <w:rPr>
          <w:rFonts w:ascii="Palatino Linotype" w:cs="Palatino Linotype" w:eastAsia="Palatino Linotype" w:hAnsi="Palatino Linotype"/>
          <w:b w:val="1"/>
          <w:sz w:val="22"/>
          <w:szCs w:val="22"/>
          <w:u w:val="single"/>
          <w:rtl w:val="0"/>
        </w:rPr>
        <w:t xml:space="preserve">se encuentran constreñidos a acatar el Acuerdo</w:t>
      </w:r>
      <w:r w:rsidDel="00000000" w:rsidR="00000000" w:rsidRPr="00000000">
        <w:rPr>
          <w:rFonts w:ascii="Palatino Linotype" w:cs="Palatino Linotype" w:eastAsia="Palatino Linotype" w:hAnsi="Palatino Linotype"/>
          <w:sz w:val="22"/>
          <w:szCs w:val="22"/>
          <w:rtl w:val="0"/>
        </w:rPr>
        <w:t xml:space="preserve"> del entonces Secretario de Infraestructura </w:t>
      </w:r>
      <w:r w:rsidDel="00000000" w:rsidR="00000000" w:rsidRPr="00000000">
        <w:rPr>
          <w:rFonts w:ascii="Palatino Linotype" w:cs="Palatino Linotype" w:eastAsia="Palatino Linotype" w:hAnsi="Palatino Linotype"/>
          <w:b w:val="1"/>
          <w:sz w:val="22"/>
          <w:szCs w:val="22"/>
          <w:u w:val="single"/>
          <w:rtl w:val="0"/>
        </w:rPr>
        <w:t xml:space="preserve">por el que se establece el Índice de Expediente Único de Obra Pública</w:t>
      </w:r>
      <w:r w:rsidDel="00000000" w:rsidR="00000000" w:rsidRPr="00000000">
        <w:rPr>
          <w:rFonts w:ascii="Palatino Linotype" w:cs="Palatino Linotype" w:eastAsia="Palatino Linotype" w:hAnsi="Palatino Linotype"/>
          <w:sz w:val="22"/>
          <w:szCs w:val="22"/>
          <w:rtl w:val="0"/>
        </w:rPr>
        <w:t xml:space="preserve"> e Instructivos de Llenado en las modalidades de adjudicación directa, invitación restringida y licitación pública, publicado el dos de diciembre de dos mil dieciséis en el Periódico Oficial "Gaceta del Gobierno" (consultable en el siguiente enlace: </w:t>
      </w:r>
      <w:hyperlink r:id="rId11">
        <w:r w:rsidDel="00000000" w:rsidR="00000000" w:rsidRPr="00000000">
          <w:rPr>
            <w:rFonts w:ascii="Palatino Linotype" w:cs="Palatino Linotype" w:eastAsia="Palatino Linotype" w:hAnsi="Palatino Linotype"/>
            <w:sz w:val="22"/>
            <w:szCs w:val="22"/>
            <w:u w:val="single"/>
            <w:rtl w:val="0"/>
          </w:rPr>
          <w:t xml:space="preserve">https://legislacion.edomex.gob.mx/sites/legislacion.edomex.gob.mx/files/files/pdf/gct/2016/dic021.pdf</w:t>
        </w:r>
      </w:hyperlink>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1">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Acuerdo el indicado, que establece los documentos que deben integrar el expediente único de obra pública, y que atendiendo las documentales a las que pretende acceder el particular, se advierte que este debe contar, entre otros, con </w:t>
      </w:r>
      <w:r w:rsidDel="00000000" w:rsidR="00000000" w:rsidRPr="00000000">
        <w:rPr>
          <w:rFonts w:ascii="Palatino Linotype" w:cs="Palatino Linotype" w:eastAsia="Palatino Linotype" w:hAnsi="Palatino Linotype"/>
          <w:b w:val="1"/>
          <w:sz w:val="22"/>
          <w:szCs w:val="22"/>
          <w:rtl w:val="0"/>
        </w:rPr>
        <w:t xml:space="preserve">el contrato de obra pública y, en su caso, los convenios modificatorios (de reprogramación y/o de ampliación al importe del contrato), así como las facturas por los pagos efectuados:</w:t>
      </w:r>
    </w:p>
    <w:p w:rsidR="00000000" w:rsidDel="00000000" w:rsidP="00000000" w:rsidRDefault="00000000" w:rsidRPr="00000000" w14:paraId="00000132">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3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1374140"/>
            <wp:effectExtent b="0" l="0" r="0" t="0"/>
            <wp:docPr descr="Texto&#10;&#10;Descripción generada automáticamente" id="2076830358" name="image5.png"/>
            <a:graphic>
              <a:graphicData uri="http://schemas.openxmlformats.org/drawingml/2006/picture">
                <pic:pic>
                  <pic:nvPicPr>
                    <pic:cNvPr descr="Texto&#10;&#10;Descripción generada automáticamente" id="0" name="image5.png"/>
                    <pic:cNvPicPr preferRelativeResize="0"/>
                  </pic:nvPicPr>
                  <pic:blipFill>
                    <a:blip r:embed="rId12"/>
                    <a:srcRect b="0" l="0" r="0" t="0"/>
                    <a:stretch>
                      <a:fillRect/>
                    </a:stretch>
                  </pic:blipFill>
                  <pic:spPr>
                    <a:xfrm>
                      <a:off x="0" y="0"/>
                      <a:ext cx="5612130" cy="137414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135">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1245235"/>
            <wp:effectExtent b="0" l="0" r="0" t="0"/>
            <wp:docPr descr="Imagen que contiene biombo, edificio, cuarto&#10;&#10;Descripción generada automáticamente" id="2076830361" name="image7.png"/>
            <a:graphic>
              <a:graphicData uri="http://schemas.openxmlformats.org/drawingml/2006/picture">
                <pic:pic>
                  <pic:nvPicPr>
                    <pic:cNvPr descr="Imagen que contiene biombo, edificio, cuarto&#10;&#10;Descripción generada automáticamente" id="0" name="image7.png"/>
                    <pic:cNvPicPr preferRelativeResize="0"/>
                  </pic:nvPicPr>
                  <pic:blipFill>
                    <a:blip r:embed="rId13"/>
                    <a:srcRect b="0" l="0" r="0" t="0"/>
                    <a:stretch>
                      <a:fillRect/>
                    </a:stretch>
                  </pic:blipFill>
                  <pic:spPr>
                    <a:xfrm>
                      <a:off x="0" y="0"/>
                      <a:ext cx="5612130" cy="12452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381000</wp:posOffset>
                </wp:positionV>
                <wp:extent cx="2419350" cy="819150"/>
                <wp:effectExtent b="0" l="0" r="0" t="0"/>
                <wp:wrapNone/>
                <wp:docPr id="2076830351" name=""/>
                <a:graphic>
                  <a:graphicData uri="http://schemas.microsoft.com/office/word/2010/wordprocessingShape">
                    <wps:wsp>
                      <wps:cNvSpPr/>
                      <wps:cNvPr id="2" name="Shape 2"/>
                      <wps:spPr>
                        <a:xfrm>
                          <a:off x="4145850" y="3379950"/>
                          <a:ext cx="2400300" cy="800100"/>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381000</wp:posOffset>
                </wp:positionV>
                <wp:extent cx="2419350" cy="819150"/>
                <wp:effectExtent b="0" l="0" r="0" t="0"/>
                <wp:wrapNone/>
                <wp:docPr id="2076830351"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2419350" cy="819150"/>
                        </a:xfrm>
                        <a:prstGeom prst="rect"/>
                        <a:ln/>
                      </pic:spPr>
                    </pic:pic>
                  </a:graphicData>
                </a:graphic>
              </wp:anchor>
            </w:drawing>
          </mc:Fallback>
        </mc:AlternateContent>
      </w:r>
    </w:p>
    <w:p w:rsidR="00000000" w:rsidDel="00000000" w:rsidP="00000000" w:rsidRDefault="00000000" w:rsidRPr="00000000" w14:paraId="00000136">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w:t>
      </w:r>
    </w:p>
    <w:p w:rsidR="00000000" w:rsidDel="00000000" w:rsidP="00000000" w:rsidRDefault="00000000" w:rsidRPr="00000000" w14:paraId="00000137">
      <w:pPr>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Pr>
        <w:drawing>
          <wp:inline distB="0" distT="0" distL="0" distR="0">
            <wp:extent cx="5612130" cy="515620"/>
            <wp:effectExtent b="0" l="0" r="0" t="0"/>
            <wp:docPr id="2076830360"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612130" cy="515620"/>
                    </a:xfrm>
                    <a:prstGeom prst="rect"/>
                    <a:ln/>
                  </pic:spPr>
                </pic:pic>
              </a:graphicData>
            </a:graphic>
          </wp:inline>
        </w:drawing>
      </w:r>
      <w:r w:rsidDel="00000000" w:rsidR="00000000" w:rsidRPr="00000000">
        <w:rPr>
          <w:rFonts w:ascii="Palatino Linotype" w:cs="Palatino Linotype" w:eastAsia="Palatino Linotype" w:hAnsi="Palatino Linotype"/>
          <w:b w:val="1"/>
          <w:sz w:val="22"/>
          <w:szCs w:val="22"/>
        </w:rPr>
        <w:drawing>
          <wp:inline distB="0" distT="0" distL="0" distR="0">
            <wp:extent cx="5612130" cy="491490"/>
            <wp:effectExtent b="0" l="0" r="0" t="0"/>
            <wp:docPr id="207683036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612130" cy="4914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558800</wp:posOffset>
                </wp:positionV>
                <wp:extent cx="619125" cy="142875"/>
                <wp:effectExtent b="0" l="0" r="0" t="0"/>
                <wp:wrapNone/>
                <wp:docPr id="2076830352" name=""/>
                <a:graphic>
                  <a:graphicData uri="http://schemas.microsoft.com/office/word/2010/wordprocessingShape">
                    <wps:wsp>
                      <wps:cNvSpPr/>
                      <wps:cNvPr id="3" name="Shape 3"/>
                      <wps:spPr>
                        <a:xfrm>
                          <a:off x="5045963" y="3718088"/>
                          <a:ext cx="600075" cy="12382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558800</wp:posOffset>
                </wp:positionV>
                <wp:extent cx="619125" cy="142875"/>
                <wp:effectExtent b="0" l="0" r="0" t="0"/>
                <wp:wrapNone/>
                <wp:docPr id="2076830352"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619125" cy="142875"/>
                        </a:xfrm>
                        <a:prstGeom prst="rect"/>
                        <a:ln/>
                      </pic:spPr>
                    </pic:pic>
                  </a:graphicData>
                </a:graphic>
              </wp:anchor>
            </w:drawing>
          </mc:Fallback>
        </mc:AlternateContent>
      </w:r>
    </w:p>
    <w:p w:rsidR="00000000" w:rsidDel="00000000" w:rsidP="00000000" w:rsidRDefault="00000000" w:rsidRPr="00000000" w14:paraId="000001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que dichos documentos, son los que de manera enunciativa más no limitativa darían atención a los requerimientos de información del particular marcados en los </w:t>
      </w:r>
      <w:r w:rsidDel="00000000" w:rsidR="00000000" w:rsidRPr="00000000">
        <w:rPr>
          <w:rFonts w:ascii="Palatino Linotype" w:cs="Palatino Linotype" w:eastAsia="Palatino Linotype" w:hAnsi="Palatino Linotype"/>
          <w:b w:val="1"/>
          <w:sz w:val="22"/>
          <w:szCs w:val="22"/>
          <w:rtl w:val="0"/>
        </w:rPr>
        <w:t xml:space="preserve">numerales 1, 2 y 3</w:t>
      </w:r>
      <w:r w:rsidDel="00000000" w:rsidR="00000000" w:rsidRPr="00000000">
        <w:rPr>
          <w:rFonts w:ascii="Palatino Linotype" w:cs="Palatino Linotype" w:eastAsia="Palatino Linotype" w:hAnsi="Palatino Linotype"/>
          <w:sz w:val="22"/>
          <w:szCs w:val="22"/>
          <w:rtl w:val="0"/>
        </w:rPr>
        <w:t xml:space="preserve"> consistentes en: el contrato, los costos totales con IVA incluido y las facturas, por las siguientes consideraciones:</w:t>
      </w:r>
    </w:p>
    <w:p w:rsidR="00000000" w:rsidDel="00000000" w:rsidP="00000000" w:rsidRDefault="00000000" w:rsidRPr="00000000" w14:paraId="0000013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contrato de obra pública y, en su caso, los convenios modificatorios (de reprogramación y/o de ampliación al importe del contrato); </w:t>
      </w:r>
      <w:r w:rsidDel="00000000" w:rsidR="00000000" w:rsidRPr="00000000">
        <w:rPr>
          <w:rFonts w:ascii="Palatino Linotype" w:cs="Palatino Linotype" w:eastAsia="Palatino Linotype" w:hAnsi="Palatino Linotype"/>
          <w:sz w:val="22"/>
          <w:szCs w:val="22"/>
          <w:rtl w:val="0"/>
        </w:rPr>
        <w:t xml:space="preserve">en primer lugar,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por atender a la literalidad el requerimiento relativo a dichos instrumentos jurídicos –contratos y convenios- requeridos por el particular; y, en segundo lugar, porque a través de dichos instrumentos jurídicos se pueden conocer los costos totales con IVA incluido.</w:t>
      </w:r>
    </w:p>
    <w:p w:rsidR="00000000" w:rsidDel="00000000" w:rsidP="00000000" w:rsidRDefault="00000000" w:rsidRPr="00000000" w14:paraId="000001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las </w:t>
      </w:r>
      <w:r w:rsidDel="00000000" w:rsidR="00000000" w:rsidRPr="00000000">
        <w:rPr>
          <w:rFonts w:ascii="Palatino Linotype" w:cs="Palatino Linotype" w:eastAsia="Palatino Linotype" w:hAnsi="Palatino Linotype"/>
          <w:b w:val="1"/>
          <w:sz w:val="22"/>
          <w:szCs w:val="22"/>
          <w:u w:val="single"/>
          <w:rtl w:val="0"/>
        </w:rPr>
        <w:t xml:space="preserve">facturas </w:t>
      </w:r>
      <w:r w:rsidDel="00000000" w:rsidR="00000000" w:rsidRPr="00000000">
        <w:rPr>
          <w:rFonts w:ascii="Palatino Linotype" w:cs="Palatino Linotype" w:eastAsia="Palatino Linotype" w:hAnsi="Palatino Linotype"/>
          <w:sz w:val="22"/>
          <w:szCs w:val="22"/>
          <w:rtl w:val="0"/>
        </w:rPr>
        <w:t xml:space="preserve">atienden a la literalidad lo requerido, pues constituyen el documento que comprueba la realización de una transacción comercial, entre un comprador y un proveedor, mediante el cual, el primero queda obligado a realizar un pago, mientras que el segundo, a entregar o brindar un producto o servicio; en otras palabras, las facturas son el documento idóneo que demuestra los gastos efectuados con motivo de la contratación pública.</w:t>
      </w:r>
    </w:p>
    <w:p w:rsidR="00000000" w:rsidDel="00000000" w:rsidP="00000000" w:rsidRDefault="00000000" w:rsidRPr="00000000" w14:paraId="0000013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con relación al </w:t>
      </w:r>
      <w:r w:rsidDel="00000000" w:rsidR="00000000" w:rsidRPr="00000000">
        <w:rPr>
          <w:rFonts w:ascii="Palatino Linotype" w:cs="Palatino Linotype" w:eastAsia="Palatino Linotype" w:hAnsi="Palatino Linotype"/>
          <w:b w:val="1"/>
          <w:sz w:val="22"/>
          <w:szCs w:val="22"/>
          <w:rtl w:val="0"/>
        </w:rPr>
        <w:t xml:space="preserve">requerimiento 4, relativo a “Pólizas de cheque”</w:t>
      </w:r>
      <w:r w:rsidDel="00000000" w:rsidR="00000000" w:rsidRPr="00000000">
        <w:rPr>
          <w:rFonts w:ascii="Palatino Linotype" w:cs="Palatino Linotype" w:eastAsia="Palatino Linotype" w:hAnsi="Palatino Linotype"/>
          <w:sz w:val="22"/>
          <w:szCs w:val="22"/>
          <w:rtl w:val="0"/>
        </w:rPr>
        <w:t xml:space="preserve">, es de señalar que los artículos 342, 343, 344 y 345 del Código Financiero del Estado de México y Municipios, disponen el sistema y las políticas que deben seguirse para llevar el registro contable y presupuestal de las operaciones financieras, en los siguientes términos:</w:t>
      </w:r>
    </w:p>
    <w:p w:rsidR="00000000" w:rsidDel="00000000" w:rsidP="00000000" w:rsidRDefault="00000000" w:rsidRPr="00000000" w14:paraId="00000140">
      <w:pPr>
        <w:spacing w:after="120" w:before="120" w:lineRule="auto"/>
        <w:ind w:left="862"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342</w:t>
      </w:r>
      <w:r w:rsidDel="00000000" w:rsidR="00000000" w:rsidRPr="00000000">
        <w:rPr>
          <w:rFonts w:ascii="Palatino Linotype" w:cs="Palatino Linotype" w:eastAsia="Palatino Linotype" w:hAnsi="Palatino Linotype"/>
          <w:i w:val="1"/>
          <w:sz w:val="22"/>
          <w:szCs w:val="22"/>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rsidR="00000000" w:rsidDel="00000000" w:rsidP="00000000" w:rsidRDefault="00000000" w:rsidRPr="00000000" w14:paraId="00000141">
      <w:pPr>
        <w:spacing w:after="120" w:before="120" w:lineRule="auto"/>
        <w:ind w:left="862"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el caso de los municipios,</w:t>
      </w:r>
      <w:r w:rsidDel="00000000" w:rsidR="00000000" w:rsidRPr="00000000">
        <w:rPr>
          <w:rFonts w:ascii="Palatino Linotype" w:cs="Palatino Linotype" w:eastAsia="Palatino Linotype" w:hAnsi="Palatino Linotype"/>
          <w:i w:val="1"/>
          <w:sz w:val="22"/>
          <w:szCs w:val="22"/>
          <w:rtl w:val="0"/>
        </w:rPr>
        <w:t xml:space="preserve"> el registro a que se refiere el párrafo anterior, se realizará conforme al sistema y a las disposiciones en materia de </w:t>
      </w:r>
      <w:r w:rsidDel="00000000" w:rsidR="00000000" w:rsidRPr="00000000">
        <w:rPr>
          <w:rFonts w:ascii="Palatino Linotype" w:cs="Palatino Linotype" w:eastAsia="Palatino Linotype" w:hAnsi="Palatino Linotype"/>
          <w:b w:val="1"/>
          <w:i w:val="1"/>
          <w:sz w:val="22"/>
          <w:szCs w:val="22"/>
          <w:rtl w:val="0"/>
        </w:rPr>
        <w:t xml:space="preserve">planeación, programación, presupuestación, evaluación y contabilidad gubernamental</w:t>
      </w:r>
      <w:r w:rsidDel="00000000" w:rsidR="00000000" w:rsidRPr="00000000">
        <w:rPr>
          <w:rFonts w:ascii="Palatino Linotype" w:cs="Palatino Linotype" w:eastAsia="Palatino Linotype" w:hAnsi="Palatino Linotype"/>
          <w:i w:val="1"/>
          <w:sz w:val="22"/>
          <w:szCs w:val="22"/>
          <w:rtl w:val="0"/>
        </w:rPr>
        <w:t xml:space="preserve">, que se aprueben en el marco del Sistema de Coordinación Hacendaria del Estado de México</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42">
      <w:pPr>
        <w:spacing w:after="120" w:before="120" w:lineRule="auto"/>
        <w:ind w:left="862"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343.-</w:t>
      </w:r>
      <w:r w:rsidDel="00000000" w:rsidR="00000000" w:rsidRPr="00000000">
        <w:rPr>
          <w:rFonts w:ascii="Palatino Linotype" w:cs="Palatino Linotype" w:eastAsia="Palatino Linotype" w:hAnsi="Palatino Linotype"/>
          <w:i w:val="1"/>
          <w:sz w:val="22"/>
          <w:szCs w:val="22"/>
          <w:rtl w:val="0"/>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000000" w:rsidDel="00000000" w:rsidP="00000000" w:rsidRDefault="00000000" w:rsidRPr="00000000" w14:paraId="00000143">
      <w:pPr>
        <w:spacing w:after="120" w:before="120" w:lineRule="auto"/>
        <w:ind w:left="862"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El sistema de contabilidad sobre base acumulativa total, se sustentará en las normas emitidas por el Consejo Nacional de Armonización Contable.</w:t>
      </w:r>
      <w:r w:rsidDel="00000000" w:rsidR="00000000" w:rsidRPr="00000000">
        <w:rPr>
          <w:rtl w:val="0"/>
        </w:rPr>
      </w:r>
    </w:p>
    <w:p w:rsidR="00000000" w:rsidDel="00000000" w:rsidP="00000000" w:rsidRDefault="00000000" w:rsidRPr="00000000" w14:paraId="00000144">
      <w:pPr>
        <w:spacing w:after="120" w:before="120" w:lineRule="auto"/>
        <w:ind w:left="862"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344</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Entes Públicos</w:t>
      </w:r>
      <w:r w:rsidDel="00000000" w:rsidR="00000000" w:rsidRPr="00000000">
        <w:rPr>
          <w:rFonts w:ascii="Palatino Linotype" w:cs="Palatino Linotype" w:eastAsia="Palatino Linotype" w:hAnsi="Palatino Linotype"/>
          <w:i w:val="1"/>
          <w:sz w:val="22"/>
          <w:szCs w:val="22"/>
          <w:rtl w:val="0"/>
        </w:rPr>
        <w:t xml:space="preserve">, a través de cualquiera de sus unidades administrativas, de acuerdo con su naturaleza jurídica y según corresponda, </w:t>
      </w:r>
      <w:r w:rsidDel="00000000" w:rsidR="00000000" w:rsidRPr="00000000">
        <w:rPr>
          <w:rFonts w:ascii="Palatino Linotype" w:cs="Palatino Linotype" w:eastAsia="Palatino Linotype" w:hAnsi="Palatino Linotype"/>
          <w:b w:val="1"/>
          <w:i w:val="1"/>
          <w:sz w:val="22"/>
          <w:szCs w:val="22"/>
          <w:u w:val="single"/>
          <w:rtl w:val="0"/>
        </w:rPr>
        <w:t xml:space="preserve">registrarán contablemente el efecto patrimonial y presupuestal de las operaciones financieras que realicen, en el momento en que ocurran, con base en el sistema y políticas de registro establecidas, en el caso de los Municipios, se hará por la Tesorería.</w:t>
      </w:r>
      <w:r w:rsidDel="00000000" w:rsidR="00000000" w:rsidRPr="00000000">
        <w:rPr>
          <w:rtl w:val="0"/>
        </w:rPr>
      </w:r>
    </w:p>
    <w:p w:rsidR="00000000" w:rsidDel="00000000" w:rsidP="00000000" w:rsidRDefault="00000000" w:rsidRPr="00000000" w14:paraId="00000145">
      <w:pPr>
        <w:spacing w:after="120" w:before="120" w:lineRule="auto"/>
        <w:ind w:left="862"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w:t>
      </w:r>
      <w:r w:rsidDel="00000000" w:rsidR="00000000" w:rsidRPr="00000000">
        <w:rPr>
          <w:rFonts w:ascii="Palatino Linotype" w:cs="Palatino Linotype" w:eastAsia="Palatino Linotype" w:hAnsi="Palatino Linotype"/>
          <w:i w:val="1"/>
          <w:sz w:val="22"/>
          <w:szCs w:val="22"/>
          <w:rtl w:val="0"/>
        </w:rPr>
        <w:t xml:space="preserve">, según corresponda, así como de los órganos internos de control, </w:t>
      </w:r>
      <w:r w:rsidDel="00000000" w:rsidR="00000000" w:rsidRPr="00000000">
        <w:rPr>
          <w:rFonts w:ascii="Palatino Linotype" w:cs="Palatino Linotype" w:eastAsia="Palatino Linotype" w:hAnsi="Palatino Linotype"/>
          <w:b w:val="1"/>
          <w:i w:val="1"/>
          <w:sz w:val="22"/>
          <w:szCs w:val="22"/>
          <w:u w:val="single"/>
          <w:rtl w:val="0"/>
        </w:rPr>
        <w:t xml:space="preserve">por un término de cinco años,</w:t>
      </w:r>
      <w:r w:rsidDel="00000000" w:rsidR="00000000" w:rsidRPr="00000000">
        <w:rPr>
          <w:rFonts w:ascii="Palatino Linotype" w:cs="Palatino Linotype" w:eastAsia="Palatino Linotype" w:hAnsi="Palatino Linotype"/>
          <w:i w:val="1"/>
          <w:sz w:val="22"/>
          <w:szCs w:val="22"/>
          <w:rtl w:val="0"/>
        </w:rPr>
        <w:t xml:space="preserve"> contados a partir del ejercicio presupuestal siguiente al que corresponda, </w:t>
      </w:r>
      <w:r w:rsidDel="00000000" w:rsidR="00000000" w:rsidRPr="00000000">
        <w:rPr>
          <w:rFonts w:ascii="Palatino Linotype" w:cs="Palatino Linotype" w:eastAsia="Palatino Linotype" w:hAnsi="Palatino Linotype"/>
          <w:b w:val="1"/>
          <w:i w:val="1"/>
          <w:sz w:val="22"/>
          <w:szCs w:val="22"/>
          <w:rtl w:val="0"/>
        </w:rPr>
        <w:t xml:space="preserve">en el caso de los Municipios, dicha obligación </w:t>
      </w:r>
      <w:r w:rsidDel="00000000" w:rsidR="00000000" w:rsidRPr="00000000">
        <w:rPr>
          <w:rFonts w:ascii="Palatino Linotype" w:cs="Palatino Linotype" w:eastAsia="Palatino Linotype" w:hAnsi="Palatino Linotype"/>
          <w:b w:val="1"/>
          <w:i w:val="1"/>
          <w:sz w:val="22"/>
          <w:szCs w:val="22"/>
          <w:u w:val="single"/>
          <w:rtl w:val="0"/>
        </w:rPr>
        <w:t xml:space="preserve">corresponderá a la Tesorería</w:t>
      </w:r>
      <w:r w:rsidDel="00000000" w:rsidR="00000000" w:rsidRPr="00000000">
        <w:rPr>
          <w:rFonts w:ascii="Palatino Linotype" w:cs="Palatino Linotype" w:eastAsia="Palatino Linotype" w:hAnsi="Palatino Linotype"/>
          <w:i w:val="1"/>
          <w:sz w:val="22"/>
          <w:szCs w:val="22"/>
          <w:u w:val="single"/>
          <w:rtl w:val="0"/>
        </w:rPr>
        <w:t xml:space="preserve">. </w:t>
      </w:r>
      <w:r w:rsidDel="00000000" w:rsidR="00000000" w:rsidRPr="00000000">
        <w:rPr>
          <w:rtl w:val="0"/>
        </w:rPr>
      </w:r>
    </w:p>
    <w:p w:rsidR="00000000" w:rsidDel="00000000" w:rsidP="00000000" w:rsidRDefault="00000000" w:rsidRPr="00000000" w14:paraId="00000146">
      <w:pPr>
        <w:spacing w:after="120" w:before="120" w:lineRule="auto"/>
        <w:ind w:left="862"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documentos de carácter histórico, se estará a lo dispuesto por la legislación de la materia.</w:t>
      </w:r>
    </w:p>
    <w:p w:rsidR="00000000" w:rsidDel="00000000" w:rsidP="00000000" w:rsidRDefault="00000000" w:rsidRPr="00000000" w14:paraId="00000147">
      <w:pPr>
        <w:spacing w:after="120" w:before="120" w:lineRule="auto"/>
        <w:ind w:left="862"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345.-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Del="00000000" w:rsidR="00000000" w:rsidRPr="00000000">
        <w:rPr>
          <w:rFonts w:ascii="Palatino Linotype" w:cs="Palatino Linotype" w:eastAsia="Palatino Linotype" w:hAnsi="Palatino Linotype"/>
          <w:b w:val="1"/>
          <w:i w:val="1"/>
          <w:sz w:val="22"/>
          <w:szCs w:val="22"/>
          <w:u w:val="single"/>
          <w:rtl w:val="0"/>
        </w:rPr>
        <w:t xml:space="preserve">Tratándose de los comprobantes fiscales digitales, estos deberán estar agregados en forma electrónica a cada póliza de registro contable. </w:t>
      </w:r>
    </w:p>
    <w:p w:rsidR="00000000" w:rsidDel="00000000" w:rsidP="00000000" w:rsidRDefault="00000000" w:rsidRPr="00000000" w14:paraId="00000148">
      <w:pPr>
        <w:spacing w:after="120" w:before="120" w:lineRule="auto"/>
        <w:ind w:left="862"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Del="00000000" w:rsidR="00000000" w:rsidRPr="00000000">
        <w:rPr>
          <w:rFonts w:ascii="Palatino Linotype" w:cs="Palatino Linotype" w:eastAsia="Palatino Linotype" w:hAnsi="Palatino Linotype"/>
          <w:b w:val="1"/>
          <w:i w:val="1"/>
          <w:sz w:val="22"/>
          <w:szCs w:val="22"/>
          <w:rtl w:val="0"/>
        </w:rPr>
        <w:t xml:space="preserve">deberán estar agregados en forma electrónica a cada póliza de registro contable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49">
      <w:pPr>
        <w:spacing w:after="120" w:before="120" w:lineRule="auto"/>
        <w:ind w:left="862"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plazo señalado en este artículo empezará a contar a partir de la publicación en el Periódico Oficial, del decreto correspondiente.”</w:t>
      </w:r>
    </w:p>
    <w:p w:rsidR="00000000" w:rsidDel="00000000" w:rsidP="00000000" w:rsidRDefault="00000000" w:rsidRPr="00000000" w14:paraId="000001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14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00000" w:rsidDel="00000000" w:rsidP="00000000" w:rsidRDefault="00000000" w:rsidRPr="00000000" w14:paraId="000001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F">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CONTABLE </w:t>
      </w:r>
    </w:p>
    <w:p w:rsidR="00000000" w:rsidDel="00000000" w:rsidP="00000000" w:rsidRDefault="00000000" w:rsidRPr="00000000" w14:paraId="00000150">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que se realiza en los libros de contabilidad de las actividades relacionadas con el ingreso y egresos de un ente económico.” (Sic)</w:t>
      </w:r>
    </w:p>
    <w:p w:rsidR="00000000" w:rsidDel="00000000" w:rsidP="00000000" w:rsidRDefault="00000000" w:rsidRPr="00000000" w14:paraId="00000151">
      <w:pPr>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52">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PRESUPUESTARIO</w:t>
      </w:r>
    </w:p>
    <w:p w:rsidR="00000000" w:rsidDel="00000000" w:rsidP="00000000" w:rsidRDefault="00000000" w:rsidRPr="00000000" w14:paraId="0000015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contable de las erogaciones realizadas por las dependencias y entidades con relación a la asignación, modificación y ejercicio de los recursos presupuestarios que se les hayan autorizado.” (Sic)</w:t>
      </w:r>
    </w:p>
    <w:p w:rsidR="00000000" w:rsidDel="00000000" w:rsidP="00000000" w:rsidRDefault="00000000" w:rsidRPr="00000000" w14:paraId="0000015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15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Correlativo a lo anterior, es preciso referir una definición de </w:t>
      </w:r>
      <w:r w:rsidDel="00000000" w:rsidR="00000000" w:rsidRPr="00000000">
        <w:rPr>
          <w:rFonts w:ascii="Palatino Linotype" w:cs="Palatino Linotype" w:eastAsia="Palatino Linotype" w:hAnsi="Palatino Linotype"/>
          <w:i w:val="1"/>
          <w:sz w:val="22"/>
          <w:szCs w:val="22"/>
          <w:rtl w:val="0"/>
        </w:rPr>
        <w:t xml:space="preserve">póliza contable</w:t>
      </w:r>
      <w:r w:rsidDel="00000000" w:rsidR="00000000" w:rsidRPr="00000000">
        <w:rPr>
          <w:rFonts w:ascii="Palatino Linotype" w:cs="Palatino Linotype" w:eastAsia="Palatino Linotype" w:hAnsi="Palatino Linotype"/>
          <w:sz w:val="22"/>
          <w:szCs w:val="22"/>
          <w:rtl w:val="0"/>
        </w:rPr>
        <w:t xml:space="preserve">, la cual, primeramente, no está definida en el Código Financiero del Estado de México y Municipios; no obstante, los ya mencionados Glosarios la definen como: </w:t>
      </w:r>
    </w:p>
    <w:p w:rsidR="00000000" w:rsidDel="00000000" w:rsidP="00000000" w:rsidRDefault="00000000" w:rsidRPr="00000000" w14:paraId="0000015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7">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PÓLIZA CONTABLE</w:t>
      </w:r>
    </w:p>
    <w:p w:rsidR="00000000" w:rsidDel="00000000" w:rsidP="00000000" w:rsidRDefault="00000000" w:rsidRPr="00000000" w14:paraId="0000015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Documento en el cual se asientan en forma individual todas y cada una de las operaciones desarrolladas por una institución, así como la información necesaria para la identificación de dichas operaciones.” (sic)</w:t>
      </w:r>
    </w:p>
    <w:p w:rsidR="00000000" w:rsidDel="00000000" w:rsidP="00000000" w:rsidRDefault="00000000" w:rsidRPr="00000000" w14:paraId="00000159">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advierte que la </w:t>
      </w:r>
      <w:r w:rsidDel="00000000" w:rsidR="00000000" w:rsidRPr="00000000">
        <w:rPr>
          <w:rFonts w:ascii="Palatino Linotype" w:cs="Palatino Linotype" w:eastAsia="Palatino Linotype" w:hAnsi="Palatino Linotype"/>
          <w:i w:val="1"/>
          <w:sz w:val="22"/>
          <w:szCs w:val="22"/>
          <w:rtl w:val="0"/>
        </w:rPr>
        <w:t xml:space="preserve">póliza contable</w:t>
      </w:r>
      <w:r w:rsidDel="00000000" w:rsidR="00000000" w:rsidRPr="00000000">
        <w:rPr>
          <w:rFonts w:ascii="Palatino Linotype" w:cs="Palatino Linotype" w:eastAsia="Palatino Linotype" w:hAnsi="Palatino Linotype"/>
          <w:sz w:val="22"/>
          <w:szCs w:val="22"/>
          <w:rtl w:val="0"/>
        </w:rPr>
        <w:t xml:space="preserve"> constituye un registro contable y presupuestal con el que cuentan los Municipios para el registro de sus operaciones relacionadas con sus </w:t>
      </w:r>
      <w:r w:rsidDel="00000000" w:rsidR="00000000" w:rsidRPr="00000000">
        <w:rPr>
          <w:rFonts w:ascii="Palatino Linotype" w:cs="Palatino Linotype" w:eastAsia="Palatino Linotype" w:hAnsi="Palatino Linotype"/>
          <w:sz w:val="22"/>
          <w:szCs w:val="22"/>
          <w:u w:val="single"/>
          <w:rtl w:val="0"/>
        </w:rPr>
        <w:t xml:space="preserve">ingresos y egresos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y se anexan los documentos o comprobantes que justifiquen las anotaciones y cantidades en ellas registradas</w:t>
      </w:r>
      <w:r w:rsidDel="00000000" w:rsidR="00000000" w:rsidRPr="00000000">
        <w:rPr>
          <w:rFonts w:ascii="Palatino Linotype" w:cs="Palatino Linotype" w:eastAsia="Palatino Linotype" w:hAnsi="Palatino Linotype"/>
          <w:sz w:val="22"/>
          <w:szCs w:val="22"/>
          <w:rtl w:val="0"/>
        </w:rPr>
        <w:t xml:space="preserve">, lo que permite la identificación plena de dichas operaciones.</w:t>
      </w:r>
    </w:p>
    <w:p w:rsidR="00000000" w:rsidDel="00000000" w:rsidP="00000000" w:rsidRDefault="00000000" w:rsidRPr="00000000" w14:paraId="0000015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existen diversos tipos de pólizas contables de acuerdo a las operaciones realizadas, dentro de las cuales, encontramos las </w:t>
      </w:r>
      <w:r w:rsidDel="00000000" w:rsidR="00000000" w:rsidRPr="00000000">
        <w:rPr>
          <w:rFonts w:ascii="Palatino Linotype" w:cs="Palatino Linotype" w:eastAsia="Palatino Linotype" w:hAnsi="Palatino Linotype"/>
          <w:b w:val="1"/>
          <w:i w:val="1"/>
          <w:sz w:val="22"/>
          <w:szCs w:val="22"/>
          <w:rtl w:val="0"/>
        </w:rPr>
        <w:t xml:space="preserve">pólizas de egresos e ingresos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las primeras son aquellas en las cuales se anotan diariamente las operaciones que representan gastos, es decir, salidas de dinero para el Sujeto Obligado, las que además, deben encontrarse acompañadas de las documentales que sirven de soporte de dicho movimiento</w:t>
      </w:r>
      <w:r w:rsidDel="00000000" w:rsidR="00000000" w:rsidRPr="00000000">
        <w:rPr>
          <w:rFonts w:ascii="Palatino Linotype" w:cs="Palatino Linotype" w:eastAsia="Palatino Linotype" w:hAnsi="Palatino Linotype"/>
          <w:sz w:val="22"/>
          <w:szCs w:val="22"/>
          <w:rtl w:val="0"/>
        </w:rPr>
        <w:t xml:space="preserve">, y las segundas, registran todas la entradas de dinero independientemente de la modalidad, ya sea en efectivo, transferencia, cheque o pagaré.</w:t>
      </w:r>
    </w:p>
    <w:p w:rsidR="00000000" w:rsidDel="00000000" w:rsidP="00000000" w:rsidRDefault="00000000" w:rsidRPr="00000000" w14:paraId="000001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E">
      <w:pP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Asimismo, se encuentran las </w:t>
      </w:r>
      <w:r w:rsidDel="00000000" w:rsidR="00000000" w:rsidRPr="00000000">
        <w:rPr>
          <w:rFonts w:ascii="Palatino Linotype" w:cs="Palatino Linotype" w:eastAsia="Palatino Linotype" w:hAnsi="Palatino Linotype"/>
          <w:b w:val="1"/>
          <w:sz w:val="22"/>
          <w:szCs w:val="22"/>
          <w:u w:val="single"/>
          <w:rtl w:val="0"/>
        </w:rPr>
        <w:t xml:space="preserve">pólizas de cheques</w:t>
      </w:r>
      <w:r w:rsidDel="00000000" w:rsidR="00000000" w:rsidRPr="00000000">
        <w:rPr>
          <w:rFonts w:ascii="Palatino Linotype" w:cs="Palatino Linotype" w:eastAsia="Palatino Linotype" w:hAnsi="Palatino Linotype"/>
          <w:sz w:val="22"/>
          <w:szCs w:val="22"/>
          <w:rtl w:val="0"/>
        </w:rPr>
        <w:t xml:space="preserve">, las cuales se utilizan en caso de erogaciones realizadas a </w:t>
      </w:r>
      <w:r w:rsidDel="00000000" w:rsidR="00000000" w:rsidRPr="00000000">
        <w:rPr>
          <w:rFonts w:ascii="Palatino Linotype" w:cs="Palatino Linotype" w:eastAsia="Palatino Linotype" w:hAnsi="Palatino Linotype"/>
          <w:b w:val="1"/>
          <w:sz w:val="22"/>
          <w:szCs w:val="22"/>
          <w:u w:val="single"/>
          <w:rtl w:val="0"/>
        </w:rPr>
        <w:t xml:space="preserve">través de un cheque.</w:t>
      </w:r>
    </w:p>
    <w:p w:rsidR="00000000" w:rsidDel="00000000" w:rsidP="00000000" w:rsidRDefault="00000000" w:rsidRPr="00000000" w14:paraId="0000015F">
      <w:pPr>
        <w:spacing w:line="360" w:lineRule="auto"/>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5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Atento a lo anterior, como ya ha sido mencionado en la normatividad antes citada,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todo registro contable y presupuestal deberá estar soportado con los documentos comprobatorios originales,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Financiero del Estado de México. </w:t>
      </w:r>
    </w:p>
    <w:p w:rsidR="00000000" w:rsidDel="00000000" w:rsidP="00000000" w:rsidRDefault="00000000" w:rsidRPr="00000000" w14:paraId="00000161">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se puede advertir que, los documentos que pueden satisfacer el requerimiento de la persona solicitante serían precisamente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los documentos comprobatorios de la erogación relacionada con la salida de recreación a que se refiere la solicitud de información.</w:t>
      </w:r>
      <w:r w:rsidDel="00000000" w:rsidR="00000000" w:rsidRPr="00000000">
        <w:rPr>
          <w:rtl w:val="0"/>
        </w:rPr>
      </w:r>
    </w:p>
    <w:p w:rsidR="00000000" w:rsidDel="00000000" w:rsidP="00000000" w:rsidRDefault="00000000" w:rsidRPr="00000000" w14:paraId="00000163">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este sentido, cabe referir que conforme el artículo 4 fracción II de la Ley de Fiscalización Superior del Estado de México, los municipios que conforman el Estado de México, entre ellos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son considerados como entes fiscalizables, a saber:</w:t>
      </w:r>
    </w:p>
    <w:p w:rsidR="00000000" w:rsidDel="00000000" w:rsidP="00000000" w:rsidRDefault="00000000" w:rsidRPr="00000000" w14:paraId="00000165">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4</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Son sujetos de fiscalización:</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single"/>
          <w:shd w:fill="auto" w:val="clear"/>
          <w:vertAlign w:val="baseline"/>
          <w:rtl w:val="0"/>
        </w:rPr>
        <w:t xml:space="preserve">Los municipios del Estado de México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9">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el ordenamiento legal referido señala en su artículo 8, fracción XI, lo siguiente: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“Artículo 8</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Órgano Superior tendrá las siguientes atribuciones:</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XI.</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Establecer los lineamientos, criterios, procedimientos, métodos y sistemas para las acciones de control y evaluación, necesarios para la fiscalización de las cuentas públicas y los informes trimestrales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6E">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esta tesitura, los Lineamientos para la integración y entrega del Informe Trimestral Municipal para el ejercicio fiscal 2024, emitidos por el Órgano Superior de Fiscalización del Estado de México, OSFEM, establecen los criterios, formatos y documentación necesaria para presentar los informes trimestrales por parte de los entes fiscalizables, debiendo integrar la información en cuatro Módulos que contienen la información que se detalla a continuación:</w:t>
      </w:r>
    </w:p>
    <w:p w:rsidR="00000000" w:rsidDel="00000000" w:rsidP="00000000" w:rsidRDefault="00000000" w:rsidRPr="00000000" w14:paraId="00000170">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596495" cy="1116154"/>
            <wp:effectExtent b="0" l="0" r="0" t="0"/>
            <wp:docPr id="2076830362"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596495" cy="1116154"/>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 su vez los Módulos se dividen en submódulos, de los que destaca, en relación con el análisis que nos ocupa, el submódulo relativo a “Pólizas”, del Módulo 1:</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5001323" cy="876422"/>
            <wp:effectExtent b="0" l="0" r="0" t="0"/>
            <wp:docPr id="207683036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001323" cy="876422"/>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Como se advierte en la imagen anterior, el submódulo “Pólizas”, se integra, entre otras, por las pólizas de egresos y cheques con los respectivos documentos comprobatorios, cuya periodicidad de elaboración es de manera mensual; información que se debe grabar en tres discos compactos, cada uno con un mes del trimestre.</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Por lo que, se considera que la información a la que se pretende acceder consistente en las facturas por los gastos efectuados, podría encontrarse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en los documentos comprobatorios que amparan las pólizas de egresos, por corresponder a comprobantes de gastos.</w:t>
      </w:r>
      <w:r w:rsidDel="00000000" w:rsidR="00000000" w:rsidRPr="00000000">
        <w:rPr>
          <w:rtl w:val="0"/>
        </w:rPr>
      </w:r>
    </w:p>
    <w:p w:rsidR="00000000" w:rsidDel="00000000" w:rsidP="00000000" w:rsidRDefault="00000000" w:rsidRPr="00000000" w14:paraId="00000177">
      <w:pPr>
        <w:spacing w:line="360" w:lineRule="auto"/>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178">
      <w:pPr>
        <w:spacing w:line="360" w:lineRule="auto"/>
        <w:ind w:right="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cabe señalar que la información que se requiere, señalada en los </w:t>
      </w:r>
      <w:r w:rsidDel="00000000" w:rsidR="00000000" w:rsidRPr="00000000">
        <w:rPr>
          <w:rFonts w:ascii="Palatino Linotype" w:cs="Palatino Linotype" w:eastAsia="Palatino Linotype" w:hAnsi="Palatino Linotype"/>
          <w:b w:val="1"/>
          <w:sz w:val="22"/>
          <w:szCs w:val="22"/>
          <w:rtl w:val="0"/>
        </w:rPr>
        <w:t xml:space="preserve">numerales 1 al 4,</w:t>
      </w:r>
      <w:r w:rsidDel="00000000" w:rsidR="00000000" w:rsidRPr="00000000">
        <w:rPr>
          <w:rFonts w:ascii="Palatino Linotype" w:cs="Palatino Linotype" w:eastAsia="Palatino Linotype" w:hAnsi="Palatino Linotype"/>
          <w:sz w:val="22"/>
          <w:szCs w:val="22"/>
          <w:rtl w:val="0"/>
        </w:rPr>
        <w:t xml:space="preserve"> forma parte de las Obligaciones de Transparencia Comunes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relacionarse con la información que forma parte de los procedimientos de adquisición, lo que nos permite traer a colación lo dispuesto por la fracción XXIX del artículo 92, de la Ley de Transparencia y Acceso a la Información Pública del Estado de México y Municipios en el cual se aprecia lo siguiente:</w:t>
      </w:r>
    </w:p>
    <w:p w:rsidR="00000000" w:rsidDel="00000000" w:rsidP="00000000" w:rsidRDefault="00000000" w:rsidRPr="00000000" w14:paraId="00000179">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A">
      <w:pPr>
        <w:tabs>
          <w:tab w:val="left" w:leader="none" w:pos="851"/>
        </w:tabs>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poner a disposición del público de manera permanente y actualizada de forma sencilla, precisa y entendible, en los respectivos medios electrónicos</w:t>
      </w:r>
      <w:r w:rsidDel="00000000" w:rsidR="00000000" w:rsidRPr="00000000">
        <w:rPr>
          <w:rFonts w:ascii="Palatino Linotype" w:cs="Palatino Linotype" w:eastAsia="Palatino Linotype" w:hAnsi="Palatino Linotype"/>
          <w:i w:val="1"/>
          <w:sz w:val="22"/>
          <w:szCs w:val="22"/>
          <w:rtl w:val="0"/>
        </w:rPr>
        <w:t xml:space="preserve">, de acuerdo con sus facultades, atribuciones, funciones u objeto social, según corresponda, la información, </w:t>
      </w:r>
      <w:r w:rsidDel="00000000" w:rsidR="00000000" w:rsidRPr="00000000">
        <w:rPr>
          <w:rFonts w:ascii="Palatino Linotype" w:cs="Palatino Linotype" w:eastAsia="Palatino Linotype" w:hAnsi="Palatino Linotype"/>
          <w:b w:val="1"/>
          <w:i w:val="1"/>
          <w:sz w:val="22"/>
          <w:szCs w:val="22"/>
          <w:u w:val="single"/>
          <w:rtl w:val="0"/>
        </w:rPr>
        <w:t xml:space="preserve">por lo menos, de los temas, documentos y políticas que a continuación se señalan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B">
      <w:pPr>
        <w:tabs>
          <w:tab w:val="left" w:leader="none" w:pos="851"/>
        </w:tabs>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C">
      <w:pPr>
        <w:tabs>
          <w:tab w:val="left" w:leader="none" w:pos="851"/>
        </w:tabs>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XXIX.</w:t>
        <w:tab/>
      </w:r>
      <w:r w:rsidDel="00000000" w:rsidR="00000000" w:rsidRPr="00000000">
        <w:rPr>
          <w:rFonts w:ascii="Palatino Linotype" w:cs="Palatino Linotype" w:eastAsia="Palatino Linotype" w:hAnsi="Palatino Linotype"/>
          <w:b w:val="1"/>
          <w:i w:val="1"/>
          <w:sz w:val="22"/>
          <w:szCs w:val="22"/>
          <w:u w:val="single"/>
          <w:rtl w:val="0"/>
        </w:rPr>
        <w:t xml:space="preserve">La información sobre los procesos y resultados sobre procedimientos de adjudicación directa, invitación restringida y licitación de cualquier naturaleza, incluyendo la versión pública del expediente respectivo y de los contratos celebrados</w:t>
      </w:r>
      <w:r w:rsidDel="00000000" w:rsidR="00000000" w:rsidRPr="00000000">
        <w:rPr>
          <w:rFonts w:ascii="Palatino Linotype" w:cs="Palatino Linotype" w:eastAsia="Palatino Linotype" w:hAnsi="Palatino Linotype"/>
          <w:i w:val="1"/>
          <w:sz w:val="22"/>
          <w:szCs w:val="22"/>
          <w:rtl w:val="0"/>
        </w:rPr>
        <w:t xml:space="preserve">, que deberán contener, por los menos, lo siguiente: </w:t>
      </w:r>
    </w:p>
    <w:p w:rsidR="00000000" w:rsidDel="00000000" w:rsidP="00000000" w:rsidRDefault="00000000" w:rsidRPr="00000000" w14:paraId="0000017D">
      <w:pPr>
        <w:tabs>
          <w:tab w:val="left" w:leader="none" w:pos="851"/>
        </w:tabs>
        <w:ind w:left="709"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E">
      <w:pPr>
        <w:tabs>
          <w:tab w:val="left" w:leader="none" w:pos="851"/>
        </w:tabs>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w:t>
        <w:tab/>
        <w:t xml:space="preserve">De licitaciones públicas o procedimientos de invitación restringida: </w:t>
      </w:r>
    </w:p>
    <w:p w:rsidR="00000000" w:rsidDel="00000000" w:rsidP="00000000" w:rsidRDefault="00000000" w:rsidRPr="00000000" w14:paraId="0000017F">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w:t>
        <w:tab/>
        <w:t xml:space="preserve">La convocatoria o invitación emitida, así como los fundamentos legales aplicados para llevarla a cabo; </w:t>
      </w:r>
    </w:p>
    <w:p w:rsidR="00000000" w:rsidDel="00000000" w:rsidP="00000000" w:rsidRDefault="00000000" w:rsidRPr="00000000" w14:paraId="00000180">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w:t>
        <w:tab/>
        <w:t xml:space="preserve">Los nombres de los participantes o invitados; </w:t>
      </w:r>
    </w:p>
    <w:p w:rsidR="00000000" w:rsidDel="00000000" w:rsidP="00000000" w:rsidRDefault="00000000" w:rsidRPr="00000000" w14:paraId="00000181">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w:t>
        <w:tab/>
        <w:t xml:space="preserve">El nombre del ganador y las razones que lo justifican; </w:t>
      </w:r>
    </w:p>
    <w:p w:rsidR="00000000" w:rsidDel="00000000" w:rsidP="00000000" w:rsidRDefault="00000000" w:rsidRPr="00000000" w14:paraId="00000182">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w:t>
        <w:tab/>
        <w:t xml:space="preserve">El área solicitante y la responsable de su ejecución; </w:t>
      </w:r>
    </w:p>
    <w:p w:rsidR="00000000" w:rsidDel="00000000" w:rsidP="00000000" w:rsidRDefault="00000000" w:rsidRPr="00000000" w14:paraId="00000183">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5)</w:t>
        <w:tab/>
        <w:t xml:space="preserve">Las convocatorias e invitaciones emitidas; </w:t>
      </w:r>
    </w:p>
    <w:p w:rsidR="00000000" w:rsidDel="00000000" w:rsidP="00000000" w:rsidRDefault="00000000" w:rsidRPr="00000000" w14:paraId="00000184">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w:t>
        <w:tab/>
        <w:t xml:space="preserve">Los dictámenes y fallo de adjudicación; </w:t>
      </w:r>
    </w:p>
    <w:p w:rsidR="00000000" w:rsidDel="00000000" w:rsidP="00000000" w:rsidRDefault="00000000" w:rsidRPr="00000000" w14:paraId="00000185">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7)</w:t>
        <w:tab/>
      </w:r>
      <w:r w:rsidDel="00000000" w:rsidR="00000000" w:rsidRPr="00000000">
        <w:rPr>
          <w:rFonts w:ascii="Palatino Linotype" w:cs="Palatino Linotype" w:eastAsia="Palatino Linotype" w:hAnsi="Palatino Linotype"/>
          <w:b w:val="1"/>
          <w:i w:val="1"/>
          <w:sz w:val="22"/>
          <w:szCs w:val="22"/>
          <w:u w:val="single"/>
          <w:rtl w:val="0"/>
        </w:rPr>
        <w:t xml:space="preserve">El contrato y, en su caso, sus anexos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86">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8)</w:t>
        <w:tab/>
        <w:t xml:space="preserve">Los mecanismos de vigilancia y supervisión, incluyendo en su caso, los estudios de impacto urbano y ambiental, según corresponda; </w:t>
      </w:r>
    </w:p>
    <w:p w:rsidR="00000000" w:rsidDel="00000000" w:rsidP="00000000" w:rsidRDefault="00000000" w:rsidRPr="00000000" w14:paraId="00000187">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9)</w:t>
        <w:tab/>
        <w:t xml:space="preserve">La partida presupuestal, de conformidad con el clasificador por objeto del gasto, en el caso de ser aplicable; </w:t>
      </w:r>
    </w:p>
    <w:p w:rsidR="00000000" w:rsidDel="00000000" w:rsidP="00000000" w:rsidRDefault="00000000" w:rsidRPr="00000000" w14:paraId="00000188">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10)</w:t>
        <w:tab/>
        <w:t xml:space="preserve">Origen de los recursos especificando si son federales, estatales o municipales, así como el tipo de fondo de participación o aportación respectiva; </w:t>
      </w:r>
    </w:p>
    <w:p w:rsidR="00000000" w:rsidDel="00000000" w:rsidP="00000000" w:rsidRDefault="00000000" w:rsidRPr="00000000" w14:paraId="00000189">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11)</w:t>
        <w:tab/>
      </w:r>
      <w:r w:rsidDel="00000000" w:rsidR="00000000" w:rsidRPr="00000000">
        <w:rPr>
          <w:rFonts w:ascii="Palatino Linotype" w:cs="Palatino Linotype" w:eastAsia="Palatino Linotype" w:hAnsi="Palatino Linotype"/>
          <w:b w:val="1"/>
          <w:i w:val="1"/>
          <w:sz w:val="22"/>
          <w:szCs w:val="22"/>
          <w:u w:val="single"/>
          <w:rtl w:val="0"/>
        </w:rPr>
        <w:t xml:space="preserve">Los convenios modificatorios que, en su caso, sean firmados, precisando el objeto y la fecha de celebración;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8A">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12)</w:t>
        <w:tab/>
        <w:t xml:space="preserve">Los informes de avance físico y financiero sobre las obras o servicios contratados; </w:t>
      </w:r>
    </w:p>
    <w:p w:rsidR="00000000" w:rsidDel="00000000" w:rsidP="00000000" w:rsidRDefault="00000000" w:rsidRPr="00000000" w14:paraId="0000018B">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w:t>
        <w:tab/>
        <w:t xml:space="preserve">El convenio de terminación; y </w:t>
      </w:r>
    </w:p>
    <w:p w:rsidR="00000000" w:rsidDel="00000000" w:rsidP="00000000" w:rsidRDefault="00000000" w:rsidRPr="00000000" w14:paraId="0000018C">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14)</w:t>
        <w:tab/>
        <w:t xml:space="preserve">El finiquito. “</w:t>
      </w:r>
    </w:p>
    <w:p w:rsidR="00000000" w:rsidDel="00000000" w:rsidP="00000000" w:rsidRDefault="00000000" w:rsidRPr="00000000" w14:paraId="0000018D">
      <w:pPr>
        <w:tabs>
          <w:tab w:val="left" w:leader="none" w:pos="851"/>
        </w:tabs>
        <w:ind w:left="1416"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dentro de la normatividad que regula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advierte que este cuenta con atribuciones para generar poseer y/o administrar la información que desea conocer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por lo que hasta este punto conviene analizar si la información entregada en respuesta e Informe Justificado colma o no el derecho de acceso a la información del particular. </w:t>
      </w:r>
    </w:p>
    <w:p w:rsidR="00000000" w:rsidDel="00000000" w:rsidP="00000000" w:rsidRDefault="00000000" w:rsidRPr="00000000" w14:paraId="0000018F">
      <w:pPr>
        <w:numPr>
          <w:ilvl w:val="0"/>
          <w:numId w:val="10"/>
        </w:numPr>
        <w:pBdr>
          <w:top w:space="0" w:sz="0" w:val="nil"/>
          <w:left w:space="0" w:sz="0" w:val="nil"/>
          <w:bottom w:space="0" w:sz="0" w:val="nil"/>
          <w:right w:space="0" w:sz="0" w:val="nil"/>
          <w:between w:space="0" w:sz="0" w:val="nil"/>
        </w:pBdr>
        <w:spacing w:line="360" w:lineRule="auto"/>
        <w:ind w:left="1287" w:right="90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 la Construcción y/o inauguración del Subsistema DIF San Lorenzo </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line="360" w:lineRule="auto"/>
        <w:ind w:left="1287"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Primeramente, no pasa desapercibido para este Organismo Garante que el particular refirió en la interposición del recurso de revisión la siguiente liga:  </w:t>
      </w:r>
      <w:hyperlink r:id="rId20">
        <w:r w:rsidDel="00000000" w:rsidR="00000000" w:rsidRPr="00000000">
          <w:rPr>
            <w:rFonts w:ascii="Palatino Linotype" w:cs="Palatino Linotype" w:eastAsia="Palatino Linotype" w:hAnsi="Palatino Linotype"/>
            <w:color w:val="000000"/>
            <w:sz w:val="22"/>
            <w:szCs w:val="22"/>
            <w:u w:val="single"/>
            <w:rtl w:val="0"/>
          </w:rPr>
          <w:t xml:space="preserve">https://www.facebook.com/photo/?fbid=482287117683957&amp;set=pcb.482289931017009&amp;__cft__[0]=AZVG9_KIWbxy0Qpz7lv5NcFEURYNhLa5NBAiSsq0qmUbId6Vs7ZF7bm5BIKAqIotx6QmY-uwTqA-969pgKwr0bxZbEfWQKV0gwnsiVsw8nNdUUldKxv_2-1KTPZFGFI0frM4hgM6AfxyTh3eqCSXdLiXTfAFy2g4_s7xsVDYOTVEvSjr92BYNLxSXdCpyw8cfzewITRZAv1iYNugxrHYJBIl&amp;__tn__=*bH-R</w:t>
        </w:r>
      </w:hyperlink>
      <w:r w:rsidDel="00000000" w:rsidR="00000000" w:rsidRPr="00000000">
        <w:rPr>
          <w:rFonts w:ascii="Palatino Linotype" w:cs="Palatino Linotype" w:eastAsia="Palatino Linotype" w:hAnsi="Palatino Linotype"/>
          <w:sz w:val="22"/>
          <w:szCs w:val="22"/>
          <w:rtl w:val="0"/>
        </w:rPr>
        <w:t xml:space="preserve">, en la que se advierte la publicidad en la red social denominada “Facebook” del Ayuntamiento de Tlalmanalco 2022-2024, en la que el 01 de julio de 2024, se llevó a cabo la inauguración de la obra de construcción del Sub Sistema DIF en la delegación de San Lorenzo.</w:t>
      </w:r>
    </w:p>
    <w:p w:rsidR="00000000" w:rsidDel="00000000" w:rsidP="00000000" w:rsidRDefault="00000000" w:rsidRPr="00000000" w14:paraId="0000019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tabs>
          <w:tab w:val="left" w:leader="none" w:pos="567"/>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Derivado de lo anterior, se estima que, aun y cuando el particular no fue preciso con relación a su solicitud de información y el periodo de tiempo respecto del cual la requería, atendiendo la liga electrónica que aportó, se desprende que existen hechos notorios que pertenecen a circunstancias comúnmente conocidas en un determinado lugar; y que además, se trata de un acontecimiento del conocimiento público en el medio social donde ocurrió. Sirve de sustento a lo anterior, la tesis jurisprudencial número P./J. 74/2006, publicada en el Semanario Judicial de la Federación y su Gaceta bajo el número de registro 174,899, la cual es del tenor siguiente:</w:t>
      </w:r>
    </w:p>
    <w:p w:rsidR="00000000" w:rsidDel="00000000" w:rsidP="00000000" w:rsidRDefault="00000000" w:rsidRPr="00000000" w14:paraId="00000194">
      <w:pPr>
        <w:pBdr>
          <w:top w:space="0" w:sz="0" w:val="nil"/>
          <w:left w:space="0" w:sz="0" w:val="nil"/>
          <w:bottom w:space="0" w:sz="0" w:val="nil"/>
          <w:right w:space="0" w:sz="0" w:val="nil"/>
          <w:between w:space="0" w:sz="0" w:val="nil"/>
        </w:pBdr>
        <w:tabs>
          <w:tab w:val="left" w:leader="none" w:pos="567"/>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5">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“HECHOS NOTORIOS. CONCEPTOS GENERAL Y JURÍDICO. Conforme al artículo </w:t>
      </w:r>
      <w:hyperlink r:id="rId21">
        <w:r w:rsidDel="00000000" w:rsidR="00000000" w:rsidRPr="00000000">
          <w:rPr>
            <w:rFonts w:ascii="Palatino Linotype" w:cs="Palatino Linotype" w:eastAsia="Palatino Linotype" w:hAnsi="Palatino Linotype"/>
            <w:b w:val="1"/>
            <w:i w:val="1"/>
            <w:sz w:val="22"/>
            <w:szCs w:val="22"/>
            <w:rtl w:val="0"/>
          </w:rPr>
          <w:t xml:space="preserve">88 del Código Federal de Procedimientos Civiles</w:t>
        </w:r>
      </w:hyperlink>
      <w:r w:rsidDel="00000000" w:rsidR="00000000" w:rsidRPr="00000000">
        <w:rPr>
          <w:rFonts w:ascii="Palatino Linotype" w:cs="Palatino Linotype" w:eastAsia="Palatino Linotype" w:hAnsi="Palatino Linotype"/>
          <w:b w:val="1"/>
          <w:i w:val="1"/>
          <w:sz w:val="22"/>
          <w:szCs w:val="22"/>
          <w:rtl w:val="0"/>
        </w:rPr>
        <w:t xml:space="preserve"> los tribunales pueden invocar hechos notorios aunque no hayan sido alegados ni probados por las partes.</w:t>
      </w:r>
      <w:r w:rsidDel="00000000" w:rsidR="00000000" w:rsidRPr="00000000">
        <w:rPr>
          <w:rFonts w:ascii="Palatino Linotype" w:cs="Palatino Linotype" w:eastAsia="Palatino Linotype" w:hAnsi="Palatino Linotype"/>
          <w:i w:val="1"/>
          <w:sz w:val="22"/>
          <w:szCs w:val="22"/>
          <w:rtl w:val="0"/>
        </w:rPr>
        <w:t xml:space="preserve"> Por hechos notorios deben entenderse, en general, aquellos que por el conocimiento humano se consideran ciertos e indiscutibles, ya sea que pertenezcan a la historia, a la ciencia, a la naturaleza</w:t>
      </w:r>
      <w:r w:rsidDel="00000000" w:rsidR="00000000" w:rsidRPr="00000000">
        <w:rPr>
          <w:rFonts w:ascii="Palatino Linotype" w:cs="Palatino Linotype" w:eastAsia="Palatino Linotype" w:hAnsi="Palatino Linotype"/>
          <w:b w:val="1"/>
          <w:i w:val="1"/>
          <w:sz w:val="22"/>
          <w:szCs w:val="22"/>
          <w:rtl w:val="0"/>
        </w:rPr>
        <w:t xml:space="preserve">, a las vicisitudes de la vida pública actual o a circunstancias comúnmente conocidas en un determinado lugar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 modo que toda persona de ese medio esté en condiciones de saberlo</w:t>
      </w:r>
      <w:r w:rsidDel="00000000" w:rsidR="00000000" w:rsidRPr="00000000">
        <w:rPr>
          <w:rFonts w:ascii="Palatino Linotype" w:cs="Palatino Linotype" w:eastAsia="Palatino Linotype" w:hAnsi="Palatino Linotype"/>
          <w:i w:val="1"/>
          <w:sz w:val="22"/>
          <w:szCs w:val="22"/>
          <w:rtl w:val="0"/>
        </w:rPr>
        <w:t xml:space="preserve">;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r w:rsidDel="00000000" w:rsidR="00000000" w:rsidRPr="00000000">
        <w:rPr>
          <w:rtl w:val="0"/>
        </w:rPr>
      </w:r>
    </w:p>
    <w:p w:rsidR="00000000" w:rsidDel="00000000" w:rsidP="00000000" w:rsidRDefault="00000000" w:rsidRPr="00000000" w14:paraId="0000019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Controversia constitucional 24/2005. Cámara de Diputados del Congreso de la Unión. 9 de marzo de 2006. Once votos. Ponente: José Ramón Cossío Díaz. Secretarios: Raúl Manuel Mejía Garza y Laura Patricia Rojas Zamudio.</w:t>
      </w:r>
    </w:p>
    <w:p w:rsidR="00000000" w:rsidDel="00000000" w:rsidP="00000000" w:rsidRDefault="00000000" w:rsidRPr="00000000" w14:paraId="0000019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Tribunal Pleno, el dieciséis de mayo en curso, aprobó, con el número 74/2006, la tesis jurisprudencial que antecede. México, Distrito Federal, a dieciséis de mayo de dos mil seis.</w:t>
      </w:r>
    </w:p>
    <w:p w:rsidR="00000000" w:rsidDel="00000000" w:rsidP="00000000" w:rsidRDefault="00000000" w:rsidRPr="00000000" w14:paraId="00000198">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Nota: Esta tesis fue objeto de la denuncia relativa a la contradicción de tesis 91/2014, desechada por notoriamente improcedente, mediante acuerdo de 24 de marzo de 2014” (Sic)</w:t>
      </w:r>
      <w:r w:rsidDel="00000000" w:rsidR="00000000" w:rsidRPr="00000000">
        <w:rPr>
          <w:rtl w:val="0"/>
        </w:rPr>
      </w:r>
    </w:p>
    <w:p w:rsidR="00000000" w:rsidDel="00000000" w:rsidP="00000000" w:rsidRDefault="00000000" w:rsidRPr="00000000" w14:paraId="000001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recordemos que la parte solicitante, se inconformó únicamente por no haberse entregado la información completa, referente a los Contratos y convenios celebrados, Costos totales con IVA incluido en moneda nacional, Facturas por los gastos o pagos efectuados. y Pólizas de cheque.</w:t>
      </w:r>
    </w:p>
    <w:p w:rsidR="00000000" w:rsidDel="00000000" w:rsidP="00000000" w:rsidRDefault="00000000" w:rsidRPr="00000000" w14:paraId="0000019B">
      <w:pPr>
        <w:spacing w:after="240" w:before="240"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En este orden de ideas, la parte de la respuesta que no fue impugnada, concerniente al Padrón de beneficiarios y/o población beneficiada, deben declararse consentidas, toda vez que, al no haber realizado manifestaciones de inconformidad al respecto, no pueden producirse efectos jurídicos tendientes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satisface la solicitud presentada.</w:t>
      </w:r>
      <w:r w:rsidDel="00000000" w:rsidR="00000000" w:rsidRPr="00000000">
        <w:rPr>
          <w:rtl w:val="0"/>
        </w:rPr>
      </w:r>
    </w:p>
    <w:p w:rsidR="00000000" w:rsidDel="00000000" w:rsidP="00000000" w:rsidRDefault="00000000" w:rsidRPr="00000000" w14:paraId="0000019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un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impugna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este no expresa Razón o Motivo de Inconformidad en contra de todos los rubros solicitados, dichos rubros deben declararse atendidos, pues se entiende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19D">
      <w:pPr>
        <w:spacing w:after="24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19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reitera que la parte de la solicitud que no fue impugnada debe declararse consentida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razón de que no se realizaron manifestaciones de inconformidad, por lo que no pueden producirse efectos jurídicos tendentes a revocar, confirmar o modificar el acto reclamado ya que se infiere un consentimiento de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ante la falta de impugnación eficaz. </w:t>
      </w:r>
    </w:p>
    <w:p w:rsidR="00000000" w:rsidDel="00000000" w:rsidP="00000000" w:rsidRDefault="00000000" w:rsidRPr="00000000" w14:paraId="0000019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1A0">
      <w:pPr>
        <w:spacing w:after="240" w:before="24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1A1">
      <w:pPr>
        <w:spacing w:after="240" w:before="240" w:line="360" w:lineRule="auto"/>
        <w:ind w:right="49"/>
        <w:jc w:val="both"/>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sz w:val="22"/>
          <w:szCs w:val="22"/>
          <w:rtl w:val="0"/>
        </w:rPr>
        <w:t xml:space="preserve">Ahora bien, a efecto de garantizar el efectivo ejercicio del derecho de acceso a la información pública que asiste al particular, resulta conveniente reiterar que el presente análisis versará en estricto sentido respecto de los puntos impugnados. </w:t>
      </w:r>
      <w:r w:rsidDel="00000000" w:rsidR="00000000" w:rsidRPr="00000000">
        <w:rPr>
          <w:rtl w:val="0"/>
        </w:rPr>
      </w:r>
    </w:p>
    <w:p w:rsidR="00000000" w:rsidDel="00000000" w:rsidP="00000000" w:rsidRDefault="00000000" w:rsidRPr="00000000" w14:paraId="000001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sobre el requerimiento analizado bajo el </w:t>
      </w:r>
      <w:r w:rsidDel="00000000" w:rsidR="00000000" w:rsidRPr="00000000">
        <w:rPr>
          <w:rFonts w:ascii="Palatino Linotype" w:cs="Palatino Linotype" w:eastAsia="Palatino Linotype" w:hAnsi="Palatino Linotype"/>
          <w:b w:val="1"/>
          <w:sz w:val="22"/>
          <w:szCs w:val="22"/>
          <w:rtl w:val="0"/>
        </w:rPr>
        <w:t xml:space="preserve">numeral 1</w:t>
      </w:r>
      <w:r w:rsidDel="00000000" w:rsidR="00000000" w:rsidRPr="00000000">
        <w:rPr>
          <w:rFonts w:ascii="Palatino Linotype" w:cs="Palatino Linotype" w:eastAsia="Palatino Linotype" w:hAnsi="Palatino Linotype"/>
          <w:sz w:val="22"/>
          <w:szCs w:val="22"/>
          <w:rtl w:val="0"/>
        </w:rPr>
        <w:t xml:space="preserve"> relativo al “contrato y convenios celebrados”, se advierte que el Director de Desarrollo Urbano y Obras Públicas tanto en respuesta como en informe realizó un pronunciamiento referente a una obra distinta de la solicitada, esto es de la obra denominada “Parque Recreativo San Rafael “; sin embargo, la liga que remite si refiere a la Obra de la que desea tener acceso a la información el particular, es decir de la “Inauguración del Subsistema DIF Municipal, en la Localidad de San Lorenzo”, indicando que el contrato de la obra referida por el particular se podía consultar en la página oficial del municipio, ingresando en Tlalmanalco Gob, apartado AYUNTAMIENTO/OBRAS PÚBLICAS/FAISMUN/FAISMUN04/CONTRATO; anexando el siguiente enlace para su consulta:</w:t>
      </w:r>
    </w:p>
    <w:p w:rsidR="00000000" w:rsidDel="00000000" w:rsidP="00000000" w:rsidRDefault="00000000" w:rsidRPr="00000000" w14:paraId="000001A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07645"/>
            <wp:effectExtent b="0" l="0" r="0" t="0"/>
            <wp:docPr id="2076830364"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612130" cy="207645"/>
                    </a:xfrm>
                    <a:prstGeom prst="rect"/>
                    <a:ln/>
                  </pic:spPr>
                </pic:pic>
              </a:graphicData>
            </a:graphic>
          </wp:inline>
        </w:drawing>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si bien el enlace proporcionado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remitió en formato cerrado, también lo es que atendiendo los motivos de inconformidad del particular en el sentido de que dicho link no le permitió el acceso a la página oficial para visualizar el contrato referido por el ente público; se procede a corroborar si se puede tener acceso al mismo.</w:t>
      </w:r>
    </w:p>
    <w:p w:rsidR="00000000" w:rsidDel="00000000" w:rsidP="00000000" w:rsidRDefault="00000000" w:rsidRPr="00000000" w14:paraId="000001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virtud, de la consulta al enlace de mérito, se desprendió que el mismo direcciona al Contrato No. PM/TLAL/DOP/IR/FEFOM/004/2023 del diez de octubre de dos mil veintitrés, celebrado entre el Ayuntamiento de Tlalmanalco representado por el Presidente Municipal, Tesorero Municipal, Secretario del Ayuntamiento y el Director de Obras Públicas y una empresa contratista por conducto de su Administrador Único, para llevar a cabo la obra “Construcción de Dispensario Médico para el Subsistema DIF Municipal, en la Localidad de San Lorenzo Tlalmimilolpan, Municipio de Tlalmanalco, Estado de México”, como se muestra de la siguiente digitalización.</w:t>
      </w:r>
    </w:p>
    <w:p w:rsidR="00000000" w:rsidDel="00000000" w:rsidP="00000000" w:rsidRDefault="00000000" w:rsidRPr="00000000" w14:paraId="000001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A">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894965"/>
            <wp:effectExtent b="0" l="0" r="0" t="0"/>
            <wp:docPr id="2076830365"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612130" cy="289496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C">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la obra respecto de la cual el particular pidió la información es sobre la “</w:t>
      </w:r>
      <w:r w:rsidDel="00000000" w:rsidR="00000000" w:rsidRPr="00000000">
        <w:rPr>
          <w:rFonts w:ascii="Palatino Linotype" w:cs="Palatino Linotype" w:eastAsia="Palatino Linotype" w:hAnsi="Palatino Linotype"/>
          <w:b w:val="1"/>
          <w:sz w:val="22"/>
          <w:szCs w:val="22"/>
          <w:rtl w:val="0"/>
        </w:rPr>
        <w:t xml:space="preserve">Construcción de Dispensario Médico para el Subsistema DIF Municipal, en la Localidad de San Lorenzo Tlalmimilolpan, Municipio de Tlalmanalco, Estado de México</w:t>
      </w:r>
      <w:r w:rsidDel="00000000" w:rsidR="00000000" w:rsidRPr="00000000">
        <w:rPr>
          <w:rFonts w:ascii="Palatino Linotype" w:cs="Palatino Linotype" w:eastAsia="Palatino Linotype" w:hAnsi="Palatino Linotype"/>
          <w:sz w:val="22"/>
          <w:szCs w:val="22"/>
          <w:rtl w:val="0"/>
        </w:rPr>
        <w:t xml:space="preserve">”; de la cual hubo una contratación por parte del Ayuntamiento de Tlalmanalco y por la que se pudo llevar a cabo la inauguración del Subsistema DIF referido por el particular.</w:t>
      </w:r>
    </w:p>
    <w:p w:rsidR="00000000" w:rsidDel="00000000" w:rsidP="00000000" w:rsidRDefault="00000000" w:rsidRPr="00000000" w14:paraId="000001A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A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para efectos del cumplimiento de la presente resolución, se tendrá como denominación correcta de la obra pública, la indicada en el párrafo que antecede. </w:t>
      </w:r>
    </w:p>
    <w:p w:rsidR="00000000" w:rsidDel="00000000" w:rsidP="00000000" w:rsidRDefault="00000000" w:rsidRPr="00000000" w14:paraId="000001A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se desprende que el requerimiento relativo al contrato de la obra pública de la que se pretende obtener la información, no se tiene por atendido, en virtud de que si bien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asume contar con el contrato al proporcionar el link que direcciona a este, lo cierto es que no proporcionó la liga electrónica en un formato abierto y accesible; por lo tanto, incumplió con lo establecido en el artículo 161 de la Ley de Transparencia y Acceso a la Información Pública del Estado de México y Municipios, es por ello, que este Organismo Garante considera oportuno ordenar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entrega, de ser procedente en versión pública, del Contrato de la obra pública “Construcción de Dispensario Médico para el Subsistema DIF Municipal, en la Localidad de San Lorenzo Tlalmimilolpan, Municipio de Tlalmanalco, Estado de México”.</w:t>
      </w:r>
    </w:p>
    <w:p w:rsidR="00000000" w:rsidDel="00000000" w:rsidP="00000000" w:rsidRDefault="00000000" w:rsidRPr="00000000" w14:paraId="000001B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con relación a los convenios celebrados, es de recordar que en respuesta e informe justificado el Director de Desarrollo Urbano y Obras Públicas señaló que no se generó esta información; lo cual nos conlleva en afirmar que estamos en presencia de un hecho negativo; pues si bien se tiene la atribución de celebrar convenios modificatorios con relación a la contratación de obra pública, es una atribución potestativa.</w:t>
      </w:r>
    </w:p>
    <w:p w:rsidR="00000000" w:rsidDel="00000000" w:rsidP="00000000" w:rsidRDefault="00000000" w:rsidRPr="00000000" w14:paraId="000001B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no se trata de un caso por el cual la negación del hecho implique la afirmación del mismo, simplemente se está ante una notoria y evidente inexistencia fáctica de la información solicitada, además que quien se pronunció en el presente asunto fue el servidor público habilitado competente.</w:t>
      </w:r>
    </w:p>
    <w:p w:rsidR="00000000" w:rsidDel="00000000" w:rsidP="00000000" w:rsidRDefault="00000000" w:rsidRPr="00000000" w14:paraId="000001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000000" w:rsidDel="00000000" w:rsidP="00000000" w:rsidRDefault="00000000" w:rsidRPr="00000000" w14:paraId="000001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8">
      <w:pPr>
        <w:spacing w:line="276" w:lineRule="auto"/>
        <w:ind w:left="862" w:right="56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w:t>
      </w:r>
      <w:r w:rsidDel="00000000" w:rsidR="00000000" w:rsidRPr="00000000">
        <w:rPr>
          <w:rtl w:val="0"/>
        </w:rPr>
      </w:r>
    </w:p>
    <w:p w:rsidR="00000000" w:rsidDel="00000000" w:rsidP="00000000" w:rsidRDefault="00000000" w:rsidRPr="00000000" w14:paraId="000001B9">
      <w:pPr>
        <w:spacing w:line="276" w:lineRule="auto"/>
        <w:ind w:left="862" w:right="56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1BA">
      <w:pPr>
        <w:spacing w:line="276" w:lineRule="auto"/>
        <w:ind w:left="862" w:right="56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2022/61. José García Florín (Menor). 9 de octubre de 1961. Cinco votos. Ponente: José Rivera Pérez Campos.”</w:t>
      </w:r>
    </w:p>
    <w:p w:rsidR="00000000" w:rsidDel="00000000" w:rsidP="00000000" w:rsidRDefault="00000000" w:rsidRPr="00000000" w14:paraId="000001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el requerimiento relativo a los convenios celebrados por la obra pública antes indicada, se tiene por atendidos.</w:t>
      </w:r>
    </w:p>
    <w:p w:rsidR="00000000" w:rsidDel="00000000" w:rsidP="00000000" w:rsidRDefault="00000000" w:rsidRPr="00000000" w14:paraId="000001B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con relación al requerimiento analizado bajo el </w:t>
      </w:r>
      <w:r w:rsidDel="00000000" w:rsidR="00000000" w:rsidRPr="00000000">
        <w:rPr>
          <w:rFonts w:ascii="Palatino Linotype" w:cs="Palatino Linotype" w:eastAsia="Palatino Linotype" w:hAnsi="Palatino Linotype"/>
          <w:b w:val="1"/>
          <w:sz w:val="22"/>
          <w:szCs w:val="22"/>
          <w:rtl w:val="0"/>
        </w:rPr>
        <w:t xml:space="preserve">numeral 2 </w:t>
      </w:r>
      <w:r w:rsidDel="00000000" w:rsidR="00000000" w:rsidRPr="00000000">
        <w:rPr>
          <w:rFonts w:ascii="Palatino Linotype" w:cs="Palatino Linotype" w:eastAsia="Palatino Linotype" w:hAnsi="Palatino Linotype"/>
          <w:sz w:val="22"/>
          <w:szCs w:val="22"/>
          <w:rtl w:val="0"/>
        </w:rPr>
        <w:t xml:space="preserve">relativo a los costos totales con IVA incluido de la obra pública anteriormente indicada, se considera que el mismo no se tiene por atendido,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emitir algún pronunciamiento al respecto, no obstante, este Instituto advierte que de manera enunciativa más no limitativa, el documento que pudiera colmar dicho requerimiento es el contrato No. PM/TLAL/DOP/IR/FEFOM/004/2023; toda vez que de ahí se puede advertir el costo total con IVA incluido de la contratación para llevar a cabo la obra, por lo que resulta procedente su entrega.</w:t>
      </w:r>
    </w:p>
    <w:p w:rsidR="00000000" w:rsidDel="00000000" w:rsidP="00000000" w:rsidRDefault="00000000" w:rsidRPr="00000000" w14:paraId="000001B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los requerimientos analizados bajo los </w:t>
      </w:r>
      <w:r w:rsidDel="00000000" w:rsidR="00000000" w:rsidRPr="00000000">
        <w:rPr>
          <w:rFonts w:ascii="Palatino Linotype" w:cs="Palatino Linotype" w:eastAsia="Palatino Linotype" w:hAnsi="Palatino Linotype"/>
          <w:b w:val="1"/>
          <w:sz w:val="22"/>
          <w:szCs w:val="22"/>
          <w:rtl w:val="0"/>
        </w:rPr>
        <w:t xml:space="preserve">numerales 3 y 4</w:t>
      </w:r>
      <w:r w:rsidDel="00000000" w:rsidR="00000000" w:rsidRPr="00000000">
        <w:rPr>
          <w:rFonts w:ascii="Palatino Linotype" w:cs="Palatino Linotype" w:eastAsia="Palatino Linotype" w:hAnsi="Palatino Linotype"/>
          <w:sz w:val="22"/>
          <w:szCs w:val="22"/>
          <w:rtl w:val="0"/>
        </w:rPr>
        <w:t xml:space="preserve"> relativos a las facturas por los gastos o pagos efectuados con motivo de la obra pública que nos ocupa y las Pólizas de Cheque, es de indicar que el Director de Desarrollo Urbano y Obras Públicas en respuesta señaló que dicha dirección no genera esa información, como se muestra:</w:t>
      </w:r>
    </w:p>
    <w:p w:rsidR="00000000" w:rsidDel="00000000" w:rsidP="00000000" w:rsidRDefault="00000000" w:rsidRPr="00000000" w14:paraId="000001C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585236" cy="446998"/>
            <wp:effectExtent b="0" l="0" r="0" t="0"/>
            <wp:docPr id="2076830367"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585236" cy="446998"/>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del análisis a las constancias que integran el expediente electrónico, se advierte que la Unidad de Transparencia omitió turnar la solicitud al área de Tesorería Municipal al ser el servidor público habilitado competente, toda vez que es quien se encarga de administrar la hacienda municipal, efectuar las erogaciones con cargo al presupuesto público asignado y llevar los registros contables; por lo que,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resulta dable ordenar que en cumplimiento a la presente resolución, se haga entrega, previa búsqueda exhaustiva y razonable, de las facturas o comprobantes y pólizas de cheque, con los que cuente a la fecha de la solicitud, esto es al nueve de julio de dos mil veinticuatro, por los gastos efectuados con motivo de la obra pública “Construcción de Dispensario Médico para el Subsistema DIF Municipal, en la Localidad de San Lorenzo Tlalmimilolpan, Municipio de Tlalmanalco, Estado de México”, por ser información que forma parte del expediente único de obra pública.</w:t>
      </w:r>
    </w:p>
    <w:p w:rsidR="00000000" w:rsidDel="00000000" w:rsidP="00000000" w:rsidRDefault="00000000" w:rsidRPr="00000000" w14:paraId="000001C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el caso de no contar con pólizas de cheques, por no haberse efectuado erogaciones por cheque con motivo de la contratación de obra pública,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w:t>
      </w:r>
    </w:p>
    <w:p w:rsidR="00000000" w:rsidDel="00000000" w:rsidP="00000000" w:rsidRDefault="00000000" w:rsidRPr="00000000" w14:paraId="000001C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Bajo ese contexto, a criterio de este Órgano Garante resultan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fundadas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las</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razones o motivos de inconformidad hechos valer por la parte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el Recurso de Revisión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04734/INFOEM/IP/RR/2024;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siendo procedente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Modificar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respuesta del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ordenar la entrega de la información antes precisada.</w:t>
      </w:r>
    </w:p>
    <w:p w:rsidR="00000000" w:rsidDel="00000000" w:rsidP="00000000" w:rsidRDefault="00000000" w:rsidRPr="00000000" w14:paraId="000001C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90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los eventos realizados “Domingos Familiares” en la explanada municipal, en el ejercicio fiscal 2024</w:t>
      </w:r>
    </w:p>
    <w:p w:rsidR="00000000" w:rsidDel="00000000" w:rsidP="00000000" w:rsidRDefault="00000000" w:rsidRPr="00000000" w14:paraId="000001C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este punto, el Tesorero Municipal informó al particular que después de realizar una búsqueda exhaustiva de la información, esta no ha sido generada; inconforme con la respuesta,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medio de impugnación que nos ocupa en el que remitió la siguiente liga electrónica </w:t>
      </w:r>
      <w:hyperlink r:id="rId25">
        <w:r w:rsidDel="00000000" w:rsidR="00000000" w:rsidRPr="00000000">
          <w:rPr>
            <w:rFonts w:ascii="Palatino Linotype" w:cs="Palatino Linotype" w:eastAsia="Palatino Linotype" w:hAnsi="Palatino Linotype"/>
            <w:color w:val="000000"/>
            <w:sz w:val="22"/>
            <w:szCs w:val="22"/>
            <w:u w:val="single"/>
            <w:rtl w:val="0"/>
          </w:rPr>
          <w:t xml:space="preserve">https://www.facebook.com/photo/?fbid=254079013838103&amp;set=a.139798981932774&amp;__cft__[0]=AZX5Z6hNCSupnSuJwcofZHxuh5nsh68G34LY2Y9nllmkBJkNNl3UsmlYmRAOZgPkh6nfMij_XrO5LoLcXCbzTNGwQa2ozCzaQFmiFdLV8feHR8bEFl0QTXAFVaBFaIhFBks1nlFxIodgcr7VTO2TSF8HCQyxeu9syH3RlG2my_LC6qva6t0d_zgpXfL2V6BIFW7sDPaI1w80O5Ecoz2-ejTQ&amp;__tn__=EH-R</w:t>
        </w:r>
      </w:hyperlink>
      <w:r w:rsidDel="00000000" w:rsidR="00000000" w:rsidRPr="00000000">
        <w:rPr>
          <w:rFonts w:ascii="Palatino Linotype" w:cs="Palatino Linotype" w:eastAsia="Palatino Linotype" w:hAnsi="Palatino Linotype"/>
          <w:sz w:val="22"/>
          <w:szCs w:val="22"/>
          <w:rtl w:val="0"/>
        </w:rPr>
        <w:t xml:space="preserve">, en la que se advierte la publicidad en la red social denominada “Facebook” del Ayuntamiento de Tlalmanalco 2022-2024, de fecha 18 de mayo de 2023, en la que el Ayuntamiento de Tlalmanalco invita a disfrutar de los Domingos Familiares en la Explanada Municipal del Ayuntamiento. </w:t>
      </w:r>
    </w:p>
    <w:p w:rsidR="00000000" w:rsidDel="00000000" w:rsidP="00000000" w:rsidRDefault="00000000" w:rsidRPr="00000000" w14:paraId="000001C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mediante Informe Justificado, la Tesorería ratificó su respuesta inicial, precisando que el link adjunto en el recurso de revisión hace referencia a una publicación del año 2023, haciendo hincapié en que la solicitud primaria refiere al año fiscal 2024.</w:t>
      </w:r>
    </w:p>
    <w:p w:rsidR="00000000" w:rsidDel="00000000" w:rsidP="00000000" w:rsidRDefault="00000000" w:rsidRPr="00000000" w14:paraId="000001C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si bien la </w:t>
      </w:r>
      <w:r w:rsidDel="00000000" w:rsidR="00000000" w:rsidRPr="00000000">
        <w:rPr>
          <w:rFonts w:ascii="Palatino Linotype" w:cs="Palatino Linotype" w:eastAsia="Palatino Linotype" w:hAnsi="Palatino Linotype"/>
          <w:b w:val="1"/>
          <w:sz w:val="22"/>
          <w:szCs w:val="22"/>
          <w:rtl w:val="0"/>
        </w:rPr>
        <w:t xml:space="preserve">Tesorería Municipal</w:t>
      </w:r>
      <w:r w:rsidDel="00000000" w:rsidR="00000000" w:rsidRPr="00000000">
        <w:rPr>
          <w:rFonts w:ascii="Palatino Linotype" w:cs="Palatino Linotype" w:eastAsia="Palatino Linotype" w:hAnsi="Palatino Linotype"/>
          <w:sz w:val="22"/>
          <w:szCs w:val="22"/>
          <w:rtl w:val="0"/>
        </w:rPr>
        <w:t xml:space="preserve"> informó que no cuenta con la información referente al año dos mil veinticuatro, por no haber sido generada, lo cierto es que este Instituto advierte que no se agotó la búsqueda exhaustiva y razonable de la información en todas las unidades administrativas que cuentan con atribuciones para conocer de la misma, en atención a las siguientes consideraciones. </w:t>
      </w:r>
    </w:p>
    <w:p w:rsidR="00000000" w:rsidDel="00000000" w:rsidP="00000000" w:rsidRDefault="00000000" w:rsidRPr="00000000" w14:paraId="000001D1">
      <w:pPr>
        <w:spacing w:before="8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2">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Así, a efecto de determinar si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cumplió con el procedimiento de búsqueda de la información, se trae al estudio el artículo 32 del Bando Municipal de Tlalmanalco vigente, del cual se advierte que el Ayuntamiento se auxiliara de las siguientes dependencias para el ejercicio de sus atribuciones y responsabilidades ejecutivas: </w:t>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ARTICULO 32.-</w:t>
      </w:r>
      <w:r w:rsidDel="00000000" w:rsidR="00000000" w:rsidRPr="00000000">
        <w:rPr>
          <w:rFonts w:ascii="Palatino Linotype" w:cs="Palatino Linotype" w:eastAsia="Palatino Linotype" w:hAnsi="Palatino Linotype"/>
          <w:i w:val="1"/>
          <w:sz w:val="22"/>
          <w:szCs w:val="22"/>
          <w:rtl w:val="0"/>
        </w:rPr>
        <w:t xml:space="preserve"> El Ayuntamiento para el ejercicio de sus atribuciones y responsabilidades ejecutivas, se auxiliará de Dependencias, Entidades y Unidades de la Administración Pública Municipal que estarán subordinadas a la Presidencia Municipal, así como de los Organismos Públicos Descentralizados y Órgano Autónomo: </w:t>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De las Dependencias Administrativas.</w:t>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Secretaria del Ayuntamiento;</w:t>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b) Tesorería;</w:t>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Contraloría;</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Secretaria Técnica;</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 Dirección de Administración;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Corrobora lo anterior, el contenido del artículo 95 de la Ley Orgánica Municipal del Estado de México, en el que señala que dentro de las atribuciones del Tesorero municipal se encuentran, sustancialmente las previstas en las fracciones I y IV, que a la letra disponen lo siguiente:</w:t>
      </w:r>
    </w:p>
    <w:p w:rsidR="00000000" w:rsidDel="00000000" w:rsidP="00000000" w:rsidRDefault="00000000" w:rsidRPr="00000000" w14:paraId="000001D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95.- Son atribuciones del tesorero municipal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E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Administrar la hacienda pública municipal, de conformidad con las disposiciones legales aplicables;</w:t>
      </w:r>
    </w:p>
    <w:p w:rsidR="00000000" w:rsidDel="00000000" w:rsidP="00000000" w:rsidRDefault="00000000" w:rsidRPr="00000000" w14:paraId="000001E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E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Llevar los registros contables, financieros y administrativos de los ingresos, egresos, e inventarios;”</w:t>
      </w:r>
    </w:p>
    <w:p w:rsidR="00000000" w:rsidDel="00000000" w:rsidP="00000000" w:rsidRDefault="00000000" w:rsidRPr="00000000" w14:paraId="000001E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desprende de las porciones legales citadas, la </w:t>
      </w:r>
      <w:r w:rsidDel="00000000" w:rsidR="00000000" w:rsidRPr="00000000">
        <w:rPr>
          <w:rFonts w:ascii="Palatino Linotype" w:cs="Palatino Linotype" w:eastAsia="Palatino Linotype" w:hAnsi="Palatino Linotype"/>
          <w:b w:val="1"/>
          <w:sz w:val="22"/>
          <w:szCs w:val="22"/>
          <w:rtl w:val="0"/>
        </w:rPr>
        <w:t xml:space="preserve">Tesorería Municipal</w:t>
      </w:r>
      <w:r w:rsidDel="00000000" w:rsidR="00000000" w:rsidRPr="00000000">
        <w:rPr>
          <w:rFonts w:ascii="Palatino Linotype" w:cs="Palatino Linotype" w:eastAsia="Palatino Linotype" w:hAnsi="Palatino Linotype"/>
          <w:sz w:val="22"/>
          <w:szCs w:val="22"/>
          <w:rtl w:val="0"/>
        </w:rPr>
        <w:t xml:space="preserve">, es unidad administrativa encargada de la Administración de la Hacienda Pública Municipal, así como de llevar los registros contables, financieros y administrativos de los ingresos, egresos e inventarios.</w:t>
      </w:r>
    </w:p>
    <w:p w:rsidR="00000000" w:rsidDel="00000000" w:rsidP="00000000" w:rsidRDefault="00000000" w:rsidRPr="00000000" w14:paraId="000001E4">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se corrobora con el artículo 42 del Bando Municipal de Tlalmanalco vigente, en lo relativo a las atribuciones de la Tesorería Municipal, se tiene que esta regirá su estructura y funcionamiento de conformidad con, entre otros, en la Ley Orgánica Municipal del Estado de México, como se puede apreciar del contenido de dicho numeral:</w:t>
      </w:r>
    </w:p>
    <w:p w:rsidR="00000000" w:rsidDel="00000000" w:rsidP="00000000" w:rsidRDefault="00000000" w:rsidRPr="00000000" w14:paraId="000001E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42.- La Tesorería Municipal</w:t>
      </w:r>
      <w:r w:rsidDel="00000000" w:rsidR="00000000" w:rsidRPr="00000000">
        <w:rPr>
          <w:rFonts w:ascii="Palatino Linotype" w:cs="Palatino Linotype" w:eastAsia="Palatino Linotype" w:hAnsi="Palatino Linotype"/>
          <w:i w:val="1"/>
          <w:sz w:val="22"/>
          <w:szCs w:val="22"/>
          <w:rtl w:val="0"/>
        </w:rPr>
        <w:t xml:space="preserve"> regirá su estructura y funcionamiento de conformidad con la Ley Orgánica Municipal del Estado de México, el Código Financiero del Estado de México, el presente Bando, el Reglamento Interior de la Administración Pública Municipal y demás ordenamientos legales, federales y locales aplicables. […]”</w:t>
      </w:r>
    </w:p>
    <w:p w:rsidR="00000000" w:rsidDel="00000000" w:rsidP="00000000" w:rsidRDefault="00000000" w:rsidRPr="00000000" w14:paraId="000001E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E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la </w:t>
      </w:r>
      <w:r w:rsidDel="00000000" w:rsidR="00000000" w:rsidRPr="00000000">
        <w:rPr>
          <w:rFonts w:ascii="Palatino Linotype" w:cs="Palatino Linotype" w:eastAsia="Palatino Linotype" w:hAnsi="Palatino Linotype"/>
          <w:b w:val="1"/>
          <w:sz w:val="22"/>
          <w:szCs w:val="22"/>
          <w:rtl w:val="0"/>
        </w:rPr>
        <w:t xml:space="preserve">Tesorería Municipal</w:t>
      </w:r>
      <w:r w:rsidDel="00000000" w:rsidR="00000000" w:rsidRPr="00000000">
        <w:rPr>
          <w:rFonts w:ascii="Palatino Linotype" w:cs="Palatino Linotype" w:eastAsia="Palatino Linotype" w:hAnsi="Palatino Linotype"/>
          <w:sz w:val="22"/>
          <w:szCs w:val="22"/>
          <w:rtl w:val="0"/>
        </w:rPr>
        <w:t xml:space="preserve"> no es la única área competente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que puede tener la información requerida por el particular, pues también dentro de la estructura orgánica del ente público se encuentra la </w:t>
      </w:r>
      <w:r w:rsidDel="00000000" w:rsidR="00000000" w:rsidRPr="00000000">
        <w:rPr>
          <w:rFonts w:ascii="Palatino Linotype" w:cs="Palatino Linotype" w:eastAsia="Palatino Linotype" w:hAnsi="Palatino Linotype"/>
          <w:b w:val="1"/>
          <w:sz w:val="22"/>
          <w:szCs w:val="22"/>
          <w:rtl w:val="0"/>
        </w:rPr>
        <w:t xml:space="preserve">Dirección de Administración</w:t>
      </w:r>
      <w:r w:rsidDel="00000000" w:rsidR="00000000" w:rsidRPr="00000000">
        <w:rPr>
          <w:rFonts w:ascii="Palatino Linotype" w:cs="Palatino Linotype" w:eastAsia="Palatino Linotype" w:hAnsi="Palatino Linotype"/>
          <w:sz w:val="22"/>
          <w:szCs w:val="22"/>
          <w:rtl w:val="0"/>
        </w:rPr>
        <w:t xml:space="preserve">, misma que conforme el 45 del Bando Municipal de referencia, se indica lo siguiente:</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45.- La Dirección de Administración será la encargada de planear, organizar, dirigir y controlar la adquisición, eventos, </w:t>
      </w:r>
      <w:r w:rsidDel="00000000" w:rsidR="00000000" w:rsidRPr="00000000">
        <w:rPr>
          <w:rFonts w:ascii="Palatino Linotype" w:cs="Palatino Linotype" w:eastAsia="Palatino Linotype" w:hAnsi="Palatino Linotype"/>
          <w:i w:val="1"/>
          <w:sz w:val="22"/>
          <w:szCs w:val="22"/>
          <w:rtl w:val="0"/>
        </w:rPr>
        <w:t xml:space="preserve">el suministro de materiales e informáticos, </w:t>
      </w:r>
      <w:r w:rsidDel="00000000" w:rsidR="00000000" w:rsidRPr="00000000">
        <w:rPr>
          <w:rFonts w:ascii="Palatino Linotype" w:cs="Palatino Linotype" w:eastAsia="Palatino Linotype" w:hAnsi="Palatino Linotype"/>
          <w:b w:val="1"/>
          <w:i w:val="1"/>
          <w:sz w:val="22"/>
          <w:szCs w:val="22"/>
          <w:rtl w:val="0"/>
        </w:rPr>
        <w:t xml:space="preserve">asi como la prestación de los servicios requeridos </w:t>
      </w:r>
      <w:r w:rsidDel="00000000" w:rsidR="00000000" w:rsidRPr="00000000">
        <w:rPr>
          <w:rFonts w:ascii="Palatino Linotype" w:cs="Palatino Linotype" w:eastAsia="Palatino Linotype" w:hAnsi="Palatino Linotype"/>
          <w:i w:val="1"/>
          <w:sz w:val="22"/>
          <w:szCs w:val="22"/>
          <w:rtl w:val="0"/>
        </w:rPr>
        <w:t xml:space="preserve">por las áreas administrativas del H. Ayuntamiento y tendrá las siguientes atribuciones:</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Il. Programar, en coordinación con las áreas administrativas del Ayuntamiento, las adquisiciones de bienes, considerando sus necesidades y los programas de trabajo autorizados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E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E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desprende de lo anterior, la Dirección de Administración tiene dentro de sus funciones, organizar, dirigir y controlar la adquisición, eventos y prestación de servicios requeridos por las áreas administrativas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lo que, se colige que dicha unidad administrativa es competente para conocer de la información requerida por el particular.</w:t>
      </w:r>
    </w:p>
    <w:p w:rsidR="00000000" w:rsidDel="00000000" w:rsidP="00000000" w:rsidRDefault="00000000" w:rsidRPr="00000000" w14:paraId="000001E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en el caso dicha unidad administrativa también es el área competente para conocer los documentos que avalen los costos totales en moneda nacional con IVA incluido, contratos, convenios, facturas, pólizas de cheques, por los conceptos que refiere el particular en su solicitud de información, pues los mismos constituyen el soporte documental que avalan una erogación realizada con recursos provenientes del erario público.</w:t>
      </w:r>
    </w:p>
    <w:p w:rsidR="00000000" w:rsidDel="00000000" w:rsidP="00000000" w:rsidRDefault="00000000" w:rsidRPr="00000000" w14:paraId="000001E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se desprende que, en efecto, en el presente caso existe fuente obligacional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para conocer la información requerida por el particular, pues cuenta con dos áreas que son competentes para conocer de la misma.</w:t>
      </w:r>
    </w:p>
    <w:p w:rsidR="00000000" w:rsidDel="00000000" w:rsidP="00000000" w:rsidRDefault="00000000" w:rsidRPr="00000000" w14:paraId="000001F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del análisis a las constancias que integran el expediente electrónico, se desprende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no dio cabal cumplimiento a los artículos 162, 163, 164 y 165 de la Ley de Transparencia y Acceso a la Información Pública del Estado de México y Municipios, que rezan así:</w:t>
      </w:r>
    </w:p>
    <w:p w:rsidR="00000000" w:rsidDel="00000000" w:rsidP="00000000" w:rsidRDefault="00000000" w:rsidRPr="00000000" w14:paraId="000001F1">
      <w:pPr>
        <w:spacing w:after="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rsidR="00000000" w:rsidDel="00000000" w:rsidP="00000000" w:rsidRDefault="00000000" w:rsidRPr="00000000" w14:paraId="000001F2">
      <w:pPr>
        <w:spacing w:after="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163.</w:t>
      </w:r>
      <w:r w:rsidDel="00000000" w:rsidR="00000000" w:rsidRPr="00000000">
        <w:rPr>
          <w:rFonts w:ascii="Palatino Linotype" w:cs="Palatino Linotype" w:eastAsia="Palatino Linotype" w:hAnsi="Palatino Linotype"/>
          <w:i w:val="1"/>
          <w:sz w:val="22"/>
          <w:szCs w:val="22"/>
          <w:rtl w:val="0"/>
        </w:rPr>
        <w:t xml:space="preserve"> 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1F3">
      <w:pPr>
        <w:spacing w:after="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000000" w:rsidDel="00000000" w:rsidP="00000000" w:rsidRDefault="00000000" w:rsidRPr="00000000" w14:paraId="000001F4">
      <w:pPr>
        <w:spacing w:after="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164.</w:t>
      </w:r>
      <w:r w:rsidDel="00000000" w:rsidR="00000000" w:rsidRPr="00000000">
        <w:rPr>
          <w:rFonts w:ascii="Palatino Linotype" w:cs="Palatino Linotype" w:eastAsia="Palatino Linotype" w:hAnsi="Palatino Linotype"/>
          <w:i w:val="1"/>
          <w:sz w:val="22"/>
          <w:szCs w:val="22"/>
          <w:rtl w:val="0"/>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000000" w:rsidDel="00000000" w:rsidP="00000000" w:rsidRDefault="00000000" w:rsidRPr="00000000" w14:paraId="000001F5">
      <w:pPr>
        <w:spacing w:after="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cualquier caso, se deberá fundar y motivar la necesidad de ofrecer otras modalidades.  </w:t>
      </w:r>
    </w:p>
    <w:p w:rsidR="00000000" w:rsidDel="00000000" w:rsidP="00000000" w:rsidRDefault="00000000" w:rsidRPr="00000000" w14:paraId="000001F6">
      <w:pPr>
        <w:spacing w:after="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165.</w:t>
      </w:r>
      <w:r w:rsidDel="00000000" w:rsidR="00000000" w:rsidRPr="00000000">
        <w:rPr>
          <w:rFonts w:ascii="Palatino Linotype" w:cs="Palatino Linotype" w:eastAsia="Palatino Linotype" w:hAnsi="Palatino Linotype"/>
          <w:i w:val="1"/>
          <w:sz w:val="22"/>
          <w:szCs w:val="22"/>
          <w:rtl w:val="0"/>
        </w:rPr>
        <w:t xml:space="preserve"> Los sujetos obligados establecerán la forma y términos en que darán trámite interno a las solicitudes en materia de acceso a la información…”</w:t>
      </w:r>
    </w:p>
    <w:p w:rsidR="00000000" w:rsidDel="00000000" w:rsidP="00000000" w:rsidRDefault="00000000" w:rsidRPr="00000000" w14:paraId="000001F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cuerpo normativo transcrito, se advierte que las Unidades de Transparencia deberán garantizar que las solicitudes se turnen a todas las áreas que cuenten con la información o que deban tenerla de acuerdo a sus facultades, competencias o funciones.</w:t>
      </w:r>
    </w:p>
    <w:p w:rsidR="00000000" w:rsidDel="00000000" w:rsidP="00000000" w:rsidRDefault="00000000" w:rsidRPr="00000000" w14:paraId="000001F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rsidR="00000000" w:rsidDel="00000000" w:rsidP="00000000" w:rsidRDefault="00000000" w:rsidRPr="00000000" w14:paraId="000001F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concreto, el Titular de la Unidad de Transparencia, turnó la presente solicitud de información únicamente a la </w:t>
      </w:r>
      <w:r w:rsidDel="00000000" w:rsidR="00000000" w:rsidRPr="00000000">
        <w:rPr>
          <w:rFonts w:ascii="Palatino Linotype" w:cs="Palatino Linotype" w:eastAsia="Palatino Linotype" w:hAnsi="Palatino Linotype"/>
          <w:b w:val="1"/>
          <w:sz w:val="22"/>
          <w:szCs w:val="22"/>
          <w:rtl w:val="0"/>
        </w:rPr>
        <w:t xml:space="preserve">Tesorería Municipal</w:t>
      </w:r>
      <w:r w:rsidDel="00000000" w:rsidR="00000000" w:rsidRPr="00000000">
        <w:rPr>
          <w:rFonts w:ascii="Palatino Linotype" w:cs="Palatino Linotype" w:eastAsia="Palatino Linotype" w:hAnsi="Palatino Linotype"/>
          <w:sz w:val="22"/>
          <w:szCs w:val="22"/>
          <w:rtl w:val="0"/>
        </w:rPr>
        <w:t xml:space="preserve"> como se desprende de la respuesta e informe justificado, pues es la única unidad administrativa que se pronunció sobre lo requerido por el particular.</w:t>
      </w:r>
    </w:p>
    <w:p w:rsidR="00000000" w:rsidDel="00000000" w:rsidP="00000000" w:rsidRDefault="00000000" w:rsidRPr="00000000" w14:paraId="000001F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en el presente caso no se cumplió con el requisito de garantizar que las solicitudes se turnen a todas las áreas que cuenten con la información; por lo que, al no emitir un pronunciamiento la </w:t>
      </w:r>
      <w:r w:rsidDel="00000000" w:rsidR="00000000" w:rsidRPr="00000000">
        <w:rPr>
          <w:rFonts w:ascii="Palatino Linotype" w:cs="Palatino Linotype" w:eastAsia="Palatino Linotype" w:hAnsi="Palatino Linotype"/>
          <w:b w:val="1"/>
          <w:sz w:val="22"/>
          <w:szCs w:val="22"/>
          <w:rtl w:val="0"/>
        </w:rPr>
        <w:t xml:space="preserve">Dirección de Administración</w:t>
      </w:r>
      <w:r w:rsidDel="00000000" w:rsidR="00000000" w:rsidRPr="00000000">
        <w:rPr>
          <w:rFonts w:ascii="Palatino Linotype" w:cs="Palatino Linotype" w:eastAsia="Palatino Linotype" w:hAnsi="Palatino Linotype"/>
          <w:sz w:val="22"/>
          <w:szCs w:val="22"/>
          <w:rtl w:val="0"/>
        </w:rPr>
        <w:t xml:space="preserve">, y al no acreditarse la correcta búsqueda de la información,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deberá realizar una búsqueda exhaustiva y razonable en sus archivos, que incluyen además de la Dirección de Administración, la Tesorería Municipal, y proceder a la entrega de los costos totales en moneda nacional con IVA incluido, contratos, convenios, facturas, pólizas de cheques, de ser procedente en versión pública, de los eventos “Domingos Familiares” llevados a cabo del primero de enero al nueve de julio de dos mil veinticuatro, como son pago de los artistas y grupos musicales que se presentaron en dichos programas, así como la renta del Escenario, Sonido, Luces, Carpas o Lonas.</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Bajo ese contexto, a criterio de este Órgano Garante resultan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fundadas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las</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razones o motivos de inconformidad hechos valer por la parte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el Recurso de Revisión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04735/INFOEM/IP/RR/2024;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siendo procedente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Revocar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 respuesta del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ordenar la entrega de la información antes precisada.</w:t>
      </w:r>
    </w:p>
    <w:p w:rsidR="00000000" w:rsidDel="00000000" w:rsidP="00000000" w:rsidRDefault="00000000" w:rsidRPr="00000000" w14:paraId="000001F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y por cuanto hace al formato PDF en que requiere la información la persona solicitante, se hace del conocimiento de conformidad con el artículo 12 de la Ley de la materia, los sujetos obligados solo proporcionarán la información pública que obre en sus archivos y en el estado en que ésta se encuentre; por lo que la entrega de la información se hará en </w:t>
      </w:r>
      <w:r w:rsidDel="00000000" w:rsidR="00000000" w:rsidRPr="00000000">
        <w:rPr>
          <w:rFonts w:ascii="Palatino Linotype" w:cs="Palatino Linotype" w:eastAsia="Palatino Linotype" w:hAnsi="Palatino Linotype"/>
          <w:b w:val="1"/>
          <w:sz w:val="22"/>
          <w:szCs w:val="22"/>
          <w:rtl w:val="0"/>
        </w:rPr>
        <w:t xml:space="preserve">preferentemente en formato PDF o en el que se hubiera generado.</w:t>
      </w:r>
      <w:r w:rsidDel="00000000" w:rsidR="00000000" w:rsidRPr="00000000">
        <w:rPr>
          <w:rtl w:val="0"/>
        </w:rPr>
      </w:r>
    </w:p>
    <w:p w:rsidR="00000000" w:rsidDel="00000000" w:rsidP="00000000" w:rsidRDefault="00000000" w:rsidRPr="00000000" w14:paraId="000001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FF">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del soporte documental que deberá proporcionar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200">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1">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deberá atender las precisiones indicadas en el considerando que antecede en lo relativo a los datos personales que son de carácter público y los que son confidenciales, así como los que en este apartado se analizarán.</w:t>
      </w:r>
    </w:p>
    <w:p w:rsidR="00000000" w:rsidDel="00000000" w:rsidP="00000000" w:rsidRDefault="00000000" w:rsidRPr="00000000" w14:paraId="0000020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20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20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0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20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20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20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20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0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20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20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20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20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21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1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21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21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21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21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21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21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21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Entorno a lo que aquí nos interesa, los Lineamientos Quincuagésimo, Quincuagésimo primero, Quincuagésimo segundo,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siendo estas las siguientes:</w:t>
      </w:r>
    </w:p>
    <w:p w:rsidR="00000000" w:rsidDel="00000000" w:rsidP="00000000" w:rsidRDefault="00000000" w:rsidRPr="00000000" w14:paraId="0000021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C">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21D">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21E">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w:t>
      </w: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21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 </w:t>
      </w:r>
      <w:r w:rsidDel="00000000" w:rsidR="00000000" w:rsidRPr="00000000">
        <w:rPr>
          <w:rFonts w:ascii="Palatino Linotype" w:cs="Palatino Linotype" w:eastAsia="Palatino Linotype" w:hAnsi="Palatino Linotype"/>
          <w:i w:val="1"/>
          <w:sz w:val="22"/>
          <w:szCs w:val="22"/>
          <w:rtl w:val="0"/>
        </w:rPr>
        <w:t xml:space="preserve">Toda acta del Comité de Transparencia deberá contener: </w:t>
      </w:r>
    </w:p>
    <w:p w:rsidR="00000000" w:rsidDel="00000000" w:rsidP="00000000" w:rsidRDefault="00000000" w:rsidRPr="00000000" w14:paraId="0000022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221">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 </w:t>
      </w:r>
    </w:p>
    <w:p w:rsidR="00000000" w:rsidDel="00000000" w:rsidP="00000000" w:rsidRDefault="00000000" w:rsidRPr="00000000" w14:paraId="00000222">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 </w:t>
      </w:r>
    </w:p>
    <w:p w:rsidR="00000000" w:rsidDel="00000000" w:rsidP="00000000" w:rsidRDefault="00000000" w:rsidRPr="00000000" w14:paraId="00000223">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 </w:t>
      </w:r>
    </w:p>
    <w:p w:rsidR="00000000" w:rsidDel="00000000" w:rsidP="00000000" w:rsidRDefault="00000000" w:rsidRPr="00000000" w14:paraId="00000224">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225">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26">
      <w:pPr>
        <w:spacing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w:t>
      </w:r>
      <w:r w:rsidDel="00000000" w:rsidR="00000000" w:rsidRPr="00000000">
        <w:rPr>
          <w:rFonts w:ascii="Palatino Linotype" w:cs="Palatino Linotype" w:eastAsia="Palatino Linotype" w:hAnsi="Palatino Linotype"/>
          <w:b w:val="1"/>
          <w:i w:val="1"/>
          <w:sz w:val="22"/>
          <w:szCs w:val="22"/>
          <w:u w:val="single"/>
          <w:rtl w:val="0"/>
        </w:rPr>
        <w:t xml:space="preserve">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27">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w:t>
      </w:r>
      <w:r w:rsidDel="00000000" w:rsidR="00000000" w:rsidRPr="00000000">
        <w:rPr>
          <w:rFonts w:ascii="Palatino Linotype" w:cs="Palatino Linotype" w:eastAsia="Palatino Linotype" w:hAnsi="Palatino Linotype"/>
          <w:b w:val="1"/>
          <w:i w:val="1"/>
          <w:sz w:val="22"/>
          <w:szCs w:val="22"/>
          <w:rtl w:val="0"/>
        </w:rPr>
        <w:t xml:space="preserve">confidencial,</w:t>
      </w:r>
      <w:r w:rsidDel="00000000" w:rsidR="00000000" w:rsidRPr="00000000">
        <w:rPr>
          <w:rFonts w:ascii="Palatino Linotype" w:cs="Palatino Linotype" w:eastAsia="Palatino Linotype" w:hAnsi="Palatino Linotype"/>
          <w:i w:val="1"/>
          <w:sz w:val="22"/>
          <w:szCs w:val="22"/>
          <w:rtl w:val="0"/>
        </w:rPr>
        <w:t xml:space="preserve">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228">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 </w:t>
      </w:r>
    </w:p>
    <w:p w:rsidR="00000000" w:rsidDel="00000000" w:rsidP="00000000" w:rsidRDefault="00000000" w:rsidRPr="00000000" w14:paraId="00000229">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Fijar la fecha en que se elaboró la versión pública y la fecha en la cual el Comité de Transparencia confirmó dicha versión; </w:t>
      </w:r>
    </w:p>
    <w:p w:rsidR="00000000" w:rsidDel="00000000" w:rsidP="00000000" w:rsidRDefault="00000000" w:rsidRPr="00000000" w14:paraId="0000022A">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Señalar dentro del documento el tipo de información confidencial que fue testada en cada caso específico, de conformidad con el lineamiento trigésimo octavo; y </w:t>
      </w:r>
    </w:p>
    <w:p w:rsidR="00000000" w:rsidDel="00000000" w:rsidP="00000000" w:rsidRDefault="00000000" w:rsidRPr="00000000" w14:paraId="0000022B">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Señalar las personas o instancias autorizadas a acceder a la información clasificada. </w:t>
      </w:r>
    </w:p>
    <w:p w:rsidR="00000000" w:rsidDel="00000000" w:rsidP="00000000" w:rsidRDefault="00000000" w:rsidRPr="00000000" w14:paraId="0000022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w:t>
      </w:r>
      <w:r w:rsidDel="00000000" w:rsidR="00000000" w:rsidRPr="00000000">
        <w:rPr>
          <w:rFonts w:ascii="Palatino Linotype" w:cs="Palatino Linotype" w:eastAsia="Palatino Linotype" w:hAnsi="Palatino Linotype"/>
          <w:b w:val="1"/>
          <w:i w:val="1"/>
          <w:sz w:val="22"/>
          <w:szCs w:val="22"/>
          <w:u w:val="single"/>
          <w:rtl w:val="0"/>
        </w:rPr>
        <w:t xml:space="preserve">información confidencial.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2D">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22E">
      <w:pP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w:t>
      </w:r>
      <w:r w:rsidDel="00000000" w:rsidR="00000000" w:rsidRPr="00000000">
        <w:rPr>
          <w:rFonts w:ascii="Palatino Linotype" w:cs="Palatino Linotype" w:eastAsia="Palatino Linotype" w:hAnsi="Palatino Linotype"/>
          <w:b w:val="1"/>
          <w:i w:val="1"/>
          <w:sz w:val="22"/>
          <w:szCs w:val="22"/>
          <w:rtl w:val="0"/>
        </w:rPr>
        <w:t xml:space="preserve">confidenciales</w:t>
      </w:r>
      <w:r w:rsidDel="00000000" w:rsidR="00000000" w:rsidRPr="00000000">
        <w:rPr>
          <w:rFonts w:ascii="Palatino Linotype" w:cs="Palatino Linotype" w:eastAsia="Palatino Linotype" w:hAnsi="Palatino Linotype"/>
          <w:i w:val="1"/>
          <w:sz w:val="22"/>
          <w:szCs w:val="22"/>
          <w:rtl w:val="0"/>
        </w:rPr>
        <w:t xml:space="preserve">,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22F">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rsidR="00000000" w:rsidDel="00000000" w:rsidP="00000000" w:rsidRDefault="00000000" w:rsidRPr="00000000" w14:paraId="0000023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23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23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23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23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23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238">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239">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23A">
      <w:pPr>
        <w:spacing w:line="36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3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el número de cuenta bancaria, RFC que sean exclusivamente de particulares, entre otros.</w:t>
      </w:r>
    </w:p>
    <w:p w:rsidR="00000000" w:rsidDel="00000000" w:rsidP="00000000" w:rsidRDefault="00000000" w:rsidRPr="00000000" w14:paraId="0000023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D">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Resulta importante destacar que el </w:t>
      </w:r>
      <w:r w:rsidDel="00000000" w:rsidR="00000000" w:rsidRPr="00000000">
        <w:rPr>
          <w:rFonts w:ascii="Palatino Linotype" w:cs="Palatino Linotype" w:eastAsia="Palatino Linotype" w:hAnsi="Palatino Linotype"/>
          <w:i w:val="1"/>
          <w:sz w:val="22"/>
          <w:szCs w:val="22"/>
          <w:rtl w:val="0"/>
        </w:rPr>
        <w:t xml:space="preserve">número de cuenta bancaria</w:t>
      </w:r>
      <w:r w:rsidDel="00000000" w:rsidR="00000000" w:rsidRPr="00000000">
        <w:rPr>
          <w:rFonts w:ascii="Palatino Linotype" w:cs="Palatino Linotype" w:eastAsia="Palatino Linotype" w:hAnsi="Palatino Linotype"/>
          <w:sz w:val="22"/>
          <w:szCs w:val="22"/>
          <w:rtl w:val="0"/>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000000" w:rsidDel="00000000" w:rsidP="00000000" w:rsidRDefault="00000000" w:rsidRPr="00000000" w14:paraId="0000023E">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F">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000000" w:rsidDel="00000000" w:rsidP="00000000" w:rsidRDefault="00000000" w:rsidRPr="00000000" w14:paraId="00000240">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1">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000000" w:rsidDel="00000000" w:rsidP="00000000" w:rsidRDefault="00000000" w:rsidRPr="00000000" w14:paraId="00000242">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3">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virtud, este Pleno determina que dicha información no puede ser del dominio público, toda vez que se podría dar un uso inadecuado a la misma o cometer algún ilícito o fraude como ya ha sido expuesto. </w:t>
      </w:r>
    </w:p>
    <w:p w:rsidR="00000000" w:rsidDel="00000000" w:rsidP="00000000" w:rsidRDefault="00000000" w:rsidRPr="00000000" w14:paraId="00000244">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5">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esta razón que se debe omitir el o los números de cuentas bancarias de particulares en las versiones públicas que del contrato y la o las facturas se hagan, para ser entregadas.</w:t>
      </w:r>
    </w:p>
    <w:p w:rsidR="00000000" w:rsidDel="00000000" w:rsidP="00000000" w:rsidRDefault="00000000" w:rsidRPr="00000000" w14:paraId="00000246">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7">
      <w:pPr>
        <w:spacing w:line="360" w:lineRule="auto"/>
        <w:ind w:right="5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Lo anterior, no es así tratándose de las cuentas bancarias o claves interbancarias de los Sujetos Obligados ya que su publicidad cede a la rendición de cuentas al transparentar la forma en que son administrados los recursos públicos.</w:t>
      </w:r>
    </w:p>
    <w:p w:rsidR="00000000" w:rsidDel="00000000" w:rsidP="00000000" w:rsidRDefault="00000000" w:rsidRPr="00000000" w14:paraId="00000248">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9">
      <w:pPr>
        <w:spacing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argumentado encuentra sustento en los criterios 10/17 y 11/17 emitidos por el Instituto Nacional de Transparencia, Acceso a la Información y Protección de Datos Personales, INAI, que llevan por rubro y texto los siguientes:</w:t>
      </w:r>
    </w:p>
    <w:p w:rsidR="00000000" w:rsidDel="00000000" w:rsidP="00000000" w:rsidRDefault="00000000" w:rsidRPr="00000000" w14:paraId="0000024A">
      <w:pPr>
        <w:spacing w:line="360" w:lineRule="auto"/>
        <w:ind w:right="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B">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000000" w:rsidDel="00000000" w:rsidP="00000000" w:rsidRDefault="00000000" w:rsidRPr="00000000" w14:paraId="0000024C">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000000" w:rsidDel="00000000" w:rsidP="00000000" w:rsidRDefault="00000000" w:rsidRPr="00000000" w14:paraId="0000024D">
      <w:pPr>
        <w:spacing w:line="360" w:lineRule="auto"/>
        <w:ind w:right="90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4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del </w:t>
      </w:r>
      <w:r w:rsidDel="00000000" w:rsidR="00000000" w:rsidRPr="00000000">
        <w:rPr>
          <w:rFonts w:ascii="Palatino Linotype" w:cs="Palatino Linotype" w:eastAsia="Palatino Linotype" w:hAnsi="Palatino Linotype"/>
          <w:b w:val="1"/>
          <w:sz w:val="22"/>
          <w:szCs w:val="22"/>
          <w:rtl w:val="0"/>
        </w:rPr>
        <w:t xml:space="preserve">folio fiscal</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cadena original, </w:t>
      </w:r>
      <w:r w:rsidDel="00000000" w:rsidR="00000000" w:rsidRPr="00000000">
        <w:rPr>
          <w:rFonts w:ascii="Palatino Linotype" w:cs="Palatino Linotype" w:eastAsia="Palatino Linotype" w:hAnsi="Palatino Linotype"/>
          <w:sz w:val="22"/>
          <w:szCs w:val="22"/>
          <w:rtl w:val="0"/>
        </w:rPr>
        <w:t xml:space="preserve">los</w:t>
      </w:r>
      <w:r w:rsidDel="00000000" w:rsidR="00000000" w:rsidRPr="00000000">
        <w:rPr>
          <w:rFonts w:ascii="Palatino Linotype" w:cs="Palatino Linotype" w:eastAsia="Palatino Linotype" w:hAnsi="Palatino Linotype"/>
          <w:b w:val="1"/>
          <w:sz w:val="22"/>
          <w:szCs w:val="22"/>
          <w:rtl w:val="0"/>
        </w:rPr>
        <w:t xml:space="preserve"> códigos bidimensionales o códigos QR,</w:t>
      </w:r>
      <w:r w:rsidDel="00000000" w:rsidR="00000000" w:rsidRPr="00000000">
        <w:rPr>
          <w:rFonts w:ascii="Palatino Linotype" w:cs="Palatino Linotype" w:eastAsia="Palatino Linotype" w:hAnsi="Palatino Linotype"/>
          <w:sz w:val="22"/>
          <w:szCs w:val="22"/>
          <w:rtl w:val="0"/>
        </w:rPr>
        <w:t xml:space="preserve"> y, en general, cualquier información de carácter fiscal,  pudiera contener un Comprobante Fiscal Digital por Internet, CFDI o bien, una factura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rsidR="00000000" w:rsidDel="00000000" w:rsidP="00000000" w:rsidRDefault="00000000" w:rsidRPr="00000000" w14:paraId="0000024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rsidR="00000000" w:rsidDel="00000000" w:rsidP="00000000" w:rsidRDefault="00000000" w:rsidRPr="00000000" w14:paraId="000002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25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4">
      <w:pPr>
        <w:spacing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255">
      <w:pPr>
        <w:spacing w:line="360" w:lineRule="auto"/>
        <w:ind w:right="-93"/>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256">
      <w:pPr>
        <w:spacing w:line="360" w:lineRule="auto"/>
        <w:ind w:right="-93"/>
        <w:jc w:val="center"/>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25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w:t>
      </w:r>
      <w:r w:rsidDel="00000000" w:rsidR="00000000" w:rsidRPr="00000000">
        <w:rPr>
          <w:rFonts w:ascii="Palatino Linotype" w:cs="Palatino Linotype" w:eastAsia="Palatino Linotype" w:hAnsi="Palatino Linotype"/>
          <w:sz w:val="22"/>
          <w:szCs w:val="22"/>
          <w:rtl w:val="0"/>
        </w:rPr>
        <w:t xml:space="preserve">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los recursos de revisión</w:t>
      </w:r>
      <w:r w:rsidDel="00000000" w:rsidR="00000000" w:rsidRPr="00000000">
        <w:rPr>
          <w:rFonts w:ascii="Palatino Linotype" w:cs="Palatino Linotype" w:eastAsia="Palatino Linotype" w:hAnsi="Palatino Linotype"/>
          <w:b w:val="1"/>
          <w:sz w:val="22"/>
          <w:szCs w:val="22"/>
          <w:rtl w:val="0"/>
        </w:rPr>
        <w:t xml:space="preserve"> 04734/INFOEM/IP/RR/2024 y 04735/INFOEM/IP/RR/2024</w:t>
      </w:r>
      <w:r w:rsidDel="00000000" w:rsidR="00000000" w:rsidRPr="00000000">
        <w:rPr>
          <w:rFonts w:ascii="Palatino Linotype" w:cs="Palatino Linotype" w:eastAsia="Palatino Linotype" w:hAnsi="Palatino Linotype"/>
          <w:sz w:val="22"/>
          <w:szCs w:val="22"/>
          <w:rtl w:val="0"/>
        </w:rPr>
        <w:t xml:space="preserve">, por lo que, en términos del Considerando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la solicitud número 00110/TLALMANA/IP/2024 y se </w:t>
      </w:r>
      <w:r w:rsidDel="00000000" w:rsidR="00000000" w:rsidRPr="00000000">
        <w:rPr>
          <w:rFonts w:ascii="Palatino Linotype" w:cs="Palatino Linotype" w:eastAsia="Palatino Linotype" w:hAnsi="Palatino Linotype"/>
          <w:b w:val="1"/>
          <w:sz w:val="22"/>
          <w:szCs w:val="22"/>
          <w:rtl w:val="0"/>
        </w:rPr>
        <w:t xml:space="preserve">Revoca</w:t>
      </w:r>
      <w:r w:rsidDel="00000000" w:rsidR="00000000" w:rsidRPr="00000000">
        <w:rPr>
          <w:rFonts w:ascii="Palatino Linotype" w:cs="Palatino Linotype" w:eastAsia="Palatino Linotype" w:hAnsi="Palatino Linotype"/>
          <w:sz w:val="22"/>
          <w:szCs w:val="22"/>
          <w:rtl w:val="0"/>
        </w:rPr>
        <w:t xml:space="preserve"> 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la solicitud de información 00111/TLALMANA/IP/2024. </w:t>
      </w:r>
    </w:p>
    <w:p w:rsidR="00000000" w:rsidDel="00000000" w:rsidP="00000000" w:rsidRDefault="00000000" w:rsidRPr="00000000" w14:paraId="0000025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ordena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términos de los Considerandos Cuarto y Quinto de esta resolución, haga entrega 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previa búsqueda exhaustiva y razonable, de ser procedente en versión pública, en formato PDF o en el formato en que se encuentre, del documento o documentos en donde conste lo siguiente: </w:t>
      </w:r>
    </w:p>
    <w:p w:rsidR="00000000" w:rsidDel="00000000" w:rsidP="00000000" w:rsidRDefault="00000000" w:rsidRPr="00000000" w14:paraId="0000025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Construcción de Dispensario Médico para el Subsistema DIF Municipal, en la Localidad de San Lorenzo Tlalmimilolpan, Municipio de Tlalmanalco, Estado de México: </w:t>
      </w:r>
    </w:p>
    <w:p w:rsidR="00000000" w:rsidDel="00000000" w:rsidP="00000000" w:rsidRDefault="00000000" w:rsidRPr="00000000" w14:paraId="000002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Contrato referido en respuesta.</w:t>
      </w:r>
    </w:p>
    <w:p w:rsidR="00000000" w:rsidDel="00000000" w:rsidP="00000000" w:rsidRDefault="00000000" w:rsidRPr="00000000" w14:paraId="000002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Costos totales con IVA incluido en moneda nacional contenidos en el contrato referido en respuesta. </w:t>
      </w:r>
    </w:p>
    <w:p w:rsidR="00000000" w:rsidDel="00000000" w:rsidP="00000000" w:rsidRDefault="00000000" w:rsidRPr="00000000" w14:paraId="000002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Facturas por los gastos o pagos efectuados generados al nueve de julio de dos mil veinticuatro.</w:t>
      </w:r>
    </w:p>
    <w:p w:rsidR="00000000" w:rsidDel="00000000" w:rsidP="00000000" w:rsidRDefault="00000000" w:rsidRPr="00000000" w14:paraId="000002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Pólizas de cheque generados al nueve de julio de dos mil veinticuatro.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1"/>
          <w:tab w:val="left" w:leader="none" w:pos="1843"/>
        </w:tabs>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Del pago de artistas y grupos musicales; así como, la renta del Escenario, Luces, Sonido, Carpas o Lonas, relativos a los eventos “Domingos Familiares” llevados a cabo del primero de enero al nueve de julio de dos mil veinticuatro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Contratos y convenios celebrados.</w:t>
      </w:r>
    </w:p>
    <w:p w:rsidR="00000000" w:rsidDel="00000000" w:rsidP="00000000" w:rsidRDefault="00000000" w:rsidRPr="00000000" w14:paraId="000002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Costos totales con IVA incluido en moneda nacional.</w:t>
      </w:r>
    </w:p>
    <w:p w:rsidR="00000000" w:rsidDel="00000000" w:rsidP="00000000" w:rsidRDefault="00000000" w:rsidRPr="00000000" w14:paraId="000002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Facturas por los gastos o pagos efectuados.</w:t>
      </w:r>
    </w:p>
    <w:p w:rsidR="00000000" w:rsidDel="00000000" w:rsidP="00000000" w:rsidRDefault="00000000" w:rsidRPr="00000000" w14:paraId="000002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Pólizas de cheque.</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no contar con la evidencia documental ordenada en el inciso d) numeral 1, así como, la información ordenada en el numeral 2), por no haberse generado, poseído y/o administrado,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w:t>
      </w:r>
    </w:p>
    <w:p w:rsidR="00000000" w:rsidDel="00000000" w:rsidP="00000000" w:rsidRDefault="00000000" w:rsidRPr="00000000" w14:paraId="000002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270">
      <w:pPr>
        <w:spacing w:after="240" w:before="240" w:line="360" w:lineRule="auto"/>
        <w:jc w:val="both"/>
        <w:rPr>
          <w:rFonts w:ascii="Palatino Linotype" w:cs="Palatino Linotype" w:eastAsia="Palatino Linotype" w:hAnsi="Palatino Linotype"/>
          <w:sz w:val="22"/>
          <w:szCs w:val="22"/>
        </w:rPr>
        <w:sectPr>
          <w:headerReference r:id="rId26" w:type="default"/>
          <w:headerReference r:id="rId27" w:type="first"/>
          <w:headerReference r:id="rId28" w:type="even"/>
          <w:footerReference r:id="rId29" w:type="default"/>
          <w:footerReference r:id="rId30" w:type="first"/>
          <w:footerReference r:id="rId31" w:type="even"/>
          <w:pgSz w:h="15840" w:w="12240" w:orient="portrait"/>
          <w:pgMar w:bottom="1701" w:top="621" w:left="1701" w:right="1701" w:header="618" w:footer="709"/>
          <w:pgNumType w:start="1"/>
          <w:titlePg w:val="1"/>
        </w:sect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TRES DE OCTUBRE DE DOS MIL VEINTICUATRO, ANTE EL SECRETARIO TÉCNICO DEL PLENO, ALEXIS TAPIA RAMÍREZ.</w:t>
      </w:r>
    </w:p>
    <w:p w:rsidR="00000000" w:rsidDel="00000000" w:rsidP="00000000" w:rsidRDefault="00000000" w:rsidRPr="00000000" w14:paraId="00000271">
      <w:pPr>
        <w:spacing w:after="240" w:before="24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72">
      <w:pPr>
        <w:spacing w:after="240" w:before="240" w:lineRule="auto"/>
        <w:jc w:val="both"/>
        <w:rPr>
          <w:rFonts w:ascii="Palatino Linotype" w:cs="Palatino Linotype" w:eastAsia="Palatino Linotype" w:hAnsi="Palatino Linotype"/>
          <w:sz w:val="22"/>
          <w:szCs w:val="22"/>
        </w:rPr>
      </w:pPr>
      <w:bookmarkStart w:colFirst="0" w:colLast="0" w:name="_heading=h.1fob9te" w:id="3"/>
      <w:bookmarkEnd w:id="3"/>
      <w:r w:rsidDel="00000000" w:rsidR="00000000" w:rsidRPr="00000000">
        <w:rPr>
          <w:rtl w:val="0"/>
        </w:rPr>
      </w:r>
    </w:p>
    <w:sectPr>
      <w:headerReference r:id="rId32" w:type="first"/>
      <w:type w:val="nextPage"/>
      <w:pgSz w:h="15840" w:w="12240" w:orient="portrait"/>
      <w:pgMar w:bottom="1701" w:top="1985"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73">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27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2">
    <w:p w:rsidR="00000000" w:rsidDel="00000000" w:rsidP="00000000" w:rsidRDefault="00000000" w:rsidRPr="00000000" w14:paraId="00000275">
      <w:pP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276">
      <w:pP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8">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-1080128</wp:posOffset>
          </wp:positionH>
          <wp:positionV relativeFrom="paragraph">
            <wp:posOffset>-234306</wp:posOffset>
          </wp:positionV>
          <wp:extent cx="7809865" cy="10165715"/>
          <wp:effectExtent b="0" l="0" r="0" t="0"/>
          <wp:wrapNone/>
          <wp:docPr id="207683035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5"/>
      <w:tblW w:w="5811.0" w:type="dxa"/>
      <w:jc w:val="left"/>
      <w:tblInd w:w="3261.0" w:type="dxa"/>
      <w:tblLayout w:type="fixed"/>
      <w:tblLook w:val="0400"/>
    </w:tblPr>
    <w:tblGrid>
      <w:gridCol w:w="2390"/>
      <w:gridCol w:w="3421"/>
      <w:tblGridChange w:id="0">
        <w:tblGrid>
          <w:gridCol w:w="2390"/>
          <w:gridCol w:w="3421"/>
        </w:tblGrid>
      </w:tblGridChange>
    </w:tblGrid>
    <w:tr>
      <w:trPr>
        <w:cantSplit w:val="0"/>
        <w:trHeight w:val="502" w:hRule="atLeast"/>
        <w:tblHeader w:val="0"/>
      </w:trPr>
      <w:tc>
        <w:tcPr>
          <w:shd w:fill="auto" w:val="clear"/>
        </w:tcPr>
        <w:p w:rsidR="00000000" w:rsidDel="00000000" w:rsidP="00000000" w:rsidRDefault="00000000" w:rsidRPr="00000000" w14:paraId="00000279">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27A">
          <w:pPr>
            <w:ind w:right="1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4734/INFOEM/IP/RR/2024 y acumulado</w:t>
          </w:r>
        </w:p>
      </w:tc>
    </w:tr>
    <w:tr>
      <w:trPr>
        <w:cantSplit w:val="0"/>
        <w:trHeight w:val="190" w:hRule="atLeast"/>
        <w:tblHeader w:val="0"/>
      </w:trPr>
      <w:tc>
        <w:tcPr>
          <w:shd w:fill="auto" w:val="clear"/>
          <w:vAlign w:val="center"/>
        </w:tcPr>
        <w:p w:rsidR="00000000" w:rsidDel="00000000" w:rsidP="00000000" w:rsidRDefault="00000000" w:rsidRPr="00000000" w14:paraId="0000027B">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27C">
          <w:pPr>
            <w:ind w:left="27" w:right="169"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Tlalmanalco</w:t>
          </w:r>
        </w:p>
      </w:tc>
    </w:tr>
    <w:tr>
      <w:trPr>
        <w:cantSplit w:val="0"/>
        <w:trHeight w:val="251" w:hRule="atLeast"/>
        <w:tblHeader w:val="0"/>
      </w:trPr>
      <w:tc>
        <w:tcPr>
          <w:shd w:fill="auto" w:val="clear"/>
          <w:vAlign w:val="center"/>
        </w:tcPr>
        <w:p w:rsidR="00000000" w:rsidDel="00000000" w:rsidP="00000000" w:rsidRDefault="00000000" w:rsidRPr="00000000" w14:paraId="0000027D">
          <w:pPr>
            <w:ind w:right="-108"/>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27E">
          <w:pPr>
            <w:ind w:right="175"/>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27F">
    <w:pPr>
      <w:rPr>
        <w:rFonts w:ascii="Cambria" w:cs="Cambria" w:eastAsia="Cambria" w:hAnsi="Cambria"/>
        <w:color w:val="000000"/>
      </w:rPr>
    </w:pPr>
    <w:r w:rsidDel="00000000" w:rsidR="00000000" w:rsidRPr="00000000">
      <w:rPr>
        <w:rtl w:val="0"/>
      </w:rPr>
      <w:tab/>
    </w:r>
    <w:r w:rsidDel="00000000" w:rsidR="00000000" w:rsidRPr="00000000">
      <w:rPr>
        <w:rtl w:val="0"/>
      </w:rPr>
    </w:r>
  </w:p>
  <w:p w:rsidR="00000000" w:rsidDel="00000000" w:rsidP="00000000" w:rsidRDefault="00000000" w:rsidRPr="00000000" w14:paraId="00000280">
    <w:pPr>
      <w:tabs>
        <w:tab w:val="left" w:leader="none" w:pos="7560"/>
        <w:tab w:val="right" w:leader="none" w:pos="8838"/>
      </w:tabs>
      <w:rPr/>
    </w:pPr>
    <w:r w:rsidDel="00000000" w:rsidR="00000000" w:rsidRPr="00000000">
      <w:rPr>
        <w:rtl w:val="0"/>
      </w:rPr>
      <w:tab/>
      <w:tab/>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1">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-1073781</wp:posOffset>
          </wp:positionH>
          <wp:positionV relativeFrom="paragraph">
            <wp:posOffset>-198751</wp:posOffset>
          </wp:positionV>
          <wp:extent cx="7809865" cy="10165715"/>
          <wp:effectExtent b="0" l="0" r="0" t="0"/>
          <wp:wrapNone/>
          <wp:docPr id="207683035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6"/>
      <w:tblW w:w="6378.0" w:type="dxa"/>
      <w:jc w:val="left"/>
      <w:tblInd w:w="3261.0" w:type="dxa"/>
      <w:tblLayout w:type="fixed"/>
      <w:tblLook w:val="0400"/>
    </w:tblPr>
    <w:tblGrid>
      <w:gridCol w:w="2512"/>
      <w:gridCol w:w="3866"/>
      <w:tblGridChange w:id="0">
        <w:tblGrid>
          <w:gridCol w:w="2512"/>
          <w:gridCol w:w="3866"/>
        </w:tblGrid>
      </w:tblGridChange>
    </w:tblGrid>
    <w:tr>
      <w:trPr>
        <w:cantSplit w:val="0"/>
        <w:trHeight w:val="442" w:hRule="atLeast"/>
        <w:tblHeader w:val="0"/>
      </w:trPr>
      <w:tc>
        <w:tcPr>
          <w:shd w:fill="auto" w:val="clear"/>
          <w:vAlign w:val="center"/>
        </w:tcPr>
        <w:p w:rsidR="00000000" w:rsidDel="00000000" w:rsidP="00000000" w:rsidRDefault="00000000" w:rsidRPr="00000000" w14:paraId="00000282">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w:t>
          </w:r>
        </w:p>
      </w:tc>
      <w:tc>
        <w:tcPr>
          <w:shd w:fill="auto" w:val="clear"/>
          <w:vAlign w:val="center"/>
        </w:tcPr>
        <w:p w:rsidR="00000000" w:rsidDel="00000000" w:rsidP="00000000" w:rsidRDefault="00000000" w:rsidRPr="00000000" w14:paraId="00000283">
          <w:pPr>
            <w:tabs>
              <w:tab w:val="left" w:leader="none" w:pos="2334"/>
            </w:tabs>
            <w:ind w:left="-45" w:right="87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04734/INFOEM/IP/RR/2024y acumulado</w:t>
          </w:r>
        </w:p>
      </w:tc>
    </w:tr>
    <w:tr>
      <w:trPr>
        <w:cantSplit w:val="0"/>
        <w:trHeight w:val="95" w:hRule="atLeast"/>
        <w:tblHeader w:val="0"/>
      </w:trPr>
      <w:tc>
        <w:tcPr>
          <w:shd w:fill="auto" w:val="clear"/>
          <w:vAlign w:val="center"/>
        </w:tcPr>
        <w:p w:rsidR="00000000" w:rsidDel="00000000" w:rsidP="00000000" w:rsidRDefault="00000000" w:rsidRPr="00000000" w14:paraId="00000284">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shd w:fill="auto" w:val="clear"/>
          <w:vAlign w:val="center"/>
        </w:tcPr>
        <w:p w:rsidR="00000000" w:rsidDel="00000000" w:rsidP="00000000" w:rsidRDefault="00000000" w:rsidRPr="00000000" w14:paraId="00000285">
          <w:pPr>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XXXXXX XXXXX </w:t>
          </w:r>
        </w:p>
      </w:tc>
    </w:tr>
    <w:tr>
      <w:trPr>
        <w:cantSplit w:val="0"/>
        <w:trHeight w:val="168" w:hRule="atLeast"/>
        <w:tblHeader w:val="0"/>
      </w:trPr>
      <w:tc>
        <w:tcPr>
          <w:shd w:fill="auto" w:val="clear"/>
          <w:vAlign w:val="center"/>
        </w:tcPr>
        <w:p w:rsidR="00000000" w:rsidDel="00000000" w:rsidP="00000000" w:rsidRDefault="00000000" w:rsidRPr="00000000" w14:paraId="0000028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shd w:fill="auto" w:val="clear"/>
          <w:vAlign w:val="center"/>
        </w:tcPr>
        <w:p w:rsidR="00000000" w:rsidDel="00000000" w:rsidP="00000000" w:rsidRDefault="00000000" w:rsidRPr="00000000" w14:paraId="00000287">
          <w:pPr>
            <w:ind w:left="-45" w:right="59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Ayuntamiento de Tlalmanalco</w:t>
          </w:r>
        </w:p>
      </w:tc>
    </w:tr>
    <w:tr>
      <w:trPr>
        <w:cantSplit w:val="0"/>
        <w:trHeight w:val="221" w:hRule="atLeast"/>
        <w:tblHeader w:val="0"/>
      </w:trPr>
      <w:tc>
        <w:tcPr>
          <w:shd w:fill="auto" w:val="clear"/>
          <w:vAlign w:val="center"/>
        </w:tcPr>
        <w:p w:rsidR="00000000" w:rsidDel="00000000" w:rsidP="00000000" w:rsidRDefault="00000000" w:rsidRPr="00000000" w14:paraId="00000288">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shd w:fill="auto" w:val="clear"/>
          <w:vAlign w:val="center"/>
        </w:tcPr>
        <w:p w:rsidR="00000000" w:rsidDel="00000000" w:rsidP="00000000" w:rsidRDefault="00000000" w:rsidRPr="00000000" w14:paraId="00000289">
          <w:pPr>
            <w:ind w:left="-45" w:right="-53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Guadalupe Ramírez Peña</w:t>
          </w:r>
        </w:p>
      </w:tc>
    </w:tr>
  </w:tbl>
  <w:p w:rsidR="00000000" w:rsidDel="00000000" w:rsidP="00000000" w:rsidRDefault="00000000" w:rsidRPr="00000000" w14:paraId="0000028A">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6">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0"/>
      <w:numFmt w:val="bullet"/>
      <w:lvlText w:val="-"/>
      <w:lvlJc w:val="left"/>
      <w:pPr>
        <w:ind w:left="927" w:hanging="360"/>
      </w:pPr>
      <w:rPr>
        <w:rFonts w:ascii="Palatino Linotype" w:cs="Palatino Linotype" w:eastAsia="Palatino Linotype" w:hAnsi="Palatino Linotype"/>
        <w:b w:val="1"/>
        <w:i w:val="1"/>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713" w:hanging="719.9999999999999"/>
      </w:pPr>
      <w:rPr>
        <w:b w:val="0"/>
      </w:rPr>
    </w:lvl>
    <w:lvl w:ilvl="2">
      <w:start w:val="1"/>
      <w:numFmt w:val="lowerLetter"/>
      <w:lvlText w:val="%3)"/>
      <w:lvlJc w:val="left"/>
      <w:pPr>
        <w:ind w:left="2160" w:hanging="360"/>
      </w:pPr>
      <w:rPr>
        <w:b w:val="1"/>
      </w:rPr>
    </w:lvl>
    <w:lvl w:ilvl="3">
      <w:start w:val="1"/>
      <w:numFmt w:val="decimal"/>
      <w:lvlText w:val="%4-"/>
      <w:lvlJc w:val="left"/>
      <w:pPr>
        <w:ind w:left="2880" w:hanging="360"/>
      </w:pPr>
      <w:rPr/>
    </w:lvl>
    <w:lvl w:ilvl="4">
      <w:start w:val="1"/>
      <w:numFmt w:val="decimal"/>
      <w:lvlText w:val="%5."/>
      <w:lvlJc w:val="left"/>
      <w:pPr>
        <w:ind w:left="360" w:hanging="360"/>
      </w:pPr>
      <w:rPr>
        <w:b w:val="1"/>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1">
    <w:lvl w:ilvl="0">
      <w:start w:val="1"/>
      <w:numFmt w:val="lowerLetter"/>
      <w:lvlText w:val="%1)"/>
      <w:lvlJc w:val="left"/>
      <w:pPr>
        <w:ind w:left="0" w:firstLine="0"/>
      </w:pPr>
      <w:rPr>
        <w:rFonts w:ascii="Palatino Linotype" w:cs="Palatino Linotype" w:eastAsia="Palatino Linotype" w:hAnsi="Palatino Linotype"/>
        <w:b w:val="1"/>
      </w:rPr>
    </w:lvl>
    <w:lvl w:ilvl="1">
      <w:start w:val="5"/>
      <w:numFmt w:val="upperRoman"/>
      <w:lvlText w:val="%2."/>
      <w:lvlJc w:val="left"/>
      <w:pPr>
        <w:ind w:left="1800" w:hanging="720"/>
      </w:pPr>
      <w:rPr>
        <w:b w:val="0"/>
      </w:rPr>
    </w:lvl>
    <w:lvl w:ilvl="2">
      <w:start w:val="1"/>
      <w:numFmt w:val="lowerLetter"/>
      <w:lvlText w:val="%3)"/>
      <w:lvlJc w:val="left"/>
      <w:pPr>
        <w:ind w:left="2160" w:hanging="360"/>
      </w:pPr>
      <w:rPr>
        <w:b w:val="1"/>
      </w:rPr>
    </w:lvl>
    <w:lvl w:ilvl="3">
      <w:start w:val="1"/>
      <w:numFmt w:val="decimal"/>
      <w:lvlText w:val="%4-"/>
      <w:lvlJc w:val="left"/>
      <w:pPr>
        <w:ind w:left="2880" w:hanging="360"/>
      </w:pPr>
      <w:rPr/>
    </w:lvl>
    <w:lvl w:ilvl="4">
      <w:start w:val="1"/>
      <w:numFmt w:val="decimal"/>
      <w:lvlText w:val="%5."/>
      <w:lvlJc w:val="left"/>
      <w:pPr>
        <w:ind w:left="360" w:hanging="360"/>
      </w:pPr>
      <w:rPr>
        <w:b w:val="1"/>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4551E"/>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7" w:customStyle="1">
    <w:name w:val="Table Normal7"/>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TableNormal50" w:customStyle="1">
    <w:name w:val="Table Normal5"/>
    <w:tblPr>
      <w:tblCellMar>
        <w:top w:w="0.0" w:type="dxa"/>
        <w:left w:w="0.0" w:type="dxa"/>
        <w:bottom w:w="0.0" w:type="dxa"/>
        <w:right w:w="0.0" w:type="dxa"/>
      </w:tblCellMar>
    </w:tblPr>
  </w:style>
  <w:style w:type="table" w:styleId="TableNormal40" w:customStyle="1">
    <w:name w:val="Table Normal4"/>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Revisin">
    <w:name w:val="Revision"/>
    <w:hidden w:val="1"/>
    <w:uiPriority w:val="99"/>
    <w:semiHidden w:val="1"/>
    <w:rsid w:val="00564B24"/>
  </w:style>
  <w:style w:type="table" w:styleId="Tablanormal11" w:customStyle="1">
    <w:name w:val="Tabla normal 11"/>
    <w:basedOn w:val="Tablanormal"/>
    <w:next w:val="Tablanormal1"/>
    <w:uiPriority w:val="41"/>
    <w:rsid w:val="007A5E15"/>
    <w:rPr>
      <w:rFonts w:eastAsia="Calibri"/>
      <w:sz w:val="22"/>
      <w:szCs w:val="22"/>
      <w:lang w:eastAsia="en-US" w:val="es-MX"/>
    </w:rPr>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table" w:styleId="Tablanormal1">
    <w:name w:val="Plain Table 1"/>
    <w:basedOn w:val="Tablanormal"/>
    <w:uiPriority w:val="41"/>
    <w:rsid w:val="007A5E15"/>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TextonotapieCar1" w:customStyle="1">
    <w:name w:val="Texto nota pie Car1"/>
    <w:uiPriority w:val="99"/>
    <w:rsid w:val="006233E2"/>
    <w:rPr>
      <w:rFonts w:ascii="Times New Roman" w:cs="Times New Roman" w:eastAsia="Times New Roman" w:hAnsi="Times New Roman"/>
      <w:sz w:val="20"/>
      <w:szCs w:val="20"/>
      <w:lang w:eastAsia="es-ES" w:val="es-ES"/>
    </w:rPr>
  </w:style>
  <w:style w:type="paragraph" w:styleId="Subttulo">
    <w:name w:val="Subtitle"/>
    <w:basedOn w:val="Normal"/>
    <w:next w:val="Normal"/>
    <w:link w:val="SubttuloCar"/>
    <w:pPr>
      <w:spacing w:after="160"/>
    </w:pPr>
    <w:rPr>
      <w:rFonts w:ascii="Cambria" w:cs="Cambria" w:eastAsia="Cambria" w:hAnsi="Cambria"/>
      <w:color w:val="5a5a5a"/>
      <w:sz w:val="22"/>
      <w:szCs w:val="22"/>
    </w:rPr>
  </w:style>
  <w:style w:type="character" w:styleId="SubttuloCar" w:customStyle="1">
    <w:name w:val="Subtítulo Car"/>
    <w:basedOn w:val="Fuentedeprrafopredeter"/>
    <w:link w:val="Subttulo"/>
    <w:uiPriority w:val="11"/>
    <w:rsid w:val="00D91005"/>
    <w:rPr>
      <w:color w:val="5a5a5a" w:themeColor="text1" w:themeTint="0000A5"/>
      <w:spacing w:val="15"/>
      <w:sz w:val="22"/>
      <w:szCs w:val="22"/>
      <w:lang w:val="es-ES"/>
    </w:rPr>
  </w:style>
  <w:style w:type="table" w:styleId="44" w:customStyle="1">
    <w:name w:val="44"/>
    <w:basedOn w:val="TableNormal20"/>
    <w:tblPr>
      <w:tblStyleRowBandSize w:val="1"/>
      <w:tblStyleColBandSize w:val="1"/>
      <w:tblCellMar>
        <w:left w:w="115.0" w:type="dxa"/>
        <w:right w:w="115.0" w:type="dxa"/>
      </w:tblCellMar>
    </w:tblPr>
  </w:style>
  <w:style w:type="table" w:styleId="43" w:customStyle="1">
    <w:name w:val="43"/>
    <w:basedOn w:val="TableNormal20"/>
    <w:tblPr>
      <w:tblStyleRowBandSize w:val="1"/>
      <w:tblStyleColBandSize w:val="1"/>
      <w:tblCellMar>
        <w:left w:w="115.0" w:type="dxa"/>
        <w:right w:w="115.0" w:type="dxa"/>
      </w:tblCellMar>
    </w:tblPr>
  </w:style>
  <w:style w:type="table" w:styleId="42" w:customStyle="1">
    <w:name w:val="42"/>
    <w:basedOn w:val="TableNormal20"/>
    <w:tblPr>
      <w:tblStyleRowBandSize w:val="1"/>
      <w:tblStyleColBandSize w:val="1"/>
      <w:tblCellMar>
        <w:left w:w="115.0" w:type="dxa"/>
        <w:right w:w="115.0" w:type="dxa"/>
      </w:tblCellMar>
    </w:tblPr>
  </w:style>
  <w:style w:type="table" w:styleId="41" w:customStyle="1">
    <w:name w:val="41"/>
    <w:basedOn w:val="TableNormal20"/>
    <w:tblPr>
      <w:tblStyleRowBandSize w:val="1"/>
      <w:tblStyleColBandSize w:val="1"/>
      <w:tblCellMar>
        <w:left w:w="115.0" w:type="dxa"/>
        <w:right w:w="115.0" w:type="dxa"/>
      </w:tblCellMar>
    </w:tblPr>
  </w:style>
  <w:style w:type="table" w:styleId="40" w:customStyle="1">
    <w:name w:val="40"/>
    <w:basedOn w:val="TableNormal20"/>
    <w:rPr>
      <w:sz w:val="22"/>
      <w:szCs w:val="22"/>
    </w:rPr>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39" w:customStyle="1">
    <w:name w:val="39"/>
    <w:basedOn w:val="TableNormal20"/>
    <w:tblPr>
      <w:tblStyleRowBandSize w:val="1"/>
      <w:tblStyleColBandSize w:val="1"/>
      <w:tblCellMar>
        <w:left w:w="115.0" w:type="dxa"/>
        <w:right w:w="115.0" w:type="dxa"/>
      </w:tblCellMar>
    </w:tblPr>
  </w:style>
  <w:style w:type="table" w:styleId="38" w:customStyle="1">
    <w:name w:val="38"/>
    <w:basedOn w:val="TableNormal20"/>
    <w:tblPr>
      <w:tblStyleRowBandSize w:val="1"/>
      <w:tblStyleColBandSize w:val="1"/>
      <w:tblCellMar>
        <w:left w:w="115.0" w:type="dxa"/>
        <w:right w:w="115.0" w:type="dxa"/>
      </w:tblCellMar>
    </w:tblPr>
  </w:style>
  <w:style w:type="table" w:styleId="37" w:customStyle="1">
    <w:name w:val="37"/>
    <w:basedOn w:val="TableNormal20"/>
    <w:rPr>
      <w:sz w:val="22"/>
      <w:szCs w:val="22"/>
    </w:rPr>
    <w:tblPr>
      <w:tblStyleRowBandSize w:val="1"/>
      <w:tblStyleColBandSize w:val="1"/>
      <w:tblCellMar>
        <w:left w:w="115.0" w:type="dxa"/>
        <w:right w:w="115.0" w:type="dxa"/>
      </w:tblCellMar>
    </w:tblPr>
  </w:style>
  <w:style w:type="table" w:styleId="36" w:customStyle="1">
    <w:name w:val="36"/>
    <w:basedOn w:val="TableNormal20"/>
    <w:rPr>
      <w:sz w:val="22"/>
      <w:szCs w:val="22"/>
    </w:rPr>
    <w:tblPr>
      <w:tblStyleRowBandSize w:val="1"/>
      <w:tblStyleColBandSize w:val="1"/>
      <w:tblCellMar>
        <w:left w:w="115.0" w:type="dxa"/>
        <w:right w:w="115.0" w:type="dxa"/>
      </w:tblCellMar>
    </w:tblPr>
  </w:style>
  <w:style w:type="table" w:styleId="35" w:customStyle="1">
    <w:name w:val="35"/>
    <w:basedOn w:val="TableNormal20"/>
    <w:rPr>
      <w:sz w:val="22"/>
      <w:szCs w:val="22"/>
    </w:rPr>
    <w:tblPr>
      <w:tblStyleRowBandSize w:val="1"/>
      <w:tblStyleColBandSize w:val="1"/>
      <w:tblCellMar>
        <w:left w:w="115.0" w:type="dxa"/>
        <w:right w:w="115.0" w:type="dxa"/>
      </w:tblCellMar>
    </w:tblPr>
  </w:style>
  <w:style w:type="table" w:styleId="34" w:customStyle="1">
    <w:name w:val="34"/>
    <w:basedOn w:val="TableNormal20"/>
    <w:tblPr>
      <w:tblStyleRowBandSize w:val="1"/>
      <w:tblStyleColBandSize w:val="1"/>
      <w:tblCellMar>
        <w:left w:w="115.0" w:type="dxa"/>
        <w:right w:w="115.0" w:type="dxa"/>
      </w:tblCellMar>
    </w:tblPr>
  </w:style>
  <w:style w:type="table" w:styleId="33" w:customStyle="1">
    <w:name w:val="33"/>
    <w:basedOn w:val="TableNormal20"/>
    <w:tblPr>
      <w:tblStyleRowBandSize w:val="1"/>
      <w:tblStyleColBandSize w:val="1"/>
      <w:tblCellMar>
        <w:left w:w="115.0" w:type="dxa"/>
        <w:right w:w="115.0" w:type="dxa"/>
      </w:tblCellMar>
    </w:tblPr>
  </w:style>
  <w:style w:type="table" w:styleId="32" w:customStyle="1">
    <w:name w:val="32"/>
    <w:basedOn w:val="TableNormal20"/>
    <w:tblPr>
      <w:tblStyleRowBandSize w:val="1"/>
      <w:tblStyleColBandSize w:val="1"/>
      <w:tblCellMar>
        <w:left w:w="115.0" w:type="dxa"/>
        <w:right w:w="115.0" w:type="dxa"/>
      </w:tblCellMar>
    </w:tblPr>
  </w:style>
  <w:style w:type="table" w:styleId="31" w:customStyle="1">
    <w:name w:val="31"/>
    <w:basedOn w:val="TableNormal20"/>
    <w:tblPr>
      <w:tblStyleRowBandSize w:val="1"/>
      <w:tblStyleColBandSize w:val="1"/>
      <w:tblCellMar>
        <w:left w:w="115.0" w:type="dxa"/>
        <w:right w:w="115.0" w:type="dxa"/>
      </w:tblCellMar>
    </w:tblPr>
  </w:style>
  <w:style w:type="table" w:styleId="30" w:customStyle="1">
    <w:name w:val="30"/>
    <w:basedOn w:val="TableNormal20"/>
    <w:rPr>
      <w:sz w:val="22"/>
      <w:szCs w:val="22"/>
    </w:rPr>
    <w:tblPr>
      <w:tblStyleRowBandSize w:val="1"/>
      <w:tblStyleColBandSize w:val="1"/>
      <w:tblCellMar>
        <w:left w:w="115.0" w:type="dxa"/>
        <w:right w:w="115.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29" w:customStyle="1">
    <w:name w:val="29"/>
    <w:basedOn w:val="TableNormal20"/>
    <w:rPr>
      <w:sz w:val="22"/>
      <w:szCs w:val="22"/>
    </w:rPr>
    <w:tblPr>
      <w:tblStyleRowBandSize w:val="1"/>
      <w:tblStyleColBandSize w:val="1"/>
      <w:tblCellMar>
        <w:left w:w="115.0" w:type="dxa"/>
        <w:right w:w="115.0" w:type="dxa"/>
      </w:tblCellMar>
    </w:tblPr>
  </w:style>
  <w:style w:type="table" w:styleId="28" w:customStyle="1">
    <w:name w:val="28"/>
    <w:basedOn w:val="TableNormal20"/>
    <w:rPr>
      <w:sz w:val="22"/>
      <w:szCs w:val="22"/>
    </w:rPr>
    <w:tblPr>
      <w:tblStyleRowBandSize w:val="1"/>
      <w:tblStyleColBandSize w:val="1"/>
      <w:tblCellMar>
        <w:left w:w="115.0" w:type="dxa"/>
        <w:right w:w="115.0" w:type="dxa"/>
      </w:tblCellMar>
    </w:tblPr>
  </w:style>
  <w:style w:type="table" w:styleId="27" w:customStyle="1">
    <w:name w:val="27"/>
    <w:basedOn w:val="TableNormal30"/>
    <w:rPr>
      <w:sz w:val="22"/>
      <w:szCs w:val="22"/>
    </w:rPr>
    <w:tblPr>
      <w:tblStyleRowBandSize w:val="1"/>
      <w:tblStyleColBandSize w:val="1"/>
      <w:tblCellMar>
        <w:left w:w="115.0" w:type="dxa"/>
        <w:right w:w="115.0" w:type="dxa"/>
      </w:tblCellMar>
    </w:tblPr>
  </w:style>
  <w:style w:type="table" w:styleId="26" w:customStyle="1">
    <w:name w:val="26"/>
    <w:basedOn w:val="TableNormal30"/>
    <w:rPr>
      <w:sz w:val="22"/>
      <w:szCs w:val="22"/>
    </w:rPr>
    <w:tblPr>
      <w:tblStyleRowBandSize w:val="1"/>
      <w:tblStyleColBandSize w:val="1"/>
      <w:tblCellMar>
        <w:left w:w="115.0" w:type="dxa"/>
        <w:right w:w="115.0" w:type="dxa"/>
      </w:tblCellMar>
    </w:tblPr>
  </w:style>
  <w:style w:type="table" w:styleId="25" w:customStyle="1">
    <w:name w:val="25"/>
    <w:basedOn w:val="TableNormal30"/>
    <w:tblPr>
      <w:tblStyleRowBandSize w:val="1"/>
      <w:tblStyleColBandSize w:val="1"/>
      <w:tblCellMar>
        <w:left w:w="115.0" w:type="dxa"/>
        <w:right w:w="115.0" w:type="dxa"/>
      </w:tblCellMar>
    </w:tblPr>
  </w:style>
  <w:style w:type="table" w:styleId="24" w:customStyle="1">
    <w:name w:val="24"/>
    <w:basedOn w:val="TableNormal30"/>
    <w:rPr>
      <w:sz w:val="22"/>
      <w:szCs w:val="22"/>
    </w:rPr>
    <w:tblPr>
      <w:tblStyleRowBandSize w:val="1"/>
      <w:tblStyleColBandSize w:val="1"/>
      <w:tblCellMar>
        <w:left w:w="115.0" w:type="dxa"/>
        <w:right w:w="115.0" w:type="dxa"/>
      </w:tblCellMar>
    </w:tblPr>
  </w:style>
  <w:style w:type="table" w:styleId="23" w:customStyle="1">
    <w:name w:val="23"/>
    <w:basedOn w:val="TableNormal30"/>
    <w:rPr>
      <w:sz w:val="22"/>
      <w:szCs w:val="22"/>
    </w:rPr>
    <w:tblPr>
      <w:tblStyleRowBandSize w:val="1"/>
      <w:tblStyleColBandSize w:val="1"/>
      <w:tblCellMar>
        <w:left w:w="115.0" w:type="dxa"/>
        <w:right w:w="115.0" w:type="dxa"/>
      </w:tblCellMar>
    </w:tblPr>
  </w:style>
  <w:style w:type="table" w:styleId="22" w:customStyle="1">
    <w:name w:val="22"/>
    <w:basedOn w:val="TableNormal40"/>
    <w:rPr>
      <w:sz w:val="22"/>
      <w:szCs w:val="22"/>
    </w:rPr>
    <w:tblPr>
      <w:tblStyleRowBandSize w:val="1"/>
      <w:tblStyleColBandSize w:val="1"/>
      <w:tblCellMar>
        <w:left w:w="115.0" w:type="dxa"/>
        <w:right w:w="115.0" w:type="dxa"/>
      </w:tblCellMar>
    </w:tblPr>
  </w:style>
  <w:style w:type="table" w:styleId="21" w:customStyle="1">
    <w:name w:val="21"/>
    <w:basedOn w:val="TableNormal40"/>
    <w:rPr>
      <w:sz w:val="22"/>
      <w:szCs w:val="22"/>
    </w:rPr>
    <w:tblPr>
      <w:tblStyleRowBandSize w:val="1"/>
      <w:tblStyleColBandSize w:val="1"/>
      <w:tblCellMar>
        <w:left w:w="115.0" w:type="dxa"/>
        <w:right w:w="115.0" w:type="dxa"/>
      </w:tblCellMar>
    </w:tblPr>
  </w:style>
  <w:style w:type="table" w:styleId="20" w:customStyle="1">
    <w:name w:val="20"/>
    <w:basedOn w:val="TableNormal40"/>
    <w:rPr>
      <w:sz w:val="22"/>
      <w:szCs w:val="22"/>
    </w:rPr>
    <w:tblPr>
      <w:tblStyleRowBandSize w:val="1"/>
      <w:tblStyleColBandSize w:val="1"/>
      <w:tblCellMar>
        <w:left w:w="115.0" w:type="dxa"/>
        <w:right w:w="115.0" w:type="dxa"/>
      </w:tblCellMar>
    </w:tblPr>
  </w:style>
  <w:style w:type="table" w:styleId="19" w:customStyle="1">
    <w:name w:val="19"/>
    <w:basedOn w:val="TableNormal40"/>
    <w:rPr>
      <w:sz w:val="22"/>
      <w:szCs w:val="22"/>
    </w:rPr>
    <w:tblPr>
      <w:tblStyleRowBandSize w:val="1"/>
      <w:tblStyleColBandSize w:val="1"/>
      <w:tblCellMar>
        <w:left w:w="115.0" w:type="dxa"/>
        <w:right w:w="115.0" w:type="dxa"/>
      </w:tblCellMar>
    </w:tblPr>
  </w:style>
  <w:style w:type="table" w:styleId="18" w:customStyle="1">
    <w:name w:val="18"/>
    <w:basedOn w:val="TableNormal40"/>
    <w:rPr>
      <w:sz w:val="22"/>
      <w:szCs w:val="22"/>
    </w:rPr>
    <w:tblPr>
      <w:tblStyleRowBandSize w:val="1"/>
      <w:tblStyleColBandSize w:val="1"/>
      <w:tblCellMar>
        <w:left w:w="115.0" w:type="dxa"/>
        <w:right w:w="115.0" w:type="dxa"/>
      </w:tblCellMar>
    </w:tblPr>
  </w:style>
  <w:style w:type="table" w:styleId="Tablaconcuadrcula1" w:customStyle="1">
    <w:name w:val="Tabla con cuadrícula1"/>
    <w:basedOn w:val="Tablanormal"/>
    <w:next w:val="Tablaconcuadrcula"/>
    <w:uiPriority w:val="59"/>
    <w:rsid w:val="00E144A5"/>
    <w:rPr>
      <w:rFonts w:ascii="Calibri" w:hAnsi="Calibri"/>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0" w:customStyle="1">
    <w:name w:val="Table Normal1"/>
    <w:rsid w:val="00166DE3"/>
    <w:tblPr>
      <w:tblCellMar>
        <w:top w:w="0.0" w:type="dxa"/>
        <w:left w:w="0.0" w:type="dxa"/>
        <w:bottom w:w="0.0" w:type="dxa"/>
        <w:right w:w="0.0" w:type="dxa"/>
      </w:tblCellMar>
    </w:tblPr>
  </w:style>
  <w:style w:type="table" w:styleId="17" w:customStyle="1">
    <w:name w:val="17"/>
    <w:basedOn w:val="TableNormal50"/>
    <w:tblPr>
      <w:tblStyleRowBandSize w:val="1"/>
      <w:tblStyleColBandSize w:val="1"/>
      <w:tblCellMar>
        <w:left w:w="115.0" w:type="dxa"/>
        <w:right w:w="115.0" w:type="dxa"/>
      </w:tblCellMar>
    </w:tblPr>
  </w:style>
  <w:style w:type="table" w:styleId="16" w:customStyle="1">
    <w:name w:val="16"/>
    <w:basedOn w:val="TableNormal50"/>
    <w:tblPr>
      <w:tblStyleRowBandSize w:val="1"/>
      <w:tblStyleColBandSize w:val="1"/>
      <w:tblCellMar>
        <w:left w:w="115.0" w:type="dxa"/>
        <w:right w:w="115.0" w:type="dxa"/>
      </w:tblCellMar>
    </w:tblPr>
  </w:style>
  <w:style w:type="table" w:styleId="15" w:customStyle="1">
    <w:name w:val="15"/>
    <w:basedOn w:val="TableNormal50"/>
    <w:rPr>
      <w:sz w:val="22"/>
      <w:szCs w:val="22"/>
    </w:rPr>
    <w:tblPr>
      <w:tblStyleRowBandSize w:val="1"/>
      <w:tblStyleColBandSize w:val="1"/>
      <w:tblCellMar>
        <w:left w:w="115.0" w:type="dxa"/>
        <w:right w:w="115.0" w:type="dxa"/>
      </w:tblCellMar>
    </w:tblPr>
  </w:style>
  <w:style w:type="table" w:styleId="14" w:customStyle="1">
    <w:name w:val="14"/>
    <w:basedOn w:val="TableNormal50"/>
    <w:rPr>
      <w:sz w:val="22"/>
      <w:szCs w:val="22"/>
    </w:rPr>
    <w:tblPr>
      <w:tblStyleRowBandSize w:val="1"/>
      <w:tblStyleColBandSize w:val="1"/>
      <w:tblCellMar>
        <w:left w:w="115.0" w:type="dxa"/>
        <w:right w:w="115.0" w:type="dxa"/>
      </w:tblCellMar>
    </w:tblPr>
  </w:style>
  <w:style w:type="table" w:styleId="13" w:customStyle="1">
    <w:name w:val="13"/>
    <w:basedOn w:val="TableNormal6"/>
    <w:rPr>
      <w:sz w:val="22"/>
      <w:szCs w:val="22"/>
    </w:rPr>
    <w:tblPr>
      <w:tblStyleRowBandSize w:val="1"/>
      <w:tblStyleColBandSize w:val="1"/>
      <w:tblCellMar>
        <w:left w:w="115.0" w:type="dxa"/>
        <w:right w:w="115.0" w:type="dxa"/>
      </w:tblCellMar>
    </w:tblPr>
  </w:style>
  <w:style w:type="table" w:styleId="12" w:customStyle="1">
    <w:name w:val="12"/>
    <w:basedOn w:val="TableNormal6"/>
    <w:rPr>
      <w:sz w:val="22"/>
      <w:szCs w:val="22"/>
    </w:rPr>
    <w:tblPr>
      <w:tblStyleRowBandSize w:val="1"/>
      <w:tblStyleColBandSize w:val="1"/>
      <w:tblCellMar>
        <w:left w:w="115.0" w:type="dxa"/>
        <w:right w:w="115.0" w:type="dxa"/>
      </w:tblCellMar>
    </w:tblPr>
  </w:style>
  <w:style w:type="table" w:styleId="11" w:customStyle="1">
    <w:name w:val="11"/>
    <w:basedOn w:val="TableNormal6"/>
    <w:rPr>
      <w:sz w:val="22"/>
      <w:szCs w:val="22"/>
    </w:rPr>
    <w:tblPr>
      <w:tblStyleRowBandSize w:val="1"/>
      <w:tblStyleColBandSize w:val="1"/>
      <w:tblCellMar>
        <w:left w:w="115.0" w:type="dxa"/>
        <w:right w:w="115.0" w:type="dxa"/>
      </w:tblCellMar>
    </w:tblPr>
  </w:style>
  <w:style w:type="table" w:styleId="10" w:customStyle="1">
    <w:name w:val="10"/>
    <w:basedOn w:val="TableNormal6"/>
    <w:rPr>
      <w:sz w:val="22"/>
      <w:szCs w:val="22"/>
    </w:rPr>
    <w:tblPr>
      <w:tblStyleRowBandSize w:val="1"/>
      <w:tblStyleColBandSize w:val="1"/>
      <w:tblCellMar>
        <w:left w:w="115.0" w:type="dxa"/>
        <w:right w:w="115.0" w:type="dxa"/>
      </w:tblCellMar>
    </w:tblPr>
  </w:style>
  <w:style w:type="table" w:styleId="9" w:customStyle="1">
    <w:name w:val="9"/>
    <w:basedOn w:val="TableNormal7"/>
    <w:rPr>
      <w:sz w:val="22"/>
      <w:szCs w:val="22"/>
    </w:rPr>
    <w:tblPr>
      <w:tblStyleRowBandSize w:val="1"/>
      <w:tblStyleColBandSize w:val="1"/>
      <w:tblCellMar>
        <w:left w:w="115.0" w:type="dxa"/>
        <w:right w:w="115.0" w:type="dxa"/>
      </w:tblCellMar>
    </w:tblPr>
  </w:style>
  <w:style w:type="table" w:styleId="8" w:customStyle="1">
    <w:name w:val="8"/>
    <w:basedOn w:val="TableNormal7"/>
    <w:rPr>
      <w:sz w:val="22"/>
      <w:szCs w:val="22"/>
    </w:rPr>
    <w:tblPr>
      <w:tblStyleRowBandSize w:val="1"/>
      <w:tblStyleColBandSize w:val="1"/>
      <w:tblCellMar>
        <w:left w:w="115.0" w:type="dxa"/>
        <w:right w:w="115.0" w:type="dxa"/>
      </w:tblCellMar>
    </w:tblPr>
  </w:style>
  <w:style w:type="table" w:styleId="7" w:customStyle="1">
    <w:name w:val="7"/>
    <w:basedOn w:val="TableNormal7"/>
    <w:rPr>
      <w:sz w:val="22"/>
      <w:szCs w:val="22"/>
    </w:rPr>
    <w:tblPr>
      <w:tblStyleRowBandSize w:val="1"/>
      <w:tblStyleColBandSize w:val="1"/>
      <w:tblCellMar>
        <w:left w:w="115.0" w:type="dxa"/>
        <w:right w:w="115.0" w:type="dxa"/>
      </w:tblCellMar>
    </w:tblPr>
  </w:style>
  <w:style w:type="table" w:styleId="6" w:customStyle="1">
    <w:name w:val="6"/>
    <w:basedOn w:val="TableNormal7"/>
    <w:rPr>
      <w:rFonts w:ascii="Calibri" w:cs="Calibri" w:eastAsia="Calibri" w:hAnsi="Calibri"/>
      <w:sz w:val="22"/>
      <w:szCs w:val="22"/>
    </w:rPr>
    <w:tblPr>
      <w:tblStyleRowBandSize w:val="1"/>
      <w:tblStyleColBandSize w:val="1"/>
      <w:tblCellMar>
        <w:left w:w="108.0" w:type="dxa"/>
        <w:right w:w="108.0" w:type="dxa"/>
      </w:tblCellMar>
    </w:tblPr>
  </w:style>
  <w:style w:type="table" w:styleId="5" w:customStyle="1">
    <w:name w:val="5"/>
    <w:basedOn w:val="TableNormal7"/>
    <w:rPr>
      <w:rFonts w:ascii="Calibri" w:cs="Calibri" w:eastAsia="Calibri" w:hAnsi="Calibri"/>
      <w:sz w:val="22"/>
      <w:szCs w:val="22"/>
    </w:rPr>
    <w:tblPr>
      <w:tblStyleRowBandSize w:val="1"/>
      <w:tblStyleColBandSize w:val="1"/>
      <w:tblCellMar>
        <w:left w:w="108.0" w:type="dxa"/>
        <w:right w:w="108.0" w:type="dxa"/>
      </w:tblCellMar>
    </w:tblPr>
  </w:style>
  <w:style w:type="table" w:styleId="4" w:customStyle="1">
    <w:name w:val="4"/>
    <w:basedOn w:val="TableNormal7"/>
    <w:rPr>
      <w:sz w:val="22"/>
      <w:szCs w:val="22"/>
    </w:rPr>
    <w:tblPr>
      <w:tblStyleRowBandSize w:val="1"/>
      <w:tblStyleColBandSize w:val="1"/>
      <w:tblCellMar>
        <w:left w:w="115.0" w:type="dxa"/>
        <w:right w:w="115.0" w:type="dxa"/>
      </w:tblCellMar>
    </w:tblPr>
  </w:style>
  <w:style w:type="table" w:styleId="3" w:customStyle="1">
    <w:name w:val="3"/>
    <w:basedOn w:val="TableNormal7"/>
    <w:rPr>
      <w:rFonts w:ascii="Calibri" w:cs="Calibri" w:eastAsia="Calibri" w:hAnsi="Calibri"/>
      <w:sz w:val="22"/>
      <w:szCs w:val="22"/>
    </w:rPr>
    <w:tblPr>
      <w:tblStyleRowBandSize w:val="1"/>
      <w:tblStyleColBandSize w:val="1"/>
      <w:tblCellMar>
        <w:left w:w="108.0" w:type="dxa"/>
        <w:right w:w="108.0" w:type="dxa"/>
      </w:tblCellMar>
    </w:tblPr>
  </w:style>
  <w:style w:type="table" w:styleId="2" w:customStyle="1">
    <w:name w:val="2"/>
    <w:basedOn w:val="TableNormal7"/>
    <w:rPr>
      <w:sz w:val="22"/>
      <w:szCs w:val="22"/>
    </w:rPr>
    <w:tblPr>
      <w:tblStyleRowBandSize w:val="1"/>
      <w:tblStyleColBandSize w:val="1"/>
      <w:tblCellMar>
        <w:left w:w="115.0" w:type="dxa"/>
        <w:right w:w="115.0" w:type="dxa"/>
      </w:tblCellMar>
    </w:tblPr>
  </w:style>
  <w:style w:type="table" w:styleId="1" w:customStyle="1">
    <w:name w:val="1"/>
    <w:basedOn w:val="TableNormal7"/>
    <w:rPr>
      <w:sz w:val="22"/>
      <w:szCs w:val="22"/>
    </w:rPr>
    <w:tblPr>
      <w:tblStyleRowBandSize w:val="1"/>
      <w:tblStyleColBandSize w:val="1"/>
      <w:tblCellMar>
        <w:left w:w="115.0" w:type="dxa"/>
        <w:right w:w="115.0" w:type="dxa"/>
      </w:tblCellMar>
    </w:tblPr>
  </w:style>
  <w:style w:type="table" w:styleId="a"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0"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2"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3"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4"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table" w:styleId="a5" w:customStyle="1">
    <w:basedOn w:val="TableNormal5"/>
    <w:rPr>
      <w:rFonts w:ascii="Calibri" w:cs="Calibri" w:eastAsia="Calibri" w:hAnsi="Calibri"/>
      <w:sz w:val="22"/>
      <w:szCs w:val="22"/>
    </w:rPr>
    <w:tblPr>
      <w:tblStyleRowBandSize w:val="1"/>
      <w:tblStyleColBandSize w:val="1"/>
      <w:tblCellMar>
        <w:left w:w="115.0" w:type="dxa"/>
        <w:right w:w="115.0" w:type="dxa"/>
      </w:tblCellMar>
    </w:tblPr>
  </w:style>
  <w:style w:type="character" w:styleId="eop" w:customStyle="1">
    <w:name w:val="eop"/>
    <w:basedOn w:val="Fuentedeprrafopredeter"/>
    <w:rsid w:val="00652AFE"/>
  </w:style>
  <w:style w:type="table" w:styleId="a6"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7"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8"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9"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a"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b" w:customStyle="1">
    <w:basedOn w:val="TableNormal4"/>
    <w:rPr>
      <w:rFonts w:ascii="Calibri" w:cs="Calibri" w:eastAsia="Calibri" w:hAnsi="Calibri"/>
      <w:sz w:val="22"/>
      <w:szCs w:val="22"/>
    </w:rPr>
    <w:tblPr>
      <w:tblStyleRowBandSize w:val="1"/>
      <w:tblStyleColBandSize w:val="1"/>
      <w:tblCellMar>
        <w:left w:w="115.0" w:type="dxa"/>
        <w:right w:w="115.0" w:type="dxa"/>
      </w:tblCellMar>
    </w:tblPr>
  </w:style>
  <w:style w:type="table" w:styleId="ac"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d"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e"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 w:customStyle="1">
    <w:basedOn w:val="TableNormal3"/>
    <w:rPr>
      <w:rFonts w:ascii="Calibri" w:cs="Calibri" w:eastAsia="Calibri" w:hAnsi="Calibri"/>
      <w:sz w:val="22"/>
      <w:szCs w:val="22"/>
    </w:rPr>
    <w:tblPr>
      <w:tblStyleRowBandSize w:val="1"/>
      <w:tblStyleColBandSize w:val="1"/>
      <w:tblCellMar>
        <w:left w:w="108.0" w:type="dxa"/>
        <w:right w:w="108.0" w:type="dxa"/>
      </w:tblCellMar>
    </w:tblPr>
  </w:style>
  <w:style w:type="table" w:styleId="af0"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1" w:customStyle="1">
    <w:basedOn w:val="TableNormal3"/>
    <w:rPr>
      <w:rFonts w:ascii="Calibri" w:cs="Calibri" w:eastAsia="Calibri" w:hAnsi="Calibri"/>
      <w:sz w:val="22"/>
      <w:szCs w:val="22"/>
    </w:rPr>
    <w:tblPr>
      <w:tblStyleRowBandSize w:val="1"/>
      <w:tblStyleColBandSize w:val="1"/>
      <w:tblCellMar>
        <w:left w:w="115.0" w:type="dxa"/>
        <w:right w:w="115.0" w:type="dxa"/>
      </w:tblCellMar>
    </w:tblPr>
  </w:style>
  <w:style w:type="table" w:styleId="af2"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3"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4"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5"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6" w:customStyle="1">
    <w:basedOn w:val="TableNormal2"/>
    <w:rPr>
      <w:rFonts w:ascii="Calibri" w:cs="Calibri" w:eastAsia="Calibri" w:hAnsi="Calibri"/>
      <w:sz w:val="22"/>
      <w:szCs w:val="22"/>
    </w:rPr>
    <w:tblPr>
      <w:tblStyleRowBandSize w:val="1"/>
      <w:tblStyleColBandSize w:val="1"/>
      <w:tblCellMar>
        <w:left w:w="108.0" w:type="dxa"/>
        <w:right w:w="108.0" w:type="dxa"/>
      </w:tblCellMar>
    </w:tblPr>
  </w:style>
  <w:style w:type="table" w:styleId="af7"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8" w:customStyle="1">
    <w:basedOn w:val="TableNormal2"/>
    <w:rPr>
      <w:rFonts w:ascii="Calibri" w:cs="Calibri" w:eastAsia="Calibri" w:hAnsi="Calibri"/>
      <w:sz w:val="22"/>
      <w:szCs w:val="22"/>
    </w:rPr>
    <w:tblPr>
      <w:tblStyleRowBandSize w:val="1"/>
      <w:tblStyleColBandSize w:val="1"/>
      <w:tblCellMar>
        <w:left w:w="115.0" w:type="dxa"/>
        <w:right w:w="115.0" w:type="dxa"/>
      </w:tblCellMar>
    </w:tblPr>
  </w:style>
  <w:style w:type="table" w:styleId="af9"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a"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b"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c"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d" w:customStyle="1">
    <w:basedOn w:val="TableNormal1"/>
    <w:rPr>
      <w:rFonts w:ascii="Calibri" w:cs="Calibri" w:eastAsia="Calibri" w:hAnsi="Calibri"/>
      <w:sz w:val="22"/>
      <w:szCs w:val="22"/>
    </w:rPr>
    <w:tblPr>
      <w:tblStyleRowBandSize w:val="1"/>
      <w:tblStyleColBandSize w:val="1"/>
      <w:tblCellMar>
        <w:left w:w="108.0" w:type="dxa"/>
        <w:right w:w="108.0" w:type="dxa"/>
      </w:tblCellMar>
    </w:tblPr>
  </w:style>
  <w:style w:type="table" w:styleId="afe" w:customStyle="1">
    <w:basedOn w:val="TableNormal1"/>
    <w:rPr>
      <w:rFonts w:ascii="Calibri" w:cs="Calibri" w:eastAsia="Calibri" w:hAnsi="Calibri"/>
      <w:sz w:val="22"/>
      <w:szCs w:val="22"/>
    </w:rPr>
    <w:tblPr>
      <w:tblStyleRowBandSize w:val="1"/>
      <w:tblStyleColBandSize w:val="1"/>
      <w:tblCellMar>
        <w:left w:w="108.0" w:type="dxa"/>
        <w:right w:w="108.0" w:type="dxa"/>
      </w:tblCellMar>
    </w:tblPr>
  </w:style>
  <w:style w:type="table" w:styleId="aff" w:customStyle="1">
    <w:basedOn w:val="TableNormal1"/>
    <w:tblPr>
      <w:tblStyleRowBandSize w:val="1"/>
      <w:tblStyleColBandSize w:val="1"/>
      <w:tblCellMar>
        <w:left w:w="115.0" w:type="dxa"/>
        <w:right w:w="115.0" w:type="dxa"/>
      </w:tblCellMar>
    </w:tblPr>
  </w:style>
  <w:style w:type="table" w:styleId="aff0"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f1" w:customStyle="1">
    <w:basedOn w:val="TableNormal1"/>
    <w:rPr>
      <w:rFonts w:ascii="Calibri" w:cs="Calibri" w:eastAsia="Calibri" w:hAnsi="Calibri"/>
      <w:sz w:val="22"/>
      <w:szCs w:val="22"/>
    </w:rPr>
    <w:tblPr>
      <w:tblStyleRowBandSize w:val="1"/>
      <w:tblStyleColBandSize w:val="1"/>
      <w:tblCellMar>
        <w:left w:w="115.0" w:type="dxa"/>
        <w:right w:w="115.0" w:type="dxa"/>
      </w:tblCellMar>
    </w:tblPr>
  </w:style>
  <w:style w:type="table" w:styleId="aff2"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3"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4"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5"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6" w:customStyle="1">
    <w:basedOn w:val="TableNormal0"/>
    <w:rPr>
      <w:rFonts w:ascii="Calibri" w:cs="Calibri" w:eastAsia="Calibri" w:hAnsi="Calibri"/>
      <w:sz w:val="22"/>
      <w:szCs w:val="22"/>
    </w:rPr>
    <w:tblPr>
      <w:tblStyleRowBandSize w:val="1"/>
      <w:tblStyleColBandSize w:val="1"/>
      <w:tblCellMar>
        <w:left w:w="108.0" w:type="dxa"/>
        <w:right w:w="108.0" w:type="dxa"/>
      </w:tblCellMar>
    </w:tblPr>
  </w:style>
  <w:style w:type="table" w:styleId="aff7"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table" w:styleId="aff8" w:customStyle="1">
    <w:basedOn w:val="TableNormal0"/>
    <w:rPr>
      <w:rFonts w:ascii="Calibri" w:cs="Calibri" w:eastAsia="Calibri" w:hAnsi="Calibri"/>
      <w:sz w:val="22"/>
      <w:szCs w:val="22"/>
    </w:rPr>
    <w:tblPr>
      <w:tblStyleRowBandSize w:val="1"/>
      <w:tblStyleColBandSize w:val="1"/>
      <w:tblCellMar>
        <w:left w:w="115.0" w:type="dxa"/>
        <w:right w:w="115.0" w:type="dxa"/>
      </w:tblCellMar>
    </w:tblPr>
  </w:style>
  <w:style w:type="character" w:styleId="Mencinsinresolver3" w:customStyle="1">
    <w:name w:val="Mención sin resolver3"/>
    <w:basedOn w:val="Fuentedeprrafopredeter"/>
    <w:uiPriority w:val="99"/>
    <w:semiHidden w:val="1"/>
    <w:unhideWhenUsed w:val="1"/>
    <w:rsid w:val="008F61EB"/>
    <w:rPr>
      <w:color w:val="605e5c"/>
      <w:shd w:color="auto" w:fill="e1dfdd" w:val="clear"/>
    </w:rPr>
  </w:style>
  <w:style w:type="paragraph" w:styleId="Subtitle">
    <w:name w:val="Subtitle"/>
    <w:basedOn w:val="Normal"/>
    <w:next w:val="Normal"/>
    <w:pPr>
      <w:spacing w:after="160" w:lineRule="auto"/>
    </w:pPr>
    <w:rPr>
      <w:rFonts w:ascii="Cambria" w:cs="Cambria" w:eastAsia="Cambria" w:hAnsi="Cambria"/>
      <w:color w:val="5a5a5a"/>
      <w:sz w:val="22"/>
      <w:szCs w:val="22"/>
    </w:rPr>
  </w:style>
  <w:style w:type="table" w:styleId="Table1">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3">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photo/?fbid=482287117683957&amp;set=pcb.482289931017009&amp;__cft__%5b0%5d=AZVG9_KIWbxy0Qpz7lv5NcFEURYNhLa5NBAiSsq0qmUbId6Vs7ZF7bm5BIKAqIotx6QmY-uwTqA-969pgKwr0bxZbEfWQKV0gwnsiVsw8nNdUUldKxv_2-1KTPZFGFI0frM4hgM6AfxyTh3eqCSXdLiXTfAFy2g4_s7xsVDYOTVEvSjr92BYNLxSXdCpyw8cfzewITRZAv1iYNugxrHYJBIl&amp;__tn__=*bH-R" TargetMode="External"/><Relationship Id="rId22" Type="http://schemas.openxmlformats.org/officeDocument/2006/relationships/image" Target="media/image3.png"/><Relationship Id="rId21" Type="http://schemas.openxmlformats.org/officeDocument/2006/relationships/hyperlink" Target="about:blank" TargetMode="External"/><Relationship Id="rId24" Type="http://schemas.openxmlformats.org/officeDocument/2006/relationships/image" Target="media/image1.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3.png"/><Relationship Id="rId26" Type="http://schemas.openxmlformats.org/officeDocument/2006/relationships/header" Target="header2.xml"/><Relationship Id="rId25" Type="http://schemas.openxmlformats.org/officeDocument/2006/relationships/hyperlink" Target="https://www.facebook.com/photo/?fbid=254079013838103&amp;set=a.139798981932774&amp;__cft__%5b0%5d=AZX5Z6hNCSupnSuJwcofZHxuh5nsh68G34LY2Y9nllmkBJkNNl3UsmlYmRAOZgPkh6nfMij_XrO5LoLcXCbzTNGwQa2ozCzaQFmiFdLV8feHR8bEFl0QTXAFVaBFaIhFBks1nlFxIodgcr7VTO2TSF8HCQyxeu9syH3RlG2my_LC6qva6t0d_zgpXfL2V6BIFW7sDPaI1w80O5Ecoz2-ejTQ&amp;__tn__=EH-R" TargetMode="External"/><Relationship Id="rId28" Type="http://schemas.openxmlformats.org/officeDocument/2006/relationships/header" Target="header1.xml"/><Relationship Id="rId27"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12.png"/><Relationship Id="rId31" Type="http://schemas.openxmlformats.org/officeDocument/2006/relationships/footer" Target="footer1.xml"/><Relationship Id="rId30" Type="http://schemas.openxmlformats.org/officeDocument/2006/relationships/footer" Target="footer3.xml"/><Relationship Id="rId11" Type="http://schemas.openxmlformats.org/officeDocument/2006/relationships/hyperlink" Target="https://legislacion.edomex.gob.mx/sites/legislacion.edomex.gob.mx/files/files/pdf/gct/2016/dic021.pdf" TargetMode="External"/><Relationship Id="rId10" Type="http://schemas.openxmlformats.org/officeDocument/2006/relationships/image" Target="media/image4.png"/><Relationship Id="rId32" Type="http://schemas.openxmlformats.org/officeDocument/2006/relationships/header" Target="header4.xml"/><Relationship Id="rId13" Type="http://schemas.openxmlformats.org/officeDocument/2006/relationships/image" Target="media/image7.png"/><Relationship Id="rId12"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14.png"/><Relationship Id="rId17" Type="http://schemas.openxmlformats.org/officeDocument/2006/relationships/image" Target="media/image15.png"/><Relationship Id="rId16" Type="http://schemas.openxmlformats.org/officeDocument/2006/relationships/image" Target="media/image10.png"/><Relationship Id="rId19" Type="http://schemas.openxmlformats.org/officeDocument/2006/relationships/image" Target="media/image11.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BsdUm3MKm5HizDZGYJq2e5wG3A==">CgMxLjAyCGguZ2pkZ3hzMgloLjJldDkycDAyCWguMzBqMHpsbDIJaC4xZm9iOXRlOAByITEwMWlHWTU0SWNvZzUwMk9YNTA0ckxHekhZMmRUTFI5cw==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2024-10-23T22:26:00Z</dcterms:created>
  <dc:creator>iMac</dc:creator>
</cp:coreProperties>
</file>