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8C5" w:rsidRPr="00281E73" w:rsidRDefault="002D48C5" w:rsidP="002D48C5">
      <w:pPr>
        <w:spacing w:before="240" w:after="240" w:line="360" w:lineRule="auto"/>
        <w:jc w:val="both"/>
        <w:rPr>
          <w:rFonts w:ascii="Palatino Linotype" w:hAnsi="Palatino Linotype"/>
          <w:sz w:val="22"/>
          <w:szCs w:val="22"/>
        </w:rPr>
      </w:pPr>
      <w:r w:rsidRPr="00281E73">
        <w:rPr>
          <w:rFonts w:ascii="Palatino Linotype" w:hAnsi="Palatino Linotype"/>
          <w:sz w:val="22"/>
          <w:szCs w:val="22"/>
        </w:rPr>
        <w:t>Resolución del Pleno del Instituto de Transparencia, Acceso a la Información Pública y Protección de Datos Personales del Estado de México y Municipios, con domicilio en Metepec, Estado de México; del veintisiete (27) de noviembre de dos mil veinticuatro.</w:t>
      </w:r>
    </w:p>
    <w:p w:rsidR="002D48C5" w:rsidRPr="00281E73" w:rsidRDefault="002D48C5" w:rsidP="002D48C5">
      <w:pPr>
        <w:pStyle w:val="Encabezado"/>
        <w:spacing w:line="360" w:lineRule="auto"/>
        <w:jc w:val="both"/>
        <w:rPr>
          <w:rFonts w:ascii="Palatino Linotype" w:hAnsi="Palatino Linotype"/>
          <w:sz w:val="22"/>
          <w:szCs w:val="22"/>
        </w:rPr>
      </w:pPr>
      <w:r w:rsidRPr="00281E73">
        <w:rPr>
          <w:rFonts w:ascii="Palatino Linotype" w:hAnsi="Palatino Linotype"/>
          <w:b/>
          <w:sz w:val="22"/>
          <w:szCs w:val="22"/>
        </w:rPr>
        <w:t>VISTO el</w:t>
      </w:r>
      <w:r w:rsidRPr="00281E73">
        <w:rPr>
          <w:rFonts w:ascii="Palatino Linotype" w:hAnsi="Palatino Linotype"/>
          <w:sz w:val="22"/>
          <w:szCs w:val="22"/>
        </w:rPr>
        <w:t xml:space="preserve"> expediente electrónico formado con motivo del recurso de revisión </w:t>
      </w:r>
      <w:r w:rsidRPr="00281E73">
        <w:rPr>
          <w:rFonts w:ascii="Palatino Linotype" w:hAnsi="Palatino Linotype" w:cs="Arial"/>
          <w:b/>
          <w:sz w:val="22"/>
          <w:szCs w:val="22"/>
        </w:rPr>
        <w:t>01628/</w:t>
      </w:r>
      <w:r w:rsidRPr="00281E73">
        <w:rPr>
          <w:rFonts w:ascii="Palatino Linotype" w:eastAsia="Calibri" w:hAnsi="Palatino Linotype" w:cs="Tahoma"/>
          <w:b/>
          <w:sz w:val="22"/>
          <w:szCs w:val="22"/>
          <w:lang w:eastAsia="en-US"/>
        </w:rPr>
        <w:t>INFOEM/IP/RR/2024</w:t>
      </w:r>
      <w:r w:rsidRPr="00281E73">
        <w:rPr>
          <w:rFonts w:ascii="Palatino Linotype" w:hAnsi="Palatino Linotype" w:cs="Arial"/>
          <w:b/>
          <w:bCs/>
          <w:sz w:val="22"/>
          <w:szCs w:val="22"/>
        </w:rPr>
        <w:t xml:space="preserve">, </w:t>
      </w:r>
      <w:r w:rsidRPr="00281E73">
        <w:rPr>
          <w:rFonts w:ascii="Palatino Linotype" w:hAnsi="Palatino Linotype"/>
          <w:sz w:val="22"/>
          <w:szCs w:val="22"/>
        </w:rPr>
        <w:t xml:space="preserve">promovido por </w:t>
      </w:r>
      <w:r w:rsidR="009D4CD2" w:rsidRPr="00281E73">
        <w:rPr>
          <w:rFonts w:ascii="Palatino Linotype" w:eastAsia="Calibri" w:hAnsi="Palatino Linotype" w:cs="Tahoma"/>
          <w:b/>
          <w:sz w:val="22"/>
          <w:szCs w:val="22"/>
          <w:lang w:eastAsia="en-US"/>
        </w:rPr>
        <w:t>XXXXXXXXXX</w:t>
      </w:r>
      <w:r w:rsidRPr="00281E73">
        <w:rPr>
          <w:rFonts w:ascii="Palatino Linotype" w:hAnsi="Palatino Linotype"/>
          <w:sz w:val="22"/>
          <w:szCs w:val="22"/>
        </w:rPr>
        <w:t xml:space="preserve">, en su calidad de </w:t>
      </w:r>
      <w:r w:rsidRPr="00281E73">
        <w:rPr>
          <w:rFonts w:ascii="Palatino Linotype" w:hAnsi="Palatino Linotype"/>
          <w:b/>
          <w:sz w:val="22"/>
          <w:szCs w:val="22"/>
        </w:rPr>
        <w:t>RECURRENTE</w:t>
      </w:r>
      <w:r w:rsidRPr="00281E73">
        <w:rPr>
          <w:rFonts w:ascii="Palatino Linotype" w:hAnsi="Palatino Linotype" w:cs="Arial"/>
          <w:sz w:val="22"/>
          <w:szCs w:val="22"/>
        </w:rPr>
        <w:t xml:space="preserve">, en contra de la falta de respuesta del </w:t>
      </w:r>
      <w:r w:rsidRPr="00281E73">
        <w:rPr>
          <w:rFonts w:ascii="Palatino Linotype" w:eastAsia="Calibri" w:hAnsi="Palatino Linotype" w:cs="Arial"/>
          <w:b/>
          <w:bCs/>
          <w:sz w:val="22"/>
          <w:szCs w:val="22"/>
        </w:rPr>
        <w:t>Ayuntamiento de Teotihuacán</w:t>
      </w:r>
      <w:r w:rsidRPr="00281E73">
        <w:rPr>
          <w:rFonts w:ascii="Palatino Linotype" w:hAnsi="Palatino Linotype" w:cs="Arial"/>
          <w:sz w:val="22"/>
          <w:szCs w:val="22"/>
        </w:rPr>
        <w:t>,</w:t>
      </w:r>
      <w:r w:rsidRPr="00281E73">
        <w:rPr>
          <w:rFonts w:ascii="Palatino Linotype" w:hAnsi="Palatino Linotype"/>
          <w:b/>
          <w:sz w:val="22"/>
          <w:szCs w:val="22"/>
        </w:rPr>
        <w:t xml:space="preserve"> </w:t>
      </w:r>
      <w:r w:rsidRPr="00281E73">
        <w:rPr>
          <w:rFonts w:ascii="Palatino Linotype" w:hAnsi="Palatino Linotype"/>
          <w:sz w:val="22"/>
          <w:szCs w:val="22"/>
        </w:rPr>
        <w:t>en lo sucesivo el</w:t>
      </w:r>
      <w:r w:rsidRPr="00281E73">
        <w:rPr>
          <w:rFonts w:ascii="Palatino Linotype" w:hAnsi="Palatino Linotype"/>
          <w:b/>
          <w:sz w:val="22"/>
          <w:szCs w:val="22"/>
        </w:rPr>
        <w:t xml:space="preserve"> SUJETO OBLIGADO, </w:t>
      </w:r>
      <w:r w:rsidRPr="00281E73">
        <w:rPr>
          <w:rFonts w:ascii="Palatino Linotype" w:hAnsi="Palatino Linotype"/>
          <w:sz w:val="22"/>
          <w:szCs w:val="22"/>
        </w:rPr>
        <w:t>se procede a dictar la presente resolución, con base en los siguientes:</w:t>
      </w:r>
    </w:p>
    <w:p w:rsidR="002D48C5" w:rsidRPr="00281E73" w:rsidRDefault="002D48C5" w:rsidP="002D48C5">
      <w:pPr>
        <w:pStyle w:val="Ttulo1"/>
        <w:jc w:val="center"/>
        <w:rPr>
          <w:rFonts w:ascii="Palatino Linotype" w:hAnsi="Palatino Linotype"/>
          <w:b/>
          <w:color w:val="auto"/>
          <w:sz w:val="22"/>
          <w:szCs w:val="22"/>
        </w:rPr>
      </w:pPr>
      <w:bookmarkStart w:id="0" w:name="_Toc87549671"/>
      <w:r w:rsidRPr="00281E73">
        <w:rPr>
          <w:rFonts w:ascii="Palatino Linotype" w:hAnsi="Palatino Linotype"/>
          <w:b/>
          <w:color w:val="auto"/>
          <w:sz w:val="22"/>
          <w:szCs w:val="22"/>
        </w:rPr>
        <w:t>ANTECEDENTES</w:t>
      </w:r>
      <w:bookmarkEnd w:id="0"/>
    </w:p>
    <w:p w:rsidR="002D48C5" w:rsidRPr="00281E73" w:rsidRDefault="002D48C5" w:rsidP="002D48C5">
      <w:pPr>
        <w:rPr>
          <w:rFonts w:ascii="Palatino Linotype" w:hAnsi="Palatino Linotype"/>
          <w:sz w:val="22"/>
          <w:szCs w:val="22"/>
          <w:lang w:eastAsia="en-US"/>
        </w:rPr>
      </w:pPr>
    </w:p>
    <w:p w:rsidR="002D48C5" w:rsidRPr="00281E73" w:rsidRDefault="002D48C5" w:rsidP="002D48C5">
      <w:pPr>
        <w:pStyle w:val="Prrafodelista"/>
        <w:numPr>
          <w:ilvl w:val="0"/>
          <w:numId w:val="2"/>
        </w:numPr>
        <w:spacing w:line="360" w:lineRule="auto"/>
        <w:ind w:left="0" w:firstLine="0"/>
        <w:jc w:val="both"/>
        <w:rPr>
          <w:rFonts w:ascii="Palatino Linotype" w:hAnsi="Palatino Linotype" w:cs="Arial"/>
          <w:szCs w:val="22"/>
          <w:lang w:val="es-ES"/>
        </w:rPr>
      </w:pPr>
      <w:r w:rsidRPr="00281E73">
        <w:rPr>
          <w:rFonts w:ascii="Palatino Linotype" w:eastAsia="Calibri" w:hAnsi="Palatino Linotype" w:cs="Arial"/>
          <w:szCs w:val="22"/>
          <w:lang w:val="es-ES"/>
        </w:rPr>
        <w:t xml:space="preserve">El veintiséis (26) de febrero </w:t>
      </w:r>
      <w:r w:rsidRPr="00281E73">
        <w:rPr>
          <w:rFonts w:ascii="Palatino Linotype" w:eastAsia="Calibri" w:hAnsi="Palatino Linotype"/>
          <w:szCs w:val="22"/>
          <w:lang w:val="es-ES"/>
        </w:rPr>
        <w:t>de dos mil veinticuatro</w:t>
      </w:r>
      <w:r w:rsidRPr="00281E73">
        <w:rPr>
          <w:rFonts w:ascii="Palatino Linotype" w:eastAsia="Calibri" w:hAnsi="Palatino Linotype" w:cs="Arial"/>
          <w:szCs w:val="22"/>
          <w:lang w:val="es-ES"/>
        </w:rPr>
        <w:t>,</w:t>
      </w:r>
      <w:r w:rsidRPr="00281E73">
        <w:rPr>
          <w:rFonts w:ascii="Palatino Linotype" w:eastAsia="Calibri" w:hAnsi="Palatino Linotype"/>
          <w:szCs w:val="22"/>
          <w:lang w:val="es-ES"/>
        </w:rPr>
        <w:t xml:space="preserve"> </w:t>
      </w:r>
      <w:r w:rsidRPr="00281E73">
        <w:rPr>
          <w:rFonts w:ascii="Palatino Linotype" w:eastAsia="Calibri" w:hAnsi="Palatino Linotype"/>
          <w:b/>
          <w:szCs w:val="22"/>
          <w:lang w:val="es-ES"/>
        </w:rPr>
        <w:t xml:space="preserve">EL RECURRENTE </w:t>
      </w:r>
      <w:r w:rsidRPr="00281E73">
        <w:rPr>
          <w:rFonts w:ascii="Palatino Linotype" w:eastAsia="Calibri" w:hAnsi="Palatino Linotype"/>
          <w:bCs/>
          <w:szCs w:val="22"/>
          <w:lang w:val="es-ES"/>
        </w:rPr>
        <w:t>presentó</w:t>
      </w:r>
      <w:r w:rsidRPr="00281E73">
        <w:rPr>
          <w:rFonts w:ascii="Palatino Linotype" w:hAnsi="Palatino Linotype"/>
          <w:b/>
          <w:szCs w:val="22"/>
        </w:rPr>
        <w:t>,</w:t>
      </w:r>
      <w:r w:rsidRPr="00281E73">
        <w:rPr>
          <w:rFonts w:ascii="Palatino Linotype" w:eastAsia="Calibri" w:hAnsi="Palatino Linotype" w:cs="Arial"/>
          <w:szCs w:val="22"/>
          <w:lang w:val="es-ES"/>
        </w:rPr>
        <w:t xml:space="preserve"> ante el </w:t>
      </w:r>
      <w:r w:rsidRPr="00281E73">
        <w:rPr>
          <w:rFonts w:ascii="Palatino Linotype" w:eastAsia="Calibri" w:hAnsi="Palatino Linotype" w:cs="Arial"/>
          <w:b/>
          <w:szCs w:val="22"/>
          <w:lang w:val="es-ES"/>
        </w:rPr>
        <w:t>SUJETO OBLIGADO</w:t>
      </w:r>
      <w:r w:rsidRPr="00281E73">
        <w:rPr>
          <w:rFonts w:ascii="Palatino Linotype" w:eastAsia="Calibri" w:hAnsi="Palatino Linotype" w:cs="Arial"/>
          <w:szCs w:val="22"/>
        </w:rPr>
        <w:t xml:space="preserve"> vía Plataforma Nacional, misma que se encuentra vinculada al </w:t>
      </w:r>
      <w:r w:rsidRPr="00281E73">
        <w:rPr>
          <w:rFonts w:ascii="Palatino Linotype" w:eastAsia="Calibri" w:hAnsi="Palatino Linotype" w:cs="Arial"/>
          <w:szCs w:val="22"/>
          <w:lang w:val="es-ES"/>
        </w:rPr>
        <w:t>Sistema de Acceso a la Información Mexiquense (</w:t>
      </w:r>
      <w:r w:rsidRPr="00281E73">
        <w:rPr>
          <w:rFonts w:ascii="Palatino Linotype" w:eastAsia="Calibri" w:hAnsi="Palatino Linotype" w:cs="Arial"/>
          <w:b/>
          <w:szCs w:val="22"/>
          <w:lang w:val="es-ES"/>
        </w:rPr>
        <w:t>SAIMEX)</w:t>
      </w:r>
      <w:r w:rsidRPr="00281E73">
        <w:rPr>
          <w:rFonts w:ascii="Palatino Linotype" w:eastAsia="Calibri" w:hAnsi="Palatino Linotype" w:cs="Arial"/>
          <w:szCs w:val="22"/>
          <w:lang w:val="es-ES"/>
        </w:rPr>
        <w:t xml:space="preserve">, la solicitud de información pública registrada con el número </w:t>
      </w:r>
      <w:r w:rsidRPr="00281E73">
        <w:rPr>
          <w:rFonts w:ascii="Palatino Linotype" w:eastAsia="Calibri" w:hAnsi="Palatino Linotype" w:cs="Arial"/>
          <w:b/>
          <w:bCs/>
          <w:szCs w:val="22"/>
        </w:rPr>
        <w:t>00020/TEOTIHUA/IP/2024,</w:t>
      </w:r>
      <w:r w:rsidRPr="00281E73">
        <w:rPr>
          <w:rFonts w:ascii="Palatino Linotype" w:eastAsia="Calibri" w:hAnsi="Palatino Linotype" w:cs="Arial"/>
          <w:b/>
          <w:szCs w:val="22"/>
        </w:rPr>
        <w:t xml:space="preserve"> </w:t>
      </w:r>
      <w:r w:rsidRPr="00281E73">
        <w:rPr>
          <w:rFonts w:ascii="Palatino Linotype" w:eastAsia="Calibri" w:hAnsi="Palatino Linotype" w:cs="Arial"/>
          <w:szCs w:val="22"/>
          <w:lang w:val="es-ES"/>
        </w:rPr>
        <w:t>mediante la cual solicitó lo siguiente:</w:t>
      </w:r>
    </w:p>
    <w:p w:rsidR="002D48C5" w:rsidRPr="00281E73" w:rsidRDefault="002D48C5" w:rsidP="002D48C5">
      <w:pPr>
        <w:pStyle w:val="Prrafodelista"/>
        <w:spacing w:line="360" w:lineRule="auto"/>
        <w:ind w:left="0"/>
        <w:jc w:val="both"/>
        <w:rPr>
          <w:rFonts w:ascii="Palatino Linotype" w:hAnsi="Palatino Linotype" w:cs="Arial"/>
          <w:szCs w:val="22"/>
          <w:lang w:val="es-ES"/>
        </w:rPr>
      </w:pPr>
    </w:p>
    <w:p w:rsidR="002D48C5" w:rsidRPr="00281E73" w:rsidRDefault="002D48C5" w:rsidP="002D48C5">
      <w:pPr>
        <w:spacing w:line="276" w:lineRule="auto"/>
        <w:ind w:left="567" w:right="567"/>
        <w:jc w:val="both"/>
        <w:rPr>
          <w:rFonts w:ascii="Palatino Linotype" w:eastAsia="Calibri" w:hAnsi="Palatino Linotype" w:cs="Arial"/>
          <w:i/>
          <w:sz w:val="22"/>
          <w:szCs w:val="22"/>
          <w:lang w:val="es-ES"/>
        </w:rPr>
      </w:pPr>
      <w:r w:rsidRPr="00281E73">
        <w:rPr>
          <w:rFonts w:ascii="Palatino Linotype" w:eastAsia="Calibri" w:hAnsi="Palatino Linotype" w:cs="Arial"/>
          <w:i/>
          <w:sz w:val="22"/>
          <w:szCs w:val="22"/>
          <w:lang w:val="es-ES"/>
        </w:rPr>
        <w:t>“</w:t>
      </w:r>
      <w:r w:rsidRPr="00281E73">
        <w:rPr>
          <w:rFonts w:ascii="Palatino Linotype" w:hAnsi="Palatino Linotype"/>
          <w:i/>
          <w:sz w:val="22"/>
          <w:szCs w:val="22"/>
          <w:lang w:eastAsia="es-MX"/>
        </w:rPr>
        <w:t xml:space="preserve">Durante el 2022 se realizó el encortinado de la barranca principal que colinda con la iglesia de San Francisco Mazapa, posteriormente los supuestos dueños de predios que colindan con la calle Chamizal han enrejado sus terrenos apropiándose de parte de la barranca (hasta 10 metros), que debería ser vialidad pública, puesto que la barranca era sumamente grande, asimismo la parte final de la barranca se encuentra invadida con bardas perimetrales de habitantes que colindan con la calle amistad, es por ello que me gustaría saber: 1.- Si este H. Ayuntamiento ha realizado algún estudio, promovido alguna demanda o denuncia por la apropiación de la vía pública. 2.- Si este H. Ayuntamiento a través de su Dirección o Unidad Jurídica ha ejercicio alguna Acción Pública para la recuperación de la vialidad. 3. Si existe alguna planeación urbana para dicha vialidad. 4. Si de conformidad </w:t>
      </w:r>
      <w:r w:rsidRPr="00281E73">
        <w:rPr>
          <w:rFonts w:ascii="Palatino Linotype" w:hAnsi="Palatino Linotype"/>
          <w:i/>
          <w:sz w:val="22"/>
          <w:szCs w:val="22"/>
          <w:lang w:eastAsia="es-MX"/>
        </w:rPr>
        <w:lastRenderedPageBreak/>
        <w:t>con sus atribuciones se encuentra el salvaguardar las vías públicas en beneficio de la sociedad.</w:t>
      </w:r>
      <w:r w:rsidRPr="00281E73">
        <w:rPr>
          <w:rFonts w:ascii="Palatino Linotype" w:eastAsia="Calibri" w:hAnsi="Palatino Linotype" w:cs="Arial"/>
          <w:i/>
          <w:sz w:val="22"/>
          <w:szCs w:val="22"/>
          <w:lang w:val="es-ES"/>
        </w:rPr>
        <w:t>” (Sic)</w:t>
      </w:r>
    </w:p>
    <w:p w:rsidR="002D48C5" w:rsidRPr="00281E73" w:rsidRDefault="002D48C5" w:rsidP="002D48C5">
      <w:pPr>
        <w:ind w:left="567" w:right="567"/>
        <w:jc w:val="both"/>
        <w:rPr>
          <w:rFonts w:ascii="Palatino Linotype" w:eastAsia="Calibri" w:hAnsi="Palatino Linotype" w:cs="Arial"/>
          <w:i/>
          <w:sz w:val="22"/>
          <w:szCs w:val="22"/>
          <w:lang w:val="es-ES"/>
        </w:rPr>
      </w:pPr>
    </w:p>
    <w:p w:rsidR="002D48C5" w:rsidRPr="00281E73" w:rsidRDefault="002D48C5" w:rsidP="002D48C5">
      <w:pPr>
        <w:pStyle w:val="Prrafodelista"/>
        <w:numPr>
          <w:ilvl w:val="0"/>
          <w:numId w:val="2"/>
        </w:numPr>
        <w:spacing w:line="360" w:lineRule="auto"/>
        <w:ind w:left="0" w:firstLine="0"/>
        <w:jc w:val="both"/>
        <w:rPr>
          <w:rFonts w:ascii="Palatino Linotype" w:hAnsi="Palatino Linotype" w:cs="Arial"/>
          <w:szCs w:val="22"/>
          <w:lang w:val="es-ES"/>
        </w:rPr>
      </w:pPr>
      <w:r w:rsidRPr="00281E73">
        <w:rPr>
          <w:rFonts w:ascii="Palatino Linotype" w:hAnsi="Palatino Linotype" w:cs="Arial"/>
          <w:szCs w:val="22"/>
          <w:lang w:val="es-ES"/>
        </w:rPr>
        <w:t>Señaló como modalidad de entrega de la información a través de la Plataforma Nacional, misma que se encuentra vinculada al SAIMEX</w:t>
      </w:r>
      <w:r w:rsidRPr="00281E73">
        <w:rPr>
          <w:rFonts w:ascii="Palatino Linotype" w:hAnsi="Palatino Linotype" w:cs="Arial"/>
          <w:b/>
          <w:szCs w:val="22"/>
          <w:lang w:val="es-ES"/>
        </w:rPr>
        <w:t>.</w:t>
      </w:r>
    </w:p>
    <w:p w:rsidR="002D48C5" w:rsidRPr="00281E73" w:rsidRDefault="002D48C5" w:rsidP="002D48C5">
      <w:pPr>
        <w:pStyle w:val="Prrafodelista"/>
        <w:spacing w:line="360" w:lineRule="auto"/>
        <w:ind w:left="0"/>
        <w:jc w:val="both"/>
        <w:rPr>
          <w:rFonts w:ascii="Palatino Linotype" w:hAnsi="Palatino Linotype" w:cs="Arial"/>
          <w:szCs w:val="22"/>
          <w:lang w:val="es-ES"/>
        </w:rPr>
      </w:pPr>
    </w:p>
    <w:p w:rsidR="002D48C5" w:rsidRPr="00281E73" w:rsidRDefault="002D48C5" w:rsidP="002D48C5">
      <w:pPr>
        <w:pStyle w:val="Prrafodelista"/>
        <w:numPr>
          <w:ilvl w:val="0"/>
          <w:numId w:val="2"/>
        </w:numPr>
        <w:spacing w:before="240" w:after="240" w:line="360" w:lineRule="auto"/>
        <w:ind w:left="0" w:firstLine="0"/>
        <w:jc w:val="both"/>
        <w:rPr>
          <w:rFonts w:ascii="Palatino Linotype" w:hAnsi="Palatino Linotype"/>
          <w:color w:val="000000"/>
          <w:szCs w:val="22"/>
        </w:rPr>
      </w:pPr>
      <w:r w:rsidRPr="00281E73">
        <w:rPr>
          <w:rFonts w:ascii="Palatino Linotype" w:hAnsi="Palatino Linotype"/>
          <w:color w:val="000000"/>
          <w:szCs w:val="22"/>
        </w:rPr>
        <w:t xml:space="preserve">El veintiséis (26) de febrero de dos mil veinticuatro, se realizaron dos requerimiento de información al servidor público habilitado. </w:t>
      </w:r>
    </w:p>
    <w:p w:rsidR="002D48C5" w:rsidRPr="00281E73" w:rsidRDefault="002D48C5" w:rsidP="002D48C5">
      <w:pPr>
        <w:pStyle w:val="Prrafodelista"/>
        <w:spacing w:before="240" w:after="240" w:line="360" w:lineRule="auto"/>
        <w:ind w:left="0"/>
        <w:jc w:val="both"/>
        <w:rPr>
          <w:rFonts w:ascii="Palatino Linotype" w:hAnsi="Palatino Linotype"/>
          <w:color w:val="000000"/>
          <w:szCs w:val="22"/>
        </w:rPr>
      </w:pPr>
    </w:p>
    <w:p w:rsidR="002D48C5" w:rsidRPr="00281E73" w:rsidRDefault="002D48C5" w:rsidP="002D48C5">
      <w:pPr>
        <w:pStyle w:val="Prrafodelista"/>
        <w:numPr>
          <w:ilvl w:val="0"/>
          <w:numId w:val="2"/>
        </w:numPr>
        <w:spacing w:before="240" w:after="240" w:line="360" w:lineRule="auto"/>
        <w:ind w:left="0" w:firstLine="0"/>
        <w:jc w:val="both"/>
        <w:rPr>
          <w:rFonts w:ascii="Palatino Linotype" w:hAnsi="Palatino Linotype"/>
          <w:color w:val="000000"/>
          <w:szCs w:val="22"/>
        </w:rPr>
      </w:pPr>
      <w:r w:rsidRPr="00281E73">
        <w:rPr>
          <w:rFonts w:ascii="Palatino Linotype" w:hAnsi="Palatino Linotype"/>
          <w:color w:val="000000"/>
          <w:szCs w:val="22"/>
        </w:rPr>
        <w:t>El Sujeto Obligado no emitió respuesta a la solicitud.</w:t>
      </w:r>
    </w:p>
    <w:p w:rsidR="002D48C5" w:rsidRPr="00281E73" w:rsidRDefault="002D48C5" w:rsidP="002D48C5">
      <w:pPr>
        <w:pStyle w:val="Prrafodelista"/>
        <w:rPr>
          <w:rFonts w:ascii="Palatino Linotype" w:eastAsia="Calibri" w:hAnsi="Palatino Linotype" w:cs="Arial"/>
          <w:szCs w:val="22"/>
          <w:lang w:val="es-AR"/>
        </w:rPr>
      </w:pPr>
    </w:p>
    <w:p w:rsidR="002D48C5" w:rsidRPr="00281E73" w:rsidRDefault="002D48C5" w:rsidP="002D48C5">
      <w:pPr>
        <w:pStyle w:val="Prrafodelista"/>
        <w:numPr>
          <w:ilvl w:val="0"/>
          <w:numId w:val="2"/>
        </w:numPr>
        <w:spacing w:before="240" w:after="240" w:line="360" w:lineRule="auto"/>
        <w:ind w:left="0" w:firstLine="0"/>
        <w:jc w:val="both"/>
        <w:rPr>
          <w:rFonts w:ascii="Palatino Linotype" w:hAnsi="Palatino Linotype" w:cs="Arial"/>
          <w:i/>
          <w:szCs w:val="22"/>
        </w:rPr>
      </w:pPr>
      <w:r w:rsidRPr="00281E73">
        <w:rPr>
          <w:rFonts w:ascii="Palatino Linotype" w:eastAsia="Calibri" w:hAnsi="Palatino Linotype" w:cs="Arial"/>
          <w:szCs w:val="22"/>
          <w:lang w:val="es-AR"/>
        </w:rPr>
        <w:t xml:space="preserve">El </w:t>
      </w:r>
      <w:r w:rsidR="003862EF" w:rsidRPr="00281E73">
        <w:rPr>
          <w:rFonts w:ascii="Palatino Linotype" w:eastAsia="Calibri" w:hAnsi="Palatino Linotype" w:cs="Arial"/>
          <w:szCs w:val="22"/>
          <w:lang w:val="es-AR"/>
        </w:rPr>
        <w:t>uno (01) de abril</w:t>
      </w:r>
      <w:r w:rsidRPr="00281E73">
        <w:rPr>
          <w:rFonts w:ascii="Palatino Linotype" w:eastAsia="Calibri" w:hAnsi="Palatino Linotype" w:cs="Arial"/>
          <w:szCs w:val="22"/>
          <w:lang w:val="es-AR"/>
        </w:rPr>
        <w:t xml:space="preserve"> de dos mil veinticuatro</w:t>
      </w:r>
      <w:r w:rsidRPr="00281E73">
        <w:rPr>
          <w:rFonts w:ascii="Palatino Linotype" w:hAnsi="Palatino Linotype" w:cs="Arial"/>
          <w:szCs w:val="22"/>
          <w:lang w:val="es-ES"/>
        </w:rPr>
        <w:t xml:space="preserve">, </w:t>
      </w:r>
      <w:r w:rsidRPr="00281E73">
        <w:rPr>
          <w:rFonts w:ascii="Palatino Linotype" w:hAnsi="Palatino Linotype"/>
          <w:b/>
          <w:szCs w:val="22"/>
        </w:rPr>
        <w:t>EL RECURRENTE</w:t>
      </w:r>
      <w:r w:rsidRPr="00281E73">
        <w:rPr>
          <w:rFonts w:ascii="Palatino Linotype" w:hAnsi="Palatino Linotype" w:cs="Arial"/>
          <w:szCs w:val="22"/>
          <w:lang w:val="es-ES"/>
        </w:rPr>
        <w:t xml:space="preserve"> interpuso el recurso de revisión, en contra de la falta de respuesta y, señaló como:</w:t>
      </w:r>
      <w:bookmarkStart w:id="1" w:name="_Toc462307683"/>
      <w:bookmarkStart w:id="2" w:name="_Toc472427085"/>
      <w:bookmarkStart w:id="3" w:name="_Toc472500652"/>
    </w:p>
    <w:p w:rsidR="002D48C5" w:rsidRPr="00281E73" w:rsidRDefault="002D48C5" w:rsidP="002D48C5">
      <w:pPr>
        <w:pStyle w:val="Prrafodelista"/>
        <w:rPr>
          <w:rFonts w:ascii="Palatino Linotype" w:hAnsi="Palatino Linotype" w:cs="Arial"/>
          <w:i/>
          <w:szCs w:val="22"/>
        </w:rPr>
      </w:pPr>
    </w:p>
    <w:p w:rsidR="002D48C5" w:rsidRPr="00281E73" w:rsidRDefault="002D48C5" w:rsidP="002D48C5">
      <w:pPr>
        <w:pStyle w:val="Prrafodelista"/>
        <w:spacing w:line="360" w:lineRule="auto"/>
        <w:jc w:val="both"/>
        <w:rPr>
          <w:rFonts w:ascii="Palatino Linotype" w:hAnsi="Palatino Linotype"/>
          <w:bCs/>
          <w:i/>
          <w:iCs/>
          <w:szCs w:val="22"/>
        </w:rPr>
      </w:pPr>
      <w:r w:rsidRPr="00281E73">
        <w:rPr>
          <w:rFonts w:ascii="Palatino Linotype" w:hAnsi="Palatino Linotype"/>
          <w:b/>
          <w:szCs w:val="22"/>
        </w:rPr>
        <w:t xml:space="preserve">Acto impugnado: </w:t>
      </w:r>
      <w:r w:rsidRPr="00281E73">
        <w:rPr>
          <w:rFonts w:ascii="Palatino Linotype" w:hAnsi="Palatino Linotype"/>
          <w:bCs/>
          <w:i/>
          <w:iCs/>
          <w:szCs w:val="22"/>
        </w:rPr>
        <w:t>“</w:t>
      </w:r>
      <w:r w:rsidR="003862EF" w:rsidRPr="00281E73">
        <w:rPr>
          <w:rFonts w:ascii="Palatino Linotype" w:eastAsia="Calibri" w:hAnsi="Palatino Linotype" w:cs="Tahoma"/>
          <w:i/>
          <w:szCs w:val="22"/>
          <w:lang w:eastAsia="en-US"/>
        </w:rPr>
        <w:t>No hay respuesta</w:t>
      </w:r>
      <w:r w:rsidR="003862EF" w:rsidRPr="00281E73">
        <w:rPr>
          <w:rFonts w:ascii="Palatino Linotype" w:hAnsi="Palatino Linotype"/>
          <w:bCs/>
          <w:i/>
          <w:iCs/>
          <w:szCs w:val="22"/>
        </w:rPr>
        <w:t>” (sic) y;</w:t>
      </w:r>
    </w:p>
    <w:p w:rsidR="003862EF" w:rsidRPr="00281E73" w:rsidRDefault="003862EF" w:rsidP="002D48C5">
      <w:pPr>
        <w:pStyle w:val="Prrafodelista"/>
        <w:spacing w:line="360" w:lineRule="auto"/>
        <w:jc w:val="both"/>
        <w:rPr>
          <w:rFonts w:ascii="Palatino Linotype" w:hAnsi="Palatino Linotype" w:cstheme="minorBidi"/>
          <w:bCs/>
          <w:i/>
          <w:iCs/>
          <w:szCs w:val="22"/>
        </w:rPr>
      </w:pPr>
    </w:p>
    <w:p w:rsidR="002D48C5" w:rsidRPr="00281E73" w:rsidRDefault="003862EF" w:rsidP="003862EF">
      <w:pPr>
        <w:pStyle w:val="Prrafodelista"/>
        <w:spacing w:line="360" w:lineRule="auto"/>
        <w:jc w:val="both"/>
        <w:rPr>
          <w:rFonts w:ascii="Palatino Linotype" w:eastAsia="Calibri" w:hAnsi="Palatino Linotype" w:cs="Arial"/>
          <w:szCs w:val="22"/>
          <w:lang w:val="es-ES"/>
        </w:rPr>
      </w:pPr>
      <w:r w:rsidRPr="00281E73">
        <w:rPr>
          <w:rFonts w:ascii="Palatino Linotype" w:hAnsi="Palatino Linotype"/>
          <w:b/>
          <w:szCs w:val="22"/>
        </w:rPr>
        <w:t xml:space="preserve">No señaló </w:t>
      </w:r>
      <w:r w:rsidR="002D48C5" w:rsidRPr="00281E73">
        <w:rPr>
          <w:rFonts w:ascii="Palatino Linotype" w:hAnsi="Palatino Linotype"/>
          <w:b/>
          <w:szCs w:val="22"/>
        </w:rPr>
        <w:t>Raz</w:t>
      </w:r>
      <w:r w:rsidRPr="00281E73">
        <w:rPr>
          <w:rFonts w:ascii="Palatino Linotype" w:hAnsi="Palatino Linotype"/>
          <w:b/>
          <w:szCs w:val="22"/>
        </w:rPr>
        <w:t>ones o Motivos de Inconformidad</w:t>
      </w:r>
    </w:p>
    <w:p w:rsidR="002D48C5" w:rsidRPr="00281E73" w:rsidRDefault="002D48C5" w:rsidP="003862EF">
      <w:pPr>
        <w:numPr>
          <w:ilvl w:val="0"/>
          <w:numId w:val="3"/>
        </w:numPr>
        <w:spacing w:before="100" w:beforeAutospacing="1" w:after="100" w:afterAutospacing="1" w:line="360" w:lineRule="auto"/>
        <w:jc w:val="both"/>
        <w:rPr>
          <w:rFonts w:ascii="Palatino Linotype" w:hAnsi="Palatino Linotype" w:cs="Arial"/>
          <w:b/>
          <w:bCs/>
          <w:sz w:val="22"/>
          <w:szCs w:val="22"/>
          <w:lang w:eastAsia="es-MX"/>
        </w:rPr>
      </w:pPr>
      <w:r w:rsidRPr="00281E73">
        <w:rPr>
          <w:rFonts w:ascii="Palatino Linotype" w:eastAsia="Calibri" w:hAnsi="Palatino Linotype" w:cs="Arial"/>
          <w:sz w:val="22"/>
          <w:szCs w:val="22"/>
          <w:lang w:val="es-ES"/>
        </w:rPr>
        <w:t xml:space="preserve">A la interposición del recurso se adjuntó el archivo denominado </w:t>
      </w:r>
      <w:r w:rsidR="003862EF" w:rsidRPr="00281E73">
        <w:rPr>
          <w:rFonts w:ascii="Palatino Linotype" w:hAnsi="Palatino Linotype" w:cs="Arial"/>
          <w:b/>
          <w:bCs/>
          <w:sz w:val="22"/>
          <w:szCs w:val="22"/>
          <w:lang w:eastAsia="es-MX"/>
        </w:rPr>
        <w:t>Archivo1711516141923null</w:t>
      </w:r>
      <w:r w:rsidRPr="00281E73">
        <w:rPr>
          <w:rFonts w:ascii="Palatino Linotype" w:hAnsi="Palatino Linotype" w:cs="Arial"/>
          <w:sz w:val="22"/>
          <w:szCs w:val="22"/>
          <w:lang w:eastAsia="es-MX"/>
        </w:rPr>
        <w:t>, al cual no se puede acceder.</w:t>
      </w:r>
    </w:p>
    <w:bookmarkEnd w:id="1"/>
    <w:bookmarkEnd w:id="2"/>
    <w:bookmarkEnd w:id="3"/>
    <w:p w:rsidR="002D48C5" w:rsidRPr="00281E73" w:rsidRDefault="002D48C5" w:rsidP="002D48C5">
      <w:pPr>
        <w:pStyle w:val="Prrafodelista"/>
        <w:numPr>
          <w:ilvl w:val="0"/>
          <w:numId w:val="2"/>
        </w:numPr>
        <w:spacing w:before="240" w:after="240" w:line="360" w:lineRule="auto"/>
        <w:ind w:left="0" w:firstLine="0"/>
        <w:jc w:val="both"/>
        <w:rPr>
          <w:rFonts w:ascii="Palatino Linotype" w:eastAsia="Calibri" w:hAnsi="Palatino Linotype" w:cs="Arial"/>
          <w:szCs w:val="22"/>
          <w:lang w:val="es-AR"/>
        </w:rPr>
      </w:pPr>
      <w:r w:rsidRPr="00281E73">
        <w:rPr>
          <w:rFonts w:ascii="Palatino Linotype" w:hAnsi="Palatino Linotype" w:cs="Arial"/>
          <w:szCs w:val="22"/>
          <w:lang w:val="es-ES"/>
        </w:rPr>
        <w:t xml:space="preserve">Se registró el recurso de revisión bajo el número de expediente </w:t>
      </w:r>
      <w:r w:rsidRPr="00281E73">
        <w:rPr>
          <w:rFonts w:ascii="Palatino Linotype" w:hAnsi="Palatino Linotype" w:cs="Arial"/>
          <w:bCs/>
          <w:szCs w:val="22"/>
        </w:rPr>
        <w:t xml:space="preserve">al rubro indicado, asimismo con fundamento en lo dispuesto por el </w:t>
      </w:r>
      <w:r w:rsidRPr="00281E73">
        <w:rPr>
          <w:rFonts w:ascii="Palatino Linotype" w:eastAsia="Calibri" w:hAnsi="Palatino Linotype" w:cs="Arial"/>
          <w:szCs w:val="22"/>
          <w:lang w:val="es-ES"/>
        </w:rPr>
        <w:t xml:space="preserve">artículo 185 fracción I de la </w:t>
      </w:r>
      <w:r w:rsidRPr="00281E73">
        <w:rPr>
          <w:rFonts w:ascii="Palatino Linotype" w:eastAsia="Calibri" w:hAnsi="Palatino Linotype" w:cs="Arial"/>
          <w:b/>
          <w:szCs w:val="22"/>
          <w:lang w:val="es-ES"/>
        </w:rPr>
        <w:t xml:space="preserve">Ley de Transparencia y Acceso a la Información Pública del Estado de México y Municipios </w:t>
      </w:r>
      <w:r w:rsidRPr="00281E73">
        <w:rPr>
          <w:rFonts w:ascii="Palatino Linotype" w:hAnsi="Palatino Linotype" w:cs="Arial"/>
          <w:szCs w:val="22"/>
          <w:lang w:val="es-ES"/>
        </w:rPr>
        <w:t xml:space="preserve">se turnó a la </w:t>
      </w:r>
      <w:r w:rsidRPr="00281E73">
        <w:rPr>
          <w:rFonts w:ascii="Palatino Linotype" w:hAnsi="Palatino Linotype" w:cs="Arial"/>
          <w:b/>
          <w:szCs w:val="22"/>
          <w:lang w:val="es-ES"/>
        </w:rPr>
        <w:t xml:space="preserve">Comisionada María del Rosario Mejía Ayala, </w:t>
      </w:r>
      <w:r w:rsidRPr="00281E73">
        <w:rPr>
          <w:rFonts w:ascii="Palatino Linotype" w:hAnsi="Palatino Linotype" w:cs="Arial"/>
          <w:szCs w:val="22"/>
          <w:lang w:val="es-ES"/>
        </w:rPr>
        <w:t xml:space="preserve">con el objeto de </w:t>
      </w:r>
      <w:r w:rsidRPr="00281E73">
        <w:rPr>
          <w:rFonts w:ascii="Palatino Linotype" w:hAnsi="Palatino Linotype" w:cs="Arial"/>
          <w:szCs w:val="22"/>
        </w:rPr>
        <w:t>su análisis.</w:t>
      </w:r>
    </w:p>
    <w:p w:rsidR="002D48C5" w:rsidRPr="00281E73" w:rsidRDefault="002D48C5" w:rsidP="002D48C5">
      <w:pPr>
        <w:pStyle w:val="Prrafodelista"/>
        <w:spacing w:before="240" w:after="240" w:line="360" w:lineRule="auto"/>
        <w:ind w:left="0"/>
        <w:jc w:val="both"/>
        <w:rPr>
          <w:rFonts w:ascii="Palatino Linotype" w:eastAsia="Calibri" w:hAnsi="Palatino Linotype" w:cs="Arial"/>
          <w:szCs w:val="22"/>
          <w:lang w:val="es-AR"/>
        </w:rPr>
      </w:pPr>
    </w:p>
    <w:p w:rsidR="002D48C5" w:rsidRPr="00281E73" w:rsidRDefault="002D48C5" w:rsidP="00A71BAF">
      <w:pPr>
        <w:pStyle w:val="Prrafodelista"/>
        <w:numPr>
          <w:ilvl w:val="0"/>
          <w:numId w:val="2"/>
        </w:numPr>
        <w:spacing w:before="240" w:after="240" w:line="360" w:lineRule="auto"/>
        <w:ind w:left="0" w:firstLine="0"/>
        <w:jc w:val="both"/>
        <w:rPr>
          <w:rFonts w:ascii="Palatino Linotype" w:eastAsiaTheme="minorEastAsia" w:hAnsi="Palatino Linotype" w:cstheme="minorBidi"/>
          <w:i/>
          <w:color w:val="000000"/>
          <w:szCs w:val="22"/>
          <w:lang w:val="es-ES_tradnl"/>
        </w:rPr>
      </w:pPr>
      <w:r w:rsidRPr="00281E73">
        <w:rPr>
          <w:rFonts w:ascii="Palatino Linotype" w:eastAsia="Calibri" w:hAnsi="Palatino Linotype" w:cs="Arial"/>
          <w:szCs w:val="22"/>
          <w:lang w:val="es-ES"/>
        </w:rPr>
        <w:lastRenderedPageBreak/>
        <w:t xml:space="preserve">La Comisionada Ponente con fundamento en lo dispuesto por el artículo 185 fracción II de la ley de la materia, a través del acuerdo de admisión de fecha </w:t>
      </w:r>
      <w:r w:rsidR="003862EF" w:rsidRPr="00281E73">
        <w:rPr>
          <w:rFonts w:ascii="Palatino Linotype" w:eastAsia="Calibri" w:hAnsi="Palatino Linotype" w:cs="Arial"/>
          <w:szCs w:val="22"/>
          <w:lang w:val="es-ES"/>
        </w:rPr>
        <w:t>dos (02) de abril</w:t>
      </w:r>
      <w:r w:rsidRPr="00281E73">
        <w:rPr>
          <w:rFonts w:ascii="Palatino Linotype" w:eastAsia="Calibri" w:hAnsi="Palatino Linotype" w:cs="Arial"/>
          <w:szCs w:val="22"/>
          <w:lang w:val="es-ES"/>
        </w:rPr>
        <w:t xml:space="preserve"> de dos mil veinticuatro, puso a disposición de las partes el expediente electrónico </w:t>
      </w:r>
      <w:r w:rsidRPr="00281E73">
        <w:rPr>
          <w:rFonts w:ascii="Palatino Linotype" w:eastAsia="Calibri" w:hAnsi="Palatino Linotype" w:cs="Arial"/>
          <w:szCs w:val="22"/>
        </w:rPr>
        <w:t xml:space="preserve">vía </w:t>
      </w:r>
      <w:r w:rsidRPr="00281E73">
        <w:rPr>
          <w:rFonts w:ascii="Palatino Linotype" w:eastAsia="Calibri" w:hAnsi="Palatino Linotype" w:cs="Arial"/>
          <w:b/>
          <w:szCs w:val="22"/>
          <w:lang w:val="es-ES"/>
        </w:rPr>
        <w:t xml:space="preserve">SAIMEX </w:t>
      </w:r>
      <w:r w:rsidRPr="00281E73">
        <w:rPr>
          <w:rFonts w:ascii="Palatino Linotype" w:eastAsia="Calibri" w:hAnsi="Palatino Linotype" w:cs="Arial"/>
          <w:szCs w:val="22"/>
          <w:lang w:val="es-ES"/>
        </w:rPr>
        <w:t xml:space="preserve">a efecto de que en un plazo máximo de siete días manifestaran lo que a derecho convinieran, ofrecieran pruebas y alegatos según corresponda al caso concreto, de esta forma para que el </w:t>
      </w:r>
      <w:r w:rsidRPr="00281E73">
        <w:rPr>
          <w:rFonts w:ascii="Palatino Linotype" w:eastAsia="Calibri" w:hAnsi="Palatino Linotype" w:cs="Arial"/>
          <w:b/>
          <w:szCs w:val="22"/>
          <w:lang w:val="es-ES"/>
        </w:rPr>
        <w:t>SUJETO OBLIGADO</w:t>
      </w:r>
      <w:r w:rsidRPr="00281E73">
        <w:rPr>
          <w:rFonts w:ascii="Palatino Linotype" w:eastAsia="Calibri" w:hAnsi="Palatino Linotype" w:cs="Arial"/>
          <w:szCs w:val="22"/>
          <w:lang w:val="es-ES"/>
        </w:rPr>
        <w:t xml:space="preserve"> presentara el informe justificado procedente.</w:t>
      </w:r>
    </w:p>
    <w:p w:rsidR="002D48C5" w:rsidRPr="00281E73" w:rsidRDefault="002D48C5" w:rsidP="00A71BAF">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281E73">
        <w:rPr>
          <w:rFonts w:ascii="Palatino Linotype" w:eastAsiaTheme="minorEastAsia" w:hAnsi="Palatino Linotype"/>
          <w:color w:val="000000"/>
          <w:sz w:val="22"/>
          <w:szCs w:val="22"/>
          <w:lang w:val="es-ES_tradnl"/>
        </w:rPr>
        <w:t>E</w:t>
      </w:r>
      <w:r w:rsidR="00A71BAF" w:rsidRPr="00281E73">
        <w:rPr>
          <w:rFonts w:ascii="Palatino Linotype" w:eastAsiaTheme="minorEastAsia" w:hAnsi="Palatino Linotype"/>
          <w:color w:val="000000"/>
          <w:sz w:val="22"/>
          <w:szCs w:val="22"/>
          <w:lang w:val="es-ES_tradnl"/>
        </w:rPr>
        <w:t>l once (11) de abril de dos mil veinticuatro</w:t>
      </w:r>
      <w:r w:rsidRPr="00281E73">
        <w:rPr>
          <w:rFonts w:ascii="Palatino Linotype" w:eastAsiaTheme="minorEastAsia" w:hAnsi="Palatino Linotype"/>
          <w:color w:val="000000"/>
          <w:sz w:val="22"/>
          <w:szCs w:val="22"/>
          <w:lang w:val="es-ES_tradnl"/>
        </w:rPr>
        <w:t>, el Sujeto Obligado rindió informe justificado y fue puesto a la vista del particul</w:t>
      </w:r>
      <w:r w:rsidR="00A71BAF" w:rsidRPr="00281E73">
        <w:rPr>
          <w:rFonts w:ascii="Palatino Linotype" w:eastAsiaTheme="minorEastAsia" w:hAnsi="Palatino Linotype"/>
          <w:color w:val="000000"/>
          <w:sz w:val="22"/>
          <w:szCs w:val="22"/>
          <w:lang w:val="es-ES_tradnl"/>
        </w:rPr>
        <w:t>ar el cinco (05) de noviembre</w:t>
      </w:r>
      <w:r w:rsidRPr="00281E73">
        <w:rPr>
          <w:rFonts w:ascii="Palatino Linotype" w:eastAsiaTheme="minorEastAsia" w:hAnsi="Palatino Linotype"/>
          <w:color w:val="000000"/>
          <w:sz w:val="22"/>
          <w:szCs w:val="22"/>
          <w:lang w:val="es-ES_tradnl"/>
        </w:rPr>
        <w:t xml:space="preserve"> de dos mil veinticuatro; los archivos adjuntos se describen enseguida:</w:t>
      </w:r>
    </w:p>
    <w:p w:rsidR="00A71BAF" w:rsidRPr="00281E73" w:rsidRDefault="00AE1998" w:rsidP="007B2504">
      <w:pPr>
        <w:pStyle w:val="Prrafodelista"/>
        <w:numPr>
          <w:ilvl w:val="0"/>
          <w:numId w:val="4"/>
        </w:numPr>
        <w:spacing w:line="360" w:lineRule="auto"/>
        <w:ind w:left="851" w:right="822" w:hanging="11"/>
        <w:jc w:val="both"/>
        <w:rPr>
          <w:rFonts w:ascii="Palatino Linotype" w:eastAsiaTheme="minorEastAsia" w:hAnsi="Palatino Linotype"/>
          <w:b/>
          <w:szCs w:val="22"/>
          <w:lang w:val="es-ES_tradnl"/>
        </w:rPr>
      </w:pPr>
      <w:hyperlink r:id="rId8" w:history="1">
        <w:r w:rsidR="00A71BAF" w:rsidRPr="00281E73">
          <w:rPr>
            <w:rStyle w:val="Hipervnculo"/>
            <w:rFonts w:ascii="Palatino Linotype" w:eastAsiaTheme="majorEastAsia" w:hAnsi="Palatino Linotype" w:cs="Arial"/>
            <w:b/>
            <w:bCs/>
            <w:color w:val="auto"/>
            <w:szCs w:val="22"/>
          </w:rPr>
          <w:t>211-TEOTIHUA-UT-2024.pdf</w:t>
        </w:r>
      </w:hyperlink>
      <w:r w:rsidR="00A71BAF" w:rsidRPr="00281E73">
        <w:rPr>
          <w:rFonts w:ascii="Palatino Linotype" w:eastAsiaTheme="majorEastAsia" w:hAnsi="Palatino Linotype" w:cs="Arial"/>
          <w:b/>
          <w:bCs/>
          <w:szCs w:val="22"/>
        </w:rPr>
        <w:t xml:space="preserve">: </w:t>
      </w:r>
      <w:r w:rsidR="00A71BAF" w:rsidRPr="00281E73">
        <w:rPr>
          <w:rFonts w:ascii="Palatino Linotype" w:eastAsiaTheme="majorEastAsia" w:hAnsi="Palatino Linotype" w:cs="Arial"/>
          <w:bCs/>
          <w:szCs w:val="22"/>
        </w:rPr>
        <w:t xml:space="preserve">oficio número 211/TEOTIHUA/UT/2024, de fecha once de abril de dos mil veinticuatro, suscrito por el Titular de la Unidad de Transparencia, con asunto de informe justificado en el que señaló, de forma medular, </w:t>
      </w:r>
      <w:r w:rsidR="007B2504" w:rsidRPr="00281E73">
        <w:rPr>
          <w:rFonts w:ascii="Palatino Linotype" w:eastAsiaTheme="majorEastAsia" w:hAnsi="Palatino Linotype" w:cs="Arial"/>
          <w:bCs/>
          <w:szCs w:val="22"/>
        </w:rPr>
        <w:t>que se realizó el requerimiento de información a los servidores públicos habilitados, sin embargo, únicamente se recibió respuesta al segundo cuestionamiento por parte de la Dirección o Unidad Jurídica. Asimismo, señaló que solicitó al Presidente Municipal</w:t>
      </w:r>
      <w:r w:rsidR="00191FD4" w:rsidRPr="00281E73">
        <w:rPr>
          <w:rFonts w:ascii="Palatino Linotype" w:eastAsiaTheme="majorEastAsia" w:hAnsi="Palatino Linotype" w:cs="Arial"/>
          <w:bCs/>
          <w:szCs w:val="22"/>
        </w:rPr>
        <w:t xml:space="preserve"> para que este requiriera a la Dirección de Desarrollo Urbano a dar respuesta a la solicitud de información</w:t>
      </w:r>
      <w:r w:rsidR="00CD016C" w:rsidRPr="00281E73">
        <w:rPr>
          <w:rFonts w:ascii="Palatino Linotype" w:eastAsiaTheme="majorEastAsia" w:hAnsi="Palatino Linotype" w:cs="Arial"/>
          <w:bCs/>
          <w:szCs w:val="22"/>
        </w:rPr>
        <w:t>, el cual, a la fecha no había emitido respuesta.</w:t>
      </w:r>
    </w:p>
    <w:p w:rsidR="00A71BAF" w:rsidRPr="00281E73" w:rsidRDefault="00A71BAF" w:rsidP="007B2504">
      <w:pPr>
        <w:pStyle w:val="Prrafodelista"/>
        <w:spacing w:line="360" w:lineRule="auto"/>
        <w:ind w:left="851" w:right="822" w:hanging="11"/>
        <w:jc w:val="both"/>
        <w:rPr>
          <w:rFonts w:ascii="Palatino Linotype" w:eastAsiaTheme="minorEastAsia" w:hAnsi="Palatino Linotype"/>
          <w:b/>
          <w:szCs w:val="22"/>
          <w:lang w:val="es-ES_tradnl"/>
        </w:rPr>
      </w:pPr>
    </w:p>
    <w:p w:rsidR="00A71BAF" w:rsidRPr="00281E73" w:rsidRDefault="00AE1998" w:rsidP="007B2504">
      <w:pPr>
        <w:pStyle w:val="Prrafodelista"/>
        <w:numPr>
          <w:ilvl w:val="0"/>
          <w:numId w:val="4"/>
        </w:numPr>
        <w:spacing w:line="360" w:lineRule="auto"/>
        <w:ind w:left="851" w:right="822" w:hanging="11"/>
        <w:jc w:val="both"/>
        <w:rPr>
          <w:rFonts w:ascii="Palatino Linotype" w:eastAsiaTheme="minorEastAsia" w:hAnsi="Palatino Linotype"/>
          <w:b/>
          <w:szCs w:val="22"/>
          <w:lang w:val="es-ES_tradnl"/>
        </w:rPr>
      </w:pPr>
      <w:hyperlink r:id="rId9" w:history="1">
        <w:r w:rsidR="00A71BAF" w:rsidRPr="00281E73">
          <w:rPr>
            <w:rStyle w:val="Hipervnculo"/>
            <w:rFonts w:ascii="Palatino Linotype" w:eastAsiaTheme="minorEastAsia" w:hAnsi="Palatino Linotype"/>
            <w:b/>
            <w:bCs/>
            <w:color w:val="auto"/>
            <w:szCs w:val="22"/>
          </w:rPr>
          <w:t>Anexos.pdf</w:t>
        </w:r>
      </w:hyperlink>
      <w:r w:rsidR="00CD016C" w:rsidRPr="00281E73">
        <w:rPr>
          <w:rFonts w:ascii="Palatino Linotype" w:eastAsiaTheme="minorEastAsia" w:hAnsi="Palatino Linotype"/>
          <w:b/>
          <w:szCs w:val="22"/>
          <w:lang w:val="es-ES_tradnl"/>
        </w:rPr>
        <w:t xml:space="preserve">, </w:t>
      </w:r>
      <w:r w:rsidR="00CD016C" w:rsidRPr="00281E73">
        <w:rPr>
          <w:rFonts w:ascii="Palatino Linotype" w:eastAsiaTheme="minorEastAsia" w:hAnsi="Palatino Linotype"/>
          <w:szCs w:val="22"/>
          <w:lang w:val="es-ES_tradnl"/>
        </w:rPr>
        <w:t>archivo en el que se advierten los oficios que se describen grosso modo:</w:t>
      </w:r>
    </w:p>
    <w:p w:rsidR="00CD016C" w:rsidRPr="00281E73" w:rsidRDefault="00CD016C" w:rsidP="00CD016C">
      <w:pPr>
        <w:pStyle w:val="Prrafodelista"/>
        <w:rPr>
          <w:rFonts w:ascii="Palatino Linotype" w:eastAsiaTheme="minorEastAsia" w:hAnsi="Palatino Linotype"/>
          <w:b/>
          <w:szCs w:val="22"/>
          <w:lang w:val="es-ES_tradnl"/>
        </w:rPr>
      </w:pPr>
    </w:p>
    <w:p w:rsidR="00CD016C" w:rsidRPr="00281E73" w:rsidRDefault="00CD016C" w:rsidP="00CD016C">
      <w:pPr>
        <w:pStyle w:val="Prrafodelista"/>
        <w:numPr>
          <w:ilvl w:val="0"/>
          <w:numId w:val="6"/>
        </w:numPr>
        <w:spacing w:line="360" w:lineRule="auto"/>
        <w:ind w:right="822"/>
        <w:jc w:val="both"/>
        <w:rPr>
          <w:rFonts w:ascii="Palatino Linotype" w:eastAsiaTheme="minorEastAsia" w:hAnsi="Palatino Linotype"/>
          <w:szCs w:val="22"/>
          <w:lang w:val="es-ES_tradnl"/>
        </w:rPr>
      </w:pPr>
      <w:r w:rsidRPr="00281E73">
        <w:rPr>
          <w:rFonts w:ascii="Palatino Linotype" w:eastAsiaTheme="minorEastAsia" w:hAnsi="Palatino Linotype"/>
          <w:szCs w:val="22"/>
          <w:lang w:val="es-ES_tradnl"/>
        </w:rPr>
        <w:lastRenderedPageBreak/>
        <w:t>Oficio número 191/TEOTIHUA/UT/2024 de fecha uno de abril de dos mil veinticuatro, suscrito por el Titular de la Unidad de Transparencia y dirigido al Director de Desarrollo Urbano, para emita informe justificado.</w:t>
      </w:r>
    </w:p>
    <w:p w:rsidR="00CD016C" w:rsidRPr="00281E73" w:rsidRDefault="00CD016C" w:rsidP="00CD016C">
      <w:pPr>
        <w:pStyle w:val="Prrafodelista"/>
        <w:numPr>
          <w:ilvl w:val="0"/>
          <w:numId w:val="6"/>
        </w:numPr>
        <w:spacing w:line="360" w:lineRule="auto"/>
        <w:ind w:right="822"/>
        <w:jc w:val="both"/>
        <w:rPr>
          <w:rFonts w:ascii="Palatino Linotype" w:eastAsiaTheme="minorEastAsia" w:hAnsi="Palatino Linotype"/>
          <w:szCs w:val="22"/>
          <w:lang w:val="es-ES_tradnl"/>
        </w:rPr>
      </w:pPr>
      <w:r w:rsidRPr="00281E73">
        <w:rPr>
          <w:rFonts w:ascii="Palatino Linotype" w:eastAsiaTheme="minorEastAsia" w:hAnsi="Palatino Linotype"/>
          <w:szCs w:val="22"/>
          <w:lang w:val="es-ES_tradnl"/>
        </w:rPr>
        <w:t>Oficio número PM/093/2024 de fecha veintidós de marzo de dos mil veinticuatro, suscrito por el Presidente Municipal y dirigido al Director de Desarrollo Urbano, en el que le solicitó dar cumplimiento a la solicitud de información.</w:t>
      </w:r>
    </w:p>
    <w:p w:rsidR="00CD016C" w:rsidRPr="00281E73" w:rsidRDefault="00CD016C" w:rsidP="00CD016C">
      <w:pPr>
        <w:pStyle w:val="Prrafodelista"/>
        <w:numPr>
          <w:ilvl w:val="0"/>
          <w:numId w:val="6"/>
        </w:numPr>
        <w:spacing w:line="360" w:lineRule="auto"/>
        <w:ind w:right="822"/>
        <w:jc w:val="both"/>
        <w:rPr>
          <w:rFonts w:ascii="Palatino Linotype" w:eastAsiaTheme="minorEastAsia" w:hAnsi="Palatino Linotype"/>
          <w:szCs w:val="22"/>
          <w:lang w:val="es-ES_tradnl"/>
        </w:rPr>
      </w:pPr>
      <w:r w:rsidRPr="00281E73">
        <w:rPr>
          <w:rFonts w:ascii="Palatino Linotype" w:eastAsiaTheme="minorEastAsia" w:hAnsi="Palatino Linotype"/>
          <w:szCs w:val="22"/>
          <w:lang w:val="es-ES_tradnl"/>
        </w:rPr>
        <w:t xml:space="preserve">Oficio número 180/TEOTIHUA/UT/2024 de fecha veintiuno de marzo de dos mil veinticuatro, suscrito por el Titular de la Unidad de Transparencia y dirigido al Presidente Municipal </w:t>
      </w:r>
      <w:r w:rsidR="00315292" w:rsidRPr="00281E73">
        <w:rPr>
          <w:rFonts w:ascii="Palatino Linotype" w:eastAsiaTheme="minorEastAsia" w:hAnsi="Palatino Linotype"/>
          <w:szCs w:val="22"/>
          <w:lang w:val="es-ES_tradnl"/>
        </w:rPr>
        <w:t xml:space="preserve">para que le ordene al Director de Desarrollo Urbano atender la solicitud de información. </w:t>
      </w:r>
    </w:p>
    <w:p w:rsidR="00315292" w:rsidRPr="00281E73" w:rsidRDefault="00315292" w:rsidP="00CD016C">
      <w:pPr>
        <w:pStyle w:val="Prrafodelista"/>
        <w:numPr>
          <w:ilvl w:val="0"/>
          <w:numId w:val="6"/>
        </w:numPr>
        <w:spacing w:line="360" w:lineRule="auto"/>
        <w:ind w:right="822"/>
        <w:jc w:val="both"/>
        <w:rPr>
          <w:rFonts w:ascii="Palatino Linotype" w:eastAsiaTheme="minorEastAsia" w:hAnsi="Palatino Linotype"/>
          <w:szCs w:val="22"/>
          <w:lang w:val="es-ES_tradnl"/>
        </w:rPr>
      </w:pPr>
      <w:r w:rsidRPr="00281E73">
        <w:rPr>
          <w:rFonts w:ascii="Palatino Linotype" w:eastAsiaTheme="minorEastAsia" w:hAnsi="Palatino Linotype"/>
          <w:szCs w:val="22"/>
          <w:lang w:val="es-ES_tradnl"/>
        </w:rPr>
        <w:t xml:space="preserve">Oficio número UJC/0012/2024 de fecha veintiocho de febrero de dos mil veinticuatro, suscrito por el Coordinador de la Unidad Jurídica y Consultiva, dirigida al Titular de la Unidad de Transparencia, en el que dio respuesta al planteamiento 2 de la solicitud de información en sentido negativo. </w:t>
      </w:r>
    </w:p>
    <w:p w:rsidR="00315292" w:rsidRPr="00281E73" w:rsidRDefault="00315292" w:rsidP="00CD016C">
      <w:pPr>
        <w:pStyle w:val="Prrafodelista"/>
        <w:numPr>
          <w:ilvl w:val="0"/>
          <w:numId w:val="6"/>
        </w:numPr>
        <w:spacing w:line="360" w:lineRule="auto"/>
        <w:ind w:right="822"/>
        <w:jc w:val="both"/>
        <w:rPr>
          <w:rFonts w:ascii="Palatino Linotype" w:eastAsiaTheme="minorEastAsia" w:hAnsi="Palatino Linotype"/>
          <w:szCs w:val="22"/>
          <w:lang w:val="es-ES_tradnl"/>
        </w:rPr>
      </w:pPr>
      <w:r w:rsidRPr="00281E73">
        <w:rPr>
          <w:rFonts w:ascii="Palatino Linotype" w:eastAsiaTheme="minorEastAsia" w:hAnsi="Palatino Linotype"/>
          <w:szCs w:val="22"/>
          <w:lang w:val="es-ES_tradnl"/>
        </w:rPr>
        <w:t xml:space="preserve">Oficio número 135/TEOTIHUA/UT/2024 de fecha veintiséis de febrero de dos mil veinticuatro, suscrito por el Titular de la Unidad de Transparencia y dirigido al Director de Desarrollo Urbano, para que de respuesta a la solicitud de información. </w:t>
      </w:r>
    </w:p>
    <w:p w:rsidR="00315292" w:rsidRPr="00281E73" w:rsidRDefault="00315292" w:rsidP="00CD016C">
      <w:pPr>
        <w:pStyle w:val="Prrafodelista"/>
        <w:numPr>
          <w:ilvl w:val="0"/>
          <w:numId w:val="6"/>
        </w:numPr>
        <w:spacing w:line="360" w:lineRule="auto"/>
        <w:ind w:right="822"/>
        <w:jc w:val="both"/>
        <w:rPr>
          <w:rFonts w:ascii="Palatino Linotype" w:eastAsiaTheme="minorEastAsia" w:hAnsi="Palatino Linotype"/>
          <w:szCs w:val="22"/>
          <w:lang w:val="es-ES_tradnl"/>
        </w:rPr>
      </w:pPr>
      <w:r w:rsidRPr="00281E73">
        <w:rPr>
          <w:rFonts w:ascii="Palatino Linotype" w:eastAsiaTheme="minorEastAsia" w:hAnsi="Palatino Linotype"/>
          <w:szCs w:val="22"/>
          <w:lang w:val="es-ES_tradnl"/>
        </w:rPr>
        <w:t xml:space="preserve">Oficio número 134/TEOTIHUA/UT/2024 de fecha veintiséis de febrero de dos mil veinticuatro, suscrito por el </w:t>
      </w:r>
      <w:r w:rsidR="00C5091F" w:rsidRPr="00281E73">
        <w:rPr>
          <w:rFonts w:ascii="Palatino Linotype" w:eastAsiaTheme="minorEastAsia" w:hAnsi="Palatino Linotype"/>
          <w:szCs w:val="22"/>
          <w:lang w:val="es-ES_tradnl"/>
        </w:rPr>
        <w:t xml:space="preserve">Titular de la Unidad de Transparencia y dirigido al Coordinador de la Unidad Jurídica y </w:t>
      </w:r>
      <w:r w:rsidR="00C5091F" w:rsidRPr="00281E73">
        <w:rPr>
          <w:rFonts w:ascii="Palatino Linotype" w:eastAsiaTheme="minorEastAsia" w:hAnsi="Palatino Linotype"/>
          <w:szCs w:val="22"/>
          <w:lang w:val="es-ES_tradnl"/>
        </w:rPr>
        <w:lastRenderedPageBreak/>
        <w:t xml:space="preserve">Consultiva en el que le solicitó dar respuesta a la solicitud de información. </w:t>
      </w:r>
      <w:r w:rsidRPr="00281E73">
        <w:rPr>
          <w:rFonts w:ascii="Palatino Linotype" w:eastAsiaTheme="minorEastAsia" w:hAnsi="Palatino Linotype"/>
          <w:szCs w:val="22"/>
          <w:lang w:val="es-ES_tradnl"/>
        </w:rPr>
        <w:t xml:space="preserve"> </w:t>
      </w:r>
    </w:p>
    <w:p w:rsidR="00A71BAF" w:rsidRPr="00281E73" w:rsidRDefault="00A71BAF" w:rsidP="00A71BAF">
      <w:pPr>
        <w:pStyle w:val="Prrafodelista"/>
        <w:spacing w:line="360" w:lineRule="auto"/>
        <w:jc w:val="both"/>
        <w:rPr>
          <w:rFonts w:ascii="Palatino Linotype" w:eastAsiaTheme="minorEastAsia" w:hAnsi="Palatino Linotype"/>
          <w:b/>
          <w:color w:val="000000"/>
          <w:szCs w:val="22"/>
          <w:lang w:val="es-ES_tradnl"/>
        </w:rPr>
      </w:pPr>
    </w:p>
    <w:p w:rsidR="002D48C5" w:rsidRPr="00281E73" w:rsidRDefault="00C5091F" w:rsidP="002D48C5">
      <w:pPr>
        <w:pStyle w:val="Prrafodelista"/>
        <w:numPr>
          <w:ilvl w:val="0"/>
          <w:numId w:val="2"/>
        </w:numPr>
        <w:spacing w:line="360" w:lineRule="auto"/>
        <w:ind w:left="0" w:firstLine="0"/>
        <w:jc w:val="both"/>
        <w:rPr>
          <w:rFonts w:ascii="Palatino Linotype" w:hAnsi="Palatino Linotype" w:cs="Tahoma"/>
          <w:szCs w:val="22"/>
        </w:rPr>
      </w:pPr>
      <w:r w:rsidRPr="00281E73">
        <w:rPr>
          <w:rFonts w:ascii="Palatino Linotype" w:hAnsi="Palatino Linotype" w:cs="Tahoma"/>
          <w:szCs w:val="22"/>
        </w:rPr>
        <w:t>El siete (07) de junio</w:t>
      </w:r>
      <w:r w:rsidR="002D48C5" w:rsidRPr="00281E73">
        <w:rPr>
          <w:rFonts w:ascii="Palatino Linotype" w:hAnsi="Palatino Linotype" w:cs="Tahoma"/>
          <w:szCs w:val="22"/>
        </w:rPr>
        <w:t xml:space="preserve"> de dos mil veinticuatro, se notificó el acuerdo mediante el cual se amplió el plazo para emitir resolución.</w:t>
      </w:r>
    </w:p>
    <w:p w:rsidR="002D48C5" w:rsidRPr="00281E73" w:rsidRDefault="002D48C5" w:rsidP="002D48C5">
      <w:pPr>
        <w:pStyle w:val="Prrafodelista"/>
        <w:spacing w:line="360" w:lineRule="auto"/>
        <w:ind w:left="0"/>
        <w:jc w:val="both"/>
        <w:rPr>
          <w:rFonts w:ascii="Palatino Linotype" w:hAnsi="Palatino Linotype" w:cs="Tahoma"/>
          <w:szCs w:val="22"/>
        </w:rPr>
      </w:pPr>
    </w:p>
    <w:p w:rsidR="002D48C5" w:rsidRPr="00281E73" w:rsidRDefault="002D48C5" w:rsidP="002D48C5">
      <w:pPr>
        <w:pStyle w:val="Prrafodelista"/>
        <w:numPr>
          <w:ilvl w:val="0"/>
          <w:numId w:val="1"/>
        </w:numPr>
        <w:spacing w:before="240" w:after="240" w:line="360" w:lineRule="auto"/>
        <w:ind w:left="0" w:hanging="11"/>
        <w:jc w:val="both"/>
        <w:rPr>
          <w:rFonts w:ascii="Palatino Linotype" w:hAnsi="Palatino Linotype"/>
          <w:b/>
          <w:szCs w:val="22"/>
          <w:u w:val="single"/>
        </w:rPr>
      </w:pPr>
      <w:r w:rsidRPr="00281E73">
        <w:rPr>
          <w:rFonts w:ascii="Palatino Linotype" w:hAnsi="Palatino Linotype"/>
          <w:szCs w:val="22"/>
        </w:rPr>
        <w:t xml:space="preserve">Este organismo garante no pasa por alto justificar, que el plazo para emitir resolución en el presente asunto encuentra justificación en el alto número de recursos de revisión recibidos dentro del primer semestre del año dos mil </w:t>
      </w:r>
      <w:r w:rsidRPr="00281E73">
        <w:rPr>
          <w:rFonts w:ascii="Palatino Linotype" w:eastAsia="Calibri" w:hAnsi="Palatino Linotype"/>
          <w:szCs w:val="22"/>
          <w:lang w:val="es-ES"/>
        </w:rPr>
        <w:t>veintitrés</w:t>
      </w:r>
      <w:r w:rsidRPr="00281E73">
        <w:rPr>
          <w:rFonts w:ascii="Palatino Linotype" w:hAnsi="Palatino Linotype"/>
          <w:szCs w:val="22"/>
        </w:rPr>
        <w:t>, que, en comparación con los recibidos el año pasado dentro del mismo periodo, se ha incrementado aproximadamente un 400%, circunstancia atípica que ha rebasado las capacidades técnicas y humanas del personal encargado de la proyección de las resoluciones a dichos medios de impugnación.</w:t>
      </w:r>
    </w:p>
    <w:p w:rsidR="002D48C5" w:rsidRPr="00281E73" w:rsidRDefault="002D48C5" w:rsidP="002D48C5">
      <w:pPr>
        <w:pStyle w:val="Prrafodelista"/>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2D48C5" w:rsidRPr="00281E73" w:rsidRDefault="002D48C5" w:rsidP="002D48C5">
      <w:pPr>
        <w:pStyle w:val="Prrafodelista"/>
        <w:spacing w:before="240" w:after="240" w:line="360" w:lineRule="auto"/>
        <w:ind w:left="0"/>
        <w:jc w:val="both"/>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2D48C5" w:rsidRPr="00281E73" w:rsidRDefault="002D48C5" w:rsidP="002D48C5">
      <w:pPr>
        <w:pStyle w:val="Prrafodelista"/>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2D48C5" w:rsidRPr="00281E73" w:rsidRDefault="002D48C5" w:rsidP="002D48C5">
      <w:pPr>
        <w:pStyle w:val="Prrafodelista"/>
        <w:spacing w:before="240" w:after="240" w:line="360" w:lineRule="auto"/>
        <w:ind w:left="0"/>
        <w:jc w:val="both"/>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t xml:space="preserve">Por ello, excepcionalmente, si un asunto es resuelto con posterioridad a los plazos señalados por la norma debe analizarse la razonabilidad del tiempo necesario para su resolución, atentos a los siguientes criterios:   </w:t>
      </w:r>
    </w:p>
    <w:p w:rsidR="002D48C5" w:rsidRPr="00281E73" w:rsidRDefault="002D48C5" w:rsidP="002D48C5">
      <w:pPr>
        <w:pStyle w:val="Prrafodelista"/>
        <w:spacing w:before="240" w:after="240" w:line="360" w:lineRule="auto"/>
        <w:ind w:left="0"/>
        <w:jc w:val="both"/>
        <w:rPr>
          <w:rFonts w:ascii="Palatino Linotype" w:hAnsi="Palatino Linotype"/>
          <w:szCs w:val="22"/>
        </w:rPr>
      </w:pPr>
    </w:p>
    <w:p w:rsidR="002D48C5" w:rsidRPr="00281E73" w:rsidRDefault="002D48C5" w:rsidP="002D48C5">
      <w:pPr>
        <w:pStyle w:val="Prrafodelista"/>
        <w:spacing w:before="240" w:after="240" w:line="360" w:lineRule="auto"/>
        <w:ind w:left="284"/>
        <w:jc w:val="both"/>
        <w:rPr>
          <w:rFonts w:ascii="Palatino Linotype" w:hAnsi="Palatino Linotype"/>
          <w:szCs w:val="22"/>
        </w:rPr>
      </w:pPr>
      <w:r w:rsidRPr="00281E73">
        <w:rPr>
          <w:rFonts w:ascii="Palatino Linotype" w:hAnsi="Palatino Linotype"/>
          <w:szCs w:val="22"/>
        </w:rPr>
        <w:t>a)      Complejidad del asunto: La complejidad de la prueba, la pluralidad de sujetos procesales, el tiempo transcurrido, las características y contexto del recurso.</w:t>
      </w:r>
    </w:p>
    <w:p w:rsidR="002D48C5" w:rsidRPr="00281E73" w:rsidRDefault="002D48C5" w:rsidP="002D48C5">
      <w:pPr>
        <w:pStyle w:val="Prrafodelista"/>
        <w:spacing w:before="240" w:after="240" w:line="360" w:lineRule="auto"/>
        <w:ind w:left="284"/>
        <w:jc w:val="both"/>
        <w:rPr>
          <w:rFonts w:ascii="Palatino Linotype" w:hAnsi="Palatino Linotype"/>
          <w:szCs w:val="22"/>
        </w:rPr>
      </w:pPr>
      <w:r w:rsidRPr="00281E73">
        <w:rPr>
          <w:rFonts w:ascii="Palatino Linotype" w:hAnsi="Palatino Linotype"/>
          <w:szCs w:val="22"/>
        </w:rPr>
        <w:t>b)     Actividad Procesal del interesado: Acciones u omisiones del interesado.</w:t>
      </w:r>
    </w:p>
    <w:p w:rsidR="002D48C5" w:rsidRPr="00281E73" w:rsidRDefault="002D48C5" w:rsidP="002D48C5">
      <w:pPr>
        <w:pStyle w:val="Prrafodelista"/>
        <w:spacing w:before="240" w:after="240" w:line="360" w:lineRule="auto"/>
        <w:ind w:left="284"/>
        <w:jc w:val="both"/>
        <w:rPr>
          <w:rFonts w:ascii="Palatino Linotype" w:hAnsi="Palatino Linotype"/>
          <w:szCs w:val="22"/>
        </w:rPr>
      </w:pPr>
      <w:r w:rsidRPr="00281E73">
        <w:rPr>
          <w:rFonts w:ascii="Palatino Linotype" w:hAnsi="Palatino Linotype"/>
          <w:szCs w:val="22"/>
        </w:rPr>
        <w:t>c)      Conducta de la Autoridad: Las Acciones u omisiones realizadas en el procedimiento. Así como si la autoridad actuó con la debida diligencia.</w:t>
      </w:r>
    </w:p>
    <w:p w:rsidR="002D48C5" w:rsidRPr="00281E73" w:rsidRDefault="002D48C5" w:rsidP="002D48C5">
      <w:pPr>
        <w:pStyle w:val="Prrafodelista"/>
        <w:spacing w:before="240" w:after="240" w:line="360" w:lineRule="auto"/>
        <w:ind w:left="284"/>
        <w:jc w:val="both"/>
        <w:rPr>
          <w:rFonts w:ascii="Palatino Linotype" w:hAnsi="Palatino Linotype"/>
          <w:szCs w:val="22"/>
        </w:rPr>
      </w:pPr>
      <w:r w:rsidRPr="00281E73">
        <w:rPr>
          <w:rFonts w:ascii="Palatino Linotype" w:hAnsi="Palatino Linotype"/>
          <w:szCs w:val="22"/>
        </w:rPr>
        <w:t>d) La afectación generada en la situación jurídica de la persona involucrada en el proceso: Violación a sus derechos humanos.</w:t>
      </w:r>
    </w:p>
    <w:p w:rsidR="002D48C5" w:rsidRPr="00281E73" w:rsidRDefault="002D48C5" w:rsidP="002D48C5">
      <w:pPr>
        <w:pStyle w:val="Prrafodelista"/>
        <w:spacing w:before="240" w:after="240" w:line="360" w:lineRule="auto"/>
        <w:ind w:left="0"/>
        <w:jc w:val="both"/>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2D48C5" w:rsidRPr="00281E73" w:rsidRDefault="002D48C5" w:rsidP="002D48C5">
      <w:pPr>
        <w:pStyle w:val="Prrafodelista"/>
        <w:spacing w:before="240" w:after="240" w:line="360" w:lineRule="auto"/>
        <w:ind w:left="0"/>
        <w:jc w:val="both"/>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lastRenderedPageBreak/>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rsidR="002D48C5" w:rsidRPr="00281E73" w:rsidRDefault="002D48C5" w:rsidP="002D48C5">
      <w:pPr>
        <w:pStyle w:val="Prrafodelista"/>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2D48C5" w:rsidRPr="00281E73" w:rsidRDefault="002D48C5" w:rsidP="002D48C5">
      <w:pPr>
        <w:pStyle w:val="Prrafodelista"/>
        <w:spacing w:before="240" w:after="240" w:line="360" w:lineRule="auto"/>
        <w:ind w:left="0"/>
        <w:jc w:val="both"/>
        <w:rPr>
          <w:rFonts w:ascii="Palatino Linotype" w:hAnsi="Palatino Linotype"/>
          <w:szCs w:val="22"/>
        </w:rPr>
      </w:pPr>
    </w:p>
    <w:p w:rsidR="002D48C5" w:rsidRPr="00281E73" w:rsidRDefault="002D48C5" w:rsidP="002D48C5">
      <w:pPr>
        <w:pStyle w:val="Prrafodelista"/>
        <w:numPr>
          <w:ilvl w:val="0"/>
          <w:numId w:val="1"/>
        </w:numPr>
        <w:spacing w:before="240" w:after="240" w:line="360" w:lineRule="auto"/>
        <w:ind w:left="0" w:firstLine="0"/>
        <w:jc w:val="both"/>
        <w:rPr>
          <w:rFonts w:ascii="Palatino Linotype" w:hAnsi="Palatino Linotype"/>
          <w:szCs w:val="22"/>
        </w:rPr>
      </w:pPr>
      <w:r w:rsidRPr="00281E73">
        <w:rPr>
          <w:rFonts w:ascii="Palatino Linotype" w:hAnsi="Palatino Linotype"/>
          <w:szCs w:val="22"/>
        </w:rPr>
        <w:t>Al respecto, también son de considerar los criterios sostenidos por el Cuarto Tribunal Colegiado en Materia Administrativa del Primer Circuito, cuyos rubros y datos de identificación son los siguientes:</w:t>
      </w:r>
    </w:p>
    <w:p w:rsidR="002D48C5" w:rsidRPr="00281E73" w:rsidRDefault="002D48C5" w:rsidP="002D48C5">
      <w:pPr>
        <w:pStyle w:val="Prrafodelista"/>
        <w:rPr>
          <w:rFonts w:ascii="Palatino Linotype" w:hAnsi="Palatino Linotype"/>
          <w:szCs w:val="22"/>
        </w:rPr>
      </w:pPr>
    </w:p>
    <w:p w:rsidR="002D48C5" w:rsidRPr="00281E73" w:rsidRDefault="002D48C5" w:rsidP="002D48C5">
      <w:pPr>
        <w:pStyle w:val="Prrafodelista"/>
        <w:spacing w:before="240" w:after="240" w:line="360" w:lineRule="auto"/>
        <w:ind w:left="567"/>
        <w:jc w:val="both"/>
        <w:rPr>
          <w:rFonts w:ascii="Palatino Linotype" w:hAnsi="Palatino Linotype"/>
          <w:szCs w:val="22"/>
        </w:rPr>
      </w:pPr>
      <w:r w:rsidRPr="00281E73">
        <w:rPr>
          <w:rFonts w:ascii="Palatino Linotype" w:hAnsi="Palatino Linotype"/>
          <w:szCs w:val="22"/>
        </w:rPr>
        <w:t>“PLAZO RAZONABLE PARA RESOLVER. DIMENSIÓN Y EFECTOS DE ESTE CONCEPTO CUANDO SE ADUCE EXCESIVA CARGA DE TRABAJO.” consultable en el Seminario Judicial de la Federación y su gaceta, con el registro digital 2002351.</w:t>
      </w:r>
    </w:p>
    <w:p w:rsidR="002D48C5" w:rsidRPr="00281E73" w:rsidRDefault="002D48C5" w:rsidP="002D48C5">
      <w:pPr>
        <w:pStyle w:val="Prrafodelista"/>
        <w:spacing w:before="240" w:after="240" w:line="360" w:lineRule="auto"/>
        <w:ind w:left="567"/>
        <w:jc w:val="both"/>
        <w:rPr>
          <w:rFonts w:ascii="Palatino Linotype" w:hAnsi="Palatino Linotype"/>
          <w:szCs w:val="22"/>
        </w:rPr>
      </w:pPr>
      <w:r w:rsidRPr="00281E73">
        <w:rPr>
          <w:rFonts w:ascii="Palatino Linotype" w:hAnsi="Palatino Linotype"/>
          <w:szCs w:val="22"/>
        </w:rPr>
        <w:lastRenderedPageBreak/>
        <w:t>“PLAZO RAZONABLE PARA RESOLVER. CONCEPTO Y ELEMENTOS QUE LO INTEGRAN A LA LUZ DEL DERECHO INTERNACIONAL DE LOS DERECHOS HUMANOS.”, visible en el Seminario Judicial de la Federación y su gaceta, con el registro digital 2002350.</w:t>
      </w:r>
    </w:p>
    <w:p w:rsidR="002D48C5" w:rsidRPr="00281E73" w:rsidRDefault="002D48C5" w:rsidP="002D48C5">
      <w:pPr>
        <w:pStyle w:val="Prrafodelista"/>
        <w:spacing w:before="240" w:after="240" w:line="360" w:lineRule="auto"/>
        <w:ind w:left="708"/>
        <w:jc w:val="both"/>
        <w:rPr>
          <w:rFonts w:ascii="Palatino Linotype" w:hAnsi="Palatino Linotype"/>
          <w:szCs w:val="22"/>
        </w:rPr>
      </w:pPr>
    </w:p>
    <w:p w:rsidR="002D48C5" w:rsidRPr="00281E73" w:rsidRDefault="002D48C5" w:rsidP="002D48C5">
      <w:pPr>
        <w:pStyle w:val="Prrafodelista"/>
        <w:numPr>
          <w:ilvl w:val="0"/>
          <w:numId w:val="1"/>
        </w:numPr>
        <w:tabs>
          <w:tab w:val="left" w:pos="426"/>
        </w:tabs>
        <w:spacing w:line="360" w:lineRule="auto"/>
        <w:ind w:left="0" w:firstLine="0"/>
        <w:jc w:val="both"/>
        <w:rPr>
          <w:rFonts w:ascii="Palatino Linotype" w:hAnsi="Palatino Linotype"/>
          <w:color w:val="000000" w:themeColor="text1"/>
          <w:szCs w:val="22"/>
        </w:rPr>
      </w:pPr>
      <w:r w:rsidRPr="00281E73">
        <w:rPr>
          <w:rFonts w:ascii="Palatino Linotype" w:hAnsi="Palatino Linotype"/>
          <w:szCs w:val="22"/>
        </w:rPr>
        <w:t>Por ello, este organismo garante comprometido con la tutela de los derechos humanos confiados, señala que este exceso del plazo legal para resolver el presente asunto, resulta de carácter excepcional.</w:t>
      </w:r>
    </w:p>
    <w:p w:rsidR="002D48C5" w:rsidRPr="00281E73" w:rsidRDefault="002D48C5" w:rsidP="002D48C5">
      <w:pPr>
        <w:pStyle w:val="Prrafodelista"/>
        <w:tabs>
          <w:tab w:val="left" w:pos="426"/>
        </w:tabs>
        <w:spacing w:line="360" w:lineRule="auto"/>
        <w:ind w:left="0"/>
        <w:jc w:val="both"/>
        <w:rPr>
          <w:rFonts w:ascii="Palatino Linotype" w:hAnsi="Palatino Linotype"/>
          <w:color w:val="000000" w:themeColor="text1"/>
          <w:szCs w:val="22"/>
        </w:rPr>
      </w:pPr>
    </w:p>
    <w:p w:rsidR="002D48C5" w:rsidRPr="00281E73" w:rsidRDefault="00C5091F" w:rsidP="004B05FF">
      <w:pPr>
        <w:pStyle w:val="Prrafodelista"/>
        <w:numPr>
          <w:ilvl w:val="0"/>
          <w:numId w:val="1"/>
        </w:numPr>
        <w:spacing w:line="360" w:lineRule="auto"/>
        <w:ind w:left="0" w:firstLine="0"/>
        <w:jc w:val="both"/>
        <w:rPr>
          <w:rFonts w:ascii="Palatino Linotype" w:hAnsi="Palatino Linotype" w:cs="Tahoma"/>
          <w:szCs w:val="22"/>
        </w:rPr>
      </w:pPr>
      <w:r w:rsidRPr="00281E73">
        <w:rPr>
          <w:rFonts w:ascii="Palatino Linotype" w:hAnsi="Palatino Linotype" w:cs="Tahoma"/>
          <w:szCs w:val="22"/>
        </w:rPr>
        <w:t>El doce (12) de noviembre de dos mil veinti</w:t>
      </w:r>
      <w:r w:rsidR="004B05FF" w:rsidRPr="00281E73">
        <w:rPr>
          <w:rFonts w:ascii="Palatino Linotype" w:hAnsi="Palatino Linotype" w:cs="Tahoma"/>
          <w:szCs w:val="22"/>
        </w:rPr>
        <w:t>c</w:t>
      </w:r>
      <w:r w:rsidRPr="00281E73">
        <w:rPr>
          <w:rFonts w:ascii="Palatino Linotype" w:hAnsi="Palatino Linotype" w:cs="Tahoma"/>
          <w:szCs w:val="22"/>
        </w:rPr>
        <w:t>uatro</w:t>
      </w:r>
      <w:r w:rsidR="002D48C5" w:rsidRPr="00281E73">
        <w:rPr>
          <w:rFonts w:ascii="Palatino Linotype" w:hAnsi="Palatino Linotype" w:cs="Tahoma"/>
          <w:szCs w:val="22"/>
        </w:rPr>
        <w:t xml:space="preserve">, </w:t>
      </w:r>
      <w:r w:rsidR="002D48C5" w:rsidRPr="00281E73">
        <w:rPr>
          <w:rFonts w:ascii="Palatino Linotype" w:eastAsia="Calibri" w:hAnsi="Palatino Linotype" w:cs="Arial"/>
          <w:szCs w:val="22"/>
          <w:lang w:val="es-ES"/>
        </w:rPr>
        <w:t>la</w:t>
      </w:r>
      <w:r w:rsidR="002D48C5" w:rsidRPr="00281E73">
        <w:rPr>
          <w:rFonts w:ascii="Palatino Linotype" w:hAnsi="Palatino Linotype"/>
          <w:szCs w:val="22"/>
        </w:rPr>
        <w:t xml:space="preserve"> Comisionada Ponente decretó el cierre de instrucción</w:t>
      </w:r>
      <w:r w:rsidR="002D48C5" w:rsidRPr="00281E73">
        <w:rPr>
          <w:rFonts w:ascii="Palatino Linotype" w:hAnsi="Palatino Linotype" w:cs="Arial"/>
          <w:szCs w:val="22"/>
        </w:rPr>
        <w:t>.</w:t>
      </w:r>
      <w:r w:rsidR="002D48C5" w:rsidRPr="00281E73">
        <w:rPr>
          <w:rFonts w:ascii="Palatino Linotype" w:hAnsi="Palatino Linotype" w:cs="Tahoma"/>
          <w:szCs w:val="22"/>
        </w:rPr>
        <w:t xml:space="preserve"> Por lo que turnó la presente resolución para su aprobación.</w:t>
      </w:r>
    </w:p>
    <w:p w:rsidR="002D48C5" w:rsidRPr="00281E73" w:rsidRDefault="002D48C5" w:rsidP="002D48C5">
      <w:pPr>
        <w:pStyle w:val="Prrafodelista"/>
        <w:tabs>
          <w:tab w:val="left" w:pos="426"/>
        </w:tabs>
        <w:spacing w:line="360" w:lineRule="auto"/>
        <w:ind w:left="0"/>
        <w:jc w:val="both"/>
        <w:rPr>
          <w:rFonts w:ascii="Palatino Linotype" w:hAnsi="Palatino Linotype"/>
          <w:color w:val="000000" w:themeColor="text1"/>
          <w:szCs w:val="22"/>
        </w:rPr>
      </w:pPr>
    </w:p>
    <w:p w:rsidR="002D48C5" w:rsidRPr="00281E73" w:rsidRDefault="002D48C5" w:rsidP="002D48C5">
      <w:pPr>
        <w:pStyle w:val="Ttulo1"/>
        <w:jc w:val="center"/>
        <w:rPr>
          <w:rFonts w:ascii="Palatino Linotype" w:hAnsi="Palatino Linotype"/>
          <w:b/>
          <w:color w:val="auto"/>
          <w:sz w:val="22"/>
          <w:szCs w:val="22"/>
        </w:rPr>
      </w:pPr>
      <w:bookmarkStart w:id="4" w:name="_Toc87549672"/>
      <w:r w:rsidRPr="00281E73">
        <w:rPr>
          <w:rFonts w:ascii="Palatino Linotype" w:hAnsi="Palatino Linotype"/>
          <w:b/>
          <w:color w:val="auto"/>
          <w:sz w:val="22"/>
          <w:szCs w:val="22"/>
        </w:rPr>
        <w:t>CONSIDERANDO</w:t>
      </w:r>
      <w:bookmarkEnd w:id="4"/>
      <w:r w:rsidRPr="00281E73">
        <w:rPr>
          <w:rFonts w:ascii="Palatino Linotype" w:hAnsi="Palatino Linotype"/>
          <w:b/>
          <w:color w:val="auto"/>
          <w:sz w:val="22"/>
          <w:szCs w:val="22"/>
        </w:rPr>
        <w:t xml:space="preserve"> </w:t>
      </w:r>
    </w:p>
    <w:p w:rsidR="002D48C5" w:rsidRPr="00281E73" w:rsidRDefault="002D48C5" w:rsidP="002D48C5">
      <w:pPr>
        <w:pStyle w:val="Ttulo2"/>
        <w:rPr>
          <w:rFonts w:ascii="Palatino Linotype" w:hAnsi="Palatino Linotype"/>
          <w:b/>
          <w:bCs/>
          <w:color w:val="auto"/>
          <w:spacing w:val="60"/>
          <w:sz w:val="22"/>
          <w:szCs w:val="22"/>
          <w:lang w:eastAsia="en-US"/>
        </w:rPr>
      </w:pPr>
      <w:bookmarkStart w:id="5" w:name="_Toc87549673"/>
      <w:r w:rsidRPr="00281E73">
        <w:rPr>
          <w:rFonts w:ascii="Palatino Linotype" w:hAnsi="Palatino Linotype"/>
          <w:b/>
          <w:color w:val="auto"/>
          <w:sz w:val="22"/>
          <w:szCs w:val="22"/>
        </w:rPr>
        <w:t>PRIMERO. De la competencia</w:t>
      </w:r>
      <w:bookmarkEnd w:id="5"/>
    </w:p>
    <w:p w:rsidR="002D48C5" w:rsidRPr="00281E73" w:rsidRDefault="002D48C5" w:rsidP="002D48C5">
      <w:pPr>
        <w:pStyle w:val="Prrafodelista"/>
        <w:numPr>
          <w:ilvl w:val="0"/>
          <w:numId w:val="2"/>
        </w:numPr>
        <w:spacing w:before="240" w:after="240" w:line="360" w:lineRule="auto"/>
        <w:ind w:left="0" w:firstLine="0"/>
        <w:jc w:val="both"/>
        <w:rPr>
          <w:rFonts w:ascii="Palatino Linotype" w:hAnsi="Palatino Linotype"/>
          <w:szCs w:val="22"/>
        </w:rPr>
      </w:pPr>
      <w:r w:rsidRPr="00281E73">
        <w:rPr>
          <w:rFonts w:ascii="Palatino Linotype" w:eastAsia="Calibri" w:hAnsi="Palatino Linotype"/>
          <w:szCs w:val="22"/>
          <w:lang w:val="es-ES"/>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w:t>
      </w:r>
      <w:r w:rsidRPr="00281E73">
        <w:rPr>
          <w:rFonts w:ascii="Palatino Linotype" w:eastAsia="Calibri" w:hAnsi="Palatino Linotype"/>
          <w:b/>
          <w:szCs w:val="22"/>
          <w:lang w:val="es-ES"/>
        </w:rPr>
        <w:t>Constitución Política de los Estados Unidos Mexicanos</w:t>
      </w:r>
      <w:r w:rsidRPr="00281E73">
        <w:rPr>
          <w:rFonts w:ascii="Palatino Linotype" w:eastAsia="Calibri" w:hAnsi="Palatino Linotype"/>
          <w:szCs w:val="22"/>
          <w:lang w:val="es-ES"/>
        </w:rPr>
        <w:t xml:space="preserve">; 5, párrafos trigésimo primero, </w:t>
      </w:r>
      <w:r w:rsidRPr="00281E73">
        <w:rPr>
          <w:rFonts w:ascii="Palatino Linotype" w:hAnsi="Palatino Linotype" w:cs="Arial"/>
          <w:bCs/>
          <w:color w:val="222222"/>
          <w:szCs w:val="22"/>
          <w:lang w:val="es-ES"/>
        </w:rPr>
        <w:t>trigésimo segundo, trigésimo tercero fracciones</w:t>
      </w:r>
      <w:r w:rsidRPr="00281E73">
        <w:rPr>
          <w:rFonts w:ascii="Palatino Linotype" w:eastAsia="Calibri" w:hAnsi="Palatino Linotype"/>
          <w:szCs w:val="22"/>
          <w:lang w:val="es-ES"/>
        </w:rPr>
        <w:t xml:space="preserve"> IV y V de la </w:t>
      </w:r>
      <w:r w:rsidRPr="00281E73">
        <w:rPr>
          <w:rFonts w:ascii="Palatino Linotype" w:eastAsia="Calibri" w:hAnsi="Palatino Linotype"/>
          <w:b/>
          <w:szCs w:val="22"/>
          <w:lang w:val="es-ES"/>
        </w:rPr>
        <w:t>Constitución Política del Estado Libre y Soberano de México</w:t>
      </w:r>
      <w:r w:rsidRPr="00281E73">
        <w:rPr>
          <w:rFonts w:ascii="Palatino Linotype" w:eastAsia="Calibri" w:hAnsi="Palatino Linotype"/>
          <w:szCs w:val="22"/>
          <w:lang w:val="es-ES"/>
        </w:rPr>
        <w:t xml:space="preserve">; artículos 1, 2 fracción II, 13, 29, 36 fracciones I y II, 176, 178, 179, 181 párrafo tercero y 185 </w:t>
      </w:r>
      <w:r w:rsidRPr="00281E73">
        <w:rPr>
          <w:rFonts w:ascii="Palatino Linotype" w:eastAsia="Calibri" w:hAnsi="Palatino Linotype" w:cs="Arial"/>
          <w:szCs w:val="22"/>
          <w:lang w:val="es-ES"/>
        </w:rPr>
        <w:t xml:space="preserve">de la </w:t>
      </w:r>
      <w:r w:rsidRPr="00281E73">
        <w:rPr>
          <w:rFonts w:ascii="Palatino Linotype" w:eastAsia="Calibri" w:hAnsi="Palatino Linotype" w:cs="Arial"/>
          <w:b/>
          <w:szCs w:val="22"/>
          <w:lang w:val="es-ES"/>
        </w:rPr>
        <w:t>Ley de Transparencia y Acceso a la Información Pública del Estado de México y Municipios</w:t>
      </w:r>
      <w:r w:rsidRPr="00281E73">
        <w:rPr>
          <w:rFonts w:ascii="Palatino Linotype" w:eastAsia="Calibri" w:hAnsi="Palatino Linotype" w:cs="Arial"/>
          <w:szCs w:val="22"/>
          <w:lang w:val="es-ES"/>
        </w:rPr>
        <w:t xml:space="preserve">; y 7, 9 fracciones I y XXIII, y 11 del </w:t>
      </w:r>
      <w:r w:rsidRPr="00281E73">
        <w:rPr>
          <w:rFonts w:ascii="Palatino Linotype" w:eastAsia="Calibri" w:hAnsi="Palatino Linotype" w:cs="Arial"/>
          <w:b/>
          <w:szCs w:val="22"/>
          <w:lang w:val="es-ES"/>
        </w:rPr>
        <w:t xml:space="preserve">Reglamento Interior del Instituto de </w:t>
      </w:r>
      <w:r w:rsidRPr="00281E73">
        <w:rPr>
          <w:rFonts w:ascii="Palatino Linotype" w:eastAsia="Calibri" w:hAnsi="Palatino Linotype" w:cs="Arial"/>
          <w:b/>
          <w:szCs w:val="22"/>
          <w:lang w:val="es-ES"/>
        </w:rPr>
        <w:lastRenderedPageBreak/>
        <w:t>Transparencia, Acceso a la Información Pública y Protección de Datos Personales del Estado de México y Municipios</w:t>
      </w:r>
      <w:r w:rsidRPr="00281E73">
        <w:rPr>
          <w:rFonts w:ascii="Palatino Linotype" w:hAnsi="Palatino Linotype"/>
          <w:szCs w:val="22"/>
        </w:rPr>
        <w:t>.</w:t>
      </w:r>
    </w:p>
    <w:p w:rsidR="002D48C5" w:rsidRPr="00281E73" w:rsidRDefault="002D48C5" w:rsidP="002D48C5">
      <w:pPr>
        <w:pStyle w:val="Ttulo2"/>
        <w:rPr>
          <w:rFonts w:ascii="Palatino Linotype" w:hAnsi="Palatino Linotype"/>
          <w:b/>
          <w:color w:val="auto"/>
          <w:sz w:val="22"/>
          <w:szCs w:val="22"/>
        </w:rPr>
      </w:pPr>
      <w:bookmarkStart w:id="6" w:name="_Toc87549674"/>
      <w:r w:rsidRPr="00281E73">
        <w:rPr>
          <w:rFonts w:ascii="Palatino Linotype" w:hAnsi="Palatino Linotype"/>
          <w:b/>
          <w:color w:val="auto"/>
          <w:sz w:val="22"/>
          <w:szCs w:val="22"/>
        </w:rPr>
        <w:t>SEGUNDO. De la oportunidad y procedencia.</w:t>
      </w:r>
      <w:bookmarkEnd w:id="6"/>
    </w:p>
    <w:p w:rsidR="002D48C5" w:rsidRPr="00281E73" w:rsidRDefault="002D48C5" w:rsidP="002D48C5">
      <w:pPr>
        <w:rPr>
          <w:rFonts w:ascii="Palatino Linotype" w:hAnsi="Palatino Linotype"/>
          <w:sz w:val="22"/>
          <w:szCs w:val="22"/>
        </w:rPr>
      </w:pPr>
    </w:p>
    <w:p w:rsidR="002D48C5" w:rsidRPr="00281E73" w:rsidRDefault="002D48C5" w:rsidP="002D48C5">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2"/>
          <w:szCs w:val="22"/>
          <w:lang w:val="es-ES_tradnl"/>
        </w:rPr>
      </w:pPr>
      <w:r w:rsidRPr="00281E73">
        <w:rPr>
          <w:rFonts w:ascii="Palatino Linotype" w:eastAsia="Calibri" w:hAnsi="Palatino Linotype" w:cs="Arial"/>
          <w:sz w:val="22"/>
          <w:szCs w:val="22"/>
          <w:lang w:val="es-ES"/>
        </w:rPr>
        <w:t xml:space="preserve">Es de precisar, que la Ley de Transparencia y Acceso a la Información Pública del Estado de México y Municipios, en el artículo 178 describe la procedencia del recurso de revisión, asimismo señala que el plazo del </w:t>
      </w:r>
      <w:r w:rsidRPr="00281E73">
        <w:rPr>
          <w:rFonts w:ascii="Palatino Linotype" w:eastAsia="Calibri" w:hAnsi="Palatino Linotype" w:cs="Arial"/>
          <w:b/>
          <w:sz w:val="22"/>
          <w:szCs w:val="22"/>
          <w:lang w:val="es-ES"/>
        </w:rPr>
        <w:t>SUJETO OBLIGADO</w:t>
      </w:r>
      <w:r w:rsidRPr="00281E73">
        <w:rPr>
          <w:rFonts w:ascii="Palatino Linotype" w:eastAsia="Calibri" w:hAnsi="Palatino Linotype" w:cs="Arial"/>
          <w:sz w:val="22"/>
          <w:szCs w:val="22"/>
          <w:lang w:val="es-ES"/>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2D48C5" w:rsidRPr="00281E73" w:rsidRDefault="002D48C5" w:rsidP="002D48C5">
      <w:pPr>
        <w:tabs>
          <w:tab w:val="left" w:pos="284"/>
        </w:tabs>
        <w:spacing w:before="240" w:after="240" w:line="360" w:lineRule="auto"/>
        <w:contextualSpacing/>
        <w:jc w:val="both"/>
        <w:rPr>
          <w:rFonts w:ascii="Palatino Linotype" w:hAnsi="Palatino Linotype" w:cs="Arial"/>
          <w:color w:val="000000"/>
          <w:sz w:val="22"/>
          <w:szCs w:val="22"/>
          <w:lang w:val="es-ES_tradnl"/>
        </w:rPr>
      </w:pPr>
    </w:p>
    <w:p w:rsidR="002D48C5" w:rsidRPr="00281E73" w:rsidRDefault="002D48C5" w:rsidP="002D48C5">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2"/>
          <w:szCs w:val="22"/>
          <w:lang w:val="es-ES_tradnl"/>
        </w:rPr>
      </w:pPr>
      <w:r w:rsidRPr="00281E73">
        <w:rPr>
          <w:rFonts w:ascii="Palatino Linotype" w:eastAsia="Calibri" w:hAnsi="Palatino Linotype" w:cs="Arial"/>
          <w:sz w:val="22"/>
          <w:szCs w:val="22"/>
          <w:lang w:val="es-ES"/>
        </w:rPr>
        <w:t xml:space="preserve">Por ende, se constituye la figura jurídica de la </w:t>
      </w:r>
      <w:r w:rsidRPr="00281E73">
        <w:rPr>
          <w:rFonts w:ascii="Palatino Linotype" w:eastAsia="Calibri" w:hAnsi="Palatino Linotype" w:cs="Arial"/>
          <w:i/>
          <w:sz w:val="22"/>
          <w:szCs w:val="22"/>
          <w:lang w:val="es-ES"/>
        </w:rPr>
        <w:t>negativa ficta</w:t>
      </w:r>
      <w:r w:rsidRPr="00281E73">
        <w:rPr>
          <w:rFonts w:ascii="Palatino Linotype" w:eastAsia="Calibri" w:hAnsi="Palatino Linotype" w:cs="Arial"/>
          <w:sz w:val="22"/>
          <w:szCs w:val="22"/>
          <w:lang w:val="es-ES"/>
        </w:rPr>
        <w:t xml:space="preserve">, cuya esencia es atribuir un efecto negativo al silencio de la autoridad administrativa frente a las instancias y solicitudes que hagan los particulares, lo cual encuentra sustento en lo que establece el artículo </w:t>
      </w:r>
      <w:r w:rsidRPr="00281E73">
        <w:rPr>
          <w:rFonts w:ascii="Palatino Linotype" w:eastAsia="Calibri" w:hAnsi="Palatino Linotype" w:cs="Arial"/>
          <w:b/>
          <w:sz w:val="22"/>
          <w:szCs w:val="22"/>
          <w:lang w:val="es-ES"/>
        </w:rPr>
        <w:t>178</w:t>
      </w:r>
      <w:r w:rsidRPr="00281E73">
        <w:rPr>
          <w:rFonts w:ascii="Palatino Linotype" w:eastAsia="Calibri" w:hAnsi="Palatino Linotype" w:cs="Arial"/>
          <w:sz w:val="22"/>
          <w:szCs w:val="22"/>
          <w:lang w:val="es-ES"/>
        </w:rPr>
        <w:t xml:space="preserve"> segundo párrafo de </w:t>
      </w:r>
      <w:r w:rsidRPr="00281E73">
        <w:rPr>
          <w:rFonts w:ascii="Palatino Linotype" w:eastAsia="Calibri" w:hAnsi="Palatino Linotype" w:cs="Arial"/>
          <w:b/>
          <w:sz w:val="22"/>
          <w:szCs w:val="22"/>
          <w:lang w:val="es-ES"/>
        </w:rPr>
        <w:t>Ley de Transparencia y Acceso a la Información Pública del Estado de México y Municipios</w:t>
      </w:r>
      <w:r w:rsidRPr="00281E73">
        <w:rPr>
          <w:rFonts w:ascii="Palatino Linotype" w:eastAsia="Calibri" w:hAnsi="Palatino Linotype"/>
          <w:color w:val="000000"/>
          <w:sz w:val="22"/>
          <w:szCs w:val="22"/>
          <w:shd w:val="clear" w:color="auto" w:fill="FFFFFF"/>
        </w:rPr>
        <w:t xml:space="preserve">, que dispone; ante la falta de respuesta del </w:t>
      </w:r>
      <w:r w:rsidRPr="00281E73">
        <w:rPr>
          <w:rFonts w:ascii="Palatino Linotype" w:eastAsia="Calibri" w:hAnsi="Palatino Linotype"/>
          <w:b/>
          <w:color w:val="000000"/>
          <w:sz w:val="22"/>
          <w:szCs w:val="22"/>
          <w:shd w:val="clear" w:color="auto" w:fill="FFFFFF"/>
        </w:rPr>
        <w:t>SUJETO OBLIGADO,</w:t>
      </w:r>
      <w:r w:rsidRPr="00281E73">
        <w:rPr>
          <w:rFonts w:ascii="Palatino Linotype" w:eastAsia="Calibri" w:hAnsi="Palatino Linotype"/>
          <w:color w:val="000000"/>
          <w:sz w:val="22"/>
          <w:szCs w:val="22"/>
          <w:shd w:val="clear" w:color="auto" w:fill="FFFFFF"/>
        </w:rPr>
        <w:t xml:space="preserve"> dentro de los plazos establecidos en esta Ley, a una solicitud de acceso a la información pública, el recurso </w:t>
      </w:r>
      <w:r w:rsidRPr="00281E73">
        <w:rPr>
          <w:rFonts w:ascii="Palatino Linotype" w:eastAsia="Calibri" w:hAnsi="Palatino Linotype"/>
          <w:b/>
          <w:color w:val="000000"/>
          <w:sz w:val="22"/>
          <w:szCs w:val="22"/>
          <w:shd w:val="clear" w:color="auto" w:fill="FFFFFF"/>
        </w:rPr>
        <w:t xml:space="preserve">podrá ser interpuesto en cualquier momento. </w:t>
      </w:r>
    </w:p>
    <w:p w:rsidR="002D48C5" w:rsidRPr="00281E73" w:rsidRDefault="002D48C5" w:rsidP="002D48C5">
      <w:pPr>
        <w:tabs>
          <w:tab w:val="left" w:pos="284"/>
        </w:tabs>
        <w:contextualSpacing/>
        <w:rPr>
          <w:rFonts w:ascii="Palatino Linotype" w:hAnsi="Palatino Linotype" w:cs="Arial"/>
          <w:color w:val="000000"/>
          <w:sz w:val="22"/>
          <w:szCs w:val="22"/>
          <w:lang w:val="es-ES_tradnl"/>
        </w:rPr>
      </w:pPr>
    </w:p>
    <w:p w:rsidR="002D48C5" w:rsidRPr="00281E73" w:rsidRDefault="002D48C5" w:rsidP="002D48C5">
      <w:pPr>
        <w:numPr>
          <w:ilvl w:val="0"/>
          <w:numId w:val="1"/>
        </w:numPr>
        <w:tabs>
          <w:tab w:val="left" w:pos="284"/>
        </w:tabs>
        <w:spacing w:before="240" w:after="240" w:line="360" w:lineRule="auto"/>
        <w:ind w:left="0" w:firstLine="0"/>
        <w:contextualSpacing/>
        <w:jc w:val="both"/>
        <w:rPr>
          <w:rFonts w:ascii="Palatino Linotype" w:hAnsi="Palatino Linotype" w:cs="Arial"/>
          <w:color w:val="000000"/>
          <w:sz w:val="22"/>
          <w:szCs w:val="22"/>
          <w:lang w:val="es-ES_tradnl"/>
        </w:rPr>
      </w:pPr>
      <w:r w:rsidRPr="00281E73">
        <w:rPr>
          <w:rFonts w:ascii="Palatino Linotype" w:eastAsia="Calibri" w:hAnsi="Palatino Linotype" w:cs="Arial"/>
          <w:sz w:val="22"/>
          <w:szCs w:val="22"/>
          <w:lang w:val="es-ES"/>
        </w:rPr>
        <w:t xml:space="preserve">Por lo que, tratándose de la </w:t>
      </w:r>
      <w:r w:rsidRPr="00281E73">
        <w:rPr>
          <w:rFonts w:ascii="Palatino Linotype" w:eastAsia="Calibri" w:hAnsi="Palatino Linotype" w:cs="Arial"/>
          <w:i/>
          <w:sz w:val="22"/>
          <w:szCs w:val="22"/>
          <w:lang w:val="es-ES"/>
        </w:rPr>
        <w:t>negativa ficta</w:t>
      </w:r>
      <w:r w:rsidRPr="00281E73">
        <w:rPr>
          <w:rFonts w:ascii="Palatino Linotype" w:eastAsia="Calibri" w:hAnsi="Palatino Linotype" w:cs="Arial"/>
          <w:sz w:val="22"/>
          <w:szCs w:val="22"/>
          <w:lang w:val="es-ES"/>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w:t>
      </w:r>
      <w:r w:rsidRPr="00281E73">
        <w:rPr>
          <w:rFonts w:ascii="Palatino Linotype" w:eastAsia="Calibri" w:hAnsi="Palatino Linotype" w:cs="Arial"/>
          <w:sz w:val="22"/>
          <w:szCs w:val="22"/>
          <w:lang w:val="es-ES"/>
        </w:rPr>
        <w:lastRenderedPageBreak/>
        <w:t xml:space="preserve">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281E73">
        <w:rPr>
          <w:rFonts w:ascii="Palatino Linotype" w:eastAsia="Calibri" w:hAnsi="Palatino Linotype" w:cs="Arial"/>
          <w:i/>
          <w:sz w:val="22"/>
          <w:szCs w:val="22"/>
          <w:lang w:val="es-ES"/>
        </w:rPr>
        <w:t>negativa ficta</w:t>
      </w:r>
      <w:r w:rsidRPr="00281E73">
        <w:rPr>
          <w:rFonts w:ascii="Palatino Linotype" w:eastAsia="Calibri" w:hAnsi="Palatino Linotype" w:cs="Arial"/>
          <w:sz w:val="22"/>
          <w:szCs w:val="22"/>
          <w:lang w:val="es-ES"/>
        </w:rPr>
        <w:t>, que señala:</w:t>
      </w:r>
    </w:p>
    <w:p w:rsidR="002D48C5" w:rsidRPr="00281E73" w:rsidRDefault="002D48C5" w:rsidP="002D48C5">
      <w:pPr>
        <w:tabs>
          <w:tab w:val="left" w:pos="284"/>
          <w:tab w:val="left" w:pos="7655"/>
        </w:tabs>
        <w:spacing w:before="240" w:after="240" w:line="360" w:lineRule="auto"/>
        <w:ind w:left="567" w:right="822"/>
        <w:jc w:val="center"/>
        <w:rPr>
          <w:rFonts w:ascii="Palatino Linotype" w:eastAsia="Calibri" w:hAnsi="Palatino Linotype" w:cs="Arial"/>
          <w:b/>
          <w:sz w:val="22"/>
          <w:szCs w:val="22"/>
          <w:lang w:val="es-ES"/>
        </w:rPr>
      </w:pPr>
      <w:r w:rsidRPr="00281E73">
        <w:rPr>
          <w:rFonts w:ascii="Palatino Linotype" w:eastAsia="Calibri" w:hAnsi="Palatino Linotype" w:cs="Arial"/>
          <w:b/>
          <w:sz w:val="22"/>
          <w:szCs w:val="22"/>
          <w:lang w:val="es-ES"/>
        </w:rPr>
        <w:t>Criterio 0001-15</w:t>
      </w:r>
    </w:p>
    <w:p w:rsidR="002D48C5" w:rsidRPr="00281E73" w:rsidRDefault="002D48C5" w:rsidP="002D48C5">
      <w:pPr>
        <w:tabs>
          <w:tab w:val="left" w:pos="284"/>
          <w:tab w:val="left" w:pos="7655"/>
        </w:tabs>
        <w:spacing w:before="240" w:after="240" w:line="360" w:lineRule="auto"/>
        <w:ind w:left="567" w:right="822"/>
        <w:jc w:val="both"/>
        <w:rPr>
          <w:rFonts w:ascii="Palatino Linotype" w:eastAsia="Calibri" w:hAnsi="Palatino Linotype" w:cs="Arial"/>
          <w:i/>
          <w:sz w:val="22"/>
          <w:szCs w:val="22"/>
          <w:lang w:val="es-ES"/>
        </w:rPr>
      </w:pPr>
      <w:r w:rsidRPr="00281E73">
        <w:rPr>
          <w:rFonts w:ascii="Palatino Linotype" w:eastAsia="Calibri" w:hAnsi="Palatino Linotype" w:cs="Arial"/>
          <w:b/>
          <w:i/>
          <w:sz w:val="22"/>
          <w:szCs w:val="22"/>
          <w:lang w:val="es-ES"/>
        </w:rPr>
        <w:t>NEGATIVA FICTA. PLAZO PARA INTERPONER EL RECURSO DE REVISIÓN TRATÁNDOSE DE.</w:t>
      </w:r>
      <w:r w:rsidRPr="00281E73">
        <w:rPr>
          <w:rFonts w:ascii="Palatino Linotype" w:eastAsia="Calibri" w:hAnsi="Palatino Linotype" w:cs="Arial"/>
          <w:i/>
          <w:sz w:val="22"/>
          <w:szCs w:val="22"/>
          <w:lang w:val="es-ES"/>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2D48C5" w:rsidRPr="00281E73" w:rsidRDefault="002D48C5" w:rsidP="002D48C5">
      <w:pPr>
        <w:numPr>
          <w:ilvl w:val="0"/>
          <w:numId w:val="1"/>
        </w:numPr>
        <w:tabs>
          <w:tab w:val="left" w:pos="284"/>
        </w:tabs>
        <w:spacing w:before="240" w:after="240" w:line="360" w:lineRule="auto"/>
        <w:ind w:left="0" w:firstLine="0"/>
        <w:contextualSpacing/>
        <w:jc w:val="both"/>
        <w:rPr>
          <w:rFonts w:ascii="Palatino Linotype" w:hAnsi="Palatino Linotype" w:cs="Arial"/>
          <w:color w:val="000000" w:themeColor="text1"/>
          <w:sz w:val="22"/>
          <w:szCs w:val="22"/>
          <w:lang w:val="es-ES" w:eastAsia="es-MX"/>
        </w:rPr>
      </w:pPr>
      <w:r w:rsidRPr="00281E73">
        <w:rPr>
          <w:rFonts w:ascii="Palatino Linotype" w:hAnsi="Palatino Linotype" w:cs="Arial"/>
          <w:color w:val="000000" w:themeColor="text1"/>
          <w:sz w:val="22"/>
          <w:szCs w:val="22"/>
          <w:lang w:val="es-ES" w:eastAsia="es-MX"/>
        </w:rPr>
        <w:lastRenderedPageBreak/>
        <w:t xml:space="preserve">Lo anterior, se explica porque la </w:t>
      </w:r>
      <w:r w:rsidRPr="00281E73">
        <w:rPr>
          <w:rFonts w:ascii="Palatino Linotype" w:hAnsi="Palatino Linotype" w:cs="Arial"/>
          <w:b/>
          <w:color w:val="000000" w:themeColor="text1"/>
          <w:sz w:val="22"/>
          <w:szCs w:val="22"/>
          <w:u w:val="single"/>
          <w:lang w:val="es-ES" w:eastAsia="es-MX"/>
        </w:rPr>
        <w:t>posible ausencia</w:t>
      </w:r>
      <w:r w:rsidRPr="00281E73">
        <w:rPr>
          <w:rFonts w:ascii="Palatino Linotype" w:hAnsi="Palatino Linotype" w:cs="Arial"/>
          <w:color w:val="000000" w:themeColor="text1"/>
          <w:sz w:val="22"/>
          <w:szCs w:val="22"/>
          <w:lang w:val="es-ES" w:eastAsia="es-MX"/>
        </w:rPr>
        <w:t xml:space="preserve"> de una respuesta en la solicitud constituye un acto que vulnera el derecho de manera continua y actualizable cada día en tanto, no se emita la respuesta a la que esté impuesto el </w:t>
      </w:r>
      <w:r w:rsidRPr="00281E73">
        <w:rPr>
          <w:rFonts w:ascii="Palatino Linotype" w:hAnsi="Palatino Linotype" w:cs="Arial"/>
          <w:b/>
          <w:color w:val="000000" w:themeColor="text1"/>
          <w:sz w:val="22"/>
          <w:szCs w:val="22"/>
          <w:lang w:val="es-ES" w:eastAsia="es-MX"/>
        </w:rPr>
        <w:t>SUJETO OBLIGADO</w:t>
      </w:r>
      <w:r w:rsidRPr="00281E73">
        <w:rPr>
          <w:rFonts w:ascii="Palatino Linotype" w:hAnsi="Palatino Linotype" w:cs="Arial"/>
          <w:color w:val="000000" w:themeColor="text1"/>
          <w:sz w:val="22"/>
          <w:szCs w:val="22"/>
          <w:lang w:val="es-ES" w:eastAsia="es-MX"/>
        </w:rPr>
        <w:t>.</w:t>
      </w:r>
    </w:p>
    <w:p w:rsidR="002D48C5" w:rsidRPr="00281E73" w:rsidRDefault="002D48C5" w:rsidP="002D48C5">
      <w:pPr>
        <w:tabs>
          <w:tab w:val="left" w:pos="284"/>
        </w:tabs>
        <w:contextualSpacing/>
        <w:rPr>
          <w:rFonts w:ascii="Palatino Linotype" w:hAnsi="Palatino Linotype" w:cs="Arial"/>
          <w:color w:val="000000" w:themeColor="text1"/>
          <w:sz w:val="22"/>
          <w:szCs w:val="22"/>
          <w:lang w:val="es-ES" w:eastAsia="es-MX"/>
        </w:rPr>
      </w:pPr>
    </w:p>
    <w:p w:rsidR="002D48C5" w:rsidRPr="00281E73" w:rsidRDefault="002D48C5" w:rsidP="002D48C5">
      <w:pPr>
        <w:numPr>
          <w:ilvl w:val="0"/>
          <w:numId w:val="1"/>
        </w:numPr>
        <w:tabs>
          <w:tab w:val="left" w:pos="284"/>
        </w:tabs>
        <w:spacing w:before="240" w:after="240" w:line="360" w:lineRule="auto"/>
        <w:ind w:left="0" w:right="49" w:firstLine="0"/>
        <w:contextualSpacing/>
        <w:jc w:val="both"/>
        <w:rPr>
          <w:rFonts w:ascii="Palatino Linotype" w:eastAsiaTheme="minorEastAsia" w:hAnsi="Palatino Linotype" w:cs="Arial"/>
          <w:b/>
          <w:sz w:val="22"/>
          <w:szCs w:val="22"/>
          <w:lang w:val="es-ES_tradnl"/>
        </w:rPr>
      </w:pPr>
      <w:r w:rsidRPr="00281E73">
        <w:rPr>
          <w:rFonts w:ascii="Palatino Linotype" w:eastAsia="Calibri" w:hAnsi="Palatino Linotype" w:cs="Arial"/>
          <w:sz w:val="22"/>
          <w:szCs w:val="22"/>
          <w:lang w:val="es-ES_tradnl"/>
        </w:rPr>
        <w:t>Expuesto lo anterior,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2D48C5" w:rsidRPr="00281E73" w:rsidRDefault="002D48C5" w:rsidP="002D48C5">
      <w:pPr>
        <w:pStyle w:val="Ttulo1"/>
        <w:rPr>
          <w:rFonts w:ascii="Palatino Linotype" w:hAnsi="Palatino Linotype"/>
          <w:b/>
          <w:color w:val="auto"/>
          <w:sz w:val="22"/>
          <w:szCs w:val="22"/>
        </w:rPr>
      </w:pPr>
      <w:bookmarkStart w:id="7" w:name="_Toc87549675"/>
      <w:r w:rsidRPr="00281E73">
        <w:rPr>
          <w:rFonts w:ascii="Palatino Linotype" w:hAnsi="Palatino Linotype"/>
          <w:b/>
          <w:color w:val="auto"/>
          <w:sz w:val="22"/>
          <w:szCs w:val="22"/>
        </w:rPr>
        <w:t>TERCERO. Planteamiento de la Litis</w:t>
      </w:r>
      <w:bookmarkEnd w:id="7"/>
      <w:r w:rsidRPr="00281E73">
        <w:rPr>
          <w:rFonts w:ascii="Palatino Linotype" w:hAnsi="Palatino Linotype"/>
          <w:b/>
          <w:color w:val="auto"/>
          <w:sz w:val="22"/>
          <w:szCs w:val="22"/>
        </w:rPr>
        <w:t xml:space="preserve"> </w:t>
      </w:r>
    </w:p>
    <w:p w:rsidR="002D48C5" w:rsidRPr="00281E73" w:rsidRDefault="002D48C5" w:rsidP="002D48C5">
      <w:pPr>
        <w:rPr>
          <w:rFonts w:ascii="Palatino Linotype" w:eastAsia="MS Mincho" w:hAnsi="Palatino Linotype"/>
          <w:sz w:val="22"/>
          <w:szCs w:val="22"/>
        </w:rPr>
      </w:pPr>
    </w:p>
    <w:p w:rsidR="002D48C5" w:rsidRPr="00281E73" w:rsidRDefault="00470249" w:rsidP="002D48C5">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281E73">
        <w:rPr>
          <w:rFonts w:ascii="Palatino Linotype" w:hAnsi="Palatino Linotype"/>
          <w:bCs/>
          <w:szCs w:val="22"/>
        </w:rPr>
        <w:t>El recurrente solic</w:t>
      </w:r>
      <w:r w:rsidR="002763A5" w:rsidRPr="00281E73">
        <w:rPr>
          <w:rFonts w:ascii="Palatino Linotype" w:hAnsi="Palatino Linotype"/>
          <w:bCs/>
          <w:szCs w:val="22"/>
        </w:rPr>
        <w:t>itó conocer, respecto de la vialidad</w:t>
      </w:r>
      <w:r w:rsidRPr="00281E73">
        <w:rPr>
          <w:rFonts w:ascii="Palatino Linotype" w:hAnsi="Palatino Linotype"/>
          <w:bCs/>
          <w:szCs w:val="22"/>
        </w:rPr>
        <w:t xml:space="preserve"> y situación señalada en la solicitud de información, lo siguiente:</w:t>
      </w:r>
    </w:p>
    <w:p w:rsidR="00470249" w:rsidRPr="00281E73" w:rsidRDefault="00470249" w:rsidP="00470249">
      <w:pPr>
        <w:pStyle w:val="Prrafodelista"/>
        <w:spacing w:before="240" w:after="240" w:line="360" w:lineRule="auto"/>
        <w:ind w:left="0" w:right="49"/>
        <w:jc w:val="both"/>
        <w:rPr>
          <w:rFonts w:ascii="Palatino Linotype" w:hAnsi="Palatino Linotype"/>
          <w:i/>
          <w:szCs w:val="22"/>
          <w:lang w:eastAsia="es-MX"/>
        </w:rPr>
      </w:pPr>
    </w:p>
    <w:p w:rsidR="00470249" w:rsidRPr="00281E73" w:rsidRDefault="00470249" w:rsidP="00470249">
      <w:pPr>
        <w:pStyle w:val="Prrafodelista"/>
        <w:tabs>
          <w:tab w:val="left" w:pos="8222"/>
        </w:tabs>
        <w:spacing w:line="276" w:lineRule="auto"/>
        <w:ind w:left="851" w:right="822"/>
        <w:jc w:val="both"/>
        <w:rPr>
          <w:rFonts w:ascii="Palatino Linotype" w:hAnsi="Palatino Linotype"/>
          <w:szCs w:val="22"/>
          <w:lang w:eastAsia="es-MX"/>
        </w:rPr>
      </w:pPr>
      <w:r w:rsidRPr="00281E73">
        <w:rPr>
          <w:rFonts w:ascii="Palatino Linotype" w:hAnsi="Palatino Linotype"/>
          <w:szCs w:val="22"/>
          <w:lang w:eastAsia="es-MX"/>
        </w:rPr>
        <w:t>1.- Si el Ayuntamiento ha realizado algún estudio, promovido alguna demanda o denuncia por l</w:t>
      </w:r>
      <w:r w:rsidR="00F52B61" w:rsidRPr="00281E73">
        <w:rPr>
          <w:rFonts w:ascii="Palatino Linotype" w:hAnsi="Palatino Linotype"/>
          <w:szCs w:val="22"/>
          <w:lang w:eastAsia="es-MX"/>
        </w:rPr>
        <w:t>a apropiación de la vía pública;</w:t>
      </w:r>
      <w:r w:rsidRPr="00281E73">
        <w:rPr>
          <w:rFonts w:ascii="Palatino Linotype" w:hAnsi="Palatino Linotype"/>
          <w:szCs w:val="22"/>
          <w:lang w:eastAsia="es-MX"/>
        </w:rPr>
        <w:t xml:space="preserve"> </w:t>
      </w:r>
    </w:p>
    <w:p w:rsidR="00F52B61" w:rsidRPr="00281E73" w:rsidRDefault="00470249" w:rsidP="00470249">
      <w:pPr>
        <w:pStyle w:val="Prrafodelista"/>
        <w:tabs>
          <w:tab w:val="left" w:pos="8222"/>
        </w:tabs>
        <w:spacing w:line="276" w:lineRule="auto"/>
        <w:ind w:left="851" w:right="822"/>
        <w:jc w:val="both"/>
        <w:rPr>
          <w:rFonts w:ascii="Palatino Linotype" w:hAnsi="Palatino Linotype"/>
          <w:szCs w:val="22"/>
          <w:lang w:eastAsia="es-MX"/>
        </w:rPr>
      </w:pPr>
      <w:r w:rsidRPr="00281E73">
        <w:rPr>
          <w:rFonts w:ascii="Palatino Linotype" w:hAnsi="Palatino Linotype"/>
          <w:szCs w:val="22"/>
          <w:lang w:eastAsia="es-MX"/>
        </w:rPr>
        <w:t xml:space="preserve">2.- Si este H. Ayuntamiento a través de su Dirección o Unidad Jurídica ha ejercicio alguna Acción Pública para </w:t>
      </w:r>
      <w:r w:rsidR="00F52B61" w:rsidRPr="00281E73">
        <w:rPr>
          <w:rFonts w:ascii="Palatino Linotype" w:hAnsi="Palatino Linotype"/>
          <w:szCs w:val="22"/>
          <w:lang w:eastAsia="es-MX"/>
        </w:rPr>
        <w:t>la recuperación de la vialidad;</w:t>
      </w:r>
    </w:p>
    <w:p w:rsidR="00F52B61" w:rsidRPr="00281E73" w:rsidRDefault="00470249" w:rsidP="00470249">
      <w:pPr>
        <w:pStyle w:val="Prrafodelista"/>
        <w:tabs>
          <w:tab w:val="left" w:pos="8222"/>
        </w:tabs>
        <w:spacing w:line="276" w:lineRule="auto"/>
        <w:ind w:left="851" w:right="822"/>
        <w:jc w:val="both"/>
        <w:rPr>
          <w:rFonts w:ascii="Palatino Linotype" w:hAnsi="Palatino Linotype"/>
          <w:szCs w:val="22"/>
          <w:lang w:eastAsia="es-MX"/>
        </w:rPr>
      </w:pPr>
      <w:r w:rsidRPr="00281E73">
        <w:rPr>
          <w:rFonts w:ascii="Palatino Linotype" w:hAnsi="Palatino Linotype"/>
          <w:szCs w:val="22"/>
          <w:lang w:eastAsia="es-MX"/>
        </w:rPr>
        <w:t>3. Si existe alguna planeac</w:t>
      </w:r>
      <w:r w:rsidR="00F52B61" w:rsidRPr="00281E73">
        <w:rPr>
          <w:rFonts w:ascii="Palatino Linotype" w:hAnsi="Palatino Linotype"/>
          <w:szCs w:val="22"/>
          <w:lang w:eastAsia="es-MX"/>
        </w:rPr>
        <w:t>ión urbana para dicha vialidad;</w:t>
      </w:r>
    </w:p>
    <w:p w:rsidR="00470249" w:rsidRPr="00281E73" w:rsidRDefault="00470249" w:rsidP="00470249">
      <w:pPr>
        <w:pStyle w:val="Prrafodelista"/>
        <w:tabs>
          <w:tab w:val="left" w:pos="8222"/>
        </w:tabs>
        <w:spacing w:line="276" w:lineRule="auto"/>
        <w:ind w:left="851" w:right="822"/>
        <w:jc w:val="both"/>
        <w:rPr>
          <w:rFonts w:ascii="Palatino Linotype" w:eastAsia="Calibri" w:hAnsi="Palatino Linotype" w:cs="Arial"/>
          <w:szCs w:val="22"/>
          <w:lang w:val="es-ES"/>
        </w:rPr>
      </w:pPr>
      <w:r w:rsidRPr="00281E73">
        <w:rPr>
          <w:rFonts w:ascii="Palatino Linotype" w:hAnsi="Palatino Linotype"/>
          <w:szCs w:val="22"/>
          <w:lang w:eastAsia="es-MX"/>
        </w:rPr>
        <w:t>4. Si de conformidad con sus atribuciones se encuentra el salvaguardar las vías públicas en beneficio de la sociedad</w:t>
      </w:r>
      <w:r w:rsidR="00F52B61" w:rsidRPr="00281E73">
        <w:rPr>
          <w:rFonts w:ascii="Palatino Linotype" w:hAnsi="Palatino Linotype"/>
          <w:szCs w:val="22"/>
          <w:lang w:eastAsia="es-MX"/>
        </w:rPr>
        <w:t>.</w:t>
      </w:r>
    </w:p>
    <w:p w:rsidR="002D48C5" w:rsidRPr="00281E73" w:rsidRDefault="002D48C5" w:rsidP="00F52B61">
      <w:pPr>
        <w:pStyle w:val="Prrafodelista"/>
        <w:spacing w:before="240" w:after="240" w:line="360" w:lineRule="auto"/>
        <w:ind w:left="0" w:right="49"/>
        <w:jc w:val="both"/>
        <w:rPr>
          <w:rFonts w:ascii="Palatino Linotype" w:hAnsi="Palatino Linotype"/>
          <w:i/>
          <w:szCs w:val="22"/>
          <w:lang w:eastAsia="es-MX"/>
        </w:rPr>
      </w:pPr>
    </w:p>
    <w:p w:rsidR="002D48C5" w:rsidRPr="00281E73" w:rsidRDefault="002D48C5" w:rsidP="002D48C5">
      <w:pPr>
        <w:pStyle w:val="Prrafodelista"/>
        <w:numPr>
          <w:ilvl w:val="0"/>
          <w:numId w:val="2"/>
        </w:numPr>
        <w:spacing w:before="240" w:after="240" w:line="360" w:lineRule="auto"/>
        <w:ind w:left="0" w:right="49" w:firstLine="0"/>
        <w:jc w:val="both"/>
        <w:rPr>
          <w:rFonts w:ascii="Palatino Linotype" w:hAnsi="Palatino Linotype"/>
          <w:i/>
          <w:szCs w:val="22"/>
          <w:lang w:eastAsia="es-MX"/>
        </w:rPr>
      </w:pPr>
      <w:r w:rsidRPr="00281E73">
        <w:rPr>
          <w:rFonts w:ascii="Palatino Linotype" w:eastAsiaTheme="minorEastAsia" w:hAnsi="Palatino Linotype"/>
          <w:iCs/>
          <w:szCs w:val="22"/>
          <w:lang w:val="es-ES_tradnl"/>
        </w:rPr>
        <w:t>El Sujeto Obligado no entregó respuesta a la solicitud, motivo de inconformidad el recurrente.</w:t>
      </w:r>
    </w:p>
    <w:p w:rsidR="002D48C5" w:rsidRPr="00281E73" w:rsidRDefault="002D48C5" w:rsidP="002D48C5">
      <w:pPr>
        <w:numPr>
          <w:ilvl w:val="0"/>
          <w:numId w:val="1"/>
        </w:numPr>
        <w:tabs>
          <w:tab w:val="left" w:pos="284"/>
        </w:tabs>
        <w:spacing w:before="240" w:after="240" w:line="360" w:lineRule="auto"/>
        <w:ind w:left="0" w:firstLine="0"/>
        <w:contextualSpacing/>
        <w:jc w:val="both"/>
        <w:rPr>
          <w:rFonts w:ascii="Palatino Linotype" w:eastAsiaTheme="minorEastAsia" w:hAnsi="Palatino Linotype"/>
          <w:i/>
          <w:sz w:val="22"/>
          <w:szCs w:val="22"/>
          <w:lang w:val="es-ES_tradnl"/>
        </w:rPr>
      </w:pPr>
      <w:r w:rsidRPr="00281E73">
        <w:rPr>
          <w:rFonts w:ascii="Palatino Linotype" w:eastAsiaTheme="minorEastAsia" w:hAnsi="Palatino Linotype" w:cs="Arial"/>
          <w:sz w:val="22"/>
          <w:szCs w:val="22"/>
          <w:lang w:val="es-ES_tradnl"/>
        </w:rPr>
        <w:t xml:space="preserve">Por lo tanto, el presente recurso de revisión se circunscribe en determinar si se </w:t>
      </w:r>
      <w:r w:rsidRPr="00281E73">
        <w:rPr>
          <w:rFonts w:ascii="Palatino Linotype" w:hAnsi="Palatino Linotype"/>
          <w:sz w:val="22"/>
          <w:szCs w:val="22"/>
          <w:lang w:val="es-ES_tradnl"/>
        </w:rPr>
        <w:t>actualiza las causales de procedencia</w:t>
      </w:r>
      <w:r w:rsidRPr="00281E73">
        <w:rPr>
          <w:rFonts w:ascii="Palatino Linotype" w:hAnsi="Palatino Linotype"/>
          <w:b/>
          <w:sz w:val="22"/>
          <w:szCs w:val="22"/>
          <w:lang w:val="es-ES_tradnl"/>
        </w:rPr>
        <w:t xml:space="preserve"> </w:t>
      </w:r>
      <w:r w:rsidRPr="00281E73">
        <w:rPr>
          <w:rFonts w:ascii="Palatino Linotype" w:hAnsi="Palatino Linotype" w:cs="Arial"/>
          <w:sz w:val="22"/>
          <w:szCs w:val="22"/>
          <w:lang w:val="es-ES_tradnl" w:eastAsia="es-MX"/>
        </w:rPr>
        <w:t xml:space="preserve">contenidas en </w:t>
      </w:r>
      <w:r w:rsidRPr="00281E73">
        <w:rPr>
          <w:rFonts w:ascii="Palatino Linotype" w:hAnsi="Palatino Linotype" w:cs="Arial"/>
          <w:sz w:val="22"/>
          <w:szCs w:val="22"/>
          <w:lang w:val="es-ES" w:eastAsia="es-MX"/>
        </w:rPr>
        <w:t xml:space="preserve">el artículo 179 fracciones I y VII de la </w:t>
      </w:r>
      <w:r w:rsidRPr="00281E73">
        <w:rPr>
          <w:rFonts w:ascii="Palatino Linotype" w:eastAsia="Calibri" w:hAnsi="Palatino Linotype" w:cs="Arial"/>
          <w:b/>
          <w:sz w:val="22"/>
          <w:szCs w:val="22"/>
          <w:lang w:val="es-ES"/>
        </w:rPr>
        <w:t xml:space="preserve">Ley de </w:t>
      </w:r>
      <w:r w:rsidRPr="00281E73">
        <w:rPr>
          <w:rFonts w:ascii="Palatino Linotype" w:eastAsia="Calibri" w:hAnsi="Palatino Linotype" w:cs="Arial"/>
          <w:b/>
          <w:sz w:val="22"/>
          <w:szCs w:val="22"/>
          <w:lang w:val="es-ES"/>
        </w:rPr>
        <w:lastRenderedPageBreak/>
        <w:t>Transparencia y Acceso a la Información Pública del Estado de México y Municipios</w:t>
      </w:r>
      <w:r w:rsidRPr="00281E73">
        <w:rPr>
          <w:rFonts w:ascii="Palatino Linotype" w:hAnsi="Palatino Linotype" w:cs="Arial"/>
          <w:sz w:val="22"/>
          <w:szCs w:val="22"/>
          <w:lang w:val="es-ES" w:eastAsia="es-MX"/>
        </w:rPr>
        <w:t xml:space="preserve">, que refieren la negativa de la información solicitada y la falta de respuesta a una solicitud de acceso a la información. </w:t>
      </w:r>
    </w:p>
    <w:p w:rsidR="002D48C5" w:rsidRPr="00281E73" w:rsidRDefault="002D48C5" w:rsidP="002D48C5">
      <w:pPr>
        <w:pStyle w:val="Ttulo1"/>
        <w:spacing w:before="0" w:line="360" w:lineRule="auto"/>
        <w:rPr>
          <w:rFonts w:ascii="Palatino Linotype" w:hAnsi="Palatino Linotype"/>
          <w:b/>
          <w:color w:val="auto"/>
          <w:sz w:val="22"/>
          <w:szCs w:val="22"/>
        </w:rPr>
      </w:pPr>
      <w:bookmarkStart w:id="8" w:name="_Toc4061675"/>
      <w:bookmarkStart w:id="9" w:name="_Toc3372324"/>
      <w:bookmarkStart w:id="10" w:name="_Toc499201873"/>
      <w:bookmarkStart w:id="11" w:name="_Toc87549676"/>
      <w:r w:rsidRPr="00281E73">
        <w:rPr>
          <w:rFonts w:ascii="Palatino Linotype" w:hAnsi="Palatino Linotype"/>
          <w:b/>
          <w:color w:val="auto"/>
          <w:sz w:val="22"/>
          <w:szCs w:val="22"/>
        </w:rPr>
        <w:t>CUARTO. Estudio y resolución del asunto</w:t>
      </w:r>
      <w:bookmarkEnd w:id="8"/>
      <w:bookmarkEnd w:id="9"/>
      <w:bookmarkEnd w:id="10"/>
      <w:bookmarkEnd w:id="11"/>
    </w:p>
    <w:p w:rsidR="002D48C5" w:rsidRPr="00281E73" w:rsidRDefault="002D48C5" w:rsidP="002D48C5">
      <w:pPr>
        <w:pStyle w:val="Prrafodelista"/>
        <w:rPr>
          <w:rFonts w:ascii="Palatino Linotype" w:hAnsi="Palatino Linotype" w:cs="Arial"/>
          <w:color w:val="000000"/>
          <w:szCs w:val="22"/>
          <w:lang w:eastAsia="es-MX"/>
        </w:rPr>
      </w:pPr>
    </w:p>
    <w:p w:rsidR="002D48C5" w:rsidRPr="00281E73" w:rsidRDefault="002D48C5" w:rsidP="00F52B61">
      <w:pPr>
        <w:numPr>
          <w:ilvl w:val="0"/>
          <w:numId w:val="1"/>
        </w:numPr>
        <w:spacing w:line="360" w:lineRule="auto"/>
        <w:ind w:left="0" w:right="49" w:firstLine="0"/>
        <w:contextualSpacing/>
        <w:jc w:val="both"/>
        <w:rPr>
          <w:rFonts w:ascii="Palatino Linotype" w:eastAsiaTheme="minorEastAsia" w:hAnsi="Palatino Linotype"/>
          <w:sz w:val="22"/>
          <w:szCs w:val="22"/>
          <w:lang w:val="es-ES_tradnl"/>
        </w:rPr>
      </w:pPr>
      <w:r w:rsidRPr="00281E73">
        <w:rPr>
          <w:rFonts w:ascii="Palatino Linotype" w:hAnsi="Palatino Linotype" w:cs="Arial"/>
          <w:sz w:val="22"/>
          <w:szCs w:val="22"/>
        </w:rPr>
        <w:t xml:space="preserve">Se procede analizar el contenido íntegro de las actuaciones que obran en el expediente electrónico, y así este Órgano Garante dicte la resolución correspondiente, apegándose en todo momento al principio de máxima publicidad de acuerdo con lo establecido en el artículo 8 de la </w:t>
      </w:r>
      <w:r w:rsidRPr="00281E73">
        <w:rPr>
          <w:rFonts w:ascii="Palatino Linotype" w:eastAsia="Calibri" w:hAnsi="Palatino Linotype" w:cs="Arial"/>
          <w:sz w:val="22"/>
          <w:szCs w:val="22"/>
          <w:lang w:val="es-ES"/>
        </w:rPr>
        <w:t>Ley de Transparencia y Acceso a la Información Pública del Estado de México y Municipios</w:t>
      </w:r>
      <w:r w:rsidRPr="00281E73">
        <w:rPr>
          <w:rFonts w:ascii="Palatino Linotype" w:hAnsi="Palatino Linotype" w:cs="Arial"/>
          <w:sz w:val="22"/>
          <w:szCs w:val="22"/>
          <w:lang w:val="es-ES"/>
        </w:rPr>
        <w:t>.</w:t>
      </w:r>
    </w:p>
    <w:p w:rsidR="00F52B61" w:rsidRPr="00281E73" w:rsidRDefault="00F52B61" w:rsidP="00F52B61">
      <w:pPr>
        <w:spacing w:line="360" w:lineRule="auto"/>
        <w:ind w:right="49"/>
        <w:contextualSpacing/>
        <w:jc w:val="both"/>
        <w:rPr>
          <w:rFonts w:ascii="Palatino Linotype" w:eastAsiaTheme="minorEastAsia" w:hAnsi="Palatino Linotype"/>
          <w:sz w:val="22"/>
          <w:szCs w:val="22"/>
          <w:lang w:val="es-ES_tradnl"/>
        </w:rPr>
      </w:pPr>
    </w:p>
    <w:p w:rsidR="00D67EC7" w:rsidRPr="00281E73" w:rsidRDefault="00D67EC7" w:rsidP="00D67EC7">
      <w:pPr>
        <w:pStyle w:val="Prrafodelista"/>
        <w:numPr>
          <w:ilvl w:val="0"/>
          <w:numId w:val="1"/>
        </w:numPr>
        <w:spacing w:line="360" w:lineRule="auto"/>
        <w:ind w:left="0" w:firstLine="0"/>
        <w:jc w:val="both"/>
        <w:rPr>
          <w:rFonts w:ascii="Palatino Linotype" w:eastAsia="MS Mincho" w:hAnsi="Palatino Linotype"/>
        </w:rPr>
      </w:pPr>
      <w:r w:rsidRPr="00281E73">
        <w:rPr>
          <w:rFonts w:ascii="Palatino Linotype" w:eastAsia="MS Mincho" w:hAnsi="Palatino Linotype"/>
        </w:rPr>
        <w:t xml:space="preserve">Debemos mencionar que el acceso a la información es un derecho humano constitucional y convencionalmente reconocido y para tal efecto </w:t>
      </w:r>
      <w:r w:rsidRPr="00281E73">
        <w:rPr>
          <w:rFonts w:ascii="Palatino Linotype" w:eastAsia="Calibri" w:hAnsi="Palatino Linotype"/>
          <w:lang w:val="es-ES"/>
        </w:rPr>
        <w:t xml:space="preserve">el párrafo tercero del artículo primero de la Constitución Política de los Estados Unidos Mexicanos establece que el deber de todas las autoridades, </w:t>
      </w:r>
      <w:r w:rsidRPr="00281E73">
        <w:rPr>
          <w:rFonts w:ascii="Palatino Linotype" w:eastAsia="Calibri" w:hAnsi="Palatino Linotype"/>
          <w:i/>
          <w:lang w:val="es-ES"/>
        </w:rPr>
        <w:t xml:space="preserve">en el ámbito de sus atribuciones, de promover, respetar, proteger y </w:t>
      </w:r>
      <w:r w:rsidRPr="00281E73">
        <w:rPr>
          <w:rFonts w:ascii="Palatino Linotype" w:eastAsia="Calibri" w:hAnsi="Palatino Linotype"/>
          <w:b/>
          <w:i/>
          <w:lang w:val="es-ES"/>
        </w:rPr>
        <w:t>garantizar</w:t>
      </w:r>
      <w:r w:rsidRPr="00281E73">
        <w:rPr>
          <w:rFonts w:ascii="Palatino Linotype" w:eastAsia="Calibri" w:hAnsi="Palatino Linotype"/>
          <w:i/>
          <w:lang w:val="es-ES"/>
        </w:rPr>
        <w:t xml:space="preserve"> los derechos humanos. </w:t>
      </w:r>
      <w:r w:rsidRPr="00281E73">
        <w:rPr>
          <w:rFonts w:ascii="Palatino Linotype" w:eastAsia="Calibri" w:hAnsi="Palatino Linotype"/>
          <w:b/>
          <w:i/>
          <w:lang w:val="es-ES"/>
        </w:rPr>
        <w:t>En cuanto al derecho de acceso a la información, la Ley de Transparencia y Acceso a la Información Pública del Estado de México y Municipios prevé establece que e</w:t>
      </w:r>
      <w:r w:rsidRPr="00281E73">
        <w:rPr>
          <w:rFonts w:ascii="Palatino Linotype" w:hAnsi="Palatino Linotype"/>
          <w:i/>
        </w:rPr>
        <w:t>l procedimiento de acceso a la información es la garantía primaria del derecho en cuestión y se rige por los principios de simplicidad, rapidez y gratuidad del procedimiento, auxilio y orientación a los particulares</w:t>
      </w:r>
      <w:r w:rsidRPr="00281E73">
        <w:rPr>
          <w:rStyle w:val="Refdenotaalpie"/>
          <w:i/>
        </w:rPr>
        <w:footnoteReference w:id="1"/>
      </w:r>
      <w:r w:rsidRPr="00281E73">
        <w:rPr>
          <w:rFonts w:ascii="Palatino Linotype" w:hAnsi="Palatino Linotype"/>
          <w:i/>
        </w:rPr>
        <w:t xml:space="preserve">, </w:t>
      </w:r>
      <w:r w:rsidRPr="00281E73">
        <w:rPr>
          <w:rFonts w:ascii="Palatino Linotype" w:hAnsi="Palatino Linotype"/>
        </w:rPr>
        <w:t>asimismo establece</w:t>
      </w:r>
      <w:r w:rsidRPr="00281E73">
        <w:rPr>
          <w:rFonts w:ascii="Palatino Linotype" w:hAnsi="Palatino Linotype"/>
          <w:i/>
        </w:rPr>
        <w:t xml:space="preserve"> que las unidades de transparencia de los Sujetos Obligados deberán garantizar las medidas y condiciones de accesibilidad para que toda persona pueda </w:t>
      </w:r>
      <w:r w:rsidRPr="00281E73">
        <w:rPr>
          <w:rFonts w:ascii="Palatino Linotype" w:hAnsi="Palatino Linotype"/>
          <w:i/>
        </w:rPr>
        <w:lastRenderedPageBreak/>
        <w:t>ejercer el derecho de acceso a la información, mediante solicitudes de información y deberá apoyar al solicitante en la elaboración de las mismas.</w:t>
      </w:r>
    </w:p>
    <w:p w:rsidR="00D67EC7" w:rsidRPr="00281E73" w:rsidRDefault="00D67EC7" w:rsidP="00D67EC7">
      <w:pPr>
        <w:pStyle w:val="Prrafodelista"/>
        <w:rPr>
          <w:rFonts w:ascii="Palatino Linotype" w:eastAsia="Calibri" w:hAnsi="Palatino Linotype" w:cs="Arial"/>
        </w:rPr>
      </w:pPr>
    </w:p>
    <w:p w:rsidR="00D67EC7" w:rsidRPr="00281E73" w:rsidRDefault="00D67EC7" w:rsidP="00D67EC7">
      <w:pPr>
        <w:pStyle w:val="Prrafodelista"/>
        <w:numPr>
          <w:ilvl w:val="0"/>
          <w:numId w:val="1"/>
        </w:numPr>
        <w:spacing w:line="360" w:lineRule="auto"/>
        <w:ind w:left="0" w:firstLine="0"/>
        <w:jc w:val="both"/>
        <w:rPr>
          <w:rFonts w:ascii="Palatino Linotype" w:eastAsia="Calibri" w:hAnsi="Palatino Linotype" w:cs="Arial"/>
        </w:rPr>
      </w:pPr>
      <w:r w:rsidRPr="00281E73">
        <w:rPr>
          <w:rFonts w:ascii="Palatino Linotype" w:hAnsi="Palatino Linotype"/>
        </w:rPr>
        <w:t>Por lo que, las actuaciones diligentes que lleven a cabo en un primer momento las Unidades de Transparencia y posteriormente  cada servidor público en su área es fundamental para la correcta tutela y el eficaz cumplimiento al derecho de acceso a la información, pues los primeros son el vínculo entre los particulares y los servidores públicos que generan, administra o poseen la información, mientras que los segundos tienen la responsabilidad de realizar una correcta gestión documental que permita localizar de manera rápida los documentos que se soliciten o bien, simplemente para el desarrollo de sus facultades, competencias y atribuciones que a diario desempeñan.</w:t>
      </w:r>
    </w:p>
    <w:p w:rsidR="00D67EC7" w:rsidRPr="00281E73" w:rsidRDefault="00D67EC7" w:rsidP="00D67EC7">
      <w:pPr>
        <w:pStyle w:val="Prrafodelista"/>
        <w:rPr>
          <w:rFonts w:ascii="Palatino Linotype" w:hAnsi="Palatino Linotype"/>
        </w:rPr>
      </w:pPr>
    </w:p>
    <w:p w:rsidR="00D67EC7" w:rsidRPr="00281E73" w:rsidRDefault="00D67EC7" w:rsidP="00D67EC7">
      <w:pPr>
        <w:pStyle w:val="Prrafodelista"/>
        <w:numPr>
          <w:ilvl w:val="0"/>
          <w:numId w:val="1"/>
        </w:numPr>
        <w:spacing w:line="360" w:lineRule="auto"/>
        <w:ind w:left="0" w:firstLine="0"/>
        <w:jc w:val="both"/>
        <w:rPr>
          <w:rFonts w:ascii="Palatino Linotype" w:eastAsia="Calibri" w:hAnsi="Palatino Linotype" w:cs="Arial"/>
        </w:rPr>
      </w:pPr>
      <w:r w:rsidRPr="00281E73">
        <w:rPr>
          <w:rFonts w:ascii="Palatino Linotype" w:hAnsi="Palatino Linotype"/>
        </w:rPr>
        <w:t xml:space="preserve">Es así que, su obligación es </w:t>
      </w:r>
      <w:r w:rsidRPr="00281E73">
        <w:rPr>
          <w:rFonts w:ascii="Palatino Linotype" w:hAnsi="Palatino Linotype"/>
          <w:i/>
        </w:rPr>
        <w:t>realizar, con efectividad, los trámites internos necesarios para la atención de las solicitudes de información</w:t>
      </w:r>
      <w:r w:rsidRPr="00281E73">
        <w:rPr>
          <w:rStyle w:val="Refdenotaalpie"/>
        </w:rPr>
        <w:footnoteReference w:id="2"/>
      </w:r>
      <w:r w:rsidRPr="00281E73">
        <w:rPr>
          <w:rFonts w:ascii="Palatino Linotype" w:hAnsi="Palatino Linotype"/>
        </w:rPr>
        <w:t>, es decir, deben otorgar respuestas concisas, contundentes y sobre todo que den la certeza de los actos que realizan.</w:t>
      </w:r>
    </w:p>
    <w:p w:rsidR="00D67EC7" w:rsidRPr="00281E73" w:rsidRDefault="00D67EC7" w:rsidP="00D67EC7">
      <w:pPr>
        <w:pStyle w:val="Prrafodelista"/>
        <w:rPr>
          <w:rFonts w:ascii="Palatino Linotype" w:eastAsia="Calibri" w:hAnsi="Palatino Linotype" w:cs="Arial"/>
        </w:rPr>
      </w:pPr>
    </w:p>
    <w:p w:rsidR="00D67EC7" w:rsidRPr="00281E73" w:rsidRDefault="00D67EC7" w:rsidP="00D67EC7">
      <w:pPr>
        <w:pStyle w:val="Prrafodelista"/>
        <w:numPr>
          <w:ilvl w:val="0"/>
          <w:numId w:val="1"/>
        </w:numPr>
        <w:spacing w:line="360" w:lineRule="auto"/>
        <w:ind w:left="0" w:firstLine="0"/>
        <w:jc w:val="both"/>
        <w:rPr>
          <w:rFonts w:ascii="Palatino Linotype" w:eastAsia="MS Mincho" w:hAnsi="Palatino Linotype"/>
        </w:rPr>
      </w:pPr>
      <w:r w:rsidRPr="00281E73">
        <w:rPr>
          <w:rFonts w:ascii="Palatino Linotype" w:eastAsia="Palatino Linotype" w:hAnsi="Palatino Linotype" w:cs="Palatino Linotype"/>
        </w:rPr>
        <w:t xml:space="preserve">Al respecto, es menester hacer referencia a lo establecido en los artículos 50, 53 fracciones II, IV y V, 58, 59 fracciones I y II, y 162 </w:t>
      </w:r>
      <w:r w:rsidRPr="00281E73">
        <w:rPr>
          <w:rFonts w:ascii="Palatino Linotype" w:eastAsia="Arial Unicode MS" w:hAnsi="Palatino Linotype" w:cs="Arial"/>
          <w:lang w:eastAsia="en-US"/>
        </w:rPr>
        <w:t>de la Ley de Transparencia y Acceso a la Información del Estado de México y Municipios, que a la letra estipulan lo siguiente:</w:t>
      </w:r>
    </w:p>
    <w:p w:rsidR="00D67EC7" w:rsidRPr="00281E73" w:rsidRDefault="00D67EC7" w:rsidP="00817765">
      <w:pPr>
        <w:spacing w:line="360" w:lineRule="auto"/>
        <w:ind w:left="851" w:right="822"/>
        <w:jc w:val="both"/>
        <w:rPr>
          <w:rFonts w:ascii="Palatino Linotype" w:eastAsia="Arial Unicode MS" w:hAnsi="Palatino Linotype" w:cs="Arial"/>
          <w:sz w:val="22"/>
          <w:lang w:eastAsia="en-US"/>
        </w:rPr>
      </w:pP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i/>
          <w:iCs/>
          <w:sz w:val="22"/>
        </w:rPr>
        <w:t xml:space="preserve">Artículo 50. </w:t>
      </w:r>
      <w:r w:rsidRPr="00281E73">
        <w:rPr>
          <w:rFonts w:ascii="Palatino Linotype" w:eastAsia="Palatino Linotype" w:hAnsi="Palatino Linotype" w:cs="Palatino Linotype"/>
          <w:i/>
          <w:iCs/>
          <w:sz w:val="22"/>
        </w:rPr>
        <w:t>Los sujetos obligados contarán con un área responsable para la atención de las solicitudes de información, a la que se le denominará Unidad de Transparencia.</w:t>
      </w:r>
    </w:p>
    <w:p w:rsidR="00D67EC7" w:rsidRPr="00281E73" w:rsidRDefault="00D67EC7" w:rsidP="00817765">
      <w:pPr>
        <w:ind w:left="851" w:right="822"/>
        <w:jc w:val="both"/>
        <w:rPr>
          <w:rFonts w:ascii="Palatino Linotype" w:eastAsia="Palatino Linotype" w:hAnsi="Palatino Linotype" w:cs="Palatino Linotype"/>
          <w:i/>
          <w:iCs/>
          <w:sz w:val="22"/>
        </w:rPr>
      </w:pP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i/>
          <w:iCs/>
          <w:sz w:val="22"/>
        </w:rPr>
        <w:t xml:space="preserve">Artículo 53. </w:t>
      </w:r>
      <w:r w:rsidRPr="00281E73">
        <w:rPr>
          <w:rFonts w:ascii="Palatino Linotype" w:eastAsia="Palatino Linotype" w:hAnsi="Palatino Linotype" w:cs="Palatino Linotype"/>
          <w:i/>
          <w:iCs/>
          <w:sz w:val="22"/>
        </w:rPr>
        <w:t>Las Unidades de Transparencia tendrán las siguientes funciones:</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i/>
          <w:iCs/>
          <w:sz w:val="22"/>
        </w:rPr>
        <w:t>(…)</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bCs/>
          <w:i/>
          <w:iCs/>
          <w:sz w:val="22"/>
        </w:rPr>
        <w:lastRenderedPageBreak/>
        <w:t>II.</w:t>
      </w:r>
      <w:r w:rsidRPr="00281E73">
        <w:rPr>
          <w:rFonts w:ascii="Palatino Linotype" w:eastAsia="Palatino Linotype" w:hAnsi="Palatino Linotype" w:cs="Palatino Linotype"/>
          <w:i/>
          <w:iCs/>
          <w:sz w:val="22"/>
        </w:rPr>
        <w:t xml:space="preserve"> Recibir, tramitar y dar respuesta a las solicitudes de acceso a la información;</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i/>
          <w:iCs/>
          <w:sz w:val="22"/>
        </w:rPr>
        <w:t>(…)</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bCs/>
          <w:i/>
          <w:iCs/>
          <w:sz w:val="22"/>
        </w:rPr>
        <w:t>IV.</w:t>
      </w:r>
      <w:r w:rsidRPr="00281E73">
        <w:rPr>
          <w:rFonts w:ascii="Palatino Linotype" w:eastAsia="Palatino Linotype" w:hAnsi="Palatino Linotype" w:cs="Palatino Linotype"/>
          <w:i/>
          <w:iCs/>
          <w:sz w:val="22"/>
        </w:rPr>
        <w:t xml:space="preserve"> Realizar, con efectividad, los trámites internos necesarios para la atención de las solicitudes de acceso a la información;</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bCs/>
          <w:i/>
          <w:iCs/>
          <w:sz w:val="22"/>
        </w:rPr>
        <w:t>V.</w:t>
      </w:r>
      <w:r w:rsidRPr="00281E73">
        <w:rPr>
          <w:rFonts w:ascii="Palatino Linotype" w:eastAsia="Palatino Linotype" w:hAnsi="Palatino Linotype" w:cs="Palatino Linotype"/>
          <w:i/>
          <w:iCs/>
          <w:sz w:val="22"/>
        </w:rPr>
        <w:t xml:space="preserve"> Entregar, en su caso, a los particulares la información solicitada;</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i/>
          <w:iCs/>
          <w:sz w:val="22"/>
        </w:rPr>
        <w:t>(…)</w:t>
      </w:r>
    </w:p>
    <w:p w:rsidR="00D67EC7" w:rsidRPr="00281E73" w:rsidRDefault="00D67EC7" w:rsidP="00817765">
      <w:pPr>
        <w:ind w:left="851" w:right="822"/>
        <w:jc w:val="both"/>
        <w:rPr>
          <w:rFonts w:ascii="Palatino Linotype" w:eastAsia="Palatino Linotype" w:hAnsi="Palatino Linotype" w:cs="Palatino Linotype"/>
          <w:i/>
          <w:iCs/>
          <w:sz w:val="22"/>
        </w:rPr>
      </w:pP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i/>
          <w:iCs/>
          <w:sz w:val="22"/>
        </w:rPr>
        <w:t xml:space="preserve">Artículo 58. </w:t>
      </w:r>
      <w:r w:rsidRPr="00281E73">
        <w:rPr>
          <w:rFonts w:ascii="Palatino Linotype" w:eastAsia="Palatino Linotype" w:hAnsi="Palatino Linotype" w:cs="Palatino Linotype"/>
          <w:i/>
          <w:iCs/>
          <w:sz w:val="22"/>
        </w:rPr>
        <w:t>Los servidores públicos habilitados serán designados por el titular del sujeto obligado a propuesta del responsable de la Unidad de Transparencia.</w:t>
      </w:r>
    </w:p>
    <w:p w:rsidR="00D67EC7" w:rsidRPr="00281E73" w:rsidRDefault="00D67EC7" w:rsidP="00817765">
      <w:pPr>
        <w:ind w:left="851" w:right="822"/>
        <w:jc w:val="both"/>
        <w:rPr>
          <w:rFonts w:ascii="Palatino Linotype" w:eastAsia="Palatino Linotype" w:hAnsi="Palatino Linotype" w:cs="Palatino Linotype"/>
          <w:i/>
          <w:iCs/>
          <w:sz w:val="22"/>
        </w:rPr>
      </w:pP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i/>
          <w:iCs/>
          <w:sz w:val="22"/>
        </w:rPr>
        <w:t xml:space="preserve">Artículo 59. </w:t>
      </w:r>
      <w:r w:rsidRPr="00281E73">
        <w:rPr>
          <w:rFonts w:ascii="Palatino Linotype" w:eastAsia="Palatino Linotype" w:hAnsi="Palatino Linotype" w:cs="Palatino Linotype"/>
          <w:i/>
          <w:iCs/>
          <w:sz w:val="22"/>
        </w:rPr>
        <w:t>Los servidores públicos habilitados tendrán las funciones siguientes:</w:t>
      </w:r>
    </w:p>
    <w:p w:rsidR="00D67EC7" w:rsidRPr="00281E73" w:rsidRDefault="00D67EC7" w:rsidP="00817765">
      <w:pPr>
        <w:ind w:left="851" w:right="822"/>
        <w:jc w:val="both"/>
        <w:rPr>
          <w:rFonts w:ascii="Palatino Linotype" w:eastAsia="Palatino Linotype" w:hAnsi="Palatino Linotype" w:cs="Palatino Linotype"/>
          <w:i/>
          <w:iCs/>
          <w:sz w:val="22"/>
        </w:rPr>
      </w:pP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bCs/>
          <w:i/>
          <w:iCs/>
          <w:sz w:val="22"/>
        </w:rPr>
        <w:t>I.</w:t>
      </w:r>
      <w:r w:rsidRPr="00281E73">
        <w:rPr>
          <w:rFonts w:ascii="Palatino Linotype" w:eastAsia="Palatino Linotype" w:hAnsi="Palatino Linotype" w:cs="Palatino Linotype"/>
          <w:i/>
          <w:iCs/>
          <w:sz w:val="22"/>
        </w:rPr>
        <w:t xml:space="preserve"> Localizar la información que le solicite la Unidad de Transparencia;</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bCs/>
          <w:i/>
          <w:iCs/>
          <w:sz w:val="22"/>
        </w:rPr>
        <w:t>II.</w:t>
      </w:r>
      <w:r w:rsidRPr="00281E73">
        <w:rPr>
          <w:rFonts w:ascii="Palatino Linotype" w:eastAsia="Palatino Linotype" w:hAnsi="Palatino Linotype" w:cs="Palatino Linotype"/>
          <w:i/>
          <w:iCs/>
          <w:sz w:val="22"/>
        </w:rPr>
        <w:t xml:space="preserve"> Proporcionar la información que obre en los archivos y que le sea solicitada por la Unidad de Transparencia;</w:t>
      </w: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i/>
          <w:iCs/>
          <w:sz w:val="22"/>
        </w:rPr>
        <w:t>(...)</w:t>
      </w:r>
    </w:p>
    <w:p w:rsidR="00D67EC7" w:rsidRPr="00281E73" w:rsidRDefault="00D67EC7" w:rsidP="00817765">
      <w:pPr>
        <w:ind w:left="851" w:right="822"/>
        <w:jc w:val="both"/>
        <w:rPr>
          <w:rFonts w:ascii="Palatino Linotype" w:eastAsia="Palatino Linotype" w:hAnsi="Palatino Linotype" w:cs="Palatino Linotype"/>
          <w:i/>
          <w:iCs/>
          <w:sz w:val="22"/>
        </w:rPr>
      </w:pPr>
    </w:p>
    <w:p w:rsidR="00D67EC7" w:rsidRPr="00281E73" w:rsidRDefault="00D67EC7" w:rsidP="00817765">
      <w:pPr>
        <w:ind w:left="851" w:right="822"/>
        <w:jc w:val="both"/>
        <w:rPr>
          <w:rFonts w:ascii="Palatino Linotype" w:eastAsia="Palatino Linotype" w:hAnsi="Palatino Linotype" w:cs="Palatino Linotype"/>
          <w:i/>
          <w:iCs/>
          <w:sz w:val="22"/>
        </w:rPr>
      </w:pPr>
      <w:r w:rsidRPr="00281E73">
        <w:rPr>
          <w:rFonts w:ascii="Palatino Linotype" w:eastAsia="Palatino Linotype" w:hAnsi="Palatino Linotype" w:cs="Palatino Linotype"/>
          <w:b/>
          <w:i/>
          <w:iCs/>
          <w:sz w:val="22"/>
        </w:rPr>
        <w:t xml:space="preserve">Artículo 162. </w:t>
      </w:r>
      <w:r w:rsidRPr="00281E73">
        <w:rPr>
          <w:rFonts w:ascii="Palatino Linotype" w:eastAsia="Palatino Linotype" w:hAnsi="Palatino Linotype" w:cs="Palatino Linotype"/>
          <w:i/>
          <w:iCs/>
          <w:sz w:val="22"/>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D67EC7" w:rsidRPr="00281E73" w:rsidRDefault="00D67EC7" w:rsidP="00D67EC7">
      <w:pPr>
        <w:spacing w:line="360" w:lineRule="auto"/>
        <w:ind w:left="851" w:right="822"/>
        <w:jc w:val="both"/>
        <w:rPr>
          <w:rFonts w:ascii="Palatino Linotype" w:eastAsia="Palatino Linotype" w:hAnsi="Palatino Linotype" w:cs="Palatino Linotype"/>
        </w:rPr>
      </w:pPr>
    </w:p>
    <w:p w:rsidR="00D67EC7" w:rsidRPr="00281E73" w:rsidRDefault="00D67EC7" w:rsidP="00D67EC7">
      <w:pPr>
        <w:pStyle w:val="Prrafodelista"/>
        <w:numPr>
          <w:ilvl w:val="0"/>
          <w:numId w:val="1"/>
        </w:numPr>
        <w:spacing w:line="360" w:lineRule="auto"/>
        <w:ind w:left="0" w:firstLine="0"/>
        <w:jc w:val="both"/>
        <w:rPr>
          <w:rFonts w:ascii="Palatino Linotype" w:eastAsia="Arial Unicode MS" w:hAnsi="Palatino Linotype" w:cs="Arial"/>
          <w:lang w:eastAsia="en-US"/>
        </w:rPr>
      </w:pPr>
      <w:r w:rsidRPr="00281E73">
        <w:rPr>
          <w:rFonts w:ascii="Palatino Linotype" w:eastAsia="Palatino Linotype" w:hAnsi="Palatino Linotype" w:cs="Palatino Linotype"/>
        </w:rPr>
        <w:t xml:space="preserve">De los artículos citados se desprende que las Unidades de Transparencia de los sujetos obligados son las encargadas de tramitar internamente </w:t>
      </w:r>
      <w:r w:rsidRPr="00281E73">
        <w:rPr>
          <w:rFonts w:ascii="Palatino Linotype" w:eastAsia="Arial Unicode MS" w:hAnsi="Palatino Linotype" w:cs="Arial"/>
          <w:lang w:eastAsia="en-US"/>
        </w:rPr>
        <w:t xml:space="preserve">las solicitudes de información y tienen, entre otras funciones, las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 Por su parte, los servidores públicos habilitados auxiliarán a las Unidades de Transparencia localizando la información solicitada y proporcionando la misma que obre en sus archivos. Asimismo, es una obligación de las Unidades de Transparencia turnar a todas las áreas que se consideren competentes para que realicen una búsqueda </w:t>
      </w:r>
      <w:r w:rsidRPr="00281E73">
        <w:rPr>
          <w:rFonts w:ascii="Palatino Linotype" w:eastAsia="Arial Unicode MS" w:hAnsi="Palatino Linotype" w:cs="Arial"/>
          <w:lang w:eastAsia="en-US"/>
        </w:rPr>
        <w:lastRenderedPageBreak/>
        <w:t>exhaustiva y razonable de la información solicitada a fin de que ésta sea entregada a los solicitantes.</w:t>
      </w:r>
    </w:p>
    <w:p w:rsidR="00D67EC7" w:rsidRPr="00281E73" w:rsidRDefault="00D67EC7" w:rsidP="00D67EC7">
      <w:pPr>
        <w:pStyle w:val="Prrafodelista"/>
        <w:numPr>
          <w:ilvl w:val="0"/>
          <w:numId w:val="1"/>
        </w:numPr>
        <w:spacing w:line="360" w:lineRule="auto"/>
        <w:ind w:left="0" w:firstLine="0"/>
        <w:jc w:val="both"/>
        <w:rPr>
          <w:rFonts w:ascii="Palatino Linotype" w:eastAsia="Arial Unicode MS" w:hAnsi="Palatino Linotype" w:cs="Arial"/>
          <w:lang w:eastAsia="en-US"/>
        </w:rPr>
      </w:pPr>
      <w:r w:rsidRPr="00281E73">
        <w:rPr>
          <w:rFonts w:ascii="Palatino Linotype" w:eastAsia="Arial Unicode MS" w:hAnsi="Palatino Linotype" w:cs="Arial"/>
          <w:lang w:eastAsia="en-US"/>
        </w:rPr>
        <w:t>Así, se debe entender que el trámite interno que se realice a las solicitudes de acceso a la información, es con el propósito de que se realice una búsqueda exhaustiva y razonable de la información entre sus archivos y, en su caso, se entregue la información de interés para el particular.</w:t>
      </w:r>
    </w:p>
    <w:p w:rsidR="00D67EC7" w:rsidRPr="00281E73" w:rsidRDefault="00D67EC7" w:rsidP="00D67EC7">
      <w:pPr>
        <w:pStyle w:val="Prrafodelista"/>
        <w:rPr>
          <w:rFonts w:ascii="Palatino Linotype" w:eastAsia="Arial Unicode MS" w:hAnsi="Palatino Linotype" w:cs="Arial"/>
          <w:lang w:eastAsia="en-US"/>
        </w:rPr>
      </w:pPr>
    </w:p>
    <w:p w:rsidR="00B778E2" w:rsidRPr="00281E73" w:rsidRDefault="00D67EC7" w:rsidP="00B778E2">
      <w:pPr>
        <w:pStyle w:val="Prrafodelista"/>
        <w:numPr>
          <w:ilvl w:val="0"/>
          <w:numId w:val="1"/>
        </w:numPr>
        <w:spacing w:line="360" w:lineRule="auto"/>
        <w:ind w:left="0" w:firstLine="0"/>
        <w:jc w:val="both"/>
        <w:rPr>
          <w:rFonts w:ascii="Palatino Linotype" w:eastAsia="Arial Unicode MS" w:hAnsi="Palatino Linotype" w:cs="Arial"/>
          <w:lang w:eastAsia="en-US"/>
        </w:rPr>
      </w:pPr>
      <w:r w:rsidRPr="00281E73">
        <w:rPr>
          <w:rFonts w:ascii="Palatino Linotype" w:eastAsia="Arial Unicode MS" w:hAnsi="Palatino Linotype" w:cs="Arial"/>
          <w:lang w:eastAsia="en-US"/>
        </w:rPr>
        <w:t>En el caso que se resuelve, se advierte que la solicitud fue turnada a la Dirección de Desarrollo Urbano y a la Coordinación Jurídica y Consultiva, quien es de acuerdo al Bando Municipal de Teotihuacán 2024</w:t>
      </w:r>
      <w:r w:rsidR="00B778E2" w:rsidRPr="00281E73">
        <w:rPr>
          <w:rStyle w:val="Refdenotaalpie"/>
          <w:rFonts w:ascii="Palatino Linotype" w:eastAsia="Arial Unicode MS" w:hAnsi="Palatino Linotype" w:cs="Arial"/>
          <w:lang w:eastAsia="en-US"/>
        </w:rPr>
        <w:footnoteReference w:id="3"/>
      </w:r>
      <w:r w:rsidR="00B778E2" w:rsidRPr="00281E73">
        <w:rPr>
          <w:rFonts w:ascii="Palatino Linotype" w:eastAsia="Arial Unicode MS" w:hAnsi="Palatino Linotype" w:cs="Arial"/>
          <w:lang w:eastAsia="en-US"/>
        </w:rPr>
        <w:t xml:space="preserve"> tienen las siguientes atribuciones: </w:t>
      </w:r>
    </w:p>
    <w:p w:rsidR="00D67EC7" w:rsidRPr="00281E73" w:rsidRDefault="00D67EC7" w:rsidP="000E3750">
      <w:pPr>
        <w:pStyle w:val="Prrafodelista"/>
        <w:spacing w:line="276" w:lineRule="auto"/>
        <w:rPr>
          <w:rFonts w:ascii="Palatino Linotype" w:eastAsia="Arial Unicode MS" w:hAnsi="Palatino Linotype" w:cs="Arial"/>
          <w:lang w:eastAsia="en-US"/>
        </w:rPr>
      </w:pPr>
    </w:p>
    <w:p w:rsidR="00DC7175" w:rsidRPr="00281E73" w:rsidRDefault="00DC7175" w:rsidP="000E3750">
      <w:pPr>
        <w:pStyle w:val="Prrafodelista"/>
        <w:spacing w:line="276" w:lineRule="auto"/>
        <w:ind w:left="851" w:right="822"/>
        <w:jc w:val="center"/>
        <w:rPr>
          <w:rFonts w:ascii="Palatino Linotype" w:hAnsi="Palatino Linotype"/>
          <w:i/>
        </w:rPr>
      </w:pPr>
      <w:r w:rsidRPr="00281E73">
        <w:rPr>
          <w:rFonts w:ascii="Palatino Linotype" w:hAnsi="Palatino Linotype"/>
          <w:i/>
        </w:rPr>
        <w:t>CAPÍTULO XVIII</w:t>
      </w:r>
    </w:p>
    <w:p w:rsidR="00DC7175" w:rsidRPr="00281E73" w:rsidRDefault="00DC7175" w:rsidP="000E3750">
      <w:pPr>
        <w:pStyle w:val="Prrafodelista"/>
        <w:spacing w:line="276" w:lineRule="auto"/>
        <w:ind w:left="851" w:right="822"/>
        <w:jc w:val="center"/>
        <w:rPr>
          <w:rFonts w:ascii="Palatino Linotype" w:hAnsi="Palatino Linotype"/>
          <w:i/>
        </w:rPr>
      </w:pPr>
      <w:r w:rsidRPr="00281E73">
        <w:rPr>
          <w:rFonts w:ascii="Palatino Linotype" w:hAnsi="Palatino Linotype"/>
          <w:i/>
        </w:rPr>
        <w:t>DIRECCIÓN DE DESARROLLO URBANO</w:t>
      </w:r>
    </w:p>
    <w:p w:rsidR="00D67EC7"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Artículo 155. La Dirección de Desarrollo Urbano Municipal es la unidad administrativa encargada de </w:t>
      </w:r>
      <w:r w:rsidRPr="00281E73">
        <w:rPr>
          <w:rFonts w:ascii="Palatino Linotype" w:hAnsi="Palatino Linotype"/>
          <w:b/>
          <w:i/>
        </w:rPr>
        <w:t>la planeación territorial, ordenamiento de los asentamientos humanos, control del crecimiento urbano y aplicación de la legislación en la materia, dentro del territorio municipal, mediante funciones de planeación, regulación, supervisión, control, autorización de construcción y aprovechamiento del suelo</w:t>
      </w:r>
      <w:r w:rsidRPr="00281E73">
        <w:rPr>
          <w:rFonts w:ascii="Palatino Linotype" w:hAnsi="Palatino Linotype"/>
          <w:i/>
        </w:rPr>
        <w:t xml:space="preserve"> y en su caso aplicación de sanciones en el marco de su competencia, enfocando su atención a factores que proporcionen la armonía, la salud y la equidad de las comunidades y de sus habitantes, cuidando aspectos de vialidad y derecho de vía, equipamiento, urbanización, servicios, regularización de la tenencia de la tierra, reglamentación de uso de suelo y otros afines de conformidad con las atribuciones que señalen la Constitución Política de los Estados Unidos Mexicanos, la Constitución Política del Estado Libre y Soberano de México, así como las leyes que de ellas emanen, la Ley General de Asentamientos </w:t>
      </w:r>
      <w:r w:rsidRPr="00281E73">
        <w:rPr>
          <w:rFonts w:ascii="Palatino Linotype" w:hAnsi="Palatino Linotype"/>
          <w:i/>
        </w:rPr>
        <w:lastRenderedPageBreak/>
        <w:t>Humanos, Ordenamiento Territorial y Desarrollo Urbano, el Código Administrativo del Estado de México, principalmente en lo dispuesto por el Libro Quinto, su reglamento y el Libro Décimo Octavo del citado ordenamiento, el Plan Municipal de Desarrollo Urbano, y demás leyes, reglamentos, normas e instrumentos aplicables en materia de Desarrollo Urbano, Ordenamiento Territorial, Tenencia de la Tierra, conservación ecológica y cultural.</w:t>
      </w:r>
    </w:p>
    <w:p w:rsidR="00DC7175" w:rsidRPr="00281E73" w:rsidRDefault="00DC7175" w:rsidP="000E3750">
      <w:pPr>
        <w:pStyle w:val="Prrafodelista"/>
        <w:spacing w:line="276" w:lineRule="auto"/>
        <w:ind w:left="851" w:right="822"/>
        <w:jc w:val="both"/>
        <w:rPr>
          <w:rFonts w:ascii="Palatino Linotype" w:hAnsi="Palatino Linotype"/>
          <w:i/>
        </w:rPr>
      </w:pP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Artículo 48. La Unidad Jurídica y Consultiva, que es la encargada de implementar y vigilar las acciones legales correspondientes en defensa de los intereses y derechos del municipio de Teotihuacán, para su funcionamiento, tiene las siguientes atribuciones: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a). Orientar, asesorar y asistir al Presidente Municipal en los asuntos jurídicos que expresamente le encomiende, así como a las diversas áreas que forman parte de la Administración Pública Municipal, en los asuntos jurídicos que competan a cada una de ellas.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b). Colaborar en la elaboración y revisión de los proyectos de reglamentos, manuales, acuerdos u otros actos jurídicos y administrativos;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c). Representar al Presidente Municipal en los juicios o procedimientos administrativos en que intervenga como parte demandada o actor, tercero interesado o en su carácter de coadyuvante, ante cualquier autoridad jurisdiccional o administrativa, sea federal, local o municipal;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d). Coadyuvar con el Presidente Municipal en la defensa de los intereses municipales interviniendo en toda clase de procedimientos o juicios en que sea parte el Ayuntamiento o la Administración Pública Municipal;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e). Ejercer las acciones necesarias para proteger, en su caso, reivindicar la propiedad del municipio;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f). Proponer e implementar los programas de capacitación necesarios para fortalecer la actuación de la administración municipal, particularmente en materia de procedimiento y acto administrativo;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g). Revisar y emitir opinión respecto de los contratos y convenios destinados a ser suscritos por el Ayuntamiento o su representación;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lastRenderedPageBreak/>
        <w:t xml:space="preserve">h). Formar parte de los comités, consejos y comisiones que le correspondan en los términos de las disposiciones legales;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i). Participar junto con las demás dependencias competentes en la actualización y simplificación del marco jurídico vigente;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j). Representar en los juicios contenciosos seguidos ante las instancias jurisdiccionales que corresponda, asesorar jurídicamente y brindar asistencia legal a las dependencias, entidades, unidades administrativas y organismos públicos centralizados y descentralizados a solicitud de éstos y cuando así le sea ordenado por el Presidente Municipal, en los juicios seguidos ante los distintos tribunales; </w:t>
      </w:r>
    </w:p>
    <w:p w:rsidR="00DC7175"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 xml:space="preserve">k). Orientar a la comunidad y fomentar el respeto entre los ciudadanos de este municipio apoyándose en el Juzgado Cívico, conforme a las atribuciones de las mismas; y </w:t>
      </w:r>
    </w:p>
    <w:p w:rsidR="00D67EC7" w:rsidRPr="00281E73" w:rsidRDefault="00DC7175" w:rsidP="000E3750">
      <w:pPr>
        <w:pStyle w:val="Prrafodelista"/>
        <w:spacing w:line="276" w:lineRule="auto"/>
        <w:ind w:left="851" w:right="822"/>
        <w:jc w:val="both"/>
        <w:rPr>
          <w:rFonts w:ascii="Palatino Linotype" w:hAnsi="Palatino Linotype"/>
          <w:i/>
        </w:rPr>
      </w:pPr>
      <w:r w:rsidRPr="00281E73">
        <w:rPr>
          <w:rFonts w:ascii="Palatino Linotype" w:hAnsi="Palatino Linotype"/>
          <w:i/>
        </w:rPr>
        <w:t>l). Las que le sean asignadas en el marco de la ley para el cumplimiento de sus funciones.</w:t>
      </w:r>
    </w:p>
    <w:p w:rsidR="000E3750" w:rsidRPr="00281E73" w:rsidRDefault="000E3750" w:rsidP="000E3750">
      <w:pPr>
        <w:pStyle w:val="Prrafodelista"/>
        <w:spacing w:line="276" w:lineRule="auto"/>
        <w:ind w:left="851" w:right="822"/>
        <w:jc w:val="both"/>
        <w:rPr>
          <w:rFonts w:ascii="Palatino Linotype" w:eastAsia="Arial Unicode MS" w:hAnsi="Palatino Linotype" w:cs="Arial"/>
          <w:i/>
          <w:lang w:eastAsia="en-US"/>
        </w:rPr>
      </w:pPr>
    </w:p>
    <w:p w:rsidR="00D67EC7" w:rsidRPr="00281E73" w:rsidRDefault="00DC7175" w:rsidP="002D48C5">
      <w:pPr>
        <w:pStyle w:val="Prrafodelista"/>
        <w:numPr>
          <w:ilvl w:val="0"/>
          <w:numId w:val="1"/>
        </w:numPr>
        <w:spacing w:line="360" w:lineRule="auto"/>
        <w:ind w:left="0" w:firstLine="0"/>
        <w:jc w:val="both"/>
        <w:rPr>
          <w:rFonts w:ascii="Palatino Linotype" w:hAnsi="Palatino Linotype" w:cs="Arial"/>
          <w:szCs w:val="22"/>
        </w:rPr>
      </w:pPr>
      <w:r w:rsidRPr="00281E73">
        <w:rPr>
          <w:rFonts w:ascii="Palatino Linotype" w:hAnsi="Palatino Linotype" w:cs="Arial"/>
          <w:szCs w:val="22"/>
        </w:rPr>
        <w:t xml:space="preserve">Como se advierte, las áreas a las que fue turnada la solicitud de información, son las que de acuerdo a sus atribuciones pueden generar, poseer o administrar la información solicitada, </w:t>
      </w:r>
      <w:r w:rsidR="00F256BB" w:rsidRPr="00281E73">
        <w:rPr>
          <w:rFonts w:ascii="Palatino Linotype" w:hAnsi="Palatino Linotype" w:cs="Arial"/>
          <w:szCs w:val="22"/>
        </w:rPr>
        <w:t xml:space="preserve">sin embargo, únicamente dio respuesta la Unidad Jurídica y Consultiva, quien se pronunció de forma negativa respecto del segundo punto de la solicitud. </w:t>
      </w:r>
    </w:p>
    <w:p w:rsidR="00F256BB" w:rsidRPr="00281E73" w:rsidRDefault="00F256BB" w:rsidP="00F256BB">
      <w:pPr>
        <w:pStyle w:val="Prrafodelista"/>
        <w:spacing w:line="360" w:lineRule="auto"/>
        <w:ind w:left="0"/>
        <w:jc w:val="both"/>
        <w:rPr>
          <w:rFonts w:ascii="Palatino Linotype" w:hAnsi="Palatino Linotype" w:cs="Arial"/>
          <w:szCs w:val="22"/>
        </w:rPr>
      </w:pPr>
    </w:p>
    <w:p w:rsidR="00F256BB" w:rsidRPr="00281E73" w:rsidRDefault="00F256BB" w:rsidP="00F256BB">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281E73">
        <w:rPr>
          <w:rFonts w:ascii="Palatino Linotype" w:hAnsi="Palatino Linotype" w:cs="Arial"/>
          <w:szCs w:val="22"/>
        </w:rPr>
        <w:t xml:space="preserve">En este contexto, cabe señalar que respecto al primer punto de la solicitud (de la existencia de alguna </w:t>
      </w:r>
      <w:r w:rsidRPr="00281E73">
        <w:rPr>
          <w:rFonts w:ascii="Palatino Linotype" w:hAnsi="Palatino Linotype"/>
          <w:szCs w:val="22"/>
          <w:lang w:eastAsia="es-MX"/>
        </w:rPr>
        <w:t>demanda o denuncia por la apropiación de la vía pública), la Unidad Jurídica y consultiva no se pronunció</w:t>
      </w:r>
      <w:r w:rsidR="00817765" w:rsidRPr="00281E73">
        <w:rPr>
          <w:rFonts w:ascii="Palatino Linotype" w:hAnsi="Palatino Linotype"/>
          <w:szCs w:val="22"/>
          <w:lang w:eastAsia="es-MX"/>
        </w:rPr>
        <w:t>, asimismo, respecto a los puntos 4 y 5 de la solicitud, de los que no se pronunció la Dirección de Desarrollo Urbano</w:t>
      </w:r>
      <w:r w:rsidRPr="00281E73">
        <w:rPr>
          <w:rFonts w:ascii="Palatino Linotype" w:hAnsi="Palatino Linotype"/>
          <w:szCs w:val="22"/>
          <w:lang w:eastAsia="es-MX"/>
        </w:rPr>
        <w:t xml:space="preserve">; al respecto, </w:t>
      </w:r>
      <w:r w:rsidRPr="00281E73">
        <w:rPr>
          <w:rFonts w:ascii="Palatino Linotype" w:hAnsi="Palatino Linotype"/>
          <w:szCs w:val="22"/>
          <w:lang w:val="es-ES"/>
        </w:rPr>
        <w:t xml:space="preserve">es aplicable el </w:t>
      </w:r>
      <w:r w:rsidRPr="00281E73">
        <w:rPr>
          <w:rFonts w:ascii="Palatino Linotype" w:eastAsia="Palatino Linotype" w:hAnsi="Palatino Linotype" w:cs="Palatino Linotype"/>
          <w:szCs w:val="22"/>
        </w:rPr>
        <w:t xml:space="preserve">Criterio 02/2017 emitido por el Instituto Nacional de Transparencia, Acceso a la Información  y Protección de Datos Personales se establece que: </w:t>
      </w:r>
    </w:p>
    <w:p w:rsidR="00F256BB" w:rsidRPr="00281E73" w:rsidRDefault="00F256BB" w:rsidP="00F256BB">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Cs w:val="22"/>
        </w:rPr>
      </w:pPr>
    </w:p>
    <w:p w:rsidR="00F256BB" w:rsidRPr="00281E73" w:rsidRDefault="00F256BB" w:rsidP="00F256BB">
      <w:pPr>
        <w:pStyle w:val="Prrafodelista"/>
        <w:spacing w:line="276" w:lineRule="auto"/>
        <w:ind w:left="851" w:right="822"/>
        <w:jc w:val="both"/>
        <w:rPr>
          <w:rFonts w:ascii="Palatino Linotype" w:hAnsi="Palatino Linotype" w:cs="Arial"/>
          <w:i/>
          <w:iCs/>
          <w:color w:val="000000"/>
          <w:szCs w:val="22"/>
        </w:rPr>
      </w:pPr>
      <w:r w:rsidRPr="00281E73">
        <w:rPr>
          <w:rStyle w:val="normaltextrun"/>
          <w:rFonts w:ascii="Palatino Linotype" w:hAnsi="Palatino Linotype" w:cs="Arial"/>
          <w:b/>
          <w:bCs/>
          <w:i/>
          <w:iCs/>
          <w:color w:val="000000"/>
          <w:szCs w:val="22"/>
          <w:shd w:val="clear" w:color="auto" w:fill="FFFFFF"/>
        </w:rPr>
        <w:lastRenderedPageBreak/>
        <w:t xml:space="preserve">Congruencia y exhaustividad. Sus alcances para garantizar el derecho de acceso a la información. </w:t>
      </w:r>
      <w:r w:rsidRPr="00281E73">
        <w:rPr>
          <w:rStyle w:val="normaltextrun"/>
          <w:rFonts w:ascii="Palatino Linotype" w:hAnsi="Palatino Linotype" w:cs="Arial"/>
          <w:i/>
          <w:iCs/>
          <w:color w:val="000000"/>
          <w:szCs w:val="22"/>
          <w:shd w:val="clear" w:color="auto" w:fill="FFFFFF"/>
        </w:rPr>
        <w:t>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w:t>
      </w:r>
    </w:p>
    <w:p w:rsidR="00F256BB" w:rsidRPr="00281E73" w:rsidRDefault="00F256BB" w:rsidP="00F256BB">
      <w:pPr>
        <w:pStyle w:val="Prrafodelista"/>
        <w:pBdr>
          <w:top w:val="nil"/>
          <w:left w:val="nil"/>
          <w:bottom w:val="nil"/>
          <w:right w:val="nil"/>
          <w:between w:val="nil"/>
        </w:pBdr>
        <w:spacing w:line="360" w:lineRule="auto"/>
        <w:ind w:left="644" w:right="-150"/>
        <w:jc w:val="both"/>
        <w:rPr>
          <w:rFonts w:ascii="Palatino Linotype" w:eastAsia="Palatino Linotype" w:hAnsi="Palatino Linotype" w:cs="Palatino Linotype"/>
          <w:szCs w:val="22"/>
        </w:rPr>
      </w:pPr>
    </w:p>
    <w:p w:rsidR="00F256BB" w:rsidRPr="00281E73" w:rsidRDefault="00F256BB" w:rsidP="00817765">
      <w:pPr>
        <w:pStyle w:val="Prrafodelista"/>
        <w:numPr>
          <w:ilvl w:val="0"/>
          <w:numId w:val="1"/>
        </w:numPr>
        <w:pBdr>
          <w:top w:val="nil"/>
          <w:left w:val="nil"/>
          <w:bottom w:val="nil"/>
          <w:right w:val="nil"/>
          <w:between w:val="nil"/>
        </w:pBdr>
        <w:spacing w:line="360" w:lineRule="auto"/>
        <w:ind w:left="0" w:right="-150" w:firstLine="0"/>
        <w:jc w:val="both"/>
        <w:rPr>
          <w:rFonts w:ascii="Palatino Linotype" w:eastAsia="Palatino Linotype" w:hAnsi="Palatino Linotype" w:cs="Palatino Linotype"/>
          <w:szCs w:val="22"/>
        </w:rPr>
      </w:pPr>
      <w:r w:rsidRPr="00281E73">
        <w:rPr>
          <w:rFonts w:ascii="Palatino Linotype" w:eastAsia="Palatino Linotype" w:hAnsi="Palatino Linotype" w:cs="Palatino Linotype"/>
          <w:szCs w:val="22"/>
        </w:rPr>
        <w:t xml:space="preserve">Es así, que los sujetos obligados para garantizar el derecho de acceso a la Información, deberán cumplir con los principios de exhaustividad y congruencia, esto es, que la congruencia implica que exista concordancia entre el requerimiento formulado por el particular y la respuesta proporcionada por el sujeto obligado, mientras que </w:t>
      </w:r>
      <w:r w:rsidRPr="00281E73">
        <w:rPr>
          <w:rFonts w:ascii="Palatino Linotype" w:eastAsia="Palatino Linotype" w:hAnsi="Palatino Linotype" w:cs="Palatino Linotype"/>
          <w:b/>
          <w:szCs w:val="22"/>
        </w:rPr>
        <w:t>la exhaustividad</w:t>
      </w:r>
      <w:r w:rsidRPr="00281E73">
        <w:rPr>
          <w:rFonts w:ascii="Palatino Linotype" w:eastAsia="Palatino Linotype" w:hAnsi="Palatino Linotype" w:cs="Palatino Linotype"/>
          <w:szCs w:val="22"/>
        </w:rPr>
        <w:t xml:space="preserve"> establece que </w:t>
      </w:r>
      <w:r w:rsidRPr="00281E73">
        <w:rPr>
          <w:rFonts w:ascii="Palatino Linotype" w:eastAsia="Palatino Linotype" w:hAnsi="Palatino Linotype" w:cs="Palatino Linotype"/>
          <w:b/>
          <w:szCs w:val="22"/>
        </w:rPr>
        <w:t>el sujeto obligado deberá atender de manera expresa cada uno de los puntos solicitados, situación que en el presente caso no aconteció</w:t>
      </w:r>
      <w:r w:rsidRPr="00281E73">
        <w:rPr>
          <w:rFonts w:ascii="Palatino Linotype" w:eastAsia="Palatino Linotype" w:hAnsi="Palatino Linotype" w:cs="Palatino Linotype"/>
          <w:szCs w:val="22"/>
        </w:rPr>
        <w:t xml:space="preserve">. </w:t>
      </w:r>
    </w:p>
    <w:p w:rsidR="00F256BB" w:rsidRPr="00281E73" w:rsidRDefault="00F256BB" w:rsidP="00F256BB">
      <w:pPr>
        <w:pStyle w:val="Prrafodelista"/>
        <w:spacing w:line="360" w:lineRule="auto"/>
        <w:ind w:left="0"/>
        <w:jc w:val="both"/>
        <w:rPr>
          <w:rFonts w:ascii="Palatino Linotype" w:hAnsi="Palatino Linotype" w:cs="Arial"/>
          <w:szCs w:val="22"/>
        </w:rPr>
      </w:pPr>
    </w:p>
    <w:p w:rsidR="00F256BB" w:rsidRPr="00281E73" w:rsidRDefault="00817765" w:rsidP="002D48C5">
      <w:pPr>
        <w:pStyle w:val="Prrafodelista"/>
        <w:numPr>
          <w:ilvl w:val="0"/>
          <w:numId w:val="1"/>
        </w:numPr>
        <w:spacing w:line="360" w:lineRule="auto"/>
        <w:ind w:left="0" w:firstLine="0"/>
        <w:jc w:val="both"/>
        <w:rPr>
          <w:rFonts w:ascii="Palatino Linotype" w:hAnsi="Palatino Linotype" w:cs="Arial"/>
          <w:szCs w:val="22"/>
        </w:rPr>
      </w:pPr>
      <w:r w:rsidRPr="00281E73">
        <w:rPr>
          <w:rFonts w:ascii="Palatino Linotype" w:hAnsi="Palatino Linotype" w:cs="Arial"/>
          <w:szCs w:val="22"/>
        </w:rPr>
        <w:t xml:space="preserve">Por otro lado, la solicitud también se debió turnar a la Dirección de Desarrollo Metropolitano, quien de acuerdo al Bando Municipal del Ayuntamiento de Teotihuacán, </w:t>
      </w:r>
      <w:r w:rsidR="00A04DDC" w:rsidRPr="00281E73">
        <w:rPr>
          <w:rFonts w:ascii="Palatino Linotype" w:hAnsi="Palatino Linotype" w:cs="Arial"/>
          <w:szCs w:val="22"/>
        </w:rPr>
        <w:t xml:space="preserve">es la </w:t>
      </w:r>
      <w:r w:rsidRPr="00281E73">
        <w:rPr>
          <w:rFonts w:ascii="Palatino Linotype" w:hAnsi="Palatino Linotype" w:cs="Arial"/>
          <w:szCs w:val="22"/>
        </w:rPr>
        <w:t xml:space="preserve"> </w:t>
      </w:r>
      <w:r w:rsidR="00A04DDC" w:rsidRPr="00281E73">
        <w:rPr>
          <w:rFonts w:ascii="Palatino Linotype" w:hAnsi="Palatino Linotype" w:cs="Arial"/>
          <w:szCs w:val="22"/>
        </w:rPr>
        <w:t xml:space="preserve">encargada de planear, organizar, dirigir y evaluarlas actividades que impulsen de manera eficaz y transparente, el ordenamiento territorial de los asentamientos humanos, así como la regulación del desarrollo urbano y metropolitano sustentable de los centros de población y la vivienda para impulsar el crecimiento ordenado en el municipio y tiene entre sus atribuciones </w:t>
      </w:r>
      <w:r w:rsidR="00A04DDC" w:rsidRPr="00281E73">
        <w:rPr>
          <w:rFonts w:ascii="Palatino Linotype" w:hAnsi="Palatino Linotype" w:cs="Arial"/>
          <w:szCs w:val="22"/>
        </w:rPr>
        <w:lastRenderedPageBreak/>
        <w:t xml:space="preserve">coordinar la ejecución de estudios, investigación y propuestas que permitan orientar las acciones que llevan a cabo las delegaciones municipales y consejos de participación ciudadana en las comunidades del municipio para fomentar el crecimiento ordenado. </w:t>
      </w:r>
    </w:p>
    <w:p w:rsidR="00A04DDC" w:rsidRPr="00281E73" w:rsidRDefault="00A04DDC" w:rsidP="00A04DDC">
      <w:pPr>
        <w:pStyle w:val="Prrafodelista"/>
        <w:rPr>
          <w:rFonts w:ascii="Palatino Linotype" w:hAnsi="Palatino Linotype" w:cs="Arial"/>
          <w:szCs w:val="22"/>
        </w:rPr>
      </w:pPr>
    </w:p>
    <w:p w:rsidR="00DC7175" w:rsidRPr="00281E73" w:rsidRDefault="00A04DDC" w:rsidP="00A04DDC">
      <w:pPr>
        <w:pStyle w:val="Prrafodelista"/>
        <w:numPr>
          <w:ilvl w:val="0"/>
          <w:numId w:val="1"/>
        </w:numPr>
        <w:spacing w:line="360" w:lineRule="auto"/>
        <w:ind w:left="0" w:firstLine="0"/>
        <w:jc w:val="both"/>
        <w:rPr>
          <w:rFonts w:ascii="Palatino Linotype" w:hAnsi="Palatino Linotype" w:cs="Arial"/>
          <w:szCs w:val="22"/>
        </w:rPr>
      </w:pPr>
      <w:r w:rsidRPr="00281E73">
        <w:rPr>
          <w:rFonts w:ascii="Palatino Linotype" w:hAnsi="Palatino Linotype" w:cs="Arial"/>
          <w:szCs w:val="22"/>
        </w:rPr>
        <w:t xml:space="preserve">En ese sentido, se advierte que la información no fue turnada a todas las áreas que de acuerdo a sus facultades pueda generar, poseer y administrar la información solicitada, es decir, que no se dio cumplimiento al proceso de búsqueda establecido en la Legislación aplicable. </w:t>
      </w:r>
    </w:p>
    <w:p w:rsidR="00D67EC7" w:rsidRPr="00281E73" w:rsidRDefault="00D67EC7" w:rsidP="00D67EC7">
      <w:pPr>
        <w:pStyle w:val="Prrafodelista"/>
        <w:rPr>
          <w:rFonts w:ascii="Palatino Linotype" w:hAnsi="Palatino Linotype" w:cs="Arial"/>
          <w:szCs w:val="22"/>
        </w:rPr>
      </w:pPr>
    </w:p>
    <w:p w:rsidR="00A04DDC" w:rsidRPr="00281E73" w:rsidRDefault="00A04DDC" w:rsidP="00A04DDC">
      <w:pPr>
        <w:pStyle w:val="Prrafodelista"/>
        <w:numPr>
          <w:ilvl w:val="0"/>
          <w:numId w:val="1"/>
        </w:numPr>
        <w:spacing w:line="360" w:lineRule="auto"/>
        <w:ind w:left="0" w:firstLine="0"/>
        <w:jc w:val="both"/>
        <w:rPr>
          <w:rFonts w:ascii="Palatino Linotype" w:eastAsia="Calibri" w:hAnsi="Palatino Linotype" w:cs="Arial"/>
          <w:szCs w:val="22"/>
        </w:rPr>
      </w:pPr>
      <w:r w:rsidRPr="00281E73">
        <w:rPr>
          <w:rFonts w:ascii="Palatino Linotype" w:eastAsia="Calibri" w:hAnsi="Palatino Linotype" w:cs="Arial"/>
          <w:szCs w:val="22"/>
        </w:rPr>
        <w:t xml:space="preserve">No debemos perder de vista que, el derecho de acceso a la información es </w:t>
      </w:r>
      <w:r w:rsidRPr="00281E73">
        <w:rPr>
          <w:rFonts w:ascii="Palatino Linotype" w:hAnsi="Palatino Linotype" w:cs="Arial"/>
          <w:color w:val="000000" w:themeColor="text1"/>
          <w:szCs w:val="22"/>
          <w:lang w:eastAsia="es-MX"/>
        </w:rPr>
        <w:t xml:space="preserve">la </w:t>
      </w:r>
      <w:r w:rsidRPr="00281E73">
        <w:rPr>
          <w:rFonts w:ascii="Palatino Linotype" w:eastAsia="MS Mincho" w:hAnsi="Palatino Linotype"/>
          <w:i/>
          <w:szCs w:val="22"/>
        </w:rPr>
        <w:t>igualdad de oportunidades para recibir, buscar e impartir información</w:t>
      </w:r>
      <w:r w:rsidRPr="00281E73">
        <w:rPr>
          <w:rStyle w:val="Refdenotaalpie"/>
          <w:rFonts w:ascii="Palatino Linotype" w:eastAsia="MS Mincho" w:hAnsi="Palatino Linotype"/>
          <w:i/>
          <w:szCs w:val="22"/>
        </w:rPr>
        <w:footnoteReference w:id="4"/>
      </w:r>
      <w:r w:rsidRPr="00281E73">
        <w:rPr>
          <w:rFonts w:ascii="Palatino Linotype" w:eastAsia="MS Mincho" w:hAnsi="Palatino Linotype"/>
          <w:i/>
          <w:szCs w:val="22"/>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281E73">
        <w:rPr>
          <w:rStyle w:val="Refdenotaalpie"/>
          <w:rFonts w:ascii="Palatino Linotype" w:eastAsia="MS Mincho" w:hAnsi="Palatino Linotype"/>
          <w:szCs w:val="22"/>
        </w:rPr>
        <w:footnoteReference w:id="5"/>
      </w:r>
      <w:r w:rsidRPr="00281E73">
        <w:rPr>
          <w:rFonts w:ascii="Palatino Linotype" w:eastAsia="MS Mincho" w:hAnsi="Palatino Linotype"/>
          <w:i/>
          <w:szCs w:val="22"/>
        </w:rPr>
        <w:t xml:space="preserve"> </w:t>
      </w:r>
      <w:r w:rsidRPr="00281E73">
        <w:rPr>
          <w:rFonts w:ascii="Palatino Linotype" w:eastAsia="MS Mincho" w:hAnsi="Palatino Linotype"/>
          <w:szCs w:val="22"/>
        </w:rPr>
        <w:t xml:space="preserve">que se constituye como una herramienta fundamental para </w:t>
      </w:r>
      <w:r w:rsidRPr="00281E73">
        <w:rPr>
          <w:rFonts w:ascii="Palatino Linotype" w:eastAsia="MS Mincho" w:hAnsi="Palatino Linotype"/>
          <w:i/>
          <w:szCs w:val="22"/>
        </w:rPr>
        <w:t>ejercer control democrático de las gestiones estatales, de forma tal que puedan cuestionar, indagar y considerar si se está dando un adecuado cumplimiento de las funciones públicas,</w:t>
      </w:r>
      <w:r w:rsidRPr="00281E73">
        <w:rPr>
          <w:rStyle w:val="Refdenotaalpie"/>
          <w:rFonts w:ascii="Palatino Linotype" w:eastAsia="MS Mincho" w:hAnsi="Palatino Linotype"/>
          <w:i/>
          <w:szCs w:val="22"/>
        </w:rPr>
        <w:footnoteReference w:id="6"/>
      </w:r>
      <w:r w:rsidRPr="00281E73">
        <w:rPr>
          <w:rFonts w:ascii="Palatino Linotype" w:eastAsia="MS Mincho" w:hAnsi="Palatino Linotype"/>
          <w:szCs w:val="22"/>
        </w:rPr>
        <w:t>fomentando</w:t>
      </w:r>
      <w:r w:rsidRPr="00281E73">
        <w:rPr>
          <w:rFonts w:ascii="Palatino Linotype" w:eastAsia="MS Mincho" w:hAnsi="Palatino Linotype"/>
          <w:i/>
          <w:szCs w:val="22"/>
        </w:rPr>
        <w:t xml:space="preserve"> la transparencia de las actividades estatales y</w:t>
      </w:r>
      <w:r w:rsidRPr="00281E73">
        <w:rPr>
          <w:rFonts w:ascii="Palatino Linotype" w:eastAsia="MS Mincho" w:hAnsi="Palatino Linotype"/>
          <w:szCs w:val="22"/>
        </w:rPr>
        <w:t xml:space="preserve"> promoviendo</w:t>
      </w:r>
      <w:r w:rsidRPr="00281E73">
        <w:rPr>
          <w:rFonts w:ascii="Palatino Linotype" w:eastAsia="MS Mincho" w:hAnsi="Palatino Linotype"/>
          <w:i/>
          <w:szCs w:val="22"/>
        </w:rPr>
        <w:t xml:space="preserve"> la responsabilidad de los funcionarios sobre su gestión pública</w:t>
      </w:r>
      <w:r w:rsidRPr="00281E73">
        <w:rPr>
          <w:rStyle w:val="Refdenotaalpie"/>
          <w:rFonts w:ascii="Palatino Linotype" w:eastAsia="MS Mincho" w:hAnsi="Palatino Linotype"/>
          <w:i/>
          <w:szCs w:val="22"/>
        </w:rPr>
        <w:footnoteReference w:id="7"/>
      </w:r>
      <w:r w:rsidRPr="00281E73">
        <w:rPr>
          <w:rFonts w:ascii="Palatino Linotype" w:eastAsia="MS Mincho" w:hAnsi="Palatino Linotype"/>
          <w:i/>
          <w:szCs w:val="22"/>
        </w:rPr>
        <w:t xml:space="preserve"> </w:t>
      </w:r>
      <w:r w:rsidRPr="00281E73">
        <w:rPr>
          <w:rFonts w:ascii="Palatino Linotype" w:eastAsia="MS Mincho" w:hAnsi="Palatino Linotype"/>
          <w:szCs w:val="22"/>
        </w:rPr>
        <w:t>que permite</w:t>
      </w:r>
      <w:r w:rsidRPr="00281E73">
        <w:rPr>
          <w:rFonts w:ascii="Palatino Linotype" w:eastAsia="MS Mincho" w:hAnsi="Palatino Linotype"/>
          <w:i/>
          <w:szCs w:val="22"/>
        </w:rPr>
        <w:t xml:space="preserve"> saber qué están haciendo los gobiernos por sus pueblos, sin lo cual la verdad languidecería y la participación en el gobierno permanecería fragmentada.</w:t>
      </w:r>
      <w:r w:rsidRPr="00281E73">
        <w:rPr>
          <w:rStyle w:val="Refdenotaalpie"/>
          <w:rFonts w:ascii="Palatino Linotype" w:eastAsia="MS Mincho" w:hAnsi="Palatino Linotype"/>
          <w:i/>
          <w:szCs w:val="22"/>
        </w:rPr>
        <w:footnoteReference w:id="8"/>
      </w:r>
      <w:r w:rsidRPr="00281E73">
        <w:rPr>
          <w:rFonts w:ascii="Palatino Linotype" w:eastAsia="MS Mincho" w:hAnsi="Palatino Linotype"/>
          <w:szCs w:val="22"/>
        </w:rPr>
        <w:t xml:space="preserve"> ”</w:t>
      </w:r>
    </w:p>
    <w:p w:rsidR="00A04DDC" w:rsidRPr="00281E73" w:rsidRDefault="00A04DDC" w:rsidP="00A04DDC">
      <w:pPr>
        <w:pStyle w:val="Prrafodelista"/>
        <w:rPr>
          <w:rFonts w:ascii="Palatino Linotype" w:eastAsia="Calibri" w:hAnsi="Palatino Linotype" w:cs="Arial"/>
          <w:szCs w:val="22"/>
        </w:rPr>
      </w:pPr>
    </w:p>
    <w:p w:rsidR="00A04DDC" w:rsidRPr="00281E73" w:rsidRDefault="00A04DDC" w:rsidP="00A04DDC">
      <w:pPr>
        <w:pStyle w:val="Prrafodelista"/>
        <w:numPr>
          <w:ilvl w:val="0"/>
          <w:numId w:val="1"/>
        </w:numPr>
        <w:spacing w:line="360" w:lineRule="auto"/>
        <w:ind w:left="0" w:firstLine="0"/>
        <w:jc w:val="both"/>
        <w:rPr>
          <w:rFonts w:ascii="Palatino Linotype" w:eastAsia="Calibri" w:hAnsi="Palatino Linotype" w:cs="Arial"/>
          <w:szCs w:val="22"/>
        </w:rPr>
      </w:pPr>
      <w:r w:rsidRPr="00281E73">
        <w:rPr>
          <w:rFonts w:ascii="Palatino Linotype" w:eastAsia="Calibri" w:hAnsi="Palatino Linotype" w:cs="Arial"/>
          <w:szCs w:val="22"/>
        </w:rPr>
        <w:t>E</w:t>
      </w:r>
      <w:r w:rsidRPr="00281E73">
        <w:rPr>
          <w:rFonts w:ascii="Palatino Linotype" w:eastAsia="MS Mincho" w:hAnsi="Palatino Linotype"/>
          <w:szCs w:val="22"/>
        </w:rPr>
        <w:t xml:space="preserve">l acceso a la información es un derecho humano constitucional y convencionalmente reconocido y para tal efecto </w:t>
      </w:r>
      <w:r w:rsidRPr="00281E73">
        <w:rPr>
          <w:rFonts w:ascii="Palatino Linotype" w:eastAsia="Calibri" w:hAnsi="Palatino Linotype"/>
          <w:szCs w:val="22"/>
          <w:lang w:val="es-ES"/>
        </w:rPr>
        <w:t xml:space="preserve">el párrafo tercero del artículo primero de la Constitución Política de los Estados Unidos Mexicanos establece el deber de todas las autoridades, </w:t>
      </w:r>
      <w:r w:rsidRPr="00281E73">
        <w:rPr>
          <w:rFonts w:ascii="Palatino Linotype" w:eastAsia="Calibri" w:hAnsi="Palatino Linotype"/>
          <w:i/>
          <w:szCs w:val="22"/>
          <w:lang w:val="es-ES"/>
        </w:rPr>
        <w:t xml:space="preserve">en el ámbito de sus atribuciones, de promover, respetar, proteger y </w:t>
      </w:r>
      <w:r w:rsidRPr="00281E73">
        <w:rPr>
          <w:rFonts w:ascii="Palatino Linotype" w:eastAsia="Calibri" w:hAnsi="Palatino Linotype"/>
          <w:b/>
          <w:i/>
          <w:szCs w:val="22"/>
          <w:lang w:val="es-ES"/>
        </w:rPr>
        <w:t>garantizar</w:t>
      </w:r>
      <w:r w:rsidRPr="00281E73">
        <w:rPr>
          <w:rFonts w:ascii="Palatino Linotype" w:eastAsia="Calibri" w:hAnsi="Palatino Linotype"/>
          <w:i/>
          <w:szCs w:val="22"/>
          <w:lang w:val="es-ES"/>
        </w:rPr>
        <w:t xml:space="preserve"> los derechos humanos. </w:t>
      </w:r>
      <w:r w:rsidRPr="00281E73">
        <w:rPr>
          <w:rFonts w:ascii="Palatino Linotype" w:eastAsia="Calibri" w:hAnsi="Palatino Linotype"/>
          <w:szCs w:val="22"/>
          <w:lang w:val="es-ES"/>
        </w:rPr>
        <w:t>En cuanto al derecho de acceso a la información, la Ley de Transparencia y Acceso a la Información Pública del Estado de México y Municipios prevé establece que</w:t>
      </w:r>
      <w:r w:rsidRPr="00281E73">
        <w:rPr>
          <w:rFonts w:ascii="Palatino Linotype" w:eastAsia="Calibri" w:hAnsi="Palatino Linotype"/>
          <w:b/>
          <w:i/>
          <w:szCs w:val="22"/>
          <w:lang w:val="es-ES"/>
        </w:rPr>
        <w:t xml:space="preserve"> e</w:t>
      </w:r>
      <w:r w:rsidRPr="00281E73">
        <w:rPr>
          <w:rFonts w:ascii="Palatino Linotype" w:hAnsi="Palatino Linotype"/>
          <w:i/>
          <w:szCs w:val="22"/>
        </w:rPr>
        <w:t>l procedimiento de acceso a la información es la garantía primaria del derecho en cuestión y se rige por los principios de simplicidad, rapidez y gratuidad del procedimiento, auxilio y orientación a los particulares</w:t>
      </w:r>
      <w:r w:rsidRPr="00281E73">
        <w:rPr>
          <w:rStyle w:val="Refdenotaalpie"/>
          <w:rFonts w:ascii="Palatino Linotype" w:hAnsi="Palatino Linotype"/>
          <w:i/>
          <w:szCs w:val="22"/>
        </w:rPr>
        <w:footnoteReference w:id="9"/>
      </w:r>
      <w:r w:rsidRPr="00281E73">
        <w:rPr>
          <w:rFonts w:ascii="Palatino Linotype" w:hAnsi="Palatino Linotype"/>
          <w:i/>
          <w:szCs w:val="22"/>
        </w:rPr>
        <w:t xml:space="preserve">, </w:t>
      </w:r>
      <w:r w:rsidRPr="00281E73">
        <w:rPr>
          <w:rFonts w:ascii="Palatino Linotype" w:hAnsi="Palatino Linotype"/>
          <w:szCs w:val="22"/>
        </w:rPr>
        <w:t>asimismo establece</w:t>
      </w:r>
      <w:r w:rsidRPr="00281E73">
        <w:rPr>
          <w:rFonts w:ascii="Palatino Linotype" w:hAnsi="Palatino Linotype"/>
          <w:i/>
          <w:szCs w:val="22"/>
        </w:rPr>
        <w:t xml:space="preserve"> que 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w:t>
      </w:r>
    </w:p>
    <w:p w:rsidR="00A04DDC" w:rsidRPr="00281E73" w:rsidRDefault="00A04DDC" w:rsidP="00A04DDC">
      <w:pPr>
        <w:pStyle w:val="Prrafodelista"/>
        <w:spacing w:line="360" w:lineRule="auto"/>
        <w:ind w:left="0"/>
        <w:jc w:val="both"/>
        <w:rPr>
          <w:rFonts w:ascii="Palatino Linotype" w:eastAsia="Calibri" w:hAnsi="Palatino Linotype" w:cs="Arial"/>
          <w:szCs w:val="22"/>
        </w:rPr>
      </w:pPr>
    </w:p>
    <w:p w:rsidR="00A04DDC" w:rsidRPr="00281E73" w:rsidRDefault="00A04DDC" w:rsidP="00A04DDC">
      <w:pPr>
        <w:pStyle w:val="Prrafodelista"/>
        <w:numPr>
          <w:ilvl w:val="0"/>
          <w:numId w:val="1"/>
        </w:numPr>
        <w:tabs>
          <w:tab w:val="left" w:pos="426"/>
        </w:tabs>
        <w:spacing w:before="240" w:after="360" w:line="360" w:lineRule="auto"/>
        <w:ind w:left="0" w:firstLine="0"/>
        <w:jc w:val="both"/>
        <w:rPr>
          <w:rFonts w:ascii="Palatino Linotype" w:hAnsi="Palatino Linotype" w:cs="Arial"/>
          <w:i/>
          <w:color w:val="000000" w:themeColor="text1"/>
          <w:szCs w:val="22"/>
        </w:rPr>
      </w:pPr>
      <w:r w:rsidRPr="00281E73">
        <w:rPr>
          <w:rFonts w:ascii="Palatino Linotype" w:hAnsi="Palatino Linotype"/>
          <w:color w:val="000000" w:themeColor="text1"/>
          <w:szCs w:val="22"/>
        </w:rPr>
        <w:t xml:space="preserve">Resulta necesario referir que, el </w:t>
      </w:r>
      <w:r w:rsidRPr="00281E73">
        <w:rPr>
          <w:rFonts w:ascii="Palatino Linotype" w:eastAsia="Calibri" w:hAnsi="Palatino Linotype" w:cs="Arial"/>
          <w:szCs w:val="22"/>
        </w:rPr>
        <w:t xml:space="preserve">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w:t>
      </w:r>
      <w:r w:rsidRPr="00281E73">
        <w:rPr>
          <w:rFonts w:ascii="Palatino Linotype" w:eastAsia="Calibri" w:hAnsi="Palatino Linotype" w:cs="Arial"/>
          <w:b/>
          <w:szCs w:val="22"/>
        </w:rPr>
        <w:t>los Sujetos Obligados deberán documentar todo acto que se derive del ejercicio de sus facultades, competencias o funciones,</w:t>
      </w:r>
      <w:r w:rsidRPr="00281E73">
        <w:rPr>
          <w:rFonts w:ascii="Palatino Linotype" w:eastAsia="Calibri" w:hAnsi="Palatino Linotype" w:cs="Arial"/>
          <w:szCs w:val="22"/>
        </w:rPr>
        <w:t xml:space="preserve"> considerando desde su origen la eventual publicidad y reutilización de la información que generen, posean o administren.</w:t>
      </w:r>
    </w:p>
    <w:p w:rsidR="00A04DDC" w:rsidRPr="00281E73" w:rsidRDefault="00A04DDC" w:rsidP="00A04DDC">
      <w:pPr>
        <w:pStyle w:val="Prrafodelista"/>
        <w:spacing w:line="360" w:lineRule="auto"/>
        <w:rPr>
          <w:rFonts w:ascii="Palatino Linotype" w:hAnsi="Palatino Linotype" w:cs="Arial"/>
          <w:i/>
          <w:color w:val="000000" w:themeColor="text1"/>
          <w:szCs w:val="22"/>
        </w:rPr>
      </w:pPr>
    </w:p>
    <w:p w:rsidR="00A04DDC" w:rsidRPr="00281E73" w:rsidRDefault="00A04DDC" w:rsidP="00A04DDC">
      <w:pPr>
        <w:pStyle w:val="Prrafodelista"/>
        <w:numPr>
          <w:ilvl w:val="0"/>
          <w:numId w:val="1"/>
        </w:numPr>
        <w:spacing w:line="360" w:lineRule="auto"/>
        <w:ind w:left="0" w:right="49" w:firstLine="0"/>
        <w:jc w:val="both"/>
        <w:rPr>
          <w:rFonts w:ascii="Palatino Linotype" w:hAnsi="Palatino Linotype" w:cs="Arial"/>
          <w:color w:val="000000"/>
          <w:szCs w:val="22"/>
        </w:rPr>
      </w:pPr>
      <w:r w:rsidRPr="00281E73">
        <w:rPr>
          <w:rFonts w:ascii="Palatino Linotype" w:hAnsi="Palatino Linotype" w:cs="Arial"/>
          <w:color w:val="000000"/>
          <w:szCs w:val="22"/>
        </w:rPr>
        <w:t>Además, debemos tomar en cuenta los artículos 4 y 12, de la Ley de Transparencia y Acceso a la Información Pública del Estado de México y Municipios, los cuales establecen lo siguiente:</w:t>
      </w:r>
    </w:p>
    <w:p w:rsidR="00A04DDC" w:rsidRPr="00281E73" w:rsidRDefault="00A04DDC" w:rsidP="00A04DDC">
      <w:pPr>
        <w:pStyle w:val="Prrafodelista"/>
        <w:spacing w:line="360" w:lineRule="auto"/>
        <w:rPr>
          <w:rFonts w:ascii="Palatino Linotype" w:hAnsi="Palatino Linotype" w:cs="Arial"/>
          <w:color w:val="000000"/>
          <w:szCs w:val="22"/>
        </w:rPr>
      </w:pP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r w:rsidRPr="00281E73">
        <w:rPr>
          <w:rFonts w:ascii="Palatino Linotype" w:hAnsi="Palatino Linotype" w:cs="Bookman Old Style,Bold"/>
          <w:b/>
          <w:bCs/>
          <w:i/>
          <w:sz w:val="22"/>
          <w:szCs w:val="22"/>
        </w:rPr>
        <w:t xml:space="preserve">Artículo 4. </w:t>
      </w:r>
      <w:r w:rsidRPr="00281E73">
        <w:rPr>
          <w:rFonts w:ascii="Palatino Linotype" w:hAnsi="Palatino Linotype" w:cs="Bookman Old Style"/>
          <w:i/>
          <w:sz w:val="22"/>
          <w:szCs w:val="22"/>
        </w:rPr>
        <w:t>El derecho humano de acceso a la información pública es la prerrogativa de las personas para buscar, difundir, investigar, recabar, recibir y solicitar información pública, sin necesidad de acreditar personalidad ni interés jurídico.</w:t>
      </w: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r w:rsidRPr="00281E73">
        <w:rPr>
          <w:rFonts w:ascii="Palatino Linotype" w:hAnsi="Palatino Linotype" w:cs="Bookman Old Style"/>
          <w:i/>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r w:rsidRPr="00281E73">
        <w:rPr>
          <w:rFonts w:ascii="Palatino Linotype" w:hAnsi="Palatino Linotype" w:cs="Bookman Old Style"/>
          <w:i/>
          <w:sz w:val="22"/>
          <w:szCs w:val="22"/>
        </w:rPr>
        <w:t>Los sujetos obligados deben poner en práctica, políticas y programas de acceso a la información que se apeguen a criterios de publicidad, veracidad, oportunidad, precisión y suficiencia en beneficio de los solicitantes.</w:t>
      </w:r>
    </w:p>
    <w:p w:rsidR="00A04DDC" w:rsidRPr="00281E73" w:rsidRDefault="00A04DDC" w:rsidP="00A04DDC">
      <w:pPr>
        <w:autoSpaceDE w:val="0"/>
        <w:autoSpaceDN w:val="0"/>
        <w:adjustRightInd w:val="0"/>
        <w:spacing w:line="276" w:lineRule="auto"/>
        <w:ind w:right="567"/>
        <w:jc w:val="both"/>
        <w:rPr>
          <w:rFonts w:ascii="Palatino Linotype" w:hAnsi="Palatino Linotype" w:cs="Arial"/>
          <w:i/>
          <w:color w:val="000000"/>
          <w:sz w:val="22"/>
          <w:szCs w:val="22"/>
        </w:rPr>
      </w:pP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r w:rsidRPr="00281E73">
        <w:rPr>
          <w:rFonts w:ascii="Palatino Linotype" w:hAnsi="Palatino Linotype" w:cs="Bookman Old Style,Bold"/>
          <w:b/>
          <w:bCs/>
          <w:i/>
          <w:sz w:val="22"/>
          <w:szCs w:val="22"/>
        </w:rPr>
        <w:t xml:space="preserve">Artículo 12. </w:t>
      </w:r>
      <w:r w:rsidRPr="00281E73">
        <w:rPr>
          <w:rFonts w:ascii="Palatino Linotype" w:hAnsi="Palatino Linotype" w:cs="Bookman Old Style"/>
          <w:i/>
          <w:sz w:val="22"/>
          <w:szCs w:val="22"/>
        </w:rPr>
        <w:t xml:space="preserve">Quienes generen, recopilen, administren, manejen, procesen, archiven o conserven información pública serán responsables de la misma en los términos de las disposiciones jurídicas aplicables. </w:t>
      </w: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p>
    <w:p w:rsidR="00A04DDC" w:rsidRPr="00281E73" w:rsidRDefault="00A04DDC" w:rsidP="00A04DDC">
      <w:pPr>
        <w:autoSpaceDE w:val="0"/>
        <w:autoSpaceDN w:val="0"/>
        <w:adjustRightInd w:val="0"/>
        <w:spacing w:line="276" w:lineRule="auto"/>
        <w:ind w:left="567" w:right="567"/>
        <w:jc w:val="both"/>
        <w:rPr>
          <w:rFonts w:ascii="Palatino Linotype" w:hAnsi="Palatino Linotype" w:cs="Bookman Old Style"/>
          <w:i/>
          <w:sz w:val="22"/>
          <w:szCs w:val="22"/>
        </w:rPr>
      </w:pPr>
      <w:r w:rsidRPr="00281E73">
        <w:rPr>
          <w:rFonts w:ascii="Palatino Linotype" w:hAnsi="Palatino Linotype" w:cs="Bookman Old Style"/>
          <w:i/>
          <w:sz w:val="22"/>
          <w:szCs w:val="22"/>
        </w:rPr>
        <w:t xml:space="preserve">Los sujetos obligados sólo proporcionarán la información pública que se les requiera y que obre en sus archivos y en el estado en que ésta se encuentre. </w:t>
      </w:r>
      <w:r w:rsidRPr="00281E73">
        <w:rPr>
          <w:rFonts w:ascii="Palatino Linotype" w:hAnsi="Palatino Linotype" w:cs="Bookman Old Style"/>
          <w:b/>
          <w:i/>
          <w:sz w:val="22"/>
          <w:szCs w:val="22"/>
        </w:rPr>
        <w:t xml:space="preserve">La obligación de proporcionar información no comprende el procesamiento de la misma, ni el </w:t>
      </w:r>
      <w:r w:rsidRPr="00281E73">
        <w:rPr>
          <w:rFonts w:ascii="Palatino Linotype" w:hAnsi="Palatino Linotype" w:cs="Bookman Old Style"/>
          <w:b/>
          <w:i/>
          <w:sz w:val="22"/>
          <w:szCs w:val="22"/>
        </w:rPr>
        <w:lastRenderedPageBreak/>
        <w:t>presentarla conforme al interés del solicitante; no estarán obligados a generarla, resumirla, efectuar cálculos o practicar investigaciones.</w:t>
      </w:r>
    </w:p>
    <w:p w:rsidR="00A04DDC" w:rsidRPr="00281E73" w:rsidRDefault="00A04DDC" w:rsidP="00A04DDC">
      <w:pPr>
        <w:autoSpaceDE w:val="0"/>
        <w:autoSpaceDN w:val="0"/>
        <w:adjustRightInd w:val="0"/>
        <w:spacing w:line="360" w:lineRule="auto"/>
        <w:ind w:left="567" w:right="567"/>
        <w:jc w:val="both"/>
        <w:rPr>
          <w:rFonts w:ascii="Palatino Linotype" w:hAnsi="Palatino Linotype" w:cs="Arial"/>
          <w:i/>
          <w:color w:val="000000"/>
          <w:sz w:val="22"/>
          <w:szCs w:val="22"/>
        </w:rPr>
      </w:pPr>
    </w:p>
    <w:p w:rsidR="00A04DDC" w:rsidRPr="00281E73" w:rsidRDefault="00A04DDC" w:rsidP="00A04DDC">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281E73">
        <w:rPr>
          <w:rFonts w:ascii="Palatino Linotype" w:hAnsi="Palatino Linotype"/>
          <w:szCs w:val="22"/>
          <w:lang w:val="es-ES"/>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281E73">
        <w:rPr>
          <w:rStyle w:val="Refdenotaalpie"/>
          <w:rFonts w:ascii="Palatino Linotype" w:hAnsi="Palatino Linotype"/>
          <w:szCs w:val="22"/>
          <w:lang w:val="es-ES"/>
        </w:rPr>
        <w:footnoteReference w:id="10"/>
      </w:r>
      <w:r w:rsidRPr="00281E73">
        <w:rPr>
          <w:rFonts w:ascii="Palatino Linotype" w:hAnsi="Palatino Linotype"/>
          <w:szCs w:val="22"/>
          <w:lang w:val="es-ES"/>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A04DDC" w:rsidRPr="00281E73" w:rsidRDefault="00A04DDC" w:rsidP="00A04DDC">
      <w:pPr>
        <w:pStyle w:val="Prrafodelista"/>
        <w:tabs>
          <w:tab w:val="left" w:pos="851"/>
        </w:tabs>
        <w:spacing w:line="360" w:lineRule="auto"/>
        <w:ind w:left="0" w:right="49"/>
        <w:jc w:val="both"/>
        <w:rPr>
          <w:rFonts w:ascii="Palatino Linotype" w:hAnsi="Palatino Linotype"/>
          <w:szCs w:val="22"/>
          <w:lang w:val="es-ES"/>
        </w:rPr>
      </w:pPr>
    </w:p>
    <w:p w:rsidR="00A04DDC" w:rsidRPr="00281E73" w:rsidRDefault="00A04DDC" w:rsidP="00A04DDC">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281E73">
        <w:rPr>
          <w:rFonts w:ascii="Palatino Linotype" w:hAnsi="Palatino Linotype"/>
          <w:szCs w:val="22"/>
          <w:lang w:val="es-ES"/>
        </w:rPr>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A04DDC" w:rsidRPr="00281E73" w:rsidRDefault="00A04DDC" w:rsidP="00A04DDC">
      <w:pPr>
        <w:pStyle w:val="Prrafodelista"/>
        <w:spacing w:line="360" w:lineRule="auto"/>
        <w:rPr>
          <w:rFonts w:ascii="Palatino Linotype" w:hAnsi="Palatino Linotype"/>
          <w:szCs w:val="22"/>
          <w:lang w:val="es-ES"/>
        </w:rPr>
      </w:pPr>
    </w:p>
    <w:p w:rsidR="00A04DDC" w:rsidRPr="00281E73" w:rsidRDefault="00A04DDC" w:rsidP="00A04DDC">
      <w:pPr>
        <w:pStyle w:val="Prrafodelista"/>
        <w:tabs>
          <w:tab w:val="left" w:pos="851"/>
        </w:tabs>
        <w:spacing w:line="276" w:lineRule="auto"/>
        <w:ind w:left="567" w:right="567"/>
        <w:jc w:val="both"/>
        <w:rPr>
          <w:rFonts w:ascii="Palatino Linotype" w:hAnsi="Palatino Linotype"/>
          <w:i/>
          <w:szCs w:val="22"/>
        </w:rPr>
      </w:pPr>
      <w:r w:rsidRPr="00281E73">
        <w:rPr>
          <w:rFonts w:ascii="Palatino Linotype" w:hAnsi="Palatino Linotype"/>
          <w:b/>
          <w:i/>
          <w:szCs w:val="22"/>
        </w:rPr>
        <w:t>ACCESO A LA INFORMACIÓN. IMPLICACIÓN DEL PRINCIPIO DE MÁXIMA PUBLICIDAD EN EL DERECHO FUNDAMENTAL RELATIVO.</w:t>
      </w:r>
      <w:r w:rsidRPr="00281E73">
        <w:rPr>
          <w:rFonts w:ascii="Palatino Linotype" w:hAnsi="Palatino Linotype"/>
          <w:i/>
          <w:szCs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w:t>
      </w:r>
      <w:r w:rsidRPr="00281E73">
        <w:rPr>
          <w:rFonts w:ascii="Palatino Linotype" w:hAnsi="Palatino Linotype"/>
          <w:i/>
          <w:szCs w:val="22"/>
        </w:rPr>
        <w:lastRenderedPageBreak/>
        <w:t xml:space="preserve">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rsidR="00A04DDC" w:rsidRPr="00281E73" w:rsidRDefault="00A04DDC" w:rsidP="00A04DDC">
      <w:pPr>
        <w:pStyle w:val="Prrafodelista"/>
        <w:tabs>
          <w:tab w:val="left" w:pos="851"/>
        </w:tabs>
        <w:spacing w:line="276" w:lineRule="auto"/>
        <w:ind w:left="567" w:right="567"/>
        <w:jc w:val="both"/>
        <w:rPr>
          <w:rFonts w:ascii="Palatino Linotype" w:hAnsi="Palatino Linotype"/>
          <w:i/>
          <w:szCs w:val="22"/>
        </w:rPr>
      </w:pPr>
    </w:p>
    <w:p w:rsidR="00A04DDC" w:rsidRPr="00281E73" w:rsidRDefault="00A04DDC" w:rsidP="00A04DDC">
      <w:pPr>
        <w:pStyle w:val="Prrafodelista"/>
        <w:tabs>
          <w:tab w:val="left" w:pos="851"/>
        </w:tabs>
        <w:spacing w:line="276" w:lineRule="auto"/>
        <w:ind w:left="567" w:right="567"/>
        <w:jc w:val="both"/>
        <w:rPr>
          <w:rFonts w:ascii="Palatino Linotype" w:hAnsi="Palatino Linotype"/>
          <w:i/>
          <w:szCs w:val="22"/>
        </w:rPr>
      </w:pPr>
      <w:r w:rsidRPr="00281E73">
        <w:rPr>
          <w:rFonts w:ascii="Palatino Linotype" w:hAnsi="Palatino Linotype"/>
          <w:i/>
          <w:szCs w:val="22"/>
        </w:rPr>
        <w:t xml:space="preserve">CUARTO TRIBUNAL COLEGIADO EN MATERIA ADMINISTRATIVA DEL PRIMER CIRCUITO. </w:t>
      </w:r>
    </w:p>
    <w:p w:rsidR="00A04DDC" w:rsidRPr="00281E73" w:rsidRDefault="00A04DDC" w:rsidP="00A04DDC">
      <w:pPr>
        <w:pStyle w:val="Prrafodelista"/>
        <w:tabs>
          <w:tab w:val="left" w:pos="851"/>
        </w:tabs>
        <w:spacing w:line="276" w:lineRule="auto"/>
        <w:ind w:left="567" w:right="567"/>
        <w:jc w:val="both"/>
        <w:rPr>
          <w:rFonts w:ascii="Palatino Linotype" w:hAnsi="Palatino Linotype"/>
          <w:i/>
          <w:szCs w:val="22"/>
        </w:rPr>
      </w:pPr>
    </w:p>
    <w:p w:rsidR="00A04DDC" w:rsidRPr="00281E73" w:rsidRDefault="00A04DDC" w:rsidP="00A04DDC">
      <w:pPr>
        <w:pStyle w:val="Prrafodelista"/>
        <w:tabs>
          <w:tab w:val="left" w:pos="851"/>
        </w:tabs>
        <w:spacing w:line="276" w:lineRule="auto"/>
        <w:ind w:left="567" w:right="567"/>
        <w:jc w:val="both"/>
        <w:rPr>
          <w:rFonts w:ascii="Palatino Linotype" w:hAnsi="Palatino Linotype"/>
          <w:i/>
          <w:szCs w:val="22"/>
          <w:lang w:val="es-ES"/>
        </w:rPr>
      </w:pPr>
      <w:r w:rsidRPr="00281E73">
        <w:rPr>
          <w:rFonts w:ascii="Palatino Linotype" w:hAnsi="Palatino Linotype"/>
          <w:i/>
          <w:szCs w:val="22"/>
        </w:rPr>
        <w:t>Amparo en revisión 257/2012. Ruth Corona Muñoz. 6 de diciembre de 2012. Unanimidad de votos. Ponente: Jean Claude Tron Petit. Secretaria: Mayra Susana Martínez López.</w:t>
      </w:r>
    </w:p>
    <w:p w:rsidR="00A04DDC" w:rsidRPr="00281E73" w:rsidRDefault="00A04DDC" w:rsidP="00A04DDC">
      <w:pPr>
        <w:pStyle w:val="Prrafodelista"/>
        <w:spacing w:line="360" w:lineRule="auto"/>
        <w:rPr>
          <w:rFonts w:ascii="Palatino Linotype" w:hAnsi="Palatino Linotype"/>
          <w:szCs w:val="22"/>
          <w:lang w:val="es-ES"/>
        </w:rPr>
      </w:pPr>
    </w:p>
    <w:p w:rsidR="00A04DDC" w:rsidRPr="00281E73" w:rsidRDefault="00A04DDC" w:rsidP="00A04DDC">
      <w:pPr>
        <w:pStyle w:val="Prrafodelista"/>
        <w:numPr>
          <w:ilvl w:val="0"/>
          <w:numId w:val="1"/>
        </w:numPr>
        <w:tabs>
          <w:tab w:val="left" w:pos="851"/>
        </w:tabs>
        <w:spacing w:before="240" w:after="240" w:line="360" w:lineRule="auto"/>
        <w:ind w:left="0" w:right="49" w:firstLine="0"/>
        <w:jc w:val="both"/>
        <w:rPr>
          <w:rFonts w:ascii="Palatino Linotype" w:hAnsi="Palatino Linotype" w:cs="Arial"/>
          <w:szCs w:val="22"/>
          <w:lang w:val="es-ES"/>
        </w:rPr>
      </w:pPr>
      <w:r w:rsidRPr="00281E73">
        <w:rPr>
          <w:rFonts w:ascii="Palatino Linotype" w:hAnsi="Palatino Linotype"/>
          <w:szCs w:val="22"/>
          <w:lang w:val="es-ES"/>
        </w:rPr>
        <w:t>El derecho de acceso a la información encuentra su materia elemental en los documentos, y la Ley de Transparencia local  nos brinda el siguiente concepto, para darnos un mejor panorama:</w:t>
      </w:r>
    </w:p>
    <w:p w:rsidR="00A04DDC" w:rsidRPr="00281E73" w:rsidRDefault="00A04DDC" w:rsidP="00A04DDC">
      <w:pPr>
        <w:autoSpaceDE w:val="0"/>
        <w:autoSpaceDN w:val="0"/>
        <w:adjustRightInd w:val="0"/>
        <w:spacing w:line="276" w:lineRule="auto"/>
        <w:ind w:left="567" w:right="567"/>
        <w:jc w:val="both"/>
        <w:rPr>
          <w:rFonts w:ascii="Palatino Linotype" w:hAnsi="Palatino Linotype"/>
          <w:i/>
          <w:sz w:val="22"/>
          <w:szCs w:val="22"/>
          <w:lang w:val="es-ES"/>
        </w:rPr>
      </w:pPr>
      <w:r w:rsidRPr="00281E73">
        <w:rPr>
          <w:rFonts w:ascii="Palatino Linotype" w:eastAsiaTheme="minorHAnsi" w:hAnsi="Palatino Linotype" w:cs="Bookman Old Style,Bold"/>
          <w:b/>
          <w:bCs/>
          <w:i/>
          <w:sz w:val="22"/>
          <w:szCs w:val="22"/>
          <w:lang w:eastAsia="en-US"/>
        </w:rPr>
        <w:t xml:space="preserve">XI. Documento: </w:t>
      </w:r>
      <w:r w:rsidRPr="00281E73">
        <w:rPr>
          <w:rFonts w:ascii="Palatino Linotype" w:eastAsiaTheme="minorHAnsi" w:hAnsi="Palatino Linotype" w:cs="Bookman Old Style"/>
          <w:i/>
          <w:sz w:val="22"/>
          <w:szCs w:val="22"/>
          <w:lang w:eastAsia="en-US"/>
        </w:rPr>
        <w:t xml:space="preserve">Los expedientes, reportes, estudios, actas, resoluciones, oficios, correspondencia, acuerdos, directivas, directrices, circulares, contratos, convenios, instructivos, notas, memorandos, estadísticas o bien, </w:t>
      </w:r>
      <w:r w:rsidRPr="00281E73">
        <w:rPr>
          <w:rFonts w:ascii="Palatino Linotype" w:eastAsiaTheme="minorHAnsi" w:hAnsi="Palatino Linotype" w:cs="Bookman Old Style"/>
          <w:b/>
          <w:i/>
          <w:sz w:val="22"/>
          <w:szCs w:val="22"/>
          <w:lang w:eastAsia="en-US"/>
        </w:rPr>
        <w:t>cualquier otro registro</w:t>
      </w:r>
      <w:r w:rsidRPr="00281E73">
        <w:rPr>
          <w:rFonts w:ascii="Palatino Linotype" w:eastAsiaTheme="minorHAnsi" w:hAnsi="Palatino Linotype" w:cs="Bookman Old Style"/>
          <w:i/>
          <w:sz w:val="22"/>
          <w:szCs w:val="22"/>
          <w:lang w:eastAsia="en-US"/>
        </w:rPr>
        <w:t xml:space="preserve"> que documente el ejercicio de las facultades, funciones y competencias de los sujetos obligados, sus servidores públicos e integrantes, sin importar su fuente o fecha de elaboración. Los </w:t>
      </w:r>
      <w:r w:rsidRPr="00281E73">
        <w:rPr>
          <w:rFonts w:ascii="Palatino Linotype" w:eastAsiaTheme="minorHAnsi" w:hAnsi="Palatino Linotype" w:cs="Bookman Old Style"/>
          <w:i/>
          <w:sz w:val="22"/>
          <w:szCs w:val="22"/>
          <w:lang w:eastAsia="en-US"/>
        </w:rPr>
        <w:lastRenderedPageBreak/>
        <w:t>documentos podrán estar en cualquier medio, sea escrito, impreso,  sonoro, visual, electrónico, informático u holográfico;</w:t>
      </w:r>
    </w:p>
    <w:p w:rsidR="00A04DDC" w:rsidRPr="00281E73" w:rsidRDefault="00A04DDC" w:rsidP="00A04DDC">
      <w:pPr>
        <w:pStyle w:val="Prrafodelista"/>
        <w:tabs>
          <w:tab w:val="left" w:pos="851"/>
        </w:tabs>
        <w:spacing w:line="360" w:lineRule="auto"/>
        <w:ind w:left="0" w:right="49"/>
        <w:jc w:val="both"/>
        <w:rPr>
          <w:rFonts w:ascii="Palatino Linotype" w:hAnsi="Palatino Linotype"/>
          <w:szCs w:val="22"/>
          <w:lang w:val="es-ES"/>
        </w:rPr>
      </w:pPr>
    </w:p>
    <w:p w:rsidR="00A04DDC" w:rsidRPr="00281E73" w:rsidRDefault="00A04DDC" w:rsidP="00A04DDC">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281E73">
        <w:rPr>
          <w:rFonts w:ascii="Palatino Linotype" w:hAnsi="Palatino Linotype"/>
          <w:szCs w:val="22"/>
          <w:lang w:val="es-ES"/>
        </w:rPr>
        <w:t>Es así que, todos los actos de autoridad que realicen los Sujetos Obligados deben estar documentados y, bajo el más alto estándar de transparencia deberán poner toda la información que se encuentre en su posesión, a disposición de los particulares que la soliciten.</w:t>
      </w:r>
    </w:p>
    <w:p w:rsidR="00A04DDC" w:rsidRPr="00281E73" w:rsidRDefault="00A04DDC" w:rsidP="00A04DDC">
      <w:pPr>
        <w:pStyle w:val="Prrafodelista"/>
        <w:tabs>
          <w:tab w:val="left" w:pos="851"/>
        </w:tabs>
        <w:spacing w:line="360" w:lineRule="auto"/>
        <w:ind w:left="0" w:right="49"/>
        <w:jc w:val="both"/>
        <w:rPr>
          <w:rFonts w:ascii="Palatino Linotype" w:hAnsi="Palatino Linotype"/>
          <w:szCs w:val="22"/>
          <w:lang w:val="es-ES"/>
        </w:rPr>
      </w:pPr>
    </w:p>
    <w:p w:rsidR="00A04DDC" w:rsidRPr="00281E73" w:rsidRDefault="00A04DDC" w:rsidP="00A04DDC">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281E73">
        <w:rPr>
          <w:rFonts w:ascii="Palatino Linotype" w:eastAsiaTheme="minorEastAsia" w:hAnsi="Palatino Linotype" w:cstheme="minorBidi"/>
          <w:color w:val="000000" w:themeColor="text1"/>
        </w:rPr>
        <w:t>Establecido lo anterior</w:t>
      </w:r>
      <w:r w:rsidRPr="00281E73">
        <w:rPr>
          <w:rFonts w:ascii="Palatino Linotype" w:eastAsia="MS Mincho" w:hAnsi="Palatino Linotype" w:cs="Arial"/>
          <w:color w:val="000000" w:themeColor="text1"/>
          <w:lang w:val="es-ES_tradnl"/>
        </w:rPr>
        <w:t xml:space="preserve">, el derecho de acceso a la información pública consiste en el </w:t>
      </w:r>
      <w:r w:rsidRPr="00281E73">
        <w:rPr>
          <w:rFonts w:ascii="Palatino Linotype" w:eastAsia="MS Mincho" w:hAnsi="Palatino Linotype" w:cs="Arial"/>
          <w:b/>
          <w:color w:val="000000" w:themeColor="text1"/>
          <w:lang w:val="es-ES_tradnl"/>
        </w:rPr>
        <w:t>acceso a documentos</w:t>
      </w:r>
      <w:r w:rsidRPr="00281E73">
        <w:rPr>
          <w:rFonts w:ascii="Palatino Linotype" w:eastAsia="MS Mincho" w:hAnsi="Palatino Linotype" w:cs="Arial"/>
          <w:color w:val="000000" w:themeColor="text1"/>
          <w:lang w:val="es-ES_tradnl"/>
        </w:rPr>
        <w:t xml:space="preserve"> generados, poseídos o administrados por la autoridad, en ejercicio de sus funciones, con antelación a que fuera presentada la solicitud de acceso a la información pública.</w:t>
      </w:r>
    </w:p>
    <w:p w:rsidR="00A04DDC" w:rsidRPr="00281E73" w:rsidRDefault="00A04DDC" w:rsidP="00A04DDC">
      <w:pPr>
        <w:pStyle w:val="Prrafodelista"/>
        <w:rPr>
          <w:rFonts w:ascii="Palatino Linotype" w:eastAsia="MS Mincho" w:hAnsi="Palatino Linotype" w:cs="Arial"/>
          <w:color w:val="000000" w:themeColor="text1"/>
          <w:lang w:val="es-ES_tradnl"/>
        </w:rPr>
      </w:pPr>
    </w:p>
    <w:p w:rsidR="00A04DDC" w:rsidRPr="00281E73" w:rsidRDefault="00A04DDC" w:rsidP="00A04DDC">
      <w:pPr>
        <w:pStyle w:val="Prrafodelista"/>
        <w:numPr>
          <w:ilvl w:val="0"/>
          <w:numId w:val="1"/>
        </w:numPr>
        <w:tabs>
          <w:tab w:val="left" w:pos="851"/>
        </w:tabs>
        <w:spacing w:line="360" w:lineRule="auto"/>
        <w:ind w:left="0" w:right="49" w:firstLine="0"/>
        <w:jc w:val="both"/>
        <w:rPr>
          <w:rFonts w:ascii="Palatino Linotype" w:hAnsi="Palatino Linotype"/>
          <w:szCs w:val="22"/>
          <w:lang w:val="es-ES"/>
        </w:rPr>
      </w:pPr>
      <w:r w:rsidRPr="00281E73">
        <w:rPr>
          <w:rFonts w:ascii="Palatino Linotype" w:eastAsia="MS Mincho" w:hAnsi="Palatino Linotype" w:cs="Arial"/>
          <w:color w:val="000000" w:themeColor="text1"/>
          <w:lang w:val="es-ES_tradnl"/>
        </w:rPr>
        <w:t xml:space="preserve">Así, el </w:t>
      </w:r>
      <w:r w:rsidRPr="00281E73">
        <w:rPr>
          <w:rFonts w:ascii="Palatino Linotype" w:eastAsia="MS Mincho" w:hAnsi="Palatino Linotype" w:cs="Arial"/>
          <w:color w:val="000000" w:themeColor="text1"/>
        </w:rPr>
        <w:t>Criterio</w:t>
      </w:r>
      <w:r w:rsidRPr="00281E73">
        <w:rPr>
          <w:rFonts w:ascii="Palatino Linotype" w:eastAsia="MS Mincho" w:hAnsi="Palatino Linotype" w:cs="Arial"/>
          <w:color w:val="000000" w:themeColor="text1"/>
          <w:lang w:val="es-ES_tradnl"/>
        </w:rPr>
        <w:t xml:space="preserve"> </w:t>
      </w:r>
      <w:r w:rsidRPr="00281E73">
        <w:rPr>
          <w:rFonts w:ascii="Palatino Linotype" w:eastAsia="MS Mincho" w:hAnsi="Palatino Linotype" w:cs="Arial"/>
          <w:color w:val="000000" w:themeColor="text1"/>
        </w:rPr>
        <w:t>028-10</w:t>
      </w:r>
      <w:r w:rsidRPr="00281E73">
        <w:rPr>
          <w:rFonts w:ascii="Palatino Linotype" w:eastAsia="MS Mincho" w:hAnsi="Palatino Linotype" w:cs="Arial"/>
          <w:color w:val="000000" w:themeColor="text1"/>
          <w:lang w:val="es-ES_tradnl"/>
        </w:rPr>
        <w:t xml:space="preserve"> </w:t>
      </w:r>
      <w:r w:rsidRPr="00281E73">
        <w:rPr>
          <w:rFonts w:ascii="Palatino Linotype" w:eastAsia="MS Mincho" w:hAnsi="Palatino Linotype" w:cs="Arial"/>
          <w:color w:val="000000" w:themeColor="text1"/>
        </w:rPr>
        <w:t>emitido por</w:t>
      </w:r>
      <w:r w:rsidRPr="00281E73">
        <w:rPr>
          <w:rFonts w:ascii="Palatino Linotype" w:eastAsia="MS Mincho" w:hAnsi="Palatino Linotype" w:cs="Arial"/>
          <w:color w:val="000000" w:themeColor="text1"/>
          <w:lang w:val="es-ES_tradnl"/>
        </w:rPr>
        <w:t xml:space="preserve"> el Pleno del entonces llamado </w:t>
      </w:r>
      <w:r w:rsidRPr="00281E73">
        <w:rPr>
          <w:rFonts w:ascii="Palatino Linotype" w:eastAsia="MS Mincho" w:hAnsi="Palatino Linotype" w:cs="Arial"/>
          <w:color w:val="000000" w:themeColor="text1"/>
        </w:rPr>
        <w:t>Instituto Federal de Acceso a la Información y Protección de Datos, ahora Instituto Nacional de Transparencia, Acceso a la Información y Protección de Datos Personales est</w:t>
      </w:r>
      <w:r w:rsidRPr="00281E73">
        <w:rPr>
          <w:rFonts w:ascii="Palatino Linotype" w:eastAsia="MS Mincho" w:hAnsi="Palatino Linotype" w:cs="Arial"/>
          <w:color w:val="000000" w:themeColor="text1"/>
          <w:lang w:val="es-ES_tradnl"/>
        </w:rPr>
        <w:t xml:space="preserve">ablece que se deberá garantizar </w:t>
      </w:r>
      <w:r w:rsidRPr="00281E73">
        <w:rPr>
          <w:rFonts w:ascii="Palatino Linotype" w:eastAsia="MS Mincho" w:hAnsi="Palatino Linotype" w:cs="Arial"/>
          <w:color w:val="000000" w:themeColor="text1"/>
        </w:rPr>
        <w:t xml:space="preserve">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y lo anterior sin importar que </w:t>
      </w:r>
      <w:r w:rsidR="002763A5" w:rsidRPr="00281E73">
        <w:rPr>
          <w:rFonts w:ascii="Palatino Linotype" w:eastAsia="MS Mincho" w:hAnsi="Palatino Linotype" w:cs="Arial"/>
          <w:color w:val="000000" w:themeColor="text1"/>
        </w:rPr>
        <w:t xml:space="preserve">el </w:t>
      </w:r>
      <w:r w:rsidRPr="00281E73">
        <w:rPr>
          <w:rFonts w:ascii="Palatino Linotype" w:eastAsia="MS Mincho" w:hAnsi="Palatino Linotype" w:cs="Arial"/>
          <w:color w:val="000000" w:themeColor="text1"/>
          <w:lang w:val="es-ES_tradnl"/>
        </w:rPr>
        <w:t xml:space="preserve"> </w:t>
      </w:r>
      <w:r w:rsidRPr="00281E73">
        <w:rPr>
          <w:rFonts w:ascii="Palatino Linotype" w:eastAsia="MS Mincho" w:hAnsi="Palatino Linotype" w:cs="Arial"/>
          <w:color w:val="000000" w:themeColor="text1"/>
        </w:rPr>
        <w:t>particular lleve a cabo una solicitud de información sin id</w:t>
      </w:r>
      <w:r w:rsidR="002763A5" w:rsidRPr="00281E73">
        <w:rPr>
          <w:rFonts w:ascii="Palatino Linotype" w:eastAsia="MS Mincho" w:hAnsi="Palatino Linotype" w:cs="Arial"/>
          <w:color w:val="000000" w:themeColor="text1"/>
        </w:rPr>
        <w:t>entificar de forma precisa los documentos</w:t>
      </w:r>
      <w:r w:rsidR="002763A5" w:rsidRPr="00281E73">
        <w:rPr>
          <w:rFonts w:ascii="Palatino Linotype" w:eastAsia="MS Mincho" w:hAnsi="Palatino Linotype" w:cs="Arial"/>
          <w:color w:val="000000" w:themeColor="text1"/>
          <w:lang w:val="es-ES_tradnl"/>
        </w:rPr>
        <w:t xml:space="preserve"> a los</w:t>
      </w:r>
      <w:r w:rsidRPr="00281E73">
        <w:rPr>
          <w:rFonts w:ascii="Palatino Linotype" w:eastAsia="MS Mincho" w:hAnsi="Palatino Linotype" w:cs="Arial"/>
          <w:color w:val="000000" w:themeColor="text1"/>
          <w:lang w:val="es-ES_tradnl"/>
        </w:rPr>
        <w:t xml:space="preserve"> que requiere</w:t>
      </w:r>
      <w:r w:rsidR="002763A5" w:rsidRPr="00281E73">
        <w:rPr>
          <w:rFonts w:ascii="Palatino Linotype" w:eastAsia="MS Mincho" w:hAnsi="Palatino Linotype" w:cs="Arial"/>
          <w:color w:val="000000" w:themeColor="text1"/>
          <w:lang w:val="es-ES_tradnl"/>
        </w:rPr>
        <w:t xml:space="preserve"> tener</w:t>
      </w:r>
      <w:r w:rsidRPr="00281E73">
        <w:rPr>
          <w:rFonts w:ascii="Palatino Linotype" w:eastAsia="MS Mincho" w:hAnsi="Palatino Linotype" w:cs="Arial"/>
          <w:color w:val="000000" w:themeColor="text1"/>
          <w:lang w:val="es-ES_tradnl"/>
        </w:rPr>
        <w:t xml:space="preserve"> acceso, como a continuación se observa: </w:t>
      </w:r>
    </w:p>
    <w:p w:rsidR="00A04DDC" w:rsidRPr="00281E73" w:rsidRDefault="00A04DDC" w:rsidP="00A04DDC">
      <w:pPr>
        <w:spacing w:before="240" w:after="360" w:line="360" w:lineRule="auto"/>
        <w:ind w:right="616"/>
        <w:contextualSpacing/>
        <w:jc w:val="both"/>
        <w:rPr>
          <w:rFonts w:ascii="Palatino Linotype" w:eastAsia="MS Mincho" w:hAnsi="Palatino Linotype" w:cs="Arial"/>
          <w:color w:val="000000" w:themeColor="text1"/>
        </w:rPr>
      </w:pP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iCs/>
          <w:color w:val="000000" w:themeColor="text1"/>
          <w:lang w:val="es-ES_tradnl"/>
        </w:rPr>
      </w:pPr>
      <w:r w:rsidRPr="00281E73">
        <w:rPr>
          <w:rFonts w:ascii="Palatino Linotype" w:eastAsia="MS Mincho" w:hAnsi="Palatino Linotype" w:cs="Arial"/>
          <w:b/>
          <w:bCs/>
          <w:i/>
          <w:iCs/>
          <w:color w:val="000000" w:themeColor="text1"/>
          <w:lang w:val="es-ES_tradnl"/>
        </w:rPr>
        <w:t xml:space="preserve">“Cuando en una solicitud de información no se identifique un documento en específico, si ésta tiene una expresión documental, el sujeto obligado deberá entregar al particular el </w:t>
      </w:r>
      <w:r w:rsidRPr="00281E73">
        <w:rPr>
          <w:rFonts w:ascii="Palatino Linotype" w:eastAsia="MS Mincho" w:hAnsi="Palatino Linotype" w:cs="Arial"/>
          <w:b/>
          <w:bCs/>
          <w:i/>
          <w:iCs/>
          <w:color w:val="000000" w:themeColor="text1"/>
          <w:lang w:val="es-ES_tradnl"/>
        </w:rPr>
        <w:lastRenderedPageBreak/>
        <w:t>documento en específico.</w:t>
      </w:r>
      <w:r w:rsidRPr="00281E73">
        <w:rPr>
          <w:rFonts w:ascii="Palatino Linotype" w:eastAsia="MS Mincho" w:hAnsi="Palatino Linotype" w:cs="Arial"/>
          <w:i/>
          <w:iCs/>
          <w:color w:val="000000" w:themeColor="text1"/>
          <w:lang w:val="es-ES_tradnl"/>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rsidR="00A04DDC" w:rsidRPr="00281E73" w:rsidRDefault="00A04DDC" w:rsidP="00A04DDC">
      <w:pPr>
        <w:pStyle w:val="Prrafodelista"/>
        <w:numPr>
          <w:ilvl w:val="0"/>
          <w:numId w:val="1"/>
        </w:numPr>
        <w:spacing w:before="240" w:after="360" w:line="360" w:lineRule="auto"/>
        <w:ind w:left="0" w:firstLine="0"/>
        <w:jc w:val="both"/>
        <w:rPr>
          <w:rFonts w:ascii="Palatino Linotype" w:eastAsia="MS Mincho" w:hAnsi="Palatino Linotype" w:cs="Arial"/>
          <w:color w:val="000000" w:themeColor="text1"/>
          <w:lang w:val="es-ES_tradnl"/>
        </w:rPr>
      </w:pPr>
      <w:r w:rsidRPr="00281E73">
        <w:rPr>
          <w:rFonts w:ascii="Palatino Linotype" w:eastAsia="MS Mincho" w:hAnsi="Palatino Linotype" w:cs="Arial"/>
          <w:color w:val="000000" w:themeColor="text1"/>
        </w:rPr>
        <w:t xml:space="preserve">Robustece lo anterior </w:t>
      </w:r>
      <w:r w:rsidRPr="00281E73">
        <w:rPr>
          <w:rFonts w:ascii="Palatino Linotype" w:eastAsia="MS Mincho" w:hAnsi="Palatino Linotype" w:cs="Arial"/>
          <w:color w:val="000000" w:themeColor="text1"/>
          <w:lang w:val="es-ES_tradnl"/>
        </w:rPr>
        <w:t>el criterio orientador 16/17 emitido de igual forma por el Instituto Nacional de Transparencia, Acceso a la Información y Protección de Datos Personales que a la literalidad prevé:</w:t>
      </w: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color w:val="000000" w:themeColor="text1"/>
          <w:lang w:val="es-ES_tradnl"/>
        </w:rPr>
      </w:pPr>
      <w:r w:rsidRPr="00281E73">
        <w:rPr>
          <w:rFonts w:ascii="Palatino Linotype" w:eastAsia="MS Mincho" w:hAnsi="Palatino Linotype" w:cs="Arial"/>
          <w:b/>
          <w:i/>
          <w:color w:val="000000" w:themeColor="text1"/>
          <w:lang w:val="es-ES_tradnl"/>
        </w:rPr>
        <w:t>“Expresión documental</w:t>
      </w:r>
      <w:r w:rsidRPr="00281E73">
        <w:rPr>
          <w:rFonts w:ascii="Palatino Linotype" w:eastAsia="MS Mincho" w:hAnsi="Palatino Linotype" w:cs="Arial"/>
          <w:i/>
          <w:color w:val="000000" w:themeColor="text1"/>
          <w:lang w:val="es-ES_tradnl"/>
        </w:rPr>
        <w:t xml:space="preserve">. Cuando los particulares presenten solicitudes de acceso a la información sin identificar de forma precisa la documentación que pudiera contener la información de su interés, o bien, la solicitud constituya una consulta, pero la respuesta pudiera obrar en algún documento en poder de los sujetos obligados, éstos deben dar a dichas solicitudes una interpretación que les otorgue una expresión documental. </w:t>
      </w: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color w:val="000000" w:themeColor="text1"/>
          <w:lang w:val="es-ES_tradnl"/>
        </w:rPr>
      </w:pP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color w:val="000000" w:themeColor="text1"/>
          <w:lang w:val="es-ES_tradnl"/>
        </w:rPr>
      </w:pPr>
      <w:r w:rsidRPr="00281E73">
        <w:rPr>
          <w:rFonts w:ascii="Palatino Linotype" w:eastAsia="MS Mincho" w:hAnsi="Palatino Linotype" w:cs="Arial"/>
          <w:i/>
          <w:color w:val="000000" w:themeColor="text1"/>
          <w:lang w:val="es-ES_tradnl"/>
        </w:rPr>
        <w:t>Resoluciones:</w:t>
      </w: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color w:val="000000" w:themeColor="text1"/>
          <w:lang w:val="es-ES_tradnl"/>
        </w:rPr>
      </w:pP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color w:val="000000" w:themeColor="text1"/>
          <w:lang w:val="es-ES_tradnl"/>
        </w:rPr>
      </w:pPr>
      <w:r w:rsidRPr="00281E73">
        <w:rPr>
          <w:rFonts w:ascii="Palatino Linotype" w:eastAsia="MS Mincho" w:hAnsi="Palatino Linotype" w:cs="Arial"/>
          <w:i/>
          <w:color w:val="000000" w:themeColor="text1"/>
          <w:lang w:val="es-ES_tradnl"/>
        </w:rPr>
        <w:lastRenderedPageBreak/>
        <w:t>•</w:t>
      </w:r>
      <w:r w:rsidRPr="00281E73">
        <w:rPr>
          <w:rFonts w:ascii="Palatino Linotype" w:eastAsia="MS Mincho" w:hAnsi="Palatino Linotype" w:cs="Arial"/>
          <w:i/>
          <w:color w:val="000000" w:themeColor="text1"/>
          <w:lang w:val="es-ES_tradnl"/>
        </w:rPr>
        <w:tab/>
        <w:t>RRA 0774/16. Secretaría de Salud. 31 de agosto de 2016. Por unanimidad. Comisionada Ponente María Patricia Kurczyn Villalobos.</w:t>
      </w:r>
    </w:p>
    <w:p w:rsidR="00A04DDC" w:rsidRPr="00281E73" w:rsidRDefault="00A04DDC" w:rsidP="00A04DDC">
      <w:pPr>
        <w:spacing w:before="240" w:after="360" w:line="360" w:lineRule="auto"/>
        <w:ind w:left="567" w:right="616"/>
        <w:contextualSpacing/>
        <w:jc w:val="both"/>
        <w:rPr>
          <w:rFonts w:ascii="Palatino Linotype" w:eastAsia="MS Mincho" w:hAnsi="Palatino Linotype" w:cs="Arial"/>
          <w:i/>
          <w:color w:val="000000" w:themeColor="text1"/>
          <w:lang w:val="es-ES_tradnl"/>
        </w:rPr>
      </w:pPr>
      <w:r w:rsidRPr="00281E73">
        <w:rPr>
          <w:rFonts w:ascii="Palatino Linotype" w:eastAsia="MS Mincho" w:hAnsi="Palatino Linotype" w:cs="Arial"/>
          <w:i/>
          <w:color w:val="000000" w:themeColor="text1"/>
          <w:lang w:val="es-ES_tradnl"/>
        </w:rPr>
        <w:t>•</w:t>
      </w:r>
      <w:r w:rsidRPr="00281E73">
        <w:rPr>
          <w:rFonts w:ascii="Palatino Linotype" w:eastAsia="MS Mincho" w:hAnsi="Palatino Linotype" w:cs="Arial"/>
          <w:i/>
          <w:color w:val="000000" w:themeColor="text1"/>
          <w:lang w:val="es-ES_tradnl"/>
        </w:rPr>
        <w:tab/>
        <w:t xml:space="preserve">RRA 0143/17. Universidad Autónoma Agraria Antonio Narro. 22 de febrero de 2017. Por unanimidad. Comisionado Ponente Oscar Mauricio Guerra Ford. </w:t>
      </w:r>
    </w:p>
    <w:p w:rsidR="00817765" w:rsidRPr="00281E73" w:rsidRDefault="00A04DDC" w:rsidP="002763A5">
      <w:pPr>
        <w:spacing w:before="240" w:after="360" w:line="360" w:lineRule="auto"/>
        <w:ind w:left="567" w:right="616"/>
        <w:contextualSpacing/>
        <w:jc w:val="both"/>
        <w:rPr>
          <w:rFonts w:ascii="Palatino Linotype" w:eastAsia="MS Mincho" w:hAnsi="Palatino Linotype" w:cs="Arial"/>
          <w:i/>
          <w:color w:val="000000" w:themeColor="text1"/>
          <w:lang w:val="es-ES_tradnl"/>
        </w:rPr>
      </w:pPr>
      <w:r w:rsidRPr="00281E73">
        <w:rPr>
          <w:rFonts w:ascii="Palatino Linotype" w:eastAsia="MS Mincho" w:hAnsi="Palatino Linotype" w:cs="Arial"/>
          <w:i/>
          <w:color w:val="000000" w:themeColor="text1"/>
          <w:lang w:val="es-ES_tradnl"/>
        </w:rPr>
        <w:t>•</w:t>
      </w:r>
      <w:r w:rsidRPr="00281E73">
        <w:rPr>
          <w:rFonts w:ascii="Palatino Linotype" w:eastAsia="MS Mincho" w:hAnsi="Palatino Linotype" w:cs="Arial"/>
          <w:i/>
          <w:color w:val="000000" w:themeColor="text1"/>
          <w:lang w:val="es-ES_tradnl"/>
        </w:rPr>
        <w:tab/>
        <w:t>RRA 0540/17. Secretaría de Economía. 08 de marzo del 2017. Por unanimidad. Comisionado Ponente</w:t>
      </w:r>
      <w:r w:rsidR="002763A5" w:rsidRPr="00281E73">
        <w:rPr>
          <w:rFonts w:ascii="Palatino Linotype" w:eastAsia="MS Mincho" w:hAnsi="Palatino Linotype" w:cs="Arial"/>
          <w:i/>
          <w:color w:val="000000" w:themeColor="text1"/>
          <w:lang w:val="es-ES_tradnl"/>
        </w:rPr>
        <w:t xml:space="preserve"> Francisco Javier Acuña Llamas”</w:t>
      </w:r>
    </w:p>
    <w:p w:rsidR="002D48C5" w:rsidRPr="00281E73" w:rsidRDefault="002D48C5" w:rsidP="002D48C5">
      <w:pPr>
        <w:pStyle w:val="Prrafodelista"/>
        <w:numPr>
          <w:ilvl w:val="0"/>
          <w:numId w:val="1"/>
        </w:numPr>
        <w:spacing w:line="360" w:lineRule="auto"/>
        <w:ind w:left="0" w:firstLine="0"/>
        <w:jc w:val="both"/>
        <w:rPr>
          <w:rFonts w:ascii="Palatino Linotype" w:eastAsia="MS Mincho" w:hAnsi="Palatino Linotype" w:cs="Arial"/>
          <w:b/>
          <w:szCs w:val="22"/>
        </w:rPr>
      </w:pPr>
      <w:r w:rsidRPr="00281E73">
        <w:rPr>
          <w:rFonts w:ascii="Palatino Linotype" w:hAnsi="Palatino Linotype" w:cs="Arial"/>
          <w:szCs w:val="22"/>
          <w:lang w:val="es-ES"/>
        </w:rPr>
        <w:t xml:space="preserve">Derivado de lo anteriormente señalado, se concluye que </w:t>
      </w:r>
      <w:r w:rsidRPr="00281E73">
        <w:rPr>
          <w:rFonts w:ascii="Palatino Linotype" w:eastAsia="Palatino Linotype" w:hAnsi="Palatino Linotype" w:cs="Palatino Linotype"/>
          <w:szCs w:val="22"/>
        </w:rPr>
        <w:t xml:space="preserve">resultan fundadas las razones o motivos de inconformidad hechos valer por el </w:t>
      </w:r>
      <w:r w:rsidRPr="00281E73">
        <w:rPr>
          <w:rFonts w:ascii="Palatino Linotype" w:eastAsia="Palatino Linotype" w:hAnsi="Palatino Linotype" w:cs="Palatino Linotype"/>
          <w:b/>
          <w:szCs w:val="22"/>
        </w:rPr>
        <w:t>RECURRENTE</w:t>
      </w:r>
      <w:r w:rsidRPr="00281E73">
        <w:rPr>
          <w:rFonts w:ascii="Palatino Linotype" w:eastAsia="Palatino Linotype" w:hAnsi="Palatino Linotype" w:cs="Palatino Linotype"/>
          <w:szCs w:val="22"/>
        </w:rPr>
        <w:t xml:space="preserve"> dentro del recurso de revisión </w:t>
      </w:r>
      <w:r w:rsidR="002763A5" w:rsidRPr="00281E73">
        <w:rPr>
          <w:rFonts w:ascii="Palatino Linotype" w:eastAsia="Palatino Linotype" w:hAnsi="Palatino Linotype" w:cs="Palatino Linotype"/>
          <w:b/>
          <w:szCs w:val="22"/>
        </w:rPr>
        <w:t>01628</w:t>
      </w:r>
      <w:r w:rsidRPr="00281E73">
        <w:rPr>
          <w:rFonts w:ascii="Palatino Linotype" w:eastAsia="Palatino Linotype" w:hAnsi="Palatino Linotype" w:cs="Palatino Linotype"/>
          <w:b/>
          <w:szCs w:val="22"/>
        </w:rPr>
        <w:t>/INFOEM/IP/RR/2024</w:t>
      </w:r>
      <w:r w:rsidRPr="00281E73">
        <w:rPr>
          <w:rFonts w:ascii="Palatino Linotype" w:eastAsia="Palatino Linotype" w:hAnsi="Palatino Linotype" w:cs="Palatino Linotype"/>
          <w:szCs w:val="22"/>
        </w:rPr>
        <w:t xml:space="preserve">; por ello, </w:t>
      </w:r>
      <w:r w:rsidR="002763A5" w:rsidRPr="00281E73">
        <w:rPr>
          <w:rFonts w:ascii="Palatino Linotype" w:eastAsia="Palatino Linotype" w:hAnsi="Palatino Linotype" w:cs="Palatino Linotype"/>
          <w:szCs w:val="22"/>
        </w:rPr>
        <w:t xml:space="preserve">es procedente </w:t>
      </w:r>
      <w:r w:rsidRPr="00281E73">
        <w:rPr>
          <w:rFonts w:ascii="Palatino Linotype" w:eastAsia="Palatino Linotype" w:hAnsi="Palatino Linotype" w:cs="Palatino Linotype"/>
          <w:b/>
          <w:szCs w:val="22"/>
        </w:rPr>
        <w:t>ORDENA</w:t>
      </w:r>
      <w:r w:rsidR="00052205" w:rsidRPr="00281E73">
        <w:rPr>
          <w:rFonts w:ascii="Palatino Linotype" w:eastAsia="Palatino Linotype" w:hAnsi="Palatino Linotype" w:cs="Palatino Linotype"/>
          <w:b/>
          <w:szCs w:val="22"/>
        </w:rPr>
        <w:t>R</w:t>
      </w:r>
      <w:r w:rsidRPr="00281E73">
        <w:rPr>
          <w:rFonts w:ascii="Palatino Linotype" w:eastAsia="Palatino Linotype" w:hAnsi="Palatino Linotype" w:cs="Palatino Linotype"/>
          <w:szCs w:val="22"/>
        </w:rPr>
        <w:t xml:space="preserve"> </w:t>
      </w:r>
      <w:r w:rsidR="00F60FFA" w:rsidRPr="00281E73">
        <w:rPr>
          <w:rFonts w:ascii="Palatino Linotype" w:eastAsia="Palatino Linotype" w:hAnsi="Palatino Linotype" w:cs="Palatino Linotype"/>
          <w:szCs w:val="22"/>
        </w:rPr>
        <w:t xml:space="preserve">al </w:t>
      </w:r>
      <w:r w:rsidR="00F60FFA" w:rsidRPr="00281E73">
        <w:rPr>
          <w:rFonts w:ascii="Palatino Linotype" w:eastAsia="Palatino Linotype" w:hAnsi="Palatino Linotype" w:cs="Palatino Linotype"/>
          <w:b/>
          <w:szCs w:val="22"/>
        </w:rPr>
        <w:t>SUJETO OBLIGADO</w:t>
      </w:r>
      <w:r w:rsidR="00F60FFA" w:rsidRPr="00281E73">
        <w:rPr>
          <w:rFonts w:ascii="Palatino Linotype" w:eastAsia="Palatino Linotype" w:hAnsi="Palatino Linotype" w:cs="Palatino Linotype"/>
          <w:szCs w:val="22"/>
        </w:rPr>
        <w:t>, de ser procedente en versión pública, la entrega de lo siguiente:</w:t>
      </w:r>
    </w:p>
    <w:p w:rsidR="00F60FFA" w:rsidRPr="00281E73" w:rsidRDefault="00F60FFA" w:rsidP="00F60FFA">
      <w:pPr>
        <w:pStyle w:val="Prrafodelista"/>
        <w:spacing w:line="360" w:lineRule="auto"/>
        <w:ind w:left="0"/>
        <w:jc w:val="both"/>
        <w:rPr>
          <w:rFonts w:ascii="Palatino Linotype" w:eastAsia="MS Mincho" w:hAnsi="Palatino Linotype" w:cs="Arial"/>
          <w:b/>
          <w:szCs w:val="22"/>
        </w:rPr>
      </w:pPr>
    </w:p>
    <w:p w:rsidR="00F60FFA" w:rsidRPr="00281E73" w:rsidRDefault="00F60FFA" w:rsidP="00F60FFA">
      <w:pPr>
        <w:spacing w:line="360" w:lineRule="auto"/>
        <w:ind w:left="851" w:right="822"/>
        <w:jc w:val="both"/>
        <w:rPr>
          <w:rFonts w:ascii="Palatino Linotype" w:eastAsia="Calibri" w:hAnsi="Palatino Linotype" w:cs="Arial"/>
          <w:b/>
          <w:sz w:val="22"/>
          <w:szCs w:val="22"/>
        </w:rPr>
      </w:pPr>
      <w:r w:rsidRPr="00281E73">
        <w:rPr>
          <w:rFonts w:ascii="Palatino Linotype" w:eastAsia="Calibri" w:hAnsi="Palatino Linotype" w:cs="Arial"/>
          <w:b/>
          <w:sz w:val="22"/>
          <w:szCs w:val="22"/>
        </w:rPr>
        <w:t>A. De la vialidad señalada en la solicitud de información, vigente a la fecha de la solicitud, el soporte documental donde consten:</w:t>
      </w:r>
    </w:p>
    <w:p w:rsidR="00F60FFA" w:rsidRPr="00281E73" w:rsidRDefault="00F60FFA" w:rsidP="00F60FFA">
      <w:pPr>
        <w:tabs>
          <w:tab w:val="left" w:pos="8222"/>
        </w:tabs>
        <w:spacing w:line="360" w:lineRule="auto"/>
        <w:ind w:left="1134" w:right="822"/>
        <w:jc w:val="both"/>
        <w:rPr>
          <w:rFonts w:ascii="Palatino Linotype" w:hAnsi="Palatino Linotype"/>
          <w:b/>
          <w:sz w:val="22"/>
          <w:szCs w:val="22"/>
          <w:lang w:eastAsia="es-MX"/>
        </w:rPr>
      </w:pPr>
      <w:r w:rsidRPr="00281E73">
        <w:rPr>
          <w:rFonts w:ascii="Palatino Linotype" w:hAnsi="Palatino Linotype"/>
          <w:b/>
          <w:sz w:val="22"/>
          <w:szCs w:val="22"/>
          <w:lang w:eastAsia="es-MX"/>
        </w:rPr>
        <w:t xml:space="preserve">1.- Estudios realizados por el Ayuntamiento; </w:t>
      </w:r>
    </w:p>
    <w:p w:rsidR="00F60FFA" w:rsidRPr="00281E73" w:rsidRDefault="00F60FFA" w:rsidP="00F60FFA">
      <w:pPr>
        <w:tabs>
          <w:tab w:val="left" w:pos="8222"/>
        </w:tabs>
        <w:spacing w:line="360" w:lineRule="auto"/>
        <w:ind w:left="1134" w:right="822"/>
        <w:jc w:val="both"/>
        <w:rPr>
          <w:rFonts w:ascii="Palatino Linotype" w:hAnsi="Palatino Linotype"/>
          <w:b/>
          <w:sz w:val="22"/>
          <w:szCs w:val="22"/>
          <w:lang w:eastAsia="es-MX"/>
        </w:rPr>
      </w:pPr>
      <w:r w:rsidRPr="00281E73">
        <w:rPr>
          <w:rFonts w:ascii="Palatino Linotype" w:hAnsi="Palatino Linotype"/>
          <w:b/>
          <w:sz w:val="22"/>
          <w:szCs w:val="22"/>
          <w:lang w:eastAsia="es-MX"/>
        </w:rPr>
        <w:t xml:space="preserve">2. La existencia de demanda o denuncia por la apropiación de la vía pública; </w:t>
      </w:r>
    </w:p>
    <w:p w:rsidR="00F60FFA" w:rsidRPr="00281E73" w:rsidRDefault="00F60FFA" w:rsidP="00F60FFA">
      <w:pPr>
        <w:tabs>
          <w:tab w:val="left" w:pos="8222"/>
        </w:tabs>
        <w:spacing w:line="360" w:lineRule="auto"/>
        <w:ind w:left="1134" w:right="822"/>
        <w:jc w:val="both"/>
        <w:rPr>
          <w:rFonts w:ascii="Palatino Linotype" w:hAnsi="Palatino Linotype"/>
          <w:b/>
          <w:sz w:val="22"/>
          <w:szCs w:val="22"/>
          <w:lang w:eastAsia="es-MX"/>
        </w:rPr>
      </w:pPr>
      <w:r w:rsidRPr="00281E73">
        <w:rPr>
          <w:rFonts w:ascii="Palatino Linotype" w:hAnsi="Palatino Linotype"/>
          <w:b/>
          <w:sz w:val="22"/>
          <w:szCs w:val="22"/>
          <w:lang w:eastAsia="es-MX"/>
        </w:rPr>
        <w:t>3. Planeación urbana para dicha vialidad;</w:t>
      </w:r>
    </w:p>
    <w:p w:rsidR="00F60FFA" w:rsidRPr="00281E73" w:rsidRDefault="00F60FFA" w:rsidP="00F60FFA">
      <w:pPr>
        <w:tabs>
          <w:tab w:val="left" w:pos="8222"/>
        </w:tabs>
        <w:spacing w:line="360" w:lineRule="auto"/>
        <w:ind w:left="1134" w:right="822"/>
        <w:jc w:val="both"/>
        <w:rPr>
          <w:rFonts w:ascii="Palatino Linotype" w:eastAsia="Calibri" w:hAnsi="Palatino Linotype" w:cs="Arial"/>
          <w:b/>
          <w:sz w:val="22"/>
          <w:szCs w:val="22"/>
          <w:lang w:val="es-ES"/>
        </w:rPr>
      </w:pPr>
      <w:r w:rsidRPr="00281E73">
        <w:rPr>
          <w:rFonts w:ascii="Palatino Linotype" w:hAnsi="Palatino Linotype"/>
          <w:b/>
          <w:sz w:val="22"/>
          <w:szCs w:val="22"/>
          <w:lang w:eastAsia="es-MX"/>
        </w:rPr>
        <w:t>4. Atribuciones para salvaguardar las vías públicas en beneficio de la sociedad.</w:t>
      </w:r>
    </w:p>
    <w:p w:rsidR="002D48C5" w:rsidRPr="00281E73" w:rsidRDefault="002D48C5" w:rsidP="002D48C5">
      <w:pPr>
        <w:pStyle w:val="Prrafodelista"/>
        <w:spacing w:line="360" w:lineRule="auto"/>
        <w:ind w:left="0"/>
        <w:jc w:val="both"/>
        <w:rPr>
          <w:rFonts w:ascii="Palatino Linotype" w:hAnsi="Palatino Linotype" w:cs="Palatino Linotype"/>
          <w:szCs w:val="22"/>
        </w:rPr>
      </w:pPr>
    </w:p>
    <w:p w:rsidR="002D48C5" w:rsidRPr="00281E73" w:rsidRDefault="002D48C5" w:rsidP="002D48C5">
      <w:pPr>
        <w:keepNext/>
        <w:keepLines/>
        <w:spacing w:line="256" w:lineRule="auto"/>
        <w:outlineLvl w:val="0"/>
        <w:rPr>
          <w:rFonts w:ascii="Palatino Linotype" w:eastAsiaTheme="majorEastAsia" w:hAnsi="Palatino Linotype" w:cstheme="majorBidi"/>
          <w:b/>
          <w:bCs/>
          <w:sz w:val="22"/>
          <w:szCs w:val="22"/>
          <w:lang w:eastAsia="en-US"/>
        </w:rPr>
      </w:pPr>
      <w:bookmarkStart w:id="12" w:name="_Toc73048206"/>
      <w:bookmarkStart w:id="13" w:name="_Toc50654428"/>
      <w:r w:rsidRPr="00281E73">
        <w:rPr>
          <w:rFonts w:ascii="Palatino Linotype" w:eastAsiaTheme="majorEastAsia" w:hAnsi="Palatino Linotype" w:cstheme="majorBidi"/>
          <w:b/>
          <w:bCs/>
          <w:sz w:val="22"/>
          <w:szCs w:val="22"/>
          <w:lang w:eastAsia="en-US"/>
        </w:rPr>
        <w:t>QUINTO. DE LA VERSIÓN PÚBLICA.</w:t>
      </w:r>
      <w:bookmarkEnd w:id="12"/>
      <w:bookmarkEnd w:id="13"/>
    </w:p>
    <w:p w:rsidR="002D48C5" w:rsidRPr="00281E73" w:rsidRDefault="002D48C5" w:rsidP="002D48C5">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2D48C5" w:rsidRPr="00281E73" w:rsidRDefault="002D48C5" w:rsidP="002D48C5">
      <w:pPr>
        <w:pStyle w:val="Prrafodelista"/>
        <w:rPr>
          <w:rFonts w:ascii="Palatino Linotype" w:hAnsi="Palatino Linotype" w:cs="Arial"/>
          <w:color w:val="000000"/>
          <w:szCs w:val="22"/>
        </w:rPr>
      </w:pPr>
    </w:p>
    <w:p w:rsidR="002D48C5" w:rsidRPr="00281E73" w:rsidRDefault="002D48C5" w:rsidP="002D48C5">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hAnsi="Palatino Linotype" w:cs="Arial"/>
          <w:color w:val="000000"/>
          <w:szCs w:val="22"/>
        </w:rPr>
        <w:lastRenderedPageBreak/>
        <w:t>Debe destacarse que, debido a la naturaleza de la información solicitada</w:t>
      </w:r>
      <w:r w:rsidRPr="00281E73">
        <w:rPr>
          <w:rFonts w:ascii="Palatino Linotype" w:hAnsi="Palatino Linotype" w:cs="Arial"/>
          <w:b/>
          <w:color w:val="000000"/>
          <w:szCs w:val="22"/>
        </w:rPr>
        <w:t xml:space="preserve">, </w:t>
      </w:r>
      <w:r w:rsidRPr="00281E73">
        <w:rPr>
          <w:rFonts w:ascii="Palatino Linotype" w:hAnsi="Palatino Linotype" w:cs="Arial"/>
          <w:color w:val="000000"/>
          <w:szCs w:val="22"/>
        </w:rPr>
        <w:t xml:space="preserve">eventualmente pudiera obrar datos personales susceptibles de protegerse, así como información susceptible de clasificarse como reservada, el </w:t>
      </w:r>
      <w:r w:rsidRPr="00281E73">
        <w:rPr>
          <w:rFonts w:ascii="Palatino Linotype" w:hAnsi="Palatino Linotype" w:cs="Arial"/>
          <w:b/>
          <w:bCs/>
          <w:color w:val="000000"/>
          <w:szCs w:val="22"/>
        </w:rPr>
        <w:t xml:space="preserve">Sujeto Obligado </w:t>
      </w:r>
      <w:r w:rsidRPr="00281E73">
        <w:rPr>
          <w:rFonts w:ascii="Palatino Linotype" w:hAnsi="Palatino Linotype" w:cs="Arial"/>
          <w:color w:val="000000"/>
          <w:szCs w:val="22"/>
        </w:rPr>
        <w:t>deberá de hacer la adecuada versión pública, protegiendo los datos que no son susceptibles de ser proporcionados.</w:t>
      </w:r>
    </w:p>
    <w:p w:rsidR="002D48C5" w:rsidRPr="00281E73" w:rsidRDefault="002D48C5" w:rsidP="002D48C5">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tbl>
      <w:tblPr>
        <w:tblStyle w:val="Tablanormal1"/>
        <w:tblW w:w="0" w:type="auto"/>
        <w:tblLook w:val="04A0" w:firstRow="1" w:lastRow="0" w:firstColumn="1" w:lastColumn="0" w:noHBand="0" w:noVBand="1"/>
      </w:tblPr>
      <w:tblGrid>
        <w:gridCol w:w="1838"/>
        <w:gridCol w:w="6990"/>
      </w:tblGrid>
      <w:tr w:rsidR="002D48C5" w:rsidRPr="00281E73" w:rsidTr="002D48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rPr>
                <w:rFonts w:ascii="Palatino Linotype" w:eastAsiaTheme="minorEastAsia" w:hAnsi="Palatino Linotype" w:cstheme="minorBidi"/>
                <w:b w:val="0"/>
                <w:sz w:val="22"/>
                <w:szCs w:val="22"/>
              </w:rPr>
            </w:pPr>
            <w:r w:rsidRPr="00281E73">
              <w:rPr>
                <w:rFonts w:ascii="Palatino Linotype" w:eastAsiaTheme="minorEastAsia" w:hAnsi="Palatino Linotype" w:cstheme="majorBidi"/>
                <w:b w:val="0"/>
                <w:sz w:val="22"/>
                <w:szCs w:val="22"/>
              </w:rPr>
              <w:t>a) Requisitos previos.</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281E73">
              <w:rPr>
                <w:rFonts w:ascii="Palatino Linotype" w:hAnsi="Palatino Linotype" w:cs="Arial"/>
                <w:b w:val="0"/>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2D48C5" w:rsidRPr="00281E73" w:rsidRDefault="002D48C5" w:rsidP="002D48C5">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281E73">
              <w:rPr>
                <w:rFonts w:ascii="Palatino Linotype" w:hAnsi="Palatino Linotype" w:cs="Arial"/>
                <w:b w:val="0"/>
                <w:color w:val="000000"/>
                <w:sz w:val="22"/>
                <w:szCs w:val="22"/>
              </w:rPr>
              <w:t>Al hacerlo tienen que precisar de qué información se trata, señalando el supuesto de clasificación (confidencialidad o reserva).</w:t>
            </w:r>
          </w:p>
          <w:p w:rsidR="002D48C5" w:rsidRPr="00281E73" w:rsidRDefault="002D48C5" w:rsidP="002D48C5">
            <w:pPr>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color w:val="000000"/>
                <w:sz w:val="22"/>
                <w:szCs w:val="22"/>
              </w:rPr>
            </w:pPr>
            <w:r w:rsidRPr="00281E73">
              <w:rPr>
                <w:rFonts w:ascii="Palatino Linotype" w:hAnsi="Palatino Linotype" w:cs="Arial"/>
                <w:b w:val="0"/>
                <w:color w:val="000000"/>
                <w:sz w:val="22"/>
                <w:szCs w:val="22"/>
              </w:rPr>
              <w:t>Además, se debe señalar el procedimiento, de los tres que establecen los artículos 132 y 106 de la Ley Estatal y General, respectivamente.</w:t>
            </w:r>
          </w:p>
          <w:p w:rsidR="002D48C5" w:rsidRPr="00281E73" w:rsidRDefault="002D48C5" w:rsidP="002D48C5">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heme="minorEastAsia" w:hAnsi="Palatino Linotype" w:cstheme="minorBidi"/>
                <w:b w:val="0"/>
                <w:sz w:val="22"/>
                <w:szCs w:val="22"/>
              </w:rPr>
            </w:pPr>
            <w:r w:rsidRPr="00281E73">
              <w:rPr>
                <w:rFonts w:ascii="Palatino Linotype" w:hAnsi="Palatino Linotype" w:cs="Arial"/>
                <w:b w:val="0"/>
                <w:color w:val="000000"/>
                <w:sz w:val="22"/>
                <w:szCs w:val="22"/>
              </w:rPr>
              <w:t xml:space="preserve">El último de estos requisitos previos consiste en que no se pueden emitir acuerdos de carácter general ni particular, esto es, </w:t>
            </w:r>
            <w:r w:rsidRPr="00281E73">
              <w:rPr>
                <w:rFonts w:ascii="Palatino Linotype" w:hAnsi="Palatino Linotype" w:cs="Arial"/>
                <w:b w:val="0"/>
                <w:color w:val="000000"/>
                <w:sz w:val="22"/>
                <w:szCs w:val="22"/>
                <w:u w:val="single"/>
              </w:rPr>
              <w:t>no se puede hacer un acuerdo para clasificar de manera general todos los documentos de un expediente o área, sin</w:t>
            </w:r>
            <w:r w:rsidRPr="00281E73">
              <w:rPr>
                <w:rFonts w:ascii="Palatino Linotype" w:hAnsi="Palatino Linotype" w:cs="Arial"/>
                <w:b w:val="0"/>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2D48C5" w:rsidRPr="00281E73" w:rsidTr="002D4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rPr>
                <w:rFonts w:ascii="Palatino Linotype" w:eastAsiaTheme="minorEastAsia" w:hAnsi="Palatino Linotype" w:cstheme="minorBidi"/>
                <w:b w:val="0"/>
                <w:sz w:val="22"/>
                <w:szCs w:val="22"/>
              </w:rPr>
            </w:pPr>
            <w:r w:rsidRPr="00281E73">
              <w:rPr>
                <w:rFonts w:ascii="Palatino Linotype" w:eastAsiaTheme="minorEastAsia" w:hAnsi="Palatino Linotype" w:cstheme="majorBidi"/>
                <w:b w:val="0"/>
                <w:sz w:val="22"/>
                <w:szCs w:val="22"/>
              </w:rPr>
              <w:lastRenderedPageBreak/>
              <w:t>b) Supuestos de clasificación.</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Las disposiciones constitucionales y legales en la materia establecen los dos supuestos generales para clasificar la información: por reserva y por confidencialidad.</w:t>
            </w:r>
          </w:p>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2D48C5" w:rsidRPr="00281E73" w:rsidRDefault="002D48C5" w:rsidP="002D48C5">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heme="minorEastAsia" w:hAnsi="Palatino Linotype" w:cstheme="minorBidi"/>
                <w:sz w:val="22"/>
                <w:szCs w:val="22"/>
              </w:rPr>
            </w:pPr>
            <w:r w:rsidRPr="00281E73">
              <w:rPr>
                <w:rFonts w:ascii="Palatino Linotype" w:hAnsi="Palatino Linotype" w:cs="Arial"/>
                <w:color w:val="000000"/>
                <w:sz w:val="22"/>
                <w:szCs w:val="22"/>
              </w:rPr>
              <w:t>El Sujeto Obligado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2D48C5" w:rsidRPr="00281E73" w:rsidTr="002D48C5">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rPr>
                <w:rFonts w:ascii="Palatino Linotype" w:eastAsiaTheme="minorEastAsia" w:hAnsi="Palatino Linotype" w:cstheme="minorBidi"/>
                <w:b w:val="0"/>
                <w:sz w:val="22"/>
                <w:szCs w:val="22"/>
              </w:rPr>
            </w:pPr>
            <w:r w:rsidRPr="00281E73">
              <w:rPr>
                <w:rFonts w:ascii="Palatino Linotype" w:eastAsiaTheme="minorEastAsia" w:hAnsi="Palatino Linotype" w:cstheme="majorBidi"/>
                <w:b w:val="0"/>
                <w:sz w:val="22"/>
                <w:szCs w:val="22"/>
              </w:rPr>
              <w:t>c) Formalidades para emitir el acuerdo de clasificación.</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El Comité de Transparencia, según lo dispuesto en los artículos cuenta con las facultades para aprobar, modificar o revocar la clasificación de la información que haya propuesto. </w:t>
            </w:r>
          </w:p>
          <w:p w:rsidR="002D48C5" w:rsidRPr="00281E73" w:rsidRDefault="002D48C5" w:rsidP="002D48C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Es necesario que </w:t>
            </w:r>
            <w:r w:rsidRPr="00281E73">
              <w:rPr>
                <w:rFonts w:ascii="Palatino Linotype" w:hAnsi="Palatino Linotype" w:cs="Arial"/>
                <w:color w:val="000000"/>
                <w:sz w:val="22"/>
                <w:szCs w:val="22"/>
                <w:u w:val="single"/>
              </w:rPr>
              <w:t>el acto reúna con los requisitos elementales</w:t>
            </w:r>
            <w:r w:rsidRPr="00281E73">
              <w:rPr>
                <w:rFonts w:ascii="Palatino Linotype" w:hAnsi="Palatino Linotype" w:cs="Arial"/>
                <w:color w:val="000000"/>
                <w:sz w:val="22"/>
                <w:szCs w:val="22"/>
              </w:rPr>
              <w:t>, entre ellos, que la autoridad que va a emitir el acto de autoridad sea la legalmente facultada para ello.</w:t>
            </w:r>
          </w:p>
          <w:p w:rsidR="002D48C5" w:rsidRPr="00281E73" w:rsidRDefault="002D48C5" w:rsidP="002D48C5">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2"/>
                <w:szCs w:val="22"/>
              </w:rPr>
            </w:pPr>
            <w:r w:rsidRPr="00281E73">
              <w:rPr>
                <w:rFonts w:ascii="Palatino Linotype" w:hAnsi="Palatino Linotype" w:cs="Arial"/>
                <w:color w:val="000000"/>
                <w:sz w:val="22"/>
                <w:szCs w:val="22"/>
              </w:rPr>
              <w:t xml:space="preserve">La decisión de aprobar, modificar o revocar la clasificación deberá de asentarse en un documento que registre la determinación a la que se </w:t>
            </w:r>
            <w:r w:rsidRPr="00281E73">
              <w:rPr>
                <w:rFonts w:ascii="Palatino Linotype" w:hAnsi="Palatino Linotype" w:cs="Arial"/>
                <w:color w:val="000000"/>
                <w:sz w:val="22"/>
                <w:szCs w:val="22"/>
              </w:rPr>
              <w:lastRenderedPageBreak/>
              <w:t>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2D48C5" w:rsidRPr="00281E73" w:rsidTr="002D48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2D48C5" w:rsidRPr="00281E73" w:rsidRDefault="002D48C5" w:rsidP="002D48C5">
            <w:pPr>
              <w:spacing w:line="360" w:lineRule="auto"/>
              <w:rPr>
                <w:rFonts w:ascii="Palatino Linotype" w:eastAsiaTheme="minorEastAsia" w:hAnsi="Palatino Linotype" w:cstheme="minorBidi"/>
                <w:b w:val="0"/>
                <w:sz w:val="22"/>
                <w:szCs w:val="22"/>
              </w:rPr>
            </w:pPr>
          </w:p>
          <w:p w:rsidR="002D48C5" w:rsidRPr="00281E73" w:rsidRDefault="002D48C5" w:rsidP="002D48C5">
            <w:pPr>
              <w:spacing w:line="360" w:lineRule="auto"/>
              <w:jc w:val="both"/>
              <w:rPr>
                <w:rFonts w:ascii="Palatino Linotype" w:eastAsiaTheme="minorEastAsia" w:hAnsi="Palatino Linotype" w:cstheme="minorBidi"/>
                <w:b w:val="0"/>
                <w:sz w:val="22"/>
                <w:szCs w:val="22"/>
              </w:rPr>
            </w:pPr>
            <w:r w:rsidRPr="00281E73">
              <w:rPr>
                <w:rFonts w:ascii="Palatino Linotype" w:hAnsi="Palatino Linotype" w:cs="Arial"/>
                <w:b w:val="0"/>
                <w:color w:val="000000"/>
                <w:sz w:val="22"/>
                <w:szCs w:val="22"/>
              </w:rPr>
              <w:t xml:space="preserve">d) Requisitos de fondo del acuerdo de clasificación. </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Sujetos Obligados, por lo que deberán fundar y motivar debidamente la clasificación. </w:t>
            </w:r>
          </w:p>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De lo anterior, se desprende que para una correcta clasificación total o parcial,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w:t>
            </w:r>
            <w:r w:rsidRPr="00281E73">
              <w:rPr>
                <w:rFonts w:ascii="Palatino Linotype" w:hAnsi="Palatino Linotype" w:cs="Arial"/>
                <w:color w:val="000000"/>
                <w:sz w:val="22"/>
                <w:szCs w:val="22"/>
              </w:rPr>
              <w:lastRenderedPageBreak/>
              <w:t>fundamentos de derecho. De este modo, la persona que se sienta afectada pueda impugnar la decisión, permitiéndole una real y auténtica defensa.</w:t>
            </w:r>
          </w:p>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En ese mismo sentido, el numeral trigésimo tercero fracción V de los Lineamientos Generales, precisa que para motivar la clasificación se deben acreditar las circunstancias de tiempo, modo y lugar.</w:t>
            </w:r>
          </w:p>
          <w:p w:rsidR="002D48C5" w:rsidRPr="00281E73" w:rsidRDefault="002D48C5" w:rsidP="002D48C5">
            <w:pPr>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Ahora bien, </w:t>
            </w:r>
            <w:r w:rsidRPr="00281E73">
              <w:rPr>
                <w:rFonts w:ascii="Palatino Linotype" w:hAnsi="Palatino Linotype" w:cs="Arial"/>
                <w:color w:val="000000"/>
                <w:sz w:val="22"/>
                <w:szCs w:val="22"/>
                <w:u w:val="single"/>
              </w:rPr>
              <w:t>para cada caso además de fundar y motivar</w:t>
            </w:r>
            <w:r w:rsidRPr="00281E73">
              <w:rPr>
                <w:rFonts w:ascii="Palatino Linotype" w:hAnsi="Palatino Linotype" w:cs="Arial"/>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2D48C5" w:rsidRPr="00281E73" w:rsidTr="002D48C5">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ind w:right="49"/>
              <w:jc w:val="both"/>
              <w:rPr>
                <w:rFonts w:ascii="Palatino Linotype" w:hAnsi="Palatino Linotype" w:cs="Arial"/>
                <w:b w:val="0"/>
                <w:sz w:val="22"/>
                <w:szCs w:val="22"/>
              </w:rPr>
            </w:pPr>
            <w:r w:rsidRPr="00281E73">
              <w:rPr>
                <w:rFonts w:ascii="Palatino Linotype" w:eastAsia="MS Gothic" w:hAnsi="Palatino Linotype"/>
                <w:b w:val="0"/>
                <w:sz w:val="22"/>
                <w:szCs w:val="22"/>
              </w:rPr>
              <w:lastRenderedPageBreak/>
              <w:t xml:space="preserve">e) Condiciones especiales de la clasificación de la información como confidencial. </w:t>
            </w:r>
          </w:p>
        </w:tc>
        <w:tc>
          <w:tcPr>
            <w:tcW w:w="6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2D48C5" w:rsidRPr="00281E73" w:rsidRDefault="002D48C5" w:rsidP="002D48C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Los artículos 148 y 120 de la Ley Estatal y de la Ley General, respectivamente, establecen que aun tratándose de datos personales, se podrán proporcionar, incluso sin solicitar el consentimiento de su titular. </w:t>
            </w:r>
          </w:p>
          <w:p w:rsidR="002D48C5" w:rsidRPr="00281E73" w:rsidRDefault="002D48C5" w:rsidP="002D48C5">
            <w:pPr>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2"/>
                <w:szCs w:val="22"/>
              </w:rPr>
            </w:pPr>
            <w:r w:rsidRPr="00281E73">
              <w:rPr>
                <w:rFonts w:ascii="Palatino Linotype" w:hAnsi="Palatino Linotype" w:cs="Arial"/>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2D48C5" w:rsidRPr="00281E73" w:rsidRDefault="002D48C5" w:rsidP="002D48C5">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heme="minorEastAsia" w:hAnsi="Palatino Linotype" w:cstheme="minorBidi"/>
                <w:sz w:val="22"/>
                <w:szCs w:val="22"/>
              </w:rPr>
            </w:pPr>
            <w:r w:rsidRPr="00281E73">
              <w:rPr>
                <w:rFonts w:ascii="Palatino Linotype" w:hAnsi="Palatino Linotype" w:cs="Arial"/>
                <w:color w:val="000000"/>
                <w:sz w:val="22"/>
                <w:szCs w:val="22"/>
              </w:rPr>
              <w:t xml:space="preserve">Pero si la información que se pretende clasificar como confidencial no se encuentra en los supuestos de los artículos señalados y es posible, </w:t>
            </w:r>
            <w:r w:rsidRPr="00281E73">
              <w:rPr>
                <w:rFonts w:ascii="Palatino Linotype" w:hAnsi="Palatino Linotype" w:cs="Arial"/>
                <w:color w:val="000000"/>
                <w:sz w:val="22"/>
                <w:szCs w:val="22"/>
              </w:rPr>
              <w:lastRenderedPageBreak/>
              <w:t>se deberá consultar al titular de los datos si permite o no el acceso. De no ser posible, la realización de la consulta, procede, fundando y motivando, la clasificación.</w:t>
            </w:r>
          </w:p>
        </w:tc>
      </w:tr>
    </w:tbl>
    <w:p w:rsidR="002D48C5" w:rsidRPr="00281E73" w:rsidRDefault="002D48C5" w:rsidP="002D48C5">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B05FF" w:rsidRPr="00281E73" w:rsidRDefault="004B05FF" w:rsidP="004B05FF">
      <w:pPr>
        <w:pStyle w:val="Prrafodelista"/>
        <w:tabs>
          <w:tab w:val="left" w:pos="426"/>
          <w:tab w:val="left" w:pos="567"/>
        </w:tabs>
        <w:spacing w:line="360" w:lineRule="auto"/>
        <w:ind w:left="0"/>
        <w:jc w:val="both"/>
        <w:rPr>
          <w:rFonts w:ascii="Palatino Linotype" w:eastAsia="Calibri" w:hAnsi="Palatino Linotype" w:cs="Arial"/>
          <w:b/>
          <w:color w:val="000000" w:themeColor="text1"/>
          <w:szCs w:val="22"/>
          <w:lang w:val="es-ES"/>
        </w:rPr>
      </w:pPr>
      <w:r w:rsidRPr="00281E73">
        <w:rPr>
          <w:rFonts w:ascii="Palatino Linotype" w:eastAsia="Calibri" w:hAnsi="Palatino Linotype" w:cs="Arial"/>
          <w:b/>
          <w:color w:val="000000" w:themeColor="text1"/>
          <w:szCs w:val="22"/>
          <w:lang w:val="es-ES"/>
        </w:rPr>
        <w:t xml:space="preserve">SEXTO. </w:t>
      </w:r>
      <w:r w:rsidRPr="00281E73">
        <w:rPr>
          <w:rFonts w:ascii="Palatino Linotype" w:eastAsia="MS Gothic" w:hAnsi="Palatino Linotype" w:cstheme="majorBidi"/>
          <w:b/>
          <w:szCs w:val="22"/>
        </w:rPr>
        <w:t>Vista al Órgano Interno de Control competente.</w:t>
      </w:r>
    </w:p>
    <w:p w:rsidR="004B05FF" w:rsidRPr="00281E73" w:rsidRDefault="004B05FF" w:rsidP="004B05FF">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B05FF" w:rsidRPr="00281E73" w:rsidRDefault="004B05FF" w:rsidP="004B05FF">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hAnsi="Palatino Linotype"/>
          <w:szCs w:val="22"/>
        </w:rPr>
        <w:t xml:space="preserve">La </w:t>
      </w:r>
      <w:r w:rsidRPr="00281E73">
        <w:rPr>
          <w:rFonts w:ascii="Palatino Linotype" w:hAnsi="Palatino Linotype" w:cs="Arial"/>
          <w:szCs w:val="22"/>
        </w:rPr>
        <w:t>Ley de Transparencia y Acceso a la Información Pública del Estado de México y Municipios en los artículos 222, fracciones I y II, 162 y 59, fracciones I y II, establecen los siguiente:</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i/>
          <w:sz w:val="22"/>
          <w:szCs w:val="22"/>
          <w:lang w:val="es-ES_tradnl"/>
        </w:rPr>
        <w:t>“</w:t>
      </w:r>
      <w:r w:rsidRPr="00281E73">
        <w:rPr>
          <w:rFonts w:ascii="Palatino Linotype" w:eastAsiaTheme="minorEastAsia" w:hAnsi="Palatino Linotype" w:cs="Arial"/>
          <w:b/>
          <w:i/>
          <w:iCs/>
          <w:sz w:val="22"/>
          <w:szCs w:val="22"/>
        </w:rPr>
        <w:t>Artículo 222.</w:t>
      </w:r>
      <w:r w:rsidRPr="00281E73">
        <w:rPr>
          <w:rFonts w:ascii="Palatino Linotype" w:eastAsiaTheme="minorEastAsia" w:hAnsi="Palatino Linotype" w:cs="Arial"/>
          <w:i/>
          <w:iCs/>
          <w:sz w:val="22"/>
          <w:szCs w:val="22"/>
        </w:rPr>
        <w:t xml:space="preserve"> Son causas de responsabilidad administrativa de los servidores públicos de los sujetos obligados, por incumplimiento de las obligaciones establecidas en la materia de la presente Ley, las siguientes:</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b/>
          <w:i/>
          <w:iCs/>
          <w:sz w:val="22"/>
          <w:szCs w:val="22"/>
        </w:rPr>
        <w:t>I.</w:t>
      </w:r>
      <w:r w:rsidRPr="00281E73">
        <w:rPr>
          <w:rFonts w:ascii="Palatino Linotype" w:eastAsiaTheme="minorEastAsia" w:hAnsi="Palatino Linotype" w:cs="Arial"/>
          <w:i/>
          <w:iCs/>
          <w:sz w:val="22"/>
          <w:szCs w:val="22"/>
        </w:rPr>
        <w:t xml:space="preserve"> Cualquier acto u omisión que provoque la suspensión o deficiencia en la atención de las solicitudes de información; </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b/>
          <w:i/>
          <w:iCs/>
          <w:sz w:val="22"/>
          <w:szCs w:val="22"/>
        </w:rPr>
        <w:t>II.</w:t>
      </w:r>
      <w:r w:rsidRPr="00281E73">
        <w:rPr>
          <w:rFonts w:ascii="Palatino Linotype" w:eastAsiaTheme="minorEastAsia" w:hAnsi="Palatino Linotype" w:cs="Arial"/>
          <w:i/>
          <w:iCs/>
          <w:sz w:val="22"/>
          <w:szCs w:val="22"/>
        </w:rPr>
        <w:t xml:space="preserve"> La falta de respuesta a las solicitudes de información en los plazos señalados en la normatividad aplicable;</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i/>
          <w:iCs/>
          <w:sz w:val="22"/>
          <w:szCs w:val="22"/>
        </w:rPr>
        <w:t>(…)</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lang w:val="es-ES_tradnl"/>
        </w:rPr>
      </w:pP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b/>
          <w:i/>
          <w:iCs/>
          <w:sz w:val="22"/>
          <w:szCs w:val="22"/>
        </w:rPr>
        <w:t>Artículo 162.</w:t>
      </w:r>
      <w:r w:rsidRPr="00281E73">
        <w:rPr>
          <w:rFonts w:ascii="Palatino Linotype" w:eastAsiaTheme="minorEastAsia" w:hAnsi="Palatino Linotype" w:cs="Arial"/>
          <w:i/>
          <w:iCs/>
          <w:sz w:val="22"/>
          <w:szCs w:val="22"/>
        </w:rPr>
        <w:t xml:space="preserve">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b/>
          <w:i/>
          <w:iCs/>
          <w:sz w:val="22"/>
          <w:szCs w:val="22"/>
        </w:rPr>
        <w:t>Artículo 59.</w:t>
      </w:r>
      <w:r w:rsidRPr="00281E73">
        <w:rPr>
          <w:rFonts w:ascii="Palatino Linotype" w:eastAsiaTheme="minorEastAsia" w:hAnsi="Palatino Linotype" w:cs="Arial"/>
          <w:i/>
          <w:iCs/>
          <w:sz w:val="22"/>
          <w:szCs w:val="22"/>
        </w:rPr>
        <w:t xml:space="preserve"> Los servidores públicos habilitados tendrán las funciones siguientes:</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b/>
          <w:i/>
          <w:iCs/>
          <w:sz w:val="22"/>
          <w:szCs w:val="22"/>
        </w:rPr>
        <w:t>I.</w:t>
      </w:r>
      <w:r w:rsidRPr="00281E73">
        <w:rPr>
          <w:rFonts w:ascii="Palatino Linotype" w:eastAsiaTheme="minorEastAsia" w:hAnsi="Palatino Linotype" w:cs="Arial"/>
          <w:i/>
          <w:iCs/>
          <w:sz w:val="22"/>
          <w:szCs w:val="22"/>
        </w:rPr>
        <w:t xml:space="preserve"> Localizar la información que le solicite la Unidad de Transparencia; </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b/>
          <w:i/>
          <w:iCs/>
          <w:sz w:val="22"/>
          <w:szCs w:val="22"/>
        </w:rPr>
        <w:t>II.</w:t>
      </w:r>
      <w:r w:rsidRPr="00281E73">
        <w:rPr>
          <w:rFonts w:ascii="Palatino Linotype" w:eastAsiaTheme="minorEastAsia" w:hAnsi="Palatino Linotype" w:cs="Arial"/>
          <w:i/>
          <w:iCs/>
          <w:sz w:val="22"/>
          <w:szCs w:val="22"/>
        </w:rPr>
        <w:t xml:space="preserve"> Proporcionar la información que obre en los archivos y que le sea solicitada por la Unidad de Transparencia;</w:t>
      </w:r>
    </w:p>
    <w:p w:rsidR="004B05FF" w:rsidRPr="00281E73" w:rsidRDefault="004B05FF" w:rsidP="004B05FF">
      <w:pPr>
        <w:spacing w:before="240" w:after="240" w:line="276" w:lineRule="auto"/>
        <w:ind w:left="567" w:right="567"/>
        <w:contextualSpacing/>
        <w:jc w:val="both"/>
        <w:rPr>
          <w:rFonts w:ascii="Palatino Linotype" w:eastAsiaTheme="minorEastAsia" w:hAnsi="Palatino Linotype" w:cs="Arial"/>
          <w:i/>
          <w:iCs/>
          <w:sz w:val="22"/>
          <w:szCs w:val="22"/>
        </w:rPr>
      </w:pPr>
      <w:r w:rsidRPr="00281E73">
        <w:rPr>
          <w:rFonts w:ascii="Palatino Linotype" w:eastAsiaTheme="minorEastAsia" w:hAnsi="Palatino Linotype" w:cs="Arial"/>
          <w:i/>
          <w:iCs/>
          <w:sz w:val="22"/>
          <w:szCs w:val="22"/>
        </w:rPr>
        <w:lastRenderedPageBreak/>
        <w:t>(…)”</w:t>
      </w:r>
    </w:p>
    <w:p w:rsidR="004B05FF" w:rsidRPr="00281E73" w:rsidRDefault="004B05FF" w:rsidP="004B05FF">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hAnsi="Palatino Linotype"/>
          <w:szCs w:val="22"/>
        </w:rPr>
        <w:t xml:space="preserve">Las </w:t>
      </w:r>
      <w:r w:rsidRPr="00281E73">
        <w:rPr>
          <w:rFonts w:ascii="Palatino Linotype" w:hAnsi="Palatino Linotype" w:cs="Arial"/>
          <w:szCs w:val="22"/>
        </w:rPr>
        <w:t xml:space="preserve">Unidades de Transparencia, cuando reciben solicitudes, deben identificar la información solicitada, a efecto de realizar el turno a las áreas que, de acuerdo a sus atribuciones, facultades y competencias, deban generar, administrar y/o poseer lo requerido; para que, a su vez, realicen la búsqueda exhaustiva y razonable y entreguen los documentos necesarios para generar la respuesta y proporcionarla al </w:t>
      </w:r>
      <w:r w:rsidRPr="00281E73">
        <w:rPr>
          <w:rFonts w:ascii="Palatino Linotype" w:hAnsi="Palatino Linotype" w:cs="Arial"/>
          <w:b/>
          <w:szCs w:val="22"/>
        </w:rPr>
        <w:t>RECURRENTE</w:t>
      </w:r>
      <w:r w:rsidRPr="00281E73">
        <w:rPr>
          <w:rFonts w:ascii="Palatino Linotype" w:hAnsi="Palatino Linotype" w:cs="Arial"/>
          <w:szCs w:val="22"/>
        </w:rPr>
        <w:t>.</w:t>
      </w:r>
    </w:p>
    <w:p w:rsidR="004B05FF" w:rsidRPr="00281E73" w:rsidRDefault="004B05FF" w:rsidP="004B05FF">
      <w:pPr>
        <w:pStyle w:val="Prrafodelista"/>
        <w:tabs>
          <w:tab w:val="left" w:pos="426"/>
          <w:tab w:val="left" w:pos="567"/>
        </w:tabs>
        <w:spacing w:line="360" w:lineRule="auto"/>
        <w:ind w:left="0"/>
        <w:jc w:val="both"/>
        <w:rPr>
          <w:rFonts w:ascii="Palatino Linotype" w:eastAsia="Calibri" w:hAnsi="Palatino Linotype" w:cs="Arial"/>
          <w:color w:val="000000" w:themeColor="text1"/>
          <w:szCs w:val="22"/>
          <w:lang w:val="es-ES"/>
        </w:rPr>
      </w:pPr>
    </w:p>
    <w:p w:rsidR="004B05FF" w:rsidRPr="00281E73" w:rsidRDefault="004B05FF" w:rsidP="004B05FF">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hAnsi="Palatino Linotype"/>
          <w:szCs w:val="22"/>
        </w:rPr>
        <w:t xml:space="preserve">La </w:t>
      </w:r>
      <w:r w:rsidRPr="00281E73">
        <w:rPr>
          <w:rFonts w:ascii="Palatino Linotype" w:hAnsi="Palatino Linotype" w:cs="Arial"/>
          <w:szCs w:val="22"/>
        </w:rPr>
        <w:t>omisión a las obligaciones, tanto del Titular de la Unidad de Transparencia como de los servidores públicos habilitados, puede causar la suspensión, deficiencia o la falta de respuesta a las solicitudes de acceso a la información que formulen los particulares, siendo esto una causa de responsabilidad.</w:t>
      </w:r>
    </w:p>
    <w:p w:rsidR="004B05FF" w:rsidRPr="00281E73" w:rsidRDefault="004B05FF" w:rsidP="004B05FF">
      <w:pPr>
        <w:pStyle w:val="Prrafodelista"/>
        <w:rPr>
          <w:rFonts w:ascii="Palatino Linotype" w:hAnsi="Palatino Linotype"/>
          <w:szCs w:val="22"/>
        </w:rPr>
      </w:pPr>
    </w:p>
    <w:p w:rsidR="004B05FF" w:rsidRPr="00281E73" w:rsidRDefault="004B05FF" w:rsidP="004B05FF">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hAnsi="Palatino Linotype"/>
          <w:szCs w:val="22"/>
        </w:rPr>
        <w:t xml:space="preserve">Así las cosas, se </w:t>
      </w:r>
      <w:r w:rsidRPr="00281E73">
        <w:rPr>
          <w:rFonts w:ascii="Palatino Linotype" w:hAnsi="Palatino Linotype" w:cs="Arial"/>
          <w:szCs w:val="22"/>
        </w:rPr>
        <w:t xml:space="preserve">tiene que el Titular de la Unidad de Transparencia, así como la Servidora Pública Habilitada, incumplieron con sus funciones, atribuciones y competencias, al no dar trámite a la solicitud de información </w:t>
      </w:r>
      <w:r w:rsidRPr="00281E73">
        <w:rPr>
          <w:rFonts w:ascii="Palatino Linotype" w:hAnsi="Palatino Linotype" w:cs="Arial"/>
          <w:b/>
          <w:bCs/>
          <w:szCs w:val="22"/>
        </w:rPr>
        <w:t>00103/VIALLEN/IP/2023</w:t>
      </w:r>
      <w:r w:rsidRPr="00281E73">
        <w:rPr>
          <w:rFonts w:ascii="Palatino Linotype" w:hAnsi="Palatino Linotype" w:cs="Arial"/>
          <w:szCs w:val="22"/>
        </w:rPr>
        <w:t>, lo cual tuvo como consecuencia la falta de respuesta.</w:t>
      </w:r>
    </w:p>
    <w:p w:rsidR="004B05FF" w:rsidRPr="00281E73" w:rsidRDefault="004B05FF" w:rsidP="004B05FF">
      <w:pPr>
        <w:pStyle w:val="Prrafodelista"/>
        <w:rPr>
          <w:rFonts w:ascii="Palatino Linotype" w:hAnsi="Palatino Linotype"/>
          <w:szCs w:val="22"/>
        </w:rPr>
      </w:pPr>
    </w:p>
    <w:p w:rsidR="004B05FF" w:rsidRPr="00281E73" w:rsidRDefault="004B05FF" w:rsidP="004B05FF">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hAnsi="Palatino Linotype"/>
          <w:szCs w:val="22"/>
        </w:rPr>
        <w:t xml:space="preserve">Por lo tanto, la falta de respuesta a la solicitud de acceso a la información pública por parte del </w:t>
      </w:r>
      <w:r w:rsidRPr="00281E73">
        <w:rPr>
          <w:rFonts w:ascii="Palatino Linotype" w:hAnsi="Palatino Linotype"/>
          <w:b/>
          <w:szCs w:val="22"/>
        </w:rPr>
        <w:t>SUJETO OBLIGADO</w:t>
      </w:r>
      <w:r w:rsidRPr="00281E73">
        <w:rPr>
          <w:rFonts w:ascii="Palatino Linotype" w:hAnsi="Palatino Linotype"/>
          <w:szCs w:val="22"/>
        </w:rPr>
        <w:t xml:space="preserve"> actualiza una causa de responsabilidad, por lo que, de acuerdo con los artículos 190 y 36, fracción X, de la Ley de Trasparencia y Acceso a la Información Pública del Estado de México y Municipios, la Secretaría Técnica del Pleno hará del conocimiento del Órgano de Control Competente, para que inicie, en su caso, el procedimiento de responsabilidad respectivo.</w:t>
      </w:r>
    </w:p>
    <w:p w:rsidR="002D48C5" w:rsidRPr="00281E73" w:rsidRDefault="002D48C5" w:rsidP="002D48C5">
      <w:pPr>
        <w:pStyle w:val="Prrafodelista"/>
        <w:numPr>
          <w:ilvl w:val="0"/>
          <w:numId w:val="2"/>
        </w:numPr>
        <w:tabs>
          <w:tab w:val="left" w:pos="426"/>
          <w:tab w:val="left" w:pos="567"/>
        </w:tabs>
        <w:spacing w:line="360" w:lineRule="auto"/>
        <w:ind w:left="0" w:firstLine="0"/>
        <w:jc w:val="both"/>
        <w:rPr>
          <w:rFonts w:ascii="Palatino Linotype" w:eastAsia="Calibri" w:hAnsi="Palatino Linotype" w:cs="Arial"/>
          <w:color w:val="000000" w:themeColor="text1"/>
          <w:szCs w:val="22"/>
          <w:lang w:val="es-ES"/>
        </w:rPr>
      </w:pPr>
      <w:r w:rsidRPr="00281E73">
        <w:rPr>
          <w:rFonts w:ascii="Palatino Linotype" w:eastAsia="MS Mincho" w:hAnsi="Palatino Linotype"/>
          <w:color w:val="000000"/>
          <w:szCs w:val="22"/>
        </w:rPr>
        <w:lastRenderedPageBreak/>
        <w:t xml:space="preserve">Por lo anteriormente expuesto y fundado, este </w:t>
      </w:r>
      <w:r w:rsidRPr="00281E73">
        <w:rPr>
          <w:rFonts w:ascii="Palatino Linotype" w:eastAsia="MS Mincho" w:hAnsi="Palatino Linotype"/>
          <w:b/>
          <w:bCs/>
          <w:color w:val="000000"/>
          <w:szCs w:val="22"/>
        </w:rPr>
        <w:t>ÓRGANO GARANTE</w:t>
      </w:r>
      <w:r w:rsidRPr="00281E73">
        <w:rPr>
          <w:rFonts w:ascii="Palatino Linotype" w:eastAsia="MS Mincho" w:hAnsi="Palatino Linotype"/>
          <w:color w:val="000000"/>
          <w:szCs w:val="22"/>
        </w:rPr>
        <w:t xml:space="preserve"> emite los siguientes:</w:t>
      </w:r>
      <w:bookmarkStart w:id="14" w:name="_Toc497905366"/>
      <w:bookmarkStart w:id="15" w:name="_Toc495427547"/>
    </w:p>
    <w:p w:rsidR="002D48C5" w:rsidRPr="00281E73" w:rsidRDefault="002D48C5" w:rsidP="002D48C5">
      <w:pPr>
        <w:shd w:val="clear" w:color="auto" w:fill="FFFFFF"/>
        <w:tabs>
          <w:tab w:val="left" w:pos="0"/>
        </w:tabs>
        <w:spacing w:line="360" w:lineRule="auto"/>
        <w:ind w:right="49"/>
        <w:jc w:val="both"/>
        <w:rPr>
          <w:rFonts w:ascii="Palatino Linotype" w:eastAsia="MS Mincho" w:hAnsi="Palatino Linotype"/>
          <w:i/>
          <w:iCs/>
          <w:color w:val="000000"/>
          <w:sz w:val="22"/>
          <w:szCs w:val="22"/>
          <w:lang w:val="es-ES_tradnl"/>
        </w:rPr>
      </w:pPr>
    </w:p>
    <w:p w:rsidR="002D48C5" w:rsidRPr="00281E73" w:rsidRDefault="002D48C5" w:rsidP="002D48C5">
      <w:pPr>
        <w:pStyle w:val="Ttulo1"/>
        <w:spacing w:before="0" w:line="360" w:lineRule="auto"/>
        <w:jc w:val="center"/>
        <w:rPr>
          <w:rFonts w:ascii="Palatino Linotype" w:hAnsi="Palatino Linotype"/>
          <w:b/>
          <w:color w:val="000000" w:themeColor="text1"/>
          <w:sz w:val="22"/>
          <w:szCs w:val="22"/>
          <w:lang w:val="es-ES_tradnl"/>
        </w:rPr>
      </w:pPr>
      <w:bookmarkStart w:id="16" w:name="_Toc108698556"/>
      <w:r w:rsidRPr="00281E73">
        <w:rPr>
          <w:rFonts w:ascii="Palatino Linotype" w:hAnsi="Palatino Linotype"/>
          <w:b/>
          <w:color w:val="000000" w:themeColor="text1"/>
          <w:sz w:val="22"/>
          <w:szCs w:val="22"/>
          <w:lang w:val="es-ES_tradnl"/>
        </w:rPr>
        <w:t>R E S O L U T I V O S</w:t>
      </w:r>
      <w:bookmarkEnd w:id="14"/>
      <w:bookmarkEnd w:id="15"/>
      <w:bookmarkEnd w:id="16"/>
    </w:p>
    <w:p w:rsidR="002D48C5" w:rsidRPr="00281E73" w:rsidRDefault="002D48C5" w:rsidP="002D48C5">
      <w:pPr>
        <w:rPr>
          <w:rFonts w:ascii="Palatino Linotype" w:hAnsi="Palatino Linotype"/>
          <w:sz w:val="22"/>
          <w:szCs w:val="22"/>
          <w:lang w:val="es-ES_tradnl"/>
        </w:rPr>
      </w:pPr>
    </w:p>
    <w:p w:rsidR="002D48C5" w:rsidRPr="00281E73" w:rsidRDefault="002D48C5" w:rsidP="002D48C5">
      <w:pPr>
        <w:spacing w:line="360" w:lineRule="auto"/>
        <w:jc w:val="both"/>
        <w:rPr>
          <w:rFonts w:ascii="Palatino Linotype" w:hAnsi="Palatino Linotype" w:cs="Arial"/>
          <w:bCs/>
          <w:sz w:val="22"/>
          <w:szCs w:val="22"/>
          <w:lang w:val="es-ES_tradnl"/>
        </w:rPr>
      </w:pPr>
      <w:r w:rsidRPr="00281E73">
        <w:rPr>
          <w:rFonts w:ascii="Palatino Linotype" w:hAnsi="Palatino Linotype" w:cs="Arial"/>
          <w:b/>
          <w:sz w:val="22"/>
          <w:szCs w:val="22"/>
          <w:lang w:val="es-ES_tradnl"/>
        </w:rPr>
        <w:t xml:space="preserve">PRIMERO. </w:t>
      </w:r>
      <w:r w:rsidRPr="00281E73">
        <w:rPr>
          <w:rFonts w:ascii="Palatino Linotype" w:hAnsi="Palatino Linotype" w:cs="Arial"/>
          <w:sz w:val="22"/>
          <w:szCs w:val="22"/>
          <w:lang w:val="es-ES_tradnl"/>
        </w:rPr>
        <w:t>Resultan fundadas las</w:t>
      </w:r>
      <w:r w:rsidRPr="00281E73">
        <w:rPr>
          <w:rFonts w:ascii="Palatino Linotype" w:hAnsi="Palatino Linotype" w:cs="Arial"/>
          <w:b/>
          <w:sz w:val="22"/>
          <w:szCs w:val="22"/>
          <w:lang w:val="es-ES_tradnl"/>
        </w:rPr>
        <w:t xml:space="preserve"> </w:t>
      </w:r>
      <w:r w:rsidRPr="00281E73">
        <w:rPr>
          <w:rFonts w:ascii="Palatino Linotype" w:hAnsi="Palatino Linotype" w:cs="Arial"/>
          <w:sz w:val="22"/>
          <w:szCs w:val="22"/>
        </w:rPr>
        <w:t>razones o motivos de inconformidad hechos valer en el recurso de revisión</w:t>
      </w:r>
      <w:r w:rsidR="002763A5" w:rsidRPr="00281E73">
        <w:rPr>
          <w:rFonts w:ascii="Palatino Linotype" w:hAnsi="Palatino Linotype" w:cs="Arial"/>
          <w:b/>
          <w:bCs/>
          <w:sz w:val="22"/>
          <w:szCs w:val="22"/>
        </w:rPr>
        <w:t> 01628</w:t>
      </w:r>
      <w:r w:rsidRPr="00281E73">
        <w:rPr>
          <w:rFonts w:ascii="Palatino Linotype" w:hAnsi="Palatino Linotype" w:cs="Arial"/>
          <w:b/>
          <w:bCs/>
          <w:sz w:val="22"/>
          <w:szCs w:val="22"/>
        </w:rPr>
        <w:t xml:space="preserve">/INFOEM/IP/RR/2024 </w:t>
      </w:r>
      <w:r w:rsidRPr="00281E73">
        <w:rPr>
          <w:rFonts w:ascii="Palatino Linotype" w:hAnsi="Palatino Linotype" w:cs="Arial"/>
          <w:bCs/>
          <w:sz w:val="22"/>
          <w:szCs w:val="22"/>
          <w:lang w:val="es-ES_tradnl"/>
        </w:rPr>
        <w:t xml:space="preserve">en términos del </w:t>
      </w:r>
      <w:r w:rsidRPr="00281E73">
        <w:rPr>
          <w:rFonts w:ascii="Palatino Linotype" w:hAnsi="Palatino Linotype" w:cs="Arial"/>
          <w:b/>
          <w:bCs/>
          <w:sz w:val="22"/>
          <w:szCs w:val="22"/>
          <w:lang w:val="es-ES_tradnl"/>
        </w:rPr>
        <w:t xml:space="preserve">Considerando CUARTO y QUINTO </w:t>
      </w:r>
      <w:r w:rsidRPr="00281E73">
        <w:rPr>
          <w:rFonts w:ascii="Palatino Linotype" w:hAnsi="Palatino Linotype" w:cs="Arial"/>
          <w:bCs/>
          <w:sz w:val="22"/>
          <w:szCs w:val="22"/>
          <w:lang w:val="es-ES_tradnl"/>
        </w:rPr>
        <w:t>de la presente resolución.</w:t>
      </w:r>
    </w:p>
    <w:p w:rsidR="002D48C5" w:rsidRPr="00281E73" w:rsidRDefault="002D48C5" w:rsidP="002D48C5">
      <w:pPr>
        <w:spacing w:line="360" w:lineRule="auto"/>
        <w:jc w:val="both"/>
        <w:rPr>
          <w:rFonts w:ascii="Palatino Linotype" w:hAnsi="Palatino Linotype" w:cs="Arial"/>
          <w:b/>
          <w:bCs/>
          <w:sz w:val="22"/>
          <w:szCs w:val="22"/>
        </w:rPr>
      </w:pPr>
    </w:p>
    <w:p w:rsidR="002763A5" w:rsidRPr="00281E73" w:rsidRDefault="002D48C5" w:rsidP="002763A5">
      <w:pPr>
        <w:spacing w:line="360" w:lineRule="auto"/>
        <w:ind w:right="48"/>
        <w:jc w:val="both"/>
        <w:rPr>
          <w:rFonts w:ascii="Palatino Linotype" w:eastAsia="Calibri" w:hAnsi="Palatino Linotype" w:cs="Arial"/>
          <w:sz w:val="22"/>
          <w:szCs w:val="22"/>
        </w:rPr>
      </w:pPr>
      <w:bookmarkStart w:id="17" w:name="_Toc454301155"/>
      <w:bookmarkStart w:id="18" w:name="_Toc453696502"/>
      <w:bookmarkStart w:id="19" w:name="_Toc462653937"/>
      <w:bookmarkStart w:id="20" w:name="_Toc492590391"/>
      <w:bookmarkStart w:id="21" w:name="_Toc481576259"/>
      <w:bookmarkStart w:id="22" w:name="_Toc477891858"/>
      <w:bookmarkStart w:id="23" w:name="_Toc477891768"/>
      <w:r w:rsidRPr="00281E73">
        <w:rPr>
          <w:rFonts w:ascii="Palatino Linotype" w:hAnsi="Palatino Linotype"/>
          <w:b/>
          <w:sz w:val="22"/>
          <w:szCs w:val="22"/>
        </w:rPr>
        <w:t>SEGUNDO.</w:t>
      </w:r>
      <w:r w:rsidRPr="00281E73">
        <w:rPr>
          <w:rFonts w:ascii="Palatino Linotype" w:eastAsia="等线 Light" w:hAnsi="Palatino Linotype"/>
          <w:color w:val="2F5496"/>
          <w:sz w:val="22"/>
          <w:szCs w:val="22"/>
        </w:rPr>
        <w:t xml:space="preserve"> </w:t>
      </w:r>
      <w:bookmarkEnd w:id="17"/>
      <w:bookmarkEnd w:id="18"/>
      <w:bookmarkEnd w:id="19"/>
      <w:bookmarkEnd w:id="20"/>
      <w:bookmarkEnd w:id="21"/>
      <w:bookmarkEnd w:id="22"/>
      <w:bookmarkEnd w:id="23"/>
      <w:r w:rsidRPr="00281E73">
        <w:rPr>
          <w:rFonts w:ascii="Palatino Linotype" w:eastAsia="Calibri" w:hAnsi="Palatino Linotype" w:cs="Arial"/>
          <w:sz w:val="22"/>
          <w:szCs w:val="22"/>
        </w:rPr>
        <w:t>Se</w:t>
      </w:r>
      <w:r w:rsidRPr="00281E73">
        <w:rPr>
          <w:rFonts w:ascii="Palatino Linotype" w:eastAsia="Calibri" w:hAnsi="Palatino Linotype" w:cs="Arial"/>
          <w:b/>
          <w:sz w:val="22"/>
          <w:szCs w:val="22"/>
        </w:rPr>
        <w:t xml:space="preserve"> ORDENA </w:t>
      </w:r>
      <w:r w:rsidRPr="00281E73">
        <w:rPr>
          <w:rFonts w:ascii="Palatino Linotype" w:eastAsia="Calibri" w:hAnsi="Palatino Linotype" w:cs="Arial"/>
          <w:sz w:val="22"/>
          <w:szCs w:val="22"/>
        </w:rPr>
        <w:t xml:space="preserve">al </w:t>
      </w:r>
      <w:r w:rsidR="002763A5" w:rsidRPr="00281E73">
        <w:rPr>
          <w:rFonts w:ascii="Palatino Linotype" w:eastAsia="Calibri" w:hAnsi="Palatino Linotype" w:cs="Arial"/>
          <w:b/>
          <w:bCs/>
          <w:sz w:val="22"/>
          <w:szCs w:val="22"/>
        </w:rPr>
        <w:t>Ayuntamiento de Teotihuacán</w:t>
      </w:r>
      <w:r w:rsidRPr="00281E73">
        <w:rPr>
          <w:rFonts w:ascii="Palatino Linotype" w:eastAsia="Calibri" w:hAnsi="Palatino Linotype" w:cs="Arial"/>
          <w:b/>
          <w:sz w:val="22"/>
          <w:szCs w:val="22"/>
        </w:rPr>
        <w:t xml:space="preserve"> </w:t>
      </w:r>
      <w:r w:rsidRPr="00281E73">
        <w:rPr>
          <w:rFonts w:ascii="Palatino Linotype" w:eastAsia="Calibri" w:hAnsi="Palatino Linotype" w:cs="Arial"/>
          <w:sz w:val="22"/>
          <w:szCs w:val="22"/>
        </w:rPr>
        <w:t xml:space="preserve">dar atención a la solicitud de información </w:t>
      </w:r>
      <w:hyperlink r:id="rId10" w:history="1">
        <w:r w:rsidR="002763A5" w:rsidRPr="00281E73">
          <w:rPr>
            <w:rStyle w:val="Hipervnculo"/>
            <w:rFonts w:ascii="Palatino Linotype" w:eastAsia="Calibri" w:hAnsi="Palatino Linotype" w:cs="Arial"/>
            <w:b/>
            <w:bCs/>
            <w:color w:val="auto"/>
            <w:sz w:val="22"/>
            <w:szCs w:val="22"/>
            <w:u w:val="none"/>
          </w:rPr>
          <w:t>00020/TEOTIHUA/IP/2024</w:t>
        </w:r>
      </w:hyperlink>
      <w:r w:rsidRPr="00281E73">
        <w:rPr>
          <w:rFonts w:ascii="Palatino Linotype" w:eastAsia="Calibri" w:hAnsi="Palatino Linotype" w:cs="Arial"/>
          <w:b/>
          <w:bCs/>
          <w:sz w:val="22"/>
          <w:szCs w:val="22"/>
        </w:rPr>
        <w:t xml:space="preserve"> </w:t>
      </w:r>
      <w:r w:rsidRPr="00281E73">
        <w:rPr>
          <w:rFonts w:ascii="Palatino Linotype" w:eastAsia="Calibri" w:hAnsi="Palatino Linotype" w:cs="Arial"/>
          <w:sz w:val="22"/>
          <w:szCs w:val="22"/>
        </w:rPr>
        <w:t xml:space="preserve">y entregar vía Sistema de Acceso a la Información Mexiquense </w:t>
      </w:r>
      <w:r w:rsidR="002763A5" w:rsidRPr="00281E73">
        <w:rPr>
          <w:rFonts w:ascii="Palatino Linotype" w:eastAsia="Calibri" w:hAnsi="Palatino Linotype" w:cs="Arial"/>
          <w:b/>
          <w:sz w:val="22"/>
          <w:szCs w:val="22"/>
        </w:rPr>
        <w:t xml:space="preserve">(SAIMEX), </w:t>
      </w:r>
      <w:r w:rsidRPr="00281E73">
        <w:rPr>
          <w:rFonts w:ascii="Palatino Linotype" w:eastAsia="Calibri" w:hAnsi="Palatino Linotype" w:cs="Arial"/>
          <w:sz w:val="22"/>
          <w:szCs w:val="22"/>
        </w:rPr>
        <w:t>de ser</w:t>
      </w:r>
      <w:r w:rsidR="00F60FFA" w:rsidRPr="00281E73">
        <w:rPr>
          <w:rFonts w:ascii="Palatino Linotype" w:eastAsia="Calibri" w:hAnsi="Palatino Linotype" w:cs="Arial"/>
          <w:sz w:val="22"/>
          <w:szCs w:val="22"/>
        </w:rPr>
        <w:t xml:space="preserve"> procedente en versión pública</w:t>
      </w:r>
      <w:r w:rsidR="002763A5" w:rsidRPr="00281E73">
        <w:rPr>
          <w:rFonts w:ascii="Palatino Linotype" w:eastAsia="Calibri" w:hAnsi="Palatino Linotype" w:cs="Arial"/>
          <w:sz w:val="22"/>
          <w:szCs w:val="22"/>
        </w:rPr>
        <w:t xml:space="preserve">, </w:t>
      </w:r>
      <w:r w:rsidRPr="00281E73">
        <w:rPr>
          <w:rFonts w:ascii="Palatino Linotype" w:eastAsia="Calibri" w:hAnsi="Palatino Linotype" w:cs="Arial"/>
          <w:sz w:val="22"/>
          <w:szCs w:val="22"/>
        </w:rPr>
        <w:t>la siguiente inf</w:t>
      </w:r>
      <w:r w:rsidR="002763A5" w:rsidRPr="00281E73">
        <w:rPr>
          <w:rFonts w:ascii="Palatino Linotype" w:eastAsia="Calibri" w:hAnsi="Palatino Linotype" w:cs="Arial"/>
          <w:sz w:val="22"/>
          <w:szCs w:val="22"/>
        </w:rPr>
        <w:t>ormación:</w:t>
      </w:r>
    </w:p>
    <w:p w:rsidR="00F60FFA" w:rsidRPr="00281E73" w:rsidRDefault="00F60FFA" w:rsidP="002763A5">
      <w:pPr>
        <w:spacing w:line="360" w:lineRule="auto"/>
        <w:ind w:right="48"/>
        <w:jc w:val="both"/>
        <w:rPr>
          <w:rFonts w:ascii="Palatino Linotype" w:eastAsia="Calibri" w:hAnsi="Palatino Linotype" w:cs="Arial"/>
          <w:sz w:val="22"/>
          <w:szCs w:val="22"/>
        </w:rPr>
      </w:pPr>
    </w:p>
    <w:p w:rsidR="00E855E5" w:rsidRPr="00281E73" w:rsidRDefault="00E855E5" w:rsidP="00E855E5">
      <w:pPr>
        <w:spacing w:line="360" w:lineRule="auto"/>
        <w:ind w:left="567" w:right="539"/>
        <w:jc w:val="both"/>
        <w:rPr>
          <w:rFonts w:ascii="Palatino Linotype" w:eastAsia="Calibri" w:hAnsi="Palatino Linotype" w:cs="Arial"/>
          <w:b/>
          <w:sz w:val="22"/>
          <w:szCs w:val="22"/>
        </w:rPr>
      </w:pPr>
      <w:r w:rsidRPr="00281E73">
        <w:rPr>
          <w:rFonts w:ascii="Palatino Linotype" w:eastAsia="Calibri" w:hAnsi="Palatino Linotype" w:cs="Arial"/>
          <w:b/>
          <w:sz w:val="22"/>
          <w:szCs w:val="22"/>
        </w:rPr>
        <w:t>A. De la vialidad señalada en la solicitud de información, vigente a la fecha de la solicitud, el soporte documental donde consten:</w:t>
      </w:r>
    </w:p>
    <w:p w:rsidR="00E855E5" w:rsidRPr="00281E73" w:rsidRDefault="00E855E5" w:rsidP="00E855E5">
      <w:pPr>
        <w:spacing w:line="360" w:lineRule="auto"/>
        <w:ind w:left="567" w:right="539"/>
        <w:jc w:val="both"/>
        <w:rPr>
          <w:rFonts w:ascii="Palatino Linotype" w:eastAsia="Calibri" w:hAnsi="Palatino Linotype" w:cs="Arial"/>
          <w:b/>
          <w:sz w:val="22"/>
          <w:szCs w:val="22"/>
        </w:rPr>
      </w:pPr>
    </w:p>
    <w:p w:rsidR="00E855E5" w:rsidRPr="00281E73" w:rsidRDefault="002763A5" w:rsidP="00E855E5">
      <w:pPr>
        <w:tabs>
          <w:tab w:val="left" w:pos="8222"/>
        </w:tabs>
        <w:spacing w:line="360" w:lineRule="auto"/>
        <w:ind w:left="851" w:right="822"/>
        <w:jc w:val="both"/>
        <w:rPr>
          <w:rFonts w:ascii="Palatino Linotype" w:hAnsi="Palatino Linotype"/>
          <w:b/>
          <w:sz w:val="22"/>
          <w:szCs w:val="22"/>
          <w:lang w:eastAsia="es-MX"/>
        </w:rPr>
      </w:pPr>
      <w:r w:rsidRPr="00281E73">
        <w:rPr>
          <w:rFonts w:ascii="Palatino Linotype" w:hAnsi="Palatino Linotype"/>
          <w:b/>
          <w:sz w:val="22"/>
          <w:szCs w:val="22"/>
          <w:lang w:eastAsia="es-MX"/>
        </w:rPr>
        <w:t xml:space="preserve">1.- </w:t>
      </w:r>
      <w:r w:rsidR="00E855E5" w:rsidRPr="00281E73">
        <w:rPr>
          <w:rFonts w:ascii="Palatino Linotype" w:hAnsi="Palatino Linotype"/>
          <w:b/>
          <w:sz w:val="22"/>
          <w:szCs w:val="22"/>
          <w:lang w:eastAsia="es-MX"/>
        </w:rPr>
        <w:t>Estudios realizados por el Ayuntamiento;</w:t>
      </w:r>
      <w:r w:rsidRPr="00281E73">
        <w:rPr>
          <w:rFonts w:ascii="Palatino Linotype" w:hAnsi="Palatino Linotype"/>
          <w:b/>
          <w:sz w:val="22"/>
          <w:szCs w:val="22"/>
          <w:lang w:eastAsia="es-MX"/>
        </w:rPr>
        <w:t xml:space="preserve"> </w:t>
      </w:r>
    </w:p>
    <w:p w:rsidR="002763A5" w:rsidRPr="00281E73" w:rsidRDefault="00E855E5" w:rsidP="00E855E5">
      <w:pPr>
        <w:tabs>
          <w:tab w:val="left" w:pos="8222"/>
        </w:tabs>
        <w:spacing w:line="360" w:lineRule="auto"/>
        <w:ind w:left="851" w:right="822"/>
        <w:jc w:val="both"/>
        <w:rPr>
          <w:rFonts w:ascii="Palatino Linotype" w:hAnsi="Palatino Linotype"/>
          <w:b/>
          <w:sz w:val="22"/>
          <w:szCs w:val="22"/>
          <w:lang w:eastAsia="es-MX"/>
        </w:rPr>
      </w:pPr>
      <w:r w:rsidRPr="00281E73">
        <w:rPr>
          <w:rFonts w:ascii="Palatino Linotype" w:hAnsi="Palatino Linotype"/>
          <w:b/>
          <w:sz w:val="22"/>
          <w:szCs w:val="22"/>
          <w:lang w:eastAsia="es-MX"/>
        </w:rPr>
        <w:t>2. La existencia de d</w:t>
      </w:r>
      <w:r w:rsidR="002763A5" w:rsidRPr="00281E73">
        <w:rPr>
          <w:rFonts w:ascii="Palatino Linotype" w:hAnsi="Palatino Linotype"/>
          <w:b/>
          <w:sz w:val="22"/>
          <w:szCs w:val="22"/>
          <w:lang w:eastAsia="es-MX"/>
        </w:rPr>
        <w:t xml:space="preserve">emanda o denuncia por la apropiación de la vía pública; </w:t>
      </w:r>
    </w:p>
    <w:p w:rsidR="002763A5" w:rsidRPr="00281E73" w:rsidRDefault="00E855E5" w:rsidP="002763A5">
      <w:pPr>
        <w:pStyle w:val="Prrafodelista"/>
        <w:tabs>
          <w:tab w:val="left" w:pos="8222"/>
        </w:tabs>
        <w:spacing w:line="360" w:lineRule="auto"/>
        <w:ind w:left="851" w:right="822"/>
        <w:jc w:val="both"/>
        <w:rPr>
          <w:rFonts w:ascii="Palatino Linotype" w:hAnsi="Palatino Linotype"/>
          <w:b/>
          <w:szCs w:val="22"/>
          <w:lang w:eastAsia="es-MX"/>
        </w:rPr>
      </w:pPr>
      <w:r w:rsidRPr="00281E73">
        <w:rPr>
          <w:rFonts w:ascii="Palatino Linotype" w:hAnsi="Palatino Linotype"/>
          <w:b/>
          <w:szCs w:val="22"/>
          <w:lang w:eastAsia="es-MX"/>
        </w:rPr>
        <w:t>3. P</w:t>
      </w:r>
      <w:r w:rsidR="002763A5" w:rsidRPr="00281E73">
        <w:rPr>
          <w:rFonts w:ascii="Palatino Linotype" w:hAnsi="Palatino Linotype"/>
          <w:b/>
          <w:szCs w:val="22"/>
          <w:lang w:eastAsia="es-MX"/>
        </w:rPr>
        <w:t>laneación urbana para dicha vialidad;</w:t>
      </w:r>
    </w:p>
    <w:p w:rsidR="002763A5" w:rsidRPr="00281E73" w:rsidRDefault="00A954F3" w:rsidP="00A954F3">
      <w:pPr>
        <w:tabs>
          <w:tab w:val="left" w:pos="8222"/>
        </w:tabs>
        <w:spacing w:line="360" w:lineRule="auto"/>
        <w:ind w:left="567" w:right="822"/>
        <w:jc w:val="both"/>
        <w:rPr>
          <w:rFonts w:ascii="Palatino Linotype" w:eastAsia="Calibri" w:hAnsi="Palatino Linotype" w:cs="Arial"/>
          <w:b/>
          <w:szCs w:val="22"/>
          <w:lang w:val="es-ES"/>
        </w:rPr>
      </w:pPr>
      <w:r w:rsidRPr="00281E73">
        <w:rPr>
          <w:rFonts w:ascii="Palatino Linotype" w:hAnsi="Palatino Linotype"/>
          <w:b/>
          <w:szCs w:val="22"/>
          <w:lang w:eastAsia="es-MX"/>
        </w:rPr>
        <w:t xml:space="preserve">B. </w:t>
      </w:r>
      <w:r w:rsidR="00052205" w:rsidRPr="00281E73">
        <w:rPr>
          <w:rFonts w:ascii="Palatino Linotype" w:hAnsi="Palatino Linotype"/>
          <w:b/>
          <w:szCs w:val="22"/>
          <w:lang w:eastAsia="es-MX"/>
        </w:rPr>
        <w:t>Soporte documental donde consten las a</w:t>
      </w:r>
      <w:r w:rsidR="002763A5" w:rsidRPr="00281E73">
        <w:rPr>
          <w:rFonts w:ascii="Palatino Linotype" w:hAnsi="Palatino Linotype"/>
          <w:b/>
          <w:szCs w:val="22"/>
          <w:lang w:eastAsia="es-MX"/>
        </w:rPr>
        <w:t xml:space="preserve">tribuciones </w:t>
      </w:r>
      <w:r w:rsidR="00052205" w:rsidRPr="00281E73">
        <w:rPr>
          <w:rFonts w:ascii="Palatino Linotype" w:hAnsi="Palatino Linotype"/>
          <w:b/>
          <w:szCs w:val="22"/>
          <w:lang w:eastAsia="es-MX"/>
        </w:rPr>
        <w:t xml:space="preserve">del Ayuntamiento </w:t>
      </w:r>
      <w:r w:rsidR="00E855E5" w:rsidRPr="00281E73">
        <w:rPr>
          <w:rFonts w:ascii="Palatino Linotype" w:hAnsi="Palatino Linotype"/>
          <w:b/>
          <w:szCs w:val="22"/>
          <w:lang w:eastAsia="es-MX"/>
        </w:rPr>
        <w:t>para</w:t>
      </w:r>
      <w:r w:rsidR="002763A5" w:rsidRPr="00281E73">
        <w:rPr>
          <w:rFonts w:ascii="Palatino Linotype" w:hAnsi="Palatino Linotype"/>
          <w:b/>
          <w:szCs w:val="22"/>
          <w:lang w:eastAsia="es-MX"/>
        </w:rPr>
        <w:t xml:space="preserve"> salvaguardar las vías públicas en beneficio de la sociedad.</w:t>
      </w:r>
    </w:p>
    <w:p w:rsidR="002D48C5" w:rsidRPr="00281E73" w:rsidRDefault="002D48C5" w:rsidP="002D48C5">
      <w:pPr>
        <w:tabs>
          <w:tab w:val="left" w:pos="450"/>
          <w:tab w:val="left" w:pos="720"/>
        </w:tabs>
        <w:spacing w:line="360" w:lineRule="auto"/>
        <w:ind w:right="729"/>
        <w:jc w:val="both"/>
        <w:rPr>
          <w:rFonts w:ascii="Palatino Linotype" w:eastAsia="MS Mincho" w:hAnsi="Palatino Linotype" w:cs="Arial"/>
          <w:b/>
          <w:sz w:val="22"/>
          <w:szCs w:val="22"/>
        </w:rPr>
      </w:pPr>
    </w:p>
    <w:p w:rsidR="002D48C5" w:rsidRPr="00281E73" w:rsidRDefault="002D48C5" w:rsidP="002D48C5">
      <w:pPr>
        <w:spacing w:line="360" w:lineRule="auto"/>
        <w:ind w:right="40"/>
        <w:contextualSpacing/>
        <w:jc w:val="both"/>
        <w:rPr>
          <w:rFonts w:ascii="Palatino Linotype" w:eastAsia="MS Mincho" w:hAnsi="Palatino Linotype" w:cs="Arial"/>
          <w:bCs/>
          <w:sz w:val="22"/>
          <w:szCs w:val="22"/>
        </w:rPr>
      </w:pPr>
      <w:r w:rsidRPr="00281E73">
        <w:rPr>
          <w:rFonts w:ascii="Palatino Linotype" w:eastAsia="MS Mincho" w:hAnsi="Palatino Linotype" w:cs="Arial"/>
          <w:bCs/>
          <w:sz w:val="22"/>
          <w:szCs w:val="22"/>
        </w:rPr>
        <w:lastRenderedPageBreak/>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 a disposición del recurrente.</w:t>
      </w:r>
    </w:p>
    <w:p w:rsidR="00E855E5" w:rsidRPr="00281E73" w:rsidRDefault="00E855E5" w:rsidP="002D48C5">
      <w:pPr>
        <w:spacing w:line="360" w:lineRule="auto"/>
        <w:ind w:right="40"/>
        <w:contextualSpacing/>
        <w:jc w:val="both"/>
        <w:rPr>
          <w:rFonts w:ascii="Palatino Linotype" w:eastAsia="MS Mincho" w:hAnsi="Palatino Linotype" w:cs="Arial"/>
          <w:bCs/>
          <w:szCs w:val="22"/>
        </w:rPr>
      </w:pPr>
    </w:p>
    <w:p w:rsidR="00E855E5" w:rsidRPr="00281E73" w:rsidRDefault="00E855E5" w:rsidP="00E855E5">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r w:rsidRPr="00281E73">
        <w:rPr>
          <w:rFonts w:ascii="Palatino Linotype" w:eastAsia="Palatino Linotype" w:hAnsi="Palatino Linotype" w:cs="Palatino Linotype"/>
        </w:rPr>
        <w:t xml:space="preserve">Para el caso de que la información que se ordena entregar en el punto A numerales 1, 2 y 3, no obre en los archivos del Sujeto Obligado, bastará con que así se haga del conocimiento del Particular en términos del artículo 19, párrafo segundo, de la Ley de Transparencia y Acceso a la Información Pública del Estado de México y Municipios, para tenerse por colmado dicho requerimiento. </w:t>
      </w:r>
    </w:p>
    <w:p w:rsidR="002D48C5" w:rsidRPr="00281E73" w:rsidRDefault="002D48C5" w:rsidP="002D48C5">
      <w:pPr>
        <w:spacing w:line="360" w:lineRule="auto"/>
        <w:ind w:right="40"/>
        <w:contextualSpacing/>
        <w:jc w:val="both"/>
        <w:rPr>
          <w:rFonts w:ascii="Palatino Linotype" w:eastAsia="MS Mincho" w:hAnsi="Palatino Linotype" w:cs="Arial"/>
          <w:bCs/>
          <w:sz w:val="22"/>
          <w:szCs w:val="22"/>
        </w:rPr>
      </w:pPr>
    </w:p>
    <w:p w:rsidR="002D48C5" w:rsidRPr="00281E73" w:rsidRDefault="002D48C5" w:rsidP="002D48C5">
      <w:pPr>
        <w:tabs>
          <w:tab w:val="left" w:pos="8080"/>
        </w:tabs>
        <w:spacing w:line="360" w:lineRule="auto"/>
        <w:ind w:right="49"/>
        <w:contextualSpacing/>
        <w:jc w:val="both"/>
        <w:rPr>
          <w:rFonts w:ascii="Palatino Linotype" w:eastAsia="Palatino Linotype" w:hAnsi="Palatino Linotype" w:cs="Palatino Linotype"/>
          <w:b/>
          <w:sz w:val="22"/>
          <w:szCs w:val="22"/>
          <w:lang w:val="es-ES_tradnl"/>
        </w:rPr>
      </w:pPr>
      <w:r w:rsidRPr="00281E73">
        <w:rPr>
          <w:rFonts w:ascii="Palatino Linotype" w:eastAsia="Palatino Linotype" w:hAnsi="Palatino Linotype" w:cs="Palatino Linotype"/>
          <w:b/>
          <w:sz w:val="22"/>
          <w:szCs w:val="22"/>
          <w:lang w:val="es-ES_tradnl"/>
        </w:rPr>
        <w:t xml:space="preserve">TERCERO. </w:t>
      </w:r>
      <w:r w:rsidRPr="00281E73">
        <w:rPr>
          <w:rFonts w:ascii="Palatino Linotype" w:eastAsia="MS Mincho" w:hAnsi="Palatino Linotype"/>
          <w:b/>
          <w:color w:val="000000"/>
          <w:sz w:val="22"/>
          <w:szCs w:val="22"/>
        </w:rPr>
        <w:t>Notifíquese</w:t>
      </w:r>
      <w:r w:rsidRPr="00281E73">
        <w:rPr>
          <w:rFonts w:ascii="Palatino Linotype" w:eastAsia="MS Mincho" w:hAnsi="Palatino Linotype"/>
          <w:color w:val="000000"/>
          <w:sz w:val="22"/>
          <w:szCs w:val="22"/>
        </w:rPr>
        <w:t xml:space="preserve"> al </w:t>
      </w:r>
      <w:r w:rsidRPr="00281E73">
        <w:rPr>
          <w:rFonts w:ascii="Palatino Linotype" w:hAnsi="Palatino Linotype" w:cs="Arial"/>
          <w:color w:val="222222"/>
          <w:sz w:val="22"/>
          <w:szCs w:val="22"/>
        </w:rPr>
        <w:t xml:space="preserve">Titular de la Unidad de Transparencia del </w:t>
      </w:r>
      <w:r w:rsidRPr="00281E73">
        <w:rPr>
          <w:rFonts w:ascii="Palatino Linotype" w:hAnsi="Palatino Linotype" w:cs="Arial"/>
          <w:b/>
          <w:bCs/>
          <w:color w:val="222222"/>
          <w:sz w:val="22"/>
          <w:szCs w:val="22"/>
        </w:rPr>
        <w:t>SUJETO OBLIGADO</w:t>
      </w:r>
      <w:r w:rsidRPr="00281E73">
        <w:rPr>
          <w:rFonts w:ascii="Palatino Linotype" w:hAnsi="Palatino Linotype" w:cs="Arial"/>
          <w:color w:val="222222"/>
          <w:sz w:val="22"/>
          <w:szCs w:val="22"/>
        </w:rPr>
        <w:t>, vía SAIMEX, la presente resolución,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281E73">
        <w:rPr>
          <w:rFonts w:ascii="Palatino Linotype" w:eastAsiaTheme="minorEastAsia" w:hAnsi="Palatino Linotype"/>
          <w:sz w:val="22"/>
          <w:szCs w:val="22"/>
          <w:shd w:val="clear" w:color="auto" w:fill="FFFFFF"/>
          <w:lang w:val="es-ES_tradnl"/>
        </w:rPr>
        <w:t>.</w:t>
      </w:r>
    </w:p>
    <w:p w:rsidR="002D48C5" w:rsidRPr="00281E73" w:rsidRDefault="002D48C5" w:rsidP="002D48C5">
      <w:pPr>
        <w:shd w:val="clear" w:color="auto" w:fill="FFFFFF"/>
        <w:spacing w:line="360" w:lineRule="auto"/>
        <w:jc w:val="both"/>
        <w:rPr>
          <w:rFonts w:ascii="Palatino Linotype" w:hAnsi="Palatino Linotype" w:cs="Arial"/>
          <w:b/>
          <w:sz w:val="22"/>
          <w:szCs w:val="22"/>
          <w:lang w:val="es-ES_tradnl"/>
        </w:rPr>
      </w:pPr>
    </w:p>
    <w:p w:rsidR="002D48C5" w:rsidRPr="00281E73" w:rsidRDefault="002D48C5" w:rsidP="002D48C5">
      <w:pPr>
        <w:shd w:val="clear" w:color="auto" w:fill="FFFFFF"/>
        <w:spacing w:line="360" w:lineRule="auto"/>
        <w:jc w:val="both"/>
        <w:rPr>
          <w:rFonts w:ascii="Palatino Linotype" w:eastAsia="MS Mincho" w:hAnsi="Palatino Linotype"/>
          <w:sz w:val="22"/>
          <w:szCs w:val="22"/>
          <w:lang w:val="es-ES_tradnl"/>
        </w:rPr>
      </w:pPr>
      <w:r w:rsidRPr="00281E73">
        <w:rPr>
          <w:rFonts w:ascii="Palatino Linotype" w:hAnsi="Palatino Linotype" w:cs="Arial"/>
          <w:b/>
          <w:sz w:val="22"/>
          <w:szCs w:val="22"/>
          <w:lang w:val="es-ES_tradnl"/>
        </w:rPr>
        <w:t xml:space="preserve">CUARTO. </w:t>
      </w:r>
      <w:r w:rsidRPr="00281E73">
        <w:rPr>
          <w:rFonts w:ascii="Palatino Linotype" w:hAnsi="Palatino Linotype"/>
          <w:bCs/>
          <w:sz w:val="22"/>
          <w:szCs w:val="22"/>
          <w:lang w:val="es-ES"/>
        </w:rPr>
        <w:t xml:space="preserve">Notifíquese al </w:t>
      </w:r>
      <w:r w:rsidRPr="00281E73">
        <w:rPr>
          <w:rFonts w:ascii="Palatino Linotype" w:eastAsiaTheme="minorEastAsia" w:hAnsi="Palatino Linotype"/>
          <w:b/>
          <w:sz w:val="22"/>
          <w:szCs w:val="22"/>
          <w:lang w:val="es-ES_tradnl"/>
        </w:rPr>
        <w:t xml:space="preserve">RECURRENTE </w:t>
      </w:r>
      <w:r w:rsidRPr="00281E73">
        <w:rPr>
          <w:rFonts w:ascii="Palatino Linotype" w:eastAsiaTheme="minorEastAsia" w:hAnsi="Palatino Linotype"/>
          <w:sz w:val="22"/>
          <w:szCs w:val="22"/>
          <w:lang w:val="es-ES_tradnl"/>
        </w:rPr>
        <w:t>la presente resolución</w:t>
      </w:r>
      <w:r w:rsidRPr="00281E73">
        <w:rPr>
          <w:rFonts w:ascii="Palatino Linotype" w:eastAsia="MS Mincho" w:hAnsi="Palatino Linotype"/>
          <w:sz w:val="22"/>
          <w:szCs w:val="22"/>
          <w:lang w:val="es-ES_tradnl"/>
        </w:rPr>
        <w:t xml:space="preserve"> </w:t>
      </w:r>
      <w:r w:rsidRPr="00281E73">
        <w:rPr>
          <w:rFonts w:ascii="Palatino Linotype" w:hAnsi="Palatino Linotype" w:cs="Arial"/>
          <w:sz w:val="22"/>
          <w:szCs w:val="22"/>
          <w:lang w:val="es-ES"/>
        </w:rPr>
        <w:t xml:space="preserve">vía Sistema de Acceso a </w:t>
      </w:r>
      <w:r w:rsidR="004B05FF" w:rsidRPr="00281E73">
        <w:rPr>
          <w:rFonts w:ascii="Palatino Linotype" w:hAnsi="Palatino Linotype" w:cs="Arial"/>
          <w:sz w:val="22"/>
          <w:szCs w:val="22"/>
          <w:lang w:val="es-ES"/>
        </w:rPr>
        <w:t>Información Mexiquense (SAIMEX).</w:t>
      </w:r>
      <w:r w:rsidR="007A4BEE" w:rsidRPr="00281E73">
        <w:rPr>
          <w:rFonts w:ascii="Palatino Linotype" w:hAnsi="Palatino Linotype" w:cs="Arial"/>
          <w:sz w:val="22"/>
          <w:szCs w:val="22"/>
          <w:lang w:val="es-ES"/>
        </w:rPr>
        <w:t xml:space="preserve"> </w:t>
      </w:r>
    </w:p>
    <w:p w:rsidR="002D48C5" w:rsidRPr="00281E73" w:rsidRDefault="002D48C5" w:rsidP="002D48C5">
      <w:pPr>
        <w:shd w:val="clear" w:color="auto" w:fill="FFFFFF"/>
        <w:spacing w:line="360" w:lineRule="auto"/>
        <w:jc w:val="both"/>
        <w:rPr>
          <w:rFonts w:ascii="Palatino Linotype" w:eastAsia="MS Mincho" w:hAnsi="Palatino Linotype"/>
          <w:sz w:val="22"/>
          <w:szCs w:val="22"/>
          <w:lang w:val="es-ES_tradnl"/>
        </w:rPr>
      </w:pPr>
    </w:p>
    <w:p w:rsidR="002D48C5" w:rsidRPr="00281E73" w:rsidRDefault="002D48C5" w:rsidP="002D48C5">
      <w:pPr>
        <w:shd w:val="clear" w:color="auto" w:fill="FFFFFF"/>
        <w:spacing w:line="360" w:lineRule="auto"/>
        <w:jc w:val="both"/>
        <w:rPr>
          <w:rFonts w:ascii="Palatino Linotype" w:eastAsia="MS Mincho" w:hAnsi="Palatino Linotype"/>
          <w:sz w:val="22"/>
          <w:szCs w:val="22"/>
          <w:lang w:val="es-ES"/>
        </w:rPr>
      </w:pPr>
      <w:r w:rsidRPr="00281E73">
        <w:rPr>
          <w:rFonts w:ascii="Palatino Linotype" w:eastAsia="MS Mincho" w:hAnsi="Palatino Linotype"/>
          <w:b/>
          <w:sz w:val="22"/>
          <w:szCs w:val="22"/>
        </w:rPr>
        <w:t>QUINTO.</w:t>
      </w:r>
      <w:r w:rsidRPr="00281E73">
        <w:rPr>
          <w:rFonts w:ascii="Palatino Linotype" w:eastAsia="MS Mincho" w:hAnsi="Palatino Linotype"/>
          <w:sz w:val="22"/>
          <w:szCs w:val="22"/>
        </w:rPr>
        <w:t xml:space="preserve"> </w:t>
      </w:r>
      <w:r w:rsidRPr="00281E73">
        <w:rPr>
          <w:rFonts w:ascii="Palatino Linotype" w:eastAsia="MS Mincho" w:hAnsi="Palatino Linotype"/>
          <w:sz w:val="22"/>
          <w:szCs w:val="22"/>
          <w:lang w:val="es-ES"/>
        </w:rPr>
        <w:t xml:space="preserve">Se hace del conocimiento del </w:t>
      </w:r>
      <w:r w:rsidRPr="00281E73">
        <w:rPr>
          <w:rFonts w:ascii="Palatino Linotype" w:eastAsiaTheme="minorEastAsia" w:hAnsi="Palatino Linotype"/>
          <w:b/>
          <w:sz w:val="22"/>
          <w:szCs w:val="22"/>
          <w:lang w:val="es-ES_tradnl"/>
        </w:rPr>
        <w:t xml:space="preserve">RECURRENTE </w:t>
      </w:r>
      <w:r w:rsidRPr="00281E73">
        <w:rPr>
          <w:rFonts w:ascii="Palatino Linotype" w:eastAsiaTheme="minorEastAsia" w:hAnsi="Palatino Linotype"/>
          <w:sz w:val="22"/>
          <w:szCs w:val="22"/>
          <w:lang w:val="es-ES_tradnl"/>
        </w:rPr>
        <w:t>que</w:t>
      </w:r>
      <w:r w:rsidRPr="00281E73">
        <w:rPr>
          <w:rFonts w:ascii="Palatino Linotype" w:eastAsia="MS Mincho" w:hAnsi="Palatino Linotype"/>
          <w:sz w:val="22"/>
          <w:szCs w:val="22"/>
          <w:lang w:val="es-ES"/>
        </w:rPr>
        <w:t xml:space="preserve">, de conformidad con lo establecido en el artículo 196 de la Ley de Transparencia y Acceso a la Información Pública del Estado de México y Municipios, en caso de que considere que la resolución le cause algún perjuicio podrá impugnarla </w:t>
      </w:r>
      <w:r w:rsidRPr="00281E73">
        <w:rPr>
          <w:rFonts w:ascii="Palatino Linotype" w:eastAsia="MS Mincho" w:hAnsi="Palatino Linotype"/>
          <w:bCs/>
          <w:sz w:val="22"/>
          <w:szCs w:val="22"/>
          <w:lang w:val="es-ES"/>
        </w:rPr>
        <w:t>vía juicio de amparo</w:t>
      </w:r>
      <w:r w:rsidRPr="00281E73">
        <w:rPr>
          <w:rFonts w:ascii="Palatino Linotype" w:eastAsia="MS Mincho" w:hAnsi="Palatino Linotype"/>
          <w:sz w:val="22"/>
          <w:szCs w:val="22"/>
          <w:lang w:val="es-ES"/>
        </w:rPr>
        <w:t xml:space="preserve"> en los términos de las leyes aplicables.</w:t>
      </w:r>
    </w:p>
    <w:p w:rsidR="002D48C5" w:rsidRPr="00281E73" w:rsidRDefault="002D48C5" w:rsidP="002D48C5">
      <w:pPr>
        <w:shd w:val="clear" w:color="auto" w:fill="FFFFFF"/>
        <w:spacing w:line="360" w:lineRule="auto"/>
        <w:jc w:val="both"/>
        <w:rPr>
          <w:rFonts w:ascii="Palatino Linotype" w:eastAsia="MS Mincho" w:hAnsi="Palatino Linotype"/>
          <w:sz w:val="22"/>
          <w:szCs w:val="22"/>
          <w:lang w:val="es-ES"/>
        </w:rPr>
      </w:pPr>
    </w:p>
    <w:p w:rsidR="002D48C5" w:rsidRPr="00281E73" w:rsidRDefault="002D48C5" w:rsidP="002D48C5">
      <w:pPr>
        <w:spacing w:line="360" w:lineRule="auto"/>
        <w:jc w:val="both"/>
        <w:rPr>
          <w:rFonts w:ascii="Palatino Linotype" w:eastAsia="MS Mincho" w:hAnsi="Palatino Linotype"/>
          <w:sz w:val="22"/>
          <w:szCs w:val="22"/>
          <w:lang w:val="es-ES"/>
        </w:rPr>
      </w:pPr>
      <w:r w:rsidRPr="00281E73">
        <w:rPr>
          <w:rFonts w:ascii="Palatino Linotype" w:eastAsia="MS Mincho" w:hAnsi="Palatino Linotype"/>
          <w:b/>
          <w:sz w:val="22"/>
          <w:szCs w:val="22"/>
          <w:lang w:val="es-ES_tradnl"/>
        </w:rPr>
        <w:t xml:space="preserve">SEXTO. </w:t>
      </w:r>
      <w:r w:rsidRPr="00281E73">
        <w:rPr>
          <w:rFonts w:ascii="Palatino Linotype" w:eastAsia="MS Mincho" w:hAnsi="Palatino Linotype"/>
          <w:sz w:val="22"/>
          <w:szCs w:val="22"/>
          <w:lang w:val="es-ES"/>
        </w:rPr>
        <w:t>Hágase del conocimiento del</w:t>
      </w:r>
      <w:r w:rsidRPr="00281E73">
        <w:rPr>
          <w:rFonts w:ascii="Palatino Linotype" w:eastAsia="MS Mincho" w:hAnsi="Palatino Linotype"/>
          <w:b/>
          <w:sz w:val="22"/>
          <w:szCs w:val="22"/>
          <w:lang w:val="es-ES"/>
        </w:rPr>
        <w:t xml:space="preserve"> RECURRENTE</w:t>
      </w:r>
      <w:r w:rsidRPr="00281E73">
        <w:rPr>
          <w:rFonts w:ascii="Palatino Linotype" w:eastAsia="MS Mincho" w:hAnsi="Palatino Linotype"/>
          <w:sz w:val="22"/>
          <w:szCs w:val="22"/>
          <w:lang w:val="es-ES"/>
        </w:rPr>
        <w:t xml:space="preserve"> que la respuesta que dé el</w:t>
      </w:r>
      <w:r w:rsidRPr="00281E73">
        <w:rPr>
          <w:rFonts w:ascii="Palatino Linotype" w:eastAsia="MS Mincho" w:hAnsi="Palatino Linotype"/>
          <w:b/>
          <w:sz w:val="22"/>
          <w:szCs w:val="22"/>
          <w:lang w:val="es-ES"/>
        </w:rPr>
        <w:t xml:space="preserve"> SUJETO OBLIGADO</w:t>
      </w:r>
      <w:r w:rsidRPr="00281E73">
        <w:rPr>
          <w:rFonts w:ascii="Palatino Linotype" w:eastAsia="MS Mincho" w:hAnsi="Palatino Linotype"/>
          <w:sz w:val="22"/>
          <w:szCs w:val="22"/>
          <w:lang w:val="es-ES"/>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2D48C5" w:rsidRPr="00281E73" w:rsidRDefault="002D48C5" w:rsidP="002D48C5">
      <w:pPr>
        <w:spacing w:line="360" w:lineRule="auto"/>
        <w:jc w:val="both"/>
        <w:rPr>
          <w:rFonts w:ascii="Palatino Linotype" w:eastAsia="MS Mincho" w:hAnsi="Palatino Linotype"/>
          <w:sz w:val="22"/>
          <w:szCs w:val="22"/>
          <w:lang w:val="es-ES"/>
        </w:rPr>
      </w:pPr>
    </w:p>
    <w:p w:rsidR="002D48C5" w:rsidRPr="00281E73" w:rsidRDefault="002D48C5" w:rsidP="00F97645">
      <w:pPr>
        <w:spacing w:line="360" w:lineRule="auto"/>
        <w:jc w:val="both"/>
        <w:rPr>
          <w:rFonts w:ascii="Palatino Linotype" w:eastAsia="MS Mincho" w:hAnsi="Palatino Linotype"/>
          <w:b/>
          <w:sz w:val="22"/>
          <w:szCs w:val="22"/>
          <w:lang w:val="es-ES_tradnl"/>
        </w:rPr>
      </w:pPr>
      <w:r w:rsidRPr="00281E73">
        <w:rPr>
          <w:rFonts w:ascii="Palatino Linotype" w:eastAsia="MS Mincho" w:hAnsi="Palatino Linotype"/>
          <w:b/>
          <w:sz w:val="22"/>
          <w:szCs w:val="22"/>
          <w:lang w:val="es-ES_tradnl"/>
        </w:rPr>
        <w:t>SÉPTIMO.</w:t>
      </w:r>
      <w:r w:rsidRPr="00281E73">
        <w:rPr>
          <w:rFonts w:ascii="Palatino Linotype" w:eastAsia="MS Mincho" w:hAnsi="Palatino Linotype"/>
          <w:sz w:val="22"/>
          <w:szCs w:val="22"/>
          <w:lang w:val="es-ES_tradnl"/>
        </w:rPr>
        <w:t xml:space="preserve"> Gírese oficio </w:t>
      </w:r>
      <w:r w:rsidRPr="00281E73">
        <w:rPr>
          <w:rFonts w:ascii="Palatino Linotype" w:eastAsia="MS Mincho" w:hAnsi="Palatino Linotype"/>
          <w:sz w:val="22"/>
          <w:szCs w:val="22"/>
          <w:lang w:val="es-ES"/>
        </w:rPr>
        <w:t xml:space="preserve">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w:t>
      </w:r>
      <w:r w:rsidRPr="00281E73">
        <w:rPr>
          <w:rFonts w:ascii="Palatino Linotype" w:eastAsia="MS Mincho" w:hAnsi="Palatino Linotype"/>
          <w:b/>
          <w:sz w:val="22"/>
          <w:szCs w:val="22"/>
          <w:lang w:val="es-ES"/>
        </w:rPr>
        <w:t>Considerando SEXTO</w:t>
      </w:r>
      <w:r w:rsidRPr="00281E73">
        <w:rPr>
          <w:rFonts w:ascii="Palatino Linotype" w:eastAsia="MS Mincho" w:hAnsi="Palatino Linotype"/>
          <w:sz w:val="22"/>
          <w:szCs w:val="22"/>
          <w:lang w:val="es-ES"/>
        </w:rPr>
        <w:t xml:space="preserve"> de la presente Resolución</w:t>
      </w:r>
      <w:r w:rsidRPr="00281E73">
        <w:rPr>
          <w:rFonts w:ascii="Palatino Linotype" w:eastAsia="MS Mincho" w:hAnsi="Palatino Linotype"/>
          <w:b/>
          <w:sz w:val="22"/>
          <w:szCs w:val="22"/>
          <w:lang w:val="es-ES_tradnl"/>
        </w:rPr>
        <w:t>.</w:t>
      </w:r>
    </w:p>
    <w:p w:rsidR="00F97645" w:rsidRPr="00281E73" w:rsidRDefault="00F97645" w:rsidP="00F97645">
      <w:pPr>
        <w:spacing w:line="360" w:lineRule="auto"/>
        <w:jc w:val="both"/>
        <w:rPr>
          <w:rFonts w:ascii="Palatino Linotype" w:eastAsia="MS Mincho" w:hAnsi="Palatino Linotype"/>
          <w:b/>
          <w:sz w:val="22"/>
          <w:szCs w:val="22"/>
          <w:lang w:val="es-ES_tradnl"/>
        </w:rPr>
      </w:pPr>
    </w:p>
    <w:p w:rsidR="003412C3" w:rsidRPr="003412C3" w:rsidRDefault="003412C3" w:rsidP="003412C3">
      <w:pPr>
        <w:spacing w:line="360" w:lineRule="auto"/>
        <w:ind w:left="-142" w:right="-234" w:firstLine="1"/>
        <w:jc w:val="both"/>
        <w:rPr>
          <w:rFonts w:ascii="Palatino Linotype" w:hAnsi="Palatino Linotype"/>
          <w:sz w:val="22"/>
        </w:rPr>
      </w:pPr>
      <w:r w:rsidRPr="00281E73">
        <w:rPr>
          <w:rFonts w:ascii="Palatino Linotype" w:hAnsi="Palatino Linotype"/>
          <w:sz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w:t>
      </w:r>
      <w:r w:rsidRPr="00281E73">
        <w:rPr>
          <w:rFonts w:ascii="Palatino Linotype" w:hAnsi="Palatino Linotype"/>
          <w:sz w:val="22"/>
        </w:rPr>
        <w:lastRenderedPageBreak/>
        <w:t>CELEBRADA EL VEINTISIETE (27) DE NOVIEMBRE DE DOS MIL VEINTICUATRO, ANTE EL SECRETARIO TÉCNICO DEL PLENO ALEXIS TAPIA RAMÍREZ.</w:t>
      </w:r>
      <w:bookmarkStart w:id="24" w:name="_GoBack"/>
      <w:bookmarkEnd w:id="24"/>
      <w:r w:rsidRPr="003412C3">
        <w:rPr>
          <w:rFonts w:ascii="Palatino Linotype" w:hAnsi="Palatino Linotype"/>
          <w:sz w:val="22"/>
        </w:rPr>
        <w:t xml:space="preserve"> </w:t>
      </w: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spacing w:before="240" w:after="360" w:line="360" w:lineRule="auto"/>
        <w:jc w:val="both"/>
        <w:rPr>
          <w:rFonts w:ascii="Palatino Linotype" w:hAnsi="Palatino Linotype"/>
          <w:color w:val="222222"/>
          <w:sz w:val="22"/>
          <w:szCs w:val="22"/>
          <w:lang w:val="es-ES" w:eastAsia="es-MX"/>
        </w:rPr>
      </w:pPr>
    </w:p>
    <w:p w:rsidR="002D48C5" w:rsidRPr="00FC5DEC" w:rsidRDefault="002D48C5" w:rsidP="002D48C5">
      <w:pPr>
        <w:rPr>
          <w:rFonts w:ascii="Palatino Linotype" w:hAnsi="Palatino Linotype"/>
          <w:sz w:val="22"/>
          <w:szCs w:val="22"/>
        </w:rPr>
      </w:pPr>
    </w:p>
    <w:p w:rsidR="00031B96" w:rsidRDefault="00031B96"/>
    <w:sectPr w:rsidR="00031B96" w:rsidSect="002D48C5">
      <w:headerReference w:type="even" r:id="rId11"/>
      <w:headerReference w:type="default" r:id="rId12"/>
      <w:footerReference w:type="default" r:id="rId13"/>
      <w:headerReference w:type="first" r:id="rId14"/>
      <w:footerReference w:type="first" r:id="rId15"/>
      <w:pgSz w:w="12240" w:h="15840"/>
      <w:pgMar w:top="80" w:right="1608" w:bottom="1418" w:left="1588" w:header="709"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998" w:rsidRDefault="00AE1998" w:rsidP="002D48C5">
      <w:r>
        <w:separator/>
      </w:r>
    </w:p>
  </w:endnote>
  <w:endnote w:type="continuationSeparator" w:id="0">
    <w:p w:rsidR="00AE1998" w:rsidRDefault="00AE1998" w:rsidP="002D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altName w:val="Segoe Print"/>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80448"/>
      <w:docPartObj>
        <w:docPartGallery w:val="AutoText"/>
      </w:docPartObj>
    </w:sdtPr>
    <w:sdtEndPr/>
    <w:sdtContent>
      <w:sdt>
        <w:sdtPr>
          <w:id w:val="935561987"/>
          <w:docPartObj>
            <w:docPartGallery w:val="AutoText"/>
          </w:docPartObj>
        </w:sdtPr>
        <w:sdtEndPr/>
        <w:sdtContent>
          <w:p w:rsidR="00A04DDC" w:rsidRDefault="00A04DDC">
            <w:pPr>
              <w:pStyle w:val="Piedepgina"/>
              <w:jc w:val="right"/>
            </w:pPr>
          </w:p>
          <w:p w:rsidR="00A04DDC" w:rsidRDefault="00A04D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81E73">
              <w:rPr>
                <w:b/>
                <w:bCs/>
                <w:noProof/>
              </w:rPr>
              <w:t>29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1E73">
              <w:rPr>
                <w:b/>
                <w:bCs/>
                <w:noProof/>
              </w:rPr>
              <w:t>36</w:t>
            </w:r>
            <w:r>
              <w:rPr>
                <w:b/>
                <w:bCs/>
                <w:sz w:val="24"/>
                <w:szCs w:val="24"/>
              </w:rPr>
              <w:fldChar w:fldCharType="end"/>
            </w:r>
          </w:p>
        </w:sdtContent>
      </w:sdt>
    </w:sdtContent>
  </w:sdt>
  <w:p w:rsidR="00A04DDC" w:rsidRDefault="00A04DDC">
    <w:pPr>
      <w:pStyle w:val="Piedepgina"/>
    </w:pPr>
  </w:p>
  <w:p w:rsidR="00A04DDC" w:rsidRDefault="00A04DDC"/>
  <w:p w:rsidR="00A04DDC" w:rsidRDefault="00A04DDC"/>
  <w:p w:rsidR="00A04DDC" w:rsidRDefault="00A04DD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533840"/>
      <w:docPartObj>
        <w:docPartGallery w:val="AutoText"/>
      </w:docPartObj>
    </w:sdtPr>
    <w:sdtEndPr/>
    <w:sdtContent>
      <w:sdt>
        <w:sdtPr>
          <w:id w:val="1068300638"/>
          <w:docPartObj>
            <w:docPartGallery w:val="AutoText"/>
          </w:docPartObj>
        </w:sdtPr>
        <w:sdtEndPr/>
        <w:sdtContent>
          <w:p w:rsidR="00A04DDC" w:rsidRDefault="00A04DD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81E73">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81E73">
              <w:rPr>
                <w:b/>
                <w:bCs/>
                <w:noProof/>
              </w:rPr>
              <w:t>36</w:t>
            </w:r>
            <w:r>
              <w:rPr>
                <w:b/>
                <w:bCs/>
                <w:sz w:val="24"/>
                <w:szCs w:val="24"/>
              </w:rPr>
              <w:fldChar w:fldCharType="end"/>
            </w:r>
          </w:p>
        </w:sdtContent>
      </w:sdt>
    </w:sdtContent>
  </w:sdt>
  <w:p w:rsidR="00A04DDC" w:rsidRDefault="00A04DDC">
    <w:pPr>
      <w:pStyle w:val="Piedepgina"/>
    </w:pPr>
  </w:p>
  <w:p w:rsidR="00A04DDC" w:rsidRDefault="00A04DDC"/>
  <w:p w:rsidR="00A04DDC" w:rsidRDefault="00A04DDC"/>
  <w:p w:rsidR="00A04DDC" w:rsidRDefault="00A04D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998" w:rsidRDefault="00AE1998" w:rsidP="002D48C5">
      <w:r>
        <w:separator/>
      </w:r>
    </w:p>
  </w:footnote>
  <w:footnote w:type="continuationSeparator" w:id="0">
    <w:p w:rsidR="00AE1998" w:rsidRDefault="00AE1998" w:rsidP="002D48C5">
      <w:r>
        <w:continuationSeparator/>
      </w:r>
    </w:p>
  </w:footnote>
  <w:footnote w:id="1">
    <w:p w:rsidR="00A04DDC" w:rsidRDefault="00A04DDC" w:rsidP="00D67EC7">
      <w:pPr>
        <w:pStyle w:val="Textonotapie"/>
      </w:pPr>
      <w:r>
        <w:rPr>
          <w:rStyle w:val="Refdenotaalpie"/>
        </w:rPr>
        <w:footnoteRef/>
      </w:r>
      <w:r>
        <w:t xml:space="preserve"> Artículo 150. Ley de Transparencia y Acceso a la Información Pública del Estado de México y Municipios.</w:t>
      </w:r>
    </w:p>
    <w:p w:rsidR="00A04DDC" w:rsidRDefault="00A04DDC" w:rsidP="00D67EC7">
      <w:pPr>
        <w:pStyle w:val="Textonotapie"/>
      </w:pPr>
      <w:r>
        <w:t>Artículo 151. Ibídem.</w:t>
      </w:r>
    </w:p>
  </w:footnote>
  <w:footnote w:id="2">
    <w:p w:rsidR="00A04DDC" w:rsidRDefault="00A04DDC" w:rsidP="00D67EC7">
      <w:pPr>
        <w:pStyle w:val="Textonotapie"/>
      </w:pPr>
      <w:r>
        <w:rPr>
          <w:rStyle w:val="Refdenotaalpie"/>
        </w:rPr>
        <w:footnoteRef/>
      </w:r>
      <w:r>
        <w:t xml:space="preserve"> Fracción IV. Artículo 53. Ibídem.</w:t>
      </w:r>
    </w:p>
  </w:footnote>
  <w:footnote w:id="3">
    <w:p w:rsidR="00A04DDC" w:rsidRDefault="00A04DDC">
      <w:pPr>
        <w:pStyle w:val="Textonotapie"/>
      </w:pPr>
      <w:r>
        <w:rPr>
          <w:rStyle w:val="Refdenotaalpie"/>
        </w:rPr>
        <w:footnoteRef/>
      </w:r>
      <w:r>
        <w:t xml:space="preserve"> Disponible para su consulta en </w:t>
      </w:r>
    </w:p>
    <w:p w:rsidR="00A04DDC" w:rsidRDefault="00AE1998">
      <w:pPr>
        <w:pStyle w:val="Textonotapie"/>
      </w:pPr>
      <w:hyperlink r:id="rId1" w:history="1">
        <w:r w:rsidR="00A04DDC" w:rsidRPr="00C15128">
          <w:rPr>
            <w:rStyle w:val="Hipervnculo"/>
          </w:rPr>
          <w:t>https://legislacion.edomex.gob.mx/sites/legislacion.edomex.gob.mx/files/files/pdf/bdo/bdo2024/bdo094.pdf</w:t>
        </w:r>
      </w:hyperlink>
      <w:r w:rsidR="00A04DDC">
        <w:t xml:space="preserve"> </w:t>
      </w:r>
    </w:p>
  </w:footnote>
  <w:footnote w:id="4">
    <w:p w:rsidR="00A04DDC" w:rsidRDefault="00A04DDC" w:rsidP="00A04DDC">
      <w:pPr>
        <w:pStyle w:val="Textonotapie"/>
      </w:pPr>
      <w:r>
        <w:rPr>
          <w:rStyle w:val="Refdenotaalpie"/>
        </w:rPr>
        <w:footnoteRef/>
      </w:r>
      <w:r>
        <w:t xml:space="preserve"> Convención Americana sobre Derechos Humanos. Artículo 13.</w:t>
      </w:r>
    </w:p>
  </w:footnote>
  <w:footnote w:id="5">
    <w:p w:rsidR="00A04DDC" w:rsidRDefault="00A04DDC" w:rsidP="00A04DDC">
      <w:pPr>
        <w:pStyle w:val="Textonotapie"/>
      </w:pPr>
      <w:r>
        <w:rPr>
          <w:rStyle w:val="Refdenotaalpie"/>
        </w:rPr>
        <w:footnoteRef/>
      </w:r>
      <w:r>
        <w:t xml:space="preserve"> Constitución Política de los Estados Unidos Mexicanos. Artículo sexto, sección A, Fracción I.</w:t>
      </w:r>
    </w:p>
  </w:footnote>
  <w:footnote w:id="6">
    <w:p w:rsidR="00A04DDC" w:rsidRDefault="00A04DDC" w:rsidP="00A04DDC">
      <w:pPr>
        <w:pStyle w:val="Textonotapie"/>
      </w:pPr>
      <w:r>
        <w:rPr>
          <w:rStyle w:val="Refdenotaalpie"/>
        </w:rPr>
        <w:footnoteRef/>
      </w:r>
      <w:r>
        <w:t xml:space="preserve"> Corte Interamericana de Derechos Humanos. Caso Claude Reyes y otros vs Chile. Sentencia de 19 de septiembre de 2006. Serie C. No. 151. Párr. 86.</w:t>
      </w:r>
    </w:p>
  </w:footnote>
  <w:footnote w:id="7">
    <w:p w:rsidR="00A04DDC" w:rsidRDefault="00A04DDC" w:rsidP="00A04DDC">
      <w:pPr>
        <w:pStyle w:val="Textonotapie"/>
      </w:pPr>
      <w:r>
        <w:rPr>
          <w:rStyle w:val="Refdenotaalpie"/>
        </w:rPr>
        <w:footnoteRef/>
      </w:r>
      <w:r>
        <w:t xml:space="preserve"> Ibídem. Párr. 87.</w:t>
      </w:r>
    </w:p>
  </w:footnote>
  <w:footnote w:id="8">
    <w:p w:rsidR="00A04DDC" w:rsidRDefault="00A04DDC" w:rsidP="00A04DDC">
      <w:pPr>
        <w:pStyle w:val="Textonotapie"/>
      </w:pPr>
      <w:r>
        <w:rPr>
          <w:rStyle w:val="Refdenotaalpie"/>
        </w:rPr>
        <w:footnoteRef/>
      </w:r>
      <w: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2" w:history="1">
        <w:r w:rsidRPr="0089286F">
          <w:rPr>
            <w:rStyle w:val="Hipervnculo"/>
          </w:rPr>
          <w:t>http://www.oas.org/es/cidh/expresion/documentos_basicos/declaraciones.asp</w:t>
        </w:r>
      </w:hyperlink>
      <w:r>
        <w:t>.</w:t>
      </w:r>
    </w:p>
  </w:footnote>
  <w:footnote w:id="9">
    <w:p w:rsidR="00A04DDC" w:rsidRDefault="00A04DDC" w:rsidP="00A04DDC">
      <w:pPr>
        <w:pStyle w:val="Textonotapie"/>
      </w:pPr>
      <w:r>
        <w:rPr>
          <w:rStyle w:val="Refdenotaalpie"/>
        </w:rPr>
        <w:footnoteRef/>
      </w:r>
      <w:r>
        <w:t xml:space="preserve"> Artículo 150. Ley de Transparencia y Acceso a la Información Pública del Estado de México y Municipios.</w:t>
      </w:r>
    </w:p>
    <w:p w:rsidR="00A04DDC" w:rsidRDefault="00A04DDC" w:rsidP="00A04DDC">
      <w:pPr>
        <w:pStyle w:val="Textonotapie"/>
      </w:pPr>
      <w:r>
        <w:t>Artículo 151. Ibídem.</w:t>
      </w:r>
    </w:p>
  </w:footnote>
  <w:footnote w:id="10">
    <w:p w:rsidR="00A04DDC" w:rsidRDefault="00A04DDC" w:rsidP="00A04DDC">
      <w:pPr>
        <w:pStyle w:val="Textonotapie"/>
      </w:pPr>
      <w:r>
        <w:rPr>
          <w:rStyle w:val="Refdenotaalpie"/>
        </w:rPr>
        <w:footnoteRef/>
      </w:r>
      <w:r>
        <w:t xml:space="preserve"> Ley de Transparencia y Acceso a la Información Pública del Estado de México y Municipios. Artículo 9. …</w:t>
      </w:r>
    </w:p>
    <w:p w:rsidR="00A04DDC" w:rsidRDefault="00A04DDC" w:rsidP="00A04DDC">
      <w:pPr>
        <w:pStyle w:val="Textonotapie"/>
      </w:pPr>
      <w:r>
        <w:t>II. Eficacia: Obligación del Instituto para tutelar, de manera efectiva, el derecho de acceso a la información;</w:t>
      </w:r>
    </w:p>
    <w:p w:rsidR="00A04DDC" w:rsidRDefault="00A04DDC" w:rsidP="00A04DDC">
      <w:pPr>
        <w:pStyle w:val="Textonotapie"/>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DDC" w:rsidRDefault="00AE1998">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0" o:spid="_x0000_s2050" type="#_x0000_t75" style="position:absolute;margin-left:0;margin-top:0;width:663.5pt;height:12in;z-index:-251659776;mso-position-horizontal:center;mso-position-horizontal-relative:margin;mso-position-vertical:center;mso-position-vertical-relative:margin" o:allowincell="f">
          <v:imagedata r:id="rId1" o:title="marcaaguaINFOEM"/>
          <w10:wrap anchorx="margin" anchory="margin"/>
        </v:shape>
      </w:pict>
    </w:r>
  </w:p>
  <w:p w:rsidR="00A04DDC" w:rsidRDefault="00A04DDC"/>
  <w:p w:rsidR="00A04DDC" w:rsidRDefault="00A04DDC"/>
  <w:p w:rsidR="00A04DDC" w:rsidRDefault="00A04D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Layout w:type="fixed"/>
      <w:tblLook w:val="04A0" w:firstRow="1" w:lastRow="0" w:firstColumn="1" w:lastColumn="0" w:noHBand="0" w:noVBand="1"/>
    </w:tblPr>
    <w:tblGrid>
      <w:gridCol w:w="1843"/>
      <w:gridCol w:w="7513"/>
    </w:tblGrid>
    <w:tr w:rsidR="00A04DDC" w:rsidTr="002D48C5">
      <w:trPr>
        <w:trHeight w:val="1435"/>
      </w:trPr>
      <w:tc>
        <w:tcPr>
          <w:tcW w:w="1843" w:type="dxa"/>
          <w:shd w:val="clear" w:color="auto" w:fill="auto"/>
        </w:tcPr>
        <w:p w:rsidR="00A04DDC" w:rsidRDefault="00A04DDC">
          <w:pPr>
            <w:tabs>
              <w:tab w:val="right" w:pos="4273"/>
            </w:tabs>
            <w:rPr>
              <w:rFonts w:ascii="Garamond" w:eastAsia="Calibri" w:hAnsi="Garamond"/>
              <w:sz w:val="16"/>
              <w:szCs w:val="16"/>
              <w:lang w:eastAsia="en-US"/>
            </w:rPr>
          </w:pPr>
          <w:r>
            <w:rPr>
              <w:rFonts w:ascii="Garamond" w:eastAsia="Calibri" w:hAnsi="Garamond"/>
              <w:sz w:val="16"/>
              <w:szCs w:val="16"/>
              <w:lang w:eastAsia="en-US"/>
            </w:rPr>
            <w:t xml:space="preserve"> </w:t>
          </w:r>
        </w:p>
      </w:tc>
      <w:tc>
        <w:tcPr>
          <w:tcW w:w="7513" w:type="dxa"/>
          <w:shd w:val="clear" w:color="auto" w:fill="auto"/>
        </w:tcPr>
        <w:p w:rsidR="00A04DDC" w:rsidRDefault="00A04DDC"/>
        <w:tbl>
          <w:tblPr>
            <w:tblStyle w:val="Tablaconcuadrcula"/>
            <w:tblW w:w="7095" w:type="dxa"/>
            <w:tblInd w:w="1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1"/>
            <w:gridCol w:w="4544"/>
          </w:tblGrid>
          <w:tr w:rsidR="00A04DDC" w:rsidTr="002D48C5">
            <w:trPr>
              <w:trHeight w:val="338"/>
            </w:trPr>
            <w:tc>
              <w:tcPr>
                <w:tcW w:w="2551" w:type="dxa"/>
              </w:tcPr>
              <w:p w:rsidR="00A04DDC" w:rsidRDefault="00A04DDC">
                <w:pPr>
                  <w:tabs>
                    <w:tab w:val="right" w:pos="8838"/>
                  </w:tabs>
                  <w:ind w:right="-105"/>
                  <w:rPr>
                    <w:rFonts w:ascii="Palatino Linotype" w:eastAsia="Calibri" w:hAnsi="Palatino Linotype" w:cs="Tahoma"/>
                    <w:b/>
                    <w:sz w:val="22"/>
                    <w:szCs w:val="22"/>
                    <w:lang w:eastAsia="en-US"/>
                  </w:rPr>
                </w:pPr>
              </w:p>
              <w:p w:rsidR="00A04DDC" w:rsidRDefault="00A04DDC">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Recurso de Revisión:</w:t>
                </w:r>
              </w:p>
            </w:tc>
            <w:tc>
              <w:tcPr>
                <w:tcW w:w="4544" w:type="dxa"/>
              </w:tcPr>
              <w:p w:rsidR="00A04DDC" w:rsidRDefault="00A04DDC" w:rsidP="002D48C5">
                <w:pPr>
                  <w:tabs>
                    <w:tab w:val="right" w:pos="8838"/>
                  </w:tabs>
                  <w:ind w:right="-105" w:hanging="101"/>
                  <w:jc w:val="both"/>
                  <w:rPr>
                    <w:rFonts w:ascii="Palatino Linotype" w:eastAsia="Calibri" w:hAnsi="Palatino Linotype" w:cs="Tahoma"/>
                    <w:bCs/>
                    <w:sz w:val="22"/>
                    <w:szCs w:val="22"/>
                    <w:lang w:eastAsia="en-US"/>
                  </w:rPr>
                </w:pPr>
              </w:p>
              <w:p w:rsidR="00A04DDC" w:rsidRDefault="00A04DDC" w:rsidP="002D48C5">
                <w:pPr>
                  <w:tabs>
                    <w:tab w:val="right" w:pos="8838"/>
                  </w:tabs>
                  <w:ind w:right="-105" w:hanging="101"/>
                  <w:jc w:val="both"/>
                  <w:rPr>
                    <w:rFonts w:ascii="Palatino Linotype" w:eastAsia="Calibri" w:hAnsi="Palatino Linotype" w:cs="Tahoma"/>
                    <w:bCs/>
                    <w:sz w:val="22"/>
                    <w:szCs w:val="22"/>
                    <w:lang w:eastAsia="en-US"/>
                  </w:rPr>
                </w:pPr>
                <w:r w:rsidRPr="001C52A7">
                  <w:rPr>
                    <w:rFonts w:ascii="Palatino Linotype" w:hAnsi="Palatino Linotype" w:cs="Arial"/>
                    <w:b/>
                    <w:sz w:val="24"/>
                    <w:szCs w:val="24"/>
                  </w:rPr>
                  <w:t>0</w:t>
                </w:r>
                <w:r>
                  <w:rPr>
                    <w:rFonts w:ascii="Palatino Linotype" w:hAnsi="Palatino Linotype" w:cs="Arial"/>
                    <w:b/>
                    <w:sz w:val="24"/>
                    <w:szCs w:val="24"/>
                  </w:rPr>
                  <w:t>1628</w:t>
                </w:r>
                <w:r w:rsidRPr="001C52A7">
                  <w:rPr>
                    <w:rFonts w:ascii="Palatino Linotype" w:hAnsi="Palatino Linotype" w:cs="Arial"/>
                    <w:b/>
                    <w:sz w:val="24"/>
                    <w:szCs w:val="24"/>
                  </w:rPr>
                  <w:t>/</w:t>
                </w:r>
                <w:r>
                  <w:rPr>
                    <w:rFonts w:ascii="Palatino Linotype" w:eastAsia="Calibri" w:hAnsi="Palatino Linotype" w:cs="Tahoma"/>
                    <w:b/>
                    <w:sz w:val="24"/>
                    <w:lang w:eastAsia="en-US"/>
                  </w:rPr>
                  <w:t>INFOEM/IP/RR/2024</w:t>
                </w:r>
                <w:r w:rsidRPr="00130842">
                  <w:rPr>
                    <w:rFonts w:ascii="Palatino Linotype" w:eastAsia="Calibri" w:hAnsi="Palatino Linotype" w:cs="Tahoma"/>
                    <w:bCs/>
                    <w:szCs w:val="22"/>
                    <w:lang w:eastAsia="en-US"/>
                  </w:rPr>
                  <w:t xml:space="preserve"> </w:t>
                </w:r>
              </w:p>
            </w:tc>
          </w:tr>
          <w:tr w:rsidR="00A04DDC" w:rsidTr="002D48C5">
            <w:trPr>
              <w:trHeight w:val="283"/>
            </w:trPr>
            <w:tc>
              <w:tcPr>
                <w:tcW w:w="2551" w:type="dxa"/>
              </w:tcPr>
              <w:p w:rsidR="00A04DDC" w:rsidRDefault="00A04DDC">
                <w:pPr>
                  <w:tabs>
                    <w:tab w:val="right" w:pos="8838"/>
                  </w:tabs>
                  <w:ind w:right="-105"/>
                  <w:rPr>
                    <w:rFonts w:ascii="Palatino Linotype" w:eastAsia="Calibri" w:hAnsi="Palatino Linotype" w:cs="Tahoma"/>
                    <w:b/>
                    <w:sz w:val="22"/>
                    <w:szCs w:val="22"/>
                    <w:lang w:eastAsia="en-US"/>
                  </w:rPr>
                </w:pPr>
                <w:bookmarkStart w:id="25" w:name="_Hlk33010189"/>
                <w:r>
                  <w:rPr>
                    <w:rFonts w:ascii="Palatino Linotype" w:eastAsia="Calibri" w:hAnsi="Palatino Linotype" w:cs="Tahoma"/>
                    <w:b/>
                    <w:sz w:val="22"/>
                    <w:szCs w:val="22"/>
                    <w:lang w:eastAsia="en-US"/>
                  </w:rPr>
                  <w:t>Sujeto Obligado:</w:t>
                </w:r>
              </w:p>
            </w:tc>
            <w:tc>
              <w:tcPr>
                <w:tcW w:w="4544" w:type="dxa"/>
              </w:tcPr>
              <w:p w:rsidR="00A04DDC" w:rsidRPr="00130842" w:rsidRDefault="00A04DDC" w:rsidP="002D48C5">
                <w:pPr>
                  <w:tabs>
                    <w:tab w:val="left" w:pos="2834"/>
                    <w:tab w:val="right" w:pos="8838"/>
                  </w:tabs>
                  <w:ind w:left="-113" w:right="1318"/>
                  <w:jc w:val="both"/>
                  <w:rPr>
                    <w:rFonts w:ascii="Palatino Linotype" w:eastAsia="Calibri" w:hAnsi="Palatino Linotype" w:cs="Tahoma"/>
                    <w:b/>
                    <w:sz w:val="22"/>
                    <w:szCs w:val="22"/>
                    <w:lang w:eastAsia="en-US"/>
                  </w:rPr>
                </w:pPr>
                <w:r>
                  <w:rPr>
                    <w:rFonts w:ascii="Palatino Linotype" w:eastAsia="Calibri" w:hAnsi="Palatino Linotype" w:cs="Arial"/>
                    <w:b/>
                    <w:bCs/>
                    <w:sz w:val="22"/>
                    <w:lang w:val="es-MX"/>
                  </w:rPr>
                  <w:t>Ayuntamiento de Teotihuacán</w:t>
                </w:r>
              </w:p>
            </w:tc>
          </w:tr>
          <w:bookmarkEnd w:id="25"/>
          <w:tr w:rsidR="00A04DDC" w:rsidTr="002D48C5">
            <w:trPr>
              <w:trHeight w:val="283"/>
            </w:trPr>
            <w:tc>
              <w:tcPr>
                <w:tcW w:w="2551" w:type="dxa"/>
              </w:tcPr>
              <w:p w:rsidR="00A04DDC" w:rsidRDefault="00A04DDC">
                <w:pPr>
                  <w:tabs>
                    <w:tab w:val="right" w:pos="8838"/>
                  </w:tabs>
                  <w:ind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544" w:type="dxa"/>
              </w:tcPr>
              <w:p w:rsidR="00A04DDC" w:rsidRPr="00130842" w:rsidRDefault="00A04DDC" w:rsidP="002D48C5">
                <w:pPr>
                  <w:tabs>
                    <w:tab w:val="right" w:pos="8838"/>
                  </w:tabs>
                  <w:ind w:left="-11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r>
        </w:tbl>
        <w:p w:rsidR="00A04DDC" w:rsidRDefault="00A04DDC">
          <w:pPr>
            <w:tabs>
              <w:tab w:val="right" w:pos="8838"/>
            </w:tabs>
            <w:ind w:left="-28"/>
            <w:jc w:val="both"/>
            <w:rPr>
              <w:rFonts w:ascii="Arial" w:eastAsia="Calibri" w:hAnsi="Arial" w:cs="Arial"/>
              <w:b/>
              <w:sz w:val="22"/>
              <w:szCs w:val="22"/>
              <w:lang w:eastAsia="en-US"/>
            </w:rPr>
          </w:pPr>
        </w:p>
      </w:tc>
    </w:tr>
  </w:tbl>
  <w:p w:rsidR="00A04DDC" w:rsidRDefault="00AE1998" w:rsidP="002D48C5">
    <w:pPr>
      <w:pStyle w:val="Encabezado"/>
      <w:rPr>
        <w:sz w:val="14"/>
      </w:rPr>
    </w:pPr>
    <w:r>
      <w:rPr>
        <w:noProof/>
        <w:sz w:val="1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11" o:spid="_x0000_s2051" type="#_x0000_t75" style="position:absolute;margin-left:-104.3pt;margin-top:-133.1pt;width:663.5pt;height:12in;z-index:-251658752;mso-position-horizontal-relative:margin;mso-position-vertical-relative:margin" o:allowincell="f">
          <v:imagedata r:id="rId1" o:title="marcaaguaINFOEM"/>
          <w10:wrap anchorx="margin" anchory="margin"/>
        </v:shape>
      </w:pict>
    </w:r>
  </w:p>
  <w:p w:rsidR="00A04DDC" w:rsidRDefault="00A04DDC"/>
  <w:p w:rsidR="00A04DDC" w:rsidRDefault="00A04DDC"/>
  <w:p w:rsidR="00A04DDC" w:rsidRDefault="00A04DD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Layout w:type="fixed"/>
      <w:tblLook w:val="04A0" w:firstRow="1" w:lastRow="0" w:firstColumn="1" w:lastColumn="0" w:noHBand="0" w:noVBand="1"/>
    </w:tblPr>
    <w:tblGrid>
      <w:gridCol w:w="1560"/>
      <w:gridCol w:w="7938"/>
    </w:tblGrid>
    <w:tr w:rsidR="00A04DDC" w:rsidTr="002D48C5">
      <w:trPr>
        <w:trHeight w:val="1435"/>
      </w:trPr>
      <w:tc>
        <w:tcPr>
          <w:tcW w:w="1560" w:type="dxa"/>
          <w:shd w:val="clear" w:color="auto" w:fill="auto"/>
        </w:tcPr>
        <w:p w:rsidR="00A04DDC" w:rsidRDefault="00A04DDC">
          <w:pPr>
            <w:tabs>
              <w:tab w:val="right" w:pos="4273"/>
            </w:tabs>
            <w:rPr>
              <w:rFonts w:ascii="Garamond" w:eastAsia="Calibri" w:hAnsi="Garamond"/>
              <w:sz w:val="22"/>
              <w:szCs w:val="22"/>
              <w:lang w:eastAsia="en-US"/>
            </w:rPr>
          </w:pPr>
        </w:p>
      </w:tc>
      <w:tc>
        <w:tcPr>
          <w:tcW w:w="7938" w:type="dxa"/>
          <w:shd w:val="clear" w:color="auto" w:fill="auto"/>
        </w:tcPr>
        <w:tbl>
          <w:tblPr>
            <w:tblStyle w:val="Tablaconcuadrcula"/>
            <w:tblW w:w="10492" w:type="dxa"/>
            <w:tblInd w:w="1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4"/>
            <w:gridCol w:w="4646"/>
            <w:gridCol w:w="3402"/>
          </w:tblGrid>
          <w:tr w:rsidR="00A04DDC" w:rsidTr="002D48C5">
            <w:trPr>
              <w:trHeight w:val="144"/>
            </w:trPr>
            <w:tc>
              <w:tcPr>
                <w:tcW w:w="2444" w:type="dxa"/>
              </w:tcPr>
              <w:p w:rsidR="00A04DDC" w:rsidRDefault="00A04DDC" w:rsidP="002D48C5">
                <w:pPr>
                  <w:tabs>
                    <w:tab w:val="right" w:pos="8838"/>
                  </w:tabs>
                  <w:ind w:left="-74" w:right="-105"/>
                  <w:rPr>
                    <w:rFonts w:ascii="Palatino Linotype" w:eastAsia="Calibri" w:hAnsi="Palatino Linotype" w:cs="Tahoma"/>
                    <w:b/>
                    <w:sz w:val="22"/>
                    <w:szCs w:val="22"/>
                    <w:lang w:eastAsia="en-US"/>
                  </w:rPr>
                </w:pPr>
                <w:bookmarkStart w:id="26" w:name="_Hlk12526980"/>
                <w:r>
                  <w:rPr>
                    <w:rFonts w:ascii="Palatino Linotype" w:eastAsia="Calibri" w:hAnsi="Palatino Linotype" w:cs="Tahoma"/>
                    <w:b/>
                    <w:sz w:val="22"/>
                    <w:szCs w:val="22"/>
                    <w:lang w:eastAsia="en-US"/>
                  </w:rPr>
                  <w:t>Recurso de Revisión:</w:t>
                </w:r>
              </w:p>
            </w:tc>
            <w:tc>
              <w:tcPr>
                <w:tcW w:w="4646" w:type="dxa"/>
              </w:tcPr>
              <w:p w:rsidR="00A04DDC" w:rsidRPr="0000791B" w:rsidRDefault="00A04DDC" w:rsidP="002D48C5">
                <w:pPr>
                  <w:tabs>
                    <w:tab w:val="right" w:pos="8838"/>
                  </w:tabs>
                  <w:ind w:left="-3" w:right="-105"/>
                  <w:jc w:val="both"/>
                  <w:rPr>
                    <w:rFonts w:ascii="Palatino Linotype" w:eastAsia="Calibri" w:hAnsi="Palatino Linotype" w:cs="Tahoma"/>
                    <w:sz w:val="22"/>
                    <w:szCs w:val="22"/>
                    <w:lang w:eastAsia="en-US"/>
                  </w:rPr>
                </w:pPr>
                <w:r w:rsidRPr="001C52A7">
                  <w:rPr>
                    <w:rFonts w:ascii="Palatino Linotype" w:hAnsi="Palatino Linotype" w:cs="Arial"/>
                    <w:b/>
                    <w:sz w:val="24"/>
                    <w:szCs w:val="24"/>
                  </w:rPr>
                  <w:t>0</w:t>
                </w:r>
                <w:r>
                  <w:rPr>
                    <w:rFonts w:ascii="Palatino Linotype" w:hAnsi="Palatino Linotype" w:cs="Arial"/>
                    <w:b/>
                    <w:sz w:val="24"/>
                    <w:szCs w:val="24"/>
                  </w:rPr>
                  <w:t>1628</w:t>
                </w:r>
                <w:r w:rsidRPr="001C52A7">
                  <w:rPr>
                    <w:rFonts w:ascii="Palatino Linotype" w:hAnsi="Palatino Linotype" w:cs="Arial"/>
                    <w:b/>
                    <w:sz w:val="24"/>
                    <w:szCs w:val="24"/>
                  </w:rPr>
                  <w:t>/</w:t>
                </w:r>
                <w:r>
                  <w:rPr>
                    <w:rFonts w:ascii="Palatino Linotype" w:eastAsia="Calibri" w:hAnsi="Palatino Linotype" w:cs="Tahoma"/>
                    <w:b/>
                    <w:sz w:val="24"/>
                    <w:lang w:eastAsia="en-US"/>
                  </w:rPr>
                  <w:t>INFOEM/IP/RR/2024</w:t>
                </w:r>
              </w:p>
            </w:tc>
            <w:tc>
              <w:tcPr>
                <w:tcW w:w="3402" w:type="dxa"/>
              </w:tcPr>
              <w:p w:rsidR="00A04DDC" w:rsidRDefault="00A04DDC">
                <w:pPr>
                  <w:tabs>
                    <w:tab w:val="right" w:pos="8838"/>
                  </w:tabs>
                  <w:ind w:left="-74" w:right="-105"/>
                  <w:jc w:val="both"/>
                  <w:rPr>
                    <w:rFonts w:ascii="Palatino Linotype" w:eastAsia="Calibri" w:hAnsi="Palatino Linotype" w:cs="Tahoma"/>
                    <w:bCs/>
                    <w:sz w:val="22"/>
                    <w:szCs w:val="22"/>
                    <w:lang w:eastAsia="en-US"/>
                  </w:rPr>
                </w:pPr>
              </w:p>
            </w:tc>
          </w:tr>
          <w:tr w:rsidR="00A04DDC" w:rsidTr="002D48C5">
            <w:trPr>
              <w:trHeight w:val="144"/>
            </w:trPr>
            <w:tc>
              <w:tcPr>
                <w:tcW w:w="2444" w:type="dxa"/>
              </w:tcPr>
              <w:p w:rsidR="00A04DDC" w:rsidRDefault="00A04DDC" w:rsidP="002D48C5">
                <w:pPr>
                  <w:tabs>
                    <w:tab w:val="right" w:pos="8838"/>
                  </w:tabs>
                  <w:ind w:left="-74" w:right="-105"/>
                  <w:rPr>
                    <w:rFonts w:ascii="Palatino Linotype" w:eastAsia="Calibri" w:hAnsi="Palatino Linotype" w:cs="Tahoma"/>
                    <w:b/>
                    <w:sz w:val="22"/>
                    <w:szCs w:val="22"/>
                    <w:lang w:eastAsia="en-US"/>
                  </w:rPr>
                </w:pPr>
                <w:bookmarkStart w:id="27" w:name="_Hlk10641523"/>
                <w:bookmarkEnd w:id="26"/>
                <w:r>
                  <w:rPr>
                    <w:rFonts w:ascii="Palatino Linotype" w:eastAsia="Calibri" w:hAnsi="Palatino Linotype" w:cs="Tahoma"/>
                    <w:b/>
                    <w:sz w:val="22"/>
                    <w:szCs w:val="22"/>
                    <w:lang w:eastAsia="en-US"/>
                  </w:rPr>
                  <w:t>Recurrente:</w:t>
                </w:r>
              </w:p>
            </w:tc>
            <w:tc>
              <w:tcPr>
                <w:tcW w:w="4646" w:type="dxa"/>
              </w:tcPr>
              <w:p w:rsidR="00A04DDC" w:rsidRPr="00427E2F" w:rsidRDefault="009D4CD2" w:rsidP="002D48C5">
                <w:pPr>
                  <w:tabs>
                    <w:tab w:val="left" w:pos="3122"/>
                    <w:tab w:val="right" w:pos="8838"/>
                  </w:tabs>
                  <w:ind w:right="1457"/>
                  <w:jc w:val="both"/>
                  <w:rPr>
                    <w:rFonts w:ascii="Palatino Linotype" w:eastAsia="Calibri" w:hAnsi="Palatino Linotype" w:cs="Tahoma"/>
                    <w:b/>
                    <w:sz w:val="22"/>
                    <w:szCs w:val="22"/>
                    <w:lang w:eastAsia="en-US"/>
                  </w:rPr>
                </w:pPr>
                <w:r>
                  <w:rPr>
                    <w:rFonts w:ascii="Palatino Linotype" w:eastAsia="Calibri" w:hAnsi="Palatino Linotype" w:cs="Tahoma"/>
                    <w:b/>
                    <w:bCs/>
                    <w:sz w:val="22"/>
                    <w:szCs w:val="22"/>
                    <w:lang w:val="es-MX" w:eastAsia="en-US"/>
                  </w:rPr>
                  <w:t>XXXXXXXXX</w:t>
                </w:r>
              </w:p>
            </w:tc>
            <w:tc>
              <w:tcPr>
                <w:tcW w:w="3402" w:type="dxa"/>
              </w:tcPr>
              <w:p w:rsidR="00A04DDC" w:rsidRDefault="00A04DDC" w:rsidP="002D48C5">
                <w:pPr>
                  <w:tabs>
                    <w:tab w:val="left" w:pos="3122"/>
                    <w:tab w:val="right" w:pos="8838"/>
                  </w:tabs>
                  <w:ind w:right="-105"/>
                  <w:jc w:val="both"/>
                  <w:rPr>
                    <w:rFonts w:ascii="Palatino Linotype" w:eastAsia="Calibri" w:hAnsi="Palatino Linotype" w:cs="Tahoma"/>
                    <w:sz w:val="22"/>
                    <w:szCs w:val="22"/>
                    <w:lang w:eastAsia="en-US"/>
                  </w:rPr>
                </w:pPr>
              </w:p>
            </w:tc>
          </w:tr>
          <w:bookmarkEnd w:id="27"/>
          <w:tr w:rsidR="00A04DDC" w:rsidTr="002D48C5">
            <w:trPr>
              <w:trHeight w:val="283"/>
            </w:trPr>
            <w:tc>
              <w:tcPr>
                <w:tcW w:w="2444" w:type="dxa"/>
              </w:tcPr>
              <w:p w:rsidR="00A04DDC" w:rsidRDefault="00A04DDC" w:rsidP="002D48C5">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Sujeto Obligado:</w:t>
                </w:r>
              </w:p>
            </w:tc>
            <w:tc>
              <w:tcPr>
                <w:tcW w:w="4646" w:type="dxa"/>
              </w:tcPr>
              <w:p w:rsidR="00A04DDC" w:rsidRPr="00130842" w:rsidRDefault="00A04DDC" w:rsidP="002D48C5">
                <w:pPr>
                  <w:tabs>
                    <w:tab w:val="left" w:pos="2834"/>
                    <w:tab w:val="right" w:pos="8838"/>
                  </w:tabs>
                  <w:ind w:left="-3" w:right="1315"/>
                  <w:jc w:val="both"/>
                  <w:rPr>
                    <w:rFonts w:ascii="Palatino Linotype" w:eastAsia="Calibri" w:hAnsi="Palatino Linotype" w:cs="Tahoma"/>
                    <w:b/>
                    <w:sz w:val="22"/>
                    <w:szCs w:val="22"/>
                    <w:lang w:eastAsia="en-US"/>
                  </w:rPr>
                </w:pPr>
                <w:r>
                  <w:rPr>
                    <w:rFonts w:ascii="Palatino Linotype" w:eastAsia="Calibri" w:hAnsi="Palatino Linotype" w:cs="Arial"/>
                    <w:b/>
                    <w:bCs/>
                    <w:sz w:val="22"/>
                    <w:lang w:val="es-MX"/>
                  </w:rPr>
                  <w:t>Ayuntamiento de Teotihuacán</w:t>
                </w:r>
              </w:p>
            </w:tc>
            <w:tc>
              <w:tcPr>
                <w:tcW w:w="3402" w:type="dxa"/>
              </w:tcPr>
              <w:p w:rsidR="00A04DDC" w:rsidRDefault="00A04DDC">
                <w:pPr>
                  <w:tabs>
                    <w:tab w:val="left" w:pos="2834"/>
                    <w:tab w:val="right" w:pos="8838"/>
                  </w:tabs>
                  <w:ind w:left="-74" w:right="-105"/>
                  <w:jc w:val="both"/>
                  <w:rPr>
                    <w:rFonts w:ascii="Palatino Linotype" w:eastAsia="Calibri" w:hAnsi="Palatino Linotype" w:cs="Tahoma"/>
                    <w:sz w:val="22"/>
                    <w:szCs w:val="22"/>
                    <w:lang w:eastAsia="en-US"/>
                  </w:rPr>
                </w:pPr>
              </w:p>
            </w:tc>
          </w:tr>
          <w:tr w:rsidR="00A04DDC" w:rsidTr="002D48C5">
            <w:trPr>
              <w:trHeight w:val="283"/>
            </w:trPr>
            <w:tc>
              <w:tcPr>
                <w:tcW w:w="2444" w:type="dxa"/>
              </w:tcPr>
              <w:p w:rsidR="00A04DDC" w:rsidRDefault="00A04DDC" w:rsidP="002D48C5">
                <w:pPr>
                  <w:tabs>
                    <w:tab w:val="right" w:pos="8838"/>
                  </w:tabs>
                  <w:ind w:left="-74" w:right="-105"/>
                  <w:rPr>
                    <w:rFonts w:ascii="Palatino Linotype" w:eastAsia="Calibri" w:hAnsi="Palatino Linotype" w:cs="Tahoma"/>
                    <w:b/>
                    <w:sz w:val="22"/>
                    <w:szCs w:val="22"/>
                    <w:lang w:eastAsia="en-US"/>
                  </w:rPr>
                </w:pPr>
                <w:r>
                  <w:rPr>
                    <w:rFonts w:ascii="Palatino Linotype" w:eastAsia="Calibri" w:hAnsi="Palatino Linotype" w:cs="Tahoma"/>
                    <w:b/>
                    <w:sz w:val="22"/>
                    <w:szCs w:val="22"/>
                    <w:lang w:eastAsia="en-US"/>
                  </w:rPr>
                  <w:t>Comisionada Ponente:</w:t>
                </w:r>
              </w:p>
            </w:tc>
            <w:tc>
              <w:tcPr>
                <w:tcW w:w="4646" w:type="dxa"/>
              </w:tcPr>
              <w:p w:rsidR="00A04DDC" w:rsidRPr="00130842" w:rsidRDefault="00A04DDC" w:rsidP="002D48C5">
                <w:pPr>
                  <w:tabs>
                    <w:tab w:val="right" w:pos="8838"/>
                  </w:tabs>
                  <w:ind w:left="-3" w:right="-105"/>
                  <w:jc w:val="both"/>
                  <w:rPr>
                    <w:rFonts w:ascii="Palatino Linotype" w:eastAsia="Calibri" w:hAnsi="Palatino Linotype" w:cs="Tahoma"/>
                    <w:b/>
                    <w:sz w:val="22"/>
                    <w:szCs w:val="22"/>
                    <w:lang w:eastAsia="en-US"/>
                  </w:rPr>
                </w:pPr>
                <w:r w:rsidRPr="00130842">
                  <w:rPr>
                    <w:rFonts w:ascii="Palatino Linotype" w:eastAsia="Calibri" w:hAnsi="Palatino Linotype" w:cs="Tahoma"/>
                    <w:b/>
                    <w:sz w:val="22"/>
                    <w:szCs w:val="22"/>
                    <w:lang w:eastAsia="en-US"/>
                  </w:rPr>
                  <w:t>María del Rosario Mejía Ayala</w:t>
                </w:r>
              </w:p>
            </w:tc>
            <w:tc>
              <w:tcPr>
                <w:tcW w:w="3402" w:type="dxa"/>
              </w:tcPr>
              <w:p w:rsidR="00A04DDC" w:rsidRDefault="00A04DDC">
                <w:pPr>
                  <w:tabs>
                    <w:tab w:val="right" w:pos="8838"/>
                  </w:tabs>
                  <w:ind w:left="-74" w:right="-105"/>
                  <w:jc w:val="both"/>
                  <w:rPr>
                    <w:rFonts w:ascii="Palatino Linotype" w:eastAsia="Calibri" w:hAnsi="Palatino Linotype" w:cs="Tahoma"/>
                    <w:sz w:val="22"/>
                    <w:szCs w:val="22"/>
                    <w:lang w:eastAsia="en-US"/>
                  </w:rPr>
                </w:pPr>
              </w:p>
            </w:tc>
          </w:tr>
        </w:tbl>
        <w:p w:rsidR="00A04DDC" w:rsidRDefault="00A04DDC">
          <w:pPr>
            <w:tabs>
              <w:tab w:val="right" w:pos="8838"/>
            </w:tabs>
            <w:ind w:left="-28"/>
            <w:jc w:val="both"/>
            <w:rPr>
              <w:rFonts w:ascii="Arial" w:eastAsia="Calibri" w:hAnsi="Arial" w:cs="Arial"/>
              <w:b/>
              <w:sz w:val="22"/>
              <w:szCs w:val="22"/>
              <w:lang w:eastAsia="en-US"/>
            </w:rPr>
          </w:pPr>
        </w:p>
      </w:tc>
    </w:tr>
  </w:tbl>
  <w:p w:rsidR="00A04DDC" w:rsidRDefault="00AE1998" w:rsidP="002D48C5">
    <w:pPr>
      <w:pStyle w:val="Encabezado"/>
      <w:tabs>
        <w:tab w:val="clear" w:pos="4419"/>
        <w:tab w:val="clear" w:pos="8838"/>
        <w:tab w:val="center" w:pos="4522"/>
      </w:tabs>
    </w:pPr>
    <w:r>
      <w:rPr>
        <w:noProof/>
        <w:sz w:val="14"/>
        <w:szCs w:val="22"/>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053609" o:spid="_x0000_s2049" type="#_x0000_t75" style="position:absolute;margin-left:-75.8pt;margin-top:-134.3pt;width:663.5pt;height:12in;z-index:-251657728;mso-position-horizontal-relative:margin;mso-position-vertical-relative:margin" o:allowincell="f">
          <v:imagedata r:id="rId1" o:title="marcaaguaINFOEM"/>
          <w10:wrap anchorx="margin" anchory="margin"/>
        </v:shape>
      </w:pict>
    </w:r>
  </w:p>
  <w:p w:rsidR="00A04DDC" w:rsidRDefault="00A04DDC"/>
  <w:p w:rsidR="00A04DDC" w:rsidRDefault="00A04D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04FA4"/>
    <w:multiLevelType w:val="hybridMultilevel"/>
    <w:tmpl w:val="17A2FECA"/>
    <w:lvl w:ilvl="0" w:tplc="57E2D054">
      <w:start w:val="9"/>
      <w:numFmt w:val="decimal"/>
      <w:lvlText w:val="%1."/>
      <w:lvlJc w:val="left"/>
      <w:pPr>
        <w:ind w:left="360" w:hanging="360"/>
      </w:pPr>
      <w:rPr>
        <w:rFonts w:hint="default"/>
        <w:b/>
        <w:i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717FF3"/>
    <w:multiLevelType w:val="multilevel"/>
    <w:tmpl w:val="B6F6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317490"/>
    <w:multiLevelType w:val="hybridMultilevel"/>
    <w:tmpl w:val="FD30DC42"/>
    <w:lvl w:ilvl="0" w:tplc="92BE0B36">
      <w:start w:val="1"/>
      <w:numFmt w:val="decimal"/>
      <w:lvlText w:val="%1."/>
      <w:lvlJc w:val="left"/>
      <w:pPr>
        <w:ind w:left="4613" w:hanging="360"/>
      </w:pPr>
      <w:rPr>
        <w:rFonts w:ascii="Palatino Linotype" w:hAnsi="Palatino Linotype" w:hint="default"/>
        <w:b/>
        <w:i w:val="0"/>
        <w:color w:val="auto"/>
        <w:sz w:val="24"/>
      </w:rPr>
    </w:lvl>
    <w:lvl w:ilvl="1" w:tplc="689ED1C2">
      <w:start w:val="1"/>
      <w:numFmt w:val="upperRoman"/>
      <w:lvlText w:val="%2."/>
      <w:lvlJc w:val="left"/>
      <w:pPr>
        <w:ind w:left="1800" w:hanging="720"/>
      </w:pPr>
      <w:rPr>
        <w:rFonts w:ascii="Palatino Linotype" w:hAnsi="Palatino Linotype" w:hint="default"/>
        <w:b/>
        <w:color w:val="auto"/>
      </w:rPr>
    </w:lvl>
    <w:lvl w:ilvl="2" w:tplc="080A001B">
      <w:start w:val="1"/>
      <w:numFmt w:val="lowerRoman"/>
      <w:lvlText w:val="%3."/>
      <w:lvlJc w:val="right"/>
      <w:pPr>
        <w:ind w:left="2160" w:hanging="180"/>
      </w:pPr>
    </w:lvl>
    <w:lvl w:ilvl="3" w:tplc="080A0017">
      <w:start w:val="1"/>
      <w:numFmt w:val="lowerLetter"/>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423396"/>
    <w:multiLevelType w:val="multilevel"/>
    <w:tmpl w:val="3A344B3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8288C"/>
    <w:multiLevelType w:val="hybridMultilevel"/>
    <w:tmpl w:val="6708F7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915335"/>
    <w:multiLevelType w:val="hybridMultilevel"/>
    <w:tmpl w:val="E2E6377C"/>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8C5"/>
    <w:rsid w:val="00031B96"/>
    <w:rsid w:val="00052205"/>
    <w:rsid w:val="00075B67"/>
    <w:rsid w:val="000E3750"/>
    <w:rsid w:val="0013357F"/>
    <w:rsid w:val="00191FD4"/>
    <w:rsid w:val="001943AF"/>
    <w:rsid w:val="002763A5"/>
    <w:rsid w:val="00281E73"/>
    <w:rsid w:val="002D48C5"/>
    <w:rsid w:val="00315292"/>
    <w:rsid w:val="003412C3"/>
    <w:rsid w:val="003862EF"/>
    <w:rsid w:val="00470249"/>
    <w:rsid w:val="00495AF6"/>
    <w:rsid w:val="004B05FF"/>
    <w:rsid w:val="005D6B6D"/>
    <w:rsid w:val="007A4BEE"/>
    <w:rsid w:val="007B2504"/>
    <w:rsid w:val="00817765"/>
    <w:rsid w:val="009A19F9"/>
    <w:rsid w:val="009B4A3E"/>
    <w:rsid w:val="009D4CD2"/>
    <w:rsid w:val="00A04DDC"/>
    <w:rsid w:val="00A71BAF"/>
    <w:rsid w:val="00A954F3"/>
    <w:rsid w:val="00AE1998"/>
    <w:rsid w:val="00B6330B"/>
    <w:rsid w:val="00B778E2"/>
    <w:rsid w:val="00C5091F"/>
    <w:rsid w:val="00C7564D"/>
    <w:rsid w:val="00C862CD"/>
    <w:rsid w:val="00CD016C"/>
    <w:rsid w:val="00D67EC7"/>
    <w:rsid w:val="00DC7175"/>
    <w:rsid w:val="00E855E5"/>
    <w:rsid w:val="00F256BB"/>
    <w:rsid w:val="00F52B61"/>
    <w:rsid w:val="00F60FFA"/>
    <w:rsid w:val="00F97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937F2FB-7EDD-4AFB-9421-F2FBDE66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C5"/>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2D48C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D48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48C5"/>
    <w:rPr>
      <w:rFonts w:asciiTheme="majorHAnsi" w:eastAsiaTheme="majorEastAsia" w:hAnsiTheme="majorHAnsi" w:cstheme="majorBidi"/>
      <w:color w:val="2E74B5" w:themeColor="accent1" w:themeShade="BF"/>
      <w:sz w:val="32"/>
      <w:szCs w:val="32"/>
      <w:lang w:eastAsia="es-ES"/>
    </w:rPr>
  </w:style>
  <w:style w:type="character" w:customStyle="1" w:styleId="Ttulo2Car">
    <w:name w:val="Título 2 Car"/>
    <w:basedOn w:val="Fuentedeprrafopredeter"/>
    <w:link w:val="Ttulo2"/>
    <w:uiPriority w:val="9"/>
    <w:rsid w:val="002D48C5"/>
    <w:rPr>
      <w:rFonts w:asciiTheme="majorHAnsi" w:eastAsiaTheme="majorEastAsia" w:hAnsiTheme="majorHAnsi" w:cstheme="majorBidi"/>
      <w:color w:val="2E74B5" w:themeColor="accent1" w:themeShade="BF"/>
      <w:sz w:val="26"/>
      <w:szCs w:val="26"/>
      <w:lang w:eastAsia="es-ES"/>
    </w:rPr>
  </w:style>
  <w:style w:type="paragraph" w:styleId="Encabezado">
    <w:name w:val="header"/>
    <w:basedOn w:val="Normal"/>
    <w:link w:val="EncabezadoCar"/>
    <w:uiPriority w:val="99"/>
    <w:unhideWhenUsed/>
    <w:qFormat/>
    <w:rsid w:val="002D48C5"/>
    <w:pPr>
      <w:tabs>
        <w:tab w:val="center" w:pos="4419"/>
        <w:tab w:val="right" w:pos="8838"/>
      </w:tabs>
    </w:pPr>
  </w:style>
  <w:style w:type="character" w:customStyle="1" w:styleId="EncabezadoCar">
    <w:name w:val="Encabezado Car"/>
    <w:basedOn w:val="Fuentedeprrafopredeter"/>
    <w:link w:val="Encabezado"/>
    <w:uiPriority w:val="99"/>
    <w:qFormat/>
    <w:rsid w:val="002D48C5"/>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qFormat/>
    <w:rsid w:val="002D48C5"/>
    <w:pPr>
      <w:tabs>
        <w:tab w:val="center" w:pos="4419"/>
        <w:tab w:val="right" w:pos="8838"/>
      </w:tabs>
    </w:pPr>
  </w:style>
  <w:style w:type="character" w:customStyle="1" w:styleId="PiedepginaCar">
    <w:name w:val="Pie de página Car"/>
    <w:basedOn w:val="Fuentedeprrafopredeter"/>
    <w:link w:val="Piedepgina"/>
    <w:uiPriority w:val="99"/>
    <w:qFormat/>
    <w:rsid w:val="002D48C5"/>
    <w:rPr>
      <w:rFonts w:ascii="Times New Roman" w:eastAsia="Times New Roman" w:hAnsi="Times New Roman" w:cs="Times New Roman"/>
      <w:sz w:val="20"/>
      <w:szCs w:val="20"/>
      <w:lang w:eastAsia="es-ES"/>
    </w:rPr>
  </w:style>
  <w:style w:type="table" w:styleId="Tablaconcuadrcula">
    <w:name w:val="Table Grid"/>
    <w:basedOn w:val="Tablanormal"/>
    <w:uiPriority w:val="39"/>
    <w:qFormat/>
    <w:rsid w:val="002D48C5"/>
    <w:pPr>
      <w:spacing w:after="0" w:line="240" w:lineRule="auto"/>
    </w:pPr>
    <w:rPr>
      <w:rFonts w:ascii="Times New Roman" w:eastAsia="SimSun" w:hAnsi="Times New Roman"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2D48C5"/>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2D48C5"/>
    <w:rPr>
      <w:rFonts w:ascii="Century Gothic" w:eastAsia="Times New Roman" w:hAnsi="Century Gothic" w:cs="Times New Roman"/>
      <w:szCs w:val="24"/>
      <w:lang w:eastAsia="es-ES"/>
    </w:rPr>
  </w:style>
  <w:style w:type="table" w:styleId="Tablanormal1">
    <w:name w:val="Plain Table 1"/>
    <w:basedOn w:val="Tablanormal"/>
    <w:uiPriority w:val="41"/>
    <w:rsid w:val="002D48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2D48C5"/>
    <w:rPr>
      <w:color w:val="0000FF"/>
      <w:u w:val="single"/>
    </w:rPr>
  </w:style>
  <w:style w:type="paragraph" w:customStyle="1" w:styleId="Fundamentos">
    <w:name w:val="Fundamentos"/>
    <w:basedOn w:val="Normal"/>
    <w:qFormat/>
    <w:rsid w:val="002D48C5"/>
    <w:pPr>
      <w:pBdr>
        <w:top w:val="nil"/>
        <w:left w:val="nil"/>
        <w:bottom w:val="nil"/>
        <w:right w:val="nil"/>
        <w:between w:val="nil"/>
      </w:pBdr>
      <w:ind w:left="567" w:right="567"/>
      <w:contextualSpacing/>
      <w:jc w:val="both"/>
    </w:pPr>
    <w:rPr>
      <w:rFonts w:ascii="Palatino Linotype" w:eastAsia="Palatino Linotype" w:hAnsi="Palatino Linotype" w:cs="Palatino Linotype"/>
      <w:i/>
      <w:color w:val="000000"/>
      <w:sz w:val="22"/>
      <w:szCs w:val="24"/>
      <w:lang w:val="es-ES_tradnl"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67EC7"/>
    <w:rPr>
      <w:rFonts w:asciiTheme="minorHAnsi" w:eastAsiaTheme="minorHAnsi" w:hAnsiTheme="minorHAnsi" w:cstheme="minorBidi"/>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D67EC7"/>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D67EC7"/>
    <w:rPr>
      <w:vertAlign w:val="superscript"/>
    </w:rPr>
  </w:style>
  <w:style w:type="character" w:customStyle="1" w:styleId="normaltextrun">
    <w:name w:val="normaltextrun"/>
    <w:basedOn w:val="Fuentedeprrafopredeter"/>
    <w:rsid w:val="00F25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81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64547.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AcusePnt(581062);" TargetMode="External"/><Relationship Id="rId4" Type="http://schemas.openxmlformats.org/officeDocument/2006/relationships/settings" Target="settings.xml"/><Relationship Id="rId9" Type="http://schemas.openxmlformats.org/officeDocument/2006/relationships/hyperlink" Target="https://saimex.org.mx/saimex/solicitud/downloadAttach/2064548.pag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expresion/documentos_basicos/declaraciones.asp" TargetMode="External"/><Relationship Id="rId1" Type="http://schemas.openxmlformats.org/officeDocument/2006/relationships/hyperlink" Target="https://legislacion.edomex.gob.mx/sites/legislacion.edomex.gob.mx/files/files/pdf/bdo/bdo2024/bdo09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E5FAA-7685-4F08-8C50-3C4E79B6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36</Pages>
  <Words>8660</Words>
  <Characters>47635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INFOEM549</dc:creator>
  <cp:keywords/>
  <dc:description/>
  <cp:lastModifiedBy>INFOEM403</cp:lastModifiedBy>
  <cp:revision>6</cp:revision>
  <dcterms:created xsi:type="dcterms:W3CDTF">2024-11-25T17:55:00Z</dcterms:created>
  <dcterms:modified xsi:type="dcterms:W3CDTF">2025-01-21T16:10:00Z</dcterms:modified>
</cp:coreProperties>
</file>