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10EDA" w:rsidRDefault="00AE3DA7" w:rsidP="00A10EDA">
          <w:pPr>
            <w:pStyle w:val="TtulodeTDC"/>
            <w:spacing w:before="0" w:line="240" w:lineRule="auto"/>
            <w:rPr>
              <w:rFonts w:ascii="Palatino Linotype" w:hAnsi="Palatino Linotype"/>
              <w:color w:val="auto"/>
              <w:sz w:val="24"/>
              <w:szCs w:val="24"/>
              <w:lang w:val="es-ES"/>
            </w:rPr>
          </w:pPr>
          <w:r w:rsidRPr="00A10EDA">
            <w:rPr>
              <w:rFonts w:ascii="Palatino Linotype" w:hAnsi="Palatino Linotype"/>
              <w:color w:val="auto"/>
              <w:sz w:val="24"/>
              <w:szCs w:val="24"/>
              <w:lang w:val="es-ES"/>
            </w:rPr>
            <w:t>Contenido</w:t>
          </w:r>
        </w:p>
        <w:p w14:paraId="3EB312A7" w14:textId="77777777" w:rsidR="00AA6EA9" w:rsidRPr="00A10EDA" w:rsidRDefault="00AA6EA9" w:rsidP="00A10EDA">
          <w:pPr>
            <w:spacing w:line="240" w:lineRule="auto"/>
            <w:rPr>
              <w:sz w:val="16"/>
              <w:szCs w:val="16"/>
              <w:lang w:val="es-ES" w:eastAsia="es-MX"/>
            </w:rPr>
          </w:pPr>
        </w:p>
        <w:p w14:paraId="2277E768" w14:textId="1E94452B" w:rsidR="00A10EDA" w:rsidRDefault="00AE3DA7">
          <w:pPr>
            <w:pStyle w:val="TDC1"/>
            <w:tabs>
              <w:tab w:val="right" w:leader="dot" w:pos="9034"/>
            </w:tabs>
            <w:rPr>
              <w:rFonts w:asciiTheme="minorHAnsi" w:eastAsiaTheme="minorEastAsia" w:hAnsiTheme="minorHAnsi" w:cstheme="minorBidi"/>
              <w:noProof/>
              <w:szCs w:val="22"/>
              <w:lang w:eastAsia="es-MX"/>
            </w:rPr>
          </w:pPr>
          <w:r w:rsidRPr="00A10EDA">
            <w:rPr>
              <w:sz w:val="16"/>
              <w:szCs w:val="16"/>
            </w:rPr>
            <w:fldChar w:fldCharType="begin"/>
          </w:r>
          <w:r w:rsidRPr="00A10EDA">
            <w:rPr>
              <w:sz w:val="16"/>
              <w:szCs w:val="16"/>
            </w:rPr>
            <w:instrText xml:space="preserve"> TOC \o "1-3" \h \z \u </w:instrText>
          </w:r>
          <w:r w:rsidRPr="00A10EDA">
            <w:rPr>
              <w:sz w:val="16"/>
              <w:szCs w:val="16"/>
            </w:rPr>
            <w:fldChar w:fldCharType="separate"/>
          </w:r>
          <w:hyperlink w:anchor="_Toc184815077" w:history="1">
            <w:r w:rsidR="00A10EDA" w:rsidRPr="00810ECA">
              <w:rPr>
                <w:rStyle w:val="Hipervnculo"/>
                <w:noProof/>
              </w:rPr>
              <w:t>ANTECEDENTES</w:t>
            </w:r>
            <w:r w:rsidR="00A10EDA">
              <w:rPr>
                <w:noProof/>
                <w:webHidden/>
              </w:rPr>
              <w:tab/>
            </w:r>
            <w:r w:rsidR="00A10EDA">
              <w:rPr>
                <w:noProof/>
                <w:webHidden/>
              </w:rPr>
              <w:fldChar w:fldCharType="begin"/>
            </w:r>
            <w:r w:rsidR="00A10EDA">
              <w:rPr>
                <w:noProof/>
                <w:webHidden/>
              </w:rPr>
              <w:instrText xml:space="preserve"> PAGEREF _Toc184815077 \h </w:instrText>
            </w:r>
            <w:r w:rsidR="00A10EDA">
              <w:rPr>
                <w:noProof/>
                <w:webHidden/>
              </w:rPr>
            </w:r>
            <w:r w:rsidR="00A10EDA">
              <w:rPr>
                <w:noProof/>
                <w:webHidden/>
              </w:rPr>
              <w:fldChar w:fldCharType="separate"/>
            </w:r>
            <w:r w:rsidR="003312B5">
              <w:rPr>
                <w:noProof/>
                <w:webHidden/>
              </w:rPr>
              <w:t>1</w:t>
            </w:r>
            <w:r w:rsidR="00A10EDA">
              <w:rPr>
                <w:noProof/>
                <w:webHidden/>
              </w:rPr>
              <w:fldChar w:fldCharType="end"/>
            </w:r>
          </w:hyperlink>
        </w:p>
        <w:p w14:paraId="6CF55885" w14:textId="7B24C26B" w:rsidR="00A10EDA" w:rsidRDefault="005144AB">
          <w:pPr>
            <w:pStyle w:val="TDC2"/>
            <w:rPr>
              <w:rFonts w:asciiTheme="minorHAnsi" w:eastAsiaTheme="minorEastAsia" w:hAnsiTheme="minorHAnsi" w:cstheme="minorBidi"/>
              <w:noProof/>
              <w:szCs w:val="22"/>
              <w:lang w:eastAsia="es-MX"/>
            </w:rPr>
          </w:pPr>
          <w:hyperlink w:anchor="_Toc184815078" w:history="1">
            <w:r w:rsidR="00A10EDA" w:rsidRPr="00810ECA">
              <w:rPr>
                <w:rStyle w:val="Hipervnculo"/>
                <w:noProof/>
              </w:rPr>
              <w:t>DE LA SOLICITUD DE INFORMACIÓN</w:t>
            </w:r>
            <w:r w:rsidR="00A10EDA">
              <w:rPr>
                <w:noProof/>
                <w:webHidden/>
              </w:rPr>
              <w:tab/>
            </w:r>
            <w:r w:rsidR="00A10EDA">
              <w:rPr>
                <w:noProof/>
                <w:webHidden/>
              </w:rPr>
              <w:fldChar w:fldCharType="begin"/>
            </w:r>
            <w:r w:rsidR="00A10EDA">
              <w:rPr>
                <w:noProof/>
                <w:webHidden/>
              </w:rPr>
              <w:instrText xml:space="preserve"> PAGEREF _Toc184815078 \h </w:instrText>
            </w:r>
            <w:r w:rsidR="00A10EDA">
              <w:rPr>
                <w:noProof/>
                <w:webHidden/>
              </w:rPr>
            </w:r>
            <w:r w:rsidR="00A10EDA">
              <w:rPr>
                <w:noProof/>
                <w:webHidden/>
              </w:rPr>
              <w:fldChar w:fldCharType="separate"/>
            </w:r>
            <w:r w:rsidR="003312B5">
              <w:rPr>
                <w:noProof/>
                <w:webHidden/>
              </w:rPr>
              <w:t>1</w:t>
            </w:r>
            <w:r w:rsidR="00A10EDA">
              <w:rPr>
                <w:noProof/>
                <w:webHidden/>
              </w:rPr>
              <w:fldChar w:fldCharType="end"/>
            </w:r>
          </w:hyperlink>
        </w:p>
        <w:p w14:paraId="1B51DB0F" w14:textId="790F9328" w:rsidR="00A10EDA" w:rsidRDefault="005144AB">
          <w:pPr>
            <w:pStyle w:val="TDC3"/>
            <w:rPr>
              <w:rFonts w:asciiTheme="minorHAnsi" w:eastAsiaTheme="minorEastAsia" w:hAnsiTheme="minorHAnsi" w:cstheme="minorBidi"/>
              <w:noProof/>
              <w:szCs w:val="22"/>
              <w:lang w:eastAsia="es-MX"/>
            </w:rPr>
          </w:pPr>
          <w:hyperlink w:anchor="_Toc184815079" w:history="1">
            <w:r w:rsidR="00A10EDA" w:rsidRPr="00810ECA">
              <w:rPr>
                <w:rStyle w:val="Hipervnculo"/>
                <w:noProof/>
              </w:rPr>
              <w:t>a) Solicitud de información</w:t>
            </w:r>
            <w:r w:rsidR="00A10EDA">
              <w:rPr>
                <w:noProof/>
                <w:webHidden/>
              </w:rPr>
              <w:tab/>
            </w:r>
            <w:r w:rsidR="00A10EDA">
              <w:rPr>
                <w:noProof/>
                <w:webHidden/>
              </w:rPr>
              <w:fldChar w:fldCharType="begin"/>
            </w:r>
            <w:r w:rsidR="00A10EDA">
              <w:rPr>
                <w:noProof/>
                <w:webHidden/>
              </w:rPr>
              <w:instrText xml:space="preserve"> PAGEREF _Toc184815079 \h </w:instrText>
            </w:r>
            <w:r w:rsidR="00A10EDA">
              <w:rPr>
                <w:noProof/>
                <w:webHidden/>
              </w:rPr>
            </w:r>
            <w:r w:rsidR="00A10EDA">
              <w:rPr>
                <w:noProof/>
                <w:webHidden/>
              </w:rPr>
              <w:fldChar w:fldCharType="separate"/>
            </w:r>
            <w:r w:rsidR="003312B5">
              <w:rPr>
                <w:noProof/>
                <w:webHidden/>
              </w:rPr>
              <w:t>1</w:t>
            </w:r>
            <w:r w:rsidR="00A10EDA">
              <w:rPr>
                <w:noProof/>
                <w:webHidden/>
              </w:rPr>
              <w:fldChar w:fldCharType="end"/>
            </w:r>
          </w:hyperlink>
        </w:p>
        <w:p w14:paraId="2E4D81ED" w14:textId="39B46D9E" w:rsidR="00A10EDA" w:rsidRDefault="005144AB">
          <w:pPr>
            <w:pStyle w:val="TDC3"/>
            <w:rPr>
              <w:rFonts w:asciiTheme="minorHAnsi" w:eastAsiaTheme="minorEastAsia" w:hAnsiTheme="minorHAnsi" w:cstheme="minorBidi"/>
              <w:noProof/>
              <w:szCs w:val="22"/>
              <w:lang w:eastAsia="es-MX"/>
            </w:rPr>
          </w:pPr>
          <w:hyperlink w:anchor="_Toc184815080" w:history="1">
            <w:r w:rsidR="00A10EDA" w:rsidRPr="00810ECA">
              <w:rPr>
                <w:rStyle w:val="Hipervnculo"/>
                <w:noProof/>
              </w:rPr>
              <w:t>b) Turno de la solicitud de información</w:t>
            </w:r>
            <w:r w:rsidR="00A10EDA">
              <w:rPr>
                <w:noProof/>
                <w:webHidden/>
              </w:rPr>
              <w:tab/>
            </w:r>
            <w:r w:rsidR="00A10EDA">
              <w:rPr>
                <w:noProof/>
                <w:webHidden/>
              </w:rPr>
              <w:fldChar w:fldCharType="begin"/>
            </w:r>
            <w:r w:rsidR="00A10EDA">
              <w:rPr>
                <w:noProof/>
                <w:webHidden/>
              </w:rPr>
              <w:instrText xml:space="preserve"> PAGEREF _Toc184815080 \h </w:instrText>
            </w:r>
            <w:r w:rsidR="00A10EDA">
              <w:rPr>
                <w:noProof/>
                <w:webHidden/>
              </w:rPr>
            </w:r>
            <w:r w:rsidR="00A10EDA">
              <w:rPr>
                <w:noProof/>
                <w:webHidden/>
              </w:rPr>
              <w:fldChar w:fldCharType="separate"/>
            </w:r>
            <w:r w:rsidR="003312B5">
              <w:rPr>
                <w:noProof/>
                <w:webHidden/>
              </w:rPr>
              <w:t>2</w:t>
            </w:r>
            <w:r w:rsidR="00A10EDA">
              <w:rPr>
                <w:noProof/>
                <w:webHidden/>
              </w:rPr>
              <w:fldChar w:fldCharType="end"/>
            </w:r>
          </w:hyperlink>
        </w:p>
        <w:p w14:paraId="6E7E32C4" w14:textId="123CF1AE" w:rsidR="00A10EDA" w:rsidRDefault="005144AB">
          <w:pPr>
            <w:pStyle w:val="TDC3"/>
            <w:rPr>
              <w:rFonts w:asciiTheme="minorHAnsi" w:eastAsiaTheme="minorEastAsia" w:hAnsiTheme="minorHAnsi" w:cstheme="minorBidi"/>
              <w:noProof/>
              <w:szCs w:val="22"/>
              <w:lang w:eastAsia="es-MX"/>
            </w:rPr>
          </w:pPr>
          <w:hyperlink w:anchor="_Toc184815081" w:history="1">
            <w:r w:rsidR="00A10EDA" w:rsidRPr="00810ECA">
              <w:rPr>
                <w:rStyle w:val="Hipervnculo"/>
                <w:noProof/>
              </w:rPr>
              <w:t>c) Prórroga</w:t>
            </w:r>
            <w:r w:rsidR="00A10EDA">
              <w:rPr>
                <w:noProof/>
                <w:webHidden/>
              </w:rPr>
              <w:tab/>
            </w:r>
            <w:r w:rsidR="00A10EDA">
              <w:rPr>
                <w:noProof/>
                <w:webHidden/>
              </w:rPr>
              <w:fldChar w:fldCharType="begin"/>
            </w:r>
            <w:r w:rsidR="00A10EDA">
              <w:rPr>
                <w:noProof/>
                <w:webHidden/>
              </w:rPr>
              <w:instrText xml:space="preserve"> PAGEREF _Toc184815081 \h </w:instrText>
            </w:r>
            <w:r w:rsidR="00A10EDA">
              <w:rPr>
                <w:noProof/>
                <w:webHidden/>
              </w:rPr>
            </w:r>
            <w:r w:rsidR="00A10EDA">
              <w:rPr>
                <w:noProof/>
                <w:webHidden/>
              </w:rPr>
              <w:fldChar w:fldCharType="separate"/>
            </w:r>
            <w:r w:rsidR="003312B5">
              <w:rPr>
                <w:noProof/>
                <w:webHidden/>
              </w:rPr>
              <w:t>2</w:t>
            </w:r>
            <w:r w:rsidR="00A10EDA">
              <w:rPr>
                <w:noProof/>
                <w:webHidden/>
              </w:rPr>
              <w:fldChar w:fldCharType="end"/>
            </w:r>
          </w:hyperlink>
        </w:p>
        <w:p w14:paraId="7A6E88F4" w14:textId="486008AF" w:rsidR="00A10EDA" w:rsidRDefault="005144AB">
          <w:pPr>
            <w:pStyle w:val="TDC3"/>
            <w:rPr>
              <w:rFonts w:asciiTheme="minorHAnsi" w:eastAsiaTheme="minorEastAsia" w:hAnsiTheme="minorHAnsi" w:cstheme="minorBidi"/>
              <w:noProof/>
              <w:szCs w:val="22"/>
              <w:lang w:eastAsia="es-MX"/>
            </w:rPr>
          </w:pPr>
          <w:hyperlink w:anchor="_Toc184815082" w:history="1">
            <w:r w:rsidR="00A10EDA" w:rsidRPr="00810ECA">
              <w:rPr>
                <w:rStyle w:val="Hipervnculo"/>
                <w:noProof/>
                <w:lang w:val="es-ES"/>
              </w:rPr>
              <w:t xml:space="preserve">d) Respuesta </w:t>
            </w:r>
            <w:r w:rsidR="00A10EDA" w:rsidRPr="00810ECA">
              <w:rPr>
                <w:rStyle w:val="Hipervnculo"/>
                <w:rFonts w:eastAsia="Calibri"/>
                <w:noProof/>
                <w:lang w:eastAsia="en-US"/>
              </w:rPr>
              <w:t>del Sujeto Obligado</w:t>
            </w:r>
            <w:r w:rsidR="00A10EDA">
              <w:rPr>
                <w:noProof/>
                <w:webHidden/>
              </w:rPr>
              <w:tab/>
            </w:r>
            <w:r w:rsidR="00A10EDA">
              <w:rPr>
                <w:noProof/>
                <w:webHidden/>
              </w:rPr>
              <w:fldChar w:fldCharType="begin"/>
            </w:r>
            <w:r w:rsidR="00A10EDA">
              <w:rPr>
                <w:noProof/>
                <w:webHidden/>
              </w:rPr>
              <w:instrText xml:space="preserve"> PAGEREF _Toc184815082 \h </w:instrText>
            </w:r>
            <w:r w:rsidR="00A10EDA">
              <w:rPr>
                <w:noProof/>
                <w:webHidden/>
              </w:rPr>
            </w:r>
            <w:r w:rsidR="00A10EDA">
              <w:rPr>
                <w:noProof/>
                <w:webHidden/>
              </w:rPr>
              <w:fldChar w:fldCharType="separate"/>
            </w:r>
            <w:r w:rsidR="003312B5">
              <w:rPr>
                <w:noProof/>
                <w:webHidden/>
              </w:rPr>
              <w:t>3</w:t>
            </w:r>
            <w:r w:rsidR="00A10EDA">
              <w:rPr>
                <w:noProof/>
                <w:webHidden/>
              </w:rPr>
              <w:fldChar w:fldCharType="end"/>
            </w:r>
          </w:hyperlink>
        </w:p>
        <w:p w14:paraId="7D88ED4D" w14:textId="0524BC68" w:rsidR="00A10EDA" w:rsidRDefault="005144AB">
          <w:pPr>
            <w:pStyle w:val="TDC2"/>
            <w:rPr>
              <w:rFonts w:asciiTheme="minorHAnsi" w:eastAsiaTheme="minorEastAsia" w:hAnsiTheme="minorHAnsi" w:cstheme="minorBidi"/>
              <w:noProof/>
              <w:szCs w:val="22"/>
              <w:lang w:eastAsia="es-MX"/>
            </w:rPr>
          </w:pPr>
          <w:hyperlink w:anchor="_Toc184815083" w:history="1">
            <w:r w:rsidR="00A10EDA" w:rsidRPr="00810ECA">
              <w:rPr>
                <w:rStyle w:val="Hipervnculo"/>
                <w:noProof/>
              </w:rPr>
              <w:t>DEL RECURSO DE REVISIÓN</w:t>
            </w:r>
            <w:r w:rsidR="00A10EDA">
              <w:rPr>
                <w:noProof/>
                <w:webHidden/>
              </w:rPr>
              <w:tab/>
            </w:r>
            <w:r w:rsidR="00A10EDA">
              <w:rPr>
                <w:noProof/>
                <w:webHidden/>
              </w:rPr>
              <w:fldChar w:fldCharType="begin"/>
            </w:r>
            <w:r w:rsidR="00A10EDA">
              <w:rPr>
                <w:noProof/>
                <w:webHidden/>
              </w:rPr>
              <w:instrText xml:space="preserve"> PAGEREF _Toc184815083 \h </w:instrText>
            </w:r>
            <w:r w:rsidR="00A10EDA">
              <w:rPr>
                <w:noProof/>
                <w:webHidden/>
              </w:rPr>
            </w:r>
            <w:r w:rsidR="00A10EDA">
              <w:rPr>
                <w:noProof/>
                <w:webHidden/>
              </w:rPr>
              <w:fldChar w:fldCharType="separate"/>
            </w:r>
            <w:r w:rsidR="003312B5">
              <w:rPr>
                <w:noProof/>
                <w:webHidden/>
              </w:rPr>
              <w:t>4</w:t>
            </w:r>
            <w:r w:rsidR="00A10EDA">
              <w:rPr>
                <w:noProof/>
                <w:webHidden/>
              </w:rPr>
              <w:fldChar w:fldCharType="end"/>
            </w:r>
          </w:hyperlink>
        </w:p>
        <w:p w14:paraId="09049C23" w14:textId="2CABC08C" w:rsidR="00A10EDA" w:rsidRDefault="005144AB">
          <w:pPr>
            <w:pStyle w:val="TDC3"/>
            <w:rPr>
              <w:rFonts w:asciiTheme="minorHAnsi" w:eastAsiaTheme="minorEastAsia" w:hAnsiTheme="minorHAnsi" w:cstheme="minorBidi"/>
              <w:noProof/>
              <w:szCs w:val="22"/>
              <w:lang w:eastAsia="es-MX"/>
            </w:rPr>
          </w:pPr>
          <w:hyperlink w:anchor="_Toc184815084" w:history="1">
            <w:r w:rsidR="00A10EDA" w:rsidRPr="00810ECA">
              <w:rPr>
                <w:rStyle w:val="Hipervnculo"/>
                <w:noProof/>
              </w:rPr>
              <w:t>a) Interposición del Recurso de Revisión</w:t>
            </w:r>
            <w:r w:rsidR="00A10EDA">
              <w:rPr>
                <w:noProof/>
                <w:webHidden/>
              </w:rPr>
              <w:tab/>
            </w:r>
            <w:r w:rsidR="00A10EDA">
              <w:rPr>
                <w:noProof/>
                <w:webHidden/>
              </w:rPr>
              <w:fldChar w:fldCharType="begin"/>
            </w:r>
            <w:r w:rsidR="00A10EDA">
              <w:rPr>
                <w:noProof/>
                <w:webHidden/>
              </w:rPr>
              <w:instrText xml:space="preserve"> PAGEREF _Toc184815084 \h </w:instrText>
            </w:r>
            <w:r w:rsidR="00A10EDA">
              <w:rPr>
                <w:noProof/>
                <w:webHidden/>
              </w:rPr>
            </w:r>
            <w:r w:rsidR="00A10EDA">
              <w:rPr>
                <w:noProof/>
                <w:webHidden/>
              </w:rPr>
              <w:fldChar w:fldCharType="separate"/>
            </w:r>
            <w:r w:rsidR="003312B5">
              <w:rPr>
                <w:noProof/>
                <w:webHidden/>
              </w:rPr>
              <w:t>4</w:t>
            </w:r>
            <w:r w:rsidR="00A10EDA">
              <w:rPr>
                <w:noProof/>
                <w:webHidden/>
              </w:rPr>
              <w:fldChar w:fldCharType="end"/>
            </w:r>
          </w:hyperlink>
        </w:p>
        <w:p w14:paraId="10E69341" w14:textId="140553A5" w:rsidR="00A10EDA" w:rsidRDefault="005144AB">
          <w:pPr>
            <w:pStyle w:val="TDC3"/>
            <w:rPr>
              <w:rFonts w:asciiTheme="minorHAnsi" w:eastAsiaTheme="minorEastAsia" w:hAnsiTheme="minorHAnsi" w:cstheme="minorBidi"/>
              <w:noProof/>
              <w:szCs w:val="22"/>
              <w:lang w:eastAsia="es-MX"/>
            </w:rPr>
          </w:pPr>
          <w:hyperlink w:anchor="_Toc184815085" w:history="1">
            <w:r w:rsidR="00A10EDA" w:rsidRPr="00810ECA">
              <w:rPr>
                <w:rStyle w:val="Hipervnculo"/>
                <w:noProof/>
              </w:rPr>
              <w:t>b) Turno del Recurso de Revisión</w:t>
            </w:r>
            <w:r w:rsidR="00A10EDA">
              <w:rPr>
                <w:noProof/>
                <w:webHidden/>
              </w:rPr>
              <w:tab/>
            </w:r>
            <w:r w:rsidR="00A10EDA">
              <w:rPr>
                <w:noProof/>
                <w:webHidden/>
              </w:rPr>
              <w:fldChar w:fldCharType="begin"/>
            </w:r>
            <w:r w:rsidR="00A10EDA">
              <w:rPr>
                <w:noProof/>
                <w:webHidden/>
              </w:rPr>
              <w:instrText xml:space="preserve"> PAGEREF _Toc184815085 \h </w:instrText>
            </w:r>
            <w:r w:rsidR="00A10EDA">
              <w:rPr>
                <w:noProof/>
                <w:webHidden/>
              </w:rPr>
            </w:r>
            <w:r w:rsidR="00A10EDA">
              <w:rPr>
                <w:noProof/>
                <w:webHidden/>
              </w:rPr>
              <w:fldChar w:fldCharType="separate"/>
            </w:r>
            <w:r w:rsidR="003312B5">
              <w:rPr>
                <w:noProof/>
                <w:webHidden/>
              </w:rPr>
              <w:t>5</w:t>
            </w:r>
            <w:r w:rsidR="00A10EDA">
              <w:rPr>
                <w:noProof/>
                <w:webHidden/>
              </w:rPr>
              <w:fldChar w:fldCharType="end"/>
            </w:r>
          </w:hyperlink>
        </w:p>
        <w:p w14:paraId="78ABE25A" w14:textId="2C7B6A64" w:rsidR="00A10EDA" w:rsidRDefault="005144AB">
          <w:pPr>
            <w:pStyle w:val="TDC3"/>
            <w:rPr>
              <w:rFonts w:asciiTheme="minorHAnsi" w:eastAsiaTheme="minorEastAsia" w:hAnsiTheme="minorHAnsi" w:cstheme="minorBidi"/>
              <w:noProof/>
              <w:szCs w:val="22"/>
              <w:lang w:eastAsia="es-MX"/>
            </w:rPr>
          </w:pPr>
          <w:hyperlink w:anchor="_Toc184815086" w:history="1">
            <w:r w:rsidR="00A10EDA" w:rsidRPr="00810ECA">
              <w:rPr>
                <w:rStyle w:val="Hipervnculo"/>
                <w:noProof/>
              </w:rPr>
              <w:t>c) Admisión del Recurso de Revisión</w:t>
            </w:r>
            <w:r w:rsidR="00A10EDA">
              <w:rPr>
                <w:noProof/>
                <w:webHidden/>
              </w:rPr>
              <w:tab/>
            </w:r>
            <w:r w:rsidR="00A10EDA">
              <w:rPr>
                <w:noProof/>
                <w:webHidden/>
              </w:rPr>
              <w:fldChar w:fldCharType="begin"/>
            </w:r>
            <w:r w:rsidR="00A10EDA">
              <w:rPr>
                <w:noProof/>
                <w:webHidden/>
              </w:rPr>
              <w:instrText xml:space="preserve"> PAGEREF _Toc184815086 \h </w:instrText>
            </w:r>
            <w:r w:rsidR="00A10EDA">
              <w:rPr>
                <w:noProof/>
                <w:webHidden/>
              </w:rPr>
            </w:r>
            <w:r w:rsidR="00A10EDA">
              <w:rPr>
                <w:noProof/>
                <w:webHidden/>
              </w:rPr>
              <w:fldChar w:fldCharType="separate"/>
            </w:r>
            <w:r w:rsidR="003312B5">
              <w:rPr>
                <w:noProof/>
                <w:webHidden/>
              </w:rPr>
              <w:t>5</w:t>
            </w:r>
            <w:r w:rsidR="00A10EDA">
              <w:rPr>
                <w:noProof/>
                <w:webHidden/>
              </w:rPr>
              <w:fldChar w:fldCharType="end"/>
            </w:r>
          </w:hyperlink>
        </w:p>
        <w:p w14:paraId="75178A4F" w14:textId="79B971AA" w:rsidR="00A10EDA" w:rsidRDefault="005144AB">
          <w:pPr>
            <w:pStyle w:val="TDC3"/>
            <w:rPr>
              <w:rFonts w:asciiTheme="minorHAnsi" w:eastAsiaTheme="minorEastAsia" w:hAnsiTheme="minorHAnsi" w:cstheme="minorBidi"/>
              <w:noProof/>
              <w:szCs w:val="22"/>
              <w:lang w:eastAsia="es-MX"/>
            </w:rPr>
          </w:pPr>
          <w:hyperlink w:anchor="_Toc184815087" w:history="1">
            <w:r w:rsidR="00A10EDA" w:rsidRPr="00810ECA">
              <w:rPr>
                <w:rStyle w:val="Hipervnculo"/>
                <w:noProof/>
              </w:rPr>
              <w:t>d) Informe Justificado del Sujeto Obligado</w:t>
            </w:r>
            <w:r w:rsidR="00A10EDA">
              <w:rPr>
                <w:noProof/>
                <w:webHidden/>
              </w:rPr>
              <w:tab/>
            </w:r>
            <w:r w:rsidR="00A10EDA">
              <w:rPr>
                <w:noProof/>
                <w:webHidden/>
              </w:rPr>
              <w:fldChar w:fldCharType="begin"/>
            </w:r>
            <w:r w:rsidR="00A10EDA">
              <w:rPr>
                <w:noProof/>
                <w:webHidden/>
              </w:rPr>
              <w:instrText xml:space="preserve"> PAGEREF _Toc184815087 \h </w:instrText>
            </w:r>
            <w:r w:rsidR="00A10EDA">
              <w:rPr>
                <w:noProof/>
                <w:webHidden/>
              </w:rPr>
            </w:r>
            <w:r w:rsidR="00A10EDA">
              <w:rPr>
                <w:noProof/>
                <w:webHidden/>
              </w:rPr>
              <w:fldChar w:fldCharType="separate"/>
            </w:r>
            <w:r w:rsidR="003312B5">
              <w:rPr>
                <w:noProof/>
                <w:webHidden/>
              </w:rPr>
              <w:t>5</w:t>
            </w:r>
            <w:r w:rsidR="00A10EDA">
              <w:rPr>
                <w:noProof/>
                <w:webHidden/>
              </w:rPr>
              <w:fldChar w:fldCharType="end"/>
            </w:r>
          </w:hyperlink>
        </w:p>
        <w:p w14:paraId="2321DD08" w14:textId="0830455D" w:rsidR="00A10EDA" w:rsidRDefault="005144AB">
          <w:pPr>
            <w:pStyle w:val="TDC3"/>
            <w:rPr>
              <w:rFonts w:asciiTheme="minorHAnsi" w:eastAsiaTheme="minorEastAsia" w:hAnsiTheme="minorHAnsi" w:cstheme="minorBidi"/>
              <w:noProof/>
              <w:szCs w:val="22"/>
              <w:lang w:eastAsia="es-MX"/>
            </w:rPr>
          </w:pPr>
          <w:hyperlink w:anchor="_Toc184815088" w:history="1">
            <w:r w:rsidR="00A10EDA" w:rsidRPr="00810ECA">
              <w:rPr>
                <w:rStyle w:val="Hipervnculo"/>
                <w:rFonts w:eastAsia="Calibri"/>
                <w:bCs/>
                <w:noProof/>
                <w:lang w:eastAsia="en-US"/>
              </w:rPr>
              <w:t>e)</w:t>
            </w:r>
            <w:r w:rsidR="00A10EDA" w:rsidRPr="00810ECA">
              <w:rPr>
                <w:rStyle w:val="Hipervnculo"/>
                <w:noProof/>
              </w:rPr>
              <w:t xml:space="preserve"> </w:t>
            </w:r>
            <w:r w:rsidR="00A10EDA" w:rsidRPr="00810ECA">
              <w:rPr>
                <w:rStyle w:val="Hipervnculo"/>
                <w:noProof/>
                <w:lang w:val="es-ES"/>
              </w:rPr>
              <w:t>Manifestaciones de la Parte Recurrente</w:t>
            </w:r>
            <w:r w:rsidR="00A10EDA">
              <w:rPr>
                <w:noProof/>
                <w:webHidden/>
              </w:rPr>
              <w:tab/>
            </w:r>
            <w:r w:rsidR="00A10EDA">
              <w:rPr>
                <w:noProof/>
                <w:webHidden/>
              </w:rPr>
              <w:fldChar w:fldCharType="begin"/>
            </w:r>
            <w:r w:rsidR="00A10EDA">
              <w:rPr>
                <w:noProof/>
                <w:webHidden/>
              </w:rPr>
              <w:instrText xml:space="preserve"> PAGEREF _Toc184815088 \h </w:instrText>
            </w:r>
            <w:r w:rsidR="00A10EDA">
              <w:rPr>
                <w:noProof/>
                <w:webHidden/>
              </w:rPr>
            </w:r>
            <w:r w:rsidR="00A10EDA">
              <w:rPr>
                <w:noProof/>
                <w:webHidden/>
              </w:rPr>
              <w:fldChar w:fldCharType="separate"/>
            </w:r>
            <w:r w:rsidR="003312B5">
              <w:rPr>
                <w:noProof/>
                <w:webHidden/>
              </w:rPr>
              <w:t>5</w:t>
            </w:r>
            <w:r w:rsidR="00A10EDA">
              <w:rPr>
                <w:noProof/>
                <w:webHidden/>
              </w:rPr>
              <w:fldChar w:fldCharType="end"/>
            </w:r>
          </w:hyperlink>
        </w:p>
        <w:p w14:paraId="652937C6" w14:textId="33E2464B" w:rsidR="00A10EDA" w:rsidRDefault="005144AB">
          <w:pPr>
            <w:pStyle w:val="TDC3"/>
            <w:rPr>
              <w:rFonts w:asciiTheme="minorHAnsi" w:eastAsiaTheme="minorEastAsia" w:hAnsiTheme="minorHAnsi" w:cstheme="minorBidi"/>
              <w:noProof/>
              <w:szCs w:val="22"/>
              <w:lang w:eastAsia="es-MX"/>
            </w:rPr>
          </w:pPr>
          <w:hyperlink w:anchor="_Toc184815089" w:history="1">
            <w:r w:rsidR="00A10EDA" w:rsidRPr="00810ECA">
              <w:rPr>
                <w:rStyle w:val="Hipervnculo"/>
                <w:noProof/>
              </w:rPr>
              <w:t>f) Cierre de instrucción</w:t>
            </w:r>
            <w:r w:rsidR="00A10EDA">
              <w:rPr>
                <w:noProof/>
                <w:webHidden/>
              </w:rPr>
              <w:tab/>
            </w:r>
            <w:r w:rsidR="00A10EDA">
              <w:rPr>
                <w:noProof/>
                <w:webHidden/>
              </w:rPr>
              <w:fldChar w:fldCharType="begin"/>
            </w:r>
            <w:r w:rsidR="00A10EDA">
              <w:rPr>
                <w:noProof/>
                <w:webHidden/>
              </w:rPr>
              <w:instrText xml:space="preserve"> PAGEREF _Toc184815089 \h </w:instrText>
            </w:r>
            <w:r w:rsidR="00A10EDA">
              <w:rPr>
                <w:noProof/>
                <w:webHidden/>
              </w:rPr>
            </w:r>
            <w:r w:rsidR="00A10EDA">
              <w:rPr>
                <w:noProof/>
                <w:webHidden/>
              </w:rPr>
              <w:fldChar w:fldCharType="separate"/>
            </w:r>
            <w:r w:rsidR="003312B5">
              <w:rPr>
                <w:noProof/>
                <w:webHidden/>
              </w:rPr>
              <w:t>5</w:t>
            </w:r>
            <w:r w:rsidR="00A10EDA">
              <w:rPr>
                <w:noProof/>
                <w:webHidden/>
              </w:rPr>
              <w:fldChar w:fldCharType="end"/>
            </w:r>
          </w:hyperlink>
        </w:p>
        <w:p w14:paraId="794D85C9" w14:textId="021381F9" w:rsidR="00A10EDA" w:rsidRDefault="005144AB">
          <w:pPr>
            <w:pStyle w:val="TDC1"/>
            <w:tabs>
              <w:tab w:val="right" w:leader="dot" w:pos="9034"/>
            </w:tabs>
            <w:rPr>
              <w:rFonts w:asciiTheme="minorHAnsi" w:eastAsiaTheme="minorEastAsia" w:hAnsiTheme="minorHAnsi" w:cstheme="minorBidi"/>
              <w:noProof/>
              <w:szCs w:val="22"/>
              <w:lang w:eastAsia="es-MX"/>
            </w:rPr>
          </w:pPr>
          <w:hyperlink w:anchor="_Toc184815090" w:history="1">
            <w:r w:rsidR="00A10EDA" w:rsidRPr="00810ECA">
              <w:rPr>
                <w:rStyle w:val="Hipervnculo"/>
                <w:rFonts w:eastAsiaTheme="minorHAnsi"/>
                <w:noProof/>
                <w:lang w:eastAsia="en-US"/>
              </w:rPr>
              <w:t>CONSIDERANDOS</w:t>
            </w:r>
            <w:r w:rsidR="00A10EDA">
              <w:rPr>
                <w:noProof/>
                <w:webHidden/>
              </w:rPr>
              <w:tab/>
            </w:r>
            <w:r w:rsidR="00A10EDA">
              <w:rPr>
                <w:noProof/>
                <w:webHidden/>
              </w:rPr>
              <w:fldChar w:fldCharType="begin"/>
            </w:r>
            <w:r w:rsidR="00A10EDA">
              <w:rPr>
                <w:noProof/>
                <w:webHidden/>
              </w:rPr>
              <w:instrText xml:space="preserve"> PAGEREF _Toc184815090 \h </w:instrText>
            </w:r>
            <w:r w:rsidR="00A10EDA">
              <w:rPr>
                <w:noProof/>
                <w:webHidden/>
              </w:rPr>
            </w:r>
            <w:r w:rsidR="00A10EDA">
              <w:rPr>
                <w:noProof/>
                <w:webHidden/>
              </w:rPr>
              <w:fldChar w:fldCharType="separate"/>
            </w:r>
            <w:r w:rsidR="003312B5">
              <w:rPr>
                <w:noProof/>
                <w:webHidden/>
              </w:rPr>
              <w:t>6</w:t>
            </w:r>
            <w:r w:rsidR="00A10EDA">
              <w:rPr>
                <w:noProof/>
                <w:webHidden/>
              </w:rPr>
              <w:fldChar w:fldCharType="end"/>
            </w:r>
          </w:hyperlink>
        </w:p>
        <w:p w14:paraId="2E126E93" w14:textId="0A5967C7" w:rsidR="00A10EDA" w:rsidRDefault="005144AB">
          <w:pPr>
            <w:pStyle w:val="TDC2"/>
            <w:rPr>
              <w:rFonts w:asciiTheme="minorHAnsi" w:eastAsiaTheme="minorEastAsia" w:hAnsiTheme="minorHAnsi" w:cstheme="minorBidi"/>
              <w:noProof/>
              <w:szCs w:val="22"/>
              <w:lang w:eastAsia="es-MX"/>
            </w:rPr>
          </w:pPr>
          <w:hyperlink w:anchor="_Toc184815091" w:history="1">
            <w:r w:rsidR="00A10EDA" w:rsidRPr="00810ECA">
              <w:rPr>
                <w:rStyle w:val="Hipervnculo"/>
                <w:rFonts w:eastAsia="Batang"/>
                <w:noProof/>
              </w:rPr>
              <w:t>PRIMERO. Procedibilidad</w:t>
            </w:r>
            <w:r w:rsidR="00A10EDA">
              <w:rPr>
                <w:noProof/>
                <w:webHidden/>
              </w:rPr>
              <w:tab/>
            </w:r>
            <w:r w:rsidR="00A10EDA">
              <w:rPr>
                <w:noProof/>
                <w:webHidden/>
              </w:rPr>
              <w:fldChar w:fldCharType="begin"/>
            </w:r>
            <w:r w:rsidR="00A10EDA">
              <w:rPr>
                <w:noProof/>
                <w:webHidden/>
              </w:rPr>
              <w:instrText xml:space="preserve"> PAGEREF _Toc184815091 \h </w:instrText>
            </w:r>
            <w:r w:rsidR="00A10EDA">
              <w:rPr>
                <w:noProof/>
                <w:webHidden/>
              </w:rPr>
            </w:r>
            <w:r w:rsidR="00A10EDA">
              <w:rPr>
                <w:noProof/>
                <w:webHidden/>
              </w:rPr>
              <w:fldChar w:fldCharType="separate"/>
            </w:r>
            <w:r w:rsidR="003312B5">
              <w:rPr>
                <w:noProof/>
                <w:webHidden/>
              </w:rPr>
              <w:t>6</w:t>
            </w:r>
            <w:r w:rsidR="00A10EDA">
              <w:rPr>
                <w:noProof/>
                <w:webHidden/>
              </w:rPr>
              <w:fldChar w:fldCharType="end"/>
            </w:r>
          </w:hyperlink>
        </w:p>
        <w:p w14:paraId="1428CF4D" w14:textId="35A6E1F7" w:rsidR="00A10EDA" w:rsidRDefault="005144AB">
          <w:pPr>
            <w:pStyle w:val="TDC3"/>
            <w:rPr>
              <w:rFonts w:asciiTheme="minorHAnsi" w:eastAsiaTheme="minorEastAsia" w:hAnsiTheme="minorHAnsi" w:cstheme="minorBidi"/>
              <w:noProof/>
              <w:szCs w:val="22"/>
              <w:lang w:eastAsia="es-MX"/>
            </w:rPr>
          </w:pPr>
          <w:hyperlink w:anchor="_Toc184815092" w:history="1">
            <w:r w:rsidR="00A10EDA" w:rsidRPr="00810ECA">
              <w:rPr>
                <w:rStyle w:val="Hipervnculo"/>
                <w:noProof/>
              </w:rPr>
              <w:t>a) Competencia del Instituto</w:t>
            </w:r>
            <w:r w:rsidR="00A10EDA">
              <w:rPr>
                <w:noProof/>
                <w:webHidden/>
              </w:rPr>
              <w:tab/>
            </w:r>
            <w:r w:rsidR="00A10EDA">
              <w:rPr>
                <w:noProof/>
                <w:webHidden/>
              </w:rPr>
              <w:fldChar w:fldCharType="begin"/>
            </w:r>
            <w:r w:rsidR="00A10EDA">
              <w:rPr>
                <w:noProof/>
                <w:webHidden/>
              </w:rPr>
              <w:instrText xml:space="preserve"> PAGEREF _Toc184815092 \h </w:instrText>
            </w:r>
            <w:r w:rsidR="00A10EDA">
              <w:rPr>
                <w:noProof/>
                <w:webHidden/>
              </w:rPr>
            </w:r>
            <w:r w:rsidR="00A10EDA">
              <w:rPr>
                <w:noProof/>
                <w:webHidden/>
              </w:rPr>
              <w:fldChar w:fldCharType="separate"/>
            </w:r>
            <w:r w:rsidR="003312B5">
              <w:rPr>
                <w:noProof/>
                <w:webHidden/>
              </w:rPr>
              <w:t>6</w:t>
            </w:r>
            <w:r w:rsidR="00A10EDA">
              <w:rPr>
                <w:noProof/>
                <w:webHidden/>
              </w:rPr>
              <w:fldChar w:fldCharType="end"/>
            </w:r>
          </w:hyperlink>
        </w:p>
        <w:p w14:paraId="7CA584E7" w14:textId="00B2B78B" w:rsidR="00A10EDA" w:rsidRDefault="005144AB">
          <w:pPr>
            <w:pStyle w:val="TDC3"/>
            <w:rPr>
              <w:rFonts w:asciiTheme="minorHAnsi" w:eastAsiaTheme="minorEastAsia" w:hAnsiTheme="minorHAnsi" w:cstheme="minorBidi"/>
              <w:noProof/>
              <w:szCs w:val="22"/>
              <w:lang w:eastAsia="es-MX"/>
            </w:rPr>
          </w:pPr>
          <w:hyperlink w:anchor="_Toc184815093" w:history="1">
            <w:r w:rsidR="00A10EDA" w:rsidRPr="00810ECA">
              <w:rPr>
                <w:rStyle w:val="Hipervnculo"/>
                <w:noProof/>
              </w:rPr>
              <w:t>b) Legitimidad de la parte recurrente</w:t>
            </w:r>
            <w:r w:rsidR="00A10EDA">
              <w:rPr>
                <w:noProof/>
                <w:webHidden/>
              </w:rPr>
              <w:tab/>
            </w:r>
            <w:r w:rsidR="00A10EDA">
              <w:rPr>
                <w:noProof/>
                <w:webHidden/>
              </w:rPr>
              <w:fldChar w:fldCharType="begin"/>
            </w:r>
            <w:r w:rsidR="00A10EDA">
              <w:rPr>
                <w:noProof/>
                <w:webHidden/>
              </w:rPr>
              <w:instrText xml:space="preserve"> PAGEREF _Toc184815093 \h </w:instrText>
            </w:r>
            <w:r w:rsidR="00A10EDA">
              <w:rPr>
                <w:noProof/>
                <w:webHidden/>
              </w:rPr>
            </w:r>
            <w:r w:rsidR="00A10EDA">
              <w:rPr>
                <w:noProof/>
                <w:webHidden/>
              </w:rPr>
              <w:fldChar w:fldCharType="separate"/>
            </w:r>
            <w:r w:rsidR="003312B5">
              <w:rPr>
                <w:noProof/>
                <w:webHidden/>
              </w:rPr>
              <w:t>6</w:t>
            </w:r>
            <w:r w:rsidR="00A10EDA">
              <w:rPr>
                <w:noProof/>
                <w:webHidden/>
              </w:rPr>
              <w:fldChar w:fldCharType="end"/>
            </w:r>
          </w:hyperlink>
        </w:p>
        <w:p w14:paraId="74E87A24" w14:textId="17B97271" w:rsidR="00A10EDA" w:rsidRDefault="005144AB">
          <w:pPr>
            <w:pStyle w:val="TDC3"/>
            <w:rPr>
              <w:rFonts w:asciiTheme="minorHAnsi" w:eastAsiaTheme="minorEastAsia" w:hAnsiTheme="minorHAnsi" w:cstheme="minorBidi"/>
              <w:noProof/>
              <w:szCs w:val="22"/>
              <w:lang w:eastAsia="es-MX"/>
            </w:rPr>
          </w:pPr>
          <w:hyperlink w:anchor="_Toc184815094" w:history="1">
            <w:r w:rsidR="00A10EDA" w:rsidRPr="00810ECA">
              <w:rPr>
                <w:rStyle w:val="Hipervnculo"/>
                <w:rFonts w:eastAsia="Calibri"/>
                <w:noProof/>
                <w:lang w:eastAsia="es-ES_tradnl"/>
              </w:rPr>
              <w:t>c) Plazo para interponer el recurso</w:t>
            </w:r>
            <w:r w:rsidR="00A10EDA">
              <w:rPr>
                <w:noProof/>
                <w:webHidden/>
              </w:rPr>
              <w:tab/>
            </w:r>
            <w:r w:rsidR="00A10EDA">
              <w:rPr>
                <w:noProof/>
                <w:webHidden/>
              </w:rPr>
              <w:fldChar w:fldCharType="begin"/>
            </w:r>
            <w:r w:rsidR="00A10EDA">
              <w:rPr>
                <w:noProof/>
                <w:webHidden/>
              </w:rPr>
              <w:instrText xml:space="preserve"> PAGEREF _Toc184815094 \h </w:instrText>
            </w:r>
            <w:r w:rsidR="00A10EDA">
              <w:rPr>
                <w:noProof/>
                <w:webHidden/>
              </w:rPr>
            </w:r>
            <w:r w:rsidR="00A10EDA">
              <w:rPr>
                <w:noProof/>
                <w:webHidden/>
              </w:rPr>
              <w:fldChar w:fldCharType="separate"/>
            </w:r>
            <w:r w:rsidR="003312B5">
              <w:rPr>
                <w:noProof/>
                <w:webHidden/>
              </w:rPr>
              <w:t>7</w:t>
            </w:r>
            <w:r w:rsidR="00A10EDA">
              <w:rPr>
                <w:noProof/>
                <w:webHidden/>
              </w:rPr>
              <w:fldChar w:fldCharType="end"/>
            </w:r>
          </w:hyperlink>
        </w:p>
        <w:p w14:paraId="15A2AA65" w14:textId="53301C8E" w:rsidR="00A10EDA" w:rsidRDefault="005144AB">
          <w:pPr>
            <w:pStyle w:val="TDC3"/>
            <w:rPr>
              <w:rFonts w:asciiTheme="minorHAnsi" w:eastAsiaTheme="minorEastAsia" w:hAnsiTheme="minorHAnsi" w:cstheme="minorBidi"/>
              <w:noProof/>
              <w:szCs w:val="22"/>
              <w:lang w:eastAsia="es-MX"/>
            </w:rPr>
          </w:pPr>
          <w:hyperlink w:anchor="_Toc184815095" w:history="1">
            <w:r w:rsidR="00A10EDA" w:rsidRPr="00810ECA">
              <w:rPr>
                <w:rStyle w:val="Hipervnculo"/>
                <w:rFonts w:eastAsia="Calibri"/>
                <w:noProof/>
                <w:lang w:eastAsia="es-ES_tradnl"/>
              </w:rPr>
              <w:t>d) Causal de procedencia</w:t>
            </w:r>
            <w:r w:rsidR="00A10EDA">
              <w:rPr>
                <w:noProof/>
                <w:webHidden/>
              </w:rPr>
              <w:tab/>
            </w:r>
            <w:r w:rsidR="00A10EDA">
              <w:rPr>
                <w:noProof/>
                <w:webHidden/>
              </w:rPr>
              <w:fldChar w:fldCharType="begin"/>
            </w:r>
            <w:r w:rsidR="00A10EDA">
              <w:rPr>
                <w:noProof/>
                <w:webHidden/>
              </w:rPr>
              <w:instrText xml:space="preserve"> PAGEREF _Toc184815095 \h </w:instrText>
            </w:r>
            <w:r w:rsidR="00A10EDA">
              <w:rPr>
                <w:noProof/>
                <w:webHidden/>
              </w:rPr>
            </w:r>
            <w:r w:rsidR="00A10EDA">
              <w:rPr>
                <w:noProof/>
                <w:webHidden/>
              </w:rPr>
              <w:fldChar w:fldCharType="separate"/>
            </w:r>
            <w:r w:rsidR="003312B5">
              <w:rPr>
                <w:noProof/>
                <w:webHidden/>
              </w:rPr>
              <w:t>7</w:t>
            </w:r>
            <w:r w:rsidR="00A10EDA">
              <w:rPr>
                <w:noProof/>
                <w:webHidden/>
              </w:rPr>
              <w:fldChar w:fldCharType="end"/>
            </w:r>
          </w:hyperlink>
        </w:p>
        <w:p w14:paraId="1C6FAD26" w14:textId="1DBEA62C" w:rsidR="00A10EDA" w:rsidRDefault="005144AB">
          <w:pPr>
            <w:pStyle w:val="TDC3"/>
            <w:rPr>
              <w:rFonts w:asciiTheme="minorHAnsi" w:eastAsiaTheme="minorEastAsia" w:hAnsiTheme="minorHAnsi" w:cstheme="minorBidi"/>
              <w:noProof/>
              <w:szCs w:val="22"/>
              <w:lang w:eastAsia="es-MX"/>
            </w:rPr>
          </w:pPr>
          <w:hyperlink w:anchor="_Toc184815096" w:history="1">
            <w:r w:rsidR="00A10EDA" w:rsidRPr="00810ECA">
              <w:rPr>
                <w:rStyle w:val="Hipervnculo"/>
                <w:noProof/>
              </w:rPr>
              <w:t>e) Requisitos formales para la interposición del recurso</w:t>
            </w:r>
            <w:r w:rsidR="00A10EDA">
              <w:rPr>
                <w:noProof/>
                <w:webHidden/>
              </w:rPr>
              <w:tab/>
            </w:r>
            <w:r w:rsidR="00A10EDA">
              <w:rPr>
                <w:noProof/>
                <w:webHidden/>
              </w:rPr>
              <w:fldChar w:fldCharType="begin"/>
            </w:r>
            <w:r w:rsidR="00A10EDA">
              <w:rPr>
                <w:noProof/>
                <w:webHidden/>
              </w:rPr>
              <w:instrText xml:space="preserve"> PAGEREF _Toc184815096 \h </w:instrText>
            </w:r>
            <w:r w:rsidR="00A10EDA">
              <w:rPr>
                <w:noProof/>
                <w:webHidden/>
              </w:rPr>
            </w:r>
            <w:r w:rsidR="00A10EDA">
              <w:rPr>
                <w:noProof/>
                <w:webHidden/>
              </w:rPr>
              <w:fldChar w:fldCharType="separate"/>
            </w:r>
            <w:r w:rsidR="003312B5">
              <w:rPr>
                <w:noProof/>
                <w:webHidden/>
              </w:rPr>
              <w:t>7</w:t>
            </w:r>
            <w:r w:rsidR="00A10EDA">
              <w:rPr>
                <w:noProof/>
                <w:webHidden/>
              </w:rPr>
              <w:fldChar w:fldCharType="end"/>
            </w:r>
          </w:hyperlink>
        </w:p>
        <w:p w14:paraId="03525716" w14:textId="466FC105" w:rsidR="00A10EDA" w:rsidRDefault="005144AB">
          <w:pPr>
            <w:pStyle w:val="TDC2"/>
            <w:rPr>
              <w:rFonts w:asciiTheme="minorHAnsi" w:eastAsiaTheme="minorEastAsia" w:hAnsiTheme="minorHAnsi" w:cstheme="minorBidi"/>
              <w:noProof/>
              <w:szCs w:val="22"/>
              <w:lang w:eastAsia="es-MX"/>
            </w:rPr>
          </w:pPr>
          <w:hyperlink w:anchor="_Toc184815097" w:history="1">
            <w:r w:rsidR="00A10EDA" w:rsidRPr="00810ECA">
              <w:rPr>
                <w:rStyle w:val="Hipervnculo"/>
                <w:noProof/>
              </w:rPr>
              <w:t>SEGUNDO. Estudio de Fondo</w:t>
            </w:r>
            <w:r w:rsidR="00A10EDA">
              <w:rPr>
                <w:noProof/>
                <w:webHidden/>
              </w:rPr>
              <w:tab/>
            </w:r>
            <w:r w:rsidR="00A10EDA">
              <w:rPr>
                <w:noProof/>
                <w:webHidden/>
              </w:rPr>
              <w:fldChar w:fldCharType="begin"/>
            </w:r>
            <w:r w:rsidR="00A10EDA">
              <w:rPr>
                <w:noProof/>
                <w:webHidden/>
              </w:rPr>
              <w:instrText xml:space="preserve"> PAGEREF _Toc184815097 \h </w:instrText>
            </w:r>
            <w:r w:rsidR="00A10EDA">
              <w:rPr>
                <w:noProof/>
                <w:webHidden/>
              </w:rPr>
            </w:r>
            <w:r w:rsidR="00A10EDA">
              <w:rPr>
                <w:noProof/>
                <w:webHidden/>
              </w:rPr>
              <w:fldChar w:fldCharType="separate"/>
            </w:r>
            <w:r w:rsidR="003312B5">
              <w:rPr>
                <w:noProof/>
                <w:webHidden/>
              </w:rPr>
              <w:t>8</w:t>
            </w:r>
            <w:r w:rsidR="00A10EDA">
              <w:rPr>
                <w:noProof/>
                <w:webHidden/>
              </w:rPr>
              <w:fldChar w:fldCharType="end"/>
            </w:r>
          </w:hyperlink>
        </w:p>
        <w:p w14:paraId="08E39706" w14:textId="4D7D3E32" w:rsidR="00A10EDA" w:rsidRDefault="005144AB">
          <w:pPr>
            <w:pStyle w:val="TDC3"/>
            <w:rPr>
              <w:rFonts w:asciiTheme="minorHAnsi" w:eastAsiaTheme="minorEastAsia" w:hAnsiTheme="minorHAnsi" w:cstheme="minorBidi"/>
              <w:noProof/>
              <w:szCs w:val="22"/>
              <w:lang w:eastAsia="es-MX"/>
            </w:rPr>
          </w:pPr>
          <w:hyperlink w:anchor="_Toc184815098" w:history="1">
            <w:r w:rsidR="00A10EDA" w:rsidRPr="00810ECA">
              <w:rPr>
                <w:rStyle w:val="Hipervnculo"/>
                <w:noProof/>
              </w:rPr>
              <w:t>a) Mandato de transparencia y responsabilidad del Sujeto Obligado</w:t>
            </w:r>
            <w:r w:rsidR="00A10EDA">
              <w:rPr>
                <w:noProof/>
                <w:webHidden/>
              </w:rPr>
              <w:tab/>
            </w:r>
            <w:r w:rsidR="00A10EDA">
              <w:rPr>
                <w:noProof/>
                <w:webHidden/>
              </w:rPr>
              <w:fldChar w:fldCharType="begin"/>
            </w:r>
            <w:r w:rsidR="00A10EDA">
              <w:rPr>
                <w:noProof/>
                <w:webHidden/>
              </w:rPr>
              <w:instrText xml:space="preserve"> PAGEREF _Toc184815098 \h </w:instrText>
            </w:r>
            <w:r w:rsidR="00A10EDA">
              <w:rPr>
                <w:noProof/>
                <w:webHidden/>
              </w:rPr>
            </w:r>
            <w:r w:rsidR="00A10EDA">
              <w:rPr>
                <w:noProof/>
                <w:webHidden/>
              </w:rPr>
              <w:fldChar w:fldCharType="separate"/>
            </w:r>
            <w:r w:rsidR="003312B5">
              <w:rPr>
                <w:noProof/>
                <w:webHidden/>
              </w:rPr>
              <w:t>8</w:t>
            </w:r>
            <w:r w:rsidR="00A10EDA">
              <w:rPr>
                <w:noProof/>
                <w:webHidden/>
              </w:rPr>
              <w:fldChar w:fldCharType="end"/>
            </w:r>
          </w:hyperlink>
        </w:p>
        <w:p w14:paraId="1E258538" w14:textId="2B0B7227" w:rsidR="00A10EDA" w:rsidRDefault="005144AB">
          <w:pPr>
            <w:pStyle w:val="TDC3"/>
            <w:rPr>
              <w:rFonts w:asciiTheme="minorHAnsi" w:eastAsiaTheme="minorEastAsia" w:hAnsiTheme="minorHAnsi" w:cstheme="minorBidi"/>
              <w:noProof/>
              <w:szCs w:val="22"/>
              <w:lang w:eastAsia="es-MX"/>
            </w:rPr>
          </w:pPr>
          <w:hyperlink w:anchor="_Toc184815099" w:history="1">
            <w:r w:rsidR="00A10EDA" w:rsidRPr="00810ECA">
              <w:rPr>
                <w:rStyle w:val="Hipervnculo"/>
                <w:rFonts w:eastAsia="Calibri"/>
                <w:noProof/>
                <w:lang w:eastAsia="es-ES_tradnl"/>
              </w:rPr>
              <w:t>b) Controversia a resolver</w:t>
            </w:r>
            <w:r w:rsidR="00A10EDA">
              <w:rPr>
                <w:noProof/>
                <w:webHidden/>
              </w:rPr>
              <w:tab/>
            </w:r>
            <w:r w:rsidR="00A10EDA">
              <w:rPr>
                <w:noProof/>
                <w:webHidden/>
              </w:rPr>
              <w:fldChar w:fldCharType="begin"/>
            </w:r>
            <w:r w:rsidR="00A10EDA">
              <w:rPr>
                <w:noProof/>
                <w:webHidden/>
              </w:rPr>
              <w:instrText xml:space="preserve"> PAGEREF _Toc184815099 \h </w:instrText>
            </w:r>
            <w:r w:rsidR="00A10EDA">
              <w:rPr>
                <w:noProof/>
                <w:webHidden/>
              </w:rPr>
            </w:r>
            <w:r w:rsidR="00A10EDA">
              <w:rPr>
                <w:noProof/>
                <w:webHidden/>
              </w:rPr>
              <w:fldChar w:fldCharType="separate"/>
            </w:r>
            <w:r w:rsidR="003312B5">
              <w:rPr>
                <w:noProof/>
                <w:webHidden/>
              </w:rPr>
              <w:t>11</w:t>
            </w:r>
            <w:r w:rsidR="00A10EDA">
              <w:rPr>
                <w:noProof/>
                <w:webHidden/>
              </w:rPr>
              <w:fldChar w:fldCharType="end"/>
            </w:r>
          </w:hyperlink>
        </w:p>
        <w:p w14:paraId="20747D1E" w14:textId="0F567D22" w:rsidR="00A10EDA" w:rsidRDefault="005144AB">
          <w:pPr>
            <w:pStyle w:val="TDC3"/>
            <w:rPr>
              <w:rFonts w:asciiTheme="minorHAnsi" w:eastAsiaTheme="minorEastAsia" w:hAnsiTheme="minorHAnsi" w:cstheme="minorBidi"/>
              <w:noProof/>
              <w:szCs w:val="22"/>
              <w:lang w:eastAsia="es-MX"/>
            </w:rPr>
          </w:pPr>
          <w:hyperlink w:anchor="_Toc184815100" w:history="1">
            <w:r w:rsidR="00A10EDA" w:rsidRPr="00810ECA">
              <w:rPr>
                <w:rStyle w:val="Hipervnculo"/>
                <w:noProof/>
              </w:rPr>
              <w:t>c) Estudio de la controversia</w:t>
            </w:r>
            <w:r w:rsidR="00A10EDA">
              <w:rPr>
                <w:noProof/>
                <w:webHidden/>
              </w:rPr>
              <w:tab/>
            </w:r>
            <w:r w:rsidR="00A10EDA">
              <w:rPr>
                <w:noProof/>
                <w:webHidden/>
              </w:rPr>
              <w:fldChar w:fldCharType="begin"/>
            </w:r>
            <w:r w:rsidR="00A10EDA">
              <w:rPr>
                <w:noProof/>
                <w:webHidden/>
              </w:rPr>
              <w:instrText xml:space="preserve"> PAGEREF _Toc184815100 \h </w:instrText>
            </w:r>
            <w:r w:rsidR="00A10EDA">
              <w:rPr>
                <w:noProof/>
                <w:webHidden/>
              </w:rPr>
            </w:r>
            <w:r w:rsidR="00A10EDA">
              <w:rPr>
                <w:noProof/>
                <w:webHidden/>
              </w:rPr>
              <w:fldChar w:fldCharType="separate"/>
            </w:r>
            <w:r w:rsidR="003312B5">
              <w:rPr>
                <w:noProof/>
                <w:webHidden/>
              </w:rPr>
              <w:t>12</w:t>
            </w:r>
            <w:r w:rsidR="00A10EDA">
              <w:rPr>
                <w:noProof/>
                <w:webHidden/>
              </w:rPr>
              <w:fldChar w:fldCharType="end"/>
            </w:r>
          </w:hyperlink>
        </w:p>
        <w:p w14:paraId="2FF0B2F1" w14:textId="1E19FE16" w:rsidR="00A10EDA" w:rsidRDefault="005144AB">
          <w:pPr>
            <w:pStyle w:val="TDC3"/>
            <w:rPr>
              <w:rFonts w:asciiTheme="minorHAnsi" w:eastAsiaTheme="minorEastAsia" w:hAnsiTheme="minorHAnsi" w:cstheme="minorBidi"/>
              <w:noProof/>
              <w:szCs w:val="22"/>
              <w:lang w:eastAsia="es-MX"/>
            </w:rPr>
          </w:pPr>
          <w:hyperlink w:anchor="_Toc184815101" w:history="1">
            <w:r w:rsidR="00A10EDA" w:rsidRPr="00810ECA">
              <w:rPr>
                <w:rStyle w:val="Hipervnculo"/>
                <w:noProof/>
              </w:rPr>
              <w:t>d) Versión pública</w:t>
            </w:r>
            <w:r w:rsidR="00A10EDA">
              <w:rPr>
                <w:noProof/>
                <w:webHidden/>
              </w:rPr>
              <w:tab/>
            </w:r>
            <w:r w:rsidR="00A10EDA">
              <w:rPr>
                <w:noProof/>
                <w:webHidden/>
              </w:rPr>
              <w:fldChar w:fldCharType="begin"/>
            </w:r>
            <w:r w:rsidR="00A10EDA">
              <w:rPr>
                <w:noProof/>
                <w:webHidden/>
              </w:rPr>
              <w:instrText xml:space="preserve"> PAGEREF _Toc184815101 \h </w:instrText>
            </w:r>
            <w:r w:rsidR="00A10EDA">
              <w:rPr>
                <w:noProof/>
                <w:webHidden/>
              </w:rPr>
            </w:r>
            <w:r w:rsidR="00A10EDA">
              <w:rPr>
                <w:noProof/>
                <w:webHidden/>
              </w:rPr>
              <w:fldChar w:fldCharType="separate"/>
            </w:r>
            <w:r w:rsidR="003312B5">
              <w:rPr>
                <w:noProof/>
                <w:webHidden/>
              </w:rPr>
              <w:t>25</w:t>
            </w:r>
            <w:r w:rsidR="00A10EDA">
              <w:rPr>
                <w:noProof/>
                <w:webHidden/>
              </w:rPr>
              <w:fldChar w:fldCharType="end"/>
            </w:r>
          </w:hyperlink>
        </w:p>
        <w:p w14:paraId="400D8AE0" w14:textId="52CCB819" w:rsidR="00A10EDA" w:rsidRDefault="005144AB">
          <w:pPr>
            <w:pStyle w:val="TDC3"/>
            <w:rPr>
              <w:rFonts w:asciiTheme="minorHAnsi" w:eastAsiaTheme="minorEastAsia" w:hAnsiTheme="minorHAnsi" w:cstheme="minorBidi"/>
              <w:noProof/>
              <w:szCs w:val="22"/>
              <w:lang w:eastAsia="es-MX"/>
            </w:rPr>
          </w:pPr>
          <w:hyperlink w:anchor="_Toc184815102" w:history="1">
            <w:r w:rsidR="00A10EDA" w:rsidRPr="00810ECA">
              <w:rPr>
                <w:rStyle w:val="Hipervnculo"/>
                <w:noProof/>
              </w:rPr>
              <w:t>e) Conclusión</w:t>
            </w:r>
            <w:r w:rsidR="00A10EDA">
              <w:rPr>
                <w:noProof/>
                <w:webHidden/>
              </w:rPr>
              <w:tab/>
            </w:r>
            <w:r w:rsidR="00A10EDA">
              <w:rPr>
                <w:noProof/>
                <w:webHidden/>
              </w:rPr>
              <w:fldChar w:fldCharType="begin"/>
            </w:r>
            <w:r w:rsidR="00A10EDA">
              <w:rPr>
                <w:noProof/>
                <w:webHidden/>
              </w:rPr>
              <w:instrText xml:space="preserve"> PAGEREF _Toc184815102 \h </w:instrText>
            </w:r>
            <w:r w:rsidR="00A10EDA">
              <w:rPr>
                <w:noProof/>
                <w:webHidden/>
              </w:rPr>
            </w:r>
            <w:r w:rsidR="00A10EDA">
              <w:rPr>
                <w:noProof/>
                <w:webHidden/>
              </w:rPr>
              <w:fldChar w:fldCharType="separate"/>
            </w:r>
            <w:r w:rsidR="003312B5">
              <w:rPr>
                <w:noProof/>
                <w:webHidden/>
              </w:rPr>
              <w:t>39</w:t>
            </w:r>
            <w:r w:rsidR="00A10EDA">
              <w:rPr>
                <w:noProof/>
                <w:webHidden/>
              </w:rPr>
              <w:fldChar w:fldCharType="end"/>
            </w:r>
          </w:hyperlink>
        </w:p>
        <w:p w14:paraId="629581DC" w14:textId="65647306" w:rsidR="00A10EDA" w:rsidRDefault="005144AB">
          <w:pPr>
            <w:pStyle w:val="TDC1"/>
            <w:tabs>
              <w:tab w:val="right" w:leader="dot" w:pos="9034"/>
            </w:tabs>
            <w:rPr>
              <w:rFonts w:asciiTheme="minorHAnsi" w:eastAsiaTheme="minorEastAsia" w:hAnsiTheme="minorHAnsi" w:cstheme="minorBidi"/>
              <w:noProof/>
              <w:szCs w:val="22"/>
              <w:lang w:eastAsia="es-MX"/>
            </w:rPr>
          </w:pPr>
          <w:hyperlink w:anchor="_Toc184815103" w:history="1">
            <w:r w:rsidR="00A10EDA" w:rsidRPr="00810ECA">
              <w:rPr>
                <w:rStyle w:val="Hipervnculo"/>
                <w:noProof/>
              </w:rPr>
              <w:t>RESUELVE</w:t>
            </w:r>
            <w:r w:rsidR="00A10EDA">
              <w:rPr>
                <w:noProof/>
                <w:webHidden/>
              </w:rPr>
              <w:tab/>
            </w:r>
            <w:r w:rsidR="00A10EDA">
              <w:rPr>
                <w:noProof/>
                <w:webHidden/>
              </w:rPr>
              <w:fldChar w:fldCharType="begin"/>
            </w:r>
            <w:r w:rsidR="00A10EDA">
              <w:rPr>
                <w:noProof/>
                <w:webHidden/>
              </w:rPr>
              <w:instrText xml:space="preserve"> PAGEREF _Toc184815103 \h </w:instrText>
            </w:r>
            <w:r w:rsidR="00A10EDA">
              <w:rPr>
                <w:noProof/>
                <w:webHidden/>
              </w:rPr>
            </w:r>
            <w:r w:rsidR="00A10EDA">
              <w:rPr>
                <w:noProof/>
                <w:webHidden/>
              </w:rPr>
              <w:fldChar w:fldCharType="separate"/>
            </w:r>
            <w:r w:rsidR="003312B5">
              <w:rPr>
                <w:noProof/>
                <w:webHidden/>
              </w:rPr>
              <w:t>39</w:t>
            </w:r>
            <w:r w:rsidR="00A10EDA">
              <w:rPr>
                <w:noProof/>
                <w:webHidden/>
              </w:rPr>
              <w:fldChar w:fldCharType="end"/>
            </w:r>
          </w:hyperlink>
        </w:p>
        <w:p w14:paraId="0C82FD7A" w14:textId="13E06463" w:rsidR="009B2945" w:rsidRPr="00A10EDA" w:rsidRDefault="00AE3DA7" w:rsidP="00A10EDA">
          <w:pPr>
            <w:pStyle w:val="TDC1"/>
            <w:tabs>
              <w:tab w:val="right" w:leader="dot" w:pos="9034"/>
            </w:tabs>
            <w:rPr>
              <w:b/>
              <w:bCs/>
              <w:lang w:val="es-ES"/>
            </w:rPr>
          </w:pPr>
          <w:r w:rsidRPr="00A10EDA">
            <w:rPr>
              <w:b/>
              <w:bCs/>
              <w:sz w:val="16"/>
              <w:szCs w:val="16"/>
              <w:lang w:val="es-ES"/>
            </w:rPr>
            <w:fldChar w:fldCharType="end"/>
          </w:r>
        </w:p>
      </w:sdtContent>
    </w:sdt>
    <w:p w14:paraId="603A07E2" w14:textId="77777777" w:rsidR="00646436" w:rsidRPr="00A10EDA" w:rsidRDefault="00646436" w:rsidP="00A10EDA">
      <w:pPr>
        <w:rPr>
          <w:rFonts w:cs="Tahoma"/>
          <w:szCs w:val="22"/>
        </w:rPr>
        <w:sectPr w:rsidR="00646436" w:rsidRPr="00A10ED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B3CA477" w:rsidR="00775BFC" w:rsidRPr="00A10EDA" w:rsidRDefault="00775BFC" w:rsidP="00A10EDA">
      <w:r w:rsidRPr="00A10EDA">
        <w:lastRenderedPageBreak/>
        <w:t xml:space="preserve">Resolución del Pleno del Instituto de Transparencia, Acceso a la Información Pública y Protección de Datos Personales del Estado de México y Municipios, con domicilio en Metepec, Estado de México, de </w:t>
      </w:r>
      <w:r w:rsidR="00C325FC" w:rsidRPr="00A10EDA">
        <w:rPr>
          <w:b/>
        </w:rPr>
        <w:t>once</w:t>
      </w:r>
      <w:r w:rsidR="00E60DB3" w:rsidRPr="00A10EDA">
        <w:rPr>
          <w:b/>
        </w:rPr>
        <w:t xml:space="preserve"> de </w:t>
      </w:r>
      <w:r w:rsidR="00C325FC" w:rsidRPr="00A10EDA">
        <w:rPr>
          <w:b/>
        </w:rPr>
        <w:t>diciembre</w:t>
      </w:r>
      <w:r w:rsidR="00B52CF2" w:rsidRPr="00A10EDA">
        <w:rPr>
          <w:b/>
        </w:rPr>
        <w:t xml:space="preserve"> de dos mil veinticuatro</w:t>
      </w:r>
      <w:r w:rsidR="00B52CF2" w:rsidRPr="00A10EDA">
        <w:t>.</w:t>
      </w:r>
    </w:p>
    <w:p w14:paraId="0AF3AAC4" w14:textId="77777777" w:rsidR="00775BFC" w:rsidRPr="00A10EDA" w:rsidRDefault="00775BFC" w:rsidP="00A10EDA"/>
    <w:p w14:paraId="40EAE038" w14:textId="05139F5E" w:rsidR="00775BFC" w:rsidRPr="00A10EDA" w:rsidRDefault="00775BFC" w:rsidP="00A10EDA">
      <w:r w:rsidRPr="00A10EDA">
        <w:rPr>
          <w:b/>
        </w:rPr>
        <w:t xml:space="preserve">VISTO </w:t>
      </w:r>
      <w:r w:rsidRPr="00A10EDA">
        <w:t xml:space="preserve">el expediente formado con motivo del Recurso de Revisión </w:t>
      </w:r>
      <w:bookmarkStart w:id="2" w:name="_GoBack"/>
      <w:r w:rsidR="00B271BA" w:rsidRPr="00A10EDA">
        <w:rPr>
          <w:rFonts w:eastAsia="Calibri"/>
          <w:b/>
          <w:lang w:eastAsia="en-US"/>
        </w:rPr>
        <w:t>07282/INFOEM/IP/RR/2024</w:t>
      </w:r>
      <w:r w:rsidR="00B52CF2" w:rsidRPr="00A10EDA">
        <w:rPr>
          <w:rFonts w:eastAsia="Calibri"/>
          <w:b/>
          <w:lang w:eastAsia="en-US"/>
        </w:rPr>
        <w:t xml:space="preserve"> </w:t>
      </w:r>
      <w:bookmarkEnd w:id="2"/>
      <w:r w:rsidRPr="00A10EDA">
        <w:t>interpuesto</w:t>
      </w:r>
      <w:r w:rsidR="002A4A04" w:rsidRPr="00A10EDA">
        <w:t xml:space="preserve"> por</w:t>
      </w:r>
      <w:r w:rsidRPr="00A10EDA">
        <w:t xml:space="preserve"> </w:t>
      </w:r>
      <w:r w:rsidR="005144AB">
        <w:rPr>
          <w:rFonts w:eastAsia="Calibri"/>
          <w:b/>
          <w:lang w:eastAsia="en-US"/>
        </w:rPr>
        <w:t xml:space="preserve">XXXXXXX </w:t>
      </w:r>
      <w:proofErr w:type="spellStart"/>
      <w:r w:rsidR="005144AB">
        <w:rPr>
          <w:rFonts w:eastAsia="Calibri"/>
          <w:b/>
          <w:lang w:eastAsia="en-US"/>
        </w:rPr>
        <w:t>XXXXXXX</w:t>
      </w:r>
      <w:proofErr w:type="spellEnd"/>
      <w:r w:rsidR="005144AB">
        <w:rPr>
          <w:rFonts w:eastAsia="Calibri"/>
          <w:b/>
          <w:lang w:eastAsia="en-US"/>
        </w:rPr>
        <w:t xml:space="preserve"> XXXX</w:t>
      </w:r>
      <w:r w:rsidR="00B52CF2" w:rsidRPr="00A10EDA">
        <w:t>,</w:t>
      </w:r>
      <w:r w:rsidRPr="00A10EDA">
        <w:t xml:space="preserve"> a quien en lo subsecuente se le denominará </w:t>
      </w:r>
      <w:r w:rsidRPr="00A10EDA">
        <w:rPr>
          <w:b/>
          <w:bCs/>
        </w:rPr>
        <w:t>LA PARTE RECURRENTE</w:t>
      </w:r>
      <w:r w:rsidRPr="00A10EDA">
        <w:t>, en contra de la respuesta emitida por</w:t>
      </w:r>
      <w:r w:rsidR="00C325FC" w:rsidRPr="00A10EDA">
        <w:t xml:space="preserve"> el</w:t>
      </w:r>
      <w:r w:rsidRPr="00A10EDA">
        <w:t xml:space="preserve"> </w:t>
      </w:r>
      <w:r w:rsidR="00B271BA" w:rsidRPr="00A10EDA">
        <w:rPr>
          <w:b/>
          <w:bCs/>
        </w:rPr>
        <w:t>Ayuntamiento de Almoloya de Juárez</w:t>
      </w:r>
      <w:r w:rsidRPr="00A10EDA">
        <w:t xml:space="preserve">, en adelante </w:t>
      </w:r>
      <w:r w:rsidRPr="00A10EDA">
        <w:rPr>
          <w:b/>
          <w:bCs/>
        </w:rPr>
        <w:t>EL SUJETO OBLIGADO</w:t>
      </w:r>
      <w:r w:rsidRPr="00A10EDA">
        <w:rPr>
          <w:rFonts w:eastAsia="Calibri"/>
          <w:lang w:eastAsia="en-US"/>
        </w:rPr>
        <w:t xml:space="preserve">, </w:t>
      </w:r>
      <w:r w:rsidRPr="00A10EDA">
        <w:t>se emite la presente Resolución con base en los Antecedentes y Considerandos que se exponen a continuación:</w:t>
      </w:r>
    </w:p>
    <w:p w14:paraId="2116968C" w14:textId="77777777" w:rsidR="00775BFC" w:rsidRPr="00A10EDA" w:rsidRDefault="00775BFC" w:rsidP="00A10EDA"/>
    <w:p w14:paraId="5A444FB6" w14:textId="639D3567" w:rsidR="00664420" w:rsidRPr="00A10EDA" w:rsidRDefault="00664420" w:rsidP="00A10EDA">
      <w:pPr>
        <w:pStyle w:val="Ttulo1"/>
      </w:pPr>
      <w:bookmarkStart w:id="3" w:name="_Toc184815077"/>
      <w:r w:rsidRPr="00A10EDA">
        <w:t>ANTECEDENTES</w:t>
      </w:r>
      <w:bookmarkEnd w:id="3"/>
    </w:p>
    <w:p w14:paraId="5CB5034E" w14:textId="77777777" w:rsidR="00AC2DB8" w:rsidRPr="00A10EDA" w:rsidRDefault="00AC2DB8" w:rsidP="00A10EDA"/>
    <w:p w14:paraId="09B2D38F" w14:textId="6E49D146" w:rsidR="00664420" w:rsidRPr="00A10EDA" w:rsidRDefault="00E37A3F" w:rsidP="00A10EDA">
      <w:pPr>
        <w:pStyle w:val="Ttulo2"/>
      </w:pPr>
      <w:bookmarkStart w:id="4" w:name="_Toc184815078"/>
      <w:r w:rsidRPr="00A10EDA">
        <w:t>DE LA SOLICITUD DE INFORMACIÓN</w:t>
      </w:r>
      <w:bookmarkEnd w:id="4"/>
    </w:p>
    <w:p w14:paraId="2C6AD1A5" w14:textId="0405B3CD" w:rsidR="00664420" w:rsidRPr="00A10EDA" w:rsidRDefault="00E37A3F" w:rsidP="00A10EDA">
      <w:pPr>
        <w:pStyle w:val="Ttulo3"/>
      </w:pPr>
      <w:bookmarkStart w:id="5" w:name="_Toc184815079"/>
      <w:r w:rsidRPr="00A10EDA">
        <w:t xml:space="preserve">a) </w:t>
      </w:r>
      <w:r w:rsidR="006B10B0" w:rsidRPr="00A10EDA">
        <w:t>S</w:t>
      </w:r>
      <w:r w:rsidR="00664420" w:rsidRPr="00A10EDA">
        <w:t xml:space="preserve">olicitud de </w:t>
      </w:r>
      <w:r w:rsidR="006B10B0" w:rsidRPr="00A10EDA">
        <w:t>i</w:t>
      </w:r>
      <w:r w:rsidR="00664420" w:rsidRPr="00A10EDA">
        <w:t>nformación</w:t>
      </w:r>
      <w:bookmarkEnd w:id="5"/>
    </w:p>
    <w:p w14:paraId="06DCD29D" w14:textId="03A75CDD" w:rsidR="009A2D78" w:rsidRPr="00A10EDA" w:rsidRDefault="006B10B0" w:rsidP="00A10EDA">
      <w:pPr>
        <w:pStyle w:val="Prrafodelista"/>
        <w:tabs>
          <w:tab w:val="left" w:pos="0"/>
        </w:tabs>
        <w:ind w:left="0"/>
        <w:contextualSpacing w:val="0"/>
        <w:rPr>
          <w:rFonts w:cs="Tahoma"/>
        </w:rPr>
      </w:pPr>
      <w:r w:rsidRPr="00A10EDA">
        <w:rPr>
          <w:rFonts w:cs="Tahoma"/>
        </w:rPr>
        <w:t>El</w:t>
      </w:r>
      <w:r w:rsidR="00664420" w:rsidRPr="00A10EDA">
        <w:rPr>
          <w:rFonts w:cs="Tahoma"/>
        </w:rPr>
        <w:t xml:space="preserve"> </w:t>
      </w:r>
      <w:r w:rsidR="00B271BA" w:rsidRPr="00A10EDA">
        <w:rPr>
          <w:rFonts w:cs="Tahoma"/>
          <w:b/>
          <w:bCs/>
        </w:rPr>
        <w:t>dieciséis</w:t>
      </w:r>
      <w:r w:rsidR="000D0140" w:rsidRPr="00A10EDA">
        <w:rPr>
          <w:rFonts w:cs="Tahoma"/>
          <w:b/>
          <w:bCs/>
        </w:rPr>
        <w:t xml:space="preserve"> de octubre</w:t>
      </w:r>
      <w:r w:rsidR="00B52CF2" w:rsidRPr="00A10EDA">
        <w:rPr>
          <w:rFonts w:cs="Tahoma"/>
          <w:b/>
          <w:bCs/>
        </w:rPr>
        <w:t xml:space="preserve"> de dos mil veinticuatro</w:t>
      </w:r>
      <w:r w:rsidR="00664420" w:rsidRPr="00A10EDA">
        <w:rPr>
          <w:rFonts w:cs="Tahoma"/>
        </w:rPr>
        <w:t xml:space="preserve">, </w:t>
      </w:r>
      <w:r w:rsidRPr="00A10EDA">
        <w:rPr>
          <w:b/>
          <w:bCs/>
        </w:rPr>
        <w:t>LA PARTE RECURRENTE</w:t>
      </w:r>
      <w:r w:rsidR="00664420" w:rsidRPr="00A10EDA">
        <w:rPr>
          <w:rFonts w:cs="Tahoma"/>
        </w:rPr>
        <w:t xml:space="preserve"> presentó una solicitud de acceso a la información pública </w:t>
      </w:r>
      <w:r w:rsidR="001F3515" w:rsidRPr="00A10EDA">
        <w:rPr>
          <w:rFonts w:cs="Tahoma"/>
        </w:rPr>
        <w:t xml:space="preserve">ante el </w:t>
      </w:r>
      <w:r w:rsidR="001F3515" w:rsidRPr="00A10EDA">
        <w:rPr>
          <w:rFonts w:cs="Tahoma"/>
          <w:b/>
          <w:bCs/>
        </w:rPr>
        <w:t>SUJETO OBLIGADO</w:t>
      </w:r>
      <w:r w:rsidR="001F3515" w:rsidRPr="00A10EDA">
        <w:rPr>
          <w:rFonts w:cs="Tahoma"/>
        </w:rPr>
        <w:t xml:space="preserve">, </w:t>
      </w:r>
      <w:r w:rsidR="00B52CF2" w:rsidRPr="00A10EDA">
        <w:rPr>
          <w:rFonts w:cs="Tahoma"/>
        </w:rPr>
        <w:t xml:space="preserve">a través </w:t>
      </w:r>
      <w:r w:rsidR="00DB2351" w:rsidRPr="00A10EDA">
        <w:rPr>
          <w:rFonts w:cs="Tahoma"/>
        </w:rPr>
        <w:t>d</w:t>
      </w:r>
      <w:r w:rsidRPr="00A10EDA">
        <w:rPr>
          <w:rFonts w:cs="Tahoma"/>
        </w:rPr>
        <w:t>el Sistema de Acceso a la Información Mexiquense</w:t>
      </w:r>
      <w:r w:rsidR="009A2D78" w:rsidRPr="00A10EDA">
        <w:rPr>
          <w:rFonts w:cs="Tahoma"/>
        </w:rPr>
        <w:t xml:space="preserve"> (</w:t>
      </w:r>
      <w:r w:rsidRPr="00A10EDA">
        <w:rPr>
          <w:rFonts w:cs="Tahoma"/>
        </w:rPr>
        <w:t>SAIMEX</w:t>
      </w:r>
      <w:r w:rsidR="009A2D78" w:rsidRPr="00A10EDA">
        <w:rPr>
          <w:rFonts w:cs="Tahoma"/>
        </w:rPr>
        <w:t>). Dicha solicitud quedó</w:t>
      </w:r>
      <w:r w:rsidRPr="00A10EDA">
        <w:rPr>
          <w:rFonts w:cs="Tahoma"/>
        </w:rPr>
        <w:t xml:space="preserve"> registrada c</w:t>
      </w:r>
      <w:r w:rsidR="00664420" w:rsidRPr="00A10EDA">
        <w:rPr>
          <w:rFonts w:cs="Tahoma"/>
        </w:rPr>
        <w:t>on el número de folio</w:t>
      </w:r>
      <w:r w:rsidR="00664420" w:rsidRPr="00A10EDA">
        <w:rPr>
          <w:rFonts w:cs="Tahoma"/>
          <w:b/>
          <w:bCs/>
        </w:rPr>
        <w:t xml:space="preserve"> </w:t>
      </w:r>
      <w:r w:rsidR="00B271BA" w:rsidRPr="00A10EDA">
        <w:rPr>
          <w:rFonts w:cs="Tahoma"/>
          <w:b/>
          <w:bCs/>
        </w:rPr>
        <w:t>00517/ALMOJU/IP/2024</w:t>
      </w:r>
      <w:r w:rsidR="002A3601" w:rsidRPr="00A10EDA">
        <w:rPr>
          <w:rFonts w:cs="Tahoma"/>
        </w:rPr>
        <w:t xml:space="preserve">y en ella </w:t>
      </w:r>
      <w:r w:rsidR="009A2D78" w:rsidRPr="00A10EDA">
        <w:rPr>
          <w:rFonts w:cs="Tahoma"/>
        </w:rPr>
        <w:t>se requirió la siguiente información:</w:t>
      </w:r>
    </w:p>
    <w:p w14:paraId="0459D6AC" w14:textId="77777777" w:rsidR="00664420" w:rsidRPr="00A10EDA" w:rsidRDefault="00664420" w:rsidP="00A10EDA">
      <w:pPr>
        <w:tabs>
          <w:tab w:val="left" w:pos="4667"/>
        </w:tabs>
        <w:ind w:left="567" w:right="567"/>
        <w:rPr>
          <w:rFonts w:cs="Tahoma"/>
          <w:b/>
          <w:bCs/>
        </w:rPr>
      </w:pPr>
    </w:p>
    <w:p w14:paraId="64B27DE3" w14:textId="1D490C8B" w:rsidR="00664420" w:rsidRPr="00A10EDA" w:rsidRDefault="00EE58D9" w:rsidP="00A10EDA">
      <w:pPr>
        <w:pStyle w:val="Puesto"/>
      </w:pPr>
      <w:r w:rsidRPr="00A10EDA">
        <w:t>“</w:t>
      </w:r>
      <w:r w:rsidR="00B271BA" w:rsidRPr="00A10EDA">
        <w:t xml:space="preserve">solicito el recibo de nómina timbrado correspondiente a la primera quincena de octubre de 2024 de </w:t>
      </w:r>
      <w:proofErr w:type="spellStart"/>
      <w:r w:rsidR="00B271BA" w:rsidRPr="00A10EDA">
        <w:t>Jasiel</w:t>
      </w:r>
      <w:proofErr w:type="spellEnd"/>
      <w:r w:rsidR="00B271BA" w:rsidRPr="00A10EDA">
        <w:t xml:space="preserve"> </w:t>
      </w:r>
      <w:proofErr w:type="spellStart"/>
      <w:r w:rsidR="00B271BA" w:rsidRPr="00A10EDA">
        <w:t>Alvarez</w:t>
      </w:r>
      <w:proofErr w:type="spellEnd"/>
      <w:r w:rsidR="00B271BA" w:rsidRPr="00A10EDA">
        <w:t xml:space="preserve"> adscrito a mejora regulatoria, </w:t>
      </w:r>
      <w:proofErr w:type="spellStart"/>
      <w:r w:rsidR="00B271BA" w:rsidRPr="00A10EDA">
        <w:t>asi</w:t>
      </w:r>
      <w:proofErr w:type="spellEnd"/>
      <w:r w:rsidR="00B271BA" w:rsidRPr="00A10EDA">
        <w:t xml:space="preserve"> como todos los recibos de </w:t>
      </w:r>
      <w:proofErr w:type="spellStart"/>
      <w:r w:rsidR="00B271BA" w:rsidRPr="00A10EDA">
        <w:t>nomina</w:t>
      </w:r>
      <w:proofErr w:type="spellEnd"/>
      <w:r w:rsidR="00B271BA" w:rsidRPr="00A10EDA">
        <w:t xml:space="preserve"> timbrados por los cuales se le haya pagado su aguinaldo y prima vacacional correspondientes al ejercicio 2023</w:t>
      </w:r>
      <w:r w:rsidR="00C325FC" w:rsidRPr="00A10EDA">
        <w:t>.</w:t>
      </w:r>
      <w:r w:rsidRPr="00A10EDA">
        <w:t>”</w:t>
      </w:r>
      <w:r w:rsidR="00C325FC" w:rsidRPr="00A10EDA">
        <w:t xml:space="preserve"> (Sic)</w:t>
      </w:r>
    </w:p>
    <w:p w14:paraId="627D2DD4" w14:textId="77777777" w:rsidR="00B52CF2" w:rsidRPr="00A10EDA" w:rsidRDefault="00B52CF2" w:rsidP="00A10EDA">
      <w:pPr>
        <w:tabs>
          <w:tab w:val="left" w:pos="4667"/>
        </w:tabs>
        <w:ind w:left="567" w:right="567"/>
        <w:rPr>
          <w:rFonts w:cs="Tahoma"/>
          <w:bCs/>
          <w:i/>
          <w:szCs w:val="22"/>
        </w:rPr>
      </w:pPr>
    </w:p>
    <w:p w14:paraId="0BD6321D" w14:textId="4E65BC8D" w:rsidR="00664420" w:rsidRPr="00A10EDA" w:rsidRDefault="009A2D78" w:rsidP="00A10EDA">
      <w:pPr>
        <w:tabs>
          <w:tab w:val="left" w:pos="4667"/>
        </w:tabs>
        <w:ind w:left="567" w:right="567"/>
        <w:rPr>
          <w:rFonts w:cs="Tahoma"/>
          <w:bCs/>
          <w:szCs w:val="22"/>
        </w:rPr>
      </w:pPr>
      <w:r w:rsidRPr="00A10EDA">
        <w:rPr>
          <w:rFonts w:cs="Tahoma"/>
          <w:b/>
          <w:bCs/>
          <w:szCs w:val="22"/>
        </w:rPr>
        <w:t>Modalidad de entrega</w:t>
      </w:r>
      <w:r w:rsidRPr="00A10EDA">
        <w:rPr>
          <w:rFonts w:cs="Tahoma"/>
          <w:bCs/>
          <w:szCs w:val="22"/>
        </w:rPr>
        <w:t xml:space="preserve">: </w:t>
      </w:r>
      <w:r w:rsidR="00EE58D9" w:rsidRPr="00A10EDA">
        <w:rPr>
          <w:rFonts w:cs="Tahoma"/>
          <w:bCs/>
          <w:szCs w:val="22"/>
        </w:rPr>
        <w:t xml:space="preserve">a través del </w:t>
      </w:r>
      <w:r w:rsidR="00D024E7" w:rsidRPr="00A10EDA">
        <w:rPr>
          <w:rFonts w:cs="Tahoma"/>
          <w:b/>
          <w:bCs/>
          <w:szCs w:val="22"/>
        </w:rPr>
        <w:t>SAIMEX</w:t>
      </w:r>
      <w:r w:rsidRPr="00A10EDA">
        <w:rPr>
          <w:rFonts w:cs="Tahoma"/>
          <w:bCs/>
          <w:i/>
          <w:szCs w:val="22"/>
        </w:rPr>
        <w:t>.</w:t>
      </w:r>
    </w:p>
    <w:p w14:paraId="413A7C2D" w14:textId="77777777" w:rsidR="00DB2351" w:rsidRPr="00A10EDA" w:rsidRDefault="00DB2351" w:rsidP="00A10EDA">
      <w:pPr>
        <w:pStyle w:val="Ttulo3"/>
      </w:pPr>
      <w:bookmarkStart w:id="6" w:name="_Toc165402840"/>
      <w:bookmarkStart w:id="7" w:name="_Toc184815080"/>
      <w:r w:rsidRPr="00A10EDA">
        <w:lastRenderedPageBreak/>
        <w:t>b) Turno de la solicitud de información</w:t>
      </w:r>
      <w:bookmarkEnd w:id="6"/>
      <w:bookmarkEnd w:id="7"/>
    </w:p>
    <w:p w14:paraId="429B52B6" w14:textId="391CE753" w:rsidR="00DB2351" w:rsidRPr="00A10EDA" w:rsidRDefault="00DB2351" w:rsidP="00A10EDA">
      <w:r w:rsidRPr="00A10EDA">
        <w:t xml:space="preserve">En cumplimiento al artículo 162 de la Ley de Transparencia y Acceso a la Información Pública del Estado de México y Municipios, el </w:t>
      </w:r>
      <w:r w:rsidR="00F1716C" w:rsidRPr="00A10EDA">
        <w:rPr>
          <w:rFonts w:eastAsia="Palatino Linotype" w:cs="Palatino Linotype"/>
          <w:b/>
        </w:rPr>
        <w:t xml:space="preserve">veintitrés </w:t>
      </w:r>
      <w:r w:rsidR="000D0140" w:rsidRPr="00A10EDA">
        <w:rPr>
          <w:rFonts w:eastAsia="Palatino Linotype" w:cs="Palatino Linotype"/>
          <w:b/>
        </w:rPr>
        <w:t>de octubre</w:t>
      </w:r>
      <w:r w:rsidRPr="00A10EDA">
        <w:rPr>
          <w:rFonts w:eastAsia="Palatino Linotype" w:cs="Palatino Linotype"/>
          <w:b/>
        </w:rPr>
        <w:t xml:space="preserve"> de dos mil veinticuatro</w:t>
      </w:r>
      <w:r w:rsidR="00EE58D9" w:rsidRPr="00A10EDA">
        <w:t>, la</w:t>
      </w:r>
      <w:r w:rsidRPr="00A10EDA">
        <w:t xml:space="preserve"> Titular de la Unidad de Transparencia del </w:t>
      </w:r>
      <w:r w:rsidRPr="00A10EDA">
        <w:rPr>
          <w:b/>
        </w:rPr>
        <w:t>SUJETO OBLIGADO</w:t>
      </w:r>
      <w:r w:rsidRPr="00A10EDA">
        <w:t xml:space="preserve"> turnó la solicitud de información </w:t>
      </w:r>
      <w:r w:rsidR="00DC7C0E" w:rsidRPr="00A10EDA">
        <w:t>a la servidora pública habilitada</w:t>
      </w:r>
      <w:r w:rsidRPr="00A10EDA">
        <w:t xml:space="preserve"> que estimó pertinente.</w:t>
      </w:r>
    </w:p>
    <w:p w14:paraId="6FB6F359" w14:textId="3EC9366B" w:rsidR="00DB2351" w:rsidRPr="00A10EDA" w:rsidRDefault="00DB2351" w:rsidP="00A10EDA">
      <w:pPr>
        <w:autoSpaceDE w:val="0"/>
        <w:autoSpaceDN w:val="0"/>
        <w:adjustRightInd w:val="0"/>
        <w:ind w:right="-28"/>
        <w:rPr>
          <w:rFonts w:cs="Tahoma"/>
          <w:bCs/>
          <w:i/>
          <w:sz w:val="16"/>
          <w:szCs w:val="16"/>
        </w:rPr>
      </w:pPr>
    </w:p>
    <w:p w14:paraId="66E5C2FF" w14:textId="77777777" w:rsidR="00F1716C" w:rsidRPr="00A10EDA" w:rsidRDefault="00F1716C" w:rsidP="00A10EDA">
      <w:pPr>
        <w:pStyle w:val="Ttulo3"/>
      </w:pPr>
      <w:bookmarkStart w:id="8" w:name="_Toc165402841"/>
      <w:bookmarkStart w:id="9" w:name="_Toc184815081"/>
      <w:r w:rsidRPr="00A10EDA">
        <w:t>c) Prórroga</w:t>
      </w:r>
      <w:bookmarkEnd w:id="8"/>
      <w:bookmarkEnd w:id="9"/>
    </w:p>
    <w:p w14:paraId="1776962B" w14:textId="250E74B4" w:rsidR="00F1716C" w:rsidRPr="00A10EDA" w:rsidRDefault="00F1716C" w:rsidP="00A10EDA">
      <w:pPr>
        <w:spacing w:after="240"/>
      </w:pPr>
      <w:r w:rsidRPr="00A10EDA">
        <w:t xml:space="preserve">De las constancias que obran en el SAIMEX, se advierte que el </w:t>
      </w:r>
      <w:r w:rsidRPr="00A10EDA">
        <w:rPr>
          <w:b/>
          <w:bCs/>
        </w:rPr>
        <w:t>siete de noviembre de dos mil veinticuatro,</w:t>
      </w:r>
      <w:r w:rsidRPr="00A10EDA">
        <w:t xml:space="preserve"> </w:t>
      </w:r>
      <w:r w:rsidRPr="00A10EDA">
        <w:rPr>
          <w:b/>
          <w:bCs/>
        </w:rPr>
        <w:t>EL SUJETO OBLIGADO</w:t>
      </w:r>
      <w:r w:rsidRPr="00A10EDA">
        <w:t xml:space="preserve"> notificó una prórroga de siete días para dar respuesta a la solicitud de información planteada por </w:t>
      </w:r>
      <w:r w:rsidRPr="00A10EDA">
        <w:rPr>
          <w:b/>
          <w:bCs/>
        </w:rPr>
        <w:t>LA PARTE RECURRENTE</w:t>
      </w:r>
      <w:r w:rsidRPr="00A10EDA">
        <w:t>, en los siguientes términos:</w:t>
      </w:r>
    </w:p>
    <w:p w14:paraId="7E0FABE9" w14:textId="77777777" w:rsidR="00F1716C" w:rsidRPr="00A10EDA" w:rsidRDefault="00F1716C" w:rsidP="00A10EDA">
      <w:pPr>
        <w:pStyle w:val="Puesto"/>
      </w:pPr>
      <w:r w:rsidRPr="00A10EDA">
        <w:t>“Folio de la solicitud: 00517/ALMOJU/IP/2024</w:t>
      </w:r>
    </w:p>
    <w:p w14:paraId="57D550C1" w14:textId="77777777" w:rsidR="008B21A8" w:rsidRPr="00A10EDA" w:rsidRDefault="008B21A8" w:rsidP="00A10EDA"/>
    <w:p w14:paraId="3A430893" w14:textId="77777777" w:rsidR="00F1716C" w:rsidRPr="00A10EDA" w:rsidRDefault="00F1716C" w:rsidP="00A10EDA">
      <w:pPr>
        <w:pStyle w:val="Puesto"/>
      </w:pPr>
      <w:r w:rsidRPr="00A10EDA">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D87DFEB" w14:textId="77777777" w:rsidR="008B21A8" w:rsidRPr="00A10EDA" w:rsidRDefault="008B21A8" w:rsidP="00A10EDA"/>
    <w:p w14:paraId="38ACBDDA" w14:textId="77777777" w:rsidR="00F1716C" w:rsidRPr="00A10EDA" w:rsidRDefault="00F1716C" w:rsidP="00A10EDA">
      <w:pPr>
        <w:pStyle w:val="Puesto"/>
      </w:pPr>
      <w:r w:rsidRPr="00A10EDA">
        <w:t>Con fundamento en el segundo párrafo del artículo 163 de la Ley de Transparencia y Acceso a la Información Pública, se solicita la prórroga por 7 días hábiles más para dar respuesta a la solicitud de información, derivado de la falta de personal que se tiene para atender el requerimiento en mención.</w:t>
      </w:r>
    </w:p>
    <w:p w14:paraId="50A6121D" w14:textId="77777777" w:rsidR="008B21A8" w:rsidRPr="00A10EDA" w:rsidRDefault="008B21A8" w:rsidP="00A10EDA"/>
    <w:p w14:paraId="55FC34DA" w14:textId="77777777" w:rsidR="00F1716C" w:rsidRPr="00A10EDA" w:rsidRDefault="00F1716C" w:rsidP="00A10EDA">
      <w:pPr>
        <w:pStyle w:val="Puesto"/>
      </w:pPr>
      <w:r w:rsidRPr="00A10EDA">
        <w:t>L.D ANA KAREN RODRIGUEZ QUIJADA</w:t>
      </w:r>
    </w:p>
    <w:p w14:paraId="0E11B0EA" w14:textId="77777777" w:rsidR="008B21A8" w:rsidRPr="00A10EDA" w:rsidRDefault="008B21A8" w:rsidP="00A10EDA"/>
    <w:p w14:paraId="2C11DF9C" w14:textId="0F657340" w:rsidR="00F1716C" w:rsidRPr="00A10EDA" w:rsidRDefault="00F1716C" w:rsidP="00A10EDA">
      <w:pPr>
        <w:pStyle w:val="Puesto"/>
        <w:spacing w:after="240"/>
      </w:pPr>
      <w:r w:rsidRPr="00A10EDA">
        <w:rPr>
          <w:b/>
        </w:rPr>
        <w:t>Responsable de la Unidad de Transparencia</w:t>
      </w:r>
      <w:r w:rsidRPr="00A10EDA">
        <w:t>” (Sic)</w:t>
      </w:r>
    </w:p>
    <w:p w14:paraId="70F0C641" w14:textId="2EC95DB9" w:rsidR="00F1716C" w:rsidRPr="00A10EDA" w:rsidRDefault="00F1716C" w:rsidP="00A10EDA">
      <w:r w:rsidRPr="00A10EDA">
        <w:t xml:space="preserve">Sin embargo, no se advierte que dicha prórroga haya cumplido con lo establecido en los artículos 49, fracción II y 163, segundo párrafo, de la Ley de Transparencia y Acceso a la </w:t>
      </w:r>
      <w:r w:rsidRPr="00A10EDA">
        <w:lastRenderedPageBreak/>
        <w:t xml:space="preserve">Información Pública del Estado de México y Municipios, pues en el expediente que obra en </w:t>
      </w:r>
      <w:r w:rsidR="008B21A8" w:rsidRPr="00A10EDA">
        <w:rPr>
          <w:b/>
        </w:rPr>
        <w:t>EL SAIMEX</w:t>
      </w:r>
      <w:r w:rsidRPr="00A10EDA">
        <w:t xml:space="preserve"> no se advierte que </w:t>
      </w:r>
      <w:r w:rsidRPr="00A10EDA">
        <w:rPr>
          <w:b/>
          <w:bCs/>
        </w:rPr>
        <w:t>EL SUJETO OBLIGADO</w:t>
      </w:r>
      <w:r w:rsidRPr="00A10EDA">
        <w:t xml:space="preserve"> haya acompañó a la solicitud de prórroga el acuerdo mediante el cual el Comité de Transparencia aprobó la ampliación de plazo para dar respuesta a la solicitud de información.</w:t>
      </w:r>
    </w:p>
    <w:p w14:paraId="57BCB455" w14:textId="77777777" w:rsidR="008B21A8" w:rsidRPr="00A10EDA" w:rsidRDefault="008B21A8" w:rsidP="00A10EDA"/>
    <w:p w14:paraId="3212BA4D" w14:textId="3CE1D585" w:rsidR="00664420" w:rsidRPr="00A10EDA" w:rsidRDefault="00F1716C" w:rsidP="00A10EDA">
      <w:pPr>
        <w:pStyle w:val="Ttulo3"/>
        <w:rPr>
          <w:rFonts w:eastAsia="Calibri"/>
          <w:lang w:eastAsia="en-US"/>
        </w:rPr>
      </w:pPr>
      <w:bookmarkStart w:id="10" w:name="_Toc184815082"/>
      <w:r w:rsidRPr="00A10EDA">
        <w:rPr>
          <w:lang w:val="es-ES"/>
        </w:rPr>
        <w:t>d</w:t>
      </w:r>
      <w:r w:rsidR="00E37A3F" w:rsidRPr="00A10EDA">
        <w:rPr>
          <w:lang w:val="es-ES"/>
        </w:rPr>
        <w:t xml:space="preserve">) </w:t>
      </w:r>
      <w:r w:rsidR="00664420" w:rsidRPr="00A10EDA">
        <w:rPr>
          <w:lang w:val="es-ES"/>
        </w:rPr>
        <w:t xml:space="preserve">Respuesta </w:t>
      </w:r>
      <w:r w:rsidR="00664420" w:rsidRPr="00A10EDA">
        <w:rPr>
          <w:rFonts w:eastAsia="Calibri"/>
          <w:lang w:eastAsia="en-US"/>
        </w:rPr>
        <w:t>del Sujeto Obligado</w:t>
      </w:r>
      <w:bookmarkEnd w:id="10"/>
    </w:p>
    <w:p w14:paraId="5FBB8FE6" w14:textId="5E4F67A8" w:rsidR="00DB2351" w:rsidRPr="00A10EDA" w:rsidRDefault="00DB2351" w:rsidP="00A10EDA">
      <w:pPr>
        <w:pStyle w:val="Sinespaciado"/>
        <w:spacing w:line="360" w:lineRule="auto"/>
        <w:rPr>
          <w:lang w:val="es-ES"/>
        </w:rPr>
      </w:pPr>
      <w:r w:rsidRPr="00A10EDA">
        <w:rPr>
          <w:lang w:val="es-ES"/>
        </w:rPr>
        <w:t xml:space="preserve">El </w:t>
      </w:r>
      <w:r w:rsidR="00F1716C" w:rsidRPr="00A10EDA">
        <w:rPr>
          <w:b/>
          <w:bCs/>
          <w:lang w:val="es-ES"/>
        </w:rPr>
        <w:t xml:space="preserve">diecinueve </w:t>
      </w:r>
      <w:r w:rsidR="000D0140" w:rsidRPr="00A10EDA">
        <w:rPr>
          <w:b/>
          <w:bCs/>
          <w:lang w:val="es-ES"/>
        </w:rPr>
        <w:t xml:space="preserve">de </w:t>
      </w:r>
      <w:r w:rsidR="00C426E0" w:rsidRPr="00A10EDA">
        <w:rPr>
          <w:b/>
          <w:bCs/>
          <w:lang w:val="es-ES"/>
        </w:rPr>
        <w:t>noviembre</w:t>
      </w:r>
      <w:r w:rsidRPr="00A10EDA">
        <w:rPr>
          <w:b/>
          <w:bCs/>
          <w:lang w:val="es-ES"/>
        </w:rPr>
        <w:t xml:space="preserve"> de dos mil veinticuatro</w:t>
      </w:r>
      <w:r w:rsidRPr="00A10EDA">
        <w:rPr>
          <w:lang w:val="es-ES"/>
        </w:rPr>
        <w:t>, l</w:t>
      </w:r>
      <w:r w:rsidR="00F1716C" w:rsidRPr="00A10EDA">
        <w:rPr>
          <w:lang w:val="es-ES"/>
        </w:rPr>
        <w:t>a</w:t>
      </w:r>
      <w:r w:rsidRPr="00A10EDA">
        <w:rPr>
          <w:lang w:val="es-ES"/>
        </w:rPr>
        <w:t xml:space="preserve"> Titular de la Unidad de Transparencia del </w:t>
      </w:r>
      <w:r w:rsidRPr="00A10EDA">
        <w:rPr>
          <w:b/>
          <w:lang w:val="es-ES"/>
        </w:rPr>
        <w:t>SUJETO OBLIGADO</w:t>
      </w:r>
      <w:r w:rsidRPr="00A10EDA">
        <w:rPr>
          <w:lang w:val="es-ES"/>
        </w:rPr>
        <w:t xml:space="preserve"> notificó la siguiente respuesta a través del SAIMEX:</w:t>
      </w:r>
    </w:p>
    <w:p w14:paraId="398C5DF2" w14:textId="77777777" w:rsidR="00DB2351" w:rsidRPr="00A10EDA" w:rsidRDefault="00DB2351" w:rsidP="00A10EDA">
      <w:pPr>
        <w:tabs>
          <w:tab w:val="left" w:pos="4667"/>
        </w:tabs>
        <w:ind w:left="567" w:right="567"/>
        <w:rPr>
          <w:rFonts w:cs="Tahoma"/>
          <w:b/>
          <w:bCs/>
        </w:rPr>
      </w:pPr>
    </w:p>
    <w:p w14:paraId="786665E1" w14:textId="46B2C34B" w:rsidR="00307020" w:rsidRPr="00A10EDA" w:rsidRDefault="00DB2351" w:rsidP="00A10EDA">
      <w:pPr>
        <w:pStyle w:val="Puesto"/>
      </w:pPr>
      <w:r w:rsidRPr="00A10EDA">
        <w:t>“</w:t>
      </w:r>
      <w:r w:rsidR="00307020" w:rsidRPr="00A10EDA">
        <w:t>Folio de la solicitud: 00517/ALMOJU/IP/2024</w:t>
      </w:r>
    </w:p>
    <w:p w14:paraId="7E1D3C6C" w14:textId="77777777" w:rsidR="008B21A8" w:rsidRPr="00A10EDA" w:rsidRDefault="008B21A8" w:rsidP="00A10EDA"/>
    <w:p w14:paraId="0B5F4E45" w14:textId="77777777" w:rsidR="00307020" w:rsidRPr="00A10EDA" w:rsidRDefault="00307020" w:rsidP="00A10EDA">
      <w:pPr>
        <w:pStyle w:val="Puesto"/>
      </w:pPr>
      <w:r w:rsidRPr="00A10EDA">
        <w:t>En respuesta a la solicitud recibida, nos permitimos hacer de su conocimiento que con fundamento en el artículo 53, Fracciones: II, V y VI de la Ley de Transparencia y Acceso a la Información Pública del Estado de México y Municipios, le contestamos que:</w:t>
      </w:r>
    </w:p>
    <w:p w14:paraId="42A4009B" w14:textId="77777777" w:rsidR="008B21A8" w:rsidRPr="00A10EDA" w:rsidRDefault="008B21A8" w:rsidP="00A10EDA"/>
    <w:p w14:paraId="624A6556" w14:textId="77777777" w:rsidR="00307020" w:rsidRPr="00A10EDA" w:rsidRDefault="00307020" w:rsidP="00A10EDA">
      <w:pPr>
        <w:pStyle w:val="Puesto"/>
      </w:pPr>
      <w:r w:rsidRPr="00A10EDA">
        <w:t>Con fundamento en lo establecido en los artículos 4, 12, 59 y 164 de la Ley de Transparencia y Acceso a la Información Pública del Estado de México y Municipios, se adjunta la presente respuesta, con la finalidad de dar cumplimiento a su solicitud. Se le hace de su conocimiento que el derecho a la información no es absoluto, ni se encuentra limitado, y en caso de no estar conforme con la respuesta proporcionada, tiene derecho de interponer recurso de revisión dentro del pazo de 15 días hábiles contados a partir del día siguiente de la notificación del presente; de conformidad con lo dispuesto por el artículo 177 de la Ley de Transparencia y Acceso a la Información Pública del Estado de México y Municipios.</w:t>
      </w:r>
    </w:p>
    <w:p w14:paraId="28B82070" w14:textId="77777777" w:rsidR="008B21A8" w:rsidRPr="00A10EDA" w:rsidRDefault="008B21A8" w:rsidP="00A10EDA"/>
    <w:p w14:paraId="5B1E7DE4" w14:textId="77777777" w:rsidR="00307020" w:rsidRPr="00A10EDA" w:rsidRDefault="00307020" w:rsidP="00A10EDA">
      <w:pPr>
        <w:pStyle w:val="Puesto"/>
      </w:pPr>
      <w:r w:rsidRPr="00A10EDA">
        <w:t>ATENTAMENTE</w:t>
      </w:r>
    </w:p>
    <w:p w14:paraId="3AC13245" w14:textId="77777777" w:rsidR="008B21A8" w:rsidRPr="00A10EDA" w:rsidRDefault="008B21A8" w:rsidP="00A10EDA"/>
    <w:p w14:paraId="779ADDE3" w14:textId="3BD07203" w:rsidR="00DB2351" w:rsidRPr="00A10EDA" w:rsidRDefault="00307020" w:rsidP="00A10EDA">
      <w:pPr>
        <w:pStyle w:val="Puesto"/>
      </w:pPr>
      <w:r w:rsidRPr="00A10EDA">
        <w:t>L.D ANA KAREN RODRIGUEZ QUIJADA</w:t>
      </w:r>
      <w:r w:rsidR="00DB2351" w:rsidRPr="00A10EDA">
        <w:t>”</w:t>
      </w:r>
      <w:r w:rsidR="00A10CD5" w:rsidRPr="00A10EDA">
        <w:t xml:space="preserve"> (Sic)</w:t>
      </w:r>
    </w:p>
    <w:p w14:paraId="285A982E" w14:textId="77777777" w:rsidR="00DB2351" w:rsidRPr="00A10EDA" w:rsidRDefault="00DB2351" w:rsidP="00A10EDA">
      <w:pPr>
        <w:autoSpaceDE w:val="0"/>
        <w:autoSpaceDN w:val="0"/>
        <w:adjustRightInd w:val="0"/>
        <w:ind w:right="-28"/>
        <w:rPr>
          <w:rFonts w:cs="Tahoma"/>
          <w:bCs/>
          <w:szCs w:val="22"/>
        </w:rPr>
      </w:pPr>
    </w:p>
    <w:p w14:paraId="0B3F4EB8" w14:textId="540A73FC" w:rsidR="00DB2351" w:rsidRPr="00A10EDA" w:rsidRDefault="00DB2351" w:rsidP="00A10EDA">
      <w:pPr>
        <w:autoSpaceDE w:val="0"/>
        <w:autoSpaceDN w:val="0"/>
        <w:adjustRightInd w:val="0"/>
        <w:ind w:right="-28"/>
        <w:rPr>
          <w:rFonts w:cs="Tahoma"/>
          <w:bCs/>
          <w:szCs w:val="22"/>
          <w:lang w:val="es-ES"/>
        </w:rPr>
      </w:pPr>
      <w:r w:rsidRPr="00A10EDA">
        <w:rPr>
          <w:rFonts w:cs="Tahoma"/>
          <w:bCs/>
          <w:szCs w:val="22"/>
          <w:lang w:val="es-ES"/>
        </w:rPr>
        <w:t xml:space="preserve">Asimismo, </w:t>
      </w:r>
      <w:r w:rsidRPr="00A10EDA">
        <w:rPr>
          <w:rFonts w:cs="Tahoma"/>
          <w:b/>
          <w:szCs w:val="22"/>
          <w:lang w:val="es-ES"/>
        </w:rPr>
        <w:t xml:space="preserve">EL SUJETO OBLIGADO </w:t>
      </w:r>
      <w:r w:rsidRPr="00A10EDA">
        <w:rPr>
          <w:rFonts w:cs="Tahoma"/>
          <w:bCs/>
          <w:szCs w:val="22"/>
          <w:lang w:val="es-ES"/>
        </w:rPr>
        <w:t xml:space="preserve">adjuntó a su respuesta </w:t>
      </w:r>
      <w:r w:rsidR="00307020" w:rsidRPr="00A10EDA">
        <w:rPr>
          <w:rFonts w:cs="Tahoma"/>
          <w:bCs/>
          <w:szCs w:val="22"/>
          <w:lang w:val="es-ES"/>
        </w:rPr>
        <w:t>e</w:t>
      </w:r>
      <w:r w:rsidRPr="00A10EDA">
        <w:rPr>
          <w:rFonts w:cs="Tahoma"/>
          <w:bCs/>
          <w:szCs w:val="22"/>
          <w:lang w:val="es-ES"/>
        </w:rPr>
        <w:t>l</w:t>
      </w:r>
      <w:r w:rsidR="00307020" w:rsidRPr="00A10EDA">
        <w:rPr>
          <w:rFonts w:cs="Tahoma"/>
          <w:bCs/>
          <w:szCs w:val="22"/>
          <w:lang w:val="es-ES"/>
        </w:rPr>
        <w:t xml:space="preserve"> </w:t>
      </w:r>
      <w:r w:rsidR="00A10CD5" w:rsidRPr="00A10EDA">
        <w:rPr>
          <w:rFonts w:cs="Tahoma"/>
          <w:bCs/>
          <w:szCs w:val="22"/>
          <w:lang w:val="es-ES"/>
        </w:rPr>
        <w:t xml:space="preserve">siguiente </w:t>
      </w:r>
      <w:r w:rsidRPr="00A10EDA">
        <w:rPr>
          <w:rFonts w:cs="Tahoma"/>
          <w:bCs/>
          <w:szCs w:val="22"/>
          <w:lang w:val="es-ES"/>
        </w:rPr>
        <w:t>archivo electrónico:</w:t>
      </w:r>
    </w:p>
    <w:p w14:paraId="16BBA90F" w14:textId="77777777" w:rsidR="00DB2351" w:rsidRPr="00A10EDA" w:rsidRDefault="00DB2351" w:rsidP="00A10EDA">
      <w:pPr>
        <w:autoSpaceDE w:val="0"/>
        <w:autoSpaceDN w:val="0"/>
        <w:adjustRightInd w:val="0"/>
        <w:ind w:right="-28"/>
        <w:rPr>
          <w:rFonts w:cs="Tahoma"/>
          <w:bCs/>
          <w:szCs w:val="22"/>
          <w:lang w:val="es-ES"/>
        </w:rPr>
      </w:pPr>
    </w:p>
    <w:p w14:paraId="758CA9EC" w14:textId="77E5570E" w:rsidR="00DB2351" w:rsidRPr="00A10EDA" w:rsidRDefault="00A10CD5" w:rsidP="00A10EDA">
      <w:pPr>
        <w:pStyle w:val="Prrafodelista"/>
        <w:numPr>
          <w:ilvl w:val="0"/>
          <w:numId w:val="19"/>
        </w:numPr>
        <w:autoSpaceDE w:val="0"/>
        <w:autoSpaceDN w:val="0"/>
        <w:adjustRightInd w:val="0"/>
        <w:ind w:right="-28"/>
        <w:rPr>
          <w:rFonts w:cs="Tahoma"/>
          <w:bCs/>
          <w:szCs w:val="22"/>
          <w:lang w:val="es-ES"/>
        </w:rPr>
      </w:pPr>
      <w:r w:rsidRPr="00A10EDA">
        <w:rPr>
          <w:rFonts w:cs="Tahoma"/>
          <w:b/>
          <w:bCs/>
          <w:szCs w:val="22"/>
          <w:lang w:val="es-ES"/>
        </w:rPr>
        <w:t>“</w:t>
      </w:r>
      <w:proofErr w:type="spellStart"/>
      <w:r w:rsidR="00307020" w:rsidRPr="00A10EDA">
        <w:rPr>
          <w:rFonts w:cs="Tahoma"/>
          <w:b/>
          <w:bCs/>
          <w:szCs w:val="22"/>
          <w:lang w:val="es-ES"/>
        </w:rPr>
        <w:t>Resp</w:t>
      </w:r>
      <w:proofErr w:type="spellEnd"/>
      <w:r w:rsidR="00307020" w:rsidRPr="00A10EDA">
        <w:rPr>
          <w:rFonts w:cs="Tahoma"/>
          <w:b/>
          <w:bCs/>
          <w:szCs w:val="22"/>
          <w:lang w:val="es-ES"/>
        </w:rPr>
        <w:t xml:space="preserve"> 517.pdf</w:t>
      </w:r>
      <w:r w:rsidRPr="00A10EDA">
        <w:rPr>
          <w:rFonts w:cs="Tahoma"/>
          <w:b/>
          <w:bCs/>
          <w:szCs w:val="22"/>
          <w:lang w:val="es-ES"/>
        </w:rPr>
        <w:t>”</w:t>
      </w:r>
      <w:r w:rsidR="00DB2351" w:rsidRPr="00A10EDA">
        <w:rPr>
          <w:rFonts w:cs="Tahoma"/>
          <w:bCs/>
          <w:szCs w:val="22"/>
          <w:lang w:val="es-ES"/>
        </w:rPr>
        <w:t xml:space="preserve">: </w:t>
      </w:r>
      <w:r w:rsidRPr="00A10EDA">
        <w:rPr>
          <w:rFonts w:cs="Tahoma"/>
          <w:bCs/>
          <w:szCs w:val="22"/>
          <w:lang w:val="es-ES"/>
        </w:rPr>
        <w:t>Archivo que c</w:t>
      </w:r>
      <w:r w:rsidR="007A6BC2" w:rsidRPr="00A10EDA">
        <w:rPr>
          <w:rFonts w:cs="Tahoma"/>
          <w:bCs/>
          <w:szCs w:val="22"/>
          <w:lang w:val="es-ES"/>
        </w:rPr>
        <w:t xml:space="preserve">onsiste </w:t>
      </w:r>
      <w:r w:rsidR="00664930" w:rsidRPr="00A10EDA">
        <w:rPr>
          <w:rFonts w:cs="Tahoma"/>
          <w:bCs/>
          <w:szCs w:val="22"/>
          <w:lang w:val="es-ES"/>
        </w:rPr>
        <w:t xml:space="preserve">en el oficio </w:t>
      </w:r>
      <w:r w:rsidR="00FD6D70" w:rsidRPr="00A10EDA">
        <w:rPr>
          <w:rFonts w:cs="Tahoma"/>
          <w:bCs/>
          <w:szCs w:val="22"/>
          <w:lang w:val="es-ES"/>
        </w:rPr>
        <w:t>de número PAMJ/1217/2024 del diecinueve de noviembre de dos mil veinticuatro dirigido a la Titular de la Unidad de Transparencia y signado por la Tesorera Municipal en el que de manera sustancial remite la propuesta de cambio de modalidad de la información solicitada a través de la solicitud con número de folio 00517/ALMOJU/IP/2024 a consulta directa a fin de que el Comité de Transparencia tenga a bien aprobarla, en razón a que lo peticionado sobre pasa las capacidades humanas y administrativas de dicha Unidad Administrativa</w:t>
      </w:r>
      <w:r w:rsidR="000D0140" w:rsidRPr="00A10EDA">
        <w:rPr>
          <w:rFonts w:cs="Tahoma"/>
          <w:bCs/>
          <w:szCs w:val="22"/>
          <w:lang w:val="es-ES"/>
        </w:rPr>
        <w:t xml:space="preserve">. </w:t>
      </w:r>
    </w:p>
    <w:p w14:paraId="74B79ADB" w14:textId="77777777" w:rsidR="000F42BA" w:rsidRPr="00A10EDA" w:rsidRDefault="000F42BA" w:rsidP="00A10EDA">
      <w:pPr>
        <w:pStyle w:val="Prrafodelista"/>
        <w:autoSpaceDE w:val="0"/>
        <w:autoSpaceDN w:val="0"/>
        <w:adjustRightInd w:val="0"/>
        <w:ind w:right="-28"/>
        <w:rPr>
          <w:rFonts w:cs="Tahoma"/>
          <w:bCs/>
          <w:szCs w:val="22"/>
          <w:lang w:val="es-ES"/>
        </w:rPr>
      </w:pPr>
    </w:p>
    <w:p w14:paraId="5A5DAB9E" w14:textId="77777777" w:rsidR="00E37A3F" w:rsidRPr="00A10EDA" w:rsidRDefault="00E37A3F" w:rsidP="00A10EDA">
      <w:pPr>
        <w:pStyle w:val="Ttulo2"/>
        <w:jc w:val="left"/>
      </w:pPr>
      <w:bookmarkStart w:id="11" w:name="_Toc184815083"/>
      <w:r w:rsidRPr="00A10EDA">
        <w:t>DEL RECURSO DE REVISIÓN</w:t>
      </w:r>
      <w:bookmarkEnd w:id="11"/>
    </w:p>
    <w:p w14:paraId="2B216813" w14:textId="61ADBB2B" w:rsidR="00664420" w:rsidRPr="00A10EDA" w:rsidRDefault="006E25BC" w:rsidP="00A10EDA">
      <w:pPr>
        <w:pStyle w:val="Ttulo3"/>
      </w:pPr>
      <w:bookmarkStart w:id="12" w:name="_Toc184815084"/>
      <w:r w:rsidRPr="00A10EDA">
        <w:rPr>
          <w:szCs w:val="32"/>
        </w:rPr>
        <w:t>a)</w:t>
      </w:r>
      <w:r w:rsidRPr="00A10EDA">
        <w:t xml:space="preserve"> </w:t>
      </w:r>
      <w:r w:rsidR="00664420" w:rsidRPr="00A10EDA">
        <w:t>Interposición del Recurso de Revisión</w:t>
      </w:r>
      <w:bookmarkEnd w:id="12"/>
    </w:p>
    <w:p w14:paraId="6279C622" w14:textId="7A1954DE" w:rsidR="00664420" w:rsidRPr="00A10EDA" w:rsidRDefault="00664420" w:rsidP="00A10EDA">
      <w:pPr>
        <w:autoSpaceDE w:val="0"/>
        <w:autoSpaceDN w:val="0"/>
        <w:adjustRightInd w:val="0"/>
        <w:ind w:right="-28"/>
        <w:rPr>
          <w:rFonts w:cs="Tahoma"/>
          <w:szCs w:val="22"/>
        </w:rPr>
      </w:pPr>
      <w:r w:rsidRPr="00A10EDA">
        <w:rPr>
          <w:rFonts w:cs="Tahoma"/>
          <w:szCs w:val="22"/>
        </w:rPr>
        <w:t xml:space="preserve">El </w:t>
      </w:r>
      <w:r w:rsidR="00FD6D70" w:rsidRPr="00A10EDA">
        <w:rPr>
          <w:rFonts w:cs="Tahoma"/>
          <w:b/>
          <w:bCs/>
          <w:szCs w:val="22"/>
        </w:rPr>
        <w:t>veinte de noviembre</w:t>
      </w:r>
      <w:r w:rsidR="00D671EC" w:rsidRPr="00A10EDA">
        <w:rPr>
          <w:rFonts w:cs="Tahoma"/>
          <w:b/>
          <w:bCs/>
          <w:szCs w:val="22"/>
        </w:rPr>
        <w:t xml:space="preserve"> de dos mil veinticuatro</w:t>
      </w:r>
      <w:r w:rsidRPr="00A10EDA">
        <w:rPr>
          <w:rFonts w:cs="Tahoma"/>
          <w:szCs w:val="22"/>
        </w:rPr>
        <w:t xml:space="preserve"> </w:t>
      </w:r>
      <w:r w:rsidR="00F75D23" w:rsidRPr="00A10EDA">
        <w:rPr>
          <w:rFonts w:cs="Tahoma"/>
          <w:b/>
          <w:bCs/>
          <w:szCs w:val="22"/>
        </w:rPr>
        <w:t>LA PARTE RECURRENTE</w:t>
      </w:r>
      <w:r w:rsidR="00F75D23" w:rsidRPr="00A10EDA">
        <w:rPr>
          <w:rFonts w:cs="Tahoma"/>
          <w:szCs w:val="22"/>
        </w:rPr>
        <w:t xml:space="preserve"> interpuso el recurso de revisión en contra de </w:t>
      </w:r>
      <w:r w:rsidR="00D671EC" w:rsidRPr="00A10EDA">
        <w:rPr>
          <w:rFonts w:cs="Tahoma"/>
          <w:szCs w:val="22"/>
        </w:rPr>
        <w:t>la respuesta</w:t>
      </w:r>
      <w:r w:rsidR="00F75D23" w:rsidRPr="00A10EDA">
        <w:rPr>
          <w:rFonts w:cs="Tahoma"/>
          <w:szCs w:val="22"/>
        </w:rPr>
        <w:t xml:space="preserve"> </w:t>
      </w:r>
      <w:r w:rsidR="00D671EC" w:rsidRPr="00A10EDA">
        <w:rPr>
          <w:rFonts w:cs="Tahoma"/>
          <w:szCs w:val="22"/>
        </w:rPr>
        <w:t>d</w:t>
      </w:r>
      <w:r w:rsidR="00F75D23" w:rsidRPr="00A10EDA">
        <w:rPr>
          <w:rFonts w:cs="Tahoma"/>
          <w:szCs w:val="22"/>
        </w:rPr>
        <w:t xml:space="preserve">el </w:t>
      </w:r>
      <w:r w:rsidR="00F75D23" w:rsidRPr="00A10EDA">
        <w:rPr>
          <w:rFonts w:cs="Tahoma"/>
          <w:b/>
          <w:bCs/>
          <w:szCs w:val="22"/>
        </w:rPr>
        <w:t>SUJETO OBLIGADO</w:t>
      </w:r>
      <w:r w:rsidR="00953430" w:rsidRPr="00A10EDA">
        <w:rPr>
          <w:rFonts w:cs="Tahoma"/>
          <w:szCs w:val="22"/>
        </w:rPr>
        <w:t xml:space="preserve">, mismo que fue registrado en el SAIMEX con el número de expediente </w:t>
      </w:r>
      <w:r w:rsidR="00FD6D70" w:rsidRPr="00A10EDA">
        <w:rPr>
          <w:rFonts w:cs="Tahoma"/>
          <w:b/>
          <w:bCs/>
          <w:szCs w:val="22"/>
        </w:rPr>
        <w:t>07282/INFOEM/IP/RR/2024</w:t>
      </w:r>
      <w:r w:rsidR="00953430" w:rsidRPr="00A10EDA">
        <w:rPr>
          <w:rFonts w:cs="Tahoma"/>
          <w:szCs w:val="22"/>
        </w:rPr>
        <w:t>, y en el cual manifiesta lo siguiente</w:t>
      </w:r>
      <w:r w:rsidRPr="00A10EDA">
        <w:rPr>
          <w:rFonts w:cs="Tahoma"/>
          <w:szCs w:val="22"/>
        </w:rPr>
        <w:t>:</w:t>
      </w:r>
    </w:p>
    <w:p w14:paraId="74B30008" w14:textId="77777777" w:rsidR="00664420" w:rsidRPr="00A10EDA" w:rsidRDefault="00664420" w:rsidP="00A10EDA">
      <w:pPr>
        <w:tabs>
          <w:tab w:val="left" w:pos="4667"/>
        </w:tabs>
        <w:ind w:right="539"/>
        <w:rPr>
          <w:rFonts w:cs="Tahoma"/>
          <w:szCs w:val="22"/>
        </w:rPr>
      </w:pPr>
    </w:p>
    <w:p w14:paraId="60F303C5" w14:textId="77777777" w:rsidR="00711EEE" w:rsidRPr="00A10EDA" w:rsidRDefault="00664420" w:rsidP="00A10EDA">
      <w:pPr>
        <w:tabs>
          <w:tab w:val="left" w:pos="4667"/>
        </w:tabs>
        <w:spacing w:line="240" w:lineRule="auto"/>
        <w:ind w:left="567" w:right="539"/>
        <w:rPr>
          <w:rFonts w:cs="Tahoma"/>
          <w:b/>
          <w:iCs/>
        </w:rPr>
      </w:pPr>
      <w:r w:rsidRPr="00A10EDA">
        <w:rPr>
          <w:rFonts w:cs="Tahoma"/>
          <w:b/>
          <w:iCs/>
        </w:rPr>
        <w:t>ACTO IMPUGNADO</w:t>
      </w:r>
    </w:p>
    <w:p w14:paraId="12153283" w14:textId="65E49653" w:rsidR="00664420" w:rsidRPr="00A10EDA" w:rsidRDefault="00664420" w:rsidP="00A10EDA">
      <w:pPr>
        <w:tabs>
          <w:tab w:val="left" w:pos="4667"/>
        </w:tabs>
        <w:spacing w:line="240" w:lineRule="auto"/>
        <w:ind w:left="567" w:right="539"/>
        <w:rPr>
          <w:rFonts w:cs="Tahoma"/>
          <w:b/>
          <w:iCs/>
        </w:rPr>
      </w:pPr>
      <w:r w:rsidRPr="00A10EDA">
        <w:rPr>
          <w:rFonts w:cs="Tahoma"/>
          <w:b/>
          <w:iCs/>
        </w:rPr>
        <w:tab/>
      </w:r>
    </w:p>
    <w:p w14:paraId="523F8BF4" w14:textId="4627D331" w:rsidR="00664420" w:rsidRPr="00A10EDA" w:rsidRDefault="000F42BA" w:rsidP="00A10EDA">
      <w:pPr>
        <w:pStyle w:val="Puesto"/>
      </w:pPr>
      <w:r w:rsidRPr="00A10EDA">
        <w:t>“</w:t>
      </w:r>
      <w:r w:rsidR="00FD6D70" w:rsidRPr="00A10EDA">
        <w:t>la respuesta de la tesorera de que no tiene personal y quiere consulta directa cuando que no excedo ni 10 fojas,</w:t>
      </w:r>
      <w:r w:rsidRPr="00A10EDA">
        <w:t>”</w:t>
      </w:r>
      <w:r w:rsidR="00D32D98" w:rsidRPr="00A10EDA">
        <w:t xml:space="preserve"> (Sic)</w:t>
      </w:r>
    </w:p>
    <w:p w14:paraId="40B8D7A7" w14:textId="77777777" w:rsidR="004D1D36" w:rsidRPr="00A10EDA" w:rsidRDefault="004D1D36" w:rsidP="00A10EDA">
      <w:pPr>
        <w:tabs>
          <w:tab w:val="left" w:pos="4667"/>
        </w:tabs>
        <w:spacing w:line="240" w:lineRule="auto"/>
        <w:ind w:left="567" w:right="539"/>
        <w:rPr>
          <w:rFonts w:cs="Tahoma"/>
          <w:b/>
          <w:iCs/>
        </w:rPr>
      </w:pPr>
    </w:p>
    <w:p w14:paraId="5FFFE6A9" w14:textId="7740D455" w:rsidR="000F42BA" w:rsidRPr="00A10EDA" w:rsidRDefault="000F42BA" w:rsidP="00A10EDA">
      <w:pPr>
        <w:tabs>
          <w:tab w:val="left" w:pos="4667"/>
        </w:tabs>
        <w:spacing w:line="240" w:lineRule="auto"/>
        <w:ind w:left="567" w:right="539"/>
        <w:rPr>
          <w:rFonts w:cs="Tahoma"/>
          <w:b/>
          <w:iCs/>
        </w:rPr>
      </w:pPr>
      <w:r w:rsidRPr="00A10EDA">
        <w:rPr>
          <w:rFonts w:cs="Tahoma"/>
          <w:b/>
          <w:iCs/>
        </w:rPr>
        <w:t>RAZONES O MOTIVOS DE LA INCONFORMIDAD</w:t>
      </w:r>
    </w:p>
    <w:p w14:paraId="0D67CE5D" w14:textId="77777777" w:rsidR="00711EEE" w:rsidRPr="00A10EDA" w:rsidRDefault="00711EEE" w:rsidP="00A10EDA">
      <w:pPr>
        <w:tabs>
          <w:tab w:val="left" w:pos="4667"/>
        </w:tabs>
        <w:spacing w:line="240" w:lineRule="auto"/>
        <w:ind w:left="567" w:right="539"/>
        <w:rPr>
          <w:rFonts w:cs="Tahoma"/>
          <w:b/>
          <w:iCs/>
        </w:rPr>
      </w:pPr>
    </w:p>
    <w:p w14:paraId="0D1EB326" w14:textId="09C7AC65" w:rsidR="000F42BA" w:rsidRPr="00A10EDA" w:rsidRDefault="000F42BA" w:rsidP="00A10EDA">
      <w:pPr>
        <w:pStyle w:val="Puesto"/>
      </w:pPr>
      <w:r w:rsidRPr="00A10EDA">
        <w:t>“</w:t>
      </w:r>
      <w:r w:rsidR="00FD6D70" w:rsidRPr="00A10EDA">
        <w:t xml:space="preserve">es evidente a todas luces que </w:t>
      </w:r>
      <w:proofErr w:type="spellStart"/>
      <w:r w:rsidR="00FD6D70" w:rsidRPr="00A10EDA">
        <w:t>esta</w:t>
      </w:r>
      <w:proofErr w:type="spellEnd"/>
      <w:r w:rsidR="00FD6D70" w:rsidRPr="00A10EDA">
        <w:t xml:space="preserve"> negando la información, información que no se le hubiera requerido si estuviera publicada en </w:t>
      </w:r>
      <w:proofErr w:type="spellStart"/>
      <w:r w:rsidR="00FD6D70" w:rsidRPr="00A10EDA">
        <w:t>ipomex</w:t>
      </w:r>
      <w:proofErr w:type="spellEnd"/>
      <w:r w:rsidR="00FD6D70" w:rsidRPr="00A10EDA">
        <w:t xml:space="preserve"> como es su obligación hacerlo así que solicito en vía digital esos recibos timbrados, toda vez que su respuesta no encuadra en los supuestos legales señalados, por lo tanto es una negativa que carece de </w:t>
      </w:r>
      <w:proofErr w:type="spellStart"/>
      <w:r w:rsidR="00FD6D70" w:rsidRPr="00A10EDA">
        <w:t>fundamentacion</w:t>
      </w:r>
      <w:proofErr w:type="spellEnd"/>
      <w:r w:rsidR="00FD6D70" w:rsidRPr="00A10EDA">
        <w:t xml:space="preserve"> y </w:t>
      </w:r>
      <w:proofErr w:type="spellStart"/>
      <w:r w:rsidR="00FD6D70" w:rsidRPr="00A10EDA">
        <w:t>motivacion</w:t>
      </w:r>
      <w:proofErr w:type="spellEnd"/>
      <w:r w:rsidRPr="00A10EDA">
        <w:t>”</w:t>
      </w:r>
      <w:r w:rsidR="00D32D98" w:rsidRPr="00A10EDA">
        <w:t xml:space="preserve"> (Sic)</w:t>
      </w:r>
    </w:p>
    <w:p w14:paraId="48FE75EA" w14:textId="77777777" w:rsidR="00664420" w:rsidRPr="00A10EDA" w:rsidRDefault="00664420" w:rsidP="00A10EDA">
      <w:pPr>
        <w:tabs>
          <w:tab w:val="left" w:pos="4667"/>
        </w:tabs>
        <w:ind w:right="567"/>
        <w:rPr>
          <w:rFonts w:cs="Tahoma"/>
          <w:b/>
          <w:bCs/>
        </w:rPr>
      </w:pPr>
    </w:p>
    <w:p w14:paraId="6804DEF1" w14:textId="3C4F6CB5" w:rsidR="00664420" w:rsidRPr="00A10EDA" w:rsidRDefault="006E25BC" w:rsidP="00A10EDA">
      <w:pPr>
        <w:pStyle w:val="Ttulo3"/>
      </w:pPr>
      <w:bookmarkStart w:id="13" w:name="_Toc184815085"/>
      <w:r w:rsidRPr="00A10EDA">
        <w:lastRenderedPageBreak/>
        <w:t>b</w:t>
      </w:r>
      <w:r w:rsidR="00664420" w:rsidRPr="00A10EDA">
        <w:t>) Turno del Recurso de Revisión</w:t>
      </w:r>
      <w:bookmarkEnd w:id="13"/>
    </w:p>
    <w:p w14:paraId="1173671B" w14:textId="469F495D" w:rsidR="00C72DAA" w:rsidRPr="00A10EDA" w:rsidRDefault="00C72DAA" w:rsidP="00A10EDA">
      <w:r w:rsidRPr="00A10EDA">
        <w:t>Con fundamento en el artículo 185, fracción I de la Ley de Transparencia y Acceso a la Información Pública del Estado de México y Municipios, el</w:t>
      </w:r>
      <w:r w:rsidRPr="00A10EDA">
        <w:rPr>
          <w:b/>
          <w:bCs/>
        </w:rPr>
        <w:t xml:space="preserve"> </w:t>
      </w:r>
      <w:r w:rsidR="00536307" w:rsidRPr="00A10EDA">
        <w:rPr>
          <w:rFonts w:eastAsia="Palatino Linotype" w:cs="Palatino Linotype"/>
          <w:b/>
        </w:rPr>
        <w:t>veinte de noviembre</w:t>
      </w:r>
      <w:r w:rsidR="00D671EC" w:rsidRPr="00A10EDA">
        <w:rPr>
          <w:rFonts w:eastAsia="Palatino Linotype" w:cs="Palatino Linotype"/>
          <w:b/>
        </w:rPr>
        <w:t xml:space="preserve"> de dos mil veinticuatro</w:t>
      </w:r>
      <w:r w:rsidRPr="00A10EDA">
        <w:t xml:space="preserve"> se turnó el recurso de revisión a través del</w:t>
      </w:r>
      <w:r w:rsidRPr="00A10EDA">
        <w:rPr>
          <w:rFonts w:eastAsia="Arial Unicode MS"/>
        </w:rPr>
        <w:t xml:space="preserve"> </w:t>
      </w:r>
      <w:r w:rsidRPr="00A10EDA">
        <w:rPr>
          <w:rFonts w:eastAsia="Arial Unicode MS"/>
          <w:bCs/>
        </w:rPr>
        <w:t>SAIMEX</w:t>
      </w:r>
      <w:r w:rsidRPr="00A10EDA">
        <w:t xml:space="preserve"> a la </w:t>
      </w:r>
      <w:r w:rsidRPr="00A10EDA">
        <w:rPr>
          <w:b/>
        </w:rPr>
        <w:t>Comisionada Sharon Cristina Morales Martínez</w:t>
      </w:r>
      <w:r w:rsidRPr="00A10EDA">
        <w:rPr>
          <w:bCs/>
        </w:rPr>
        <w:t xml:space="preserve">, </w:t>
      </w:r>
      <w:r w:rsidRPr="00A10EDA">
        <w:t xml:space="preserve">a efecto de decretar su admisión o </w:t>
      </w:r>
      <w:proofErr w:type="spellStart"/>
      <w:r w:rsidRPr="00A10EDA">
        <w:t>desechamiento</w:t>
      </w:r>
      <w:proofErr w:type="spellEnd"/>
      <w:r w:rsidRPr="00A10EDA">
        <w:t xml:space="preserve">. </w:t>
      </w:r>
    </w:p>
    <w:p w14:paraId="18F305CB" w14:textId="77777777" w:rsidR="00664420" w:rsidRPr="00A10EDA" w:rsidRDefault="00664420" w:rsidP="00A10EDA">
      <w:pPr>
        <w:rPr>
          <w:rFonts w:eastAsia="Batang" w:cs="Tahoma"/>
          <w:bCs/>
          <w:szCs w:val="22"/>
        </w:rPr>
      </w:pPr>
    </w:p>
    <w:p w14:paraId="3E31EC2D" w14:textId="295256A1" w:rsidR="00664420" w:rsidRPr="00A10EDA" w:rsidRDefault="006E25BC" w:rsidP="00A10EDA">
      <w:pPr>
        <w:pStyle w:val="Ttulo3"/>
      </w:pPr>
      <w:bookmarkStart w:id="14" w:name="_Toc184815086"/>
      <w:r w:rsidRPr="00A10EDA">
        <w:t>c</w:t>
      </w:r>
      <w:r w:rsidR="00664420" w:rsidRPr="00A10EDA">
        <w:t>) Admisión del Recurso de Revisión</w:t>
      </w:r>
      <w:bookmarkEnd w:id="14"/>
    </w:p>
    <w:p w14:paraId="240447D5" w14:textId="08145944" w:rsidR="000E09C4" w:rsidRPr="00A10EDA" w:rsidRDefault="000E09C4" w:rsidP="00A10EDA">
      <w:pPr>
        <w:rPr>
          <w:rFonts w:cs="Arial"/>
        </w:rPr>
      </w:pPr>
      <w:r w:rsidRPr="00A10EDA">
        <w:rPr>
          <w:rFonts w:cs="Arial"/>
        </w:rPr>
        <w:t xml:space="preserve">El </w:t>
      </w:r>
      <w:r w:rsidR="00536307" w:rsidRPr="00A10EDA">
        <w:rPr>
          <w:rFonts w:eastAsia="Palatino Linotype" w:cs="Palatino Linotype"/>
          <w:b/>
        </w:rPr>
        <w:t>veintiuno de noviembre</w:t>
      </w:r>
      <w:r w:rsidR="00D671EC" w:rsidRPr="00A10EDA">
        <w:rPr>
          <w:rFonts w:eastAsia="Palatino Linotype" w:cs="Palatino Linotype"/>
          <w:b/>
        </w:rPr>
        <w:t xml:space="preserve"> de dos mil veinticuatro</w:t>
      </w:r>
      <w:r w:rsidRPr="00A10EDA">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10EDA">
        <w:rPr>
          <w:rFonts w:cs="Arial"/>
        </w:rPr>
        <w:t>, fracción II</w:t>
      </w:r>
      <w:r w:rsidRPr="00A10EDA">
        <w:rPr>
          <w:rFonts w:cs="Arial"/>
        </w:rPr>
        <w:t xml:space="preserve"> de la Ley de Transparencia y Acceso a la Información Pública del Estado de México y Municipios.</w:t>
      </w:r>
    </w:p>
    <w:p w14:paraId="09B589C5" w14:textId="77777777" w:rsidR="00664420" w:rsidRPr="00A10EDA" w:rsidRDefault="00664420" w:rsidP="00A10EDA">
      <w:pPr>
        <w:rPr>
          <w:rFonts w:cs="Tahoma"/>
          <w:b/>
          <w:szCs w:val="22"/>
        </w:rPr>
      </w:pPr>
    </w:p>
    <w:p w14:paraId="3B820F58" w14:textId="21ADD3FD" w:rsidR="00865CF4" w:rsidRPr="00A10EDA" w:rsidRDefault="00D671EC" w:rsidP="00A10EDA">
      <w:pPr>
        <w:pStyle w:val="Ttulo3"/>
      </w:pPr>
      <w:bookmarkStart w:id="15" w:name="_Toc184815087"/>
      <w:r w:rsidRPr="00A10EDA">
        <w:t>d</w:t>
      </w:r>
      <w:r w:rsidR="00664420" w:rsidRPr="00A10EDA">
        <w:t xml:space="preserve">) </w:t>
      </w:r>
      <w:r w:rsidR="00865CF4" w:rsidRPr="00A10EDA">
        <w:t>Informe Justificado del Sujeto Obligado</w:t>
      </w:r>
      <w:bookmarkEnd w:id="15"/>
    </w:p>
    <w:p w14:paraId="5DF7BA43" w14:textId="40AD8B4F" w:rsidR="000F42BA" w:rsidRPr="00A10EDA" w:rsidRDefault="0022586F" w:rsidP="00A10EDA">
      <w:pPr>
        <w:rPr>
          <w:rFonts w:eastAsia="Calibri" w:cs="Tahoma"/>
          <w:szCs w:val="22"/>
          <w:lang w:eastAsia="en-US"/>
        </w:rPr>
      </w:pPr>
      <w:r w:rsidRPr="00A10EDA">
        <w:rPr>
          <w:rFonts w:cs="Tahoma"/>
          <w:b/>
          <w:bCs/>
          <w:szCs w:val="24"/>
        </w:rPr>
        <w:t xml:space="preserve">EL SUJETO OBLIGADO </w:t>
      </w:r>
      <w:r w:rsidRPr="00A10EDA">
        <w:rPr>
          <w:rFonts w:cs="Tahoma"/>
          <w:bCs/>
          <w:szCs w:val="24"/>
        </w:rPr>
        <w:t>no rindió su informe justificado dentro del término legalmente concedido para tal efecto.</w:t>
      </w:r>
    </w:p>
    <w:p w14:paraId="3B386B4C" w14:textId="77777777" w:rsidR="003A40C1" w:rsidRPr="00A10EDA" w:rsidRDefault="003A40C1" w:rsidP="00A10EDA">
      <w:pPr>
        <w:ind w:right="539"/>
        <w:rPr>
          <w:rFonts w:cs="Tahoma"/>
          <w:bCs/>
          <w:szCs w:val="24"/>
        </w:rPr>
      </w:pPr>
    </w:p>
    <w:p w14:paraId="755B7730" w14:textId="33869F30" w:rsidR="00664420" w:rsidRPr="00A10EDA" w:rsidRDefault="00CC265D" w:rsidP="00A10EDA">
      <w:pPr>
        <w:pStyle w:val="Ttulo3"/>
        <w:rPr>
          <w:lang w:val="es-ES"/>
        </w:rPr>
      </w:pPr>
      <w:bookmarkStart w:id="16" w:name="_Toc184815088"/>
      <w:r w:rsidRPr="00A10EDA">
        <w:rPr>
          <w:rFonts w:eastAsia="Calibri"/>
          <w:bCs/>
          <w:lang w:eastAsia="en-US"/>
        </w:rPr>
        <w:t>e</w:t>
      </w:r>
      <w:r w:rsidR="00664420" w:rsidRPr="00A10EDA">
        <w:rPr>
          <w:rFonts w:eastAsia="Calibri"/>
          <w:bCs/>
          <w:lang w:eastAsia="en-US"/>
        </w:rPr>
        <w:t>)</w:t>
      </w:r>
      <w:r w:rsidR="00664420" w:rsidRPr="00A10EDA">
        <w:t xml:space="preserve"> </w:t>
      </w:r>
      <w:r w:rsidR="00865CF4" w:rsidRPr="00A10EDA">
        <w:rPr>
          <w:lang w:val="es-ES"/>
        </w:rPr>
        <w:t>Manifestaciones de la Parte Recurrente</w:t>
      </w:r>
      <w:bookmarkEnd w:id="16"/>
    </w:p>
    <w:p w14:paraId="15FD4F6C" w14:textId="4A25E396" w:rsidR="0042630F" w:rsidRPr="00A10EDA" w:rsidRDefault="0042630F" w:rsidP="00A10EDA">
      <w:pPr>
        <w:rPr>
          <w:rFonts w:eastAsia="Arial Unicode MS" w:cs="Arial"/>
        </w:rPr>
      </w:pPr>
      <w:r w:rsidRPr="00A10EDA">
        <w:rPr>
          <w:rFonts w:cs="Tahoma"/>
          <w:b/>
          <w:szCs w:val="24"/>
        </w:rPr>
        <w:t xml:space="preserve">LA PARTE RECURRENTE </w:t>
      </w:r>
      <w:r w:rsidRPr="00A10EDA">
        <w:rPr>
          <w:rFonts w:eastAsia="Arial Unicode MS" w:cs="Arial"/>
        </w:rPr>
        <w:t>no realizó manifestación alguna dentro del término legalmente concedido para tal efecto, ni presentó pruebas o alegatos</w:t>
      </w:r>
      <w:r w:rsidR="00865CF4" w:rsidRPr="00A10EDA">
        <w:rPr>
          <w:rFonts w:eastAsia="Arial Unicode MS" w:cs="Arial"/>
        </w:rPr>
        <w:t>.</w:t>
      </w:r>
    </w:p>
    <w:p w14:paraId="2A98BED2" w14:textId="77777777" w:rsidR="0042630F" w:rsidRPr="00A10EDA" w:rsidRDefault="0042630F" w:rsidP="00A10EDA">
      <w:pPr>
        <w:rPr>
          <w:rFonts w:eastAsia="Arial Unicode MS" w:cs="Arial"/>
        </w:rPr>
      </w:pPr>
    </w:p>
    <w:p w14:paraId="0E651988" w14:textId="1E66DA50" w:rsidR="00664420" w:rsidRPr="00A10EDA" w:rsidRDefault="00536307" w:rsidP="00A10EDA">
      <w:pPr>
        <w:pStyle w:val="Ttulo3"/>
      </w:pPr>
      <w:bookmarkStart w:id="17" w:name="_Toc184815089"/>
      <w:r w:rsidRPr="00A10EDA">
        <w:t>f</w:t>
      </w:r>
      <w:r w:rsidR="00664420" w:rsidRPr="00A10EDA">
        <w:t>) Cierre de instrucción</w:t>
      </w:r>
      <w:bookmarkEnd w:id="17"/>
    </w:p>
    <w:p w14:paraId="79AF95DC" w14:textId="70C876AD" w:rsidR="00664420" w:rsidRPr="00A10EDA" w:rsidRDefault="00BF091A" w:rsidP="00A10EDA">
      <w:r w:rsidRPr="00A10EDA">
        <w:rPr>
          <w:rFonts w:cs="Tahoma"/>
          <w:szCs w:val="22"/>
        </w:rPr>
        <w:t>Al no existir diligencias pendientes por desahogar</w:t>
      </w:r>
      <w:r w:rsidRPr="00A10EDA">
        <w:rPr>
          <w:rFonts w:cs="Arial"/>
        </w:rPr>
        <w:t xml:space="preserve">, el </w:t>
      </w:r>
      <w:r w:rsidR="00536307" w:rsidRPr="00A10EDA">
        <w:rPr>
          <w:rFonts w:cs="Arial"/>
          <w:b/>
        </w:rPr>
        <w:t>cuatro de diciembre</w:t>
      </w:r>
      <w:r w:rsidR="00B668F1" w:rsidRPr="00A10EDA">
        <w:rPr>
          <w:rFonts w:cs="Arial"/>
          <w:b/>
        </w:rPr>
        <w:t xml:space="preserve"> </w:t>
      </w:r>
      <w:r w:rsidR="00A250F0" w:rsidRPr="00A10EDA">
        <w:rPr>
          <w:rFonts w:cs="Arial"/>
          <w:b/>
        </w:rPr>
        <w:t>de dos mil veinticuatro</w:t>
      </w:r>
      <w:r w:rsidRPr="00A10EDA">
        <w:rPr>
          <w:rFonts w:cs="Arial"/>
        </w:rPr>
        <w:t xml:space="preserve"> la </w:t>
      </w:r>
      <w:r w:rsidRPr="00A10EDA">
        <w:rPr>
          <w:rFonts w:cs="Arial"/>
          <w:b/>
          <w:bCs/>
        </w:rPr>
        <w:t xml:space="preserve">Comisionada </w:t>
      </w:r>
      <w:r w:rsidRPr="00A10EDA">
        <w:rPr>
          <w:b/>
        </w:rPr>
        <w:t xml:space="preserve">Sharon Cristina Morales Martínez </w:t>
      </w:r>
      <w:r w:rsidRPr="00A10EDA">
        <w:rPr>
          <w:rFonts w:cs="Arial"/>
        </w:rPr>
        <w:t xml:space="preserve">acordó el cierre de </w:t>
      </w:r>
      <w:r w:rsidRPr="00A10EDA">
        <w:rPr>
          <w:rFonts w:cs="Arial"/>
        </w:rPr>
        <w:lastRenderedPageBreak/>
        <w:t>instrucción</w:t>
      </w:r>
      <w:r w:rsidR="0011350D" w:rsidRPr="00A10EDA">
        <w:rPr>
          <w:rFonts w:cs="Arial"/>
        </w:rPr>
        <w:t xml:space="preserve"> y</w:t>
      </w:r>
      <w:r w:rsidRPr="00A10EDA">
        <w:rPr>
          <w:rFonts w:cs="Arial"/>
        </w:rPr>
        <w:t xml:space="preserve"> </w:t>
      </w:r>
      <w:r w:rsidR="0011350D" w:rsidRPr="00A10EDA">
        <w:rPr>
          <w:rFonts w:cs="Arial"/>
        </w:rPr>
        <w:t xml:space="preserve">la </w:t>
      </w:r>
      <w:r w:rsidRPr="00A10EDA">
        <w:rPr>
          <w:rFonts w:cs="Arial"/>
        </w:rPr>
        <w:t>remisión del expediente a efecto de ser resuelto, de conformidad con lo establecido en el artículo 185 fracciones VI y VIII de la Ley de Transparencia y Acceso a la Información Pública del Estado de México y Municipios</w:t>
      </w:r>
      <w:r w:rsidRPr="00A10EDA">
        <w:t>.</w:t>
      </w:r>
      <w:r w:rsidR="0011350D" w:rsidRPr="00A10EDA">
        <w:t xml:space="preserve"> Dicho acuerdo </w:t>
      </w:r>
      <w:r w:rsidR="00664420" w:rsidRPr="00A10EDA">
        <w:rPr>
          <w:rFonts w:cs="Tahoma"/>
          <w:szCs w:val="22"/>
        </w:rPr>
        <w:t xml:space="preserve">fue notificado a las partes el mismo día a través del </w:t>
      </w:r>
      <w:r w:rsidR="00664420" w:rsidRPr="00A10EDA">
        <w:rPr>
          <w:rFonts w:cs="Tahoma"/>
          <w:szCs w:val="22"/>
          <w:lang w:val="es-ES"/>
        </w:rPr>
        <w:t>SAIMEX</w:t>
      </w:r>
      <w:r w:rsidR="00664420" w:rsidRPr="00A10EDA">
        <w:rPr>
          <w:rFonts w:cs="Tahoma"/>
          <w:szCs w:val="22"/>
        </w:rPr>
        <w:t>.</w:t>
      </w:r>
    </w:p>
    <w:p w14:paraId="741683E3" w14:textId="77777777" w:rsidR="0011350D" w:rsidRPr="00A10EDA" w:rsidRDefault="0011350D" w:rsidP="00A10EDA">
      <w:pPr>
        <w:rPr>
          <w:rFonts w:cs="Tahoma"/>
          <w:szCs w:val="22"/>
        </w:rPr>
      </w:pPr>
    </w:p>
    <w:p w14:paraId="6DD1243B" w14:textId="216E2540" w:rsidR="00664420" w:rsidRPr="00A10EDA" w:rsidRDefault="00664420" w:rsidP="00A10EDA">
      <w:pPr>
        <w:pStyle w:val="Ttulo1"/>
        <w:rPr>
          <w:rFonts w:eastAsiaTheme="minorHAnsi"/>
          <w:lang w:eastAsia="en-US"/>
        </w:rPr>
      </w:pPr>
      <w:bookmarkStart w:id="18" w:name="_Toc184815090"/>
      <w:r w:rsidRPr="00A10EDA">
        <w:rPr>
          <w:rFonts w:eastAsiaTheme="minorHAnsi"/>
          <w:lang w:eastAsia="en-US"/>
        </w:rPr>
        <w:t>CONSIDERANDOS</w:t>
      </w:r>
      <w:bookmarkEnd w:id="18"/>
    </w:p>
    <w:p w14:paraId="0B67CB92" w14:textId="2E307D3B" w:rsidR="00664420" w:rsidRPr="00A10EDA" w:rsidRDefault="00664420" w:rsidP="00A10EDA">
      <w:pPr>
        <w:pStyle w:val="Ttulo2"/>
        <w:rPr>
          <w:rFonts w:eastAsia="Batang"/>
        </w:rPr>
      </w:pPr>
      <w:bookmarkStart w:id="19" w:name="_Toc184815091"/>
      <w:r w:rsidRPr="00A10EDA">
        <w:rPr>
          <w:rFonts w:eastAsia="Batang"/>
        </w:rPr>
        <w:t xml:space="preserve">PRIMERO. </w:t>
      </w:r>
      <w:proofErr w:type="spellStart"/>
      <w:r w:rsidR="00BA55A8" w:rsidRPr="00A10EDA">
        <w:rPr>
          <w:rFonts w:eastAsia="Batang"/>
        </w:rPr>
        <w:t>Procedibilidad</w:t>
      </w:r>
      <w:bookmarkEnd w:id="19"/>
      <w:proofErr w:type="spellEnd"/>
    </w:p>
    <w:p w14:paraId="39C52BC1" w14:textId="56FCC20D" w:rsidR="00BA55A8" w:rsidRPr="00A10EDA" w:rsidRDefault="00BA55A8" w:rsidP="00A10EDA">
      <w:pPr>
        <w:pStyle w:val="Ttulo3"/>
      </w:pPr>
      <w:bookmarkStart w:id="20" w:name="_Toc184815092"/>
      <w:r w:rsidRPr="00A10EDA">
        <w:t>a) Competencia</w:t>
      </w:r>
      <w:r w:rsidR="00150C49" w:rsidRPr="00A10EDA">
        <w:t xml:space="preserve"> del Instituto</w:t>
      </w:r>
      <w:bookmarkEnd w:id="20"/>
    </w:p>
    <w:p w14:paraId="56E64942" w14:textId="69C6C934" w:rsidR="0011350D" w:rsidRPr="00A10EDA" w:rsidRDefault="0011350D" w:rsidP="00A10EDA">
      <w:pPr>
        <w:rPr>
          <w:rFonts w:cs="Arial"/>
        </w:rPr>
      </w:pPr>
      <w:r w:rsidRPr="00A10EDA">
        <w:t xml:space="preserve">Este Instituto de Transparencia, Acceso a la Información Pública y Protección de Datos Personales del Estado de México y Municipios es competente para conocer y resolver </w:t>
      </w:r>
      <w:r w:rsidR="005F65B7" w:rsidRPr="00A10EDA">
        <w:t xml:space="preserve">el </w:t>
      </w:r>
      <w:r w:rsidRPr="00A10EDA">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10EDA">
        <w:rPr>
          <w:rFonts w:cs="Arial"/>
        </w:rPr>
        <w:t>; y 9, fracciones I y XXIII y 11 del Reglamento Interior del Instituto de Transparencia, Acceso a la Información Pública y Protección de Datos Personales del Estado de México y Municipios.</w:t>
      </w:r>
    </w:p>
    <w:p w14:paraId="0A21CD06" w14:textId="77777777" w:rsidR="00A32B65" w:rsidRPr="00A10EDA" w:rsidRDefault="00A32B65" w:rsidP="00A10EDA">
      <w:pPr>
        <w:rPr>
          <w:rFonts w:cs="Arial"/>
        </w:rPr>
      </w:pPr>
    </w:p>
    <w:p w14:paraId="517A2DD6" w14:textId="4169BE4D" w:rsidR="00664420" w:rsidRPr="00A10EDA" w:rsidRDefault="00BA55A8" w:rsidP="00A10EDA">
      <w:pPr>
        <w:pStyle w:val="Ttulo3"/>
      </w:pPr>
      <w:bookmarkStart w:id="21" w:name="_Toc184815093"/>
      <w:r w:rsidRPr="00A10EDA">
        <w:t>b)</w:t>
      </w:r>
      <w:r w:rsidR="00664420" w:rsidRPr="00A10EDA">
        <w:t xml:space="preserve"> </w:t>
      </w:r>
      <w:r w:rsidR="00D91CB4" w:rsidRPr="00A10EDA">
        <w:t>Legitimidad</w:t>
      </w:r>
      <w:r w:rsidRPr="00A10EDA">
        <w:t xml:space="preserve"> de la parte recurrente</w:t>
      </w:r>
      <w:bookmarkEnd w:id="21"/>
    </w:p>
    <w:p w14:paraId="26FEA382" w14:textId="0B06695C" w:rsidR="00D91CB4" w:rsidRPr="00A10EDA" w:rsidRDefault="00D91CB4" w:rsidP="00A10EDA">
      <w:pPr>
        <w:rPr>
          <w:rFonts w:cs="Arial"/>
          <w:bCs/>
        </w:rPr>
      </w:pPr>
      <w:r w:rsidRPr="00A10EDA">
        <w:rPr>
          <w:rFonts w:cs="Arial"/>
          <w:bCs/>
        </w:rPr>
        <w:t>El recurso de revisión fue interpuesto por parte legítima, ya que se presentó por la misma persona que formuló la solicitud de acceso a la Información Pública,</w:t>
      </w:r>
      <w:r w:rsidRPr="00A10EDA">
        <w:rPr>
          <w:rFonts w:cs="Arial"/>
          <w:b/>
          <w:bCs/>
        </w:rPr>
        <w:t xml:space="preserve"> </w:t>
      </w:r>
      <w:r w:rsidRPr="00A10EDA">
        <w:rPr>
          <w:rFonts w:cs="Arial"/>
        </w:rPr>
        <w:t>debido a que los datos de acceso</w:t>
      </w:r>
      <w:r w:rsidRPr="00A10EDA">
        <w:rPr>
          <w:rFonts w:cs="Arial"/>
          <w:b/>
          <w:bCs/>
        </w:rPr>
        <w:t xml:space="preserve"> </w:t>
      </w:r>
      <w:r w:rsidRPr="00A10EDA">
        <w:rPr>
          <w:rFonts w:cs="Arial"/>
        </w:rPr>
        <w:t>SAIMEX</w:t>
      </w:r>
      <w:r w:rsidRPr="00A10EDA">
        <w:rPr>
          <w:rFonts w:eastAsia="Calibri" w:cs="Arial"/>
          <w:lang w:eastAsia="en-US"/>
        </w:rPr>
        <w:t xml:space="preserve"> son personales e irrepetibles.</w:t>
      </w:r>
    </w:p>
    <w:p w14:paraId="2C367810" w14:textId="77777777" w:rsidR="00D91CB4" w:rsidRPr="00A10EDA" w:rsidRDefault="00D91CB4" w:rsidP="00A10EDA"/>
    <w:p w14:paraId="496490FC" w14:textId="1A5F3FDB" w:rsidR="00D91CB4" w:rsidRPr="00A10EDA" w:rsidRDefault="00BA55A8" w:rsidP="00A10EDA">
      <w:pPr>
        <w:pStyle w:val="Ttulo3"/>
        <w:rPr>
          <w:rFonts w:eastAsia="Calibri"/>
          <w:lang w:eastAsia="es-ES_tradnl"/>
        </w:rPr>
      </w:pPr>
      <w:bookmarkStart w:id="22" w:name="_Toc184815094"/>
      <w:r w:rsidRPr="00A10EDA">
        <w:rPr>
          <w:rFonts w:eastAsia="Calibri"/>
          <w:lang w:eastAsia="es-ES_tradnl"/>
        </w:rPr>
        <w:lastRenderedPageBreak/>
        <w:t>c)</w:t>
      </w:r>
      <w:r w:rsidR="00664420" w:rsidRPr="00A10EDA">
        <w:rPr>
          <w:rFonts w:eastAsia="Calibri"/>
          <w:lang w:eastAsia="es-ES_tradnl"/>
        </w:rPr>
        <w:t xml:space="preserve"> </w:t>
      </w:r>
      <w:r w:rsidR="00D91CB4" w:rsidRPr="00A10EDA">
        <w:rPr>
          <w:rFonts w:eastAsia="Calibri"/>
          <w:lang w:eastAsia="es-ES_tradnl"/>
        </w:rPr>
        <w:t>Plazo para interponer el recurso</w:t>
      </w:r>
      <w:bookmarkEnd w:id="22"/>
    </w:p>
    <w:p w14:paraId="4401C43D" w14:textId="2BAC30EF" w:rsidR="00B668F1" w:rsidRPr="00A10EDA" w:rsidRDefault="00B668F1" w:rsidP="00A10EDA">
      <w:pPr>
        <w:rPr>
          <w:rFonts w:eastAsia="Calibri"/>
          <w:lang w:eastAsia="es-ES_tradnl"/>
        </w:rPr>
      </w:pPr>
      <w:r w:rsidRPr="00A10EDA">
        <w:rPr>
          <w:rFonts w:cs="Arial"/>
          <w:b/>
        </w:rPr>
        <w:t>EL SUJETO OBLIGADO</w:t>
      </w:r>
      <w:r w:rsidRPr="00A10EDA">
        <w:rPr>
          <w:rFonts w:cs="Arial"/>
        </w:rPr>
        <w:t xml:space="preserve"> notificó la respuesta a la solicitud de acceso a la Información Pública el </w:t>
      </w:r>
      <w:r w:rsidR="00F863DE" w:rsidRPr="00A10EDA">
        <w:rPr>
          <w:rFonts w:eastAsia="Palatino Linotype" w:cs="Palatino Linotype"/>
          <w:b/>
        </w:rPr>
        <w:t>diecinueve de noviembre</w:t>
      </w:r>
      <w:r w:rsidRPr="00A10EDA">
        <w:rPr>
          <w:rFonts w:eastAsia="Palatino Linotype" w:cs="Palatino Linotype"/>
          <w:b/>
        </w:rPr>
        <w:t xml:space="preserve"> de dos mil veinticuatro</w:t>
      </w:r>
      <w:r w:rsidRPr="00A10EDA">
        <w:rPr>
          <w:rFonts w:cs="Arial"/>
        </w:rPr>
        <w:t xml:space="preserve"> y el recurso </w:t>
      </w:r>
      <w:r w:rsidRPr="00A10EDA">
        <w:rPr>
          <w:rFonts w:eastAsia="Palatino Linotype" w:cs="Palatino Linotype"/>
        </w:rPr>
        <w:t xml:space="preserve">que nos ocupa se interpuso el </w:t>
      </w:r>
      <w:r w:rsidR="00F863DE" w:rsidRPr="00A10EDA">
        <w:rPr>
          <w:rFonts w:eastAsia="Palatino Linotype" w:cs="Palatino Linotype"/>
          <w:b/>
        </w:rPr>
        <w:t>veinte de noviembre</w:t>
      </w:r>
      <w:r w:rsidRPr="00A10EDA">
        <w:rPr>
          <w:rFonts w:eastAsia="Palatino Linotype" w:cs="Palatino Linotype"/>
          <w:b/>
        </w:rPr>
        <w:t xml:space="preserve"> de dos mil veinticuatro</w:t>
      </w:r>
      <w:r w:rsidRPr="00A10EDA">
        <w:rPr>
          <w:rFonts w:eastAsia="Palatino Linotype" w:cs="Palatino Linotype"/>
          <w:bCs/>
        </w:rPr>
        <w:t>;</w:t>
      </w:r>
      <w:r w:rsidRPr="00A10EDA">
        <w:rPr>
          <w:rFonts w:eastAsia="Palatino Linotype" w:cs="Palatino Linotype"/>
        </w:rPr>
        <w:t xml:space="preserve"> por lo tanto, éste se encuentra dentro del margen temporal previsto en el artículo 178 de la </w:t>
      </w:r>
      <w:r w:rsidRPr="00A10EDA">
        <w:rPr>
          <w:rFonts w:cs="Arial"/>
        </w:rPr>
        <w:t>Ley de Transparencia y Acceso a la Información Pública del Estado de México y Municipios</w:t>
      </w:r>
      <w:r w:rsidRPr="00A10EDA">
        <w:rPr>
          <w:rFonts w:eastAsiaTheme="minorEastAsia" w:cs="Arial"/>
          <w:lang w:val="es-ES_tradnl"/>
        </w:rPr>
        <w:t>.</w:t>
      </w:r>
    </w:p>
    <w:p w14:paraId="49076992" w14:textId="77777777" w:rsidR="00D91CB4" w:rsidRPr="00A10EDA" w:rsidRDefault="00D91CB4" w:rsidP="00A10EDA">
      <w:pPr>
        <w:rPr>
          <w:rFonts w:eastAsia="Palatino Linotype" w:cs="Palatino Linotype"/>
        </w:rPr>
      </w:pPr>
    </w:p>
    <w:p w14:paraId="46C0EB3A" w14:textId="09871D7B" w:rsidR="00A53315" w:rsidRPr="00A10EDA" w:rsidRDefault="00BA55A8" w:rsidP="00A10EDA">
      <w:pPr>
        <w:pStyle w:val="Ttulo3"/>
        <w:rPr>
          <w:rFonts w:eastAsia="Calibri"/>
          <w:lang w:eastAsia="es-ES_tradnl"/>
        </w:rPr>
      </w:pPr>
      <w:bookmarkStart w:id="23" w:name="_Toc184815095"/>
      <w:r w:rsidRPr="00A10EDA">
        <w:rPr>
          <w:rFonts w:eastAsia="Calibri"/>
          <w:lang w:eastAsia="es-ES_tradnl"/>
        </w:rPr>
        <w:t>d)</w:t>
      </w:r>
      <w:r w:rsidR="00D91CB4" w:rsidRPr="00A10EDA">
        <w:rPr>
          <w:rFonts w:eastAsia="Calibri"/>
          <w:lang w:eastAsia="es-ES_tradnl"/>
        </w:rPr>
        <w:t xml:space="preserve"> </w:t>
      </w:r>
      <w:r w:rsidR="0042630F" w:rsidRPr="00A10EDA">
        <w:rPr>
          <w:rFonts w:eastAsia="Calibri"/>
          <w:lang w:eastAsia="es-ES_tradnl"/>
        </w:rPr>
        <w:t>Causal de procedencia</w:t>
      </w:r>
      <w:bookmarkEnd w:id="23"/>
    </w:p>
    <w:p w14:paraId="190404A6" w14:textId="3CA715F1" w:rsidR="00BA55A8" w:rsidRPr="00A10EDA" w:rsidRDefault="00BA55A8" w:rsidP="00A10EDA">
      <w:r w:rsidRPr="00A10EDA">
        <w:rPr>
          <w:rFonts w:cs="Arial"/>
        </w:rPr>
        <w:t xml:space="preserve">Resulta procedente la interposición del recurso de revisión, ya que </w:t>
      </w:r>
      <w:r w:rsidRPr="00A10EDA">
        <w:rPr>
          <w:rFonts w:eastAsia="Calibri" w:cs="Tahoma"/>
          <w:szCs w:val="22"/>
          <w:lang w:eastAsia="es-MX"/>
        </w:rPr>
        <w:t xml:space="preserve">se actualiza la causal de procedencia señalada en el artículo 179, fracción </w:t>
      </w:r>
      <w:r w:rsidR="00B07044" w:rsidRPr="00A10EDA">
        <w:rPr>
          <w:rFonts w:eastAsia="Calibri" w:cs="Tahoma"/>
          <w:szCs w:val="22"/>
          <w:lang w:eastAsia="es-MX"/>
        </w:rPr>
        <w:t>VII</w:t>
      </w:r>
      <w:r w:rsidR="0042630F" w:rsidRPr="00A10EDA">
        <w:rPr>
          <w:rFonts w:eastAsia="Calibri" w:cs="Tahoma"/>
          <w:szCs w:val="22"/>
          <w:lang w:eastAsia="es-MX"/>
        </w:rPr>
        <w:t xml:space="preserve">I </w:t>
      </w:r>
      <w:r w:rsidRPr="00A10EDA">
        <w:rPr>
          <w:rFonts w:cs="Arial"/>
        </w:rPr>
        <w:t xml:space="preserve">de la </w:t>
      </w:r>
      <w:r w:rsidRPr="00A10EDA">
        <w:t>Ley de Transparencia y Acceso a la Información Pública del Estado de México y Municipios.</w:t>
      </w:r>
    </w:p>
    <w:p w14:paraId="0EFF7141" w14:textId="77777777" w:rsidR="00362A11" w:rsidRPr="00A10EDA" w:rsidRDefault="00362A11" w:rsidP="00A10EDA"/>
    <w:p w14:paraId="2284D7EB" w14:textId="3EE1D036" w:rsidR="00BA55A8" w:rsidRPr="00A10EDA" w:rsidRDefault="00362A11" w:rsidP="00A10EDA">
      <w:pPr>
        <w:pStyle w:val="Ttulo3"/>
      </w:pPr>
      <w:bookmarkStart w:id="24" w:name="_Toc184815096"/>
      <w:r w:rsidRPr="00A10EDA">
        <w:t>e) Requisitos formales para la interposición del recurso</w:t>
      </w:r>
      <w:bookmarkEnd w:id="24"/>
    </w:p>
    <w:p w14:paraId="51A56557" w14:textId="77777777" w:rsidR="0042630F" w:rsidRPr="00A10EDA" w:rsidRDefault="0042630F" w:rsidP="00A10EDA">
      <w:pPr>
        <w:rPr>
          <w:rFonts w:cs="Arial"/>
          <w:lang w:val="es-ES"/>
        </w:rPr>
      </w:pPr>
      <w:r w:rsidRPr="00A10EDA">
        <w:rPr>
          <w:lang w:val="es-ES"/>
        </w:rPr>
        <w:t xml:space="preserve">Es importante mencionar que, de la revisión del expediente electrónico del </w:t>
      </w:r>
      <w:r w:rsidRPr="00A10EDA">
        <w:rPr>
          <w:bCs/>
          <w:lang w:val="es-ES"/>
        </w:rPr>
        <w:t>SAIMEX,</w:t>
      </w:r>
      <w:r w:rsidRPr="00A10EDA">
        <w:rPr>
          <w:lang w:val="es-ES"/>
        </w:rPr>
        <w:t xml:space="preserve"> se observa que </w:t>
      </w:r>
      <w:r w:rsidRPr="00A10EDA">
        <w:rPr>
          <w:b/>
          <w:bCs/>
          <w:lang w:val="es-ES"/>
        </w:rPr>
        <w:t>LA PARTE RECURRENTE</w:t>
      </w:r>
      <w:r w:rsidRPr="00A10EDA">
        <w:rPr>
          <w:lang w:val="es-ES"/>
        </w:rPr>
        <w:t xml:space="preserve"> no proporcionó su nombre para ser identificado, lo que en estricto sentido provoca que </w:t>
      </w:r>
      <w:r w:rsidRPr="00A10EDA">
        <w:rPr>
          <w:rFonts w:cs="Arial"/>
          <w:lang w:val="es-ES"/>
        </w:rPr>
        <w:t>no</w:t>
      </w:r>
      <w:r w:rsidRPr="00A10EDA">
        <w:rPr>
          <w:lang w:val="es-ES"/>
        </w:rPr>
        <w:t xml:space="preserve"> se colmen los requisitos establecidos en el artículo 180 de la Ley de Transparencia; sin embargo, el artículo 15 de </w:t>
      </w:r>
      <w:r w:rsidRPr="00A10EDA">
        <w:rPr>
          <w:rFonts w:cs="Arial"/>
          <w:lang w:val="es-ES" w:eastAsia="es-MX"/>
        </w:rPr>
        <w:t xml:space="preserve">Ley de Transparencia y Acceso a la </w:t>
      </w:r>
      <w:r w:rsidRPr="00A10EDA">
        <w:rPr>
          <w:rFonts w:cs="Arial"/>
          <w:lang w:val="es-ES"/>
        </w:rPr>
        <w:t>Información</w:t>
      </w:r>
      <w:r w:rsidRPr="00A10EDA">
        <w:rPr>
          <w:rFonts w:cs="Arial"/>
          <w:lang w:val="es-ES" w:eastAsia="es-MX"/>
        </w:rPr>
        <w:t xml:space="preserve"> Pública del Estado de México y Municipios </w:t>
      </w:r>
      <w:r w:rsidRPr="00A10EDA">
        <w:rPr>
          <w:rFonts w:cs="Arial"/>
          <w:iCs/>
          <w:lang w:val="es-ES"/>
        </w:rPr>
        <w:t xml:space="preserve">prevé que </w:t>
      </w:r>
      <w:r w:rsidRPr="00A10EDA">
        <w:rPr>
          <w:lang w:val="es-ES"/>
        </w:rPr>
        <w:t xml:space="preserve">toda persona tendrá acceso a la información </w:t>
      </w:r>
      <w:r w:rsidRPr="00A10EDA">
        <w:rPr>
          <w:rFonts w:cs="Arial"/>
          <w:lang w:val="es-ES"/>
        </w:rPr>
        <w:t xml:space="preserve">sin necesidad de acreditar interés alguno o justificar su utilización, de lo que se infiere que </w:t>
      </w:r>
      <w:r w:rsidRPr="00A10EDA">
        <w:rPr>
          <w:rFonts w:cs="Arial"/>
          <w:b/>
          <w:lang w:val="es-ES"/>
        </w:rPr>
        <w:t xml:space="preserve">el nombre no es un requisito </w:t>
      </w:r>
      <w:r w:rsidRPr="00A10EDA">
        <w:rPr>
          <w:rFonts w:cs="Arial"/>
          <w:b/>
          <w:iCs/>
          <w:lang w:val="es-ES"/>
        </w:rPr>
        <w:t>indispensable</w:t>
      </w:r>
      <w:r w:rsidRPr="00A10EDA">
        <w:rPr>
          <w:rFonts w:cs="Arial"/>
          <w:lang w:val="es-ES"/>
        </w:rPr>
        <w:t xml:space="preserve"> para que las y los ciudadanos ejerzan el derecho de acceso a la información pública. </w:t>
      </w:r>
    </w:p>
    <w:p w14:paraId="512D9B56" w14:textId="77777777" w:rsidR="0042630F" w:rsidRPr="00A10EDA" w:rsidRDefault="0042630F" w:rsidP="00A10EDA">
      <w:pPr>
        <w:rPr>
          <w:rFonts w:cs="Arial"/>
          <w:lang w:val="es-ES"/>
        </w:rPr>
      </w:pPr>
    </w:p>
    <w:p w14:paraId="209F17F9" w14:textId="5DAD1F30" w:rsidR="0042630F" w:rsidRPr="00A10EDA" w:rsidRDefault="0042630F" w:rsidP="00A10EDA">
      <w:pPr>
        <w:rPr>
          <w:lang w:val="es-ES"/>
        </w:rPr>
      </w:pPr>
      <w:r w:rsidRPr="00A10EDA">
        <w:rPr>
          <w:rFonts w:cs="Arial"/>
          <w:lang w:val="es-ES"/>
        </w:rPr>
        <w:t xml:space="preserve">Asimismo, la Ley de la materia prevé en su artículo 155, párrafo segundo la posibilidad de que las solicitudes de información sean anónimas, al utilizar un nombre incompleto o, </w:t>
      </w:r>
      <w:r w:rsidRPr="00A10EDA">
        <w:rPr>
          <w:rFonts w:cs="Arial"/>
          <w:lang w:val="es-ES"/>
        </w:rPr>
        <w:lastRenderedPageBreak/>
        <w:t>inclusive un seudónimo.</w:t>
      </w:r>
      <w:r w:rsidRPr="00A10EDA">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A10EDA">
        <w:rPr>
          <w:b/>
          <w:bCs/>
          <w:lang w:val="es-ES"/>
        </w:rPr>
        <w:t>LA PARTE RECURRENTE</w:t>
      </w:r>
      <w:r w:rsidRPr="00A10EDA">
        <w:rPr>
          <w:rFonts w:cs="Arial"/>
          <w:b/>
          <w:lang w:val="es-ES"/>
        </w:rPr>
        <w:t>;</w:t>
      </w:r>
      <w:r w:rsidRPr="00A10EDA">
        <w:rPr>
          <w:lang w:val="es-ES"/>
        </w:rPr>
        <w:t xml:space="preserve"> por lo que, en el presente caso, al haber sido presentado el recurso de revisión vía </w:t>
      </w:r>
      <w:r w:rsidRPr="00A10EDA">
        <w:rPr>
          <w:bCs/>
          <w:lang w:val="es-ES"/>
        </w:rPr>
        <w:t>SAIMEX</w:t>
      </w:r>
      <w:r w:rsidRPr="00A10EDA">
        <w:rPr>
          <w:lang w:val="es-ES"/>
        </w:rPr>
        <w:t>, dicho requisito resulta innecesario.</w:t>
      </w:r>
    </w:p>
    <w:p w14:paraId="20B242C8" w14:textId="77777777" w:rsidR="008B21A8" w:rsidRPr="00A10EDA" w:rsidRDefault="008B21A8" w:rsidP="00A10EDA">
      <w:pPr>
        <w:rPr>
          <w:lang w:val="es-ES"/>
        </w:rPr>
      </w:pPr>
    </w:p>
    <w:p w14:paraId="457548E9" w14:textId="3F7AF03B" w:rsidR="00C71CEF" w:rsidRPr="00A10EDA" w:rsidRDefault="00C71CEF" w:rsidP="00A10EDA">
      <w:pPr>
        <w:pStyle w:val="Ttulo2"/>
      </w:pPr>
      <w:bookmarkStart w:id="25" w:name="_Toc184815097"/>
      <w:r w:rsidRPr="00A10EDA">
        <w:t>SEGUNDO. Estudio de Fondo</w:t>
      </w:r>
      <w:bookmarkEnd w:id="25"/>
    </w:p>
    <w:p w14:paraId="2A308F59" w14:textId="0FF373F0" w:rsidR="00C049E2" w:rsidRPr="00A10EDA" w:rsidRDefault="00C71CEF" w:rsidP="00A10EDA">
      <w:pPr>
        <w:pStyle w:val="Ttulo3"/>
      </w:pPr>
      <w:bookmarkStart w:id="26" w:name="_Toc184815098"/>
      <w:r w:rsidRPr="00A10EDA">
        <w:t>a</w:t>
      </w:r>
      <w:r w:rsidR="00C049E2" w:rsidRPr="00A10EDA">
        <w:t>) Mandato de transparencia y responsabilidad del Sujeto Obligado</w:t>
      </w:r>
      <w:bookmarkEnd w:id="26"/>
    </w:p>
    <w:p w14:paraId="6901A889" w14:textId="59EEDAE1" w:rsidR="00C049E2" w:rsidRPr="00A10EDA" w:rsidRDefault="00C049E2" w:rsidP="00A10EDA">
      <w:pPr>
        <w:rPr>
          <w:rFonts w:eastAsia="Palatino Linotype"/>
        </w:rPr>
      </w:pPr>
      <w:r w:rsidRPr="00A10EDA">
        <w:rPr>
          <w:rFonts w:eastAsia="Palatino Linotype"/>
        </w:rPr>
        <w:t xml:space="preserve">El </w:t>
      </w:r>
      <w:r w:rsidR="00717E59" w:rsidRPr="00A10EDA">
        <w:rPr>
          <w:rFonts w:eastAsia="Palatino Linotype"/>
        </w:rPr>
        <w:t>d</w:t>
      </w:r>
      <w:r w:rsidRPr="00A10EDA">
        <w:rPr>
          <w:rFonts w:eastAsia="Palatino Linotype"/>
        </w:rPr>
        <w:t xml:space="preserve">erecho de </w:t>
      </w:r>
      <w:r w:rsidR="00717E59" w:rsidRPr="00A10EDA">
        <w:rPr>
          <w:rFonts w:eastAsia="Palatino Linotype"/>
        </w:rPr>
        <w:t>a</w:t>
      </w:r>
      <w:r w:rsidRPr="00A10EDA">
        <w:rPr>
          <w:rFonts w:eastAsia="Palatino Linotype"/>
        </w:rPr>
        <w:t xml:space="preserve">cceso a la </w:t>
      </w:r>
      <w:r w:rsidR="00717E59" w:rsidRPr="00A10EDA">
        <w:rPr>
          <w:rFonts w:eastAsia="Palatino Linotype"/>
        </w:rPr>
        <w:t>i</w:t>
      </w:r>
      <w:r w:rsidRPr="00A10EDA">
        <w:rPr>
          <w:rFonts w:eastAsia="Palatino Linotype"/>
        </w:rPr>
        <w:t xml:space="preserve">nformación </w:t>
      </w:r>
      <w:r w:rsidR="00717E59" w:rsidRPr="00A10EDA">
        <w:rPr>
          <w:rFonts w:eastAsia="Palatino Linotype"/>
        </w:rPr>
        <w:t>p</w:t>
      </w:r>
      <w:r w:rsidRPr="00A10ED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10EDA">
        <w:rPr>
          <w:rFonts w:eastAsia="Palatino Linotype"/>
        </w:rPr>
        <w:t>:</w:t>
      </w:r>
    </w:p>
    <w:p w14:paraId="7FAB8D32" w14:textId="77777777" w:rsidR="00C049E2" w:rsidRPr="00A10EDA" w:rsidRDefault="00C049E2" w:rsidP="00A10EDA">
      <w:pPr>
        <w:rPr>
          <w:rFonts w:eastAsia="Palatino Linotype"/>
        </w:rPr>
      </w:pPr>
    </w:p>
    <w:p w14:paraId="05320813" w14:textId="77777777" w:rsidR="00C049E2" w:rsidRPr="00A10EDA" w:rsidRDefault="00C049E2" w:rsidP="00A10EDA">
      <w:pPr>
        <w:spacing w:line="240" w:lineRule="auto"/>
        <w:ind w:left="567" w:right="539"/>
        <w:rPr>
          <w:rFonts w:eastAsia="Palatino Linotype"/>
          <w:b/>
          <w:i/>
        </w:rPr>
      </w:pPr>
      <w:r w:rsidRPr="00A10EDA">
        <w:rPr>
          <w:rFonts w:eastAsia="Palatino Linotype"/>
          <w:b/>
          <w:i/>
        </w:rPr>
        <w:t>Constitución Política de los Estados Unidos Mexicanos</w:t>
      </w:r>
    </w:p>
    <w:p w14:paraId="6B6C67B6" w14:textId="77777777" w:rsidR="00C049E2" w:rsidRPr="00A10EDA" w:rsidRDefault="00C049E2" w:rsidP="00A10EDA">
      <w:pPr>
        <w:spacing w:line="240" w:lineRule="auto"/>
        <w:ind w:left="567" w:right="539"/>
        <w:rPr>
          <w:rFonts w:eastAsia="Palatino Linotype"/>
          <w:b/>
          <w:i/>
        </w:rPr>
      </w:pPr>
      <w:r w:rsidRPr="00A10EDA">
        <w:rPr>
          <w:rFonts w:eastAsia="Palatino Linotype"/>
          <w:b/>
          <w:i/>
        </w:rPr>
        <w:t>“Artículo 6.</w:t>
      </w:r>
    </w:p>
    <w:p w14:paraId="38D3B4C4" w14:textId="77777777" w:rsidR="00C049E2" w:rsidRPr="00A10EDA" w:rsidRDefault="00C049E2" w:rsidP="00A10EDA">
      <w:pPr>
        <w:spacing w:line="240" w:lineRule="auto"/>
        <w:ind w:left="567" w:right="539"/>
        <w:rPr>
          <w:rFonts w:eastAsia="Palatino Linotype"/>
          <w:i/>
        </w:rPr>
      </w:pPr>
      <w:r w:rsidRPr="00A10EDA">
        <w:rPr>
          <w:rFonts w:eastAsia="Palatino Linotype"/>
          <w:i/>
        </w:rPr>
        <w:t>(…)</w:t>
      </w:r>
    </w:p>
    <w:p w14:paraId="2CCAA297" w14:textId="6602827B" w:rsidR="00C049E2" w:rsidRPr="00A10EDA" w:rsidRDefault="00C049E2" w:rsidP="00A10EDA">
      <w:pPr>
        <w:spacing w:line="240" w:lineRule="auto"/>
        <w:ind w:left="567" w:right="539"/>
        <w:rPr>
          <w:rFonts w:eastAsia="Palatino Linotype"/>
          <w:i/>
        </w:rPr>
      </w:pPr>
      <w:r w:rsidRPr="00A10EDA">
        <w:rPr>
          <w:rFonts w:eastAsia="Palatino Linotype"/>
          <w:i/>
        </w:rPr>
        <w:t>Para efectos de lo dispuesto en el presente artículo se observará lo siguiente:</w:t>
      </w:r>
    </w:p>
    <w:p w14:paraId="74CC3718" w14:textId="77777777" w:rsidR="00C049E2" w:rsidRPr="00A10EDA" w:rsidRDefault="00C049E2" w:rsidP="00A10EDA">
      <w:pPr>
        <w:spacing w:line="240" w:lineRule="auto"/>
        <w:ind w:left="567" w:right="539"/>
        <w:rPr>
          <w:rFonts w:eastAsia="Palatino Linotype"/>
          <w:b/>
          <w:i/>
        </w:rPr>
      </w:pPr>
      <w:r w:rsidRPr="00A10EDA">
        <w:rPr>
          <w:rFonts w:eastAsia="Palatino Linotype"/>
          <w:b/>
          <w:i/>
        </w:rPr>
        <w:t>A</w:t>
      </w:r>
      <w:r w:rsidRPr="00A10EDA">
        <w:rPr>
          <w:rFonts w:eastAsia="Palatino Linotype"/>
          <w:i/>
        </w:rPr>
        <w:t xml:space="preserve">. </w:t>
      </w:r>
      <w:r w:rsidRPr="00A10EDA">
        <w:rPr>
          <w:rFonts w:eastAsia="Palatino Linotype"/>
          <w:b/>
          <w:i/>
        </w:rPr>
        <w:t>Para el ejercicio del derecho de acceso a la información</w:t>
      </w:r>
      <w:r w:rsidRPr="00A10EDA">
        <w:rPr>
          <w:rFonts w:eastAsia="Palatino Linotype"/>
          <w:i/>
        </w:rPr>
        <w:t xml:space="preserve">, la Federación y </w:t>
      </w:r>
      <w:r w:rsidRPr="00A10EDA">
        <w:rPr>
          <w:rFonts w:eastAsia="Palatino Linotype"/>
          <w:b/>
          <w:i/>
        </w:rPr>
        <w:t>las entidades federativas, en el ámbito de sus respectivas competencias, se regirán por los siguientes principios y bases:</w:t>
      </w:r>
    </w:p>
    <w:p w14:paraId="596A956B" w14:textId="77777777" w:rsidR="00C049E2" w:rsidRPr="00A10EDA" w:rsidRDefault="00C049E2" w:rsidP="00A10EDA">
      <w:pPr>
        <w:spacing w:line="240" w:lineRule="auto"/>
        <w:ind w:left="567" w:right="539"/>
        <w:rPr>
          <w:rFonts w:eastAsia="Palatino Linotype"/>
          <w:i/>
        </w:rPr>
      </w:pPr>
      <w:r w:rsidRPr="00A10EDA">
        <w:rPr>
          <w:rFonts w:eastAsia="Palatino Linotype"/>
          <w:b/>
          <w:i/>
        </w:rPr>
        <w:t xml:space="preserve">I. </w:t>
      </w:r>
      <w:r w:rsidRPr="00A10EDA">
        <w:rPr>
          <w:rFonts w:eastAsia="Palatino Linotype"/>
          <w:b/>
          <w:i/>
        </w:rPr>
        <w:tab/>
        <w:t>Toda la información en posesión de cualquier</w:t>
      </w:r>
      <w:r w:rsidRPr="00A10EDA">
        <w:rPr>
          <w:rFonts w:eastAsia="Palatino Linotype"/>
          <w:i/>
        </w:rPr>
        <w:t xml:space="preserve"> </w:t>
      </w:r>
      <w:r w:rsidRPr="00A10EDA">
        <w:rPr>
          <w:rFonts w:eastAsia="Palatino Linotype"/>
          <w:b/>
          <w:i/>
        </w:rPr>
        <w:t>autoridad</w:t>
      </w:r>
      <w:r w:rsidRPr="00A10EDA">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10EDA">
        <w:rPr>
          <w:rFonts w:eastAsia="Palatino Linotype"/>
          <w:b/>
          <w:i/>
        </w:rPr>
        <w:t>municipal</w:t>
      </w:r>
      <w:r w:rsidRPr="00A10EDA">
        <w:rPr>
          <w:rFonts w:eastAsia="Palatino Linotype"/>
          <w:i/>
        </w:rPr>
        <w:t xml:space="preserve">, </w:t>
      </w:r>
      <w:r w:rsidRPr="00A10EDA">
        <w:rPr>
          <w:rFonts w:eastAsia="Palatino Linotype"/>
          <w:b/>
          <w:i/>
        </w:rPr>
        <w:t>es pública</w:t>
      </w:r>
      <w:r w:rsidRPr="00A10EDA">
        <w:rPr>
          <w:rFonts w:eastAsia="Palatino Linotype"/>
          <w:i/>
        </w:rPr>
        <w:t xml:space="preserve"> y sólo podrá ser reservada temporalmente por razones de interés público y seguridad nacional, en los términos que fijen las leyes. </w:t>
      </w:r>
      <w:r w:rsidRPr="00A10EDA">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A10EDA">
        <w:rPr>
          <w:rFonts w:eastAsia="Palatino Linotype"/>
          <w:i/>
        </w:rPr>
        <w:t>, la ley determinará los supuestos específicos bajo los cuales procederá la declaración de inexistencia de la información.”</w:t>
      </w:r>
    </w:p>
    <w:p w14:paraId="68F313E4" w14:textId="77777777" w:rsidR="00C049E2" w:rsidRPr="00A10EDA" w:rsidRDefault="00C049E2" w:rsidP="00A10EDA">
      <w:pPr>
        <w:spacing w:line="240" w:lineRule="auto"/>
        <w:ind w:left="567" w:right="539"/>
        <w:rPr>
          <w:rFonts w:eastAsia="Palatino Linotype"/>
          <w:b/>
          <w:i/>
        </w:rPr>
      </w:pPr>
    </w:p>
    <w:p w14:paraId="504F12DB" w14:textId="77777777" w:rsidR="00C049E2" w:rsidRPr="00A10EDA" w:rsidRDefault="00C049E2" w:rsidP="00A10EDA">
      <w:pPr>
        <w:spacing w:line="240" w:lineRule="auto"/>
        <w:ind w:left="567" w:right="539"/>
        <w:rPr>
          <w:rFonts w:eastAsia="Palatino Linotype"/>
          <w:b/>
          <w:i/>
        </w:rPr>
      </w:pPr>
      <w:r w:rsidRPr="00A10EDA">
        <w:rPr>
          <w:rFonts w:eastAsia="Palatino Linotype"/>
          <w:b/>
          <w:i/>
        </w:rPr>
        <w:t>Constitución Política del Estado Libre y Soberano de México</w:t>
      </w:r>
    </w:p>
    <w:p w14:paraId="04932D29" w14:textId="77777777" w:rsidR="00C049E2" w:rsidRPr="00A10EDA" w:rsidRDefault="00C049E2" w:rsidP="00A10EDA">
      <w:pPr>
        <w:spacing w:line="240" w:lineRule="auto"/>
        <w:ind w:left="567" w:right="539"/>
        <w:rPr>
          <w:rFonts w:eastAsia="Palatino Linotype"/>
          <w:i/>
        </w:rPr>
      </w:pPr>
      <w:r w:rsidRPr="00A10EDA">
        <w:rPr>
          <w:rFonts w:eastAsia="Palatino Linotype"/>
          <w:b/>
          <w:i/>
        </w:rPr>
        <w:lastRenderedPageBreak/>
        <w:t>“Artículo 5</w:t>
      </w:r>
      <w:r w:rsidRPr="00A10EDA">
        <w:rPr>
          <w:rFonts w:eastAsia="Palatino Linotype"/>
          <w:i/>
        </w:rPr>
        <w:t xml:space="preserve">.- </w:t>
      </w:r>
    </w:p>
    <w:p w14:paraId="1D3829F4" w14:textId="77777777" w:rsidR="00C049E2" w:rsidRPr="00A10EDA" w:rsidRDefault="00C049E2" w:rsidP="00A10EDA">
      <w:pPr>
        <w:spacing w:line="240" w:lineRule="auto"/>
        <w:ind w:left="567" w:right="539"/>
        <w:rPr>
          <w:rFonts w:eastAsia="Palatino Linotype"/>
          <w:i/>
        </w:rPr>
      </w:pPr>
      <w:r w:rsidRPr="00A10EDA">
        <w:rPr>
          <w:rFonts w:eastAsia="Palatino Linotype"/>
          <w:i/>
        </w:rPr>
        <w:t>(…)</w:t>
      </w:r>
    </w:p>
    <w:p w14:paraId="0EAE47FD" w14:textId="77777777" w:rsidR="00C049E2" w:rsidRPr="00A10EDA" w:rsidRDefault="00C049E2" w:rsidP="00A10EDA">
      <w:pPr>
        <w:spacing w:line="240" w:lineRule="auto"/>
        <w:ind w:left="567" w:right="539"/>
        <w:rPr>
          <w:rFonts w:eastAsia="Palatino Linotype"/>
          <w:i/>
        </w:rPr>
      </w:pPr>
      <w:r w:rsidRPr="00A10EDA">
        <w:rPr>
          <w:rFonts w:eastAsia="Palatino Linotype"/>
          <w:b/>
          <w:i/>
        </w:rPr>
        <w:t>El derecho a la información será garantizado por el Estado. La ley establecerá las previsiones que permitan asegurar la protección, el respeto y la difusión de este derecho</w:t>
      </w:r>
      <w:r w:rsidRPr="00A10EDA">
        <w:rPr>
          <w:rFonts w:eastAsia="Palatino Linotype"/>
          <w:i/>
        </w:rPr>
        <w:t>.</w:t>
      </w:r>
    </w:p>
    <w:p w14:paraId="4F0C804A" w14:textId="77777777" w:rsidR="00C049E2" w:rsidRPr="00A10EDA" w:rsidRDefault="00C049E2" w:rsidP="00A10EDA">
      <w:pPr>
        <w:spacing w:line="240" w:lineRule="auto"/>
        <w:ind w:left="567" w:right="539"/>
        <w:rPr>
          <w:rFonts w:eastAsia="Palatino Linotype"/>
          <w:i/>
        </w:rPr>
      </w:pPr>
      <w:r w:rsidRPr="00A10EDA">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10EDA" w:rsidRDefault="00C049E2" w:rsidP="00A10EDA">
      <w:pPr>
        <w:spacing w:line="240" w:lineRule="auto"/>
        <w:ind w:left="567" w:right="539"/>
        <w:rPr>
          <w:rFonts w:eastAsia="Palatino Linotype"/>
          <w:i/>
        </w:rPr>
      </w:pPr>
      <w:r w:rsidRPr="00A10EDA">
        <w:rPr>
          <w:rFonts w:eastAsia="Palatino Linotype"/>
          <w:b/>
          <w:i/>
        </w:rPr>
        <w:t>Este derecho se regirá por los principios y bases siguientes</w:t>
      </w:r>
      <w:r w:rsidRPr="00A10EDA">
        <w:rPr>
          <w:rFonts w:eastAsia="Palatino Linotype"/>
          <w:i/>
        </w:rPr>
        <w:t>:</w:t>
      </w:r>
    </w:p>
    <w:p w14:paraId="4A3E8CBA" w14:textId="77777777" w:rsidR="00C049E2" w:rsidRPr="00A10EDA" w:rsidRDefault="00C049E2" w:rsidP="00A10EDA">
      <w:pPr>
        <w:spacing w:line="240" w:lineRule="auto"/>
        <w:ind w:left="567" w:right="539"/>
        <w:rPr>
          <w:rFonts w:eastAsia="Palatino Linotype"/>
          <w:i/>
        </w:rPr>
      </w:pPr>
      <w:r w:rsidRPr="00A10EDA">
        <w:rPr>
          <w:rFonts w:eastAsia="Palatino Linotype"/>
          <w:b/>
          <w:i/>
        </w:rPr>
        <w:t>I. Toda la información en posesión de cualquier autoridad, entidad, órgano y organismos de los</w:t>
      </w:r>
      <w:r w:rsidRPr="00A10EDA">
        <w:rPr>
          <w:rFonts w:eastAsia="Palatino Linotype"/>
          <w:i/>
        </w:rPr>
        <w:t xml:space="preserve"> Poderes Ejecutivo, Legislativo y Judicial, órganos autónomos, partidos políticos, fideicomisos y fondos públicos estatales y </w:t>
      </w:r>
      <w:r w:rsidRPr="00A10EDA">
        <w:rPr>
          <w:rFonts w:eastAsia="Palatino Linotype"/>
          <w:b/>
          <w:i/>
        </w:rPr>
        <w:t>municipales</w:t>
      </w:r>
      <w:r w:rsidRPr="00A10EDA">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10EDA">
        <w:rPr>
          <w:rFonts w:eastAsia="Palatino Linotype"/>
          <w:b/>
          <w:i/>
        </w:rPr>
        <w:t>es pública</w:t>
      </w:r>
      <w:r w:rsidRPr="00A10EDA">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A10EDA">
        <w:rPr>
          <w:rFonts w:eastAsia="Palatino Linotype"/>
          <w:b/>
          <w:i/>
        </w:rPr>
        <w:t>En la interpretación de este derecho deberá prevalecer el principio de máxima publicidad</w:t>
      </w:r>
      <w:r w:rsidRPr="00A10EDA">
        <w:rPr>
          <w:rFonts w:eastAsia="Palatino Linotype"/>
          <w:i/>
        </w:rPr>
        <w:t xml:space="preserve">. </w:t>
      </w:r>
      <w:r w:rsidRPr="00A10EDA">
        <w:rPr>
          <w:rFonts w:eastAsia="Palatino Linotype"/>
          <w:b/>
          <w:i/>
        </w:rPr>
        <w:t>Los sujetos obligados deberán documentar todo acto que derive del ejercicio de sus facultades, competencias o funciones</w:t>
      </w:r>
      <w:r w:rsidRPr="00A10EDA">
        <w:rPr>
          <w:rFonts w:eastAsia="Palatino Linotype"/>
          <w:i/>
        </w:rPr>
        <w:t>, la ley determinará los supuestos específicos bajo los cuales procederá la declaración de inexistencia de la información.”</w:t>
      </w:r>
    </w:p>
    <w:p w14:paraId="5CA98E37" w14:textId="77777777" w:rsidR="00C049E2" w:rsidRPr="00A10EDA" w:rsidRDefault="00C049E2" w:rsidP="00A10EDA">
      <w:pPr>
        <w:rPr>
          <w:rFonts w:eastAsia="Palatino Linotype"/>
          <w:b/>
          <w:i/>
        </w:rPr>
      </w:pPr>
    </w:p>
    <w:p w14:paraId="6FC1BB3B" w14:textId="344B7299" w:rsidR="00C049E2" w:rsidRPr="00A10EDA" w:rsidRDefault="00717E59" w:rsidP="00A10EDA">
      <w:pPr>
        <w:rPr>
          <w:rFonts w:eastAsia="Palatino Linotype"/>
          <w:i/>
        </w:rPr>
      </w:pPr>
      <w:r w:rsidRPr="00A10EDA">
        <w:rPr>
          <w:rFonts w:eastAsia="Palatino Linotype"/>
        </w:rPr>
        <w:t xml:space="preserve">Asimismo, </w:t>
      </w:r>
      <w:r w:rsidR="00C049E2" w:rsidRPr="00A10EDA">
        <w:rPr>
          <w:rFonts w:eastAsia="Palatino Linotype"/>
        </w:rPr>
        <w:t>el artículo 150 de la Ley de Transparencia y Acceso a la Información Pública del Estado de México y Municipios</w:t>
      </w:r>
      <w:r w:rsidR="00057B2D" w:rsidRPr="00A10EDA">
        <w:rPr>
          <w:rFonts w:eastAsia="Palatino Linotype"/>
        </w:rPr>
        <w:t xml:space="preserve"> </w:t>
      </w:r>
      <w:r w:rsidR="00E9335C" w:rsidRPr="00A10EDA">
        <w:rPr>
          <w:rFonts w:eastAsia="Palatino Linotype"/>
        </w:rPr>
        <w:t xml:space="preserve">indica </w:t>
      </w:r>
      <w:r w:rsidR="00057B2D" w:rsidRPr="00A10EDA">
        <w:rPr>
          <w:rFonts w:eastAsia="Palatino Linotype"/>
        </w:rPr>
        <w:t>que</w:t>
      </w:r>
      <w:r w:rsidR="00C049E2" w:rsidRPr="00A10EDA">
        <w:rPr>
          <w:rFonts w:eastAsia="Palatino Linotype"/>
        </w:rPr>
        <w:t xml:space="preserve"> la solicitud es la garantía primaria del Derecho de Acceso a la Información, además, establece que se regirá </w:t>
      </w:r>
      <w:r w:rsidR="00C049E2" w:rsidRPr="00A10EDA">
        <w:rPr>
          <w:rFonts w:eastAsia="Palatino Linotype"/>
          <w:i/>
        </w:rPr>
        <w:t>por los principios de simplicidad, rapidez</w:t>
      </w:r>
      <w:r w:rsidR="005F65B7" w:rsidRPr="00A10EDA">
        <w:rPr>
          <w:rFonts w:eastAsia="Palatino Linotype"/>
          <w:i/>
        </w:rPr>
        <w:t>,</w:t>
      </w:r>
      <w:r w:rsidR="00C049E2" w:rsidRPr="00A10EDA">
        <w:rPr>
          <w:rFonts w:eastAsia="Palatino Linotype"/>
          <w:i/>
        </w:rPr>
        <w:t xml:space="preserve"> gratuidad del procedimiento, auxilio y orientación a los particulare</w:t>
      </w:r>
      <w:r w:rsidR="001A58B3" w:rsidRPr="00A10EDA">
        <w:rPr>
          <w:rFonts w:eastAsia="Palatino Linotype"/>
          <w:i/>
        </w:rPr>
        <w:t>s.</w:t>
      </w:r>
    </w:p>
    <w:p w14:paraId="4D7814B9" w14:textId="77777777" w:rsidR="00817DFB" w:rsidRPr="00A10EDA" w:rsidRDefault="00817DFB" w:rsidP="00A10EDA">
      <w:pPr>
        <w:rPr>
          <w:rFonts w:eastAsia="Palatino Linotype"/>
          <w:i/>
        </w:rPr>
      </w:pPr>
    </w:p>
    <w:p w14:paraId="04ADA10B" w14:textId="574A944A" w:rsidR="001A58B3" w:rsidRPr="00A10EDA" w:rsidRDefault="00233F17" w:rsidP="00A10EDA">
      <w:pPr>
        <w:rPr>
          <w:rFonts w:eastAsia="Palatino Linotype" w:cs="Palatino Linotype"/>
          <w:i/>
          <w:szCs w:val="22"/>
        </w:rPr>
      </w:pPr>
      <w:r w:rsidRPr="00A10EDA">
        <w:rPr>
          <w:rFonts w:eastAsia="Palatino Linotype" w:cs="Palatino Linotype"/>
        </w:rPr>
        <w:t xml:space="preserve">Por su parte, el artículo 4 de </w:t>
      </w:r>
      <w:r w:rsidR="001A58B3" w:rsidRPr="00A10ED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10EDA">
        <w:rPr>
          <w:rFonts w:eastAsia="Palatino Linotype" w:cs="Palatino Linotype"/>
        </w:rPr>
        <w:t>.</w:t>
      </w:r>
    </w:p>
    <w:p w14:paraId="1407DBB8" w14:textId="77777777" w:rsidR="001A58B3" w:rsidRPr="00A10EDA" w:rsidRDefault="001A58B3" w:rsidP="00A10EDA">
      <w:pPr>
        <w:rPr>
          <w:rFonts w:eastAsia="Palatino Linotype" w:cs="Palatino Linotype"/>
        </w:rPr>
      </w:pPr>
    </w:p>
    <w:p w14:paraId="7552AA79" w14:textId="5C52E4A4" w:rsidR="001A58B3" w:rsidRPr="00A10EDA" w:rsidRDefault="001A58B3" w:rsidP="00A10EDA">
      <w:pPr>
        <w:rPr>
          <w:rFonts w:eastAsia="Palatino Linotype" w:cs="Palatino Linotype"/>
        </w:rPr>
      </w:pPr>
      <w:r w:rsidRPr="00A10EDA">
        <w:rPr>
          <w:rFonts w:eastAsia="Palatino Linotype" w:cs="Palatino Linotype"/>
        </w:rPr>
        <w:lastRenderedPageBreak/>
        <w:t xml:space="preserve">Esto es, que los Sujetos Obligados </w:t>
      </w:r>
      <w:r w:rsidR="00FA5957" w:rsidRPr="00A10EDA">
        <w:rPr>
          <w:rFonts w:eastAsia="Palatino Linotype" w:cs="Palatino Linotype"/>
        </w:rPr>
        <w:t>deben</w:t>
      </w:r>
      <w:r w:rsidRPr="00A10EDA">
        <w:rPr>
          <w:rFonts w:eastAsia="Palatino Linotype" w:cs="Palatino Linotype"/>
        </w:rPr>
        <w:t xml:space="preserve"> atender las solicitudes de acceso a la información pública que se les </w:t>
      </w:r>
      <w:r w:rsidR="00FA5957" w:rsidRPr="00A10EDA">
        <w:rPr>
          <w:rFonts w:eastAsia="Palatino Linotype" w:cs="Palatino Linotype"/>
        </w:rPr>
        <w:t>sean realizadas,</w:t>
      </w:r>
      <w:r w:rsidRPr="00A10EDA">
        <w:rPr>
          <w:rFonts w:eastAsia="Palatino Linotype" w:cs="Palatino Linotype"/>
        </w:rPr>
        <w:t xml:space="preserve"> y proporcionar la información pública que obre en su poder</w:t>
      </w:r>
      <w:r w:rsidR="00FA5957" w:rsidRPr="00A10EDA">
        <w:rPr>
          <w:rFonts w:eastAsia="Palatino Linotype" w:cs="Palatino Linotype"/>
        </w:rPr>
        <w:t>,</w:t>
      </w:r>
      <w:r w:rsidRPr="00A10EDA">
        <w:rPr>
          <w:rFonts w:eastAsia="Palatino Linotype" w:cs="Palatino Linotype"/>
        </w:rPr>
        <w:t xml:space="preserve"> conforme </w:t>
      </w:r>
      <w:r w:rsidR="00FA5957" w:rsidRPr="00A10EDA">
        <w:rPr>
          <w:rFonts w:eastAsia="Palatino Linotype" w:cs="Palatino Linotype"/>
        </w:rPr>
        <w:t>a</w:t>
      </w:r>
      <w:r w:rsidRPr="00A10EDA">
        <w:rPr>
          <w:rFonts w:eastAsia="Palatino Linotype" w:cs="Palatino Linotype"/>
        </w:rPr>
        <w:t xml:space="preserve">l estado </w:t>
      </w:r>
      <w:r w:rsidR="00FA5957" w:rsidRPr="00A10EDA">
        <w:rPr>
          <w:rFonts w:eastAsia="Palatino Linotype" w:cs="Palatino Linotype"/>
        </w:rPr>
        <w:t xml:space="preserve">en </w:t>
      </w:r>
      <w:r w:rsidRPr="00A10EDA">
        <w:rPr>
          <w:rFonts w:eastAsia="Palatino Linotype" w:cs="Palatino Linotype"/>
        </w:rPr>
        <w:t>que se encuentr</w:t>
      </w:r>
      <w:r w:rsidR="00FA5957" w:rsidRPr="00A10EDA">
        <w:rPr>
          <w:rFonts w:eastAsia="Palatino Linotype" w:cs="Palatino Linotype"/>
        </w:rPr>
        <w:t>e, sin que sea necesario</w:t>
      </w:r>
      <w:r w:rsidRPr="00A10EDA">
        <w:rPr>
          <w:rFonts w:eastAsia="Palatino Linotype" w:cs="Palatino Linotype"/>
        </w:rPr>
        <w:t xml:space="preserve"> </w:t>
      </w:r>
      <w:r w:rsidR="00FA5957" w:rsidRPr="00A10EDA">
        <w:rPr>
          <w:rFonts w:eastAsia="Palatino Linotype" w:cs="Palatino Linotype"/>
        </w:rPr>
        <w:t>procesar</w:t>
      </w:r>
      <w:r w:rsidRPr="00A10EDA">
        <w:rPr>
          <w:rFonts w:eastAsia="Palatino Linotype" w:cs="Palatino Linotype"/>
        </w:rPr>
        <w:t xml:space="preserve"> la misma, ni presentarla conforme al interés del solicitante; </w:t>
      </w:r>
      <w:r w:rsidR="00FA5957" w:rsidRPr="00A10EDA">
        <w:rPr>
          <w:rFonts w:eastAsia="Palatino Linotype" w:cs="Palatino Linotype"/>
        </w:rPr>
        <w:t>tal y como</w:t>
      </w:r>
      <w:r w:rsidRPr="00A10EDA">
        <w:rPr>
          <w:rFonts w:eastAsia="Palatino Linotype" w:cs="Palatino Linotype"/>
        </w:rPr>
        <w:t xml:space="preserve"> lo establece el artículo 12 de la Ley de Transparencia y Acceso a la Información Pública del Estado de México y Municipios</w:t>
      </w:r>
      <w:r w:rsidR="00970EB3" w:rsidRPr="00A10EDA">
        <w:rPr>
          <w:rFonts w:eastAsia="Palatino Linotype" w:cs="Palatino Linotype"/>
        </w:rPr>
        <w:t>.</w:t>
      </w:r>
    </w:p>
    <w:p w14:paraId="73245195" w14:textId="77777777" w:rsidR="00970EB3" w:rsidRPr="00A10EDA" w:rsidRDefault="00970EB3" w:rsidP="00A10EDA">
      <w:pPr>
        <w:rPr>
          <w:rFonts w:eastAsia="Palatino Linotype" w:cs="Palatino Linotype"/>
        </w:rPr>
      </w:pPr>
    </w:p>
    <w:p w14:paraId="7F62D4DF" w14:textId="775730E1" w:rsidR="001A58B3" w:rsidRPr="00A10EDA" w:rsidRDefault="001A58B3" w:rsidP="00A10EDA">
      <w:pPr>
        <w:rPr>
          <w:rFonts w:eastAsia="Palatino Linotype" w:cs="Palatino Linotype"/>
        </w:rPr>
      </w:pPr>
      <w:r w:rsidRPr="00A10EDA">
        <w:rPr>
          <w:rFonts w:eastAsia="Palatino Linotype" w:cs="Palatino Linotype"/>
        </w:rPr>
        <w:t>Es decir, que todo sujeto obligado que genere, recopile, administre, procese, archive, posea o conserven, son responsables de la misma</w:t>
      </w:r>
      <w:r w:rsidR="00970EB3" w:rsidRPr="00A10EDA">
        <w:rPr>
          <w:rFonts w:eastAsia="Palatino Linotype" w:cs="Palatino Linotype"/>
        </w:rPr>
        <w:t>,</w:t>
      </w:r>
      <w:r w:rsidRPr="00A10ED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10EDA">
        <w:rPr>
          <w:rFonts w:eastAsia="Palatino Linotype" w:cs="Palatino Linotype"/>
        </w:rPr>
        <w:t>o</w:t>
      </w:r>
      <w:r w:rsidRPr="00A10ED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10EDA" w:rsidRDefault="001A58B3" w:rsidP="00A10EDA">
      <w:pPr>
        <w:rPr>
          <w:rFonts w:eastAsia="Palatino Linotype" w:cs="Palatino Linotype"/>
        </w:rPr>
      </w:pPr>
    </w:p>
    <w:p w14:paraId="04E42DFE" w14:textId="573F1198" w:rsidR="001A58B3" w:rsidRPr="00A10EDA" w:rsidRDefault="001A58B3" w:rsidP="00A10EDA">
      <w:pPr>
        <w:rPr>
          <w:rFonts w:eastAsia="Palatino Linotype" w:cs="Palatino Linotype"/>
        </w:rPr>
      </w:pPr>
      <w:r w:rsidRPr="00A10EDA">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10EDA">
        <w:rPr>
          <w:rFonts w:eastAsia="Palatino Linotype" w:cs="Palatino Linotype"/>
        </w:rPr>
        <w:t>, s</w:t>
      </w:r>
      <w:r w:rsidRPr="00A10EDA">
        <w:rPr>
          <w:rFonts w:eastAsia="Palatino Linotype" w:cs="Palatino Linotype"/>
        </w:rPr>
        <w:t xml:space="preserve">iempre y cuando no se trate de información reservada o </w:t>
      </w:r>
      <w:r w:rsidR="00331F35" w:rsidRPr="00A10EDA">
        <w:rPr>
          <w:rFonts w:eastAsia="Palatino Linotype" w:cs="Palatino Linotype"/>
        </w:rPr>
        <w:t>confidencial.</w:t>
      </w:r>
    </w:p>
    <w:p w14:paraId="40C5219F" w14:textId="77777777" w:rsidR="001A58B3" w:rsidRPr="00A10EDA" w:rsidRDefault="001A58B3" w:rsidP="00A10EDA">
      <w:pPr>
        <w:rPr>
          <w:rFonts w:eastAsia="Palatino Linotype" w:cs="Palatino Linotype"/>
        </w:rPr>
      </w:pPr>
    </w:p>
    <w:p w14:paraId="2E629608" w14:textId="01727E15" w:rsidR="00C049E2" w:rsidRPr="00A10EDA" w:rsidRDefault="006067C7" w:rsidP="00A10EDA">
      <w:pPr>
        <w:rPr>
          <w:rFonts w:eastAsia="Palatino Linotype"/>
        </w:rPr>
      </w:pPr>
      <w:bookmarkStart w:id="27" w:name="_heading=h.2s8eyo1" w:colFirst="0" w:colLast="0"/>
      <w:bookmarkEnd w:id="27"/>
      <w:r w:rsidRPr="00A10EDA">
        <w:rPr>
          <w:rFonts w:eastAsia="Palatino Linotype"/>
        </w:rPr>
        <w:t>Con base en lo anterior</w:t>
      </w:r>
      <w:r w:rsidR="00B22A80" w:rsidRPr="00A10EDA">
        <w:rPr>
          <w:rFonts w:eastAsia="Palatino Linotype"/>
        </w:rPr>
        <w:t>, se considera que</w:t>
      </w:r>
      <w:r w:rsidR="00C049E2" w:rsidRPr="00A10EDA">
        <w:rPr>
          <w:rFonts w:eastAsia="Palatino Linotype"/>
        </w:rPr>
        <w:t xml:space="preserve"> </w:t>
      </w:r>
      <w:r w:rsidR="00B22A80" w:rsidRPr="00A10EDA">
        <w:rPr>
          <w:rFonts w:eastAsia="Palatino Linotype"/>
          <w:b/>
          <w:bCs/>
        </w:rPr>
        <w:t>EL</w:t>
      </w:r>
      <w:r w:rsidR="00C049E2" w:rsidRPr="00A10EDA">
        <w:rPr>
          <w:rFonts w:eastAsia="Palatino Linotype"/>
        </w:rPr>
        <w:t xml:space="preserve"> </w:t>
      </w:r>
      <w:r w:rsidR="00C049E2" w:rsidRPr="00A10EDA">
        <w:rPr>
          <w:rFonts w:eastAsia="Palatino Linotype"/>
          <w:b/>
        </w:rPr>
        <w:t>SUJETO OBLIGADO</w:t>
      </w:r>
      <w:r w:rsidR="00C049E2" w:rsidRPr="00A10EDA">
        <w:rPr>
          <w:rFonts w:eastAsia="Palatino Linotype"/>
        </w:rPr>
        <w:t xml:space="preserve"> </w:t>
      </w:r>
      <w:r w:rsidR="00B22A80" w:rsidRPr="00A10EDA">
        <w:rPr>
          <w:rFonts w:eastAsia="Palatino Linotype"/>
        </w:rPr>
        <w:t xml:space="preserve">se </w:t>
      </w:r>
      <w:r w:rsidR="00717E59" w:rsidRPr="00A10EDA">
        <w:rPr>
          <w:rFonts w:eastAsia="Palatino Linotype"/>
        </w:rPr>
        <w:t>encontraba</w:t>
      </w:r>
      <w:r w:rsidR="00B22A80" w:rsidRPr="00A10EDA">
        <w:rPr>
          <w:rFonts w:eastAsia="Palatino Linotype"/>
        </w:rPr>
        <w:t xml:space="preserve"> compelido a</w:t>
      </w:r>
      <w:r w:rsidR="00C049E2" w:rsidRPr="00A10EDA">
        <w:rPr>
          <w:rFonts w:eastAsia="Palatino Linotype"/>
        </w:rPr>
        <w:t xml:space="preserve"> atender la solicitud de acceso a la información </w:t>
      </w:r>
      <w:r w:rsidR="00B22A80" w:rsidRPr="00A10EDA">
        <w:rPr>
          <w:rFonts w:eastAsia="Palatino Linotype"/>
        </w:rPr>
        <w:t xml:space="preserve">realizada por </w:t>
      </w:r>
      <w:r w:rsidR="00B22A80" w:rsidRPr="00A10EDA">
        <w:rPr>
          <w:rFonts w:eastAsia="Palatino Linotype"/>
          <w:b/>
          <w:bCs/>
        </w:rPr>
        <w:t>LA PARTE RECURRENTE</w:t>
      </w:r>
      <w:r w:rsidR="00331F35" w:rsidRPr="00A10EDA">
        <w:rPr>
          <w:rFonts w:eastAsia="Palatino Linotype"/>
        </w:rPr>
        <w:t>.</w:t>
      </w:r>
    </w:p>
    <w:p w14:paraId="1611F147" w14:textId="77777777" w:rsidR="00BD5A7C" w:rsidRPr="00A10EDA" w:rsidRDefault="00BD5A7C" w:rsidP="00A10EDA">
      <w:pPr>
        <w:rPr>
          <w:rFonts w:eastAsia="Palatino Linotype"/>
        </w:rPr>
      </w:pPr>
    </w:p>
    <w:p w14:paraId="51A0E8B4" w14:textId="676DCA47" w:rsidR="00664420" w:rsidRPr="00A10EDA" w:rsidRDefault="00C71CEF" w:rsidP="00A10EDA">
      <w:pPr>
        <w:pStyle w:val="Ttulo3"/>
        <w:rPr>
          <w:rFonts w:eastAsia="Calibri"/>
          <w:lang w:eastAsia="es-ES_tradnl"/>
        </w:rPr>
      </w:pPr>
      <w:bookmarkStart w:id="28" w:name="_Toc184815099"/>
      <w:r w:rsidRPr="00A10EDA">
        <w:rPr>
          <w:rFonts w:eastAsia="Calibri"/>
          <w:lang w:eastAsia="es-ES_tradnl"/>
        </w:rPr>
        <w:lastRenderedPageBreak/>
        <w:t>b)</w:t>
      </w:r>
      <w:r w:rsidR="00A53315" w:rsidRPr="00A10EDA">
        <w:rPr>
          <w:rFonts w:eastAsia="Calibri"/>
          <w:lang w:eastAsia="es-ES_tradnl"/>
        </w:rPr>
        <w:t xml:space="preserve"> </w:t>
      </w:r>
      <w:r w:rsidR="00A21A20" w:rsidRPr="00A10EDA">
        <w:rPr>
          <w:rFonts w:eastAsia="Calibri"/>
          <w:lang w:eastAsia="es-ES_tradnl"/>
        </w:rPr>
        <w:t>Controversia a resolver</w:t>
      </w:r>
      <w:bookmarkEnd w:id="28"/>
    </w:p>
    <w:p w14:paraId="5DAE2A65" w14:textId="4E2C51DA" w:rsidR="00664420" w:rsidRPr="00A10EDA" w:rsidRDefault="00664420" w:rsidP="00A10EDA">
      <w:pPr>
        <w:rPr>
          <w:rFonts w:eastAsia="Calibri"/>
          <w:lang w:eastAsia="es-ES_tradnl"/>
        </w:rPr>
      </w:pPr>
      <w:r w:rsidRPr="00A10ED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10EDA">
        <w:rPr>
          <w:rFonts w:eastAsia="Calibri"/>
          <w:b/>
          <w:bCs/>
          <w:lang w:eastAsia="es-ES_tradnl"/>
        </w:rPr>
        <w:t>LA PARTE RECURRENTE</w:t>
      </w:r>
      <w:r w:rsidRPr="00A10EDA">
        <w:rPr>
          <w:rFonts w:eastAsia="Calibri"/>
          <w:lang w:eastAsia="es-ES_tradnl"/>
        </w:rPr>
        <w:t xml:space="preserve"> solicitó </w:t>
      </w:r>
      <w:r w:rsidR="00521372" w:rsidRPr="00A10EDA">
        <w:rPr>
          <w:rFonts w:eastAsia="Calibri"/>
          <w:lang w:eastAsia="es-ES_tradnl"/>
        </w:rPr>
        <w:t>del Servidor Público Precisado en la solicitud de información lo siguiente</w:t>
      </w:r>
      <w:r w:rsidRPr="00A10EDA">
        <w:rPr>
          <w:rFonts w:eastAsia="Calibri"/>
          <w:lang w:eastAsia="es-ES_tradnl"/>
        </w:rPr>
        <w:t>:</w:t>
      </w:r>
    </w:p>
    <w:p w14:paraId="7D9D559B" w14:textId="77777777" w:rsidR="00664420" w:rsidRPr="00A10EDA" w:rsidRDefault="00664420" w:rsidP="00A10EDA">
      <w:pPr>
        <w:tabs>
          <w:tab w:val="left" w:pos="4962"/>
        </w:tabs>
        <w:contextualSpacing/>
        <w:rPr>
          <w:rFonts w:eastAsia="Calibri" w:cs="Tahoma"/>
          <w:iCs/>
          <w:szCs w:val="22"/>
          <w:lang w:eastAsia="es-ES_tradnl"/>
        </w:rPr>
      </w:pPr>
    </w:p>
    <w:p w14:paraId="2F0D09AE" w14:textId="26905566" w:rsidR="0022586F" w:rsidRPr="00A10EDA" w:rsidRDefault="00521372" w:rsidP="00A10EDA">
      <w:pPr>
        <w:tabs>
          <w:tab w:val="left" w:pos="4962"/>
        </w:tabs>
        <w:spacing w:after="240"/>
        <w:ind w:left="851" w:right="822"/>
        <w:contextualSpacing/>
        <w:rPr>
          <w:rFonts w:eastAsia="Calibri" w:cs="Tahoma"/>
          <w:iCs/>
          <w:szCs w:val="22"/>
          <w:lang w:eastAsia="es-ES_tradnl"/>
        </w:rPr>
      </w:pPr>
      <w:r w:rsidRPr="00A10EDA">
        <w:rPr>
          <w:rFonts w:eastAsia="Calibri" w:cs="Tahoma"/>
          <w:iCs/>
          <w:szCs w:val="22"/>
          <w:lang w:eastAsia="es-ES_tradnl"/>
        </w:rPr>
        <w:t>1.- Recibo de nómina timbrado correspondiente a la primera quincena de octubre de 2024</w:t>
      </w:r>
      <w:r w:rsidR="0022586F" w:rsidRPr="00A10EDA">
        <w:rPr>
          <w:rFonts w:eastAsia="Calibri" w:cs="Tahoma"/>
          <w:iCs/>
          <w:szCs w:val="22"/>
          <w:lang w:eastAsia="es-ES_tradnl"/>
        </w:rPr>
        <w:t>.</w:t>
      </w:r>
    </w:p>
    <w:p w14:paraId="0A29047F" w14:textId="31DF14C5" w:rsidR="00521372" w:rsidRPr="00A10EDA" w:rsidRDefault="00521372" w:rsidP="00A10EDA">
      <w:pPr>
        <w:tabs>
          <w:tab w:val="left" w:pos="4962"/>
        </w:tabs>
        <w:spacing w:after="240"/>
        <w:ind w:left="851" w:right="822"/>
        <w:contextualSpacing/>
        <w:rPr>
          <w:rFonts w:eastAsia="Calibri" w:cs="Tahoma"/>
          <w:iCs/>
          <w:szCs w:val="22"/>
          <w:lang w:eastAsia="es-ES_tradnl"/>
        </w:rPr>
      </w:pPr>
      <w:r w:rsidRPr="00A10EDA">
        <w:rPr>
          <w:rFonts w:eastAsia="Calibri" w:cs="Tahoma"/>
          <w:iCs/>
          <w:szCs w:val="22"/>
          <w:lang w:eastAsia="es-ES_tradnl"/>
        </w:rPr>
        <w:t>2.- Todos los recibos de nómina timbrados por los cuales se le haya pagado su aguinaldo y prima vacacional correspondientes al ejercicio 2023.</w:t>
      </w:r>
    </w:p>
    <w:p w14:paraId="7363B2BE" w14:textId="77777777" w:rsidR="00521372" w:rsidRPr="00A10EDA" w:rsidRDefault="00521372" w:rsidP="00A10EDA">
      <w:pPr>
        <w:tabs>
          <w:tab w:val="left" w:pos="4962"/>
        </w:tabs>
        <w:spacing w:after="240"/>
        <w:ind w:left="851" w:right="822"/>
        <w:contextualSpacing/>
        <w:rPr>
          <w:rFonts w:eastAsia="Calibri" w:cs="Tahoma"/>
          <w:iCs/>
          <w:szCs w:val="22"/>
          <w:lang w:eastAsia="es-ES_tradnl"/>
        </w:rPr>
      </w:pPr>
    </w:p>
    <w:p w14:paraId="1DC2C4CB" w14:textId="711B0AC0" w:rsidR="00EE08A3" w:rsidRPr="00A10EDA" w:rsidRDefault="00EE08A3" w:rsidP="00A10EDA">
      <w:pPr>
        <w:tabs>
          <w:tab w:val="left" w:pos="4962"/>
        </w:tabs>
        <w:contextualSpacing/>
        <w:rPr>
          <w:rFonts w:eastAsiaTheme="minorHAnsi" w:cs="Tahoma"/>
          <w:bCs/>
          <w:iCs/>
          <w:szCs w:val="22"/>
          <w:lang w:eastAsia="en-US"/>
        </w:rPr>
      </w:pPr>
      <w:r w:rsidRPr="00A10EDA">
        <w:rPr>
          <w:rFonts w:eastAsiaTheme="minorHAnsi" w:cs="Tahoma"/>
          <w:bCs/>
          <w:iCs/>
          <w:szCs w:val="22"/>
          <w:lang w:eastAsia="en-US"/>
        </w:rPr>
        <w:t xml:space="preserve">En respuesta, </w:t>
      </w:r>
      <w:r w:rsidRPr="00A10EDA">
        <w:rPr>
          <w:rFonts w:eastAsiaTheme="minorHAnsi" w:cs="Tahoma"/>
          <w:b/>
          <w:iCs/>
          <w:szCs w:val="22"/>
          <w:lang w:eastAsia="en-US"/>
        </w:rPr>
        <w:t>EL SUJETO OBLIGADO</w:t>
      </w:r>
      <w:r w:rsidR="0022586F" w:rsidRPr="00A10EDA">
        <w:rPr>
          <w:rFonts w:eastAsiaTheme="minorHAnsi" w:cs="Tahoma"/>
          <w:bCs/>
          <w:iCs/>
          <w:szCs w:val="22"/>
          <w:lang w:eastAsia="en-US"/>
        </w:rPr>
        <w:t xml:space="preserve"> por conducto de</w:t>
      </w:r>
      <w:r w:rsidR="00521372" w:rsidRPr="00A10EDA">
        <w:rPr>
          <w:rFonts w:eastAsiaTheme="minorHAnsi" w:cs="Tahoma"/>
          <w:bCs/>
          <w:iCs/>
          <w:szCs w:val="22"/>
          <w:lang w:eastAsia="en-US"/>
        </w:rPr>
        <w:t xml:space="preserve"> </w:t>
      </w:r>
      <w:r w:rsidR="0022586F" w:rsidRPr="00A10EDA">
        <w:rPr>
          <w:rFonts w:eastAsiaTheme="minorHAnsi" w:cs="Tahoma"/>
          <w:bCs/>
          <w:iCs/>
          <w:szCs w:val="22"/>
          <w:lang w:eastAsia="en-US"/>
        </w:rPr>
        <w:t>l</w:t>
      </w:r>
      <w:r w:rsidR="00521372" w:rsidRPr="00A10EDA">
        <w:rPr>
          <w:rFonts w:eastAsiaTheme="minorHAnsi" w:cs="Tahoma"/>
          <w:bCs/>
          <w:iCs/>
          <w:szCs w:val="22"/>
          <w:lang w:eastAsia="en-US"/>
        </w:rPr>
        <w:t>a</w:t>
      </w:r>
      <w:r w:rsidR="0022586F" w:rsidRPr="00A10EDA">
        <w:rPr>
          <w:rFonts w:eastAsiaTheme="minorHAnsi" w:cs="Tahoma"/>
          <w:bCs/>
          <w:iCs/>
          <w:szCs w:val="22"/>
          <w:lang w:eastAsia="en-US"/>
        </w:rPr>
        <w:t xml:space="preserve"> </w:t>
      </w:r>
      <w:r w:rsidR="00521372" w:rsidRPr="00A10EDA">
        <w:rPr>
          <w:rFonts w:eastAsiaTheme="minorHAnsi" w:cs="Tahoma"/>
          <w:bCs/>
          <w:iCs/>
          <w:szCs w:val="22"/>
          <w:lang w:eastAsia="en-US"/>
        </w:rPr>
        <w:t>Tesorera Municipal</w:t>
      </w:r>
      <w:r w:rsidR="0022586F" w:rsidRPr="00A10EDA">
        <w:rPr>
          <w:rFonts w:eastAsiaTheme="minorHAnsi" w:cs="Tahoma"/>
          <w:bCs/>
          <w:iCs/>
          <w:szCs w:val="22"/>
          <w:lang w:eastAsia="en-US"/>
        </w:rPr>
        <w:t xml:space="preserve"> propone el cambio de modalidad para la entrega de información a consulta directa</w:t>
      </w:r>
      <w:r w:rsidR="00234E60" w:rsidRPr="00A10EDA">
        <w:rPr>
          <w:rFonts w:eastAsiaTheme="minorHAnsi" w:cs="Tahoma"/>
          <w:bCs/>
          <w:iCs/>
          <w:szCs w:val="22"/>
          <w:lang w:eastAsia="en-US"/>
        </w:rPr>
        <w:t>,</w:t>
      </w:r>
      <w:r w:rsidR="006907D4" w:rsidRPr="00A10EDA">
        <w:rPr>
          <w:rFonts w:eastAsiaTheme="minorHAnsi" w:cs="Tahoma"/>
          <w:bCs/>
          <w:iCs/>
          <w:szCs w:val="22"/>
          <w:lang w:eastAsia="en-US"/>
        </w:rPr>
        <w:t xml:space="preserve"> en razón </w:t>
      </w:r>
      <w:r w:rsidR="00521372" w:rsidRPr="00A10EDA">
        <w:rPr>
          <w:rFonts w:eastAsiaTheme="minorHAnsi" w:cs="Tahoma"/>
          <w:bCs/>
          <w:iCs/>
          <w:szCs w:val="22"/>
          <w:lang w:eastAsia="en-US"/>
        </w:rPr>
        <w:t>apoyada en la que la información peticionada sobrepasa las capacidades</w:t>
      </w:r>
      <w:r w:rsidR="008B21A8" w:rsidRPr="00A10EDA">
        <w:rPr>
          <w:rFonts w:eastAsiaTheme="minorHAnsi" w:cs="Tahoma"/>
          <w:bCs/>
          <w:iCs/>
          <w:szCs w:val="22"/>
          <w:lang w:eastAsia="en-US"/>
        </w:rPr>
        <w:t xml:space="preserve"> humanas</w:t>
      </w:r>
      <w:r w:rsidR="00521372" w:rsidRPr="00A10EDA">
        <w:rPr>
          <w:rFonts w:eastAsiaTheme="minorHAnsi" w:cs="Tahoma"/>
          <w:bCs/>
          <w:iCs/>
          <w:szCs w:val="22"/>
          <w:lang w:eastAsia="en-US"/>
        </w:rPr>
        <w:t xml:space="preserve"> y administrativas de la unidad.</w:t>
      </w:r>
    </w:p>
    <w:p w14:paraId="4BEBD880" w14:textId="77777777" w:rsidR="00664420" w:rsidRPr="00A10EDA" w:rsidRDefault="00664420" w:rsidP="00A10EDA">
      <w:pPr>
        <w:tabs>
          <w:tab w:val="left" w:pos="4962"/>
        </w:tabs>
        <w:contextualSpacing/>
        <w:rPr>
          <w:rFonts w:eastAsiaTheme="minorHAnsi" w:cs="Tahoma"/>
          <w:bCs/>
          <w:iCs/>
          <w:szCs w:val="22"/>
          <w:lang w:eastAsia="en-US"/>
        </w:rPr>
      </w:pPr>
    </w:p>
    <w:p w14:paraId="482B8FC9" w14:textId="03569BCA" w:rsidR="00EE08A3" w:rsidRPr="00A10EDA" w:rsidRDefault="00EE08A3" w:rsidP="00A10EDA">
      <w:pPr>
        <w:tabs>
          <w:tab w:val="left" w:pos="4962"/>
        </w:tabs>
        <w:contextualSpacing/>
        <w:rPr>
          <w:rFonts w:eastAsiaTheme="minorHAnsi" w:cs="Tahoma"/>
          <w:bCs/>
          <w:iCs/>
          <w:szCs w:val="22"/>
          <w:lang w:eastAsia="en-US"/>
        </w:rPr>
      </w:pPr>
      <w:r w:rsidRPr="00A10EDA">
        <w:rPr>
          <w:rFonts w:eastAsiaTheme="minorHAnsi" w:cs="Tahoma"/>
          <w:bCs/>
          <w:iCs/>
          <w:szCs w:val="22"/>
          <w:lang w:eastAsia="en-US"/>
        </w:rPr>
        <w:t xml:space="preserve">Ahora bien, en la interposición del presente recurso </w:t>
      </w:r>
      <w:r w:rsidRPr="00A10EDA">
        <w:rPr>
          <w:rFonts w:eastAsiaTheme="minorHAnsi" w:cs="Tahoma"/>
          <w:b/>
          <w:iCs/>
          <w:szCs w:val="22"/>
          <w:lang w:eastAsia="en-US"/>
        </w:rPr>
        <w:t>LA PARTE RECURRENTE</w:t>
      </w:r>
      <w:r w:rsidRPr="00A10EDA">
        <w:rPr>
          <w:rFonts w:eastAsiaTheme="minorHAnsi" w:cs="Tahoma"/>
          <w:bCs/>
          <w:iCs/>
          <w:szCs w:val="22"/>
          <w:lang w:eastAsia="en-US"/>
        </w:rPr>
        <w:t xml:space="preserve"> se inconformó </w:t>
      </w:r>
      <w:r w:rsidR="00E47DD2" w:rsidRPr="00A10EDA">
        <w:rPr>
          <w:rFonts w:eastAsiaTheme="minorHAnsi" w:cs="Tahoma"/>
          <w:bCs/>
          <w:iCs/>
          <w:szCs w:val="22"/>
          <w:lang w:eastAsia="en-US"/>
        </w:rPr>
        <w:t xml:space="preserve">del cambio de modalidad referido, por </w:t>
      </w:r>
      <w:r w:rsidR="006359C2" w:rsidRPr="00A10EDA">
        <w:rPr>
          <w:rFonts w:eastAsiaTheme="minorHAnsi" w:cs="Tahoma"/>
          <w:bCs/>
          <w:iCs/>
          <w:szCs w:val="22"/>
          <w:lang w:eastAsia="en-US"/>
        </w:rPr>
        <w:t>ende,</w:t>
      </w:r>
      <w:r w:rsidR="00E47DD2" w:rsidRPr="00A10EDA">
        <w:rPr>
          <w:rFonts w:eastAsiaTheme="minorHAnsi" w:cs="Tahoma"/>
          <w:bCs/>
          <w:iCs/>
          <w:szCs w:val="22"/>
          <w:lang w:eastAsia="en-US"/>
        </w:rPr>
        <w:t xml:space="preserve"> resulta conveniente determinar</w:t>
      </w:r>
      <w:r w:rsidRPr="00A10EDA">
        <w:rPr>
          <w:rFonts w:eastAsiaTheme="minorHAnsi" w:cs="Tahoma"/>
          <w:bCs/>
          <w:iCs/>
          <w:szCs w:val="22"/>
          <w:lang w:eastAsia="en-US"/>
        </w:rPr>
        <w:t xml:space="preserve"> si se satisfizo el derecho de acceso a la información de </w:t>
      </w:r>
      <w:r w:rsidR="00E47DD2" w:rsidRPr="00A10EDA">
        <w:rPr>
          <w:rFonts w:eastAsiaTheme="minorHAnsi" w:cs="Tahoma"/>
          <w:b/>
          <w:bCs/>
          <w:iCs/>
          <w:szCs w:val="22"/>
          <w:lang w:eastAsia="en-US"/>
        </w:rPr>
        <w:t xml:space="preserve">LA PARTE RECURRENTE </w:t>
      </w:r>
      <w:r w:rsidR="00E47DD2" w:rsidRPr="00A10EDA">
        <w:rPr>
          <w:rFonts w:eastAsiaTheme="minorHAnsi" w:cs="Tahoma"/>
          <w:bCs/>
          <w:iCs/>
          <w:szCs w:val="22"/>
          <w:lang w:eastAsia="en-US"/>
        </w:rPr>
        <w:t>y si resulta viable la entrega de información a través de consulta directa.</w:t>
      </w:r>
    </w:p>
    <w:p w14:paraId="458B6513" w14:textId="77777777" w:rsidR="00936E35" w:rsidRPr="00A10EDA" w:rsidRDefault="00936E35" w:rsidP="00A10EDA">
      <w:pPr>
        <w:tabs>
          <w:tab w:val="left" w:pos="4962"/>
        </w:tabs>
        <w:contextualSpacing/>
        <w:rPr>
          <w:rFonts w:eastAsiaTheme="minorHAnsi" w:cs="Tahoma"/>
          <w:bCs/>
          <w:iCs/>
          <w:szCs w:val="22"/>
          <w:lang w:eastAsia="en-US"/>
        </w:rPr>
      </w:pPr>
    </w:p>
    <w:p w14:paraId="0FB15FD9" w14:textId="2EA05896" w:rsidR="00936E35" w:rsidRPr="00A10EDA" w:rsidRDefault="006907D4" w:rsidP="00A10EDA">
      <w:pPr>
        <w:tabs>
          <w:tab w:val="left" w:pos="4962"/>
        </w:tabs>
        <w:contextualSpacing/>
        <w:rPr>
          <w:rFonts w:eastAsiaTheme="minorHAnsi" w:cs="Tahoma"/>
          <w:bCs/>
          <w:iCs/>
          <w:szCs w:val="22"/>
          <w:lang w:eastAsia="en-US"/>
        </w:rPr>
      </w:pPr>
      <w:r w:rsidRPr="00A10EDA">
        <w:rPr>
          <w:rFonts w:eastAsiaTheme="minorHAnsi" w:cs="Tahoma"/>
          <w:bCs/>
          <w:iCs/>
          <w:szCs w:val="22"/>
          <w:lang w:eastAsia="en-US"/>
        </w:rPr>
        <w:t xml:space="preserve">Siendo preciso </w:t>
      </w:r>
      <w:r w:rsidR="00936E35" w:rsidRPr="00A10EDA">
        <w:rPr>
          <w:rFonts w:eastAsiaTheme="minorHAnsi" w:cs="Tahoma"/>
          <w:bCs/>
          <w:iCs/>
          <w:szCs w:val="22"/>
          <w:lang w:eastAsia="en-US"/>
        </w:rPr>
        <w:t>señalar que</w:t>
      </w:r>
      <w:r w:rsidR="000857D6" w:rsidRPr="00A10EDA">
        <w:rPr>
          <w:rFonts w:eastAsiaTheme="minorHAnsi" w:cs="Tahoma"/>
          <w:bCs/>
          <w:iCs/>
          <w:szCs w:val="22"/>
          <w:lang w:eastAsia="en-US"/>
        </w:rPr>
        <w:t xml:space="preserve"> tanto</w:t>
      </w:r>
      <w:r w:rsidR="00936E35" w:rsidRPr="00A10EDA">
        <w:rPr>
          <w:rFonts w:eastAsiaTheme="minorHAnsi" w:cs="Tahoma"/>
          <w:bCs/>
          <w:iCs/>
          <w:szCs w:val="22"/>
          <w:lang w:eastAsia="en-US"/>
        </w:rPr>
        <w:t xml:space="preserve"> </w:t>
      </w:r>
      <w:r w:rsidR="00936E35" w:rsidRPr="00A10EDA">
        <w:rPr>
          <w:rFonts w:eastAsiaTheme="minorHAnsi" w:cs="Tahoma"/>
          <w:b/>
          <w:bCs/>
          <w:iCs/>
          <w:szCs w:val="22"/>
          <w:lang w:eastAsia="en-US"/>
        </w:rPr>
        <w:t xml:space="preserve">LA PARTE RECURRENTE, </w:t>
      </w:r>
      <w:r w:rsidR="00936E35" w:rsidRPr="00A10EDA">
        <w:rPr>
          <w:rFonts w:eastAsiaTheme="minorHAnsi" w:cs="Tahoma"/>
          <w:bCs/>
          <w:iCs/>
          <w:szCs w:val="22"/>
          <w:lang w:eastAsia="en-US"/>
        </w:rPr>
        <w:t xml:space="preserve">como </w:t>
      </w:r>
      <w:r w:rsidR="00936E35" w:rsidRPr="00A10EDA">
        <w:rPr>
          <w:rFonts w:eastAsiaTheme="minorHAnsi" w:cs="Tahoma"/>
          <w:b/>
          <w:bCs/>
          <w:iCs/>
          <w:szCs w:val="22"/>
          <w:lang w:eastAsia="en-US"/>
        </w:rPr>
        <w:t xml:space="preserve">EL SUJETO OBLIGADO </w:t>
      </w:r>
      <w:r w:rsidR="00936E35" w:rsidRPr="00A10EDA">
        <w:rPr>
          <w:rFonts w:eastAsiaTheme="minorHAnsi" w:cs="Tahoma"/>
          <w:bCs/>
          <w:iCs/>
          <w:szCs w:val="22"/>
          <w:lang w:eastAsia="en-US"/>
        </w:rPr>
        <w:t>fueron omisos en presentar manifestaciones en la etapa procesal respectiva.</w:t>
      </w:r>
    </w:p>
    <w:p w14:paraId="7C54F23D" w14:textId="77777777" w:rsidR="00EE08A3" w:rsidRPr="00A10EDA" w:rsidRDefault="00EE08A3" w:rsidP="00A10EDA">
      <w:pPr>
        <w:tabs>
          <w:tab w:val="left" w:pos="4962"/>
        </w:tabs>
        <w:contextualSpacing/>
        <w:rPr>
          <w:rFonts w:eastAsiaTheme="minorHAnsi" w:cs="Tahoma"/>
          <w:bCs/>
          <w:iCs/>
          <w:szCs w:val="22"/>
          <w:lang w:eastAsia="en-US"/>
        </w:rPr>
      </w:pPr>
    </w:p>
    <w:p w14:paraId="3AE282CB" w14:textId="1249D3F5" w:rsidR="00831F51" w:rsidRPr="00A10EDA" w:rsidRDefault="00A21A20" w:rsidP="00A10EDA">
      <w:pPr>
        <w:pStyle w:val="Ttulo3"/>
      </w:pPr>
      <w:bookmarkStart w:id="29" w:name="_Toc184815100"/>
      <w:r w:rsidRPr="00A10EDA">
        <w:lastRenderedPageBreak/>
        <w:t>c)</w:t>
      </w:r>
      <w:r w:rsidR="00664420" w:rsidRPr="00A10EDA">
        <w:t xml:space="preserve"> </w:t>
      </w:r>
      <w:r w:rsidRPr="00A10EDA">
        <w:t>Estudio de la controversia</w:t>
      </w:r>
      <w:bookmarkEnd w:id="29"/>
    </w:p>
    <w:p w14:paraId="6C57F177" w14:textId="485D2A31" w:rsidR="000857D6" w:rsidRPr="00A10EDA" w:rsidRDefault="00C322FE" w:rsidP="00A10EDA">
      <w:pPr>
        <w:pStyle w:val="Prrafodelista"/>
        <w:tabs>
          <w:tab w:val="left" w:pos="567"/>
        </w:tabs>
        <w:ind w:left="0"/>
        <w:rPr>
          <w:rFonts w:eastAsia="Calibri" w:cs="Arial"/>
          <w:szCs w:val="22"/>
        </w:rPr>
      </w:pPr>
      <w:r w:rsidRPr="00A10EDA">
        <w:rPr>
          <w:szCs w:val="22"/>
        </w:rPr>
        <w:t xml:space="preserve">Una vez acotado lo anterior, </w:t>
      </w:r>
      <w:r w:rsidR="006070F2" w:rsidRPr="00A10EDA">
        <w:rPr>
          <w:szCs w:val="22"/>
        </w:rPr>
        <w:t xml:space="preserve">este Órgano Garante estima conveniente </w:t>
      </w:r>
      <w:r w:rsidR="000857D6" w:rsidRPr="00A10EDA">
        <w:rPr>
          <w:szCs w:val="22"/>
        </w:rPr>
        <w:t xml:space="preserve">referir </w:t>
      </w:r>
      <w:r w:rsidR="000857D6" w:rsidRPr="00A10EDA">
        <w:rPr>
          <w:rFonts w:cs="Arial"/>
          <w:szCs w:val="22"/>
          <w:lang w:val="es-419"/>
        </w:rPr>
        <w:t>e</w:t>
      </w:r>
      <w:r w:rsidR="000857D6" w:rsidRPr="00A10EDA">
        <w:rPr>
          <w:rFonts w:cs="Arial"/>
          <w:szCs w:val="22"/>
        </w:rPr>
        <w:t xml:space="preserve">l artículo 127 de la </w:t>
      </w:r>
      <w:r w:rsidR="000857D6" w:rsidRPr="00A10EDA">
        <w:rPr>
          <w:rFonts w:cs="Arial"/>
          <w:b/>
          <w:szCs w:val="22"/>
        </w:rPr>
        <w:t>Constitución Política de los Estados Unidos Mexicanos</w:t>
      </w:r>
      <w:r w:rsidR="000857D6" w:rsidRPr="00A10EDA">
        <w:rPr>
          <w:rFonts w:cs="Arial"/>
          <w:szCs w:val="22"/>
        </w:rPr>
        <w:t xml:space="preserve"> que establece:</w:t>
      </w:r>
    </w:p>
    <w:p w14:paraId="04D750FA" w14:textId="77777777" w:rsidR="000857D6" w:rsidRPr="00A10EDA" w:rsidRDefault="000857D6" w:rsidP="00A10EDA">
      <w:pPr>
        <w:rPr>
          <w:szCs w:val="22"/>
        </w:rPr>
      </w:pPr>
    </w:p>
    <w:p w14:paraId="534A4C47" w14:textId="77777777" w:rsidR="000857D6" w:rsidRPr="00A10EDA" w:rsidRDefault="000857D6" w:rsidP="00A10EDA">
      <w:pPr>
        <w:pStyle w:val="Puesto"/>
      </w:pPr>
      <w:r w:rsidRPr="00A10EDA">
        <w:rPr>
          <w:b/>
        </w:rPr>
        <w:t>Artículo 127.</w:t>
      </w:r>
      <w:r w:rsidRPr="00A10EDA">
        <w:t xml:space="preserve"> Los servidores públicos de la Federación, de los Estados, del Distrito Federal </w:t>
      </w:r>
      <w:r w:rsidRPr="00A10EDA">
        <w:rPr>
          <w:b/>
        </w:rPr>
        <w:t>y de los Municipios</w:t>
      </w:r>
      <w:r w:rsidRPr="00A10EDA">
        <w:t>,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14:paraId="64DDB44E" w14:textId="77777777" w:rsidR="000857D6" w:rsidRPr="00A10EDA" w:rsidRDefault="000857D6" w:rsidP="00A10EDA">
      <w:pPr>
        <w:pStyle w:val="Puesto"/>
      </w:pPr>
      <w:r w:rsidRPr="00A10EDA">
        <w:t xml:space="preserve">Dicha remuneración será determinada anual y equitativamente </w:t>
      </w:r>
      <w:r w:rsidRPr="00A10EDA">
        <w:rPr>
          <w:b/>
          <w:u w:val="single"/>
        </w:rPr>
        <w:t>en los presupuestos de egresos</w:t>
      </w:r>
      <w:r w:rsidRPr="00A10EDA">
        <w:t xml:space="preserve"> correspondientes, bajo las siguientes bases:</w:t>
      </w:r>
    </w:p>
    <w:p w14:paraId="285AEFC0" w14:textId="77777777" w:rsidR="000857D6" w:rsidRPr="00A10EDA" w:rsidRDefault="000857D6" w:rsidP="00A10EDA">
      <w:pPr>
        <w:pStyle w:val="Puesto"/>
        <w:rPr>
          <w:b/>
        </w:rPr>
      </w:pPr>
      <w:r w:rsidRPr="00A10EDA">
        <w:rPr>
          <w:b/>
        </w:rPr>
        <w:t xml:space="preserve">I. </w:t>
      </w:r>
      <w:r w:rsidRPr="00A10EDA">
        <w:rPr>
          <w:b/>
        </w:rPr>
        <w:tab/>
        <w:t xml:space="preserve">Se considera remuneración o retribución toda percepción en efectivo o en especie, incluyendo dietas, </w:t>
      </w:r>
      <w:r w:rsidRPr="00A10EDA">
        <w:rPr>
          <w:b/>
          <w:u w:val="single"/>
        </w:rPr>
        <w:t>aguinaldos</w:t>
      </w:r>
      <w:r w:rsidRPr="00A10EDA">
        <w:rPr>
          <w:b/>
        </w:rPr>
        <w:t>, gratificaciones, premios, recompensas, bonos, estímulos, comisiones, compensaciones y cualquier otra, con excepción de los apoyos y los gastos sujetos a comprobación que sean propios del desarrollo del trabajo y los gastos de viaje en actividades oficiales.</w:t>
      </w:r>
    </w:p>
    <w:p w14:paraId="476A76E9" w14:textId="77777777" w:rsidR="000857D6" w:rsidRPr="00A10EDA" w:rsidRDefault="000857D6" w:rsidP="00A10EDA">
      <w:pPr>
        <w:pStyle w:val="Puesto"/>
      </w:pPr>
      <w:r w:rsidRPr="00A10EDA">
        <w:rPr>
          <w:b/>
        </w:rPr>
        <w:t>(…)</w:t>
      </w:r>
    </w:p>
    <w:p w14:paraId="5A609EBC" w14:textId="77777777" w:rsidR="000857D6" w:rsidRPr="00A10EDA" w:rsidRDefault="000857D6" w:rsidP="00A10EDA">
      <w:pPr>
        <w:pStyle w:val="Puesto"/>
        <w:rPr>
          <w:b/>
        </w:rPr>
      </w:pPr>
      <w:r w:rsidRPr="00A10EDA">
        <w:rPr>
          <w:b/>
        </w:rPr>
        <w:t>V.</w:t>
      </w:r>
      <w:r w:rsidRPr="00A10EDA">
        <w:t xml:space="preserve"> </w:t>
      </w:r>
      <w:r w:rsidRPr="00A10EDA">
        <w:tab/>
      </w:r>
      <w:r w:rsidRPr="00A10EDA">
        <w:rPr>
          <w:b/>
        </w:rPr>
        <w:t>Las remuneraciones y sus tabuladores serán públicos, y deberán especificar y diferenciar la totalidad de sus elementos fijos y variables tanto en efectivo como en especie.</w:t>
      </w:r>
    </w:p>
    <w:p w14:paraId="47B6872F" w14:textId="77777777" w:rsidR="000857D6" w:rsidRPr="00A10EDA" w:rsidRDefault="000857D6" w:rsidP="00A10EDA">
      <w:pPr>
        <w:pStyle w:val="Puesto"/>
      </w:pPr>
      <w:r w:rsidRPr="00A10EDA">
        <w:t>(…)</w:t>
      </w:r>
    </w:p>
    <w:p w14:paraId="4689AEB1" w14:textId="77777777" w:rsidR="000857D6" w:rsidRPr="00A10EDA" w:rsidRDefault="000857D6" w:rsidP="00A10EDA">
      <w:pPr>
        <w:pStyle w:val="Texto"/>
        <w:spacing w:after="0" w:line="240" w:lineRule="auto"/>
        <w:ind w:left="851" w:right="822" w:firstLine="0"/>
        <w:rPr>
          <w:rFonts w:ascii="Palatino Linotype" w:hAnsi="Palatino Linotype"/>
          <w:i/>
          <w:sz w:val="22"/>
          <w:szCs w:val="22"/>
        </w:rPr>
      </w:pPr>
    </w:p>
    <w:p w14:paraId="406CFDB3" w14:textId="77777777" w:rsidR="000857D6" w:rsidRPr="00A10EDA" w:rsidRDefault="000857D6" w:rsidP="00A10EDA">
      <w:pPr>
        <w:pStyle w:val="Prrafodelista"/>
        <w:ind w:left="0"/>
        <w:rPr>
          <w:rFonts w:cs="Arial"/>
          <w:szCs w:val="22"/>
        </w:rPr>
      </w:pPr>
      <w:r w:rsidRPr="00A10EDA">
        <w:rPr>
          <w:rFonts w:cs="Arial"/>
          <w:szCs w:val="22"/>
        </w:rPr>
        <w:t xml:space="preserve">Aunado a ello el artículo 804 fracción II de la </w:t>
      </w:r>
      <w:r w:rsidRPr="00A10EDA">
        <w:rPr>
          <w:rFonts w:cs="Arial"/>
          <w:b/>
          <w:szCs w:val="22"/>
        </w:rPr>
        <w:t>Ley Federal de Trabajo</w:t>
      </w:r>
      <w:r w:rsidRPr="00A10EDA">
        <w:rPr>
          <w:rFonts w:cs="Arial"/>
          <w:szCs w:val="22"/>
        </w:rPr>
        <w:t>, refiere la obligación que tiene el patrón de conservar y exhibir en juicio entre otros documentos la nómina o recibos de pagos de salarios.</w:t>
      </w:r>
    </w:p>
    <w:p w14:paraId="304D9DE3" w14:textId="77777777" w:rsidR="000857D6" w:rsidRPr="00A10EDA" w:rsidRDefault="000857D6" w:rsidP="00A10EDA">
      <w:pPr>
        <w:pStyle w:val="Prrafodelista"/>
        <w:ind w:left="0"/>
        <w:rPr>
          <w:rFonts w:cs="Arial"/>
          <w:szCs w:val="22"/>
        </w:rPr>
      </w:pPr>
    </w:p>
    <w:p w14:paraId="2CAEC97C" w14:textId="77777777" w:rsidR="000857D6" w:rsidRPr="00A10EDA" w:rsidRDefault="000857D6" w:rsidP="00A10EDA">
      <w:pPr>
        <w:pStyle w:val="Puesto"/>
        <w:rPr>
          <w:rFonts w:eastAsia="MS Mincho"/>
        </w:rPr>
      </w:pPr>
      <w:r w:rsidRPr="00A10EDA">
        <w:rPr>
          <w:rFonts w:eastAsia="MS Mincho"/>
          <w:b/>
          <w:bCs/>
        </w:rPr>
        <w:t>Artículo 804.-</w:t>
      </w:r>
      <w:r w:rsidRPr="00A10EDA">
        <w:rPr>
          <w:rFonts w:eastAsia="MS Mincho"/>
        </w:rPr>
        <w:t xml:space="preserve"> El patrón tiene obligación de conservar y exhibir en juicio los documentos que a continuación se precisan:</w:t>
      </w:r>
    </w:p>
    <w:p w14:paraId="4874607B" w14:textId="77777777" w:rsidR="000857D6" w:rsidRPr="00A10EDA" w:rsidRDefault="000857D6" w:rsidP="00A10EDA">
      <w:pPr>
        <w:pStyle w:val="Puesto"/>
        <w:rPr>
          <w:rFonts w:eastAsia="MS Mincho"/>
        </w:rPr>
      </w:pPr>
      <w:r w:rsidRPr="00A10EDA">
        <w:rPr>
          <w:rFonts w:eastAsia="MS Mincho"/>
        </w:rPr>
        <w:t>(…)</w:t>
      </w:r>
    </w:p>
    <w:p w14:paraId="33A61EA2" w14:textId="77777777" w:rsidR="000857D6" w:rsidRPr="00A10EDA" w:rsidRDefault="000857D6" w:rsidP="00A10EDA">
      <w:pPr>
        <w:pStyle w:val="Puesto"/>
        <w:rPr>
          <w:rFonts w:eastAsia="MS Mincho"/>
        </w:rPr>
      </w:pPr>
      <w:r w:rsidRPr="00A10EDA">
        <w:rPr>
          <w:rFonts w:eastAsia="MS Mincho"/>
          <w:b/>
          <w:u w:val="single"/>
        </w:rPr>
        <w:t>Listas de raya</w:t>
      </w:r>
      <w:r w:rsidRPr="00A10EDA">
        <w:rPr>
          <w:rFonts w:eastAsia="MS Mincho"/>
          <w:b/>
        </w:rPr>
        <w:t xml:space="preserve"> o nómina de personal, cuando se lleven en el centro de trabajo; </w:t>
      </w:r>
      <w:r w:rsidRPr="00A10EDA">
        <w:rPr>
          <w:rFonts w:eastAsia="MS Mincho"/>
          <w:b/>
          <w:u w:val="single"/>
        </w:rPr>
        <w:t>o recibos de pagos de salarios</w:t>
      </w:r>
      <w:r w:rsidRPr="00A10EDA">
        <w:rPr>
          <w:rFonts w:eastAsia="MS Mincho"/>
        </w:rPr>
        <w:t>;”</w:t>
      </w:r>
    </w:p>
    <w:p w14:paraId="06F1FF6D" w14:textId="77777777" w:rsidR="000857D6" w:rsidRPr="00A10EDA" w:rsidRDefault="000857D6" w:rsidP="00A10EDA">
      <w:pPr>
        <w:rPr>
          <w:rFonts w:cs="Arial"/>
          <w:szCs w:val="22"/>
        </w:rPr>
      </w:pPr>
    </w:p>
    <w:p w14:paraId="0CE0B285" w14:textId="77777777" w:rsidR="000857D6" w:rsidRPr="00A10EDA" w:rsidRDefault="000857D6" w:rsidP="00A10EDA">
      <w:pPr>
        <w:pStyle w:val="Prrafodelista"/>
        <w:ind w:left="0"/>
        <w:rPr>
          <w:rFonts w:cs="Arial"/>
          <w:szCs w:val="22"/>
        </w:rPr>
      </w:pPr>
      <w:r w:rsidRPr="00A10EDA">
        <w:rPr>
          <w:rFonts w:cs="Arial"/>
          <w:szCs w:val="22"/>
        </w:rPr>
        <w:lastRenderedPageBreak/>
        <w:t xml:space="preserve">En el mismo sentido, el </w:t>
      </w:r>
      <w:r w:rsidRPr="00A10EDA">
        <w:rPr>
          <w:rFonts w:cs="Arial"/>
          <w:bCs/>
          <w:szCs w:val="22"/>
        </w:rPr>
        <w:t xml:space="preserve">penúltimo párrafo del artículo 125 de la </w:t>
      </w:r>
      <w:r w:rsidRPr="00A10EDA">
        <w:rPr>
          <w:rFonts w:cs="Arial"/>
          <w:b/>
          <w:szCs w:val="22"/>
        </w:rPr>
        <w:t>Constitución Política del Estado Libre y Soberano de México</w:t>
      </w:r>
      <w:r w:rsidRPr="00A10EDA">
        <w:rPr>
          <w:rFonts w:cs="Arial"/>
          <w:szCs w:val="22"/>
        </w:rPr>
        <w:t>, señala que el presupuesto deberá incluir los tabuladores desglosados de las remuneraciones que perciban los servidores públicos municipales, sujetándose a lo dispuesto por el artículo 147 de la Constitución local.</w:t>
      </w:r>
    </w:p>
    <w:p w14:paraId="232D5B74" w14:textId="77777777" w:rsidR="000857D6" w:rsidRPr="00A10EDA" w:rsidRDefault="000857D6" w:rsidP="00A10EDA">
      <w:pPr>
        <w:rPr>
          <w:rFonts w:cs="Arial"/>
          <w:szCs w:val="22"/>
        </w:rPr>
      </w:pPr>
    </w:p>
    <w:p w14:paraId="1E1A4164" w14:textId="77777777" w:rsidR="000857D6" w:rsidRPr="00A10EDA" w:rsidRDefault="000857D6" w:rsidP="00A10EDA">
      <w:pPr>
        <w:pStyle w:val="Prrafodelista"/>
        <w:ind w:left="0"/>
        <w:rPr>
          <w:rFonts w:cs="Arial"/>
          <w:szCs w:val="22"/>
        </w:rPr>
      </w:pPr>
      <w:r w:rsidRPr="00A10EDA">
        <w:rPr>
          <w:rFonts w:cs="Arial"/>
          <w:szCs w:val="22"/>
        </w:rPr>
        <w:t xml:space="preserve">Por su parte, el artículo 147 de la </w:t>
      </w:r>
      <w:r w:rsidRPr="00A10EDA">
        <w:rPr>
          <w:rFonts w:cs="Arial"/>
          <w:b/>
          <w:szCs w:val="22"/>
        </w:rPr>
        <w:t>Constitución Política del Estado Libre y Soberano de México</w:t>
      </w:r>
      <w:r w:rsidRPr="00A10EDA">
        <w:rPr>
          <w:rFonts w:cs="Arial"/>
          <w:szCs w:val="22"/>
        </w:rPr>
        <w:t xml:space="preserve"> dispone en lo relativo a las remuneraciones de los servidores públicos estatales y municipales lo siguiente:</w:t>
      </w:r>
    </w:p>
    <w:p w14:paraId="704B6168" w14:textId="77777777" w:rsidR="000857D6" w:rsidRPr="00A10EDA" w:rsidRDefault="000857D6" w:rsidP="00A10EDA">
      <w:pPr>
        <w:pStyle w:val="Prrafodelista"/>
        <w:ind w:left="0"/>
        <w:rPr>
          <w:rFonts w:cs="Arial"/>
          <w:szCs w:val="22"/>
        </w:rPr>
      </w:pPr>
    </w:p>
    <w:p w14:paraId="16E4C8F2" w14:textId="77777777" w:rsidR="000857D6" w:rsidRPr="00A10EDA" w:rsidRDefault="000857D6" w:rsidP="00A10EDA">
      <w:pPr>
        <w:pStyle w:val="Puesto"/>
      </w:pPr>
      <w:r w:rsidRPr="00A10EDA">
        <w:rPr>
          <w:b/>
        </w:rPr>
        <w:t>Artículo 147</w:t>
      </w:r>
      <w:r w:rsidRPr="00A10EDA">
        <w:t xml:space="preserve">.- El Gobernador, los diputados, los magistrados de los Tribunales Superior de Justicia y de lo Contencioso Administrativo, los miembros del Consejo de la Judicatura, los trabajadores al servicio del Estado, los integrantes y servidores de los organismos autónomos, así como </w:t>
      </w:r>
      <w:r w:rsidRPr="00A10EDA">
        <w:rPr>
          <w:b/>
          <w:u w:val="single"/>
        </w:rPr>
        <w:t>los miembros de los ayuntamientos</w:t>
      </w:r>
      <w:r w:rsidRPr="00A10EDA">
        <w:t xml:space="preserve"> </w:t>
      </w:r>
      <w:r w:rsidRPr="00A10EDA">
        <w:rPr>
          <w:b/>
          <w:u w:val="single"/>
        </w:rPr>
        <w:t>y demás servidores públicos municipales recibirán una retribución adecuada e irrenunciable</w:t>
      </w:r>
      <w:r w:rsidRPr="00A10EDA">
        <w:t xml:space="preserve"> por el desempeño de su empleo, cargo o comisión, que será determinada </w:t>
      </w:r>
      <w:r w:rsidRPr="00A10EDA">
        <w:rPr>
          <w:b/>
          <w:u w:val="single"/>
        </w:rPr>
        <w:t>en el presupuesto de egresos</w:t>
      </w:r>
      <w:r w:rsidRPr="00A10EDA">
        <w:t xml:space="preserve"> que corresponda. </w:t>
      </w:r>
      <w:r w:rsidRPr="00A10EDA">
        <w:rPr>
          <w:b/>
        </w:rPr>
        <w:t>Las remuneraciones</w:t>
      </w:r>
      <w:r w:rsidRPr="00A10EDA">
        <w:t xml:space="preserve">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r w:rsidRPr="00A10EDA">
        <w:rPr>
          <w:b/>
        </w:rPr>
        <w:t>La remuneración será determinada anual y equitativamente</w:t>
      </w:r>
      <w:r w:rsidRPr="00A10EDA">
        <w:t xml:space="preserve"> en el Presupuesto de Egresos correspondiente bajo las bases siguientes: </w:t>
      </w:r>
    </w:p>
    <w:p w14:paraId="61FDB09F" w14:textId="77777777" w:rsidR="000857D6" w:rsidRPr="00A10EDA" w:rsidRDefault="000857D6" w:rsidP="00A10EDA">
      <w:pPr>
        <w:pStyle w:val="Puesto"/>
      </w:pPr>
      <w:r w:rsidRPr="00A10EDA">
        <w:t xml:space="preserve">Se considera remuneración o retribución toda percepción en efectivo o en especie, con excepción de los apoyos y los gastos sujetos a comprobación que sean propios del desarrollo del trabajo y los gastos de viaje en actividades oficiales; </w:t>
      </w:r>
    </w:p>
    <w:p w14:paraId="5C6DB341" w14:textId="77777777" w:rsidR="000857D6" w:rsidRPr="00A10EDA" w:rsidRDefault="000857D6" w:rsidP="00A10EDA">
      <w:pPr>
        <w:pStyle w:val="Puesto"/>
        <w:rPr>
          <w:rFonts w:cs="Arial"/>
          <w:bCs/>
        </w:rPr>
      </w:pPr>
      <w:r w:rsidRPr="00A10EDA">
        <w:rPr>
          <w:rFonts w:cs="Arial"/>
          <w:bCs/>
        </w:rPr>
        <w:t>(…)</w:t>
      </w:r>
    </w:p>
    <w:p w14:paraId="7782A93D" w14:textId="77777777" w:rsidR="000857D6" w:rsidRPr="00A10EDA" w:rsidRDefault="000857D6" w:rsidP="00A10EDA">
      <w:pPr>
        <w:pStyle w:val="Puesto"/>
        <w:rPr>
          <w:rFonts w:cs="Arial"/>
          <w:bCs/>
        </w:rPr>
      </w:pPr>
      <w:r w:rsidRPr="00A10EDA">
        <w:t xml:space="preserve">V. Las remuneraciones y sus tabuladores </w:t>
      </w:r>
      <w:r w:rsidRPr="00A10EDA">
        <w:rPr>
          <w:b/>
        </w:rPr>
        <w:t>serán públicos</w:t>
      </w:r>
      <w:r w:rsidRPr="00A10EDA">
        <w:t>, y deberán especificar y diferenciar la totalidad de sus elementos fijos y variables tanto en efectivo como en especie.</w:t>
      </w:r>
    </w:p>
    <w:p w14:paraId="6AA38730" w14:textId="77777777" w:rsidR="000857D6" w:rsidRPr="00A10EDA" w:rsidRDefault="000857D6" w:rsidP="00A10EDA">
      <w:pPr>
        <w:pStyle w:val="Prrafodelista"/>
        <w:ind w:left="851"/>
        <w:rPr>
          <w:rFonts w:cs="Arial"/>
          <w:szCs w:val="22"/>
        </w:rPr>
      </w:pPr>
    </w:p>
    <w:p w14:paraId="1E862A5C" w14:textId="77777777" w:rsidR="000857D6" w:rsidRPr="00A10EDA" w:rsidRDefault="000857D6" w:rsidP="00A10EDA">
      <w:pPr>
        <w:pStyle w:val="Prrafodelista"/>
        <w:ind w:left="0"/>
        <w:rPr>
          <w:rFonts w:cs="Arial"/>
          <w:szCs w:val="22"/>
        </w:rPr>
      </w:pPr>
      <w:r w:rsidRPr="00A10EDA">
        <w:rPr>
          <w:rFonts w:cs="Arial"/>
          <w:bCs/>
          <w:szCs w:val="22"/>
        </w:rPr>
        <w:t xml:space="preserve">Al respecto, el </w:t>
      </w:r>
      <w:r w:rsidRPr="00A10EDA">
        <w:rPr>
          <w:rFonts w:cs="Arial"/>
          <w:szCs w:val="22"/>
        </w:rPr>
        <w:t xml:space="preserve">artículo 3, fracción XXXII del </w:t>
      </w:r>
      <w:r w:rsidRPr="00A10EDA">
        <w:rPr>
          <w:rFonts w:cs="Arial"/>
          <w:b/>
          <w:szCs w:val="22"/>
        </w:rPr>
        <w:t xml:space="preserve">Código Financiero del Estado de México y Municipios </w:t>
      </w:r>
      <w:r w:rsidRPr="00A10EDA">
        <w:rPr>
          <w:rFonts w:cs="Arial"/>
          <w:szCs w:val="22"/>
        </w:rPr>
        <w:t>establece lo siguiente:</w:t>
      </w:r>
    </w:p>
    <w:p w14:paraId="1C13D0CF" w14:textId="77777777" w:rsidR="000857D6" w:rsidRPr="00A10EDA" w:rsidRDefault="000857D6" w:rsidP="00A10EDA">
      <w:pPr>
        <w:pStyle w:val="Prrafodelista"/>
        <w:ind w:left="567" w:right="567"/>
        <w:rPr>
          <w:rFonts w:cs="Arial"/>
          <w:szCs w:val="22"/>
        </w:rPr>
      </w:pPr>
    </w:p>
    <w:p w14:paraId="3F3E5051" w14:textId="77777777" w:rsidR="000857D6" w:rsidRPr="00A10EDA" w:rsidRDefault="000857D6" w:rsidP="00A10EDA">
      <w:pPr>
        <w:pStyle w:val="Puesto"/>
      </w:pPr>
      <w:r w:rsidRPr="00A10EDA">
        <w:rPr>
          <w:b/>
        </w:rPr>
        <w:lastRenderedPageBreak/>
        <w:t>Artículo 3.-</w:t>
      </w:r>
      <w:r w:rsidRPr="00A10EDA">
        <w:t xml:space="preserve"> Para efectos de este Código, Ley de Ingresos del Estado y del Presupuesto de Egresos se entenderá por:</w:t>
      </w:r>
    </w:p>
    <w:p w14:paraId="549C1954" w14:textId="77777777" w:rsidR="000857D6" w:rsidRPr="00A10EDA" w:rsidRDefault="000857D6" w:rsidP="00A10EDA">
      <w:pPr>
        <w:pStyle w:val="Puesto"/>
      </w:pPr>
      <w:r w:rsidRPr="00A10EDA">
        <w:t>(…)</w:t>
      </w:r>
    </w:p>
    <w:p w14:paraId="0384868F" w14:textId="77777777" w:rsidR="000857D6" w:rsidRPr="00A10EDA" w:rsidRDefault="000857D6" w:rsidP="00A10EDA">
      <w:pPr>
        <w:pStyle w:val="Puesto"/>
        <w:rPr>
          <w:b/>
        </w:rPr>
      </w:pPr>
      <w:r w:rsidRPr="00A10EDA">
        <w:rPr>
          <w:b/>
        </w:rPr>
        <w:t xml:space="preserve">XXXII. Remuneración: A los pagos hechos por concepto de sueldo, compensaciones, gratificaciones, habitación, primas, comisiones, prestaciones en especie y </w:t>
      </w:r>
      <w:r w:rsidRPr="00A10EDA">
        <w:rPr>
          <w:b/>
          <w:u w:val="single"/>
        </w:rPr>
        <w:t>cualquier otra percepción o prestación que se entregue al servidor público por su trabajo</w:t>
      </w:r>
      <w:r w:rsidRPr="00A10EDA">
        <w:rPr>
          <w:b/>
        </w:rPr>
        <w:t>. Esta definición no será aplicable para los efectos del Impuesto sobre Erogaciones por Remuneraciones al Trabajo Personal;</w:t>
      </w:r>
    </w:p>
    <w:p w14:paraId="0E2AC3AA" w14:textId="77777777" w:rsidR="000857D6" w:rsidRPr="00A10EDA" w:rsidRDefault="000857D6" w:rsidP="00A10EDA">
      <w:pPr>
        <w:pStyle w:val="Prrafodelista"/>
        <w:tabs>
          <w:tab w:val="left" w:pos="8222"/>
        </w:tabs>
        <w:spacing w:line="240" w:lineRule="auto"/>
        <w:ind w:left="851" w:right="822"/>
        <w:rPr>
          <w:b/>
          <w:i/>
          <w:szCs w:val="22"/>
        </w:rPr>
      </w:pPr>
      <w:r w:rsidRPr="00A10EDA">
        <w:rPr>
          <w:b/>
          <w:i/>
          <w:szCs w:val="22"/>
        </w:rPr>
        <w:t>(…)</w:t>
      </w:r>
    </w:p>
    <w:p w14:paraId="44C67917" w14:textId="77777777" w:rsidR="00CE0BCF" w:rsidRPr="00A10EDA" w:rsidRDefault="00CE0BCF" w:rsidP="00A10EDA">
      <w:pPr>
        <w:pStyle w:val="Prrafodelista"/>
        <w:ind w:left="0"/>
        <w:rPr>
          <w:rFonts w:cs="Arial"/>
          <w:szCs w:val="22"/>
        </w:rPr>
      </w:pPr>
    </w:p>
    <w:p w14:paraId="52B8F19F" w14:textId="77777777" w:rsidR="000857D6" w:rsidRPr="00A10EDA" w:rsidRDefault="000857D6" w:rsidP="00A10EDA">
      <w:pPr>
        <w:pStyle w:val="Prrafodelista"/>
        <w:ind w:left="0"/>
        <w:rPr>
          <w:rFonts w:cs="Arial"/>
          <w:szCs w:val="22"/>
        </w:rPr>
      </w:pPr>
      <w:r w:rsidRPr="00A10EDA">
        <w:rPr>
          <w:rFonts w:cs="Arial"/>
          <w:szCs w:val="22"/>
        </w:rPr>
        <w:t>De ello, se advierte que todos los servidores públicos, ya sean federales, estatales o municipales,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entre las que se encuentra el aguinaldo; remuneraciones que según el texto constitucional serán públicas.</w:t>
      </w:r>
    </w:p>
    <w:p w14:paraId="1C1A40E6" w14:textId="77777777" w:rsidR="000857D6" w:rsidRPr="00A10EDA" w:rsidRDefault="000857D6" w:rsidP="00A10EDA">
      <w:pPr>
        <w:pStyle w:val="Prrafodelista"/>
        <w:ind w:left="0"/>
        <w:rPr>
          <w:rFonts w:cs="Arial"/>
          <w:szCs w:val="22"/>
        </w:rPr>
      </w:pPr>
    </w:p>
    <w:p w14:paraId="36386CC1" w14:textId="77777777" w:rsidR="000857D6" w:rsidRPr="00A10EDA" w:rsidRDefault="000857D6" w:rsidP="00A10EDA">
      <w:pPr>
        <w:pStyle w:val="Prrafodelista"/>
        <w:ind w:left="0"/>
        <w:rPr>
          <w:rFonts w:cs="Arial"/>
          <w:szCs w:val="22"/>
        </w:rPr>
      </w:pPr>
      <w:r w:rsidRPr="00A10EDA">
        <w:rPr>
          <w:rFonts w:cs="Arial"/>
          <w:szCs w:val="22"/>
        </w:rPr>
        <w:t xml:space="preserve">Así mismo, la </w:t>
      </w:r>
      <w:r w:rsidRPr="00A10EDA">
        <w:rPr>
          <w:rFonts w:cs="Arial"/>
          <w:b/>
          <w:szCs w:val="22"/>
        </w:rPr>
        <w:t>Ley del Trabajo de los Servidores Públicos del Estado y Municipios</w:t>
      </w:r>
      <w:r w:rsidRPr="00A10EDA">
        <w:rPr>
          <w:rFonts w:cs="Arial"/>
          <w:szCs w:val="22"/>
        </w:rPr>
        <w:t>, en su artículo 220-K fracciones II y IV y último párrafo, establecen lo siguiente:</w:t>
      </w:r>
    </w:p>
    <w:p w14:paraId="2DB1009B" w14:textId="77777777" w:rsidR="000857D6" w:rsidRPr="00A10EDA" w:rsidRDefault="000857D6" w:rsidP="00A10EDA">
      <w:pPr>
        <w:pStyle w:val="Prrafodelista"/>
        <w:ind w:left="0"/>
        <w:rPr>
          <w:rFonts w:cs="Arial"/>
          <w:szCs w:val="22"/>
        </w:rPr>
      </w:pPr>
    </w:p>
    <w:p w14:paraId="7A7101A3" w14:textId="77777777" w:rsidR="000857D6" w:rsidRPr="00A10EDA" w:rsidRDefault="000857D6" w:rsidP="00A10EDA">
      <w:pPr>
        <w:pStyle w:val="Puesto"/>
      </w:pPr>
      <w:r w:rsidRPr="00A10EDA">
        <w:rPr>
          <w:b/>
        </w:rPr>
        <w:t>ARTÍCULO 220 K.-</w:t>
      </w:r>
      <w:r w:rsidRPr="00A10EDA">
        <w:t xml:space="preserve"> La institución o dependencia pública tiene la obligación de conservar y exhibir en el proceso los documentos que a continuación se precisan:</w:t>
      </w:r>
    </w:p>
    <w:p w14:paraId="5C58C76B" w14:textId="77777777" w:rsidR="000857D6" w:rsidRPr="00A10EDA" w:rsidRDefault="000857D6" w:rsidP="00A10EDA">
      <w:pPr>
        <w:pStyle w:val="Puesto"/>
      </w:pPr>
      <w:r w:rsidRPr="00A10EDA">
        <w:rPr>
          <w:b/>
        </w:rPr>
        <w:t>II.</w:t>
      </w:r>
      <w:r w:rsidRPr="00A10EDA">
        <w:t xml:space="preserve"> </w:t>
      </w:r>
      <w:r w:rsidRPr="00A10EDA">
        <w:rPr>
          <w:b/>
        </w:rPr>
        <w:t>Recibos de pagos de salarios</w:t>
      </w:r>
      <w:r w:rsidRPr="00A10EDA">
        <w:t xml:space="preserve"> o las constancias documentales del pago de salario cuando sea por depósito o mediante información electrónica;</w:t>
      </w:r>
    </w:p>
    <w:p w14:paraId="54E741CA" w14:textId="77777777" w:rsidR="000857D6" w:rsidRPr="00A10EDA" w:rsidRDefault="000857D6" w:rsidP="00A10EDA">
      <w:pPr>
        <w:pStyle w:val="Puesto"/>
      </w:pPr>
      <w:r w:rsidRPr="00A10EDA">
        <w:t>(…)</w:t>
      </w:r>
    </w:p>
    <w:p w14:paraId="46D3CE21" w14:textId="77777777" w:rsidR="000857D6" w:rsidRPr="00A10EDA" w:rsidRDefault="000857D6" w:rsidP="00A10EDA">
      <w:pPr>
        <w:pStyle w:val="Puesto"/>
        <w:rPr>
          <w:b/>
        </w:rPr>
      </w:pPr>
      <w:r w:rsidRPr="00A10EDA">
        <w:rPr>
          <w:b/>
        </w:rPr>
        <w:t xml:space="preserve">IV. Recibos o las constancias de depósito o del medio de información magnética o electrónica que sean utilizadas para el pago de salarios, prima vacacional, </w:t>
      </w:r>
      <w:r w:rsidRPr="00A10EDA">
        <w:rPr>
          <w:b/>
          <w:u w:val="single"/>
        </w:rPr>
        <w:t>aguinaldo</w:t>
      </w:r>
      <w:r w:rsidRPr="00A10EDA">
        <w:rPr>
          <w:b/>
        </w:rPr>
        <w:t xml:space="preserve"> y demás prestaciones establecidas en la presente ley; y</w:t>
      </w:r>
    </w:p>
    <w:p w14:paraId="4697A978" w14:textId="77777777" w:rsidR="000857D6" w:rsidRPr="00A10EDA" w:rsidRDefault="000857D6" w:rsidP="00A10EDA">
      <w:pPr>
        <w:pStyle w:val="Puesto"/>
      </w:pPr>
      <w:r w:rsidRPr="00A10EDA">
        <w:rPr>
          <w:b/>
        </w:rPr>
        <w:t>Los documentos señalados en la fracción I de este artículo, deberán conservarse mientras dure la relación laboral y hasta un año después</w:t>
      </w:r>
      <w:r w:rsidRPr="00A10EDA">
        <w:t xml:space="preserve">; los señalados por las </w:t>
      </w:r>
      <w:r w:rsidRPr="00A10EDA">
        <w:lastRenderedPageBreak/>
        <w:t>fracciones II, III, IV durante el último año y un año después de que se extinga la relación laboral, y los mencionados en la fracción V, conforme lo señalen las leyes que los rijan.</w:t>
      </w:r>
    </w:p>
    <w:p w14:paraId="434D467F" w14:textId="77777777" w:rsidR="000857D6" w:rsidRPr="00A10EDA" w:rsidRDefault="000857D6" w:rsidP="00A10EDA">
      <w:pPr>
        <w:pStyle w:val="Puesto"/>
        <w:rPr>
          <w:b/>
        </w:rPr>
      </w:pPr>
      <w:r w:rsidRPr="00A10EDA">
        <w:rPr>
          <w:b/>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0696512E" w14:textId="77777777" w:rsidR="000857D6" w:rsidRPr="00A10EDA" w:rsidRDefault="000857D6" w:rsidP="00A10EDA">
      <w:pPr>
        <w:pStyle w:val="Puesto"/>
      </w:pPr>
      <w:r w:rsidRPr="00A10EDA">
        <w:t>El incumplimiento por lo dispuesto por este artículo, establecerá la presunción de ser ciertos los hechos que el actor exprese en su demanda, en relación con tales documentos, salvo prueba en contrario.</w:t>
      </w:r>
    </w:p>
    <w:p w14:paraId="4FB4F96C" w14:textId="77777777" w:rsidR="000857D6" w:rsidRPr="00A10EDA" w:rsidRDefault="000857D6" w:rsidP="00A10EDA">
      <w:pPr>
        <w:pStyle w:val="Prrafodelista"/>
        <w:ind w:left="851"/>
        <w:rPr>
          <w:rFonts w:cs="Arial"/>
          <w:szCs w:val="22"/>
        </w:rPr>
      </w:pPr>
    </w:p>
    <w:p w14:paraId="6CD18869" w14:textId="77777777" w:rsidR="000857D6" w:rsidRPr="00A10EDA" w:rsidRDefault="000857D6" w:rsidP="00A10EDA">
      <w:pPr>
        <w:pStyle w:val="Prrafodelista"/>
        <w:ind w:left="0"/>
        <w:rPr>
          <w:rFonts w:cs="Arial"/>
          <w:szCs w:val="22"/>
        </w:rPr>
      </w:pPr>
      <w:r w:rsidRPr="00A10EDA">
        <w:rPr>
          <w:rFonts w:cs="Arial"/>
          <w:szCs w:val="22"/>
        </w:rPr>
        <w:t xml:space="preserve">De lo anterior, se advierte que toda institución pública o dependencia pública del Estado de México debe conservar las constancias de pago de salarios, </w:t>
      </w:r>
      <w:r w:rsidRPr="00A10EDA">
        <w:rPr>
          <w:rFonts w:cs="Arial"/>
          <w:b/>
          <w:szCs w:val="22"/>
        </w:rPr>
        <w:t xml:space="preserve">prima vacacional, aguinaldo </w:t>
      </w:r>
      <w:r w:rsidRPr="00A10EDA">
        <w:rPr>
          <w:rFonts w:cs="Arial"/>
          <w:szCs w:val="22"/>
        </w:rPr>
        <w:t>y demás prestaciones legales de acuerdo con la forma en que se haya realizado el pago; así como, los recibos de pago por honorarios;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3D6B1EBA" w14:textId="77777777" w:rsidR="000857D6" w:rsidRPr="00A10EDA" w:rsidRDefault="000857D6" w:rsidP="00A10EDA">
      <w:pPr>
        <w:pStyle w:val="Prrafodelista"/>
        <w:ind w:left="0"/>
        <w:rPr>
          <w:rFonts w:cs="Arial"/>
          <w:szCs w:val="22"/>
        </w:rPr>
      </w:pPr>
    </w:p>
    <w:p w14:paraId="5186A5B4" w14:textId="77777777" w:rsidR="000857D6" w:rsidRPr="00A10EDA" w:rsidRDefault="000857D6" w:rsidP="00A10EDA">
      <w:pPr>
        <w:pStyle w:val="Prrafodelista"/>
        <w:ind w:left="0"/>
        <w:rPr>
          <w:rFonts w:cs="Arial"/>
          <w:i/>
          <w:szCs w:val="22"/>
        </w:rPr>
      </w:pPr>
      <w:r w:rsidRPr="00A10EDA">
        <w:rPr>
          <w:rFonts w:cs="Arial"/>
          <w:szCs w:val="22"/>
        </w:rPr>
        <w:t xml:space="preserve">Además, la </w:t>
      </w:r>
      <w:r w:rsidRPr="00A10EDA">
        <w:rPr>
          <w:rFonts w:cs="Arial"/>
          <w:b/>
          <w:szCs w:val="22"/>
        </w:rPr>
        <w:t>Ley Orgánica Municipal del Estado de México</w:t>
      </w:r>
      <w:r w:rsidRPr="00A10EDA">
        <w:rPr>
          <w:rFonts w:cs="Arial"/>
          <w:szCs w:val="22"/>
        </w:rPr>
        <w:t xml:space="preserve"> en el artículo 31 fracción XIX establece como atribución de los Ayuntamientos aprobar su </w:t>
      </w:r>
      <w:r w:rsidRPr="00A10EDA">
        <w:rPr>
          <w:rFonts w:cs="Arial"/>
          <w:b/>
          <w:szCs w:val="22"/>
        </w:rPr>
        <w:t>Presupuesto de Egresos</w:t>
      </w:r>
      <w:r w:rsidRPr="00A10EDA">
        <w:rPr>
          <w:rFonts w:cs="Arial"/>
          <w:szCs w:val="22"/>
        </w:rPr>
        <w:t>, y al hacerlo deberán señalar “</w:t>
      </w:r>
      <w:r w:rsidRPr="00A10EDA">
        <w:rPr>
          <w:b/>
          <w:i/>
          <w:szCs w:val="22"/>
        </w:rPr>
        <w:t>la remuneración</w:t>
      </w:r>
      <w:r w:rsidRPr="00A10EDA">
        <w:rPr>
          <w:i/>
          <w:szCs w:val="22"/>
        </w:rPr>
        <w:t xml:space="preserve"> de todo tipo que corresponda a un empleo, cargo o comisión de cualquier naturaleza, determinada conforme a principios de racionalidad, austeridad, disciplina financiera, equidad, legalidad, igualdad y transparencia, sujetándose a lo dispuesto por el Código Financiero y demás disposiciones legales aplicables</w:t>
      </w:r>
      <w:r w:rsidRPr="00A10EDA">
        <w:rPr>
          <w:szCs w:val="22"/>
        </w:rPr>
        <w:t>“ y además</w:t>
      </w:r>
      <w:r w:rsidRPr="00A10EDA">
        <w:rPr>
          <w:rFonts w:cs="Arial"/>
          <w:szCs w:val="22"/>
        </w:rPr>
        <w:t xml:space="preserve"> “</w:t>
      </w:r>
      <w:r w:rsidRPr="00A10EDA">
        <w:rPr>
          <w:i/>
          <w:szCs w:val="22"/>
        </w:rPr>
        <w:t xml:space="preserve">las remuneraciones de todo tipo del Presidente Municipal, Síndicos, Regidores y servidores públicos en general, incluyendo mandos medios y superiores de la administración municipal, </w:t>
      </w:r>
      <w:r w:rsidRPr="00A10EDA">
        <w:rPr>
          <w:b/>
          <w:i/>
          <w:szCs w:val="22"/>
        </w:rPr>
        <w:t>serán determinadas anualmente en el presupuesto de egresos</w:t>
      </w:r>
      <w:r w:rsidRPr="00A10EDA">
        <w:rPr>
          <w:i/>
          <w:szCs w:val="22"/>
        </w:rPr>
        <w:t xml:space="preserve"> correspondiente y se sujetarán a los lineamientos legales establecidos para todos los servidores públicos municipales</w:t>
      </w:r>
      <w:r w:rsidRPr="00A10EDA">
        <w:rPr>
          <w:szCs w:val="22"/>
        </w:rPr>
        <w:t>”.</w:t>
      </w:r>
      <w:r w:rsidRPr="00A10EDA">
        <w:rPr>
          <w:i/>
          <w:szCs w:val="22"/>
        </w:rPr>
        <w:t>(…)</w:t>
      </w:r>
    </w:p>
    <w:p w14:paraId="358FC5F4" w14:textId="77777777" w:rsidR="000857D6" w:rsidRPr="00A10EDA" w:rsidRDefault="000857D6" w:rsidP="00A10EDA">
      <w:pPr>
        <w:autoSpaceDE w:val="0"/>
        <w:autoSpaceDN w:val="0"/>
        <w:adjustRightInd w:val="0"/>
        <w:rPr>
          <w:rFonts w:cs="Arial"/>
          <w:szCs w:val="22"/>
        </w:rPr>
      </w:pPr>
    </w:p>
    <w:p w14:paraId="67A9FA21" w14:textId="77777777" w:rsidR="000857D6" w:rsidRPr="00A10EDA" w:rsidRDefault="000857D6" w:rsidP="00A10EDA">
      <w:pPr>
        <w:pStyle w:val="Prrafodelista"/>
        <w:autoSpaceDE w:val="0"/>
        <w:autoSpaceDN w:val="0"/>
        <w:adjustRightInd w:val="0"/>
        <w:ind w:left="0"/>
        <w:rPr>
          <w:rFonts w:cs="Arial"/>
          <w:szCs w:val="22"/>
        </w:rPr>
      </w:pPr>
      <w:r w:rsidRPr="00A10EDA">
        <w:rPr>
          <w:rFonts w:cs="Arial"/>
          <w:szCs w:val="22"/>
        </w:rPr>
        <w:t>Del ordenamiento legal citado se desprende que las remuneraciones se encuentran contenidas tanto en el presupuesto de egresos como en el informe trimestral que se envía al Órgano Superior de Fiscalización, y que dichas facultades son conferidas a la Tesorería Municipal.</w:t>
      </w:r>
    </w:p>
    <w:p w14:paraId="7EEDB1AE" w14:textId="77777777" w:rsidR="000857D6" w:rsidRPr="00A10EDA" w:rsidRDefault="000857D6" w:rsidP="00A10EDA">
      <w:pPr>
        <w:pStyle w:val="Prrafodelista"/>
        <w:rPr>
          <w:rFonts w:cs="Arial"/>
          <w:szCs w:val="22"/>
        </w:rPr>
      </w:pPr>
    </w:p>
    <w:p w14:paraId="7FC65D6A" w14:textId="77777777" w:rsidR="000857D6" w:rsidRPr="00A10EDA" w:rsidRDefault="000857D6" w:rsidP="00A10EDA">
      <w:pPr>
        <w:pStyle w:val="Prrafodelista"/>
        <w:autoSpaceDE w:val="0"/>
        <w:autoSpaceDN w:val="0"/>
        <w:adjustRightInd w:val="0"/>
        <w:ind w:left="0" w:right="49"/>
        <w:rPr>
          <w:rFonts w:cs="Arial"/>
          <w:szCs w:val="22"/>
        </w:rPr>
      </w:pPr>
      <w:r w:rsidRPr="00A10EDA">
        <w:rPr>
          <w:rFonts w:cs="Arial"/>
          <w:szCs w:val="22"/>
        </w:rPr>
        <w:t xml:space="preserve">Asimismo, es de señalar que los artículos 127 de la </w:t>
      </w:r>
      <w:r w:rsidRPr="00A10EDA">
        <w:rPr>
          <w:rFonts w:cs="Arial"/>
          <w:b/>
          <w:szCs w:val="22"/>
        </w:rPr>
        <w:t>Constitución Política de los Estados Unidos Mexicanos</w:t>
      </w:r>
      <w:r w:rsidRPr="00A10EDA">
        <w:rPr>
          <w:rFonts w:cs="Arial"/>
          <w:szCs w:val="22"/>
        </w:rPr>
        <w:t xml:space="preserve"> y 3, fracción XXXII del </w:t>
      </w:r>
      <w:r w:rsidRPr="00A10EDA">
        <w:rPr>
          <w:rFonts w:cs="Arial"/>
          <w:b/>
          <w:szCs w:val="22"/>
        </w:rPr>
        <w:t>Código Financiero del Estado de México y Municipios</w:t>
      </w:r>
      <w:r w:rsidRPr="00A10EDA">
        <w:rPr>
          <w:rFonts w:cs="Arial"/>
          <w:szCs w:val="22"/>
        </w:rPr>
        <w:t xml:space="preserve">, constituyen toda percepción o pagos por concepto de sueldo, compensaciones, gratificaciones, habitación, </w:t>
      </w:r>
      <w:r w:rsidRPr="00A10EDA">
        <w:rPr>
          <w:rFonts w:cs="Arial"/>
          <w:b/>
          <w:szCs w:val="22"/>
        </w:rPr>
        <w:t>primas</w:t>
      </w:r>
      <w:r w:rsidRPr="00A10EDA">
        <w:rPr>
          <w:rFonts w:cs="Arial"/>
          <w:szCs w:val="22"/>
        </w:rPr>
        <w:t xml:space="preserve">, comisiones, prestaciones en especie, premios, recompensas, bonos, estímulos, dietas, </w:t>
      </w:r>
      <w:r w:rsidRPr="00A10EDA">
        <w:rPr>
          <w:rFonts w:cs="Arial"/>
          <w:b/>
          <w:szCs w:val="22"/>
        </w:rPr>
        <w:t>aguinaldos,</w:t>
      </w:r>
      <w:r w:rsidRPr="00A10EDA">
        <w:rPr>
          <w:rFonts w:cs="Arial"/>
          <w:szCs w:val="22"/>
        </w:rPr>
        <w:t xml:space="preserve"> comisiones y cualquier otra prestación que se entregue a los servidores públicos por su trabajo.</w:t>
      </w:r>
    </w:p>
    <w:p w14:paraId="77FA996D" w14:textId="77777777" w:rsidR="000857D6" w:rsidRPr="00A10EDA" w:rsidRDefault="000857D6" w:rsidP="00A10EDA">
      <w:pPr>
        <w:pStyle w:val="Prrafodelista"/>
        <w:rPr>
          <w:rFonts w:cs="Arial"/>
          <w:szCs w:val="22"/>
        </w:rPr>
      </w:pPr>
    </w:p>
    <w:p w14:paraId="63DCD66B" w14:textId="77777777" w:rsidR="000857D6" w:rsidRPr="00A10EDA" w:rsidRDefault="000857D6" w:rsidP="00A10EDA">
      <w:pPr>
        <w:pStyle w:val="Prrafodelista"/>
        <w:autoSpaceDE w:val="0"/>
        <w:autoSpaceDN w:val="0"/>
        <w:adjustRightInd w:val="0"/>
        <w:ind w:left="0" w:right="49"/>
        <w:rPr>
          <w:rFonts w:cs="Arial"/>
          <w:szCs w:val="22"/>
        </w:rPr>
      </w:pPr>
      <w:r w:rsidRPr="00A10EDA">
        <w:rPr>
          <w:rFonts w:cs="Arial"/>
          <w:szCs w:val="22"/>
        </w:rPr>
        <w:t xml:space="preserve">No pasa desapercibido que </w:t>
      </w:r>
      <w:r w:rsidRPr="00A10EDA">
        <w:rPr>
          <w:rFonts w:eastAsia="Arial Unicode MS" w:cs="Arial"/>
          <w:szCs w:val="22"/>
          <w:lang w:val="es-419"/>
        </w:rPr>
        <w:t xml:space="preserve">la Ley del Trabajo de los Servidores Públicos del Estado de México y Municipios, refiere que </w:t>
      </w:r>
      <w:r w:rsidRPr="00A10EDA">
        <w:rPr>
          <w:rFonts w:eastAsia="Arial Unicode MS" w:cs="Arial"/>
          <w:szCs w:val="22"/>
        </w:rPr>
        <w:t>el</w:t>
      </w:r>
      <w:r w:rsidRPr="00A10EDA">
        <w:rPr>
          <w:rFonts w:eastAsia="Arial Unicode MS" w:cs="Arial"/>
          <w:szCs w:val="22"/>
          <w:lang w:val="es-419"/>
        </w:rPr>
        <w:t xml:space="preserve"> </w:t>
      </w:r>
      <w:r w:rsidRPr="00A10EDA">
        <w:rPr>
          <w:rFonts w:eastAsia="Palatino Linotype" w:cs="Palatino Linotype"/>
          <w:szCs w:val="22"/>
        </w:rPr>
        <w:t>aguinaldo</w:t>
      </w:r>
      <w:r w:rsidRPr="00A10EDA">
        <w:rPr>
          <w:rFonts w:eastAsia="Arial Unicode MS" w:cs="Arial"/>
          <w:szCs w:val="22"/>
        </w:rPr>
        <w:t xml:space="preserve"> es la prestación a la que</w:t>
      </w:r>
      <w:r w:rsidRPr="00A10EDA">
        <w:rPr>
          <w:rFonts w:eastAsia="Arial Unicode MS" w:cs="Arial"/>
          <w:szCs w:val="22"/>
          <w:lang w:val="es-419"/>
        </w:rPr>
        <w:t xml:space="preserve"> </w:t>
      </w:r>
      <w:r w:rsidRPr="00A10EDA">
        <w:rPr>
          <w:rFonts w:eastAsia="Arial Unicode MS" w:cs="Arial"/>
          <w:szCs w:val="22"/>
        </w:rPr>
        <w:t xml:space="preserve">tendrán derecho </w:t>
      </w:r>
      <w:r w:rsidRPr="00A10EDA">
        <w:rPr>
          <w:rFonts w:eastAsia="Arial Unicode MS" w:cs="Arial"/>
          <w:szCs w:val="22"/>
          <w:lang w:val="es-419"/>
        </w:rPr>
        <w:t>los servidores públicos anual</w:t>
      </w:r>
      <w:r w:rsidRPr="00A10EDA">
        <w:rPr>
          <w:rFonts w:eastAsia="Arial Unicode MS" w:cs="Arial"/>
          <w:szCs w:val="22"/>
        </w:rPr>
        <w:t>mente</w:t>
      </w:r>
      <w:r w:rsidRPr="00A10EDA">
        <w:rPr>
          <w:rFonts w:eastAsia="Arial Unicode MS" w:cs="Arial"/>
          <w:szCs w:val="22"/>
          <w:lang w:val="es-419"/>
        </w:rPr>
        <w:t>, equivalente a 40 días de sueldo base, cuando menos,</w:t>
      </w:r>
      <w:r w:rsidRPr="00A10EDA">
        <w:rPr>
          <w:rFonts w:eastAsia="Arial Unicode MS" w:cs="Arial"/>
          <w:szCs w:val="22"/>
        </w:rPr>
        <w:t xml:space="preserve"> también señala que para los Servidores Públicos que hayan prestado sus servicios por un lapso menor a un año, tendrán derecho a que se les pague la parte proporcional del aguinaldo de acuerdo a los días efectivamente trabajados</w:t>
      </w:r>
      <w:r w:rsidRPr="00A10EDA">
        <w:rPr>
          <w:rFonts w:eastAsia="Arial Unicode MS" w:cs="Arial"/>
          <w:szCs w:val="22"/>
          <w:lang w:val="es-419"/>
        </w:rPr>
        <w:t xml:space="preserve"> y estará comprendido en el presupuesto de egresos correspondiente, misma que cabe </w:t>
      </w:r>
      <w:r w:rsidRPr="00A10EDA">
        <w:rPr>
          <w:rFonts w:eastAsia="Arial Unicode MS" w:cs="Arial"/>
          <w:szCs w:val="22"/>
        </w:rPr>
        <w:t>precisar</w:t>
      </w:r>
      <w:r w:rsidRPr="00A10EDA">
        <w:rPr>
          <w:rFonts w:eastAsia="Arial Unicode MS" w:cs="Arial"/>
          <w:szCs w:val="22"/>
          <w:lang w:val="es-419"/>
        </w:rPr>
        <w:t xml:space="preserve">, es una </w:t>
      </w:r>
      <w:r w:rsidRPr="00A10EDA">
        <w:rPr>
          <w:rFonts w:eastAsia="Arial Unicode MS" w:cs="Arial"/>
          <w:szCs w:val="22"/>
        </w:rPr>
        <w:t>prestación enmarcada en la legislación antes referida ya que todos los servidores públicos gozan de la misma, sin excepción alguna.</w:t>
      </w:r>
    </w:p>
    <w:p w14:paraId="2A1AAF66" w14:textId="77777777" w:rsidR="000857D6" w:rsidRPr="00A10EDA" w:rsidRDefault="000857D6" w:rsidP="00A10EDA">
      <w:pPr>
        <w:pStyle w:val="Prrafodelista"/>
        <w:rPr>
          <w:rFonts w:eastAsia="Arial Unicode MS" w:cs="Arial"/>
          <w:szCs w:val="22"/>
        </w:rPr>
      </w:pPr>
    </w:p>
    <w:p w14:paraId="5CC79E71" w14:textId="77777777" w:rsidR="000857D6" w:rsidRPr="00A10EDA" w:rsidRDefault="000857D6" w:rsidP="00A10EDA">
      <w:pPr>
        <w:pStyle w:val="Prrafodelista"/>
        <w:autoSpaceDE w:val="0"/>
        <w:autoSpaceDN w:val="0"/>
        <w:adjustRightInd w:val="0"/>
        <w:ind w:left="0" w:right="49"/>
        <w:rPr>
          <w:rFonts w:cs="Arial"/>
          <w:szCs w:val="22"/>
        </w:rPr>
      </w:pPr>
      <w:r w:rsidRPr="00A10EDA">
        <w:rPr>
          <w:rFonts w:eastAsia="Arial Unicode MS" w:cs="Arial"/>
          <w:szCs w:val="22"/>
        </w:rPr>
        <w:t>Asimismo</w:t>
      </w:r>
      <w:r w:rsidRPr="00A10EDA">
        <w:rPr>
          <w:rFonts w:eastAsia="Arial Unicode MS" w:cs="Arial"/>
          <w:szCs w:val="22"/>
          <w:lang w:val="es-419"/>
        </w:rPr>
        <w:t>, respecto a las gratificaciones</w:t>
      </w:r>
      <w:r w:rsidRPr="00A10EDA">
        <w:rPr>
          <w:rFonts w:eastAsia="Arial Unicode MS" w:cs="Arial"/>
          <w:szCs w:val="22"/>
        </w:rPr>
        <w:t xml:space="preserve"> especiales</w:t>
      </w:r>
      <w:r w:rsidRPr="00A10EDA">
        <w:rPr>
          <w:rFonts w:eastAsia="Arial Unicode MS" w:cs="Arial"/>
          <w:szCs w:val="22"/>
          <w:lang w:val="es-419"/>
        </w:rPr>
        <w:t xml:space="preserve">, el Código Financiero del Estado de México y Municipios establece en su artículo 289 que la asignación de remuneraciones se fijará con base en los criterios y elementos señalados por </w:t>
      </w:r>
      <w:r w:rsidRPr="00A10EDA">
        <w:rPr>
          <w:rFonts w:eastAsia="Arial Unicode MS" w:cs="Arial"/>
          <w:szCs w:val="22"/>
        </w:rPr>
        <w:t>dicho</w:t>
      </w:r>
      <w:r w:rsidRPr="00A10EDA">
        <w:rPr>
          <w:rFonts w:eastAsia="Arial Unicode MS" w:cs="Arial"/>
          <w:szCs w:val="22"/>
          <w:lang w:val="es-419"/>
        </w:rPr>
        <w:t xml:space="preserve"> artículo y ningún servidor público estará facultado para establecer percepciones, cualquiera que sea su denominación, de </w:t>
      </w:r>
      <w:r w:rsidRPr="00A10EDA">
        <w:rPr>
          <w:rFonts w:eastAsia="Arial Unicode MS" w:cs="Arial"/>
          <w:szCs w:val="22"/>
          <w:lang w:val="es-419"/>
        </w:rPr>
        <w:lastRenderedPageBreak/>
        <w:t xml:space="preserve">manera discrecional. Los bonos, estímulos, premios, gratificaciones o compensaciones adicionales a lo autorizado en el Presupuesto de Egresos que se asignen a servidores públicos estatales y municipales, independientemente de que se pague en numerario o en especie, cualquiera que sea el medio de pago, solo se podrán erogar si se cuenta con la suficiencia presupuestaria, debiendo informarlo a la Legislatura del Estado; en </w:t>
      </w:r>
      <w:r w:rsidRPr="00A10EDA">
        <w:rPr>
          <w:rFonts w:eastAsia="Arial Unicode MS" w:cs="Arial"/>
          <w:szCs w:val="22"/>
        </w:rPr>
        <w:t xml:space="preserve">otras </w:t>
      </w:r>
      <w:r w:rsidRPr="00A10EDA">
        <w:rPr>
          <w:rFonts w:eastAsia="Arial Unicode MS" w:cs="Arial"/>
          <w:szCs w:val="22"/>
          <w:lang w:val="es-419"/>
        </w:rPr>
        <w:t>palabras</w:t>
      </w:r>
      <w:r w:rsidRPr="00A10EDA">
        <w:rPr>
          <w:rFonts w:eastAsia="Arial Unicode MS" w:cs="Arial"/>
          <w:szCs w:val="22"/>
        </w:rPr>
        <w:t xml:space="preserve"> las gratificaciones especiales están sujetas a la suficiencia presupuestaria de cada entidad gubernamental.</w:t>
      </w:r>
    </w:p>
    <w:p w14:paraId="71162C57" w14:textId="77777777" w:rsidR="000857D6" w:rsidRPr="00A10EDA" w:rsidRDefault="000857D6" w:rsidP="00A10EDA">
      <w:pPr>
        <w:pStyle w:val="Prrafodelista"/>
        <w:rPr>
          <w:rFonts w:cs="Tahoma"/>
          <w:bCs/>
          <w:iCs/>
          <w:szCs w:val="22"/>
        </w:rPr>
      </w:pPr>
    </w:p>
    <w:p w14:paraId="7AAFF6E5" w14:textId="3CFA6509" w:rsidR="000857D6" w:rsidRPr="00A10EDA" w:rsidRDefault="000857D6" w:rsidP="00A10EDA">
      <w:pPr>
        <w:pStyle w:val="Prrafodelista"/>
        <w:autoSpaceDE w:val="0"/>
        <w:autoSpaceDN w:val="0"/>
        <w:adjustRightInd w:val="0"/>
        <w:ind w:left="0" w:right="49"/>
        <w:rPr>
          <w:rFonts w:cs="Arial"/>
          <w:szCs w:val="22"/>
        </w:rPr>
      </w:pPr>
      <w:r w:rsidRPr="00A10EDA">
        <w:rPr>
          <w:rFonts w:cs="Arial"/>
          <w:szCs w:val="22"/>
        </w:rPr>
        <w:t>Bajo dichas consideraciones, se reitera que los recibos de nómina correspondiente</w:t>
      </w:r>
      <w:r w:rsidR="006359C2" w:rsidRPr="00A10EDA">
        <w:rPr>
          <w:rFonts w:cs="Arial"/>
          <w:szCs w:val="22"/>
        </w:rPr>
        <w:t>s</w:t>
      </w:r>
      <w:r w:rsidRPr="00A10EDA">
        <w:rPr>
          <w:rFonts w:cs="Arial"/>
          <w:szCs w:val="22"/>
        </w:rPr>
        <w:t xml:space="preserve"> deberá</w:t>
      </w:r>
      <w:r w:rsidR="006359C2" w:rsidRPr="00A10EDA">
        <w:rPr>
          <w:rFonts w:cs="Arial"/>
          <w:szCs w:val="22"/>
        </w:rPr>
        <w:t>n</w:t>
      </w:r>
      <w:r w:rsidRPr="00A10EDA">
        <w:rPr>
          <w:rFonts w:cs="Arial"/>
          <w:szCs w:val="22"/>
        </w:rPr>
        <w:t xml:space="preserve"> contener el desglose de las percepciones y deducciones de los servidores públicos, en los cuales se incluya, según sea el caso los conceptos que integran dichos rubros, siendo el formato de nómina que se remite trimestralmente al OSFEM el documento que da cuenta de la información requerida por el particular.</w:t>
      </w:r>
    </w:p>
    <w:p w14:paraId="4B9FA19B" w14:textId="77777777" w:rsidR="000857D6" w:rsidRPr="00A10EDA" w:rsidRDefault="000857D6" w:rsidP="00A10EDA">
      <w:pPr>
        <w:pStyle w:val="Prrafodelista"/>
        <w:rPr>
          <w:rFonts w:cs="Arial"/>
          <w:szCs w:val="22"/>
        </w:rPr>
      </w:pPr>
    </w:p>
    <w:p w14:paraId="46079F3C" w14:textId="77777777" w:rsidR="000857D6" w:rsidRPr="00A10EDA" w:rsidRDefault="000857D6" w:rsidP="00A10EDA">
      <w:pPr>
        <w:pStyle w:val="Prrafodelista"/>
        <w:ind w:left="0"/>
        <w:rPr>
          <w:rFonts w:cs="Arial"/>
          <w:szCs w:val="22"/>
        </w:rPr>
      </w:pPr>
      <w:r w:rsidRPr="00A10EDA">
        <w:rPr>
          <w:rFonts w:cs="Arial"/>
          <w:szCs w:val="22"/>
        </w:rPr>
        <w:t xml:space="preserve">Ahora bien, el artículo 70 de la </w:t>
      </w:r>
      <w:r w:rsidRPr="00A10EDA">
        <w:rPr>
          <w:rFonts w:cs="Arial"/>
          <w:b/>
          <w:szCs w:val="22"/>
        </w:rPr>
        <w:t>Ley General de Transparencia y Acceso a la Información Pública</w:t>
      </w:r>
      <w:r w:rsidRPr="00A10EDA">
        <w:rPr>
          <w:rFonts w:cs="Arial"/>
          <w:szCs w:val="22"/>
        </w:rPr>
        <w:t xml:space="preserve"> dispone lo siguiente:</w:t>
      </w:r>
    </w:p>
    <w:p w14:paraId="2D74982A" w14:textId="77777777" w:rsidR="000857D6" w:rsidRPr="00A10EDA" w:rsidRDefault="000857D6" w:rsidP="00A10EDA">
      <w:pPr>
        <w:pStyle w:val="Prrafodelista"/>
        <w:ind w:left="851"/>
        <w:rPr>
          <w:rFonts w:cs="Arial"/>
          <w:szCs w:val="22"/>
        </w:rPr>
      </w:pPr>
    </w:p>
    <w:p w14:paraId="6CFE5527" w14:textId="77777777" w:rsidR="000857D6" w:rsidRPr="00A10EDA" w:rsidRDefault="000857D6" w:rsidP="00A10EDA">
      <w:pPr>
        <w:pStyle w:val="Puesto"/>
      </w:pPr>
      <w:r w:rsidRPr="00A10EDA">
        <w:rPr>
          <w:b/>
        </w:rPr>
        <w:t>Artículo 70.</w:t>
      </w:r>
      <w:r w:rsidRPr="00A10EDA">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7415A776" w14:textId="77777777" w:rsidR="000857D6" w:rsidRPr="00A10EDA" w:rsidRDefault="000857D6" w:rsidP="00A10EDA">
      <w:pPr>
        <w:pStyle w:val="Puesto"/>
      </w:pPr>
      <w:r w:rsidRPr="00A10EDA">
        <w:t>…</w:t>
      </w:r>
    </w:p>
    <w:p w14:paraId="7DC64217" w14:textId="77777777" w:rsidR="000857D6" w:rsidRPr="00A10EDA" w:rsidRDefault="000857D6" w:rsidP="00A10EDA">
      <w:pPr>
        <w:pStyle w:val="Puesto"/>
        <w:rPr>
          <w:b/>
        </w:rPr>
      </w:pPr>
      <w:r w:rsidRPr="00A10EDA">
        <w:rPr>
          <w:b/>
        </w:rPr>
        <w:t>VIII.</w:t>
      </w:r>
      <w:r w:rsidRPr="00A10EDA">
        <w:rPr>
          <w:b/>
        </w:rPr>
        <w:tab/>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39E25FAC" w14:textId="77777777" w:rsidR="000857D6" w:rsidRPr="00A10EDA" w:rsidRDefault="000857D6" w:rsidP="00A10EDA">
      <w:pPr>
        <w:pStyle w:val="Prrafodelista"/>
        <w:ind w:left="0"/>
        <w:rPr>
          <w:rFonts w:cs="Arial"/>
          <w:szCs w:val="22"/>
        </w:rPr>
      </w:pPr>
    </w:p>
    <w:p w14:paraId="3C7D11F1" w14:textId="77777777" w:rsidR="000857D6" w:rsidRPr="00A10EDA" w:rsidRDefault="000857D6" w:rsidP="00A10EDA">
      <w:pPr>
        <w:pStyle w:val="Prrafodelista"/>
        <w:ind w:left="0"/>
        <w:rPr>
          <w:rFonts w:cs="Arial"/>
          <w:szCs w:val="22"/>
        </w:rPr>
      </w:pPr>
      <w:r w:rsidRPr="00A10EDA">
        <w:rPr>
          <w:rFonts w:cs="Arial"/>
          <w:szCs w:val="22"/>
        </w:rPr>
        <w:lastRenderedPageBreak/>
        <w:t xml:space="preserve">Robustece lo anterior, el artículo 92, fracción VIII de la </w:t>
      </w:r>
      <w:r w:rsidRPr="00A10EDA">
        <w:rPr>
          <w:rFonts w:cs="Arial"/>
          <w:b/>
          <w:szCs w:val="22"/>
        </w:rPr>
        <w:t>Ley de Transparencia y Acceso a la Información Pública del Estado de México y Municipios</w:t>
      </w:r>
      <w:r w:rsidRPr="00A10EDA">
        <w:rPr>
          <w:rFonts w:cs="Arial"/>
          <w:szCs w:val="22"/>
        </w:rPr>
        <w:t>, señala:</w:t>
      </w:r>
    </w:p>
    <w:p w14:paraId="252616D4" w14:textId="77777777" w:rsidR="000857D6" w:rsidRPr="00A10EDA" w:rsidRDefault="000857D6" w:rsidP="00A10EDA">
      <w:pPr>
        <w:pStyle w:val="Prrafodelista"/>
        <w:ind w:left="0"/>
        <w:rPr>
          <w:rFonts w:cs="Arial"/>
          <w:szCs w:val="22"/>
        </w:rPr>
      </w:pPr>
    </w:p>
    <w:p w14:paraId="41469968" w14:textId="77777777" w:rsidR="000857D6" w:rsidRPr="00A10EDA" w:rsidRDefault="000857D6" w:rsidP="00A10EDA">
      <w:pPr>
        <w:pStyle w:val="Puesto"/>
      </w:pPr>
      <w:r w:rsidRPr="00A10EDA">
        <w:t>“</w:t>
      </w:r>
      <w:r w:rsidRPr="00A10EDA">
        <w:rPr>
          <w:b/>
        </w:rPr>
        <w:t>Artículo 92.</w:t>
      </w:r>
      <w:r w:rsidRPr="00A10EDA">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C78152E" w14:textId="77777777" w:rsidR="000857D6" w:rsidRPr="00A10EDA" w:rsidRDefault="000857D6" w:rsidP="00A10EDA">
      <w:pPr>
        <w:pStyle w:val="Puesto"/>
      </w:pPr>
      <w:r w:rsidRPr="00A10EDA">
        <w:t>(…)</w:t>
      </w:r>
    </w:p>
    <w:p w14:paraId="35D15CDA" w14:textId="77777777" w:rsidR="000857D6" w:rsidRPr="00A10EDA" w:rsidRDefault="000857D6" w:rsidP="00A10EDA">
      <w:pPr>
        <w:pStyle w:val="Puesto"/>
        <w:rPr>
          <w:b/>
        </w:rPr>
      </w:pPr>
      <w:r w:rsidRPr="00A10EDA">
        <w:rPr>
          <w:b/>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3BE3FA8D" w14:textId="77777777" w:rsidR="000857D6" w:rsidRPr="00A10EDA" w:rsidRDefault="000857D6" w:rsidP="00A10EDA">
      <w:pPr>
        <w:rPr>
          <w:rFonts w:cs="Arial"/>
          <w:szCs w:val="22"/>
        </w:rPr>
      </w:pPr>
    </w:p>
    <w:p w14:paraId="340FC785" w14:textId="77777777" w:rsidR="000857D6" w:rsidRPr="00A10EDA" w:rsidRDefault="000857D6" w:rsidP="00A10EDA">
      <w:pPr>
        <w:pStyle w:val="Prrafodelista"/>
        <w:ind w:left="0"/>
        <w:rPr>
          <w:rFonts w:cs="Arial"/>
          <w:szCs w:val="22"/>
        </w:rPr>
      </w:pPr>
      <w:r w:rsidRPr="00A10EDA">
        <w:rPr>
          <w:rFonts w:cs="Arial"/>
          <w:szCs w:val="22"/>
        </w:rPr>
        <w:t xml:space="preserve">En este sentido, la Ley de Transparencia y Acceso a la Información Pública del Estado de México y Municipios refiere que los Sujetos Obligados deberán tener disponible en medio impreso o electrónico, de manera permanente y actualizada, de forma sencilla, precisa y entendible para los particulares, </w:t>
      </w:r>
      <w:r w:rsidRPr="00A10EDA">
        <w:rPr>
          <w:rFonts w:cs="Arial"/>
          <w:b/>
          <w:szCs w:val="22"/>
        </w:rPr>
        <w:t>las remuneraciones</w:t>
      </w:r>
      <w:r w:rsidRPr="00A10EDA">
        <w:rPr>
          <w:rFonts w:cs="Arial"/>
          <w:szCs w:val="22"/>
        </w:rPr>
        <w:t xml:space="preserve"> que perciban los servidores públicos de acuerdo con lo establecido en el </w:t>
      </w:r>
      <w:r w:rsidRPr="00A10EDA">
        <w:rPr>
          <w:rFonts w:cs="Arial"/>
          <w:b/>
          <w:szCs w:val="22"/>
        </w:rPr>
        <w:t>Código Financiero del Estado de México y Municipios</w:t>
      </w:r>
      <w:r w:rsidRPr="00A10EDA">
        <w:rPr>
          <w:rFonts w:cs="Arial"/>
          <w:szCs w:val="22"/>
        </w:rPr>
        <w:t xml:space="preserve">. </w:t>
      </w:r>
    </w:p>
    <w:p w14:paraId="5C65FA0E" w14:textId="77777777" w:rsidR="000857D6" w:rsidRPr="00A10EDA" w:rsidRDefault="000857D6" w:rsidP="00A10EDA">
      <w:pPr>
        <w:rPr>
          <w:rFonts w:eastAsia="Palatino Linotype" w:cs="Palatino Linotype"/>
          <w:szCs w:val="22"/>
        </w:rPr>
      </w:pPr>
    </w:p>
    <w:p w14:paraId="4F36C287" w14:textId="77777777" w:rsidR="000857D6" w:rsidRPr="00A10EDA" w:rsidRDefault="000857D6" w:rsidP="00A10EDA">
      <w:pPr>
        <w:pStyle w:val="Prrafodelista"/>
        <w:ind w:left="0"/>
        <w:rPr>
          <w:rFonts w:eastAsia="Palatino Linotype" w:cs="Palatino Linotype"/>
          <w:szCs w:val="22"/>
        </w:rPr>
      </w:pPr>
      <w:r w:rsidRPr="00A10EDA">
        <w:rPr>
          <w:rFonts w:eastAsia="Palatino Linotype" w:cs="Palatino Linotype"/>
          <w:szCs w:val="22"/>
        </w:rPr>
        <w:t xml:space="preserve">Sirve de sustento por analogía, para justificar la publicidad sobre los datos relativos a los montos por concepto de pago de las remuneraciones, los criterios </w:t>
      </w:r>
      <w:r w:rsidRPr="00A10EDA">
        <w:rPr>
          <w:rFonts w:eastAsia="Palatino Linotype" w:cs="Palatino Linotype"/>
          <w:b/>
          <w:szCs w:val="22"/>
        </w:rPr>
        <w:t>01/2003</w:t>
      </w:r>
      <w:r w:rsidRPr="00A10EDA">
        <w:rPr>
          <w:rFonts w:eastAsia="Palatino Linotype" w:cs="Palatino Linotype"/>
          <w:szCs w:val="22"/>
        </w:rPr>
        <w:t xml:space="preserve"> y </w:t>
      </w:r>
      <w:r w:rsidRPr="00A10EDA">
        <w:rPr>
          <w:rFonts w:eastAsia="Palatino Linotype" w:cs="Palatino Linotype"/>
          <w:b/>
          <w:szCs w:val="22"/>
        </w:rPr>
        <w:t>02/2003</w:t>
      </w:r>
      <w:r w:rsidRPr="00A10EDA">
        <w:rPr>
          <w:rFonts w:eastAsia="Palatino Linotype" w:cs="Palatino Linotype"/>
          <w:szCs w:val="22"/>
        </w:rPr>
        <w:t xml:space="preserve"> emitidos por el Comité de Acceso a la Información Pública y Protección de Datos Personales de la Suprema Corte de Justicia de la Nación que a continuación se citan: </w:t>
      </w:r>
    </w:p>
    <w:p w14:paraId="02D18DE9" w14:textId="77777777" w:rsidR="000857D6" w:rsidRPr="00A10EDA" w:rsidRDefault="000857D6" w:rsidP="00A10EDA">
      <w:pPr>
        <w:rPr>
          <w:rFonts w:eastAsia="Palatino Linotype" w:cs="Palatino Linotype"/>
          <w:szCs w:val="22"/>
        </w:rPr>
      </w:pPr>
    </w:p>
    <w:p w14:paraId="3C3DE775" w14:textId="77777777" w:rsidR="000857D6" w:rsidRPr="00A10EDA" w:rsidRDefault="000857D6" w:rsidP="00A10EDA">
      <w:pPr>
        <w:pStyle w:val="Puesto"/>
        <w:rPr>
          <w:rFonts w:eastAsia="Palatino Linotype"/>
          <w:b/>
        </w:rPr>
      </w:pPr>
      <w:r w:rsidRPr="00A10EDA">
        <w:rPr>
          <w:rFonts w:eastAsia="Palatino Linotype"/>
          <w:b/>
        </w:rPr>
        <w:t>“Criterio 01/2003.</w:t>
      </w:r>
    </w:p>
    <w:p w14:paraId="2DE535BF" w14:textId="77777777" w:rsidR="000857D6" w:rsidRPr="00A10EDA" w:rsidRDefault="000857D6" w:rsidP="00A10EDA">
      <w:pPr>
        <w:pStyle w:val="Puesto"/>
        <w:rPr>
          <w:rFonts w:eastAsia="Palatino Linotype"/>
          <w:b/>
        </w:rPr>
      </w:pPr>
      <w:r w:rsidRPr="00A10EDA">
        <w:rPr>
          <w:rFonts w:eastAsia="Palatino Linotype"/>
          <w:b/>
        </w:rPr>
        <w:t xml:space="preserve">INGRESOS DE LOS SERVIDORES PÚBLICOS. CONSTITUYEN INFORMACIÓN PÚBLICA AÚN Y CUANDO SU DIFUSIÓN PUEDE AFECTAR LA VIDA O LA SEGURIDAD DE AQUELLOS. </w:t>
      </w:r>
    </w:p>
    <w:p w14:paraId="4D4B9A61" w14:textId="77777777" w:rsidR="000857D6" w:rsidRPr="00A10EDA" w:rsidRDefault="000857D6" w:rsidP="00A10EDA">
      <w:pPr>
        <w:pStyle w:val="Puesto"/>
        <w:rPr>
          <w:rFonts w:eastAsia="Palatino Linotype"/>
          <w:u w:val="single"/>
        </w:rPr>
      </w:pPr>
      <w:r w:rsidRPr="00A10EDA">
        <w:rPr>
          <w:rFonts w:eastAsia="Palatino Linotype"/>
        </w:rPr>
        <w:lastRenderedPageBreak/>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A10EDA">
        <w:rPr>
          <w:rFonts w:eastAsia="Palatino Linotype"/>
          <w:b/>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A10EDA">
        <w:rPr>
          <w:rFonts w:eastAsia="Palatino Linotype"/>
          <w:u w:val="single"/>
        </w:rPr>
        <w:t>…”</w:t>
      </w:r>
    </w:p>
    <w:p w14:paraId="686E6BB4" w14:textId="77777777" w:rsidR="000857D6" w:rsidRPr="00A10EDA" w:rsidRDefault="000857D6" w:rsidP="00A10EDA">
      <w:pPr>
        <w:tabs>
          <w:tab w:val="left" w:pos="8222"/>
        </w:tabs>
        <w:spacing w:line="240" w:lineRule="auto"/>
        <w:ind w:left="851" w:right="851"/>
        <w:rPr>
          <w:rFonts w:eastAsia="Palatino Linotype" w:cs="Palatino Linotype"/>
          <w:i/>
          <w:szCs w:val="22"/>
        </w:rPr>
      </w:pPr>
    </w:p>
    <w:p w14:paraId="6F26CAE1" w14:textId="77777777" w:rsidR="000857D6" w:rsidRPr="00A10EDA" w:rsidRDefault="000857D6" w:rsidP="00A10EDA">
      <w:pPr>
        <w:pStyle w:val="Puesto"/>
        <w:rPr>
          <w:rFonts w:eastAsia="Palatino Linotype"/>
        </w:rPr>
      </w:pPr>
      <w:r w:rsidRPr="00A10EDA">
        <w:rPr>
          <w:rFonts w:eastAsia="Palatino Linotype"/>
        </w:rPr>
        <w:t>“Criterio 02/2003.</w:t>
      </w:r>
    </w:p>
    <w:p w14:paraId="3E42088F" w14:textId="77777777" w:rsidR="000857D6" w:rsidRPr="00A10EDA" w:rsidRDefault="000857D6" w:rsidP="00A10EDA">
      <w:pPr>
        <w:pStyle w:val="Puesto"/>
        <w:rPr>
          <w:rFonts w:eastAsia="Palatino Linotype"/>
          <w:b/>
        </w:rPr>
      </w:pPr>
      <w:r w:rsidRPr="00A10EDA">
        <w:rPr>
          <w:rFonts w:eastAsia="Palatino Linotype"/>
          <w:b/>
        </w:rPr>
        <w:t xml:space="preserve">INGRESOS DE LOS SERVIDORES PÚBLICOS, SON INFORMACIÓN PÚBLICA AÚN Y CUANDO CONSTITUYEN DATOS PERSONALES QUE SE REFIEREN AL PATRIMONIO DE AQUÉLLOS. </w:t>
      </w:r>
    </w:p>
    <w:p w14:paraId="064F224E" w14:textId="77777777" w:rsidR="000857D6" w:rsidRPr="00A10EDA" w:rsidRDefault="000857D6" w:rsidP="00A10EDA">
      <w:pPr>
        <w:pStyle w:val="Puesto"/>
        <w:rPr>
          <w:rFonts w:eastAsia="Palatino Linotype"/>
        </w:rPr>
      </w:pPr>
      <w:r w:rsidRPr="00A10EDA">
        <w:rPr>
          <w:rFonts w:eastAsia="Palatino Linotype"/>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A10EDA">
        <w:rPr>
          <w:rFonts w:eastAsia="Palatino Linotype"/>
          <w:b/>
        </w:rPr>
        <w:t xml:space="preserve">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 </w:t>
      </w:r>
      <w:r w:rsidRPr="00A10EDA">
        <w:rPr>
          <w:rFonts w:eastAsia="Palatino Linotype"/>
        </w:rPr>
        <w:t>el sistema de compensación…” [Sic]</w:t>
      </w:r>
    </w:p>
    <w:p w14:paraId="162FB90C" w14:textId="10097231" w:rsidR="007408BA" w:rsidRPr="00A10EDA" w:rsidRDefault="007408BA" w:rsidP="00A10EDA">
      <w:pPr>
        <w:widowControl w:val="0"/>
        <w:autoSpaceDE w:val="0"/>
        <w:autoSpaceDN w:val="0"/>
        <w:adjustRightInd w:val="0"/>
      </w:pPr>
    </w:p>
    <w:p w14:paraId="1B4961FB" w14:textId="06F4A116" w:rsidR="00A476B0" w:rsidRPr="00A10EDA" w:rsidRDefault="00A476B0" w:rsidP="00A10EDA">
      <w:pPr>
        <w:rPr>
          <w:rFonts w:eastAsia="Calibri" w:cs="Arial"/>
          <w:lang w:eastAsia="es-MX"/>
        </w:rPr>
      </w:pPr>
      <w:r w:rsidRPr="00A10EDA">
        <w:rPr>
          <w:rFonts w:eastAsia="Calibri" w:cs="Arial"/>
          <w:lang w:eastAsia="es-MX"/>
        </w:rPr>
        <w:t>No pasa inadvertido para este Órgano Garante que derivado de la búsqueda de elementos necesarios del Servidor Público precisado en la solicitud por el Particular se localizó lo siguiente:</w:t>
      </w:r>
    </w:p>
    <w:p w14:paraId="71D489A7" w14:textId="77777777" w:rsidR="00A476B0" w:rsidRPr="00A10EDA" w:rsidRDefault="00A476B0" w:rsidP="00A10EDA">
      <w:pPr>
        <w:rPr>
          <w:rFonts w:eastAsia="Calibri" w:cs="Arial"/>
          <w:lang w:eastAsia="es-MX"/>
        </w:rPr>
      </w:pPr>
    </w:p>
    <w:p w14:paraId="01B1C282" w14:textId="16F99E60" w:rsidR="00A476B0" w:rsidRPr="00A10EDA" w:rsidRDefault="00A476B0" w:rsidP="00A10EDA">
      <w:pPr>
        <w:jc w:val="center"/>
        <w:rPr>
          <w:rFonts w:eastAsia="Calibri" w:cs="Arial"/>
          <w:lang w:eastAsia="es-MX"/>
        </w:rPr>
      </w:pPr>
      <w:r w:rsidRPr="00A10EDA">
        <w:rPr>
          <w:rFonts w:eastAsia="Calibri" w:cs="Arial"/>
          <w:noProof/>
          <w:lang w:eastAsia="es-MX"/>
          <w14:ligatures w14:val="standardContextual"/>
        </w:rPr>
        <w:lastRenderedPageBreak/>
        <mc:AlternateContent>
          <mc:Choice Requires="wps">
            <w:drawing>
              <wp:anchor distT="0" distB="0" distL="114300" distR="114300" simplePos="0" relativeHeight="251661312" behindDoc="0" locked="0" layoutInCell="1" allowOverlap="1" wp14:anchorId="1B050B3C" wp14:editId="2EF23934">
                <wp:simplePos x="0" y="0"/>
                <wp:positionH relativeFrom="column">
                  <wp:posOffset>579120</wp:posOffset>
                </wp:positionH>
                <wp:positionV relativeFrom="paragraph">
                  <wp:posOffset>1560195</wp:posOffset>
                </wp:positionV>
                <wp:extent cx="514350" cy="228600"/>
                <wp:effectExtent l="0" t="19050" r="38100" b="38100"/>
                <wp:wrapNone/>
                <wp:docPr id="8" name="Flecha derecha 8"/>
                <wp:cNvGraphicFramePr/>
                <a:graphic xmlns:a="http://schemas.openxmlformats.org/drawingml/2006/main">
                  <a:graphicData uri="http://schemas.microsoft.com/office/word/2010/wordprocessingShape">
                    <wps:wsp>
                      <wps:cNvSpPr/>
                      <wps:spPr>
                        <a:xfrm>
                          <a:off x="0" y="0"/>
                          <a:ext cx="514350" cy="2286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type w14:anchorId="0F8079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8" o:spid="_x0000_s1026" type="#_x0000_t13" style="position:absolute;margin-left:45.6pt;margin-top:122.85pt;width:40.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" adj="16800" fillcolor="red" strokecolor="red" strokeweight="1pt"/>
            </w:pict>
          </mc:Fallback>
        </mc:AlternateContent>
      </w:r>
      <w:r w:rsidRPr="00A10EDA">
        <w:rPr>
          <w:rFonts w:eastAsia="Calibri" w:cs="Arial"/>
          <w:noProof/>
          <w:lang w:eastAsia="es-MX"/>
          <w14:ligatures w14:val="standardContextual"/>
        </w:rPr>
        <mc:AlternateContent>
          <mc:Choice Requires="wps">
            <w:drawing>
              <wp:anchor distT="0" distB="0" distL="114300" distR="114300" simplePos="0" relativeHeight="251659264" behindDoc="0" locked="0" layoutInCell="1" allowOverlap="1" wp14:anchorId="38354865" wp14:editId="7EBDB28F">
                <wp:simplePos x="0" y="0"/>
                <wp:positionH relativeFrom="column">
                  <wp:posOffset>414020</wp:posOffset>
                </wp:positionH>
                <wp:positionV relativeFrom="paragraph">
                  <wp:posOffset>131445</wp:posOffset>
                </wp:positionV>
                <wp:extent cx="514350" cy="228600"/>
                <wp:effectExtent l="0" t="19050" r="38100" b="38100"/>
                <wp:wrapNone/>
                <wp:docPr id="7" name="Flecha derecha 7"/>
                <wp:cNvGraphicFramePr/>
                <a:graphic xmlns:a="http://schemas.openxmlformats.org/drawingml/2006/main">
                  <a:graphicData uri="http://schemas.microsoft.com/office/word/2010/wordprocessingShape">
                    <wps:wsp>
                      <wps:cNvSpPr/>
                      <wps:spPr>
                        <a:xfrm>
                          <a:off x="0" y="0"/>
                          <a:ext cx="514350" cy="2286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58A9EDA6" id="Flecha derecha 7" o:spid="_x0000_s1026" type="#_x0000_t13" style="position:absolute;margin-left:32.6pt;margin-top:10.35pt;width:40.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" adj="16800" fillcolor="red" strokecolor="red" strokeweight="1pt"/>
            </w:pict>
          </mc:Fallback>
        </mc:AlternateContent>
      </w:r>
      <w:r w:rsidRPr="00A10EDA">
        <w:rPr>
          <w:rFonts w:eastAsia="Calibri" w:cs="Arial"/>
          <w:noProof/>
          <w:lang w:eastAsia="es-MX"/>
        </w:rPr>
        <w:drawing>
          <wp:inline distT="0" distB="0" distL="0" distR="0" wp14:anchorId="209DDA67" wp14:editId="0082D619">
            <wp:extent cx="3867150" cy="18690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97890" cy="1883865"/>
                    </a:xfrm>
                    <a:prstGeom prst="rect">
                      <a:avLst/>
                    </a:prstGeom>
                  </pic:spPr>
                </pic:pic>
              </a:graphicData>
            </a:graphic>
          </wp:inline>
        </w:drawing>
      </w:r>
    </w:p>
    <w:p w14:paraId="69409C31" w14:textId="77777777" w:rsidR="00A476B0" w:rsidRPr="00A10EDA" w:rsidRDefault="00A476B0" w:rsidP="00A10EDA">
      <w:pPr>
        <w:rPr>
          <w:rFonts w:eastAsia="Calibri" w:cs="Arial"/>
          <w:lang w:eastAsia="es-MX"/>
        </w:rPr>
      </w:pPr>
    </w:p>
    <w:p w14:paraId="365C3248" w14:textId="013D7D07" w:rsidR="00A476B0" w:rsidRPr="00A10EDA" w:rsidRDefault="00A476B0" w:rsidP="00A10EDA">
      <w:pPr>
        <w:jc w:val="center"/>
        <w:rPr>
          <w:rFonts w:eastAsia="Calibri" w:cs="Arial"/>
          <w:lang w:eastAsia="es-MX"/>
        </w:rPr>
      </w:pPr>
      <w:r w:rsidRPr="00A10EDA">
        <w:rPr>
          <w:rFonts w:eastAsia="Calibri" w:cs="Arial"/>
          <w:noProof/>
          <w:lang w:eastAsia="es-MX"/>
          <w14:ligatures w14:val="standardContextual"/>
        </w:rPr>
        <mc:AlternateContent>
          <mc:Choice Requires="wps">
            <w:drawing>
              <wp:anchor distT="0" distB="0" distL="114300" distR="114300" simplePos="0" relativeHeight="251663360" behindDoc="0" locked="0" layoutInCell="1" allowOverlap="1" wp14:anchorId="578975CD" wp14:editId="4181B2BF">
                <wp:simplePos x="0" y="0"/>
                <wp:positionH relativeFrom="column">
                  <wp:posOffset>579120</wp:posOffset>
                </wp:positionH>
                <wp:positionV relativeFrom="paragraph">
                  <wp:posOffset>1041400</wp:posOffset>
                </wp:positionV>
                <wp:extent cx="514350" cy="228600"/>
                <wp:effectExtent l="0" t="19050" r="38100" b="38100"/>
                <wp:wrapNone/>
                <wp:docPr id="9" name="Flecha derecha 9"/>
                <wp:cNvGraphicFramePr/>
                <a:graphic xmlns:a="http://schemas.openxmlformats.org/drawingml/2006/main">
                  <a:graphicData uri="http://schemas.microsoft.com/office/word/2010/wordprocessingShape">
                    <wps:wsp>
                      <wps:cNvSpPr/>
                      <wps:spPr>
                        <a:xfrm>
                          <a:off x="0" y="0"/>
                          <a:ext cx="514350" cy="2286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51F0F5A" id="Flecha derecha 9" o:spid="_x0000_s1026" type="#_x0000_t13" style="position:absolute;margin-left:45.6pt;margin-top:82pt;width:40.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" adj="16800" fillcolor="red" strokecolor="red" strokeweight="1pt"/>
            </w:pict>
          </mc:Fallback>
        </mc:AlternateContent>
      </w:r>
      <w:r w:rsidRPr="00A10EDA">
        <w:rPr>
          <w:rFonts w:eastAsia="Calibri" w:cs="Arial"/>
          <w:noProof/>
          <w:lang w:eastAsia="es-MX"/>
        </w:rPr>
        <w:drawing>
          <wp:inline distT="0" distB="0" distL="0" distR="0" wp14:anchorId="203784FA" wp14:editId="583B1F8C">
            <wp:extent cx="3592307" cy="1441450"/>
            <wp:effectExtent l="0" t="0" r="8255"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36835" cy="1459317"/>
                    </a:xfrm>
                    <a:prstGeom prst="rect">
                      <a:avLst/>
                    </a:prstGeom>
                  </pic:spPr>
                </pic:pic>
              </a:graphicData>
            </a:graphic>
          </wp:inline>
        </w:drawing>
      </w:r>
    </w:p>
    <w:p w14:paraId="67DDFA11" w14:textId="77777777" w:rsidR="008B21A8" w:rsidRPr="00A10EDA" w:rsidRDefault="008B21A8" w:rsidP="00A10EDA">
      <w:pPr>
        <w:rPr>
          <w:rFonts w:eastAsia="Calibri" w:cs="Arial"/>
          <w:lang w:eastAsia="es-MX"/>
        </w:rPr>
      </w:pPr>
    </w:p>
    <w:p w14:paraId="6EB504FA" w14:textId="27EA4FD2" w:rsidR="00A476B0" w:rsidRPr="00A10EDA" w:rsidRDefault="00A476B0" w:rsidP="00A10EDA">
      <w:pPr>
        <w:rPr>
          <w:rFonts w:eastAsia="Calibri" w:cs="Arial"/>
          <w:lang w:eastAsia="es-MX"/>
        </w:rPr>
      </w:pPr>
      <w:r w:rsidRPr="00A10EDA">
        <w:rPr>
          <w:rFonts w:eastAsia="Calibri" w:cs="Arial"/>
          <w:lang w:eastAsia="es-MX"/>
        </w:rPr>
        <w:t>Es decir que se puede llegar a la premisa de la existencia del servidor público en comento quien funge como Presidente Suplente de la Comisión de Revisión y Actualización de la Reglamentación Interna Municipal de Almoloya de Juárez para la Administración 2022–2024</w:t>
      </w:r>
      <w:r w:rsidR="00FA484E" w:rsidRPr="00A10EDA">
        <w:rPr>
          <w:rFonts w:eastAsia="Calibri" w:cs="Arial"/>
          <w:lang w:eastAsia="es-MX"/>
        </w:rPr>
        <w:t>, que a su vez es presidida Coordinador General de Mejora Regulatoria de</w:t>
      </w:r>
      <w:r w:rsidR="00CE2E00" w:rsidRPr="00A10EDA">
        <w:rPr>
          <w:rFonts w:eastAsia="Calibri" w:cs="Arial"/>
          <w:lang w:eastAsia="es-MX"/>
        </w:rPr>
        <w:t xml:space="preserve">l </w:t>
      </w:r>
      <w:r w:rsidR="00CE2E00" w:rsidRPr="00A10EDA">
        <w:rPr>
          <w:rFonts w:eastAsia="Calibri" w:cs="Arial"/>
          <w:b/>
          <w:lang w:eastAsia="es-MX"/>
        </w:rPr>
        <w:t>SUJETO OBLIGADO</w:t>
      </w:r>
      <w:r w:rsidR="00FA484E" w:rsidRPr="00A10EDA">
        <w:rPr>
          <w:rFonts w:eastAsia="Calibri" w:cs="Arial"/>
          <w:lang w:eastAsia="es-MX"/>
        </w:rPr>
        <w:t>.</w:t>
      </w:r>
    </w:p>
    <w:p w14:paraId="27B31930" w14:textId="77777777" w:rsidR="00A476B0" w:rsidRPr="00A10EDA" w:rsidRDefault="00A476B0" w:rsidP="00A10EDA">
      <w:pPr>
        <w:rPr>
          <w:rFonts w:eastAsia="Calibri" w:cs="Arial"/>
          <w:lang w:eastAsia="es-MX"/>
        </w:rPr>
      </w:pPr>
    </w:p>
    <w:p w14:paraId="6BEEEBB3" w14:textId="7132885B" w:rsidR="006B2B40" w:rsidRPr="00A10EDA" w:rsidRDefault="007E7168" w:rsidP="00A10EDA">
      <w:pPr>
        <w:rPr>
          <w:szCs w:val="17"/>
          <w:lang w:eastAsia="es-ES_tradnl"/>
        </w:rPr>
      </w:pPr>
      <w:r w:rsidRPr="00A10EDA">
        <w:rPr>
          <w:rFonts w:eastAsia="Calibri" w:cs="Arial"/>
          <w:lang w:eastAsia="es-MX"/>
        </w:rPr>
        <w:t xml:space="preserve">Ahora bien, por cuanto hace al cambio de modalidad hecho valer por </w:t>
      </w:r>
      <w:r w:rsidRPr="00A10EDA">
        <w:rPr>
          <w:rFonts w:eastAsia="Calibri" w:cs="Arial"/>
          <w:b/>
          <w:lang w:eastAsia="es-MX"/>
        </w:rPr>
        <w:t>EL SUJETO OBLIGADO</w:t>
      </w:r>
      <w:r w:rsidRPr="00A10EDA">
        <w:rPr>
          <w:rFonts w:eastAsia="Calibri" w:cs="Arial"/>
          <w:lang w:eastAsia="es-MX"/>
        </w:rPr>
        <w:t xml:space="preserve"> es necesario r</w:t>
      </w:r>
      <w:r w:rsidR="00BE612F" w:rsidRPr="00A10EDA">
        <w:rPr>
          <w:rFonts w:eastAsia="Calibri" w:cs="Arial"/>
          <w:lang w:eastAsia="es-MX"/>
        </w:rPr>
        <w:t>eferir</w:t>
      </w:r>
      <w:r w:rsidRPr="00A10EDA">
        <w:rPr>
          <w:rFonts w:eastAsia="Calibri" w:cs="Arial"/>
          <w:lang w:eastAsia="es-MX"/>
        </w:rPr>
        <w:t xml:space="preserve"> </w:t>
      </w:r>
      <w:r w:rsidR="006B2B40" w:rsidRPr="00A10EDA">
        <w:t>el contenido de l</w:t>
      </w:r>
      <w:r w:rsidR="006B2B40" w:rsidRPr="00A10EDA">
        <w:rPr>
          <w:rFonts w:cs="Arial"/>
          <w:lang w:val="es-ES_tradnl"/>
        </w:rPr>
        <w:t>os</w:t>
      </w:r>
      <w:r w:rsidR="006B2B40" w:rsidRPr="00A10EDA">
        <w:t xml:space="preserve"> artículos 155, fracción V y 164,</w:t>
      </w:r>
      <w:r w:rsidR="006B2B40" w:rsidRPr="00A10EDA">
        <w:rPr>
          <w:szCs w:val="17"/>
          <w:lang w:eastAsia="es-ES_tradnl"/>
        </w:rPr>
        <w:t xml:space="preserve"> de la Ley de Transparencia y Acceso a la Información Pública del Estado de México y Municipios, disponen lo siguiente:</w:t>
      </w:r>
    </w:p>
    <w:p w14:paraId="0A8BA6A2" w14:textId="77777777" w:rsidR="00FA484E" w:rsidRPr="00A10EDA" w:rsidRDefault="00FA484E" w:rsidP="00A10EDA">
      <w:pPr>
        <w:rPr>
          <w:szCs w:val="17"/>
          <w:lang w:eastAsia="es-ES_tradnl"/>
        </w:rPr>
      </w:pPr>
    </w:p>
    <w:p w14:paraId="583CDB75" w14:textId="77777777" w:rsidR="006B2B40" w:rsidRPr="00A10EDA" w:rsidRDefault="006B2B40" w:rsidP="00A10EDA">
      <w:pPr>
        <w:pStyle w:val="Puesto"/>
        <w:rPr>
          <w:b/>
          <w:lang w:val="es-ES"/>
        </w:rPr>
      </w:pPr>
      <w:r w:rsidRPr="00A10EDA">
        <w:rPr>
          <w:lang w:val="es-ES"/>
        </w:rPr>
        <w:lastRenderedPageBreak/>
        <w:t>“</w:t>
      </w:r>
      <w:r w:rsidRPr="00A10EDA">
        <w:rPr>
          <w:b/>
          <w:lang w:val="es-ES"/>
        </w:rPr>
        <w:t xml:space="preserve">Artículo 155. Para presentar una solicitud por escrito, no se podrán exigir mayores requisitos que los siguientes: </w:t>
      </w:r>
    </w:p>
    <w:p w14:paraId="31BBF311" w14:textId="77777777" w:rsidR="006B2B40" w:rsidRPr="00A10EDA" w:rsidRDefault="006B2B40" w:rsidP="00A10EDA">
      <w:pPr>
        <w:pStyle w:val="Puesto"/>
        <w:rPr>
          <w:lang w:val="es-ES"/>
        </w:rPr>
      </w:pPr>
      <w:r w:rsidRPr="00A10EDA">
        <w:rPr>
          <w:lang w:val="es-ES"/>
        </w:rPr>
        <w:t>[…]</w:t>
      </w:r>
    </w:p>
    <w:p w14:paraId="1268ABAB" w14:textId="77777777" w:rsidR="006B2B40" w:rsidRPr="00A10EDA" w:rsidRDefault="006B2B40" w:rsidP="00A10EDA">
      <w:pPr>
        <w:pStyle w:val="Puesto"/>
        <w:rPr>
          <w:b/>
          <w:lang w:val="es-ES"/>
        </w:rPr>
      </w:pPr>
      <w:r w:rsidRPr="00A10EDA">
        <w:rPr>
          <w:b/>
          <w:lang w:val="es-ES"/>
        </w:rPr>
        <w:t xml:space="preserve">V. La modalidad en la que prefiere se otorgue el acceso a la información, la cual podrá ser verbal, siempre y cuando sea para </w:t>
      </w:r>
      <w:r w:rsidRPr="00A10EDA">
        <w:rPr>
          <w:b/>
        </w:rPr>
        <w:t>fines</w:t>
      </w:r>
      <w:r w:rsidRPr="00A10EDA">
        <w:rPr>
          <w:b/>
          <w:lang w:val="es-ES"/>
        </w:rPr>
        <w:t xml:space="preserve"> de orientación, mediante consulta directa, mediante la expedición de copias simples o certificadas o la reproducción en cualquier otro medio, incluidos los electrónicos. </w:t>
      </w:r>
    </w:p>
    <w:p w14:paraId="548E8674" w14:textId="77777777" w:rsidR="006B2B40" w:rsidRPr="00A10EDA" w:rsidRDefault="006B2B40" w:rsidP="00A10EDA">
      <w:pPr>
        <w:pStyle w:val="Puesto"/>
        <w:rPr>
          <w:lang w:val="es-ES"/>
        </w:rPr>
      </w:pPr>
      <w:r w:rsidRPr="00A10EDA">
        <w:rPr>
          <w:b/>
          <w:lang w:val="es-ES"/>
        </w:rPr>
        <w:t>Artículo 164. El</w:t>
      </w:r>
      <w:r w:rsidRPr="00A10EDA">
        <w:rPr>
          <w:lang w:val="es-ES"/>
        </w:rPr>
        <w:t xml:space="preserve"> </w:t>
      </w:r>
      <w:r w:rsidRPr="00A10EDA">
        <w:rPr>
          <w:b/>
          <w:lang w:val="es-ES"/>
        </w:rPr>
        <w:t>acceso se dará en la modalidad de entrega</w:t>
      </w:r>
      <w:r w:rsidRPr="00A10EDA">
        <w:rPr>
          <w:lang w:val="es-ES"/>
        </w:rPr>
        <w:t xml:space="preserve"> y, en su caso, de envío </w:t>
      </w:r>
      <w:r w:rsidRPr="00A10EDA">
        <w:rPr>
          <w:b/>
          <w:lang w:val="es-ES"/>
        </w:rPr>
        <w:t>elegidos por el solicitante</w:t>
      </w:r>
      <w:r w:rsidRPr="00A10EDA">
        <w:rPr>
          <w:lang w:val="es-ES"/>
        </w:rPr>
        <w:t xml:space="preserve">. Cuando la información no pueda entregarse o enviarse en la modalidad solicitada, el sujeto obligado deberá </w:t>
      </w:r>
      <w:r w:rsidRPr="00A10EDA">
        <w:t>ofrecer</w:t>
      </w:r>
      <w:r w:rsidRPr="00A10EDA">
        <w:rPr>
          <w:lang w:val="es-ES"/>
        </w:rPr>
        <w:t xml:space="preserve"> otra u otras modalidades de entrega. </w:t>
      </w:r>
    </w:p>
    <w:p w14:paraId="7AC8E6FB" w14:textId="77777777" w:rsidR="006B2B40" w:rsidRPr="00A10EDA" w:rsidRDefault="006B2B40" w:rsidP="00A10EDA">
      <w:pPr>
        <w:pStyle w:val="Puesto"/>
        <w:rPr>
          <w:lang w:val="es-ES"/>
        </w:rPr>
      </w:pPr>
      <w:r w:rsidRPr="00A10EDA">
        <w:rPr>
          <w:lang w:val="es-ES"/>
        </w:rPr>
        <w:t xml:space="preserve">En cualquier caso, se deberá fundar y motivar la necesidad de ofrecer otras modalidades.” </w:t>
      </w:r>
    </w:p>
    <w:p w14:paraId="408A8D54" w14:textId="20A185C8" w:rsidR="007A50EA" w:rsidRPr="00A10EDA" w:rsidRDefault="006B2B40" w:rsidP="00A10EDA">
      <w:pPr>
        <w:pStyle w:val="Puesto"/>
      </w:pPr>
      <w:r w:rsidRPr="00A10EDA">
        <w:t>(</w:t>
      </w:r>
      <w:r w:rsidRPr="00A10EDA">
        <w:rPr>
          <w:lang w:val="es-ES"/>
        </w:rPr>
        <w:t>Énfasis</w:t>
      </w:r>
      <w:r w:rsidRPr="00A10EDA">
        <w:t xml:space="preserve"> añadido)</w:t>
      </w:r>
    </w:p>
    <w:p w14:paraId="6F961C4D" w14:textId="77777777" w:rsidR="00B54794" w:rsidRPr="00A10EDA" w:rsidRDefault="00B54794" w:rsidP="00A10EDA">
      <w:pPr>
        <w:rPr>
          <w:rFonts w:eastAsia="Calibri"/>
        </w:rPr>
      </w:pPr>
    </w:p>
    <w:p w14:paraId="416399AB" w14:textId="77777777" w:rsidR="006B2B40" w:rsidRPr="00A10EDA" w:rsidRDefault="006B2B40" w:rsidP="00A10EDA">
      <w:pPr>
        <w:ind w:right="-93"/>
      </w:pPr>
      <w:r w:rsidRPr="00A10EDA">
        <w:t xml:space="preserve">En ese sentido, a efecto de dar cumplimiento al derecho de acceso a la Información Pública, los particulares tienen la posibilidad de elegir la modalidad de entrega que prefieran, entre ellas, vía </w:t>
      </w:r>
      <w:r w:rsidRPr="00A10EDA">
        <w:rPr>
          <w:b/>
        </w:rPr>
        <w:t>SAIMEX</w:t>
      </w:r>
      <w:r w:rsidRPr="00A10EDA">
        <w:t>, como lo realizó el particular en la solicitud materia de estudio, para mayor referencia se inserta la siguiente imagen:</w:t>
      </w:r>
    </w:p>
    <w:p w14:paraId="66265F56" w14:textId="77777777" w:rsidR="00E87355" w:rsidRPr="00A10EDA" w:rsidRDefault="00E87355" w:rsidP="00A10EDA">
      <w:pPr>
        <w:ind w:right="-93"/>
      </w:pPr>
    </w:p>
    <w:p w14:paraId="250B0CDD" w14:textId="0188F135" w:rsidR="006B2B40" w:rsidRPr="00A10EDA" w:rsidRDefault="006B2B40" w:rsidP="00A10EDA">
      <w:pPr>
        <w:widowControl w:val="0"/>
        <w:autoSpaceDE w:val="0"/>
        <w:autoSpaceDN w:val="0"/>
        <w:adjustRightInd w:val="0"/>
      </w:pPr>
      <w:r w:rsidRPr="00A10EDA">
        <w:rPr>
          <w:noProof/>
          <w:lang w:eastAsia="es-MX"/>
        </w:rPr>
        <w:drawing>
          <wp:inline distT="0" distB="0" distL="0" distR="0" wp14:anchorId="7D9A255D" wp14:editId="511072AF">
            <wp:extent cx="5742940" cy="596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596900"/>
                    </a:xfrm>
                    <a:prstGeom prst="rect">
                      <a:avLst/>
                    </a:prstGeom>
                  </pic:spPr>
                </pic:pic>
              </a:graphicData>
            </a:graphic>
          </wp:inline>
        </w:drawing>
      </w:r>
    </w:p>
    <w:p w14:paraId="7F0C82BB" w14:textId="77777777" w:rsidR="006B2B40" w:rsidRPr="00A10EDA" w:rsidRDefault="006B2B40" w:rsidP="00A10EDA">
      <w:pPr>
        <w:widowControl w:val="0"/>
        <w:autoSpaceDE w:val="0"/>
        <w:autoSpaceDN w:val="0"/>
        <w:adjustRightInd w:val="0"/>
      </w:pPr>
    </w:p>
    <w:p w14:paraId="1D7D1F07" w14:textId="77777777" w:rsidR="006B2B40" w:rsidRPr="00A10EDA" w:rsidRDefault="006B2B40" w:rsidP="00A10EDA">
      <w:pPr>
        <w:ind w:right="-93"/>
        <w:rPr>
          <w:rFonts w:eastAsiaTheme="minorHAnsi" w:cstheme="minorBidi"/>
          <w:szCs w:val="22"/>
          <w:lang w:eastAsia="en-US"/>
        </w:rPr>
      </w:pPr>
      <w:r w:rsidRPr="00A10EDA">
        <w:rPr>
          <w:rFonts w:eastAsiaTheme="minorHAnsi" w:cstheme="minorBidi"/>
          <w:szCs w:val="22"/>
          <w:lang w:eastAsia="en-US"/>
        </w:rPr>
        <w:t xml:space="preserve">Ahora bien, es necesario referir que la </w:t>
      </w:r>
      <w:r w:rsidRPr="00A10EDA">
        <w:t>Ley de Transparencia y Acceso a la Información Pública del Estado de México y Municipios</w:t>
      </w:r>
      <w:r w:rsidRPr="00A10EDA">
        <w:rPr>
          <w:rFonts w:eastAsiaTheme="minorHAnsi" w:cstheme="minorBidi"/>
          <w:szCs w:val="22"/>
          <w:lang w:eastAsia="en-US"/>
        </w:rPr>
        <w:t xml:space="preserve">, busca privilegiar la entrega de la información solicitada en la modalidad requerida por el particular. Así el citado artículo </w:t>
      </w:r>
      <w:r w:rsidRPr="00A10EDA">
        <w:t>164,</w:t>
      </w:r>
      <w:r w:rsidRPr="00A10EDA">
        <w:rPr>
          <w:szCs w:val="17"/>
          <w:lang w:eastAsia="es-ES_tradnl"/>
        </w:rPr>
        <w:t xml:space="preserve"> de la Ley de Transparencia y Acceso a la Información Pública del Estado de México y Municipio, </w:t>
      </w:r>
      <w:r w:rsidRPr="00A10EDA">
        <w:rPr>
          <w:rFonts w:eastAsiaTheme="minorHAnsi" w:cstheme="minorBidi"/>
          <w:szCs w:val="22"/>
          <w:lang w:eastAsia="en-US"/>
        </w:rPr>
        <w:t>establece que tanto la modalidad de entrega como la forma de envío de la información se hará preferentemente como lo haya señalado el requirente. En los casos en que esto no sea posible, se</w:t>
      </w:r>
      <w:r w:rsidRPr="00A10EDA">
        <w:rPr>
          <w:rFonts w:eastAsiaTheme="minorHAnsi" w:cstheme="minorBidi"/>
          <w:b/>
          <w:szCs w:val="22"/>
          <w:lang w:eastAsia="en-US"/>
        </w:rPr>
        <w:t xml:space="preserve"> </w:t>
      </w:r>
      <w:r w:rsidRPr="00A10EDA">
        <w:rPr>
          <w:rFonts w:eastAsiaTheme="minorHAnsi" w:cstheme="minorBidi"/>
          <w:szCs w:val="22"/>
          <w:lang w:eastAsia="en-US"/>
        </w:rPr>
        <w:t>podrá garantizar la entrega a través de cualquier otro medio, siempre y cuando funde y motive la razón para hacerlo.</w:t>
      </w:r>
    </w:p>
    <w:p w14:paraId="641C1766" w14:textId="77777777" w:rsidR="006B2B40" w:rsidRPr="00A10EDA" w:rsidRDefault="006B2B40" w:rsidP="00A10EDA">
      <w:pPr>
        <w:ind w:right="-93"/>
        <w:rPr>
          <w:rFonts w:eastAsiaTheme="minorHAnsi" w:cstheme="minorBidi"/>
          <w:szCs w:val="22"/>
          <w:lang w:eastAsia="en-US"/>
        </w:rPr>
      </w:pPr>
    </w:p>
    <w:p w14:paraId="24BA8550" w14:textId="25CED933" w:rsidR="006B2B40" w:rsidRPr="00A10EDA" w:rsidRDefault="006B2B40" w:rsidP="00A10EDA">
      <w:pPr>
        <w:ind w:right="-93"/>
        <w:rPr>
          <w:rFonts w:eastAsiaTheme="minorHAnsi" w:cs="Arial"/>
          <w:b/>
          <w:lang w:eastAsia="en-US"/>
        </w:rPr>
      </w:pPr>
      <w:r w:rsidRPr="00A10EDA">
        <w:rPr>
          <w:lang w:val="es-ES_tradnl"/>
        </w:rPr>
        <w:t xml:space="preserve">Sin embargo, en el presente asunto la actuación del </w:t>
      </w:r>
      <w:r w:rsidRPr="00A10EDA">
        <w:rPr>
          <w:b/>
          <w:lang w:val="es-ES_tradnl"/>
        </w:rPr>
        <w:t xml:space="preserve">SUJETO OBLIGADO </w:t>
      </w:r>
      <w:r w:rsidRPr="00A10EDA">
        <w:rPr>
          <w:rFonts w:eastAsia="MS Mincho" w:cs="Arial"/>
          <w:szCs w:val="23"/>
          <w:lang w:val="es-ES_tradnl"/>
        </w:rPr>
        <w:t xml:space="preserve">constituye una afectación al derecho humano de acceso a la información pública del particular, toda vez que </w:t>
      </w:r>
      <w:r w:rsidR="00172959" w:rsidRPr="00A10EDA">
        <w:rPr>
          <w:rFonts w:eastAsia="MS Mincho" w:cs="Arial"/>
          <w:szCs w:val="23"/>
          <w:lang w:val="es-ES_tradnl"/>
        </w:rPr>
        <w:t>aprobó</w:t>
      </w:r>
      <w:r w:rsidRPr="00A10EDA">
        <w:rPr>
          <w:rFonts w:eastAsia="MS Mincho" w:cs="Arial"/>
          <w:szCs w:val="23"/>
          <w:lang w:val="es-ES_tradnl"/>
        </w:rPr>
        <w:t xml:space="preserve"> cambiar la modalidad de entrega de la información, aún y cuando </w:t>
      </w:r>
      <w:r w:rsidRPr="00A10EDA">
        <w:rPr>
          <w:rFonts w:eastAsiaTheme="minorHAnsi" w:cs="Arial"/>
          <w:lang w:eastAsia="en-US"/>
        </w:rPr>
        <w:t xml:space="preserve">el particular mencionó que la manera de entrega de la información sería a través del </w:t>
      </w:r>
      <w:r w:rsidRPr="00A10EDA">
        <w:rPr>
          <w:rFonts w:eastAsiaTheme="minorHAnsi" w:cs="Arial"/>
          <w:b/>
          <w:lang w:eastAsia="en-US"/>
        </w:rPr>
        <w:t>SAIMEX.</w:t>
      </w:r>
    </w:p>
    <w:p w14:paraId="573468FC" w14:textId="77777777" w:rsidR="00BE612F" w:rsidRPr="00A10EDA" w:rsidRDefault="00BE612F" w:rsidP="00A10EDA">
      <w:pPr>
        <w:ind w:right="-93"/>
        <w:rPr>
          <w:rFonts w:eastAsiaTheme="minorHAnsi" w:cs="Arial"/>
          <w:b/>
          <w:lang w:eastAsia="en-US"/>
        </w:rPr>
      </w:pPr>
    </w:p>
    <w:p w14:paraId="066E9D27" w14:textId="524CCECC" w:rsidR="006B2B40" w:rsidRPr="00A10EDA" w:rsidRDefault="006B2B40" w:rsidP="00A10EDA">
      <w:pPr>
        <w:rPr>
          <w:rFonts w:eastAsiaTheme="minorHAnsi" w:cstheme="minorBidi"/>
          <w:szCs w:val="22"/>
          <w:lang w:eastAsia="en-US"/>
        </w:rPr>
      </w:pPr>
      <w:r w:rsidRPr="00A10EDA">
        <w:rPr>
          <w:rFonts w:eastAsiaTheme="minorHAnsi" w:cstheme="minorBidi"/>
          <w:szCs w:val="22"/>
          <w:lang w:eastAsia="en-US"/>
        </w:rPr>
        <w:t xml:space="preserve">Por lo que el cambio de modalidad que </w:t>
      </w:r>
      <w:r w:rsidR="00172959" w:rsidRPr="00A10EDA">
        <w:rPr>
          <w:rFonts w:eastAsiaTheme="minorHAnsi" w:cstheme="minorBidi"/>
          <w:szCs w:val="22"/>
          <w:lang w:eastAsia="en-US"/>
        </w:rPr>
        <w:t>aprobó</w:t>
      </w:r>
      <w:r w:rsidRPr="00A10EDA">
        <w:rPr>
          <w:rFonts w:eastAsiaTheme="minorHAnsi" w:cstheme="minorBidi"/>
          <w:szCs w:val="22"/>
          <w:lang w:eastAsia="en-US"/>
        </w:rPr>
        <w:t xml:space="preserve"> </w:t>
      </w:r>
      <w:r w:rsidRPr="00A10EDA">
        <w:rPr>
          <w:rFonts w:eastAsiaTheme="minorHAnsi" w:cstheme="minorBidi"/>
          <w:b/>
          <w:szCs w:val="22"/>
          <w:lang w:eastAsia="en-US"/>
        </w:rPr>
        <w:t>EL SUJETO OBLIGADO</w:t>
      </w:r>
      <w:r w:rsidRPr="00A10EDA">
        <w:rPr>
          <w:rFonts w:eastAsiaTheme="minorHAnsi" w:cstheme="minorBidi"/>
          <w:szCs w:val="22"/>
          <w:lang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69244E77" w14:textId="77777777" w:rsidR="00E87355" w:rsidRPr="00A10EDA" w:rsidRDefault="00E87355" w:rsidP="00A10EDA">
      <w:pPr>
        <w:rPr>
          <w:rFonts w:eastAsiaTheme="minorHAnsi" w:cstheme="minorBidi"/>
          <w:szCs w:val="22"/>
          <w:lang w:eastAsia="en-US"/>
        </w:rPr>
      </w:pPr>
    </w:p>
    <w:p w14:paraId="5C8F832F" w14:textId="77777777" w:rsidR="006B2B40" w:rsidRPr="00A10EDA" w:rsidRDefault="006B2B40" w:rsidP="00A10EDA">
      <w:pPr>
        <w:spacing w:after="240"/>
        <w:rPr>
          <w:rFonts w:eastAsiaTheme="minorHAnsi" w:cstheme="minorBidi"/>
          <w:szCs w:val="22"/>
          <w:lang w:eastAsia="en-US"/>
        </w:rPr>
      </w:pPr>
      <w:r w:rsidRPr="00A10EDA">
        <w:rPr>
          <w:rFonts w:eastAsiaTheme="minorHAnsi" w:cstheme="minorBidi"/>
          <w:szCs w:val="22"/>
          <w:lang w:eastAsia="en-US"/>
        </w:rPr>
        <w:t xml:space="preserve">Ahora bien, </w:t>
      </w:r>
      <w:r w:rsidRPr="00A10EDA">
        <w:rPr>
          <w:rFonts w:eastAsia="MS Mincho" w:cs="Arial"/>
        </w:rPr>
        <w:t>el artículo 158 de la Ley de Transparencia y Acceso a la Información Pública del Estado de México y Municipios</w:t>
      </w:r>
      <w:r w:rsidRPr="00A10EDA">
        <w:rPr>
          <w:rFonts w:eastAsiaTheme="minorHAnsi" w:cstheme="minorBidi"/>
          <w:szCs w:val="22"/>
          <w:lang w:eastAsia="en-US"/>
        </w:rPr>
        <w:t xml:space="preserve">, precisa los casos en que de manera excepcional se puede proceder al cambio de modalidad: </w:t>
      </w:r>
    </w:p>
    <w:p w14:paraId="4552B2E6" w14:textId="77777777" w:rsidR="006B2B40" w:rsidRPr="00A10EDA" w:rsidRDefault="006B2B40" w:rsidP="00A10EDA">
      <w:pPr>
        <w:pStyle w:val="Puesto"/>
        <w:ind w:left="851" w:right="822"/>
      </w:pPr>
      <w:r w:rsidRPr="00A10EDA">
        <w:t>“</w:t>
      </w:r>
      <w:r w:rsidRPr="00A10EDA">
        <w:rPr>
          <w:b/>
          <w:bCs/>
        </w:rPr>
        <w:t>Artículo 158.</w:t>
      </w:r>
      <w:r w:rsidRPr="00A10EDA">
        <w:t xml:space="preserve"> </w:t>
      </w:r>
      <w:r w:rsidRPr="00A10EDA">
        <w:rPr>
          <w:bCs/>
        </w:rPr>
        <w:t>De manera excepcional, cuando de forma fundada y motivada así lo determine el sujeto obligado</w:t>
      </w:r>
      <w:r w:rsidRPr="00A10EDA">
        <w:t xml:space="preserve">, en aquellos casos en que la información solicitada que ya se encuentre en su posesión implique análisis, estudio o procesamiento de documentos </w:t>
      </w:r>
      <w:r w:rsidRPr="00A10EDA">
        <w:rPr>
          <w:bCs/>
        </w:rPr>
        <w:t xml:space="preserve">cuya entrega o reproducción </w:t>
      </w:r>
      <w:r w:rsidRPr="00A10EDA">
        <w:rPr>
          <w:b/>
          <w:bCs/>
        </w:rPr>
        <w:t>sobrepase las capacidades técnicas administrativas y humanas del sujeto obligado</w:t>
      </w:r>
      <w:r w:rsidRPr="00A10EDA">
        <w:t xml:space="preserve"> para cumplir con la solicitud, en los plazos establecidos para dichos efectos,</w:t>
      </w:r>
      <w:r w:rsidRPr="00A10EDA">
        <w:rPr>
          <w:bCs/>
        </w:rPr>
        <w:t xml:space="preserve"> se podrá poner a disposición del solicitante los documentos en consulta directa</w:t>
      </w:r>
      <w:r w:rsidRPr="00A10EDA">
        <w:t>, salvo la información clasificada.”.</w:t>
      </w:r>
    </w:p>
    <w:p w14:paraId="10A60B95" w14:textId="77777777" w:rsidR="006B2B40" w:rsidRPr="00A10EDA" w:rsidRDefault="006B2B40" w:rsidP="00A10EDA">
      <w:pPr>
        <w:pStyle w:val="Puesto"/>
        <w:ind w:left="851" w:right="822"/>
      </w:pPr>
      <w:r w:rsidRPr="00A10EDA">
        <w:t xml:space="preserve">(Énfasis añadido) </w:t>
      </w:r>
    </w:p>
    <w:p w14:paraId="2A845345" w14:textId="77777777" w:rsidR="00FA484E" w:rsidRPr="00A10EDA" w:rsidRDefault="00FA484E" w:rsidP="00A10EDA">
      <w:pPr>
        <w:contextualSpacing/>
        <w:rPr>
          <w:rFonts w:eastAsia="MS Mincho" w:cs="Arial"/>
        </w:rPr>
      </w:pPr>
    </w:p>
    <w:p w14:paraId="0784D890" w14:textId="77777777" w:rsidR="006B2B40" w:rsidRPr="00A10EDA" w:rsidRDefault="006B2B40" w:rsidP="00A10EDA">
      <w:pPr>
        <w:contextualSpacing/>
        <w:rPr>
          <w:rFonts w:eastAsia="MS Mincho" w:cs="Arial"/>
        </w:rPr>
      </w:pPr>
      <w:r w:rsidRPr="00A10EDA">
        <w:rPr>
          <w:rFonts w:eastAsia="MS Mincho" w:cs="Arial"/>
        </w:rPr>
        <w:t xml:space="preserve">Es así que, la Ley de la materia contempla que excepcionalmente, de forma fundada y motivada, en el caso de que la información solicitada implique análisis, estudio o procesamiento de documentos, cuya entrega o reproducción sobrepase las capacidades </w:t>
      </w:r>
      <w:r w:rsidRPr="00A10EDA">
        <w:rPr>
          <w:rFonts w:eastAsia="MS Mincho" w:cs="Arial"/>
        </w:rPr>
        <w:lastRenderedPageBreak/>
        <w:t xml:space="preserve">técnicas administrativas y humanas del Sujeto Obligado, se podrá poder a disposición del solicitante los documentos en consulta directa. </w:t>
      </w:r>
    </w:p>
    <w:p w14:paraId="630505CD" w14:textId="77777777" w:rsidR="00CE2E00" w:rsidRPr="00A10EDA" w:rsidRDefault="00CE2E00" w:rsidP="00A10EDA">
      <w:pPr>
        <w:contextualSpacing/>
        <w:rPr>
          <w:rFonts w:eastAsia="MS Mincho" w:cs="Arial"/>
        </w:rPr>
      </w:pPr>
    </w:p>
    <w:p w14:paraId="2ED1E6DC" w14:textId="67A63AFA" w:rsidR="006B2B40" w:rsidRPr="00A10EDA" w:rsidRDefault="006B2B40" w:rsidP="00A10EDA">
      <w:pPr>
        <w:contextualSpacing/>
        <w:rPr>
          <w:rFonts w:eastAsia="MS Mincho" w:cs="Arial"/>
        </w:rPr>
      </w:pPr>
      <w:r w:rsidRPr="00A10EDA">
        <w:rPr>
          <w:rFonts w:eastAsia="MS Mincho" w:cs="Arial"/>
        </w:rPr>
        <w:t xml:space="preserve">Es decir, del artículo anterior, se derivan tres hipótesis que en conjunto y de manera fundada y motivada, validan el cambio de modalidad de entrega de la información y las cuales son, que las documentales a proporcionar </w:t>
      </w:r>
      <w:r w:rsidRPr="00A10EDA">
        <w:rPr>
          <w:rFonts w:eastAsia="MS Mincho" w:cs="Arial"/>
          <w:b/>
        </w:rPr>
        <w:t>sobrepasen las capacidades técnicas</w:t>
      </w:r>
      <w:r w:rsidR="00172959" w:rsidRPr="00A10EDA">
        <w:rPr>
          <w:rFonts w:eastAsia="MS Mincho" w:cs="Arial"/>
          <w:b/>
        </w:rPr>
        <w:t>,</w:t>
      </w:r>
      <w:r w:rsidRPr="00A10EDA">
        <w:rPr>
          <w:rFonts w:eastAsia="MS Mincho" w:cs="Arial"/>
          <w:b/>
        </w:rPr>
        <w:t xml:space="preserve"> administrativas y humanas del SUJETO OBLIGADO. </w:t>
      </w:r>
    </w:p>
    <w:p w14:paraId="4592514D" w14:textId="77777777" w:rsidR="006B2B40" w:rsidRPr="00A10EDA" w:rsidRDefault="006B2B40" w:rsidP="00A10EDA"/>
    <w:p w14:paraId="1945C679" w14:textId="77777777" w:rsidR="006B2B40" w:rsidRPr="00A10EDA" w:rsidRDefault="006B2B40" w:rsidP="00A10EDA">
      <w:pPr>
        <w:contextualSpacing/>
        <w:rPr>
          <w:rFonts w:eastAsia="MS Mincho" w:cs="Arial"/>
        </w:rPr>
      </w:pPr>
      <w:r w:rsidRPr="00A10EDA">
        <w:rPr>
          <w:rFonts w:eastAsia="MS Mincho" w:cs="Arial"/>
        </w:rPr>
        <w:t xml:space="preserve">Derivado de lo anterior, cabe mencionar lo que se tiene por </w:t>
      </w:r>
      <w:r w:rsidRPr="00A10EDA">
        <w:rPr>
          <w:rFonts w:eastAsia="MS Mincho" w:cs="Arial"/>
          <w:b/>
        </w:rPr>
        <w:t>“capacidad”</w:t>
      </w:r>
      <w:r w:rsidRPr="00A10EDA">
        <w:rPr>
          <w:rFonts w:eastAsia="MS Mincho" w:cs="Arial"/>
        </w:rPr>
        <w:t>, que de manera general puede ser interpretado como la circunstancia o conjunto de condiciones, cualidades o aptitudes que permiten el desarrollo o el cumplimiento de una función o desempeño de un cargo.</w:t>
      </w:r>
    </w:p>
    <w:p w14:paraId="24DBDF15" w14:textId="77777777" w:rsidR="006B2B40" w:rsidRPr="00A10EDA" w:rsidRDefault="006B2B40" w:rsidP="00A10EDA">
      <w:pPr>
        <w:contextualSpacing/>
        <w:rPr>
          <w:rFonts w:eastAsia="MS Gothic" w:cstheme="majorBidi"/>
          <w:b/>
        </w:rPr>
      </w:pPr>
    </w:p>
    <w:p w14:paraId="2209FB47" w14:textId="77777777" w:rsidR="006B2B40" w:rsidRPr="00A10EDA" w:rsidRDefault="006B2B40" w:rsidP="00A10EDA">
      <w:pPr>
        <w:contextualSpacing/>
        <w:rPr>
          <w:rFonts w:eastAsia="MS Mincho" w:cs="Arial"/>
        </w:rPr>
      </w:pPr>
      <w:r w:rsidRPr="00A10EDA">
        <w:rPr>
          <w:rFonts w:eastAsia="MS Gothic" w:cstheme="majorBidi"/>
        </w:rPr>
        <w:t>Ahora bien, re</w:t>
      </w:r>
      <w:r w:rsidRPr="00A10EDA">
        <w:rPr>
          <w:rFonts w:eastAsia="MS Mincho" w:cs="Arial"/>
        </w:rPr>
        <w:t xml:space="preserve">specto a las </w:t>
      </w:r>
      <w:r w:rsidRPr="00A10EDA">
        <w:rPr>
          <w:rFonts w:eastAsia="MS Mincho" w:cs="Arial"/>
          <w:b/>
        </w:rPr>
        <w:t>capacidades técnicas</w:t>
      </w:r>
      <w:r w:rsidRPr="00A10EDA">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73F993AE" w14:textId="77777777" w:rsidR="006B2B40" w:rsidRPr="00A10EDA" w:rsidRDefault="006B2B40" w:rsidP="00A10EDA">
      <w:pPr>
        <w:contextualSpacing/>
        <w:rPr>
          <w:rFonts w:eastAsia="MS Mincho" w:cs="Arial"/>
        </w:rPr>
      </w:pPr>
    </w:p>
    <w:p w14:paraId="48A35F97" w14:textId="47E10C5E" w:rsidR="006B2B40" w:rsidRPr="00A10EDA" w:rsidRDefault="006B2B40" w:rsidP="00A10EDA">
      <w:pPr>
        <w:contextualSpacing/>
        <w:rPr>
          <w:rFonts w:eastAsiaTheme="minorEastAsia" w:cs="Arial"/>
          <w:lang w:val="es-ES_tradnl"/>
        </w:rPr>
      </w:pPr>
      <w:r w:rsidRPr="00A10EDA">
        <w:rPr>
          <w:rFonts w:eastAsia="MS Mincho" w:cs="Arial"/>
        </w:rPr>
        <w:t xml:space="preserve">Derivado de lo anterior, es importante señalar que el </w:t>
      </w:r>
      <w:r w:rsidR="00250303" w:rsidRPr="00A10EDA">
        <w:rPr>
          <w:rFonts w:eastAsiaTheme="minorEastAsia" w:cs="Arial"/>
          <w:b/>
          <w:lang w:val="es-ES_tradnl"/>
        </w:rPr>
        <w:t>SAIMEX</w:t>
      </w:r>
      <w:r w:rsidRPr="00A10EDA">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5093E63E" w14:textId="77777777" w:rsidR="006B2B40" w:rsidRPr="00A10EDA" w:rsidRDefault="006B2B40" w:rsidP="00A10EDA">
      <w:pPr>
        <w:contextualSpacing/>
        <w:rPr>
          <w:rFonts w:eastAsiaTheme="minorEastAsia" w:cs="Arial"/>
          <w:lang w:val="es-ES_tradnl"/>
        </w:rPr>
      </w:pPr>
    </w:p>
    <w:p w14:paraId="54F4C744" w14:textId="2500DA82" w:rsidR="006B2B40" w:rsidRPr="00A10EDA" w:rsidRDefault="006B2B40" w:rsidP="00A10EDA">
      <w:pPr>
        <w:contextualSpacing/>
        <w:rPr>
          <w:rFonts w:eastAsiaTheme="minorEastAsia" w:cs="Arial"/>
          <w:lang w:val="es-ES_tradnl"/>
        </w:rPr>
      </w:pPr>
      <w:r w:rsidRPr="00A10EDA">
        <w:t xml:space="preserve">Por cuanto hace a las </w:t>
      </w:r>
      <w:r w:rsidRPr="00A10EDA">
        <w:rPr>
          <w:b/>
        </w:rPr>
        <w:t>capacidades humanas</w:t>
      </w:r>
      <w:r w:rsidRPr="00A10EDA">
        <w:t>, se entiende que es la cantidad efectiva de personal de una institución pública donde usan sus habilidades, motivaciones, activos organizacionales como patente.</w:t>
      </w:r>
    </w:p>
    <w:p w14:paraId="3E96F48E" w14:textId="150DEFDD" w:rsidR="006B2B40" w:rsidRPr="00A10EDA" w:rsidRDefault="006B2B40" w:rsidP="00A10EDA">
      <w:pPr>
        <w:contextualSpacing/>
        <w:rPr>
          <w:rFonts w:eastAsiaTheme="minorEastAsia" w:cs="Arial"/>
          <w:lang w:val="es-ES_tradnl"/>
        </w:rPr>
      </w:pPr>
    </w:p>
    <w:p w14:paraId="771E7D53" w14:textId="4030B71D" w:rsidR="006B2B40" w:rsidRPr="00A10EDA" w:rsidRDefault="006B2B40" w:rsidP="00A10EDA">
      <w:pPr>
        <w:widowControl w:val="0"/>
        <w:autoSpaceDE w:val="0"/>
        <w:autoSpaceDN w:val="0"/>
        <w:adjustRightInd w:val="0"/>
        <w:rPr>
          <w:rFonts w:cs="Arial"/>
          <w:lang w:val="es-ES"/>
        </w:rPr>
      </w:pPr>
      <w:r w:rsidRPr="00A10EDA">
        <w:rPr>
          <w:rFonts w:eastAsia="MS Mincho" w:cs="Arial"/>
        </w:rPr>
        <w:t xml:space="preserve">Es así que, en el presente asunto </w:t>
      </w:r>
      <w:r w:rsidRPr="00A10EDA">
        <w:rPr>
          <w:rFonts w:eastAsia="MS Mincho" w:cs="Arial"/>
          <w:b/>
        </w:rPr>
        <w:t xml:space="preserve">EL SUJETO OBLIGADO </w:t>
      </w:r>
      <w:r w:rsidRPr="00A10EDA">
        <w:rPr>
          <w:rFonts w:eastAsia="MS Mincho" w:cs="Arial"/>
        </w:rPr>
        <w:t xml:space="preserve">omitió </w:t>
      </w:r>
      <w:r w:rsidRPr="00A10EDA">
        <w:rPr>
          <w:rFonts w:cs="Arial"/>
          <w:lang w:val="es-ES"/>
        </w:rPr>
        <w:t xml:space="preserve">argumentar o presentar los motivos que impiden entregar la información requerida a través de la plataforma </w:t>
      </w:r>
      <w:r w:rsidRPr="00A10EDA">
        <w:rPr>
          <w:rFonts w:cs="Arial"/>
          <w:b/>
          <w:lang w:val="es-ES"/>
        </w:rPr>
        <w:t xml:space="preserve">SAIMEX, </w:t>
      </w:r>
      <w:r w:rsidRPr="00A10EDA">
        <w:rPr>
          <w:rFonts w:cs="Arial"/>
          <w:lang w:val="es-ES"/>
        </w:rPr>
        <w:t>pues no basta con manifestar el cambio de modalidad por sí solo, sin fundamentar ni motivar dicha pretensión.</w:t>
      </w:r>
    </w:p>
    <w:p w14:paraId="10AC6D55" w14:textId="0C56ECD3" w:rsidR="00BE612F" w:rsidRPr="00A10EDA" w:rsidRDefault="00BE612F" w:rsidP="00A10EDA">
      <w:pPr>
        <w:widowControl w:val="0"/>
        <w:autoSpaceDE w:val="0"/>
        <w:autoSpaceDN w:val="0"/>
        <w:adjustRightInd w:val="0"/>
        <w:rPr>
          <w:rFonts w:cs="Arial"/>
          <w:lang w:val="es-ES"/>
        </w:rPr>
      </w:pPr>
    </w:p>
    <w:p w14:paraId="095D9561" w14:textId="799767C0" w:rsidR="006B2B40" w:rsidRPr="00A10EDA" w:rsidRDefault="006B2B40" w:rsidP="00A10EDA">
      <w:pPr>
        <w:widowControl w:val="0"/>
        <w:autoSpaceDE w:val="0"/>
        <w:autoSpaceDN w:val="0"/>
        <w:adjustRightInd w:val="0"/>
        <w:rPr>
          <w:rFonts w:cs="Arial"/>
          <w:lang w:val="es-ES"/>
        </w:rPr>
      </w:pPr>
      <w:r w:rsidRPr="00A10EDA">
        <w:rPr>
          <w:rFonts w:cs="Arial"/>
          <w:lang w:val="es-ES"/>
        </w:rPr>
        <w:t xml:space="preserve">Asimismo, </w:t>
      </w:r>
      <w:r w:rsidR="0057081B" w:rsidRPr="00A10EDA">
        <w:rPr>
          <w:rFonts w:cs="Arial"/>
          <w:lang w:val="es-ES"/>
        </w:rPr>
        <w:t xml:space="preserve">no se advierte que la </w:t>
      </w:r>
      <w:r w:rsidRPr="00A10EDA">
        <w:rPr>
          <w:rFonts w:cs="Arial"/>
          <w:lang w:val="es-ES"/>
        </w:rPr>
        <w:t xml:space="preserve">que la autoridad haya proporcionado el acta del Comité de Transparencia en donde se aprueba el cambio de modalidad a consulta directa para la entrega de información, </w:t>
      </w:r>
      <w:r w:rsidR="0057081B" w:rsidRPr="00A10EDA">
        <w:rPr>
          <w:rFonts w:cs="Arial"/>
          <w:lang w:val="es-ES"/>
        </w:rPr>
        <w:t>pues solo se exhibió el oficio de solicitud por el que se pretendía el cambio de modalidad es decir</w:t>
      </w:r>
      <w:r w:rsidRPr="00A10EDA">
        <w:rPr>
          <w:rFonts w:cs="Arial"/>
          <w:lang w:val="es-ES"/>
        </w:rPr>
        <w:t xml:space="preserve"> no contiene los elementos de validez suficientes para dar sustento sobre la acción ejecutada por el </w:t>
      </w:r>
      <w:r w:rsidRPr="00A10EDA">
        <w:rPr>
          <w:rFonts w:cs="Arial"/>
          <w:b/>
          <w:lang w:val="es-ES"/>
        </w:rPr>
        <w:t xml:space="preserve">SUJETO OBLIGADO </w:t>
      </w:r>
      <w:r w:rsidRPr="00A10EDA">
        <w:rPr>
          <w:rFonts w:cs="Arial"/>
          <w:lang w:val="es-ES"/>
        </w:rPr>
        <w:t xml:space="preserve">toda vez que, dicha autoridad únicamente se limitó a invocar diversas fuentes normativas aplicables al tema en concreto, sin presentar algún argumento de relevancia que impida la entrega de la información a través del </w:t>
      </w:r>
      <w:r w:rsidR="00D024E7" w:rsidRPr="00A10EDA">
        <w:rPr>
          <w:rFonts w:cs="Arial"/>
          <w:b/>
          <w:lang w:val="es-ES"/>
        </w:rPr>
        <w:t>SAIMEX</w:t>
      </w:r>
      <w:r w:rsidRPr="00A10EDA">
        <w:rPr>
          <w:rFonts w:cs="Arial"/>
          <w:lang w:val="es-ES"/>
        </w:rPr>
        <w:t>.</w:t>
      </w:r>
    </w:p>
    <w:p w14:paraId="05DF0B37" w14:textId="77777777" w:rsidR="00842155" w:rsidRPr="00A10EDA" w:rsidRDefault="00842155" w:rsidP="00A10EDA">
      <w:pPr>
        <w:widowControl w:val="0"/>
        <w:autoSpaceDE w:val="0"/>
        <w:autoSpaceDN w:val="0"/>
        <w:adjustRightInd w:val="0"/>
        <w:rPr>
          <w:rFonts w:cs="Arial"/>
          <w:lang w:val="es-ES"/>
        </w:rPr>
      </w:pPr>
    </w:p>
    <w:p w14:paraId="230F8A52" w14:textId="0A2AB264" w:rsidR="00FA088B" w:rsidRPr="00A10EDA" w:rsidRDefault="00FA088B" w:rsidP="00A10EDA">
      <w:pPr>
        <w:widowControl w:val="0"/>
        <w:autoSpaceDE w:val="0"/>
        <w:autoSpaceDN w:val="0"/>
        <w:adjustRightInd w:val="0"/>
      </w:pPr>
      <w:r w:rsidRPr="00A10EDA">
        <w:t xml:space="preserve">Es por lo anterior que, este Órgano Garante cuenta con los elementos suficientes para determinar que el cambio de modalidad aprobado por </w:t>
      </w:r>
      <w:r w:rsidRPr="00A10EDA">
        <w:rPr>
          <w:b/>
        </w:rPr>
        <w:t>EL SUJETO OBLIGADO</w:t>
      </w:r>
      <w:r w:rsidRPr="00A10EDA">
        <w:t xml:space="preserve"> no satisface el derecho de acceso a la información de </w:t>
      </w:r>
      <w:r w:rsidRPr="00A10EDA">
        <w:rPr>
          <w:b/>
        </w:rPr>
        <w:t xml:space="preserve">LA PARTE RECURRENTE </w:t>
      </w:r>
      <w:r w:rsidRPr="00A10EDA">
        <w:t>al no haberse acreditado de manera fehaciente la imposibilidad de proporcionar la información a través del sistema electrónico respectivo, es por ello que se deberá hacer entrega de la misma de ser el caso en versión pública.</w:t>
      </w:r>
    </w:p>
    <w:p w14:paraId="3B0AADC5" w14:textId="77777777" w:rsidR="00172959" w:rsidRPr="00A10EDA" w:rsidRDefault="00172959" w:rsidP="00A10EDA">
      <w:pPr>
        <w:widowControl w:val="0"/>
        <w:autoSpaceDE w:val="0"/>
        <w:autoSpaceDN w:val="0"/>
        <w:adjustRightInd w:val="0"/>
      </w:pPr>
    </w:p>
    <w:p w14:paraId="23B928AC" w14:textId="259ADBF6" w:rsidR="00172959" w:rsidRPr="00A10EDA" w:rsidRDefault="00172959" w:rsidP="00A10EDA">
      <w:pPr>
        <w:widowControl w:val="0"/>
        <w:autoSpaceDE w:val="0"/>
        <w:autoSpaceDN w:val="0"/>
        <w:adjustRightInd w:val="0"/>
      </w:pPr>
      <w:r w:rsidRPr="00A10EDA">
        <w:lastRenderedPageBreak/>
        <w:t xml:space="preserve">De igual forma cabe señalar que de la solicitud de información presentada ante </w:t>
      </w:r>
      <w:r w:rsidRPr="00A10EDA">
        <w:rPr>
          <w:b/>
        </w:rPr>
        <w:t xml:space="preserve">EL SUJETO OBLIGADO </w:t>
      </w:r>
      <w:r w:rsidRPr="00A10EDA">
        <w:t xml:space="preserve">es posible visualizar que esta no constituye el hecho de remitir un cumulo grande de información o documentación en virtud de que únicamente se solicitan </w:t>
      </w:r>
      <w:r w:rsidR="0057081B" w:rsidRPr="00A10EDA">
        <w:t>los recibos de nómina timbrados correspondiente a la primera quincena de octubre de 2024 del Servidor Público referido adscrito a la Coordinación General Municipal de Mejora Regulatoria, así como todos los recibos de nómina timbrados por los cuales se le haya pagado su aguinaldo y prima vacacional correspondientes al ejercicio 2023</w:t>
      </w:r>
      <w:r w:rsidRPr="00A10EDA">
        <w:t>, por ende es posible dilucidar que la información puede proporcionarse a través del sistema SAIMEX.</w:t>
      </w:r>
    </w:p>
    <w:p w14:paraId="0BBE3329" w14:textId="77777777" w:rsidR="00842155" w:rsidRPr="00A10EDA" w:rsidRDefault="00842155" w:rsidP="00A10EDA">
      <w:pPr>
        <w:widowControl w:val="0"/>
        <w:autoSpaceDE w:val="0"/>
        <w:autoSpaceDN w:val="0"/>
        <w:adjustRightInd w:val="0"/>
      </w:pPr>
    </w:p>
    <w:p w14:paraId="5DA7C963" w14:textId="6787BB2B" w:rsidR="00664420" w:rsidRPr="00A10EDA" w:rsidRDefault="00BD5A7C" w:rsidP="00A10EDA">
      <w:pPr>
        <w:pStyle w:val="Ttulo3"/>
      </w:pPr>
      <w:bookmarkStart w:id="30" w:name="_Toc184815101"/>
      <w:r w:rsidRPr="00A10EDA">
        <w:t>d</w:t>
      </w:r>
      <w:r w:rsidR="00A21A20" w:rsidRPr="00A10EDA">
        <w:t>)</w:t>
      </w:r>
      <w:r w:rsidR="00664420" w:rsidRPr="00A10EDA">
        <w:t xml:space="preserve"> Versión pública</w:t>
      </w:r>
      <w:bookmarkEnd w:id="30"/>
    </w:p>
    <w:p w14:paraId="20B03CFE" w14:textId="401FB7F4" w:rsidR="00AC3CA0" w:rsidRPr="00A10EDA" w:rsidRDefault="007F5D06" w:rsidP="00A10EDA">
      <w:pPr>
        <w:rPr>
          <w:bCs/>
        </w:rPr>
      </w:pPr>
      <w:r w:rsidRPr="00A10EDA">
        <w:t>P</w:t>
      </w:r>
      <w:r w:rsidR="00AC3CA0" w:rsidRPr="00A10EDA">
        <w:t xml:space="preserve">ara el caso de que el o los documentos de los cuales se ordena su entrega contengan datos personales susceptibles de ser testados, deberán ser entregados en </w:t>
      </w:r>
      <w:r w:rsidR="00AC3CA0" w:rsidRPr="00A10EDA">
        <w:rPr>
          <w:b/>
        </w:rPr>
        <w:t>versión pública</w:t>
      </w:r>
      <w:r w:rsidRPr="00A10EDA">
        <w:t>,</w:t>
      </w:r>
      <w:r w:rsidR="00AC3CA0" w:rsidRPr="00A10EDA">
        <w:t xml:space="preserve"> pues el</w:t>
      </w:r>
      <w:r w:rsidR="00AC3CA0" w:rsidRPr="00A10EDA">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A10EDA" w:rsidRDefault="00AC3CA0" w:rsidP="00A10EDA">
      <w:pPr>
        <w:rPr>
          <w:rFonts w:eastAsia="Calibri"/>
          <w:bCs/>
          <w:lang w:eastAsia="en-US"/>
        </w:rPr>
      </w:pPr>
    </w:p>
    <w:p w14:paraId="13DAE086" w14:textId="0C1C7ADD" w:rsidR="00AC3CA0" w:rsidRPr="00A10EDA" w:rsidRDefault="00AC3CA0" w:rsidP="00A10EDA">
      <w:pPr>
        <w:rPr>
          <w:bCs/>
        </w:rPr>
      </w:pPr>
      <w:r w:rsidRPr="00A10EDA">
        <w:rPr>
          <w:bCs/>
        </w:rPr>
        <w:t xml:space="preserve">A este respecto, los artículos 3, fracciones IX, XX, XXI y </w:t>
      </w:r>
      <w:r w:rsidR="007F5D06" w:rsidRPr="00A10EDA">
        <w:rPr>
          <w:bCs/>
        </w:rPr>
        <w:t>XLV; 51</w:t>
      </w:r>
      <w:r w:rsidRPr="00A10EDA">
        <w:rPr>
          <w:bCs/>
        </w:rPr>
        <w:t xml:space="preserve"> y 52 de la Ley de Transparencia y Acceso a la Información Pública del Estado de México y Municipios establecen:</w:t>
      </w:r>
    </w:p>
    <w:p w14:paraId="19CE529D" w14:textId="77777777" w:rsidR="00B54794" w:rsidRPr="00A10EDA" w:rsidRDefault="00B54794" w:rsidP="00A10EDA"/>
    <w:p w14:paraId="5FEBBEDD" w14:textId="77777777" w:rsidR="00FA484E" w:rsidRPr="00A10EDA" w:rsidRDefault="00FA484E" w:rsidP="00A10EDA"/>
    <w:p w14:paraId="22F38C0C" w14:textId="77777777" w:rsidR="00AC3CA0" w:rsidRPr="00A10EDA" w:rsidRDefault="00AC3CA0" w:rsidP="00A10EDA">
      <w:pPr>
        <w:pStyle w:val="Puesto"/>
      </w:pPr>
      <w:r w:rsidRPr="00A10EDA">
        <w:rPr>
          <w:b/>
          <w:bCs/>
          <w:noProof/>
        </w:rPr>
        <w:lastRenderedPageBreak/>
        <w:t>“</w:t>
      </w:r>
      <w:r w:rsidRPr="00A10EDA">
        <w:rPr>
          <w:b/>
          <w:bCs/>
        </w:rPr>
        <w:t xml:space="preserve">Artículo 3. </w:t>
      </w:r>
      <w:r w:rsidRPr="00A10EDA">
        <w:t xml:space="preserve">Para los efectos de la presente Ley se entenderá por: </w:t>
      </w:r>
    </w:p>
    <w:p w14:paraId="74507E00" w14:textId="77777777" w:rsidR="00AC3CA0" w:rsidRPr="00A10EDA" w:rsidRDefault="00AC3CA0" w:rsidP="00A10EDA">
      <w:pPr>
        <w:pStyle w:val="Puesto"/>
      </w:pPr>
      <w:r w:rsidRPr="00A10EDA">
        <w:rPr>
          <w:b/>
        </w:rPr>
        <w:t>IX.</w:t>
      </w:r>
      <w:r w:rsidRPr="00A10EDA">
        <w:t xml:space="preserve"> </w:t>
      </w:r>
      <w:r w:rsidRPr="00A10EDA">
        <w:rPr>
          <w:b/>
        </w:rPr>
        <w:t xml:space="preserve">Datos personales: </w:t>
      </w:r>
      <w:r w:rsidRPr="00A10EDA">
        <w:t xml:space="preserve">La información concerniente a una persona, identificada o identificable según lo dispuesto por la Ley de Protección de Datos Personales del Estado de México; </w:t>
      </w:r>
    </w:p>
    <w:p w14:paraId="320759AF" w14:textId="77777777" w:rsidR="002B7C6F" w:rsidRPr="00A10EDA" w:rsidRDefault="002B7C6F" w:rsidP="00A10EDA"/>
    <w:p w14:paraId="4EFEB771" w14:textId="77777777" w:rsidR="00AC3CA0" w:rsidRPr="00A10EDA" w:rsidRDefault="00AC3CA0" w:rsidP="00A10EDA">
      <w:pPr>
        <w:pStyle w:val="Puesto"/>
      </w:pPr>
      <w:r w:rsidRPr="00A10EDA">
        <w:rPr>
          <w:b/>
        </w:rPr>
        <w:t>XX.</w:t>
      </w:r>
      <w:r w:rsidRPr="00A10EDA">
        <w:t xml:space="preserve"> </w:t>
      </w:r>
      <w:r w:rsidRPr="00A10EDA">
        <w:rPr>
          <w:b/>
        </w:rPr>
        <w:t>Información clasificada:</w:t>
      </w:r>
      <w:r w:rsidRPr="00A10EDA">
        <w:t xml:space="preserve"> Aquella considerada por la presente Ley como reservada o confidencial; </w:t>
      </w:r>
    </w:p>
    <w:p w14:paraId="5DA95E10" w14:textId="77777777" w:rsidR="002B7C6F" w:rsidRPr="00A10EDA" w:rsidRDefault="002B7C6F" w:rsidP="00A10EDA"/>
    <w:p w14:paraId="1CD04431" w14:textId="77777777" w:rsidR="00AC3CA0" w:rsidRPr="00A10EDA" w:rsidRDefault="00AC3CA0" w:rsidP="00A10EDA">
      <w:pPr>
        <w:pStyle w:val="Puesto"/>
      </w:pPr>
      <w:r w:rsidRPr="00A10EDA">
        <w:rPr>
          <w:b/>
        </w:rPr>
        <w:t>XXI.</w:t>
      </w:r>
      <w:r w:rsidRPr="00A10EDA">
        <w:t xml:space="preserve"> </w:t>
      </w:r>
      <w:r w:rsidRPr="00A10EDA">
        <w:rPr>
          <w:b/>
        </w:rPr>
        <w:t>Información confidencial</w:t>
      </w:r>
      <w:r w:rsidRPr="00A10EDA">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A10EDA" w:rsidRDefault="002B7C6F" w:rsidP="00A10EDA"/>
    <w:p w14:paraId="7CD4D2FB" w14:textId="77777777" w:rsidR="00AC3CA0" w:rsidRPr="00A10EDA" w:rsidRDefault="00AC3CA0" w:rsidP="00A10EDA">
      <w:pPr>
        <w:pStyle w:val="Puesto"/>
      </w:pPr>
      <w:r w:rsidRPr="00A10EDA">
        <w:rPr>
          <w:b/>
        </w:rPr>
        <w:t>XLV. Versión pública:</w:t>
      </w:r>
      <w:r w:rsidRPr="00A10EDA">
        <w:t xml:space="preserve"> Documento en el que se elimine, suprime o borra la información clasificada como reservada o confidencial para permitir su acceso. </w:t>
      </w:r>
    </w:p>
    <w:p w14:paraId="1ACE9141" w14:textId="77777777" w:rsidR="002B7C6F" w:rsidRPr="00A10EDA" w:rsidRDefault="002B7C6F" w:rsidP="00A10EDA"/>
    <w:p w14:paraId="0BAED675" w14:textId="178B54DE" w:rsidR="00AC3CA0" w:rsidRPr="00A10EDA" w:rsidRDefault="00AC3CA0" w:rsidP="00A10EDA">
      <w:pPr>
        <w:pStyle w:val="Puesto"/>
      </w:pPr>
      <w:r w:rsidRPr="00A10EDA">
        <w:rPr>
          <w:b/>
        </w:rPr>
        <w:t>Artículo 51.</w:t>
      </w:r>
      <w:r w:rsidRPr="00A10EDA">
        <w:t xml:space="preserve"> Los sujetos obligados designaran a un responsable para atender la Unidad de Transparencia, quien fungirá como enlace entre éstos y los solicitantes. Dicha Unidad será la encargada de tramitar internamente la solicitud de información </w:t>
      </w:r>
      <w:r w:rsidRPr="00A10EDA">
        <w:rPr>
          <w:b/>
        </w:rPr>
        <w:t xml:space="preserve">y tendrá la responsabilidad de verificar en cada caso que la misma no sea confidencial o reservada. </w:t>
      </w:r>
      <w:r w:rsidRPr="00A10EDA">
        <w:t>Dicha Unidad contará con las facultades internas necesarias para gestionar la atención a las solicitudes de información en los términos de la Ley General y la presente Ley.</w:t>
      </w:r>
    </w:p>
    <w:p w14:paraId="54D7F3F5" w14:textId="77777777" w:rsidR="002B7C6F" w:rsidRPr="00A10EDA" w:rsidRDefault="002B7C6F" w:rsidP="00A10EDA"/>
    <w:p w14:paraId="5AB2B52F" w14:textId="68BEB541" w:rsidR="00AC3CA0" w:rsidRPr="00A10EDA" w:rsidRDefault="00AC3CA0" w:rsidP="00A10EDA">
      <w:pPr>
        <w:pStyle w:val="Puesto"/>
      </w:pPr>
      <w:r w:rsidRPr="00A10EDA">
        <w:rPr>
          <w:b/>
        </w:rPr>
        <w:t>Artículo 52.</w:t>
      </w:r>
      <w:r w:rsidRPr="00A10EDA">
        <w:t xml:space="preserve"> Las solicitudes de acceso a la información y las respuestas que se les dé, incluyendo, en su caso, </w:t>
      </w:r>
      <w:r w:rsidRPr="00A10EDA">
        <w:rPr>
          <w:u w:val="single"/>
        </w:rPr>
        <w:t>la información entregada, así como las resoluciones a los recursos que en su caso se promuevan serán públicas, y de ser el caso que contenga datos personales que deban ser protegidos se podrá dar su acceso en su versión pública</w:t>
      </w:r>
      <w:r w:rsidRPr="00A10EDA">
        <w:t>, siempre y cuando la resolución de referencia se someta a un proceso de disociación, es decir, no haga identificable al titular de tales datos personales.</w:t>
      </w:r>
      <w:r w:rsidRPr="00A10EDA">
        <w:rPr>
          <w:bCs/>
          <w:noProof/>
        </w:rPr>
        <w:t>”</w:t>
      </w:r>
      <w:r w:rsidR="007F5D06" w:rsidRPr="00A10EDA">
        <w:rPr>
          <w:bCs/>
          <w:noProof/>
        </w:rPr>
        <w:t xml:space="preserve"> </w:t>
      </w:r>
      <w:r w:rsidRPr="00A10EDA">
        <w:rPr>
          <w:i w:val="0"/>
          <w:iCs/>
          <w:szCs w:val="22"/>
        </w:rPr>
        <w:t>(Énfasis añadido)</w:t>
      </w:r>
    </w:p>
    <w:p w14:paraId="14DDB49A" w14:textId="77777777" w:rsidR="00AC3CA0" w:rsidRPr="00A10EDA" w:rsidRDefault="00AC3CA0" w:rsidP="00A10EDA"/>
    <w:p w14:paraId="18663A56" w14:textId="530412FA" w:rsidR="00AC3CA0" w:rsidRPr="00A10EDA" w:rsidRDefault="00AC3CA0" w:rsidP="00A10EDA">
      <w:r w:rsidRPr="00A10EDA">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A10EDA">
        <w:lastRenderedPageBreak/>
        <w:t xml:space="preserve">considerando además, que conforme al principio de finalidad, todo tratamiento de datos personales que </w:t>
      </w:r>
      <w:r w:rsidR="007F5D06" w:rsidRPr="00A10EDA">
        <w:t xml:space="preserve">se </w:t>
      </w:r>
      <w:r w:rsidRPr="00A10EDA">
        <w:t>efectúe deberá estar justificado en la Ley, lo anterior en términos de lo dispuesto por el artículo 22, párrafo primero</w:t>
      </w:r>
      <w:r w:rsidR="007F5D06" w:rsidRPr="00A10EDA">
        <w:t>,</w:t>
      </w:r>
      <w:r w:rsidRPr="00A10EDA">
        <w:t xml:space="preserve"> </w:t>
      </w:r>
      <w:r w:rsidR="007F5D06" w:rsidRPr="00A10EDA">
        <w:t>relacionado</w:t>
      </w:r>
      <w:r w:rsidRPr="00A10EDA">
        <w:t xml:space="preserve"> con el 38 de la Ley de Protección de Datos Personales en Posesión de Sujetos Obligados del Estado de México y Municipios, los cuales se transcriben para mayor referencia: </w:t>
      </w:r>
    </w:p>
    <w:p w14:paraId="24D8A62C" w14:textId="77777777" w:rsidR="00AC3CA0" w:rsidRPr="00A10EDA" w:rsidRDefault="00AC3CA0" w:rsidP="00A10EDA"/>
    <w:p w14:paraId="266BB0EA" w14:textId="01A7285C" w:rsidR="00AC3CA0" w:rsidRPr="00A10EDA" w:rsidRDefault="00AC3CA0" w:rsidP="00A10EDA">
      <w:pPr>
        <w:pStyle w:val="Puesto"/>
        <w:rPr>
          <w:rFonts w:eastAsia="Arial Unicode MS"/>
        </w:rPr>
      </w:pPr>
      <w:r w:rsidRPr="00A10EDA">
        <w:rPr>
          <w:rFonts w:eastAsia="Arial Unicode MS"/>
          <w:b/>
        </w:rPr>
        <w:t>“Artículo 22.</w:t>
      </w:r>
      <w:r w:rsidRPr="00A10EDA">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A10EDA" w:rsidRDefault="002B7C6F" w:rsidP="00A10EDA">
      <w:pPr>
        <w:rPr>
          <w:rFonts w:eastAsia="Arial Unicode MS"/>
        </w:rPr>
      </w:pPr>
    </w:p>
    <w:p w14:paraId="0C6ECD10" w14:textId="77777777" w:rsidR="00AC3CA0" w:rsidRPr="00A10EDA" w:rsidRDefault="00AC3CA0" w:rsidP="00A10EDA">
      <w:pPr>
        <w:pStyle w:val="Puesto"/>
        <w:rPr>
          <w:rFonts w:eastAsia="Arial Unicode MS"/>
        </w:rPr>
      </w:pPr>
      <w:r w:rsidRPr="00A10EDA">
        <w:rPr>
          <w:rFonts w:eastAsia="Arial Unicode MS"/>
          <w:b/>
        </w:rPr>
        <w:t>Artículo 38.</w:t>
      </w:r>
      <w:r w:rsidRPr="00A10EDA">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10EDA">
        <w:rPr>
          <w:rFonts w:eastAsia="Arial Unicode MS"/>
          <w:b/>
        </w:rPr>
        <w:t>”</w:t>
      </w:r>
      <w:r w:rsidRPr="00A10EDA">
        <w:rPr>
          <w:rFonts w:eastAsia="Arial Unicode MS"/>
        </w:rPr>
        <w:t xml:space="preserve"> </w:t>
      </w:r>
    </w:p>
    <w:p w14:paraId="11BDA04E" w14:textId="77777777" w:rsidR="00AC3CA0" w:rsidRPr="00A10EDA" w:rsidRDefault="00AC3CA0" w:rsidP="00A10EDA">
      <w:pPr>
        <w:rPr>
          <w:rFonts w:eastAsia="Arial Unicode MS"/>
          <w:i/>
          <w:szCs w:val="22"/>
        </w:rPr>
      </w:pPr>
    </w:p>
    <w:p w14:paraId="32BB7A5F" w14:textId="77777777" w:rsidR="00AC3CA0" w:rsidRPr="00A10EDA" w:rsidRDefault="00AC3CA0" w:rsidP="00A10EDA">
      <w:r w:rsidRPr="00A10EDA">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CBD965C" w14:textId="77777777" w:rsidR="00BE612F" w:rsidRPr="00A10EDA" w:rsidRDefault="00BE612F" w:rsidP="00A10EDA"/>
    <w:p w14:paraId="3CE77CF7" w14:textId="77777777" w:rsidR="00AC3CA0" w:rsidRPr="00A10EDA" w:rsidRDefault="00AC3CA0" w:rsidP="00A10EDA">
      <w:r w:rsidRPr="00A10EDA">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A10EDA">
        <w:lastRenderedPageBreak/>
        <w:t>información confidencial</w:t>
      </w:r>
      <w:r w:rsidRPr="00A10EDA">
        <w:rPr>
          <w:rFonts w:eastAsia="Arial Unicode MS"/>
        </w:rPr>
        <w:t xml:space="preserve"> que debe ser protegida por </w:t>
      </w:r>
      <w:r w:rsidRPr="00A10EDA">
        <w:rPr>
          <w:rFonts w:eastAsia="Arial Unicode MS"/>
          <w:b/>
        </w:rPr>
        <w:t>EL SUJETO OBLIGADO,</w:t>
      </w:r>
      <w:r w:rsidRPr="00A10EDA">
        <w:rPr>
          <w:rFonts w:eastAsia="Arial Unicode MS"/>
        </w:rPr>
        <w:t xml:space="preserve"> por lo </w:t>
      </w:r>
      <w:r w:rsidRPr="00A10EDA">
        <w:t>que, todo dato personal susceptible de clasificación debe ser protegido.</w:t>
      </w:r>
    </w:p>
    <w:p w14:paraId="17B1D51E" w14:textId="77777777" w:rsidR="00AC3CA0" w:rsidRPr="00A10EDA" w:rsidRDefault="00AC3CA0" w:rsidP="00A10EDA"/>
    <w:p w14:paraId="1C499B05" w14:textId="0FD0F4F9" w:rsidR="00AC3CA0" w:rsidRPr="00A10EDA" w:rsidRDefault="00AC3CA0" w:rsidP="00A10EDA">
      <w:r w:rsidRPr="00A10EDA">
        <w:t>La finalidad de la versión pública es salvaguardar la vida, integridad, seguridad, patrimonio y privacidad de las personas; de tal manera que</w:t>
      </w:r>
      <w:r w:rsidR="007F5D06" w:rsidRPr="00A10EDA">
        <w:t>,</w:t>
      </w:r>
      <w:r w:rsidRPr="00A10EDA">
        <w:t xml:space="preserve"> todo aquello que no tenga por objeto proteger lo anterior, es susceptible de ser entregado</w:t>
      </w:r>
      <w:r w:rsidR="007F5D06" w:rsidRPr="00A10EDA">
        <w:t>.</w:t>
      </w:r>
      <w:r w:rsidRPr="00A10EDA">
        <w:t xml:space="preserve"> </w:t>
      </w:r>
      <w:r w:rsidR="007F5D06" w:rsidRPr="00A10EDA">
        <w:t>E</w:t>
      </w:r>
      <w:r w:rsidRPr="00A10EDA">
        <w:t>n otras palabras, la protección de datos personales</w:t>
      </w:r>
      <w:r w:rsidR="007F5D06" w:rsidRPr="00A10EDA">
        <w:t xml:space="preserve"> </w:t>
      </w:r>
      <w:r w:rsidRPr="00A10EDA">
        <w:t>es una derivación del derecho a la intimidad.</w:t>
      </w:r>
    </w:p>
    <w:p w14:paraId="4ECCCE5B" w14:textId="77777777" w:rsidR="00AC3CA0" w:rsidRPr="00A10EDA" w:rsidRDefault="00AC3CA0" w:rsidP="00A10EDA"/>
    <w:p w14:paraId="22155419" w14:textId="5E52B74B" w:rsidR="00AC3CA0" w:rsidRPr="00A10EDA" w:rsidRDefault="00AC3CA0" w:rsidP="00A10EDA">
      <w:r w:rsidRPr="00A10EDA">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A10EDA" w:rsidRDefault="00AC3CA0" w:rsidP="00A10EDA"/>
    <w:p w14:paraId="12C70FB7" w14:textId="77777777" w:rsidR="00AC3CA0" w:rsidRPr="00A10EDA" w:rsidRDefault="00AC3CA0" w:rsidP="00A10EDA">
      <w:pPr>
        <w:jc w:val="center"/>
        <w:rPr>
          <w:b/>
          <w:i/>
          <w:szCs w:val="22"/>
        </w:rPr>
      </w:pPr>
      <w:r w:rsidRPr="00A10EDA">
        <w:rPr>
          <w:b/>
          <w:i/>
          <w:szCs w:val="22"/>
          <w:lang w:val="es-ES_tradnl"/>
        </w:rPr>
        <w:t>Ley de Transparencia y Acceso a la Información Pública del Estado de México y Municipios</w:t>
      </w:r>
    </w:p>
    <w:p w14:paraId="79B28D55" w14:textId="77777777" w:rsidR="00AC3CA0" w:rsidRPr="00A10EDA" w:rsidRDefault="00AC3CA0" w:rsidP="00A10EDA"/>
    <w:p w14:paraId="51E4FC60" w14:textId="77777777" w:rsidR="00AC3CA0" w:rsidRPr="00A10EDA" w:rsidRDefault="00AC3CA0" w:rsidP="00A10EDA">
      <w:pPr>
        <w:pStyle w:val="Puesto"/>
      </w:pPr>
      <w:r w:rsidRPr="00A10EDA">
        <w:rPr>
          <w:b/>
        </w:rPr>
        <w:t xml:space="preserve">“Artículo 49. </w:t>
      </w:r>
      <w:r w:rsidRPr="00A10EDA">
        <w:t>Los Comités de Transparencia tendrán las siguientes atribuciones:</w:t>
      </w:r>
    </w:p>
    <w:p w14:paraId="58B2CA83" w14:textId="77777777" w:rsidR="00AC3CA0" w:rsidRPr="00A10EDA" w:rsidRDefault="00AC3CA0" w:rsidP="00A10EDA">
      <w:pPr>
        <w:pStyle w:val="Puesto"/>
      </w:pPr>
      <w:r w:rsidRPr="00A10EDA">
        <w:rPr>
          <w:b/>
        </w:rPr>
        <w:t>VIII.</w:t>
      </w:r>
      <w:r w:rsidRPr="00A10EDA">
        <w:t xml:space="preserve"> Aprobar, modificar o revocar la clasificación de la información;</w:t>
      </w:r>
    </w:p>
    <w:p w14:paraId="42CDD815" w14:textId="77777777" w:rsidR="002B7C6F" w:rsidRPr="00A10EDA" w:rsidRDefault="002B7C6F" w:rsidP="00A10EDA"/>
    <w:p w14:paraId="5E0FE30C" w14:textId="77777777" w:rsidR="00AC3CA0" w:rsidRPr="00A10EDA" w:rsidRDefault="00AC3CA0" w:rsidP="00A10EDA">
      <w:pPr>
        <w:pStyle w:val="Puesto"/>
      </w:pPr>
      <w:r w:rsidRPr="00A10EDA">
        <w:rPr>
          <w:b/>
        </w:rPr>
        <w:t>Artículo 132.</w:t>
      </w:r>
      <w:r w:rsidRPr="00A10EDA">
        <w:t xml:space="preserve"> La clasificación de la información se llevará a cabo en el momento en que:</w:t>
      </w:r>
    </w:p>
    <w:p w14:paraId="22862CEF" w14:textId="77777777" w:rsidR="00AC3CA0" w:rsidRPr="00A10EDA" w:rsidRDefault="00AC3CA0" w:rsidP="00A10EDA">
      <w:pPr>
        <w:pStyle w:val="Puesto"/>
      </w:pPr>
      <w:r w:rsidRPr="00A10EDA">
        <w:rPr>
          <w:b/>
        </w:rPr>
        <w:t>I.</w:t>
      </w:r>
      <w:r w:rsidRPr="00A10EDA">
        <w:t xml:space="preserve"> Se reciba una solicitud de acceso a la información;</w:t>
      </w:r>
    </w:p>
    <w:p w14:paraId="1076A40B" w14:textId="77777777" w:rsidR="00AC3CA0" w:rsidRPr="00A10EDA" w:rsidRDefault="00AC3CA0" w:rsidP="00A10EDA">
      <w:pPr>
        <w:pStyle w:val="Puesto"/>
      </w:pPr>
      <w:r w:rsidRPr="00A10EDA">
        <w:rPr>
          <w:b/>
        </w:rPr>
        <w:t>II.</w:t>
      </w:r>
      <w:r w:rsidRPr="00A10EDA">
        <w:t xml:space="preserve"> Se determine mediante resolución de autoridad competente; o</w:t>
      </w:r>
    </w:p>
    <w:p w14:paraId="327FFDF5" w14:textId="77777777" w:rsidR="00AC3CA0" w:rsidRPr="00A10EDA" w:rsidRDefault="00AC3CA0" w:rsidP="00A10EDA">
      <w:pPr>
        <w:pStyle w:val="Puesto"/>
        <w:rPr>
          <w:b/>
        </w:rPr>
      </w:pPr>
      <w:r w:rsidRPr="00A10EDA">
        <w:rPr>
          <w:b/>
          <w:bCs/>
        </w:rPr>
        <w:t>III.</w:t>
      </w:r>
      <w:r w:rsidRPr="00A10EDA">
        <w:t xml:space="preserve"> Se generen versiones públicas para dar cumplimiento a las obligaciones de transparencia previstas en esta Ley.</w:t>
      </w:r>
      <w:r w:rsidRPr="00A10EDA">
        <w:rPr>
          <w:b/>
        </w:rPr>
        <w:t>”</w:t>
      </w:r>
    </w:p>
    <w:p w14:paraId="63550E79" w14:textId="77777777" w:rsidR="002B7C6F" w:rsidRPr="00A10EDA" w:rsidRDefault="002B7C6F" w:rsidP="00A10EDA"/>
    <w:p w14:paraId="733E702D" w14:textId="04C291BD" w:rsidR="00AC3CA0" w:rsidRPr="00A10EDA" w:rsidRDefault="00AC3CA0" w:rsidP="00A10EDA">
      <w:pPr>
        <w:pStyle w:val="Puesto"/>
      </w:pPr>
      <w:r w:rsidRPr="00A10EDA">
        <w:rPr>
          <w:b/>
        </w:rPr>
        <w:lastRenderedPageBreak/>
        <w:t>“</w:t>
      </w:r>
      <w:r w:rsidR="002B7C6F" w:rsidRPr="00A10EDA">
        <w:rPr>
          <w:b/>
        </w:rPr>
        <w:t>Segundo. -</w:t>
      </w:r>
      <w:r w:rsidRPr="00A10EDA">
        <w:t xml:space="preserve"> Para efectos de los presentes Lineamientos Generales, se entenderá por:</w:t>
      </w:r>
    </w:p>
    <w:p w14:paraId="3D6255D3" w14:textId="77777777" w:rsidR="00AC3CA0" w:rsidRPr="00A10EDA" w:rsidRDefault="00AC3CA0" w:rsidP="00A10EDA">
      <w:pPr>
        <w:pStyle w:val="Puesto"/>
      </w:pPr>
      <w:r w:rsidRPr="00A10EDA">
        <w:rPr>
          <w:b/>
        </w:rPr>
        <w:t>XVIII.</w:t>
      </w:r>
      <w:r w:rsidRPr="00A10EDA">
        <w:t xml:space="preserve">  </w:t>
      </w:r>
      <w:r w:rsidRPr="00A10EDA">
        <w:rPr>
          <w:b/>
        </w:rPr>
        <w:t>Versión pública:</w:t>
      </w:r>
      <w:r w:rsidRPr="00A10EDA">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92CD288" w14:textId="77777777" w:rsidR="00AC3CA0" w:rsidRPr="00A10EDA" w:rsidRDefault="00AC3CA0" w:rsidP="00A10EDA">
      <w:pPr>
        <w:pStyle w:val="Puesto"/>
        <w:rPr>
          <w:b/>
          <w:lang w:val="es-ES_tradnl" w:eastAsia="es-MX"/>
        </w:rPr>
      </w:pPr>
      <w:r w:rsidRPr="00A10EDA">
        <w:rPr>
          <w:b/>
          <w:lang w:val="es-ES_tradnl" w:eastAsia="es-MX"/>
        </w:rPr>
        <w:t xml:space="preserve">Lineamientos Generales en materia de Clasificación y Desclasificación de la </w:t>
      </w:r>
      <w:r w:rsidRPr="00A10EDA">
        <w:rPr>
          <w:b/>
          <w:lang w:val="es-ES_tradnl"/>
        </w:rPr>
        <w:t>Información</w:t>
      </w:r>
    </w:p>
    <w:p w14:paraId="57959355" w14:textId="77777777" w:rsidR="00AC3CA0" w:rsidRPr="00A10EDA" w:rsidRDefault="00AC3CA0" w:rsidP="00A10EDA">
      <w:pPr>
        <w:pStyle w:val="Puesto"/>
      </w:pPr>
    </w:p>
    <w:p w14:paraId="204206B6" w14:textId="77777777" w:rsidR="00AC3CA0" w:rsidRPr="00A10EDA" w:rsidRDefault="00AC3CA0" w:rsidP="00A10EDA">
      <w:pPr>
        <w:pStyle w:val="Puesto"/>
      </w:pPr>
      <w:r w:rsidRPr="00A10EDA">
        <w:rPr>
          <w:b/>
        </w:rPr>
        <w:t>Cuarto.</w:t>
      </w:r>
      <w:r w:rsidRPr="00A10EDA">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A10EDA" w:rsidRDefault="00AC3CA0" w:rsidP="00A10EDA">
      <w:pPr>
        <w:pStyle w:val="Puesto"/>
      </w:pPr>
      <w:r w:rsidRPr="00A10EDA">
        <w:t>Los sujetos obligados deberán aplicar, de manera estricta, las excepciones al derecho de acceso a la información y sólo podrán invocarlas cuando acrediten su procedencia.</w:t>
      </w:r>
    </w:p>
    <w:p w14:paraId="2334DA4A" w14:textId="77777777" w:rsidR="002B7C6F" w:rsidRPr="00A10EDA" w:rsidRDefault="002B7C6F" w:rsidP="00A10EDA"/>
    <w:p w14:paraId="773F3D38" w14:textId="77777777" w:rsidR="00AC3CA0" w:rsidRPr="00A10EDA" w:rsidRDefault="00AC3CA0" w:rsidP="00A10EDA">
      <w:pPr>
        <w:pStyle w:val="Puesto"/>
      </w:pPr>
      <w:r w:rsidRPr="00A10EDA">
        <w:rPr>
          <w:b/>
        </w:rPr>
        <w:t>Quinto.</w:t>
      </w:r>
      <w:r w:rsidRPr="00A10EDA">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A10EDA" w:rsidRDefault="002B7C6F" w:rsidP="00A10EDA"/>
    <w:p w14:paraId="501C8886" w14:textId="77777777" w:rsidR="00AC3CA0" w:rsidRPr="00A10EDA" w:rsidRDefault="00AC3CA0" w:rsidP="00A10EDA">
      <w:pPr>
        <w:pStyle w:val="Puesto"/>
      </w:pPr>
      <w:r w:rsidRPr="00A10EDA">
        <w:rPr>
          <w:b/>
        </w:rPr>
        <w:t>Sexto.</w:t>
      </w:r>
      <w:r w:rsidRPr="00A10EDA">
        <w:t xml:space="preserve"> Se deroga.</w:t>
      </w:r>
    </w:p>
    <w:p w14:paraId="35534E5B" w14:textId="77777777" w:rsidR="002B7C6F" w:rsidRPr="00A10EDA" w:rsidRDefault="002B7C6F" w:rsidP="00A10EDA"/>
    <w:p w14:paraId="71AE6E31" w14:textId="77777777" w:rsidR="00AC3CA0" w:rsidRPr="00A10EDA" w:rsidRDefault="00AC3CA0" w:rsidP="00A10EDA">
      <w:pPr>
        <w:pStyle w:val="Puesto"/>
      </w:pPr>
      <w:r w:rsidRPr="00A10EDA">
        <w:rPr>
          <w:b/>
        </w:rPr>
        <w:t>Séptimo.</w:t>
      </w:r>
      <w:r w:rsidRPr="00A10EDA">
        <w:t xml:space="preserve"> La clasificación de la información se llevará a cabo en el momento en que:</w:t>
      </w:r>
    </w:p>
    <w:p w14:paraId="4BC6551F" w14:textId="77777777" w:rsidR="00AC3CA0" w:rsidRPr="00A10EDA" w:rsidRDefault="00AC3CA0" w:rsidP="00A10EDA">
      <w:pPr>
        <w:pStyle w:val="Puesto"/>
      </w:pPr>
      <w:r w:rsidRPr="00A10EDA">
        <w:rPr>
          <w:b/>
        </w:rPr>
        <w:t>I.</w:t>
      </w:r>
      <w:r w:rsidRPr="00A10EDA">
        <w:t xml:space="preserve">        Se reciba una solicitud de acceso a la información;</w:t>
      </w:r>
    </w:p>
    <w:p w14:paraId="12BC61E7" w14:textId="77777777" w:rsidR="00AC3CA0" w:rsidRPr="00A10EDA" w:rsidRDefault="00AC3CA0" w:rsidP="00A10EDA">
      <w:pPr>
        <w:pStyle w:val="Puesto"/>
      </w:pPr>
      <w:r w:rsidRPr="00A10EDA">
        <w:rPr>
          <w:b/>
        </w:rPr>
        <w:t>II.</w:t>
      </w:r>
      <w:r w:rsidRPr="00A10EDA">
        <w:t xml:space="preserve">       Se determine mediante resolución del Comité de Transparencia, el órgano garante competente, o en cumplimiento a una sentencia del Poder Judicial; o</w:t>
      </w:r>
    </w:p>
    <w:p w14:paraId="60049403" w14:textId="77777777" w:rsidR="00AC3CA0" w:rsidRPr="00A10EDA" w:rsidRDefault="00AC3CA0" w:rsidP="00A10EDA">
      <w:pPr>
        <w:pStyle w:val="Puesto"/>
      </w:pPr>
      <w:r w:rsidRPr="00A10EDA">
        <w:rPr>
          <w:b/>
        </w:rPr>
        <w:t>III.</w:t>
      </w:r>
      <w:r w:rsidRPr="00A10EDA">
        <w:t xml:space="preserve">      Se generen versiones públicas para dar cumplimiento a las obligaciones de transparencia previstas en la Ley General, la Ley Federal y las correspondientes de las entidades federativas.</w:t>
      </w:r>
    </w:p>
    <w:p w14:paraId="2AAF20AA" w14:textId="77777777" w:rsidR="00AC3CA0" w:rsidRPr="00A10EDA" w:rsidRDefault="00AC3CA0" w:rsidP="00A10EDA">
      <w:pPr>
        <w:pStyle w:val="Puesto"/>
      </w:pPr>
      <w:r w:rsidRPr="00A10EDA">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1B84F0FA" w14:textId="77777777" w:rsidR="00AC3CA0" w:rsidRPr="00A10EDA" w:rsidRDefault="00AC3CA0" w:rsidP="00A10EDA">
      <w:pPr>
        <w:pStyle w:val="Puesto"/>
      </w:pPr>
      <w:r w:rsidRPr="00A10EDA">
        <w:rPr>
          <w:b/>
        </w:rPr>
        <w:t>Octavo.</w:t>
      </w:r>
      <w:r w:rsidRPr="00A10EDA">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A10EDA" w:rsidRDefault="00AC3CA0" w:rsidP="00A10EDA">
      <w:pPr>
        <w:pStyle w:val="Puesto"/>
      </w:pPr>
      <w:r w:rsidRPr="00A10EDA">
        <w:t>Para motivar la clasificación se deberán señalar las razones o circunstancias especiales que lo llevaron a concluir que el caso particular se ajusta al supuesto previsto por la norma legal invocada como fundamento.</w:t>
      </w:r>
    </w:p>
    <w:p w14:paraId="403E39EA" w14:textId="77777777" w:rsidR="00BE612F" w:rsidRPr="00A10EDA" w:rsidRDefault="00BE612F" w:rsidP="00A10EDA"/>
    <w:p w14:paraId="41964AD4" w14:textId="77777777" w:rsidR="00AC3CA0" w:rsidRPr="00A10EDA" w:rsidRDefault="00AC3CA0" w:rsidP="00A10EDA">
      <w:pPr>
        <w:pStyle w:val="Puesto"/>
      </w:pPr>
      <w:r w:rsidRPr="00A10EDA">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A10EDA" w:rsidRDefault="002B7C6F" w:rsidP="00A10EDA"/>
    <w:p w14:paraId="3DC18E7E" w14:textId="77777777" w:rsidR="00AC3CA0" w:rsidRPr="00A10EDA" w:rsidRDefault="00AC3CA0" w:rsidP="00A10EDA">
      <w:pPr>
        <w:pStyle w:val="Puesto"/>
      </w:pPr>
      <w:r w:rsidRPr="00A10EDA">
        <w:rPr>
          <w:b/>
        </w:rPr>
        <w:t>Noveno.</w:t>
      </w:r>
      <w:r w:rsidRPr="00A10EDA">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A10EDA" w:rsidRDefault="002B7C6F" w:rsidP="00A10EDA"/>
    <w:p w14:paraId="45844BB1" w14:textId="77777777" w:rsidR="00AC3CA0" w:rsidRPr="00A10EDA" w:rsidRDefault="00AC3CA0" w:rsidP="00A10EDA">
      <w:pPr>
        <w:pStyle w:val="Puesto"/>
      </w:pPr>
      <w:r w:rsidRPr="00A10EDA">
        <w:rPr>
          <w:b/>
        </w:rPr>
        <w:t>Décimo.</w:t>
      </w:r>
      <w:r w:rsidRPr="00A10EDA">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1B4408DC" w:rsidR="00AC3CA0" w:rsidRPr="00A10EDA" w:rsidRDefault="00AC3CA0" w:rsidP="00A10EDA">
      <w:pPr>
        <w:pStyle w:val="Puesto"/>
      </w:pPr>
      <w:r w:rsidRPr="00A10EDA">
        <w:t>En ausencia de los titulares de las áreas, la información será clasificada o desclasificada por la persona que lo supla, en términos de la normativa que rija la actuación del sujeto obligado.</w:t>
      </w:r>
    </w:p>
    <w:p w14:paraId="1C149FC3" w14:textId="77777777" w:rsidR="00B54794" w:rsidRPr="00A10EDA" w:rsidRDefault="00B54794" w:rsidP="00A10EDA"/>
    <w:p w14:paraId="0861DCC9" w14:textId="77777777" w:rsidR="00AC3CA0" w:rsidRPr="00A10EDA" w:rsidRDefault="00AC3CA0" w:rsidP="00A10EDA">
      <w:pPr>
        <w:pStyle w:val="Puesto"/>
        <w:rPr>
          <w:b/>
        </w:rPr>
      </w:pPr>
      <w:r w:rsidRPr="00A10EDA">
        <w:rPr>
          <w:b/>
        </w:rPr>
        <w:t>Décimo primero.</w:t>
      </w:r>
      <w:r w:rsidRPr="00A10EDA">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10EDA">
        <w:rPr>
          <w:b/>
        </w:rPr>
        <w:t>”</w:t>
      </w:r>
    </w:p>
    <w:p w14:paraId="2D5FBBCD" w14:textId="77777777" w:rsidR="00AC3CA0" w:rsidRPr="00A10EDA" w:rsidRDefault="00AC3CA0" w:rsidP="00A10EDA"/>
    <w:p w14:paraId="05D0E4C9" w14:textId="0A69CA87" w:rsidR="00AC3CA0" w:rsidRPr="00A10EDA" w:rsidRDefault="00AC3CA0" w:rsidP="00A10EDA">
      <w:pPr>
        <w:rPr>
          <w:lang w:eastAsia="es-CO"/>
        </w:rPr>
      </w:pPr>
      <w:r w:rsidRPr="00A10EDA">
        <w:lastRenderedPageBreak/>
        <w:t xml:space="preserve">Consecuentemente, se destaca que la versión pública que elabore </w:t>
      </w:r>
      <w:r w:rsidRPr="00A10EDA">
        <w:rPr>
          <w:b/>
        </w:rPr>
        <w:t>EL SUJETO OBLIGADO</w:t>
      </w:r>
      <w:r w:rsidRPr="00A10EDA">
        <w:t xml:space="preserve"> debe cumplir con las formalidades exigidas en la Ley, por lo que para tal efecto emitirá el </w:t>
      </w:r>
      <w:r w:rsidRPr="00A10EDA">
        <w:rPr>
          <w:b/>
        </w:rPr>
        <w:t>Acuerdo del Comité de Transparencia</w:t>
      </w:r>
      <w:r w:rsidRPr="00A10EDA">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10EDA">
        <w:rPr>
          <w:lang w:eastAsia="es-CO"/>
        </w:rPr>
        <w:t>, ya que</w:t>
      </w:r>
      <w:r w:rsidR="002B7C6F" w:rsidRPr="00A10EDA">
        <w:rPr>
          <w:lang w:eastAsia="es-CO"/>
        </w:rPr>
        <w:t xml:space="preserve"> de</w:t>
      </w:r>
      <w:r w:rsidRPr="00A10EDA">
        <w:rPr>
          <w:lang w:eastAsia="es-CO"/>
        </w:rPr>
        <w:t xml:space="preserve"> no hacerlo implica que lo entregado no es legal ni formalmente una versión pública, sino más bien una documentación ilegible, incompleta o tachada; pues no </w:t>
      </w:r>
      <w:r w:rsidR="002B7C6F" w:rsidRPr="00A10EDA">
        <w:rPr>
          <w:lang w:eastAsia="es-CO"/>
        </w:rPr>
        <w:t xml:space="preserve">se </w:t>
      </w:r>
      <w:r w:rsidRPr="00A10EDA">
        <w:rPr>
          <w:lang w:eastAsia="es-CO"/>
        </w:rPr>
        <w:t>señala</w:t>
      </w:r>
      <w:r w:rsidR="002B7C6F" w:rsidRPr="00A10EDA">
        <w:rPr>
          <w:lang w:eastAsia="es-CO"/>
        </w:rPr>
        <w:t>n</w:t>
      </w:r>
      <w:r w:rsidRPr="00A10EDA">
        <w:rPr>
          <w:lang w:eastAsia="es-CO"/>
        </w:rPr>
        <w:t xml:space="preserve"> las razones por las que no se aprecian determinados datos -ya sea porque se testan o suprimen- </w:t>
      </w:r>
      <w:r w:rsidR="002B7C6F" w:rsidRPr="00A10EDA">
        <w:rPr>
          <w:lang w:eastAsia="es-CO"/>
        </w:rPr>
        <w:t xml:space="preserve">lo cual </w:t>
      </w:r>
      <w:r w:rsidRPr="00A10EDA">
        <w:rPr>
          <w:lang w:eastAsia="es-CO"/>
        </w:rPr>
        <w:t>deja al solicitante en estado de incertidumbre, al no conocer o comprender porque no aparecen en la documentación respectiva, es decir, si no se exponen de manera puntual las razones</w:t>
      </w:r>
      <w:r w:rsidR="002B7C6F" w:rsidRPr="00A10EDA">
        <w:rPr>
          <w:lang w:eastAsia="es-CO"/>
        </w:rPr>
        <w:t xml:space="preserve">, </w:t>
      </w:r>
      <w:r w:rsidRPr="00A10EDA">
        <w:rPr>
          <w:lang w:eastAsia="es-CO"/>
        </w:rPr>
        <w:t>se estaría violentando desde un inicio el derecho de acceso a la información del solicitante.</w:t>
      </w:r>
    </w:p>
    <w:p w14:paraId="386FBF77" w14:textId="77777777" w:rsidR="00334D95" w:rsidRPr="00A10EDA" w:rsidRDefault="00334D95" w:rsidP="00A10EDA">
      <w:pPr>
        <w:rPr>
          <w:lang w:eastAsia="es-CO"/>
        </w:rPr>
      </w:pPr>
    </w:p>
    <w:p w14:paraId="5214D1EF" w14:textId="77777777" w:rsidR="00334D95" w:rsidRPr="00A10EDA" w:rsidRDefault="00334D95" w:rsidP="00A10EDA">
      <w:pPr>
        <w:rPr>
          <w:szCs w:val="22"/>
        </w:rPr>
      </w:pPr>
      <w:r w:rsidRPr="00A10EDA">
        <w:rPr>
          <w:szCs w:val="22"/>
        </w:rPr>
        <w:t>Es importante señalar que, para el caso en concreto, se deben tomar en consideración los siguientes criterios respecto a la información que debe ser, o no, clasificada como confidencial:</w:t>
      </w:r>
    </w:p>
    <w:p w14:paraId="03C6AE38" w14:textId="77777777" w:rsidR="00334D95" w:rsidRPr="00A10EDA" w:rsidRDefault="00334D95" w:rsidP="00A10EDA">
      <w:pPr>
        <w:rPr>
          <w:szCs w:val="22"/>
        </w:rPr>
      </w:pPr>
    </w:p>
    <w:p w14:paraId="78165F80" w14:textId="77777777" w:rsidR="00334D95" w:rsidRPr="00A10EDA" w:rsidRDefault="00334D95" w:rsidP="00A10EDA">
      <w:pPr>
        <w:ind w:right="51"/>
        <w:rPr>
          <w:rFonts w:cs="Arial"/>
          <w:szCs w:val="22"/>
        </w:rPr>
      </w:pPr>
      <w:r w:rsidRPr="00A10EDA">
        <w:rPr>
          <w:rFonts w:eastAsia="Arial Unicode MS" w:cs="Arial"/>
          <w:szCs w:val="22"/>
        </w:rPr>
        <w:t xml:space="preserve">Así, previo a poner a disposición la información correspondiente debe considerarse que tiene carácter de confidencial </w:t>
      </w:r>
      <w:r w:rsidRPr="00A10EDA">
        <w:rPr>
          <w:rFonts w:cs="Arial"/>
          <w:szCs w:val="22"/>
        </w:rPr>
        <w:t xml:space="preserve">el Registro Federal de Contribuyentes </w:t>
      </w:r>
      <w:r w:rsidRPr="00A10EDA">
        <w:rPr>
          <w:rFonts w:cs="Arial"/>
          <w:b/>
          <w:bCs/>
          <w:szCs w:val="22"/>
          <w:u w:val="single"/>
        </w:rPr>
        <w:t>(RFC) que no sean de proveedores,</w:t>
      </w:r>
      <w:r w:rsidRPr="00A10EDA">
        <w:rPr>
          <w:rFonts w:cs="Arial"/>
          <w:szCs w:val="22"/>
        </w:rPr>
        <w:t xml:space="preserve"> cuenta bancaria, la Clave Única de Registro de Población (CURP), el nombre de las personas físicas que no tengan la calidad de servidor público  o aquellos que no reciban recursos públicos, entre otros considerados como datos personales en términos de la normatividad aplicable.</w:t>
      </w:r>
    </w:p>
    <w:p w14:paraId="0D5AA472" w14:textId="77777777" w:rsidR="00334D95" w:rsidRPr="00A10EDA" w:rsidRDefault="00334D95" w:rsidP="00A10EDA">
      <w:pPr>
        <w:ind w:right="51"/>
        <w:rPr>
          <w:rFonts w:cs="Arial"/>
          <w:szCs w:val="22"/>
        </w:rPr>
      </w:pPr>
    </w:p>
    <w:p w14:paraId="69634F1A" w14:textId="77777777" w:rsidR="00334D95" w:rsidRPr="00A10EDA" w:rsidRDefault="00334D95" w:rsidP="00A10EDA">
      <w:pPr>
        <w:spacing w:before="240" w:after="240"/>
        <w:rPr>
          <w:rFonts w:eastAsia="Palatino Linotype" w:cs="Palatino Linotype"/>
          <w:szCs w:val="22"/>
        </w:rPr>
      </w:pPr>
      <w:r w:rsidRPr="00A10EDA">
        <w:rPr>
          <w:rFonts w:cs="Arial"/>
          <w:szCs w:val="22"/>
        </w:rPr>
        <w:t xml:space="preserve">En </w:t>
      </w:r>
      <w:r w:rsidRPr="00A10EDA">
        <w:rPr>
          <w:rFonts w:eastAsia="Palatino Linotype" w:cs="Palatino Linotype"/>
          <w:szCs w:val="22"/>
        </w:rPr>
        <w:t xml:space="preserve">Por cuanto hace al </w:t>
      </w:r>
      <w:r w:rsidRPr="00A10EDA">
        <w:rPr>
          <w:rFonts w:eastAsia="Palatino Linotype" w:cs="Palatino Linotype"/>
          <w:b/>
          <w:szCs w:val="22"/>
        </w:rPr>
        <w:t>Registro Federal de Contribuyentes, RFC,</w:t>
      </w:r>
      <w:r w:rsidRPr="00A10EDA">
        <w:rPr>
          <w:rFonts w:eastAsia="Palatino Linotype" w:cs="Palatino Linotype"/>
          <w:szCs w:val="22"/>
        </w:rPr>
        <w:t xml:space="preserve"> de las personas físicas, constituye un dato personal, pues se genera con caracteres alfanuméricos a partir del nombre </w:t>
      </w:r>
      <w:r w:rsidRPr="00A10EDA">
        <w:rPr>
          <w:rFonts w:eastAsia="Palatino Linotype" w:cs="Palatino Linotype"/>
          <w:szCs w:val="22"/>
        </w:rPr>
        <w:lastRenderedPageBreak/>
        <w:t xml:space="preserve">y la fecha de nacimiento de cada persona, y finalmente la </w:t>
      </w:r>
      <w:proofErr w:type="spellStart"/>
      <w:r w:rsidRPr="00A10EDA">
        <w:rPr>
          <w:rFonts w:eastAsia="Palatino Linotype" w:cs="Palatino Linotype"/>
          <w:szCs w:val="22"/>
        </w:rPr>
        <w:t>homoclave</w:t>
      </w:r>
      <w:proofErr w:type="spellEnd"/>
      <w:r w:rsidRPr="00A10EDA">
        <w:rPr>
          <w:rFonts w:eastAsia="Palatino Linotype" w:cs="Palatino Linotype"/>
          <w:szCs w:val="22"/>
        </w:rPr>
        <w:t>, por lo que para su obtención es necesario acreditar ante la autoridad fiscal previamente la identidad de la persona, su fecha de nacimiento, entre otros aspectos.</w:t>
      </w:r>
    </w:p>
    <w:p w14:paraId="21DE804C" w14:textId="77777777" w:rsidR="00334D95" w:rsidRPr="00A10EDA" w:rsidRDefault="00334D95" w:rsidP="00A10EDA">
      <w:pPr>
        <w:spacing w:before="240" w:after="240"/>
        <w:rPr>
          <w:rFonts w:eastAsia="Palatino Linotype" w:cs="Palatino Linotype"/>
          <w:szCs w:val="22"/>
        </w:rPr>
      </w:pPr>
      <w:r w:rsidRPr="00A10EDA">
        <w:rPr>
          <w:rFonts w:eastAsia="Palatino Linotype" w:cs="Palatino Linotype"/>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6FECB401" w14:textId="77777777" w:rsidR="00334D95" w:rsidRPr="00A10EDA" w:rsidRDefault="00334D95" w:rsidP="00A10EDA">
      <w:pPr>
        <w:spacing w:before="240" w:after="240"/>
        <w:rPr>
          <w:rFonts w:eastAsia="Palatino Linotype" w:cs="Palatino Linotype"/>
          <w:szCs w:val="22"/>
        </w:rPr>
      </w:pPr>
      <w:bookmarkStart w:id="31" w:name="_heading=h.1ksv4uv" w:colFirst="0" w:colLast="0"/>
      <w:bookmarkEnd w:id="31"/>
      <w:r w:rsidRPr="00A10EDA">
        <w:rPr>
          <w:rFonts w:eastAsia="Palatino Linotype" w:cs="Palatino Linotype"/>
          <w:szCs w:val="22"/>
        </w:rPr>
        <w:t>Lo anterior es compartido por el Instituto Nacional de Transparencia, Acceso a la Información y Protección de Datos Personales, INAI, a través del Criterio de interpretación con clave de control SO/019/2017, el cual es del tenor literal siguiente:</w:t>
      </w:r>
    </w:p>
    <w:p w14:paraId="66C286BE" w14:textId="0455F0D6" w:rsidR="00334D95" w:rsidRPr="00A10EDA" w:rsidRDefault="00334D95" w:rsidP="00A10EDA">
      <w:pPr>
        <w:pStyle w:val="Puesto"/>
        <w:rPr>
          <w:rFonts w:eastAsia="Palatino Linotype"/>
        </w:rPr>
      </w:pPr>
      <w:r w:rsidRPr="00A10EDA">
        <w:rPr>
          <w:rFonts w:eastAsia="Palatino Linotype"/>
          <w:b/>
        </w:rPr>
        <w:t>“Registro Federal de Contribuyentes (RFC) de personas físicas</w:t>
      </w:r>
      <w:r w:rsidRPr="00A10EDA">
        <w:rPr>
          <w:rFonts w:eastAsia="Palatino Linotype"/>
        </w:rPr>
        <w:t>. El RFC es una clave de carácter fiscal, única e irrepetible, que permite identificar al titular, su edad y fecha de nacimiento, por lo que es un dato personal de carácter confidencial.”</w:t>
      </w:r>
    </w:p>
    <w:p w14:paraId="4FB814F1" w14:textId="77777777" w:rsidR="00334D95" w:rsidRPr="00A10EDA" w:rsidRDefault="00334D95" w:rsidP="00A10EDA">
      <w:pPr>
        <w:pBdr>
          <w:top w:val="nil"/>
          <w:left w:val="nil"/>
          <w:bottom w:val="nil"/>
          <w:right w:val="nil"/>
          <w:between w:val="nil"/>
        </w:pBdr>
        <w:spacing w:before="240" w:after="240"/>
        <w:rPr>
          <w:rFonts w:eastAsia="Palatino Linotype" w:cs="Palatino Linotype"/>
          <w:szCs w:val="22"/>
        </w:rPr>
      </w:pPr>
      <w:r w:rsidRPr="00A10EDA">
        <w:rPr>
          <w:rFonts w:eastAsia="Palatino Linotype" w:cs="Palatino Linotype"/>
          <w:szCs w:val="22"/>
        </w:rPr>
        <w:t xml:space="preserve">Así, el Registro Federal de Contribuyentes, RFC, se vincula al nombre de su titular y permite identificar la edad de la persona, su fecha de nacimiento, así como su </w:t>
      </w:r>
      <w:proofErr w:type="spellStart"/>
      <w:r w:rsidRPr="00A10EDA">
        <w:rPr>
          <w:rFonts w:eastAsia="Palatino Linotype" w:cs="Palatino Linotype"/>
          <w:szCs w:val="22"/>
        </w:rPr>
        <w:t>homoclave</w:t>
      </w:r>
      <w:proofErr w:type="spellEnd"/>
      <w:r w:rsidRPr="00A10EDA">
        <w:rPr>
          <w:rFonts w:eastAsia="Palatino Linotype" w:cs="Palatino Linotype"/>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64084D4C" w14:textId="77777777" w:rsidR="00334D95" w:rsidRPr="00A10EDA" w:rsidRDefault="00334D95" w:rsidP="00A10EDA">
      <w:pPr>
        <w:pBdr>
          <w:top w:val="nil"/>
          <w:left w:val="nil"/>
          <w:bottom w:val="nil"/>
          <w:right w:val="nil"/>
          <w:between w:val="nil"/>
        </w:pBdr>
        <w:spacing w:before="240" w:after="240"/>
        <w:rPr>
          <w:rFonts w:eastAsia="Palatino Linotype" w:cs="Palatino Linotype"/>
          <w:szCs w:val="22"/>
        </w:rPr>
      </w:pPr>
      <w:r w:rsidRPr="00A10EDA">
        <w:rPr>
          <w:rFonts w:eastAsia="Palatino Linotype" w:cs="Palatino Linotype"/>
          <w:szCs w:val="22"/>
        </w:rPr>
        <w:t xml:space="preserve">De igual manera la </w:t>
      </w:r>
      <w:r w:rsidRPr="00A10EDA">
        <w:rPr>
          <w:rFonts w:eastAsia="Palatino Linotype" w:cs="Palatino Linotype"/>
          <w:b/>
          <w:szCs w:val="22"/>
        </w:rPr>
        <w:t>Clave Única de Registro de Población</w:t>
      </w:r>
      <w:r w:rsidRPr="00A10EDA">
        <w:rPr>
          <w:rFonts w:eastAsia="Palatino Linotype" w:cs="Palatino Linotype"/>
          <w:szCs w:val="22"/>
        </w:rPr>
        <w:t xml:space="preserve">, </w:t>
      </w:r>
      <w:r w:rsidRPr="00A10EDA">
        <w:rPr>
          <w:rFonts w:eastAsia="Palatino Linotype" w:cs="Palatino Linotype"/>
          <w:b/>
          <w:szCs w:val="22"/>
        </w:rPr>
        <w:t>CURP,</w:t>
      </w:r>
      <w:r w:rsidRPr="00A10EDA">
        <w:rPr>
          <w:rFonts w:eastAsia="Palatino Linotype" w:cs="Palatino Linotype"/>
          <w:szCs w:val="22"/>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w:t>
      </w:r>
      <w:r w:rsidRPr="00A10EDA">
        <w:rPr>
          <w:rFonts w:eastAsia="Palatino Linotype" w:cs="Palatino Linotype"/>
          <w:szCs w:val="22"/>
        </w:rPr>
        <w:lastRenderedPageBreak/>
        <w:t>información que permite distinguirlo del resto de los habitantes, por tal motivo, se considera que es de carácter confidencial.</w:t>
      </w:r>
    </w:p>
    <w:p w14:paraId="2D8A3E18" w14:textId="77777777" w:rsidR="00334D95" w:rsidRPr="00A10EDA" w:rsidRDefault="00334D95" w:rsidP="00A10EDA">
      <w:pPr>
        <w:pBdr>
          <w:top w:val="nil"/>
          <w:left w:val="nil"/>
          <w:bottom w:val="nil"/>
          <w:right w:val="nil"/>
          <w:between w:val="nil"/>
        </w:pBdr>
        <w:spacing w:before="240" w:after="240"/>
        <w:rPr>
          <w:rFonts w:eastAsia="Palatino Linotype" w:cs="Palatino Linotype"/>
          <w:szCs w:val="22"/>
        </w:rPr>
      </w:pPr>
      <w:r w:rsidRPr="00A10EDA">
        <w:rPr>
          <w:rFonts w:eastAsia="Palatino Linotype" w:cs="Palatino Linotype"/>
          <w:szCs w:val="22"/>
        </w:rPr>
        <w:t>Argumento que es compartido por el Instituto Nacional de Transparencia, Acceso a la Información y Protección de Datos Personales, INAI, conforme al Criterio de interpretación con Clave de control SO/018/2017, el cual refiere:</w:t>
      </w:r>
    </w:p>
    <w:p w14:paraId="2B7CDE42" w14:textId="7004E9D4" w:rsidR="00334D95" w:rsidRPr="00A10EDA" w:rsidRDefault="00334D95" w:rsidP="00A10EDA">
      <w:pPr>
        <w:pStyle w:val="Puesto"/>
        <w:rPr>
          <w:rFonts w:eastAsia="Palatino Linotype"/>
        </w:rPr>
      </w:pPr>
      <w:r w:rsidRPr="00A10EDA">
        <w:rPr>
          <w:rFonts w:eastAsia="Palatino Linotype"/>
          <w:b/>
        </w:rPr>
        <w:t xml:space="preserve">“Clave Única de Registro de Población (CURP). </w:t>
      </w:r>
      <w:r w:rsidRPr="00A10EDA">
        <w:rPr>
          <w:rFonts w:eastAsia="Palatino Linotype"/>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0676503" w14:textId="77777777" w:rsidR="00334D95" w:rsidRPr="00A10EDA" w:rsidRDefault="00334D95" w:rsidP="00A10EDA">
      <w:pPr>
        <w:spacing w:before="240" w:after="240"/>
        <w:rPr>
          <w:rFonts w:eastAsia="Palatino Linotype" w:cs="Palatino Linotype"/>
          <w:szCs w:val="22"/>
        </w:rPr>
      </w:pPr>
      <w:r w:rsidRPr="00A10EDA">
        <w:rPr>
          <w:rFonts w:eastAsia="Palatino Linotype" w:cs="Palatino Linotype"/>
          <w:szCs w:val="22"/>
        </w:rPr>
        <w:t xml:space="preserve">Por lo que respecta a la </w:t>
      </w:r>
      <w:r w:rsidRPr="00A10EDA">
        <w:rPr>
          <w:rFonts w:eastAsia="Palatino Linotype" w:cs="Palatino Linotype"/>
          <w:b/>
          <w:szCs w:val="22"/>
        </w:rPr>
        <w:t>clave de seguridad social</w:t>
      </w:r>
      <w:r w:rsidRPr="00A10EDA">
        <w:rPr>
          <w:rFonts w:eastAsia="Palatino Linotype" w:cs="Palatino Linotype"/>
          <w:szCs w:val="22"/>
        </w:rPr>
        <w:t>, en virtud de que su divulgación no aporta a la transparencia o a la rendición de cuentas y sí provoca una transgresión a la vida privada e intimidad de la persona, esta información también resulta ser de carácter confidencial.</w:t>
      </w:r>
    </w:p>
    <w:p w14:paraId="499B1887" w14:textId="77777777" w:rsidR="00334D95" w:rsidRPr="00A10EDA" w:rsidRDefault="00334D95" w:rsidP="00A10EDA">
      <w:pPr>
        <w:spacing w:before="240" w:after="240"/>
        <w:rPr>
          <w:rFonts w:eastAsia="Palatino Linotype" w:cs="Palatino Linotype"/>
          <w:szCs w:val="22"/>
        </w:rPr>
      </w:pPr>
      <w:r w:rsidRPr="00A10EDA">
        <w:rPr>
          <w:rFonts w:eastAsia="Palatino Linotype" w:cs="Palatino Linotype"/>
          <w:szCs w:val="22"/>
        </w:rPr>
        <w:t xml:space="preserve">Respecto de los </w:t>
      </w:r>
      <w:r w:rsidRPr="00A10EDA">
        <w:rPr>
          <w:rFonts w:eastAsia="Palatino Linotype" w:cs="Palatino Linotype"/>
          <w:b/>
          <w:szCs w:val="22"/>
        </w:rPr>
        <w:t>números de cuentas bancari</w:t>
      </w:r>
      <w:r w:rsidRPr="00A10EDA">
        <w:rPr>
          <w:rFonts w:eastAsia="Palatino Linotype" w:cs="Palatino Linotype"/>
          <w:szCs w:val="22"/>
        </w:rPr>
        <w:t xml:space="preserve">as, </w:t>
      </w:r>
      <w:r w:rsidRPr="00A10EDA">
        <w:rPr>
          <w:rFonts w:eastAsia="Palatino Linotype" w:cs="Palatino Linotype"/>
          <w:b/>
          <w:szCs w:val="22"/>
        </w:rPr>
        <w:t>claves estandarizadas –interbancarias- (CLABES) y de tarjetas</w:t>
      </w:r>
      <w:r w:rsidRPr="00A10EDA">
        <w:rPr>
          <w:rFonts w:eastAsia="Palatino Linotype" w:cs="Palatino Linotype"/>
          <w:szCs w:val="22"/>
        </w:rPr>
        <w:t>, el Pleno de este Instituto ha determinado que esa información debe clasificarse como confidencial, y elaborarse una versión pública en la que se teste la misma.</w:t>
      </w:r>
    </w:p>
    <w:p w14:paraId="5E08D75F" w14:textId="77777777" w:rsidR="00334D95" w:rsidRPr="00A10EDA" w:rsidRDefault="00334D95" w:rsidP="00A10EDA">
      <w:pPr>
        <w:spacing w:before="240" w:after="240"/>
        <w:rPr>
          <w:rFonts w:eastAsia="Palatino Linotype" w:cs="Palatino Linotype"/>
          <w:szCs w:val="22"/>
        </w:rPr>
      </w:pPr>
      <w:r w:rsidRPr="00A10EDA">
        <w:rPr>
          <w:rFonts w:eastAsia="Palatino Linotype" w:cs="Palatino Linotype"/>
          <w:szCs w:val="22"/>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143B39AC" w14:textId="77777777" w:rsidR="00334D95" w:rsidRPr="00A10EDA" w:rsidRDefault="00334D95" w:rsidP="00A10EDA">
      <w:pPr>
        <w:spacing w:before="240" w:after="240"/>
        <w:rPr>
          <w:rFonts w:eastAsia="Palatino Linotype" w:cs="Palatino Linotype"/>
          <w:szCs w:val="22"/>
        </w:rPr>
      </w:pPr>
      <w:r w:rsidRPr="00A10EDA">
        <w:rPr>
          <w:rFonts w:eastAsia="Palatino Linotype" w:cs="Palatino Linotype"/>
          <w:szCs w:val="22"/>
        </w:rPr>
        <w:t xml:space="preserve">Por lo anterior, el número de cuenta bancaria debe ser clasificado como confidencial con fundamento en las fracciones I y II del artículo 143 de la Ley de la Materia vigente en la </w:t>
      </w:r>
      <w:r w:rsidRPr="00A10EDA">
        <w:rPr>
          <w:rFonts w:eastAsia="Palatino Linotype" w:cs="Palatino Linotype"/>
          <w:szCs w:val="22"/>
        </w:rPr>
        <w:lastRenderedPageBreak/>
        <w:t>Entidad; en razón de que con su difusión se estaría poniendo en riesgo la seguridad de su titular.</w:t>
      </w:r>
    </w:p>
    <w:p w14:paraId="3F202D03" w14:textId="77777777" w:rsidR="00334D95" w:rsidRPr="00A10EDA" w:rsidRDefault="00334D95" w:rsidP="00A10EDA">
      <w:pPr>
        <w:pBdr>
          <w:top w:val="nil"/>
          <w:left w:val="nil"/>
          <w:bottom w:val="nil"/>
          <w:right w:val="nil"/>
          <w:between w:val="nil"/>
        </w:pBdr>
        <w:spacing w:before="240" w:after="240"/>
        <w:rPr>
          <w:rFonts w:eastAsia="Palatino Linotype" w:cs="Palatino Linotype"/>
          <w:szCs w:val="22"/>
        </w:rPr>
      </w:pPr>
      <w:r w:rsidRPr="00A10EDA">
        <w:rPr>
          <w:rFonts w:eastAsia="Palatino Linotype" w:cs="Palatino Linotype"/>
          <w:szCs w:val="22"/>
        </w:rPr>
        <w:t xml:space="preserve">En esa virtud, este Pleno determina que dicha información no puede ser del dominio público, toda vez que se podría dar un uso inadecuado a la misma o cometer algún ilícito o fraude como ya ha sido expuesto. </w:t>
      </w:r>
    </w:p>
    <w:p w14:paraId="506BA867" w14:textId="77777777" w:rsidR="00334D95" w:rsidRPr="00A10EDA" w:rsidRDefault="00334D95" w:rsidP="00A10EDA">
      <w:pPr>
        <w:spacing w:before="240" w:after="240"/>
        <w:rPr>
          <w:rFonts w:eastAsia="Palatino Linotype" w:cs="Palatino Linotype"/>
          <w:szCs w:val="22"/>
        </w:rPr>
      </w:pPr>
      <w:r w:rsidRPr="00A10EDA">
        <w:rPr>
          <w:rFonts w:eastAsia="Palatino Linotype" w:cs="Palatino Linotype"/>
          <w:szCs w:val="22"/>
        </w:rPr>
        <w:t>Lo anterior no es así tratándose de las cuentas bancarias o claves interbancarias de los Sujetos Obligados ya que su publicidad cede a la rendición de cuentas al transparentar la forma en que son administrados los recursos públicos.</w:t>
      </w:r>
    </w:p>
    <w:p w14:paraId="4D2848DD" w14:textId="77777777" w:rsidR="00334D95" w:rsidRPr="00A10EDA" w:rsidRDefault="00334D95" w:rsidP="00A10EDA">
      <w:pPr>
        <w:spacing w:before="240" w:after="240"/>
        <w:rPr>
          <w:rFonts w:eastAsia="Palatino Linotype" w:cs="Palatino Linotype"/>
          <w:szCs w:val="22"/>
        </w:rPr>
      </w:pPr>
      <w:r w:rsidRPr="00A10EDA">
        <w:rPr>
          <w:rFonts w:eastAsia="Palatino Linotype" w:cs="Palatino Linotype"/>
          <w:szCs w:val="22"/>
        </w:rPr>
        <w:t>Lo argumentado encuentra sustento en los Criterios de interpretación con clave de control SO/010/2017 y SO/011/2017, emitidos por el Instituto Nacional de Transparencia, Acceso a la Información y Protección de Datos Personales, INAI, que llevan por rubro y texto los siguientes:</w:t>
      </w:r>
    </w:p>
    <w:p w14:paraId="1D803123" w14:textId="77777777" w:rsidR="00334D95" w:rsidRPr="00A10EDA" w:rsidRDefault="00334D95" w:rsidP="00A10EDA">
      <w:pPr>
        <w:pStyle w:val="Puesto"/>
        <w:rPr>
          <w:rFonts w:eastAsia="Palatino Linotype"/>
        </w:rPr>
      </w:pPr>
      <w:r w:rsidRPr="00A10EDA">
        <w:rPr>
          <w:rFonts w:eastAsia="Palatino Linotype"/>
        </w:rPr>
        <w:t>“</w:t>
      </w:r>
      <w:r w:rsidRPr="00A10EDA">
        <w:rPr>
          <w:rFonts w:eastAsia="Palatino Linotype"/>
          <w:b/>
        </w:rPr>
        <w:t>Cuentas bancarias y/o CLABE interbancaria de personas físicas y morales privadas.</w:t>
      </w:r>
      <w:r w:rsidRPr="00A10EDA">
        <w:rPr>
          <w:rFonts w:eastAsia="Palatino Linotype"/>
        </w:rPr>
        <w:t xml:space="preserve"> El número de cuenta bancaria y/o CLABE </w:t>
      </w:r>
      <w:r w:rsidRPr="00A10EDA">
        <w:t>interbancaria</w:t>
      </w:r>
      <w:r w:rsidRPr="00A10EDA">
        <w:rPr>
          <w:rFonts w:eastAsia="Palatino Linotype"/>
        </w:rPr>
        <w:t xml:space="preserve">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9E9BFF0" w14:textId="77777777" w:rsidR="00334D95" w:rsidRPr="00A10EDA" w:rsidRDefault="00334D95" w:rsidP="00A10EDA">
      <w:pPr>
        <w:spacing w:line="240" w:lineRule="auto"/>
        <w:ind w:left="851" w:right="822"/>
        <w:rPr>
          <w:rFonts w:eastAsia="Palatino Linotype"/>
        </w:rPr>
      </w:pPr>
    </w:p>
    <w:p w14:paraId="77754B2D" w14:textId="77777777" w:rsidR="00334D95" w:rsidRPr="00A10EDA" w:rsidRDefault="00334D95" w:rsidP="00A10EDA">
      <w:pPr>
        <w:pStyle w:val="Puesto"/>
        <w:rPr>
          <w:rFonts w:eastAsia="Palatino Linotype"/>
        </w:rPr>
      </w:pPr>
      <w:r w:rsidRPr="00A10EDA">
        <w:rPr>
          <w:rFonts w:eastAsia="Palatino Linotype"/>
        </w:rPr>
        <w:t>“</w:t>
      </w:r>
      <w:r w:rsidRPr="00A10EDA">
        <w:rPr>
          <w:rFonts w:eastAsia="Palatino Linotype"/>
          <w:b/>
        </w:rPr>
        <w:t>Cuentas bancarias y/o CLABE interbancaria de sujetos obligados que reciben y/o transfieren recursos públicos, son información pública</w:t>
      </w:r>
      <w:r w:rsidRPr="00A10EDA">
        <w:rPr>
          <w:rFonts w:eastAsia="Palatino Linotype"/>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69D1FA40" w14:textId="77777777" w:rsidR="00334D95" w:rsidRPr="00A10EDA" w:rsidRDefault="00334D95" w:rsidP="00A10EDA">
      <w:pPr>
        <w:spacing w:before="240" w:after="240"/>
        <w:rPr>
          <w:rFonts w:eastAsia="Palatino Linotype" w:cs="Palatino Linotype"/>
          <w:szCs w:val="22"/>
        </w:rPr>
      </w:pPr>
      <w:bookmarkStart w:id="32" w:name="_heading=h.z337ya" w:colFirst="0" w:colLast="0"/>
      <w:bookmarkEnd w:id="32"/>
      <w:r w:rsidRPr="00A10EDA">
        <w:rPr>
          <w:rFonts w:eastAsia="Palatino Linotype" w:cs="Palatino Linotype"/>
          <w:szCs w:val="22"/>
        </w:rPr>
        <w:lastRenderedPageBreak/>
        <w:t xml:space="preserve">Por cuanto hace a los </w:t>
      </w:r>
      <w:r w:rsidRPr="00A10EDA">
        <w:rPr>
          <w:rFonts w:eastAsia="Palatino Linotype" w:cs="Palatino Linotype"/>
          <w:b/>
          <w:szCs w:val="22"/>
        </w:rPr>
        <w:t>préstamos o descuentos de carácter personal</w:t>
      </w:r>
      <w:r w:rsidRPr="00A10EDA">
        <w:rPr>
          <w:rFonts w:eastAsia="Palatino Linotype" w:cs="Palatino Linotype"/>
          <w:szCs w:val="22"/>
        </w:rPr>
        <w:t>, en virtud de no tener relación con la prestación del servicio y al no involucrar instituciones públicas, se consideran datos confidenciales.</w:t>
      </w:r>
    </w:p>
    <w:p w14:paraId="377A61A9" w14:textId="77777777" w:rsidR="00334D95" w:rsidRPr="00A10EDA" w:rsidRDefault="00334D95" w:rsidP="00A10EDA">
      <w:pPr>
        <w:spacing w:before="240" w:after="240"/>
        <w:rPr>
          <w:rFonts w:eastAsia="Palatino Linotype" w:cs="Palatino Linotype"/>
          <w:szCs w:val="22"/>
        </w:rPr>
      </w:pPr>
      <w:r w:rsidRPr="00A10EDA">
        <w:rPr>
          <w:rFonts w:eastAsia="Palatino Linotype" w:cs="Palatino Linotype"/>
          <w:szCs w:val="22"/>
        </w:rPr>
        <w:t>Para entender los límites y alcances de esta restricción, es oportuno recurrir al artículo 84 de la Ley del Trabajo de los Servidores Públicos del Estado y Municipios:</w:t>
      </w:r>
    </w:p>
    <w:p w14:paraId="6D016643" w14:textId="77777777" w:rsidR="00334D95" w:rsidRPr="00A10EDA" w:rsidRDefault="00334D95" w:rsidP="00A10EDA">
      <w:pPr>
        <w:pStyle w:val="Puesto"/>
        <w:ind w:left="851" w:right="822"/>
        <w:rPr>
          <w:rFonts w:eastAsia="Palatino Linotype"/>
          <w:b/>
        </w:rPr>
      </w:pPr>
      <w:bookmarkStart w:id="33" w:name="_Hlk157645255"/>
      <w:r w:rsidRPr="00A10EDA">
        <w:rPr>
          <w:rFonts w:eastAsia="Palatino Linotype"/>
          <w:b/>
        </w:rPr>
        <w:t xml:space="preserve">“ARTÍCULO 84. </w:t>
      </w:r>
      <w:r w:rsidRPr="00A10EDA">
        <w:rPr>
          <w:rFonts w:eastAsia="Palatino Linotype"/>
        </w:rPr>
        <w:t>Sólo podrán hacerse retenciones, descuentos o deducciones al sueldo de los servidores públicos por concepto de:</w:t>
      </w:r>
    </w:p>
    <w:p w14:paraId="69BCF852" w14:textId="77777777" w:rsidR="00334D95" w:rsidRPr="00A10EDA" w:rsidRDefault="00334D95" w:rsidP="00A10EDA">
      <w:pPr>
        <w:pStyle w:val="Puesto"/>
        <w:ind w:left="851" w:right="822"/>
        <w:rPr>
          <w:rFonts w:eastAsia="Palatino Linotype"/>
        </w:rPr>
      </w:pPr>
      <w:r w:rsidRPr="00A10EDA">
        <w:rPr>
          <w:rFonts w:eastAsia="Palatino Linotype"/>
          <w:b/>
        </w:rPr>
        <w:t>I.</w:t>
      </w:r>
      <w:r w:rsidRPr="00A10EDA">
        <w:rPr>
          <w:rFonts w:eastAsia="Palatino Linotype"/>
        </w:rPr>
        <w:t xml:space="preserve"> Gravámenes fiscales relacionados con el sueldo;</w:t>
      </w:r>
    </w:p>
    <w:p w14:paraId="118F55DB" w14:textId="77777777" w:rsidR="00334D95" w:rsidRPr="00A10EDA" w:rsidRDefault="00334D95" w:rsidP="00A10EDA">
      <w:pPr>
        <w:pStyle w:val="Puesto"/>
        <w:ind w:left="851" w:right="822"/>
        <w:rPr>
          <w:rFonts w:eastAsia="Palatino Linotype"/>
        </w:rPr>
      </w:pPr>
      <w:r w:rsidRPr="00A10EDA">
        <w:rPr>
          <w:rFonts w:eastAsia="Palatino Linotype"/>
          <w:b/>
        </w:rPr>
        <w:t>II.</w:t>
      </w:r>
      <w:r w:rsidRPr="00A10EDA">
        <w:rPr>
          <w:rFonts w:eastAsia="Palatino Linotype"/>
        </w:rPr>
        <w:t xml:space="preserve"> Deudas contraídas con las instituciones públicas o dependencias por concepto de anticipos de sueldo, pagos hechos con exceso, errores o pérdidas debidamente comprobados;</w:t>
      </w:r>
    </w:p>
    <w:p w14:paraId="42DD73E5" w14:textId="77777777" w:rsidR="00334D95" w:rsidRPr="00A10EDA" w:rsidRDefault="00334D95" w:rsidP="00A10EDA">
      <w:pPr>
        <w:pStyle w:val="Puesto"/>
        <w:ind w:left="851" w:right="822"/>
        <w:rPr>
          <w:rFonts w:eastAsia="Palatino Linotype"/>
        </w:rPr>
      </w:pPr>
      <w:r w:rsidRPr="00A10EDA">
        <w:rPr>
          <w:rFonts w:eastAsia="Palatino Linotype"/>
          <w:b/>
        </w:rPr>
        <w:t>III.</w:t>
      </w:r>
      <w:r w:rsidRPr="00A10EDA">
        <w:rPr>
          <w:rFonts w:eastAsia="Palatino Linotype"/>
        </w:rPr>
        <w:t xml:space="preserve"> </w:t>
      </w:r>
      <w:r w:rsidRPr="00A10EDA">
        <w:rPr>
          <w:rFonts w:eastAsia="Palatino Linotype"/>
          <w:b/>
        </w:rPr>
        <w:t>Cuotas sindicales</w:t>
      </w:r>
      <w:r w:rsidRPr="00A10EDA">
        <w:rPr>
          <w:rFonts w:eastAsia="Palatino Linotype"/>
        </w:rPr>
        <w:t>;</w:t>
      </w:r>
    </w:p>
    <w:p w14:paraId="44B40104" w14:textId="77777777" w:rsidR="00334D95" w:rsidRPr="00A10EDA" w:rsidRDefault="00334D95" w:rsidP="00A10EDA">
      <w:pPr>
        <w:pStyle w:val="Puesto"/>
        <w:ind w:left="851" w:right="822"/>
        <w:rPr>
          <w:rFonts w:eastAsia="Palatino Linotype"/>
        </w:rPr>
      </w:pPr>
      <w:r w:rsidRPr="00A10EDA">
        <w:rPr>
          <w:rFonts w:eastAsia="Palatino Linotype"/>
          <w:b/>
        </w:rPr>
        <w:t>IV.</w:t>
      </w:r>
      <w:r w:rsidRPr="00A10EDA">
        <w:rPr>
          <w:rFonts w:eastAsia="Palatino Linotype"/>
        </w:rPr>
        <w:t xml:space="preserve"> Cuotas de aportación a fondos para la constitución de cooperativas y de cajas de ahorro, siempre que el servidor público hubiese manifestado previamente, de manera expresa, su conformidad;</w:t>
      </w:r>
    </w:p>
    <w:p w14:paraId="4897D4B6" w14:textId="77777777" w:rsidR="00334D95" w:rsidRPr="00A10EDA" w:rsidRDefault="00334D95" w:rsidP="00A10EDA">
      <w:pPr>
        <w:pStyle w:val="Puesto"/>
        <w:ind w:left="851" w:right="822"/>
        <w:rPr>
          <w:rFonts w:eastAsia="Palatino Linotype"/>
        </w:rPr>
      </w:pPr>
      <w:r w:rsidRPr="00A10EDA">
        <w:rPr>
          <w:rFonts w:eastAsia="Palatino Linotype"/>
          <w:b/>
        </w:rPr>
        <w:t>V.</w:t>
      </w:r>
      <w:r w:rsidRPr="00A10EDA">
        <w:rPr>
          <w:rFonts w:eastAsia="Palatino Linotype"/>
        </w:rPr>
        <w:t xml:space="preserve"> Descuentos ordenados por el Instituto de Seguridad Social del Estado de México y Municipios, con motivo de cuotas y obligaciones contraídas con éste por los servidores públicos;</w:t>
      </w:r>
    </w:p>
    <w:p w14:paraId="03C8374B" w14:textId="77777777" w:rsidR="00334D95" w:rsidRPr="00A10EDA" w:rsidRDefault="00334D95" w:rsidP="00A10EDA">
      <w:pPr>
        <w:pStyle w:val="Puesto"/>
        <w:ind w:left="851" w:right="822"/>
        <w:rPr>
          <w:rFonts w:eastAsia="Palatino Linotype"/>
        </w:rPr>
      </w:pPr>
      <w:r w:rsidRPr="00A10EDA">
        <w:rPr>
          <w:rFonts w:eastAsia="Palatino Linotype"/>
          <w:b/>
        </w:rPr>
        <w:t>VI.</w:t>
      </w:r>
      <w:r w:rsidRPr="00A10EDA">
        <w:rPr>
          <w:rFonts w:eastAsia="Palatino Linotype"/>
        </w:rPr>
        <w:t xml:space="preserve"> Obligaciones a cargo del servidor público con las que haya consentido, derivadas de la adquisición o del uso de habitaciones consideradas como de interés social;</w:t>
      </w:r>
    </w:p>
    <w:p w14:paraId="32FDDE50" w14:textId="77777777" w:rsidR="00334D95" w:rsidRPr="00A10EDA" w:rsidRDefault="00334D95" w:rsidP="00A10EDA">
      <w:pPr>
        <w:pStyle w:val="Puesto"/>
        <w:ind w:left="851" w:right="822"/>
        <w:rPr>
          <w:rFonts w:eastAsia="Palatino Linotype"/>
        </w:rPr>
      </w:pPr>
      <w:r w:rsidRPr="00A10EDA">
        <w:rPr>
          <w:rFonts w:eastAsia="Palatino Linotype"/>
          <w:b/>
        </w:rPr>
        <w:t>VII.</w:t>
      </w:r>
      <w:r w:rsidRPr="00A10EDA">
        <w:rPr>
          <w:rFonts w:eastAsia="Palatino Linotype"/>
        </w:rPr>
        <w:t xml:space="preserve"> Faltas de puntualidad o de asistencia injustificadas;</w:t>
      </w:r>
    </w:p>
    <w:p w14:paraId="50466107" w14:textId="77777777" w:rsidR="00334D95" w:rsidRPr="00A10EDA" w:rsidRDefault="00334D95" w:rsidP="00A10EDA">
      <w:pPr>
        <w:pStyle w:val="Puesto"/>
        <w:ind w:left="851" w:right="822"/>
        <w:rPr>
          <w:rFonts w:eastAsia="Palatino Linotype"/>
        </w:rPr>
      </w:pPr>
      <w:r w:rsidRPr="00A10EDA">
        <w:rPr>
          <w:rFonts w:eastAsia="Palatino Linotype"/>
          <w:b/>
        </w:rPr>
        <w:t>VIII. Pensiones alimenticias ordenadas por la autoridad judicial;</w:t>
      </w:r>
      <w:r w:rsidRPr="00A10EDA">
        <w:rPr>
          <w:rFonts w:eastAsia="Palatino Linotype"/>
        </w:rPr>
        <w:t xml:space="preserve"> o</w:t>
      </w:r>
    </w:p>
    <w:p w14:paraId="37052BB3" w14:textId="77777777" w:rsidR="00334D95" w:rsidRPr="00A10EDA" w:rsidRDefault="00334D95" w:rsidP="00A10EDA">
      <w:pPr>
        <w:pStyle w:val="Puesto"/>
        <w:ind w:left="851" w:right="822"/>
        <w:rPr>
          <w:rFonts w:eastAsia="Palatino Linotype"/>
          <w:b/>
        </w:rPr>
      </w:pPr>
      <w:r w:rsidRPr="00A10EDA">
        <w:rPr>
          <w:rFonts w:eastAsia="Palatino Linotype"/>
          <w:b/>
        </w:rPr>
        <w:t>IX. Cualquier otro convenido con instituciones de servicios y aceptado por el servidor público.</w:t>
      </w:r>
    </w:p>
    <w:p w14:paraId="5C6A49EB" w14:textId="77777777" w:rsidR="00334D95" w:rsidRPr="00A10EDA" w:rsidRDefault="00334D95" w:rsidP="00A10EDA">
      <w:pPr>
        <w:pStyle w:val="Puesto"/>
        <w:ind w:left="851" w:right="822"/>
        <w:rPr>
          <w:rFonts w:eastAsia="Palatino Linotype"/>
        </w:rPr>
      </w:pPr>
      <w:r w:rsidRPr="00A10EDA">
        <w:rPr>
          <w:rFonts w:eastAsia="Palatino Linotype"/>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bookmarkEnd w:id="33"/>
    <w:p w14:paraId="74A298AE" w14:textId="77777777" w:rsidR="00334D95" w:rsidRPr="00A10EDA" w:rsidRDefault="00334D95" w:rsidP="00A10EDA">
      <w:pPr>
        <w:spacing w:before="240" w:after="240"/>
        <w:rPr>
          <w:rFonts w:eastAsia="Palatino Linotype" w:cs="Palatino Linotype"/>
          <w:szCs w:val="22"/>
        </w:rPr>
      </w:pPr>
      <w:r w:rsidRPr="00A10EDA">
        <w:rPr>
          <w:rFonts w:eastAsia="Palatino Linotype" w:cs="Palatino Linotype"/>
          <w:szCs w:val="22"/>
        </w:rPr>
        <w:lastRenderedPageBreak/>
        <w:t xml:space="preserve">Como se puede observar, el precepto citado establece claramente cuáles son esos descuentos o gravámenes que directamente se relacionan con las obligaciones adquiridas como servidores públicos y aquéllos que únicamente inciden en su vida privada. </w:t>
      </w:r>
    </w:p>
    <w:p w14:paraId="1CC84306" w14:textId="77777777" w:rsidR="00334D95" w:rsidRPr="00A10EDA" w:rsidRDefault="00334D95" w:rsidP="00A10EDA">
      <w:pPr>
        <w:spacing w:before="240" w:after="240"/>
        <w:rPr>
          <w:szCs w:val="22"/>
        </w:rPr>
      </w:pPr>
      <w:r w:rsidRPr="00A10EDA">
        <w:rPr>
          <w:rFonts w:eastAsia="Palatino Linotype" w:cs="Palatino Linotype"/>
          <w:szCs w:val="22"/>
        </w:rPr>
        <w:t xml:space="preserve">De este modo, los </w:t>
      </w:r>
      <w:r w:rsidRPr="00A10EDA">
        <w:rPr>
          <w:rFonts w:eastAsia="Palatino Linotype" w:cs="Palatino Linotype"/>
          <w:b/>
          <w:szCs w:val="22"/>
        </w:rPr>
        <w:t>descuentos o deducciones por cuotas sindicales</w:t>
      </w:r>
      <w:r w:rsidRPr="00A10EDA">
        <w:rPr>
          <w:rFonts w:eastAsia="Palatino Linotype" w:cs="Palatino Linotype"/>
          <w:szCs w:val="22"/>
        </w:rPr>
        <w:t xml:space="preserve">, </w:t>
      </w:r>
      <w:r w:rsidRPr="00A10EDA">
        <w:rPr>
          <w:rFonts w:eastAsia="Palatino Linotype" w:cs="Palatino Linotype"/>
          <w:b/>
          <w:szCs w:val="22"/>
        </w:rPr>
        <w:t>pensiones alimenticias</w:t>
      </w:r>
      <w:r w:rsidRPr="00A10EDA">
        <w:rPr>
          <w:rFonts w:eastAsia="Palatino Linotype" w:cs="Palatino Linotype"/>
          <w:szCs w:val="22"/>
        </w:rPr>
        <w:t xml:space="preserve"> o </w:t>
      </w:r>
      <w:r w:rsidRPr="00A10EDA">
        <w:rPr>
          <w:rFonts w:eastAsia="Palatino Linotype" w:cs="Palatino Linotype"/>
          <w:b/>
          <w:szCs w:val="22"/>
        </w:rPr>
        <w:t>créditos adquiridos con instituciones privadas</w:t>
      </w:r>
      <w:r w:rsidRPr="00A10EDA">
        <w:rPr>
          <w:rFonts w:eastAsia="Palatino Linotype" w:cs="Palatino Linotype"/>
          <w:szCs w:val="22"/>
        </w:rPr>
        <w:t xml:space="preserve">, entre otros que no se relacionen con el gasto público, al </w:t>
      </w:r>
      <w:r w:rsidRPr="00A10EDA">
        <w:rPr>
          <w:szCs w:val="22"/>
        </w:rPr>
        <w:t xml:space="preserve">revelar parte de las decisiones que adopta una persona respecto del uso y destino de su remuneración salarial, lo cual incide en la manera en que se integra su patrimonio, </w:t>
      </w:r>
      <w:r w:rsidRPr="00A10EDA">
        <w:rPr>
          <w:b/>
          <w:szCs w:val="22"/>
        </w:rPr>
        <w:t>es</w:t>
      </w:r>
      <w:r w:rsidRPr="00A10EDA">
        <w:rPr>
          <w:rFonts w:eastAsia="Palatino Linotype" w:cs="Palatino Linotype"/>
          <w:b/>
          <w:szCs w:val="22"/>
        </w:rPr>
        <w:t xml:space="preserve"> información que no es de carácter público, </w:t>
      </w:r>
      <w:r w:rsidRPr="00A10EDA">
        <w:rPr>
          <w:b/>
          <w:szCs w:val="22"/>
        </w:rPr>
        <w:t>sino que constituye información confidencial</w:t>
      </w:r>
      <w:r w:rsidRPr="00A10EDA">
        <w:rPr>
          <w:szCs w:val="22"/>
        </w:rPr>
        <w:t xml:space="preserve"> en virtud de que corresponde con decisiones personales, y por tanto, se debe clasificar.</w:t>
      </w:r>
    </w:p>
    <w:p w14:paraId="49C001BD" w14:textId="77777777" w:rsidR="00334D95" w:rsidRPr="00A10EDA" w:rsidRDefault="00334D95" w:rsidP="00A10EDA">
      <w:pPr>
        <w:pBdr>
          <w:top w:val="nil"/>
          <w:left w:val="nil"/>
          <w:bottom w:val="nil"/>
          <w:right w:val="nil"/>
          <w:between w:val="nil"/>
        </w:pBdr>
        <w:rPr>
          <w:szCs w:val="22"/>
        </w:rPr>
      </w:pPr>
      <w:r w:rsidRPr="00A10EDA">
        <w:rPr>
          <w:szCs w:val="22"/>
        </w:rPr>
        <w:t>Las claves y conceptos de los descuentos personales guardan también la misma naturaleza que los importes, ya que al hacerse públicas, es posible inferir que cierto servidor público tiene determinada deducción personal, misma que se relaciona con su esfera más íntima de privacidad, asimismo, en aquellos casos en los que sólo se tenga una deducción, inclusive es posible deducir el importe de la misma, derivado de los cálculos que se hagan respecto al sueldo bruto y sueldo neto.</w:t>
      </w:r>
    </w:p>
    <w:p w14:paraId="660F9137" w14:textId="77777777" w:rsidR="00334D95" w:rsidRPr="00A10EDA" w:rsidRDefault="00334D95" w:rsidP="00A10EDA">
      <w:pPr>
        <w:pBdr>
          <w:top w:val="nil"/>
          <w:left w:val="nil"/>
          <w:bottom w:val="nil"/>
          <w:right w:val="nil"/>
          <w:between w:val="nil"/>
        </w:pBdr>
        <w:spacing w:before="240" w:after="240"/>
        <w:rPr>
          <w:rFonts w:eastAsia="Palatino Linotype" w:cs="Palatino Linotype"/>
          <w:szCs w:val="22"/>
        </w:rPr>
      </w:pPr>
      <w:r w:rsidRPr="00A10EDA">
        <w:rPr>
          <w:rFonts w:eastAsia="Palatino Linotype" w:cs="Palatino Linotype"/>
          <w:szCs w:val="22"/>
        </w:rPr>
        <w:t>En conclusión, la información relacionada con los préstamos o descuentos de carácter personal, en virtud de no tener relación con la prestación del servicio y al no involucrar instituciones públicas, se consideran datos confidenciales.</w:t>
      </w:r>
    </w:p>
    <w:p w14:paraId="7E42D7D9" w14:textId="77777777" w:rsidR="00334D95" w:rsidRPr="00A10EDA" w:rsidRDefault="00334D95" w:rsidP="00A10EDA">
      <w:pPr>
        <w:spacing w:before="240" w:after="240"/>
        <w:rPr>
          <w:rFonts w:eastAsia="Palatino Linotype" w:cs="Palatino Linotype"/>
          <w:szCs w:val="22"/>
        </w:rPr>
      </w:pPr>
      <w:bookmarkStart w:id="34" w:name="_heading=h.3j2qqm3" w:colFirst="0" w:colLast="0"/>
      <w:bookmarkEnd w:id="34"/>
      <w:r w:rsidRPr="00A10EDA">
        <w:rPr>
          <w:rFonts w:eastAsia="Palatino Linotype" w:cs="Palatino Linotype"/>
          <w:szCs w:val="22"/>
        </w:rPr>
        <w:t xml:space="preserve">Con relación al </w:t>
      </w:r>
      <w:r w:rsidRPr="00A10EDA">
        <w:rPr>
          <w:rFonts w:eastAsia="Palatino Linotype" w:cs="Palatino Linotype"/>
          <w:b/>
          <w:szCs w:val="22"/>
        </w:rPr>
        <w:t>número de empleado</w:t>
      </w:r>
      <w:r w:rsidRPr="00A10EDA">
        <w:rPr>
          <w:rFonts w:eastAsia="Palatino Linotype" w:cs="Palatino Linotype"/>
          <w:szCs w:val="22"/>
        </w:rPr>
        <w:t xml:space="preserve"> debe precisarse que este constituye un código, en virtud del cual, los trabajadores pueden acceder a un sistema de datos o información de la dependencia o entidad a la que pertenecen, a fin de presentar consultas relacionadas con su </w:t>
      </w:r>
      <w:r w:rsidRPr="00A10EDA">
        <w:rPr>
          <w:rFonts w:eastAsia="Palatino Linotype" w:cs="Palatino Linotype"/>
          <w:szCs w:val="22"/>
        </w:rPr>
        <w:lastRenderedPageBreak/>
        <w:t>situación laboral particular, siendo un número único, permanente e intransferible que se asigna para llevar un registro de los trabajadores</w:t>
      </w:r>
      <w:r w:rsidRPr="00A10EDA">
        <w:rPr>
          <w:rFonts w:eastAsia="Palatino Linotype" w:cs="Palatino Linotype"/>
          <w:szCs w:val="22"/>
          <w:vertAlign w:val="superscript"/>
        </w:rPr>
        <w:footnoteReference w:id="1"/>
      </w:r>
      <w:r w:rsidRPr="00A10EDA">
        <w:rPr>
          <w:rFonts w:eastAsia="Palatino Linotype" w:cs="Palatino Linotype"/>
          <w:szCs w:val="22"/>
        </w:rPr>
        <w:t>.</w:t>
      </w:r>
    </w:p>
    <w:p w14:paraId="655F9D1C" w14:textId="77777777" w:rsidR="00334D95" w:rsidRPr="00A10EDA" w:rsidRDefault="00334D95" w:rsidP="00A10EDA">
      <w:pPr>
        <w:spacing w:before="240" w:after="240"/>
        <w:rPr>
          <w:rFonts w:eastAsia="Palatino Linotype" w:cs="Palatino Linotype"/>
          <w:szCs w:val="22"/>
        </w:rPr>
      </w:pPr>
      <w:r w:rsidRPr="00A10EDA">
        <w:rPr>
          <w:rFonts w:eastAsia="Palatino Linotype" w:cs="Palatino Linotype"/>
          <w:szCs w:val="22"/>
        </w:rPr>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de interpretación con Clave de control SO/006/2019, que indica lo siguiente:</w:t>
      </w:r>
    </w:p>
    <w:p w14:paraId="201B2FFD" w14:textId="77777777" w:rsidR="00334D95" w:rsidRPr="00A10EDA" w:rsidRDefault="00334D95" w:rsidP="00A10EDA">
      <w:pPr>
        <w:pStyle w:val="Puesto"/>
        <w:rPr>
          <w:rFonts w:eastAsia="Palatino Linotype"/>
        </w:rPr>
      </w:pPr>
      <w:r w:rsidRPr="00A10EDA">
        <w:rPr>
          <w:rFonts w:eastAsia="Palatino Linotype"/>
          <w:b/>
        </w:rPr>
        <w:t xml:space="preserve">“Número de empleado. </w:t>
      </w:r>
      <w:r w:rsidRPr="00A10EDA">
        <w:rPr>
          <w:rFonts w:eastAsia="Palatino Linotype"/>
        </w:rPr>
        <w:t xml:space="preserve">Cuando el número de empleado o su equivalente, se integra con datos personales de los trabajadores o funciona como una clave de acceso que no requiere adicionalmente de una contraseña para ingresar a sistemas o bases de datos personales, procede su clasificación como </w:t>
      </w:r>
      <w:r w:rsidRPr="00A10EDA">
        <w:t>información</w:t>
      </w:r>
      <w:r w:rsidRPr="00A10EDA">
        <w:rPr>
          <w:rFonts w:eastAsia="Palatino Linotype"/>
        </w:rPr>
        <w:t xml:space="preserve"> confidencial.”</w:t>
      </w:r>
    </w:p>
    <w:p w14:paraId="4E0CB734" w14:textId="77777777" w:rsidR="00334D95" w:rsidRPr="00A10EDA" w:rsidRDefault="00334D95" w:rsidP="00A10EDA">
      <w:pPr>
        <w:rPr>
          <w:rFonts w:eastAsia="Palatino Linotype"/>
        </w:rPr>
      </w:pPr>
    </w:p>
    <w:p w14:paraId="58DD2BDE" w14:textId="77777777" w:rsidR="00334D95" w:rsidRPr="00A10EDA" w:rsidRDefault="00334D95" w:rsidP="00A10EDA">
      <w:pPr>
        <w:rPr>
          <w:rFonts w:eastAsia="Palatino Linotype"/>
        </w:rPr>
      </w:pPr>
      <w:r w:rsidRPr="00A10EDA">
        <w:rPr>
          <w:rFonts w:eastAsia="Palatino Linotype"/>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A10EDA">
        <w:rPr>
          <w:rFonts w:eastAsia="Palatino Linotype"/>
          <w:b/>
        </w:rPr>
        <w:t>Sujeto Obligado</w:t>
      </w:r>
      <w:r w:rsidRPr="00A10EDA">
        <w:rPr>
          <w:rFonts w:eastAsia="Palatino Linotype"/>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77F387FB" w14:textId="77777777" w:rsidR="00334D95" w:rsidRPr="00A10EDA" w:rsidRDefault="00334D95" w:rsidP="00A10EDA">
      <w:pPr>
        <w:rPr>
          <w:rFonts w:eastAsia="Palatino Linotype"/>
          <w:b/>
        </w:rPr>
      </w:pPr>
      <w:r w:rsidRPr="00A10EDA">
        <w:rPr>
          <w:rFonts w:eastAsia="Palatino Linotype"/>
          <w:b/>
        </w:rPr>
        <w:lastRenderedPageBreak/>
        <w:t xml:space="preserve">De la información fiscal: </w:t>
      </w:r>
    </w:p>
    <w:p w14:paraId="54B4B31A" w14:textId="77777777" w:rsidR="00334D95" w:rsidRPr="00A10EDA" w:rsidRDefault="00334D95" w:rsidP="00A10EDA">
      <w:pPr>
        <w:rPr>
          <w:rFonts w:eastAsia="Palatino Linotype"/>
        </w:rPr>
      </w:pPr>
    </w:p>
    <w:p w14:paraId="3347BD4B" w14:textId="77777777" w:rsidR="00334D95" w:rsidRPr="00A10EDA" w:rsidRDefault="00334D95" w:rsidP="00A10EDA">
      <w:pPr>
        <w:rPr>
          <w:rFonts w:eastAsia="Palatino Linotype"/>
        </w:rPr>
      </w:pPr>
      <w:r w:rsidRPr="00A10EDA">
        <w:rPr>
          <w:rFonts w:eastAsia="Palatino Linotype"/>
        </w:rPr>
        <w:t xml:space="preserve">La </w:t>
      </w:r>
      <w:r w:rsidRPr="00A10EDA">
        <w:rPr>
          <w:rFonts w:eastAsia="Palatino Linotype"/>
          <w:b/>
        </w:rPr>
        <w:t>Cadena Original</w:t>
      </w:r>
      <w:r w:rsidRPr="00A10EDA">
        <w:rPr>
          <w:rFonts w:eastAsia="Palatino Linotype"/>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A10EDA">
        <w:rPr>
          <w:rFonts w:eastAsia="Palatino Linotype"/>
          <w:b/>
        </w:rPr>
        <w:t>Sujeto Obligado</w:t>
      </w:r>
      <w:r w:rsidRPr="00A10EDA">
        <w:rPr>
          <w:rFonts w:eastAsia="Palatino Linotype"/>
        </w:rPr>
        <w:t xml:space="preserve"> analizar dicha circunstancia con la finalidad de proteger, de ser el caso, la información a través de su clasificación por actualizarse el supuesto de confidencialidad.</w:t>
      </w:r>
    </w:p>
    <w:p w14:paraId="6235BFB5" w14:textId="77777777" w:rsidR="00334D95" w:rsidRPr="00A10EDA" w:rsidRDefault="00334D95" w:rsidP="00A10EDA">
      <w:pPr>
        <w:spacing w:before="240" w:after="240"/>
        <w:rPr>
          <w:rFonts w:eastAsia="Palatino Linotype" w:cs="Palatino Linotype"/>
          <w:szCs w:val="22"/>
        </w:rPr>
      </w:pPr>
      <w:r w:rsidRPr="00A10EDA">
        <w:rPr>
          <w:rFonts w:eastAsia="Palatino Linotype" w:cs="Palatino Linotype"/>
          <w:szCs w:val="22"/>
        </w:rPr>
        <w:t xml:space="preserve">Los </w:t>
      </w:r>
      <w:r w:rsidRPr="00A10EDA">
        <w:rPr>
          <w:rFonts w:eastAsia="Palatino Linotype" w:cs="Palatino Linotype"/>
          <w:b/>
          <w:szCs w:val="22"/>
        </w:rPr>
        <w:t>códigos bidimensionales</w:t>
      </w:r>
      <w:r w:rsidRPr="00A10EDA">
        <w:rPr>
          <w:rFonts w:eastAsia="Palatino Linotype" w:cs="Palatino Linotype"/>
          <w:szCs w:val="22"/>
        </w:rPr>
        <w:t xml:space="preserve"> o </w:t>
      </w:r>
      <w:r w:rsidRPr="00A10EDA">
        <w:rPr>
          <w:rFonts w:eastAsia="Palatino Linotype" w:cs="Palatino Linotype"/>
          <w:b/>
          <w:szCs w:val="22"/>
        </w:rPr>
        <w:t xml:space="preserve">códigos QR, </w:t>
      </w:r>
      <w:r w:rsidRPr="00A10EDA">
        <w:rPr>
          <w:rFonts w:eastAsia="Palatino Linotype" w:cs="Palatino Linotype"/>
          <w:szCs w:val="22"/>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A10EDA">
        <w:rPr>
          <w:rFonts w:eastAsia="Palatino Linotype" w:cs="Palatino Linotype"/>
          <w:b/>
          <w:szCs w:val="22"/>
        </w:rPr>
        <w:t>Sujeto Obligado</w:t>
      </w:r>
      <w:r w:rsidRPr="00A10EDA">
        <w:rPr>
          <w:rFonts w:eastAsia="Palatino Linotype" w:cs="Palatino Linotype"/>
          <w:szCs w:val="22"/>
        </w:rPr>
        <w:t xml:space="preserve"> analizar dicha circunstancia con la finalidad de determinar si se actualiza algún supuesto de confidencialidad.</w:t>
      </w:r>
    </w:p>
    <w:p w14:paraId="43087E50" w14:textId="77777777" w:rsidR="00334D95" w:rsidRPr="00A10EDA" w:rsidRDefault="00334D95" w:rsidP="00A10EDA">
      <w:pPr>
        <w:spacing w:before="240" w:after="240"/>
        <w:rPr>
          <w:rFonts w:eastAsia="Palatino Linotype" w:cs="Palatino Linotype"/>
          <w:szCs w:val="22"/>
        </w:rPr>
      </w:pPr>
      <w:r w:rsidRPr="00A10EDA">
        <w:rPr>
          <w:rFonts w:eastAsia="Palatino Linotype" w:cs="Palatino Linotype"/>
          <w:szCs w:val="22"/>
        </w:rPr>
        <w:t xml:space="preserve">En tal sentido, si derivado del análisis efectuado por el </w:t>
      </w:r>
      <w:r w:rsidRPr="00A10EDA">
        <w:rPr>
          <w:rFonts w:eastAsia="Palatino Linotype" w:cs="Palatino Linotype"/>
          <w:b/>
          <w:szCs w:val="22"/>
        </w:rPr>
        <w:t>Sujeto Obligado</w:t>
      </w:r>
      <w:r w:rsidRPr="00A10EDA">
        <w:rPr>
          <w:rFonts w:eastAsia="Palatino Linotype" w:cs="Palatino Linotype"/>
          <w:szCs w:val="22"/>
        </w:rPr>
        <w:t xml:space="preserve"> 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vulnerar la esfera más íntima de privacidad de su titular, deberá clasificarla como confidencial, de manera fundada y motivada en términos del artículo 143, fracción I de la Ley de Transparencia y Acceso a la Información Pública del Estado de México y Municipios.</w:t>
      </w:r>
    </w:p>
    <w:p w14:paraId="321105B5" w14:textId="77777777" w:rsidR="00334D95" w:rsidRPr="00A10EDA" w:rsidRDefault="00334D95" w:rsidP="00A10EDA">
      <w:pPr>
        <w:rPr>
          <w:lang w:eastAsia="es-CO"/>
        </w:rPr>
      </w:pPr>
    </w:p>
    <w:p w14:paraId="7946F913" w14:textId="47E90A30" w:rsidR="0054273E" w:rsidRPr="00A10EDA" w:rsidRDefault="005D1542" w:rsidP="00A10EDA">
      <w:pPr>
        <w:pStyle w:val="Ttulo3"/>
      </w:pPr>
      <w:bookmarkStart w:id="35" w:name="_Toc184815102"/>
      <w:r w:rsidRPr="00A10EDA">
        <w:lastRenderedPageBreak/>
        <w:t>e</w:t>
      </w:r>
      <w:r w:rsidR="00BD5A7C" w:rsidRPr="00A10EDA">
        <w:t>) Conclusión</w:t>
      </w:r>
      <w:bookmarkStart w:id="36" w:name="_Hlk165381027"/>
      <w:bookmarkEnd w:id="35"/>
    </w:p>
    <w:p w14:paraId="02B1A681" w14:textId="689BD7EE" w:rsidR="00E87355" w:rsidRPr="00A10EDA" w:rsidRDefault="0028446D" w:rsidP="00A10EDA">
      <w:pPr>
        <w:ind w:right="-93"/>
        <w:rPr>
          <w:rFonts w:cs="Tahoma"/>
          <w:bCs/>
          <w:szCs w:val="22"/>
        </w:rPr>
      </w:pPr>
      <w:r w:rsidRPr="00A10EDA">
        <w:rPr>
          <w:rFonts w:cs="Tahoma"/>
          <w:bCs/>
          <w:szCs w:val="22"/>
        </w:rPr>
        <w:t xml:space="preserve">Este Órgano Garante considera dable ordenar la entrega de información en virtud de que no fue acreditado el cambio de modalidad que pretendía el </w:t>
      </w:r>
      <w:r w:rsidRPr="00A10EDA">
        <w:rPr>
          <w:rFonts w:cs="Tahoma"/>
          <w:b/>
          <w:bCs/>
          <w:szCs w:val="22"/>
        </w:rPr>
        <w:t>SUJETO OBLIGADO</w:t>
      </w:r>
      <w:r w:rsidRPr="00A10EDA">
        <w:rPr>
          <w:rFonts w:cs="Tahoma"/>
          <w:bCs/>
          <w:szCs w:val="22"/>
        </w:rPr>
        <w:t xml:space="preserve">, </w:t>
      </w:r>
      <w:r w:rsidR="00334D95" w:rsidRPr="00A10EDA">
        <w:rPr>
          <w:rFonts w:cs="Tahoma"/>
          <w:bCs/>
          <w:szCs w:val="22"/>
        </w:rPr>
        <w:t xml:space="preserve">por lo que se estima que las razones o motivos de inconformidad hechos valer por </w:t>
      </w:r>
      <w:r w:rsidR="00334D95" w:rsidRPr="00A10EDA">
        <w:rPr>
          <w:rFonts w:cs="Tahoma"/>
          <w:b/>
          <w:bCs/>
          <w:szCs w:val="22"/>
        </w:rPr>
        <w:t>LA PARTE RECURRENTE</w:t>
      </w:r>
      <w:r w:rsidR="00334D95" w:rsidRPr="00A10EDA">
        <w:rPr>
          <w:rFonts w:cs="Tahoma"/>
          <w:bCs/>
          <w:szCs w:val="22"/>
        </w:rPr>
        <w:t xml:space="preserve"> devienen fundadas y suficientes para </w:t>
      </w:r>
      <w:r w:rsidR="00334D95" w:rsidRPr="00A10EDA">
        <w:rPr>
          <w:rFonts w:cs="Tahoma"/>
          <w:b/>
          <w:bCs/>
          <w:szCs w:val="22"/>
        </w:rPr>
        <w:t>REVOCAR</w:t>
      </w:r>
      <w:r w:rsidR="00334D95" w:rsidRPr="00A10EDA">
        <w:rPr>
          <w:rFonts w:cs="Tahoma"/>
          <w:bCs/>
          <w:szCs w:val="22"/>
        </w:rPr>
        <w:t xml:space="preserve"> la respuesta del </w:t>
      </w:r>
      <w:r w:rsidR="00334D95" w:rsidRPr="00A10EDA">
        <w:rPr>
          <w:rFonts w:cs="Tahoma"/>
          <w:b/>
          <w:bCs/>
          <w:szCs w:val="22"/>
        </w:rPr>
        <w:t>SUJETO OBLIGADO</w:t>
      </w:r>
      <w:r w:rsidR="00334D95" w:rsidRPr="00A10EDA">
        <w:rPr>
          <w:rFonts w:cs="Tahoma"/>
          <w:bCs/>
          <w:szCs w:val="22"/>
        </w:rPr>
        <w:t xml:space="preserve"> y ordenarle haga entrega previa búsqueda exhaustiva y razonable de la información descrita en el presente Considerando.</w:t>
      </w:r>
    </w:p>
    <w:p w14:paraId="560A3860" w14:textId="77777777" w:rsidR="00E87355" w:rsidRPr="00A10EDA" w:rsidRDefault="00E87355" w:rsidP="00A10EDA">
      <w:pPr>
        <w:ind w:right="-93"/>
        <w:rPr>
          <w:rFonts w:cs="Tahoma"/>
          <w:bCs/>
          <w:szCs w:val="22"/>
        </w:rPr>
      </w:pPr>
    </w:p>
    <w:p w14:paraId="6C4C444E" w14:textId="16F1DC79" w:rsidR="00BD5A7C" w:rsidRPr="00A10EDA" w:rsidRDefault="00BD5A7C" w:rsidP="00A10EDA">
      <w:pPr>
        <w:ind w:right="-93"/>
        <w:rPr>
          <w:rFonts w:cs="Tahoma"/>
          <w:bCs/>
          <w:szCs w:val="22"/>
        </w:rPr>
      </w:pPr>
      <w:r w:rsidRPr="00A10ED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6"/>
    <w:p w14:paraId="7C13D1A0" w14:textId="77777777" w:rsidR="00BD5A7C" w:rsidRPr="00A10EDA" w:rsidRDefault="00BD5A7C" w:rsidP="00A10EDA"/>
    <w:p w14:paraId="5C396097" w14:textId="684A0E4F" w:rsidR="00664420" w:rsidRPr="00A10EDA" w:rsidRDefault="00664420" w:rsidP="00A10EDA">
      <w:pPr>
        <w:pStyle w:val="Ttulo1"/>
      </w:pPr>
      <w:bookmarkStart w:id="37" w:name="_Toc184815103"/>
      <w:r w:rsidRPr="00A10EDA">
        <w:t>RESUELVE</w:t>
      </w:r>
      <w:bookmarkEnd w:id="37"/>
    </w:p>
    <w:p w14:paraId="203B7093" w14:textId="77777777" w:rsidR="00664420" w:rsidRPr="00A10EDA" w:rsidRDefault="00664420" w:rsidP="00A10EDA">
      <w:pPr>
        <w:ind w:right="113"/>
        <w:rPr>
          <w:rFonts w:cs="Arial"/>
          <w:b/>
          <w:szCs w:val="22"/>
        </w:rPr>
      </w:pPr>
    </w:p>
    <w:p w14:paraId="78D4A482" w14:textId="3D199E57" w:rsidR="00FC3CE0" w:rsidRPr="00A10EDA" w:rsidRDefault="00FC3CE0" w:rsidP="00A10EDA">
      <w:pPr>
        <w:widowControl w:val="0"/>
        <w:rPr>
          <w:rFonts w:eastAsia="Calibri" w:cs="Tahoma"/>
          <w:bCs/>
          <w:szCs w:val="22"/>
          <w:lang w:eastAsia="en-US"/>
        </w:rPr>
      </w:pPr>
      <w:r w:rsidRPr="00A10EDA">
        <w:rPr>
          <w:b/>
          <w:bCs/>
        </w:rPr>
        <w:t>PRIMERO.</w:t>
      </w:r>
      <w:r w:rsidRPr="00A10EDA">
        <w:t xml:space="preserve"> </w:t>
      </w:r>
      <w:r w:rsidR="005D1542" w:rsidRPr="00A10EDA">
        <w:rPr>
          <w:rFonts w:cs="Tahoma"/>
          <w:szCs w:val="22"/>
        </w:rPr>
        <w:t xml:space="preserve">Se </w:t>
      </w:r>
      <w:r w:rsidR="005D1542" w:rsidRPr="00A10EDA">
        <w:rPr>
          <w:rFonts w:cs="Tahoma"/>
          <w:b/>
          <w:bCs/>
          <w:szCs w:val="22"/>
        </w:rPr>
        <w:t>REVOCA</w:t>
      </w:r>
      <w:r w:rsidR="005D1542" w:rsidRPr="00A10EDA">
        <w:rPr>
          <w:rFonts w:cs="Tahoma"/>
          <w:szCs w:val="22"/>
        </w:rPr>
        <w:t xml:space="preserve"> la respuesta entregada por el </w:t>
      </w:r>
      <w:r w:rsidR="005D1542" w:rsidRPr="00A10EDA">
        <w:rPr>
          <w:rFonts w:cs="Tahoma"/>
          <w:b/>
          <w:bCs/>
          <w:szCs w:val="22"/>
        </w:rPr>
        <w:t>SUJETO OBLIGADO</w:t>
      </w:r>
      <w:r w:rsidR="005D1542" w:rsidRPr="00A10EDA">
        <w:rPr>
          <w:rFonts w:cs="Tahoma"/>
          <w:szCs w:val="22"/>
        </w:rPr>
        <w:t xml:space="preserve"> en la solicitud de información </w:t>
      </w:r>
      <w:r w:rsidR="00334D95" w:rsidRPr="00A10EDA">
        <w:rPr>
          <w:rFonts w:cs="Tahoma"/>
          <w:b/>
        </w:rPr>
        <w:t>00517/ALMOJU/IP/2024</w:t>
      </w:r>
      <w:r w:rsidR="005D1542" w:rsidRPr="00A10EDA">
        <w:rPr>
          <w:rFonts w:cs="Tahoma"/>
          <w:bCs/>
          <w:szCs w:val="22"/>
        </w:rPr>
        <w:t xml:space="preserve">, </w:t>
      </w:r>
      <w:r w:rsidR="005D1542" w:rsidRPr="00A10EDA">
        <w:rPr>
          <w:rFonts w:eastAsia="Calibri" w:cs="Tahoma"/>
          <w:bCs/>
          <w:szCs w:val="22"/>
          <w:lang w:eastAsia="en-US"/>
        </w:rPr>
        <w:t xml:space="preserve">por resultar </w:t>
      </w:r>
      <w:r w:rsidR="005D1542" w:rsidRPr="00A10EDA">
        <w:rPr>
          <w:rFonts w:eastAsia="Calibri" w:cs="Tahoma"/>
          <w:b/>
          <w:bCs/>
          <w:szCs w:val="22"/>
          <w:lang w:eastAsia="en-US"/>
        </w:rPr>
        <w:t>FUNDADAS</w:t>
      </w:r>
      <w:r w:rsidR="005D1542" w:rsidRPr="00A10EDA">
        <w:rPr>
          <w:rFonts w:eastAsia="Calibri" w:cs="Tahoma"/>
          <w:bCs/>
          <w:szCs w:val="22"/>
          <w:lang w:eastAsia="en-US"/>
        </w:rPr>
        <w:t xml:space="preserve"> las razones o motivos de inconformidad hechos valer por </w:t>
      </w:r>
      <w:r w:rsidR="005D1542" w:rsidRPr="00A10EDA">
        <w:rPr>
          <w:rFonts w:eastAsia="Calibri" w:cs="Tahoma"/>
          <w:b/>
          <w:szCs w:val="22"/>
          <w:lang w:eastAsia="en-US"/>
        </w:rPr>
        <w:t>LA PARTE RECURRENTE</w:t>
      </w:r>
      <w:r w:rsidR="005D1542" w:rsidRPr="00A10EDA">
        <w:rPr>
          <w:rFonts w:eastAsia="Calibri" w:cs="Tahoma"/>
          <w:bCs/>
          <w:szCs w:val="22"/>
          <w:lang w:eastAsia="en-US"/>
        </w:rPr>
        <w:t xml:space="preserve"> en el Recurso de Revisión </w:t>
      </w:r>
      <w:r w:rsidR="00334D95" w:rsidRPr="00A10EDA">
        <w:rPr>
          <w:rFonts w:eastAsiaTheme="minorHAnsi" w:cstheme="minorBidi"/>
          <w:b/>
          <w:bCs/>
          <w:szCs w:val="22"/>
          <w:lang w:eastAsia="en-US"/>
        </w:rPr>
        <w:t>0</w:t>
      </w:r>
      <w:r w:rsidR="00172959" w:rsidRPr="00A10EDA">
        <w:rPr>
          <w:rFonts w:eastAsiaTheme="minorHAnsi" w:cstheme="minorBidi"/>
          <w:b/>
          <w:bCs/>
          <w:szCs w:val="22"/>
          <w:lang w:eastAsia="en-US"/>
        </w:rPr>
        <w:t>7</w:t>
      </w:r>
      <w:r w:rsidR="00334D95" w:rsidRPr="00A10EDA">
        <w:rPr>
          <w:rFonts w:eastAsiaTheme="minorHAnsi" w:cstheme="minorBidi"/>
          <w:b/>
          <w:bCs/>
          <w:szCs w:val="22"/>
          <w:lang w:eastAsia="en-US"/>
        </w:rPr>
        <w:t>282</w:t>
      </w:r>
      <w:r w:rsidR="00172959" w:rsidRPr="00A10EDA">
        <w:rPr>
          <w:rFonts w:eastAsiaTheme="minorHAnsi" w:cstheme="minorBidi"/>
          <w:b/>
          <w:bCs/>
          <w:szCs w:val="22"/>
          <w:lang w:eastAsia="en-US"/>
        </w:rPr>
        <w:t>/INFOEM/IP/RR/2024</w:t>
      </w:r>
      <w:r w:rsidR="005D1542" w:rsidRPr="00A10EDA">
        <w:rPr>
          <w:rFonts w:eastAsiaTheme="minorHAnsi" w:cstheme="minorBidi"/>
          <w:szCs w:val="22"/>
          <w:lang w:eastAsia="en-US"/>
        </w:rPr>
        <w:t>,</w:t>
      </w:r>
      <w:r w:rsidR="005D1542" w:rsidRPr="00A10EDA">
        <w:rPr>
          <w:rFonts w:cs="Tahoma"/>
          <w:b/>
          <w:szCs w:val="22"/>
        </w:rPr>
        <w:t xml:space="preserve"> </w:t>
      </w:r>
      <w:r w:rsidR="005D1542" w:rsidRPr="00A10EDA">
        <w:rPr>
          <w:rFonts w:eastAsia="Calibri" w:cs="Tahoma"/>
          <w:bCs/>
          <w:szCs w:val="22"/>
          <w:lang w:eastAsia="en-US"/>
        </w:rPr>
        <w:t xml:space="preserve">en términos del considerando </w:t>
      </w:r>
      <w:r w:rsidR="005D1542" w:rsidRPr="00A10EDA">
        <w:rPr>
          <w:rFonts w:eastAsia="Calibri" w:cs="Tahoma"/>
          <w:b/>
          <w:szCs w:val="22"/>
          <w:lang w:eastAsia="en-US"/>
        </w:rPr>
        <w:t>SEGUNDO</w:t>
      </w:r>
      <w:r w:rsidR="005D1542" w:rsidRPr="00A10EDA">
        <w:rPr>
          <w:rFonts w:eastAsia="Calibri" w:cs="Tahoma"/>
          <w:bCs/>
          <w:szCs w:val="22"/>
          <w:lang w:eastAsia="en-US"/>
        </w:rPr>
        <w:t xml:space="preserve"> de la presente Resolución.</w:t>
      </w:r>
    </w:p>
    <w:p w14:paraId="292E57AE" w14:textId="77777777" w:rsidR="00EC03E6" w:rsidRPr="00A10EDA" w:rsidRDefault="00EC03E6" w:rsidP="00A10EDA">
      <w:pPr>
        <w:widowControl w:val="0"/>
        <w:rPr>
          <w:rFonts w:eastAsia="Calibri" w:cs="Tahoma"/>
          <w:bCs/>
          <w:szCs w:val="22"/>
          <w:lang w:eastAsia="en-US"/>
        </w:rPr>
      </w:pPr>
    </w:p>
    <w:p w14:paraId="16CF919C" w14:textId="0EADB2FC" w:rsidR="00FC3CE0" w:rsidRPr="00A10EDA" w:rsidRDefault="00FC3CE0" w:rsidP="00A10EDA">
      <w:pPr>
        <w:ind w:right="-93"/>
        <w:rPr>
          <w:rFonts w:eastAsia="Calibri" w:cs="Tahoma"/>
          <w:bCs/>
          <w:szCs w:val="22"/>
          <w:lang w:eastAsia="en-US"/>
        </w:rPr>
      </w:pPr>
      <w:r w:rsidRPr="00A10EDA">
        <w:rPr>
          <w:rFonts w:eastAsia="Calibri" w:cs="Tahoma"/>
          <w:b/>
          <w:bCs/>
          <w:szCs w:val="22"/>
          <w:lang w:eastAsia="en-US"/>
        </w:rPr>
        <w:t>SEGUNDO.</w:t>
      </w:r>
      <w:r w:rsidRPr="00A10EDA">
        <w:rPr>
          <w:rFonts w:eastAsia="Calibri" w:cs="Tahoma"/>
          <w:szCs w:val="22"/>
          <w:lang w:eastAsia="es-MX"/>
        </w:rPr>
        <w:t xml:space="preserve"> </w:t>
      </w:r>
      <w:r w:rsidR="005D1542" w:rsidRPr="00A10EDA">
        <w:rPr>
          <w:rFonts w:eastAsia="Calibri" w:cs="Tahoma"/>
          <w:szCs w:val="22"/>
          <w:lang w:eastAsia="es-MX"/>
        </w:rPr>
        <w:t xml:space="preserve">Se </w:t>
      </w:r>
      <w:r w:rsidR="005D1542" w:rsidRPr="00A10EDA">
        <w:rPr>
          <w:rFonts w:eastAsia="Calibri" w:cs="Tahoma"/>
          <w:b/>
          <w:szCs w:val="22"/>
          <w:lang w:eastAsia="es-MX"/>
        </w:rPr>
        <w:t xml:space="preserve">ORDENA </w:t>
      </w:r>
      <w:r w:rsidR="005D1542" w:rsidRPr="00A10EDA">
        <w:rPr>
          <w:rFonts w:eastAsia="Calibri" w:cs="Tahoma"/>
          <w:szCs w:val="22"/>
          <w:lang w:eastAsia="es-MX"/>
        </w:rPr>
        <w:t xml:space="preserve">al </w:t>
      </w:r>
      <w:r w:rsidR="005D1542" w:rsidRPr="00A10EDA">
        <w:rPr>
          <w:rFonts w:eastAsia="Calibri" w:cs="Tahoma"/>
          <w:b/>
          <w:bCs/>
          <w:szCs w:val="22"/>
          <w:lang w:eastAsia="es-MX"/>
        </w:rPr>
        <w:t>SUJETO OBLIGADO</w:t>
      </w:r>
      <w:r w:rsidR="005D1542" w:rsidRPr="00A10EDA">
        <w:rPr>
          <w:rFonts w:eastAsia="Calibri" w:cs="Tahoma"/>
          <w:szCs w:val="22"/>
          <w:lang w:eastAsia="es-MX"/>
        </w:rPr>
        <w:t xml:space="preserve">, </w:t>
      </w:r>
      <w:r w:rsidR="005D1542" w:rsidRPr="00A10EDA">
        <w:rPr>
          <w:rFonts w:eastAsia="Calibri" w:cs="Tahoma"/>
          <w:bCs/>
          <w:szCs w:val="22"/>
          <w:lang w:eastAsia="en-US"/>
        </w:rPr>
        <w:t xml:space="preserve">a efecto de que, entregue a través del </w:t>
      </w:r>
      <w:r w:rsidR="005D1542" w:rsidRPr="00A10EDA">
        <w:rPr>
          <w:rFonts w:eastAsia="Calibri" w:cs="Tahoma"/>
          <w:b/>
          <w:bCs/>
          <w:szCs w:val="22"/>
          <w:lang w:eastAsia="en-US"/>
        </w:rPr>
        <w:t>SAIMEX</w:t>
      </w:r>
      <w:r w:rsidR="00D93B38" w:rsidRPr="00A10EDA">
        <w:rPr>
          <w:rFonts w:eastAsia="Calibri" w:cs="Tahoma"/>
          <w:b/>
          <w:bCs/>
          <w:szCs w:val="22"/>
          <w:lang w:eastAsia="en-US"/>
        </w:rPr>
        <w:t xml:space="preserve">, </w:t>
      </w:r>
      <w:r w:rsidR="005D1542" w:rsidRPr="00A10EDA">
        <w:rPr>
          <w:rFonts w:eastAsia="Calibri" w:cs="Tahoma"/>
          <w:bCs/>
          <w:szCs w:val="22"/>
          <w:lang w:eastAsia="en-US"/>
        </w:rPr>
        <w:t xml:space="preserve">en </w:t>
      </w:r>
      <w:r w:rsidR="005D1542" w:rsidRPr="00A10EDA">
        <w:rPr>
          <w:rFonts w:eastAsia="Calibri" w:cs="Tahoma"/>
          <w:b/>
          <w:bCs/>
          <w:szCs w:val="22"/>
          <w:lang w:eastAsia="en-US"/>
        </w:rPr>
        <w:t>versión pública</w:t>
      </w:r>
      <w:r w:rsidR="005D1542" w:rsidRPr="00A10EDA">
        <w:rPr>
          <w:rFonts w:eastAsia="Calibri" w:cs="Tahoma"/>
          <w:bCs/>
          <w:szCs w:val="22"/>
          <w:lang w:eastAsia="en-US"/>
        </w:rPr>
        <w:t>,</w:t>
      </w:r>
      <w:r w:rsidR="00334D95" w:rsidRPr="00A10EDA">
        <w:rPr>
          <w:rFonts w:eastAsia="Calibri" w:cs="Tahoma"/>
          <w:bCs/>
          <w:szCs w:val="22"/>
          <w:lang w:eastAsia="en-US"/>
        </w:rPr>
        <w:t xml:space="preserve"> del Servidor Público referido en la solicitud de información lo siguiente</w:t>
      </w:r>
      <w:r w:rsidR="005D1542" w:rsidRPr="00A10EDA">
        <w:rPr>
          <w:rFonts w:eastAsia="Calibri" w:cs="Tahoma"/>
          <w:bCs/>
          <w:szCs w:val="22"/>
          <w:lang w:eastAsia="en-US"/>
        </w:rPr>
        <w:t>:</w:t>
      </w:r>
    </w:p>
    <w:p w14:paraId="468C6B69" w14:textId="09E61FC3" w:rsidR="00E87355" w:rsidRPr="00A10EDA" w:rsidRDefault="00E87355" w:rsidP="00A10EDA">
      <w:pPr>
        <w:pStyle w:val="Puesto"/>
        <w:spacing w:line="276" w:lineRule="auto"/>
        <w:ind w:left="851" w:right="822"/>
        <w:rPr>
          <w:rFonts w:eastAsia="Calibri"/>
          <w:lang w:eastAsia="en-US"/>
        </w:rPr>
      </w:pPr>
      <w:r w:rsidRPr="00A10EDA">
        <w:rPr>
          <w:rFonts w:eastAsia="Calibri"/>
          <w:lang w:eastAsia="en-US"/>
        </w:rPr>
        <w:lastRenderedPageBreak/>
        <w:t xml:space="preserve">1.- </w:t>
      </w:r>
      <w:r w:rsidR="00334D95" w:rsidRPr="00A10EDA">
        <w:rPr>
          <w:rFonts w:eastAsia="Calibri"/>
          <w:lang w:eastAsia="en-US"/>
        </w:rPr>
        <w:t>El recibo de nómina timbrado correspondiente a la primera quincena de octubre de 2024</w:t>
      </w:r>
      <w:r w:rsidR="00334D95" w:rsidRPr="00A10EDA">
        <w:t>.</w:t>
      </w:r>
    </w:p>
    <w:p w14:paraId="51A14324" w14:textId="42B23B40" w:rsidR="004B4E42" w:rsidRPr="00A10EDA" w:rsidRDefault="00E87355" w:rsidP="00A10EDA">
      <w:pPr>
        <w:pStyle w:val="Puesto"/>
        <w:spacing w:line="276" w:lineRule="auto"/>
        <w:ind w:left="851" w:right="822"/>
        <w:rPr>
          <w:rFonts w:eastAsia="Calibri"/>
          <w:lang w:eastAsia="en-US"/>
        </w:rPr>
      </w:pPr>
      <w:r w:rsidRPr="00A10EDA">
        <w:rPr>
          <w:rFonts w:eastAsia="Calibri"/>
          <w:lang w:eastAsia="en-US"/>
        </w:rPr>
        <w:t xml:space="preserve">2.- </w:t>
      </w:r>
      <w:r w:rsidR="00334D95" w:rsidRPr="00A10EDA">
        <w:rPr>
          <w:rFonts w:eastAsia="Calibri"/>
          <w:lang w:eastAsia="en-US"/>
        </w:rPr>
        <w:t>L</w:t>
      </w:r>
      <w:r w:rsidR="00334D95" w:rsidRPr="00A10EDA">
        <w:t xml:space="preserve">os recibos timbrados </w:t>
      </w:r>
      <w:r w:rsidR="00AB553C" w:rsidRPr="00A10EDA">
        <w:t>correspondientes</w:t>
      </w:r>
      <w:r w:rsidR="00334D95" w:rsidRPr="00A10EDA">
        <w:t xml:space="preserve"> </w:t>
      </w:r>
      <w:r w:rsidR="00AB553C" w:rsidRPr="00A10EDA">
        <w:t>a</w:t>
      </w:r>
      <w:r w:rsidR="00334D95" w:rsidRPr="00A10EDA">
        <w:t xml:space="preserve">l pago de aguinaldo y prima vacacional </w:t>
      </w:r>
      <w:r w:rsidR="00AB553C" w:rsidRPr="00A10EDA">
        <w:t>del</w:t>
      </w:r>
      <w:r w:rsidR="00334D95" w:rsidRPr="00A10EDA">
        <w:t xml:space="preserve"> ejercicio fiscal 2023</w:t>
      </w:r>
      <w:r w:rsidR="00D93B38" w:rsidRPr="00A10EDA">
        <w:rPr>
          <w:rFonts w:eastAsia="Calibri"/>
          <w:lang w:eastAsia="en-US"/>
        </w:rPr>
        <w:t>.</w:t>
      </w:r>
    </w:p>
    <w:p w14:paraId="353EC017" w14:textId="50512CD0" w:rsidR="00EC03E6" w:rsidRPr="00A10EDA" w:rsidRDefault="00EC03E6" w:rsidP="00A10EDA">
      <w:pPr>
        <w:ind w:left="851" w:right="822"/>
        <w:rPr>
          <w:rFonts w:eastAsia="Calibri" w:cs="Tahoma"/>
          <w:bCs/>
          <w:szCs w:val="22"/>
          <w:lang w:eastAsia="en-US"/>
        </w:rPr>
      </w:pPr>
    </w:p>
    <w:p w14:paraId="0FDBDBB1" w14:textId="794CFB50" w:rsidR="00FC3CE0" w:rsidRPr="00A10EDA" w:rsidRDefault="00334D95" w:rsidP="00A10EDA">
      <w:pPr>
        <w:spacing w:line="240" w:lineRule="auto"/>
        <w:ind w:left="851" w:right="822"/>
        <w:rPr>
          <w:rFonts w:eastAsia="Calibri" w:cs="Tahoma"/>
          <w:bCs/>
          <w:i/>
          <w:szCs w:val="22"/>
          <w:lang w:eastAsia="en-US"/>
        </w:rPr>
      </w:pPr>
      <w:r w:rsidRPr="00A10EDA">
        <w:rPr>
          <w:rFonts w:eastAsia="Calibri" w:cs="Tahoma"/>
          <w:bCs/>
          <w:i/>
          <w:szCs w:val="22"/>
          <w:lang w:eastAsia="en-US"/>
        </w:rPr>
        <w:t>Para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CCD930B" w14:textId="77777777" w:rsidR="00D024E7" w:rsidRPr="00A10EDA" w:rsidRDefault="00D024E7" w:rsidP="00A10EDA">
      <w:pPr>
        <w:ind w:right="-93"/>
        <w:rPr>
          <w:rFonts w:eastAsia="Calibri" w:cs="Tahoma"/>
          <w:bCs/>
          <w:szCs w:val="22"/>
          <w:lang w:eastAsia="en-US"/>
        </w:rPr>
      </w:pPr>
    </w:p>
    <w:p w14:paraId="39A19772" w14:textId="473BAEFE" w:rsidR="001009E8" w:rsidRPr="00A10EDA" w:rsidRDefault="00FC3CE0" w:rsidP="00A10EDA">
      <w:r w:rsidRPr="00A10EDA">
        <w:rPr>
          <w:b/>
          <w:bCs/>
        </w:rPr>
        <w:t>TERCERO.</w:t>
      </w:r>
      <w:r w:rsidRPr="00A10EDA">
        <w:t xml:space="preserve"> </w:t>
      </w:r>
      <w:r w:rsidR="001009E8" w:rsidRPr="00A10EDA">
        <w:t xml:space="preserve">Notifíquese la presente resolución al Titular de la Unidad de Transparencia del </w:t>
      </w:r>
      <w:r w:rsidR="001009E8" w:rsidRPr="00A10EDA">
        <w:rPr>
          <w:b/>
          <w:bCs/>
        </w:rPr>
        <w:t>SUJETO OBLIGADO</w:t>
      </w:r>
      <w:r w:rsidR="00061042" w:rsidRPr="00A10EDA">
        <w:rPr>
          <w:b/>
          <w:bCs/>
        </w:rPr>
        <w:t xml:space="preserve"> </w:t>
      </w:r>
      <w:r w:rsidR="00061042" w:rsidRPr="00A10EDA">
        <w:t>vía Sistema de Acceso a la Información Mexiquense (SAIMEX)</w:t>
      </w:r>
      <w:r w:rsidR="001009E8" w:rsidRPr="00A10EDA">
        <w:t xml:space="preserve">, para que conforme al artículo 186 último párrafo, 189 segundo párrafo y 194 de la Ley de Transparencia y Acceso a la Información Pública del Estado de México y Municipios, dé cumplimiento a lo ordenado dentro del plazo de </w:t>
      </w:r>
      <w:r w:rsidR="001009E8" w:rsidRPr="00A10EDA">
        <w:rPr>
          <w:b/>
          <w:bCs/>
        </w:rPr>
        <w:t>diez días hábiles</w:t>
      </w:r>
      <w:r w:rsidR="001009E8" w:rsidRPr="00A10EDA">
        <w:t xml:space="preserve">, e informe a este Instituto en un plazo de </w:t>
      </w:r>
      <w:r w:rsidR="001009E8" w:rsidRPr="00A10EDA">
        <w:rPr>
          <w:b/>
          <w:bCs/>
        </w:rPr>
        <w:t>tres días hábiles</w:t>
      </w:r>
      <w:r w:rsidR="001009E8" w:rsidRPr="00A10EDA">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A10EDA" w:rsidRDefault="00FC3CE0" w:rsidP="00A10EDA"/>
    <w:p w14:paraId="16A4F4E2" w14:textId="64DF9CE2" w:rsidR="00FC3CE0" w:rsidRPr="00A10EDA" w:rsidRDefault="00FC3CE0" w:rsidP="00A10EDA">
      <w:r w:rsidRPr="00A10EDA">
        <w:rPr>
          <w:b/>
          <w:bCs/>
        </w:rPr>
        <w:t>CUARTO.</w:t>
      </w:r>
      <w:r w:rsidRPr="00A10EDA">
        <w:t xml:space="preserve"> Notifíquese a </w:t>
      </w:r>
      <w:r w:rsidRPr="00A10EDA">
        <w:rPr>
          <w:b/>
          <w:bCs/>
        </w:rPr>
        <w:t>LA PARTE RECURRENTE</w:t>
      </w:r>
      <w:r w:rsidRPr="00A10EDA">
        <w:t xml:space="preserve"> la presente resolución vía Sistema de Acceso a la Información Mexiquense </w:t>
      </w:r>
      <w:r w:rsidR="008B1E16" w:rsidRPr="00A10EDA">
        <w:t>(</w:t>
      </w:r>
      <w:r w:rsidRPr="00A10EDA">
        <w:t>SAIMEX</w:t>
      </w:r>
      <w:r w:rsidR="008B1E16" w:rsidRPr="00A10EDA">
        <w:t>)</w:t>
      </w:r>
      <w:r w:rsidRPr="00A10EDA">
        <w:t>.</w:t>
      </w:r>
    </w:p>
    <w:p w14:paraId="515336ED" w14:textId="77777777" w:rsidR="00FC3CE0" w:rsidRPr="00A10EDA" w:rsidRDefault="00FC3CE0" w:rsidP="00A10EDA">
      <w:pPr>
        <w:rPr>
          <w:sz w:val="18"/>
          <w:szCs w:val="16"/>
        </w:rPr>
      </w:pPr>
    </w:p>
    <w:p w14:paraId="006EFE1D" w14:textId="07CDFDE4" w:rsidR="00FC3CE0" w:rsidRPr="00A10EDA" w:rsidRDefault="00FC3CE0" w:rsidP="00A10EDA">
      <w:r w:rsidRPr="00A10EDA">
        <w:rPr>
          <w:b/>
          <w:bCs/>
        </w:rPr>
        <w:t>QUINTO</w:t>
      </w:r>
      <w:r w:rsidRPr="00A10EDA">
        <w:t>. Hágase del conocimiento a</w:t>
      </w:r>
      <w:r w:rsidR="008B1E16" w:rsidRPr="00A10EDA">
        <w:t xml:space="preserve"> </w:t>
      </w:r>
      <w:r w:rsidR="008B1E16" w:rsidRPr="00A10EDA">
        <w:rPr>
          <w:b/>
          <w:bCs/>
        </w:rPr>
        <w:t xml:space="preserve">LA PARTE </w:t>
      </w:r>
      <w:r w:rsidRPr="00A10EDA">
        <w:rPr>
          <w:b/>
          <w:bCs/>
        </w:rPr>
        <w:t>RECURRENTE</w:t>
      </w:r>
      <w:r w:rsidRPr="00A10EDA">
        <w:t xml:space="preserve"> que</w:t>
      </w:r>
      <w:r w:rsidR="008B1E16" w:rsidRPr="00A10EDA">
        <w:t>,</w:t>
      </w:r>
      <w:r w:rsidRPr="00A10EDA">
        <w:t xml:space="preserve"> de conformidad con lo establecido en el artículo 196 de la Ley de Transparencia y Acceso a la Información Pública del Estado de México y Municipios, podrá impugnar</w:t>
      </w:r>
      <w:r w:rsidR="008B1E16" w:rsidRPr="00A10EDA">
        <w:t xml:space="preserve"> la presente resolución</w:t>
      </w:r>
      <w:r w:rsidRPr="00A10EDA">
        <w:t xml:space="preserve"> vía Juicio de Amparo en los términos de las leyes aplicables.</w:t>
      </w:r>
    </w:p>
    <w:p w14:paraId="43DF9D99" w14:textId="4C6E52F9" w:rsidR="00FC3CE0" w:rsidRPr="00A10EDA" w:rsidRDefault="00FC3CE0" w:rsidP="00A10EDA">
      <w:r w:rsidRPr="00A10EDA">
        <w:rPr>
          <w:b/>
          <w:bCs/>
        </w:rPr>
        <w:lastRenderedPageBreak/>
        <w:t>SEXTO.</w:t>
      </w:r>
      <w:r w:rsidRPr="00A10EDA">
        <w:t xml:space="preserve"> De conformidad con el artículo 198 de la Ley de Transparencia y Acceso a la Información Pública del Estado de México y Municipios, el </w:t>
      </w:r>
      <w:r w:rsidR="008B1E16" w:rsidRPr="00A10EDA">
        <w:rPr>
          <w:b/>
          <w:bCs/>
        </w:rPr>
        <w:t>SUJETO OBLIGADO</w:t>
      </w:r>
      <w:r w:rsidR="008B1E16" w:rsidRPr="00A10EDA">
        <w:t xml:space="preserve"> </w:t>
      </w:r>
      <w:r w:rsidRPr="00A10EDA">
        <w:t>podrá solicitar</w:t>
      </w:r>
      <w:r w:rsidR="008B1E16" w:rsidRPr="00A10EDA">
        <w:t xml:space="preserve"> </w:t>
      </w:r>
      <w:r w:rsidRPr="00A10EDA">
        <w:t xml:space="preserve">una ampliación de plazo </w:t>
      </w:r>
      <w:r w:rsidR="008B1E16" w:rsidRPr="00A10EDA">
        <w:t xml:space="preserve">de manera fundada y motivada, </w:t>
      </w:r>
      <w:r w:rsidRPr="00A10EDA">
        <w:t>para el cumplimiento de la presente resolución.</w:t>
      </w:r>
    </w:p>
    <w:p w14:paraId="0CCF061F" w14:textId="77777777" w:rsidR="00DC573A" w:rsidRPr="00A10EDA" w:rsidRDefault="00DC573A" w:rsidP="00A10EDA">
      <w:pPr>
        <w:rPr>
          <w:sz w:val="18"/>
          <w:szCs w:val="16"/>
        </w:rPr>
      </w:pPr>
    </w:p>
    <w:p w14:paraId="573C44E7" w14:textId="4013C91F" w:rsidR="00C6114B" w:rsidRPr="00A10EDA" w:rsidRDefault="00664420" w:rsidP="00A10EDA">
      <w:pPr>
        <w:rPr>
          <w:rFonts w:eastAsia="Palatino Linotype" w:cs="Palatino Linotype"/>
          <w:szCs w:val="22"/>
        </w:rPr>
      </w:pPr>
      <w:r w:rsidRPr="00A10EDA">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93B38" w:rsidRPr="00A10EDA">
        <w:rPr>
          <w:rFonts w:eastAsia="Palatino Linotype" w:cs="Palatino Linotype"/>
          <w:szCs w:val="22"/>
        </w:rPr>
        <w:t>CUADRAGÉSIMA</w:t>
      </w:r>
      <w:r w:rsidR="007B5FF3" w:rsidRPr="00A10EDA">
        <w:rPr>
          <w:rFonts w:eastAsia="Palatino Linotype" w:cs="Palatino Linotype"/>
          <w:szCs w:val="22"/>
        </w:rPr>
        <w:t xml:space="preserve"> </w:t>
      </w:r>
      <w:r w:rsidR="00C325FC" w:rsidRPr="00A10EDA">
        <w:rPr>
          <w:rFonts w:eastAsia="Palatino Linotype" w:cs="Palatino Linotype"/>
          <w:szCs w:val="22"/>
        </w:rPr>
        <w:t xml:space="preserve">TERCERA </w:t>
      </w:r>
      <w:r w:rsidRPr="00A10EDA">
        <w:rPr>
          <w:rFonts w:eastAsia="Palatino Linotype" w:cs="Palatino Linotype"/>
          <w:szCs w:val="22"/>
        </w:rPr>
        <w:t xml:space="preserve">SESIÓN ORDINARIA, CELEBRADA EL </w:t>
      </w:r>
      <w:r w:rsidR="00C325FC" w:rsidRPr="00A10EDA">
        <w:rPr>
          <w:rFonts w:eastAsia="Palatino Linotype" w:cs="Palatino Linotype"/>
          <w:szCs w:val="22"/>
        </w:rPr>
        <w:t xml:space="preserve">ONCE DE </w:t>
      </w:r>
      <w:r w:rsidR="00C426E0" w:rsidRPr="00A10EDA">
        <w:rPr>
          <w:rFonts w:eastAsia="Palatino Linotype" w:cs="Palatino Linotype"/>
          <w:szCs w:val="22"/>
        </w:rPr>
        <w:t>DICIEMBRE</w:t>
      </w:r>
      <w:r w:rsidR="00C325FC" w:rsidRPr="00A10EDA">
        <w:rPr>
          <w:rFonts w:eastAsia="Palatino Linotype" w:cs="Palatino Linotype"/>
          <w:szCs w:val="22"/>
        </w:rPr>
        <w:t xml:space="preserve"> </w:t>
      </w:r>
      <w:r w:rsidR="007B5FF3" w:rsidRPr="00A10EDA">
        <w:rPr>
          <w:rFonts w:eastAsia="Palatino Linotype" w:cs="Palatino Linotype"/>
          <w:szCs w:val="22"/>
        </w:rPr>
        <w:t>DE DOS MIL VEINTICUATRO</w:t>
      </w:r>
      <w:r w:rsidRPr="00A10EDA">
        <w:rPr>
          <w:rFonts w:eastAsia="Palatino Linotype" w:cs="Palatino Linotype"/>
          <w:szCs w:val="22"/>
        </w:rPr>
        <w:t>, ANTE EL SECRETARIO TÉCNICO DEL PLENO, ALEXIS TAPIA RAMÍREZ.</w:t>
      </w:r>
      <w:r w:rsidR="001E1393" w:rsidRPr="00A10EDA">
        <w:rPr>
          <w:rFonts w:eastAsia="Palatino Linotype" w:cs="Palatino Linotype"/>
          <w:szCs w:val="22"/>
        </w:rPr>
        <w:t xml:space="preserve"> </w:t>
      </w:r>
    </w:p>
    <w:p w14:paraId="1C23ADBD" w14:textId="2F415BD8" w:rsidR="009E4232" w:rsidRPr="00A10EDA" w:rsidRDefault="003A2B62" w:rsidP="00A10EDA">
      <w:pPr>
        <w:rPr>
          <w:rFonts w:eastAsia="Palatino Linotype" w:cs="Palatino Linotype"/>
          <w:szCs w:val="22"/>
        </w:rPr>
      </w:pPr>
      <w:r w:rsidRPr="00A10EDA">
        <w:rPr>
          <w:rFonts w:eastAsia="Palatino Linotype" w:cs="Palatino Linotype"/>
          <w:sz w:val="20"/>
        </w:rPr>
        <w:t>SCMM/AGZ/DEMF/CMP</w:t>
      </w:r>
    </w:p>
    <w:p w14:paraId="49D72DA3" w14:textId="77777777" w:rsidR="00664420" w:rsidRPr="00A10EDA" w:rsidRDefault="00664420" w:rsidP="00A10EDA">
      <w:pPr>
        <w:ind w:right="-93"/>
        <w:rPr>
          <w:rFonts w:eastAsia="Calibri" w:cs="Tahoma"/>
          <w:bCs/>
          <w:szCs w:val="22"/>
          <w:lang w:eastAsia="en-US"/>
        </w:rPr>
      </w:pPr>
    </w:p>
    <w:p w14:paraId="5EFEA0CD" w14:textId="77777777" w:rsidR="00664420" w:rsidRPr="00A10EDA" w:rsidRDefault="00664420" w:rsidP="00A10EDA">
      <w:pPr>
        <w:ind w:right="-93"/>
        <w:rPr>
          <w:rFonts w:eastAsia="Calibri" w:cs="Tahoma"/>
          <w:szCs w:val="22"/>
          <w:lang w:val="es-ES"/>
        </w:rPr>
      </w:pPr>
    </w:p>
    <w:p w14:paraId="696BC976" w14:textId="77777777" w:rsidR="00664420" w:rsidRPr="00A10EDA" w:rsidRDefault="00664420" w:rsidP="00A10EDA">
      <w:pPr>
        <w:ind w:right="-93"/>
        <w:rPr>
          <w:rFonts w:eastAsia="Calibri" w:cs="Tahoma"/>
          <w:bCs/>
          <w:szCs w:val="22"/>
          <w:lang w:val="es-ES" w:eastAsia="en-US"/>
        </w:rPr>
      </w:pPr>
    </w:p>
    <w:p w14:paraId="671CB0C5" w14:textId="77777777" w:rsidR="00664420" w:rsidRPr="00A10EDA" w:rsidRDefault="00664420" w:rsidP="00A10EDA">
      <w:pPr>
        <w:ind w:right="-93"/>
        <w:rPr>
          <w:rFonts w:eastAsia="Calibri" w:cs="Tahoma"/>
          <w:bCs/>
          <w:szCs w:val="22"/>
          <w:lang w:val="es-ES_tradnl" w:eastAsia="en-US"/>
        </w:rPr>
      </w:pPr>
    </w:p>
    <w:p w14:paraId="52B66DE7" w14:textId="77777777" w:rsidR="00664420" w:rsidRPr="00A10EDA" w:rsidRDefault="00664420" w:rsidP="00A10EDA">
      <w:pPr>
        <w:ind w:right="-93"/>
        <w:rPr>
          <w:rFonts w:eastAsia="Calibri" w:cs="Tahoma"/>
          <w:bCs/>
          <w:szCs w:val="22"/>
          <w:lang w:val="es-ES_tradnl" w:eastAsia="en-US"/>
        </w:rPr>
      </w:pPr>
    </w:p>
    <w:p w14:paraId="3BA305D1" w14:textId="77777777" w:rsidR="00664420" w:rsidRPr="00A10EDA" w:rsidRDefault="00664420" w:rsidP="00A10EDA">
      <w:pPr>
        <w:ind w:right="-93"/>
        <w:rPr>
          <w:rFonts w:eastAsia="Calibri" w:cs="Tahoma"/>
          <w:bCs/>
          <w:szCs w:val="22"/>
          <w:lang w:val="es-ES_tradnl" w:eastAsia="en-US"/>
        </w:rPr>
      </w:pPr>
    </w:p>
    <w:p w14:paraId="78230707" w14:textId="77777777" w:rsidR="00664420" w:rsidRPr="00A10EDA" w:rsidRDefault="00664420" w:rsidP="00A10EDA">
      <w:pPr>
        <w:ind w:right="-93"/>
        <w:rPr>
          <w:rFonts w:eastAsia="Calibri" w:cs="Tahoma"/>
          <w:bCs/>
          <w:szCs w:val="22"/>
          <w:lang w:val="es-ES_tradnl" w:eastAsia="en-US"/>
        </w:rPr>
      </w:pPr>
    </w:p>
    <w:p w14:paraId="72D18B28" w14:textId="77777777" w:rsidR="00664420" w:rsidRPr="00A10EDA" w:rsidRDefault="00664420" w:rsidP="00A10EDA">
      <w:pPr>
        <w:ind w:right="-93"/>
        <w:rPr>
          <w:rFonts w:eastAsia="Calibri" w:cs="Tahoma"/>
          <w:bCs/>
          <w:szCs w:val="22"/>
          <w:lang w:val="es-ES_tradnl" w:eastAsia="en-US"/>
        </w:rPr>
      </w:pPr>
    </w:p>
    <w:p w14:paraId="6BD461DC" w14:textId="77777777" w:rsidR="00664420" w:rsidRPr="00A10EDA" w:rsidRDefault="00664420" w:rsidP="00A10EDA">
      <w:pPr>
        <w:tabs>
          <w:tab w:val="center" w:pos="4568"/>
        </w:tabs>
        <w:ind w:right="-93"/>
        <w:rPr>
          <w:rFonts w:eastAsia="Calibri" w:cs="Tahoma"/>
          <w:bCs/>
          <w:szCs w:val="22"/>
          <w:lang w:eastAsia="en-US"/>
        </w:rPr>
      </w:pPr>
    </w:p>
    <w:p w14:paraId="4DBB1727" w14:textId="77777777" w:rsidR="00664420" w:rsidRPr="00A10EDA" w:rsidRDefault="00664420" w:rsidP="00A10EDA">
      <w:pPr>
        <w:tabs>
          <w:tab w:val="center" w:pos="4568"/>
        </w:tabs>
        <w:ind w:right="-93"/>
        <w:rPr>
          <w:rFonts w:eastAsia="Calibri" w:cs="Tahoma"/>
          <w:bCs/>
          <w:szCs w:val="22"/>
          <w:lang w:eastAsia="en-US"/>
        </w:rPr>
      </w:pPr>
    </w:p>
    <w:p w14:paraId="1D74121B" w14:textId="77777777" w:rsidR="00664420" w:rsidRPr="00A10EDA" w:rsidRDefault="00664420" w:rsidP="00A10EDA">
      <w:pPr>
        <w:tabs>
          <w:tab w:val="center" w:pos="4568"/>
        </w:tabs>
        <w:ind w:right="-93"/>
        <w:rPr>
          <w:rFonts w:eastAsia="Calibri" w:cs="Tahoma"/>
          <w:bCs/>
          <w:szCs w:val="22"/>
          <w:lang w:eastAsia="en-US"/>
        </w:rPr>
      </w:pPr>
    </w:p>
    <w:p w14:paraId="08E74E9C" w14:textId="77777777" w:rsidR="00664420" w:rsidRPr="00A10EDA" w:rsidRDefault="00664420" w:rsidP="00A10EDA">
      <w:pPr>
        <w:tabs>
          <w:tab w:val="center" w:pos="4568"/>
        </w:tabs>
        <w:ind w:right="-93"/>
        <w:rPr>
          <w:rFonts w:eastAsia="Calibri" w:cs="Tahoma"/>
          <w:bCs/>
          <w:szCs w:val="22"/>
          <w:lang w:eastAsia="en-US"/>
        </w:rPr>
      </w:pPr>
    </w:p>
    <w:p w14:paraId="2CBF5E03" w14:textId="77777777" w:rsidR="00664420" w:rsidRPr="00A10EDA" w:rsidRDefault="00664420" w:rsidP="00A10EDA">
      <w:pPr>
        <w:tabs>
          <w:tab w:val="center" w:pos="4568"/>
        </w:tabs>
        <w:ind w:right="-93"/>
        <w:rPr>
          <w:rFonts w:eastAsia="Calibri" w:cs="Tahoma"/>
          <w:bCs/>
          <w:szCs w:val="22"/>
          <w:lang w:eastAsia="en-US"/>
        </w:rPr>
      </w:pPr>
    </w:p>
    <w:p w14:paraId="44865A6D" w14:textId="77777777" w:rsidR="00664420" w:rsidRPr="00A10EDA" w:rsidRDefault="00664420" w:rsidP="00A10EDA">
      <w:pPr>
        <w:tabs>
          <w:tab w:val="center" w:pos="4568"/>
        </w:tabs>
        <w:ind w:right="-93"/>
        <w:rPr>
          <w:rFonts w:eastAsia="Calibri" w:cs="Tahoma"/>
          <w:bCs/>
          <w:szCs w:val="22"/>
          <w:lang w:eastAsia="en-US"/>
        </w:rPr>
      </w:pPr>
    </w:p>
    <w:p w14:paraId="7147F06B" w14:textId="77777777" w:rsidR="00664420" w:rsidRPr="00A10EDA" w:rsidRDefault="00664420" w:rsidP="00A10EDA">
      <w:pPr>
        <w:tabs>
          <w:tab w:val="center" w:pos="4568"/>
        </w:tabs>
        <w:ind w:right="-93"/>
        <w:rPr>
          <w:rFonts w:eastAsia="Calibri" w:cs="Tahoma"/>
          <w:bCs/>
          <w:szCs w:val="22"/>
          <w:lang w:eastAsia="en-US"/>
        </w:rPr>
      </w:pPr>
    </w:p>
    <w:p w14:paraId="6FDF3D7E" w14:textId="77777777" w:rsidR="00664420" w:rsidRPr="00A10EDA" w:rsidRDefault="00664420" w:rsidP="00A10EDA">
      <w:pPr>
        <w:tabs>
          <w:tab w:val="center" w:pos="4568"/>
        </w:tabs>
        <w:ind w:right="-93"/>
        <w:rPr>
          <w:rFonts w:eastAsia="Calibri" w:cs="Tahoma"/>
          <w:bCs/>
          <w:szCs w:val="22"/>
          <w:lang w:eastAsia="en-US"/>
        </w:rPr>
      </w:pPr>
    </w:p>
    <w:p w14:paraId="6246F818" w14:textId="77777777" w:rsidR="00664420" w:rsidRPr="00A10EDA" w:rsidRDefault="00664420" w:rsidP="00A10EDA">
      <w:pPr>
        <w:tabs>
          <w:tab w:val="center" w:pos="4568"/>
        </w:tabs>
        <w:ind w:right="-93"/>
        <w:rPr>
          <w:rFonts w:eastAsia="Calibri" w:cs="Tahoma"/>
          <w:bCs/>
          <w:szCs w:val="22"/>
          <w:lang w:eastAsia="en-US"/>
        </w:rPr>
      </w:pPr>
    </w:p>
    <w:p w14:paraId="57A88B28" w14:textId="77777777" w:rsidR="00664420" w:rsidRPr="00A10EDA" w:rsidRDefault="00664420" w:rsidP="00A10EDA">
      <w:pPr>
        <w:tabs>
          <w:tab w:val="center" w:pos="4568"/>
        </w:tabs>
        <w:ind w:right="-93"/>
        <w:rPr>
          <w:rFonts w:eastAsia="Calibri" w:cs="Tahoma"/>
          <w:bCs/>
          <w:szCs w:val="22"/>
          <w:lang w:eastAsia="en-US"/>
        </w:rPr>
      </w:pPr>
    </w:p>
    <w:p w14:paraId="77EF6095" w14:textId="77777777" w:rsidR="00664420" w:rsidRPr="00A10EDA" w:rsidRDefault="00664420" w:rsidP="00A10EDA">
      <w:pPr>
        <w:tabs>
          <w:tab w:val="center" w:pos="4568"/>
        </w:tabs>
        <w:ind w:right="-93"/>
        <w:rPr>
          <w:rFonts w:eastAsia="Calibri" w:cs="Tahoma"/>
          <w:bCs/>
          <w:szCs w:val="22"/>
          <w:lang w:eastAsia="en-US"/>
        </w:rPr>
      </w:pPr>
    </w:p>
    <w:p w14:paraId="35593947" w14:textId="77777777" w:rsidR="00664420" w:rsidRPr="00A10EDA" w:rsidRDefault="00664420" w:rsidP="00A10EDA">
      <w:pPr>
        <w:tabs>
          <w:tab w:val="center" w:pos="4568"/>
        </w:tabs>
        <w:ind w:right="-93"/>
        <w:rPr>
          <w:rFonts w:eastAsia="Calibri" w:cs="Tahoma"/>
          <w:bCs/>
          <w:szCs w:val="22"/>
          <w:lang w:eastAsia="en-US"/>
        </w:rPr>
      </w:pPr>
    </w:p>
    <w:p w14:paraId="3AF72A17" w14:textId="77777777" w:rsidR="00664420" w:rsidRPr="00A10EDA" w:rsidRDefault="00664420" w:rsidP="00A10EDA">
      <w:pPr>
        <w:tabs>
          <w:tab w:val="center" w:pos="4568"/>
        </w:tabs>
        <w:ind w:right="-93"/>
        <w:rPr>
          <w:rFonts w:eastAsia="Calibri" w:cs="Tahoma"/>
          <w:bCs/>
          <w:szCs w:val="22"/>
          <w:lang w:eastAsia="en-US"/>
        </w:rPr>
      </w:pPr>
    </w:p>
    <w:p w14:paraId="37169144" w14:textId="77777777" w:rsidR="00664420" w:rsidRPr="00A10EDA" w:rsidRDefault="00664420" w:rsidP="00A10EDA">
      <w:pPr>
        <w:tabs>
          <w:tab w:val="center" w:pos="4568"/>
        </w:tabs>
        <w:ind w:right="-93"/>
        <w:rPr>
          <w:rFonts w:eastAsia="Calibri" w:cs="Tahoma"/>
          <w:bCs/>
          <w:szCs w:val="22"/>
          <w:lang w:eastAsia="en-US"/>
        </w:rPr>
      </w:pPr>
    </w:p>
    <w:p w14:paraId="77CFC088" w14:textId="77777777" w:rsidR="00664420" w:rsidRPr="00A10EDA" w:rsidRDefault="00664420" w:rsidP="00A10EDA">
      <w:pPr>
        <w:tabs>
          <w:tab w:val="center" w:pos="4568"/>
        </w:tabs>
        <w:ind w:right="-93"/>
        <w:rPr>
          <w:rFonts w:eastAsia="Calibri" w:cs="Tahoma"/>
          <w:bCs/>
          <w:szCs w:val="22"/>
          <w:lang w:eastAsia="en-US"/>
        </w:rPr>
      </w:pPr>
    </w:p>
    <w:p w14:paraId="781A11A5" w14:textId="77777777" w:rsidR="00664420" w:rsidRPr="00A10EDA" w:rsidRDefault="00664420" w:rsidP="00A10EDA">
      <w:pPr>
        <w:tabs>
          <w:tab w:val="center" w:pos="4568"/>
        </w:tabs>
        <w:ind w:right="-93"/>
        <w:rPr>
          <w:rFonts w:eastAsia="Calibri" w:cs="Tahoma"/>
          <w:bCs/>
          <w:szCs w:val="22"/>
          <w:lang w:eastAsia="en-US"/>
        </w:rPr>
      </w:pPr>
    </w:p>
    <w:p w14:paraId="5B4ADFF3" w14:textId="77777777" w:rsidR="00A131AC" w:rsidRPr="00A10EDA" w:rsidRDefault="00A131AC" w:rsidP="00A10EDA"/>
    <w:sectPr w:rsidR="00A131AC" w:rsidRPr="00A10EDA"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DAF96" w14:textId="77777777" w:rsidR="006E52BC" w:rsidRDefault="006E52BC" w:rsidP="00664420">
      <w:pPr>
        <w:spacing w:line="240" w:lineRule="auto"/>
      </w:pPr>
      <w:r>
        <w:separator/>
      </w:r>
    </w:p>
  </w:endnote>
  <w:endnote w:type="continuationSeparator" w:id="0">
    <w:p w14:paraId="57B25CC9" w14:textId="77777777" w:rsidR="006E52BC" w:rsidRDefault="006E52B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5144AB" w:rsidRDefault="005144AB">
    <w:pPr>
      <w:tabs>
        <w:tab w:val="center" w:pos="4550"/>
        <w:tab w:val="left" w:pos="5818"/>
      </w:tabs>
      <w:ind w:right="260"/>
      <w:jc w:val="right"/>
      <w:rPr>
        <w:color w:val="071320" w:themeColor="text2" w:themeShade="80"/>
        <w:sz w:val="24"/>
        <w:szCs w:val="24"/>
      </w:rPr>
    </w:pPr>
  </w:p>
  <w:p w14:paraId="1BCA7F23" w14:textId="77777777" w:rsidR="005144AB" w:rsidRDefault="005144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492D1B85" w:rsidR="005144AB" w:rsidRDefault="005144A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839F3" w:rsidRPr="003839F3">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839F3" w:rsidRPr="003839F3">
      <w:rPr>
        <w:noProof/>
        <w:color w:val="0A1D30" w:themeColor="text2" w:themeShade="BF"/>
        <w:sz w:val="24"/>
        <w:szCs w:val="24"/>
        <w:lang w:val="es-ES"/>
      </w:rPr>
      <w:t>44</w:t>
    </w:r>
    <w:r>
      <w:rPr>
        <w:color w:val="0A1D30" w:themeColor="text2" w:themeShade="BF"/>
        <w:sz w:val="24"/>
        <w:szCs w:val="24"/>
      </w:rPr>
      <w:fldChar w:fldCharType="end"/>
    </w:r>
  </w:p>
  <w:p w14:paraId="310E15C0" w14:textId="77777777" w:rsidR="005144AB" w:rsidRDefault="005144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89E79" w14:textId="77777777" w:rsidR="006E52BC" w:rsidRDefault="006E52BC" w:rsidP="00664420">
      <w:pPr>
        <w:spacing w:line="240" w:lineRule="auto"/>
      </w:pPr>
      <w:r>
        <w:separator/>
      </w:r>
    </w:p>
  </w:footnote>
  <w:footnote w:type="continuationSeparator" w:id="0">
    <w:p w14:paraId="0EFD1B27" w14:textId="77777777" w:rsidR="006E52BC" w:rsidRDefault="006E52BC" w:rsidP="00664420">
      <w:pPr>
        <w:spacing w:line="240" w:lineRule="auto"/>
      </w:pPr>
      <w:r>
        <w:continuationSeparator/>
      </w:r>
    </w:p>
  </w:footnote>
  <w:footnote w:id="1">
    <w:p w14:paraId="37E28AB2" w14:textId="77777777" w:rsidR="005144AB" w:rsidRDefault="005144AB" w:rsidP="00334D95">
      <w:pPr>
        <w:pBdr>
          <w:top w:val="nil"/>
          <w:left w:val="nil"/>
          <w:bottom w:val="nil"/>
          <w:right w:val="nil"/>
          <w:between w:val="nil"/>
        </w:pBdr>
        <w:tabs>
          <w:tab w:val="right" w:pos="0"/>
        </w:tabs>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5144AB" w:rsidRPr="00330DA7" w14:paraId="070A4B18" w14:textId="77777777" w:rsidTr="003F35FD">
      <w:trPr>
        <w:trHeight w:val="144"/>
        <w:jc w:val="right"/>
      </w:trPr>
      <w:tc>
        <w:tcPr>
          <w:tcW w:w="2727" w:type="dxa"/>
        </w:tcPr>
        <w:p w14:paraId="62B7493A" w14:textId="77777777" w:rsidR="005144AB" w:rsidRPr="00330DA7" w:rsidRDefault="005144A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DBBC7F3" w:rsidR="005144AB" w:rsidRPr="00A90C72" w:rsidRDefault="005144AB" w:rsidP="003F35FD">
          <w:pPr>
            <w:tabs>
              <w:tab w:val="right" w:pos="8838"/>
            </w:tabs>
            <w:ind w:left="-74" w:right="-105"/>
            <w:rPr>
              <w:rFonts w:eastAsia="Calibri" w:cs="Tahoma"/>
              <w:szCs w:val="22"/>
              <w:lang w:eastAsia="en-US"/>
            </w:rPr>
          </w:pPr>
          <w:r w:rsidRPr="00B271BA">
            <w:rPr>
              <w:rFonts w:eastAsia="Calibri" w:cs="Tahoma"/>
              <w:szCs w:val="22"/>
              <w:lang w:eastAsia="en-US"/>
            </w:rPr>
            <w:t>07282/INFOEM/IP/RR/2024</w:t>
          </w:r>
        </w:p>
      </w:tc>
    </w:tr>
    <w:tr w:rsidR="005144AB" w:rsidRPr="00330DA7" w14:paraId="4521E058" w14:textId="77777777" w:rsidTr="003F35FD">
      <w:trPr>
        <w:trHeight w:val="283"/>
        <w:jc w:val="right"/>
      </w:trPr>
      <w:tc>
        <w:tcPr>
          <w:tcW w:w="2727" w:type="dxa"/>
        </w:tcPr>
        <w:p w14:paraId="0B68C086" w14:textId="77777777" w:rsidR="005144AB" w:rsidRPr="00330DA7" w:rsidRDefault="005144A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29D9638" w:rsidR="005144AB" w:rsidRPr="00952DD0" w:rsidRDefault="005144AB" w:rsidP="003F35FD">
          <w:pPr>
            <w:tabs>
              <w:tab w:val="left" w:pos="2834"/>
              <w:tab w:val="right" w:pos="8838"/>
            </w:tabs>
            <w:ind w:left="-108" w:right="-105"/>
            <w:rPr>
              <w:rFonts w:eastAsia="Calibri" w:cs="Tahoma"/>
              <w:szCs w:val="22"/>
              <w:lang w:eastAsia="en-US"/>
            </w:rPr>
          </w:pPr>
          <w:r w:rsidRPr="00B271BA">
            <w:rPr>
              <w:rFonts w:eastAsia="Calibri" w:cs="Tahoma"/>
              <w:szCs w:val="22"/>
              <w:lang w:eastAsia="en-US"/>
            </w:rPr>
            <w:t>Ayuntamiento de Almoloya de Juárez</w:t>
          </w:r>
        </w:p>
      </w:tc>
    </w:tr>
    <w:tr w:rsidR="005144AB" w:rsidRPr="00330DA7" w14:paraId="6331D9B6" w14:textId="77777777" w:rsidTr="003F35FD">
      <w:trPr>
        <w:trHeight w:val="283"/>
        <w:jc w:val="right"/>
      </w:trPr>
      <w:tc>
        <w:tcPr>
          <w:tcW w:w="2727" w:type="dxa"/>
        </w:tcPr>
        <w:p w14:paraId="3FA86BAE" w14:textId="0B6A8A73" w:rsidR="005144AB" w:rsidRPr="00330DA7" w:rsidRDefault="005144AB"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5144AB" w:rsidRPr="00EA66FC" w:rsidRDefault="005144A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5144AB" w:rsidRPr="00443C6B" w:rsidRDefault="005144A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58BBEE3F">
          <wp:simplePos x="0" y="0"/>
          <wp:positionH relativeFrom="margin">
            <wp:posOffset>-995045</wp:posOffset>
          </wp:positionH>
          <wp:positionV relativeFrom="margin">
            <wp:posOffset>-1744345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4AB" w:rsidRPr="00330DA7" w14:paraId="29CFF901" w14:textId="77777777" w:rsidTr="00B52CF2">
      <w:trPr>
        <w:trHeight w:val="1435"/>
      </w:trPr>
      <w:tc>
        <w:tcPr>
          <w:tcW w:w="283" w:type="dxa"/>
          <w:shd w:val="clear" w:color="auto" w:fill="auto"/>
        </w:tcPr>
        <w:p w14:paraId="046B9F8F" w14:textId="77777777" w:rsidR="005144AB" w:rsidRPr="00330DA7" w:rsidRDefault="005144AB"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5144AB" w:rsidRPr="00330DA7" w14:paraId="04F272D2" w14:textId="77777777" w:rsidTr="00B52CF2">
            <w:trPr>
              <w:trHeight w:val="144"/>
            </w:trPr>
            <w:tc>
              <w:tcPr>
                <w:tcW w:w="2727" w:type="dxa"/>
              </w:tcPr>
              <w:p w14:paraId="2FD4DBF6" w14:textId="77777777" w:rsidR="005144AB" w:rsidRPr="00330DA7" w:rsidRDefault="005144AB" w:rsidP="00B52CF2">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D1674C8" w:rsidR="005144AB" w:rsidRPr="00A90C72" w:rsidRDefault="005144AB" w:rsidP="00B52CF2">
                <w:pPr>
                  <w:tabs>
                    <w:tab w:val="right" w:pos="8838"/>
                  </w:tabs>
                  <w:ind w:left="-74" w:right="-105"/>
                  <w:rPr>
                    <w:rFonts w:eastAsia="Calibri" w:cs="Tahoma"/>
                    <w:szCs w:val="22"/>
                    <w:lang w:eastAsia="en-US"/>
                  </w:rPr>
                </w:pPr>
                <w:r w:rsidRPr="00B271BA">
                  <w:rPr>
                    <w:rFonts w:eastAsia="Calibri" w:cs="Tahoma"/>
                    <w:szCs w:val="22"/>
                    <w:lang w:eastAsia="en-US"/>
                  </w:rPr>
                  <w:t>07282/INFOEM/IP/RR/2024</w:t>
                </w:r>
              </w:p>
            </w:tc>
            <w:tc>
              <w:tcPr>
                <w:tcW w:w="3402" w:type="dxa"/>
              </w:tcPr>
              <w:p w14:paraId="71DEA1CF" w14:textId="77777777" w:rsidR="005144AB" w:rsidRDefault="005144AB" w:rsidP="00B52CF2">
                <w:pPr>
                  <w:tabs>
                    <w:tab w:val="right" w:pos="8838"/>
                  </w:tabs>
                  <w:ind w:left="-74" w:right="-105"/>
                  <w:rPr>
                    <w:rFonts w:eastAsia="Calibri" w:cs="Tahoma"/>
                    <w:szCs w:val="22"/>
                    <w:lang w:eastAsia="en-US"/>
                  </w:rPr>
                </w:pPr>
              </w:p>
            </w:tc>
          </w:tr>
          <w:tr w:rsidR="005144AB" w:rsidRPr="00330DA7" w14:paraId="05C58951" w14:textId="77777777" w:rsidTr="00B52CF2">
            <w:trPr>
              <w:trHeight w:val="144"/>
            </w:trPr>
            <w:tc>
              <w:tcPr>
                <w:tcW w:w="2727" w:type="dxa"/>
              </w:tcPr>
              <w:p w14:paraId="642B9610" w14:textId="77777777" w:rsidR="005144AB" w:rsidRPr="00330DA7" w:rsidRDefault="005144AB" w:rsidP="00B52CF2">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D0144D2" w:rsidR="005144AB" w:rsidRPr="005F19B1" w:rsidRDefault="005144AB" w:rsidP="008B21A8">
                <w:pPr>
                  <w:tabs>
                    <w:tab w:val="left" w:pos="2834"/>
                    <w:tab w:val="right" w:pos="8838"/>
                  </w:tabs>
                  <w:ind w:left="-108" w:right="-105"/>
                  <w:rPr>
                    <w:rFonts w:eastAsia="Calibri" w:cs="Tahoma"/>
                    <w:szCs w:val="22"/>
                    <w:lang w:eastAsia="en-US"/>
                  </w:rPr>
                </w:pPr>
                <w:r>
                  <w:rPr>
                    <w:rFonts w:eastAsia="Calibri" w:cs="Tahoma"/>
                    <w:szCs w:val="22"/>
                    <w:lang w:eastAsia="en-US"/>
                  </w:rPr>
                  <w:t xml:space="preserve">XXXXXXX </w:t>
                </w:r>
                <w:proofErr w:type="spellStart"/>
                <w:r>
                  <w:rPr>
                    <w:rFonts w:eastAsia="Calibri" w:cs="Tahoma"/>
                    <w:szCs w:val="22"/>
                    <w:lang w:eastAsia="en-US"/>
                  </w:rPr>
                  <w:t>XXXXXXX</w:t>
                </w:r>
                <w:proofErr w:type="spellEnd"/>
                <w:r>
                  <w:rPr>
                    <w:rFonts w:eastAsia="Calibri" w:cs="Tahoma"/>
                    <w:szCs w:val="22"/>
                    <w:lang w:eastAsia="en-US"/>
                  </w:rPr>
                  <w:t xml:space="preserve"> XXXX</w:t>
                </w:r>
              </w:p>
            </w:tc>
            <w:tc>
              <w:tcPr>
                <w:tcW w:w="3402" w:type="dxa"/>
              </w:tcPr>
              <w:p w14:paraId="73F47F53" w14:textId="77777777" w:rsidR="005144AB" w:rsidRPr="005F19B1" w:rsidRDefault="005144AB" w:rsidP="00B52CF2">
                <w:pPr>
                  <w:tabs>
                    <w:tab w:val="left" w:pos="3122"/>
                    <w:tab w:val="right" w:pos="8838"/>
                  </w:tabs>
                  <w:ind w:left="-105" w:right="-105"/>
                  <w:rPr>
                    <w:rFonts w:eastAsia="Calibri" w:cs="Tahoma"/>
                    <w:szCs w:val="22"/>
                    <w:lang w:eastAsia="en-US"/>
                  </w:rPr>
                </w:pPr>
              </w:p>
            </w:tc>
          </w:tr>
          <w:bookmarkEnd w:id="1"/>
          <w:tr w:rsidR="005144AB" w:rsidRPr="00330DA7" w14:paraId="00E6CDC1" w14:textId="77777777" w:rsidTr="00B52CF2">
            <w:trPr>
              <w:trHeight w:val="283"/>
            </w:trPr>
            <w:tc>
              <w:tcPr>
                <w:tcW w:w="2727" w:type="dxa"/>
              </w:tcPr>
              <w:p w14:paraId="0631AD24" w14:textId="77777777" w:rsidR="005144AB" w:rsidRPr="00330DA7" w:rsidRDefault="005144AB"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3764703" w:rsidR="005144AB" w:rsidRPr="00952DD0" w:rsidRDefault="005144AB" w:rsidP="00B52CF2">
                <w:pPr>
                  <w:tabs>
                    <w:tab w:val="left" w:pos="2834"/>
                    <w:tab w:val="right" w:pos="8838"/>
                  </w:tabs>
                  <w:ind w:left="-108" w:right="-105"/>
                  <w:rPr>
                    <w:rFonts w:eastAsia="Calibri" w:cs="Tahoma"/>
                    <w:szCs w:val="22"/>
                    <w:lang w:eastAsia="en-US"/>
                  </w:rPr>
                </w:pPr>
                <w:r w:rsidRPr="00B271BA">
                  <w:rPr>
                    <w:rFonts w:eastAsia="Calibri" w:cs="Tahoma"/>
                    <w:szCs w:val="22"/>
                    <w:lang w:eastAsia="en-US"/>
                  </w:rPr>
                  <w:t>Ayuntamiento de Almoloya de Juárez</w:t>
                </w:r>
              </w:p>
            </w:tc>
            <w:tc>
              <w:tcPr>
                <w:tcW w:w="3402" w:type="dxa"/>
              </w:tcPr>
              <w:p w14:paraId="3A7DA319" w14:textId="77777777" w:rsidR="005144AB" w:rsidRPr="00A90C72" w:rsidRDefault="005144AB" w:rsidP="00B52CF2">
                <w:pPr>
                  <w:tabs>
                    <w:tab w:val="left" w:pos="2834"/>
                    <w:tab w:val="right" w:pos="8838"/>
                  </w:tabs>
                  <w:ind w:left="-108" w:right="-105"/>
                  <w:rPr>
                    <w:rFonts w:eastAsia="Calibri" w:cs="Tahoma"/>
                    <w:szCs w:val="22"/>
                    <w:lang w:eastAsia="en-US"/>
                  </w:rPr>
                </w:pPr>
              </w:p>
            </w:tc>
          </w:tr>
          <w:tr w:rsidR="005144AB" w:rsidRPr="00330DA7" w14:paraId="0F6CD8D2" w14:textId="77777777" w:rsidTr="00B52CF2">
            <w:trPr>
              <w:trHeight w:val="283"/>
            </w:trPr>
            <w:tc>
              <w:tcPr>
                <w:tcW w:w="2727" w:type="dxa"/>
              </w:tcPr>
              <w:p w14:paraId="31700628" w14:textId="2AE24847" w:rsidR="005144AB" w:rsidRPr="00330DA7" w:rsidRDefault="005144AB" w:rsidP="00B52CF2">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5144AB" w:rsidRPr="00EA66FC" w:rsidRDefault="005144AB"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5144AB" w:rsidRPr="00330DA7" w:rsidRDefault="005144AB" w:rsidP="00B52CF2">
                <w:pPr>
                  <w:tabs>
                    <w:tab w:val="right" w:pos="8838"/>
                  </w:tabs>
                  <w:ind w:left="-108" w:right="-105"/>
                  <w:rPr>
                    <w:rFonts w:eastAsia="Calibri" w:cs="Tahoma"/>
                    <w:szCs w:val="22"/>
                    <w:lang w:eastAsia="en-US"/>
                  </w:rPr>
                </w:pPr>
              </w:p>
            </w:tc>
          </w:tr>
        </w:tbl>
        <w:p w14:paraId="5DC6AC61" w14:textId="77777777" w:rsidR="005144AB" w:rsidRPr="00330DA7" w:rsidRDefault="005144AB" w:rsidP="00B52CF2">
          <w:pPr>
            <w:tabs>
              <w:tab w:val="right" w:pos="8838"/>
            </w:tabs>
            <w:ind w:left="-28"/>
            <w:rPr>
              <w:rFonts w:ascii="Arial" w:eastAsia="Calibri" w:hAnsi="Arial" w:cs="Arial"/>
              <w:b/>
              <w:szCs w:val="22"/>
              <w:lang w:eastAsia="en-US"/>
            </w:rPr>
          </w:pPr>
        </w:p>
      </w:tc>
    </w:tr>
  </w:tbl>
  <w:p w14:paraId="2A906731" w14:textId="77777777" w:rsidR="005144AB" w:rsidRPr="00765661" w:rsidRDefault="005144AB"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8.65pt;margin-top:-168.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D68"/>
    <w:multiLevelType w:val="hybridMultilevel"/>
    <w:tmpl w:val="DD9C5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D71BC1"/>
    <w:multiLevelType w:val="hybridMultilevel"/>
    <w:tmpl w:val="FD623B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EAA79BC"/>
    <w:multiLevelType w:val="hybridMultilevel"/>
    <w:tmpl w:val="2A6A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1714A29"/>
    <w:multiLevelType w:val="hybridMultilevel"/>
    <w:tmpl w:val="8EFE1EC4"/>
    <w:lvl w:ilvl="0" w:tplc="080A0009">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3CA3039"/>
    <w:multiLevelType w:val="hybridMultilevel"/>
    <w:tmpl w:val="8D2C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8"/>
  </w:num>
  <w:num w:numId="3">
    <w:abstractNumId w:val="21"/>
  </w:num>
  <w:num w:numId="4">
    <w:abstractNumId w:val="5"/>
  </w:num>
  <w:num w:numId="5">
    <w:abstractNumId w:val="2"/>
  </w:num>
  <w:num w:numId="6">
    <w:abstractNumId w:val="22"/>
  </w:num>
  <w:num w:numId="7">
    <w:abstractNumId w:val="16"/>
  </w:num>
  <w:num w:numId="8">
    <w:abstractNumId w:val="4"/>
  </w:num>
  <w:num w:numId="9">
    <w:abstractNumId w:val="15"/>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3"/>
  </w:num>
  <w:num w:numId="15">
    <w:abstractNumId w:val="17"/>
  </w:num>
  <w:num w:numId="16">
    <w:abstractNumId w:val="20"/>
  </w:num>
  <w:num w:numId="17">
    <w:abstractNumId w:val="14"/>
  </w:num>
  <w:num w:numId="18">
    <w:abstractNumId w:val="19"/>
  </w:num>
  <w:num w:numId="19">
    <w:abstractNumId w:val="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7786"/>
    <w:rsid w:val="000318BC"/>
    <w:rsid w:val="00047C01"/>
    <w:rsid w:val="00057B2D"/>
    <w:rsid w:val="00061042"/>
    <w:rsid w:val="00080071"/>
    <w:rsid w:val="000857D6"/>
    <w:rsid w:val="000B05F6"/>
    <w:rsid w:val="000D0140"/>
    <w:rsid w:val="000D0D67"/>
    <w:rsid w:val="000E09C4"/>
    <w:rsid w:val="000F096A"/>
    <w:rsid w:val="000F42BA"/>
    <w:rsid w:val="000F7A9C"/>
    <w:rsid w:val="001009E8"/>
    <w:rsid w:val="0011350D"/>
    <w:rsid w:val="001257F0"/>
    <w:rsid w:val="00132798"/>
    <w:rsid w:val="00134B55"/>
    <w:rsid w:val="00141876"/>
    <w:rsid w:val="0014207B"/>
    <w:rsid w:val="00150C49"/>
    <w:rsid w:val="00155BA9"/>
    <w:rsid w:val="001639AC"/>
    <w:rsid w:val="00172959"/>
    <w:rsid w:val="001974F2"/>
    <w:rsid w:val="001A58B3"/>
    <w:rsid w:val="001C7688"/>
    <w:rsid w:val="001E1393"/>
    <w:rsid w:val="001F3515"/>
    <w:rsid w:val="001F7C39"/>
    <w:rsid w:val="0021772F"/>
    <w:rsid w:val="0022586F"/>
    <w:rsid w:val="00233005"/>
    <w:rsid w:val="00233F17"/>
    <w:rsid w:val="00234E60"/>
    <w:rsid w:val="00250303"/>
    <w:rsid w:val="002507F0"/>
    <w:rsid w:val="0028446D"/>
    <w:rsid w:val="00286A95"/>
    <w:rsid w:val="00290071"/>
    <w:rsid w:val="002921AB"/>
    <w:rsid w:val="002A3601"/>
    <w:rsid w:val="002A4A04"/>
    <w:rsid w:val="002A4D20"/>
    <w:rsid w:val="002B7C6F"/>
    <w:rsid w:val="002D111C"/>
    <w:rsid w:val="002D6EDD"/>
    <w:rsid w:val="002E7EAB"/>
    <w:rsid w:val="002F6F0F"/>
    <w:rsid w:val="00302476"/>
    <w:rsid w:val="00304A12"/>
    <w:rsid w:val="00307020"/>
    <w:rsid w:val="003312B5"/>
    <w:rsid w:val="00331F35"/>
    <w:rsid w:val="00331F76"/>
    <w:rsid w:val="00334D95"/>
    <w:rsid w:val="00335CDF"/>
    <w:rsid w:val="00350802"/>
    <w:rsid w:val="00351038"/>
    <w:rsid w:val="00362A11"/>
    <w:rsid w:val="003839F3"/>
    <w:rsid w:val="003A2B62"/>
    <w:rsid w:val="003A40C1"/>
    <w:rsid w:val="003B215F"/>
    <w:rsid w:val="003B5D3E"/>
    <w:rsid w:val="003D4040"/>
    <w:rsid w:val="003F35FD"/>
    <w:rsid w:val="003F744B"/>
    <w:rsid w:val="0041385B"/>
    <w:rsid w:val="0042630F"/>
    <w:rsid w:val="00437FB5"/>
    <w:rsid w:val="00441BFA"/>
    <w:rsid w:val="00454FBD"/>
    <w:rsid w:val="004976F9"/>
    <w:rsid w:val="004A326F"/>
    <w:rsid w:val="004B4E42"/>
    <w:rsid w:val="004D1D36"/>
    <w:rsid w:val="004D7CD8"/>
    <w:rsid w:val="004E5068"/>
    <w:rsid w:val="004F7A00"/>
    <w:rsid w:val="0050670E"/>
    <w:rsid w:val="005138D8"/>
    <w:rsid w:val="005144AB"/>
    <w:rsid w:val="00521372"/>
    <w:rsid w:val="00523F48"/>
    <w:rsid w:val="00525E33"/>
    <w:rsid w:val="00536307"/>
    <w:rsid w:val="005365FA"/>
    <w:rsid w:val="0054273E"/>
    <w:rsid w:val="0054527F"/>
    <w:rsid w:val="0054694C"/>
    <w:rsid w:val="0056320F"/>
    <w:rsid w:val="0057081B"/>
    <w:rsid w:val="005723CB"/>
    <w:rsid w:val="00575400"/>
    <w:rsid w:val="005A2DA7"/>
    <w:rsid w:val="005B18AF"/>
    <w:rsid w:val="005D1542"/>
    <w:rsid w:val="005D4C06"/>
    <w:rsid w:val="005D5A50"/>
    <w:rsid w:val="005F5301"/>
    <w:rsid w:val="005F65B7"/>
    <w:rsid w:val="00602E43"/>
    <w:rsid w:val="006067C7"/>
    <w:rsid w:val="006070F2"/>
    <w:rsid w:val="006159AD"/>
    <w:rsid w:val="00625B09"/>
    <w:rsid w:val="006359C2"/>
    <w:rsid w:val="00646436"/>
    <w:rsid w:val="00664420"/>
    <w:rsid w:val="00664930"/>
    <w:rsid w:val="006907D4"/>
    <w:rsid w:val="006A3FBD"/>
    <w:rsid w:val="006A646A"/>
    <w:rsid w:val="006B10B0"/>
    <w:rsid w:val="006B2B40"/>
    <w:rsid w:val="006B7A06"/>
    <w:rsid w:val="006E25BC"/>
    <w:rsid w:val="006E52BC"/>
    <w:rsid w:val="006E6BBC"/>
    <w:rsid w:val="006F7768"/>
    <w:rsid w:val="00711EEE"/>
    <w:rsid w:val="00717E59"/>
    <w:rsid w:val="007408BA"/>
    <w:rsid w:val="00743545"/>
    <w:rsid w:val="0076246C"/>
    <w:rsid w:val="00775BFC"/>
    <w:rsid w:val="00777C96"/>
    <w:rsid w:val="007A010B"/>
    <w:rsid w:val="007A3459"/>
    <w:rsid w:val="007A50EA"/>
    <w:rsid w:val="007A6BC2"/>
    <w:rsid w:val="007B5FF3"/>
    <w:rsid w:val="007B6074"/>
    <w:rsid w:val="007D1C55"/>
    <w:rsid w:val="007D317F"/>
    <w:rsid w:val="007D4835"/>
    <w:rsid w:val="007E348A"/>
    <w:rsid w:val="007E7168"/>
    <w:rsid w:val="007F5D06"/>
    <w:rsid w:val="00805A6E"/>
    <w:rsid w:val="00817DFB"/>
    <w:rsid w:val="00831F51"/>
    <w:rsid w:val="00842155"/>
    <w:rsid w:val="00865CF4"/>
    <w:rsid w:val="00876DBC"/>
    <w:rsid w:val="008906AE"/>
    <w:rsid w:val="008A0F15"/>
    <w:rsid w:val="008A6003"/>
    <w:rsid w:val="008A6F88"/>
    <w:rsid w:val="008B0A33"/>
    <w:rsid w:val="008B1E16"/>
    <w:rsid w:val="008B21A8"/>
    <w:rsid w:val="008E1316"/>
    <w:rsid w:val="00910FD2"/>
    <w:rsid w:val="00931437"/>
    <w:rsid w:val="00936E35"/>
    <w:rsid w:val="00947268"/>
    <w:rsid w:val="00953430"/>
    <w:rsid w:val="00970EB3"/>
    <w:rsid w:val="009816D3"/>
    <w:rsid w:val="009A2D78"/>
    <w:rsid w:val="009A7C10"/>
    <w:rsid w:val="009B2945"/>
    <w:rsid w:val="009D08E7"/>
    <w:rsid w:val="009E2DEE"/>
    <w:rsid w:val="009E377C"/>
    <w:rsid w:val="009E3A08"/>
    <w:rsid w:val="009E4232"/>
    <w:rsid w:val="009F797C"/>
    <w:rsid w:val="00A044E6"/>
    <w:rsid w:val="00A10CD5"/>
    <w:rsid w:val="00A10EDA"/>
    <w:rsid w:val="00A131AC"/>
    <w:rsid w:val="00A16D85"/>
    <w:rsid w:val="00A21A20"/>
    <w:rsid w:val="00A250F0"/>
    <w:rsid w:val="00A32B65"/>
    <w:rsid w:val="00A36A99"/>
    <w:rsid w:val="00A476B0"/>
    <w:rsid w:val="00A53315"/>
    <w:rsid w:val="00A70EF0"/>
    <w:rsid w:val="00A72431"/>
    <w:rsid w:val="00A90D2B"/>
    <w:rsid w:val="00A9208D"/>
    <w:rsid w:val="00AA6EA9"/>
    <w:rsid w:val="00AB553C"/>
    <w:rsid w:val="00AC2DB8"/>
    <w:rsid w:val="00AC3CA0"/>
    <w:rsid w:val="00AE3DA7"/>
    <w:rsid w:val="00AF03C4"/>
    <w:rsid w:val="00AF17D9"/>
    <w:rsid w:val="00AF5CF2"/>
    <w:rsid w:val="00B07044"/>
    <w:rsid w:val="00B22A80"/>
    <w:rsid w:val="00B271BA"/>
    <w:rsid w:val="00B362AD"/>
    <w:rsid w:val="00B36BEE"/>
    <w:rsid w:val="00B47761"/>
    <w:rsid w:val="00B52CF2"/>
    <w:rsid w:val="00B54794"/>
    <w:rsid w:val="00B668F1"/>
    <w:rsid w:val="00BA55A8"/>
    <w:rsid w:val="00BB2ABF"/>
    <w:rsid w:val="00BB5C93"/>
    <w:rsid w:val="00BB64F4"/>
    <w:rsid w:val="00BD3F4F"/>
    <w:rsid w:val="00BD5A7C"/>
    <w:rsid w:val="00BE612F"/>
    <w:rsid w:val="00BE7A1B"/>
    <w:rsid w:val="00BF0221"/>
    <w:rsid w:val="00BF091A"/>
    <w:rsid w:val="00BF4EAD"/>
    <w:rsid w:val="00BF7953"/>
    <w:rsid w:val="00C00302"/>
    <w:rsid w:val="00C049E2"/>
    <w:rsid w:val="00C238B6"/>
    <w:rsid w:val="00C322FE"/>
    <w:rsid w:val="00C325FC"/>
    <w:rsid w:val="00C36795"/>
    <w:rsid w:val="00C367BC"/>
    <w:rsid w:val="00C426E0"/>
    <w:rsid w:val="00C45658"/>
    <w:rsid w:val="00C461EC"/>
    <w:rsid w:val="00C507D4"/>
    <w:rsid w:val="00C6114B"/>
    <w:rsid w:val="00C71CEF"/>
    <w:rsid w:val="00C72DAA"/>
    <w:rsid w:val="00C80B14"/>
    <w:rsid w:val="00CB6EF9"/>
    <w:rsid w:val="00CB7E9A"/>
    <w:rsid w:val="00CC265D"/>
    <w:rsid w:val="00CD0B92"/>
    <w:rsid w:val="00CE0BCF"/>
    <w:rsid w:val="00CE29D3"/>
    <w:rsid w:val="00CE2E00"/>
    <w:rsid w:val="00CF2D8B"/>
    <w:rsid w:val="00CF7586"/>
    <w:rsid w:val="00D024E7"/>
    <w:rsid w:val="00D036D3"/>
    <w:rsid w:val="00D2790D"/>
    <w:rsid w:val="00D32D98"/>
    <w:rsid w:val="00D51ECD"/>
    <w:rsid w:val="00D6170E"/>
    <w:rsid w:val="00D671EC"/>
    <w:rsid w:val="00D865FF"/>
    <w:rsid w:val="00D91CB4"/>
    <w:rsid w:val="00D93B38"/>
    <w:rsid w:val="00D96755"/>
    <w:rsid w:val="00DB1C09"/>
    <w:rsid w:val="00DB2351"/>
    <w:rsid w:val="00DC573A"/>
    <w:rsid w:val="00DC7C0E"/>
    <w:rsid w:val="00DE1133"/>
    <w:rsid w:val="00E16BF5"/>
    <w:rsid w:val="00E32899"/>
    <w:rsid w:val="00E34DFA"/>
    <w:rsid w:val="00E37A3F"/>
    <w:rsid w:val="00E37D3C"/>
    <w:rsid w:val="00E40181"/>
    <w:rsid w:val="00E47DD2"/>
    <w:rsid w:val="00E60DB3"/>
    <w:rsid w:val="00E62E6A"/>
    <w:rsid w:val="00E70057"/>
    <w:rsid w:val="00E7081C"/>
    <w:rsid w:val="00E83EF5"/>
    <w:rsid w:val="00E87355"/>
    <w:rsid w:val="00E9335C"/>
    <w:rsid w:val="00EA4D22"/>
    <w:rsid w:val="00EA6EE7"/>
    <w:rsid w:val="00EC03E6"/>
    <w:rsid w:val="00ED1C1E"/>
    <w:rsid w:val="00EE08A3"/>
    <w:rsid w:val="00EE2AF2"/>
    <w:rsid w:val="00EE58D9"/>
    <w:rsid w:val="00F07EE6"/>
    <w:rsid w:val="00F13A31"/>
    <w:rsid w:val="00F1716C"/>
    <w:rsid w:val="00F21723"/>
    <w:rsid w:val="00F33CC8"/>
    <w:rsid w:val="00F43249"/>
    <w:rsid w:val="00F4481C"/>
    <w:rsid w:val="00F75D23"/>
    <w:rsid w:val="00F81BFE"/>
    <w:rsid w:val="00F863DE"/>
    <w:rsid w:val="00F874A9"/>
    <w:rsid w:val="00FA088B"/>
    <w:rsid w:val="00FA484E"/>
    <w:rsid w:val="00FA5957"/>
    <w:rsid w:val="00FC24D7"/>
    <w:rsid w:val="00FC3CE0"/>
    <w:rsid w:val="00FD06A8"/>
    <w:rsid w:val="00FD5C8E"/>
    <w:rsid w:val="00FD6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0B05F6"/>
    <w:pPr>
      <w:spacing w:line="240" w:lineRule="auto"/>
    </w:pPr>
    <w:rPr>
      <w:sz w:val="20"/>
    </w:rPr>
  </w:style>
  <w:style w:type="character" w:customStyle="1" w:styleId="TextonotapieCar">
    <w:name w:val="Texto nota pie Car"/>
    <w:basedOn w:val="Fuentedeprrafopredeter"/>
    <w:link w:val="Textonotapie"/>
    <w:uiPriority w:val="99"/>
    <w:semiHidden/>
    <w:rsid w:val="000B05F6"/>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0B05F6"/>
    <w:rPr>
      <w:vertAlign w:val="superscript"/>
    </w:rPr>
  </w:style>
  <w:style w:type="paragraph" w:customStyle="1" w:styleId="Texto">
    <w:name w:val="Texto"/>
    <w:basedOn w:val="Normal"/>
    <w:link w:val="TextoCar"/>
    <w:rsid w:val="000857D6"/>
    <w:pPr>
      <w:spacing w:after="101" w:line="216" w:lineRule="exact"/>
      <w:ind w:firstLine="288"/>
    </w:pPr>
    <w:rPr>
      <w:rFonts w:ascii="Arial" w:hAnsi="Arial" w:cs="Arial"/>
      <w:sz w:val="18"/>
      <w:lang w:val="es-ES"/>
    </w:rPr>
  </w:style>
  <w:style w:type="character" w:customStyle="1" w:styleId="TextoCar">
    <w:name w:val="Texto Car"/>
    <w:link w:val="Texto"/>
    <w:locked/>
    <w:rsid w:val="000857D6"/>
    <w:rPr>
      <w:rFonts w:ascii="Arial" w:eastAsia="Times New Roman" w:hAnsi="Arial" w:cs="Arial"/>
      <w:kern w:val="0"/>
      <w:sz w:val="18"/>
      <w:szCs w:val="20"/>
      <w:lang w:val="es-ES" w:eastAsia="es-ES"/>
      <w14:ligatures w14:val="none"/>
    </w:rPr>
  </w:style>
  <w:style w:type="paragraph" w:styleId="Textosinformato">
    <w:name w:val="Plain Text"/>
    <w:basedOn w:val="Normal"/>
    <w:link w:val="TextosinformatoCar"/>
    <w:rsid w:val="000857D6"/>
    <w:pPr>
      <w:spacing w:line="240" w:lineRule="auto"/>
      <w:jc w:val="left"/>
    </w:pPr>
    <w:rPr>
      <w:rFonts w:ascii="Courier New" w:hAnsi="Courier New"/>
      <w:sz w:val="20"/>
      <w:lang w:val="es-ES"/>
    </w:rPr>
  </w:style>
  <w:style w:type="character" w:customStyle="1" w:styleId="TextosinformatoCar">
    <w:name w:val="Texto sin formato Car"/>
    <w:basedOn w:val="Fuentedeprrafopredeter"/>
    <w:link w:val="Textosinformato"/>
    <w:rsid w:val="000857D6"/>
    <w:rPr>
      <w:rFonts w:ascii="Courier New" w:eastAsia="Times New Roman" w:hAnsi="Courier New"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19">
      <w:bodyDiv w:val="1"/>
      <w:marLeft w:val="0"/>
      <w:marRight w:val="0"/>
      <w:marTop w:val="0"/>
      <w:marBottom w:val="0"/>
      <w:divBdr>
        <w:top w:val="none" w:sz="0" w:space="0" w:color="auto"/>
        <w:left w:val="none" w:sz="0" w:space="0" w:color="auto"/>
        <w:bottom w:val="none" w:sz="0" w:space="0" w:color="auto"/>
        <w:right w:val="none" w:sz="0" w:space="0" w:color="auto"/>
      </w:divBdr>
    </w:div>
    <w:div w:id="6635098">
      <w:bodyDiv w:val="1"/>
      <w:marLeft w:val="0"/>
      <w:marRight w:val="0"/>
      <w:marTop w:val="0"/>
      <w:marBottom w:val="0"/>
      <w:divBdr>
        <w:top w:val="none" w:sz="0" w:space="0" w:color="auto"/>
        <w:left w:val="none" w:sz="0" w:space="0" w:color="auto"/>
        <w:bottom w:val="none" w:sz="0" w:space="0" w:color="auto"/>
        <w:right w:val="none" w:sz="0" w:space="0" w:color="auto"/>
      </w:divBdr>
    </w:div>
    <w:div w:id="43412406">
      <w:bodyDiv w:val="1"/>
      <w:marLeft w:val="0"/>
      <w:marRight w:val="0"/>
      <w:marTop w:val="0"/>
      <w:marBottom w:val="0"/>
      <w:divBdr>
        <w:top w:val="none" w:sz="0" w:space="0" w:color="auto"/>
        <w:left w:val="none" w:sz="0" w:space="0" w:color="auto"/>
        <w:bottom w:val="none" w:sz="0" w:space="0" w:color="auto"/>
        <w:right w:val="none" w:sz="0" w:space="0" w:color="auto"/>
      </w:divBdr>
    </w:div>
    <w:div w:id="495850566">
      <w:bodyDiv w:val="1"/>
      <w:marLeft w:val="0"/>
      <w:marRight w:val="0"/>
      <w:marTop w:val="0"/>
      <w:marBottom w:val="0"/>
      <w:divBdr>
        <w:top w:val="none" w:sz="0" w:space="0" w:color="auto"/>
        <w:left w:val="none" w:sz="0" w:space="0" w:color="auto"/>
        <w:bottom w:val="none" w:sz="0" w:space="0" w:color="auto"/>
        <w:right w:val="none" w:sz="0" w:space="0" w:color="auto"/>
      </w:divBdr>
    </w:div>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116099120">
      <w:bodyDiv w:val="1"/>
      <w:marLeft w:val="0"/>
      <w:marRight w:val="0"/>
      <w:marTop w:val="0"/>
      <w:marBottom w:val="0"/>
      <w:divBdr>
        <w:top w:val="none" w:sz="0" w:space="0" w:color="auto"/>
        <w:left w:val="none" w:sz="0" w:space="0" w:color="auto"/>
        <w:bottom w:val="none" w:sz="0" w:space="0" w:color="auto"/>
        <w:right w:val="none" w:sz="0" w:space="0" w:color="auto"/>
      </w:divBdr>
    </w:div>
    <w:div w:id="1263611536">
      <w:bodyDiv w:val="1"/>
      <w:marLeft w:val="0"/>
      <w:marRight w:val="0"/>
      <w:marTop w:val="0"/>
      <w:marBottom w:val="0"/>
      <w:divBdr>
        <w:top w:val="none" w:sz="0" w:space="0" w:color="auto"/>
        <w:left w:val="none" w:sz="0" w:space="0" w:color="auto"/>
        <w:bottom w:val="none" w:sz="0" w:space="0" w:color="auto"/>
        <w:right w:val="none" w:sz="0" w:space="0" w:color="auto"/>
      </w:divBdr>
    </w:div>
    <w:div w:id="1364747672">
      <w:bodyDiv w:val="1"/>
      <w:marLeft w:val="0"/>
      <w:marRight w:val="0"/>
      <w:marTop w:val="0"/>
      <w:marBottom w:val="0"/>
      <w:divBdr>
        <w:top w:val="none" w:sz="0" w:space="0" w:color="auto"/>
        <w:left w:val="none" w:sz="0" w:space="0" w:color="auto"/>
        <w:bottom w:val="none" w:sz="0" w:space="0" w:color="auto"/>
        <w:right w:val="none" w:sz="0" w:space="0" w:color="auto"/>
      </w:divBdr>
      <w:divsChild>
        <w:div w:id="186871770">
          <w:marLeft w:val="0"/>
          <w:marRight w:val="0"/>
          <w:marTop w:val="0"/>
          <w:marBottom w:val="0"/>
          <w:divBdr>
            <w:top w:val="none" w:sz="0" w:space="0" w:color="auto"/>
            <w:left w:val="none" w:sz="0" w:space="0" w:color="auto"/>
            <w:bottom w:val="none" w:sz="0" w:space="0" w:color="auto"/>
            <w:right w:val="none" w:sz="0" w:space="0" w:color="auto"/>
          </w:divBdr>
        </w:div>
      </w:divsChild>
    </w:div>
    <w:div w:id="1664965492">
      <w:bodyDiv w:val="1"/>
      <w:marLeft w:val="0"/>
      <w:marRight w:val="0"/>
      <w:marTop w:val="0"/>
      <w:marBottom w:val="0"/>
      <w:divBdr>
        <w:top w:val="none" w:sz="0" w:space="0" w:color="auto"/>
        <w:left w:val="none" w:sz="0" w:space="0" w:color="auto"/>
        <w:bottom w:val="none" w:sz="0" w:space="0" w:color="auto"/>
        <w:right w:val="none" w:sz="0" w:space="0" w:color="auto"/>
      </w:divBdr>
    </w:div>
    <w:div w:id="1731268905">
      <w:bodyDiv w:val="1"/>
      <w:marLeft w:val="0"/>
      <w:marRight w:val="0"/>
      <w:marTop w:val="0"/>
      <w:marBottom w:val="0"/>
      <w:divBdr>
        <w:top w:val="none" w:sz="0" w:space="0" w:color="auto"/>
        <w:left w:val="none" w:sz="0" w:space="0" w:color="auto"/>
        <w:bottom w:val="none" w:sz="0" w:space="0" w:color="auto"/>
        <w:right w:val="none" w:sz="0" w:space="0" w:color="auto"/>
      </w:divBdr>
    </w:div>
    <w:div w:id="1762919275">
      <w:bodyDiv w:val="1"/>
      <w:marLeft w:val="0"/>
      <w:marRight w:val="0"/>
      <w:marTop w:val="0"/>
      <w:marBottom w:val="0"/>
      <w:divBdr>
        <w:top w:val="none" w:sz="0" w:space="0" w:color="auto"/>
        <w:left w:val="none" w:sz="0" w:space="0" w:color="auto"/>
        <w:bottom w:val="none" w:sz="0" w:space="0" w:color="auto"/>
        <w:right w:val="none" w:sz="0" w:space="0" w:color="auto"/>
      </w:divBdr>
    </w:div>
    <w:div w:id="1876235452">
      <w:bodyDiv w:val="1"/>
      <w:marLeft w:val="0"/>
      <w:marRight w:val="0"/>
      <w:marTop w:val="0"/>
      <w:marBottom w:val="0"/>
      <w:divBdr>
        <w:top w:val="none" w:sz="0" w:space="0" w:color="auto"/>
        <w:left w:val="none" w:sz="0" w:space="0" w:color="auto"/>
        <w:bottom w:val="none" w:sz="0" w:space="0" w:color="auto"/>
        <w:right w:val="none" w:sz="0" w:space="0" w:color="auto"/>
      </w:divBdr>
    </w:div>
    <w:div w:id="19247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EE787-3D5C-403A-BDC2-C3D4FB52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11578</Words>
  <Characters>63681</Characters>
  <Application>Microsoft Office Word</Application>
  <DocSecurity>0</DocSecurity>
  <Lines>530</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2024-12-13T19:58:00Z</cp:lastPrinted>
  <dcterms:created xsi:type="dcterms:W3CDTF">2024-12-09T21:23:00Z</dcterms:created>
  <dcterms:modified xsi:type="dcterms:W3CDTF">2025-01-22T21:16:00Z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