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6A4EF1" w:rsidRDefault="00AE3DA7" w:rsidP="006A4EF1">
          <w:pPr>
            <w:pStyle w:val="TtulodeTDC"/>
            <w:spacing w:before="0" w:line="240" w:lineRule="auto"/>
            <w:rPr>
              <w:rFonts w:ascii="Palatino Linotype" w:hAnsi="Palatino Linotype"/>
              <w:color w:val="auto"/>
              <w:sz w:val="22"/>
              <w:szCs w:val="22"/>
              <w:lang w:val="es-ES"/>
            </w:rPr>
          </w:pPr>
          <w:r w:rsidRPr="006A4EF1">
            <w:rPr>
              <w:rFonts w:ascii="Palatino Linotype" w:hAnsi="Palatino Linotype"/>
              <w:color w:val="auto"/>
              <w:sz w:val="22"/>
              <w:szCs w:val="22"/>
              <w:lang w:val="es-ES"/>
            </w:rPr>
            <w:t>Contenido</w:t>
          </w:r>
        </w:p>
        <w:p w14:paraId="3EB312A7" w14:textId="77777777" w:rsidR="00AA6EA9" w:rsidRPr="006A4EF1" w:rsidRDefault="00AA6EA9" w:rsidP="006A4EF1">
          <w:pPr>
            <w:spacing w:line="240" w:lineRule="auto"/>
            <w:rPr>
              <w:szCs w:val="22"/>
              <w:lang w:val="es-ES" w:eastAsia="es-MX"/>
            </w:rPr>
          </w:pPr>
        </w:p>
        <w:p w14:paraId="4CFEBCB8" w14:textId="32741327" w:rsidR="006A4EF1" w:rsidRPr="006A4EF1" w:rsidRDefault="00AE3DA7" w:rsidP="006A4EF1">
          <w:pPr>
            <w:pStyle w:val="TDC1"/>
            <w:tabs>
              <w:tab w:val="right" w:leader="dot" w:pos="9034"/>
            </w:tabs>
            <w:rPr>
              <w:rFonts w:asciiTheme="minorHAnsi" w:eastAsiaTheme="minorEastAsia" w:hAnsiTheme="minorHAnsi" w:cstheme="minorBidi"/>
              <w:noProof/>
              <w:szCs w:val="22"/>
              <w:lang w:eastAsia="es-MX"/>
            </w:rPr>
          </w:pPr>
          <w:r w:rsidRPr="006A4EF1">
            <w:rPr>
              <w:szCs w:val="22"/>
            </w:rPr>
            <w:fldChar w:fldCharType="begin"/>
          </w:r>
          <w:r w:rsidRPr="006A4EF1">
            <w:rPr>
              <w:szCs w:val="22"/>
            </w:rPr>
            <w:instrText xml:space="preserve"> TOC \o "1-3" \h \z \u </w:instrText>
          </w:r>
          <w:r w:rsidRPr="006A4EF1">
            <w:rPr>
              <w:szCs w:val="22"/>
            </w:rPr>
            <w:fldChar w:fldCharType="separate"/>
          </w:r>
          <w:hyperlink w:anchor="_Toc180061380" w:history="1">
            <w:r w:rsidR="006A4EF1" w:rsidRPr="006A4EF1">
              <w:rPr>
                <w:rStyle w:val="Hipervnculo"/>
                <w:noProof/>
                <w:color w:val="auto"/>
              </w:rPr>
              <w:t>ANTECEDENTES</w:t>
            </w:r>
            <w:r w:rsidR="006A4EF1" w:rsidRPr="006A4EF1">
              <w:rPr>
                <w:noProof/>
                <w:webHidden/>
              </w:rPr>
              <w:tab/>
            </w:r>
            <w:r w:rsidR="006A4EF1" w:rsidRPr="006A4EF1">
              <w:rPr>
                <w:noProof/>
                <w:webHidden/>
              </w:rPr>
              <w:fldChar w:fldCharType="begin"/>
            </w:r>
            <w:r w:rsidR="006A4EF1" w:rsidRPr="006A4EF1">
              <w:rPr>
                <w:noProof/>
                <w:webHidden/>
              </w:rPr>
              <w:instrText xml:space="preserve"> PAGEREF _Toc180061380 \h </w:instrText>
            </w:r>
            <w:r w:rsidR="006A4EF1" w:rsidRPr="006A4EF1">
              <w:rPr>
                <w:noProof/>
                <w:webHidden/>
              </w:rPr>
            </w:r>
            <w:r w:rsidR="006A4EF1" w:rsidRPr="006A4EF1">
              <w:rPr>
                <w:noProof/>
                <w:webHidden/>
              </w:rPr>
              <w:fldChar w:fldCharType="separate"/>
            </w:r>
            <w:r w:rsidR="00D74A7D">
              <w:rPr>
                <w:noProof/>
                <w:webHidden/>
              </w:rPr>
              <w:t>1</w:t>
            </w:r>
            <w:r w:rsidR="006A4EF1" w:rsidRPr="006A4EF1">
              <w:rPr>
                <w:noProof/>
                <w:webHidden/>
              </w:rPr>
              <w:fldChar w:fldCharType="end"/>
            </w:r>
          </w:hyperlink>
        </w:p>
        <w:p w14:paraId="639ACFC2" w14:textId="15F1AA2E" w:rsidR="006A4EF1" w:rsidRPr="006A4EF1" w:rsidRDefault="009A2272" w:rsidP="006A4EF1">
          <w:pPr>
            <w:pStyle w:val="TDC2"/>
            <w:rPr>
              <w:rFonts w:asciiTheme="minorHAnsi" w:eastAsiaTheme="minorEastAsia" w:hAnsiTheme="minorHAnsi" w:cstheme="minorBidi"/>
              <w:noProof/>
              <w:szCs w:val="22"/>
              <w:lang w:eastAsia="es-MX"/>
            </w:rPr>
          </w:pPr>
          <w:hyperlink w:anchor="_Toc180061381" w:history="1">
            <w:r w:rsidR="006A4EF1" w:rsidRPr="006A4EF1">
              <w:rPr>
                <w:rStyle w:val="Hipervnculo"/>
                <w:noProof/>
                <w:color w:val="auto"/>
              </w:rPr>
              <w:t>DE LA SOLICITUD DE INFORMACIÓN</w:t>
            </w:r>
            <w:r w:rsidR="006A4EF1" w:rsidRPr="006A4EF1">
              <w:rPr>
                <w:noProof/>
                <w:webHidden/>
              </w:rPr>
              <w:tab/>
            </w:r>
            <w:r w:rsidR="006A4EF1" w:rsidRPr="006A4EF1">
              <w:rPr>
                <w:noProof/>
                <w:webHidden/>
              </w:rPr>
              <w:fldChar w:fldCharType="begin"/>
            </w:r>
            <w:r w:rsidR="006A4EF1" w:rsidRPr="006A4EF1">
              <w:rPr>
                <w:noProof/>
                <w:webHidden/>
              </w:rPr>
              <w:instrText xml:space="preserve"> PAGEREF _Toc180061381 \h </w:instrText>
            </w:r>
            <w:r w:rsidR="006A4EF1" w:rsidRPr="006A4EF1">
              <w:rPr>
                <w:noProof/>
                <w:webHidden/>
              </w:rPr>
            </w:r>
            <w:r w:rsidR="006A4EF1" w:rsidRPr="006A4EF1">
              <w:rPr>
                <w:noProof/>
                <w:webHidden/>
              </w:rPr>
              <w:fldChar w:fldCharType="separate"/>
            </w:r>
            <w:r w:rsidR="00D74A7D">
              <w:rPr>
                <w:noProof/>
                <w:webHidden/>
              </w:rPr>
              <w:t>1</w:t>
            </w:r>
            <w:r w:rsidR="006A4EF1" w:rsidRPr="006A4EF1">
              <w:rPr>
                <w:noProof/>
                <w:webHidden/>
              </w:rPr>
              <w:fldChar w:fldCharType="end"/>
            </w:r>
          </w:hyperlink>
        </w:p>
        <w:p w14:paraId="45213B6A" w14:textId="3B800780" w:rsidR="006A4EF1" w:rsidRPr="006A4EF1" w:rsidRDefault="009A2272" w:rsidP="006A4EF1">
          <w:pPr>
            <w:pStyle w:val="TDC3"/>
            <w:rPr>
              <w:rFonts w:asciiTheme="minorHAnsi" w:eastAsiaTheme="minorEastAsia" w:hAnsiTheme="minorHAnsi" w:cstheme="minorBidi"/>
              <w:noProof/>
              <w:szCs w:val="22"/>
              <w:lang w:eastAsia="es-MX"/>
            </w:rPr>
          </w:pPr>
          <w:hyperlink w:anchor="_Toc180061382" w:history="1">
            <w:r w:rsidR="006A4EF1" w:rsidRPr="006A4EF1">
              <w:rPr>
                <w:rStyle w:val="Hipervnculo"/>
                <w:noProof/>
                <w:color w:val="auto"/>
              </w:rPr>
              <w:t>a) Solicitud de información</w:t>
            </w:r>
            <w:r w:rsidR="006A4EF1" w:rsidRPr="006A4EF1">
              <w:rPr>
                <w:noProof/>
                <w:webHidden/>
              </w:rPr>
              <w:tab/>
            </w:r>
            <w:r w:rsidR="006A4EF1" w:rsidRPr="006A4EF1">
              <w:rPr>
                <w:noProof/>
                <w:webHidden/>
              </w:rPr>
              <w:fldChar w:fldCharType="begin"/>
            </w:r>
            <w:r w:rsidR="006A4EF1" w:rsidRPr="006A4EF1">
              <w:rPr>
                <w:noProof/>
                <w:webHidden/>
              </w:rPr>
              <w:instrText xml:space="preserve"> PAGEREF _Toc180061382 \h </w:instrText>
            </w:r>
            <w:r w:rsidR="006A4EF1" w:rsidRPr="006A4EF1">
              <w:rPr>
                <w:noProof/>
                <w:webHidden/>
              </w:rPr>
            </w:r>
            <w:r w:rsidR="006A4EF1" w:rsidRPr="006A4EF1">
              <w:rPr>
                <w:noProof/>
                <w:webHidden/>
              </w:rPr>
              <w:fldChar w:fldCharType="separate"/>
            </w:r>
            <w:r w:rsidR="00D74A7D">
              <w:rPr>
                <w:noProof/>
                <w:webHidden/>
              </w:rPr>
              <w:t>1</w:t>
            </w:r>
            <w:r w:rsidR="006A4EF1" w:rsidRPr="006A4EF1">
              <w:rPr>
                <w:noProof/>
                <w:webHidden/>
              </w:rPr>
              <w:fldChar w:fldCharType="end"/>
            </w:r>
          </w:hyperlink>
        </w:p>
        <w:p w14:paraId="26F1279A" w14:textId="692F0EE3" w:rsidR="006A4EF1" w:rsidRPr="006A4EF1" w:rsidRDefault="009A2272" w:rsidP="006A4EF1">
          <w:pPr>
            <w:pStyle w:val="TDC3"/>
            <w:rPr>
              <w:rFonts w:asciiTheme="minorHAnsi" w:eastAsiaTheme="minorEastAsia" w:hAnsiTheme="minorHAnsi" w:cstheme="minorBidi"/>
              <w:noProof/>
              <w:szCs w:val="22"/>
              <w:lang w:eastAsia="es-MX"/>
            </w:rPr>
          </w:pPr>
          <w:hyperlink w:anchor="_Toc180061383" w:history="1">
            <w:r w:rsidR="006A4EF1" w:rsidRPr="006A4EF1">
              <w:rPr>
                <w:rStyle w:val="Hipervnculo"/>
                <w:noProof/>
                <w:color w:val="auto"/>
              </w:rPr>
              <w:t xml:space="preserve">b) </w:t>
            </w:r>
            <w:r w:rsidR="006A4EF1" w:rsidRPr="006A4EF1">
              <w:rPr>
                <w:rStyle w:val="Hipervnculo"/>
                <w:bCs/>
                <w:noProof/>
                <w:color w:val="auto"/>
              </w:rPr>
              <w:t>Solicitud de aclaración</w:t>
            </w:r>
            <w:r w:rsidR="006A4EF1" w:rsidRPr="006A4EF1">
              <w:rPr>
                <w:noProof/>
                <w:webHidden/>
              </w:rPr>
              <w:tab/>
            </w:r>
            <w:r w:rsidR="006A4EF1" w:rsidRPr="006A4EF1">
              <w:rPr>
                <w:noProof/>
                <w:webHidden/>
              </w:rPr>
              <w:fldChar w:fldCharType="begin"/>
            </w:r>
            <w:r w:rsidR="006A4EF1" w:rsidRPr="006A4EF1">
              <w:rPr>
                <w:noProof/>
                <w:webHidden/>
              </w:rPr>
              <w:instrText xml:space="preserve"> PAGEREF _Toc180061383 \h </w:instrText>
            </w:r>
            <w:r w:rsidR="006A4EF1" w:rsidRPr="006A4EF1">
              <w:rPr>
                <w:noProof/>
                <w:webHidden/>
              </w:rPr>
            </w:r>
            <w:r w:rsidR="006A4EF1" w:rsidRPr="006A4EF1">
              <w:rPr>
                <w:noProof/>
                <w:webHidden/>
              </w:rPr>
              <w:fldChar w:fldCharType="separate"/>
            </w:r>
            <w:r w:rsidR="00D74A7D">
              <w:rPr>
                <w:noProof/>
                <w:webHidden/>
              </w:rPr>
              <w:t>2</w:t>
            </w:r>
            <w:r w:rsidR="006A4EF1" w:rsidRPr="006A4EF1">
              <w:rPr>
                <w:noProof/>
                <w:webHidden/>
              </w:rPr>
              <w:fldChar w:fldCharType="end"/>
            </w:r>
          </w:hyperlink>
        </w:p>
        <w:p w14:paraId="0C890D79" w14:textId="4851BFE9" w:rsidR="006A4EF1" w:rsidRPr="006A4EF1" w:rsidRDefault="009A2272" w:rsidP="006A4EF1">
          <w:pPr>
            <w:pStyle w:val="TDC3"/>
            <w:rPr>
              <w:rFonts w:asciiTheme="minorHAnsi" w:eastAsiaTheme="minorEastAsia" w:hAnsiTheme="minorHAnsi" w:cstheme="minorBidi"/>
              <w:noProof/>
              <w:szCs w:val="22"/>
              <w:lang w:eastAsia="es-MX"/>
            </w:rPr>
          </w:pPr>
          <w:hyperlink w:anchor="_Toc180061384" w:history="1">
            <w:r w:rsidR="006A4EF1" w:rsidRPr="006A4EF1">
              <w:rPr>
                <w:rStyle w:val="Hipervnculo"/>
                <w:noProof/>
                <w:color w:val="auto"/>
              </w:rPr>
              <w:t xml:space="preserve">c) </w:t>
            </w:r>
            <w:r w:rsidR="006A4EF1" w:rsidRPr="006A4EF1">
              <w:rPr>
                <w:rStyle w:val="Hipervnculo"/>
                <w:bCs/>
                <w:noProof/>
                <w:color w:val="auto"/>
              </w:rPr>
              <w:t>Turno de la solicitud de información</w:t>
            </w:r>
            <w:r w:rsidR="006A4EF1" w:rsidRPr="006A4EF1">
              <w:rPr>
                <w:noProof/>
                <w:webHidden/>
              </w:rPr>
              <w:tab/>
            </w:r>
            <w:r w:rsidR="006A4EF1" w:rsidRPr="006A4EF1">
              <w:rPr>
                <w:noProof/>
                <w:webHidden/>
              </w:rPr>
              <w:fldChar w:fldCharType="begin"/>
            </w:r>
            <w:r w:rsidR="006A4EF1" w:rsidRPr="006A4EF1">
              <w:rPr>
                <w:noProof/>
                <w:webHidden/>
              </w:rPr>
              <w:instrText xml:space="preserve"> PAGEREF _Toc180061384 \h </w:instrText>
            </w:r>
            <w:r w:rsidR="006A4EF1" w:rsidRPr="006A4EF1">
              <w:rPr>
                <w:noProof/>
                <w:webHidden/>
              </w:rPr>
            </w:r>
            <w:r w:rsidR="006A4EF1" w:rsidRPr="006A4EF1">
              <w:rPr>
                <w:noProof/>
                <w:webHidden/>
              </w:rPr>
              <w:fldChar w:fldCharType="separate"/>
            </w:r>
            <w:r w:rsidR="00D74A7D">
              <w:rPr>
                <w:noProof/>
                <w:webHidden/>
              </w:rPr>
              <w:t>2</w:t>
            </w:r>
            <w:r w:rsidR="006A4EF1" w:rsidRPr="006A4EF1">
              <w:rPr>
                <w:noProof/>
                <w:webHidden/>
              </w:rPr>
              <w:fldChar w:fldCharType="end"/>
            </w:r>
          </w:hyperlink>
        </w:p>
        <w:p w14:paraId="00D69C39" w14:textId="1F70D707" w:rsidR="006A4EF1" w:rsidRPr="006A4EF1" w:rsidRDefault="009A2272" w:rsidP="006A4EF1">
          <w:pPr>
            <w:pStyle w:val="TDC3"/>
            <w:rPr>
              <w:rFonts w:asciiTheme="minorHAnsi" w:eastAsiaTheme="minorEastAsia" w:hAnsiTheme="minorHAnsi" w:cstheme="minorBidi"/>
              <w:noProof/>
              <w:szCs w:val="22"/>
              <w:lang w:eastAsia="es-MX"/>
            </w:rPr>
          </w:pPr>
          <w:hyperlink w:anchor="_Toc180061385" w:history="1">
            <w:r w:rsidR="006A4EF1" w:rsidRPr="006A4EF1">
              <w:rPr>
                <w:rStyle w:val="Hipervnculo"/>
                <w:noProof/>
                <w:color w:val="auto"/>
              </w:rPr>
              <w:t>d) Prórroga</w:t>
            </w:r>
            <w:r w:rsidR="006A4EF1" w:rsidRPr="006A4EF1">
              <w:rPr>
                <w:noProof/>
                <w:webHidden/>
              </w:rPr>
              <w:tab/>
            </w:r>
            <w:r w:rsidR="006A4EF1" w:rsidRPr="006A4EF1">
              <w:rPr>
                <w:noProof/>
                <w:webHidden/>
              </w:rPr>
              <w:fldChar w:fldCharType="begin"/>
            </w:r>
            <w:r w:rsidR="006A4EF1" w:rsidRPr="006A4EF1">
              <w:rPr>
                <w:noProof/>
                <w:webHidden/>
              </w:rPr>
              <w:instrText xml:space="preserve"> PAGEREF _Toc180061385 \h </w:instrText>
            </w:r>
            <w:r w:rsidR="006A4EF1" w:rsidRPr="006A4EF1">
              <w:rPr>
                <w:noProof/>
                <w:webHidden/>
              </w:rPr>
            </w:r>
            <w:r w:rsidR="006A4EF1" w:rsidRPr="006A4EF1">
              <w:rPr>
                <w:noProof/>
                <w:webHidden/>
              </w:rPr>
              <w:fldChar w:fldCharType="separate"/>
            </w:r>
            <w:r w:rsidR="00D74A7D">
              <w:rPr>
                <w:noProof/>
                <w:webHidden/>
              </w:rPr>
              <w:t>3</w:t>
            </w:r>
            <w:r w:rsidR="006A4EF1" w:rsidRPr="006A4EF1">
              <w:rPr>
                <w:noProof/>
                <w:webHidden/>
              </w:rPr>
              <w:fldChar w:fldCharType="end"/>
            </w:r>
          </w:hyperlink>
        </w:p>
        <w:p w14:paraId="4433F233" w14:textId="57EFE530" w:rsidR="006A4EF1" w:rsidRPr="006A4EF1" w:rsidRDefault="009A2272" w:rsidP="006A4EF1">
          <w:pPr>
            <w:pStyle w:val="TDC3"/>
            <w:rPr>
              <w:rFonts w:asciiTheme="minorHAnsi" w:eastAsiaTheme="minorEastAsia" w:hAnsiTheme="minorHAnsi" w:cstheme="minorBidi"/>
              <w:noProof/>
              <w:szCs w:val="22"/>
              <w:lang w:eastAsia="es-MX"/>
            </w:rPr>
          </w:pPr>
          <w:hyperlink w:anchor="_Toc180061386" w:history="1">
            <w:r w:rsidR="006A4EF1" w:rsidRPr="006A4EF1">
              <w:rPr>
                <w:rStyle w:val="Hipervnculo"/>
                <w:noProof/>
                <w:color w:val="auto"/>
                <w:lang w:val="es-ES"/>
              </w:rPr>
              <w:t xml:space="preserve">e) Respuesta </w:t>
            </w:r>
            <w:r w:rsidR="006A4EF1" w:rsidRPr="006A4EF1">
              <w:rPr>
                <w:rStyle w:val="Hipervnculo"/>
                <w:rFonts w:eastAsia="Calibri"/>
                <w:noProof/>
                <w:color w:val="auto"/>
                <w:lang w:eastAsia="en-US"/>
              </w:rPr>
              <w:t>del Sujeto Obligado</w:t>
            </w:r>
            <w:r w:rsidR="006A4EF1" w:rsidRPr="006A4EF1">
              <w:rPr>
                <w:noProof/>
                <w:webHidden/>
              </w:rPr>
              <w:tab/>
            </w:r>
            <w:r w:rsidR="006A4EF1" w:rsidRPr="006A4EF1">
              <w:rPr>
                <w:noProof/>
                <w:webHidden/>
              </w:rPr>
              <w:fldChar w:fldCharType="begin"/>
            </w:r>
            <w:r w:rsidR="006A4EF1" w:rsidRPr="006A4EF1">
              <w:rPr>
                <w:noProof/>
                <w:webHidden/>
              </w:rPr>
              <w:instrText xml:space="preserve"> PAGEREF _Toc180061386 \h </w:instrText>
            </w:r>
            <w:r w:rsidR="006A4EF1" w:rsidRPr="006A4EF1">
              <w:rPr>
                <w:noProof/>
                <w:webHidden/>
              </w:rPr>
            </w:r>
            <w:r w:rsidR="006A4EF1" w:rsidRPr="006A4EF1">
              <w:rPr>
                <w:noProof/>
                <w:webHidden/>
              </w:rPr>
              <w:fldChar w:fldCharType="separate"/>
            </w:r>
            <w:r w:rsidR="00D74A7D">
              <w:rPr>
                <w:noProof/>
                <w:webHidden/>
              </w:rPr>
              <w:t>3</w:t>
            </w:r>
            <w:r w:rsidR="006A4EF1" w:rsidRPr="006A4EF1">
              <w:rPr>
                <w:noProof/>
                <w:webHidden/>
              </w:rPr>
              <w:fldChar w:fldCharType="end"/>
            </w:r>
          </w:hyperlink>
        </w:p>
        <w:p w14:paraId="17DF70EA" w14:textId="56F6338F" w:rsidR="006A4EF1" w:rsidRPr="006A4EF1" w:rsidRDefault="009A2272" w:rsidP="006A4EF1">
          <w:pPr>
            <w:pStyle w:val="TDC2"/>
            <w:rPr>
              <w:rFonts w:asciiTheme="minorHAnsi" w:eastAsiaTheme="minorEastAsia" w:hAnsiTheme="minorHAnsi" w:cstheme="minorBidi"/>
              <w:noProof/>
              <w:szCs w:val="22"/>
              <w:lang w:eastAsia="es-MX"/>
            </w:rPr>
          </w:pPr>
          <w:hyperlink w:anchor="_Toc180061387" w:history="1">
            <w:r w:rsidR="006A4EF1" w:rsidRPr="006A4EF1">
              <w:rPr>
                <w:rStyle w:val="Hipervnculo"/>
                <w:noProof/>
                <w:color w:val="auto"/>
              </w:rPr>
              <w:t>DEL RECURSO DE REVISIÓN</w:t>
            </w:r>
            <w:r w:rsidR="006A4EF1" w:rsidRPr="006A4EF1">
              <w:rPr>
                <w:noProof/>
                <w:webHidden/>
              </w:rPr>
              <w:tab/>
            </w:r>
            <w:r w:rsidR="006A4EF1" w:rsidRPr="006A4EF1">
              <w:rPr>
                <w:noProof/>
                <w:webHidden/>
              </w:rPr>
              <w:fldChar w:fldCharType="begin"/>
            </w:r>
            <w:r w:rsidR="006A4EF1" w:rsidRPr="006A4EF1">
              <w:rPr>
                <w:noProof/>
                <w:webHidden/>
              </w:rPr>
              <w:instrText xml:space="preserve"> PAGEREF _Toc180061387 \h </w:instrText>
            </w:r>
            <w:r w:rsidR="006A4EF1" w:rsidRPr="006A4EF1">
              <w:rPr>
                <w:noProof/>
                <w:webHidden/>
              </w:rPr>
            </w:r>
            <w:r w:rsidR="006A4EF1" w:rsidRPr="006A4EF1">
              <w:rPr>
                <w:noProof/>
                <w:webHidden/>
              </w:rPr>
              <w:fldChar w:fldCharType="separate"/>
            </w:r>
            <w:r w:rsidR="00D74A7D">
              <w:rPr>
                <w:noProof/>
                <w:webHidden/>
              </w:rPr>
              <w:t>4</w:t>
            </w:r>
            <w:r w:rsidR="006A4EF1" w:rsidRPr="006A4EF1">
              <w:rPr>
                <w:noProof/>
                <w:webHidden/>
              </w:rPr>
              <w:fldChar w:fldCharType="end"/>
            </w:r>
          </w:hyperlink>
        </w:p>
        <w:p w14:paraId="71FB6C8A" w14:textId="45343FB9" w:rsidR="006A4EF1" w:rsidRPr="006A4EF1" w:rsidRDefault="009A2272" w:rsidP="006A4EF1">
          <w:pPr>
            <w:pStyle w:val="TDC3"/>
            <w:rPr>
              <w:rFonts w:asciiTheme="minorHAnsi" w:eastAsiaTheme="minorEastAsia" w:hAnsiTheme="minorHAnsi" w:cstheme="minorBidi"/>
              <w:noProof/>
              <w:szCs w:val="22"/>
              <w:lang w:eastAsia="es-MX"/>
            </w:rPr>
          </w:pPr>
          <w:hyperlink w:anchor="_Toc180061388" w:history="1">
            <w:r w:rsidR="006A4EF1" w:rsidRPr="006A4EF1">
              <w:rPr>
                <w:rStyle w:val="Hipervnculo"/>
                <w:noProof/>
                <w:color w:val="auto"/>
              </w:rPr>
              <w:t>a) Interposición del Recurso de Revisión</w:t>
            </w:r>
            <w:r w:rsidR="006A4EF1" w:rsidRPr="006A4EF1">
              <w:rPr>
                <w:noProof/>
                <w:webHidden/>
              </w:rPr>
              <w:tab/>
            </w:r>
            <w:r w:rsidR="006A4EF1" w:rsidRPr="006A4EF1">
              <w:rPr>
                <w:noProof/>
                <w:webHidden/>
              </w:rPr>
              <w:fldChar w:fldCharType="begin"/>
            </w:r>
            <w:r w:rsidR="006A4EF1" w:rsidRPr="006A4EF1">
              <w:rPr>
                <w:noProof/>
                <w:webHidden/>
              </w:rPr>
              <w:instrText xml:space="preserve"> PAGEREF _Toc180061388 \h </w:instrText>
            </w:r>
            <w:r w:rsidR="006A4EF1" w:rsidRPr="006A4EF1">
              <w:rPr>
                <w:noProof/>
                <w:webHidden/>
              </w:rPr>
            </w:r>
            <w:r w:rsidR="006A4EF1" w:rsidRPr="006A4EF1">
              <w:rPr>
                <w:noProof/>
                <w:webHidden/>
              </w:rPr>
              <w:fldChar w:fldCharType="separate"/>
            </w:r>
            <w:r w:rsidR="00D74A7D">
              <w:rPr>
                <w:noProof/>
                <w:webHidden/>
              </w:rPr>
              <w:t>4</w:t>
            </w:r>
            <w:r w:rsidR="006A4EF1" w:rsidRPr="006A4EF1">
              <w:rPr>
                <w:noProof/>
                <w:webHidden/>
              </w:rPr>
              <w:fldChar w:fldCharType="end"/>
            </w:r>
          </w:hyperlink>
        </w:p>
        <w:p w14:paraId="557FD86D" w14:textId="73E6CBD9" w:rsidR="006A4EF1" w:rsidRPr="006A4EF1" w:rsidRDefault="009A2272" w:rsidP="006A4EF1">
          <w:pPr>
            <w:pStyle w:val="TDC3"/>
            <w:rPr>
              <w:rFonts w:asciiTheme="minorHAnsi" w:eastAsiaTheme="minorEastAsia" w:hAnsiTheme="minorHAnsi" w:cstheme="minorBidi"/>
              <w:noProof/>
              <w:szCs w:val="22"/>
              <w:lang w:eastAsia="es-MX"/>
            </w:rPr>
          </w:pPr>
          <w:hyperlink w:anchor="_Toc180061389" w:history="1">
            <w:r w:rsidR="006A4EF1" w:rsidRPr="006A4EF1">
              <w:rPr>
                <w:rStyle w:val="Hipervnculo"/>
                <w:noProof/>
                <w:color w:val="auto"/>
              </w:rPr>
              <w:t>b) Turno del Recurso de Revisión</w:t>
            </w:r>
            <w:r w:rsidR="006A4EF1" w:rsidRPr="006A4EF1">
              <w:rPr>
                <w:noProof/>
                <w:webHidden/>
              </w:rPr>
              <w:tab/>
            </w:r>
            <w:r w:rsidR="006A4EF1" w:rsidRPr="006A4EF1">
              <w:rPr>
                <w:noProof/>
                <w:webHidden/>
              </w:rPr>
              <w:fldChar w:fldCharType="begin"/>
            </w:r>
            <w:r w:rsidR="006A4EF1" w:rsidRPr="006A4EF1">
              <w:rPr>
                <w:noProof/>
                <w:webHidden/>
              </w:rPr>
              <w:instrText xml:space="preserve"> PAGEREF _Toc180061389 \h </w:instrText>
            </w:r>
            <w:r w:rsidR="006A4EF1" w:rsidRPr="006A4EF1">
              <w:rPr>
                <w:noProof/>
                <w:webHidden/>
              </w:rPr>
            </w:r>
            <w:r w:rsidR="006A4EF1" w:rsidRPr="006A4EF1">
              <w:rPr>
                <w:noProof/>
                <w:webHidden/>
              </w:rPr>
              <w:fldChar w:fldCharType="separate"/>
            </w:r>
            <w:r w:rsidR="00D74A7D">
              <w:rPr>
                <w:noProof/>
                <w:webHidden/>
              </w:rPr>
              <w:t>5</w:t>
            </w:r>
            <w:r w:rsidR="006A4EF1" w:rsidRPr="006A4EF1">
              <w:rPr>
                <w:noProof/>
                <w:webHidden/>
              </w:rPr>
              <w:fldChar w:fldCharType="end"/>
            </w:r>
          </w:hyperlink>
        </w:p>
        <w:p w14:paraId="249EB5D3" w14:textId="1C6810FA" w:rsidR="006A4EF1" w:rsidRPr="006A4EF1" w:rsidRDefault="009A2272" w:rsidP="006A4EF1">
          <w:pPr>
            <w:pStyle w:val="TDC3"/>
            <w:rPr>
              <w:rFonts w:asciiTheme="minorHAnsi" w:eastAsiaTheme="minorEastAsia" w:hAnsiTheme="minorHAnsi" w:cstheme="minorBidi"/>
              <w:noProof/>
              <w:szCs w:val="22"/>
              <w:lang w:eastAsia="es-MX"/>
            </w:rPr>
          </w:pPr>
          <w:hyperlink w:anchor="_Toc180061390" w:history="1">
            <w:r w:rsidR="006A4EF1" w:rsidRPr="006A4EF1">
              <w:rPr>
                <w:rStyle w:val="Hipervnculo"/>
                <w:noProof/>
                <w:color w:val="auto"/>
              </w:rPr>
              <w:t>c) Admisión del Recurso de Revisión</w:t>
            </w:r>
            <w:r w:rsidR="006A4EF1" w:rsidRPr="006A4EF1">
              <w:rPr>
                <w:noProof/>
                <w:webHidden/>
              </w:rPr>
              <w:tab/>
            </w:r>
            <w:r w:rsidR="006A4EF1" w:rsidRPr="006A4EF1">
              <w:rPr>
                <w:noProof/>
                <w:webHidden/>
              </w:rPr>
              <w:fldChar w:fldCharType="begin"/>
            </w:r>
            <w:r w:rsidR="006A4EF1" w:rsidRPr="006A4EF1">
              <w:rPr>
                <w:noProof/>
                <w:webHidden/>
              </w:rPr>
              <w:instrText xml:space="preserve"> PAGEREF _Toc180061390 \h </w:instrText>
            </w:r>
            <w:r w:rsidR="006A4EF1" w:rsidRPr="006A4EF1">
              <w:rPr>
                <w:noProof/>
                <w:webHidden/>
              </w:rPr>
            </w:r>
            <w:r w:rsidR="006A4EF1" w:rsidRPr="006A4EF1">
              <w:rPr>
                <w:noProof/>
                <w:webHidden/>
              </w:rPr>
              <w:fldChar w:fldCharType="separate"/>
            </w:r>
            <w:r w:rsidR="00D74A7D">
              <w:rPr>
                <w:noProof/>
                <w:webHidden/>
              </w:rPr>
              <w:t>5</w:t>
            </w:r>
            <w:r w:rsidR="006A4EF1" w:rsidRPr="006A4EF1">
              <w:rPr>
                <w:noProof/>
                <w:webHidden/>
              </w:rPr>
              <w:fldChar w:fldCharType="end"/>
            </w:r>
          </w:hyperlink>
        </w:p>
        <w:p w14:paraId="77B22C87" w14:textId="1690E93D" w:rsidR="006A4EF1" w:rsidRPr="006A4EF1" w:rsidRDefault="009A2272" w:rsidP="006A4EF1">
          <w:pPr>
            <w:pStyle w:val="TDC3"/>
            <w:rPr>
              <w:rFonts w:asciiTheme="minorHAnsi" w:eastAsiaTheme="minorEastAsia" w:hAnsiTheme="minorHAnsi" w:cstheme="minorBidi"/>
              <w:noProof/>
              <w:szCs w:val="22"/>
              <w:lang w:eastAsia="es-MX"/>
            </w:rPr>
          </w:pPr>
          <w:hyperlink w:anchor="_Toc180061391" w:history="1">
            <w:r w:rsidR="006A4EF1" w:rsidRPr="006A4EF1">
              <w:rPr>
                <w:rStyle w:val="Hipervnculo"/>
                <w:noProof/>
                <w:color w:val="auto"/>
              </w:rPr>
              <w:t>d) Informe Justificado del Sujeto Obligado</w:t>
            </w:r>
            <w:r w:rsidR="006A4EF1" w:rsidRPr="006A4EF1">
              <w:rPr>
                <w:noProof/>
                <w:webHidden/>
              </w:rPr>
              <w:tab/>
            </w:r>
            <w:r w:rsidR="006A4EF1" w:rsidRPr="006A4EF1">
              <w:rPr>
                <w:noProof/>
                <w:webHidden/>
              </w:rPr>
              <w:fldChar w:fldCharType="begin"/>
            </w:r>
            <w:r w:rsidR="006A4EF1" w:rsidRPr="006A4EF1">
              <w:rPr>
                <w:noProof/>
                <w:webHidden/>
              </w:rPr>
              <w:instrText xml:space="preserve"> PAGEREF _Toc180061391 \h </w:instrText>
            </w:r>
            <w:r w:rsidR="006A4EF1" w:rsidRPr="006A4EF1">
              <w:rPr>
                <w:noProof/>
                <w:webHidden/>
              </w:rPr>
            </w:r>
            <w:r w:rsidR="006A4EF1" w:rsidRPr="006A4EF1">
              <w:rPr>
                <w:noProof/>
                <w:webHidden/>
              </w:rPr>
              <w:fldChar w:fldCharType="separate"/>
            </w:r>
            <w:r w:rsidR="00D74A7D">
              <w:rPr>
                <w:noProof/>
                <w:webHidden/>
              </w:rPr>
              <w:t>6</w:t>
            </w:r>
            <w:r w:rsidR="006A4EF1" w:rsidRPr="006A4EF1">
              <w:rPr>
                <w:noProof/>
                <w:webHidden/>
              </w:rPr>
              <w:fldChar w:fldCharType="end"/>
            </w:r>
          </w:hyperlink>
        </w:p>
        <w:p w14:paraId="09631ED3" w14:textId="177CF2CA" w:rsidR="006A4EF1" w:rsidRPr="006A4EF1" w:rsidRDefault="009A2272" w:rsidP="006A4EF1">
          <w:pPr>
            <w:pStyle w:val="TDC3"/>
            <w:rPr>
              <w:rFonts w:asciiTheme="minorHAnsi" w:eastAsiaTheme="minorEastAsia" w:hAnsiTheme="minorHAnsi" w:cstheme="minorBidi"/>
              <w:noProof/>
              <w:szCs w:val="22"/>
              <w:lang w:eastAsia="es-MX"/>
            </w:rPr>
          </w:pPr>
          <w:hyperlink w:anchor="_Toc180061392" w:history="1">
            <w:r w:rsidR="006A4EF1" w:rsidRPr="006A4EF1">
              <w:rPr>
                <w:rStyle w:val="Hipervnculo"/>
                <w:rFonts w:eastAsia="Calibri"/>
                <w:bCs/>
                <w:noProof/>
                <w:color w:val="auto"/>
                <w:lang w:eastAsia="en-US"/>
              </w:rPr>
              <w:t>e)</w:t>
            </w:r>
            <w:r w:rsidR="006A4EF1" w:rsidRPr="006A4EF1">
              <w:rPr>
                <w:rStyle w:val="Hipervnculo"/>
                <w:noProof/>
                <w:color w:val="auto"/>
              </w:rPr>
              <w:t xml:space="preserve"> </w:t>
            </w:r>
            <w:r w:rsidR="006A4EF1" w:rsidRPr="006A4EF1">
              <w:rPr>
                <w:rStyle w:val="Hipervnculo"/>
                <w:noProof/>
                <w:color w:val="auto"/>
                <w:lang w:val="es-ES"/>
              </w:rPr>
              <w:t>Manifestaciones de la Parte Recurrente</w:t>
            </w:r>
            <w:r w:rsidR="006A4EF1" w:rsidRPr="006A4EF1">
              <w:rPr>
                <w:noProof/>
                <w:webHidden/>
              </w:rPr>
              <w:tab/>
            </w:r>
            <w:r w:rsidR="006A4EF1" w:rsidRPr="006A4EF1">
              <w:rPr>
                <w:noProof/>
                <w:webHidden/>
              </w:rPr>
              <w:fldChar w:fldCharType="begin"/>
            </w:r>
            <w:r w:rsidR="006A4EF1" w:rsidRPr="006A4EF1">
              <w:rPr>
                <w:noProof/>
                <w:webHidden/>
              </w:rPr>
              <w:instrText xml:space="preserve"> PAGEREF _Toc180061392 \h </w:instrText>
            </w:r>
            <w:r w:rsidR="006A4EF1" w:rsidRPr="006A4EF1">
              <w:rPr>
                <w:noProof/>
                <w:webHidden/>
              </w:rPr>
            </w:r>
            <w:r w:rsidR="006A4EF1" w:rsidRPr="006A4EF1">
              <w:rPr>
                <w:noProof/>
                <w:webHidden/>
              </w:rPr>
              <w:fldChar w:fldCharType="separate"/>
            </w:r>
            <w:r w:rsidR="00D74A7D">
              <w:rPr>
                <w:noProof/>
                <w:webHidden/>
              </w:rPr>
              <w:t>6</w:t>
            </w:r>
            <w:r w:rsidR="006A4EF1" w:rsidRPr="006A4EF1">
              <w:rPr>
                <w:noProof/>
                <w:webHidden/>
              </w:rPr>
              <w:fldChar w:fldCharType="end"/>
            </w:r>
          </w:hyperlink>
        </w:p>
        <w:p w14:paraId="3AA227CB" w14:textId="2A8B8234" w:rsidR="006A4EF1" w:rsidRPr="006A4EF1" w:rsidRDefault="009A2272" w:rsidP="006A4EF1">
          <w:pPr>
            <w:pStyle w:val="TDC3"/>
            <w:rPr>
              <w:rFonts w:asciiTheme="minorHAnsi" w:eastAsiaTheme="minorEastAsia" w:hAnsiTheme="minorHAnsi" w:cstheme="minorBidi"/>
              <w:noProof/>
              <w:szCs w:val="22"/>
              <w:lang w:eastAsia="es-MX"/>
            </w:rPr>
          </w:pPr>
          <w:hyperlink w:anchor="_Toc180061393" w:history="1">
            <w:r w:rsidR="006A4EF1" w:rsidRPr="006A4EF1">
              <w:rPr>
                <w:rStyle w:val="Hipervnculo"/>
                <w:rFonts w:eastAsia="Calibri"/>
                <w:noProof/>
                <w:color w:val="auto"/>
              </w:rPr>
              <w:t xml:space="preserve">f) </w:t>
            </w:r>
            <w:r w:rsidR="006A4EF1" w:rsidRPr="006A4EF1">
              <w:rPr>
                <w:rStyle w:val="Hipervnculo"/>
                <w:noProof/>
                <w:color w:val="auto"/>
              </w:rPr>
              <w:t>Cierre de instrucción</w:t>
            </w:r>
            <w:r w:rsidR="006A4EF1" w:rsidRPr="006A4EF1">
              <w:rPr>
                <w:noProof/>
                <w:webHidden/>
              </w:rPr>
              <w:tab/>
            </w:r>
            <w:r w:rsidR="006A4EF1" w:rsidRPr="006A4EF1">
              <w:rPr>
                <w:noProof/>
                <w:webHidden/>
              </w:rPr>
              <w:fldChar w:fldCharType="begin"/>
            </w:r>
            <w:r w:rsidR="006A4EF1" w:rsidRPr="006A4EF1">
              <w:rPr>
                <w:noProof/>
                <w:webHidden/>
              </w:rPr>
              <w:instrText xml:space="preserve"> PAGEREF _Toc180061393 \h </w:instrText>
            </w:r>
            <w:r w:rsidR="006A4EF1" w:rsidRPr="006A4EF1">
              <w:rPr>
                <w:noProof/>
                <w:webHidden/>
              </w:rPr>
            </w:r>
            <w:r w:rsidR="006A4EF1" w:rsidRPr="006A4EF1">
              <w:rPr>
                <w:noProof/>
                <w:webHidden/>
              </w:rPr>
              <w:fldChar w:fldCharType="separate"/>
            </w:r>
            <w:r w:rsidR="00D74A7D">
              <w:rPr>
                <w:noProof/>
                <w:webHidden/>
              </w:rPr>
              <w:t>6</w:t>
            </w:r>
            <w:r w:rsidR="006A4EF1" w:rsidRPr="006A4EF1">
              <w:rPr>
                <w:noProof/>
                <w:webHidden/>
              </w:rPr>
              <w:fldChar w:fldCharType="end"/>
            </w:r>
          </w:hyperlink>
        </w:p>
        <w:p w14:paraId="79DD77DA" w14:textId="48B254AC" w:rsidR="006A4EF1" w:rsidRPr="006A4EF1" w:rsidRDefault="009A2272" w:rsidP="006A4EF1">
          <w:pPr>
            <w:pStyle w:val="TDC1"/>
            <w:tabs>
              <w:tab w:val="right" w:leader="dot" w:pos="9034"/>
            </w:tabs>
            <w:rPr>
              <w:rFonts w:asciiTheme="minorHAnsi" w:eastAsiaTheme="minorEastAsia" w:hAnsiTheme="minorHAnsi" w:cstheme="minorBidi"/>
              <w:noProof/>
              <w:szCs w:val="22"/>
              <w:lang w:eastAsia="es-MX"/>
            </w:rPr>
          </w:pPr>
          <w:hyperlink w:anchor="_Toc180061394" w:history="1">
            <w:r w:rsidR="006A4EF1" w:rsidRPr="006A4EF1">
              <w:rPr>
                <w:rStyle w:val="Hipervnculo"/>
                <w:rFonts w:eastAsiaTheme="minorHAnsi"/>
                <w:noProof/>
                <w:color w:val="auto"/>
                <w:lang w:eastAsia="en-US"/>
              </w:rPr>
              <w:t>CONSIDERANDOS</w:t>
            </w:r>
            <w:r w:rsidR="006A4EF1" w:rsidRPr="006A4EF1">
              <w:rPr>
                <w:noProof/>
                <w:webHidden/>
              </w:rPr>
              <w:tab/>
            </w:r>
            <w:r w:rsidR="006A4EF1" w:rsidRPr="006A4EF1">
              <w:rPr>
                <w:noProof/>
                <w:webHidden/>
              </w:rPr>
              <w:fldChar w:fldCharType="begin"/>
            </w:r>
            <w:r w:rsidR="006A4EF1" w:rsidRPr="006A4EF1">
              <w:rPr>
                <w:noProof/>
                <w:webHidden/>
              </w:rPr>
              <w:instrText xml:space="preserve"> PAGEREF _Toc180061394 \h </w:instrText>
            </w:r>
            <w:r w:rsidR="006A4EF1" w:rsidRPr="006A4EF1">
              <w:rPr>
                <w:noProof/>
                <w:webHidden/>
              </w:rPr>
            </w:r>
            <w:r w:rsidR="006A4EF1" w:rsidRPr="006A4EF1">
              <w:rPr>
                <w:noProof/>
                <w:webHidden/>
              </w:rPr>
              <w:fldChar w:fldCharType="separate"/>
            </w:r>
            <w:r w:rsidR="00D74A7D">
              <w:rPr>
                <w:noProof/>
                <w:webHidden/>
              </w:rPr>
              <w:t>6</w:t>
            </w:r>
            <w:r w:rsidR="006A4EF1" w:rsidRPr="006A4EF1">
              <w:rPr>
                <w:noProof/>
                <w:webHidden/>
              </w:rPr>
              <w:fldChar w:fldCharType="end"/>
            </w:r>
          </w:hyperlink>
        </w:p>
        <w:p w14:paraId="404BCF9F" w14:textId="207CD152" w:rsidR="006A4EF1" w:rsidRPr="006A4EF1" w:rsidRDefault="009A2272" w:rsidP="006A4EF1">
          <w:pPr>
            <w:pStyle w:val="TDC2"/>
            <w:rPr>
              <w:rFonts w:asciiTheme="minorHAnsi" w:eastAsiaTheme="minorEastAsia" w:hAnsiTheme="minorHAnsi" w:cstheme="minorBidi"/>
              <w:noProof/>
              <w:szCs w:val="22"/>
              <w:lang w:eastAsia="es-MX"/>
            </w:rPr>
          </w:pPr>
          <w:hyperlink w:anchor="_Toc180061395" w:history="1">
            <w:r w:rsidR="006A4EF1" w:rsidRPr="006A4EF1">
              <w:rPr>
                <w:rStyle w:val="Hipervnculo"/>
                <w:rFonts w:eastAsia="Batang"/>
                <w:noProof/>
                <w:color w:val="auto"/>
              </w:rPr>
              <w:t>PRIMERO. Procedibilidad</w:t>
            </w:r>
            <w:r w:rsidR="006A4EF1" w:rsidRPr="006A4EF1">
              <w:rPr>
                <w:noProof/>
                <w:webHidden/>
              </w:rPr>
              <w:tab/>
            </w:r>
            <w:r w:rsidR="006A4EF1" w:rsidRPr="006A4EF1">
              <w:rPr>
                <w:noProof/>
                <w:webHidden/>
              </w:rPr>
              <w:fldChar w:fldCharType="begin"/>
            </w:r>
            <w:r w:rsidR="006A4EF1" w:rsidRPr="006A4EF1">
              <w:rPr>
                <w:noProof/>
                <w:webHidden/>
              </w:rPr>
              <w:instrText xml:space="preserve"> PAGEREF _Toc180061395 \h </w:instrText>
            </w:r>
            <w:r w:rsidR="006A4EF1" w:rsidRPr="006A4EF1">
              <w:rPr>
                <w:noProof/>
                <w:webHidden/>
              </w:rPr>
            </w:r>
            <w:r w:rsidR="006A4EF1" w:rsidRPr="006A4EF1">
              <w:rPr>
                <w:noProof/>
                <w:webHidden/>
              </w:rPr>
              <w:fldChar w:fldCharType="separate"/>
            </w:r>
            <w:r w:rsidR="00D74A7D">
              <w:rPr>
                <w:noProof/>
                <w:webHidden/>
              </w:rPr>
              <w:t>6</w:t>
            </w:r>
            <w:r w:rsidR="006A4EF1" w:rsidRPr="006A4EF1">
              <w:rPr>
                <w:noProof/>
                <w:webHidden/>
              </w:rPr>
              <w:fldChar w:fldCharType="end"/>
            </w:r>
          </w:hyperlink>
        </w:p>
        <w:p w14:paraId="3768D01E" w14:textId="252A2A2E" w:rsidR="006A4EF1" w:rsidRPr="006A4EF1" w:rsidRDefault="009A2272" w:rsidP="006A4EF1">
          <w:pPr>
            <w:pStyle w:val="TDC3"/>
            <w:rPr>
              <w:rFonts w:asciiTheme="minorHAnsi" w:eastAsiaTheme="minorEastAsia" w:hAnsiTheme="minorHAnsi" w:cstheme="minorBidi"/>
              <w:noProof/>
              <w:szCs w:val="22"/>
              <w:lang w:eastAsia="es-MX"/>
            </w:rPr>
          </w:pPr>
          <w:hyperlink w:anchor="_Toc180061396" w:history="1">
            <w:r w:rsidR="006A4EF1" w:rsidRPr="006A4EF1">
              <w:rPr>
                <w:rStyle w:val="Hipervnculo"/>
                <w:noProof/>
                <w:color w:val="auto"/>
              </w:rPr>
              <w:t>a) Competencia del Instituto</w:t>
            </w:r>
            <w:r w:rsidR="006A4EF1" w:rsidRPr="006A4EF1">
              <w:rPr>
                <w:noProof/>
                <w:webHidden/>
              </w:rPr>
              <w:tab/>
            </w:r>
            <w:r w:rsidR="006A4EF1" w:rsidRPr="006A4EF1">
              <w:rPr>
                <w:noProof/>
                <w:webHidden/>
              </w:rPr>
              <w:fldChar w:fldCharType="begin"/>
            </w:r>
            <w:r w:rsidR="006A4EF1" w:rsidRPr="006A4EF1">
              <w:rPr>
                <w:noProof/>
                <w:webHidden/>
              </w:rPr>
              <w:instrText xml:space="preserve"> PAGEREF _Toc180061396 \h </w:instrText>
            </w:r>
            <w:r w:rsidR="006A4EF1" w:rsidRPr="006A4EF1">
              <w:rPr>
                <w:noProof/>
                <w:webHidden/>
              </w:rPr>
            </w:r>
            <w:r w:rsidR="006A4EF1" w:rsidRPr="006A4EF1">
              <w:rPr>
                <w:noProof/>
                <w:webHidden/>
              </w:rPr>
              <w:fldChar w:fldCharType="separate"/>
            </w:r>
            <w:r w:rsidR="00D74A7D">
              <w:rPr>
                <w:noProof/>
                <w:webHidden/>
              </w:rPr>
              <w:t>6</w:t>
            </w:r>
            <w:r w:rsidR="006A4EF1" w:rsidRPr="006A4EF1">
              <w:rPr>
                <w:noProof/>
                <w:webHidden/>
              </w:rPr>
              <w:fldChar w:fldCharType="end"/>
            </w:r>
          </w:hyperlink>
        </w:p>
        <w:p w14:paraId="4B04E212" w14:textId="47B800C1" w:rsidR="006A4EF1" w:rsidRPr="006A4EF1" w:rsidRDefault="009A2272" w:rsidP="006A4EF1">
          <w:pPr>
            <w:pStyle w:val="TDC3"/>
            <w:rPr>
              <w:rFonts w:asciiTheme="minorHAnsi" w:eastAsiaTheme="minorEastAsia" w:hAnsiTheme="minorHAnsi" w:cstheme="minorBidi"/>
              <w:noProof/>
              <w:szCs w:val="22"/>
              <w:lang w:eastAsia="es-MX"/>
            </w:rPr>
          </w:pPr>
          <w:hyperlink w:anchor="_Toc180061397" w:history="1">
            <w:r w:rsidR="006A4EF1" w:rsidRPr="006A4EF1">
              <w:rPr>
                <w:rStyle w:val="Hipervnculo"/>
                <w:noProof/>
                <w:color w:val="auto"/>
              </w:rPr>
              <w:t>b) Legitimidad de la parte recurrente</w:t>
            </w:r>
            <w:r w:rsidR="006A4EF1" w:rsidRPr="006A4EF1">
              <w:rPr>
                <w:noProof/>
                <w:webHidden/>
              </w:rPr>
              <w:tab/>
            </w:r>
            <w:r w:rsidR="006A4EF1" w:rsidRPr="006A4EF1">
              <w:rPr>
                <w:noProof/>
                <w:webHidden/>
              </w:rPr>
              <w:fldChar w:fldCharType="begin"/>
            </w:r>
            <w:r w:rsidR="006A4EF1" w:rsidRPr="006A4EF1">
              <w:rPr>
                <w:noProof/>
                <w:webHidden/>
              </w:rPr>
              <w:instrText xml:space="preserve"> PAGEREF _Toc180061397 \h </w:instrText>
            </w:r>
            <w:r w:rsidR="006A4EF1" w:rsidRPr="006A4EF1">
              <w:rPr>
                <w:noProof/>
                <w:webHidden/>
              </w:rPr>
            </w:r>
            <w:r w:rsidR="006A4EF1" w:rsidRPr="006A4EF1">
              <w:rPr>
                <w:noProof/>
                <w:webHidden/>
              </w:rPr>
              <w:fldChar w:fldCharType="separate"/>
            </w:r>
            <w:r w:rsidR="00D74A7D">
              <w:rPr>
                <w:noProof/>
                <w:webHidden/>
              </w:rPr>
              <w:t>7</w:t>
            </w:r>
            <w:r w:rsidR="006A4EF1" w:rsidRPr="006A4EF1">
              <w:rPr>
                <w:noProof/>
                <w:webHidden/>
              </w:rPr>
              <w:fldChar w:fldCharType="end"/>
            </w:r>
          </w:hyperlink>
        </w:p>
        <w:p w14:paraId="156197D8" w14:textId="460D3B9A" w:rsidR="006A4EF1" w:rsidRPr="006A4EF1" w:rsidRDefault="009A2272" w:rsidP="006A4EF1">
          <w:pPr>
            <w:pStyle w:val="TDC3"/>
            <w:rPr>
              <w:rFonts w:asciiTheme="minorHAnsi" w:eastAsiaTheme="minorEastAsia" w:hAnsiTheme="minorHAnsi" w:cstheme="minorBidi"/>
              <w:noProof/>
              <w:szCs w:val="22"/>
              <w:lang w:eastAsia="es-MX"/>
            </w:rPr>
          </w:pPr>
          <w:hyperlink w:anchor="_Toc180061398" w:history="1">
            <w:r w:rsidR="006A4EF1" w:rsidRPr="006A4EF1">
              <w:rPr>
                <w:rStyle w:val="Hipervnculo"/>
                <w:rFonts w:eastAsia="Calibri"/>
                <w:noProof/>
                <w:color w:val="auto"/>
                <w:lang w:eastAsia="es-ES_tradnl"/>
              </w:rPr>
              <w:t>c) Plazo para interponer el recurso</w:t>
            </w:r>
            <w:r w:rsidR="006A4EF1" w:rsidRPr="006A4EF1">
              <w:rPr>
                <w:noProof/>
                <w:webHidden/>
              </w:rPr>
              <w:tab/>
            </w:r>
            <w:r w:rsidR="006A4EF1" w:rsidRPr="006A4EF1">
              <w:rPr>
                <w:noProof/>
                <w:webHidden/>
              </w:rPr>
              <w:fldChar w:fldCharType="begin"/>
            </w:r>
            <w:r w:rsidR="006A4EF1" w:rsidRPr="006A4EF1">
              <w:rPr>
                <w:noProof/>
                <w:webHidden/>
              </w:rPr>
              <w:instrText xml:space="preserve"> PAGEREF _Toc180061398 \h </w:instrText>
            </w:r>
            <w:r w:rsidR="006A4EF1" w:rsidRPr="006A4EF1">
              <w:rPr>
                <w:noProof/>
                <w:webHidden/>
              </w:rPr>
            </w:r>
            <w:r w:rsidR="006A4EF1" w:rsidRPr="006A4EF1">
              <w:rPr>
                <w:noProof/>
                <w:webHidden/>
              </w:rPr>
              <w:fldChar w:fldCharType="separate"/>
            </w:r>
            <w:r w:rsidR="00D74A7D">
              <w:rPr>
                <w:noProof/>
                <w:webHidden/>
              </w:rPr>
              <w:t>7</w:t>
            </w:r>
            <w:r w:rsidR="006A4EF1" w:rsidRPr="006A4EF1">
              <w:rPr>
                <w:noProof/>
                <w:webHidden/>
              </w:rPr>
              <w:fldChar w:fldCharType="end"/>
            </w:r>
          </w:hyperlink>
        </w:p>
        <w:p w14:paraId="5C0B01FF" w14:textId="57067FB2" w:rsidR="006A4EF1" w:rsidRPr="006A4EF1" w:rsidRDefault="009A2272" w:rsidP="006A4EF1">
          <w:pPr>
            <w:pStyle w:val="TDC3"/>
            <w:rPr>
              <w:rFonts w:asciiTheme="minorHAnsi" w:eastAsiaTheme="minorEastAsia" w:hAnsiTheme="minorHAnsi" w:cstheme="minorBidi"/>
              <w:noProof/>
              <w:szCs w:val="22"/>
              <w:lang w:eastAsia="es-MX"/>
            </w:rPr>
          </w:pPr>
          <w:hyperlink w:anchor="_Toc180061399" w:history="1">
            <w:r w:rsidR="006A4EF1" w:rsidRPr="006A4EF1">
              <w:rPr>
                <w:rStyle w:val="Hipervnculo"/>
                <w:rFonts w:eastAsia="Calibri"/>
                <w:noProof/>
                <w:color w:val="auto"/>
                <w:lang w:eastAsia="es-ES_tradnl"/>
              </w:rPr>
              <w:t>d) Causal de Procedencia</w:t>
            </w:r>
            <w:r w:rsidR="006A4EF1" w:rsidRPr="006A4EF1">
              <w:rPr>
                <w:noProof/>
                <w:webHidden/>
              </w:rPr>
              <w:tab/>
            </w:r>
            <w:r w:rsidR="006A4EF1" w:rsidRPr="006A4EF1">
              <w:rPr>
                <w:noProof/>
                <w:webHidden/>
              </w:rPr>
              <w:fldChar w:fldCharType="begin"/>
            </w:r>
            <w:r w:rsidR="006A4EF1" w:rsidRPr="006A4EF1">
              <w:rPr>
                <w:noProof/>
                <w:webHidden/>
              </w:rPr>
              <w:instrText xml:space="preserve"> PAGEREF _Toc180061399 \h </w:instrText>
            </w:r>
            <w:r w:rsidR="006A4EF1" w:rsidRPr="006A4EF1">
              <w:rPr>
                <w:noProof/>
                <w:webHidden/>
              </w:rPr>
            </w:r>
            <w:r w:rsidR="006A4EF1" w:rsidRPr="006A4EF1">
              <w:rPr>
                <w:noProof/>
                <w:webHidden/>
              </w:rPr>
              <w:fldChar w:fldCharType="separate"/>
            </w:r>
            <w:r w:rsidR="00D74A7D">
              <w:rPr>
                <w:noProof/>
                <w:webHidden/>
              </w:rPr>
              <w:t>7</w:t>
            </w:r>
            <w:r w:rsidR="006A4EF1" w:rsidRPr="006A4EF1">
              <w:rPr>
                <w:noProof/>
                <w:webHidden/>
              </w:rPr>
              <w:fldChar w:fldCharType="end"/>
            </w:r>
          </w:hyperlink>
        </w:p>
        <w:p w14:paraId="2D588D3F" w14:textId="4A9BCA1A" w:rsidR="006A4EF1" w:rsidRPr="006A4EF1" w:rsidRDefault="009A2272" w:rsidP="006A4EF1">
          <w:pPr>
            <w:pStyle w:val="TDC3"/>
            <w:rPr>
              <w:rFonts w:asciiTheme="minorHAnsi" w:eastAsiaTheme="minorEastAsia" w:hAnsiTheme="minorHAnsi" w:cstheme="minorBidi"/>
              <w:noProof/>
              <w:szCs w:val="22"/>
              <w:lang w:eastAsia="es-MX"/>
            </w:rPr>
          </w:pPr>
          <w:hyperlink w:anchor="_Toc180061400" w:history="1">
            <w:r w:rsidR="006A4EF1" w:rsidRPr="006A4EF1">
              <w:rPr>
                <w:rStyle w:val="Hipervnculo"/>
                <w:noProof/>
                <w:color w:val="auto"/>
              </w:rPr>
              <w:t>e) Requisitos formales para la interposición del recurso</w:t>
            </w:r>
            <w:r w:rsidR="006A4EF1" w:rsidRPr="006A4EF1">
              <w:rPr>
                <w:noProof/>
                <w:webHidden/>
              </w:rPr>
              <w:tab/>
            </w:r>
            <w:r w:rsidR="006A4EF1" w:rsidRPr="006A4EF1">
              <w:rPr>
                <w:noProof/>
                <w:webHidden/>
              </w:rPr>
              <w:fldChar w:fldCharType="begin"/>
            </w:r>
            <w:r w:rsidR="006A4EF1" w:rsidRPr="006A4EF1">
              <w:rPr>
                <w:noProof/>
                <w:webHidden/>
              </w:rPr>
              <w:instrText xml:space="preserve"> PAGEREF _Toc180061400 \h </w:instrText>
            </w:r>
            <w:r w:rsidR="006A4EF1" w:rsidRPr="006A4EF1">
              <w:rPr>
                <w:noProof/>
                <w:webHidden/>
              </w:rPr>
            </w:r>
            <w:r w:rsidR="006A4EF1" w:rsidRPr="006A4EF1">
              <w:rPr>
                <w:noProof/>
                <w:webHidden/>
              </w:rPr>
              <w:fldChar w:fldCharType="separate"/>
            </w:r>
            <w:r w:rsidR="00D74A7D">
              <w:rPr>
                <w:noProof/>
                <w:webHidden/>
              </w:rPr>
              <w:t>8</w:t>
            </w:r>
            <w:r w:rsidR="006A4EF1" w:rsidRPr="006A4EF1">
              <w:rPr>
                <w:noProof/>
                <w:webHidden/>
              </w:rPr>
              <w:fldChar w:fldCharType="end"/>
            </w:r>
          </w:hyperlink>
        </w:p>
        <w:p w14:paraId="392F7C29" w14:textId="09D975FB" w:rsidR="006A4EF1" w:rsidRPr="006A4EF1" w:rsidRDefault="009A2272" w:rsidP="006A4EF1">
          <w:pPr>
            <w:pStyle w:val="TDC2"/>
            <w:rPr>
              <w:rFonts w:asciiTheme="minorHAnsi" w:eastAsiaTheme="minorEastAsia" w:hAnsiTheme="minorHAnsi" w:cstheme="minorBidi"/>
              <w:noProof/>
              <w:szCs w:val="22"/>
              <w:lang w:eastAsia="es-MX"/>
            </w:rPr>
          </w:pPr>
          <w:hyperlink w:anchor="_Toc180061401" w:history="1">
            <w:r w:rsidR="006A4EF1" w:rsidRPr="006A4EF1">
              <w:rPr>
                <w:rStyle w:val="Hipervnculo"/>
                <w:noProof/>
                <w:color w:val="auto"/>
              </w:rPr>
              <w:t>SEGUNDO. Estudio de Fondo</w:t>
            </w:r>
            <w:r w:rsidR="006A4EF1" w:rsidRPr="006A4EF1">
              <w:rPr>
                <w:noProof/>
                <w:webHidden/>
              </w:rPr>
              <w:tab/>
            </w:r>
            <w:r w:rsidR="006A4EF1" w:rsidRPr="006A4EF1">
              <w:rPr>
                <w:noProof/>
                <w:webHidden/>
              </w:rPr>
              <w:fldChar w:fldCharType="begin"/>
            </w:r>
            <w:r w:rsidR="006A4EF1" w:rsidRPr="006A4EF1">
              <w:rPr>
                <w:noProof/>
                <w:webHidden/>
              </w:rPr>
              <w:instrText xml:space="preserve"> PAGEREF _Toc180061401 \h </w:instrText>
            </w:r>
            <w:r w:rsidR="006A4EF1" w:rsidRPr="006A4EF1">
              <w:rPr>
                <w:noProof/>
                <w:webHidden/>
              </w:rPr>
            </w:r>
            <w:r w:rsidR="006A4EF1" w:rsidRPr="006A4EF1">
              <w:rPr>
                <w:noProof/>
                <w:webHidden/>
              </w:rPr>
              <w:fldChar w:fldCharType="separate"/>
            </w:r>
            <w:r w:rsidR="00D74A7D">
              <w:rPr>
                <w:noProof/>
                <w:webHidden/>
              </w:rPr>
              <w:t>8</w:t>
            </w:r>
            <w:r w:rsidR="006A4EF1" w:rsidRPr="006A4EF1">
              <w:rPr>
                <w:noProof/>
                <w:webHidden/>
              </w:rPr>
              <w:fldChar w:fldCharType="end"/>
            </w:r>
          </w:hyperlink>
        </w:p>
        <w:p w14:paraId="6DBAF54D" w14:textId="40074CFE" w:rsidR="006A4EF1" w:rsidRPr="006A4EF1" w:rsidRDefault="009A2272" w:rsidP="006A4EF1">
          <w:pPr>
            <w:pStyle w:val="TDC3"/>
            <w:rPr>
              <w:rFonts w:asciiTheme="minorHAnsi" w:eastAsiaTheme="minorEastAsia" w:hAnsiTheme="minorHAnsi" w:cstheme="minorBidi"/>
              <w:noProof/>
              <w:szCs w:val="22"/>
              <w:lang w:eastAsia="es-MX"/>
            </w:rPr>
          </w:pPr>
          <w:hyperlink w:anchor="_Toc180061402" w:history="1">
            <w:r w:rsidR="006A4EF1" w:rsidRPr="006A4EF1">
              <w:rPr>
                <w:rStyle w:val="Hipervnculo"/>
                <w:noProof/>
                <w:color w:val="auto"/>
              </w:rPr>
              <w:t>a) Mandato de transparencia y responsabilidad del Sujeto Obligado</w:t>
            </w:r>
            <w:r w:rsidR="006A4EF1" w:rsidRPr="006A4EF1">
              <w:rPr>
                <w:noProof/>
                <w:webHidden/>
              </w:rPr>
              <w:tab/>
            </w:r>
            <w:r w:rsidR="006A4EF1" w:rsidRPr="006A4EF1">
              <w:rPr>
                <w:noProof/>
                <w:webHidden/>
              </w:rPr>
              <w:fldChar w:fldCharType="begin"/>
            </w:r>
            <w:r w:rsidR="006A4EF1" w:rsidRPr="006A4EF1">
              <w:rPr>
                <w:noProof/>
                <w:webHidden/>
              </w:rPr>
              <w:instrText xml:space="preserve"> PAGEREF _Toc180061402 \h </w:instrText>
            </w:r>
            <w:r w:rsidR="006A4EF1" w:rsidRPr="006A4EF1">
              <w:rPr>
                <w:noProof/>
                <w:webHidden/>
              </w:rPr>
            </w:r>
            <w:r w:rsidR="006A4EF1" w:rsidRPr="006A4EF1">
              <w:rPr>
                <w:noProof/>
                <w:webHidden/>
              </w:rPr>
              <w:fldChar w:fldCharType="separate"/>
            </w:r>
            <w:r w:rsidR="00D74A7D">
              <w:rPr>
                <w:noProof/>
                <w:webHidden/>
              </w:rPr>
              <w:t>8</w:t>
            </w:r>
            <w:r w:rsidR="006A4EF1" w:rsidRPr="006A4EF1">
              <w:rPr>
                <w:noProof/>
                <w:webHidden/>
              </w:rPr>
              <w:fldChar w:fldCharType="end"/>
            </w:r>
          </w:hyperlink>
        </w:p>
        <w:p w14:paraId="386184F5" w14:textId="7209159D" w:rsidR="006A4EF1" w:rsidRPr="006A4EF1" w:rsidRDefault="009A2272" w:rsidP="006A4EF1">
          <w:pPr>
            <w:pStyle w:val="TDC3"/>
            <w:rPr>
              <w:rFonts w:asciiTheme="minorHAnsi" w:eastAsiaTheme="minorEastAsia" w:hAnsiTheme="minorHAnsi" w:cstheme="minorBidi"/>
              <w:noProof/>
              <w:szCs w:val="22"/>
              <w:lang w:eastAsia="es-MX"/>
            </w:rPr>
          </w:pPr>
          <w:hyperlink w:anchor="_Toc180061403" w:history="1">
            <w:r w:rsidR="006A4EF1" w:rsidRPr="006A4EF1">
              <w:rPr>
                <w:rStyle w:val="Hipervnculo"/>
                <w:rFonts w:eastAsia="Calibri"/>
                <w:noProof/>
                <w:color w:val="auto"/>
                <w:lang w:eastAsia="es-ES_tradnl"/>
              </w:rPr>
              <w:t>b) Controversia a resolver</w:t>
            </w:r>
            <w:r w:rsidR="006A4EF1" w:rsidRPr="006A4EF1">
              <w:rPr>
                <w:noProof/>
                <w:webHidden/>
              </w:rPr>
              <w:tab/>
            </w:r>
            <w:r w:rsidR="006A4EF1" w:rsidRPr="006A4EF1">
              <w:rPr>
                <w:noProof/>
                <w:webHidden/>
              </w:rPr>
              <w:fldChar w:fldCharType="begin"/>
            </w:r>
            <w:r w:rsidR="006A4EF1" w:rsidRPr="006A4EF1">
              <w:rPr>
                <w:noProof/>
                <w:webHidden/>
              </w:rPr>
              <w:instrText xml:space="preserve"> PAGEREF _Toc180061403 \h </w:instrText>
            </w:r>
            <w:r w:rsidR="006A4EF1" w:rsidRPr="006A4EF1">
              <w:rPr>
                <w:noProof/>
                <w:webHidden/>
              </w:rPr>
            </w:r>
            <w:r w:rsidR="006A4EF1" w:rsidRPr="006A4EF1">
              <w:rPr>
                <w:noProof/>
                <w:webHidden/>
              </w:rPr>
              <w:fldChar w:fldCharType="separate"/>
            </w:r>
            <w:r w:rsidR="00D74A7D">
              <w:rPr>
                <w:noProof/>
                <w:webHidden/>
              </w:rPr>
              <w:t>10</w:t>
            </w:r>
            <w:r w:rsidR="006A4EF1" w:rsidRPr="006A4EF1">
              <w:rPr>
                <w:noProof/>
                <w:webHidden/>
              </w:rPr>
              <w:fldChar w:fldCharType="end"/>
            </w:r>
          </w:hyperlink>
        </w:p>
        <w:p w14:paraId="103679C2" w14:textId="79E1B0A3" w:rsidR="006A4EF1" w:rsidRPr="006A4EF1" w:rsidRDefault="009A2272" w:rsidP="006A4EF1">
          <w:pPr>
            <w:pStyle w:val="TDC3"/>
            <w:rPr>
              <w:rFonts w:asciiTheme="minorHAnsi" w:eastAsiaTheme="minorEastAsia" w:hAnsiTheme="minorHAnsi" w:cstheme="minorBidi"/>
              <w:noProof/>
              <w:szCs w:val="22"/>
              <w:lang w:eastAsia="es-MX"/>
            </w:rPr>
          </w:pPr>
          <w:hyperlink w:anchor="_Toc180061404" w:history="1">
            <w:r w:rsidR="006A4EF1" w:rsidRPr="006A4EF1">
              <w:rPr>
                <w:rStyle w:val="Hipervnculo"/>
                <w:noProof/>
                <w:color w:val="auto"/>
              </w:rPr>
              <w:t>c) Estudio de la controversia</w:t>
            </w:r>
            <w:r w:rsidR="006A4EF1" w:rsidRPr="006A4EF1">
              <w:rPr>
                <w:noProof/>
                <w:webHidden/>
              </w:rPr>
              <w:tab/>
            </w:r>
            <w:r w:rsidR="006A4EF1" w:rsidRPr="006A4EF1">
              <w:rPr>
                <w:noProof/>
                <w:webHidden/>
              </w:rPr>
              <w:fldChar w:fldCharType="begin"/>
            </w:r>
            <w:r w:rsidR="006A4EF1" w:rsidRPr="006A4EF1">
              <w:rPr>
                <w:noProof/>
                <w:webHidden/>
              </w:rPr>
              <w:instrText xml:space="preserve"> PAGEREF _Toc180061404 \h </w:instrText>
            </w:r>
            <w:r w:rsidR="006A4EF1" w:rsidRPr="006A4EF1">
              <w:rPr>
                <w:noProof/>
                <w:webHidden/>
              </w:rPr>
            </w:r>
            <w:r w:rsidR="006A4EF1" w:rsidRPr="006A4EF1">
              <w:rPr>
                <w:noProof/>
                <w:webHidden/>
              </w:rPr>
              <w:fldChar w:fldCharType="separate"/>
            </w:r>
            <w:r w:rsidR="00D74A7D">
              <w:rPr>
                <w:noProof/>
                <w:webHidden/>
              </w:rPr>
              <w:t>11</w:t>
            </w:r>
            <w:r w:rsidR="006A4EF1" w:rsidRPr="006A4EF1">
              <w:rPr>
                <w:noProof/>
                <w:webHidden/>
              </w:rPr>
              <w:fldChar w:fldCharType="end"/>
            </w:r>
          </w:hyperlink>
        </w:p>
        <w:p w14:paraId="14E9B749" w14:textId="18778A50" w:rsidR="006A4EF1" w:rsidRPr="006A4EF1" w:rsidRDefault="009A2272" w:rsidP="006A4EF1">
          <w:pPr>
            <w:pStyle w:val="TDC3"/>
            <w:rPr>
              <w:rFonts w:asciiTheme="minorHAnsi" w:eastAsiaTheme="minorEastAsia" w:hAnsiTheme="minorHAnsi" w:cstheme="minorBidi"/>
              <w:noProof/>
              <w:szCs w:val="22"/>
              <w:lang w:eastAsia="es-MX"/>
            </w:rPr>
          </w:pPr>
          <w:hyperlink w:anchor="_Toc180061405" w:history="1">
            <w:r w:rsidR="006A4EF1" w:rsidRPr="006A4EF1">
              <w:rPr>
                <w:rStyle w:val="Hipervnculo"/>
                <w:noProof/>
                <w:color w:val="auto"/>
              </w:rPr>
              <w:t>d) Versión pública</w:t>
            </w:r>
            <w:r w:rsidR="006A4EF1" w:rsidRPr="006A4EF1">
              <w:rPr>
                <w:noProof/>
                <w:webHidden/>
              </w:rPr>
              <w:tab/>
            </w:r>
            <w:r w:rsidR="006A4EF1" w:rsidRPr="006A4EF1">
              <w:rPr>
                <w:noProof/>
                <w:webHidden/>
              </w:rPr>
              <w:fldChar w:fldCharType="begin"/>
            </w:r>
            <w:r w:rsidR="006A4EF1" w:rsidRPr="006A4EF1">
              <w:rPr>
                <w:noProof/>
                <w:webHidden/>
              </w:rPr>
              <w:instrText xml:space="preserve"> PAGEREF _Toc180061405 \h </w:instrText>
            </w:r>
            <w:r w:rsidR="006A4EF1" w:rsidRPr="006A4EF1">
              <w:rPr>
                <w:noProof/>
                <w:webHidden/>
              </w:rPr>
            </w:r>
            <w:r w:rsidR="006A4EF1" w:rsidRPr="006A4EF1">
              <w:rPr>
                <w:noProof/>
                <w:webHidden/>
              </w:rPr>
              <w:fldChar w:fldCharType="separate"/>
            </w:r>
            <w:r w:rsidR="00D74A7D">
              <w:rPr>
                <w:noProof/>
                <w:webHidden/>
              </w:rPr>
              <w:t>27</w:t>
            </w:r>
            <w:r w:rsidR="006A4EF1" w:rsidRPr="006A4EF1">
              <w:rPr>
                <w:noProof/>
                <w:webHidden/>
              </w:rPr>
              <w:fldChar w:fldCharType="end"/>
            </w:r>
          </w:hyperlink>
        </w:p>
        <w:p w14:paraId="65291AA6" w14:textId="2C35E3FC" w:rsidR="006A4EF1" w:rsidRPr="006A4EF1" w:rsidRDefault="009A2272" w:rsidP="006A4EF1">
          <w:pPr>
            <w:pStyle w:val="TDC3"/>
            <w:rPr>
              <w:rFonts w:asciiTheme="minorHAnsi" w:eastAsiaTheme="minorEastAsia" w:hAnsiTheme="minorHAnsi" w:cstheme="minorBidi"/>
              <w:noProof/>
              <w:szCs w:val="22"/>
              <w:lang w:eastAsia="es-MX"/>
            </w:rPr>
          </w:pPr>
          <w:hyperlink w:anchor="_Toc180061406" w:history="1">
            <w:r w:rsidR="006A4EF1" w:rsidRPr="006A4EF1">
              <w:rPr>
                <w:rStyle w:val="Hipervnculo"/>
                <w:rFonts w:eastAsia="Calibri"/>
                <w:noProof/>
                <w:color w:val="auto"/>
              </w:rPr>
              <w:t xml:space="preserve">e) </w:t>
            </w:r>
            <w:r w:rsidR="006A4EF1" w:rsidRPr="006A4EF1">
              <w:rPr>
                <w:rStyle w:val="Hipervnculo"/>
                <w:noProof/>
                <w:color w:val="auto"/>
              </w:rPr>
              <w:t>Conclusión</w:t>
            </w:r>
            <w:r w:rsidR="006A4EF1" w:rsidRPr="006A4EF1">
              <w:rPr>
                <w:noProof/>
                <w:webHidden/>
              </w:rPr>
              <w:tab/>
            </w:r>
            <w:r w:rsidR="006A4EF1" w:rsidRPr="006A4EF1">
              <w:rPr>
                <w:noProof/>
                <w:webHidden/>
              </w:rPr>
              <w:fldChar w:fldCharType="begin"/>
            </w:r>
            <w:r w:rsidR="006A4EF1" w:rsidRPr="006A4EF1">
              <w:rPr>
                <w:noProof/>
                <w:webHidden/>
              </w:rPr>
              <w:instrText xml:space="preserve"> PAGEREF _Toc180061406 \h </w:instrText>
            </w:r>
            <w:r w:rsidR="006A4EF1" w:rsidRPr="006A4EF1">
              <w:rPr>
                <w:noProof/>
                <w:webHidden/>
              </w:rPr>
            </w:r>
            <w:r w:rsidR="006A4EF1" w:rsidRPr="006A4EF1">
              <w:rPr>
                <w:noProof/>
                <w:webHidden/>
              </w:rPr>
              <w:fldChar w:fldCharType="separate"/>
            </w:r>
            <w:r w:rsidR="00D74A7D">
              <w:rPr>
                <w:noProof/>
                <w:webHidden/>
              </w:rPr>
              <w:t>33</w:t>
            </w:r>
            <w:r w:rsidR="006A4EF1" w:rsidRPr="006A4EF1">
              <w:rPr>
                <w:noProof/>
                <w:webHidden/>
              </w:rPr>
              <w:fldChar w:fldCharType="end"/>
            </w:r>
          </w:hyperlink>
        </w:p>
        <w:p w14:paraId="74F035CE" w14:textId="6D46189F" w:rsidR="006A4EF1" w:rsidRPr="006A4EF1" w:rsidRDefault="009A2272" w:rsidP="006A4EF1">
          <w:pPr>
            <w:pStyle w:val="TDC1"/>
            <w:tabs>
              <w:tab w:val="right" w:leader="dot" w:pos="9034"/>
            </w:tabs>
            <w:rPr>
              <w:rFonts w:asciiTheme="minorHAnsi" w:eastAsiaTheme="minorEastAsia" w:hAnsiTheme="minorHAnsi" w:cstheme="minorBidi"/>
              <w:noProof/>
              <w:szCs w:val="22"/>
              <w:lang w:eastAsia="es-MX"/>
            </w:rPr>
          </w:pPr>
          <w:hyperlink w:anchor="_Toc180061407" w:history="1">
            <w:r w:rsidR="006A4EF1" w:rsidRPr="006A4EF1">
              <w:rPr>
                <w:rStyle w:val="Hipervnculo"/>
                <w:noProof/>
                <w:color w:val="auto"/>
              </w:rPr>
              <w:t>RESUELVE</w:t>
            </w:r>
            <w:r w:rsidR="006A4EF1" w:rsidRPr="006A4EF1">
              <w:rPr>
                <w:noProof/>
                <w:webHidden/>
              </w:rPr>
              <w:tab/>
            </w:r>
            <w:r w:rsidR="006A4EF1" w:rsidRPr="006A4EF1">
              <w:rPr>
                <w:noProof/>
                <w:webHidden/>
              </w:rPr>
              <w:fldChar w:fldCharType="begin"/>
            </w:r>
            <w:r w:rsidR="006A4EF1" w:rsidRPr="006A4EF1">
              <w:rPr>
                <w:noProof/>
                <w:webHidden/>
              </w:rPr>
              <w:instrText xml:space="preserve"> PAGEREF _Toc180061407 \h </w:instrText>
            </w:r>
            <w:r w:rsidR="006A4EF1" w:rsidRPr="006A4EF1">
              <w:rPr>
                <w:noProof/>
                <w:webHidden/>
              </w:rPr>
            </w:r>
            <w:r w:rsidR="006A4EF1" w:rsidRPr="006A4EF1">
              <w:rPr>
                <w:noProof/>
                <w:webHidden/>
              </w:rPr>
              <w:fldChar w:fldCharType="separate"/>
            </w:r>
            <w:r w:rsidR="00D74A7D">
              <w:rPr>
                <w:noProof/>
                <w:webHidden/>
              </w:rPr>
              <w:t>34</w:t>
            </w:r>
            <w:r w:rsidR="006A4EF1" w:rsidRPr="006A4EF1">
              <w:rPr>
                <w:noProof/>
                <w:webHidden/>
              </w:rPr>
              <w:fldChar w:fldCharType="end"/>
            </w:r>
          </w:hyperlink>
        </w:p>
        <w:p w14:paraId="0C82FD7A" w14:textId="3E4D286E" w:rsidR="009B2945" w:rsidRPr="006A4EF1" w:rsidRDefault="00AE3DA7" w:rsidP="006A4EF1">
          <w:pPr>
            <w:pStyle w:val="TDC1"/>
            <w:tabs>
              <w:tab w:val="right" w:leader="dot" w:pos="9034"/>
            </w:tabs>
            <w:rPr>
              <w:b/>
              <w:bCs/>
              <w:szCs w:val="22"/>
              <w:lang w:val="es-ES"/>
            </w:rPr>
          </w:pPr>
          <w:r w:rsidRPr="006A4EF1">
            <w:rPr>
              <w:b/>
              <w:bCs/>
              <w:szCs w:val="22"/>
              <w:lang w:val="es-ES"/>
            </w:rPr>
            <w:fldChar w:fldCharType="end"/>
          </w:r>
        </w:p>
      </w:sdtContent>
    </w:sdt>
    <w:p w14:paraId="603A07E2" w14:textId="77777777" w:rsidR="00646436" w:rsidRPr="006A4EF1" w:rsidRDefault="00646436" w:rsidP="006A4EF1">
      <w:pPr>
        <w:rPr>
          <w:rFonts w:cs="Tahoma"/>
          <w:szCs w:val="22"/>
        </w:rPr>
        <w:sectPr w:rsidR="00646436" w:rsidRPr="006A4EF1"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159E14F" w:rsidR="00775BFC" w:rsidRPr="006A4EF1" w:rsidRDefault="00775BFC" w:rsidP="006A4EF1">
      <w:pPr>
        <w:rPr>
          <w:b/>
          <w:szCs w:val="22"/>
        </w:rPr>
      </w:pPr>
      <w:r w:rsidRPr="006A4EF1">
        <w:rPr>
          <w:szCs w:val="22"/>
        </w:rPr>
        <w:lastRenderedPageBreak/>
        <w:t xml:space="preserve">Resolución del Pleno del Instituto de Transparencia, Acceso a la Información Pública y Protección de Datos Personales del Estado de México y Municipios, con domicilio en Metepec, Estado de México, de </w:t>
      </w:r>
      <w:r w:rsidR="00086B6D" w:rsidRPr="006A4EF1">
        <w:rPr>
          <w:b/>
          <w:szCs w:val="22"/>
        </w:rPr>
        <w:t>dieciséis</w:t>
      </w:r>
      <w:r w:rsidR="00413154" w:rsidRPr="006A4EF1">
        <w:rPr>
          <w:b/>
          <w:szCs w:val="22"/>
        </w:rPr>
        <w:t xml:space="preserve"> de octubre</w:t>
      </w:r>
      <w:r w:rsidR="00ED7170" w:rsidRPr="006A4EF1">
        <w:rPr>
          <w:b/>
          <w:szCs w:val="22"/>
        </w:rPr>
        <w:t xml:space="preserve"> de dos mil veinticuatro.</w:t>
      </w:r>
    </w:p>
    <w:p w14:paraId="0AF3AAC4" w14:textId="77777777" w:rsidR="00775BFC" w:rsidRPr="006A4EF1" w:rsidRDefault="00775BFC" w:rsidP="006A4EF1">
      <w:pPr>
        <w:rPr>
          <w:szCs w:val="22"/>
        </w:rPr>
      </w:pPr>
    </w:p>
    <w:p w14:paraId="40EAE038" w14:textId="06917938" w:rsidR="00775BFC" w:rsidRPr="006A4EF1" w:rsidRDefault="00775BFC" w:rsidP="006A4EF1">
      <w:pPr>
        <w:rPr>
          <w:szCs w:val="22"/>
        </w:rPr>
      </w:pPr>
      <w:r w:rsidRPr="006A4EF1">
        <w:rPr>
          <w:b/>
          <w:szCs w:val="22"/>
        </w:rPr>
        <w:t xml:space="preserve">VISTO </w:t>
      </w:r>
      <w:r w:rsidRPr="006A4EF1">
        <w:rPr>
          <w:szCs w:val="22"/>
        </w:rPr>
        <w:t xml:space="preserve">el expediente formado con motivo del Recurso de Revisión </w:t>
      </w:r>
      <w:r w:rsidR="006F6C45" w:rsidRPr="006A4EF1">
        <w:rPr>
          <w:rFonts w:eastAsia="Calibri"/>
          <w:b/>
          <w:szCs w:val="22"/>
          <w:lang w:eastAsia="en-US"/>
        </w:rPr>
        <w:t>05817/INFOEM/IP/RR/2024</w:t>
      </w:r>
      <w:r w:rsidR="005314A3" w:rsidRPr="006A4EF1">
        <w:rPr>
          <w:rFonts w:eastAsia="Calibri"/>
          <w:b/>
          <w:szCs w:val="22"/>
          <w:lang w:eastAsia="en-US"/>
        </w:rPr>
        <w:t xml:space="preserve"> </w:t>
      </w:r>
      <w:r w:rsidRPr="006A4EF1">
        <w:rPr>
          <w:szCs w:val="22"/>
        </w:rPr>
        <w:t xml:space="preserve">interpuesto por </w:t>
      </w:r>
      <w:bookmarkStart w:id="2" w:name="_GoBack"/>
      <w:r w:rsidR="009E5261">
        <w:rPr>
          <w:b/>
          <w:bCs/>
          <w:szCs w:val="22"/>
        </w:rPr>
        <w:t xml:space="preserve">XXXXXX </w:t>
      </w:r>
      <w:proofErr w:type="spellStart"/>
      <w:r w:rsidR="009E5261">
        <w:rPr>
          <w:b/>
          <w:bCs/>
          <w:szCs w:val="22"/>
        </w:rPr>
        <w:t>XXXXXX</w:t>
      </w:r>
      <w:proofErr w:type="spellEnd"/>
      <w:r w:rsidR="009E5261">
        <w:rPr>
          <w:b/>
          <w:bCs/>
          <w:szCs w:val="22"/>
        </w:rPr>
        <w:t xml:space="preserve"> XXXXXXX</w:t>
      </w:r>
      <w:bookmarkEnd w:id="2"/>
      <w:r w:rsidRPr="006A4EF1">
        <w:rPr>
          <w:szCs w:val="22"/>
        </w:rPr>
        <w:t xml:space="preserve">, a quien en lo subsecuente se le denominará </w:t>
      </w:r>
      <w:r w:rsidRPr="006A4EF1">
        <w:rPr>
          <w:b/>
          <w:bCs/>
          <w:szCs w:val="22"/>
        </w:rPr>
        <w:t>LA PARTE RECURRENTE</w:t>
      </w:r>
      <w:r w:rsidRPr="006A4EF1">
        <w:rPr>
          <w:szCs w:val="22"/>
        </w:rPr>
        <w:t>, en contra de la respuesta emitida por</w:t>
      </w:r>
      <w:r w:rsidR="00A0449B" w:rsidRPr="006A4EF1">
        <w:rPr>
          <w:szCs w:val="22"/>
        </w:rPr>
        <w:t xml:space="preserve"> </w:t>
      </w:r>
      <w:r w:rsidR="00346A77" w:rsidRPr="006A4EF1">
        <w:rPr>
          <w:szCs w:val="22"/>
        </w:rPr>
        <w:t>el</w:t>
      </w:r>
      <w:r w:rsidR="000748DF" w:rsidRPr="006A4EF1">
        <w:rPr>
          <w:szCs w:val="22"/>
        </w:rPr>
        <w:t xml:space="preserve"> </w:t>
      </w:r>
      <w:r w:rsidR="006F6C45" w:rsidRPr="006A4EF1">
        <w:rPr>
          <w:b/>
          <w:bCs/>
          <w:szCs w:val="22"/>
        </w:rPr>
        <w:t>Ayuntamiento de la Paz</w:t>
      </w:r>
      <w:r w:rsidRPr="006A4EF1">
        <w:rPr>
          <w:szCs w:val="22"/>
        </w:rPr>
        <w:t xml:space="preserve">, en adelante </w:t>
      </w:r>
      <w:r w:rsidRPr="006A4EF1">
        <w:rPr>
          <w:b/>
          <w:bCs/>
          <w:szCs w:val="22"/>
        </w:rPr>
        <w:t>EL SUJETO OBLIGADO</w:t>
      </w:r>
      <w:r w:rsidRPr="006A4EF1">
        <w:rPr>
          <w:rFonts w:eastAsia="Calibri"/>
          <w:szCs w:val="22"/>
          <w:lang w:eastAsia="en-US"/>
        </w:rPr>
        <w:t xml:space="preserve">, </w:t>
      </w:r>
      <w:r w:rsidRPr="006A4EF1">
        <w:rPr>
          <w:szCs w:val="22"/>
        </w:rPr>
        <w:t>se emite la presente Resolución con base en los Antecedentes y Considerandos que se exponen a continuación:</w:t>
      </w:r>
    </w:p>
    <w:p w14:paraId="2116968C" w14:textId="77777777" w:rsidR="00775BFC" w:rsidRPr="006A4EF1" w:rsidRDefault="00775BFC" w:rsidP="006A4EF1">
      <w:pPr>
        <w:rPr>
          <w:szCs w:val="22"/>
        </w:rPr>
      </w:pPr>
    </w:p>
    <w:p w14:paraId="5A444FB6" w14:textId="639D3567" w:rsidR="00664420" w:rsidRPr="006A4EF1" w:rsidRDefault="00664420" w:rsidP="006A4EF1">
      <w:pPr>
        <w:pStyle w:val="Ttulo1"/>
        <w:rPr>
          <w:szCs w:val="22"/>
        </w:rPr>
      </w:pPr>
      <w:bookmarkStart w:id="3" w:name="_Toc180061380"/>
      <w:r w:rsidRPr="006A4EF1">
        <w:rPr>
          <w:szCs w:val="22"/>
        </w:rPr>
        <w:t>ANTECEDENTES</w:t>
      </w:r>
      <w:bookmarkEnd w:id="3"/>
    </w:p>
    <w:p w14:paraId="7CE9E53D" w14:textId="77777777" w:rsidR="00E37A3F" w:rsidRPr="006A4EF1" w:rsidRDefault="00E37A3F" w:rsidP="006A4EF1">
      <w:pPr>
        <w:rPr>
          <w:szCs w:val="22"/>
        </w:rPr>
      </w:pPr>
    </w:p>
    <w:p w14:paraId="09B2D38F" w14:textId="6E49D146" w:rsidR="00664420" w:rsidRPr="006A4EF1" w:rsidRDefault="00E37A3F" w:rsidP="006A4EF1">
      <w:pPr>
        <w:pStyle w:val="Ttulo2"/>
        <w:rPr>
          <w:szCs w:val="22"/>
        </w:rPr>
      </w:pPr>
      <w:bookmarkStart w:id="4" w:name="_Toc180061381"/>
      <w:r w:rsidRPr="006A4EF1">
        <w:rPr>
          <w:szCs w:val="22"/>
        </w:rPr>
        <w:t>DE LA SOLICITUD DE INFORMACIÓN</w:t>
      </w:r>
      <w:bookmarkEnd w:id="4"/>
    </w:p>
    <w:p w14:paraId="2C6AD1A5" w14:textId="0405B3CD" w:rsidR="00664420" w:rsidRPr="006A4EF1" w:rsidRDefault="00E37A3F" w:rsidP="006A4EF1">
      <w:pPr>
        <w:pStyle w:val="Ttulo3"/>
        <w:rPr>
          <w:szCs w:val="22"/>
        </w:rPr>
      </w:pPr>
      <w:bookmarkStart w:id="5" w:name="_Toc180061382"/>
      <w:r w:rsidRPr="006A4EF1">
        <w:rPr>
          <w:szCs w:val="22"/>
        </w:rPr>
        <w:t xml:space="preserve">a) </w:t>
      </w:r>
      <w:r w:rsidR="006B10B0" w:rsidRPr="006A4EF1">
        <w:rPr>
          <w:szCs w:val="22"/>
        </w:rPr>
        <w:t>S</w:t>
      </w:r>
      <w:r w:rsidR="00664420" w:rsidRPr="006A4EF1">
        <w:rPr>
          <w:szCs w:val="22"/>
        </w:rPr>
        <w:t xml:space="preserve">olicitud de </w:t>
      </w:r>
      <w:r w:rsidR="006B10B0" w:rsidRPr="006A4EF1">
        <w:rPr>
          <w:szCs w:val="22"/>
        </w:rPr>
        <w:t>i</w:t>
      </w:r>
      <w:r w:rsidR="00664420" w:rsidRPr="006A4EF1">
        <w:rPr>
          <w:szCs w:val="22"/>
        </w:rPr>
        <w:t>nformación</w:t>
      </w:r>
      <w:bookmarkEnd w:id="5"/>
    </w:p>
    <w:p w14:paraId="63FC8527" w14:textId="24128788" w:rsidR="006A28B4" w:rsidRPr="006A4EF1" w:rsidRDefault="006A28B4" w:rsidP="006A4EF1">
      <w:pPr>
        <w:pBdr>
          <w:top w:val="nil"/>
          <w:left w:val="nil"/>
          <w:bottom w:val="nil"/>
          <w:right w:val="nil"/>
          <w:between w:val="nil"/>
        </w:pBdr>
        <w:tabs>
          <w:tab w:val="left" w:pos="0"/>
        </w:tabs>
        <w:rPr>
          <w:rFonts w:eastAsia="Palatino Linotype" w:cs="Palatino Linotype"/>
          <w:szCs w:val="22"/>
        </w:rPr>
      </w:pPr>
      <w:r w:rsidRPr="006A4EF1">
        <w:rPr>
          <w:rFonts w:eastAsia="Palatino Linotype" w:cs="Palatino Linotype"/>
          <w:szCs w:val="22"/>
        </w:rPr>
        <w:t xml:space="preserve">El </w:t>
      </w:r>
      <w:r w:rsidR="006F6C45" w:rsidRPr="006A4EF1">
        <w:rPr>
          <w:rFonts w:eastAsia="Palatino Linotype" w:cs="Palatino Linotype"/>
          <w:b/>
          <w:szCs w:val="22"/>
        </w:rPr>
        <w:t>once de julio</w:t>
      </w:r>
      <w:r w:rsidRPr="006A4EF1">
        <w:rPr>
          <w:rFonts w:eastAsia="Palatino Linotype" w:cs="Palatino Linotype"/>
          <w:b/>
          <w:szCs w:val="22"/>
        </w:rPr>
        <w:t xml:space="preserve"> de dos mil veinticuatro</w:t>
      </w:r>
      <w:r w:rsidR="00721C9E" w:rsidRPr="006A4EF1">
        <w:rPr>
          <w:rFonts w:eastAsia="Palatino Linotype" w:cs="Palatino Linotype"/>
          <w:b/>
          <w:szCs w:val="22"/>
        </w:rPr>
        <w:t>,</w:t>
      </w:r>
      <w:r w:rsidRPr="006A4EF1">
        <w:rPr>
          <w:rFonts w:eastAsia="Palatino Linotype" w:cs="Palatino Linotype"/>
          <w:szCs w:val="22"/>
        </w:rPr>
        <w:t xml:space="preserve"> </w:t>
      </w:r>
      <w:r w:rsidRPr="006A4EF1">
        <w:rPr>
          <w:rFonts w:eastAsia="Palatino Linotype" w:cs="Palatino Linotype"/>
          <w:b/>
          <w:szCs w:val="22"/>
        </w:rPr>
        <w:t>LA PARTE RECURRENTE</w:t>
      </w:r>
      <w:r w:rsidRPr="006A4EF1">
        <w:rPr>
          <w:rFonts w:eastAsia="Palatino Linotype" w:cs="Palatino Linotype"/>
          <w:szCs w:val="22"/>
        </w:rPr>
        <w:t xml:space="preserve"> presentó una solicitud de acceso a la información pública ante el </w:t>
      </w:r>
      <w:r w:rsidRPr="006A4EF1">
        <w:rPr>
          <w:rFonts w:eastAsia="Palatino Linotype" w:cs="Palatino Linotype"/>
          <w:b/>
          <w:szCs w:val="22"/>
        </w:rPr>
        <w:t>SUJETO OBLIGADO</w:t>
      </w:r>
      <w:r w:rsidRPr="006A4EF1">
        <w:rPr>
          <w:rFonts w:eastAsia="Palatino Linotype" w:cs="Palatino Linotype"/>
          <w:szCs w:val="22"/>
        </w:rPr>
        <w:t xml:space="preserve">, a través </w:t>
      </w:r>
      <w:r w:rsidR="006F6C45" w:rsidRPr="006A4EF1">
        <w:rPr>
          <w:rFonts w:eastAsia="Palatino Linotype" w:cs="Palatino Linotype"/>
          <w:szCs w:val="22"/>
        </w:rPr>
        <w:t xml:space="preserve">del </w:t>
      </w:r>
      <w:r w:rsidRPr="006A4EF1">
        <w:rPr>
          <w:rFonts w:eastAsia="Palatino Linotype" w:cs="Palatino Linotype"/>
          <w:szCs w:val="22"/>
        </w:rPr>
        <w:t>Sistema de Acceso a la Información Mexiquense (SAIMEX). Dicha solicitud quedó registrada con el número de folio</w:t>
      </w:r>
      <w:r w:rsidRPr="006A4EF1">
        <w:rPr>
          <w:rFonts w:eastAsia="Palatino Linotype" w:cs="Palatino Linotype"/>
          <w:b/>
          <w:szCs w:val="22"/>
        </w:rPr>
        <w:t xml:space="preserve"> </w:t>
      </w:r>
      <w:r w:rsidR="006F6C45" w:rsidRPr="006A4EF1">
        <w:rPr>
          <w:rFonts w:eastAsia="Palatino Linotype" w:cs="Palatino Linotype"/>
          <w:b/>
          <w:szCs w:val="22"/>
        </w:rPr>
        <w:t>00178/LAPAZ/IP/2024</w:t>
      </w:r>
      <w:r w:rsidRPr="006A4EF1">
        <w:rPr>
          <w:rFonts w:eastAsia="Palatino Linotype" w:cs="Palatino Linotype"/>
          <w:b/>
          <w:szCs w:val="22"/>
        </w:rPr>
        <w:t xml:space="preserve"> </w:t>
      </w:r>
      <w:r w:rsidRPr="006A4EF1">
        <w:rPr>
          <w:rFonts w:eastAsia="Palatino Linotype" w:cs="Palatino Linotype"/>
          <w:szCs w:val="22"/>
        </w:rPr>
        <w:t>y en ella se requirió la siguiente información:</w:t>
      </w:r>
    </w:p>
    <w:p w14:paraId="596FDDE9" w14:textId="77777777" w:rsidR="002E2C99" w:rsidRPr="006A4EF1" w:rsidRDefault="002E2C99" w:rsidP="006A4EF1">
      <w:pPr>
        <w:tabs>
          <w:tab w:val="left" w:pos="4667"/>
        </w:tabs>
        <w:ind w:right="567"/>
        <w:rPr>
          <w:rFonts w:eastAsiaTheme="majorEastAsia" w:cstheme="majorBidi"/>
          <w:i/>
          <w:kern w:val="28"/>
          <w:szCs w:val="22"/>
        </w:rPr>
      </w:pPr>
    </w:p>
    <w:p w14:paraId="63030159" w14:textId="3862B6F9" w:rsidR="007D21FF" w:rsidRPr="006A4EF1" w:rsidRDefault="006F6C45" w:rsidP="006A4EF1">
      <w:pPr>
        <w:pStyle w:val="Puesto"/>
      </w:pPr>
      <w:r w:rsidRPr="006A4EF1">
        <w:t xml:space="preserve">Solicitud de información respecto al monumento al Benemérito de las Américas Benito </w:t>
      </w:r>
      <w:proofErr w:type="spellStart"/>
      <w:r w:rsidRPr="006A4EF1">
        <w:t>Juarez</w:t>
      </w:r>
      <w:proofErr w:type="spellEnd"/>
      <w:r w:rsidRPr="006A4EF1">
        <w:t xml:space="preserve"> García, que se encontraba en la entrada o salida del municipio sobre el camellón en la carretera federal México - Texcoco Km25. 5. Por lo que se hace las siguientes </w:t>
      </w:r>
      <w:proofErr w:type="gramStart"/>
      <w:r w:rsidRPr="006A4EF1">
        <w:t>preguntas :</w:t>
      </w:r>
      <w:proofErr w:type="gramEnd"/>
      <w:r w:rsidRPr="006A4EF1">
        <w:t xml:space="preserve"> 1.-¿Quién autorizó qué se quitará el momento en mención? 2.</w:t>
      </w:r>
      <w:proofErr w:type="gramStart"/>
      <w:r w:rsidRPr="006A4EF1">
        <w:t>-¿</w:t>
      </w:r>
      <w:proofErr w:type="gramEnd"/>
      <w:r w:rsidRPr="006A4EF1">
        <w:t>Qué motivo esta acción? 3.</w:t>
      </w:r>
      <w:proofErr w:type="gramStart"/>
      <w:r w:rsidRPr="006A4EF1">
        <w:t>-¿</w:t>
      </w:r>
      <w:proofErr w:type="gramEnd"/>
      <w:r w:rsidRPr="006A4EF1">
        <w:t>Qué autoridad ejecutó? 4.- ¿</w:t>
      </w:r>
      <w:proofErr w:type="spellStart"/>
      <w:r w:rsidRPr="006A4EF1">
        <w:t>Donde</w:t>
      </w:r>
      <w:proofErr w:type="spellEnd"/>
      <w:r w:rsidRPr="006A4EF1">
        <w:t xml:space="preserve"> se encuentra actualmente dicho monumento?</w:t>
      </w:r>
    </w:p>
    <w:p w14:paraId="3E123CFB" w14:textId="77777777" w:rsidR="006F6C45" w:rsidRPr="006A4EF1" w:rsidRDefault="006F6C45" w:rsidP="006A4EF1"/>
    <w:p w14:paraId="0BD6321D" w14:textId="5CBA50CF" w:rsidR="00664420" w:rsidRPr="006A4EF1" w:rsidRDefault="009A2D78" w:rsidP="006A4EF1">
      <w:pPr>
        <w:tabs>
          <w:tab w:val="left" w:pos="4667"/>
        </w:tabs>
        <w:ind w:right="567"/>
        <w:rPr>
          <w:rFonts w:cs="Tahoma"/>
          <w:bCs/>
          <w:i/>
          <w:szCs w:val="22"/>
        </w:rPr>
      </w:pPr>
      <w:r w:rsidRPr="006A4EF1">
        <w:rPr>
          <w:rFonts w:cs="Tahoma"/>
          <w:b/>
          <w:bCs/>
          <w:szCs w:val="22"/>
        </w:rPr>
        <w:t>Modalidad de entrega</w:t>
      </w:r>
      <w:r w:rsidRPr="006A4EF1">
        <w:rPr>
          <w:rFonts w:cs="Tahoma"/>
          <w:bCs/>
          <w:szCs w:val="22"/>
        </w:rPr>
        <w:t>: a</w:t>
      </w:r>
      <w:r w:rsidR="00664420" w:rsidRPr="006A4EF1">
        <w:rPr>
          <w:rFonts w:cs="Tahoma"/>
          <w:bCs/>
          <w:i/>
          <w:szCs w:val="22"/>
        </w:rPr>
        <w:t xml:space="preserve"> través </w:t>
      </w:r>
      <w:r w:rsidR="00C84660" w:rsidRPr="006A4EF1">
        <w:rPr>
          <w:rFonts w:cs="Tahoma"/>
          <w:bCs/>
          <w:i/>
          <w:szCs w:val="22"/>
        </w:rPr>
        <w:t>de</w:t>
      </w:r>
      <w:r w:rsidR="00664420" w:rsidRPr="006A4EF1">
        <w:rPr>
          <w:rFonts w:cs="Tahoma"/>
          <w:bCs/>
          <w:i/>
          <w:szCs w:val="22"/>
        </w:rPr>
        <w:t xml:space="preserve">l </w:t>
      </w:r>
      <w:r w:rsidR="00664420" w:rsidRPr="006A4EF1">
        <w:rPr>
          <w:rFonts w:cs="Tahoma"/>
          <w:b/>
          <w:bCs/>
          <w:i/>
          <w:szCs w:val="22"/>
        </w:rPr>
        <w:t>SAIMEX</w:t>
      </w:r>
      <w:r w:rsidRPr="006A4EF1">
        <w:rPr>
          <w:rFonts w:cs="Tahoma"/>
          <w:bCs/>
          <w:i/>
          <w:szCs w:val="22"/>
        </w:rPr>
        <w:t>.</w:t>
      </w:r>
    </w:p>
    <w:p w14:paraId="330F73DA" w14:textId="77777777" w:rsidR="006F611E" w:rsidRPr="006A4EF1" w:rsidRDefault="006F611E" w:rsidP="006A4EF1">
      <w:pPr>
        <w:tabs>
          <w:tab w:val="left" w:pos="4667"/>
        </w:tabs>
        <w:ind w:right="567"/>
        <w:rPr>
          <w:rFonts w:cs="Tahoma"/>
          <w:bCs/>
          <w:i/>
          <w:szCs w:val="22"/>
        </w:rPr>
      </w:pPr>
    </w:p>
    <w:p w14:paraId="51E30624" w14:textId="1F48D22D" w:rsidR="008F3837" w:rsidRPr="006A4EF1" w:rsidRDefault="008F3837" w:rsidP="006A4EF1">
      <w:pPr>
        <w:pStyle w:val="Ttulo3"/>
        <w:rPr>
          <w:bCs/>
          <w:szCs w:val="22"/>
        </w:rPr>
      </w:pPr>
      <w:bookmarkStart w:id="6" w:name="_Toc180061383"/>
      <w:r w:rsidRPr="006A4EF1">
        <w:rPr>
          <w:szCs w:val="22"/>
        </w:rPr>
        <w:lastRenderedPageBreak/>
        <w:t xml:space="preserve">b) </w:t>
      </w:r>
      <w:r w:rsidR="006F6C45" w:rsidRPr="006A4EF1">
        <w:rPr>
          <w:bCs/>
          <w:szCs w:val="22"/>
        </w:rPr>
        <w:t>Solicitud de aclaración</w:t>
      </w:r>
      <w:bookmarkEnd w:id="6"/>
    </w:p>
    <w:p w14:paraId="71D31C0E" w14:textId="21CCB76E" w:rsidR="006F6C45" w:rsidRPr="006A4EF1" w:rsidRDefault="006F6C45" w:rsidP="006A4EF1">
      <w:r w:rsidRPr="006A4EF1">
        <w:t xml:space="preserve">De las constancias que obran en el SAIMEX, se advierte que el </w:t>
      </w:r>
      <w:r w:rsidRPr="006A4EF1">
        <w:rPr>
          <w:b/>
        </w:rPr>
        <w:t>dieciocho de julio de dos mil veinticuatro</w:t>
      </w:r>
      <w:r w:rsidRPr="006A4EF1">
        <w:t xml:space="preserve">, </w:t>
      </w:r>
      <w:r w:rsidRPr="006A4EF1">
        <w:rPr>
          <w:b/>
        </w:rPr>
        <w:t>EL SUJETO OBLIGADO</w:t>
      </w:r>
      <w:r w:rsidRPr="006A4EF1">
        <w:t xml:space="preserve"> notificó a </w:t>
      </w:r>
      <w:r w:rsidRPr="006A4EF1">
        <w:rPr>
          <w:b/>
        </w:rPr>
        <w:t>LA PARTE RECURRENTE</w:t>
      </w:r>
      <w:r w:rsidRPr="006A4EF1">
        <w:t>, una solicitud de aclaración, en los términos siguientes:</w:t>
      </w:r>
    </w:p>
    <w:p w14:paraId="3E64B41F" w14:textId="77777777" w:rsidR="006F6C45" w:rsidRPr="006A4EF1" w:rsidRDefault="006F6C45" w:rsidP="006A4EF1"/>
    <w:p w14:paraId="210DCB77" w14:textId="77777777" w:rsidR="006F6C45" w:rsidRPr="006A4EF1" w:rsidRDefault="006F6C45" w:rsidP="006A4EF1">
      <w:pPr>
        <w:pStyle w:val="Puesto"/>
        <w:jc w:val="right"/>
      </w:pPr>
      <w:r w:rsidRPr="006A4EF1">
        <w:t>Folio de la solicitud: 00178/LAPAZ/IP/2024</w:t>
      </w:r>
    </w:p>
    <w:p w14:paraId="654F911E" w14:textId="77777777" w:rsidR="006F6C45" w:rsidRPr="006A4EF1" w:rsidRDefault="006F6C45" w:rsidP="006A4EF1"/>
    <w:p w14:paraId="29435738" w14:textId="77777777" w:rsidR="006F6C45" w:rsidRPr="006A4EF1" w:rsidRDefault="006F6C45" w:rsidP="006A4EF1">
      <w:pPr>
        <w:pStyle w:val="Puesto"/>
      </w:pPr>
      <w:r w:rsidRPr="006A4EF1">
        <w:t xml:space="preserve">Con fundamento en el </w:t>
      </w:r>
      <w:proofErr w:type="spellStart"/>
      <w:proofErr w:type="gramStart"/>
      <w:r w:rsidRPr="006A4EF1">
        <w:t>articulo</w:t>
      </w:r>
      <w:proofErr w:type="spellEnd"/>
      <w:proofErr w:type="gramEnd"/>
      <w:r w:rsidRPr="006A4EF1">
        <w:t xml:space="preserve"> 159 de la Ley de Transparencia y Acceso a la Información Pública del Estado de México y Municipios, se le requiere para que dentro del plazo de diez días hábiles realice lo siguiente:</w:t>
      </w:r>
    </w:p>
    <w:p w14:paraId="387F05D0" w14:textId="77777777" w:rsidR="006F6C45" w:rsidRPr="006A4EF1" w:rsidRDefault="006F6C45" w:rsidP="006A4EF1"/>
    <w:p w14:paraId="1775C1A8" w14:textId="77777777" w:rsidR="006F6C45" w:rsidRPr="006A4EF1" w:rsidRDefault="006F6C45" w:rsidP="006A4EF1">
      <w:pPr>
        <w:pStyle w:val="Puesto"/>
      </w:pPr>
      <w:r w:rsidRPr="006A4EF1">
        <w:t>1. CUANDO MENCIONA ACCIÓN ¿A QUE SE REFIERE? 2.- ¿DE QUE PERIODICIDAD REQUIERE LA INFORMACIÓN?</w:t>
      </w:r>
    </w:p>
    <w:p w14:paraId="7C0ED533" w14:textId="77777777" w:rsidR="006F6C45" w:rsidRPr="006A4EF1" w:rsidRDefault="006F6C45" w:rsidP="006A4EF1"/>
    <w:p w14:paraId="1B931A5B" w14:textId="77777777" w:rsidR="006F6C45" w:rsidRPr="006A4EF1" w:rsidRDefault="006F6C45" w:rsidP="006A4EF1">
      <w:pPr>
        <w:pStyle w:val="Puesto"/>
      </w:pPr>
      <w:r w:rsidRPr="006A4EF1">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60160128" w14:textId="77777777" w:rsidR="006F6C45" w:rsidRPr="006A4EF1" w:rsidRDefault="006F6C45" w:rsidP="006A4EF1">
      <w:pPr>
        <w:pStyle w:val="Puesto"/>
      </w:pPr>
    </w:p>
    <w:p w14:paraId="7566E41B" w14:textId="77777777" w:rsidR="006F6C45" w:rsidRPr="006A4EF1" w:rsidRDefault="006F6C45" w:rsidP="006A4EF1">
      <w:pPr>
        <w:pStyle w:val="Puesto"/>
      </w:pPr>
      <w:r w:rsidRPr="006A4EF1">
        <w:t>ATENTAMENTE</w:t>
      </w:r>
    </w:p>
    <w:p w14:paraId="47B3C976" w14:textId="0749D1DA" w:rsidR="006F6C45" w:rsidRPr="006A4EF1" w:rsidRDefault="006F6C45" w:rsidP="006A4EF1">
      <w:pPr>
        <w:pStyle w:val="Puesto"/>
      </w:pPr>
      <w:r w:rsidRPr="006A4EF1">
        <w:t xml:space="preserve">LIC. QUETZALLI VIOLETA HERNANDEZ </w:t>
      </w:r>
      <w:proofErr w:type="spellStart"/>
      <w:r w:rsidRPr="006A4EF1">
        <w:t>HERNANDEZ</w:t>
      </w:r>
      <w:proofErr w:type="spellEnd"/>
    </w:p>
    <w:p w14:paraId="3296C3A0" w14:textId="77777777" w:rsidR="006F6C45" w:rsidRPr="006A4EF1" w:rsidRDefault="006F6C45" w:rsidP="006A4EF1"/>
    <w:p w14:paraId="29C29F0F" w14:textId="301DA01C" w:rsidR="006F6C45" w:rsidRPr="006A4EF1" w:rsidRDefault="006F6C45" w:rsidP="006A4EF1">
      <w:pPr>
        <w:pStyle w:val="Ttulo3"/>
        <w:rPr>
          <w:szCs w:val="22"/>
        </w:rPr>
      </w:pPr>
      <w:bookmarkStart w:id="7" w:name="_Toc180061384"/>
      <w:r w:rsidRPr="006A4EF1">
        <w:rPr>
          <w:szCs w:val="22"/>
        </w:rPr>
        <w:t xml:space="preserve">c) </w:t>
      </w:r>
      <w:r w:rsidRPr="006A4EF1">
        <w:rPr>
          <w:bCs/>
          <w:szCs w:val="22"/>
        </w:rPr>
        <w:t>Turno de la solicitud de información</w:t>
      </w:r>
      <w:bookmarkEnd w:id="7"/>
    </w:p>
    <w:p w14:paraId="73DA7815" w14:textId="58F6624D" w:rsidR="008F3837" w:rsidRPr="006A4EF1" w:rsidRDefault="008F3837" w:rsidP="006A4EF1">
      <w:pPr>
        <w:tabs>
          <w:tab w:val="left" w:pos="4667"/>
        </w:tabs>
        <w:ind w:right="567"/>
        <w:rPr>
          <w:rFonts w:cs="Tahoma"/>
          <w:bCs/>
          <w:szCs w:val="22"/>
        </w:rPr>
      </w:pPr>
      <w:r w:rsidRPr="006A4EF1">
        <w:rPr>
          <w:rFonts w:cs="Tahoma"/>
          <w:bCs/>
          <w:szCs w:val="22"/>
        </w:rPr>
        <w:t>En cumplimiento al artículo 162 de la Ley de Transparencia y Acceso a la Información Pública del Estado de México y Municipios, el</w:t>
      </w:r>
      <w:r w:rsidR="00346A77" w:rsidRPr="006A4EF1">
        <w:rPr>
          <w:rFonts w:cs="Tahoma"/>
          <w:bCs/>
          <w:szCs w:val="22"/>
        </w:rPr>
        <w:t xml:space="preserve"> </w:t>
      </w:r>
      <w:r w:rsidR="006F6C45" w:rsidRPr="006A4EF1">
        <w:rPr>
          <w:rFonts w:cs="Tahoma"/>
          <w:b/>
          <w:bCs/>
          <w:szCs w:val="22"/>
        </w:rPr>
        <w:t>veintiséis de agosto</w:t>
      </w:r>
      <w:r w:rsidRPr="006A4EF1">
        <w:rPr>
          <w:rFonts w:cs="Tahoma"/>
          <w:b/>
          <w:bCs/>
          <w:szCs w:val="22"/>
        </w:rPr>
        <w:t xml:space="preserve"> de dos mil veinticuatro</w:t>
      </w:r>
      <w:r w:rsidRPr="006A4EF1">
        <w:rPr>
          <w:rFonts w:cs="Tahoma"/>
          <w:bCs/>
          <w:szCs w:val="22"/>
        </w:rPr>
        <w:t xml:space="preserve">, el Titular de la Unidad de Transparencia del </w:t>
      </w:r>
      <w:r w:rsidRPr="006A4EF1">
        <w:rPr>
          <w:rFonts w:cs="Tahoma"/>
          <w:b/>
          <w:bCs/>
          <w:szCs w:val="22"/>
        </w:rPr>
        <w:t>SUJETO OBLIGADO</w:t>
      </w:r>
      <w:r w:rsidRPr="006A4EF1">
        <w:rPr>
          <w:rFonts w:cs="Tahoma"/>
          <w:bCs/>
          <w:szCs w:val="22"/>
        </w:rPr>
        <w:t xml:space="preserve"> turnó la solicitud de información a los servidores públicos habilitados que estimó pertinente.</w:t>
      </w:r>
    </w:p>
    <w:p w14:paraId="1C0542AF" w14:textId="77777777" w:rsidR="008F3837" w:rsidRPr="006A4EF1" w:rsidRDefault="008F3837" w:rsidP="006A4EF1">
      <w:pPr>
        <w:tabs>
          <w:tab w:val="left" w:pos="4667"/>
        </w:tabs>
        <w:ind w:right="567"/>
        <w:rPr>
          <w:rFonts w:cs="Tahoma"/>
          <w:bCs/>
          <w:szCs w:val="22"/>
        </w:rPr>
      </w:pPr>
    </w:p>
    <w:p w14:paraId="48B7A8F7" w14:textId="7DC28842" w:rsidR="006F6C45" w:rsidRPr="006A4EF1" w:rsidRDefault="006F6C45" w:rsidP="006A4EF1">
      <w:pPr>
        <w:pStyle w:val="Ttulo3"/>
      </w:pPr>
      <w:bookmarkStart w:id="8" w:name="_Toc171517735"/>
      <w:bookmarkStart w:id="9" w:name="_Toc180061385"/>
      <w:r w:rsidRPr="006A4EF1">
        <w:lastRenderedPageBreak/>
        <w:t>d) Prórroga</w:t>
      </w:r>
      <w:bookmarkEnd w:id="8"/>
      <w:bookmarkEnd w:id="9"/>
    </w:p>
    <w:p w14:paraId="48D9DA1B" w14:textId="5ED0DE1A" w:rsidR="006F6C45" w:rsidRPr="006A4EF1" w:rsidRDefault="006F6C45" w:rsidP="006A4EF1">
      <w:r w:rsidRPr="006A4EF1">
        <w:t xml:space="preserve">De las constancias que obran en el SAIMEX, se advierte que el </w:t>
      </w:r>
      <w:r w:rsidR="004C7542" w:rsidRPr="006A4EF1">
        <w:rPr>
          <w:b/>
        </w:rPr>
        <w:t>veintiséis de agosto</w:t>
      </w:r>
      <w:r w:rsidRPr="006A4EF1">
        <w:rPr>
          <w:b/>
        </w:rPr>
        <w:t xml:space="preserve"> de dos mil veinticuatro</w:t>
      </w:r>
      <w:r w:rsidRPr="006A4EF1">
        <w:t xml:space="preserve">, </w:t>
      </w:r>
      <w:r w:rsidRPr="006A4EF1">
        <w:rPr>
          <w:b/>
        </w:rPr>
        <w:t>EL SUJETO OBLIGADO</w:t>
      </w:r>
      <w:r w:rsidRPr="006A4EF1">
        <w:t xml:space="preserve"> notificó una prórroga de siete días para dar respuesta a la solicitud de información planteada por </w:t>
      </w:r>
      <w:r w:rsidRPr="006A4EF1">
        <w:rPr>
          <w:b/>
        </w:rPr>
        <w:t>LA PARTE RECURRENTE</w:t>
      </w:r>
      <w:r w:rsidRPr="006A4EF1">
        <w:t>, en los siguientes términos:</w:t>
      </w:r>
    </w:p>
    <w:p w14:paraId="6891177F" w14:textId="77777777" w:rsidR="006F6C45" w:rsidRPr="006A4EF1" w:rsidRDefault="006F6C45" w:rsidP="006A4EF1"/>
    <w:p w14:paraId="288DCE6E" w14:textId="77777777" w:rsidR="004C7542" w:rsidRPr="006A4EF1" w:rsidRDefault="006F6C45" w:rsidP="006A4EF1">
      <w:pPr>
        <w:pStyle w:val="Puesto"/>
        <w:jc w:val="right"/>
      </w:pPr>
      <w:r w:rsidRPr="006A4EF1">
        <w:t>“</w:t>
      </w:r>
      <w:r w:rsidR="004C7542" w:rsidRPr="006A4EF1">
        <w:t>Folio de la solicitud: 00178/LAPAZ/IP/2024</w:t>
      </w:r>
    </w:p>
    <w:p w14:paraId="518DBF2E" w14:textId="77777777" w:rsidR="004C7542" w:rsidRPr="006A4EF1" w:rsidRDefault="004C7542" w:rsidP="006A4EF1"/>
    <w:p w14:paraId="63350B21" w14:textId="77777777" w:rsidR="004C7542" w:rsidRPr="006A4EF1" w:rsidRDefault="004C7542" w:rsidP="006A4EF1">
      <w:pPr>
        <w:pStyle w:val="Puesto"/>
      </w:pPr>
      <w:r w:rsidRPr="006A4EF1">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45EC1A95" w14:textId="77777777" w:rsidR="004C7542" w:rsidRPr="006A4EF1" w:rsidRDefault="004C7542" w:rsidP="006A4EF1"/>
    <w:p w14:paraId="04F8E189" w14:textId="77777777" w:rsidR="004C7542" w:rsidRPr="006A4EF1" w:rsidRDefault="004C7542" w:rsidP="006A4EF1">
      <w:pPr>
        <w:pStyle w:val="Puesto"/>
      </w:pPr>
      <w:r w:rsidRPr="006A4EF1">
        <w:t>SE APRUEBA PRORROGA MEDIANTE ACTA DE COMITÉ</w:t>
      </w:r>
    </w:p>
    <w:p w14:paraId="5AF0F180" w14:textId="77777777" w:rsidR="004C7542" w:rsidRPr="006A4EF1" w:rsidRDefault="004C7542" w:rsidP="006A4EF1">
      <w:pPr>
        <w:pStyle w:val="Puesto"/>
      </w:pPr>
      <w:r w:rsidRPr="006A4EF1">
        <w:t>DRA. GUADALUPE DEL PILAR CASTELLANOS GUERRERO</w:t>
      </w:r>
    </w:p>
    <w:p w14:paraId="4287386E" w14:textId="686DA632" w:rsidR="006F6C45" w:rsidRPr="006A4EF1" w:rsidRDefault="004C7542" w:rsidP="006A4EF1">
      <w:pPr>
        <w:pStyle w:val="Puesto"/>
      </w:pPr>
      <w:r w:rsidRPr="006A4EF1">
        <w:t>Responsable de la Unidad de Transparencia</w:t>
      </w:r>
      <w:r w:rsidR="006F6C45" w:rsidRPr="006A4EF1">
        <w:t>”</w:t>
      </w:r>
    </w:p>
    <w:p w14:paraId="588CAF4C" w14:textId="77777777" w:rsidR="006F6C45" w:rsidRPr="006A4EF1" w:rsidRDefault="006F6C45" w:rsidP="006A4EF1"/>
    <w:p w14:paraId="282DE08F" w14:textId="323C364A" w:rsidR="006F6C45" w:rsidRPr="006A4EF1" w:rsidRDefault="004C7542" w:rsidP="006A4EF1">
      <w:r w:rsidRPr="006A4EF1">
        <w:t>En la que</w:t>
      </w:r>
      <w:r w:rsidR="006F6C45" w:rsidRPr="006A4EF1">
        <w:t xml:space="preserve"> se advierte que dicha prórroga </w:t>
      </w:r>
      <w:r w:rsidRPr="006A4EF1">
        <w:t>se cumplió</w:t>
      </w:r>
      <w:r w:rsidR="006F6C45" w:rsidRPr="006A4EF1">
        <w:t xml:space="preserve"> con lo establecido en los artículos 49, fracción II y 163, segundo párrafo, de la Ley de Transparencia y Acceso a la Información Pública del Estado de México y Municipios, pues en el expediente que obra en el SAIMEX se advierte que </w:t>
      </w:r>
      <w:r w:rsidR="006F6C45" w:rsidRPr="006A4EF1">
        <w:rPr>
          <w:b/>
        </w:rPr>
        <w:t>EL SUJETO OBLIGADO</w:t>
      </w:r>
      <w:r w:rsidR="006F6C45" w:rsidRPr="006A4EF1">
        <w:t xml:space="preserve"> acompañó </w:t>
      </w:r>
      <w:r w:rsidRPr="006A4EF1">
        <w:t xml:space="preserve">el documento denominado </w:t>
      </w:r>
      <w:r w:rsidRPr="006A4EF1">
        <w:rPr>
          <w:b/>
          <w:i/>
        </w:rPr>
        <w:t xml:space="preserve">acta de la </w:t>
      </w:r>
      <w:proofErr w:type="spellStart"/>
      <w:r w:rsidRPr="006A4EF1">
        <w:rPr>
          <w:b/>
          <w:i/>
        </w:rPr>
        <w:t>vigesima</w:t>
      </w:r>
      <w:proofErr w:type="spellEnd"/>
      <w:r w:rsidRPr="006A4EF1">
        <w:rPr>
          <w:b/>
          <w:i/>
        </w:rPr>
        <w:t xml:space="preserve"> </w:t>
      </w:r>
      <w:proofErr w:type="spellStart"/>
      <w:r w:rsidRPr="006A4EF1">
        <w:rPr>
          <w:b/>
          <w:i/>
        </w:rPr>
        <w:t>sesion</w:t>
      </w:r>
      <w:proofErr w:type="spellEnd"/>
      <w:r w:rsidRPr="006A4EF1">
        <w:rPr>
          <w:b/>
          <w:i/>
        </w:rPr>
        <w:t xml:space="preserve"> 2024-1.pdf</w:t>
      </w:r>
      <w:r w:rsidRPr="006A4EF1">
        <w:t xml:space="preserve"> </w:t>
      </w:r>
      <w:r w:rsidR="006F6C45" w:rsidRPr="006A4EF1">
        <w:t>mediante el cual el Comité de Transparencia aprobó la ampliación de plazo para dar respuesta a la solicitud de información.</w:t>
      </w:r>
    </w:p>
    <w:p w14:paraId="0931708E" w14:textId="77777777" w:rsidR="006F6C45" w:rsidRPr="006A4EF1" w:rsidRDefault="006F6C45" w:rsidP="006A4EF1">
      <w:pPr>
        <w:tabs>
          <w:tab w:val="left" w:pos="4667"/>
        </w:tabs>
        <w:ind w:right="567"/>
        <w:rPr>
          <w:rFonts w:cs="Tahoma"/>
          <w:bCs/>
          <w:szCs w:val="22"/>
        </w:rPr>
      </w:pPr>
    </w:p>
    <w:p w14:paraId="3212BA4D" w14:textId="7E525AC8" w:rsidR="00664420" w:rsidRPr="006A4EF1" w:rsidRDefault="002F629F" w:rsidP="006A4EF1">
      <w:pPr>
        <w:pStyle w:val="Ttulo3"/>
        <w:rPr>
          <w:szCs w:val="22"/>
        </w:rPr>
      </w:pPr>
      <w:bookmarkStart w:id="10" w:name="_Toc180061386"/>
      <w:r w:rsidRPr="006A4EF1">
        <w:rPr>
          <w:szCs w:val="22"/>
          <w:lang w:val="es-ES"/>
        </w:rPr>
        <w:t>e</w:t>
      </w:r>
      <w:r w:rsidR="002E2C99" w:rsidRPr="006A4EF1">
        <w:rPr>
          <w:szCs w:val="22"/>
          <w:lang w:val="es-ES"/>
        </w:rPr>
        <w:t xml:space="preserve">) </w:t>
      </w:r>
      <w:r w:rsidR="00664420" w:rsidRPr="006A4EF1">
        <w:rPr>
          <w:szCs w:val="22"/>
          <w:lang w:val="es-ES"/>
        </w:rPr>
        <w:t xml:space="preserve">Respuesta </w:t>
      </w:r>
      <w:r w:rsidR="00664420" w:rsidRPr="006A4EF1">
        <w:rPr>
          <w:rFonts w:eastAsia="Calibri"/>
          <w:szCs w:val="22"/>
          <w:lang w:eastAsia="en-US"/>
        </w:rPr>
        <w:t>del Sujeto Obligado</w:t>
      </w:r>
      <w:bookmarkEnd w:id="10"/>
    </w:p>
    <w:p w14:paraId="79199CC1" w14:textId="6CC63E0C" w:rsidR="00664420" w:rsidRPr="006A4EF1" w:rsidRDefault="00664420" w:rsidP="006A4EF1">
      <w:pPr>
        <w:pStyle w:val="Sinespaciado"/>
        <w:spacing w:line="360" w:lineRule="auto"/>
        <w:rPr>
          <w:szCs w:val="22"/>
          <w:lang w:val="es-ES"/>
        </w:rPr>
      </w:pPr>
      <w:r w:rsidRPr="006A4EF1">
        <w:rPr>
          <w:szCs w:val="22"/>
          <w:lang w:val="es-ES"/>
        </w:rPr>
        <w:t xml:space="preserve">El </w:t>
      </w:r>
      <w:r w:rsidR="006F6C45" w:rsidRPr="006A4EF1">
        <w:rPr>
          <w:b/>
          <w:szCs w:val="22"/>
          <w:lang w:val="es-ES"/>
        </w:rPr>
        <w:t>cuatro</w:t>
      </w:r>
      <w:r w:rsidR="007D21FF" w:rsidRPr="006A4EF1">
        <w:rPr>
          <w:rFonts w:cs="Tahoma"/>
          <w:b/>
          <w:bCs/>
          <w:szCs w:val="22"/>
        </w:rPr>
        <w:t xml:space="preserve"> de septiembre </w:t>
      </w:r>
      <w:r w:rsidR="000748DF" w:rsidRPr="006A4EF1">
        <w:rPr>
          <w:rFonts w:eastAsia="Calibri" w:cs="Arial"/>
          <w:b/>
          <w:szCs w:val="22"/>
          <w:lang w:val="es-ES" w:eastAsia="en-US"/>
        </w:rPr>
        <w:t>de dos mil veinticuatro</w:t>
      </w:r>
      <w:r w:rsidR="00983EEF" w:rsidRPr="006A4EF1">
        <w:rPr>
          <w:b/>
          <w:szCs w:val="22"/>
          <w:lang w:val="es-ES"/>
        </w:rPr>
        <w:t xml:space="preserve">, </w:t>
      </w:r>
      <w:r w:rsidR="00F07EE6" w:rsidRPr="006A4EF1">
        <w:rPr>
          <w:szCs w:val="22"/>
          <w:lang w:val="es-ES"/>
        </w:rPr>
        <w:t>l</w:t>
      </w:r>
      <w:r w:rsidR="002268D4" w:rsidRPr="006A4EF1">
        <w:rPr>
          <w:szCs w:val="22"/>
          <w:lang w:val="es-ES"/>
        </w:rPr>
        <w:t>a</w:t>
      </w:r>
      <w:r w:rsidR="00F07EE6" w:rsidRPr="006A4EF1">
        <w:rPr>
          <w:szCs w:val="22"/>
          <w:lang w:val="es-ES"/>
        </w:rPr>
        <w:t xml:space="preserve"> Titular de la Unidad de Transparencia del </w:t>
      </w:r>
      <w:r w:rsidR="00F07EE6" w:rsidRPr="006A4EF1">
        <w:rPr>
          <w:b/>
          <w:szCs w:val="22"/>
          <w:lang w:val="es-ES"/>
        </w:rPr>
        <w:t>SUJETO OBLIGADO</w:t>
      </w:r>
      <w:r w:rsidR="00F07EE6" w:rsidRPr="006A4EF1">
        <w:rPr>
          <w:szCs w:val="22"/>
          <w:lang w:val="es-ES"/>
        </w:rPr>
        <w:t xml:space="preserve"> notificó la siguiente respuesta a través del </w:t>
      </w:r>
      <w:r w:rsidRPr="006A4EF1">
        <w:rPr>
          <w:szCs w:val="22"/>
          <w:lang w:val="es-ES"/>
        </w:rPr>
        <w:t>SAIMEX</w:t>
      </w:r>
      <w:r w:rsidR="00F07EE6" w:rsidRPr="006A4EF1">
        <w:rPr>
          <w:szCs w:val="22"/>
          <w:lang w:val="es-ES"/>
        </w:rPr>
        <w:t>:</w:t>
      </w:r>
    </w:p>
    <w:p w14:paraId="66410657" w14:textId="77777777" w:rsidR="002268D4" w:rsidRPr="006A4EF1" w:rsidRDefault="002268D4" w:rsidP="006A4EF1">
      <w:pPr>
        <w:pStyle w:val="Puesto"/>
        <w:ind w:left="0"/>
        <w:rPr>
          <w:szCs w:val="22"/>
        </w:rPr>
      </w:pPr>
    </w:p>
    <w:p w14:paraId="75A0ECA2" w14:textId="77777777" w:rsidR="004C7542" w:rsidRPr="006A4EF1" w:rsidRDefault="004C7542" w:rsidP="006A4EF1">
      <w:pPr>
        <w:pStyle w:val="Puesto"/>
        <w:jc w:val="right"/>
      </w:pPr>
      <w:r w:rsidRPr="006A4EF1">
        <w:lastRenderedPageBreak/>
        <w:t>Folio de la solicitud: 00178/LAPAZ/IP/2024</w:t>
      </w:r>
    </w:p>
    <w:p w14:paraId="711859EB" w14:textId="77777777" w:rsidR="004C7542" w:rsidRPr="006A4EF1" w:rsidRDefault="004C7542" w:rsidP="006A4EF1">
      <w:pPr>
        <w:rPr>
          <w:rFonts w:eastAsiaTheme="majorEastAsia"/>
        </w:rPr>
      </w:pPr>
    </w:p>
    <w:p w14:paraId="39A30215" w14:textId="77777777" w:rsidR="004C7542" w:rsidRPr="006A4EF1" w:rsidRDefault="004C7542" w:rsidP="006A4EF1">
      <w:pPr>
        <w:pStyle w:val="Puesto"/>
      </w:pPr>
      <w:r w:rsidRPr="006A4EF1">
        <w:t>En respuesta a la solicitud recibida, nos permitimos hacer de su conocimiento que con fundamento en el artículo 53, Fracciones: II, V y VI de la Ley de Transparencia y Acceso a la Información Pública del Estado de México y Municipios, le contestamos que:</w:t>
      </w:r>
    </w:p>
    <w:p w14:paraId="4E3E786B" w14:textId="77777777" w:rsidR="004C7542" w:rsidRPr="006A4EF1" w:rsidRDefault="004C7542" w:rsidP="006A4EF1">
      <w:pPr>
        <w:rPr>
          <w:rFonts w:eastAsiaTheme="majorEastAsia"/>
        </w:rPr>
      </w:pPr>
    </w:p>
    <w:p w14:paraId="3D93A397" w14:textId="77777777" w:rsidR="004C7542" w:rsidRPr="006A4EF1" w:rsidRDefault="004C7542" w:rsidP="006A4EF1">
      <w:pPr>
        <w:pStyle w:val="Puesto"/>
      </w:pPr>
      <w:r w:rsidRPr="006A4EF1">
        <w:t>SE ENTREGA INFORMACIÓN</w:t>
      </w:r>
    </w:p>
    <w:p w14:paraId="4D9E7803" w14:textId="77777777" w:rsidR="004C7542" w:rsidRPr="006A4EF1" w:rsidRDefault="004C7542" w:rsidP="006A4EF1">
      <w:pPr>
        <w:rPr>
          <w:rFonts w:eastAsiaTheme="majorEastAsia"/>
        </w:rPr>
      </w:pPr>
    </w:p>
    <w:p w14:paraId="63F7A807" w14:textId="77777777" w:rsidR="004C7542" w:rsidRPr="006A4EF1" w:rsidRDefault="004C7542" w:rsidP="006A4EF1">
      <w:pPr>
        <w:pStyle w:val="Puesto"/>
      </w:pPr>
      <w:r w:rsidRPr="006A4EF1">
        <w:t>ATENTAMENTE</w:t>
      </w:r>
    </w:p>
    <w:p w14:paraId="467AF2AE" w14:textId="2EF5FC05" w:rsidR="002E2C99" w:rsidRPr="006A4EF1" w:rsidRDefault="004C7542" w:rsidP="006A4EF1">
      <w:pPr>
        <w:pStyle w:val="Puesto"/>
      </w:pPr>
      <w:r w:rsidRPr="006A4EF1">
        <w:t>DRA. GUADALUPE DEL PILAR CASTELLANOS GUERRERO</w:t>
      </w:r>
    </w:p>
    <w:p w14:paraId="2DD21FBD" w14:textId="77777777" w:rsidR="004C7542" w:rsidRPr="006A4EF1" w:rsidRDefault="004C7542" w:rsidP="006A4EF1">
      <w:pPr>
        <w:autoSpaceDE w:val="0"/>
        <w:autoSpaceDN w:val="0"/>
        <w:adjustRightInd w:val="0"/>
        <w:ind w:right="-28"/>
        <w:rPr>
          <w:rFonts w:cs="Tahoma"/>
          <w:bCs/>
          <w:szCs w:val="22"/>
        </w:rPr>
      </w:pPr>
    </w:p>
    <w:p w14:paraId="2211D1AB" w14:textId="2082F716" w:rsidR="00983EEF" w:rsidRPr="006A4EF1" w:rsidRDefault="00F07EE6" w:rsidP="006A4EF1">
      <w:pPr>
        <w:autoSpaceDE w:val="0"/>
        <w:autoSpaceDN w:val="0"/>
        <w:adjustRightInd w:val="0"/>
        <w:ind w:right="-28"/>
        <w:rPr>
          <w:rFonts w:cs="Tahoma"/>
          <w:bCs/>
          <w:szCs w:val="22"/>
          <w:lang w:val="es-ES"/>
        </w:rPr>
      </w:pPr>
      <w:r w:rsidRPr="006A4EF1">
        <w:rPr>
          <w:rFonts w:cs="Tahoma"/>
          <w:bCs/>
          <w:szCs w:val="22"/>
          <w:lang w:val="es-ES"/>
        </w:rPr>
        <w:t xml:space="preserve">Asimismo, </w:t>
      </w:r>
      <w:r w:rsidRPr="006A4EF1">
        <w:rPr>
          <w:rFonts w:cs="Tahoma"/>
          <w:b/>
          <w:szCs w:val="22"/>
          <w:lang w:val="es-ES"/>
        </w:rPr>
        <w:t xml:space="preserve">EL SUJETO OBLIGADO </w:t>
      </w:r>
      <w:r w:rsidRPr="006A4EF1">
        <w:rPr>
          <w:rFonts w:cs="Tahoma"/>
          <w:bCs/>
          <w:szCs w:val="22"/>
          <w:lang w:val="es-ES"/>
        </w:rPr>
        <w:t xml:space="preserve">adjuntó a su respuesta </w:t>
      </w:r>
      <w:r w:rsidR="002C6043" w:rsidRPr="006A4EF1">
        <w:rPr>
          <w:rFonts w:cs="Tahoma"/>
          <w:bCs/>
          <w:szCs w:val="22"/>
          <w:lang w:val="es-ES"/>
        </w:rPr>
        <w:t>el</w:t>
      </w:r>
      <w:r w:rsidR="002E2C99" w:rsidRPr="006A4EF1">
        <w:rPr>
          <w:rFonts w:cs="Tahoma"/>
          <w:bCs/>
          <w:szCs w:val="22"/>
          <w:lang w:val="es-ES"/>
        </w:rPr>
        <w:t xml:space="preserve"> </w:t>
      </w:r>
      <w:r w:rsidRPr="006A4EF1">
        <w:rPr>
          <w:rFonts w:cs="Tahoma"/>
          <w:bCs/>
          <w:szCs w:val="22"/>
          <w:lang w:val="es-ES"/>
        </w:rPr>
        <w:t>archivo electrónico</w:t>
      </w:r>
      <w:r w:rsidR="004252F1" w:rsidRPr="006A4EF1">
        <w:rPr>
          <w:rFonts w:cs="Tahoma"/>
          <w:bCs/>
          <w:szCs w:val="22"/>
          <w:lang w:val="es-ES"/>
        </w:rPr>
        <w:t xml:space="preserve"> </w:t>
      </w:r>
      <w:r w:rsidR="002C6043" w:rsidRPr="006A4EF1">
        <w:rPr>
          <w:rFonts w:cs="Tahoma"/>
          <w:bCs/>
          <w:szCs w:val="22"/>
          <w:lang w:val="es-ES"/>
        </w:rPr>
        <w:t>que se describe</w:t>
      </w:r>
      <w:r w:rsidR="00721C9E" w:rsidRPr="006A4EF1">
        <w:rPr>
          <w:rFonts w:cs="Tahoma"/>
          <w:bCs/>
          <w:szCs w:val="22"/>
          <w:lang w:val="es-ES"/>
        </w:rPr>
        <w:t xml:space="preserve"> a continuación:</w:t>
      </w:r>
    </w:p>
    <w:p w14:paraId="10076DC6" w14:textId="080AFF4D" w:rsidR="00CB1233" w:rsidRPr="006A4EF1" w:rsidRDefault="00CB1233" w:rsidP="006A4EF1">
      <w:pPr>
        <w:autoSpaceDE w:val="0"/>
        <w:autoSpaceDN w:val="0"/>
        <w:adjustRightInd w:val="0"/>
        <w:ind w:right="-28"/>
        <w:rPr>
          <w:rFonts w:cs="Tahoma"/>
          <w:bCs/>
          <w:szCs w:val="22"/>
          <w:lang w:val="es-ES"/>
        </w:rPr>
      </w:pPr>
    </w:p>
    <w:p w14:paraId="5F764334" w14:textId="77777777" w:rsidR="004C7542" w:rsidRPr="006A4EF1" w:rsidRDefault="004C7542" w:rsidP="006A4EF1">
      <w:pPr>
        <w:pStyle w:val="Prrafodelista"/>
        <w:numPr>
          <w:ilvl w:val="0"/>
          <w:numId w:val="21"/>
        </w:numPr>
        <w:autoSpaceDE w:val="0"/>
        <w:autoSpaceDN w:val="0"/>
        <w:adjustRightInd w:val="0"/>
        <w:ind w:right="-28"/>
        <w:rPr>
          <w:rFonts w:cs="Tahoma"/>
          <w:b/>
          <w:i/>
          <w:iCs/>
          <w:szCs w:val="22"/>
          <w:lang w:val="es-ES"/>
        </w:rPr>
      </w:pPr>
      <w:proofErr w:type="spellStart"/>
      <w:r w:rsidRPr="006A4EF1">
        <w:rPr>
          <w:rFonts w:cs="Tahoma"/>
          <w:b/>
          <w:i/>
          <w:iCs/>
          <w:szCs w:val="22"/>
          <w:lang w:val="es-ES"/>
        </w:rPr>
        <w:t>CamScanner</w:t>
      </w:r>
      <w:proofErr w:type="spellEnd"/>
      <w:r w:rsidRPr="006A4EF1">
        <w:rPr>
          <w:rFonts w:cs="Tahoma"/>
          <w:b/>
          <w:i/>
          <w:iCs/>
          <w:szCs w:val="22"/>
          <w:lang w:val="es-ES"/>
        </w:rPr>
        <w:t xml:space="preserve"> 04-09-2024 16.38.pdf</w:t>
      </w:r>
      <w:r w:rsidR="00410DCA" w:rsidRPr="006A4EF1">
        <w:rPr>
          <w:rFonts w:cs="Tahoma"/>
          <w:b/>
          <w:i/>
          <w:iCs/>
          <w:szCs w:val="22"/>
          <w:lang w:val="es-ES"/>
        </w:rPr>
        <w:t xml:space="preserve">.- </w:t>
      </w:r>
      <w:r w:rsidR="00410DCA" w:rsidRPr="006A4EF1">
        <w:rPr>
          <w:rFonts w:cs="Tahoma"/>
          <w:bCs/>
          <w:szCs w:val="22"/>
          <w:lang w:val="es-ES"/>
        </w:rPr>
        <w:t xml:space="preserve">Archivos constantes de </w:t>
      </w:r>
      <w:r w:rsidRPr="006A4EF1">
        <w:rPr>
          <w:rFonts w:cs="Tahoma"/>
          <w:bCs/>
          <w:szCs w:val="22"/>
          <w:lang w:val="es-ES"/>
        </w:rPr>
        <w:t xml:space="preserve">una página, en la que se aprecia el oficio SM/200/JUNIO/2024, de fecha 06 d </w:t>
      </w:r>
      <w:proofErr w:type="spellStart"/>
      <w:r w:rsidRPr="006A4EF1">
        <w:rPr>
          <w:rFonts w:cs="Tahoma"/>
          <w:bCs/>
          <w:szCs w:val="22"/>
          <w:lang w:val="es-ES"/>
        </w:rPr>
        <w:t>ejunio</w:t>
      </w:r>
      <w:proofErr w:type="spellEnd"/>
      <w:r w:rsidRPr="006A4EF1">
        <w:rPr>
          <w:rFonts w:cs="Tahoma"/>
          <w:bCs/>
          <w:szCs w:val="22"/>
          <w:lang w:val="es-ES"/>
        </w:rPr>
        <w:t xml:space="preserve"> de 2024, suscrito por el Síndico Municipal, en el que indica:</w:t>
      </w:r>
    </w:p>
    <w:p w14:paraId="544AF2E1" w14:textId="77777777" w:rsidR="004C7542" w:rsidRPr="006A4EF1" w:rsidRDefault="004C7542" w:rsidP="006A4EF1">
      <w:pPr>
        <w:pStyle w:val="Prrafodelista"/>
        <w:autoSpaceDE w:val="0"/>
        <w:autoSpaceDN w:val="0"/>
        <w:adjustRightInd w:val="0"/>
        <w:ind w:right="-28"/>
        <w:rPr>
          <w:rFonts w:cs="Tahoma"/>
          <w:b/>
          <w:i/>
          <w:iCs/>
          <w:szCs w:val="22"/>
          <w:lang w:val="es-ES"/>
        </w:rPr>
      </w:pPr>
    </w:p>
    <w:p w14:paraId="28F0F38F" w14:textId="6396144C" w:rsidR="00CB1233" w:rsidRPr="006A4EF1" w:rsidRDefault="004C7542" w:rsidP="006A4EF1">
      <w:pPr>
        <w:pStyle w:val="Puesto"/>
        <w:rPr>
          <w:b/>
          <w:lang w:val="es-ES"/>
        </w:rPr>
      </w:pPr>
      <w:r w:rsidRPr="006A4EF1">
        <w:rPr>
          <w:b/>
          <w:lang w:val="es-ES"/>
        </w:rPr>
        <w:t>“…</w:t>
      </w:r>
      <w:r w:rsidRPr="006A4EF1">
        <w:rPr>
          <w:lang w:val="es-ES"/>
        </w:rPr>
        <w:t>NO se encontró documento alguno que pudiera dejar entrever que pertenezca al patrimonio municipal; por no encontrarse registrado ante el Sistema CREG, además que en el proceso de Entrega – Recepción de la Administración 2019-2021, no se entregó información y/o documentación relacionada el monumento en referencia….” Sic.</w:t>
      </w:r>
    </w:p>
    <w:p w14:paraId="0F94FCEA" w14:textId="77777777" w:rsidR="00C70866" w:rsidRPr="006A4EF1" w:rsidRDefault="00C70866" w:rsidP="006A4EF1">
      <w:pPr>
        <w:autoSpaceDE w:val="0"/>
        <w:autoSpaceDN w:val="0"/>
        <w:adjustRightInd w:val="0"/>
        <w:ind w:right="-28"/>
        <w:rPr>
          <w:rFonts w:cs="Tahoma"/>
          <w:bCs/>
          <w:szCs w:val="22"/>
          <w:lang w:val="es-ES"/>
        </w:rPr>
      </w:pPr>
    </w:p>
    <w:p w14:paraId="5A5DAB9E" w14:textId="77777777" w:rsidR="00E37A3F" w:rsidRPr="006A4EF1" w:rsidRDefault="00E37A3F" w:rsidP="006A4EF1">
      <w:pPr>
        <w:pStyle w:val="Ttulo2"/>
        <w:jc w:val="left"/>
        <w:rPr>
          <w:szCs w:val="22"/>
        </w:rPr>
      </w:pPr>
      <w:bookmarkStart w:id="11" w:name="_Toc180061387"/>
      <w:r w:rsidRPr="006A4EF1">
        <w:rPr>
          <w:szCs w:val="22"/>
        </w:rPr>
        <w:t>DEL RECURSO DE REVISIÓN</w:t>
      </w:r>
      <w:bookmarkEnd w:id="11"/>
    </w:p>
    <w:p w14:paraId="2B216813" w14:textId="61ADBB2B" w:rsidR="00664420" w:rsidRPr="006A4EF1" w:rsidRDefault="006E25BC" w:rsidP="006A4EF1">
      <w:pPr>
        <w:pStyle w:val="Ttulo3"/>
        <w:rPr>
          <w:szCs w:val="22"/>
        </w:rPr>
      </w:pPr>
      <w:bookmarkStart w:id="12" w:name="_Toc180061388"/>
      <w:r w:rsidRPr="006A4EF1">
        <w:rPr>
          <w:szCs w:val="22"/>
        </w:rPr>
        <w:t xml:space="preserve">a) </w:t>
      </w:r>
      <w:r w:rsidR="00664420" w:rsidRPr="006A4EF1">
        <w:rPr>
          <w:szCs w:val="22"/>
        </w:rPr>
        <w:t>Interposición del Recurso de Revisión</w:t>
      </w:r>
      <w:bookmarkEnd w:id="12"/>
    </w:p>
    <w:p w14:paraId="6279C622" w14:textId="6E16F266" w:rsidR="00664420" w:rsidRPr="006A4EF1" w:rsidRDefault="00664420" w:rsidP="006A4EF1">
      <w:pPr>
        <w:autoSpaceDE w:val="0"/>
        <w:autoSpaceDN w:val="0"/>
        <w:adjustRightInd w:val="0"/>
        <w:ind w:right="-28"/>
        <w:rPr>
          <w:rFonts w:cs="Tahoma"/>
          <w:szCs w:val="22"/>
        </w:rPr>
      </w:pPr>
      <w:r w:rsidRPr="006A4EF1">
        <w:rPr>
          <w:rFonts w:cs="Tahoma"/>
          <w:szCs w:val="22"/>
        </w:rPr>
        <w:t xml:space="preserve">El </w:t>
      </w:r>
      <w:r w:rsidR="00CB1233" w:rsidRPr="006A4EF1">
        <w:rPr>
          <w:rFonts w:cs="Tahoma"/>
          <w:b/>
          <w:bCs/>
          <w:szCs w:val="22"/>
        </w:rPr>
        <w:t>veinticuatro</w:t>
      </w:r>
      <w:r w:rsidR="00021886" w:rsidRPr="006A4EF1">
        <w:rPr>
          <w:rFonts w:cs="Tahoma"/>
          <w:b/>
          <w:bCs/>
          <w:szCs w:val="22"/>
        </w:rPr>
        <w:t xml:space="preserve"> </w:t>
      </w:r>
      <w:r w:rsidR="007E42B7" w:rsidRPr="006A4EF1">
        <w:rPr>
          <w:rFonts w:cs="Tahoma"/>
          <w:b/>
          <w:bCs/>
          <w:szCs w:val="22"/>
        </w:rPr>
        <w:t>de septiembre</w:t>
      </w:r>
      <w:r w:rsidRPr="006A4EF1">
        <w:rPr>
          <w:rFonts w:cs="Tahoma"/>
          <w:b/>
          <w:bCs/>
          <w:szCs w:val="22"/>
        </w:rPr>
        <w:t xml:space="preserve"> de dos mil </w:t>
      </w:r>
      <w:r w:rsidR="00E810F7" w:rsidRPr="006A4EF1">
        <w:rPr>
          <w:rFonts w:cs="Tahoma"/>
          <w:b/>
          <w:bCs/>
          <w:szCs w:val="22"/>
        </w:rPr>
        <w:t>veinticuatro</w:t>
      </w:r>
      <w:r w:rsidR="009C7CDB" w:rsidRPr="006A4EF1">
        <w:rPr>
          <w:rFonts w:cs="Tahoma"/>
          <w:b/>
          <w:bCs/>
          <w:szCs w:val="22"/>
        </w:rPr>
        <w:t>,</w:t>
      </w:r>
      <w:r w:rsidRPr="006A4EF1">
        <w:rPr>
          <w:rFonts w:cs="Tahoma"/>
          <w:szCs w:val="22"/>
        </w:rPr>
        <w:t xml:space="preserve"> </w:t>
      </w:r>
      <w:r w:rsidR="00F75D23" w:rsidRPr="006A4EF1">
        <w:rPr>
          <w:rFonts w:cs="Tahoma"/>
          <w:b/>
          <w:bCs/>
          <w:szCs w:val="22"/>
        </w:rPr>
        <w:t>LA PARTE RECURRENTE</w:t>
      </w:r>
      <w:r w:rsidR="00F75D23" w:rsidRPr="006A4EF1">
        <w:rPr>
          <w:rFonts w:cs="Tahoma"/>
          <w:szCs w:val="22"/>
        </w:rPr>
        <w:t xml:space="preserve"> interpuso el recurso de revisión en contra de la respuesta emitida por el </w:t>
      </w:r>
      <w:r w:rsidR="00F75D23" w:rsidRPr="006A4EF1">
        <w:rPr>
          <w:rFonts w:cs="Tahoma"/>
          <w:b/>
          <w:bCs/>
          <w:szCs w:val="22"/>
        </w:rPr>
        <w:t>SUJETO OBLIGADO</w:t>
      </w:r>
      <w:r w:rsidR="00953430" w:rsidRPr="006A4EF1">
        <w:rPr>
          <w:rFonts w:cs="Tahoma"/>
          <w:szCs w:val="22"/>
        </w:rPr>
        <w:t xml:space="preserve">, mismo que fue registrado en el </w:t>
      </w:r>
      <w:r w:rsidR="00953430" w:rsidRPr="006A4EF1">
        <w:rPr>
          <w:rFonts w:cs="Tahoma"/>
          <w:b/>
          <w:szCs w:val="22"/>
        </w:rPr>
        <w:t>SAIMEX</w:t>
      </w:r>
      <w:r w:rsidR="00953430" w:rsidRPr="006A4EF1">
        <w:rPr>
          <w:rFonts w:cs="Tahoma"/>
          <w:szCs w:val="22"/>
        </w:rPr>
        <w:t xml:space="preserve"> con el número de expediente </w:t>
      </w:r>
      <w:r w:rsidR="006F6C45" w:rsidRPr="006A4EF1">
        <w:rPr>
          <w:rFonts w:cs="Tahoma"/>
          <w:b/>
          <w:bCs/>
          <w:szCs w:val="22"/>
        </w:rPr>
        <w:t>05817/INFOEM/IP/RR/2024</w:t>
      </w:r>
      <w:r w:rsidR="00953430" w:rsidRPr="006A4EF1">
        <w:rPr>
          <w:rFonts w:cs="Tahoma"/>
          <w:szCs w:val="22"/>
        </w:rPr>
        <w:t>, y en el cual manifiesta lo siguiente</w:t>
      </w:r>
      <w:r w:rsidRPr="006A4EF1">
        <w:rPr>
          <w:rFonts w:cs="Tahoma"/>
          <w:szCs w:val="22"/>
        </w:rPr>
        <w:t>:</w:t>
      </w:r>
    </w:p>
    <w:p w14:paraId="74B30008" w14:textId="77777777" w:rsidR="00664420" w:rsidRPr="006A4EF1" w:rsidRDefault="00664420" w:rsidP="006A4EF1">
      <w:pPr>
        <w:tabs>
          <w:tab w:val="left" w:pos="4667"/>
        </w:tabs>
        <w:ind w:right="539"/>
        <w:rPr>
          <w:rFonts w:cs="Tahoma"/>
          <w:szCs w:val="22"/>
        </w:rPr>
      </w:pPr>
    </w:p>
    <w:p w14:paraId="6900A410" w14:textId="77777777" w:rsidR="0009347C" w:rsidRPr="006A4EF1" w:rsidRDefault="00664420" w:rsidP="006A4EF1">
      <w:pPr>
        <w:tabs>
          <w:tab w:val="left" w:pos="4667"/>
        </w:tabs>
        <w:ind w:left="567" w:right="539"/>
        <w:rPr>
          <w:rFonts w:cs="Tahoma"/>
          <w:b/>
          <w:iCs/>
          <w:szCs w:val="22"/>
        </w:rPr>
      </w:pPr>
      <w:r w:rsidRPr="006A4EF1">
        <w:rPr>
          <w:rFonts w:cs="Tahoma"/>
          <w:b/>
          <w:iCs/>
          <w:szCs w:val="22"/>
        </w:rPr>
        <w:t>ACTO IMPUGNADO</w:t>
      </w:r>
    </w:p>
    <w:p w14:paraId="73CDB396" w14:textId="2D23D506" w:rsidR="00021886" w:rsidRPr="006A4EF1" w:rsidRDefault="004C7542" w:rsidP="006A4EF1">
      <w:pPr>
        <w:pStyle w:val="Puesto"/>
      </w:pPr>
      <w:r w:rsidRPr="006A4EF1">
        <w:t>La falta de respuesta a la solicitud de acceso a la información</w:t>
      </w:r>
    </w:p>
    <w:p w14:paraId="0EF60787" w14:textId="77777777" w:rsidR="007D21FF" w:rsidRPr="006A4EF1" w:rsidRDefault="007D21FF" w:rsidP="006A4EF1">
      <w:pPr>
        <w:tabs>
          <w:tab w:val="left" w:pos="4667"/>
        </w:tabs>
        <w:ind w:left="567" w:right="539"/>
        <w:rPr>
          <w:rFonts w:cs="Tahoma"/>
          <w:b/>
          <w:iCs/>
          <w:szCs w:val="22"/>
        </w:rPr>
      </w:pPr>
    </w:p>
    <w:p w14:paraId="047D036B" w14:textId="77777777" w:rsidR="00664420" w:rsidRPr="006A4EF1" w:rsidRDefault="00664420" w:rsidP="006A4EF1">
      <w:pPr>
        <w:tabs>
          <w:tab w:val="left" w:pos="4667"/>
        </w:tabs>
        <w:ind w:left="567" w:right="539"/>
        <w:rPr>
          <w:rFonts w:cs="Tahoma"/>
          <w:b/>
          <w:iCs/>
          <w:szCs w:val="22"/>
        </w:rPr>
      </w:pPr>
      <w:r w:rsidRPr="006A4EF1">
        <w:rPr>
          <w:rFonts w:cs="Tahoma"/>
          <w:b/>
          <w:iCs/>
          <w:szCs w:val="22"/>
        </w:rPr>
        <w:t>RAZONES O MOTIVOS DE LA INCONFORMIDAD</w:t>
      </w:r>
      <w:r w:rsidRPr="006A4EF1">
        <w:rPr>
          <w:rFonts w:cs="Tahoma"/>
          <w:b/>
          <w:iCs/>
          <w:szCs w:val="22"/>
        </w:rPr>
        <w:tab/>
      </w:r>
    </w:p>
    <w:p w14:paraId="14591189" w14:textId="3BA9367A" w:rsidR="007E2967" w:rsidRPr="006A4EF1" w:rsidRDefault="004C7542" w:rsidP="006A4EF1">
      <w:pPr>
        <w:pStyle w:val="Puesto"/>
      </w:pPr>
      <w:r w:rsidRPr="006A4EF1">
        <w:t>La falta de respuesta a una solicitud de acceso a la información. Se adjunta el documento.</w:t>
      </w:r>
      <w:r w:rsidR="00CB1233" w:rsidRPr="006A4EF1">
        <w:t>” Sic.</w:t>
      </w:r>
    </w:p>
    <w:p w14:paraId="2927A6F5" w14:textId="36587538" w:rsidR="00CB1233" w:rsidRPr="006A4EF1" w:rsidRDefault="00CB1233" w:rsidP="006A4EF1">
      <w:pPr>
        <w:tabs>
          <w:tab w:val="left" w:pos="4667"/>
        </w:tabs>
        <w:ind w:right="567"/>
        <w:rPr>
          <w:rFonts w:cs="Tahoma"/>
          <w:bCs/>
          <w:szCs w:val="22"/>
        </w:rPr>
      </w:pPr>
    </w:p>
    <w:p w14:paraId="63560E01" w14:textId="019472D4" w:rsidR="000F62AF" w:rsidRPr="006A4EF1" w:rsidRDefault="000F62AF" w:rsidP="006A4EF1">
      <w:pPr>
        <w:rPr>
          <w:rFonts w:cs="Tahoma"/>
          <w:szCs w:val="22"/>
        </w:rPr>
      </w:pPr>
      <w:r w:rsidRPr="006A4EF1">
        <w:rPr>
          <w:rFonts w:cs="Tahoma"/>
          <w:szCs w:val="22"/>
        </w:rPr>
        <w:t>Cabe señalar que el particular, adjunto el archivo electrónico denominado</w:t>
      </w:r>
      <w:r w:rsidRPr="006A4EF1">
        <w:rPr>
          <w:rFonts w:cs="Tahoma"/>
          <w:b/>
          <w:bCs/>
          <w:szCs w:val="22"/>
        </w:rPr>
        <w:t xml:space="preserve"> </w:t>
      </w:r>
      <w:proofErr w:type="spellStart"/>
      <w:r w:rsidR="004C7542" w:rsidRPr="006A4EF1">
        <w:rPr>
          <w:rFonts w:cs="Tahoma"/>
          <w:b/>
          <w:bCs/>
          <w:i/>
          <w:iCs/>
          <w:szCs w:val="22"/>
        </w:rPr>
        <w:t>R.r</w:t>
      </w:r>
      <w:proofErr w:type="spellEnd"/>
      <w:r w:rsidR="004C7542" w:rsidRPr="006A4EF1">
        <w:rPr>
          <w:rFonts w:cs="Tahoma"/>
          <w:b/>
          <w:bCs/>
          <w:i/>
          <w:iCs/>
          <w:szCs w:val="22"/>
        </w:rPr>
        <w:t>. monumento.pdf</w:t>
      </w:r>
      <w:r w:rsidRPr="006A4EF1">
        <w:rPr>
          <w:rFonts w:cs="Tahoma"/>
          <w:b/>
          <w:bCs/>
          <w:i/>
          <w:iCs/>
          <w:szCs w:val="22"/>
        </w:rPr>
        <w:t xml:space="preserve"> </w:t>
      </w:r>
      <w:r w:rsidRPr="006A4EF1">
        <w:rPr>
          <w:rFonts w:cs="Tahoma"/>
          <w:szCs w:val="22"/>
        </w:rPr>
        <w:t xml:space="preserve">que contiene un archivo constante de </w:t>
      </w:r>
      <w:r w:rsidR="004C7542" w:rsidRPr="006A4EF1">
        <w:rPr>
          <w:rFonts w:cs="Tahoma"/>
          <w:szCs w:val="22"/>
        </w:rPr>
        <w:t>3</w:t>
      </w:r>
      <w:r w:rsidRPr="006A4EF1">
        <w:rPr>
          <w:rFonts w:cs="Tahoma"/>
          <w:szCs w:val="22"/>
        </w:rPr>
        <w:t xml:space="preserve"> páginas, en las que se aprecia </w:t>
      </w:r>
      <w:r w:rsidR="00514D86" w:rsidRPr="006A4EF1">
        <w:rPr>
          <w:rFonts w:cs="Tahoma"/>
          <w:szCs w:val="22"/>
        </w:rPr>
        <w:t>la inconformidad del particular, resumida cuando refiere “</w:t>
      </w:r>
      <w:r w:rsidR="00514D86" w:rsidRPr="006A4EF1">
        <w:rPr>
          <w:rFonts w:cs="Tahoma"/>
          <w:b/>
          <w:szCs w:val="22"/>
        </w:rPr>
        <w:t>En consecuencia no se da respuesta alguna a mi escrito de petición antes precisado</w:t>
      </w:r>
      <w:proofErr w:type="gramStart"/>
      <w:r w:rsidR="00514D86" w:rsidRPr="006A4EF1">
        <w:rPr>
          <w:rFonts w:cs="Tahoma"/>
          <w:b/>
          <w:szCs w:val="22"/>
        </w:rPr>
        <w:t>, …</w:t>
      </w:r>
      <w:proofErr w:type="gramEnd"/>
      <w:r w:rsidR="00514D86" w:rsidRPr="006A4EF1">
        <w:rPr>
          <w:rFonts w:cs="Tahoma"/>
          <w:b/>
          <w:szCs w:val="22"/>
        </w:rPr>
        <w:t xml:space="preserve">” </w:t>
      </w:r>
      <w:r w:rsidR="00514D86" w:rsidRPr="006A4EF1">
        <w:rPr>
          <w:rFonts w:cs="Tahoma"/>
          <w:szCs w:val="22"/>
        </w:rPr>
        <w:t>Sic</w:t>
      </w:r>
    </w:p>
    <w:p w14:paraId="7A95B2E4" w14:textId="77777777" w:rsidR="000F62AF" w:rsidRPr="006A4EF1" w:rsidRDefault="000F62AF" w:rsidP="006A4EF1">
      <w:pPr>
        <w:tabs>
          <w:tab w:val="left" w:pos="4667"/>
        </w:tabs>
        <w:ind w:right="567"/>
        <w:rPr>
          <w:rFonts w:cs="Tahoma"/>
          <w:bCs/>
          <w:szCs w:val="22"/>
        </w:rPr>
      </w:pPr>
    </w:p>
    <w:p w14:paraId="6804DEF1" w14:textId="3C4F6CB5" w:rsidR="00664420" w:rsidRPr="006A4EF1" w:rsidRDefault="006E25BC" w:rsidP="006A4EF1">
      <w:pPr>
        <w:pStyle w:val="Ttulo3"/>
        <w:rPr>
          <w:szCs w:val="22"/>
        </w:rPr>
      </w:pPr>
      <w:bookmarkStart w:id="13" w:name="_Toc180061389"/>
      <w:r w:rsidRPr="006A4EF1">
        <w:rPr>
          <w:szCs w:val="22"/>
        </w:rPr>
        <w:t>b</w:t>
      </w:r>
      <w:r w:rsidR="00664420" w:rsidRPr="006A4EF1">
        <w:rPr>
          <w:szCs w:val="22"/>
        </w:rPr>
        <w:t>) Turno del Recurso de Revisión</w:t>
      </w:r>
      <w:bookmarkEnd w:id="13"/>
    </w:p>
    <w:p w14:paraId="1173671B" w14:textId="48FB8D72" w:rsidR="00C72DAA" w:rsidRPr="006A4EF1" w:rsidRDefault="00C72DAA" w:rsidP="006A4EF1">
      <w:pPr>
        <w:rPr>
          <w:szCs w:val="22"/>
        </w:rPr>
      </w:pPr>
      <w:r w:rsidRPr="006A4EF1">
        <w:rPr>
          <w:szCs w:val="22"/>
        </w:rPr>
        <w:t>Con fundamento en el artículo 185, fracción I de la Ley de Transparencia y Acceso a la Información Pública del Estado de México y Municipios, el</w:t>
      </w:r>
      <w:r w:rsidRPr="006A4EF1">
        <w:rPr>
          <w:b/>
          <w:bCs/>
          <w:szCs w:val="22"/>
        </w:rPr>
        <w:t xml:space="preserve"> </w:t>
      </w:r>
      <w:r w:rsidR="007D21FF" w:rsidRPr="006A4EF1">
        <w:rPr>
          <w:rFonts w:cs="Tahoma"/>
          <w:b/>
          <w:bCs/>
          <w:szCs w:val="22"/>
        </w:rPr>
        <w:t>v</w:t>
      </w:r>
      <w:r w:rsidR="00CB1233" w:rsidRPr="006A4EF1">
        <w:rPr>
          <w:rFonts w:cs="Tahoma"/>
          <w:b/>
          <w:bCs/>
          <w:szCs w:val="22"/>
        </w:rPr>
        <w:t>einticuatro</w:t>
      </w:r>
      <w:r w:rsidR="007D21FF" w:rsidRPr="006A4EF1">
        <w:rPr>
          <w:rFonts w:cs="Tahoma"/>
          <w:b/>
          <w:bCs/>
          <w:szCs w:val="22"/>
        </w:rPr>
        <w:t xml:space="preserve"> de septiembre</w:t>
      </w:r>
      <w:r w:rsidR="004252F1" w:rsidRPr="006A4EF1">
        <w:rPr>
          <w:rFonts w:cs="Tahoma"/>
          <w:b/>
          <w:bCs/>
          <w:szCs w:val="22"/>
        </w:rPr>
        <w:t xml:space="preserve"> de dos mil veinticuatro</w:t>
      </w:r>
      <w:r w:rsidR="00003628" w:rsidRPr="006A4EF1">
        <w:rPr>
          <w:rFonts w:cs="Tahoma"/>
          <w:b/>
          <w:bCs/>
          <w:szCs w:val="22"/>
        </w:rPr>
        <w:t>,</w:t>
      </w:r>
      <w:r w:rsidRPr="006A4EF1">
        <w:rPr>
          <w:szCs w:val="22"/>
        </w:rPr>
        <w:t xml:space="preserve"> se turnó el recurso de revisión a través del</w:t>
      </w:r>
      <w:r w:rsidRPr="006A4EF1">
        <w:rPr>
          <w:rFonts w:eastAsia="Arial Unicode MS"/>
          <w:szCs w:val="22"/>
        </w:rPr>
        <w:t xml:space="preserve"> </w:t>
      </w:r>
      <w:r w:rsidRPr="006A4EF1">
        <w:rPr>
          <w:rFonts w:eastAsia="Arial Unicode MS"/>
          <w:bCs/>
          <w:szCs w:val="22"/>
        </w:rPr>
        <w:t>SAIMEX</w:t>
      </w:r>
      <w:r w:rsidRPr="006A4EF1">
        <w:rPr>
          <w:szCs w:val="22"/>
        </w:rPr>
        <w:t xml:space="preserve"> a la </w:t>
      </w:r>
      <w:r w:rsidRPr="006A4EF1">
        <w:rPr>
          <w:b/>
          <w:szCs w:val="22"/>
        </w:rPr>
        <w:t>Comisionada Sharon Cristina Morales Martínez</w:t>
      </w:r>
      <w:r w:rsidRPr="006A4EF1">
        <w:rPr>
          <w:bCs/>
          <w:szCs w:val="22"/>
        </w:rPr>
        <w:t xml:space="preserve">, </w:t>
      </w:r>
      <w:r w:rsidRPr="006A4EF1">
        <w:rPr>
          <w:szCs w:val="22"/>
        </w:rPr>
        <w:t xml:space="preserve">a efecto de decretar su admisión o </w:t>
      </w:r>
      <w:proofErr w:type="spellStart"/>
      <w:r w:rsidRPr="006A4EF1">
        <w:rPr>
          <w:szCs w:val="22"/>
        </w:rPr>
        <w:t>desechamiento</w:t>
      </w:r>
      <w:proofErr w:type="spellEnd"/>
      <w:r w:rsidRPr="006A4EF1">
        <w:rPr>
          <w:szCs w:val="22"/>
        </w:rPr>
        <w:t xml:space="preserve">. </w:t>
      </w:r>
    </w:p>
    <w:p w14:paraId="18F305CB" w14:textId="77777777" w:rsidR="00664420" w:rsidRPr="006A4EF1" w:rsidRDefault="00664420" w:rsidP="006A4EF1">
      <w:pPr>
        <w:rPr>
          <w:rFonts w:eastAsia="Batang" w:cs="Tahoma"/>
          <w:bCs/>
          <w:szCs w:val="22"/>
        </w:rPr>
      </w:pPr>
    </w:p>
    <w:p w14:paraId="3E31EC2D" w14:textId="295256A1" w:rsidR="00664420" w:rsidRPr="006A4EF1" w:rsidRDefault="006E25BC" w:rsidP="006A4EF1">
      <w:pPr>
        <w:pStyle w:val="Ttulo3"/>
        <w:rPr>
          <w:szCs w:val="22"/>
        </w:rPr>
      </w:pPr>
      <w:bookmarkStart w:id="14" w:name="_Toc180061390"/>
      <w:r w:rsidRPr="006A4EF1">
        <w:rPr>
          <w:szCs w:val="22"/>
        </w:rPr>
        <w:t>c</w:t>
      </w:r>
      <w:r w:rsidR="00664420" w:rsidRPr="006A4EF1">
        <w:rPr>
          <w:szCs w:val="22"/>
        </w:rPr>
        <w:t>) Admisión del Recurso de Revisión</w:t>
      </w:r>
      <w:bookmarkEnd w:id="14"/>
    </w:p>
    <w:p w14:paraId="240447D5" w14:textId="4C617ED8" w:rsidR="000E09C4" w:rsidRPr="006A4EF1" w:rsidRDefault="000E09C4" w:rsidP="006A4EF1">
      <w:pPr>
        <w:rPr>
          <w:rFonts w:cs="Arial"/>
          <w:szCs w:val="22"/>
        </w:rPr>
      </w:pPr>
      <w:r w:rsidRPr="006A4EF1">
        <w:rPr>
          <w:rFonts w:cs="Arial"/>
          <w:szCs w:val="22"/>
        </w:rPr>
        <w:t xml:space="preserve">El </w:t>
      </w:r>
      <w:r w:rsidR="00514D86" w:rsidRPr="006A4EF1">
        <w:rPr>
          <w:rFonts w:cs="Arial"/>
          <w:b/>
          <w:bCs/>
          <w:szCs w:val="22"/>
        </w:rPr>
        <w:t>veintisiete</w:t>
      </w:r>
      <w:r w:rsidR="003B3762" w:rsidRPr="006A4EF1">
        <w:rPr>
          <w:rFonts w:cs="Arial"/>
          <w:b/>
          <w:bCs/>
          <w:szCs w:val="22"/>
        </w:rPr>
        <w:t xml:space="preserve"> de septiembre</w:t>
      </w:r>
      <w:r w:rsidR="004252F1" w:rsidRPr="006A4EF1">
        <w:rPr>
          <w:rFonts w:cs="Arial"/>
          <w:b/>
          <w:bCs/>
          <w:szCs w:val="22"/>
        </w:rPr>
        <w:t xml:space="preserve"> de dos mil veinticuatro</w:t>
      </w:r>
      <w:r w:rsidR="00003628" w:rsidRPr="006A4EF1">
        <w:rPr>
          <w:rFonts w:cs="Arial"/>
          <w:b/>
          <w:bCs/>
          <w:szCs w:val="22"/>
        </w:rPr>
        <w:t>,</w:t>
      </w:r>
      <w:r w:rsidR="004252F1" w:rsidRPr="006A4EF1">
        <w:rPr>
          <w:rFonts w:cs="Arial"/>
          <w:szCs w:val="22"/>
        </w:rPr>
        <w:t xml:space="preserve"> </w:t>
      </w:r>
      <w:r w:rsidRPr="006A4EF1">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6A4EF1">
        <w:rPr>
          <w:rFonts w:cs="Arial"/>
          <w:szCs w:val="22"/>
        </w:rPr>
        <w:t>, fracción II</w:t>
      </w:r>
      <w:r w:rsidRPr="006A4EF1">
        <w:rPr>
          <w:rFonts w:cs="Arial"/>
          <w:szCs w:val="22"/>
        </w:rPr>
        <w:t xml:space="preserve"> de la Ley de Transparencia y Acceso a la Información Pública del Estado de México y Municipios.</w:t>
      </w:r>
    </w:p>
    <w:p w14:paraId="534C0FD7" w14:textId="77777777" w:rsidR="00514D86" w:rsidRPr="006A4EF1" w:rsidRDefault="00514D86" w:rsidP="006A4EF1">
      <w:pPr>
        <w:rPr>
          <w:rFonts w:cs="Arial"/>
          <w:szCs w:val="22"/>
        </w:rPr>
      </w:pPr>
    </w:p>
    <w:p w14:paraId="3B820F58" w14:textId="5EBF1699" w:rsidR="00865CF4" w:rsidRPr="006A4EF1" w:rsidRDefault="006E25BC" w:rsidP="006A4EF1">
      <w:pPr>
        <w:pStyle w:val="Ttulo3"/>
        <w:rPr>
          <w:szCs w:val="22"/>
        </w:rPr>
      </w:pPr>
      <w:bookmarkStart w:id="15" w:name="_Toc180061391"/>
      <w:r w:rsidRPr="006A4EF1">
        <w:rPr>
          <w:szCs w:val="22"/>
        </w:rPr>
        <w:lastRenderedPageBreak/>
        <w:t>d</w:t>
      </w:r>
      <w:r w:rsidR="00D2790D" w:rsidRPr="006A4EF1">
        <w:rPr>
          <w:szCs w:val="22"/>
        </w:rPr>
        <w:t xml:space="preserve">) </w:t>
      </w:r>
      <w:r w:rsidR="00865CF4" w:rsidRPr="006A4EF1">
        <w:rPr>
          <w:szCs w:val="22"/>
        </w:rPr>
        <w:t>Informe Justificado del Sujeto Obligado</w:t>
      </w:r>
      <w:bookmarkEnd w:id="15"/>
    </w:p>
    <w:p w14:paraId="1E6F3C26" w14:textId="77777777" w:rsidR="00514D86" w:rsidRPr="006A4EF1" w:rsidRDefault="00514D86" w:rsidP="006A4EF1">
      <w:pPr>
        <w:rPr>
          <w:szCs w:val="22"/>
        </w:rPr>
      </w:pPr>
      <w:r w:rsidRPr="006A4EF1">
        <w:rPr>
          <w:b/>
          <w:szCs w:val="22"/>
        </w:rPr>
        <w:t xml:space="preserve">EL SUJETO OBLIGADO </w:t>
      </w:r>
      <w:r w:rsidRPr="006A4EF1">
        <w:rPr>
          <w:szCs w:val="22"/>
        </w:rPr>
        <w:t>no rindió su informe justificado dentro del término legalmente concedido para tal efecto.</w:t>
      </w:r>
    </w:p>
    <w:p w14:paraId="6C3471FC" w14:textId="77777777" w:rsidR="00514D86" w:rsidRPr="006A4EF1" w:rsidRDefault="00514D86" w:rsidP="006A4EF1"/>
    <w:p w14:paraId="755B7730" w14:textId="2A0EB956" w:rsidR="00664420" w:rsidRPr="006A4EF1" w:rsidRDefault="00E810F7" w:rsidP="006A4EF1">
      <w:pPr>
        <w:pStyle w:val="Ttulo3"/>
        <w:rPr>
          <w:szCs w:val="22"/>
          <w:lang w:val="es-ES"/>
        </w:rPr>
      </w:pPr>
      <w:bookmarkStart w:id="16" w:name="_Toc180061392"/>
      <w:r w:rsidRPr="006A4EF1">
        <w:rPr>
          <w:rFonts w:eastAsia="Calibri"/>
          <w:bCs/>
          <w:szCs w:val="22"/>
          <w:lang w:eastAsia="en-US"/>
        </w:rPr>
        <w:t>e</w:t>
      </w:r>
      <w:r w:rsidR="00664420" w:rsidRPr="006A4EF1">
        <w:rPr>
          <w:rFonts w:eastAsia="Calibri"/>
          <w:bCs/>
          <w:szCs w:val="22"/>
          <w:lang w:eastAsia="en-US"/>
        </w:rPr>
        <w:t>)</w:t>
      </w:r>
      <w:r w:rsidR="00664420" w:rsidRPr="006A4EF1">
        <w:rPr>
          <w:szCs w:val="22"/>
        </w:rPr>
        <w:t xml:space="preserve"> </w:t>
      </w:r>
      <w:r w:rsidR="00865CF4" w:rsidRPr="006A4EF1">
        <w:rPr>
          <w:szCs w:val="22"/>
          <w:lang w:val="es-ES"/>
        </w:rPr>
        <w:t>Manifestaciones de la Parte Recurrente</w:t>
      </w:r>
      <w:bookmarkEnd w:id="16"/>
    </w:p>
    <w:p w14:paraId="70DCEAC7" w14:textId="44E3DE4C" w:rsidR="00514D86" w:rsidRPr="006A4EF1" w:rsidRDefault="002C6043" w:rsidP="006A4EF1">
      <w:pPr>
        <w:rPr>
          <w:szCs w:val="22"/>
        </w:rPr>
      </w:pPr>
      <w:r w:rsidRPr="006A4EF1">
        <w:rPr>
          <w:szCs w:val="22"/>
        </w:rPr>
        <w:t xml:space="preserve">El </w:t>
      </w:r>
      <w:r w:rsidRPr="006A4EF1">
        <w:rPr>
          <w:b/>
          <w:szCs w:val="22"/>
        </w:rPr>
        <w:t xml:space="preserve">tres de octubre de dos mil veinticuatro, </w:t>
      </w:r>
      <w:r w:rsidR="00514D86" w:rsidRPr="006A4EF1">
        <w:rPr>
          <w:b/>
          <w:szCs w:val="22"/>
        </w:rPr>
        <w:t xml:space="preserve">LA PARTE RECURRENTE </w:t>
      </w:r>
      <w:r w:rsidR="00514D86" w:rsidRPr="006A4EF1">
        <w:rPr>
          <w:szCs w:val="22"/>
        </w:rPr>
        <w:t xml:space="preserve">realizó </w:t>
      </w:r>
      <w:r w:rsidRPr="006A4EF1">
        <w:rPr>
          <w:szCs w:val="22"/>
        </w:rPr>
        <w:t xml:space="preserve">las manifestaciones que a su derecho convino a través del documento electrónico denominado </w:t>
      </w:r>
      <w:r w:rsidRPr="006A4EF1">
        <w:rPr>
          <w:b/>
          <w:szCs w:val="22"/>
        </w:rPr>
        <w:t xml:space="preserve">Adobe </w:t>
      </w:r>
      <w:proofErr w:type="spellStart"/>
      <w:r w:rsidRPr="006A4EF1">
        <w:rPr>
          <w:b/>
          <w:szCs w:val="22"/>
        </w:rPr>
        <w:t>Scan</w:t>
      </w:r>
      <w:proofErr w:type="spellEnd"/>
      <w:r w:rsidRPr="006A4EF1">
        <w:rPr>
          <w:b/>
          <w:szCs w:val="22"/>
        </w:rPr>
        <w:t xml:space="preserve"> 03 oct 2024.pdf </w:t>
      </w:r>
      <w:r w:rsidRPr="006A4EF1">
        <w:rPr>
          <w:szCs w:val="22"/>
        </w:rPr>
        <w:t xml:space="preserve">en el que precisó que </w:t>
      </w:r>
      <w:r w:rsidRPr="006A4EF1">
        <w:rPr>
          <w:b/>
          <w:szCs w:val="22"/>
        </w:rPr>
        <w:t xml:space="preserve">SUJETO OBLIGADO </w:t>
      </w:r>
      <w:r w:rsidRPr="006A4EF1">
        <w:rPr>
          <w:szCs w:val="22"/>
        </w:rPr>
        <w:t>fue omiso para dar respuesta a la suscrita, actualizándose la figura de la negativa ficta.</w:t>
      </w:r>
    </w:p>
    <w:p w14:paraId="2808901C" w14:textId="77777777" w:rsidR="00514D86" w:rsidRPr="006A4EF1" w:rsidRDefault="00514D86" w:rsidP="006A4EF1">
      <w:pPr>
        <w:rPr>
          <w:szCs w:val="22"/>
        </w:rPr>
      </w:pPr>
    </w:p>
    <w:p w14:paraId="0E651988" w14:textId="57633342" w:rsidR="00664420" w:rsidRPr="006A4EF1" w:rsidRDefault="000863CE" w:rsidP="006A4EF1">
      <w:pPr>
        <w:pStyle w:val="Ttulo3"/>
        <w:rPr>
          <w:szCs w:val="22"/>
        </w:rPr>
      </w:pPr>
      <w:bookmarkStart w:id="17" w:name="_Toc180061393"/>
      <w:r w:rsidRPr="006A4EF1">
        <w:rPr>
          <w:rFonts w:eastAsia="Calibri"/>
          <w:szCs w:val="22"/>
        </w:rPr>
        <w:t>f</w:t>
      </w:r>
      <w:r w:rsidR="00664420" w:rsidRPr="006A4EF1">
        <w:rPr>
          <w:rFonts w:eastAsia="Calibri"/>
          <w:szCs w:val="22"/>
        </w:rPr>
        <w:t xml:space="preserve">) </w:t>
      </w:r>
      <w:r w:rsidR="00664420" w:rsidRPr="006A4EF1">
        <w:rPr>
          <w:szCs w:val="22"/>
        </w:rPr>
        <w:t>Cierre de instrucción</w:t>
      </w:r>
      <w:bookmarkEnd w:id="17"/>
    </w:p>
    <w:p w14:paraId="79AF95DC" w14:textId="1092D650" w:rsidR="00664420" w:rsidRPr="006A4EF1" w:rsidRDefault="00BF091A" w:rsidP="006A4EF1">
      <w:pPr>
        <w:rPr>
          <w:szCs w:val="22"/>
        </w:rPr>
      </w:pPr>
      <w:r w:rsidRPr="006A4EF1">
        <w:rPr>
          <w:rFonts w:cs="Tahoma"/>
          <w:szCs w:val="22"/>
        </w:rPr>
        <w:t>Al no existir diligencias pendientes por desahogar</w:t>
      </w:r>
      <w:r w:rsidRPr="006A4EF1">
        <w:rPr>
          <w:rFonts w:cs="Arial"/>
          <w:szCs w:val="22"/>
        </w:rPr>
        <w:t xml:space="preserve">, el </w:t>
      </w:r>
      <w:r w:rsidR="00514D86" w:rsidRPr="006A4EF1">
        <w:rPr>
          <w:rFonts w:cs="Arial"/>
          <w:b/>
          <w:szCs w:val="22"/>
        </w:rPr>
        <w:t>diez</w:t>
      </w:r>
      <w:r w:rsidR="00CC7757" w:rsidRPr="006A4EF1">
        <w:rPr>
          <w:rFonts w:cs="Tahoma"/>
          <w:b/>
          <w:bCs/>
          <w:szCs w:val="22"/>
        </w:rPr>
        <w:t xml:space="preserve"> </w:t>
      </w:r>
      <w:r w:rsidR="007E42B7" w:rsidRPr="006A4EF1">
        <w:rPr>
          <w:rFonts w:cs="Tahoma"/>
          <w:b/>
          <w:bCs/>
          <w:szCs w:val="22"/>
        </w:rPr>
        <w:t>de octubre</w:t>
      </w:r>
      <w:r w:rsidR="00E810F7" w:rsidRPr="006A4EF1">
        <w:rPr>
          <w:rFonts w:cs="Tahoma"/>
          <w:b/>
          <w:bCs/>
          <w:szCs w:val="22"/>
        </w:rPr>
        <w:t xml:space="preserve"> de dos mil veinticuatro</w:t>
      </w:r>
      <w:r w:rsidR="00003628" w:rsidRPr="006A4EF1">
        <w:rPr>
          <w:rFonts w:cs="Tahoma"/>
          <w:b/>
          <w:bCs/>
          <w:szCs w:val="22"/>
        </w:rPr>
        <w:t>,</w:t>
      </w:r>
      <w:r w:rsidR="00E810F7" w:rsidRPr="006A4EF1">
        <w:rPr>
          <w:rFonts w:cs="Tahoma"/>
          <w:szCs w:val="22"/>
        </w:rPr>
        <w:t xml:space="preserve"> </w:t>
      </w:r>
      <w:r w:rsidRPr="006A4EF1">
        <w:rPr>
          <w:rFonts w:cs="Arial"/>
          <w:szCs w:val="22"/>
        </w:rPr>
        <w:t xml:space="preserve">la </w:t>
      </w:r>
      <w:r w:rsidRPr="006A4EF1">
        <w:rPr>
          <w:rFonts w:cs="Arial"/>
          <w:b/>
          <w:bCs/>
          <w:szCs w:val="22"/>
        </w:rPr>
        <w:t xml:space="preserve">Comisionada </w:t>
      </w:r>
      <w:r w:rsidRPr="006A4EF1">
        <w:rPr>
          <w:b/>
          <w:szCs w:val="22"/>
        </w:rPr>
        <w:t xml:space="preserve">Sharon Cristina Morales Martínez </w:t>
      </w:r>
      <w:r w:rsidRPr="006A4EF1">
        <w:rPr>
          <w:rFonts w:cs="Arial"/>
          <w:szCs w:val="22"/>
        </w:rPr>
        <w:t>acordó el cierre de instrucción</w:t>
      </w:r>
      <w:r w:rsidR="0011350D" w:rsidRPr="006A4EF1">
        <w:rPr>
          <w:rFonts w:cs="Arial"/>
          <w:szCs w:val="22"/>
        </w:rPr>
        <w:t xml:space="preserve"> y</w:t>
      </w:r>
      <w:r w:rsidRPr="006A4EF1">
        <w:rPr>
          <w:rFonts w:cs="Arial"/>
          <w:szCs w:val="22"/>
        </w:rPr>
        <w:t xml:space="preserve"> </w:t>
      </w:r>
      <w:r w:rsidR="0011350D" w:rsidRPr="006A4EF1">
        <w:rPr>
          <w:rFonts w:cs="Arial"/>
          <w:szCs w:val="22"/>
        </w:rPr>
        <w:t xml:space="preserve">la </w:t>
      </w:r>
      <w:r w:rsidRPr="006A4EF1">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6A4EF1">
        <w:rPr>
          <w:szCs w:val="22"/>
        </w:rPr>
        <w:t>.</w:t>
      </w:r>
      <w:r w:rsidR="0011350D" w:rsidRPr="006A4EF1">
        <w:rPr>
          <w:szCs w:val="22"/>
        </w:rPr>
        <w:t xml:space="preserve"> Dicho acuerdo </w:t>
      </w:r>
      <w:r w:rsidR="00664420" w:rsidRPr="006A4EF1">
        <w:rPr>
          <w:rFonts w:cs="Tahoma"/>
          <w:szCs w:val="22"/>
        </w:rPr>
        <w:t xml:space="preserve">fue notificado a las partes el mismo día a través del </w:t>
      </w:r>
      <w:r w:rsidR="00664420" w:rsidRPr="006A4EF1">
        <w:rPr>
          <w:rFonts w:cs="Tahoma"/>
          <w:szCs w:val="22"/>
          <w:lang w:val="es-ES"/>
        </w:rPr>
        <w:t>SAIMEX</w:t>
      </w:r>
      <w:r w:rsidR="00664420" w:rsidRPr="006A4EF1">
        <w:rPr>
          <w:rFonts w:cs="Tahoma"/>
          <w:szCs w:val="22"/>
        </w:rPr>
        <w:t>.</w:t>
      </w:r>
    </w:p>
    <w:p w14:paraId="741683E3" w14:textId="77777777" w:rsidR="0011350D" w:rsidRPr="006A4EF1" w:rsidRDefault="0011350D" w:rsidP="006A4EF1">
      <w:pPr>
        <w:rPr>
          <w:rFonts w:cs="Tahoma"/>
          <w:szCs w:val="22"/>
        </w:rPr>
      </w:pPr>
    </w:p>
    <w:p w14:paraId="7A9629DE" w14:textId="77777777" w:rsidR="00664420" w:rsidRPr="006A4EF1" w:rsidRDefault="00664420" w:rsidP="006A4EF1">
      <w:pPr>
        <w:pStyle w:val="Ttulo1"/>
        <w:rPr>
          <w:rFonts w:eastAsiaTheme="minorHAnsi"/>
          <w:szCs w:val="22"/>
          <w:lang w:eastAsia="en-US"/>
        </w:rPr>
      </w:pPr>
      <w:bookmarkStart w:id="18" w:name="_Toc180061394"/>
      <w:r w:rsidRPr="006A4EF1">
        <w:rPr>
          <w:rFonts w:eastAsiaTheme="minorHAnsi"/>
          <w:szCs w:val="22"/>
          <w:lang w:eastAsia="en-US"/>
        </w:rPr>
        <w:t>CONSIDERANDOS</w:t>
      </w:r>
      <w:bookmarkEnd w:id="18"/>
    </w:p>
    <w:p w14:paraId="6DD1243B" w14:textId="77777777" w:rsidR="00664420" w:rsidRPr="006A4EF1" w:rsidRDefault="00664420" w:rsidP="006A4EF1">
      <w:pPr>
        <w:contextualSpacing/>
        <w:jc w:val="center"/>
        <w:rPr>
          <w:rFonts w:eastAsiaTheme="minorHAnsi" w:cs="Tahoma"/>
          <w:b/>
          <w:szCs w:val="22"/>
          <w:lang w:eastAsia="en-US"/>
        </w:rPr>
      </w:pPr>
    </w:p>
    <w:p w14:paraId="0B67CB92" w14:textId="2E307D3B" w:rsidR="00664420" w:rsidRPr="006A4EF1" w:rsidRDefault="00664420" w:rsidP="006A4EF1">
      <w:pPr>
        <w:pStyle w:val="Ttulo2"/>
        <w:rPr>
          <w:rFonts w:eastAsia="Batang"/>
          <w:szCs w:val="22"/>
        </w:rPr>
      </w:pPr>
      <w:bookmarkStart w:id="19" w:name="_Toc180061395"/>
      <w:r w:rsidRPr="006A4EF1">
        <w:rPr>
          <w:rFonts w:eastAsia="Batang"/>
          <w:szCs w:val="22"/>
        </w:rPr>
        <w:t xml:space="preserve">PRIMERO. </w:t>
      </w:r>
      <w:proofErr w:type="spellStart"/>
      <w:r w:rsidR="00BA55A8" w:rsidRPr="006A4EF1">
        <w:rPr>
          <w:rFonts w:eastAsia="Batang"/>
          <w:szCs w:val="22"/>
        </w:rPr>
        <w:t>Procedibilidad</w:t>
      </w:r>
      <w:bookmarkEnd w:id="19"/>
      <w:proofErr w:type="spellEnd"/>
    </w:p>
    <w:p w14:paraId="39C52BC1" w14:textId="56FCC20D" w:rsidR="00BA55A8" w:rsidRPr="006A4EF1" w:rsidRDefault="00BA55A8" w:rsidP="006A4EF1">
      <w:pPr>
        <w:pStyle w:val="Ttulo3"/>
        <w:rPr>
          <w:szCs w:val="22"/>
        </w:rPr>
      </w:pPr>
      <w:bookmarkStart w:id="20" w:name="_Toc180061396"/>
      <w:r w:rsidRPr="006A4EF1">
        <w:rPr>
          <w:szCs w:val="22"/>
        </w:rPr>
        <w:t>a) Competencia</w:t>
      </w:r>
      <w:r w:rsidR="00150C49" w:rsidRPr="006A4EF1">
        <w:rPr>
          <w:szCs w:val="22"/>
        </w:rPr>
        <w:t xml:space="preserve"> del Instituto</w:t>
      </w:r>
      <w:bookmarkEnd w:id="20"/>
    </w:p>
    <w:p w14:paraId="56E64942" w14:textId="6572EDF7" w:rsidR="0011350D" w:rsidRPr="006A4EF1" w:rsidRDefault="0011350D" w:rsidP="006A4EF1">
      <w:pPr>
        <w:rPr>
          <w:rFonts w:cs="Arial"/>
          <w:szCs w:val="22"/>
        </w:rPr>
      </w:pPr>
      <w:r w:rsidRPr="006A4EF1">
        <w:rPr>
          <w:szCs w:val="22"/>
        </w:rPr>
        <w:t xml:space="preserve">Este Instituto de Transparencia, Acceso a la Información Pública y Protección de Datos Personales del Estado de México y Municipios es competente para conocer y resolver </w:t>
      </w:r>
      <w:r w:rsidR="005F65B7" w:rsidRPr="006A4EF1">
        <w:rPr>
          <w:szCs w:val="22"/>
        </w:rPr>
        <w:t xml:space="preserve">el </w:t>
      </w:r>
      <w:r w:rsidRPr="006A4EF1">
        <w:rPr>
          <w:szCs w:val="22"/>
        </w:rPr>
        <w:t xml:space="preserve">presente Recurso de Revisión, conforme a lo dispuesto en los artículos 6, Apartado A de la </w:t>
      </w:r>
      <w:r w:rsidRPr="006A4EF1">
        <w:rPr>
          <w:szCs w:val="22"/>
        </w:rPr>
        <w:lastRenderedPageBreak/>
        <w:t>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6A4EF1">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6A4EF1" w:rsidRDefault="00DB1C09" w:rsidP="006A4EF1">
      <w:pPr>
        <w:rPr>
          <w:rFonts w:cs="Arial"/>
          <w:szCs w:val="22"/>
        </w:rPr>
      </w:pPr>
    </w:p>
    <w:p w14:paraId="517A2DD6" w14:textId="4169BE4D" w:rsidR="00664420" w:rsidRPr="006A4EF1" w:rsidRDefault="00BA55A8" w:rsidP="006A4EF1">
      <w:pPr>
        <w:pStyle w:val="Ttulo3"/>
        <w:rPr>
          <w:szCs w:val="22"/>
        </w:rPr>
      </w:pPr>
      <w:bookmarkStart w:id="21" w:name="_Toc180061397"/>
      <w:r w:rsidRPr="006A4EF1">
        <w:rPr>
          <w:szCs w:val="22"/>
        </w:rPr>
        <w:t>b)</w:t>
      </w:r>
      <w:r w:rsidR="00664420" w:rsidRPr="006A4EF1">
        <w:rPr>
          <w:szCs w:val="22"/>
        </w:rPr>
        <w:t xml:space="preserve"> </w:t>
      </w:r>
      <w:r w:rsidR="00D91CB4" w:rsidRPr="006A4EF1">
        <w:rPr>
          <w:szCs w:val="22"/>
        </w:rPr>
        <w:t>Legitimidad</w:t>
      </w:r>
      <w:r w:rsidRPr="006A4EF1">
        <w:rPr>
          <w:szCs w:val="22"/>
        </w:rPr>
        <w:t xml:space="preserve"> de la parte recurrente</w:t>
      </w:r>
      <w:bookmarkEnd w:id="21"/>
    </w:p>
    <w:p w14:paraId="26FEA382" w14:textId="0B06695C" w:rsidR="00D91CB4" w:rsidRPr="006A4EF1" w:rsidRDefault="00D91CB4" w:rsidP="006A4EF1">
      <w:pPr>
        <w:rPr>
          <w:rFonts w:cs="Arial"/>
          <w:bCs/>
          <w:szCs w:val="22"/>
        </w:rPr>
      </w:pPr>
      <w:r w:rsidRPr="006A4EF1">
        <w:rPr>
          <w:rFonts w:cs="Arial"/>
          <w:bCs/>
          <w:szCs w:val="22"/>
        </w:rPr>
        <w:t>El recurso de revisión fue interpuesto por parte legítima, ya que se presentó por la misma persona que formuló la solicitud de acceso a la Información Pública,</w:t>
      </w:r>
      <w:r w:rsidRPr="006A4EF1">
        <w:rPr>
          <w:rFonts w:cs="Arial"/>
          <w:b/>
          <w:bCs/>
          <w:szCs w:val="22"/>
        </w:rPr>
        <w:t xml:space="preserve"> </w:t>
      </w:r>
      <w:r w:rsidRPr="006A4EF1">
        <w:rPr>
          <w:rFonts w:cs="Arial"/>
          <w:szCs w:val="22"/>
        </w:rPr>
        <w:t>debido a que los datos de acceso</w:t>
      </w:r>
      <w:r w:rsidRPr="006A4EF1">
        <w:rPr>
          <w:rFonts w:cs="Arial"/>
          <w:b/>
          <w:bCs/>
          <w:szCs w:val="22"/>
        </w:rPr>
        <w:t xml:space="preserve"> </w:t>
      </w:r>
      <w:r w:rsidRPr="006A4EF1">
        <w:rPr>
          <w:rFonts w:cs="Arial"/>
          <w:szCs w:val="22"/>
        </w:rPr>
        <w:t>SAIMEX</w:t>
      </w:r>
      <w:r w:rsidRPr="006A4EF1">
        <w:rPr>
          <w:rFonts w:eastAsia="Calibri" w:cs="Arial"/>
          <w:szCs w:val="22"/>
          <w:lang w:eastAsia="en-US"/>
        </w:rPr>
        <w:t xml:space="preserve"> son personales e irrepetibles.</w:t>
      </w:r>
    </w:p>
    <w:p w14:paraId="2C367810" w14:textId="77777777" w:rsidR="00D91CB4" w:rsidRPr="006A4EF1" w:rsidRDefault="00D91CB4" w:rsidP="006A4EF1">
      <w:pPr>
        <w:rPr>
          <w:szCs w:val="22"/>
        </w:rPr>
      </w:pPr>
    </w:p>
    <w:p w14:paraId="496490FC" w14:textId="1A5F3FDB" w:rsidR="00D91CB4" w:rsidRPr="006A4EF1" w:rsidRDefault="00BA55A8" w:rsidP="006A4EF1">
      <w:pPr>
        <w:pStyle w:val="Ttulo3"/>
        <w:rPr>
          <w:rFonts w:eastAsia="Calibri"/>
          <w:szCs w:val="22"/>
          <w:lang w:eastAsia="es-ES_tradnl"/>
        </w:rPr>
      </w:pPr>
      <w:bookmarkStart w:id="22" w:name="_Toc180061398"/>
      <w:r w:rsidRPr="006A4EF1">
        <w:rPr>
          <w:rFonts w:eastAsia="Calibri"/>
          <w:szCs w:val="22"/>
          <w:lang w:eastAsia="es-ES_tradnl"/>
        </w:rPr>
        <w:t>c)</w:t>
      </w:r>
      <w:r w:rsidR="00664420" w:rsidRPr="006A4EF1">
        <w:rPr>
          <w:rFonts w:eastAsia="Calibri"/>
          <w:szCs w:val="22"/>
          <w:lang w:eastAsia="es-ES_tradnl"/>
        </w:rPr>
        <w:t xml:space="preserve"> </w:t>
      </w:r>
      <w:r w:rsidR="00D91CB4" w:rsidRPr="006A4EF1">
        <w:rPr>
          <w:rFonts w:eastAsia="Calibri"/>
          <w:szCs w:val="22"/>
          <w:lang w:eastAsia="es-ES_tradnl"/>
        </w:rPr>
        <w:t>Plazo para interponer el recurso</w:t>
      </w:r>
      <w:bookmarkEnd w:id="22"/>
    </w:p>
    <w:p w14:paraId="106D37EE" w14:textId="2107D4B0" w:rsidR="00D91CB4" w:rsidRPr="006A4EF1" w:rsidRDefault="00D91CB4" w:rsidP="006A4EF1">
      <w:pPr>
        <w:rPr>
          <w:rFonts w:eastAsiaTheme="minorEastAsia" w:cs="Arial"/>
          <w:szCs w:val="22"/>
          <w:lang w:val="es-ES_tradnl"/>
        </w:rPr>
      </w:pPr>
      <w:r w:rsidRPr="006A4EF1">
        <w:rPr>
          <w:rFonts w:cs="Arial"/>
          <w:b/>
          <w:szCs w:val="22"/>
        </w:rPr>
        <w:t>EL SUJETO OBLIGADO</w:t>
      </w:r>
      <w:r w:rsidRPr="006A4EF1">
        <w:rPr>
          <w:rFonts w:cs="Arial"/>
          <w:szCs w:val="22"/>
        </w:rPr>
        <w:t xml:space="preserve"> notificó la respuesta a la solicitud de acceso a la Información Pública el </w:t>
      </w:r>
      <w:r w:rsidR="002F629F" w:rsidRPr="006A4EF1">
        <w:rPr>
          <w:rFonts w:cs="Tahoma"/>
          <w:b/>
          <w:bCs/>
          <w:szCs w:val="22"/>
        </w:rPr>
        <w:t>cuatro</w:t>
      </w:r>
      <w:r w:rsidR="006F611E" w:rsidRPr="006A4EF1">
        <w:rPr>
          <w:rFonts w:cs="Tahoma"/>
          <w:b/>
          <w:bCs/>
          <w:szCs w:val="22"/>
        </w:rPr>
        <w:t xml:space="preserve"> de septiembre</w:t>
      </w:r>
      <w:r w:rsidR="00DE285A" w:rsidRPr="006A4EF1">
        <w:rPr>
          <w:rFonts w:cs="Tahoma"/>
          <w:b/>
          <w:bCs/>
          <w:szCs w:val="22"/>
        </w:rPr>
        <w:t xml:space="preserve"> de dos mil veinticuatro</w:t>
      </w:r>
      <w:r w:rsidR="00DE285A" w:rsidRPr="006A4EF1">
        <w:rPr>
          <w:rFonts w:cs="Tahoma"/>
          <w:szCs w:val="22"/>
        </w:rPr>
        <w:t xml:space="preserve"> </w:t>
      </w:r>
      <w:r w:rsidR="00A53315" w:rsidRPr="006A4EF1">
        <w:rPr>
          <w:rFonts w:cs="Arial"/>
          <w:szCs w:val="22"/>
        </w:rPr>
        <w:t xml:space="preserve">y el recurso </w:t>
      </w:r>
      <w:r w:rsidR="00A53315" w:rsidRPr="006A4EF1">
        <w:rPr>
          <w:rFonts w:eastAsia="Palatino Linotype" w:cs="Palatino Linotype"/>
          <w:szCs w:val="22"/>
        </w:rPr>
        <w:t xml:space="preserve">que nos ocupa se </w:t>
      </w:r>
      <w:r w:rsidR="006A61F1" w:rsidRPr="006A4EF1">
        <w:rPr>
          <w:rFonts w:eastAsia="Palatino Linotype" w:cs="Palatino Linotype"/>
          <w:szCs w:val="22"/>
        </w:rPr>
        <w:t>tuvo por presentado</w:t>
      </w:r>
      <w:r w:rsidR="00A53315" w:rsidRPr="006A4EF1">
        <w:rPr>
          <w:rFonts w:eastAsia="Palatino Linotype" w:cs="Palatino Linotype"/>
          <w:szCs w:val="22"/>
        </w:rPr>
        <w:t xml:space="preserve"> el </w:t>
      </w:r>
      <w:r w:rsidR="003B3E0B" w:rsidRPr="006A4EF1">
        <w:rPr>
          <w:rFonts w:eastAsia="Palatino Linotype" w:cs="Palatino Linotype"/>
          <w:b/>
          <w:szCs w:val="22"/>
        </w:rPr>
        <w:t>veinticuatro</w:t>
      </w:r>
      <w:r w:rsidR="007328F2" w:rsidRPr="006A4EF1">
        <w:rPr>
          <w:rFonts w:cs="Tahoma"/>
          <w:b/>
          <w:bCs/>
          <w:szCs w:val="22"/>
        </w:rPr>
        <w:t xml:space="preserve"> de septiembre</w:t>
      </w:r>
      <w:r w:rsidR="00DE285A" w:rsidRPr="006A4EF1">
        <w:rPr>
          <w:rFonts w:cs="Tahoma"/>
          <w:b/>
          <w:bCs/>
          <w:szCs w:val="22"/>
        </w:rPr>
        <w:t xml:space="preserve"> de dos mil veinticuatro</w:t>
      </w:r>
      <w:r w:rsidR="00A53315" w:rsidRPr="006A4EF1">
        <w:rPr>
          <w:rFonts w:eastAsia="Palatino Linotype" w:cs="Palatino Linotype"/>
          <w:bCs/>
          <w:szCs w:val="22"/>
        </w:rPr>
        <w:t>;</w:t>
      </w:r>
      <w:r w:rsidR="00A53315" w:rsidRPr="006A4EF1">
        <w:rPr>
          <w:rFonts w:eastAsia="Palatino Linotype" w:cs="Palatino Linotype"/>
          <w:szCs w:val="22"/>
        </w:rPr>
        <w:t xml:space="preserve"> por lo tanto, éste se encuentra dentro del margen temporal previsto en el artículo 178 de la </w:t>
      </w:r>
      <w:r w:rsidR="00A53315" w:rsidRPr="006A4EF1">
        <w:rPr>
          <w:rFonts w:cs="Arial"/>
          <w:szCs w:val="22"/>
        </w:rPr>
        <w:t>Ley de Transparencia y Acceso a la Información Pública del Estado de México y Municipios</w:t>
      </w:r>
      <w:r w:rsidR="007328F2" w:rsidRPr="006A4EF1">
        <w:rPr>
          <w:rFonts w:cs="Arial"/>
          <w:szCs w:val="22"/>
        </w:rPr>
        <w:t>.</w:t>
      </w:r>
    </w:p>
    <w:p w14:paraId="49076992" w14:textId="77777777" w:rsidR="00D91CB4" w:rsidRPr="006A4EF1" w:rsidRDefault="00D91CB4" w:rsidP="006A4EF1">
      <w:pPr>
        <w:rPr>
          <w:rFonts w:eastAsia="Palatino Linotype" w:cs="Palatino Linotype"/>
          <w:szCs w:val="22"/>
        </w:rPr>
      </w:pPr>
    </w:p>
    <w:p w14:paraId="46C0EB3A" w14:textId="28FD0C2E" w:rsidR="00A53315" w:rsidRPr="006A4EF1" w:rsidRDefault="00BA55A8" w:rsidP="006A4EF1">
      <w:pPr>
        <w:pStyle w:val="Ttulo3"/>
        <w:rPr>
          <w:rFonts w:eastAsia="Calibri"/>
          <w:szCs w:val="22"/>
          <w:lang w:eastAsia="es-ES_tradnl"/>
        </w:rPr>
      </w:pPr>
      <w:bookmarkStart w:id="23" w:name="_Toc180061399"/>
      <w:r w:rsidRPr="006A4EF1">
        <w:rPr>
          <w:rFonts w:eastAsia="Calibri"/>
          <w:szCs w:val="22"/>
          <w:lang w:eastAsia="es-ES_tradnl"/>
        </w:rPr>
        <w:t>d)</w:t>
      </w:r>
      <w:r w:rsidR="00D91CB4" w:rsidRPr="006A4EF1">
        <w:rPr>
          <w:rFonts w:eastAsia="Calibri"/>
          <w:szCs w:val="22"/>
          <w:lang w:eastAsia="es-ES_tradnl"/>
        </w:rPr>
        <w:t xml:space="preserve"> </w:t>
      </w:r>
      <w:r w:rsidR="00E325AD" w:rsidRPr="006A4EF1">
        <w:rPr>
          <w:rFonts w:eastAsia="Calibri"/>
          <w:szCs w:val="22"/>
          <w:lang w:eastAsia="es-ES_tradnl"/>
        </w:rPr>
        <w:t>Causal de Procedencia</w:t>
      </w:r>
      <w:bookmarkEnd w:id="23"/>
    </w:p>
    <w:p w14:paraId="190404A6" w14:textId="5C49D434" w:rsidR="00BA55A8" w:rsidRPr="006A4EF1" w:rsidRDefault="00BA55A8" w:rsidP="006A4EF1">
      <w:pPr>
        <w:rPr>
          <w:szCs w:val="22"/>
        </w:rPr>
      </w:pPr>
      <w:r w:rsidRPr="006A4EF1">
        <w:rPr>
          <w:rFonts w:cs="Arial"/>
          <w:szCs w:val="22"/>
        </w:rPr>
        <w:t xml:space="preserve">Resulta procedente la interposición del recurso de revisión, ya que </w:t>
      </w:r>
      <w:r w:rsidRPr="006A4EF1">
        <w:rPr>
          <w:rFonts w:eastAsia="Calibri" w:cs="Tahoma"/>
          <w:szCs w:val="22"/>
          <w:lang w:eastAsia="es-MX"/>
        </w:rPr>
        <w:t xml:space="preserve">se actualiza la causal de procedencia señalada en el artículo 179, </w:t>
      </w:r>
      <w:r w:rsidR="002F629F" w:rsidRPr="006A4EF1">
        <w:rPr>
          <w:rFonts w:eastAsia="Calibri" w:cs="Tahoma"/>
          <w:szCs w:val="22"/>
          <w:lang w:eastAsia="es-MX"/>
        </w:rPr>
        <w:t>Fracción</w:t>
      </w:r>
      <w:r w:rsidR="00B9424E" w:rsidRPr="006A4EF1">
        <w:rPr>
          <w:rFonts w:eastAsia="Calibri" w:cs="Tahoma"/>
          <w:szCs w:val="22"/>
          <w:lang w:eastAsia="es-MX"/>
        </w:rPr>
        <w:t xml:space="preserve"> VII</w:t>
      </w:r>
      <w:r w:rsidR="007328F2" w:rsidRPr="006A4EF1">
        <w:rPr>
          <w:rFonts w:eastAsia="Calibri" w:cs="Tahoma"/>
          <w:szCs w:val="22"/>
          <w:lang w:eastAsia="es-MX"/>
        </w:rPr>
        <w:t xml:space="preserve"> </w:t>
      </w:r>
      <w:r w:rsidRPr="006A4EF1">
        <w:rPr>
          <w:rFonts w:cs="Arial"/>
          <w:szCs w:val="22"/>
        </w:rPr>
        <w:t xml:space="preserve">de la </w:t>
      </w:r>
      <w:r w:rsidRPr="006A4EF1">
        <w:rPr>
          <w:szCs w:val="22"/>
        </w:rPr>
        <w:t>Ley de Transparencia y Acceso a la Información Pública del Estado de México y Municipios.</w:t>
      </w:r>
    </w:p>
    <w:p w14:paraId="0EFF7141" w14:textId="77777777" w:rsidR="00362A11" w:rsidRPr="006A4EF1" w:rsidRDefault="00362A11" w:rsidP="006A4EF1">
      <w:pPr>
        <w:rPr>
          <w:szCs w:val="22"/>
        </w:rPr>
      </w:pPr>
    </w:p>
    <w:p w14:paraId="2284D7EB" w14:textId="3EE1D036" w:rsidR="00BA55A8" w:rsidRPr="006A4EF1" w:rsidRDefault="00362A11" w:rsidP="006A4EF1">
      <w:pPr>
        <w:pStyle w:val="Ttulo3"/>
        <w:rPr>
          <w:szCs w:val="22"/>
        </w:rPr>
      </w:pPr>
      <w:bookmarkStart w:id="24" w:name="_Toc180061400"/>
      <w:r w:rsidRPr="006A4EF1">
        <w:rPr>
          <w:szCs w:val="22"/>
        </w:rPr>
        <w:lastRenderedPageBreak/>
        <w:t>e) Requisitos formales para la interposición del recurso</w:t>
      </w:r>
      <w:bookmarkEnd w:id="24"/>
    </w:p>
    <w:p w14:paraId="7629B485" w14:textId="77777777" w:rsidR="00514D86" w:rsidRPr="006A4EF1" w:rsidRDefault="00514D86" w:rsidP="006A4EF1">
      <w:pPr>
        <w:rPr>
          <w:rFonts w:cs="Arial"/>
          <w:szCs w:val="22"/>
        </w:rPr>
      </w:pPr>
      <w:r w:rsidRPr="006A4EF1">
        <w:rPr>
          <w:rFonts w:cs="Arial"/>
          <w:b/>
          <w:bCs/>
          <w:szCs w:val="22"/>
        </w:rPr>
        <w:t xml:space="preserve">LA PARTE RECURRENTE </w:t>
      </w:r>
      <w:r w:rsidRPr="006A4EF1">
        <w:rPr>
          <w:rFonts w:cs="Arial"/>
          <w:szCs w:val="22"/>
        </w:rPr>
        <w:t>acreditó todos y cada uno de los elementos formales exigidos por el artículo 180 de la misma normatividad.</w:t>
      </w:r>
    </w:p>
    <w:p w14:paraId="07882DF4" w14:textId="77777777" w:rsidR="0083518A" w:rsidRPr="006A4EF1" w:rsidRDefault="0083518A" w:rsidP="006A4EF1">
      <w:pPr>
        <w:rPr>
          <w:bCs/>
          <w:szCs w:val="22"/>
          <w:lang w:val="es-ES_tradnl"/>
        </w:rPr>
      </w:pPr>
    </w:p>
    <w:p w14:paraId="457548E9" w14:textId="3F7AF03B" w:rsidR="00C71CEF" w:rsidRPr="006A4EF1" w:rsidRDefault="00C71CEF" w:rsidP="006A4EF1">
      <w:pPr>
        <w:pStyle w:val="Ttulo2"/>
        <w:rPr>
          <w:szCs w:val="22"/>
        </w:rPr>
      </w:pPr>
      <w:bookmarkStart w:id="25" w:name="_Toc180061401"/>
      <w:r w:rsidRPr="006A4EF1">
        <w:rPr>
          <w:szCs w:val="22"/>
        </w:rPr>
        <w:t>SEGUNDO. Estudio de Fondo</w:t>
      </w:r>
      <w:bookmarkEnd w:id="25"/>
    </w:p>
    <w:p w14:paraId="2A308F59" w14:textId="0FF373F0" w:rsidR="00C049E2" w:rsidRPr="006A4EF1" w:rsidRDefault="00C71CEF" w:rsidP="006A4EF1">
      <w:pPr>
        <w:pStyle w:val="Ttulo3"/>
        <w:rPr>
          <w:szCs w:val="22"/>
        </w:rPr>
      </w:pPr>
      <w:bookmarkStart w:id="26" w:name="_Toc180061402"/>
      <w:r w:rsidRPr="006A4EF1">
        <w:rPr>
          <w:szCs w:val="22"/>
        </w:rPr>
        <w:t>a</w:t>
      </w:r>
      <w:r w:rsidR="00C049E2" w:rsidRPr="006A4EF1">
        <w:rPr>
          <w:szCs w:val="22"/>
        </w:rPr>
        <w:t>) Mandato de transparencia y responsabilidad del Sujeto Obligado</w:t>
      </w:r>
      <w:bookmarkEnd w:id="26"/>
    </w:p>
    <w:p w14:paraId="6901A889" w14:textId="59EEDAE1" w:rsidR="00C049E2" w:rsidRPr="006A4EF1" w:rsidRDefault="00C049E2" w:rsidP="006A4EF1">
      <w:pPr>
        <w:rPr>
          <w:rFonts w:eastAsia="Palatino Linotype"/>
          <w:szCs w:val="22"/>
        </w:rPr>
      </w:pPr>
      <w:r w:rsidRPr="006A4EF1">
        <w:rPr>
          <w:rFonts w:eastAsia="Palatino Linotype"/>
          <w:szCs w:val="22"/>
        </w:rPr>
        <w:t xml:space="preserve">El </w:t>
      </w:r>
      <w:r w:rsidR="00717E59" w:rsidRPr="006A4EF1">
        <w:rPr>
          <w:rFonts w:eastAsia="Palatino Linotype"/>
          <w:szCs w:val="22"/>
        </w:rPr>
        <w:t>d</w:t>
      </w:r>
      <w:r w:rsidRPr="006A4EF1">
        <w:rPr>
          <w:rFonts w:eastAsia="Palatino Linotype"/>
          <w:szCs w:val="22"/>
        </w:rPr>
        <w:t xml:space="preserve">erecho de </w:t>
      </w:r>
      <w:r w:rsidR="00717E59" w:rsidRPr="006A4EF1">
        <w:rPr>
          <w:rFonts w:eastAsia="Palatino Linotype"/>
          <w:szCs w:val="22"/>
        </w:rPr>
        <w:t>a</w:t>
      </w:r>
      <w:r w:rsidRPr="006A4EF1">
        <w:rPr>
          <w:rFonts w:eastAsia="Palatino Linotype"/>
          <w:szCs w:val="22"/>
        </w:rPr>
        <w:t xml:space="preserve">cceso a la </w:t>
      </w:r>
      <w:r w:rsidR="00717E59" w:rsidRPr="006A4EF1">
        <w:rPr>
          <w:rFonts w:eastAsia="Palatino Linotype"/>
          <w:szCs w:val="22"/>
        </w:rPr>
        <w:t>i</w:t>
      </w:r>
      <w:r w:rsidRPr="006A4EF1">
        <w:rPr>
          <w:rFonts w:eastAsia="Palatino Linotype"/>
          <w:szCs w:val="22"/>
        </w:rPr>
        <w:t xml:space="preserve">nformación </w:t>
      </w:r>
      <w:r w:rsidR="00717E59" w:rsidRPr="006A4EF1">
        <w:rPr>
          <w:rFonts w:eastAsia="Palatino Linotype"/>
          <w:szCs w:val="22"/>
        </w:rPr>
        <w:t>p</w:t>
      </w:r>
      <w:r w:rsidRPr="006A4EF1">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6A4EF1">
        <w:rPr>
          <w:rFonts w:eastAsia="Palatino Linotype"/>
          <w:szCs w:val="22"/>
        </w:rPr>
        <w:t>:</w:t>
      </w:r>
    </w:p>
    <w:p w14:paraId="7FAB8D32" w14:textId="77777777" w:rsidR="00C049E2" w:rsidRPr="006A4EF1" w:rsidRDefault="00C049E2" w:rsidP="006A4EF1">
      <w:pPr>
        <w:rPr>
          <w:rFonts w:eastAsia="Palatino Linotype"/>
          <w:szCs w:val="22"/>
        </w:rPr>
      </w:pPr>
    </w:p>
    <w:p w14:paraId="05320813" w14:textId="77777777" w:rsidR="00C049E2" w:rsidRPr="006A4EF1" w:rsidRDefault="00C049E2" w:rsidP="006A4EF1">
      <w:pPr>
        <w:spacing w:line="240" w:lineRule="auto"/>
        <w:ind w:left="567" w:right="539"/>
        <w:rPr>
          <w:rFonts w:eastAsia="Palatino Linotype"/>
          <w:b/>
          <w:i/>
          <w:szCs w:val="22"/>
        </w:rPr>
      </w:pPr>
      <w:r w:rsidRPr="006A4EF1">
        <w:rPr>
          <w:rFonts w:eastAsia="Palatino Linotype"/>
          <w:b/>
          <w:i/>
          <w:szCs w:val="22"/>
        </w:rPr>
        <w:t>Constitución Política de los Estados Unidos Mexicanos</w:t>
      </w:r>
    </w:p>
    <w:p w14:paraId="6B6C67B6" w14:textId="77777777" w:rsidR="00C049E2" w:rsidRPr="006A4EF1" w:rsidRDefault="00C049E2" w:rsidP="006A4EF1">
      <w:pPr>
        <w:spacing w:line="240" w:lineRule="auto"/>
        <w:ind w:left="567" w:right="539"/>
        <w:rPr>
          <w:rFonts w:eastAsia="Palatino Linotype"/>
          <w:b/>
          <w:i/>
          <w:szCs w:val="22"/>
        </w:rPr>
      </w:pPr>
      <w:r w:rsidRPr="006A4EF1">
        <w:rPr>
          <w:rFonts w:eastAsia="Palatino Linotype"/>
          <w:b/>
          <w:i/>
          <w:szCs w:val="22"/>
        </w:rPr>
        <w:t>“Artículo 6.</w:t>
      </w:r>
    </w:p>
    <w:p w14:paraId="38D3B4C4" w14:textId="77777777" w:rsidR="00C049E2" w:rsidRPr="006A4EF1" w:rsidRDefault="00C049E2" w:rsidP="006A4EF1">
      <w:pPr>
        <w:spacing w:line="240" w:lineRule="auto"/>
        <w:ind w:left="567" w:right="539"/>
        <w:rPr>
          <w:rFonts w:eastAsia="Palatino Linotype"/>
          <w:i/>
          <w:szCs w:val="22"/>
        </w:rPr>
      </w:pPr>
      <w:r w:rsidRPr="006A4EF1">
        <w:rPr>
          <w:rFonts w:eastAsia="Palatino Linotype"/>
          <w:i/>
          <w:szCs w:val="22"/>
        </w:rPr>
        <w:t>(…)</w:t>
      </w:r>
    </w:p>
    <w:p w14:paraId="2CCAA297" w14:textId="6602827B" w:rsidR="00C049E2" w:rsidRPr="006A4EF1" w:rsidRDefault="00C049E2" w:rsidP="006A4EF1">
      <w:pPr>
        <w:spacing w:line="240" w:lineRule="auto"/>
        <w:ind w:left="567" w:right="539"/>
        <w:rPr>
          <w:rFonts w:eastAsia="Palatino Linotype"/>
          <w:i/>
          <w:szCs w:val="22"/>
        </w:rPr>
      </w:pPr>
      <w:r w:rsidRPr="006A4EF1">
        <w:rPr>
          <w:rFonts w:eastAsia="Palatino Linotype"/>
          <w:i/>
          <w:szCs w:val="22"/>
        </w:rPr>
        <w:t>Para efectos de lo dispuesto en el presente artículo se observará lo siguiente:</w:t>
      </w:r>
    </w:p>
    <w:p w14:paraId="74CC3718" w14:textId="77777777" w:rsidR="00C049E2" w:rsidRPr="006A4EF1" w:rsidRDefault="00C049E2" w:rsidP="006A4EF1">
      <w:pPr>
        <w:spacing w:line="240" w:lineRule="auto"/>
        <w:ind w:left="567" w:right="539"/>
        <w:rPr>
          <w:rFonts w:eastAsia="Palatino Linotype"/>
          <w:b/>
          <w:i/>
          <w:szCs w:val="22"/>
        </w:rPr>
      </w:pPr>
      <w:r w:rsidRPr="006A4EF1">
        <w:rPr>
          <w:rFonts w:eastAsia="Palatino Linotype"/>
          <w:b/>
          <w:i/>
          <w:szCs w:val="22"/>
        </w:rPr>
        <w:t>A</w:t>
      </w:r>
      <w:r w:rsidRPr="006A4EF1">
        <w:rPr>
          <w:rFonts w:eastAsia="Palatino Linotype"/>
          <w:i/>
          <w:szCs w:val="22"/>
        </w:rPr>
        <w:t xml:space="preserve">. </w:t>
      </w:r>
      <w:r w:rsidRPr="006A4EF1">
        <w:rPr>
          <w:rFonts w:eastAsia="Palatino Linotype"/>
          <w:b/>
          <w:i/>
          <w:szCs w:val="22"/>
        </w:rPr>
        <w:t>Para el ejercicio del derecho de acceso a la información</w:t>
      </w:r>
      <w:r w:rsidRPr="006A4EF1">
        <w:rPr>
          <w:rFonts w:eastAsia="Palatino Linotype"/>
          <w:i/>
          <w:szCs w:val="22"/>
        </w:rPr>
        <w:t xml:space="preserve">, la Federación y </w:t>
      </w:r>
      <w:r w:rsidRPr="006A4EF1">
        <w:rPr>
          <w:rFonts w:eastAsia="Palatino Linotype"/>
          <w:b/>
          <w:i/>
          <w:szCs w:val="22"/>
        </w:rPr>
        <w:t>las entidades federativas, en el ámbito de sus respectivas competencias, se regirán por los siguientes principios y bases:</w:t>
      </w:r>
    </w:p>
    <w:p w14:paraId="596A956B" w14:textId="77777777" w:rsidR="00C049E2" w:rsidRPr="006A4EF1" w:rsidRDefault="00C049E2" w:rsidP="006A4EF1">
      <w:pPr>
        <w:spacing w:line="240" w:lineRule="auto"/>
        <w:ind w:left="567" w:right="539"/>
        <w:rPr>
          <w:rFonts w:eastAsia="Palatino Linotype"/>
          <w:i/>
          <w:szCs w:val="22"/>
        </w:rPr>
      </w:pPr>
      <w:r w:rsidRPr="006A4EF1">
        <w:rPr>
          <w:rFonts w:eastAsia="Palatino Linotype"/>
          <w:b/>
          <w:i/>
          <w:szCs w:val="22"/>
        </w:rPr>
        <w:t xml:space="preserve">I. </w:t>
      </w:r>
      <w:r w:rsidRPr="006A4EF1">
        <w:rPr>
          <w:rFonts w:eastAsia="Palatino Linotype"/>
          <w:b/>
          <w:i/>
          <w:szCs w:val="22"/>
        </w:rPr>
        <w:tab/>
        <w:t>Toda la información en posesión de cualquier</w:t>
      </w:r>
      <w:r w:rsidRPr="006A4EF1">
        <w:rPr>
          <w:rFonts w:eastAsia="Palatino Linotype"/>
          <w:i/>
          <w:szCs w:val="22"/>
        </w:rPr>
        <w:t xml:space="preserve"> </w:t>
      </w:r>
      <w:r w:rsidRPr="006A4EF1">
        <w:rPr>
          <w:rFonts w:eastAsia="Palatino Linotype"/>
          <w:b/>
          <w:i/>
          <w:szCs w:val="22"/>
        </w:rPr>
        <w:t>autoridad</w:t>
      </w:r>
      <w:r w:rsidRPr="006A4EF1">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A4EF1">
        <w:rPr>
          <w:rFonts w:eastAsia="Palatino Linotype"/>
          <w:b/>
          <w:i/>
          <w:szCs w:val="22"/>
        </w:rPr>
        <w:t>municipal</w:t>
      </w:r>
      <w:r w:rsidRPr="006A4EF1">
        <w:rPr>
          <w:rFonts w:eastAsia="Palatino Linotype"/>
          <w:i/>
          <w:szCs w:val="22"/>
        </w:rPr>
        <w:t xml:space="preserve">, </w:t>
      </w:r>
      <w:r w:rsidRPr="006A4EF1">
        <w:rPr>
          <w:rFonts w:eastAsia="Palatino Linotype"/>
          <w:b/>
          <w:i/>
          <w:szCs w:val="22"/>
        </w:rPr>
        <w:t>es pública</w:t>
      </w:r>
      <w:r w:rsidRPr="006A4EF1">
        <w:rPr>
          <w:rFonts w:eastAsia="Palatino Linotype"/>
          <w:i/>
          <w:szCs w:val="22"/>
        </w:rPr>
        <w:t xml:space="preserve"> y sólo podrá ser reservada temporalmente por razones de interés público y seguridad nacional, en los términos que fijen las leyes. </w:t>
      </w:r>
      <w:r w:rsidRPr="006A4EF1">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6A4EF1">
        <w:rPr>
          <w:rFonts w:eastAsia="Palatino Linotype"/>
          <w:i/>
          <w:szCs w:val="22"/>
        </w:rPr>
        <w:t>, la ley determinará los supuestos específicos bajo los cuales procederá la declaración de inexistencia de la información.”</w:t>
      </w:r>
    </w:p>
    <w:p w14:paraId="68F313E4" w14:textId="77777777" w:rsidR="00C049E2" w:rsidRPr="006A4EF1" w:rsidRDefault="00C049E2" w:rsidP="006A4EF1">
      <w:pPr>
        <w:spacing w:line="240" w:lineRule="auto"/>
        <w:ind w:left="567" w:right="539"/>
        <w:rPr>
          <w:rFonts w:eastAsia="Palatino Linotype"/>
          <w:b/>
          <w:i/>
          <w:szCs w:val="22"/>
        </w:rPr>
      </w:pPr>
    </w:p>
    <w:p w14:paraId="504F12DB" w14:textId="77777777" w:rsidR="00C049E2" w:rsidRPr="006A4EF1" w:rsidRDefault="00C049E2" w:rsidP="006A4EF1">
      <w:pPr>
        <w:spacing w:line="240" w:lineRule="auto"/>
        <w:ind w:left="567" w:right="539"/>
        <w:rPr>
          <w:rFonts w:eastAsia="Palatino Linotype"/>
          <w:b/>
          <w:i/>
          <w:szCs w:val="22"/>
        </w:rPr>
      </w:pPr>
      <w:r w:rsidRPr="006A4EF1">
        <w:rPr>
          <w:rFonts w:eastAsia="Palatino Linotype"/>
          <w:b/>
          <w:i/>
          <w:szCs w:val="22"/>
        </w:rPr>
        <w:t>Constitución Política del Estado Libre y Soberano de México</w:t>
      </w:r>
    </w:p>
    <w:p w14:paraId="04932D29" w14:textId="77777777" w:rsidR="00C049E2" w:rsidRPr="006A4EF1" w:rsidRDefault="00C049E2" w:rsidP="006A4EF1">
      <w:pPr>
        <w:spacing w:line="240" w:lineRule="auto"/>
        <w:ind w:left="567" w:right="539"/>
        <w:rPr>
          <w:rFonts w:eastAsia="Palatino Linotype"/>
          <w:i/>
          <w:szCs w:val="22"/>
        </w:rPr>
      </w:pPr>
      <w:r w:rsidRPr="006A4EF1">
        <w:rPr>
          <w:rFonts w:eastAsia="Palatino Linotype"/>
          <w:b/>
          <w:i/>
          <w:szCs w:val="22"/>
        </w:rPr>
        <w:t>“Artículo 5</w:t>
      </w:r>
      <w:r w:rsidRPr="006A4EF1">
        <w:rPr>
          <w:rFonts w:eastAsia="Palatino Linotype"/>
          <w:i/>
          <w:szCs w:val="22"/>
        </w:rPr>
        <w:t xml:space="preserve">.- </w:t>
      </w:r>
    </w:p>
    <w:p w14:paraId="1D3829F4" w14:textId="77777777" w:rsidR="00C049E2" w:rsidRPr="006A4EF1" w:rsidRDefault="00C049E2" w:rsidP="006A4EF1">
      <w:pPr>
        <w:spacing w:line="240" w:lineRule="auto"/>
        <w:ind w:left="567" w:right="539"/>
        <w:rPr>
          <w:rFonts w:eastAsia="Palatino Linotype"/>
          <w:i/>
          <w:szCs w:val="22"/>
        </w:rPr>
      </w:pPr>
      <w:r w:rsidRPr="006A4EF1">
        <w:rPr>
          <w:rFonts w:eastAsia="Palatino Linotype"/>
          <w:i/>
          <w:szCs w:val="22"/>
        </w:rPr>
        <w:t>(…)</w:t>
      </w:r>
    </w:p>
    <w:p w14:paraId="0EAE47FD" w14:textId="77777777" w:rsidR="00C049E2" w:rsidRPr="006A4EF1" w:rsidRDefault="00C049E2" w:rsidP="006A4EF1">
      <w:pPr>
        <w:spacing w:line="240" w:lineRule="auto"/>
        <w:ind w:left="567" w:right="539"/>
        <w:rPr>
          <w:rFonts w:eastAsia="Palatino Linotype"/>
          <w:i/>
          <w:szCs w:val="22"/>
        </w:rPr>
      </w:pPr>
      <w:r w:rsidRPr="006A4EF1">
        <w:rPr>
          <w:rFonts w:eastAsia="Palatino Linotype"/>
          <w:b/>
          <w:i/>
          <w:szCs w:val="22"/>
        </w:rPr>
        <w:lastRenderedPageBreak/>
        <w:t>El derecho a la información será garantizado por el Estado. La ley establecerá las previsiones que permitan asegurar la protección, el respeto y la difusión de este derecho</w:t>
      </w:r>
      <w:r w:rsidRPr="006A4EF1">
        <w:rPr>
          <w:rFonts w:eastAsia="Palatino Linotype"/>
          <w:i/>
          <w:szCs w:val="22"/>
        </w:rPr>
        <w:t>.</w:t>
      </w:r>
    </w:p>
    <w:p w14:paraId="4F0C804A" w14:textId="77777777" w:rsidR="00C049E2" w:rsidRPr="006A4EF1" w:rsidRDefault="00C049E2" w:rsidP="006A4EF1">
      <w:pPr>
        <w:spacing w:line="240" w:lineRule="auto"/>
        <w:ind w:left="567" w:right="539"/>
        <w:rPr>
          <w:rFonts w:eastAsia="Palatino Linotype"/>
          <w:i/>
          <w:szCs w:val="22"/>
        </w:rPr>
      </w:pPr>
      <w:r w:rsidRPr="006A4EF1">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6A4EF1" w:rsidRDefault="00C049E2" w:rsidP="006A4EF1">
      <w:pPr>
        <w:spacing w:line="240" w:lineRule="auto"/>
        <w:ind w:left="567" w:right="539"/>
        <w:rPr>
          <w:rFonts w:eastAsia="Palatino Linotype"/>
          <w:i/>
          <w:szCs w:val="22"/>
        </w:rPr>
      </w:pPr>
      <w:r w:rsidRPr="006A4EF1">
        <w:rPr>
          <w:rFonts w:eastAsia="Palatino Linotype"/>
          <w:b/>
          <w:i/>
          <w:szCs w:val="22"/>
        </w:rPr>
        <w:t>Este derecho se regirá por los principios y bases siguientes</w:t>
      </w:r>
      <w:r w:rsidRPr="006A4EF1">
        <w:rPr>
          <w:rFonts w:eastAsia="Palatino Linotype"/>
          <w:i/>
          <w:szCs w:val="22"/>
        </w:rPr>
        <w:t>:</w:t>
      </w:r>
    </w:p>
    <w:p w14:paraId="4A3E8CBA" w14:textId="77777777" w:rsidR="00C049E2" w:rsidRPr="006A4EF1" w:rsidRDefault="00C049E2" w:rsidP="006A4EF1">
      <w:pPr>
        <w:spacing w:line="240" w:lineRule="auto"/>
        <w:ind w:left="567" w:right="539"/>
        <w:rPr>
          <w:rFonts w:eastAsia="Palatino Linotype"/>
          <w:i/>
          <w:szCs w:val="22"/>
        </w:rPr>
      </w:pPr>
      <w:r w:rsidRPr="006A4EF1">
        <w:rPr>
          <w:rFonts w:eastAsia="Palatino Linotype"/>
          <w:b/>
          <w:i/>
          <w:szCs w:val="22"/>
        </w:rPr>
        <w:t>I. Toda la información en posesión de cualquier autoridad, entidad, órgano y organismos de los</w:t>
      </w:r>
      <w:r w:rsidRPr="006A4EF1">
        <w:rPr>
          <w:rFonts w:eastAsia="Palatino Linotype"/>
          <w:i/>
          <w:szCs w:val="22"/>
        </w:rPr>
        <w:t xml:space="preserve"> Poderes Ejecutivo, Legislativo y Judicial, órganos autónomos, partidos políticos, fideicomisos y fondos públicos estatales y </w:t>
      </w:r>
      <w:r w:rsidRPr="006A4EF1">
        <w:rPr>
          <w:rFonts w:eastAsia="Palatino Linotype"/>
          <w:b/>
          <w:i/>
          <w:szCs w:val="22"/>
        </w:rPr>
        <w:t>municipales</w:t>
      </w:r>
      <w:r w:rsidRPr="006A4EF1">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A4EF1">
        <w:rPr>
          <w:rFonts w:eastAsia="Palatino Linotype"/>
          <w:b/>
          <w:i/>
          <w:szCs w:val="22"/>
        </w:rPr>
        <w:t>es pública</w:t>
      </w:r>
      <w:r w:rsidRPr="006A4EF1">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6A4EF1">
        <w:rPr>
          <w:rFonts w:eastAsia="Palatino Linotype"/>
          <w:b/>
          <w:i/>
          <w:szCs w:val="22"/>
        </w:rPr>
        <w:t>En la interpretación de este derecho deberá prevalecer el principio de máxima publicidad</w:t>
      </w:r>
      <w:r w:rsidRPr="006A4EF1">
        <w:rPr>
          <w:rFonts w:eastAsia="Palatino Linotype"/>
          <w:i/>
          <w:szCs w:val="22"/>
        </w:rPr>
        <w:t xml:space="preserve">. </w:t>
      </w:r>
      <w:r w:rsidRPr="006A4EF1">
        <w:rPr>
          <w:rFonts w:eastAsia="Palatino Linotype"/>
          <w:b/>
          <w:i/>
          <w:szCs w:val="22"/>
        </w:rPr>
        <w:t>Los sujetos obligados deberán documentar todo acto que derive del ejercicio de sus facultades, competencias o funciones</w:t>
      </w:r>
      <w:r w:rsidRPr="006A4EF1">
        <w:rPr>
          <w:rFonts w:eastAsia="Palatino Linotype"/>
          <w:i/>
          <w:szCs w:val="22"/>
        </w:rPr>
        <w:t>, la ley determinará los supuestos específicos bajo los cuales procederá la declaración de inexistencia de la información.”</w:t>
      </w:r>
    </w:p>
    <w:p w14:paraId="5CA98E37" w14:textId="77777777" w:rsidR="00C049E2" w:rsidRPr="006A4EF1" w:rsidRDefault="00C049E2" w:rsidP="006A4EF1">
      <w:pPr>
        <w:rPr>
          <w:rFonts w:eastAsia="Palatino Linotype"/>
          <w:b/>
          <w:i/>
          <w:szCs w:val="22"/>
        </w:rPr>
      </w:pPr>
    </w:p>
    <w:p w14:paraId="6FC1BB3B" w14:textId="3BF4A33D" w:rsidR="00C049E2" w:rsidRPr="006A4EF1" w:rsidRDefault="00717E59" w:rsidP="006A4EF1">
      <w:pPr>
        <w:rPr>
          <w:rFonts w:eastAsia="Palatino Linotype"/>
          <w:i/>
          <w:szCs w:val="22"/>
        </w:rPr>
      </w:pPr>
      <w:r w:rsidRPr="006A4EF1">
        <w:rPr>
          <w:rFonts w:eastAsia="Palatino Linotype"/>
          <w:szCs w:val="22"/>
        </w:rPr>
        <w:t xml:space="preserve">Asimismo, </w:t>
      </w:r>
      <w:r w:rsidR="00C049E2" w:rsidRPr="006A4EF1">
        <w:rPr>
          <w:rFonts w:eastAsia="Palatino Linotype"/>
          <w:szCs w:val="22"/>
        </w:rPr>
        <w:t>el artículo 150 de la Ley de Transparencia y Acceso a la Información Pública del Estado de México y Municipios</w:t>
      </w:r>
      <w:r w:rsidR="00057B2D" w:rsidRPr="006A4EF1">
        <w:rPr>
          <w:rFonts w:eastAsia="Palatino Linotype"/>
          <w:szCs w:val="22"/>
        </w:rPr>
        <w:t xml:space="preserve"> </w:t>
      </w:r>
      <w:r w:rsidR="00E9335C" w:rsidRPr="006A4EF1">
        <w:rPr>
          <w:rFonts w:eastAsia="Palatino Linotype"/>
          <w:szCs w:val="22"/>
        </w:rPr>
        <w:t xml:space="preserve">indica </w:t>
      </w:r>
      <w:r w:rsidR="00057B2D" w:rsidRPr="006A4EF1">
        <w:rPr>
          <w:rFonts w:eastAsia="Palatino Linotype"/>
          <w:szCs w:val="22"/>
        </w:rPr>
        <w:t>que</w:t>
      </w:r>
      <w:r w:rsidR="00C049E2" w:rsidRPr="006A4EF1">
        <w:rPr>
          <w:rFonts w:eastAsia="Palatino Linotype"/>
          <w:szCs w:val="22"/>
        </w:rPr>
        <w:t xml:space="preserve"> la solicitud es la garantía primaria del Derecho de Acceso a la Información, además, establece que se regirá </w:t>
      </w:r>
      <w:r w:rsidR="00C049E2" w:rsidRPr="006A4EF1">
        <w:rPr>
          <w:rFonts w:eastAsia="Palatino Linotype"/>
          <w:i/>
          <w:szCs w:val="22"/>
        </w:rPr>
        <w:t>por los principios de simplicidad, rapidez</w:t>
      </w:r>
      <w:r w:rsidR="005F65B7" w:rsidRPr="006A4EF1">
        <w:rPr>
          <w:rFonts w:eastAsia="Palatino Linotype"/>
          <w:i/>
          <w:szCs w:val="22"/>
        </w:rPr>
        <w:t>,</w:t>
      </w:r>
      <w:r w:rsidR="00C049E2" w:rsidRPr="006A4EF1">
        <w:rPr>
          <w:rFonts w:eastAsia="Palatino Linotype"/>
          <w:i/>
          <w:szCs w:val="22"/>
        </w:rPr>
        <w:t xml:space="preserve"> gratuidad del procedimiento, auxilio y orientación a los particulare</w:t>
      </w:r>
      <w:r w:rsidR="001A58B3" w:rsidRPr="006A4EF1">
        <w:rPr>
          <w:rFonts w:eastAsia="Palatino Linotype"/>
          <w:i/>
          <w:szCs w:val="22"/>
        </w:rPr>
        <w:t>s.</w:t>
      </w:r>
    </w:p>
    <w:p w14:paraId="033466A6" w14:textId="77777777" w:rsidR="001A58B3" w:rsidRPr="006A4EF1" w:rsidRDefault="001A58B3" w:rsidP="006A4EF1">
      <w:pPr>
        <w:rPr>
          <w:rFonts w:eastAsia="Palatino Linotype"/>
          <w:i/>
          <w:szCs w:val="22"/>
        </w:rPr>
      </w:pPr>
    </w:p>
    <w:p w14:paraId="04ADA10B" w14:textId="574A944A" w:rsidR="001A58B3" w:rsidRPr="006A4EF1" w:rsidRDefault="00233F17" w:rsidP="006A4EF1">
      <w:pPr>
        <w:rPr>
          <w:rFonts w:eastAsia="Palatino Linotype" w:cs="Palatino Linotype"/>
          <w:i/>
          <w:szCs w:val="22"/>
        </w:rPr>
      </w:pPr>
      <w:r w:rsidRPr="006A4EF1">
        <w:rPr>
          <w:rFonts w:eastAsia="Palatino Linotype" w:cs="Palatino Linotype"/>
          <w:szCs w:val="22"/>
        </w:rPr>
        <w:t xml:space="preserve">Por su parte, el artículo 4 de </w:t>
      </w:r>
      <w:r w:rsidR="001A58B3" w:rsidRPr="006A4EF1">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6A4EF1">
        <w:rPr>
          <w:rFonts w:eastAsia="Palatino Linotype" w:cs="Palatino Linotype"/>
          <w:szCs w:val="22"/>
        </w:rPr>
        <w:t>.</w:t>
      </w:r>
    </w:p>
    <w:p w14:paraId="1407DBB8" w14:textId="77777777" w:rsidR="001A58B3" w:rsidRPr="006A4EF1" w:rsidRDefault="001A58B3" w:rsidP="006A4EF1">
      <w:pPr>
        <w:rPr>
          <w:rFonts w:eastAsia="Palatino Linotype" w:cs="Palatino Linotype"/>
          <w:szCs w:val="22"/>
        </w:rPr>
      </w:pPr>
    </w:p>
    <w:p w14:paraId="7552AA79" w14:textId="5C52E4A4" w:rsidR="001A58B3" w:rsidRPr="006A4EF1" w:rsidRDefault="001A58B3" w:rsidP="006A4EF1">
      <w:pPr>
        <w:rPr>
          <w:rFonts w:eastAsia="Palatino Linotype" w:cs="Palatino Linotype"/>
          <w:szCs w:val="22"/>
        </w:rPr>
      </w:pPr>
      <w:r w:rsidRPr="006A4EF1">
        <w:rPr>
          <w:rFonts w:eastAsia="Palatino Linotype" w:cs="Palatino Linotype"/>
          <w:szCs w:val="22"/>
        </w:rPr>
        <w:t xml:space="preserve">Esto es, que los Sujetos Obligados </w:t>
      </w:r>
      <w:r w:rsidR="00FA5957" w:rsidRPr="006A4EF1">
        <w:rPr>
          <w:rFonts w:eastAsia="Palatino Linotype" w:cs="Palatino Linotype"/>
          <w:szCs w:val="22"/>
        </w:rPr>
        <w:t>deben</w:t>
      </w:r>
      <w:r w:rsidRPr="006A4EF1">
        <w:rPr>
          <w:rFonts w:eastAsia="Palatino Linotype" w:cs="Palatino Linotype"/>
          <w:szCs w:val="22"/>
        </w:rPr>
        <w:t xml:space="preserve"> atender las solicitudes de acceso a la información pública que se les </w:t>
      </w:r>
      <w:r w:rsidR="00FA5957" w:rsidRPr="006A4EF1">
        <w:rPr>
          <w:rFonts w:eastAsia="Palatino Linotype" w:cs="Palatino Linotype"/>
          <w:szCs w:val="22"/>
        </w:rPr>
        <w:t>sean realizadas,</w:t>
      </w:r>
      <w:r w:rsidRPr="006A4EF1">
        <w:rPr>
          <w:rFonts w:eastAsia="Palatino Linotype" w:cs="Palatino Linotype"/>
          <w:szCs w:val="22"/>
        </w:rPr>
        <w:t xml:space="preserve"> y proporcionar la información pública que obre en su poder</w:t>
      </w:r>
      <w:r w:rsidR="00FA5957" w:rsidRPr="006A4EF1">
        <w:rPr>
          <w:rFonts w:eastAsia="Palatino Linotype" w:cs="Palatino Linotype"/>
          <w:szCs w:val="22"/>
        </w:rPr>
        <w:t>,</w:t>
      </w:r>
      <w:r w:rsidRPr="006A4EF1">
        <w:rPr>
          <w:rFonts w:eastAsia="Palatino Linotype" w:cs="Palatino Linotype"/>
          <w:szCs w:val="22"/>
        </w:rPr>
        <w:t xml:space="preserve"> </w:t>
      </w:r>
      <w:r w:rsidRPr="006A4EF1">
        <w:rPr>
          <w:rFonts w:eastAsia="Palatino Linotype" w:cs="Palatino Linotype"/>
          <w:szCs w:val="22"/>
        </w:rPr>
        <w:lastRenderedPageBreak/>
        <w:t xml:space="preserve">conforme </w:t>
      </w:r>
      <w:r w:rsidR="00FA5957" w:rsidRPr="006A4EF1">
        <w:rPr>
          <w:rFonts w:eastAsia="Palatino Linotype" w:cs="Palatino Linotype"/>
          <w:szCs w:val="22"/>
        </w:rPr>
        <w:t>a</w:t>
      </w:r>
      <w:r w:rsidRPr="006A4EF1">
        <w:rPr>
          <w:rFonts w:eastAsia="Palatino Linotype" w:cs="Palatino Linotype"/>
          <w:szCs w:val="22"/>
        </w:rPr>
        <w:t xml:space="preserve">l estado </w:t>
      </w:r>
      <w:r w:rsidR="00FA5957" w:rsidRPr="006A4EF1">
        <w:rPr>
          <w:rFonts w:eastAsia="Palatino Linotype" w:cs="Palatino Linotype"/>
          <w:szCs w:val="22"/>
        </w:rPr>
        <w:t xml:space="preserve">en </w:t>
      </w:r>
      <w:r w:rsidRPr="006A4EF1">
        <w:rPr>
          <w:rFonts w:eastAsia="Palatino Linotype" w:cs="Palatino Linotype"/>
          <w:szCs w:val="22"/>
        </w:rPr>
        <w:t>que se encuentr</w:t>
      </w:r>
      <w:r w:rsidR="00FA5957" w:rsidRPr="006A4EF1">
        <w:rPr>
          <w:rFonts w:eastAsia="Palatino Linotype" w:cs="Palatino Linotype"/>
          <w:szCs w:val="22"/>
        </w:rPr>
        <w:t>e, sin que sea necesario</w:t>
      </w:r>
      <w:r w:rsidRPr="006A4EF1">
        <w:rPr>
          <w:rFonts w:eastAsia="Palatino Linotype" w:cs="Palatino Linotype"/>
          <w:szCs w:val="22"/>
        </w:rPr>
        <w:t xml:space="preserve"> </w:t>
      </w:r>
      <w:r w:rsidR="00FA5957" w:rsidRPr="006A4EF1">
        <w:rPr>
          <w:rFonts w:eastAsia="Palatino Linotype" w:cs="Palatino Linotype"/>
          <w:szCs w:val="22"/>
        </w:rPr>
        <w:t>procesar</w:t>
      </w:r>
      <w:r w:rsidRPr="006A4EF1">
        <w:rPr>
          <w:rFonts w:eastAsia="Palatino Linotype" w:cs="Palatino Linotype"/>
          <w:szCs w:val="22"/>
        </w:rPr>
        <w:t xml:space="preserve"> la misma, ni presentarla conforme al interés del solicitante; </w:t>
      </w:r>
      <w:r w:rsidR="00FA5957" w:rsidRPr="006A4EF1">
        <w:rPr>
          <w:rFonts w:eastAsia="Palatino Linotype" w:cs="Palatino Linotype"/>
          <w:szCs w:val="22"/>
        </w:rPr>
        <w:t>tal y como</w:t>
      </w:r>
      <w:r w:rsidRPr="006A4EF1">
        <w:rPr>
          <w:rFonts w:eastAsia="Palatino Linotype" w:cs="Palatino Linotype"/>
          <w:szCs w:val="22"/>
        </w:rPr>
        <w:t xml:space="preserve"> lo establece el artículo 12 de la Ley de Transparencia y Acceso a la Información Pública del Estado de México y Municipios</w:t>
      </w:r>
      <w:r w:rsidR="00970EB3" w:rsidRPr="006A4EF1">
        <w:rPr>
          <w:rFonts w:eastAsia="Palatino Linotype" w:cs="Palatino Linotype"/>
          <w:szCs w:val="22"/>
        </w:rPr>
        <w:t>.</w:t>
      </w:r>
    </w:p>
    <w:p w14:paraId="73245195" w14:textId="77777777" w:rsidR="00970EB3" w:rsidRPr="006A4EF1" w:rsidRDefault="00970EB3" w:rsidP="006A4EF1">
      <w:pPr>
        <w:rPr>
          <w:rFonts w:eastAsia="Palatino Linotype" w:cs="Palatino Linotype"/>
          <w:szCs w:val="22"/>
        </w:rPr>
      </w:pPr>
    </w:p>
    <w:p w14:paraId="7F62D4DF" w14:textId="775730E1" w:rsidR="001A58B3" w:rsidRPr="006A4EF1" w:rsidRDefault="001A58B3" w:rsidP="006A4EF1">
      <w:pPr>
        <w:rPr>
          <w:rFonts w:eastAsia="Palatino Linotype" w:cs="Palatino Linotype"/>
          <w:szCs w:val="22"/>
        </w:rPr>
      </w:pPr>
      <w:r w:rsidRPr="006A4EF1">
        <w:rPr>
          <w:rFonts w:eastAsia="Palatino Linotype" w:cs="Palatino Linotype"/>
          <w:szCs w:val="22"/>
        </w:rPr>
        <w:t>Es decir, que todo sujeto obligado que genere, recopile, administre, procese, archive, posea o conserven, son responsables de la misma</w:t>
      </w:r>
      <w:r w:rsidR="00970EB3" w:rsidRPr="006A4EF1">
        <w:rPr>
          <w:rFonts w:eastAsia="Palatino Linotype" w:cs="Palatino Linotype"/>
          <w:szCs w:val="22"/>
        </w:rPr>
        <w:t>,</w:t>
      </w:r>
      <w:r w:rsidRPr="006A4EF1">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6A4EF1">
        <w:rPr>
          <w:rFonts w:eastAsia="Palatino Linotype" w:cs="Palatino Linotype"/>
          <w:szCs w:val="22"/>
        </w:rPr>
        <w:t>o</w:t>
      </w:r>
      <w:r w:rsidRPr="006A4EF1">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6A4EF1" w:rsidRDefault="001A58B3" w:rsidP="006A4EF1">
      <w:pPr>
        <w:rPr>
          <w:rFonts w:eastAsia="Palatino Linotype" w:cs="Palatino Linotype"/>
          <w:szCs w:val="22"/>
        </w:rPr>
      </w:pPr>
    </w:p>
    <w:p w14:paraId="04E42DFE" w14:textId="573F1198" w:rsidR="001A58B3" w:rsidRPr="006A4EF1" w:rsidRDefault="001A58B3" w:rsidP="006A4EF1">
      <w:pPr>
        <w:rPr>
          <w:rFonts w:eastAsia="Palatino Linotype" w:cs="Palatino Linotype"/>
          <w:szCs w:val="22"/>
        </w:rPr>
      </w:pPr>
      <w:r w:rsidRPr="006A4EF1">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6A4EF1">
        <w:rPr>
          <w:rFonts w:eastAsia="Palatino Linotype" w:cs="Palatino Linotype"/>
          <w:szCs w:val="22"/>
        </w:rPr>
        <w:t>, s</w:t>
      </w:r>
      <w:r w:rsidRPr="006A4EF1">
        <w:rPr>
          <w:rFonts w:eastAsia="Palatino Linotype" w:cs="Palatino Linotype"/>
          <w:szCs w:val="22"/>
        </w:rPr>
        <w:t xml:space="preserve">iempre y cuando no se trate de información reservada o </w:t>
      </w:r>
      <w:r w:rsidR="00331F35" w:rsidRPr="006A4EF1">
        <w:rPr>
          <w:rFonts w:eastAsia="Palatino Linotype" w:cs="Palatino Linotype"/>
          <w:szCs w:val="22"/>
        </w:rPr>
        <w:t>confidencial.</w:t>
      </w:r>
    </w:p>
    <w:p w14:paraId="40C5219F" w14:textId="77777777" w:rsidR="001A58B3" w:rsidRPr="006A4EF1" w:rsidRDefault="001A58B3" w:rsidP="006A4EF1">
      <w:pPr>
        <w:rPr>
          <w:rFonts w:eastAsia="Palatino Linotype" w:cs="Palatino Linotype"/>
          <w:szCs w:val="22"/>
        </w:rPr>
      </w:pPr>
    </w:p>
    <w:p w14:paraId="51A0E8B4" w14:textId="676DCA47" w:rsidR="00664420" w:rsidRPr="006A4EF1" w:rsidRDefault="00C71CEF" w:rsidP="006A4EF1">
      <w:pPr>
        <w:pStyle w:val="Ttulo3"/>
        <w:rPr>
          <w:rFonts w:eastAsia="Calibri"/>
          <w:szCs w:val="22"/>
          <w:lang w:eastAsia="es-ES_tradnl"/>
        </w:rPr>
      </w:pPr>
      <w:bookmarkStart w:id="27" w:name="_heading=h.2s8eyo1" w:colFirst="0" w:colLast="0"/>
      <w:bookmarkStart w:id="28" w:name="_Toc180061403"/>
      <w:bookmarkEnd w:id="27"/>
      <w:r w:rsidRPr="006A4EF1">
        <w:rPr>
          <w:rFonts w:eastAsia="Calibri"/>
          <w:szCs w:val="22"/>
          <w:lang w:eastAsia="es-ES_tradnl"/>
        </w:rPr>
        <w:t>b)</w:t>
      </w:r>
      <w:r w:rsidR="00A53315" w:rsidRPr="006A4EF1">
        <w:rPr>
          <w:rFonts w:eastAsia="Calibri"/>
          <w:szCs w:val="22"/>
          <w:lang w:eastAsia="es-ES_tradnl"/>
        </w:rPr>
        <w:t xml:space="preserve"> </w:t>
      </w:r>
      <w:r w:rsidR="00A21A20" w:rsidRPr="006A4EF1">
        <w:rPr>
          <w:rFonts w:eastAsia="Calibri"/>
          <w:szCs w:val="22"/>
          <w:lang w:eastAsia="es-ES_tradnl"/>
        </w:rPr>
        <w:t>Controversia a resolver</w:t>
      </w:r>
      <w:bookmarkEnd w:id="28"/>
    </w:p>
    <w:p w14:paraId="5DAE2A65" w14:textId="382C31A9" w:rsidR="00664420" w:rsidRPr="006A4EF1" w:rsidRDefault="00664420" w:rsidP="006A4EF1">
      <w:pPr>
        <w:rPr>
          <w:rFonts w:eastAsia="Calibri"/>
          <w:szCs w:val="22"/>
          <w:lang w:eastAsia="es-ES_tradnl"/>
        </w:rPr>
      </w:pPr>
      <w:r w:rsidRPr="006A4EF1">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6A4EF1">
        <w:rPr>
          <w:rFonts w:eastAsia="Calibri"/>
          <w:b/>
          <w:bCs/>
          <w:szCs w:val="22"/>
          <w:lang w:eastAsia="es-ES_tradnl"/>
        </w:rPr>
        <w:t>LA PARTE RECURRENTE</w:t>
      </w:r>
      <w:r w:rsidRPr="006A4EF1">
        <w:rPr>
          <w:rFonts w:eastAsia="Calibri"/>
          <w:szCs w:val="22"/>
          <w:lang w:eastAsia="es-ES_tradnl"/>
        </w:rPr>
        <w:t xml:space="preserve"> solicitó lo siguiente:</w:t>
      </w:r>
    </w:p>
    <w:p w14:paraId="6328D20E" w14:textId="4D080659" w:rsidR="00C70B3F" w:rsidRPr="006A4EF1" w:rsidRDefault="00C70B3F" w:rsidP="006A4EF1">
      <w:pPr>
        <w:tabs>
          <w:tab w:val="left" w:pos="4962"/>
        </w:tabs>
        <w:rPr>
          <w:rFonts w:eastAsiaTheme="minorHAnsi" w:cs="Tahoma"/>
          <w:bCs/>
          <w:iCs/>
          <w:szCs w:val="22"/>
          <w:lang w:eastAsia="en-US"/>
        </w:rPr>
      </w:pPr>
    </w:p>
    <w:p w14:paraId="69B2B65B" w14:textId="77777777" w:rsidR="002F629F" w:rsidRPr="006A4EF1" w:rsidRDefault="002F629F" w:rsidP="006A4EF1">
      <w:pPr>
        <w:rPr>
          <w:rFonts w:eastAsiaTheme="minorHAnsi" w:cs="Tahoma"/>
          <w:bCs/>
          <w:iCs/>
          <w:szCs w:val="22"/>
          <w:lang w:eastAsia="en-US"/>
        </w:rPr>
      </w:pPr>
      <w:r w:rsidRPr="006A4EF1">
        <w:rPr>
          <w:rFonts w:eastAsiaTheme="minorHAnsi" w:cs="Tahoma"/>
          <w:bCs/>
          <w:iCs/>
          <w:szCs w:val="22"/>
          <w:lang w:eastAsia="en-US"/>
        </w:rPr>
        <w:lastRenderedPageBreak/>
        <w:t>Del monumento al Benemérito de las Américas Benito Juárez García, que se encontraba en la entrada o salida del municipio sobre el camellón en la carretera federal México - Texcoco Km25. 5:</w:t>
      </w:r>
    </w:p>
    <w:p w14:paraId="1F012063" w14:textId="77777777" w:rsidR="002F629F" w:rsidRPr="006A4EF1" w:rsidRDefault="002F629F" w:rsidP="006A4EF1">
      <w:pPr>
        <w:rPr>
          <w:rFonts w:eastAsiaTheme="minorHAnsi" w:cs="Tahoma"/>
          <w:bCs/>
          <w:iCs/>
          <w:szCs w:val="22"/>
          <w:lang w:eastAsia="en-US"/>
        </w:rPr>
      </w:pPr>
    </w:p>
    <w:p w14:paraId="0B1CE39B" w14:textId="69C9DC1D" w:rsidR="002F629F" w:rsidRPr="006A4EF1" w:rsidRDefault="002F629F" w:rsidP="006A4EF1">
      <w:pPr>
        <w:rPr>
          <w:rFonts w:eastAsiaTheme="minorHAnsi" w:cs="Tahoma"/>
          <w:bCs/>
          <w:iCs/>
          <w:szCs w:val="22"/>
          <w:lang w:eastAsia="en-US"/>
        </w:rPr>
      </w:pPr>
      <w:r w:rsidRPr="006A4EF1">
        <w:rPr>
          <w:rFonts w:eastAsiaTheme="minorHAnsi" w:cs="Tahoma"/>
          <w:bCs/>
          <w:iCs/>
          <w:szCs w:val="22"/>
          <w:lang w:eastAsia="en-US"/>
        </w:rPr>
        <w:t>1.-</w:t>
      </w:r>
      <w:r w:rsidR="00933B70" w:rsidRPr="006A4EF1">
        <w:rPr>
          <w:rFonts w:eastAsiaTheme="minorHAnsi" w:cs="Tahoma"/>
          <w:bCs/>
          <w:iCs/>
          <w:szCs w:val="22"/>
          <w:lang w:eastAsia="en-US"/>
        </w:rPr>
        <w:t xml:space="preserve"> </w:t>
      </w:r>
      <w:r w:rsidRPr="006A4EF1">
        <w:rPr>
          <w:rFonts w:eastAsiaTheme="minorHAnsi" w:cs="Tahoma"/>
          <w:bCs/>
          <w:iCs/>
          <w:szCs w:val="22"/>
          <w:lang w:eastAsia="en-US"/>
        </w:rPr>
        <w:t xml:space="preserve">¿Quién autorizó qué se quitará el momento en mención? </w:t>
      </w:r>
    </w:p>
    <w:p w14:paraId="37467DB5" w14:textId="000E2D24" w:rsidR="002F629F" w:rsidRPr="006A4EF1" w:rsidRDefault="002F629F" w:rsidP="006A4EF1">
      <w:pPr>
        <w:rPr>
          <w:rFonts w:eastAsiaTheme="minorHAnsi" w:cs="Tahoma"/>
          <w:bCs/>
          <w:iCs/>
          <w:szCs w:val="22"/>
          <w:lang w:eastAsia="en-US"/>
        </w:rPr>
      </w:pPr>
      <w:r w:rsidRPr="006A4EF1">
        <w:rPr>
          <w:rFonts w:eastAsiaTheme="minorHAnsi" w:cs="Tahoma"/>
          <w:bCs/>
          <w:iCs/>
          <w:szCs w:val="22"/>
          <w:lang w:eastAsia="en-US"/>
        </w:rPr>
        <w:t>2.-</w:t>
      </w:r>
      <w:r w:rsidR="00933B70" w:rsidRPr="006A4EF1">
        <w:rPr>
          <w:rFonts w:eastAsiaTheme="minorHAnsi" w:cs="Tahoma"/>
          <w:bCs/>
          <w:iCs/>
          <w:szCs w:val="22"/>
          <w:lang w:eastAsia="en-US"/>
        </w:rPr>
        <w:t xml:space="preserve"> </w:t>
      </w:r>
      <w:r w:rsidRPr="006A4EF1">
        <w:rPr>
          <w:rFonts w:eastAsiaTheme="minorHAnsi" w:cs="Tahoma"/>
          <w:bCs/>
          <w:iCs/>
          <w:szCs w:val="22"/>
          <w:lang w:eastAsia="en-US"/>
        </w:rPr>
        <w:t xml:space="preserve">¿Qué motivo esta acción? </w:t>
      </w:r>
    </w:p>
    <w:p w14:paraId="1C54267A" w14:textId="3AE66112" w:rsidR="002F629F" w:rsidRPr="006A4EF1" w:rsidRDefault="002F629F" w:rsidP="006A4EF1">
      <w:pPr>
        <w:rPr>
          <w:rFonts w:eastAsiaTheme="minorHAnsi" w:cs="Tahoma"/>
          <w:bCs/>
          <w:iCs/>
          <w:szCs w:val="22"/>
          <w:lang w:eastAsia="en-US"/>
        </w:rPr>
      </w:pPr>
      <w:r w:rsidRPr="006A4EF1">
        <w:rPr>
          <w:rFonts w:eastAsiaTheme="minorHAnsi" w:cs="Tahoma"/>
          <w:bCs/>
          <w:iCs/>
          <w:szCs w:val="22"/>
          <w:lang w:eastAsia="en-US"/>
        </w:rPr>
        <w:t>3.-</w:t>
      </w:r>
      <w:r w:rsidR="00933B70" w:rsidRPr="006A4EF1">
        <w:rPr>
          <w:rFonts w:eastAsiaTheme="minorHAnsi" w:cs="Tahoma"/>
          <w:bCs/>
          <w:iCs/>
          <w:szCs w:val="22"/>
          <w:lang w:eastAsia="en-US"/>
        </w:rPr>
        <w:t xml:space="preserve"> </w:t>
      </w:r>
      <w:r w:rsidRPr="006A4EF1">
        <w:rPr>
          <w:rFonts w:eastAsiaTheme="minorHAnsi" w:cs="Tahoma"/>
          <w:bCs/>
          <w:iCs/>
          <w:szCs w:val="22"/>
          <w:lang w:eastAsia="en-US"/>
        </w:rPr>
        <w:t xml:space="preserve">¿Qué autoridad ejecutó? </w:t>
      </w:r>
    </w:p>
    <w:p w14:paraId="3FB9A293" w14:textId="7108990E" w:rsidR="002F629F" w:rsidRPr="006A4EF1" w:rsidRDefault="002F629F" w:rsidP="006A4EF1">
      <w:pPr>
        <w:rPr>
          <w:rFonts w:eastAsiaTheme="minorHAnsi" w:cs="Tahoma"/>
          <w:bCs/>
          <w:iCs/>
          <w:szCs w:val="22"/>
          <w:lang w:eastAsia="en-US"/>
        </w:rPr>
      </w:pPr>
      <w:r w:rsidRPr="006A4EF1">
        <w:rPr>
          <w:rFonts w:eastAsiaTheme="minorHAnsi" w:cs="Tahoma"/>
          <w:bCs/>
          <w:iCs/>
          <w:szCs w:val="22"/>
          <w:lang w:eastAsia="en-US"/>
        </w:rPr>
        <w:t>4.- ¿</w:t>
      </w:r>
      <w:r w:rsidR="00933B70" w:rsidRPr="006A4EF1">
        <w:rPr>
          <w:rFonts w:eastAsiaTheme="minorHAnsi" w:cs="Tahoma"/>
          <w:bCs/>
          <w:iCs/>
          <w:szCs w:val="22"/>
          <w:lang w:eastAsia="en-US"/>
        </w:rPr>
        <w:t>Dónde</w:t>
      </w:r>
      <w:r w:rsidRPr="006A4EF1">
        <w:rPr>
          <w:rFonts w:eastAsiaTheme="minorHAnsi" w:cs="Tahoma"/>
          <w:bCs/>
          <w:iCs/>
          <w:szCs w:val="22"/>
          <w:lang w:eastAsia="en-US"/>
        </w:rPr>
        <w:t xml:space="preserve"> se encuentra actualmente dicho monumento?</w:t>
      </w:r>
    </w:p>
    <w:p w14:paraId="091FD4C3" w14:textId="02C1B838" w:rsidR="003B3E0B" w:rsidRPr="006A4EF1" w:rsidRDefault="003B3E0B" w:rsidP="006A4EF1">
      <w:pPr>
        <w:tabs>
          <w:tab w:val="left" w:pos="4962"/>
        </w:tabs>
        <w:rPr>
          <w:rFonts w:cs="Tahoma"/>
          <w:bCs/>
          <w:iCs/>
          <w:szCs w:val="22"/>
        </w:rPr>
      </w:pPr>
    </w:p>
    <w:p w14:paraId="2594047F" w14:textId="1FC6F7FF" w:rsidR="00FC36A4" w:rsidRPr="006A4EF1" w:rsidRDefault="00664420" w:rsidP="006A4EF1">
      <w:pPr>
        <w:tabs>
          <w:tab w:val="left" w:pos="4962"/>
        </w:tabs>
        <w:contextualSpacing/>
        <w:rPr>
          <w:rFonts w:cs="Tahoma"/>
          <w:bCs/>
          <w:iCs/>
          <w:szCs w:val="22"/>
        </w:rPr>
      </w:pPr>
      <w:r w:rsidRPr="006A4EF1">
        <w:rPr>
          <w:rFonts w:eastAsiaTheme="minorHAnsi" w:cs="Tahoma"/>
          <w:bCs/>
          <w:iCs/>
          <w:szCs w:val="22"/>
          <w:lang w:eastAsia="en-US"/>
        </w:rPr>
        <w:t>En respuesta,</w:t>
      </w:r>
      <w:r w:rsidR="000820ED" w:rsidRPr="006A4EF1">
        <w:rPr>
          <w:rFonts w:eastAsiaTheme="minorHAnsi" w:cs="Tahoma"/>
          <w:bCs/>
          <w:iCs/>
          <w:szCs w:val="22"/>
          <w:lang w:eastAsia="en-US"/>
        </w:rPr>
        <w:t xml:space="preserve"> </w:t>
      </w:r>
      <w:r w:rsidR="00975DDD" w:rsidRPr="006A4EF1">
        <w:rPr>
          <w:rFonts w:eastAsiaTheme="minorHAnsi" w:cs="Tahoma"/>
          <w:b/>
          <w:bCs/>
          <w:iCs/>
          <w:szCs w:val="22"/>
          <w:lang w:eastAsia="en-US"/>
        </w:rPr>
        <w:t xml:space="preserve">EL </w:t>
      </w:r>
      <w:r w:rsidR="005D5A50" w:rsidRPr="006A4EF1">
        <w:rPr>
          <w:rFonts w:eastAsiaTheme="minorHAnsi" w:cs="Tahoma"/>
          <w:b/>
          <w:iCs/>
          <w:szCs w:val="22"/>
          <w:lang w:eastAsia="en-US"/>
        </w:rPr>
        <w:t>SUJETO OBLIGADO</w:t>
      </w:r>
      <w:r w:rsidRPr="006A4EF1">
        <w:rPr>
          <w:rFonts w:eastAsiaTheme="minorHAnsi" w:cs="Tahoma"/>
          <w:bCs/>
          <w:iCs/>
          <w:szCs w:val="22"/>
          <w:lang w:eastAsia="en-US"/>
        </w:rPr>
        <w:t xml:space="preserve"> </w:t>
      </w:r>
      <w:r w:rsidR="00374E09" w:rsidRPr="006A4EF1">
        <w:rPr>
          <w:rFonts w:eastAsiaTheme="minorHAnsi" w:cs="Tahoma"/>
          <w:bCs/>
          <w:iCs/>
          <w:szCs w:val="22"/>
          <w:lang w:eastAsia="en-US"/>
        </w:rPr>
        <w:t>se pronunció a través de</w:t>
      </w:r>
      <w:r w:rsidR="005D4E96" w:rsidRPr="006A4EF1">
        <w:rPr>
          <w:rFonts w:eastAsiaTheme="minorHAnsi" w:cs="Tahoma"/>
          <w:bCs/>
          <w:iCs/>
          <w:szCs w:val="22"/>
          <w:lang w:eastAsia="en-US"/>
        </w:rPr>
        <w:t xml:space="preserve">l </w:t>
      </w:r>
      <w:r w:rsidR="002F629F" w:rsidRPr="006A4EF1">
        <w:rPr>
          <w:rFonts w:eastAsiaTheme="minorHAnsi" w:cs="Tahoma"/>
          <w:bCs/>
          <w:iCs/>
          <w:szCs w:val="22"/>
          <w:lang w:eastAsia="en-US"/>
        </w:rPr>
        <w:t>Síndico</w:t>
      </w:r>
      <w:r w:rsidR="005D4E96" w:rsidRPr="006A4EF1">
        <w:rPr>
          <w:rFonts w:eastAsiaTheme="minorHAnsi" w:cs="Tahoma"/>
          <w:bCs/>
          <w:iCs/>
          <w:szCs w:val="22"/>
          <w:lang w:eastAsia="en-US"/>
        </w:rPr>
        <w:t xml:space="preserve"> Municipal y le señaló que </w:t>
      </w:r>
      <w:r w:rsidR="002C6043" w:rsidRPr="006A4EF1">
        <w:rPr>
          <w:rFonts w:eastAsiaTheme="minorHAnsi" w:cs="Tahoma"/>
          <w:bCs/>
          <w:iCs/>
          <w:szCs w:val="22"/>
          <w:lang w:eastAsia="en-US"/>
        </w:rPr>
        <w:t>no se encontró documento alguno que pudiera dejar entrever que pertenezca al patrimonio municipal; por no encontrarse registrado ante el Sistema CREG</w:t>
      </w:r>
      <w:r w:rsidR="00C23C0E" w:rsidRPr="006A4EF1">
        <w:rPr>
          <w:rFonts w:eastAsiaTheme="minorHAnsi" w:cs="Tahoma"/>
          <w:bCs/>
          <w:iCs/>
          <w:szCs w:val="22"/>
          <w:lang w:eastAsia="en-US"/>
        </w:rPr>
        <w:t>.</w:t>
      </w:r>
      <w:r w:rsidR="00865277" w:rsidRPr="006A4EF1">
        <w:rPr>
          <w:rFonts w:eastAsiaTheme="minorHAnsi" w:cs="Tahoma"/>
          <w:bCs/>
          <w:iCs/>
          <w:szCs w:val="22"/>
          <w:lang w:eastAsia="en-US"/>
        </w:rPr>
        <w:t xml:space="preserve"> </w:t>
      </w:r>
    </w:p>
    <w:p w14:paraId="3F30CEAD" w14:textId="77777777" w:rsidR="00B56F59" w:rsidRPr="006A4EF1" w:rsidRDefault="00B56F59" w:rsidP="006A4EF1">
      <w:pPr>
        <w:tabs>
          <w:tab w:val="left" w:pos="4962"/>
        </w:tabs>
        <w:contextualSpacing/>
        <w:rPr>
          <w:rFonts w:cs="Tahoma"/>
          <w:bCs/>
          <w:iCs/>
          <w:szCs w:val="22"/>
        </w:rPr>
      </w:pPr>
    </w:p>
    <w:p w14:paraId="570E4E2F" w14:textId="1C8C99AB" w:rsidR="00BC67B0" w:rsidRPr="006A4EF1" w:rsidRDefault="00CF7586" w:rsidP="006A4EF1">
      <w:pPr>
        <w:tabs>
          <w:tab w:val="left" w:pos="4962"/>
        </w:tabs>
        <w:contextualSpacing/>
        <w:rPr>
          <w:rFonts w:eastAsiaTheme="minorHAnsi" w:cs="Tahoma"/>
          <w:bCs/>
          <w:iCs/>
          <w:szCs w:val="22"/>
          <w:lang w:eastAsia="en-US"/>
        </w:rPr>
      </w:pPr>
      <w:r w:rsidRPr="006A4EF1">
        <w:rPr>
          <w:rFonts w:eastAsiaTheme="minorHAnsi" w:cs="Tahoma"/>
          <w:bCs/>
          <w:iCs/>
          <w:szCs w:val="22"/>
          <w:lang w:eastAsia="en-US"/>
        </w:rPr>
        <w:t xml:space="preserve">Ahora bien, en la interposición del presente recurso </w:t>
      </w:r>
      <w:r w:rsidRPr="006A4EF1">
        <w:rPr>
          <w:rFonts w:eastAsiaTheme="minorHAnsi" w:cs="Tahoma"/>
          <w:b/>
          <w:iCs/>
          <w:szCs w:val="22"/>
          <w:lang w:eastAsia="en-US"/>
        </w:rPr>
        <w:t>LA PARTE RECURRENTE</w:t>
      </w:r>
      <w:r w:rsidR="00664420" w:rsidRPr="006A4EF1">
        <w:rPr>
          <w:rFonts w:eastAsiaTheme="minorHAnsi" w:cs="Tahoma"/>
          <w:bCs/>
          <w:iCs/>
          <w:szCs w:val="22"/>
          <w:lang w:eastAsia="en-US"/>
        </w:rPr>
        <w:t xml:space="preserve"> se inconformó</w:t>
      </w:r>
      <w:r w:rsidR="00AB7049" w:rsidRPr="006A4EF1">
        <w:rPr>
          <w:rFonts w:eastAsiaTheme="minorHAnsi" w:cs="Tahoma"/>
          <w:bCs/>
          <w:iCs/>
          <w:szCs w:val="22"/>
          <w:lang w:eastAsia="en-US"/>
        </w:rPr>
        <w:t xml:space="preserve"> </w:t>
      </w:r>
      <w:r w:rsidR="00374E09" w:rsidRPr="006A4EF1">
        <w:rPr>
          <w:rFonts w:eastAsiaTheme="minorHAnsi" w:cs="Tahoma"/>
          <w:bCs/>
          <w:iCs/>
          <w:szCs w:val="22"/>
          <w:lang w:eastAsia="en-US"/>
        </w:rPr>
        <w:t xml:space="preserve">respecto de la </w:t>
      </w:r>
      <w:r w:rsidR="002C6043" w:rsidRPr="006A4EF1">
        <w:rPr>
          <w:rFonts w:eastAsiaTheme="minorHAnsi" w:cs="Tahoma"/>
          <w:bCs/>
          <w:iCs/>
          <w:szCs w:val="22"/>
          <w:lang w:eastAsia="en-US"/>
        </w:rPr>
        <w:t>falta de respuesta a una solicitud de acceso a la información</w:t>
      </w:r>
      <w:r w:rsidR="00374E09" w:rsidRPr="006A4EF1">
        <w:rPr>
          <w:rFonts w:eastAsiaTheme="minorHAnsi" w:cs="Tahoma"/>
          <w:bCs/>
          <w:iCs/>
          <w:szCs w:val="22"/>
          <w:lang w:eastAsia="en-US"/>
        </w:rPr>
        <w:t>.</w:t>
      </w:r>
      <w:r w:rsidR="00C32E8B" w:rsidRPr="006A4EF1">
        <w:rPr>
          <w:rFonts w:eastAsiaTheme="minorHAnsi" w:cs="Tahoma"/>
          <w:bCs/>
          <w:iCs/>
          <w:szCs w:val="22"/>
          <w:lang w:eastAsia="en-US"/>
        </w:rPr>
        <w:t xml:space="preserve"> </w:t>
      </w:r>
    </w:p>
    <w:p w14:paraId="23859DE5" w14:textId="77777777" w:rsidR="00D1261A" w:rsidRPr="006A4EF1" w:rsidRDefault="00D1261A" w:rsidP="006A4EF1">
      <w:pPr>
        <w:tabs>
          <w:tab w:val="left" w:pos="4962"/>
        </w:tabs>
        <w:contextualSpacing/>
        <w:rPr>
          <w:rFonts w:eastAsiaTheme="minorHAnsi" w:cs="Tahoma"/>
          <w:bCs/>
          <w:iCs/>
          <w:szCs w:val="22"/>
          <w:lang w:eastAsia="en-US"/>
        </w:rPr>
      </w:pPr>
    </w:p>
    <w:p w14:paraId="49AB2960" w14:textId="42DF13E5" w:rsidR="00AB7049" w:rsidRPr="006A4EF1" w:rsidRDefault="00AB7049" w:rsidP="006A4EF1">
      <w:pPr>
        <w:tabs>
          <w:tab w:val="left" w:pos="4962"/>
        </w:tabs>
        <w:rPr>
          <w:szCs w:val="22"/>
          <w:lang w:val="es-ES"/>
        </w:rPr>
      </w:pPr>
      <w:r w:rsidRPr="006A4EF1">
        <w:rPr>
          <w:szCs w:val="22"/>
          <w:lang w:val="es-ES"/>
        </w:rPr>
        <w:t xml:space="preserve">Abierta la etapa de instrucción, </w:t>
      </w:r>
      <w:r w:rsidRPr="006A4EF1">
        <w:rPr>
          <w:b/>
          <w:szCs w:val="22"/>
          <w:lang w:val="es-ES"/>
        </w:rPr>
        <w:t>EL SUJETO OBLIGADO</w:t>
      </w:r>
      <w:r w:rsidR="00374E09" w:rsidRPr="006A4EF1">
        <w:rPr>
          <w:szCs w:val="22"/>
          <w:lang w:val="es-ES"/>
        </w:rPr>
        <w:t xml:space="preserve"> </w:t>
      </w:r>
      <w:r w:rsidR="00C23C0E" w:rsidRPr="006A4EF1">
        <w:rPr>
          <w:szCs w:val="22"/>
          <w:lang w:val="es-ES"/>
        </w:rPr>
        <w:t xml:space="preserve">no </w:t>
      </w:r>
      <w:r w:rsidRPr="006A4EF1">
        <w:rPr>
          <w:szCs w:val="22"/>
          <w:lang w:val="es-ES"/>
        </w:rPr>
        <w:t xml:space="preserve">rindió su Informe Justificado; por su parte </w:t>
      </w:r>
      <w:r w:rsidRPr="006A4EF1">
        <w:rPr>
          <w:b/>
          <w:szCs w:val="22"/>
          <w:lang w:val="es-ES"/>
        </w:rPr>
        <w:t>LA PARTE</w:t>
      </w:r>
      <w:r w:rsidRPr="006A4EF1">
        <w:rPr>
          <w:szCs w:val="22"/>
          <w:lang w:val="es-ES"/>
        </w:rPr>
        <w:t xml:space="preserve"> </w:t>
      </w:r>
      <w:r w:rsidRPr="006A4EF1">
        <w:rPr>
          <w:b/>
          <w:szCs w:val="22"/>
          <w:lang w:val="es-ES"/>
        </w:rPr>
        <w:t xml:space="preserve">RECURRENTE </w:t>
      </w:r>
      <w:r w:rsidR="002C6043" w:rsidRPr="006A4EF1">
        <w:rPr>
          <w:szCs w:val="22"/>
          <w:lang w:val="es-ES"/>
        </w:rPr>
        <w:t xml:space="preserve">reitero que </w:t>
      </w:r>
      <w:r w:rsidR="002C6043" w:rsidRPr="006A4EF1">
        <w:rPr>
          <w:b/>
          <w:szCs w:val="22"/>
          <w:lang w:val="es-ES"/>
        </w:rPr>
        <w:t xml:space="preserve">EL SUJETO OBLIGADO </w:t>
      </w:r>
      <w:r w:rsidR="002C6043" w:rsidRPr="006A4EF1">
        <w:rPr>
          <w:szCs w:val="22"/>
          <w:lang w:val="es-ES"/>
        </w:rPr>
        <w:t>fue omiso en proporcionarle una respuesta y que se actualizó la figura de la Negativa ficta.</w:t>
      </w:r>
    </w:p>
    <w:p w14:paraId="56DF256A" w14:textId="77777777" w:rsidR="00AB7049" w:rsidRPr="006A4EF1" w:rsidRDefault="00AB7049" w:rsidP="006A4EF1">
      <w:pPr>
        <w:tabs>
          <w:tab w:val="left" w:pos="4962"/>
        </w:tabs>
        <w:contextualSpacing/>
        <w:rPr>
          <w:rFonts w:eastAsiaTheme="minorHAnsi" w:cs="Tahoma"/>
          <w:bCs/>
          <w:iCs/>
          <w:szCs w:val="22"/>
          <w:lang w:eastAsia="en-US"/>
        </w:rPr>
      </w:pPr>
    </w:p>
    <w:p w14:paraId="74321A69" w14:textId="77777777" w:rsidR="00201689" w:rsidRPr="006A4EF1" w:rsidRDefault="00201689" w:rsidP="006A4EF1">
      <w:pPr>
        <w:pStyle w:val="Ttulo3"/>
      </w:pPr>
      <w:bookmarkStart w:id="29" w:name="_Toc171534641"/>
      <w:bookmarkStart w:id="30" w:name="_Toc180061404"/>
      <w:r w:rsidRPr="006A4EF1">
        <w:t>c) Estudio de la controversia</w:t>
      </w:r>
      <w:bookmarkEnd w:id="29"/>
      <w:bookmarkEnd w:id="30"/>
    </w:p>
    <w:p w14:paraId="412C13D3" w14:textId="11024D0B" w:rsidR="00201689" w:rsidRPr="006A4EF1" w:rsidRDefault="00201689" w:rsidP="006A4EF1">
      <w:pPr>
        <w:contextualSpacing/>
        <w:rPr>
          <w:rFonts w:cs="Tahoma"/>
        </w:rPr>
      </w:pPr>
      <w:r w:rsidRPr="006A4EF1">
        <w:rPr>
          <w:rFonts w:cs="Tahoma"/>
        </w:rPr>
        <w:t xml:space="preserve">Expuestas las posturas de las partes, se procede al análisis del acto impugnado y del agravio hecho valer por </w:t>
      </w:r>
      <w:r w:rsidRPr="006A4EF1">
        <w:rPr>
          <w:b/>
          <w:bCs/>
        </w:rPr>
        <w:t>LA PARTE RECURRENTE</w:t>
      </w:r>
      <w:r w:rsidRPr="006A4EF1">
        <w:rPr>
          <w:rFonts w:cs="Tahoma"/>
        </w:rPr>
        <w:t xml:space="preserve">, concerniente a </w:t>
      </w:r>
      <w:r w:rsidRPr="006A4EF1">
        <w:t xml:space="preserve">la </w:t>
      </w:r>
      <w:r w:rsidR="002C6043" w:rsidRPr="006A4EF1">
        <w:t>omisión de dar respuesta a la solicitud de información presentada el once de julio de dos mil veinticuatro</w:t>
      </w:r>
      <w:r w:rsidR="001A63EC" w:rsidRPr="006A4EF1">
        <w:t>, en razón de que la respuesta proporcionada corresponde a otra solicitud de información</w:t>
      </w:r>
      <w:r w:rsidR="002C6043" w:rsidRPr="006A4EF1">
        <w:t xml:space="preserve">. </w:t>
      </w:r>
    </w:p>
    <w:p w14:paraId="53014BDC" w14:textId="77777777" w:rsidR="00201689" w:rsidRPr="006A4EF1" w:rsidRDefault="00201689" w:rsidP="006A4EF1">
      <w:pPr>
        <w:contextualSpacing/>
        <w:rPr>
          <w:rFonts w:cs="Tahoma"/>
        </w:rPr>
      </w:pPr>
    </w:p>
    <w:p w14:paraId="73C81853" w14:textId="77777777" w:rsidR="00201689" w:rsidRPr="006A4EF1" w:rsidRDefault="00201689" w:rsidP="006A4EF1">
      <w:pPr>
        <w:contextualSpacing/>
        <w:rPr>
          <w:rFonts w:cs="Tahoma"/>
        </w:rPr>
      </w:pPr>
      <w:r w:rsidRPr="006A4EF1">
        <w:rPr>
          <w:rFonts w:cs="Tahoma"/>
        </w:rPr>
        <w:lastRenderedPageBreak/>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5E5A2D73" w14:textId="77777777" w:rsidR="00201689" w:rsidRPr="006A4EF1" w:rsidRDefault="00201689" w:rsidP="006A4EF1">
      <w:pPr>
        <w:contextualSpacing/>
        <w:rPr>
          <w:rFonts w:cs="Tahoma"/>
        </w:rPr>
      </w:pPr>
    </w:p>
    <w:p w14:paraId="448E7403" w14:textId="77777777" w:rsidR="00201689" w:rsidRPr="006A4EF1" w:rsidRDefault="00201689" w:rsidP="006A4EF1">
      <w:pPr>
        <w:pStyle w:val="Prrafodelista"/>
        <w:numPr>
          <w:ilvl w:val="0"/>
          <w:numId w:val="24"/>
        </w:numPr>
        <w:rPr>
          <w:rFonts w:cs="Tahoma"/>
        </w:rPr>
      </w:pPr>
      <w:r w:rsidRPr="006A4EF1">
        <w:rPr>
          <w:rFonts w:cs="Tahoma"/>
        </w:rPr>
        <w:t>Proveer lo necesario para garantizar a toda persona el derecho de acceso a la información pública, a través de procedimientos sencillos, expeditos, oportunos y gratuitos;</w:t>
      </w:r>
    </w:p>
    <w:p w14:paraId="28056BC3" w14:textId="77777777" w:rsidR="00201689" w:rsidRPr="006A4EF1" w:rsidRDefault="00201689" w:rsidP="006A4EF1">
      <w:pPr>
        <w:contextualSpacing/>
        <w:rPr>
          <w:rFonts w:cs="Tahoma"/>
        </w:rPr>
      </w:pPr>
    </w:p>
    <w:p w14:paraId="7303D50E" w14:textId="77777777" w:rsidR="00201689" w:rsidRPr="006A4EF1" w:rsidRDefault="00201689" w:rsidP="006A4EF1">
      <w:pPr>
        <w:pStyle w:val="Prrafodelista"/>
        <w:numPr>
          <w:ilvl w:val="0"/>
          <w:numId w:val="24"/>
        </w:numPr>
        <w:rPr>
          <w:rFonts w:cs="Tahoma"/>
        </w:rPr>
      </w:pPr>
      <w:r w:rsidRPr="006A4EF1">
        <w:rPr>
          <w:rFonts w:cs="Tahoma"/>
        </w:rPr>
        <w:t>Transparentar la gestión pública, mediante la difusión de la información generada por los Sujetos Obligados, y</w:t>
      </w:r>
    </w:p>
    <w:p w14:paraId="75116348" w14:textId="77777777" w:rsidR="00201689" w:rsidRPr="006A4EF1" w:rsidRDefault="00201689" w:rsidP="006A4EF1">
      <w:pPr>
        <w:contextualSpacing/>
        <w:rPr>
          <w:rFonts w:cs="Tahoma"/>
        </w:rPr>
      </w:pPr>
    </w:p>
    <w:p w14:paraId="371AC242" w14:textId="77777777" w:rsidR="00201689" w:rsidRPr="006A4EF1" w:rsidRDefault="00201689" w:rsidP="006A4EF1">
      <w:pPr>
        <w:pStyle w:val="Prrafodelista"/>
        <w:numPr>
          <w:ilvl w:val="0"/>
          <w:numId w:val="24"/>
        </w:numPr>
        <w:rPr>
          <w:rFonts w:cs="Tahoma"/>
        </w:rPr>
      </w:pPr>
      <w:r w:rsidRPr="006A4EF1">
        <w:rPr>
          <w:rFonts w:cs="Tahoma"/>
        </w:rPr>
        <w:t>Promover, fomentar y difundir la cultura de la transparencia en el ejercicio de la función pública, el acceso a la información y la participación ciudadana, así como, la rendición de cuentas.</w:t>
      </w:r>
    </w:p>
    <w:p w14:paraId="189B369F" w14:textId="77777777" w:rsidR="00201689" w:rsidRPr="006A4EF1" w:rsidRDefault="00201689" w:rsidP="006A4EF1">
      <w:pPr>
        <w:contextualSpacing/>
        <w:rPr>
          <w:rFonts w:cs="Tahoma"/>
        </w:rPr>
      </w:pPr>
    </w:p>
    <w:p w14:paraId="158B20AB" w14:textId="77777777" w:rsidR="00201689" w:rsidRPr="006A4EF1" w:rsidRDefault="00201689" w:rsidP="006A4EF1">
      <w:pPr>
        <w:contextualSpacing/>
        <w:rPr>
          <w:rFonts w:cs="Tahoma"/>
        </w:rPr>
      </w:pPr>
      <w:r w:rsidRPr="006A4EF1">
        <w:rPr>
          <w:rFonts w:cs="Tahoma"/>
        </w:rPr>
        <w:t>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15710EB9" w14:textId="77777777" w:rsidR="00201689" w:rsidRPr="006A4EF1" w:rsidRDefault="00201689" w:rsidP="006A4EF1">
      <w:pPr>
        <w:contextualSpacing/>
        <w:rPr>
          <w:rFonts w:cs="Tahoma"/>
        </w:rPr>
      </w:pPr>
    </w:p>
    <w:p w14:paraId="2D4E9770" w14:textId="77777777" w:rsidR="00201689" w:rsidRPr="006A4EF1" w:rsidRDefault="00201689" w:rsidP="006A4EF1">
      <w:pPr>
        <w:contextualSpacing/>
        <w:rPr>
          <w:rFonts w:cs="Tahoma"/>
        </w:rPr>
      </w:pPr>
      <w:r w:rsidRPr="006A4EF1">
        <w:rPr>
          <w:rFonts w:cs="Tahoma"/>
        </w:rPr>
        <w:t xml:space="preserve">En ese orden de ideas, para la atención de las solicitudes de acceso a la información, debe privilegiarse el principio de máxima publicidad el cual dispone que toda la información en posesión de los sujetos obligados será pública, completa, oportuna y accesible, sujeta a un </w:t>
      </w:r>
      <w:r w:rsidRPr="006A4EF1">
        <w:rPr>
          <w:rFonts w:cs="Tahoma"/>
        </w:rPr>
        <w:lastRenderedPageBreak/>
        <w:t>claro régimen de excepciones que deberán estar definidas y ser legítimas y estrictamente necesarias en una sociedad democrática.</w:t>
      </w:r>
    </w:p>
    <w:p w14:paraId="3B14816C" w14:textId="77777777" w:rsidR="00201689" w:rsidRPr="006A4EF1" w:rsidRDefault="00201689" w:rsidP="006A4EF1">
      <w:pPr>
        <w:contextualSpacing/>
        <w:rPr>
          <w:rFonts w:cs="Tahoma"/>
        </w:rPr>
      </w:pPr>
    </w:p>
    <w:p w14:paraId="1CB5EEFE" w14:textId="77777777" w:rsidR="00201689" w:rsidRPr="006A4EF1" w:rsidRDefault="00201689" w:rsidP="006A4EF1">
      <w:pPr>
        <w:contextualSpacing/>
        <w:rPr>
          <w:rFonts w:cs="Tahoma"/>
        </w:rPr>
      </w:pPr>
      <w:r w:rsidRPr="006A4EF1">
        <w:rPr>
          <w:rFonts w:cs="Tahoma"/>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0A9E4930" w14:textId="77777777" w:rsidR="00201689" w:rsidRPr="006A4EF1" w:rsidRDefault="00201689" w:rsidP="006A4EF1">
      <w:pPr>
        <w:contextualSpacing/>
        <w:rPr>
          <w:rFonts w:cs="Tahoma"/>
        </w:rPr>
      </w:pPr>
    </w:p>
    <w:p w14:paraId="756A71C7" w14:textId="77777777" w:rsidR="00201689" w:rsidRPr="006A4EF1" w:rsidRDefault="00201689" w:rsidP="006A4EF1">
      <w:pPr>
        <w:pStyle w:val="Prrafodelista"/>
        <w:numPr>
          <w:ilvl w:val="0"/>
          <w:numId w:val="25"/>
        </w:numPr>
        <w:rPr>
          <w:rFonts w:cs="Tahoma"/>
        </w:rPr>
      </w:pPr>
      <w:r w:rsidRPr="006A4EF1">
        <w:rPr>
          <w:rFonts w:cs="Tahoma"/>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0F9BDA1B" w14:textId="77777777" w:rsidR="00201689" w:rsidRPr="006A4EF1" w:rsidRDefault="00201689" w:rsidP="006A4EF1">
      <w:pPr>
        <w:contextualSpacing/>
        <w:rPr>
          <w:rFonts w:cs="Tahoma"/>
        </w:rPr>
      </w:pPr>
    </w:p>
    <w:p w14:paraId="690AE631" w14:textId="77777777" w:rsidR="00201689" w:rsidRPr="006A4EF1" w:rsidRDefault="00201689" w:rsidP="006A4EF1">
      <w:pPr>
        <w:pStyle w:val="Prrafodelista"/>
        <w:numPr>
          <w:ilvl w:val="0"/>
          <w:numId w:val="25"/>
        </w:numPr>
        <w:rPr>
          <w:rFonts w:cs="Tahoma"/>
        </w:rPr>
      </w:pPr>
      <w:r w:rsidRPr="006A4EF1">
        <w:rPr>
          <w:rFonts w:cs="Tahoma"/>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622DE254" w14:textId="77777777" w:rsidR="00201689" w:rsidRPr="006A4EF1" w:rsidRDefault="00201689" w:rsidP="006A4EF1">
      <w:pPr>
        <w:contextualSpacing/>
        <w:rPr>
          <w:rFonts w:cs="Tahoma"/>
        </w:rPr>
      </w:pPr>
    </w:p>
    <w:p w14:paraId="1550AC60" w14:textId="77777777" w:rsidR="00201689" w:rsidRPr="006A4EF1" w:rsidRDefault="00201689" w:rsidP="006A4EF1">
      <w:pPr>
        <w:pStyle w:val="Prrafodelista"/>
        <w:numPr>
          <w:ilvl w:val="0"/>
          <w:numId w:val="25"/>
        </w:numPr>
        <w:rPr>
          <w:rFonts w:cs="Tahoma"/>
        </w:rPr>
      </w:pPr>
      <w:r w:rsidRPr="006A4EF1">
        <w:rPr>
          <w:rFonts w:cs="Tahoma"/>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52F19C04" w14:textId="77777777" w:rsidR="00201689" w:rsidRPr="006A4EF1" w:rsidRDefault="00201689" w:rsidP="006A4EF1">
      <w:pPr>
        <w:contextualSpacing/>
        <w:rPr>
          <w:rFonts w:cs="Tahoma"/>
        </w:rPr>
      </w:pPr>
    </w:p>
    <w:p w14:paraId="19FB27B0" w14:textId="77777777" w:rsidR="00201689" w:rsidRPr="006A4EF1" w:rsidRDefault="00201689" w:rsidP="006A4EF1">
      <w:pPr>
        <w:pStyle w:val="Prrafodelista"/>
        <w:numPr>
          <w:ilvl w:val="0"/>
          <w:numId w:val="25"/>
        </w:numPr>
        <w:rPr>
          <w:rFonts w:cs="Tahoma"/>
        </w:rPr>
      </w:pPr>
      <w:r w:rsidRPr="006A4EF1">
        <w:rPr>
          <w:rFonts w:cs="Tahoma"/>
        </w:rPr>
        <w:lastRenderedPageBreak/>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532E436F" w14:textId="77777777" w:rsidR="00201689" w:rsidRPr="006A4EF1" w:rsidRDefault="00201689" w:rsidP="006A4EF1">
      <w:pPr>
        <w:contextualSpacing/>
        <w:rPr>
          <w:rFonts w:cs="Tahoma"/>
        </w:rPr>
      </w:pPr>
    </w:p>
    <w:p w14:paraId="30DDD184" w14:textId="77777777" w:rsidR="00201689" w:rsidRPr="006A4EF1" w:rsidRDefault="00201689" w:rsidP="006A4EF1">
      <w:pPr>
        <w:pStyle w:val="Prrafodelista"/>
        <w:numPr>
          <w:ilvl w:val="0"/>
          <w:numId w:val="25"/>
        </w:numPr>
        <w:rPr>
          <w:rFonts w:cs="Tahoma"/>
        </w:rPr>
      </w:pPr>
      <w:r w:rsidRPr="006A4EF1">
        <w:rPr>
          <w:rFonts w:cs="Tahoma"/>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48BB86C6" w14:textId="77777777" w:rsidR="00201689" w:rsidRPr="006A4EF1" w:rsidRDefault="00201689" w:rsidP="006A4EF1">
      <w:pPr>
        <w:contextualSpacing/>
        <w:rPr>
          <w:rFonts w:cs="Tahoma"/>
        </w:rPr>
      </w:pPr>
    </w:p>
    <w:p w14:paraId="5D2E4141" w14:textId="77777777" w:rsidR="00201689" w:rsidRPr="006A4EF1" w:rsidRDefault="00201689" w:rsidP="006A4EF1">
      <w:pPr>
        <w:pStyle w:val="Prrafodelista"/>
        <w:numPr>
          <w:ilvl w:val="0"/>
          <w:numId w:val="25"/>
        </w:numPr>
        <w:rPr>
          <w:rFonts w:cs="Tahoma"/>
        </w:rPr>
      </w:pPr>
      <w:r w:rsidRPr="006A4EF1">
        <w:rPr>
          <w:rFonts w:cs="Tahoma"/>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528A46F5" w14:textId="77777777" w:rsidR="00201689" w:rsidRPr="006A4EF1" w:rsidRDefault="00201689" w:rsidP="006A4EF1">
      <w:pPr>
        <w:contextualSpacing/>
        <w:rPr>
          <w:rFonts w:cs="Tahoma"/>
        </w:rPr>
      </w:pPr>
    </w:p>
    <w:p w14:paraId="3B592228" w14:textId="77777777" w:rsidR="00201689" w:rsidRPr="006A4EF1" w:rsidRDefault="00201689" w:rsidP="006A4EF1">
      <w:pPr>
        <w:contextualSpacing/>
        <w:rPr>
          <w:rFonts w:cs="Tahoma"/>
        </w:rPr>
      </w:pPr>
      <w:r w:rsidRPr="006A4EF1">
        <w:rPr>
          <w:rFonts w:cs="Tahoma"/>
        </w:rPr>
        <w:t xml:space="preserve">Conforme a lo anterior, este Instituto verificó las constancias que integran el expediente electrónico en el que se actúa en </w:t>
      </w:r>
      <w:r w:rsidRPr="006A4EF1">
        <w:rPr>
          <w:rFonts w:cs="Tahoma"/>
          <w:b/>
        </w:rPr>
        <w:t>EL SAIMEX</w:t>
      </w:r>
      <w:r w:rsidRPr="006A4EF1">
        <w:rPr>
          <w:rFonts w:cs="Tahoma"/>
        </w:rPr>
        <w:t xml:space="preserve">, y observó que, sí se registró una respuesta a la solicitud de </w:t>
      </w:r>
      <w:r w:rsidRPr="006A4EF1">
        <w:rPr>
          <w:b/>
          <w:bCs/>
        </w:rPr>
        <w:t>LA PARTE RECURRENTE</w:t>
      </w:r>
      <w:r w:rsidRPr="006A4EF1">
        <w:rPr>
          <w:rFonts w:cs="Tahoma"/>
        </w:rPr>
        <w:t>, en el Sistema de Acceso a la Información Mexiquense (SAIMEX), tal como se observa a continuación:</w:t>
      </w:r>
    </w:p>
    <w:p w14:paraId="6580379D" w14:textId="513F706E" w:rsidR="00201689" w:rsidRPr="006A4EF1" w:rsidRDefault="00201689" w:rsidP="006A4EF1">
      <w:pPr>
        <w:contextualSpacing/>
        <w:jc w:val="center"/>
        <w:rPr>
          <w:noProof/>
          <w14:ligatures w14:val="standardContextual"/>
        </w:rPr>
      </w:pPr>
      <w:r w:rsidRPr="006A4EF1">
        <w:rPr>
          <w:noProof/>
          <w:lang w:eastAsia="es-MX"/>
        </w:rPr>
        <w:lastRenderedPageBreak/>
        <mc:AlternateContent>
          <mc:Choice Requires="wps">
            <w:drawing>
              <wp:anchor distT="0" distB="0" distL="114300" distR="114300" simplePos="0" relativeHeight="251659264" behindDoc="0" locked="0" layoutInCell="1" allowOverlap="1" wp14:anchorId="14B07A9F" wp14:editId="58999694">
                <wp:simplePos x="0" y="0"/>
                <wp:positionH relativeFrom="column">
                  <wp:posOffset>86360</wp:posOffset>
                </wp:positionH>
                <wp:positionV relativeFrom="paragraph">
                  <wp:posOffset>2172970</wp:posOffset>
                </wp:positionV>
                <wp:extent cx="5657850" cy="238125"/>
                <wp:effectExtent l="0" t="0" r="19050" b="28575"/>
                <wp:wrapNone/>
                <wp:docPr id="7" name="Rectángulo 7"/>
                <wp:cNvGraphicFramePr/>
                <a:graphic xmlns:a="http://schemas.openxmlformats.org/drawingml/2006/main">
                  <a:graphicData uri="http://schemas.microsoft.com/office/word/2010/wordprocessingShape">
                    <wps:wsp>
                      <wps:cNvSpPr/>
                      <wps:spPr>
                        <a:xfrm>
                          <a:off x="0" y="0"/>
                          <a:ext cx="5657850" cy="238125"/>
                        </a:xfrm>
                        <a:prstGeom prst="rect">
                          <a:avLst/>
                        </a:prstGeom>
                        <a:noFill/>
                        <a:ln w="190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FAC6636" id="Rectángulo 7" o:spid="_x0000_s1026" style="position:absolute;margin-left:6.8pt;margin-top:171.1pt;width:445.5pt;height:1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" filled="f" strokecolor="red" strokeweight="1.5pt"/>
            </w:pict>
          </mc:Fallback>
        </mc:AlternateContent>
      </w:r>
      <w:r w:rsidR="00765D0A" w:rsidRPr="006A4EF1">
        <w:rPr>
          <w:noProof/>
          <w14:ligatures w14:val="standardContextual"/>
        </w:rPr>
        <w:t xml:space="preserve"> </w:t>
      </w:r>
      <w:r w:rsidR="00913436" w:rsidRPr="006A4EF1">
        <w:rPr>
          <w:noProof/>
          <w:lang w:eastAsia="es-MX"/>
          <w14:ligatures w14:val="standardContextual"/>
        </w:rPr>
        <w:drawing>
          <wp:inline distT="0" distB="0" distL="0" distR="0" wp14:anchorId="09C8FBFD" wp14:editId="0C2F9AF9">
            <wp:extent cx="5742940" cy="2095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2095500"/>
                    </a:xfrm>
                    <a:prstGeom prst="rect">
                      <a:avLst/>
                    </a:prstGeom>
                  </pic:spPr>
                </pic:pic>
              </a:graphicData>
            </a:graphic>
          </wp:inline>
        </w:drawing>
      </w:r>
    </w:p>
    <w:p w14:paraId="4A0C0A57" w14:textId="77777777" w:rsidR="00080738" w:rsidRPr="006A4EF1" w:rsidRDefault="00080738" w:rsidP="006A4EF1">
      <w:pPr>
        <w:contextualSpacing/>
        <w:jc w:val="center"/>
        <w:rPr>
          <w:rFonts w:cs="Tahoma"/>
        </w:rPr>
      </w:pPr>
    </w:p>
    <w:p w14:paraId="58335DA7" w14:textId="05786434" w:rsidR="00201689" w:rsidRPr="006A4EF1" w:rsidRDefault="00080738" w:rsidP="006A4EF1">
      <w:r w:rsidRPr="006A4EF1">
        <w:rPr>
          <w:noProof/>
          <w:lang w:eastAsia="es-MX"/>
          <w14:ligatures w14:val="standardContextual"/>
        </w:rPr>
        <mc:AlternateContent>
          <mc:Choice Requires="wps">
            <w:drawing>
              <wp:anchor distT="0" distB="0" distL="114300" distR="114300" simplePos="0" relativeHeight="251662336" behindDoc="0" locked="0" layoutInCell="1" allowOverlap="1" wp14:anchorId="25848A27" wp14:editId="320CF894">
                <wp:simplePos x="0" y="0"/>
                <wp:positionH relativeFrom="margin">
                  <wp:posOffset>3323590</wp:posOffset>
                </wp:positionH>
                <wp:positionV relativeFrom="paragraph">
                  <wp:posOffset>1656080</wp:posOffset>
                </wp:positionV>
                <wp:extent cx="2310682" cy="750211"/>
                <wp:effectExtent l="19050" t="19050" r="13970" b="12065"/>
                <wp:wrapNone/>
                <wp:docPr id="9" name="Rectángulo 9"/>
                <wp:cNvGraphicFramePr/>
                <a:graphic xmlns:a="http://schemas.openxmlformats.org/drawingml/2006/main">
                  <a:graphicData uri="http://schemas.microsoft.com/office/word/2010/wordprocessingShape">
                    <wps:wsp>
                      <wps:cNvSpPr/>
                      <wps:spPr>
                        <a:xfrm>
                          <a:off x="0" y="0"/>
                          <a:ext cx="2310682" cy="750211"/>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4E4864A" id="Rectángulo 9" o:spid="_x0000_s1026" style="position:absolute;margin-left:261.7pt;margin-top:130.4pt;width:181.95pt;height:59.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" filled="f" strokecolor="red" strokeweight="2.25pt">
                <w10:wrap anchorx="margin"/>
              </v:rect>
            </w:pict>
          </mc:Fallback>
        </mc:AlternateContent>
      </w:r>
      <w:r w:rsidR="000F62AF" w:rsidRPr="006A4EF1">
        <w:rPr>
          <w:noProof/>
          <w:lang w:eastAsia="es-MX"/>
          <w14:ligatures w14:val="standardContextual"/>
        </w:rPr>
        <mc:AlternateContent>
          <mc:Choice Requires="wps">
            <w:drawing>
              <wp:anchor distT="0" distB="0" distL="114300" distR="114300" simplePos="0" relativeHeight="251660288" behindDoc="0" locked="0" layoutInCell="1" allowOverlap="1" wp14:anchorId="556B5A44" wp14:editId="42386F81">
                <wp:simplePos x="0" y="0"/>
                <wp:positionH relativeFrom="column">
                  <wp:posOffset>1936750</wp:posOffset>
                </wp:positionH>
                <wp:positionV relativeFrom="paragraph">
                  <wp:posOffset>25400</wp:posOffset>
                </wp:positionV>
                <wp:extent cx="2011680" cy="750211"/>
                <wp:effectExtent l="19050" t="19050" r="26670" b="12065"/>
                <wp:wrapNone/>
                <wp:docPr id="6" name="Rectángulo 6"/>
                <wp:cNvGraphicFramePr/>
                <a:graphic xmlns:a="http://schemas.openxmlformats.org/drawingml/2006/main">
                  <a:graphicData uri="http://schemas.microsoft.com/office/word/2010/wordprocessingShape">
                    <wps:wsp>
                      <wps:cNvSpPr/>
                      <wps:spPr>
                        <a:xfrm>
                          <a:off x="0" y="0"/>
                          <a:ext cx="2011680" cy="750211"/>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5DAE8D7" id="Rectángulo 6" o:spid="_x0000_s1026" style="position:absolute;margin-left:152.5pt;margin-top:2pt;width:158.4pt;height:59.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" filled="f" strokecolor="red" strokeweight="2.25pt"/>
            </w:pict>
          </mc:Fallback>
        </mc:AlternateContent>
      </w:r>
      <w:r w:rsidR="00913436" w:rsidRPr="006A4EF1">
        <w:rPr>
          <w:noProof/>
          <w:lang w:eastAsia="es-MX"/>
        </w:rPr>
        <w:drawing>
          <wp:inline distT="0" distB="0" distL="0" distR="0" wp14:anchorId="355676E9" wp14:editId="4697241D">
            <wp:extent cx="5742940" cy="24098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2409825"/>
                    </a:xfrm>
                    <a:prstGeom prst="rect">
                      <a:avLst/>
                    </a:prstGeom>
                  </pic:spPr>
                </pic:pic>
              </a:graphicData>
            </a:graphic>
          </wp:inline>
        </w:drawing>
      </w:r>
    </w:p>
    <w:p w14:paraId="205246C9" w14:textId="77777777" w:rsidR="001A63EC" w:rsidRPr="006A4EF1" w:rsidRDefault="001A63EC" w:rsidP="006A4EF1">
      <w:pPr>
        <w:contextualSpacing/>
        <w:rPr>
          <w:rFonts w:cs="Tahoma"/>
        </w:rPr>
      </w:pPr>
    </w:p>
    <w:p w14:paraId="7829B735" w14:textId="5929C64C" w:rsidR="00201689" w:rsidRPr="006A4EF1" w:rsidRDefault="00201689" w:rsidP="006A4EF1">
      <w:pPr>
        <w:contextualSpacing/>
        <w:rPr>
          <w:rFonts w:cs="Tahoma"/>
        </w:rPr>
      </w:pPr>
      <w:r w:rsidRPr="006A4EF1">
        <w:rPr>
          <w:rFonts w:cs="Tahoma"/>
        </w:rPr>
        <w:t xml:space="preserve">Así, se colige que, el Ayuntamiento de </w:t>
      </w:r>
      <w:r w:rsidR="00913436" w:rsidRPr="006A4EF1">
        <w:rPr>
          <w:rFonts w:cs="Tahoma"/>
        </w:rPr>
        <w:t>La Paz</w:t>
      </w:r>
      <w:r w:rsidRPr="006A4EF1">
        <w:rPr>
          <w:rFonts w:cs="Tahoma"/>
        </w:rPr>
        <w:t xml:space="preserve">, </w:t>
      </w:r>
      <w:r w:rsidR="00EF01F6" w:rsidRPr="006A4EF1">
        <w:rPr>
          <w:rFonts w:cs="Tahoma"/>
          <w:b/>
          <w:bCs/>
        </w:rPr>
        <w:t>sí</w:t>
      </w:r>
      <w:r w:rsidR="00EF01F6" w:rsidRPr="006A4EF1">
        <w:rPr>
          <w:rFonts w:cs="Tahoma"/>
        </w:rPr>
        <w:t xml:space="preserve"> </w:t>
      </w:r>
      <w:r w:rsidRPr="006A4EF1">
        <w:rPr>
          <w:rFonts w:cs="Tahoma"/>
        </w:rPr>
        <w:t xml:space="preserve">emitió respuesta </w:t>
      </w:r>
      <w:r w:rsidR="001A63EC" w:rsidRPr="006A4EF1">
        <w:rPr>
          <w:rFonts w:cs="Tahoma"/>
        </w:rPr>
        <w:t xml:space="preserve">a través del </w:t>
      </w:r>
      <w:r w:rsidR="001A63EC" w:rsidRPr="006A4EF1">
        <w:rPr>
          <w:rFonts w:cs="Tahoma"/>
          <w:b/>
        </w:rPr>
        <w:t>SAIMEX</w:t>
      </w:r>
      <w:r w:rsidR="001A63EC" w:rsidRPr="006A4EF1">
        <w:rPr>
          <w:rFonts w:cs="Tahoma"/>
        </w:rPr>
        <w:t xml:space="preserve"> </w:t>
      </w:r>
      <w:r w:rsidRPr="006A4EF1">
        <w:rPr>
          <w:rFonts w:cs="Tahoma"/>
        </w:rPr>
        <w:t>para dar contestación a la solicitud de información</w:t>
      </w:r>
      <w:r w:rsidR="006059A2" w:rsidRPr="006A4EF1">
        <w:rPr>
          <w:rFonts w:cs="Tahoma"/>
        </w:rPr>
        <w:t>.</w:t>
      </w:r>
    </w:p>
    <w:p w14:paraId="5B3A92A7" w14:textId="77777777" w:rsidR="00EF01F6" w:rsidRPr="006A4EF1" w:rsidRDefault="00EF01F6" w:rsidP="006A4EF1">
      <w:pPr>
        <w:contextualSpacing/>
        <w:rPr>
          <w:rFonts w:cs="Tahoma"/>
        </w:rPr>
      </w:pPr>
    </w:p>
    <w:p w14:paraId="6CC0F246" w14:textId="695863E3" w:rsidR="00097130" w:rsidRPr="006A4EF1" w:rsidRDefault="00097130" w:rsidP="006A4EF1">
      <w:pPr>
        <w:contextualSpacing/>
        <w:rPr>
          <w:rFonts w:cs="Tahoma"/>
        </w:rPr>
      </w:pPr>
      <w:r w:rsidRPr="006A4EF1">
        <w:t xml:space="preserve">Es así que, del análisis realizado a la respuesta proporcionada se advierte que si bien </w:t>
      </w:r>
      <w:r w:rsidRPr="006A4EF1">
        <w:rPr>
          <w:b/>
        </w:rPr>
        <w:t>EL SUJETO OBLIGADO</w:t>
      </w:r>
      <w:r w:rsidRPr="006A4EF1">
        <w:t xml:space="preserve">, intentó proporcionar la información requerida por la parte </w:t>
      </w:r>
      <w:r w:rsidRPr="006A4EF1">
        <w:rPr>
          <w:b/>
        </w:rPr>
        <w:t>RECURRENTE</w:t>
      </w:r>
      <w:r w:rsidRPr="006A4EF1">
        <w:t xml:space="preserve">, también lo es que, el archivo electrónico remitido en calidad de respuesta, </w:t>
      </w:r>
      <w:r w:rsidRPr="006A4EF1">
        <w:rPr>
          <w:rFonts w:cs="Tahoma"/>
        </w:rPr>
        <w:t xml:space="preserve">se </w:t>
      </w:r>
      <w:r w:rsidRPr="006A4EF1">
        <w:rPr>
          <w:rFonts w:cs="Tahoma"/>
        </w:rPr>
        <w:lastRenderedPageBreak/>
        <w:t xml:space="preserve">advierte que es con fecha anterior a la solicitud de información, es decir, del 06 de junio de 2024, y la solicitud que motiva el presente medio de impugnación se tuvo por presentada el 11 de julio del año en curso. Por lo que se deduce que es materialmente imposible que existiera una respuesta a una solicitud que aún no se había formulado ante </w:t>
      </w:r>
      <w:r w:rsidRPr="006A4EF1">
        <w:rPr>
          <w:rFonts w:cs="Tahoma"/>
          <w:b/>
        </w:rPr>
        <w:t xml:space="preserve">EL SUJETO OBLIGADO, </w:t>
      </w:r>
      <w:r w:rsidRPr="006A4EF1">
        <w:rPr>
          <w:rFonts w:cs="Tahoma"/>
        </w:rPr>
        <w:t xml:space="preserve"> y que por tanto el oficio remitido corresponde </w:t>
      </w:r>
      <w:r w:rsidR="007E2C3F" w:rsidRPr="006A4EF1">
        <w:rPr>
          <w:rFonts w:cs="Tahoma"/>
        </w:rPr>
        <w:t>a</w:t>
      </w:r>
      <w:r w:rsidRPr="006A4EF1">
        <w:rPr>
          <w:rFonts w:cs="Tahoma"/>
        </w:rPr>
        <w:t xml:space="preserve"> un</w:t>
      </w:r>
      <w:r w:rsidR="007E2C3F" w:rsidRPr="006A4EF1">
        <w:rPr>
          <w:rFonts w:cs="Tahoma"/>
        </w:rPr>
        <w:t>a</w:t>
      </w:r>
      <w:r w:rsidRPr="006A4EF1">
        <w:rPr>
          <w:rFonts w:cs="Tahoma"/>
        </w:rPr>
        <w:t xml:space="preserve"> solicitud de información diversa a la materia del presente estud</w:t>
      </w:r>
      <w:r w:rsidR="007E2C3F" w:rsidRPr="006A4EF1">
        <w:rPr>
          <w:rFonts w:cs="Tahoma"/>
        </w:rPr>
        <w:t>io.</w:t>
      </w:r>
    </w:p>
    <w:p w14:paraId="30D3B57D" w14:textId="77777777" w:rsidR="00D71BC2" w:rsidRPr="006A4EF1" w:rsidRDefault="00D71BC2" w:rsidP="006A4EF1">
      <w:pPr>
        <w:contextualSpacing/>
        <w:rPr>
          <w:rFonts w:cs="Tahoma"/>
        </w:rPr>
      </w:pPr>
    </w:p>
    <w:p w14:paraId="193F714E" w14:textId="77777777" w:rsidR="00D71BC2" w:rsidRPr="006A4EF1" w:rsidRDefault="00D71BC2" w:rsidP="006A4EF1">
      <w:pPr>
        <w:rPr>
          <w:rFonts w:cs="Arial"/>
        </w:rPr>
      </w:pPr>
      <w:r w:rsidRPr="006A4EF1">
        <w:rPr>
          <w:rFonts w:cs="Arial"/>
        </w:rPr>
        <w:t xml:space="preserve">En ese contexto, este Órgano Garante considera conveniente entrar al estudio de la información peticionada, a fin de verificar si </w:t>
      </w:r>
      <w:r w:rsidRPr="006A4EF1">
        <w:rPr>
          <w:rFonts w:cs="Arial"/>
          <w:b/>
        </w:rPr>
        <w:t>EL</w:t>
      </w:r>
      <w:r w:rsidRPr="006A4EF1">
        <w:rPr>
          <w:rFonts w:cs="Arial"/>
        </w:rPr>
        <w:t xml:space="preserve"> </w:t>
      </w:r>
      <w:r w:rsidRPr="006A4EF1">
        <w:rPr>
          <w:rFonts w:cs="Arial"/>
          <w:b/>
        </w:rPr>
        <w:t>SUJETO OBLIGADO</w:t>
      </w:r>
      <w:r w:rsidRPr="006A4EF1">
        <w:rPr>
          <w:rFonts w:cs="Arial"/>
        </w:rPr>
        <w:t xml:space="preserve"> cumplió con el derecho de acceso a la información pública de la particular.</w:t>
      </w:r>
    </w:p>
    <w:p w14:paraId="4F7366E6" w14:textId="77777777" w:rsidR="00D71BC2" w:rsidRPr="006A4EF1" w:rsidRDefault="00D71BC2" w:rsidP="006A4EF1">
      <w:pPr>
        <w:contextualSpacing/>
        <w:rPr>
          <w:rFonts w:cs="Tahoma"/>
        </w:rPr>
      </w:pPr>
    </w:p>
    <w:p w14:paraId="67030F60" w14:textId="3BFC78CB" w:rsidR="00D71BC2" w:rsidRPr="006A4EF1" w:rsidRDefault="00D71BC2" w:rsidP="006A4EF1">
      <w:pPr>
        <w:contextualSpacing/>
        <w:rPr>
          <w:rFonts w:eastAsia="Palatino Linotype" w:cs="Palatino Linotype"/>
          <w:lang w:val="es-ES"/>
        </w:rPr>
      </w:pPr>
      <w:r w:rsidRPr="006A4EF1">
        <w:rPr>
          <w:rFonts w:cs="Tahoma"/>
        </w:rPr>
        <w:t xml:space="preserve">Por principio de cuentas, conviene precisar </w:t>
      </w:r>
      <w:r w:rsidRPr="006A4EF1">
        <w:rPr>
          <w:rFonts w:eastAsia="Palatino Linotype" w:cs="Palatino Linotype"/>
          <w:lang w:val="es-ES"/>
        </w:rPr>
        <w:t xml:space="preserve">que </w:t>
      </w:r>
      <w:r w:rsidRPr="006A4EF1">
        <w:rPr>
          <w:rFonts w:eastAsia="Palatino Linotype" w:cs="Palatino Linotype"/>
          <w:b/>
          <w:lang w:val="es-ES"/>
        </w:rPr>
        <w:t>LA PARTE RECURRENTE</w:t>
      </w:r>
      <w:r w:rsidRPr="006A4EF1">
        <w:rPr>
          <w:rFonts w:eastAsia="Palatino Linotype" w:cs="Palatino Linotype"/>
          <w:lang w:val="es-ES"/>
        </w:rPr>
        <w:t xml:space="preserve">, a través de su solicitud presentada a través del </w:t>
      </w:r>
      <w:r w:rsidRPr="006A4EF1">
        <w:rPr>
          <w:rFonts w:eastAsia="Palatino Linotype" w:cs="Palatino Linotype"/>
          <w:b/>
          <w:bCs/>
          <w:lang w:val="es-ES"/>
        </w:rPr>
        <w:t>SAIMEX</w:t>
      </w:r>
      <w:r w:rsidRPr="006A4EF1">
        <w:rPr>
          <w:rFonts w:eastAsia="Palatino Linotype" w:cs="Palatino Linotype"/>
          <w:lang w:val="es-ES"/>
        </w:rPr>
        <w:t xml:space="preserve"> emitió diversos cuestionamientos con la pretensión de que </w:t>
      </w:r>
      <w:r w:rsidRPr="006A4EF1">
        <w:rPr>
          <w:rFonts w:eastAsia="Palatino Linotype" w:cs="Palatino Linotype"/>
          <w:b/>
          <w:lang w:val="es-ES"/>
        </w:rPr>
        <w:t xml:space="preserve">EL SUJETO OBLIGADO </w:t>
      </w:r>
      <w:r w:rsidRPr="006A4EF1">
        <w:rPr>
          <w:rFonts w:eastAsia="Palatino Linotype" w:cs="Palatino Linotype"/>
          <w:lang w:val="es-ES"/>
        </w:rPr>
        <w:t>emitiera un pronunciamiento respecto de diversas cuestiones de interés para la persona solicitante, a fin de satisfacer sus interrogantes o inquietudes</w:t>
      </w:r>
      <w:r w:rsidRPr="006A4EF1">
        <w:rPr>
          <w:rFonts w:eastAsia="Palatino Linotype" w:cs="Palatino Linotype"/>
          <w:i/>
          <w:lang w:val="es-ES"/>
        </w:rPr>
        <w:t>,</w:t>
      </w:r>
      <w:r w:rsidRPr="006A4EF1">
        <w:rPr>
          <w:rFonts w:eastAsia="Palatino Linotype" w:cs="Palatino Linotype"/>
          <w:lang w:val="es-ES"/>
        </w:rPr>
        <w:t xml:space="preserve"> razón por la cual este Órgano Garante considera pertinente, en primer lugar, establecer las diferencias entre el derecho de petición y el derecho de acceso a la información, basado en lo siguiente:</w:t>
      </w:r>
    </w:p>
    <w:p w14:paraId="7B71C5D1" w14:textId="77777777" w:rsidR="00D71BC2" w:rsidRPr="006A4EF1" w:rsidRDefault="00D71BC2" w:rsidP="006A4EF1">
      <w:pPr>
        <w:spacing w:before="240" w:after="360"/>
        <w:rPr>
          <w:rFonts w:eastAsia="Palatino Linotype" w:cs="Palatino Linotype"/>
          <w:i/>
          <w:lang w:val="es-ES"/>
        </w:rPr>
      </w:pPr>
      <w:r w:rsidRPr="006A4EF1">
        <w:rPr>
          <w:rFonts w:eastAsia="Palatino Linotype" w:cs="Palatino Linotype"/>
          <w:lang w:val="es-ES"/>
        </w:rPr>
        <w:t>El Maestro Ignacio Burgoa Orihuela refiere que el derecho de petición “…</w:t>
      </w:r>
      <w:r w:rsidRPr="006A4EF1">
        <w:rPr>
          <w:rFonts w:eastAsia="Palatino Linotype" w:cs="Palatino Linotype"/>
          <w:i/>
          <w:lang w:val="es-ES"/>
        </w:rPr>
        <w:t xml:space="preserve">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w:t>
      </w:r>
      <w:r w:rsidRPr="006A4EF1">
        <w:rPr>
          <w:rFonts w:eastAsia="Palatino Linotype" w:cs="Palatino Linotype"/>
          <w:i/>
          <w:lang w:val="es-ES"/>
        </w:rPr>
        <w:lastRenderedPageBreak/>
        <w:t>administrativa, acción o recurso, etc.</w:t>
      </w:r>
      <w:r w:rsidRPr="006A4EF1">
        <w:rPr>
          <w:rFonts w:eastAsia="Palatino Linotype" w:cs="Palatino Linotype"/>
          <w:i/>
          <w:vertAlign w:val="superscript"/>
          <w:lang w:val="es-ES"/>
        </w:rPr>
        <w:t xml:space="preserve"> </w:t>
      </w:r>
      <w:r w:rsidRPr="006A4EF1">
        <w:rPr>
          <w:rFonts w:eastAsia="Palatino Linotype" w:cs="Palatino Linotype"/>
          <w:i/>
          <w:vertAlign w:val="superscript"/>
          <w:lang w:val="es-ES"/>
        </w:rPr>
        <w:footnoteReference w:id="1"/>
      </w:r>
      <w:r w:rsidRPr="006A4EF1">
        <w:rPr>
          <w:rFonts w:eastAsia="Palatino Linotype" w:cs="Palatino Linotype"/>
          <w:i/>
          <w:lang w:val="es-ES"/>
        </w:rPr>
        <w:t xml:space="preserve">“, </w:t>
      </w:r>
      <w:r w:rsidRPr="006A4EF1">
        <w:rPr>
          <w:rFonts w:eastAsia="Palatino Linotype" w:cs="Palatino Linotype"/>
          <w:lang w:val="es-ES"/>
        </w:rPr>
        <w:t>mientras que</w:t>
      </w:r>
      <w:r w:rsidRPr="006A4EF1">
        <w:rPr>
          <w:rFonts w:eastAsia="Palatino Linotype" w:cs="Palatino Linotype"/>
          <w:i/>
          <w:lang w:val="es-ES"/>
        </w:rPr>
        <w:t xml:space="preserve"> </w:t>
      </w:r>
      <w:r w:rsidRPr="006A4EF1">
        <w:rPr>
          <w:rFonts w:eastAsia="Palatino Linotype" w:cs="Palatino Linotype"/>
          <w:lang w:val="es-ES"/>
        </w:rPr>
        <w:t xml:space="preserve">David Cienfuegos Salgado, lo concibe como </w:t>
      </w:r>
      <w:r w:rsidRPr="006A4EF1">
        <w:rPr>
          <w:rFonts w:eastAsia="Palatino Linotype" w:cs="Palatino Linotype"/>
          <w:i/>
          <w:lang w:val="es-ES"/>
        </w:rPr>
        <w:t>“el derecho de toda persona a ser escuchado por quienes ejercen el poder público</w:t>
      </w:r>
      <w:proofErr w:type="gramStart"/>
      <w:r w:rsidRPr="006A4EF1">
        <w:rPr>
          <w:rFonts w:eastAsia="Palatino Linotype" w:cs="Palatino Linotype"/>
          <w:i/>
          <w:lang w:val="es-ES"/>
        </w:rPr>
        <w:t>.</w:t>
      </w:r>
      <w:r w:rsidRPr="006A4EF1">
        <w:rPr>
          <w:rFonts w:eastAsia="Palatino Linotype" w:cs="Palatino Linotype"/>
          <w:i/>
          <w:vertAlign w:val="superscript"/>
          <w:lang w:val="es-ES"/>
        </w:rPr>
        <w:t xml:space="preserve"> </w:t>
      </w:r>
      <w:proofErr w:type="gramEnd"/>
      <w:r w:rsidRPr="006A4EF1">
        <w:rPr>
          <w:rFonts w:eastAsia="Palatino Linotype" w:cs="Palatino Linotype"/>
          <w:i/>
          <w:vertAlign w:val="superscript"/>
          <w:lang w:val="es-ES"/>
        </w:rPr>
        <w:footnoteReference w:id="2"/>
      </w:r>
      <w:r w:rsidRPr="006A4EF1">
        <w:rPr>
          <w:rFonts w:eastAsia="Palatino Linotype" w:cs="Palatino Linotype"/>
          <w:i/>
          <w:lang w:val="es-ES"/>
        </w:rPr>
        <w:t xml:space="preserve">” </w:t>
      </w:r>
    </w:p>
    <w:p w14:paraId="56BECB00" w14:textId="77777777" w:rsidR="00D71BC2" w:rsidRPr="006A4EF1" w:rsidRDefault="00D71BC2" w:rsidP="006A4EF1">
      <w:pPr>
        <w:spacing w:before="240" w:after="360"/>
        <w:rPr>
          <w:rFonts w:eastAsia="Palatino Linotype" w:cs="Palatino Linotype"/>
          <w:i/>
          <w:lang w:val="es-ES"/>
        </w:rPr>
      </w:pPr>
      <w:r w:rsidRPr="006A4EF1">
        <w:rPr>
          <w:rFonts w:eastAsia="Palatino Linotype" w:cs="Palatino Linotype"/>
          <w:lang w:val="es-ES"/>
        </w:rPr>
        <w:t xml:space="preserve">Para diferenciar el derecho de petición al derecho de acceso a la información, resulta conducente señalar que José Guadalupe Robles, conceptualiza el derecho a la información como </w:t>
      </w:r>
      <w:r w:rsidRPr="006A4EF1">
        <w:rPr>
          <w:rFonts w:eastAsia="Palatino Linotype" w:cs="Palatino Linotype"/>
          <w:i/>
          <w:lang w:val="es-ES"/>
        </w:rPr>
        <w:t>“un derecho fundamental tanto de carácter individual como colectivo, cuyas limitaciones deben estar establecida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w:t>
      </w:r>
      <w:r w:rsidRPr="006A4EF1">
        <w:rPr>
          <w:rFonts w:eastAsia="Palatino Linotype" w:cs="Palatino Linotype"/>
          <w:i/>
          <w:vertAlign w:val="superscript"/>
          <w:lang w:val="es-ES"/>
        </w:rPr>
        <w:t xml:space="preserve"> </w:t>
      </w:r>
      <w:r w:rsidRPr="006A4EF1">
        <w:rPr>
          <w:rFonts w:eastAsia="Palatino Linotype" w:cs="Palatino Linotype"/>
          <w:i/>
          <w:vertAlign w:val="superscript"/>
          <w:lang w:val="es-ES"/>
        </w:rPr>
        <w:footnoteReference w:id="3"/>
      </w:r>
      <w:r w:rsidRPr="006A4EF1">
        <w:rPr>
          <w:rFonts w:eastAsia="Palatino Linotype" w:cs="Palatino Linotype"/>
          <w:i/>
          <w:lang w:val="es-ES"/>
        </w:rPr>
        <w:t>“</w:t>
      </w:r>
    </w:p>
    <w:p w14:paraId="707EA460" w14:textId="77777777" w:rsidR="00D71BC2" w:rsidRPr="006A4EF1" w:rsidRDefault="00D71BC2" w:rsidP="006A4EF1">
      <w:pPr>
        <w:spacing w:before="240" w:after="360"/>
        <w:rPr>
          <w:rFonts w:eastAsia="Palatino Linotype" w:cs="Palatino Linotype"/>
          <w:i/>
          <w:lang w:val="es-ES"/>
        </w:rPr>
      </w:pPr>
      <w:r w:rsidRPr="006A4EF1">
        <w:rPr>
          <w:rFonts w:eastAsia="Palatino Linotype" w:cs="Palatino Linotype"/>
          <w:lang w:val="es-ES"/>
        </w:rPr>
        <w:t xml:space="preserve">Además, el derecho a la información constituye una prerrogativa de acceder a documentación en poder de los </w:t>
      </w:r>
      <w:r w:rsidRPr="006A4EF1">
        <w:rPr>
          <w:rFonts w:eastAsia="Palatino Linotype" w:cs="Palatino Linotype"/>
          <w:u w:val="single"/>
          <w:lang w:val="es-ES"/>
        </w:rPr>
        <w:t>Sujetos Obligados</w:t>
      </w:r>
      <w:r w:rsidRPr="006A4EF1">
        <w:rPr>
          <w:rFonts w:eastAsia="Palatino Linotype" w:cs="Palatino Linotype"/>
          <w:lang w:val="es-ES"/>
        </w:rPr>
        <w:t xml:space="preserve">, no así a realizar cuestionamientos, o manifestaciones subjetivas. </w:t>
      </w:r>
    </w:p>
    <w:p w14:paraId="4574EDDC" w14:textId="77777777" w:rsidR="00D71BC2" w:rsidRPr="006A4EF1" w:rsidRDefault="00D71BC2" w:rsidP="006A4EF1">
      <w:pPr>
        <w:spacing w:before="240" w:after="360"/>
        <w:rPr>
          <w:rFonts w:eastAsia="Palatino Linotype" w:cs="Palatino Linotype"/>
          <w:i/>
          <w:lang w:val="es-ES"/>
        </w:rPr>
      </w:pPr>
      <w:r w:rsidRPr="006A4EF1">
        <w:rPr>
          <w:rFonts w:eastAsia="Palatino Linotype" w:cs="Palatino Linotype"/>
          <w:lang w:val="es-ES"/>
        </w:rPr>
        <w:t xml:space="preserve">Sirve de apoyo a lo anterior la definición de derecho a la información de Ernesto Villanueva </w:t>
      </w:r>
      <w:proofErr w:type="spellStart"/>
      <w:r w:rsidRPr="006A4EF1">
        <w:rPr>
          <w:rFonts w:eastAsia="Palatino Linotype" w:cs="Palatino Linotype"/>
          <w:lang w:val="es-ES"/>
        </w:rPr>
        <w:t>Villanueva</w:t>
      </w:r>
      <w:proofErr w:type="spellEnd"/>
      <w:r w:rsidRPr="006A4EF1">
        <w:rPr>
          <w:rFonts w:eastAsia="Palatino Linotype" w:cs="Palatino Linotype"/>
          <w:lang w:val="es-ES"/>
        </w:rPr>
        <w:t xml:space="preserve"> que dice: “</w:t>
      </w:r>
      <w:r w:rsidRPr="006A4EF1">
        <w:rPr>
          <w:rFonts w:eastAsia="Palatino Linotype" w:cs="Palatino Linotype"/>
          <w:i/>
          <w:lang w:val="es-ES"/>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6A4EF1">
        <w:rPr>
          <w:rStyle w:val="Refdenotaalpie"/>
          <w:rFonts w:eastAsia="Palatino Linotype" w:cs="Palatino Linotype"/>
          <w:i/>
          <w:lang w:val="es-ES"/>
        </w:rPr>
        <w:footnoteReference w:id="4"/>
      </w:r>
      <w:r w:rsidRPr="006A4EF1">
        <w:rPr>
          <w:rFonts w:eastAsia="Palatino Linotype" w:cs="Palatino Linotype"/>
          <w:i/>
          <w:lang w:val="es-ES"/>
        </w:rPr>
        <w:t xml:space="preserve"> </w:t>
      </w:r>
    </w:p>
    <w:p w14:paraId="31D5FBD9" w14:textId="77777777" w:rsidR="00D71BC2" w:rsidRPr="006A4EF1" w:rsidRDefault="00D71BC2" w:rsidP="006A4EF1">
      <w:pPr>
        <w:spacing w:before="240" w:after="240"/>
        <w:rPr>
          <w:rFonts w:eastAsia="Palatino Linotype" w:cs="Palatino Linotype"/>
          <w:lang w:val="es-ES"/>
        </w:rPr>
      </w:pPr>
      <w:r w:rsidRPr="006A4EF1">
        <w:rPr>
          <w:rFonts w:eastAsia="Palatino Linotype" w:cs="Palatino Linotype"/>
          <w:lang w:val="es-ES"/>
        </w:rPr>
        <w:lastRenderedPageBreak/>
        <w:t xml:space="preserve">Por lo que, </w:t>
      </w:r>
      <w:r w:rsidRPr="006A4EF1">
        <w:rPr>
          <w:rFonts w:eastAsia="Palatino Linotype" w:cs="Palatino Linotype"/>
          <w:b/>
          <w:lang w:val="es-ES"/>
        </w:rPr>
        <w:t>la entrega de una razón o un razonamiento por parte del Sujeto Obligado no es algo que la ley establezca como atribución, derecho, o facultad</w:t>
      </w:r>
      <w:r w:rsidRPr="006A4EF1">
        <w:rPr>
          <w:rFonts w:eastAsia="Palatino Linotype" w:cs="Palatino Linotype"/>
          <w:lang w:val="es-ES"/>
        </w:rPr>
        <w:t xml:space="preserve">; </w:t>
      </w:r>
      <w:r w:rsidRPr="006A4EF1">
        <w:rPr>
          <w:rFonts w:eastAsia="Palatino Linotype" w:cs="Palatino Linotype"/>
          <w:b/>
          <w:lang w:val="es-ES"/>
        </w:rPr>
        <w:t>pues ello implicaría un juicio de valor referente a un cuestionamiento realizado</w:t>
      </w:r>
      <w:r w:rsidRPr="006A4EF1">
        <w:rPr>
          <w:rFonts w:eastAsia="Palatino Linotype" w:cs="Palatino Linotype"/>
          <w:lang w:val="es-ES"/>
        </w:rPr>
        <w:t>, los cuales, al constituir interrogantes, inquietudes y manifestaciones se satisfacen vía derecho de petición.</w:t>
      </w:r>
    </w:p>
    <w:p w14:paraId="792B6F06" w14:textId="77777777" w:rsidR="00D71BC2" w:rsidRPr="006A4EF1" w:rsidRDefault="00D71BC2" w:rsidP="006A4EF1">
      <w:pPr>
        <w:spacing w:before="240" w:after="240"/>
        <w:rPr>
          <w:rFonts w:eastAsia="Palatino Linotype" w:cs="Palatino Linotype"/>
          <w:lang w:val="es-ES"/>
        </w:rPr>
      </w:pPr>
      <w:r w:rsidRPr="006A4EF1">
        <w:rPr>
          <w:rFonts w:eastAsia="Palatino Linotype" w:cs="Palatino Linotype"/>
          <w:lang w:val="es-ES"/>
        </w:rPr>
        <w:t xml:space="preserve">Aunado a lo anterior, se menciona que el derecho de acceso a la información pública por disposición del artículo 4 citado con antelación, de la Ley de Transparencia y Acceso a la Información Pública del Estado de México y Municipios, menciona que es la prerrogativa de las personas para buscar, difundir, investigar, recabar, recibir y solicitar información pública. </w:t>
      </w:r>
    </w:p>
    <w:p w14:paraId="124F260E" w14:textId="77777777" w:rsidR="00D71BC2" w:rsidRPr="006A4EF1" w:rsidRDefault="00D71BC2" w:rsidP="006A4EF1">
      <w:pPr>
        <w:spacing w:before="240" w:after="240"/>
        <w:rPr>
          <w:rFonts w:eastAsia="Palatino Linotype" w:cs="Palatino Linotype"/>
          <w:lang w:val="es-ES"/>
        </w:rPr>
      </w:pPr>
      <w:r w:rsidRPr="006A4EF1">
        <w:rPr>
          <w:rFonts w:eastAsia="Palatino Linotype" w:cs="Palatino Linotype"/>
          <w:lang w:val="es-ES"/>
        </w:rPr>
        <w:t xml:space="preserve">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 </w:t>
      </w:r>
    </w:p>
    <w:p w14:paraId="017397B8" w14:textId="77777777" w:rsidR="00D71BC2" w:rsidRPr="006A4EF1" w:rsidRDefault="00D71BC2" w:rsidP="006A4EF1">
      <w:pPr>
        <w:spacing w:before="240" w:after="240"/>
        <w:rPr>
          <w:rFonts w:eastAsia="Palatino Linotype" w:cs="Palatino Linotype"/>
          <w:lang w:val="es-ES"/>
        </w:rPr>
      </w:pPr>
      <w:r w:rsidRPr="006A4EF1">
        <w:rPr>
          <w:rFonts w:eastAsia="Palatino Linotype" w:cs="Palatino Linotype"/>
          <w:lang w:val="es-ES"/>
        </w:rPr>
        <w:t xml:space="preserve">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de Transparencia y Acceso a la Información Pública del Estado de México y Municipios y demás disposiciones de la materia, privilegiando el principio de máxima publicidad de la información. </w:t>
      </w:r>
    </w:p>
    <w:p w14:paraId="4A901CE6" w14:textId="77777777" w:rsidR="00D71BC2" w:rsidRPr="006A4EF1" w:rsidRDefault="00D71BC2" w:rsidP="006A4EF1">
      <w:pPr>
        <w:spacing w:before="240" w:after="240"/>
        <w:rPr>
          <w:rFonts w:eastAsia="Palatino Linotype" w:cs="Palatino Linotype"/>
          <w:lang w:val="es-ES"/>
        </w:rPr>
      </w:pPr>
      <w:r w:rsidRPr="006A4EF1">
        <w:rPr>
          <w:rFonts w:eastAsia="Palatino Linotype" w:cs="Palatino Linotype"/>
          <w:lang w:val="es-ES"/>
        </w:rPr>
        <w:t xml:space="preserve">Para ello, la Ley de Transparencia y Acceso a la Información Pública del Estado de México y Municipios otorga la calidad de documento a los expedientes, reportes, estudios, actas, resoluciones, oficios, correspondencia, acuerdos, directivas, directrices, circulares, contratos, </w:t>
      </w:r>
      <w:r w:rsidRPr="006A4EF1">
        <w:rPr>
          <w:rFonts w:eastAsia="Palatino Linotype" w:cs="Palatino Linotype"/>
          <w:lang w:val="es-ES"/>
        </w:rPr>
        <w:lastRenderedPageBreak/>
        <w:t>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15B18018" w14:textId="77777777" w:rsidR="00D71BC2" w:rsidRPr="006A4EF1" w:rsidRDefault="00D71BC2" w:rsidP="006A4EF1">
      <w:pPr>
        <w:spacing w:before="240" w:after="240"/>
        <w:rPr>
          <w:rFonts w:eastAsia="Palatino Linotype" w:cs="Palatino Linotype"/>
          <w:lang w:val="es-ES"/>
        </w:rPr>
      </w:pPr>
      <w:r w:rsidRPr="006A4EF1">
        <w:rPr>
          <w:rFonts w:eastAsia="Palatino Linotype" w:cs="Palatino Linotype"/>
          <w:lang w:val="es-ES"/>
        </w:rPr>
        <w:t xml:space="preserve">De manera que el derecho de acceso a la información pública se satisface en aquellos casos en que se entregue el soporte documental en que conste la información pública, toda vez que los Sujetos Obligados no tienen el deber de generar información, resumirla, practicar investigaciones o realizar cálculos para satisfacer el derecho de acceso a la información conforme al interés de los particulares. </w:t>
      </w:r>
    </w:p>
    <w:p w14:paraId="558BE42C" w14:textId="77777777" w:rsidR="00D71BC2" w:rsidRPr="006A4EF1" w:rsidRDefault="00D71BC2" w:rsidP="006A4EF1">
      <w:pPr>
        <w:spacing w:before="240" w:after="240"/>
        <w:rPr>
          <w:rFonts w:eastAsia="Palatino Linotype" w:cs="Palatino Linotype"/>
          <w:i/>
          <w:lang w:val="es-ES"/>
        </w:rPr>
      </w:pPr>
      <w:r w:rsidRPr="006A4EF1">
        <w:rPr>
          <w:rFonts w:eastAsia="Palatino Linotype" w:cs="Palatino Linotype"/>
          <w:lang w:val="es-ES"/>
        </w:rPr>
        <w:t xml:space="preserve">Así, se puede concluir que la distinción entre el derecho de petición y el derecho de acceso a la información pública estriba principalmente en que en el primero de ellos, la pretensión del peticionario consiste generalmente en </w:t>
      </w:r>
      <w:r w:rsidRPr="006A4EF1">
        <w:rPr>
          <w:rFonts w:eastAsia="Palatino Linotype" w:cs="Palatino Linotype"/>
          <w:i/>
          <w:lang w:val="es-ES"/>
        </w:rPr>
        <w:t>obligar a la autoridad responsable a que actúe en el sentido de contestar lo solicitado</w:t>
      </w:r>
      <w:r w:rsidRPr="006A4EF1">
        <w:rPr>
          <w:rFonts w:eastAsia="Palatino Linotype" w:cs="Palatino Linotype"/>
          <w:lang w:val="es-ES"/>
        </w:rPr>
        <w:t xml:space="preserve">, mientras que en el segundo supuesto la solicitud de acceso a la información pública </w:t>
      </w:r>
      <w:r w:rsidRPr="006A4EF1">
        <w:rPr>
          <w:rFonts w:eastAsia="Palatino Linotype" w:cs="Palatino Linotype"/>
          <w:i/>
          <w:lang w:val="es-ES"/>
        </w:rPr>
        <w:t>se encamina primordialmente a permitir el acceso a datos, registros y todo tipo de información pública que conste en documentos, sea generada o se encuentre en posesión de la autoridad.</w:t>
      </w:r>
    </w:p>
    <w:p w14:paraId="72BD4273" w14:textId="77777777" w:rsidR="00D71BC2" w:rsidRPr="006A4EF1" w:rsidRDefault="00D71BC2" w:rsidP="006A4EF1">
      <w:pPr>
        <w:spacing w:before="240" w:after="240"/>
        <w:rPr>
          <w:rFonts w:eastAsia="Palatino Linotype" w:cs="Palatino Linotype"/>
          <w:i/>
          <w:szCs w:val="22"/>
          <w:lang w:val="es-ES"/>
        </w:rPr>
      </w:pPr>
      <w:r w:rsidRPr="006A4EF1">
        <w:rPr>
          <w:rFonts w:eastAsia="Palatino Linotype" w:cs="Palatino Linotype"/>
          <w:lang w:val="es-ES"/>
        </w:rPr>
        <w:t xml:space="preserve">Asimismo, es importante enfatizar que el Derecho de Acceso a la Información Pública consiste en que la </w:t>
      </w:r>
      <w:r w:rsidRPr="006A4EF1">
        <w:rPr>
          <w:rFonts w:eastAsia="Palatino Linotype" w:cs="Palatino Linotype"/>
          <w:b/>
          <w:u w:val="single"/>
          <w:lang w:val="es-ES"/>
        </w:rPr>
        <w:t>información solicitada conste en un soporte documental</w:t>
      </w:r>
      <w:r w:rsidRPr="006A4EF1">
        <w:rPr>
          <w:rFonts w:eastAsia="Palatino Linotype" w:cs="Palatino Linotype"/>
          <w:lang w:val="es-ES"/>
        </w:rPr>
        <w:t xml:space="preserve"> en cualquiera de sus formas, a saber: expedientes, reportes, estudios, actas</w:t>
      </w:r>
      <w:r w:rsidRPr="006A4EF1">
        <w:rPr>
          <w:rFonts w:eastAsia="Palatino Linotype" w:cs="Palatino Linotype"/>
          <w:b/>
          <w:lang w:val="es-ES"/>
        </w:rPr>
        <w:t>,</w:t>
      </w:r>
      <w:r w:rsidRPr="006A4EF1">
        <w:rPr>
          <w:rFonts w:eastAsia="Palatino Linotype" w:cs="Palatino Linotype"/>
          <w:lang w:val="es-ES"/>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w:t>
      </w:r>
      <w:r w:rsidRPr="006A4EF1">
        <w:rPr>
          <w:rFonts w:eastAsia="Palatino Linotype" w:cs="Palatino Linotype"/>
          <w:lang w:val="es-ES"/>
        </w:rPr>
        <w:lastRenderedPageBreak/>
        <w:t xml:space="preserve">de conformidad con el artículo 3, fracción XI de la Ley de la materia, el cual dispone lo siguiente: </w:t>
      </w:r>
    </w:p>
    <w:p w14:paraId="61AB2724" w14:textId="77777777" w:rsidR="00D71BC2" w:rsidRPr="006A4EF1" w:rsidRDefault="00D71BC2" w:rsidP="006A4EF1">
      <w:pPr>
        <w:pStyle w:val="Puesto"/>
        <w:rPr>
          <w:rFonts w:eastAsia="Palatino Linotype"/>
          <w:lang w:val="es-ES"/>
        </w:rPr>
      </w:pPr>
      <w:r w:rsidRPr="006A4EF1">
        <w:rPr>
          <w:rFonts w:eastAsia="Palatino Linotype"/>
          <w:lang w:val="es-ES"/>
        </w:rPr>
        <w:t>“</w:t>
      </w:r>
      <w:r w:rsidRPr="006A4EF1">
        <w:rPr>
          <w:rFonts w:eastAsia="Palatino Linotype"/>
          <w:b/>
          <w:lang w:val="es-ES"/>
        </w:rPr>
        <w:t xml:space="preserve">Artículo 3. </w:t>
      </w:r>
      <w:r w:rsidRPr="006A4EF1">
        <w:rPr>
          <w:rFonts w:eastAsia="Palatino Linotype"/>
          <w:lang w:val="es-ES"/>
        </w:rPr>
        <w:t>Para los efectos de la presente Ley se entenderá por:</w:t>
      </w:r>
    </w:p>
    <w:p w14:paraId="7E098989" w14:textId="77777777" w:rsidR="00D71BC2" w:rsidRPr="006A4EF1" w:rsidRDefault="00D71BC2" w:rsidP="006A4EF1">
      <w:pPr>
        <w:pStyle w:val="Puesto"/>
        <w:rPr>
          <w:rFonts w:eastAsia="Palatino Linotype"/>
          <w:lang w:val="es-ES"/>
        </w:rPr>
      </w:pPr>
      <w:r w:rsidRPr="006A4EF1">
        <w:rPr>
          <w:rFonts w:eastAsia="Palatino Linotype"/>
          <w:lang w:val="es-ES"/>
        </w:rPr>
        <w:t>…</w:t>
      </w:r>
    </w:p>
    <w:p w14:paraId="4EEE3778" w14:textId="77777777" w:rsidR="00D71BC2" w:rsidRPr="006A4EF1" w:rsidRDefault="00D71BC2" w:rsidP="006A4EF1">
      <w:pPr>
        <w:pStyle w:val="Puesto"/>
        <w:rPr>
          <w:rFonts w:eastAsia="Palatino Linotype"/>
          <w:lang w:val="es-ES"/>
        </w:rPr>
      </w:pPr>
      <w:r w:rsidRPr="006A4EF1">
        <w:rPr>
          <w:rFonts w:eastAsia="Palatino Linotype"/>
          <w:b/>
          <w:lang w:val="es-ES"/>
        </w:rPr>
        <w:t>XI. Documento:</w:t>
      </w:r>
      <w:r w:rsidRPr="006A4EF1">
        <w:rPr>
          <w:rFonts w:eastAsia="Palatino Linotype"/>
          <w:lang w:val="es-ES"/>
        </w:rPr>
        <w:t xml:space="preserve"> Los expedientes, reportes, estudios, actas, resoluciones,</w:t>
      </w:r>
      <w:r w:rsidRPr="006A4EF1">
        <w:rPr>
          <w:rFonts w:eastAsia="Palatino Linotype"/>
          <w:b/>
          <w:lang w:val="es-ES"/>
        </w:rPr>
        <w:t xml:space="preserve"> </w:t>
      </w:r>
      <w:r w:rsidRPr="006A4EF1">
        <w:rPr>
          <w:rFonts w:eastAsia="Palatino Linotype"/>
          <w:lang w:val="es-ES"/>
        </w:rPr>
        <w:t>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3D2C33F" w14:textId="77777777" w:rsidR="00D71BC2" w:rsidRPr="006A4EF1" w:rsidRDefault="00D71BC2" w:rsidP="006A4EF1">
      <w:pPr>
        <w:ind w:left="1134" w:right="901"/>
        <w:rPr>
          <w:rFonts w:eastAsia="Palatino Linotype" w:cs="Palatino Linotype"/>
          <w:szCs w:val="22"/>
          <w:lang w:val="es-ES"/>
        </w:rPr>
      </w:pPr>
    </w:p>
    <w:p w14:paraId="67991AC1" w14:textId="77777777" w:rsidR="00D71BC2" w:rsidRPr="006A4EF1" w:rsidRDefault="00D71BC2" w:rsidP="006A4EF1">
      <w:pPr>
        <w:rPr>
          <w:rFonts w:eastAsia="Palatino Linotype" w:cs="Palatino Linotype"/>
          <w:lang w:val="es-ES"/>
        </w:rPr>
      </w:pPr>
      <w:r w:rsidRPr="006A4EF1">
        <w:rPr>
          <w:rFonts w:eastAsia="Palatino Linotype" w:cs="Palatino Linotype"/>
          <w:lang w:val="es-ES"/>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77A45A44" w14:textId="77777777" w:rsidR="00D71BC2" w:rsidRPr="006A4EF1" w:rsidRDefault="00D71BC2" w:rsidP="006A4EF1">
      <w:pPr>
        <w:ind w:left="851" w:right="850"/>
        <w:rPr>
          <w:rFonts w:eastAsia="Palatino Linotype" w:cs="Palatino Linotype"/>
          <w:sz w:val="20"/>
          <w:lang w:val="es-ES"/>
        </w:rPr>
      </w:pPr>
    </w:p>
    <w:p w14:paraId="7727E214" w14:textId="77777777" w:rsidR="00D71BC2" w:rsidRPr="006A4EF1" w:rsidRDefault="00D71BC2" w:rsidP="006A4EF1">
      <w:pPr>
        <w:pStyle w:val="Puesto"/>
        <w:jc w:val="center"/>
        <w:rPr>
          <w:rFonts w:eastAsia="Palatino Linotype"/>
          <w:b/>
          <w:bCs/>
          <w:lang w:val="es-ES"/>
        </w:rPr>
      </w:pPr>
      <w:r w:rsidRPr="006A4EF1">
        <w:rPr>
          <w:rFonts w:eastAsia="Palatino Linotype"/>
          <w:lang w:val="es-ES"/>
        </w:rPr>
        <w:t>“</w:t>
      </w:r>
      <w:r w:rsidRPr="006A4EF1">
        <w:rPr>
          <w:rFonts w:eastAsia="Palatino Linotype"/>
          <w:b/>
          <w:bCs/>
          <w:lang w:val="es-ES"/>
        </w:rPr>
        <w:t>CRITERIO 0002-11</w:t>
      </w:r>
    </w:p>
    <w:p w14:paraId="50191160" w14:textId="77777777" w:rsidR="00D71BC2" w:rsidRPr="006A4EF1" w:rsidRDefault="00D71BC2" w:rsidP="006A4EF1">
      <w:pPr>
        <w:pStyle w:val="Puesto"/>
        <w:rPr>
          <w:rFonts w:eastAsia="Palatino Linotype"/>
          <w:lang w:val="es-ES"/>
        </w:rPr>
      </w:pPr>
      <w:r w:rsidRPr="006A4EF1">
        <w:rPr>
          <w:rFonts w:eastAsia="Palatino Linotype"/>
          <w:b/>
          <w:bCs/>
          <w:u w:val="single"/>
          <w:lang w:val="es-ES"/>
        </w:rPr>
        <w:t>INFORMACIÓN PÚBLICA, CONCEPTO DE, EN MATERIA DE TRANSPARENCIA. INTERPRETACIÓN SISTEMÁTICA DE LOS ARTÍCULOS 2°, FRACCIÓN V, XV, Y XVI, 3°, 4°, 11 Y 41.</w:t>
      </w:r>
      <w:r w:rsidRPr="006A4EF1">
        <w:rPr>
          <w:rFonts w:eastAsia="Palatino Linotype"/>
          <w:lang w:val="es-ES"/>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CBC704E" w14:textId="77777777" w:rsidR="00D71BC2" w:rsidRPr="006A4EF1" w:rsidRDefault="00D71BC2" w:rsidP="006A4EF1">
      <w:pPr>
        <w:pStyle w:val="Puesto"/>
        <w:rPr>
          <w:rFonts w:eastAsia="Palatino Linotype"/>
          <w:lang w:val="es-ES"/>
        </w:rPr>
      </w:pPr>
      <w:r w:rsidRPr="006A4EF1">
        <w:rPr>
          <w:rFonts w:eastAsia="Palatino Linotype"/>
          <w:lang w:val="es-ES"/>
        </w:rPr>
        <w:t>En consecuencia el acceso a la información se refiere a que se cumplan cualquiera de los siguientes tres supuestos:</w:t>
      </w:r>
    </w:p>
    <w:p w14:paraId="142D57C6" w14:textId="77777777" w:rsidR="00D71BC2" w:rsidRPr="006A4EF1" w:rsidRDefault="00D71BC2" w:rsidP="006A4EF1">
      <w:pPr>
        <w:pStyle w:val="Puesto"/>
        <w:rPr>
          <w:rFonts w:eastAsia="Palatino Linotype"/>
          <w:lang w:val="es-ES"/>
        </w:rPr>
      </w:pPr>
      <w:r w:rsidRPr="006A4EF1">
        <w:rPr>
          <w:rFonts w:eastAsia="Palatino Linotype"/>
          <w:lang w:val="es-ES"/>
        </w:rPr>
        <w:t xml:space="preserve">1) Que se trate de información </w:t>
      </w:r>
      <w:r w:rsidRPr="006A4EF1">
        <w:rPr>
          <w:rFonts w:eastAsia="Palatino Linotype"/>
          <w:u w:val="single"/>
          <w:lang w:val="es-ES"/>
        </w:rPr>
        <w:t>registrada en cualquier soporte documental</w:t>
      </w:r>
      <w:r w:rsidRPr="006A4EF1">
        <w:rPr>
          <w:rFonts w:eastAsia="Palatino Linotype"/>
          <w:lang w:val="es-ES"/>
        </w:rPr>
        <w:t>, que en ejercicio de las atribuciones conferidas, sea generada por los Sujetos Obligados;</w:t>
      </w:r>
    </w:p>
    <w:p w14:paraId="2A8D0F16" w14:textId="77777777" w:rsidR="00D71BC2" w:rsidRPr="006A4EF1" w:rsidRDefault="00D71BC2" w:rsidP="006A4EF1">
      <w:pPr>
        <w:pStyle w:val="Puesto"/>
        <w:rPr>
          <w:rFonts w:eastAsia="Palatino Linotype"/>
          <w:lang w:val="es-ES"/>
        </w:rPr>
      </w:pPr>
      <w:r w:rsidRPr="006A4EF1">
        <w:rPr>
          <w:rFonts w:eastAsia="Palatino Linotype"/>
          <w:lang w:val="es-ES"/>
        </w:rPr>
        <w:t xml:space="preserve">2) Que se trate de información </w:t>
      </w:r>
      <w:r w:rsidRPr="006A4EF1">
        <w:rPr>
          <w:rFonts w:eastAsia="Palatino Linotype"/>
          <w:u w:val="single"/>
          <w:lang w:val="es-ES"/>
        </w:rPr>
        <w:t>registrada en cualquier soporte documental</w:t>
      </w:r>
      <w:r w:rsidRPr="006A4EF1">
        <w:rPr>
          <w:rFonts w:eastAsia="Palatino Linotype"/>
          <w:lang w:val="es-ES"/>
        </w:rPr>
        <w:t>, que en ejercicio de las atribuciones conferidas, sea administrada por los Sujetos Obligados, y</w:t>
      </w:r>
    </w:p>
    <w:p w14:paraId="008895C3" w14:textId="77777777" w:rsidR="00D71BC2" w:rsidRPr="006A4EF1" w:rsidRDefault="00D71BC2" w:rsidP="006A4EF1">
      <w:pPr>
        <w:pStyle w:val="Puesto"/>
        <w:rPr>
          <w:rFonts w:eastAsia="Palatino Linotype"/>
          <w:lang w:val="es-ES"/>
        </w:rPr>
      </w:pPr>
      <w:r w:rsidRPr="006A4EF1">
        <w:rPr>
          <w:rFonts w:eastAsia="Palatino Linotype"/>
          <w:lang w:val="es-ES"/>
        </w:rPr>
        <w:lastRenderedPageBreak/>
        <w:t xml:space="preserve">3) Que se trate de información </w:t>
      </w:r>
      <w:r w:rsidRPr="006A4EF1">
        <w:rPr>
          <w:rFonts w:eastAsia="Palatino Linotype"/>
          <w:u w:val="single"/>
          <w:lang w:val="es-ES"/>
        </w:rPr>
        <w:t>registrada en cualquier soporte documental</w:t>
      </w:r>
      <w:r w:rsidRPr="006A4EF1">
        <w:rPr>
          <w:rFonts w:eastAsia="Palatino Linotype"/>
          <w:lang w:val="es-ES"/>
        </w:rPr>
        <w:t>, que en ejercicio de las atribuciones conferidas, se encuentre en posesión de los Sujetos Obligados.” (Sic)</w:t>
      </w:r>
    </w:p>
    <w:p w14:paraId="5FB2CDB3" w14:textId="77777777" w:rsidR="00D71BC2" w:rsidRPr="006A4EF1" w:rsidRDefault="00D71BC2" w:rsidP="006A4EF1">
      <w:pPr>
        <w:contextualSpacing/>
        <w:rPr>
          <w:rFonts w:eastAsia="Palatino Linotype" w:cs="Palatino Linotype"/>
          <w:lang w:val="es-ES"/>
        </w:rPr>
      </w:pPr>
    </w:p>
    <w:p w14:paraId="3571BA41" w14:textId="12E61A5B" w:rsidR="00D71BC2" w:rsidRPr="006A4EF1" w:rsidRDefault="00D71BC2" w:rsidP="006A4EF1">
      <w:pPr>
        <w:contextualSpacing/>
        <w:rPr>
          <w:rFonts w:eastAsia="Palatino Linotype" w:cs="Palatino Linotype"/>
          <w:lang w:val="es-ES"/>
        </w:rPr>
      </w:pPr>
      <w:r w:rsidRPr="006A4EF1">
        <w:rPr>
          <w:rFonts w:eastAsia="Palatino Linotype" w:cs="Palatino Linotype"/>
          <w:lang w:val="es-ES"/>
        </w:rPr>
        <w:t xml:space="preserve">En este sentido, en términos generales, para que sea posible el ejercicio del Derecho de Acceso a la Información Pública, los requerimientos deben consistir en información que se encuentre registrada en cualquier soporte documental; ya sea, porque </w:t>
      </w:r>
      <w:r w:rsidRPr="006A4EF1">
        <w:rPr>
          <w:rFonts w:eastAsia="Palatino Linotype" w:cs="Palatino Linotype"/>
          <w:b/>
          <w:lang w:val="es-ES"/>
        </w:rPr>
        <w:t>EL SUJETO OBLIGADO</w:t>
      </w:r>
      <w:r w:rsidRPr="006A4EF1">
        <w:rPr>
          <w:rFonts w:eastAsia="Palatino Linotype" w:cs="Palatino Linotype"/>
          <w:lang w:val="es-ES"/>
        </w:rPr>
        <w:t xml:space="preserve"> la generó o porque como parte del ejercicio de sus funciones la recibió y por consiguiente, la administra y posee.</w:t>
      </w:r>
    </w:p>
    <w:p w14:paraId="2A7043A7" w14:textId="77777777" w:rsidR="00D71BC2" w:rsidRPr="006A4EF1" w:rsidRDefault="00D71BC2" w:rsidP="006A4EF1">
      <w:pPr>
        <w:ind w:right="51"/>
      </w:pPr>
    </w:p>
    <w:p w14:paraId="39DFDA0F" w14:textId="77777777" w:rsidR="00D71BC2" w:rsidRPr="006A4EF1" w:rsidRDefault="00D71BC2" w:rsidP="006A4EF1">
      <w:pPr>
        <w:ind w:right="51"/>
        <w:rPr>
          <w:rFonts w:eastAsia="Palatino Linotype" w:cs="Palatino Linotype"/>
          <w:bCs/>
        </w:rPr>
      </w:pPr>
      <w:r w:rsidRPr="006A4EF1">
        <w:t xml:space="preserve">De tal modo que dichos planteamientos realizados por </w:t>
      </w:r>
      <w:r w:rsidRPr="006A4EF1">
        <w:rPr>
          <w:b/>
          <w:bCs/>
        </w:rPr>
        <w:t>LA PARTE RECURRENTE</w:t>
      </w:r>
      <w:r w:rsidRPr="006A4EF1">
        <w:t xml:space="preserve"> no se constituye como materia del derecho de acceso a la información, </w:t>
      </w:r>
      <w:r w:rsidRPr="006A4EF1">
        <w:rPr>
          <w:rFonts w:eastAsia="Palatino Linotype" w:cs="Palatino Linotype"/>
        </w:rPr>
        <w:t xml:space="preserve">situación por la cual nos lleva a recordar que el artículo 12 de la Ley de Transparencia y Acceso a la Información Pública del Estado de México y Municipios, establece que los sujetos obligados únicamente están exigidos a entregar los documentos que obren en sus archivos en el estado en que estos se encuentren, lo que no comprende entregar la información conforme al interés del solicitante.  </w:t>
      </w:r>
    </w:p>
    <w:p w14:paraId="5BBD44C5" w14:textId="77777777" w:rsidR="00D71BC2" w:rsidRPr="006A4EF1" w:rsidRDefault="00D71BC2" w:rsidP="006A4EF1">
      <w:pPr>
        <w:rPr>
          <w:rFonts w:eastAsia="Palatino Linotype" w:cs="Palatino Linotype"/>
        </w:rPr>
      </w:pPr>
    </w:p>
    <w:p w14:paraId="070412CF" w14:textId="77777777" w:rsidR="00D71BC2" w:rsidRPr="006A4EF1" w:rsidRDefault="00D71BC2" w:rsidP="006A4EF1">
      <w:pPr>
        <w:rPr>
          <w:rFonts w:eastAsia="Palatino Linotype" w:cs="Palatino Linotype"/>
        </w:rPr>
      </w:pPr>
      <w:r w:rsidRPr="006A4EF1">
        <w:rPr>
          <w:rFonts w:eastAsia="Palatino Linotype" w:cs="Palatino Linotype"/>
        </w:rPr>
        <w:t xml:space="preserve">Robustece lo anterior, el Criterio 03/17 emitido por el Instituto Nacional de Transparencia, Acceso a la Información y Protección de Datos Personales, el cual establece lo siguiente: </w:t>
      </w:r>
    </w:p>
    <w:p w14:paraId="42524F7D" w14:textId="77777777" w:rsidR="00D71BC2" w:rsidRPr="006A4EF1" w:rsidRDefault="00D71BC2" w:rsidP="006A4EF1">
      <w:pPr>
        <w:rPr>
          <w:rFonts w:eastAsia="Palatino Linotype" w:cs="Palatino Linotype"/>
        </w:rPr>
      </w:pPr>
    </w:p>
    <w:p w14:paraId="6AC04267" w14:textId="77777777" w:rsidR="00D71BC2" w:rsidRPr="006A4EF1" w:rsidRDefault="00D71BC2" w:rsidP="006A4EF1">
      <w:pPr>
        <w:pStyle w:val="Puesto"/>
        <w:rPr>
          <w:rFonts w:eastAsia="Palatino Linotype"/>
        </w:rPr>
      </w:pPr>
      <w:r w:rsidRPr="006A4EF1">
        <w:rPr>
          <w:rFonts w:eastAsia="Palatino Linotype"/>
        </w:rPr>
        <w:t>“</w:t>
      </w:r>
      <w:r w:rsidRPr="006A4EF1">
        <w:rPr>
          <w:rFonts w:eastAsia="Palatino Linotype"/>
          <w:b/>
        </w:rPr>
        <w:t xml:space="preserve">No existe obligación de elaborar documentos ad hoc para atender las solicitudes de acceso a la información. </w:t>
      </w:r>
      <w:r w:rsidRPr="006A4EF1">
        <w:rPr>
          <w:rFonts w:eastAsia="Palatino Linotype"/>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w:t>
      </w:r>
      <w:r w:rsidRPr="006A4EF1">
        <w:rPr>
          <w:rFonts w:eastAsia="Palatino Linotype"/>
        </w:rPr>
        <w:lastRenderedPageBreak/>
        <w:t>sus archivos; sin necesidad de elaborar documentos ad hoc para atender las solicitudes de información.” Sic</w:t>
      </w:r>
    </w:p>
    <w:p w14:paraId="6CC05B02" w14:textId="77777777" w:rsidR="00D71BC2" w:rsidRPr="006A4EF1" w:rsidRDefault="00D71BC2" w:rsidP="006A4EF1">
      <w:pPr>
        <w:rPr>
          <w:rFonts w:eastAsia="Palatino Linotype" w:cs="Palatino Linotype"/>
        </w:rPr>
      </w:pPr>
    </w:p>
    <w:p w14:paraId="313137CF" w14:textId="5103154F" w:rsidR="00D71BC2" w:rsidRPr="006A4EF1" w:rsidRDefault="00D71BC2" w:rsidP="006A4EF1">
      <w:pPr>
        <w:spacing w:before="240"/>
        <w:rPr>
          <w:rFonts w:eastAsia="Palatino Linotype" w:cs="Palatino Linotype"/>
        </w:rPr>
      </w:pPr>
      <w:r w:rsidRPr="006A4EF1">
        <w:rPr>
          <w:rFonts w:eastAsia="Palatino Linotype" w:cs="Palatino Linotype"/>
          <w:lang w:val="es-ES"/>
        </w:rPr>
        <w:t xml:space="preserve">Sin embargo contrario a lo anterior, </w:t>
      </w:r>
      <w:r w:rsidRPr="006A4EF1">
        <w:rPr>
          <w:rFonts w:eastAsia="Palatino Linotype" w:cs="Palatino Linotype"/>
        </w:rPr>
        <w:t xml:space="preserve">aun y cuando los particulares no identifican de forma precisa el documento requerido, bastará con que se remita cualquiera que refleje la información solicitada, al respecto, cobra relevancia el criterio emitido por el Órgano Garante Nacional con número </w:t>
      </w:r>
      <w:r w:rsidRPr="006A4EF1">
        <w:rPr>
          <w:rFonts w:eastAsia="Palatino Linotype" w:cs="Palatino Linotype"/>
          <w:b/>
        </w:rPr>
        <w:t xml:space="preserve">16/17 </w:t>
      </w:r>
      <w:r w:rsidRPr="006A4EF1">
        <w:rPr>
          <w:rFonts w:eastAsia="Palatino Linotype" w:cs="Palatino Linotype"/>
        </w:rPr>
        <w:t>cuyo rubro y texto disponen a la literalidad lo siguiente:</w:t>
      </w:r>
    </w:p>
    <w:p w14:paraId="4836CFC6" w14:textId="77777777" w:rsidR="00D71BC2" w:rsidRPr="006A4EF1" w:rsidRDefault="00D71BC2" w:rsidP="006A4EF1">
      <w:pPr>
        <w:spacing w:before="240"/>
        <w:rPr>
          <w:rFonts w:ascii="Times New Roman" w:hAnsi="Times New Roman"/>
        </w:rPr>
      </w:pPr>
    </w:p>
    <w:p w14:paraId="79CDB505" w14:textId="77777777" w:rsidR="00D71BC2" w:rsidRPr="006A4EF1" w:rsidRDefault="00D71BC2" w:rsidP="006A4EF1">
      <w:pPr>
        <w:ind w:left="426" w:right="539"/>
        <w:jc w:val="center"/>
        <w:rPr>
          <w:rFonts w:eastAsia="Palatino Linotype" w:cstheme="majorBidi"/>
          <w:i/>
          <w:kern w:val="28"/>
          <w:szCs w:val="56"/>
        </w:rPr>
      </w:pPr>
      <w:r w:rsidRPr="006A4EF1">
        <w:rPr>
          <w:rFonts w:eastAsia="Palatino Linotype" w:cstheme="majorBidi"/>
          <w:i/>
          <w:kern w:val="28"/>
          <w:szCs w:val="56"/>
        </w:rPr>
        <w:t>“</w:t>
      </w:r>
      <w:r w:rsidRPr="006A4EF1">
        <w:rPr>
          <w:rFonts w:eastAsia="Palatino Linotype" w:cstheme="majorBidi"/>
          <w:b/>
          <w:i/>
          <w:kern w:val="28"/>
          <w:szCs w:val="56"/>
        </w:rPr>
        <w:t>EXPRESIÓN DOCUMENTAL.</w:t>
      </w:r>
    </w:p>
    <w:p w14:paraId="63A675B4" w14:textId="7B95DC00" w:rsidR="00D71BC2" w:rsidRPr="006A4EF1" w:rsidRDefault="00D71BC2" w:rsidP="006A4EF1">
      <w:pPr>
        <w:pStyle w:val="Puesto"/>
        <w:rPr>
          <w:rFonts w:eastAsia="Palatino Linotype"/>
        </w:rPr>
      </w:pPr>
      <w:r w:rsidRPr="006A4EF1">
        <w:rPr>
          <w:rFonts w:eastAsia="Palatino Linotype"/>
        </w:rPr>
        <w:t>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r w:rsidR="00933B70" w:rsidRPr="006A4EF1">
        <w:rPr>
          <w:rFonts w:eastAsia="Palatino Linotype"/>
        </w:rPr>
        <w:t xml:space="preserve"> Sic</w:t>
      </w:r>
    </w:p>
    <w:p w14:paraId="7EFCE2A3" w14:textId="77777777" w:rsidR="007E2C3F" w:rsidRPr="006A4EF1" w:rsidRDefault="007E2C3F" w:rsidP="006A4EF1">
      <w:pPr>
        <w:contextualSpacing/>
        <w:rPr>
          <w:rFonts w:cs="Tahoma"/>
        </w:rPr>
      </w:pPr>
    </w:p>
    <w:p w14:paraId="3FE6F863" w14:textId="65A624B3" w:rsidR="007E2C3F" w:rsidRPr="006A4EF1" w:rsidRDefault="007E2C3F" w:rsidP="006A4EF1">
      <w:pPr>
        <w:pStyle w:val="Prrafodelista"/>
        <w:widowControl w:val="0"/>
        <w:autoSpaceDE w:val="0"/>
        <w:autoSpaceDN w:val="0"/>
        <w:adjustRightInd w:val="0"/>
        <w:ind w:left="0"/>
        <w:rPr>
          <w:rFonts w:eastAsia="Palatino Linotype" w:cs="Palatino Linotype"/>
        </w:rPr>
      </w:pPr>
      <w:r w:rsidRPr="006A4EF1">
        <w:t xml:space="preserve">Ahora bien, respecto de la información requerida por </w:t>
      </w:r>
      <w:r w:rsidR="00D71BC2" w:rsidRPr="006A4EF1">
        <w:rPr>
          <w:b/>
        </w:rPr>
        <w:t xml:space="preserve">LA </w:t>
      </w:r>
      <w:r w:rsidR="00EF01F6" w:rsidRPr="006A4EF1">
        <w:rPr>
          <w:b/>
        </w:rPr>
        <w:t>PARTE</w:t>
      </w:r>
      <w:r w:rsidRPr="006A4EF1">
        <w:t xml:space="preserve"> </w:t>
      </w:r>
      <w:r w:rsidRPr="006A4EF1">
        <w:rPr>
          <w:b/>
        </w:rPr>
        <w:t>RECURRENTE</w:t>
      </w:r>
      <w:r w:rsidRPr="006A4EF1">
        <w:t>, es menester señalar que la naturaleza de la información,</w:t>
      </w:r>
      <w:r w:rsidR="00D71BC2" w:rsidRPr="006A4EF1">
        <w:t xml:space="preserve"> es decir, información patrimonial</w:t>
      </w:r>
      <w:r w:rsidR="007F1BFB" w:rsidRPr="006A4EF1">
        <w:t>, la cual pudiera obrar en el inventario de bienes inmuebles, la cual</w:t>
      </w:r>
      <w:r w:rsidRPr="006A4EF1">
        <w:t xml:space="preserve"> se encuentra contemplada dentro de las obligaciones de transparencia común que todos los </w:t>
      </w:r>
      <w:r w:rsidR="00D71BC2" w:rsidRPr="006A4EF1">
        <w:t xml:space="preserve">sujetos obligados </w:t>
      </w:r>
      <w:r w:rsidRPr="006A4EF1">
        <w:t xml:space="preserve">deben atender en el ejercicio de sus funciones, es decir por obligación, dicha información debe ser cargada a través del sistema IPOMEX, en atención a lo establecido en el artículo 92 fracción </w:t>
      </w:r>
      <w:r w:rsidRPr="006A4EF1">
        <w:rPr>
          <w:rFonts w:eastAsia="Palatino Linotype" w:cs="Palatino Linotype"/>
        </w:rPr>
        <w:t>XXXVIII de la Ley de Transparencia y Acceso a la Información Pública del Estado de México y Municipios, que a la letra señala lo siguiente:</w:t>
      </w:r>
    </w:p>
    <w:p w14:paraId="32A92681" w14:textId="77777777" w:rsidR="00EF01F6" w:rsidRPr="006A4EF1" w:rsidRDefault="00EF01F6" w:rsidP="006A4EF1">
      <w:pPr>
        <w:pStyle w:val="Prrafodelista"/>
        <w:widowControl w:val="0"/>
        <w:autoSpaceDE w:val="0"/>
        <w:autoSpaceDN w:val="0"/>
        <w:adjustRightInd w:val="0"/>
        <w:ind w:left="0"/>
        <w:rPr>
          <w:rFonts w:eastAsia="Palatino Linotype" w:cs="Palatino Linotype"/>
        </w:rPr>
      </w:pPr>
    </w:p>
    <w:p w14:paraId="1AD3B4ED" w14:textId="77777777" w:rsidR="007E2C3F" w:rsidRPr="006A4EF1" w:rsidRDefault="007E2C3F" w:rsidP="006A4EF1">
      <w:pPr>
        <w:pStyle w:val="Puesto"/>
        <w:rPr>
          <w:rFonts w:eastAsia="Palatino Linotype"/>
          <w:b/>
        </w:rPr>
      </w:pPr>
      <w:r w:rsidRPr="006A4EF1">
        <w:rPr>
          <w:rFonts w:eastAsia="Palatino Linotype"/>
        </w:rPr>
        <w:t>“</w:t>
      </w:r>
      <w:r w:rsidRPr="006A4EF1">
        <w:rPr>
          <w:rFonts w:eastAsia="Palatino Linotype"/>
          <w:b/>
        </w:rPr>
        <w:t xml:space="preserve">Capítulo II </w:t>
      </w:r>
    </w:p>
    <w:p w14:paraId="46D09C19" w14:textId="77777777" w:rsidR="007E2C3F" w:rsidRPr="006A4EF1" w:rsidRDefault="007E2C3F" w:rsidP="006A4EF1">
      <w:pPr>
        <w:pStyle w:val="Puesto"/>
        <w:rPr>
          <w:rFonts w:eastAsia="Palatino Linotype"/>
          <w:b/>
        </w:rPr>
      </w:pPr>
      <w:r w:rsidRPr="006A4EF1">
        <w:rPr>
          <w:rFonts w:eastAsia="Palatino Linotype"/>
          <w:b/>
        </w:rPr>
        <w:t xml:space="preserve">De las Obligaciones de Transparencia Comunes </w:t>
      </w:r>
    </w:p>
    <w:p w14:paraId="4C01472B" w14:textId="77777777" w:rsidR="007E2C3F" w:rsidRPr="006A4EF1" w:rsidRDefault="007E2C3F" w:rsidP="006A4EF1">
      <w:pPr>
        <w:pStyle w:val="Puesto"/>
        <w:rPr>
          <w:rFonts w:eastAsia="Palatino Linotype"/>
        </w:rPr>
      </w:pPr>
      <w:r w:rsidRPr="006A4EF1">
        <w:rPr>
          <w:rFonts w:eastAsia="Palatino Linotype"/>
          <w:b/>
        </w:rPr>
        <w:t xml:space="preserve">Artículo 92. </w:t>
      </w:r>
      <w:r w:rsidRPr="006A4EF1">
        <w:rPr>
          <w:rFonts w:eastAsia="Palatino Linotype"/>
        </w:rPr>
        <w:t xml:space="preserve">Los sujetos obligados deberán poner a disposición del público de manera permanente y actualizada de forma sencilla, precisa y entendible, en los respectivos medios electrónicos, de acuerdo con sus facultades, atribuciones, funciones u objeto social, según </w:t>
      </w:r>
      <w:r w:rsidRPr="006A4EF1">
        <w:rPr>
          <w:rFonts w:eastAsia="Palatino Linotype"/>
        </w:rPr>
        <w:lastRenderedPageBreak/>
        <w:t xml:space="preserve">corresponda, la información, por lo menos, de los temas, documentos y políticas que a continuación se señalan: </w:t>
      </w:r>
    </w:p>
    <w:p w14:paraId="68141F86" w14:textId="77777777" w:rsidR="007E2C3F" w:rsidRPr="006A4EF1" w:rsidRDefault="007E2C3F" w:rsidP="006A4EF1">
      <w:pPr>
        <w:pStyle w:val="Puesto"/>
        <w:rPr>
          <w:rFonts w:eastAsia="Palatino Linotype"/>
          <w:b/>
        </w:rPr>
      </w:pPr>
      <w:r w:rsidRPr="006A4EF1">
        <w:rPr>
          <w:rFonts w:eastAsia="Palatino Linotype"/>
          <w:b/>
        </w:rPr>
        <w:t xml:space="preserve">XXXVIII. El inventario de bienes muebles e </w:t>
      </w:r>
      <w:r w:rsidRPr="006A4EF1">
        <w:rPr>
          <w:rFonts w:eastAsia="Palatino Linotype"/>
          <w:b/>
          <w:u w:val="single"/>
        </w:rPr>
        <w:t>inmuebles en posesión y propiedad</w:t>
      </w:r>
      <w:r w:rsidRPr="006A4EF1">
        <w:rPr>
          <w:rFonts w:eastAsia="Palatino Linotype"/>
          <w:b/>
        </w:rPr>
        <w:t>; “</w:t>
      </w:r>
    </w:p>
    <w:p w14:paraId="670A4EE3" w14:textId="77777777" w:rsidR="007E2C3F" w:rsidRPr="006A4EF1" w:rsidRDefault="007E2C3F" w:rsidP="006A4EF1">
      <w:pPr>
        <w:pStyle w:val="Puesto"/>
        <w:rPr>
          <w:rFonts w:eastAsia="Palatino Linotype"/>
        </w:rPr>
      </w:pPr>
      <w:r w:rsidRPr="006A4EF1">
        <w:rPr>
          <w:rFonts w:eastAsia="Palatino Linotype"/>
        </w:rPr>
        <w:t>(Énfasis añadido)</w:t>
      </w:r>
    </w:p>
    <w:p w14:paraId="1E36F4FD" w14:textId="77777777" w:rsidR="00EF01F6" w:rsidRPr="006A4EF1" w:rsidRDefault="00EF01F6" w:rsidP="006A4EF1">
      <w:pPr>
        <w:rPr>
          <w:rFonts w:eastAsia="Palatino Linotype"/>
        </w:rPr>
      </w:pPr>
    </w:p>
    <w:p w14:paraId="11815A4C" w14:textId="6989EAAE" w:rsidR="007E2C3F" w:rsidRPr="006A4EF1" w:rsidRDefault="007E2C3F" w:rsidP="006A4EF1">
      <w:pPr>
        <w:pStyle w:val="Prrafodelista"/>
        <w:widowControl w:val="0"/>
        <w:autoSpaceDE w:val="0"/>
        <w:autoSpaceDN w:val="0"/>
        <w:adjustRightInd w:val="0"/>
        <w:ind w:left="0"/>
        <w:rPr>
          <w:rFonts w:eastAsia="Palatino Linotype" w:cs="Palatino Linotype"/>
        </w:rPr>
      </w:pPr>
      <w:r w:rsidRPr="006A4EF1">
        <w:rPr>
          <w:rFonts w:eastAsia="Palatino Linotype" w:cs="Palatino Linotype"/>
        </w:rPr>
        <w:t>Aunado a lo anterior, es importante señalar que el inventario de bienes inmuebles no solo es información pública de oficio, sino que también es información que debe ser entregada en el informe anual de actividades que se reporta ante el Órgano Superior de Fiscalización,  como se describe en el Instructivo de Llenado del Módulo 4- Poder Legislativo, Poder Judicial, Órganos Autónomos y Auxiliares.</w:t>
      </w:r>
    </w:p>
    <w:p w14:paraId="468F8BFD" w14:textId="77777777" w:rsidR="007E2C3F" w:rsidRPr="006A4EF1" w:rsidRDefault="007E2C3F" w:rsidP="006A4EF1">
      <w:pPr>
        <w:contextualSpacing/>
        <w:rPr>
          <w:rFonts w:cs="Tahoma"/>
        </w:rPr>
      </w:pPr>
    </w:p>
    <w:p w14:paraId="0645EE1F" w14:textId="79A92E19" w:rsidR="00D02290" w:rsidRPr="006A4EF1" w:rsidRDefault="00D02290" w:rsidP="006A4EF1">
      <w:pPr>
        <w:pStyle w:val="Prrafodelista"/>
        <w:widowControl w:val="0"/>
        <w:autoSpaceDE w:val="0"/>
        <w:autoSpaceDN w:val="0"/>
        <w:adjustRightInd w:val="0"/>
        <w:ind w:left="0"/>
        <w:rPr>
          <w:rFonts w:eastAsia="Palatino Linotype" w:cs="Palatino Linotype"/>
        </w:rPr>
      </w:pPr>
      <w:r w:rsidRPr="006A4EF1">
        <w:rPr>
          <w:rFonts w:eastAsia="Palatino Linotype" w:cs="Palatino Linotype"/>
        </w:rPr>
        <w:t>Así pues, los resguardos de los bienes inmuebles se remiten al Órgano Superior de Fiscalización, para el programa anual de evaluación, y se describe en el Instructivo de Llenado del Módulo 4 de los Informes trimestrales Municipales para el ejercicio 2024, mismo que contempla el siguiente formato:</w:t>
      </w:r>
    </w:p>
    <w:p w14:paraId="6A5A7F79" w14:textId="77777777" w:rsidR="00D02290" w:rsidRPr="006A4EF1" w:rsidRDefault="00D02290" w:rsidP="006A4EF1">
      <w:pPr>
        <w:pStyle w:val="Prrafodelista"/>
        <w:widowControl w:val="0"/>
        <w:autoSpaceDE w:val="0"/>
        <w:autoSpaceDN w:val="0"/>
        <w:adjustRightInd w:val="0"/>
        <w:ind w:left="0"/>
        <w:rPr>
          <w:rFonts w:eastAsia="Palatino Linotype" w:cs="Palatino Linotype"/>
        </w:rPr>
      </w:pPr>
    </w:p>
    <w:p w14:paraId="2CD931AE" w14:textId="157E4B8F" w:rsidR="00D02290" w:rsidRPr="006A4EF1" w:rsidRDefault="00D02290" w:rsidP="006A4EF1">
      <w:pPr>
        <w:pStyle w:val="Prrafodelista"/>
        <w:widowControl w:val="0"/>
        <w:autoSpaceDE w:val="0"/>
        <w:autoSpaceDN w:val="0"/>
        <w:adjustRightInd w:val="0"/>
        <w:ind w:left="0"/>
        <w:rPr>
          <w:rFonts w:eastAsia="Palatino Linotype" w:cs="Palatino Linotype"/>
        </w:rPr>
      </w:pPr>
      <w:r w:rsidRPr="006A4EF1">
        <w:rPr>
          <w:rFonts w:eastAsia="Palatino Linotype" w:cs="Palatino Linotype"/>
          <w:noProof/>
          <w:lang w:eastAsia="es-MX"/>
        </w:rPr>
        <w:drawing>
          <wp:inline distT="0" distB="0" distL="0" distR="0" wp14:anchorId="29256692" wp14:editId="5D48DEF1">
            <wp:extent cx="5742940" cy="2582545"/>
            <wp:effectExtent l="0" t="0" r="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42940" cy="2582545"/>
                    </a:xfrm>
                    <a:prstGeom prst="rect">
                      <a:avLst/>
                    </a:prstGeom>
                  </pic:spPr>
                </pic:pic>
              </a:graphicData>
            </a:graphic>
          </wp:inline>
        </w:drawing>
      </w:r>
    </w:p>
    <w:p w14:paraId="3B51A12A" w14:textId="5822B3C3" w:rsidR="00097130" w:rsidRPr="006A4EF1" w:rsidRDefault="00097130" w:rsidP="006A4EF1">
      <w:pPr>
        <w:pStyle w:val="Prrafodelista"/>
        <w:widowControl w:val="0"/>
        <w:autoSpaceDE w:val="0"/>
        <w:autoSpaceDN w:val="0"/>
        <w:adjustRightInd w:val="0"/>
        <w:ind w:left="0"/>
        <w:rPr>
          <w:rFonts w:eastAsia="Palatino Linotype" w:cs="Palatino Linotype"/>
          <w:szCs w:val="22"/>
        </w:rPr>
      </w:pPr>
    </w:p>
    <w:p w14:paraId="06A70D3B" w14:textId="334EB695" w:rsidR="007E2C3F" w:rsidRPr="006A4EF1" w:rsidRDefault="007E2C3F" w:rsidP="006A4EF1">
      <w:pPr>
        <w:pStyle w:val="Prrafodelista"/>
        <w:widowControl w:val="0"/>
        <w:autoSpaceDE w:val="0"/>
        <w:autoSpaceDN w:val="0"/>
        <w:adjustRightInd w:val="0"/>
        <w:ind w:left="0"/>
        <w:rPr>
          <w:rFonts w:eastAsia="Palatino Linotype" w:cs="Palatino Linotype"/>
        </w:rPr>
      </w:pPr>
      <w:r w:rsidRPr="006A4EF1">
        <w:t xml:space="preserve">Ahora bien, resulta necesario señalar que conforme a lo establecido en la Ley Orgánica </w:t>
      </w:r>
      <w:r w:rsidRPr="006A4EF1">
        <w:lastRenderedPageBreak/>
        <w:t xml:space="preserve">Municipal del Estado de México, artículos </w:t>
      </w:r>
      <w:r w:rsidRPr="006A4EF1">
        <w:rPr>
          <w:rFonts w:eastAsia="Palatino Linotype" w:cs="Palatino Linotype"/>
        </w:rPr>
        <w:t>52  y 53</w:t>
      </w:r>
      <w:r w:rsidR="009C3863" w:rsidRPr="006A4EF1">
        <w:rPr>
          <w:rFonts w:eastAsia="Palatino Linotype" w:cs="Palatino Linotype"/>
        </w:rPr>
        <w:t>,</w:t>
      </w:r>
      <w:r w:rsidRPr="006A4EF1">
        <w:rPr>
          <w:rFonts w:eastAsia="Palatino Linotype" w:cs="Palatino Linotype"/>
        </w:rPr>
        <w:t xml:space="preserve"> fracción VII, se proporciona la facultad a los síndicos municipales para preservar el patrimonio municipal, de forma específica, intervenir en la formulación del inventario general de los bienes muebles e inmuebles propiedad del municipio; en ese sentido sirve de sustento la siguiente transcripción:</w:t>
      </w:r>
    </w:p>
    <w:p w14:paraId="51B35285" w14:textId="77777777" w:rsidR="007E2C3F" w:rsidRPr="006A4EF1" w:rsidRDefault="007E2C3F" w:rsidP="006A4EF1">
      <w:pPr>
        <w:pStyle w:val="Prrafodelista"/>
        <w:widowControl w:val="0"/>
        <w:autoSpaceDE w:val="0"/>
        <w:autoSpaceDN w:val="0"/>
        <w:adjustRightInd w:val="0"/>
        <w:ind w:left="0"/>
        <w:rPr>
          <w:rFonts w:eastAsia="Palatino Linotype" w:cs="Palatino Linotype"/>
        </w:rPr>
      </w:pPr>
    </w:p>
    <w:p w14:paraId="67719A19" w14:textId="77777777" w:rsidR="007E2C3F" w:rsidRPr="006A4EF1" w:rsidRDefault="007E2C3F" w:rsidP="006A4EF1">
      <w:pPr>
        <w:pStyle w:val="Puesto"/>
        <w:rPr>
          <w:rFonts w:eastAsia="Palatino Linotype"/>
          <w:b/>
        </w:rPr>
      </w:pPr>
      <w:r w:rsidRPr="006A4EF1">
        <w:rPr>
          <w:rFonts w:eastAsia="Palatino Linotype"/>
        </w:rPr>
        <w:t>“</w:t>
      </w:r>
      <w:r w:rsidRPr="006A4EF1">
        <w:rPr>
          <w:rFonts w:eastAsia="Palatino Linotype"/>
          <w:b/>
        </w:rPr>
        <w:t xml:space="preserve">CAPITULO SEGUNDO </w:t>
      </w:r>
    </w:p>
    <w:p w14:paraId="0C318C7F" w14:textId="77777777" w:rsidR="007E2C3F" w:rsidRPr="006A4EF1" w:rsidRDefault="007E2C3F" w:rsidP="006A4EF1">
      <w:pPr>
        <w:pStyle w:val="Puesto"/>
        <w:rPr>
          <w:rFonts w:eastAsia="Palatino Linotype"/>
          <w:b/>
        </w:rPr>
      </w:pPr>
      <w:r w:rsidRPr="006A4EF1">
        <w:rPr>
          <w:rFonts w:eastAsia="Palatino Linotype"/>
          <w:b/>
        </w:rPr>
        <w:t xml:space="preserve">De los Síndicos </w:t>
      </w:r>
    </w:p>
    <w:p w14:paraId="63E7AEB0" w14:textId="77777777" w:rsidR="007E2C3F" w:rsidRPr="006A4EF1" w:rsidRDefault="007E2C3F" w:rsidP="006A4EF1">
      <w:pPr>
        <w:pStyle w:val="Puesto"/>
        <w:rPr>
          <w:rFonts w:eastAsia="Palatino Linotype"/>
        </w:rPr>
      </w:pPr>
      <w:r w:rsidRPr="006A4EF1">
        <w:rPr>
          <w:rFonts w:eastAsia="Palatino Linotype"/>
          <w:b/>
        </w:rPr>
        <w:t>Artículo 52.-</w:t>
      </w:r>
      <w:r w:rsidRPr="006A4EF1">
        <w:rPr>
          <w:rFonts w:eastAsia="Palatino Linotype"/>
        </w:rPr>
        <w:t xml:space="preserve"> Los síndicos municipales tendrán a su cargo la procuración y defensa de los derechos e intereses del municipio, en especial los de carácter patrimonial y la función de contraloría interna, la que, en su caso, ejercerán conjuntamente con el órgano de control y evaluación que al efecto establezcan los ayuntamientos. </w:t>
      </w:r>
    </w:p>
    <w:p w14:paraId="4A258BE0" w14:textId="77777777" w:rsidR="007E2C3F" w:rsidRPr="006A4EF1" w:rsidRDefault="007E2C3F" w:rsidP="006A4EF1">
      <w:pPr>
        <w:ind w:left="850" w:right="899"/>
        <w:rPr>
          <w:rFonts w:eastAsia="Palatino Linotype" w:cs="Palatino Linotype"/>
          <w:i/>
          <w:szCs w:val="22"/>
        </w:rPr>
      </w:pPr>
    </w:p>
    <w:p w14:paraId="1D73E678" w14:textId="77777777" w:rsidR="007E2C3F" w:rsidRPr="006A4EF1" w:rsidRDefault="007E2C3F" w:rsidP="006A4EF1">
      <w:pPr>
        <w:pStyle w:val="Puesto"/>
        <w:rPr>
          <w:rFonts w:eastAsia="Palatino Linotype"/>
        </w:rPr>
      </w:pPr>
      <w:r w:rsidRPr="006A4EF1">
        <w:rPr>
          <w:rFonts w:eastAsia="Palatino Linotype"/>
          <w:b/>
        </w:rPr>
        <w:t>Artículo 53.-</w:t>
      </w:r>
      <w:r w:rsidRPr="006A4EF1">
        <w:rPr>
          <w:rFonts w:eastAsia="Palatino Linotype"/>
        </w:rPr>
        <w:t xml:space="preserve"> Los síndicos tendrán las siguientes atribuciones:</w:t>
      </w:r>
    </w:p>
    <w:p w14:paraId="086BDD7C" w14:textId="13BF7741" w:rsidR="007E2C3F" w:rsidRPr="006A4EF1" w:rsidRDefault="009C3863" w:rsidP="006A4EF1">
      <w:pPr>
        <w:pStyle w:val="Puesto"/>
        <w:rPr>
          <w:rFonts w:eastAsia="Palatino Linotype"/>
        </w:rPr>
      </w:pPr>
      <w:r w:rsidRPr="006A4EF1">
        <w:rPr>
          <w:rFonts w:eastAsia="Palatino Linotype"/>
        </w:rPr>
        <w:t>…</w:t>
      </w:r>
    </w:p>
    <w:p w14:paraId="2D1C85E9" w14:textId="77777777" w:rsidR="007E2C3F" w:rsidRPr="006A4EF1" w:rsidRDefault="007E2C3F" w:rsidP="006A4EF1">
      <w:pPr>
        <w:pStyle w:val="Puesto"/>
        <w:rPr>
          <w:rFonts w:eastAsia="Palatino Linotype"/>
          <w:b/>
        </w:rPr>
      </w:pPr>
      <w:r w:rsidRPr="006A4EF1">
        <w:rPr>
          <w:rFonts w:eastAsia="Palatino Linotype"/>
          <w:b/>
        </w:rPr>
        <w:t>VII. Intervenir en la formulación del inventario general de los bienes muebles e inmuebles propiedad del municipio, haciendo que se inscriban en el libro especial, con expresión de sus valores y de todas las características de identificación, así como el uso y destino de los mismos;”</w:t>
      </w:r>
    </w:p>
    <w:p w14:paraId="3A4A0766" w14:textId="77777777" w:rsidR="007E2C3F" w:rsidRPr="006A4EF1" w:rsidRDefault="007E2C3F" w:rsidP="006A4EF1">
      <w:pPr>
        <w:pStyle w:val="Puesto"/>
        <w:rPr>
          <w:rFonts w:eastAsia="Palatino Linotype"/>
        </w:rPr>
      </w:pPr>
      <w:r w:rsidRPr="006A4EF1">
        <w:rPr>
          <w:rFonts w:eastAsia="Palatino Linotype"/>
        </w:rPr>
        <w:t>(Énfasis añadido)</w:t>
      </w:r>
    </w:p>
    <w:p w14:paraId="450AA008" w14:textId="77777777" w:rsidR="007E2C3F" w:rsidRPr="006A4EF1" w:rsidRDefault="007E2C3F" w:rsidP="006A4EF1">
      <w:pPr>
        <w:pStyle w:val="Prrafodelista"/>
        <w:widowControl w:val="0"/>
        <w:autoSpaceDE w:val="0"/>
        <w:autoSpaceDN w:val="0"/>
        <w:adjustRightInd w:val="0"/>
        <w:ind w:left="0"/>
      </w:pPr>
    </w:p>
    <w:p w14:paraId="138460A3" w14:textId="77777777" w:rsidR="007E2C3F" w:rsidRPr="006A4EF1" w:rsidRDefault="007E2C3F" w:rsidP="006A4EF1">
      <w:pPr>
        <w:pStyle w:val="Prrafodelista"/>
        <w:widowControl w:val="0"/>
        <w:autoSpaceDE w:val="0"/>
        <w:autoSpaceDN w:val="0"/>
        <w:adjustRightInd w:val="0"/>
        <w:ind w:left="0"/>
      </w:pPr>
      <w:r w:rsidRPr="006A4EF1">
        <w:t>Por otro lado, es menester referir que, el Órgano Interno de Control municipal tendrá participación en la elaboración y actualización del inventario de bienes muebles e inmuebles, como lo refiere el artículo 112 fracción XV de la Ley en mención, que para mayor provenir, se transcribe a continuación:</w:t>
      </w:r>
    </w:p>
    <w:p w14:paraId="587C0A48" w14:textId="77777777" w:rsidR="007E2C3F" w:rsidRPr="006A4EF1" w:rsidRDefault="007E2C3F" w:rsidP="006A4EF1">
      <w:pPr>
        <w:pStyle w:val="Prrafodelista"/>
        <w:widowControl w:val="0"/>
        <w:autoSpaceDE w:val="0"/>
        <w:autoSpaceDN w:val="0"/>
        <w:adjustRightInd w:val="0"/>
        <w:ind w:left="0"/>
      </w:pPr>
    </w:p>
    <w:p w14:paraId="29A3476C" w14:textId="77777777" w:rsidR="007E2C3F" w:rsidRPr="006A4EF1" w:rsidRDefault="007E2C3F" w:rsidP="006A4EF1">
      <w:pPr>
        <w:pStyle w:val="Puesto"/>
        <w:rPr>
          <w:rFonts w:eastAsia="Palatino Linotype"/>
          <w:b/>
        </w:rPr>
      </w:pPr>
      <w:r w:rsidRPr="006A4EF1">
        <w:rPr>
          <w:rFonts w:eastAsia="Palatino Linotype"/>
        </w:rPr>
        <w:t>“</w:t>
      </w:r>
      <w:r w:rsidRPr="006A4EF1">
        <w:rPr>
          <w:rFonts w:eastAsia="Palatino Linotype"/>
          <w:b/>
        </w:rPr>
        <w:t xml:space="preserve">Artículo 112. El órgano interno de control municipal, tendrá a su cargo las funciones siguientes: </w:t>
      </w:r>
    </w:p>
    <w:p w14:paraId="24C3B824" w14:textId="44BF27FF" w:rsidR="007E2C3F" w:rsidRPr="006A4EF1" w:rsidRDefault="009C3863" w:rsidP="006A4EF1">
      <w:pPr>
        <w:ind w:left="850" w:right="899"/>
        <w:rPr>
          <w:rFonts w:eastAsia="Palatino Linotype" w:cs="Palatino Linotype"/>
          <w:i/>
          <w:szCs w:val="22"/>
        </w:rPr>
      </w:pPr>
      <w:r w:rsidRPr="006A4EF1">
        <w:rPr>
          <w:rFonts w:eastAsia="Palatino Linotype" w:cs="Palatino Linotype"/>
          <w:i/>
          <w:szCs w:val="22"/>
        </w:rPr>
        <w:t>…</w:t>
      </w:r>
    </w:p>
    <w:p w14:paraId="037C1666" w14:textId="77777777" w:rsidR="007E2C3F" w:rsidRPr="006A4EF1" w:rsidRDefault="007E2C3F" w:rsidP="006A4EF1">
      <w:pPr>
        <w:pStyle w:val="Puesto"/>
        <w:rPr>
          <w:rFonts w:eastAsia="Palatino Linotype"/>
          <w:b/>
        </w:rPr>
      </w:pPr>
      <w:r w:rsidRPr="006A4EF1">
        <w:rPr>
          <w:rFonts w:eastAsia="Palatino Linotype"/>
        </w:rPr>
        <w:t xml:space="preserve">XV. </w:t>
      </w:r>
      <w:r w:rsidRPr="006A4EF1">
        <w:rPr>
          <w:rFonts w:eastAsia="Palatino Linotype"/>
          <w:b/>
        </w:rPr>
        <w:t>Participar en la elaboración y actualización del inventario general de los bienes muebles e inmuebles propiedad del municipio, que expresará las características de identificación y destino de los mismos;”</w:t>
      </w:r>
    </w:p>
    <w:p w14:paraId="4A73E7F3" w14:textId="77777777" w:rsidR="007E2C3F" w:rsidRPr="006A4EF1" w:rsidRDefault="007E2C3F" w:rsidP="006A4EF1">
      <w:pPr>
        <w:pStyle w:val="Puesto"/>
        <w:rPr>
          <w:rFonts w:eastAsia="Palatino Linotype"/>
        </w:rPr>
      </w:pPr>
      <w:r w:rsidRPr="006A4EF1">
        <w:rPr>
          <w:rFonts w:eastAsia="Palatino Linotype"/>
        </w:rPr>
        <w:t>(Énfasis añadido)</w:t>
      </w:r>
    </w:p>
    <w:p w14:paraId="5B962526" w14:textId="77777777" w:rsidR="007E2C3F" w:rsidRPr="006A4EF1" w:rsidRDefault="007E2C3F" w:rsidP="006A4EF1">
      <w:pPr>
        <w:pStyle w:val="Prrafodelista"/>
        <w:widowControl w:val="0"/>
        <w:autoSpaceDE w:val="0"/>
        <w:autoSpaceDN w:val="0"/>
        <w:adjustRightInd w:val="0"/>
        <w:ind w:left="0"/>
      </w:pPr>
    </w:p>
    <w:p w14:paraId="451303D1" w14:textId="49305228" w:rsidR="00D02290" w:rsidRPr="006A4EF1" w:rsidRDefault="00D02290" w:rsidP="006A4EF1">
      <w:pPr>
        <w:pStyle w:val="Prrafodelista"/>
        <w:widowControl w:val="0"/>
        <w:autoSpaceDE w:val="0"/>
        <w:autoSpaceDN w:val="0"/>
        <w:adjustRightInd w:val="0"/>
        <w:ind w:left="0"/>
      </w:pPr>
      <w:r w:rsidRPr="006A4EF1">
        <w:t>Así como, a la Secretaría del Ayuntamiento, la integración del sistema de información inmobiliaria, como lo refiere el artículo 91 fracción XI de la Ley en mención, que para mayor provenir, se transcribe a continuación:</w:t>
      </w:r>
    </w:p>
    <w:p w14:paraId="5DCC939C" w14:textId="77777777" w:rsidR="00D02290" w:rsidRPr="006A4EF1" w:rsidRDefault="00D02290" w:rsidP="006A4EF1">
      <w:pPr>
        <w:pStyle w:val="Prrafodelista"/>
        <w:widowControl w:val="0"/>
        <w:autoSpaceDE w:val="0"/>
        <w:autoSpaceDN w:val="0"/>
        <w:adjustRightInd w:val="0"/>
        <w:ind w:left="0"/>
      </w:pPr>
    </w:p>
    <w:p w14:paraId="0C47A1AA" w14:textId="320B59D5" w:rsidR="00D02290" w:rsidRPr="006A4EF1" w:rsidRDefault="00150042" w:rsidP="006A4EF1">
      <w:pPr>
        <w:pStyle w:val="Puesto"/>
        <w:rPr>
          <w:rFonts w:eastAsia="Palatino Linotype"/>
        </w:rPr>
      </w:pPr>
      <w:r w:rsidRPr="006A4EF1">
        <w:rPr>
          <w:rFonts w:eastAsia="Palatino Linotype"/>
          <w:b/>
        </w:rPr>
        <w:t>“</w:t>
      </w:r>
      <w:r w:rsidR="00D02290" w:rsidRPr="006A4EF1">
        <w:rPr>
          <w:rFonts w:eastAsia="Palatino Linotype"/>
          <w:b/>
        </w:rPr>
        <w:t>Artículo 91.-</w:t>
      </w:r>
      <w:r w:rsidR="00D02290" w:rsidRPr="006A4EF1">
        <w:rPr>
          <w:rFonts w:eastAsia="Palatino Linotype"/>
        </w:rPr>
        <w:t xml:space="preserve"> 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w:t>
      </w:r>
    </w:p>
    <w:p w14:paraId="49473413" w14:textId="12CA1A5D" w:rsidR="00D02290" w:rsidRPr="006A4EF1" w:rsidRDefault="00D02290" w:rsidP="006A4EF1">
      <w:pPr>
        <w:pStyle w:val="Puesto"/>
        <w:rPr>
          <w:rFonts w:eastAsia="Palatino Linotype"/>
        </w:rPr>
      </w:pPr>
      <w:r w:rsidRPr="006A4EF1">
        <w:rPr>
          <w:rFonts w:eastAsia="Palatino Linotype"/>
        </w:rPr>
        <w:t>…</w:t>
      </w:r>
    </w:p>
    <w:p w14:paraId="6E620E37" w14:textId="1A193DB0" w:rsidR="00D02290" w:rsidRPr="006A4EF1" w:rsidRDefault="00D02290" w:rsidP="006A4EF1">
      <w:pPr>
        <w:pStyle w:val="Puesto"/>
        <w:rPr>
          <w:rFonts w:eastAsia="Palatino Linotype"/>
        </w:rPr>
      </w:pPr>
      <w:r w:rsidRPr="006A4EF1">
        <w:rPr>
          <w:rFonts w:eastAsia="Palatino Linotype"/>
        </w:rPr>
        <w:t xml:space="preserve">XI. Elaborar con la intervención del síndico </w:t>
      </w:r>
      <w:r w:rsidRPr="006A4EF1">
        <w:rPr>
          <w:rFonts w:eastAsia="Palatino Linotype"/>
          <w:b/>
        </w:rPr>
        <w:t>el inventario general de los bienes muebles e inmuebles municipales, así como la integración del sistema de información inmobiliaria, que contemple los bienes del dominio público y privado</w:t>
      </w:r>
      <w:r w:rsidRPr="006A4EF1">
        <w:rPr>
          <w:rFonts w:eastAsia="Palatino Linotype"/>
        </w:rPr>
        <w:t>, en un término que no exceda de un año contado a partir de la instalación del ayuntamiento y presentarlo al cabildo para su conocimiento y opinión.</w:t>
      </w:r>
      <w:r w:rsidR="00150042" w:rsidRPr="006A4EF1">
        <w:rPr>
          <w:rFonts w:eastAsia="Palatino Linotype"/>
        </w:rPr>
        <w:t xml:space="preserve">” Sic </w:t>
      </w:r>
    </w:p>
    <w:p w14:paraId="0509CA10" w14:textId="36A07771" w:rsidR="00D02290" w:rsidRPr="006A4EF1" w:rsidRDefault="00D02290" w:rsidP="006A4EF1">
      <w:pPr>
        <w:pStyle w:val="Prrafodelista"/>
        <w:widowControl w:val="0"/>
        <w:autoSpaceDE w:val="0"/>
        <w:autoSpaceDN w:val="0"/>
        <w:adjustRightInd w:val="0"/>
        <w:ind w:left="0"/>
      </w:pPr>
    </w:p>
    <w:p w14:paraId="7203057B" w14:textId="77777777" w:rsidR="00673008" w:rsidRPr="006A4EF1" w:rsidRDefault="007E2C3F" w:rsidP="006A4EF1">
      <w:pPr>
        <w:ind w:right="-93"/>
        <w:rPr>
          <w:rFonts w:eastAsia="Palatino Linotype" w:cs="Palatino Linotype"/>
          <w:lang w:val="es-ES"/>
        </w:rPr>
      </w:pPr>
      <w:r w:rsidRPr="006A4EF1">
        <w:t xml:space="preserve">En tal contexto, una vez establecida la naturaleza jurídica de la información requerida y demostrada la atribución del </w:t>
      </w:r>
      <w:r w:rsidRPr="006A4EF1">
        <w:rPr>
          <w:b/>
        </w:rPr>
        <w:t>SUJETO OBLIGADO</w:t>
      </w:r>
      <w:r w:rsidRPr="006A4EF1">
        <w:t xml:space="preserve">, de generar, poseer y administrar la información referente </w:t>
      </w:r>
      <w:r w:rsidR="00D02290" w:rsidRPr="006A4EF1">
        <w:t>al patrimonio municipal</w:t>
      </w:r>
      <w:r w:rsidRPr="006A4EF1">
        <w:t xml:space="preserve">, es posible dilucidar que, </w:t>
      </w:r>
      <w:r w:rsidR="00D02290" w:rsidRPr="006A4EF1">
        <w:t xml:space="preserve">en el caso, en particular, no se dio cumplimiento a lo establecido en el artículo 162 de la Ley de </w:t>
      </w:r>
      <w:r w:rsidR="00673008" w:rsidRPr="006A4EF1">
        <w:t xml:space="preserve">Transparencia Local, ello  en atención al procedimiento de búsqueda que deben de seguir los </w:t>
      </w:r>
      <w:r w:rsidR="00673008" w:rsidRPr="006A4EF1">
        <w:rPr>
          <w:rFonts w:eastAsia="Palatino Linotype" w:cs="Palatino Linotype"/>
          <w:lang w:val="es-ES"/>
        </w:rPr>
        <w:t>los Sujetos Obligados para localizar la información, mismo que es el siguiente:</w:t>
      </w:r>
    </w:p>
    <w:p w14:paraId="78F638B1" w14:textId="77777777" w:rsidR="00673008" w:rsidRPr="006A4EF1" w:rsidRDefault="00673008" w:rsidP="006A4EF1">
      <w:pPr>
        <w:ind w:right="-93"/>
        <w:rPr>
          <w:rFonts w:eastAsia="Palatino Linotype" w:cs="Palatino Linotype"/>
          <w:lang w:val="es-ES"/>
        </w:rPr>
      </w:pPr>
    </w:p>
    <w:p w14:paraId="18E9C5A1" w14:textId="77777777" w:rsidR="00673008" w:rsidRPr="006A4EF1" w:rsidRDefault="00673008" w:rsidP="006A4EF1">
      <w:pPr>
        <w:numPr>
          <w:ilvl w:val="0"/>
          <w:numId w:val="26"/>
        </w:numPr>
        <w:ind w:right="-93"/>
        <w:rPr>
          <w:rFonts w:eastAsia="Palatino Linotype" w:cs="Palatino Linotype"/>
          <w:lang w:val="es-ES"/>
        </w:rPr>
      </w:pPr>
      <w:r w:rsidRPr="006A4EF1">
        <w:rPr>
          <w:rFonts w:eastAsia="Palatino Linotype" w:cs="Palatino Linotype"/>
          <w:lang w:val="es-ES"/>
        </w:rPr>
        <w:t xml:space="preserve">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 </w:t>
      </w:r>
    </w:p>
    <w:p w14:paraId="5B4F778B" w14:textId="77777777" w:rsidR="00673008" w:rsidRPr="006A4EF1" w:rsidRDefault="00673008" w:rsidP="006A4EF1">
      <w:pPr>
        <w:ind w:left="720" w:right="-93"/>
        <w:rPr>
          <w:rFonts w:eastAsia="Palatino Linotype" w:cs="Palatino Linotype"/>
          <w:lang w:val="es-ES"/>
        </w:rPr>
      </w:pPr>
    </w:p>
    <w:p w14:paraId="12AA0955" w14:textId="77777777" w:rsidR="00673008" w:rsidRPr="006A4EF1" w:rsidRDefault="00673008" w:rsidP="006A4EF1">
      <w:pPr>
        <w:numPr>
          <w:ilvl w:val="0"/>
          <w:numId w:val="26"/>
        </w:numPr>
        <w:ind w:right="-93"/>
        <w:rPr>
          <w:rFonts w:eastAsia="Palatino Linotype" w:cs="Palatino Linotype"/>
          <w:lang w:val="es-ES"/>
        </w:rPr>
      </w:pPr>
      <w:r w:rsidRPr="006A4EF1">
        <w:rPr>
          <w:rFonts w:eastAsia="Palatino Linotype" w:cs="Palatino Linotype"/>
          <w:lang w:val="es-ES"/>
        </w:rPr>
        <w:lastRenderedPageBreak/>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665E135F" w14:textId="77777777" w:rsidR="00EF01F6" w:rsidRPr="006A4EF1" w:rsidRDefault="00EF01F6" w:rsidP="006A4EF1">
      <w:pPr>
        <w:pStyle w:val="Prrafodelista"/>
        <w:rPr>
          <w:rFonts w:eastAsia="Palatino Linotype" w:cs="Palatino Linotype"/>
          <w:lang w:val="es-ES"/>
        </w:rPr>
      </w:pPr>
    </w:p>
    <w:p w14:paraId="19D32A31" w14:textId="687F0299" w:rsidR="00673008" w:rsidRPr="006A4EF1" w:rsidRDefault="00673008" w:rsidP="006A4EF1">
      <w:pPr>
        <w:rPr>
          <w:rFonts w:eastAsia="Palatino Linotype" w:cs="Palatino Linotype"/>
        </w:rPr>
      </w:pPr>
      <w:r w:rsidRPr="006A4EF1">
        <w:rPr>
          <w:rFonts w:eastAsia="Palatino Linotype" w:cs="Palatino Linotype"/>
        </w:rPr>
        <w:t>Así las cosas, no obsta mencionar que de las constancias que obran en el expediente en el que se actúa, se advierte que, en observancia de lo previsto en los artículos 53</w:t>
      </w:r>
      <w:r w:rsidRPr="006A4EF1">
        <w:rPr>
          <w:rFonts w:eastAsia="Palatino Linotype"/>
          <w:vertAlign w:val="superscript"/>
        </w:rPr>
        <w:footnoteReference w:id="5"/>
      </w:r>
      <w:r w:rsidRPr="006A4EF1">
        <w:rPr>
          <w:rFonts w:eastAsia="Palatino Linotype" w:cs="Palatino Linotype"/>
        </w:rPr>
        <w:t xml:space="preserve"> fracciones II y IV y  162</w:t>
      </w:r>
      <w:r w:rsidRPr="006A4EF1">
        <w:rPr>
          <w:rFonts w:eastAsia="Palatino Linotype"/>
          <w:vertAlign w:val="superscript"/>
        </w:rPr>
        <w:footnoteReference w:id="6"/>
      </w:r>
      <w:r w:rsidRPr="006A4EF1">
        <w:rPr>
          <w:rFonts w:eastAsia="Palatino Linotype" w:cs="Palatino Linotype"/>
        </w:rPr>
        <w:t xml:space="preserve"> de la Ley de la Materia, la Unidad de Transparencia turnó la solicitud al área que, de acuerdo con sus facultades, competencias y funciones, pudieran contar con la información materia de misma, esto es a la </w:t>
      </w:r>
      <w:r w:rsidRPr="006A4EF1">
        <w:rPr>
          <w:rFonts w:eastAsia="Palatino Linotype" w:cs="Palatino Linotype"/>
          <w:b/>
        </w:rPr>
        <w:t>Jefatura de Patrimonio Municipal</w:t>
      </w:r>
      <w:r w:rsidRPr="006A4EF1">
        <w:rPr>
          <w:rFonts w:eastAsia="Palatino Linotype" w:cs="Palatino Linotype"/>
        </w:rPr>
        <w:t xml:space="preserve">, </w:t>
      </w:r>
      <w:r w:rsidR="00095892" w:rsidRPr="006A4EF1">
        <w:rPr>
          <w:rFonts w:eastAsia="Palatino Linotype" w:cs="Palatino Linotype"/>
        </w:rPr>
        <w:t>que es un área que conforme al Organigrama depende de la Secretaría del Ayuntamiento, no obstante se advierte que la respuesta correspondiente está pendiente, como se observa del apartado de requerimientos y que se ilustra para pronta referencia enseguida:</w:t>
      </w:r>
    </w:p>
    <w:p w14:paraId="6B93A502" w14:textId="77777777" w:rsidR="00095892" w:rsidRPr="006A4EF1" w:rsidRDefault="00095892" w:rsidP="006A4EF1">
      <w:pPr>
        <w:rPr>
          <w:rFonts w:eastAsia="Palatino Linotype" w:cs="Palatino Linotype"/>
        </w:rPr>
      </w:pPr>
    </w:p>
    <w:p w14:paraId="1A2E407B" w14:textId="1FC6D921" w:rsidR="00095892" w:rsidRPr="006A4EF1" w:rsidRDefault="00247DD5" w:rsidP="006A4EF1">
      <w:pPr>
        <w:rPr>
          <w:rFonts w:eastAsia="Palatino Linotype" w:cs="Palatino Linotype"/>
        </w:rPr>
      </w:pPr>
      <w:r w:rsidRPr="006A4EF1">
        <w:rPr>
          <w:rFonts w:eastAsia="Palatino Linotype" w:cs="Palatino Linotype"/>
          <w:noProof/>
          <w:lang w:eastAsia="es-MX"/>
        </w:rPr>
        <w:drawing>
          <wp:inline distT="0" distB="0" distL="0" distR="0" wp14:anchorId="2A849B22" wp14:editId="2010F7BC">
            <wp:extent cx="5742940" cy="471805"/>
            <wp:effectExtent l="0" t="0" r="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42940" cy="471805"/>
                    </a:xfrm>
                    <a:prstGeom prst="rect">
                      <a:avLst/>
                    </a:prstGeom>
                  </pic:spPr>
                </pic:pic>
              </a:graphicData>
            </a:graphic>
          </wp:inline>
        </w:drawing>
      </w:r>
    </w:p>
    <w:p w14:paraId="45FCAC61" w14:textId="77777777" w:rsidR="00247DD5" w:rsidRPr="006A4EF1" w:rsidRDefault="00247DD5" w:rsidP="006A4EF1">
      <w:pPr>
        <w:rPr>
          <w:rFonts w:eastAsia="Palatino Linotype" w:cs="Palatino Linotype"/>
        </w:rPr>
      </w:pPr>
    </w:p>
    <w:p w14:paraId="096DF137" w14:textId="1109A4B1" w:rsidR="00247DD5" w:rsidRPr="006A4EF1" w:rsidRDefault="00247DD5" w:rsidP="006A4EF1">
      <w:pPr>
        <w:rPr>
          <w:rFonts w:eastAsia="Palatino Linotype" w:cs="Palatino Linotype"/>
        </w:rPr>
      </w:pPr>
      <w:r w:rsidRPr="006A4EF1">
        <w:rPr>
          <w:rFonts w:eastAsia="Palatino Linotype" w:cs="Palatino Linotype"/>
        </w:rPr>
        <w:t>Teniendo así, que en el presente asunto, se emitió respuesta por un área que es la competente; sin embargo falta el pronunciamiento de los demás servidores Públicos, en los que pudiera obrar la información peticionada.</w:t>
      </w:r>
    </w:p>
    <w:p w14:paraId="39FFE5FB" w14:textId="77777777" w:rsidR="00247DD5" w:rsidRPr="006A4EF1" w:rsidRDefault="00247DD5" w:rsidP="006A4EF1">
      <w:pPr>
        <w:rPr>
          <w:rFonts w:eastAsia="Palatino Linotype" w:cs="Palatino Linotype"/>
        </w:rPr>
      </w:pPr>
    </w:p>
    <w:p w14:paraId="1DC0C089" w14:textId="2A5F667D" w:rsidR="007E2C3F" w:rsidRPr="006A4EF1" w:rsidRDefault="00247DD5" w:rsidP="006A4EF1">
      <w:r w:rsidRPr="006A4EF1">
        <w:rPr>
          <w:rFonts w:eastAsia="Palatino Linotype" w:cs="Palatino Linotype"/>
        </w:rPr>
        <w:t xml:space="preserve">En consecuencia se concluye que </w:t>
      </w:r>
      <w:r w:rsidR="007E2C3F" w:rsidRPr="006A4EF1">
        <w:t xml:space="preserve">la documentación proporcionada por dicha autoridad en calidad de respuesta, no satisface el derecho de acceso a la información de </w:t>
      </w:r>
      <w:r w:rsidR="007E2C3F" w:rsidRPr="006A4EF1">
        <w:rPr>
          <w:b/>
        </w:rPr>
        <w:t>LA PARTE RECURRENTE</w:t>
      </w:r>
      <w:r w:rsidRPr="006A4EF1">
        <w:t xml:space="preserve">, por lo tanto resulta dable ordenar previa búsqueda exhaustiva y razonable la entrega del soporte documental en donde obre la información peticionada por </w:t>
      </w:r>
      <w:r w:rsidRPr="006A4EF1">
        <w:rPr>
          <w:b/>
        </w:rPr>
        <w:t xml:space="preserve">LA </w:t>
      </w:r>
      <w:r w:rsidR="00EF01F6" w:rsidRPr="006A4EF1">
        <w:rPr>
          <w:b/>
        </w:rPr>
        <w:t>PARTE</w:t>
      </w:r>
      <w:r w:rsidRPr="006A4EF1">
        <w:rPr>
          <w:b/>
        </w:rPr>
        <w:t xml:space="preserve"> RECURRENTE</w:t>
      </w:r>
      <w:r w:rsidR="002D2E28" w:rsidRPr="006A4EF1">
        <w:rPr>
          <w:b/>
        </w:rPr>
        <w:t xml:space="preserve">, </w:t>
      </w:r>
      <w:r w:rsidR="002D2E28" w:rsidRPr="006A4EF1">
        <w:t>en versión pública de ser procedente</w:t>
      </w:r>
      <w:r w:rsidRPr="006A4EF1">
        <w:t>.</w:t>
      </w:r>
    </w:p>
    <w:p w14:paraId="61735D20" w14:textId="77777777" w:rsidR="002D2E28" w:rsidRPr="006A4EF1" w:rsidRDefault="002D2E28" w:rsidP="006A4EF1"/>
    <w:p w14:paraId="20E6AC82" w14:textId="77777777" w:rsidR="002D2E28" w:rsidRPr="006A4EF1" w:rsidRDefault="002D2E28" w:rsidP="006A4EF1">
      <w:pPr>
        <w:pStyle w:val="Ttulo3"/>
        <w:rPr>
          <w:szCs w:val="22"/>
        </w:rPr>
      </w:pPr>
      <w:bookmarkStart w:id="31" w:name="_Toc172153688"/>
      <w:bookmarkStart w:id="32" w:name="_Toc178603938"/>
      <w:bookmarkStart w:id="33" w:name="_Toc179295143"/>
      <w:bookmarkStart w:id="34" w:name="_Toc180061405"/>
      <w:r w:rsidRPr="006A4EF1">
        <w:rPr>
          <w:szCs w:val="22"/>
        </w:rPr>
        <w:t>d) Versión pública</w:t>
      </w:r>
      <w:bookmarkEnd w:id="31"/>
      <w:bookmarkEnd w:id="32"/>
      <w:bookmarkEnd w:id="33"/>
      <w:bookmarkEnd w:id="34"/>
    </w:p>
    <w:p w14:paraId="4C74B305" w14:textId="77777777" w:rsidR="002D2E28" w:rsidRPr="006A4EF1" w:rsidRDefault="002D2E28" w:rsidP="006A4EF1">
      <w:pPr>
        <w:rPr>
          <w:szCs w:val="22"/>
        </w:rPr>
      </w:pPr>
      <w:r w:rsidRPr="006A4EF1">
        <w:rPr>
          <w:szCs w:val="22"/>
        </w:rPr>
        <w:t xml:space="preserve">Para el caso de que el o los documentos de los cuales se ordena su entrega contengan datos personales susceptibles de ser testados, deberán ser entregados en </w:t>
      </w:r>
      <w:r w:rsidRPr="006A4EF1">
        <w:rPr>
          <w:b/>
          <w:szCs w:val="22"/>
        </w:rPr>
        <w:t>versión pública</w:t>
      </w:r>
      <w:r w:rsidRPr="006A4EF1">
        <w:rPr>
          <w:szCs w:val="22"/>
        </w:rPr>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4049EB5" w14:textId="77777777" w:rsidR="002D2E28" w:rsidRPr="006A4EF1" w:rsidRDefault="002D2E28" w:rsidP="006A4EF1">
      <w:pPr>
        <w:rPr>
          <w:szCs w:val="22"/>
        </w:rPr>
      </w:pPr>
    </w:p>
    <w:p w14:paraId="30496211" w14:textId="77777777" w:rsidR="002D2E28" w:rsidRPr="006A4EF1" w:rsidRDefault="002D2E28" w:rsidP="006A4EF1">
      <w:pPr>
        <w:rPr>
          <w:szCs w:val="22"/>
        </w:rPr>
      </w:pPr>
      <w:r w:rsidRPr="006A4EF1">
        <w:rPr>
          <w:szCs w:val="22"/>
        </w:rPr>
        <w:t>A este respecto, los artículos 3, fracciones IX, XX, XXI y XLV; 51 y 52 de la Ley de Transparencia y Acceso a la Información Pública del Estado de México y Municipios establecen:</w:t>
      </w:r>
    </w:p>
    <w:p w14:paraId="0A43F7A0" w14:textId="77777777" w:rsidR="002D2E28" w:rsidRPr="006A4EF1" w:rsidRDefault="002D2E28" w:rsidP="006A4EF1">
      <w:pPr>
        <w:rPr>
          <w:szCs w:val="22"/>
        </w:rPr>
      </w:pPr>
    </w:p>
    <w:p w14:paraId="6C7F799B" w14:textId="77777777" w:rsidR="002D2E28" w:rsidRPr="006A4EF1" w:rsidRDefault="002D2E28" w:rsidP="006A4EF1">
      <w:pPr>
        <w:pStyle w:val="Puesto"/>
        <w:rPr>
          <w:szCs w:val="22"/>
        </w:rPr>
      </w:pPr>
      <w:r w:rsidRPr="006A4EF1">
        <w:rPr>
          <w:b/>
          <w:szCs w:val="22"/>
        </w:rPr>
        <w:t xml:space="preserve">“Artículo 3. </w:t>
      </w:r>
      <w:r w:rsidRPr="006A4EF1">
        <w:rPr>
          <w:szCs w:val="22"/>
        </w:rPr>
        <w:t xml:space="preserve">Para los efectos de la presente Ley se entenderá por: </w:t>
      </w:r>
    </w:p>
    <w:p w14:paraId="71693042" w14:textId="77777777" w:rsidR="002D2E28" w:rsidRPr="006A4EF1" w:rsidRDefault="002D2E28" w:rsidP="006A4EF1">
      <w:pPr>
        <w:pStyle w:val="Puesto"/>
        <w:rPr>
          <w:szCs w:val="22"/>
        </w:rPr>
      </w:pPr>
      <w:r w:rsidRPr="006A4EF1">
        <w:rPr>
          <w:b/>
          <w:szCs w:val="22"/>
        </w:rPr>
        <w:t>IX.</w:t>
      </w:r>
      <w:r w:rsidRPr="006A4EF1">
        <w:rPr>
          <w:szCs w:val="22"/>
        </w:rPr>
        <w:t xml:space="preserve"> </w:t>
      </w:r>
      <w:r w:rsidRPr="006A4EF1">
        <w:rPr>
          <w:b/>
          <w:szCs w:val="22"/>
        </w:rPr>
        <w:t xml:space="preserve">Datos personales: </w:t>
      </w:r>
      <w:r w:rsidRPr="006A4EF1">
        <w:rPr>
          <w:szCs w:val="22"/>
        </w:rPr>
        <w:t xml:space="preserve">La información concerniente a una persona, identificada o identificable según lo dispuesto por la Ley de Protección de Datos Personales del Estado de México; </w:t>
      </w:r>
    </w:p>
    <w:p w14:paraId="6B6D450B" w14:textId="77777777" w:rsidR="002D2E28" w:rsidRPr="006A4EF1" w:rsidRDefault="002D2E28" w:rsidP="006A4EF1">
      <w:pPr>
        <w:pStyle w:val="Puesto"/>
        <w:rPr>
          <w:szCs w:val="22"/>
        </w:rPr>
      </w:pPr>
    </w:p>
    <w:p w14:paraId="59FE9495" w14:textId="77777777" w:rsidR="002D2E28" w:rsidRPr="006A4EF1" w:rsidRDefault="002D2E28" w:rsidP="006A4EF1">
      <w:pPr>
        <w:pStyle w:val="Puesto"/>
        <w:rPr>
          <w:szCs w:val="22"/>
        </w:rPr>
      </w:pPr>
      <w:r w:rsidRPr="006A4EF1">
        <w:rPr>
          <w:b/>
          <w:szCs w:val="22"/>
        </w:rPr>
        <w:lastRenderedPageBreak/>
        <w:t>XX.</w:t>
      </w:r>
      <w:r w:rsidRPr="006A4EF1">
        <w:rPr>
          <w:szCs w:val="22"/>
        </w:rPr>
        <w:t xml:space="preserve"> </w:t>
      </w:r>
      <w:r w:rsidRPr="006A4EF1">
        <w:rPr>
          <w:b/>
          <w:szCs w:val="22"/>
        </w:rPr>
        <w:t>Información clasificada:</w:t>
      </w:r>
      <w:r w:rsidRPr="006A4EF1">
        <w:rPr>
          <w:szCs w:val="22"/>
        </w:rPr>
        <w:t xml:space="preserve"> Aquella considerada por la presente Ley como reservada o confidencial; </w:t>
      </w:r>
    </w:p>
    <w:p w14:paraId="1696ED07" w14:textId="77777777" w:rsidR="002D2E28" w:rsidRPr="006A4EF1" w:rsidRDefault="002D2E28" w:rsidP="006A4EF1">
      <w:pPr>
        <w:pStyle w:val="Puesto"/>
        <w:rPr>
          <w:szCs w:val="22"/>
        </w:rPr>
      </w:pPr>
    </w:p>
    <w:p w14:paraId="370FD14D" w14:textId="77777777" w:rsidR="002D2E28" w:rsidRPr="006A4EF1" w:rsidRDefault="002D2E28" w:rsidP="006A4EF1">
      <w:pPr>
        <w:pStyle w:val="Puesto"/>
        <w:rPr>
          <w:szCs w:val="22"/>
        </w:rPr>
      </w:pPr>
      <w:r w:rsidRPr="006A4EF1">
        <w:rPr>
          <w:b/>
          <w:szCs w:val="22"/>
        </w:rPr>
        <w:t>XXI.</w:t>
      </w:r>
      <w:r w:rsidRPr="006A4EF1">
        <w:rPr>
          <w:szCs w:val="22"/>
        </w:rPr>
        <w:t xml:space="preserve"> </w:t>
      </w:r>
      <w:r w:rsidRPr="006A4EF1">
        <w:rPr>
          <w:b/>
          <w:szCs w:val="22"/>
        </w:rPr>
        <w:t>Información confidencial</w:t>
      </w:r>
      <w:r w:rsidRPr="006A4EF1">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4DD53CE" w14:textId="77777777" w:rsidR="002D2E28" w:rsidRPr="006A4EF1" w:rsidRDefault="002D2E28" w:rsidP="006A4EF1">
      <w:pPr>
        <w:pStyle w:val="Puesto"/>
        <w:rPr>
          <w:szCs w:val="22"/>
        </w:rPr>
      </w:pPr>
    </w:p>
    <w:p w14:paraId="69E5080F" w14:textId="77777777" w:rsidR="002D2E28" w:rsidRPr="006A4EF1" w:rsidRDefault="002D2E28" w:rsidP="006A4EF1">
      <w:pPr>
        <w:pStyle w:val="Puesto"/>
        <w:rPr>
          <w:szCs w:val="22"/>
        </w:rPr>
      </w:pPr>
      <w:r w:rsidRPr="006A4EF1">
        <w:rPr>
          <w:b/>
          <w:szCs w:val="22"/>
        </w:rPr>
        <w:t>XLV. Versión pública:</w:t>
      </w:r>
      <w:r w:rsidRPr="006A4EF1">
        <w:rPr>
          <w:szCs w:val="22"/>
        </w:rPr>
        <w:t xml:space="preserve"> Documento en el que se elimine, suprime o borra la información clasificada como reservada o confidencial para permitir su acceso. </w:t>
      </w:r>
    </w:p>
    <w:p w14:paraId="12731BF7" w14:textId="77777777" w:rsidR="002D2E28" w:rsidRPr="006A4EF1" w:rsidRDefault="002D2E28" w:rsidP="006A4EF1">
      <w:pPr>
        <w:pStyle w:val="Puesto"/>
        <w:rPr>
          <w:szCs w:val="22"/>
        </w:rPr>
      </w:pPr>
    </w:p>
    <w:p w14:paraId="65049783" w14:textId="77777777" w:rsidR="002D2E28" w:rsidRPr="006A4EF1" w:rsidRDefault="002D2E28" w:rsidP="006A4EF1">
      <w:pPr>
        <w:pStyle w:val="Puesto"/>
        <w:rPr>
          <w:szCs w:val="22"/>
        </w:rPr>
      </w:pPr>
      <w:r w:rsidRPr="006A4EF1">
        <w:rPr>
          <w:b/>
          <w:szCs w:val="22"/>
        </w:rPr>
        <w:t>Artículo 51.</w:t>
      </w:r>
      <w:r w:rsidRPr="006A4EF1">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6A4EF1">
        <w:rPr>
          <w:b/>
          <w:szCs w:val="22"/>
        </w:rPr>
        <w:t xml:space="preserve">y tendrá la responsabilidad de verificar en cada caso que la misma no sea confidencial o reservada. </w:t>
      </w:r>
      <w:r w:rsidRPr="006A4EF1">
        <w:rPr>
          <w:szCs w:val="22"/>
        </w:rPr>
        <w:t>Dicha Unidad contará con las facultades internas necesarias para gestionar la atención a las solicitudes de información en los términos de la Ley General y la presente Ley.</w:t>
      </w:r>
    </w:p>
    <w:p w14:paraId="7C35730C" w14:textId="77777777" w:rsidR="002D2E28" w:rsidRPr="006A4EF1" w:rsidRDefault="002D2E28" w:rsidP="006A4EF1">
      <w:pPr>
        <w:pStyle w:val="Puesto"/>
        <w:rPr>
          <w:szCs w:val="22"/>
        </w:rPr>
      </w:pPr>
    </w:p>
    <w:p w14:paraId="298B9A3B" w14:textId="77777777" w:rsidR="002D2E28" w:rsidRPr="006A4EF1" w:rsidRDefault="002D2E28" w:rsidP="006A4EF1">
      <w:pPr>
        <w:pStyle w:val="Puesto"/>
        <w:rPr>
          <w:szCs w:val="22"/>
        </w:rPr>
      </w:pPr>
      <w:r w:rsidRPr="006A4EF1">
        <w:rPr>
          <w:b/>
          <w:szCs w:val="22"/>
        </w:rPr>
        <w:t>Artículo 52.</w:t>
      </w:r>
      <w:r w:rsidRPr="006A4EF1">
        <w:rPr>
          <w:szCs w:val="22"/>
        </w:rPr>
        <w:t xml:space="preserve"> Las solicitudes de acceso a la información y las respuestas que se les dé, incluyendo, en su caso, </w:t>
      </w:r>
      <w:r w:rsidRPr="006A4EF1">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6A4EF1">
        <w:rPr>
          <w:szCs w:val="22"/>
        </w:rPr>
        <w:t>, siempre y cuando la resolución de referencia se someta a un proceso de disociación, es decir, no haga identificable al titular de tales datos personales.” (Énfasis añadido)</w:t>
      </w:r>
    </w:p>
    <w:p w14:paraId="6BA8A179" w14:textId="77777777" w:rsidR="002D2E28" w:rsidRPr="006A4EF1" w:rsidRDefault="002D2E28" w:rsidP="006A4EF1">
      <w:pPr>
        <w:rPr>
          <w:szCs w:val="22"/>
        </w:rPr>
      </w:pPr>
    </w:p>
    <w:p w14:paraId="3F478935" w14:textId="77777777" w:rsidR="002D2E28" w:rsidRPr="006A4EF1" w:rsidRDefault="002D2E28" w:rsidP="006A4EF1">
      <w:pPr>
        <w:rPr>
          <w:szCs w:val="22"/>
        </w:rPr>
      </w:pPr>
      <w:r w:rsidRPr="006A4EF1">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36677F9C" w14:textId="77777777" w:rsidR="002D2E28" w:rsidRPr="006A4EF1" w:rsidRDefault="002D2E28" w:rsidP="006A4EF1">
      <w:pPr>
        <w:rPr>
          <w:szCs w:val="22"/>
        </w:rPr>
      </w:pPr>
    </w:p>
    <w:p w14:paraId="3B9756D8" w14:textId="77777777" w:rsidR="002D2E28" w:rsidRPr="006A4EF1" w:rsidRDefault="002D2E28" w:rsidP="006A4EF1">
      <w:pPr>
        <w:pStyle w:val="Puesto"/>
        <w:rPr>
          <w:szCs w:val="22"/>
        </w:rPr>
      </w:pPr>
      <w:r w:rsidRPr="006A4EF1">
        <w:rPr>
          <w:b/>
          <w:szCs w:val="22"/>
        </w:rPr>
        <w:t>“Artículo 22.</w:t>
      </w:r>
      <w:r w:rsidRPr="006A4EF1">
        <w:rPr>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37EB67C6" w14:textId="77777777" w:rsidR="002D2E28" w:rsidRPr="006A4EF1" w:rsidRDefault="002D2E28" w:rsidP="006A4EF1">
      <w:pPr>
        <w:rPr>
          <w:szCs w:val="22"/>
        </w:rPr>
      </w:pPr>
    </w:p>
    <w:p w14:paraId="5CF8DF75" w14:textId="77777777" w:rsidR="002D2E28" w:rsidRPr="006A4EF1" w:rsidRDefault="002D2E28" w:rsidP="006A4EF1">
      <w:pPr>
        <w:pStyle w:val="Puesto"/>
        <w:rPr>
          <w:szCs w:val="22"/>
        </w:rPr>
      </w:pPr>
      <w:r w:rsidRPr="006A4EF1">
        <w:rPr>
          <w:b/>
          <w:szCs w:val="22"/>
        </w:rPr>
        <w:t>Artículo 38.</w:t>
      </w:r>
      <w:r w:rsidRPr="006A4EF1">
        <w:rPr>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6A4EF1">
        <w:rPr>
          <w:b/>
          <w:szCs w:val="22"/>
        </w:rPr>
        <w:t>”</w:t>
      </w:r>
      <w:r w:rsidRPr="006A4EF1">
        <w:rPr>
          <w:szCs w:val="22"/>
        </w:rPr>
        <w:t xml:space="preserve"> </w:t>
      </w:r>
    </w:p>
    <w:p w14:paraId="52A1851D" w14:textId="77777777" w:rsidR="002D2E28" w:rsidRPr="006A4EF1" w:rsidRDefault="002D2E28" w:rsidP="006A4EF1">
      <w:pPr>
        <w:rPr>
          <w:i/>
          <w:szCs w:val="22"/>
        </w:rPr>
      </w:pPr>
    </w:p>
    <w:p w14:paraId="197C7BCF" w14:textId="77777777" w:rsidR="002D2E28" w:rsidRPr="006A4EF1" w:rsidRDefault="002D2E28" w:rsidP="006A4EF1">
      <w:pPr>
        <w:rPr>
          <w:szCs w:val="22"/>
        </w:rPr>
      </w:pPr>
      <w:r w:rsidRPr="006A4EF1">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7A6789C" w14:textId="77777777" w:rsidR="002D2E28" w:rsidRPr="006A4EF1" w:rsidRDefault="002D2E28" w:rsidP="006A4EF1">
      <w:pPr>
        <w:rPr>
          <w:szCs w:val="22"/>
        </w:rPr>
      </w:pPr>
    </w:p>
    <w:p w14:paraId="286DCC4B" w14:textId="77777777" w:rsidR="002D2E28" w:rsidRPr="006A4EF1" w:rsidRDefault="002D2E28" w:rsidP="006A4EF1">
      <w:pPr>
        <w:rPr>
          <w:szCs w:val="22"/>
        </w:rPr>
      </w:pPr>
      <w:r w:rsidRPr="006A4EF1">
        <w:rPr>
          <w:szCs w:val="22"/>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6A4EF1">
        <w:rPr>
          <w:b/>
          <w:szCs w:val="22"/>
        </w:rPr>
        <w:t>EL SUJETO OBLIGADO,</w:t>
      </w:r>
      <w:r w:rsidRPr="006A4EF1">
        <w:rPr>
          <w:szCs w:val="22"/>
        </w:rPr>
        <w:t xml:space="preserve"> por lo que, todo dato personal susceptible de clasificación debe ser protegido.</w:t>
      </w:r>
    </w:p>
    <w:p w14:paraId="17432800" w14:textId="77777777" w:rsidR="002D2E28" w:rsidRPr="006A4EF1" w:rsidRDefault="002D2E28" w:rsidP="006A4EF1">
      <w:pPr>
        <w:rPr>
          <w:szCs w:val="22"/>
        </w:rPr>
      </w:pPr>
    </w:p>
    <w:p w14:paraId="066237CF" w14:textId="77777777" w:rsidR="002D2E28" w:rsidRPr="006A4EF1" w:rsidRDefault="002D2E28" w:rsidP="006A4EF1">
      <w:pPr>
        <w:rPr>
          <w:szCs w:val="22"/>
        </w:rPr>
      </w:pPr>
      <w:r w:rsidRPr="006A4EF1">
        <w:rPr>
          <w:szCs w:val="22"/>
        </w:rPr>
        <w:t xml:space="preserve">La finalidad de la versión pública es salvaguardar la vida, integridad, seguridad, patrimonio y privacidad de las personas; de tal manera que, todo aquello que no tenga por objeto proteger </w:t>
      </w:r>
      <w:r w:rsidRPr="006A4EF1">
        <w:rPr>
          <w:szCs w:val="22"/>
        </w:rPr>
        <w:lastRenderedPageBreak/>
        <w:t>lo anterior, es susceptible de ser entregado. En otras palabras, la protección de datos personales es una derivación del derecho a la intimidad.</w:t>
      </w:r>
    </w:p>
    <w:p w14:paraId="0103AF55" w14:textId="77777777" w:rsidR="002D2E28" w:rsidRPr="006A4EF1" w:rsidRDefault="002D2E28" w:rsidP="006A4EF1">
      <w:pPr>
        <w:rPr>
          <w:szCs w:val="22"/>
        </w:rPr>
      </w:pPr>
    </w:p>
    <w:p w14:paraId="056A0D06" w14:textId="77777777" w:rsidR="002D2E28" w:rsidRPr="006A4EF1" w:rsidRDefault="002D2E28" w:rsidP="006A4EF1">
      <w:pPr>
        <w:rPr>
          <w:szCs w:val="22"/>
        </w:rPr>
      </w:pPr>
      <w:r w:rsidRPr="006A4EF1">
        <w:rPr>
          <w:szCs w:val="22"/>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0825B0C" w14:textId="77777777" w:rsidR="002D2E28" w:rsidRPr="006A4EF1" w:rsidRDefault="002D2E28" w:rsidP="006A4EF1">
      <w:pPr>
        <w:rPr>
          <w:szCs w:val="22"/>
        </w:rPr>
      </w:pPr>
    </w:p>
    <w:p w14:paraId="33EBC5B7" w14:textId="77777777" w:rsidR="002D2E28" w:rsidRPr="006A4EF1" w:rsidRDefault="002D2E28" w:rsidP="006A4EF1">
      <w:pPr>
        <w:pStyle w:val="Puesto"/>
        <w:rPr>
          <w:b/>
          <w:szCs w:val="22"/>
        </w:rPr>
      </w:pPr>
      <w:r w:rsidRPr="006A4EF1">
        <w:rPr>
          <w:b/>
          <w:szCs w:val="22"/>
        </w:rPr>
        <w:t>Ley de Transparencia y Acceso a la Información Pública del Estado de México y Municipios</w:t>
      </w:r>
    </w:p>
    <w:p w14:paraId="770CDCB6" w14:textId="77777777" w:rsidR="002D2E28" w:rsidRPr="006A4EF1" w:rsidRDefault="002D2E28" w:rsidP="006A4EF1">
      <w:pPr>
        <w:rPr>
          <w:szCs w:val="22"/>
        </w:rPr>
      </w:pPr>
    </w:p>
    <w:p w14:paraId="437C2D26" w14:textId="77777777" w:rsidR="002D2E28" w:rsidRPr="006A4EF1" w:rsidRDefault="002D2E28" w:rsidP="006A4EF1">
      <w:pPr>
        <w:pStyle w:val="Puesto"/>
        <w:rPr>
          <w:szCs w:val="22"/>
        </w:rPr>
      </w:pPr>
      <w:r w:rsidRPr="006A4EF1">
        <w:rPr>
          <w:b/>
          <w:szCs w:val="22"/>
        </w:rPr>
        <w:t xml:space="preserve">“Artículo 49. </w:t>
      </w:r>
      <w:r w:rsidRPr="006A4EF1">
        <w:rPr>
          <w:szCs w:val="22"/>
        </w:rPr>
        <w:t>Los Comités de Transparencia tendrán las siguientes atribuciones:</w:t>
      </w:r>
    </w:p>
    <w:p w14:paraId="0DDCEE8A" w14:textId="77777777" w:rsidR="002D2E28" w:rsidRPr="006A4EF1" w:rsidRDefault="002D2E28" w:rsidP="006A4EF1">
      <w:pPr>
        <w:pStyle w:val="Puesto"/>
        <w:rPr>
          <w:szCs w:val="22"/>
        </w:rPr>
      </w:pPr>
      <w:r w:rsidRPr="006A4EF1">
        <w:rPr>
          <w:b/>
          <w:szCs w:val="22"/>
        </w:rPr>
        <w:t>VIII.</w:t>
      </w:r>
      <w:r w:rsidRPr="006A4EF1">
        <w:rPr>
          <w:szCs w:val="22"/>
        </w:rPr>
        <w:t xml:space="preserve"> Aprobar, modificar o revocar la clasificación de la información;</w:t>
      </w:r>
    </w:p>
    <w:p w14:paraId="6FB7CE8A" w14:textId="77777777" w:rsidR="002D2E28" w:rsidRPr="006A4EF1" w:rsidRDefault="002D2E28" w:rsidP="006A4EF1">
      <w:pPr>
        <w:pStyle w:val="Puesto"/>
        <w:rPr>
          <w:szCs w:val="22"/>
        </w:rPr>
      </w:pPr>
    </w:p>
    <w:p w14:paraId="797B7CFD" w14:textId="77777777" w:rsidR="002D2E28" w:rsidRPr="006A4EF1" w:rsidRDefault="002D2E28" w:rsidP="006A4EF1">
      <w:pPr>
        <w:pStyle w:val="Puesto"/>
        <w:rPr>
          <w:szCs w:val="22"/>
        </w:rPr>
      </w:pPr>
      <w:r w:rsidRPr="006A4EF1">
        <w:rPr>
          <w:b/>
          <w:szCs w:val="22"/>
        </w:rPr>
        <w:t>Artículo 132.</w:t>
      </w:r>
      <w:r w:rsidRPr="006A4EF1">
        <w:rPr>
          <w:szCs w:val="22"/>
        </w:rPr>
        <w:t xml:space="preserve"> La clasificación de la información se llevará a cabo en el momento en que:</w:t>
      </w:r>
    </w:p>
    <w:p w14:paraId="1176F5AB" w14:textId="77777777" w:rsidR="002D2E28" w:rsidRPr="006A4EF1" w:rsidRDefault="002D2E28" w:rsidP="006A4EF1">
      <w:pPr>
        <w:pStyle w:val="Puesto"/>
        <w:rPr>
          <w:szCs w:val="22"/>
        </w:rPr>
      </w:pPr>
      <w:r w:rsidRPr="006A4EF1">
        <w:rPr>
          <w:b/>
          <w:szCs w:val="22"/>
        </w:rPr>
        <w:t>I.</w:t>
      </w:r>
      <w:r w:rsidRPr="006A4EF1">
        <w:rPr>
          <w:szCs w:val="22"/>
        </w:rPr>
        <w:t xml:space="preserve"> Se reciba una solicitud de acceso a la información;</w:t>
      </w:r>
    </w:p>
    <w:p w14:paraId="1BBB490F" w14:textId="77777777" w:rsidR="002D2E28" w:rsidRPr="006A4EF1" w:rsidRDefault="002D2E28" w:rsidP="006A4EF1">
      <w:pPr>
        <w:pStyle w:val="Puesto"/>
        <w:rPr>
          <w:szCs w:val="22"/>
        </w:rPr>
      </w:pPr>
      <w:r w:rsidRPr="006A4EF1">
        <w:rPr>
          <w:b/>
          <w:szCs w:val="22"/>
        </w:rPr>
        <w:t>II.</w:t>
      </w:r>
      <w:r w:rsidRPr="006A4EF1">
        <w:rPr>
          <w:szCs w:val="22"/>
        </w:rPr>
        <w:t xml:space="preserve"> Se determine mediante resolución de autoridad competente; o</w:t>
      </w:r>
    </w:p>
    <w:p w14:paraId="7AEE972B" w14:textId="77777777" w:rsidR="002D2E28" w:rsidRPr="006A4EF1" w:rsidRDefault="002D2E28" w:rsidP="006A4EF1">
      <w:pPr>
        <w:pStyle w:val="Puesto"/>
        <w:rPr>
          <w:b/>
          <w:szCs w:val="22"/>
        </w:rPr>
      </w:pPr>
      <w:r w:rsidRPr="006A4EF1">
        <w:rPr>
          <w:b/>
          <w:szCs w:val="22"/>
        </w:rPr>
        <w:t>III.</w:t>
      </w:r>
      <w:r w:rsidRPr="006A4EF1">
        <w:rPr>
          <w:szCs w:val="22"/>
        </w:rPr>
        <w:t xml:space="preserve"> Se generen versiones públicas para dar cumplimiento a las obligaciones de transparencia previstas en esta Ley.</w:t>
      </w:r>
      <w:r w:rsidRPr="006A4EF1">
        <w:rPr>
          <w:b/>
          <w:szCs w:val="22"/>
        </w:rPr>
        <w:t>”</w:t>
      </w:r>
    </w:p>
    <w:p w14:paraId="2E2A3AD8" w14:textId="77777777" w:rsidR="002D2E28" w:rsidRPr="006A4EF1" w:rsidRDefault="002D2E28" w:rsidP="006A4EF1">
      <w:pPr>
        <w:pStyle w:val="Puesto"/>
        <w:rPr>
          <w:szCs w:val="22"/>
        </w:rPr>
      </w:pPr>
    </w:p>
    <w:p w14:paraId="25202B70" w14:textId="77777777" w:rsidR="002D2E28" w:rsidRPr="006A4EF1" w:rsidRDefault="002D2E28" w:rsidP="006A4EF1">
      <w:pPr>
        <w:pStyle w:val="Puesto"/>
        <w:rPr>
          <w:szCs w:val="22"/>
        </w:rPr>
      </w:pPr>
      <w:r w:rsidRPr="006A4EF1">
        <w:rPr>
          <w:b/>
          <w:szCs w:val="22"/>
        </w:rPr>
        <w:t>“Segundo. -</w:t>
      </w:r>
      <w:r w:rsidRPr="006A4EF1">
        <w:rPr>
          <w:szCs w:val="22"/>
        </w:rPr>
        <w:t xml:space="preserve"> Para efectos de los presentes Lineamientos Generales, se entenderá por:</w:t>
      </w:r>
    </w:p>
    <w:p w14:paraId="5E2F3FA7" w14:textId="77777777" w:rsidR="002D2E28" w:rsidRPr="006A4EF1" w:rsidRDefault="002D2E28" w:rsidP="006A4EF1">
      <w:pPr>
        <w:pStyle w:val="Puesto"/>
        <w:rPr>
          <w:szCs w:val="22"/>
        </w:rPr>
      </w:pPr>
      <w:r w:rsidRPr="006A4EF1">
        <w:rPr>
          <w:b/>
          <w:szCs w:val="22"/>
        </w:rPr>
        <w:t>XVIII.</w:t>
      </w:r>
      <w:r w:rsidRPr="006A4EF1">
        <w:rPr>
          <w:szCs w:val="22"/>
        </w:rPr>
        <w:t xml:space="preserve">  </w:t>
      </w:r>
      <w:r w:rsidRPr="006A4EF1">
        <w:rPr>
          <w:b/>
          <w:szCs w:val="22"/>
        </w:rPr>
        <w:t>Versión pública:</w:t>
      </w:r>
      <w:r w:rsidRPr="006A4EF1">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5A9CCF2" w14:textId="77777777" w:rsidR="002D2E28" w:rsidRPr="006A4EF1" w:rsidRDefault="002D2E28" w:rsidP="006A4EF1">
      <w:pPr>
        <w:pStyle w:val="Puesto"/>
        <w:rPr>
          <w:szCs w:val="22"/>
        </w:rPr>
      </w:pPr>
    </w:p>
    <w:p w14:paraId="6E28539A" w14:textId="77777777" w:rsidR="002D2E28" w:rsidRPr="006A4EF1" w:rsidRDefault="002D2E28" w:rsidP="006A4EF1">
      <w:pPr>
        <w:pStyle w:val="Puesto"/>
        <w:rPr>
          <w:b/>
          <w:szCs w:val="22"/>
        </w:rPr>
      </w:pPr>
      <w:r w:rsidRPr="006A4EF1">
        <w:rPr>
          <w:b/>
          <w:szCs w:val="22"/>
        </w:rPr>
        <w:t>Lineamientos Generales en materia de Clasificación y Desclasificación de la Información</w:t>
      </w:r>
    </w:p>
    <w:p w14:paraId="1C1C262C" w14:textId="77777777" w:rsidR="002D2E28" w:rsidRPr="006A4EF1" w:rsidRDefault="002D2E28" w:rsidP="006A4EF1">
      <w:pPr>
        <w:pStyle w:val="Puesto"/>
        <w:rPr>
          <w:szCs w:val="22"/>
        </w:rPr>
      </w:pPr>
    </w:p>
    <w:p w14:paraId="7EF116C2" w14:textId="77777777" w:rsidR="002D2E28" w:rsidRPr="006A4EF1" w:rsidRDefault="002D2E28" w:rsidP="006A4EF1">
      <w:pPr>
        <w:pStyle w:val="Puesto"/>
        <w:rPr>
          <w:szCs w:val="22"/>
        </w:rPr>
      </w:pPr>
      <w:r w:rsidRPr="006A4EF1">
        <w:rPr>
          <w:b/>
          <w:szCs w:val="22"/>
        </w:rPr>
        <w:t>Cuarto.</w:t>
      </w:r>
      <w:r w:rsidRPr="006A4EF1">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2031A33" w14:textId="77777777" w:rsidR="002D2E28" w:rsidRPr="006A4EF1" w:rsidRDefault="002D2E28" w:rsidP="006A4EF1">
      <w:pPr>
        <w:pStyle w:val="Puesto"/>
        <w:rPr>
          <w:szCs w:val="22"/>
        </w:rPr>
      </w:pPr>
      <w:r w:rsidRPr="006A4EF1">
        <w:rPr>
          <w:szCs w:val="22"/>
        </w:rPr>
        <w:t>Los sujetos obligados deberán aplicar, de manera estricta, las excepciones al derecho de acceso a la información y sólo podrán invocarlas cuando acrediten su procedencia.</w:t>
      </w:r>
    </w:p>
    <w:p w14:paraId="4C10C49C" w14:textId="77777777" w:rsidR="002D2E28" w:rsidRPr="006A4EF1" w:rsidRDefault="002D2E28" w:rsidP="006A4EF1">
      <w:pPr>
        <w:pStyle w:val="Puesto"/>
        <w:rPr>
          <w:szCs w:val="22"/>
        </w:rPr>
      </w:pPr>
    </w:p>
    <w:p w14:paraId="3A536359" w14:textId="77777777" w:rsidR="002D2E28" w:rsidRPr="006A4EF1" w:rsidRDefault="002D2E28" w:rsidP="006A4EF1">
      <w:pPr>
        <w:pStyle w:val="Puesto"/>
        <w:rPr>
          <w:szCs w:val="22"/>
        </w:rPr>
      </w:pPr>
      <w:r w:rsidRPr="006A4EF1">
        <w:rPr>
          <w:b/>
          <w:szCs w:val="22"/>
        </w:rPr>
        <w:t>Quinto.</w:t>
      </w:r>
      <w:r w:rsidRPr="006A4EF1">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C173389" w14:textId="77777777" w:rsidR="002D2E28" w:rsidRPr="006A4EF1" w:rsidRDefault="002D2E28" w:rsidP="006A4EF1">
      <w:pPr>
        <w:pStyle w:val="Puesto"/>
        <w:rPr>
          <w:szCs w:val="22"/>
        </w:rPr>
      </w:pPr>
    </w:p>
    <w:p w14:paraId="1120DF52" w14:textId="77777777" w:rsidR="002D2E28" w:rsidRPr="006A4EF1" w:rsidRDefault="002D2E28" w:rsidP="006A4EF1">
      <w:pPr>
        <w:pStyle w:val="Puesto"/>
        <w:rPr>
          <w:szCs w:val="22"/>
        </w:rPr>
      </w:pPr>
      <w:r w:rsidRPr="006A4EF1">
        <w:rPr>
          <w:b/>
          <w:szCs w:val="22"/>
        </w:rPr>
        <w:t>Sexto.</w:t>
      </w:r>
      <w:r w:rsidRPr="006A4EF1">
        <w:rPr>
          <w:szCs w:val="22"/>
        </w:rPr>
        <w:t xml:space="preserve"> Se deroga.</w:t>
      </w:r>
    </w:p>
    <w:p w14:paraId="35240A62" w14:textId="77777777" w:rsidR="002D2E28" w:rsidRPr="006A4EF1" w:rsidRDefault="002D2E28" w:rsidP="006A4EF1">
      <w:pPr>
        <w:pStyle w:val="Puesto"/>
        <w:rPr>
          <w:szCs w:val="22"/>
        </w:rPr>
      </w:pPr>
    </w:p>
    <w:p w14:paraId="42AF10EB" w14:textId="77777777" w:rsidR="002D2E28" w:rsidRPr="006A4EF1" w:rsidRDefault="002D2E28" w:rsidP="006A4EF1">
      <w:pPr>
        <w:pStyle w:val="Puesto"/>
        <w:rPr>
          <w:szCs w:val="22"/>
        </w:rPr>
      </w:pPr>
      <w:r w:rsidRPr="006A4EF1">
        <w:rPr>
          <w:b/>
          <w:szCs w:val="22"/>
        </w:rPr>
        <w:t>Séptimo.</w:t>
      </w:r>
      <w:r w:rsidRPr="006A4EF1">
        <w:rPr>
          <w:szCs w:val="22"/>
        </w:rPr>
        <w:t xml:space="preserve"> La clasificación de la información se llevará a cabo en el momento en que:</w:t>
      </w:r>
    </w:p>
    <w:p w14:paraId="5128CD81" w14:textId="77777777" w:rsidR="002D2E28" w:rsidRPr="006A4EF1" w:rsidRDefault="002D2E28" w:rsidP="006A4EF1">
      <w:pPr>
        <w:pStyle w:val="Puesto"/>
        <w:rPr>
          <w:szCs w:val="22"/>
        </w:rPr>
      </w:pPr>
      <w:r w:rsidRPr="006A4EF1">
        <w:rPr>
          <w:b/>
          <w:szCs w:val="22"/>
        </w:rPr>
        <w:t>I.</w:t>
      </w:r>
      <w:r w:rsidRPr="006A4EF1">
        <w:rPr>
          <w:szCs w:val="22"/>
        </w:rPr>
        <w:t xml:space="preserve">        Se reciba una solicitud de acceso a la información;</w:t>
      </w:r>
    </w:p>
    <w:p w14:paraId="2560A84E" w14:textId="77777777" w:rsidR="002D2E28" w:rsidRPr="006A4EF1" w:rsidRDefault="002D2E28" w:rsidP="006A4EF1">
      <w:pPr>
        <w:pStyle w:val="Puesto"/>
        <w:rPr>
          <w:szCs w:val="22"/>
        </w:rPr>
      </w:pPr>
      <w:r w:rsidRPr="006A4EF1">
        <w:rPr>
          <w:b/>
          <w:szCs w:val="22"/>
        </w:rPr>
        <w:t>II.</w:t>
      </w:r>
      <w:r w:rsidRPr="006A4EF1">
        <w:rPr>
          <w:szCs w:val="22"/>
        </w:rPr>
        <w:t xml:space="preserve">       Se determine mediante resolución del Comité de Transparencia, el órgano garante competente, o en cumplimiento a una sentencia del Poder Judicial; o</w:t>
      </w:r>
    </w:p>
    <w:p w14:paraId="08257508" w14:textId="77777777" w:rsidR="002D2E28" w:rsidRPr="006A4EF1" w:rsidRDefault="002D2E28" w:rsidP="006A4EF1">
      <w:pPr>
        <w:pStyle w:val="Puesto"/>
        <w:rPr>
          <w:szCs w:val="22"/>
        </w:rPr>
      </w:pPr>
      <w:r w:rsidRPr="006A4EF1">
        <w:rPr>
          <w:b/>
          <w:szCs w:val="22"/>
        </w:rPr>
        <w:t>III.</w:t>
      </w:r>
      <w:r w:rsidRPr="006A4EF1">
        <w:rPr>
          <w:szCs w:val="22"/>
        </w:rPr>
        <w:t xml:space="preserve">      Se generen versiones públicas para dar cumplimiento a las obligaciones de transparencia previstas en la Ley General, la Ley Federal y las correspondientes de las entidades federativas.</w:t>
      </w:r>
    </w:p>
    <w:p w14:paraId="20076C54" w14:textId="77777777" w:rsidR="002D2E28" w:rsidRPr="006A4EF1" w:rsidRDefault="002D2E28" w:rsidP="006A4EF1">
      <w:pPr>
        <w:pStyle w:val="Puesto"/>
        <w:rPr>
          <w:szCs w:val="22"/>
        </w:rPr>
      </w:pPr>
      <w:r w:rsidRPr="006A4EF1">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57D3A3BD" w14:textId="77777777" w:rsidR="002D2E28" w:rsidRPr="006A4EF1" w:rsidRDefault="002D2E28" w:rsidP="006A4EF1">
      <w:pPr>
        <w:pStyle w:val="Puesto"/>
        <w:rPr>
          <w:szCs w:val="22"/>
        </w:rPr>
      </w:pPr>
    </w:p>
    <w:p w14:paraId="6D3D5F9A" w14:textId="77777777" w:rsidR="002D2E28" w:rsidRPr="006A4EF1" w:rsidRDefault="002D2E28" w:rsidP="006A4EF1">
      <w:pPr>
        <w:pStyle w:val="Puesto"/>
        <w:rPr>
          <w:szCs w:val="22"/>
        </w:rPr>
      </w:pPr>
      <w:r w:rsidRPr="006A4EF1">
        <w:rPr>
          <w:b/>
          <w:szCs w:val="22"/>
        </w:rPr>
        <w:t>Octavo.</w:t>
      </w:r>
      <w:r w:rsidRPr="006A4EF1">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6897DE5" w14:textId="77777777" w:rsidR="002D2E28" w:rsidRPr="006A4EF1" w:rsidRDefault="002D2E28" w:rsidP="006A4EF1">
      <w:pPr>
        <w:pStyle w:val="Puesto"/>
        <w:rPr>
          <w:szCs w:val="22"/>
        </w:rPr>
      </w:pPr>
      <w:r w:rsidRPr="006A4EF1">
        <w:rPr>
          <w:szCs w:val="22"/>
        </w:rPr>
        <w:t>Para motivar la clasificación se deberán señalar las razones o circunstancias especiales que lo llevaron a concluir que el caso particular se ajusta al supuesto previsto por la norma legal invocada como fundamento.</w:t>
      </w:r>
    </w:p>
    <w:p w14:paraId="43AFAA36" w14:textId="77777777" w:rsidR="002D2E28" w:rsidRPr="006A4EF1" w:rsidRDefault="002D2E28" w:rsidP="006A4EF1">
      <w:pPr>
        <w:pStyle w:val="Puesto"/>
        <w:rPr>
          <w:szCs w:val="22"/>
        </w:rPr>
      </w:pPr>
      <w:r w:rsidRPr="006A4EF1">
        <w:rPr>
          <w:szCs w:val="22"/>
        </w:rPr>
        <w:t xml:space="preserve">En caso de referirse a información reservada, la motivación de la clasificación deberá comprender el análisis de la prueba del daño a que hace referencia el artículo 104 de la Ley </w:t>
      </w:r>
      <w:r w:rsidRPr="006A4EF1">
        <w:rPr>
          <w:szCs w:val="22"/>
        </w:rPr>
        <w:lastRenderedPageBreak/>
        <w:t xml:space="preserve">General, en relación con el artículo trigésimo tercero de los presentes lineamientos, así como las circunstancias que justifican el establecimiento de determinado plazo de reserva. </w:t>
      </w:r>
    </w:p>
    <w:p w14:paraId="4521A24C" w14:textId="77777777" w:rsidR="002D2E28" w:rsidRPr="006A4EF1" w:rsidRDefault="002D2E28" w:rsidP="006A4EF1">
      <w:pPr>
        <w:pStyle w:val="Puesto"/>
        <w:rPr>
          <w:szCs w:val="22"/>
        </w:rPr>
      </w:pPr>
    </w:p>
    <w:p w14:paraId="365C1ECB" w14:textId="77777777" w:rsidR="002D2E28" w:rsidRPr="006A4EF1" w:rsidRDefault="002D2E28" w:rsidP="006A4EF1">
      <w:pPr>
        <w:pStyle w:val="Puesto"/>
        <w:rPr>
          <w:szCs w:val="22"/>
        </w:rPr>
      </w:pPr>
      <w:r w:rsidRPr="006A4EF1">
        <w:rPr>
          <w:b/>
          <w:szCs w:val="22"/>
        </w:rPr>
        <w:t>Noveno.</w:t>
      </w:r>
      <w:r w:rsidRPr="006A4EF1">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7161BC7" w14:textId="77777777" w:rsidR="002D2E28" w:rsidRPr="006A4EF1" w:rsidRDefault="002D2E28" w:rsidP="006A4EF1">
      <w:pPr>
        <w:pStyle w:val="Puesto"/>
        <w:rPr>
          <w:szCs w:val="22"/>
        </w:rPr>
      </w:pPr>
    </w:p>
    <w:p w14:paraId="76346673" w14:textId="77777777" w:rsidR="002D2E28" w:rsidRPr="006A4EF1" w:rsidRDefault="002D2E28" w:rsidP="006A4EF1">
      <w:pPr>
        <w:pStyle w:val="Puesto"/>
        <w:rPr>
          <w:szCs w:val="22"/>
        </w:rPr>
      </w:pPr>
      <w:r w:rsidRPr="006A4EF1">
        <w:rPr>
          <w:b/>
          <w:szCs w:val="22"/>
        </w:rPr>
        <w:t>Décimo.</w:t>
      </w:r>
      <w:r w:rsidRPr="006A4EF1">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534B3CB7" w14:textId="77777777" w:rsidR="002D2E28" w:rsidRPr="006A4EF1" w:rsidRDefault="002D2E28" w:rsidP="006A4EF1">
      <w:pPr>
        <w:pStyle w:val="Puesto"/>
        <w:rPr>
          <w:szCs w:val="22"/>
        </w:rPr>
      </w:pPr>
      <w:r w:rsidRPr="006A4EF1">
        <w:rPr>
          <w:szCs w:val="22"/>
        </w:rPr>
        <w:t>En ausencia de los titulares de las áreas, la información será clasificada o desclasificada por la persona que lo supla, en términos de la normativa que rija la actuación del sujeto obligado.</w:t>
      </w:r>
    </w:p>
    <w:p w14:paraId="08652AE6" w14:textId="77777777" w:rsidR="002D2E28" w:rsidRPr="006A4EF1" w:rsidRDefault="002D2E28" w:rsidP="006A4EF1">
      <w:pPr>
        <w:pStyle w:val="Puesto"/>
        <w:rPr>
          <w:b/>
          <w:szCs w:val="22"/>
        </w:rPr>
      </w:pPr>
      <w:r w:rsidRPr="006A4EF1">
        <w:rPr>
          <w:b/>
          <w:szCs w:val="22"/>
        </w:rPr>
        <w:t>Décimo primero.</w:t>
      </w:r>
      <w:r w:rsidRPr="006A4EF1">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6A4EF1">
        <w:rPr>
          <w:b/>
          <w:szCs w:val="22"/>
        </w:rPr>
        <w:t>”</w:t>
      </w:r>
    </w:p>
    <w:p w14:paraId="2C2B7B0B" w14:textId="77777777" w:rsidR="002D2E28" w:rsidRPr="006A4EF1" w:rsidRDefault="002D2E28" w:rsidP="006A4EF1">
      <w:pPr>
        <w:rPr>
          <w:szCs w:val="22"/>
        </w:rPr>
      </w:pPr>
    </w:p>
    <w:p w14:paraId="1B1C2566" w14:textId="77777777" w:rsidR="002D2E28" w:rsidRPr="006A4EF1" w:rsidRDefault="002D2E28" w:rsidP="006A4EF1">
      <w:pPr>
        <w:rPr>
          <w:szCs w:val="22"/>
        </w:rPr>
      </w:pPr>
      <w:r w:rsidRPr="006A4EF1">
        <w:rPr>
          <w:szCs w:val="22"/>
        </w:rPr>
        <w:t xml:space="preserve">Consecuentemente, se destaca que la versión pública que elabore </w:t>
      </w:r>
      <w:r w:rsidRPr="006A4EF1">
        <w:rPr>
          <w:b/>
          <w:szCs w:val="22"/>
        </w:rPr>
        <w:t>EL SUJETO OBLIGADO</w:t>
      </w:r>
      <w:r w:rsidRPr="006A4EF1">
        <w:rPr>
          <w:szCs w:val="22"/>
        </w:rPr>
        <w:t xml:space="preserve"> debe cumplir con las formalidades exigidas en la Ley, por lo que para tal efecto emitirá el </w:t>
      </w:r>
      <w:r w:rsidRPr="006A4EF1">
        <w:rPr>
          <w:b/>
          <w:szCs w:val="22"/>
        </w:rPr>
        <w:t>Acuerdo del Comité de Transparencia</w:t>
      </w:r>
      <w:r w:rsidRPr="006A4EF1">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w:t>
      </w:r>
      <w:r w:rsidRPr="006A4EF1">
        <w:rPr>
          <w:szCs w:val="22"/>
        </w:rPr>
        <w:lastRenderedPageBreak/>
        <w:t>exponen de manera puntual las razones, se estaría violentando desde un inicio el derecho de acceso a la información del solicitante.</w:t>
      </w:r>
    </w:p>
    <w:p w14:paraId="21D369B6" w14:textId="77777777" w:rsidR="002D2E28" w:rsidRPr="006A4EF1" w:rsidRDefault="002D2E28" w:rsidP="006A4EF1">
      <w:pPr>
        <w:rPr>
          <w:szCs w:val="22"/>
        </w:rPr>
      </w:pPr>
    </w:p>
    <w:p w14:paraId="6B18B9C8" w14:textId="77777777" w:rsidR="00CE5812" w:rsidRPr="006A4EF1" w:rsidRDefault="00CE5812" w:rsidP="006A4EF1">
      <w:pPr>
        <w:pStyle w:val="Ttulo3"/>
        <w:rPr>
          <w:szCs w:val="22"/>
        </w:rPr>
      </w:pPr>
      <w:bookmarkStart w:id="35" w:name="_Toc165304079"/>
      <w:bookmarkStart w:id="36" w:name="_Toc178603939"/>
      <w:bookmarkStart w:id="37" w:name="_Toc179364846"/>
      <w:bookmarkStart w:id="38" w:name="_Toc180061406"/>
      <w:r w:rsidRPr="006A4EF1">
        <w:rPr>
          <w:rFonts w:eastAsia="Calibri"/>
          <w:szCs w:val="22"/>
        </w:rPr>
        <w:t xml:space="preserve">e) </w:t>
      </w:r>
      <w:bookmarkEnd w:id="35"/>
      <w:r w:rsidRPr="006A4EF1">
        <w:rPr>
          <w:szCs w:val="22"/>
        </w:rPr>
        <w:t>Conclusión</w:t>
      </w:r>
      <w:bookmarkEnd w:id="36"/>
      <w:bookmarkEnd w:id="37"/>
      <w:bookmarkEnd w:id="38"/>
    </w:p>
    <w:p w14:paraId="2E9C2518" w14:textId="77777777" w:rsidR="00CE5812" w:rsidRPr="006A4EF1" w:rsidRDefault="00CE5812" w:rsidP="006A4EF1">
      <w:pPr>
        <w:widowControl w:val="0"/>
        <w:tabs>
          <w:tab w:val="left" w:pos="1701"/>
          <w:tab w:val="left" w:pos="1843"/>
        </w:tabs>
        <w:rPr>
          <w:rFonts w:eastAsia="Palatino Linotype" w:cs="Palatino Linotype"/>
        </w:rPr>
      </w:pPr>
      <w:r w:rsidRPr="006A4EF1">
        <w:rPr>
          <w:rFonts w:eastAsia="Palatino Linotype" w:cs="Palatino Linotype"/>
        </w:rPr>
        <w:t xml:space="preserve">En razón de lo anteriormente expuesto, este Instituto estima que las razones o motivos de inconformidad hechos valer por </w:t>
      </w:r>
      <w:r w:rsidRPr="006A4EF1">
        <w:rPr>
          <w:rFonts w:eastAsiaTheme="minorHAnsi" w:cs="Tahoma"/>
          <w:b/>
          <w:iCs/>
          <w:szCs w:val="22"/>
          <w:lang w:eastAsia="en-US"/>
        </w:rPr>
        <w:t>LA PARTE RECURRENTE</w:t>
      </w:r>
      <w:r w:rsidRPr="006A4EF1">
        <w:rPr>
          <w:rFonts w:eastAsiaTheme="minorHAnsi" w:cs="Tahoma"/>
          <w:bCs/>
          <w:iCs/>
          <w:szCs w:val="22"/>
          <w:lang w:eastAsia="en-US"/>
        </w:rPr>
        <w:t xml:space="preserve"> </w:t>
      </w:r>
      <w:r w:rsidRPr="006A4EF1">
        <w:rPr>
          <w:rFonts w:eastAsia="Palatino Linotype" w:cs="Palatino Linotype"/>
        </w:rPr>
        <w:t xml:space="preserve">devienen </w:t>
      </w:r>
      <w:r w:rsidRPr="006A4EF1">
        <w:rPr>
          <w:rFonts w:eastAsia="Palatino Linotype" w:cs="Palatino Linotype"/>
          <w:b/>
        </w:rPr>
        <w:t>fundadas</w:t>
      </w:r>
      <w:r w:rsidRPr="006A4EF1">
        <w:rPr>
          <w:rFonts w:eastAsia="Palatino Linotype" w:cs="Palatino Linotype"/>
        </w:rPr>
        <w:t xml:space="preserve"> y suficientes para </w:t>
      </w:r>
      <w:r w:rsidRPr="006A4EF1">
        <w:rPr>
          <w:rFonts w:eastAsia="Palatino Linotype" w:cs="Palatino Linotype"/>
          <w:b/>
        </w:rPr>
        <w:t>REVOCAR</w:t>
      </w:r>
      <w:r w:rsidRPr="006A4EF1">
        <w:rPr>
          <w:rFonts w:eastAsia="Palatino Linotype" w:cs="Palatino Linotype"/>
        </w:rPr>
        <w:t xml:space="preserve"> la respuesta del </w:t>
      </w:r>
      <w:r w:rsidRPr="006A4EF1">
        <w:rPr>
          <w:rFonts w:eastAsia="Palatino Linotype" w:cs="Palatino Linotype"/>
          <w:b/>
        </w:rPr>
        <w:t>SUJETO OBLIGADO</w:t>
      </w:r>
      <w:r w:rsidRPr="006A4EF1">
        <w:rPr>
          <w:rFonts w:eastAsia="Palatino Linotype" w:cs="Palatino Linotype"/>
        </w:rPr>
        <w:t xml:space="preserve"> y ordenarle haga entrega de la información materia de la solicitud.</w:t>
      </w:r>
    </w:p>
    <w:p w14:paraId="529FC5D4" w14:textId="77777777" w:rsidR="007922C9" w:rsidRPr="006A4EF1" w:rsidRDefault="007922C9" w:rsidP="006A4EF1">
      <w:pPr>
        <w:widowControl w:val="0"/>
        <w:tabs>
          <w:tab w:val="left" w:pos="1701"/>
          <w:tab w:val="left" w:pos="1843"/>
        </w:tabs>
        <w:rPr>
          <w:rFonts w:eastAsia="Palatino Linotype" w:cs="Palatino Linotype"/>
        </w:rPr>
      </w:pPr>
    </w:p>
    <w:p w14:paraId="6C854A84" w14:textId="241D277D" w:rsidR="007922C9" w:rsidRPr="006A4EF1" w:rsidRDefault="007922C9" w:rsidP="006A4EF1">
      <w:pPr>
        <w:widowControl w:val="0"/>
        <w:tabs>
          <w:tab w:val="left" w:pos="1701"/>
          <w:tab w:val="left" w:pos="1843"/>
        </w:tabs>
      </w:pPr>
      <w:r w:rsidRPr="006A4EF1">
        <w:rPr>
          <w:rFonts w:eastAsia="Palatino Linotype" w:cs="Palatino Linotype"/>
        </w:rPr>
        <w:t xml:space="preserve">Para el caso, </w:t>
      </w:r>
      <w:r w:rsidRPr="006A4EF1">
        <w:t xml:space="preserve">de que después de realizar la búsqueda de la información y no se localizará, por no haberse generado la información, bastará que </w:t>
      </w:r>
      <w:r w:rsidRPr="006A4EF1">
        <w:rPr>
          <w:b/>
        </w:rPr>
        <w:t xml:space="preserve">EL SUJETO OBLIGADO </w:t>
      </w:r>
      <w:r w:rsidRPr="006A4EF1">
        <w:t>lo haga del conocimiento del particular, para tener por colmado dichos requerimientos, atendiendo de manera supletoria a las formalidades que establece el artículo 19, párrafo segundo de la Ley de Transparencia y Acceso a la Información Pública del Estado de México y Municipios.</w:t>
      </w:r>
    </w:p>
    <w:p w14:paraId="3747D1E0" w14:textId="77777777" w:rsidR="00CE5812" w:rsidRPr="006A4EF1" w:rsidRDefault="00CE5812" w:rsidP="006A4EF1">
      <w:pPr>
        <w:widowControl w:val="0"/>
        <w:tabs>
          <w:tab w:val="left" w:pos="1701"/>
          <w:tab w:val="left" w:pos="1843"/>
        </w:tabs>
        <w:rPr>
          <w:rFonts w:eastAsia="Palatino Linotype" w:cs="Palatino Linotype"/>
        </w:rPr>
      </w:pPr>
    </w:p>
    <w:p w14:paraId="594B5524" w14:textId="3635CBF3" w:rsidR="00CE5812" w:rsidRPr="006A4EF1" w:rsidRDefault="00CE5812" w:rsidP="006A4EF1">
      <w:pPr>
        <w:ind w:right="-93"/>
        <w:rPr>
          <w:rFonts w:cs="Tahoma"/>
          <w:bCs/>
          <w:szCs w:val="22"/>
        </w:rPr>
      </w:pPr>
      <w:bookmarkStart w:id="39" w:name="_Hlk165381027"/>
      <w:r w:rsidRPr="006A4EF1">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8DDFFAB" w14:textId="02AF3938" w:rsidR="006302BF" w:rsidRPr="006A4EF1" w:rsidRDefault="006302BF" w:rsidP="006A4EF1">
      <w:pPr>
        <w:ind w:right="-93"/>
        <w:rPr>
          <w:rFonts w:cs="Tahoma"/>
          <w:bCs/>
          <w:szCs w:val="22"/>
        </w:rPr>
      </w:pPr>
    </w:p>
    <w:p w14:paraId="1732DA16" w14:textId="6E7B37E3" w:rsidR="006302BF" w:rsidRPr="006A4EF1" w:rsidRDefault="006302BF" w:rsidP="006A4EF1">
      <w:pPr>
        <w:ind w:right="-93"/>
        <w:rPr>
          <w:rFonts w:cs="Tahoma"/>
          <w:bCs/>
          <w:szCs w:val="22"/>
        </w:rPr>
      </w:pPr>
    </w:p>
    <w:p w14:paraId="081BE8E5" w14:textId="200EFE31" w:rsidR="006302BF" w:rsidRPr="006A4EF1" w:rsidRDefault="006302BF" w:rsidP="006A4EF1">
      <w:pPr>
        <w:ind w:right="-93"/>
        <w:rPr>
          <w:rFonts w:cs="Tahoma"/>
          <w:bCs/>
          <w:szCs w:val="22"/>
        </w:rPr>
      </w:pPr>
    </w:p>
    <w:p w14:paraId="7A3A6654" w14:textId="77777777" w:rsidR="006302BF" w:rsidRPr="006A4EF1" w:rsidRDefault="006302BF" w:rsidP="006A4EF1">
      <w:pPr>
        <w:ind w:right="-93"/>
        <w:rPr>
          <w:rFonts w:cs="Tahoma"/>
          <w:bCs/>
          <w:szCs w:val="22"/>
        </w:rPr>
      </w:pPr>
    </w:p>
    <w:bookmarkEnd w:id="39"/>
    <w:p w14:paraId="3A0E2CF5" w14:textId="77777777" w:rsidR="00CE5812" w:rsidRPr="006A4EF1" w:rsidRDefault="00CE5812" w:rsidP="006A4EF1">
      <w:pPr>
        <w:rPr>
          <w:szCs w:val="22"/>
        </w:rPr>
      </w:pPr>
    </w:p>
    <w:p w14:paraId="4CDF758A" w14:textId="77777777" w:rsidR="00CE5812" w:rsidRPr="006A4EF1" w:rsidRDefault="00CE5812" w:rsidP="006A4EF1">
      <w:pPr>
        <w:pStyle w:val="Ttulo1"/>
        <w:rPr>
          <w:szCs w:val="22"/>
        </w:rPr>
      </w:pPr>
      <w:bookmarkStart w:id="40" w:name="_Toc178603940"/>
      <w:bookmarkStart w:id="41" w:name="_Toc179364847"/>
      <w:bookmarkStart w:id="42" w:name="_Toc180061407"/>
      <w:r w:rsidRPr="006A4EF1">
        <w:rPr>
          <w:szCs w:val="22"/>
        </w:rPr>
        <w:lastRenderedPageBreak/>
        <w:t>RESUELVE</w:t>
      </w:r>
      <w:bookmarkEnd w:id="40"/>
      <w:bookmarkEnd w:id="41"/>
      <w:bookmarkEnd w:id="42"/>
    </w:p>
    <w:p w14:paraId="33AD145D" w14:textId="77777777" w:rsidR="00CE5812" w:rsidRPr="006A4EF1" w:rsidRDefault="00CE5812" w:rsidP="006A4EF1">
      <w:pPr>
        <w:ind w:right="113"/>
        <w:rPr>
          <w:rFonts w:cs="Arial"/>
          <w:b/>
          <w:szCs w:val="22"/>
        </w:rPr>
      </w:pPr>
    </w:p>
    <w:p w14:paraId="11F2F679" w14:textId="4548D325" w:rsidR="00CE5812" w:rsidRPr="006A4EF1" w:rsidRDefault="00CE5812" w:rsidP="006A4EF1">
      <w:pPr>
        <w:widowControl w:val="0"/>
        <w:rPr>
          <w:rFonts w:eastAsia="Calibri" w:cs="Tahoma"/>
          <w:bCs/>
          <w:szCs w:val="22"/>
          <w:lang w:eastAsia="en-US"/>
        </w:rPr>
      </w:pPr>
      <w:r w:rsidRPr="006A4EF1">
        <w:rPr>
          <w:b/>
          <w:bCs/>
          <w:szCs w:val="22"/>
        </w:rPr>
        <w:t>PRIMERO.</w:t>
      </w:r>
      <w:r w:rsidRPr="006A4EF1">
        <w:rPr>
          <w:szCs w:val="22"/>
        </w:rPr>
        <w:t xml:space="preserve"> </w:t>
      </w:r>
      <w:r w:rsidRPr="006A4EF1">
        <w:rPr>
          <w:rFonts w:cs="Tahoma"/>
          <w:szCs w:val="22"/>
        </w:rPr>
        <w:t xml:space="preserve">Se </w:t>
      </w:r>
      <w:r w:rsidRPr="006A4EF1">
        <w:rPr>
          <w:rFonts w:cs="Tahoma"/>
          <w:b/>
          <w:bCs/>
          <w:szCs w:val="22"/>
        </w:rPr>
        <w:t>REVOCA</w:t>
      </w:r>
      <w:r w:rsidRPr="006A4EF1">
        <w:rPr>
          <w:rFonts w:cs="Tahoma"/>
          <w:szCs w:val="22"/>
        </w:rPr>
        <w:t xml:space="preserve"> la respuesta entregada por el </w:t>
      </w:r>
      <w:r w:rsidRPr="006A4EF1">
        <w:rPr>
          <w:rFonts w:cs="Tahoma"/>
          <w:b/>
          <w:bCs/>
          <w:szCs w:val="22"/>
        </w:rPr>
        <w:t>SUJETO OBLIGADO</w:t>
      </w:r>
      <w:r w:rsidRPr="006A4EF1">
        <w:rPr>
          <w:rFonts w:cs="Tahoma"/>
          <w:szCs w:val="22"/>
        </w:rPr>
        <w:t xml:space="preserve"> en la solicitud de información </w:t>
      </w:r>
      <w:r w:rsidRPr="006A4EF1">
        <w:rPr>
          <w:rFonts w:cs="Tahoma"/>
          <w:b/>
          <w:szCs w:val="22"/>
        </w:rPr>
        <w:t>00178/LAPAZ/IP/2024</w:t>
      </w:r>
      <w:r w:rsidRPr="006A4EF1">
        <w:rPr>
          <w:rFonts w:cs="Tahoma"/>
          <w:bCs/>
          <w:szCs w:val="22"/>
        </w:rPr>
        <w:t xml:space="preserve">, </w:t>
      </w:r>
      <w:r w:rsidRPr="006A4EF1">
        <w:rPr>
          <w:rFonts w:eastAsia="Calibri" w:cs="Tahoma"/>
          <w:bCs/>
          <w:szCs w:val="22"/>
          <w:lang w:eastAsia="en-US"/>
        </w:rPr>
        <w:t xml:space="preserve">por resultar </w:t>
      </w:r>
      <w:r w:rsidRPr="006A4EF1">
        <w:rPr>
          <w:rFonts w:eastAsia="Calibri" w:cs="Tahoma"/>
          <w:b/>
          <w:bCs/>
          <w:szCs w:val="22"/>
          <w:lang w:eastAsia="en-US"/>
        </w:rPr>
        <w:t>FUNDADAS</w:t>
      </w:r>
      <w:r w:rsidRPr="006A4EF1">
        <w:rPr>
          <w:rFonts w:eastAsia="Calibri" w:cs="Tahoma"/>
          <w:bCs/>
          <w:szCs w:val="22"/>
          <w:lang w:eastAsia="en-US"/>
        </w:rPr>
        <w:t xml:space="preserve"> las razones o motivos de inconformidad hechos valer por </w:t>
      </w:r>
      <w:r w:rsidRPr="006A4EF1">
        <w:rPr>
          <w:rFonts w:eastAsia="Calibri" w:cs="Tahoma"/>
          <w:b/>
          <w:szCs w:val="22"/>
          <w:lang w:eastAsia="en-US"/>
        </w:rPr>
        <w:t>LA PARTE RECURRENTE</w:t>
      </w:r>
      <w:r w:rsidRPr="006A4EF1">
        <w:rPr>
          <w:rFonts w:eastAsia="Calibri" w:cs="Tahoma"/>
          <w:bCs/>
          <w:szCs w:val="22"/>
          <w:lang w:eastAsia="en-US"/>
        </w:rPr>
        <w:t xml:space="preserve"> en el Recurso de Revisión </w:t>
      </w:r>
      <w:r w:rsidRPr="006A4EF1">
        <w:rPr>
          <w:rFonts w:eastAsiaTheme="minorHAnsi" w:cstheme="minorBidi"/>
          <w:b/>
          <w:bCs/>
          <w:szCs w:val="22"/>
          <w:lang w:eastAsia="en-US"/>
        </w:rPr>
        <w:t>05817/INFOEM/IP/RR/2024</w:t>
      </w:r>
      <w:r w:rsidRPr="006A4EF1">
        <w:rPr>
          <w:rFonts w:eastAsiaTheme="minorHAnsi" w:cstheme="minorBidi"/>
          <w:szCs w:val="22"/>
          <w:lang w:eastAsia="en-US"/>
        </w:rPr>
        <w:t>,</w:t>
      </w:r>
      <w:r w:rsidRPr="006A4EF1">
        <w:rPr>
          <w:rFonts w:cs="Tahoma"/>
          <w:b/>
          <w:szCs w:val="22"/>
        </w:rPr>
        <w:t xml:space="preserve"> </w:t>
      </w:r>
      <w:r w:rsidRPr="006A4EF1">
        <w:rPr>
          <w:rFonts w:eastAsia="Calibri" w:cs="Tahoma"/>
          <w:bCs/>
          <w:szCs w:val="22"/>
          <w:lang w:eastAsia="en-US"/>
        </w:rPr>
        <w:t xml:space="preserve">en términos del considerando </w:t>
      </w:r>
      <w:r w:rsidRPr="006A4EF1">
        <w:rPr>
          <w:rFonts w:eastAsia="Calibri" w:cs="Tahoma"/>
          <w:b/>
          <w:szCs w:val="22"/>
          <w:lang w:eastAsia="en-US"/>
        </w:rPr>
        <w:t>SEGUNDO</w:t>
      </w:r>
      <w:r w:rsidRPr="006A4EF1">
        <w:rPr>
          <w:rFonts w:eastAsia="Calibri" w:cs="Tahoma"/>
          <w:bCs/>
          <w:szCs w:val="22"/>
          <w:lang w:eastAsia="en-US"/>
        </w:rPr>
        <w:t xml:space="preserve"> de la presente Resolución.</w:t>
      </w:r>
    </w:p>
    <w:p w14:paraId="30E64CC3" w14:textId="77777777" w:rsidR="00CE5812" w:rsidRPr="006A4EF1" w:rsidRDefault="00CE5812" w:rsidP="006A4EF1">
      <w:pPr>
        <w:widowControl w:val="0"/>
        <w:rPr>
          <w:rFonts w:eastAsia="Calibri" w:cs="Tahoma"/>
          <w:bCs/>
          <w:szCs w:val="22"/>
          <w:lang w:eastAsia="en-US"/>
        </w:rPr>
      </w:pPr>
    </w:p>
    <w:p w14:paraId="0E1B8F4A" w14:textId="63887D51" w:rsidR="00CE5812" w:rsidRPr="006A4EF1" w:rsidRDefault="00CE5812" w:rsidP="006A4EF1">
      <w:pPr>
        <w:ind w:right="-93"/>
        <w:rPr>
          <w:rFonts w:eastAsia="Calibri" w:cs="Tahoma"/>
          <w:bCs/>
          <w:szCs w:val="22"/>
          <w:lang w:eastAsia="en-US"/>
        </w:rPr>
      </w:pPr>
      <w:r w:rsidRPr="006A4EF1">
        <w:rPr>
          <w:rFonts w:eastAsia="Calibri" w:cs="Tahoma"/>
          <w:b/>
          <w:bCs/>
          <w:szCs w:val="22"/>
          <w:lang w:eastAsia="en-US"/>
        </w:rPr>
        <w:t>SEGUNDO.</w:t>
      </w:r>
      <w:r w:rsidRPr="006A4EF1">
        <w:rPr>
          <w:rFonts w:eastAsia="Calibri" w:cs="Tahoma"/>
          <w:szCs w:val="22"/>
          <w:lang w:eastAsia="es-MX"/>
        </w:rPr>
        <w:t xml:space="preserve"> Se </w:t>
      </w:r>
      <w:r w:rsidRPr="006A4EF1">
        <w:rPr>
          <w:rFonts w:eastAsia="Calibri" w:cs="Tahoma"/>
          <w:b/>
          <w:szCs w:val="22"/>
          <w:lang w:eastAsia="es-MX"/>
        </w:rPr>
        <w:t xml:space="preserve">ORDENA </w:t>
      </w:r>
      <w:r w:rsidRPr="006A4EF1">
        <w:rPr>
          <w:rFonts w:eastAsia="Calibri" w:cs="Tahoma"/>
          <w:szCs w:val="22"/>
          <w:lang w:eastAsia="es-MX"/>
        </w:rPr>
        <w:t xml:space="preserve">al </w:t>
      </w:r>
      <w:r w:rsidRPr="006A4EF1">
        <w:rPr>
          <w:rFonts w:eastAsia="Calibri" w:cs="Tahoma"/>
          <w:b/>
          <w:bCs/>
          <w:szCs w:val="22"/>
          <w:lang w:eastAsia="es-MX"/>
        </w:rPr>
        <w:t>SUJETO OBLIGADO</w:t>
      </w:r>
      <w:r w:rsidRPr="006A4EF1">
        <w:rPr>
          <w:rFonts w:eastAsia="Calibri" w:cs="Tahoma"/>
          <w:szCs w:val="22"/>
          <w:lang w:eastAsia="es-MX"/>
        </w:rPr>
        <w:t xml:space="preserve">, </w:t>
      </w:r>
      <w:r w:rsidRPr="006A4EF1">
        <w:rPr>
          <w:rFonts w:eastAsia="Calibri" w:cs="Tahoma"/>
          <w:bCs/>
          <w:szCs w:val="22"/>
          <w:lang w:eastAsia="en-US"/>
        </w:rPr>
        <w:t xml:space="preserve">a efecto de que, previa búsqueda exhaustiva y razonable de la información, entregue a través del </w:t>
      </w:r>
      <w:r w:rsidRPr="006A4EF1">
        <w:rPr>
          <w:rFonts w:eastAsia="Calibri" w:cs="Tahoma"/>
          <w:b/>
          <w:bCs/>
          <w:szCs w:val="22"/>
          <w:lang w:eastAsia="en-US"/>
        </w:rPr>
        <w:t>SAIMEX</w:t>
      </w:r>
      <w:r w:rsidRPr="006A4EF1">
        <w:rPr>
          <w:rFonts w:eastAsia="Calibri" w:cs="Tahoma"/>
          <w:bCs/>
          <w:szCs w:val="22"/>
          <w:lang w:eastAsia="en-US"/>
        </w:rPr>
        <w:t xml:space="preserve">, </w:t>
      </w:r>
      <w:r w:rsidR="009B065B" w:rsidRPr="006A4EF1">
        <w:rPr>
          <w:rFonts w:eastAsia="Calibri" w:cs="Tahoma"/>
          <w:bCs/>
          <w:szCs w:val="22"/>
          <w:lang w:eastAsia="en-US"/>
        </w:rPr>
        <w:t xml:space="preserve">de ser procedente en </w:t>
      </w:r>
      <w:r w:rsidR="009B065B" w:rsidRPr="006A4EF1">
        <w:rPr>
          <w:rFonts w:eastAsia="Calibri" w:cs="Tahoma"/>
          <w:b/>
          <w:bCs/>
          <w:szCs w:val="22"/>
          <w:lang w:eastAsia="en-US"/>
        </w:rPr>
        <w:t>versión pública</w:t>
      </w:r>
      <w:r w:rsidR="009B065B" w:rsidRPr="006A4EF1">
        <w:rPr>
          <w:rFonts w:eastAsia="Calibri" w:cs="Tahoma"/>
          <w:bCs/>
          <w:szCs w:val="22"/>
          <w:lang w:eastAsia="en-US"/>
        </w:rPr>
        <w:t xml:space="preserve">, </w:t>
      </w:r>
      <w:r w:rsidRPr="006A4EF1">
        <w:rPr>
          <w:rFonts w:eastAsia="Calibri" w:cs="Tahoma"/>
          <w:bCs/>
          <w:szCs w:val="22"/>
          <w:lang w:eastAsia="en-US"/>
        </w:rPr>
        <w:t>el soporte documental que dé cuenta de lo siguiente:</w:t>
      </w:r>
    </w:p>
    <w:p w14:paraId="494F4FBA" w14:textId="77777777" w:rsidR="007922C9" w:rsidRPr="006A4EF1" w:rsidRDefault="007922C9" w:rsidP="006A4EF1">
      <w:pPr>
        <w:ind w:right="-93"/>
        <w:rPr>
          <w:rFonts w:eastAsia="Calibri" w:cs="Tahoma"/>
          <w:bCs/>
          <w:szCs w:val="22"/>
          <w:lang w:eastAsia="en-US"/>
        </w:rPr>
      </w:pPr>
    </w:p>
    <w:p w14:paraId="08BB0050" w14:textId="77777777" w:rsidR="009B065B" w:rsidRPr="006A4EF1" w:rsidRDefault="009B065B" w:rsidP="006A4EF1">
      <w:pPr>
        <w:spacing w:line="276" w:lineRule="auto"/>
        <w:ind w:left="567" w:right="539"/>
        <w:rPr>
          <w:rFonts w:eastAsia="Calibri"/>
          <w:bCs/>
          <w:i/>
          <w:iCs/>
          <w:szCs w:val="22"/>
          <w:lang w:eastAsia="en-US"/>
        </w:rPr>
      </w:pPr>
      <w:r w:rsidRPr="006A4EF1">
        <w:rPr>
          <w:rFonts w:eastAsia="Calibri"/>
          <w:bCs/>
          <w:i/>
          <w:iCs/>
          <w:szCs w:val="22"/>
          <w:lang w:eastAsia="en-US"/>
        </w:rPr>
        <w:t>Del monumento al Benemérito de las Américas Benito Juárez García, que se encontraba en la entrada o salida del municipio sobre el camellón en la carretera federal México - Texcoco Km25. 5:</w:t>
      </w:r>
    </w:p>
    <w:p w14:paraId="09079F4F" w14:textId="77777777" w:rsidR="009B065B" w:rsidRPr="006A4EF1" w:rsidRDefault="009B065B" w:rsidP="006A4EF1">
      <w:pPr>
        <w:spacing w:line="276" w:lineRule="auto"/>
        <w:ind w:left="567" w:right="539"/>
        <w:rPr>
          <w:rFonts w:eastAsia="Calibri"/>
          <w:bCs/>
          <w:i/>
          <w:iCs/>
          <w:szCs w:val="22"/>
          <w:lang w:eastAsia="en-US"/>
        </w:rPr>
      </w:pPr>
    </w:p>
    <w:p w14:paraId="5B116005" w14:textId="30472296" w:rsidR="009B065B" w:rsidRPr="006A4EF1" w:rsidRDefault="009B065B" w:rsidP="006A4EF1">
      <w:pPr>
        <w:spacing w:line="276" w:lineRule="auto"/>
        <w:ind w:left="567" w:right="539"/>
        <w:rPr>
          <w:rFonts w:eastAsia="Calibri"/>
          <w:bCs/>
          <w:i/>
          <w:iCs/>
          <w:szCs w:val="22"/>
          <w:lang w:eastAsia="en-US"/>
        </w:rPr>
      </w:pPr>
      <w:r w:rsidRPr="006A4EF1">
        <w:rPr>
          <w:rFonts w:eastAsia="Calibri"/>
          <w:bCs/>
          <w:i/>
          <w:iCs/>
          <w:szCs w:val="22"/>
          <w:lang w:eastAsia="en-US"/>
        </w:rPr>
        <w:t xml:space="preserve">1. </w:t>
      </w:r>
      <w:r w:rsidR="00EF01F6" w:rsidRPr="006A4EF1">
        <w:rPr>
          <w:rFonts w:eastAsia="Calibri"/>
          <w:bCs/>
          <w:i/>
          <w:iCs/>
          <w:szCs w:val="22"/>
          <w:lang w:eastAsia="en-US"/>
        </w:rPr>
        <w:t>El n</w:t>
      </w:r>
      <w:r w:rsidRPr="006A4EF1">
        <w:rPr>
          <w:rFonts w:eastAsia="Calibri"/>
          <w:bCs/>
          <w:i/>
          <w:iCs/>
          <w:szCs w:val="22"/>
          <w:lang w:eastAsia="en-US"/>
        </w:rPr>
        <w:t>ombre del servidor público que autorizó qué se quitará el mo</w:t>
      </w:r>
      <w:r w:rsidR="00EF01F6" w:rsidRPr="006A4EF1">
        <w:rPr>
          <w:rFonts w:eastAsia="Calibri"/>
          <w:bCs/>
          <w:i/>
          <w:iCs/>
          <w:szCs w:val="22"/>
          <w:lang w:eastAsia="en-US"/>
        </w:rPr>
        <w:t>nu</w:t>
      </w:r>
      <w:r w:rsidRPr="006A4EF1">
        <w:rPr>
          <w:rFonts w:eastAsia="Calibri"/>
          <w:bCs/>
          <w:i/>
          <w:iCs/>
          <w:szCs w:val="22"/>
          <w:lang w:eastAsia="en-US"/>
        </w:rPr>
        <w:t xml:space="preserve">mento en mención de la ubicación referida, la justificación correspondiente, nombre de la autoridad que ejecutó la instrucción y la ubicación de dicho monumento, al 11 de julio de 2024. </w:t>
      </w:r>
    </w:p>
    <w:p w14:paraId="6C8F82D1" w14:textId="77777777" w:rsidR="009B065B" w:rsidRPr="006A4EF1" w:rsidRDefault="009B065B" w:rsidP="006A4EF1">
      <w:pPr>
        <w:spacing w:line="276" w:lineRule="auto"/>
        <w:ind w:left="567" w:right="539"/>
        <w:rPr>
          <w:rFonts w:eastAsia="Calibri"/>
          <w:bCs/>
          <w:i/>
          <w:iCs/>
          <w:szCs w:val="22"/>
          <w:lang w:eastAsia="en-US"/>
        </w:rPr>
      </w:pPr>
    </w:p>
    <w:p w14:paraId="7860EC48" w14:textId="449D95FA" w:rsidR="009B065B" w:rsidRPr="006A4EF1" w:rsidRDefault="009B065B" w:rsidP="006A4EF1">
      <w:pPr>
        <w:spacing w:line="276" w:lineRule="auto"/>
        <w:ind w:left="567" w:right="539"/>
        <w:rPr>
          <w:rFonts w:eastAsia="Calibri"/>
          <w:bCs/>
          <w:i/>
          <w:iCs/>
          <w:szCs w:val="22"/>
          <w:lang w:eastAsia="en-US"/>
        </w:rPr>
      </w:pPr>
      <w:r w:rsidRPr="006A4EF1">
        <w:rPr>
          <w:rFonts w:eastAsia="Calibri"/>
          <w:bCs/>
          <w:i/>
          <w:iCs/>
          <w:szCs w:val="22"/>
          <w:lang w:eastAsia="en-US"/>
        </w:rPr>
        <w:t xml:space="preserve">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 </w:t>
      </w:r>
    </w:p>
    <w:p w14:paraId="39557FD7" w14:textId="77777777" w:rsidR="009B065B" w:rsidRPr="006A4EF1" w:rsidRDefault="009B065B" w:rsidP="006A4EF1">
      <w:pPr>
        <w:spacing w:line="276" w:lineRule="auto"/>
        <w:ind w:left="567" w:right="539"/>
        <w:rPr>
          <w:rFonts w:eastAsia="Calibri"/>
          <w:bCs/>
          <w:iCs/>
          <w:szCs w:val="22"/>
          <w:lang w:eastAsia="en-US"/>
        </w:rPr>
      </w:pPr>
    </w:p>
    <w:p w14:paraId="34B579C2" w14:textId="02A6C8AF" w:rsidR="009B065B" w:rsidRPr="006A4EF1" w:rsidRDefault="009B065B" w:rsidP="006A4EF1">
      <w:pPr>
        <w:spacing w:line="276" w:lineRule="auto"/>
        <w:ind w:left="567" w:right="539"/>
        <w:rPr>
          <w:rFonts w:eastAsia="Palatino Linotype" w:cs="Palatino Linotype"/>
          <w:bCs/>
          <w:i/>
          <w:iCs/>
          <w:szCs w:val="22"/>
        </w:rPr>
      </w:pPr>
      <w:r w:rsidRPr="006A4EF1">
        <w:rPr>
          <w:rFonts w:eastAsia="Palatino Linotype" w:cs="Palatino Linotype"/>
          <w:bCs/>
          <w:i/>
          <w:iCs/>
          <w:szCs w:val="22"/>
        </w:rPr>
        <w:t xml:space="preserve">En el supuesto que la información ordenada no obre en los archivos del </w:t>
      </w:r>
      <w:r w:rsidRPr="006A4EF1">
        <w:rPr>
          <w:rFonts w:eastAsia="Palatino Linotype" w:cs="Palatino Linotype"/>
          <w:b/>
          <w:bCs/>
          <w:i/>
          <w:iCs/>
          <w:szCs w:val="22"/>
        </w:rPr>
        <w:t>SUJETO OBLIGADO</w:t>
      </w:r>
      <w:r w:rsidRPr="006A4EF1">
        <w:rPr>
          <w:rFonts w:eastAsia="Palatino Linotype" w:cs="Palatino Linotype"/>
          <w:bCs/>
          <w:i/>
          <w:iCs/>
          <w:szCs w:val="22"/>
        </w:rPr>
        <w:t xml:space="preserve">, por no haberse generado, bastará con que así se haga del conocimiento de </w:t>
      </w:r>
      <w:r w:rsidRPr="006A4EF1">
        <w:rPr>
          <w:rFonts w:eastAsia="Palatino Linotype" w:cs="Palatino Linotype"/>
          <w:b/>
          <w:bCs/>
          <w:i/>
          <w:iCs/>
          <w:szCs w:val="22"/>
        </w:rPr>
        <w:t>LA PARTE RECURRENTE</w:t>
      </w:r>
      <w:r w:rsidRPr="006A4EF1">
        <w:rPr>
          <w:rFonts w:eastAsia="Palatino Linotype" w:cs="Palatino Linotype"/>
          <w:bCs/>
          <w:i/>
          <w:iCs/>
          <w:szCs w:val="22"/>
        </w:rPr>
        <w:t>.</w:t>
      </w:r>
    </w:p>
    <w:p w14:paraId="67780CC5" w14:textId="77777777" w:rsidR="00CE5812" w:rsidRPr="006A4EF1" w:rsidRDefault="00CE5812" w:rsidP="006A4EF1">
      <w:pPr>
        <w:ind w:right="-93"/>
        <w:rPr>
          <w:rFonts w:eastAsia="Calibri" w:cs="Tahoma"/>
          <w:bCs/>
          <w:szCs w:val="22"/>
          <w:lang w:eastAsia="en-US"/>
        </w:rPr>
      </w:pPr>
    </w:p>
    <w:p w14:paraId="038EBC9C" w14:textId="77777777" w:rsidR="00CE5812" w:rsidRPr="006A4EF1" w:rsidRDefault="00CE5812" w:rsidP="006A4EF1">
      <w:pPr>
        <w:rPr>
          <w:szCs w:val="22"/>
        </w:rPr>
      </w:pPr>
      <w:r w:rsidRPr="006A4EF1">
        <w:rPr>
          <w:b/>
          <w:bCs/>
          <w:szCs w:val="22"/>
        </w:rPr>
        <w:lastRenderedPageBreak/>
        <w:t>TERCERO.</w:t>
      </w:r>
      <w:r w:rsidRPr="006A4EF1">
        <w:rPr>
          <w:szCs w:val="22"/>
        </w:rPr>
        <w:t xml:space="preserve"> Notifíquese vía Sistema de Acceso a la Información Mexiquense (</w:t>
      </w:r>
      <w:r w:rsidRPr="006A4EF1">
        <w:rPr>
          <w:b/>
          <w:szCs w:val="22"/>
        </w:rPr>
        <w:t>SAIMEX</w:t>
      </w:r>
      <w:r w:rsidRPr="006A4EF1">
        <w:rPr>
          <w:szCs w:val="22"/>
        </w:rPr>
        <w:t xml:space="preserve">) la presente resolución al Titular de la Unidad de Transparencia del </w:t>
      </w:r>
      <w:r w:rsidRPr="006A4EF1">
        <w:rPr>
          <w:b/>
          <w:bCs/>
          <w:szCs w:val="22"/>
        </w:rPr>
        <w:t>SUJETO OBLIGADO</w:t>
      </w:r>
      <w:r w:rsidRPr="006A4EF1">
        <w:rPr>
          <w:szCs w:val="22"/>
        </w:rPr>
        <w:t xml:space="preserve">, para que conforme al artículo 186 último párrafo, 189 segundo párrafo y 194 de la Ley de Transparencia y Acceso a la Información Pública del Estado de México y Municipios, dé cumplimiento a lo ordenado dentro del plazo de </w:t>
      </w:r>
      <w:r w:rsidRPr="006A4EF1">
        <w:rPr>
          <w:b/>
          <w:bCs/>
          <w:szCs w:val="22"/>
        </w:rPr>
        <w:t>diez días hábiles</w:t>
      </w:r>
      <w:r w:rsidRPr="006A4EF1">
        <w:rPr>
          <w:szCs w:val="22"/>
        </w:rPr>
        <w:t xml:space="preserve">, e informe a este Instituto en un plazo de </w:t>
      </w:r>
      <w:r w:rsidRPr="006A4EF1">
        <w:rPr>
          <w:b/>
          <w:bCs/>
          <w:szCs w:val="22"/>
        </w:rPr>
        <w:t>tres días hábiles</w:t>
      </w:r>
      <w:r w:rsidRPr="006A4EF1">
        <w:rPr>
          <w:szCs w:val="22"/>
        </w:rPr>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5E65463" w14:textId="77777777" w:rsidR="00CE5812" w:rsidRPr="006A4EF1" w:rsidRDefault="00CE5812" w:rsidP="006A4EF1">
      <w:pPr>
        <w:rPr>
          <w:szCs w:val="22"/>
        </w:rPr>
      </w:pPr>
    </w:p>
    <w:p w14:paraId="404017C8" w14:textId="77777777" w:rsidR="00CE5812" w:rsidRPr="006A4EF1" w:rsidRDefault="00CE5812" w:rsidP="006A4EF1">
      <w:pPr>
        <w:rPr>
          <w:szCs w:val="22"/>
        </w:rPr>
      </w:pPr>
      <w:r w:rsidRPr="006A4EF1">
        <w:rPr>
          <w:b/>
          <w:bCs/>
          <w:szCs w:val="22"/>
        </w:rPr>
        <w:t>CUARTO.</w:t>
      </w:r>
      <w:r w:rsidRPr="006A4EF1">
        <w:rPr>
          <w:szCs w:val="22"/>
        </w:rPr>
        <w:t xml:space="preserve"> Notifíquese a </w:t>
      </w:r>
      <w:r w:rsidRPr="006A4EF1">
        <w:rPr>
          <w:b/>
          <w:bCs/>
          <w:szCs w:val="22"/>
        </w:rPr>
        <w:t>LA PARTE RECURRENTE</w:t>
      </w:r>
      <w:r w:rsidRPr="006A4EF1">
        <w:rPr>
          <w:szCs w:val="22"/>
        </w:rPr>
        <w:t xml:space="preserve"> la presente resolución vía Sistema de Acceso a la Información Mexiquense (</w:t>
      </w:r>
      <w:r w:rsidRPr="006A4EF1">
        <w:rPr>
          <w:b/>
          <w:szCs w:val="22"/>
        </w:rPr>
        <w:t>SAIMEX</w:t>
      </w:r>
      <w:r w:rsidRPr="006A4EF1">
        <w:rPr>
          <w:szCs w:val="22"/>
        </w:rPr>
        <w:t>).</w:t>
      </w:r>
    </w:p>
    <w:p w14:paraId="75DD27DF" w14:textId="77777777" w:rsidR="00CE5812" w:rsidRPr="006A4EF1" w:rsidRDefault="00CE5812" w:rsidP="006A4EF1">
      <w:pPr>
        <w:rPr>
          <w:szCs w:val="22"/>
        </w:rPr>
      </w:pPr>
    </w:p>
    <w:p w14:paraId="404F9C82" w14:textId="77777777" w:rsidR="00CE5812" w:rsidRPr="006A4EF1" w:rsidRDefault="00CE5812" w:rsidP="006A4EF1">
      <w:pPr>
        <w:rPr>
          <w:szCs w:val="22"/>
        </w:rPr>
      </w:pPr>
      <w:r w:rsidRPr="006A4EF1">
        <w:rPr>
          <w:b/>
          <w:bCs/>
          <w:szCs w:val="22"/>
        </w:rPr>
        <w:t>QUINTO</w:t>
      </w:r>
      <w:r w:rsidRPr="006A4EF1">
        <w:rPr>
          <w:szCs w:val="22"/>
        </w:rPr>
        <w:t xml:space="preserve">. Hágase del conocimiento a </w:t>
      </w:r>
      <w:r w:rsidRPr="006A4EF1">
        <w:rPr>
          <w:b/>
          <w:bCs/>
          <w:szCs w:val="22"/>
        </w:rPr>
        <w:t>LA PARTE RECURRENTE</w:t>
      </w:r>
      <w:r w:rsidRPr="006A4EF1">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93402DD" w14:textId="77777777" w:rsidR="00CE5812" w:rsidRPr="006A4EF1" w:rsidRDefault="00CE5812" w:rsidP="006A4EF1">
      <w:pPr>
        <w:rPr>
          <w:szCs w:val="22"/>
        </w:rPr>
      </w:pPr>
    </w:p>
    <w:p w14:paraId="6B5EB7BE" w14:textId="77777777" w:rsidR="00CE5812" w:rsidRPr="006A4EF1" w:rsidRDefault="00CE5812" w:rsidP="006A4EF1">
      <w:pPr>
        <w:rPr>
          <w:szCs w:val="22"/>
        </w:rPr>
      </w:pPr>
      <w:r w:rsidRPr="006A4EF1">
        <w:rPr>
          <w:b/>
          <w:bCs/>
          <w:szCs w:val="22"/>
        </w:rPr>
        <w:t>SEXTO.</w:t>
      </w:r>
      <w:r w:rsidRPr="006A4EF1">
        <w:rPr>
          <w:szCs w:val="22"/>
        </w:rPr>
        <w:t xml:space="preserve"> De conformidad con el artículo 198 de la Ley de Transparencia y Acceso a la Información Pública del Estado de México y Municipios, el </w:t>
      </w:r>
      <w:r w:rsidRPr="006A4EF1">
        <w:rPr>
          <w:b/>
          <w:bCs/>
          <w:szCs w:val="22"/>
        </w:rPr>
        <w:t>SUJETO OBLIGADO</w:t>
      </w:r>
      <w:r w:rsidRPr="006A4EF1">
        <w:rPr>
          <w:szCs w:val="22"/>
        </w:rPr>
        <w:t xml:space="preserve"> podrá solicitar una ampliación de plazo de manera fundada y motivada, para el cumplimiento de la presente resolución.</w:t>
      </w:r>
    </w:p>
    <w:p w14:paraId="0C13B523" w14:textId="391C32D6" w:rsidR="00CE5812" w:rsidRPr="006A4EF1" w:rsidRDefault="00CE5812" w:rsidP="006A4EF1">
      <w:pPr>
        <w:rPr>
          <w:rFonts w:eastAsia="Palatino Linotype" w:cs="Palatino Linotype"/>
          <w:szCs w:val="22"/>
        </w:rPr>
      </w:pPr>
    </w:p>
    <w:p w14:paraId="09D70B65" w14:textId="77777777" w:rsidR="006302BF" w:rsidRPr="006A4EF1" w:rsidRDefault="006302BF" w:rsidP="006A4EF1">
      <w:pPr>
        <w:rPr>
          <w:rFonts w:eastAsia="Palatino Linotype" w:cs="Palatino Linotype"/>
          <w:szCs w:val="22"/>
        </w:rPr>
      </w:pPr>
    </w:p>
    <w:p w14:paraId="719A5C63" w14:textId="2B3C79C6" w:rsidR="00664420" w:rsidRPr="006A4EF1" w:rsidRDefault="00664420" w:rsidP="006A4EF1">
      <w:pPr>
        <w:rPr>
          <w:rFonts w:eastAsia="Palatino Linotype" w:cs="Palatino Linotype"/>
          <w:szCs w:val="22"/>
        </w:rPr>
      </w:pPr>
      <w:r w:rsidRPr="006A4EF1">
        <w:rPr>
          <w:rFonts w:eastAsia="Palatino Linotype" w:cs="Palatino Linotype"/>
          <w:szCs w:val="22"/>
        </w:rPr>
        <w:lastRenderedPageBreak/>
        <w:t xml:space="preserve">ASÍ LO RESUELVE, POR </w:t>
      </w:r>
      <w:r w:rsidR="006A4EF1">
        <w:rPr>
          <w:rFonts w:eastAsia="Palatino Linotype" w:cs="Palatino Linotype"/>
          <w:szCs w:val="22"/>
        </w:rPr>
        <w:t>MAYORÍA</w:t>
      </w:r>
      <w:r w:rsidRPr="006A4EF1">
        <w:rPr>
          <w:rFonts w:eastAsia="Palatino Linotype" w:cs="Palatino Linotype"/>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6A4EF1">
        <w:rPr>
          <w:rFonts w:eastAsia="Palatino Linotype" w:cs="Palatino Linotype"/>
          <w:szCs w:val="22"/>
        </w:rPr>
        <w:t xml:space="preserve"> EMITIENDO VOTO DISIDENTE</w:t>
      </w:r>
      <w:r w:rsidRPr="006A4EF1">
        <w:rPr>
          <w:rFonts w:eastAsia="Palatino Linotype" w:cs="Palatino Linotype"/>
          <w:szCs w:val="22"/>
        </w:rPr>
        <w:t xml:space="preserve"> Y GUADALUPE RAMÍREZ PEÑA, EN LA </w:t>
      </w:r>
      <w:r w:rsidR="00CC783A" w:rsidRPr="006A4EF1">
        <w:rPr>
          <w:rFonts w:eastAsia="Palatino Linotype" w:cs="Palatino Linotype"/>
          <w:szCs w:val="22"/>
        </w:rPr>
        <w:t>TRIGÉSIMA</w:t>
      </w:r>
      <w:r w:rsidR="00336B4B" w:rsidRPr="006A4EF1">
        <w:rPr>
          <w:rFonts w:eastAsia="Palatino Linotype" w:cs="Palatino Linotype"/>
          <w:szCs w:val="22"/>
        </w:rPr>
        <w:t xml:space="preserve"> </w:t>
      </w:r>
      <w:r w:rsidR="00086B6D" w:rsidRPr="006A4EF1">
        <w:rPr>
          <w:rFonts w:eastAsia="Palatino Linotype" w:cs="Palatino Linotype"/>
          <w:szCs w:val="22"/>
        </w:rPr>
        <w:t>SÉPTIMA</w:t>
      </w:r>
      <w:r w:rsidR="00C5325A" w:rsidRPr="006A4EF1">
        <w:rPr>
          <w:rFonts w:eastAsia="Palatino Linotype" w:cs="Palatino Linotype"/>
          <w:szCs w:val="22"/>
        </w:rPr>
        <w:t xml:space="preserve"> </w:t>
      </w:r>
      <w:r w:rsidRPr="006A4EF1">
        <w:rPr>
          <w:rFonts w:eastAsia="Palatino Linotype" w:cs="Palatino Linotype"/>
          <w:szCs w:val="22"/>
        </w:rPr>
        <w:t xml:space="preserve">SESIÓN ORDINARIA, CELEBRADA EL </w:t>
      </w:r>
      <w:r w:rsidR="00086B6D" w:rsidRPr="006A4EF1">
        <w:rPr>
          <w:rFonts w:eastAsia="Palatino Linotype" w:cs="Palatino Linotype"/>
          <w:szCs w:val="22"/>
        </w:rPr>
        <w:t>DIECISÉIS</w:t>
      </w:r>
      <w:r w:rsidR="00AC0209" w:rsidRPr="006A4EF1">
        <w:rPr>
          <w:rFonts w:eastAsia="Palatino Linotype" w:cs="Palatino Linotype"/>
          <w:szCs w:val="22"/>
        </w:rPr>
        <w:t xml:space="preserve"> DE OCTUBRE</w:t>
      </w:r>
      <w:r w:rsidR="00336B4B" w:rsidRPr="006A4EF1">
        <w:rPr>
          <w:rFonts w:eastAsia="Palatino Linotype" w:cs="Palatino Linotype"/>
          <w:szCs w:val="22"/>
        </w:rPr>
        <w:t xml:space="preserve"> DE DOS MIL VEINTICUATRO, </w:t>
      </w:r>
      <w:r w:rsidRPr="006A4EF1">
        <w:rPr>
          <w:rFonts w:eastAsia="Palatino Linotype" w:cs="Palatino Linotype"/>
          <w:szCs w:val="22"/>
        </w:rPr>
        <w:t>ANTE EL SECRETARIO TÉCNICO DEL PLENO, ALEXIS TAPIA RAMÍREZ.</w:t>
      </w:r>
    </w:p>
    <w:p w14:paraId="26F5FDEB" w14:textId="77777777" w:rsidR="008629A5" w:rsidRPr="006A4EF1" w:rsidRDefault="008629A5" w:rsidP="006A4EF1">
      <w:pPr>
        <w:ind w:right="-93"/>
        <w:rPr>
          <w:szCs w:val="22"/>
        </w:rPr>
      </w:pPr>
      <w:r w:rsidRPr="006A4EF1">
        <w:rPr>
          <w:rFonts w:eastAsia="Palatino Linotype" w:cs="Palatino Linotype"/>
          <w:szCs w:val="22"/>
        </w:rPr>
        <w:t>SCMM/AGZ/DEMF/PAG</w:t>
      </w:r>
    </w:p>
    <w:p w14:paraId="49D72DA3" w14:textId="77777777" w:rsidR="00664420" w:rsidRPr="006A4EF1" w:rsidRDefault="00664420" w:rsidP="006A4EF1">
      <w:pPr>
        <w:ind w:right="-93"/>
        <w:rPr>
          <w:rFonts w:eastAsia="Calibri" w:cs="Tahoma"/>
          <w:bCs/>
          <w:szCs w:val="22"/>
          <w:lang w:eastAsia="en-US"/>
        </w:rPr>
      </w:pPr>
    </w:p>
    <w:p w14:paraId="5EFEA0CD" w14:textId="77777777" w:rsidR="00664420" w:rsidRPr="006A4EF1" w:rsidRDefault="00664420" w:rsidP="006A4EF1">
      <w:pPr>
        <w:ind w:right="-93"/>
        <w:rPr>
          <w:rFonts w:eastAsia="Calibri" w:cs="Tahoma"/>
          <w:szCs w:val="22"/>
          <w:lang w:val="es-ES"/>
        </w:rPr>
      </w:pPr>
    </w:p>
    <w:p w14:paraId="696BC976" w14:textId="77777777" w:rsidR="00664420" w:rsidRPr="006A4EF1" w:rsidRDefault="00664420" w:rsidP="006A4EF1">
      <w:pPr>
        <w:ind w:right="-93"/>
        <w:rPr>
          <w:rFonts w:eastAsia="Calibri" w:cs="Tahoma"/>
          <w:bCs/>
          <w:szCs w:val="22"/>
          <w:lang w:val="es-ES" w:eastAsia="en-US"/>
        </w:rPr>
      </w:pPr>
    </w:p>
    <w:p w14:paraId="671CB0C5" w14:textId="77777777" w:rsidR="00664420" w:rsidRPr="006A4EF1" w:rsidRDefault="00664420" w:rsidP="006A4EF1">
      <w:pPr>
        <w:ind w:right="-93"/>
        <w:rPr>
          <w:rFonts w:eastAsia="Calibri" w:cs="Tahoma"/>
          <w:bCs/>
          <w:szCs w:val="22"/>
          <w:lang w:val="es-ES_tradnl" w:eastAsia="en-US"/>
        </w:rPr>
      </w:pPr>
    </w:p>
    <w:p w14:paraId="52B66DE7" w14:textId="77777777" w:rsidR="00664420" w:rsidRPr="006A4EF1" w:rsidRDefault="00664420" w:rsidP="006A4EF1">
      <w:pPr>
        <w:ind w:right="-93"/>
        <w:rPr>
          <w:rFonts w:eastAsia="Calibri" w:cs="Tahoma"/>
          <w:bCs/>
          <w:szCs w:val="22"/>
          <w:lang w:val="es-ES_tradnl" w:eastAsia="en-US"/>
        </w:rPr>
      </w:pPr>
    </w:p>
    <w:p w14:paraId="3BA305D1" w14:textId="77777777" w:rsidR="00664420" w:rsidRPr="006A4EF1" w:rsidRDefault="00664420" w:rsidP="006A4EF1">
      <w:pPr>
        <w:ind w:right="-93"/>
        <w:rPr>
          <w:rFonts w:eastAsia="Calibri" w:cs="Tahoma"/>
          <w:bCs/>
          <w:szCs w:val="22"/>
          <w:lang w:val="es-ES_tradnl" w:eastAsia="en-US"/>
        </w:rPr>
      </w:pPr>
    </w:p>
    <w:p w14:paraId="78230707" w14:textId="77777777" w:rsidR="00664420" w:rsidRPr="006A4EF1" w:rsidRDefault="00664420" w:rsidP="006A4EF1">
      <w:pPr>
        <w:ind w:right="-93"/>
        <w:rPr>
          <w:rFonts w:eastAsia="Calibri" w:cs="Tahoma"/>
          <w:bCs/>
          <w:szCs w:val="22"/>
          <w:lang w:val="es-ES_tradnl" w:eastAsia="en-US"/>
        </w:rPr>
      </w:pPr>
    </w:p>
    <w:p w14:paraId="72D18B28" w14:textId="77777777" w:rsidR="00664420" w:rsidRPr="006A4EF1" w:rsidRDefault="00664420" w:rsidP="006A4EF1">
      <w:pPr>
        <w:ind w:right="-93"/>
        <w:rPr>
          <w:rFonts w:eastAsia="Calibri" w:cs="Tahoma"/>
          <w:bCs/>
          <w:szCs w:val="22"/>
          <w:lang w:val="es-ES_tradnl" w:eastAsia="en-US"/>
        </w:rPr>
      </w:pPr>
    </w:p>
    <w:p w14:paraId="6BD461DC" w14:textId="77777777" w:rsidR="00664420" w:rsidRPr="006A4EF1" w:rsidRDefault="00664420" w:rsidP="006A4EF1">
      <w:pPr>
        <w:tabs>
          <w:tab w:val="center" w:pos="4568"/>
        </w:tabs>
        <w:ind w:right="-93"/>
        <w:rPr>
          <w:rFonts w:eastAsia="Calibri" w:cs="Tahoma"/>
          <w:bCs/>
          <w:szCs w:val="22"/>
          <w:lang w:eastAsia="en-US"/>
        </w:rPr>
      </w:pPr>
    </w:p>
    <w:p w14:paraId="4DBB1727" w14:textId="77777777" w:rsidR="00664420" w:rsidRPr="006A4EF1" w:rsidRDefault="00664420" w:rsidP="006A4EF1">
      <w:pPr>
        <w:tabs>
          <w:tab w:val="center" w:pos="4568"/>
        </w:tabs>
        <w:ind w:right="-93"/>
        <w:rPr>
          <w:rFonts w:eastAsia="Calibri" w:cs="Tahoma"/>
          <w:bCs/>
          <w:szCs w:val="22"/>
          <w:lang w:eastAsia="en-US"/>
        </w:rPr>
      </w:pPr>
    </w:p>
    <w:p w14:paraId="1D74121B" w14:textId="77777777" w:rsidR="00664420" w:rsidRPr="006A4EF1" w:rsidRDefault="00664420" w:rsidP="006A4EF1">
      <w:pPr>
        <w:tabs>
          <w:tab w:val="center" w:pos="4568"/>
        </w:tabs>
        <w:ind w:right="-93"/>
        <w:rPr>
          <w:rFonts w:eastAsia="Calibri" w:cs="Tahoma"/>
          <w:bCs/>
          <w:szCs w:val="22"/>
          <w:lang w:eastAsia="en-US"/>
        </w:rPr>
      </w:pPr>
    </w:p>
    <w:p w14:paraId="08E74E9C" w14:textId="77777777" w:rsidR="00664420" w:rsidRPr="006A4EF1" w:rsidRDefault="00664420" w:rsidP="006A4EF1">
      <w:pPr>
        <w:tabs>
          <w:tab w:val="center" w:pos="4568"/>
        </w:tabs>
        <w:ind w:right="-93"/>
        <w:rPr>
          <w:rFonts w:eastAsia="Calibri" w:cs="Tahoma"/>
          <w:bCs/>
          <w:szCs w:val="22"/>
          <w:lang w:eastAsia="en-US"/>
        </w:rPr>
      </w:pPr>
    </w:p>
    <w:p w14:paraId="2CBF5E03" w14:textId="77777777" w:rsidR="00664420" w:rsidRPr="006A4EF1" w:rsidRDefault="00664420" w:rsidP="006A4EF1">
      <w:pPr>
        <w:tabs>
          <w:tab w:val="center" w:pos="4568"/>
        </w:tabs>
        <w:ind w:right="-93"/>
        <w:rPr>
          <w:rFonts w:eastAsia="Calibri" w:cs="Tahoma"/>
          <w:bCs/>
          <w:szCs w:val="22"/>
          <w:lang w:eastAsia="en-US"/>
        </w:rPr>
      </w:pPr>
    </w:p>
    <w:p w14:paraId="44865A6D" w14:textId="77777777" w:rsidR="00664420" w:rsidRPr="006A4EF1" w:rsidRDefault="00664420" w:rsidP="006A4EF1">
      <w:pPr>
        <w:tabs>
          <w:tab w:val="center" w:pos="4568"/>
        </w:tabs>
        <w:ind w:right="-93"/>
        <w:rPr>
          <w:rFonts w:eastAsia="Calibri" w:cs="Tahoma"/>
          <w:bCs/>
          <w:szCs w:val="22"/>
          <w:lang w:eastAsia="en-US"/>
        </w:rPr>
      </w:pPr>
    </w:p>
    <w:p w14:paraId="7147F06B" w14:textId="77777777" w:rsidR="00664420" w:rsidRPr="006A4EF1" w:rsidRDefault="00664420" w:rsidP="006A4EF1">
      <w:pPr>
        <w:tabs>
          <w:tab w:val="center" w:pos="4568"/>
        </w:tabs>
        <w:ind w:right="-93"/>
        <w:rPr>
          <w:rFonts w:eastAsia="Calibri" w:cs="Tahoma"/>
          <w:bCs/>
          <w:szCs w:val="22"/>
          <w:lang w:eastAsia="en-US"/>
        </w:rPr>
      </w:pPr>
    </w:p>
    <w:p w14:paraId="6FDF3D7E" w14:textId="77777777" w:rsidR="00664420" w:rsidRPr="006A4EF1" w:rsidRDefault="00664420" w:rsidP="006A4EF1">
      <w:pPr>
        <w:tabs>
          <w:tab w:val="center" w:pos="4568"/>
        </w:tabs>
        <w:ind w:right="-93"/>
        <w:rPr>
          <w:rFonts w:eastAsia="Calibri" w:cs="Tahoma"/>
          <w:bCs/>
          <w:szCs w:val="22"/>
          <w:lang w:eastAsia="en-US"/>
        </w:rPr>
      </w:pPr>
    </w:p>
    <w:p w14:paraId="6246F818" w14:textId="77777777" w:rsidR="00664420" w:rsidRPr="006A4EF1" w:rsidRDefault="00664420" w:rsidP="006A4EF1">
      <w:pPr>
        <w:tabs>
          <w:tab w:val="center" w:pos="4568"/>
        </w:tabs>
        <w:ind w:right="-93"/>
        <w:rPr>
          <w:rFonts w:eastAsia="Calibri" w:cs="Tahoma"/>
          <w:bCs/>
          <w:szCs w:val="22"/>
          <w:lang w:eastAsia="en-US"/>
        </w:rPr>
      </w:pPr>
    </w:p>
    <w:p w14:paraId="57A88B28" w14:textId="77777777" w:rsidR="00664420" w:rsidRPr="006A4EF1" w:rsidRDefault="00664420" w:rsidP="006A4EF1">
      <w:pPr>
        <w:tabs>
          <w:tab w:val="center" w:pos="4568"/>
        </w:tabs>
        <w:ind w:right="-93"/>
        <w:rPr>
          <w:rFonts w:eastAsia="Calibri" w:cs="Tahoma"/>
          <w:bCs/>
          <w:szCs w:val="22"/>
          <w:lang w:eastAsia="en-US"/>
        </w:rPr>
      </w:pPr>
    </w:p>
    <w:p w14:paraId="77EF6095" w14:textId="77777777" w:rsidR="00664420" w:rsidRPr="006A4EF1" w:rsidRDefault="00664420" w:rsidP="006A4EF1">
      <w:pPr>
        <w:tabs>
          <w:tab w:val="center" w:pos="4568"/>
        </w:tabs>
        <w:ind w:right="-93"/>
        <w:rPr>
          <w:rFonts w:eastAsia="Calibri" w:cs="Tahoma"/>
          <w:bCs/>
          <w:szCs w:val="22"/>
          <w:lang w:eastAsia="en-US"/>
        </w:rPr>
      </w:pPr>
    </w:p>
    <w:p w14:paraId="35593947" w14:textId="77777777" w:rsidR="00664420" w:rsidRPr="006A4EF1" w:rsidRDefault="00664420" w:rsidP="006A4EF1">
      <w:pPr>
        <w:tabs>
          <w:tab w:val="center" w:pos="4568"/>
        </w:tabs>
        <w:ind w:right="-93"/>
        <w:rPr>
          <w:rFonts w:eastAsia="Calibri" w:cs="Tahoma"/>
          <w:bCs/>
          <w:szCs w:val="22"/>
          <w:lang w:eastAsia="en-US"/>
        </w:rPr>
      </w:pPr>
    </w:p>
    <w:p w14:paraId="3AF72A17" w14:textId="77777777" w:rsidR="00664420" w:rsidRPr="006A4EF1" w:rsidRDefault="00664420" w:rsidP="006A4EF1">
      <w:pPr>
        <w:tabs>
          <w:tab w:val="center" w:pos="4568"/>
        </w:tabs>
        <w:ind w:right="-93"/>
        <w:rPr>
          <w:rFonts w:eastAsia="Calibri" w:cs="Tahoma"/>
          <w:bCs/>
          <w:szCs w:val="22"/>
          <w:lang w:eastAsia="en-US"/>
        </w:rPr>
      </w:pPr>
    </w:p>
    <w:p w14:paraId="37169144" w14:textId="77777777" w:rsidR="00664420" w:rsidRPr="006A4EF1" w:rsidRDefault="00664420" w:rsidP="006A4EF1">
      <w:pPr>
        <w:tabs>
          <w:tab w:val="center" w:pos="4568"/>
        </w:tabs>
        <w:ind w:right="-93"/>
        <w:rPr>
          <w:rFonts w:eastAsia="Calibri" w:cs="Tahoma"/>
          <w:bCs/>
          <w:szCs w:val="22"/>
          <w:lang w:eastAsia="en-US"/>
        </w:rPr>
      </w:pPr>
    </w:p>
    <w:p w14:paraId="77CFC088" w14:textId="77777777" w:rsidR="00664420" w:rsidRPr="006A4EF1" w:rsidRDefault="00664420" w:rsidP="006A4EF1">
      <w:pPr>
        <w:tabs>
          <w:tab w:val="center" w:pos="4568"/>
        </w:tabs>
        <w:ind w:right="-93"/>
        <w:rPr>
          <w:rFonts w:eastAsia="Calibri" w:cs="Tahoma"/>
          <w:bCs/>
          <w:szCs w:val="22"/>
          <w:lang w:eastAsia="en-US"/>
        </w:rPr>
      </w:pPr>
    </w:p>
    <w:p w14:paraId="781A11A5" w14:textId="77777777" w:rsidR="00664420" w:rsidRPr="006A4EF1" w:rsidRDefault="00664420" w:rsidP="006A4EF1">
      <w:pPr>
        <w:tabs>
          <w:tab w:val="center" w:pos="4568"/>
        </w:tabs>
        <w:ind w:right="-93"/>
        <w:rPr>
          <w:rFonts w:eastAsia="Calibri" w:cs="Tahoma"/>
          <w:bCs/>
          <w:szCs w:val="22"/>
          <w:lang w:eastAsia="en-US"/>
        </w:rPr>
      </w:pPr>
    </w:p>
    <w:p w14:paraId="5B4ADFF3" w14:textId="77777777" w:rsidR="00A131AC" w:rsidRPr="006A4EF1" w:rsidRDefault="00A131AC" w:rsidP="006A4EF1">
      <w:pPr>
        <w:rPr>
          <w:szCs w:val="22"/>
        </w:rPr>
      </w:pPr>
    </w:p>
    <w:sectPr w:rsidR="00A131AC" w:rsidRPr="006A4EF1" w:rsidSect="00EE2AF2">
      <w:footerReference w:type="default" r:id="rId18"/>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8A721" w14:textId="77777777" w:rsidR="009A2272" w:rsidRDefault="009A2272" w:rsidP="00664420">
      <w:pPr>
        <w:spacing w:line="240" w:lineRule="auto"/>
      </w:pPr>
      <w:r>
        <w:separator/>
      </w:r>
    </w:p>
  </w:endnote>
  <w:endnote w:type="continuationSeparator" w:id="0">
    <w:p w14:paraId="1482DF7B" w14:textId="77777777" w:rsidR="009A2272" w:rsidRDefault="009A2272"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00000001" w:usb1="00000003" w:usb2="00000000" w:usb3="00000000" w:csb0="0000019F" w:csb1="00000000"/>
  </w:font>
  <w:font w:name="Aptos Display">
    <w:altName w:val="Calibri"/>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D71BC2" w:rsidRDefault="00D71BC2">
    <w:pPr>
      <w:tabs>
        <w:tab w:val="center" w:pos="4550"/>
        <w:tab w:val="left" w:pos="5818"/>
      </w:tabs>
      <w:ind w:right="260"/>
      <w:jc w:val="right"/>
      <w:rPr>
        <w:color w:val="071320" w:themeColor="text2" w:themeShade="80"/>
        <w:sz w:val="24"/>
        <w:szCs w:val="24"/>
      </w:rPr>
    </w:pPr>
  </w:p>
  <w:p w14:paraId="1BCA7F23" w14:textId="77777777" w:rsidR="00D71BC2" w:rsidRDefault="00D71BC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D71BC2" w:rsidRDefault="00D71BC2">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9E5261" w:rsidRPr="009E5261">
      <w:rPr>
        <w:noProof/>
        <w:color w:val="0A1D30" w:themeColor="text2" w:themeShade="BF"/>
        <w:sz w:val="24"/>
        <w:szCs w:val="24"/>
        <w:lang w:val="es-ES"/>
      </w:rPr>
      <w:t>35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9E5261" w:rsidRPr="009E5261">
      <w:rPr>
        <w:noProof/>
        <w:color w:val="0A1D30" w:themeColor="text2" w:themeShade="BF"/>
        <w:sz w:val="24"/>
        <w:szCs w:val="24"/>
        <w:lang w:val="es-ES"/>
      </w:rPr>
      <w:t>39</w:t>
    </w:r>
    <w:r>
      <w:rPr>
        <w:color w:val="0A1D30" w:themeColor="text2" w:themeShade="BF"/>
        <w:sz w:val="24"/>
        <w:szCs w:val="24"/>
      </w:rPr>
      <w:fldChar w:fldCharType="end"/>
    </w:r>
  </w:p>
  <w:p w14:paraId="310E15C0" w14:textId="77777777" w:rsidR="00D71BC2" w:rsidRDefault="00D71BC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A7DE6" w14:textId="77777777" w:rsidR="009A2272" w:rsidRDefault="009A2272" w:rsidP="00664420">
      <w:pPr>
        <w:spacing w:line="240" w:lineRule="auto"/>
      </w:pPr>
      <w:r>
        <w:separator/>
      </w:r>
    </w:p>
  </w:footnote>
  <w:footnote w:type="continuationSeparator" w:id="0">
    <w:p w14:paraId="624B9B0E" w14:textId="77777777" w:rsidR="009A2272" w:rsidRDefault="009A2272" w:rsidP="00664420">
      <w:pPr>
        <w:spacing w:line="240" w:lineRule="auto"/>
      </w:pPr>
      <w:r>
        <w:continuationSeparator/>
      </w:r>
    </w:p>
  </w:footnote>
  <w:footnote w:id="1">
    <w:p w14:paraId="208DD799" w14:textId="77777777" w:rsidR="00D71BC2" w:rsidRDefault="00D71BC2" w:rsidP="00D71BC2">
      <w:pPr>
        <w:rPr>
          <w:rFonts w:eastAsia="Palatino Linotype" w:cs="Palatino Linotype"/>
          <w:sz w:val="16"/>
          <w:szCs w:val="16"/>
        </w:rPr>
      </w:pPr>
      <w:r>
        <w:rPr>
          <w:vertAlign w:val="superscript"/>
        </w:rPr>
        <w:footnoteRef/>
      </w:r>
      <w:r>
        <w:rPr>
          <w:rFonts w:eastAsia="Palatino Linotype" w:cs="Palatino Linotype"/>
          <w:sz w:val="16"/>
          <w:szCs w:val="16"/>
        </w:rPr>
        <w:t xml:space="preserve"> BURGOA ORIHUELA Ignacio. </w:t>
      </w:r>
      <w:r>
        <w:rPr>
          <w:rFonts w:eastAsia="Palatino Linotype" w:cs="Palatino Linotype"/>
          <w:i/>
          <w:sz w:val="16"/>
          <w:szCs w:val="16"/>
        </w:rPr>
        <w:t>Diccionario De Derecho Constitucional, Garantías y Amparo</w:t>
      </w:r>
      <w:r>
        <w:rPr>
          <w:rFonts w:eastAsia="Palatino Linotype" w:cs="Palatino Linotype"/>
          <w:sz w:val="16"/>
          <w:szCs w:val="16"/>
        </w:rPr>
        <w:t>. Ed. Porrúa, S.A., México. 1992. p. 115.</w:t>
      </w:r>
    </w:p>
  </w:footnote>
  <w:footnote w:id="2">
    <w:p w14:paraId="7C94D2F2" w14:textId="77777777" w:rsidR="00D71BC2" w:rsidRDefault="00D71BC2" w:rsidP="00D71BC2">
      <w:pPr>
        <w:pBdr>
          <w:top w:val="nil"/>
          <w:left w:val="nil"/>
          <w:bottom w:val="nil"/>
          <w:right w:val="nil"/>
          <w:between w:val="nil"/>
        </w:pBdr>
        <w:rPr>
          <w:rFonts w:eastAsia="Palatino Linotype" w:cs="Palatino Linotype"/>
          <w:i/>
          <w:color w:val="000000"/>
          <w:sz w:val="16"/>
          <w:szCs w:val="16"/>
        </w:rPr>
      </w:pPr>
      <w:r>
        <w:rPr>
          <w:vertAlign w:val="superscript"/>
        </w:rPr>
        <w:footnoteRef/>
      </w:r>
      <w:r>
        <w:rPr>
          <w:rFonts w:eastAsia="Palatino Linotype" w:cs="Palatino Linotype"/>
          <w:color w:val="000000"/>
          <w:sz w:val="16"/>
          <w:szCs w:val="16"/>
        </w:rPr>
        <w:t xml:space="preserve"> CIENFUEGOS SALGADO David. </w:t>
      </w:r>
      <w:r>
        <w:rPr>
          <w:rFonts w:eastAsia="Palatino Linotype" w:cs="Palatino Linotype"/>
          <w:i/>
          <w:color w:val="000000"/>
          <w:sz w:val="16"/>
          <w:szCs w:val="16"/>
        </w:rPr>
        <w:t xml:space="preserve">El Derecho de Petición en México. </w:t>
      </w:r>
      <w:r>
        <w:rPr>
          <w:rFonts w:eastAsia="Palatino Linotype" w:cs="Palatino Linotype"/>
          <w:color w:val="000000"/>
          <w:sz w:val="16"/>
          <w:szCs w:val="16"/>
        </w:rPr>
        <w:t>Ed. Instituto de Investigaciones Jurídica UNAM. México 2004. p. 31</w:t>
      </w:r>
    </w:p>
  </w:footnote>
  <w:footnote w:id="3">
    <w:p w14:paraId="746D859C" w14:textId="77777777" w:rsidR="00D71BC2" w:rsidRDefault="00D71BC2" w:rsidP="00D71BC2">
      <w:pPr>
        <w:pBdr>
          <w:top w:val="nil"/>
          <w:left w:val="nil"/>
          <w:bottom w:val="nil"/>
          <w:right w:val="nil"/>
          <w:between w:val="nil"/>
        </w:pBdr>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ROBLES HERNÁNDEZ José Guadalupe. </w:t>
      </w:r>
      <w:r>
        <w:rPr>
          <w:rFonts w:eastAsia="Palatino Linotype" w:cs="Palatino Linotype"/>
          <w:i/>
          <w:color w:val="000000"/>
          <w:sz w:val="16"/>
          <w:szCs w:val="16"/>
        </w:rPr>
        <w:t xml:space="preserve">Derecho de la Información y Comunicación Pública. </w:t>
      </w:r>
      <w:r>
        <w:rPr>
          <w:rFonts w:eastAsia="Palatino Linotype" w:cs="Palatino Linotype"/>
          <w:color w:val="000000"/>
          <w:sz w:val="16"/>
          <w:szCs w:val="16"/>
        </w:rPr>
        <w:t>Ed. Universidad de Occidente. México. 2004, p. 72.</w:t>
      </w:r>
    </w:p>
  </w:footnote>
  <w:footnote w:id="4">
    <w:p w14:paraId="28ABA54A" w14:textId="77777777" w:rsidR="00D71BC2" w:rsidRDefault="00D71BC2" w:rsidP="00D71BC2">
      <w:pPr>
        <w:pStyle w:val="Textonotapie"/>
      </w:pPr>
      <w:r>
        <w:rPr>
          <w:rStyle w:val="Refdenotaalpie"/>
        </w:rPr>
        <w:footnoteRef/>
      </w:r>
      <w:r>
        <w:t xml:space="preserve"> </w:t>
      </w:r>
      <w:r>
        <w:rPr>
          <w:rFonts w:eastAsia="Palatino Linotype" w:cs="Palatino Linotype"/>
          <w:sz w:val="16"/>
          <w:szCs w:val="16"/>
        </w:rPr>
        <w:t xml:space="preserve">VILLANUEVA </w:t>
      </w:r>
      <w:proofErr w:type="spellStart"/>
      <w:r>
        <w:rPr>
          <w:rFonts w:eastAsia="Palatino Linotype" w:cs="Palatino Linotype"/>
          <w:sz w:val="16"/>
          <w:szCs w:val="16"/>
        </w:rPr>
        <w:t>VILLANUEVA</w:t>
      </w:r>
      <w:proofErr w:type="spellEnd"/>
      <w:r>
        <w:rPr>
          <w:rFonts w:eastAsia="Palatino Linotype" w:cs="Palatino Linotype"/>
          <w:sz w:val="16"/>
          <w:szCs w:val="16"/>
        </w:rPr>
        <w:t xml:space="preserve"> Ernesto. Derecho de la Información, Ed. Porrúa. S.A., México. 2006. p. 270.</w:t>
      </w:r>
    </w:p>
  </w:footnote>
  <w:footnote w:id="5">
    <w:p w14:paraId="55066A0C" w14:textId="77777777" w:rsidR="00D71BC2" w:rsidRDefault="00D71BC2" w:rsidP="00673008">
      <w:pPr>
        <w:pBdr>
          <w:top w:val="nil"/>
          <w:left w:val="nil"/>
          <w:bottom w:val="nil"/>
          <w:right w:val="nil"/>
          <w:between w:val="nil"/>
        </w:pBdr>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Artículo 53. Las Unidades de Transparencia tendrán las siguientes funciones:</w:t>
      </w:r>
    </w:p>
    <w:p w14:paraId="721F3CCD" w14:textId="77777777" w:rsidR="00D71BC2" w:rsidRDefault="00D71BC2" w:rsidP="00673008">
      <w:pPr>
        <w:pBdr>
          <w:top w:val="nil"/>
          <w:left w:val="nil"/>
          <w:bottom w:val="nil"/>
          <w:right w:val="nil"/>
          <w:between w:val="nil"/>
        </w:pBdr>
        <w:rPr>
          <w:rFonts w:eastAsia="Palatino Linotype" w:cs="Palatino Linotype"/>
          <w:color w:val="000000"/>
          <w:sz w:val="16"/>
          <w:szCs w:val="16"/>
        </w:rPr>
      </w:pPr>
      <w:r>
        <w:rPr>
          <w:rFonts w:eastAsia="Palatino Linotype" w:cs="Palatino Linotype"/>
          <w:color w:val="000000"/>
          <w:sz w:val="16"/>
          <w:szCs w:val="16"/>
        </w:rPr>
        <w:t>II. Recibir, tramitar y dar respuesta a las solicitudes de acceso a la información;</w:t>
      </w:r>
    </w:p>
    <w:p w14:paraId="336C7AA3" w14:textId="77777777" w:rsidR="00D71BC2" w:rsidRDefault="00D71BC2" w:rsidP="00673008">
      <w:pPr>
        <w:pBdr>
          <w:top w:val="nil"/>
          <w:left w:val="nil"/>
          <w:bottom w:val="nil"/>
          <w:right w:val="nil"/>
          <w:between w:val="nil"/>
        </w:pBdr>
        <w:rPr>
          <w:rFonts w:eastAsia="Palatino Linotype" w:cs="Palatino Linotype"/>
          <w:color w:val="000000"/>
          <w:sz w:val="16"/>
          <w:szCs w:val="16"/>
        </w:rPr>
      </w:pPr>
      <w:r>
        <w:rPr>
          <w:rFonts w:eastAsia="Palatino Linotype" w:cs="Palatino Linotype"/>
          <w:color w:val="000000"/>
          <w:sz w:val="16"/>
          <w:szCs w:val="16"/>
        </w:rPr>
        <w:t>IV. Realizar, con efectividad, los trámites internos necesarios para la atención de las solicitudes de acceso a la información;</w:t>
      </w:r>
    </w:p>
  </w:footnote>
  <w:footnote w:id="6">
    <w:p w14:paraId="63A983EC" w14:textId="77777777" w:rsidR="00D71BC2" w:rsidRDefault="00D71BC2" w:rsidP="00673008">
      <w:pPr>
        <w:pBdr>
          <w:top w:val="nil"/>
          <w:left w:val="nil"/>
          <w:bottom w:val="nil"/>
          <w:right w:val="nil"/>
          <w:between w:val="nil"/>
        </w:pBdr>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D71BC2" w:rsidRPr="00330DA7" w14:paraId="070A4B18" w14:textId="77777777" w:rsidTr="003F35FD">
      <w:trPr>
        <w:trHeight w:val="144"/>
        <w:jc w:val="right"/>
      </w:trPr>
      <w:tc>
        <w:tcPr>
          <w:tcW w:w="2727" w:type="dxa"/>
        </w:tcPr>
        <w:p w14:paraId="62B7493A" w14:textId="77777777" w:rsidR="00D71BC2" w:rsidRPr="00330DA7" w:rsidRDefault="00D71BC2"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3BB2ED1" w:rsidR="00D71BC2" w:rsidRPr="00A90C72" w:rsidRDefault="00D71BC2" w:rsidP="000748DF">
          <w:pPr>
            <w:tabs>
              <w:tab w:val="right" w:pos="8838"/>
            </w:tabs>
            <w:ind w:left="-74" w:right="-105"/>
            <w:rPr>
              <w:rFonts w:eastAsia="Calibri" w:cs="Tahoma"/>
              <w:szCs w:val="22"/>
              <w:lang w:eastAsia="en-US"/>
            </w:rPr>
          </w:pPr>
          <w:r w:rsidRPr="006F6C45">
            <w:rPr>
              <w:rFonts w:eastAsia="Calibri" w:cs="Tahoma"/>
              <w:szCs w:val="22"/>
              <w:lang w:eastAsia="en-US"/>
            </w:rPr>
            <w:t>05817/INFOEM/IP/RR/2024</w:t>
          </w:r>
        </w:p>
      </w:tc>
    </w:tr>
    <w:tr w:rsidR="00D71BC2" w:rsidRPr="00330DA7" w14:paraId="4521E058" w14:textId="77777777" w:rsidTr="003F35FD">
      <w:trPr>
        <w:trHeight w:val="283"/>
        <w:jc w:val="right"/>
      </w:trPr>
      <w:tc>
        <w:tcPr>
          <w:tcW w:w="2727" w:type="dxa"/>
        </w:tcPr>
        <w:p w14:paraId="0B68C086" w14:textId="77777777" w:rsidR="00D71BC2" w:rsidRPr="00330DA7" w:rsidRDefault="00D71BC2"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E190EE6" w:rsidR="00D71BC2" w:rsidRPr="00952DD0" w:rsidRDefault="00D71BC2" w:rsidP="003F35FD">
          <w:pPr>
            <w:tabs>
              <w:tab w:val="left" w:pos="2834"/>
              <w:tab w:val="right" w:pos="8838"/>
            </w:tabs>
            <w:ind w:left="-108" w:right="-105"/>
            <w:rPr>
              <w:rFonts w:eastAsia="Calibri" w:cs="Tahoma"/>
              <w:szCs w:val="22"/>
              <w:lang w:eastAsia="en-US"/>
            </w:rPr>
          </w:pPr>
          <w:r w:rsidRPr="006F6C45">
            <w:rPr>
              <w:rFonts w:eastAsia="Calibri" w:cs="Tahoma"/>
              <w:szCs w:val="22"/>
              <w:lang w:eastAsia="en-US"/>
            </w:rPr>
            <w:t>Ayuntamiento de la Paz</w:t>
          </w:r>
        </w:p>
      </w:tc>
    </w:tr>
    <w:tr w:rsidR="00D71BC2" w:rsidRPr="00330DA7" w14:paraId="6331D9B6" w14:textId="77777777" w:rsidTr="003F35FD">
      <w:trPr>
        <w:trHeight w:val="283"/>
        <w:jc w:val="right"/>
      </w:trPr>
      <w:tc>
        <w:tcPr>
          <w:tcW w:w="2727" w:type="dxa"/>
        </w:tcPr>
        <w:p w14:paraId="3FA86BAE" w14:textId="68E88B1D" w:rsidR="00D71BC2" w:rsidRPr="00330DA7" w:rsidRDefault="00D71BC2"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D71BC2" w:rsidRPr="00EA66FC" w:rsidRDefault="00D71BC2"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D71BC2" w:rsidRPr="00443C6B" w:rsidRDefault="00D71BC2"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D71BC2" w:rsidRPr="00330DA7" w14:paraId="29CFF901" w14:textId="77777777" w:rsidTr="004B56B4">
      <w:trPr>
        <w:trHeight w:val="1435"/>
      </w:trPr>
      <w:tc>
        <w:tcPr>
          <w:tcW w:w="283" w:type="dxa"/>
          <w:shd w:val="clear" w:color="auto" w:fill="auto"/>
        </w:tcPr>
        <w:p w14:paraId="046B9F8F" w14:textId="56D2D896" w:rsidR="00D71BC2" w:rsidRPr="00330DA7" w:rsidRDefault="00D71BC2"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D71BC2" w:rsidRPr="00330DA7" w14:paraId="04F272D2" w14:textId="77777777" w:rsidTr="004B56B4">
            <w:trPr>
              <w:trHeight w:val="144"/>
            </w:trPr>
            <w:tc>
              <w:tcPr>
                <w:tcW w:w="2727" w:type="dxa"/>
              </w:tcPr>
              <w:p w14:paraId="2FD4DBF6" w14:textId="77777777" w:rsidR="00D71BC2" w:rsidRPr="00330DA7" w:rsidRDefault="00D71BC2" w:rsidP="005F3813">
                <w:pPr>
                  <w:tabs>
                    <w:tab w:val="right" w:pos="8838"/>
                  </w:tabs>
                  <w:spacing w:line="240" w:lineRule="auto"/>
                  <w:ind w:left="-74" w:right="-108"/>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31D6F0CC" w:rsidR="00D71BC2" w:rsidRPr="00A90C72" w:rsidRDefault="00D71BC2" w:rsidP="005F3813">
                <w:pPr>
                  <w:tabs>
                    <w:tab w:val="right" w:pos="8838"/>
                  </w:tabs>
                  <w:spacing w:line="240" w:lineRule="auto"/>
                  <w:ind w:left="-74" w:right="-108"/>
                  <w:rPr>
                    <w:rFonts w:eastAsia="Calibri" w:cs="Tahoma"/>
                    <w:szCs w:val="22"/>
                    <w:lang w:eastAsia="en-US"/>
                  </w:rPr>
                </w:pPr>
                <w:r w:rsidRPr="006F6C45">
                  <w:rPr>
                    <w:rFonts w:eastAsia="Calibri" w:cs="Tahoma"/>
                    <w:szCs w:val="22"/>
                    <w:lang w:eastAsia="en-US"/>
                  </w:rPr>
                  <w:t>05817/INFOEM/IP/RR/2024</w:t>
                </w:r>
              </w:p>
            </w:tc>
            <w:tc>
              <w:tcPr>
                <w:tcW w:w="3402" w:type="dxa"/>
              </w:tcPr>
              <w:p w14:paraId="71DEA1CF" w14:textId="77777777" w:rsidR="00D71BC2" w:rsidRDefault="00D71BC2" w:rsidP="005F3813">
                <w:pPr>
                  <w:tabs>
                    <w:tab w:val="right" w:pos="8838"/>
                  </w:tabs>
                  <w:spacing w:line="240" w:lineRule="auto"/>
                  <w:ind w:left="-74" w:right="-108"/>
                  <w:rPr>
                    <w:rFonts w:eastAsia="Calibri" w:cs="Tahoma"/>
                    <w:szCs w:val="22"/>
                    <w:lang w:eastAsia="en-US"/>
                  </w:rPr>
                </w:pPr>
              </w:p>
            </w:tc>
          </w:tr>
          <w:tr w:rsidR="00D71BC2" w:rsidRPr="00330DA7" w14:paraId="05C58951" w14:textId="77777777" w:rsidTr="004B56B4">
            <w:trPr>
              <w:trHeight w:val="144"/>
            </w:trPr>
            <w:tc>
              <w:tcPr>
                <w:tcW w:w="2727" w:type="dxa"/>
              </w:tcPr>
              <w:p w14:paraId="642B9610" w14:textId="77777777" w:rsidR="00D71BC2" w:rsidRPr="00330DA7" w:rsidRDefault="00D71BC2" w:rsidP="005F3813">
                <w:pPr>
                  <w:tabs>
                    <w:tab w:val="right" w:pos="8838"/>
                  </w:tabs>
                  <w:spacing w:line="240" w:lineRule="auto"/>
                  <w:ind w:left="-74" w:right="-108"/>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72E03F4D" w:rsidR="00D71BC2" w:rsidRPr="005F19B1" w:rsidRDefault="009E5261" w:rsidP="005F3813">
                <w:pPr>
                  <w:tabs>
                    <w:tab w:val="left" w:pos="3122"/>
                    <w:tab w:val="right" w:pos="8838"/>
                  </w:tabs>
                  <w:spacing w:line="240" w:lineRule="auto"/>
                  <w:ind w:left="-105" w:right="-108"/>
                  <w:rPr>
                    <w:rFonts w:eastAsia="Calibri" w:cs="Tahoma"/>
                    <w:szCs w:val="22"/>
                    <w:lang w:eastAsia="en-US"/>
                  </w:rPr>
                </w:pPr>
                <w:r>
                  <w:rPr>
                    <w:rFonts w:eastAsia="Calibri" w:cs="Tahoma"/>
                    <w:szCs w:val="22"/>
                    <w:lang w:eastAsia="en-US"/>
                  </w:rPr>
                  <w:t xml:space="preserve">XXXXXX </w:t>
                </w:r>
                <w:proofErr w:type="spellStart"/>
                <w:r>
                  <w:rPr>
                    <w:rFonts w:eastAsia="Calibri" w:cs="Tahoma"/>
                    <w:szCs w:val="22"/>
                    <w:lang w:eastAsia="en-US"/>
                  </w:rPr>
                  <w:t>XXXXXX</w:t>
                </w:r>
                <w:proofErr w:type="spellEnd"/>
                <w:r>
                  <w:rPr>
                    <w:rFonts w:eastAsia="Calibri" w:cs="Tahoma"/>
                    <w:szCs w:val="22"/>
                    <w:lang w:eastAsia="en-US"/>
                  </w:rPr>
                  <w:t xml:space="preserve"> XXXXXXX</w:t>
                </w:r>
              </w:p>
            </w:tc>
            <w:tc>
              <w:tcPr>
                <w:tcW w:w="3402" w:type="dxa"/>
              </w:tcPr>
              <w:p w14:paraId="73F47F53" w14:textId="77777777" w:rsidR="00D71BC2" w:rsidRPr="005F19B1" w:rsidRDefault="00D71BC2" w:rsidP="005F3813">
                <w:pPr>
                  <w:tabs>
                    <w:tab w:val="left" w:pos="3122"/>
                    <w:tab w:val="right" w:pos="8838"/>
                  </w:tabs>
                  <w:spacing w:line="240" w:lineRule="auto"/>
                  <w:ind w:left="-105" w:right="-108"/>
                  <w:rPr>
                    <w:rFonts w:eastAsia="Calibri" w:cs="Tahoma"/>
                    <w:szCs w:val="22"/>
                    <w:lang w:eastAsia="en-US"/>
                  </w:rPr>
                </w:pPr>
              </w:p>
            </w:tc>
          </w:tr>
          <w:bookmarkEnd w:id="1"/>
          <w:tr w:rsidR="00D71BC2" w:rsidRPr="00330DA7" w14:paraId="00E6CDC1" w14:textId="77777777" w:rsidTr="004B56B4">
            <w:trPr>
              <w:trHeight w:val="283"/>
            </w:trPr>
            <w:tc>
              <w:tcPr>
                <w:tcW w:w="2727" w:type="dxa"/>
              </w:tcPr>
              <w:p w14:paraId="0631AD24" w14:textId="77777777" w:rsidR="00D71BC2" w:rsidRPr="00330DA7" w:rsidRDefault="00D71BC2"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70882E11" w:rsidR="00D71BC2" w:rsidRPr="00952DD0" w:rsidRDefault="00D71BC2" w:rsidP="005F3813">
                <w:pPr>
                  <w:tabs>
                    <w:tab w:val="left" w:pos="2834"/>
                    <w:tab w:val="right" w:pos="8838"/>
                  </w:tabs>
                  <w:spacing w:line="240" w:lineRule="auto"/>
                  <w:ind w:left="-108" w:right="-108"/>
                  <w:rPr>
                    <w:rFonts w:eastAsia="Calibri" w:cs="Tahoma"/>
                    <w:szCs w:val="22"/>
                    <w:lang w:eastAsia="en-US"/>
                  </w:rPr>
                </w:pPr>
                <w:r w:rsidRPr="006F6C45">
                  <w:rPr>
                    <w:rFonts w:eastAsia="Calibri" w:cs="Tahoma"/>
                    <w:szCs w:val="22"/>
                    <w:lang w:eastAsia="en-US"/>
                  </w:rPr>
                  <w:t>Ayuntamiento de la Paz</w:t>
                </w:r>
              </w:p>
            </w:tc>
            <w:tc>
              <w:tcPr>
                <w:tcW w:w="3402" w:type="dxa"/>
              </w:tcPr>
              <w:p w14:paraId="3A7DA319" w14:textId="77777777" w:rsidR="00D71BC2" w:rsidRPr="00A90C72" w:rsidRDefault="00D71BC2" w:rsidP="005F3813">
                <w:pPr>
                  <w:tabs>
                    <w:tab w:val="left" w:pos="2834"/>
                    <w:tab w:val="right" w:pos="8838"/>
                  </w:tabs>
                  <w:spacing w:line="240" w:lineRule="auto"/>
                  <w:ind w:left="-108" w:right="-108"/>
                  <w:rPr>
                    <w:rFonts w:eastAsia="Calibri" w:cs="Tahoma"/>
                    <w:szCs w:val="22"/>
                    <w:lang w:eastAsia="en-US"/>
                  </w:rPr>
                </w:pPr>
              </w:p>
            </w:tc>
          </w:tr>
          <w:tr w:rsidR="00D71BC2" w:rsidRPr="00330DA7" w14:paraId="0F6CD8D2" w14:textId="77777777" w:rsidTr="004B56B4">
            <w:trPr>
              <w:trHeight w:val="283"/>
            </w:trPr>
            <w:tc>
              <w:tcPr>
                <w:tcW w:w="2727" w:type="dxa"/>
              </w:tcPr>
              <w:p w14:paraId="31700628" w14:textId="032DD90E" w:rsidR="00D71BC2" w:rsidRPr="00330DA7" w:rsidRDefault="00D71BC2"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D71BC2" w:rsidRPr="00EA66FC" w:rsidRDefault="00D71BC2" w:rsidP="005F3813">
                <w:pPr>
                  <w:tabs>
                    <w:tab w:val="right" w:pos="8838"/>
                  </w:tabs>
                  <w:spacing w:line="240" w:lineRule="auto"/>
                  <w:ind w:left="-108" w:right="-108"/>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D71BC2" w:rsidRPr="00330DA7" w:rsidRDefault="00D71BC2" w:rsidP="005F3813">
                <w:pPr>
                  <w:tabs>
                    <w:tab w:val="right" w:pos="8838"/>
                  </w:tabs>
                  <w:spacing w:line="240" w:lineRule="auto"/>
                  <w:ind w:left="-108" w:right="-108"/>
                  <w:rPr>
                    <w:rFonts w:eastAsia="Calibri" w:cs="Tahoma"/>
                    <w:szCs w:val="22"/>
                    <w:lang w:eastAsia="en-US"/>
                  </w:rPr>
                </w:pPr>
              </w:p>
            </w:tc>
          </w:tr>
        </w:tbl>
        <w:p w14:paraId="5DC6AC61" w14:textId="77777777" w:rsidR="00D71BC2" w:rsidRPr="00330DA7" w:rsidRDefault="00D71BC2" w:rsidP="004B56B4">
          <w:pPr>
            <w:tabs>
              <w:tab w:val="right" w:pos="8838"/>
            </w:tabs>
            <w:ind w:left="-28"/>
            <w:rPr>
              <w:rFonts w:ascii="Arial" w:eastAsia="Calibri" w:hAnsi="Arial" w:cs="Arial"/>
              <w:b/>
              <w:szCs w:val="22"/>
              <w:lang w:eastAsia="en-US"/>
            </w:rPr>
          </w:pPr>
        </w:p>
      </w:tc>
    </w:tr>
  </w:tbl>
  <w:p w14:paraId="2A906731" w14:textId="77777777" w:rsidR="00D71BC2" w:rsidRPr="00765661" w:rsidRDefault="009A2272"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243B6"/>
    <w:multiLevelType w:val="hybridMultilevel"/>
    <w:tmpl w:val="ACD6FBA0"/>
    <w:lvl w:ilvl="0" w:tplc="810ABD94">
      <w:start w:val="1"/>
      <w:numFmt w:val="upperRoman"/>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1" w15:restartNumberingAfterBreak="0">
    <w:nsid w:val="117608F0"/>
    <w:multiLevelType w:val="hybridMultilevel"/>
    <w:tmpl w:val="A816BCAE"/>
    <w:lvl w:ilvl="0" w:tplc="4D58A7B8">
      <w:start w:val="1"/>
      <w:numFmt w:val="upperRoman"/>
      <w:suff w:val="space"/>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1D7771"/>
    <w:multiLevelType w:val="hybridMultilevel"/>
    <w:tmpl w:val="6F4A0C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7022270"/>
    <w:multiLevelType w:val="hybridMultilevel"/>
    <w:tmpl w:val="C9D6C66C"/>
    <w:lvl w:ilvl="0" w:tplc="B6906186">
      <w:start w:val="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61607C"/>
    <w:multiLevelType w:val="hybridMultilevel"/>
    <w:tmpl w:val="A6CAFD3E"/>
    <w:lvl w:ilvl="0" w:tplc="3128180A">
      <w:start w:val="23"/>
      <w:numFmt w:val="bullet"/>
      <w:lvlText w:val="-"/>
      <w:lvlJc w:val="left"/>
      <w:pPr>
        <w:ind w:left="927" w:hanging="360"/>
      </w:pPr>
      <w:rPr>
        <w:rFonts w:ascii="Palatino Linotype" w:eastAsiaTheme="majorEastAsia" w:hAnsi="Palatino Linotype" w:cstheme="maj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6" w15:restartNumberingAfterBreak="0">
    <w:nsid w:val="2FD13276"/>
    <w:multiLevelType w:val="hybridMultilevel"/>
    <w:tmpl w:val="1FF2F3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6274622"/>
    <w:multiLevelType w:val="hybridMultilevel"/>
    <w:tmpl w:val="7AA21D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8C0AF0"/>
    <w:multiLevelType w:val="hybridMultilevel"/>
    <w:tmpl w:val="D1962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35A09ED"/>
    <w:multiLevelType w:val="hybridMultilevel"/>
    <w:tmpl w:val="FB6E5326"/>
    <w:lvl w:ilvl="0" w:tplc="810ABD94">
      <w:start w:val="1"/>
      <w:numFmt w:val="upperRoman"/>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10" w15:restartNumberingAfterBreak="0">
    <w:nsid w:val="435F453A"/>
    <w:multiLevelType w:val="hybridMultilevel"/>
    <w:tmpl w:val="280A70F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1" w15:restartNumberingAfterBreak="0">
    <w:nsid w:val="460A2490"/>
    <w:multiLevelType w:val="hybridMultilevel"/>
    <w:tmpl w:val="CD5E194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46B71392"/>
    <w:multiLevelType w:val="hybridMultilevel"/>
    <w:tmpl w:val="F3AA782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4C0812B5"/>
    <w:multiLevelType w:val="hybridMultilevel"/>
    <w:tmpl w:val="BBC4DC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60303B5"/>
    <w:multiLevelType w:val="hybridMultilevel"/>
    <w:tmpl w:val="EE967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8AE5210"/>
    <w:multiLevelType w:val="hybridMultilevel"/>
    <w:tmpl w:val="5234F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8DB0FFA"/>
    <w:multiLevelType w:val="hybridMultilevel"/>
    <w:tmpl w:val="55A2903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7"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94F401D"/>
    <w:multiLevelType w:val="hybridMultilevel"/>
    <w:tmpl w:val="C3F05166"/>
    <w:lvl w:ilvl="0" w:tplc="B6906186">
      <w:start w:val="6"/>
      <w:numFmt w:val="bullet"/>
      <w:lvlText w:val="-"/>
      <w:lvlJc w:val="left"/>
      <w:pPr>
        <w:ind w:left="1428" w:hanging="360"/>
      </w:pPr>
      <w:rPr>
        <w:rFonts w:ascii="Palatino Linotype" w:eastAsia="Times New Roman" w:hAnsi="Palatino Linotype" w:cs="Tahoma"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15:restartNumberingAfterBreak="0">
    <w:nsid w:val="6CE37FE8"/>
    <w:multiLevelType w:val="hybridMultilevel"/>
    <w:tmpl w:val="D534E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F8C1DE4"/>
    <w:multiLevelType w:val="hybridMultilevel"/>
    <w:tmpl w:val="DCAC70A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1" w15:restartNumberingAfterBreak="0">
    <w:nsid w:val="71191189"/>
    <w:multiLevelType w:val="hybridMultilevel"/>
    <w:tmpl w:val="3CBC7A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30844B1"/>
    <w:multiLevelType w:val="hybridMultilevel"/>
    <w:tmpl w:val="62583EE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42C0B54"/>
    <w:multiLevelType w:val="hybridMultilevel"/>
    <w:tmpl w:val="432A02A0"/>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4" w15:restartNumberingAfterBreak="0">
    <w:nsid w:val="74F93886"/>
    <w:multiLevelType w:val="hybridMultilevel"/>
    <w:tmpl w:val="6F6AA56E"/>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7A01723"/>
    <w:multiLevelType w:val="hybridMultilevel"/>
    <w:tmpl w:val="C0DAFE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794A69AF"/>
    <w:multiLevelType w:val="hybridMultilevel"/>
    <w:tmpl w:val="7EA27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3"/>
  </w:num>
  <w:num w:numId="4">
    <w:abstractNumId w:val="18"/>
  </w:num>
  <w:num w:numId="5">
    <w:abstractNumId w:val="15"/>
  </w:num>
  <w:num w:numId="6">
    <w:abstractNumId w:val="14"/>
  </w:num>
  <w:num w:numId="7">
    <w:abstractNumId w:val="8"/>
  </w:num>
  <w:num w:numId="8">
    <w:abstractNumId w:val="12"/>
  </w:num>
  <w:num w:numId="9">
    <w:abstractNumId w:val="25"/>
  </w:num>
  <w:num w:numId="10">
    <w:abstractNumId w:val="10"/>
  </w:num>
  <w:num w:numId="11">
    <w:abstractNumId w:val="20"/>
  </w:num>
  <w:num w:numId="12">
    <w:abstractNumId w:val="11"/>
  </w:num>
  <w:num w:numId="13">
    <w:abstractNumId w:val="24"/>
  </w:num>
  <w:num w:numId="14">
    <w:abstractNumId w:val="22"/>
  </w:num>
  <w:num w:numId="15">
    <w:abstractNumId w:val="4"/>
  </w:num>
  <w:num w:numId="16">
    <w:abstractNumId w:val="21"/>
  </w:num>
  <w:num w:numId="17">
    <w:abstractNumId w:val="19"/>
  </w:num>
  <w:num w:numId="18">
    <w:abstractNumId w:val="26"/>
  </w:num>
  <w:num w:numId="19">
    <w:abstractNumId w:val="23"/>
  </w:num>
  <w:num w:numId="20">
    <w:abstractNumId w:val="5"/>
  </w:num>
  <w:num w:numId="21">
    <w:abstractNumId w:val="2"/>
  </w:num>
  <w:num w:numId="22">
    <w:abstractNumId w:val="9"/>
  </w:num>
  <w:num w:numId="23">
    <w:abstractNumId w:val="0"/>
  </w:num>
  <w:num w:numId="24">
    <w:abstractNumId w:val="7"/>
  </w:num>
  <w:num w:numId="25">
    <w:abstractNumId w:val="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3628"/>
    <w:rsid w:val="0000438F"/>
    <w:rsid w:val="00005C4F"/>
    <w:rsid w:val="0000629A"/>
    <w:rsid w:val="0000788D"/>
    <w:rsid w:val="00007B0E"/>
    <w:rsid w:val="00021886"/>
    <w:rsid w:val="00023457"/>
    <w:rsid w:val="00027010"/>
    <w:rsid w:val="000318BC"/>
    <w:rsid w:val="00034136"/>
    <w:rsid w:val="000352BC"/>
    <w:rsid w:val="00036589"/>
    <w:rsid w:val="00044BDF"/>
    <w:rsid w:val="00047A58"/>
    <w:rsid w:val="00057B2D"/>
    <w:rsid w:val="00062212"/>
    <w:rsid w:val="00063EDE"/>
    <w:rsid w:val="00073F86"/>
    <w:rsid w:val="000748DF"/>
    <w:rsid w:val="00075514"/>
    <w:rsid w:val="00080071"/>
    <w:rsid w:val="00080738"/>
    <w:rsid w:val="00081CC4"/>
    <w:rsid w:val="000820ED"/>
    <w:rsid w:val="00082A7D"/>
    <w:rsid w:val="000853B7"/>
    <w:rsid w:val="000863CE"/>
    <w:rsid w:val="00086B1B"/>
    <w:rsid w:val="00086B6D"/>
    <w:rsid w:val="000871BE"/>
    <w:rsid w:val="00091098"/>
    <w:rsid w:val="000925BE"/>
    <w:rsid w:val="000931F8"/>
    <w:rsid w:val="0009347C"/>
    <w:rsid w:val="0009480D"/>
    <w:rsid w:val="00095892"/>
    <w:rsid w:val="00097130"/>
    <w:rsid w:val="000A57F7"/>
    <w:rsid w:val="000B193A"/>
    <w:rsid w:val="000B3962"/>
    <w:rsid w:val="000B4E8B"/>
    <w:rsid w:val="000C2B8C"/>
    <w:rsid w:val="000C7151"/>
    <w:rsid w:val="000D0D67"/>
    <w:rsid w:val="000D13AD"/>
    <w:rsid w:val="000D5770"/>
    <w:rsid w:val="000E09C4"/>
    <w:rsid w:val="000E3851"/>
    <w:rsid w:val="000E4D48"/>
    <w:rsid w:val="000E5A90"/>
    <w:rsid w:val="000F62AF"/>
    <w:rsid w:val="000F7960"/>
    <w:rsid w:val="0010290C"/>
    <w:rsid w:val="00104035"/>
    <w:rsid w:val="0011350D"/>
    <w:rsid w:val="00113CFA"/>
    <w:rsid w:val="00122332"/>
    <w:rsid w:val="00124714"/>
    <w:rsid w:val="001259D3"/>
    <w:rsid w:val="00125D09"/>
    <w:rsid w:val="00125FB4"/>
    <w:rsid w:val="00126BAB"/>
    <w:rsid w:val="00126BD5"/>
    <w:rsid w:val="00132C51"/>
    <w:rsid w:val="0013398A"/>
    <w:rsid w:val="00134ED3"/>
    <w:rsid w:val="00141876"/>
    <w:rsid w:val="0014207B"/>
    <w:rsid w:val="00150042"/>
    <w:rsid w:val="00150C49"/>
    <w:rsid w:val="0015422F"/>
    <w:rsid w:val="00155428"/>
    <w:rsid w:val="00156277"/>
    <w:rsid w:val="00162F89"/>
    <w:rsid w:val="00164403"/>
    <w:rsid w:val="001655BF"/>
    <w:rsid w:val="0016677D"/>
    <w:rsid w:val="00167FA5"/>
    <w:rsid w:val="00176CA6"/>
    <w:rsid w:val="00182603"/>
    <w:rsid w:val="00182B71"/>
    <w:rsid w:val="001836E8"/>
    <w:rsid w:val="00186A19"/>
    <w:rsid w:val="00197F95"/>
    <w:rsid w:val="001A5691"/>
    <w:rsid w:val="001A58B3"/>
    <w:rsid w:val="001A5E3C"/>
    <w:rsid w:val="001A63EC"/>
    <w:rsid w:val="001B5E06"/>
    <w:rsid w:val="001B5FE8"/>
    <w:rsid w:val="001C1234"/>
    <w:rsid w:val="001C1AE4"/>
    <w:rsid w:val="001C7688"/>
    <w:rsid w:val="001C7E98"/>
    <w:rsid w:val="001D0C50"/>
    <w:rsid w:val="001D34CA"/>
    <w:rsid w:val="001D4CD0"/>
    <w:rsid w:val="001F1BE3"/>
    <w:rsid w:val="001F3515"/>
    <w:rsid w:val="00201689"/>
    <w:rsid w:val="0020698B"/>
    <w:rsid w:val="00207DEA"/>
    <w:rsid w:val="00211229"/>
    <w:rsid w:val="00212CEC"/>
    <w:rsid w:val="00214FC7"/>
    <w:rsid w:val="002163E8"/>
    <w:rsid w:val="00224352"/>
    <w:rsid w:val="002268D4"/>
    <w:rsid w:val="00227FB3"/>
    <w:rsid w:val="0023051D"/>
    <w:rsid w:val="00231CA4"/>
    <w:rsid w:val="00233005"/>
    <w:rsid w:val="00233F17"/>
    <w:rsid w:val="002367E7"/>
    <w:rsid w:val="00241ACF"/>
    <w:rsid w:val="00242B28"/>
    <w:rsid w:val="00244FA6"/>
    <w:rsid w:val="0024744C"/>
    <w:rsid w:val="00247DD5"/>
    <w:rsid w:val="00250799"/>
    <w:rsid w:val="00251056"/>
    <w:rsid w:val="00253742"/>
    <w:rsid w:val="00255111"/>
    <w:rsid w:val="0025601C"/>
    <w:rsid w:val="00261471"/>
    <w:rsid w:val="00263236"/>
    <w:rsid w:val="002651BB"/>
    <w:rsid w:val="00267635"/>
    <w:rsid w:val="00270481"/>
    <w:rsid w:val="00273E73"/>
    <w:rsid w:val="002807DD"/>
    <w:rsid w:val="00283C65"/>
    <w:rsid w:val="00286F15"/>
    <w:rsid w:val="00293D1D"/>
    <w:rsid w:val="0029656A"/>
    <w:rsid w:val="002A3601"/>
    <w:rsid w:val="002B1314"/>
    <w:rsid w:val="002B15CB"/>
    <w:rsid w:val="002B3577"/>
    <w:rsid w:val="002B37C9"/>
    <w:rsid w:val="002B4A8C"/>
    <w:rsid w:val="002B6ADA"/>
    <w:rsid w:val="002B7C6F"/>
    <w:rsid w:val="002C6043"/>
    <w:rsid w:val="002D111C"/>
    <w:rsid w:val="002D2E28"/>
    <w:rsid w:val="002D4497"/>
    <w:rsid w:val="002E0855"/>
    <w:rsid w:val="002E08BE"/>
    <w:rsid w:val="002E2C99"/>
    <w:rsid w:val="002E6465"/>
    <w:rsid w:val="002E69F0"/>
    <w:rsid w:val="002E6DBB"/>
    <w:rsid w:val="002F1C00"/>
    <w:rsid w:val="002F4DBD"/>
    <w:rsid w:val="002F629F"/>
    <w:rsid w:val="003017FC"/>
    <w:rsid w:val="00302476"/>
    <w:rsid w:val="00315789"/>
    <w:rsid w:val="003171F3"/>
    <w:rsid w:val="00321E6F"/>
    <w:rsid w:val="00321F51"/>
    <w:rsid w:val="00322B7E"/>
    <w:rsid w:val="003307A4"/>
    <w:rsid w:val="00331F35"/>
    <w:rsid w:val="0033442A"/>
    <w:rsid w:val="00335767"/>
    <w:rsid w:val="0033585B"/>
    <w:rsid w:val="00335CDF"/>
    <w:rsid w:val="00336B4B"/>
    <w:rsid w:val="00336D38"/>
    <w:rsid w:val="00346A77"/>
    <w:rsid w:val="00357573"/>
    <w:rsid w:val="00360DDD"/>
    <w:rsid w:val="00362A11"/>
    <w:rsid w:val="00362C63"/>
    <w:rsid w:val="00372AF0"/>
    <w:rsid w:val="00374E09"/>
    <w:rsid w:val="0038205E"/>
    <w:rsid w:val="0038284C"/>
    <w:rsid w:val="00384FBD"/>
    <w:rsid w:val="003907A4"/>
    <w:rsid w:val="00391A71"/>
    <w:rsid w:val="00393A73"/>
    <w:rsid w:val="003A1429"/>
    <w:rsid w:val="003A16C4"/>
    <w:rsid w:val="003A36BE"/>
    <w:rsid w:val="003A40C1"/>
    <w:rsid w:val="003A552F"/>
    <w:rsid w:val="003A7ED3"/>
    <w:rsid w:val="003B3762"/>
    <w:rsid w:val="003B3E0B"/>
    <w:rsid w:val="003B475A"/>
    <w:rsid w:val="003B5D3E"/>
    <w:rsid w:val="003B62E6"/>
    <w:rsid w:val="003B77A8"/>
    <w:rsid w:val="003C1E36"/>
    <w:rsid w:val="003D2DF7"/>
    <w:rsid w:val="003D37E4"/>
    <w:rsid w:val="003D43DC"/>
    <w:rsid w:val="003E2DF9"/>
    <w:rsid w:val="003E45CF"/>
    <w:rsid w:val="003E5FDB"/>
    <w:rsid w:val="003F2873"/>
    <w:rsid w:val="003F35FD"/>
    <w:rsid w:val="003F5E69"/>
    <w:rsid w:val="003F71AC"/>
    <w:rsid w:val="003F780F"/>
    <w:rsid w:val="004004E2"/>
    <w:rsid w:val="00402EF0"/>
    <w:rsid w:val="00406F5A"/>
    <w:rsid w:val="00407BE3"/>
    <w:rsid w:val="00410175"/>
    <w:rsid w:val="00410DCA"/>
    <w:rsid w:val="00413154"/>
    <w:rsid w:val="0041385B"/>
    <w:rsid w:val="0041709A"/>
    <w:rsid w:val="004252F1"/>
    <w:rsid w:val="00426E7F"/>
    <w:rsid w:val="004325D2"/>
    <w:rsid w:val="004326C1"/>
    <w:rsid w:val="00435F18"/>
    <w:rsid w:val="00441BFA"/>
    <w:rsid w:val="004427CC"/>
    <w:rsid w:val="00442D21"/>
    <w:rsid w:val="00453B6D"/>
    <w:rsid w:val="00454FBD"/>
    <w:rsid w:val="00455859"/>
    <w:rsid w:val="00456D52"/>
    <w:rsid w:val="00456EE4"/>
    <w:rsid w:val="00462217"/>
    <w:rsid w:val="00464F6A"/>
    <w:rsid w:val="004650AF"/>
    <w:rsid w:val="0047273F"/>
    <w:rsid w:val="00475583"/>
    <w:rsid w:val="004804F2"/>
    <w:rsid w:val="0048159A"/>
    <w:rsid w:val="0048329D"/>
    <w:rsid w:val="00493956"/>
    <w:rsid w:val="00494368"/>
    <w:rsid w:val="00497BFA"/>
    <w:rsid w:val="004A44B6"/>
    <w:rsid w:val="004A7CF3"/>
    <w:rsid w:val="004B05E0"/>
    <w:rsid w:val="004B31EC"/>
    <w:rsid w:val="004B56B4"/>
    <w:rsid w:val="004C1BD1"/>
    <w:rsid w:val="004C25DA"/>
    <w:rsid w:val="004C2719"/>
    <w:rsid w:val="004C629E"/>
    <w:rsid w:val="004C7542"/>
    <w:rsid w:val="004D019F"/>
    <w:rsid w:val="004D18AD"/>
    <w:rsid w:val="004D2AA2"/>
    <w:rsid w:val="004D7988"/>
    <w:rsid w:val="004D7CD8"/>
    <w:rsid w:val="004E10F6"/>
    <w:rsid w:val="004E38B6"/>
    <w:rsid w:val="004E4108"/>
    <w:rsid w:val="004E4B78"/>
    <w:rsid w:val="004E5068"/>
    <w:rsid w:val="004F0690"/>
    <w:rsid w:val="004F24B3"/>
    <w:rsid w:val="004F6E7A"/>
    <w:rsid w:val="004F7A00"/>
    <w:rsid w:val="0050792D"/>
    <w:rsid w:val="00513801"/>
    <w:rsid w:val="00514D86"/>
    <w:rsid w:val="0052341D"/>
    <w:rsid w:val="00523F48"/>
    <w:rsid w:val="00524E6D"/>
    <w:rsid w:val="005272BD"/>
    <w:rsid w:val="005314A3"/>
    <w:rsid w:val="00536482"/>
    <w:rsid w:val="005365FA"/>
    <w:rsid w:val="00545E74"/>
    <w:rsid w:val="00546D39"/>
    <w:rsid w:val="0055491A"/>
    <w:rsid w:val="00554934"/>
    <w:rsid w:val="00557F9B"/>
    <w:rsid w:val="005603CE"/>
    <w:rsid w:val="00561C31"/>
    <w:rsid w:val="00562CFB"/>
    <w:rsid w:val="00565088"/>
    <w:rsid w:val="00566167"/>
    <w:rsid w:val="005666D8"/>
    <w:rsid w:val="005723CB"/>
    <w:rsid w:val="00575400"/>
    <w:rsid w:val="005776E3"/>
    <w:rsid w:val="005856CA"/>
    <w:rsid w:val="00590892"/>
    <w:rsid w:val="005928D2"/>
    <w:rsid w:val="00597A52"/>
    <w:rsid w:val="005A2DBC"/>
    <w:rsid w:val="005A2E48"/>
    <w:rsid w:val="005B18AF"/>
    <w:rsid w:val="005B2E16"/>
    <w:rsid w:val="005B4118"/>
    <w:rsid w:val="005B4701"/>
    <w:rsid w:val="005B7E93"/>
    <w:rsid w:val="005C494E"/>
    <w:rsid w:val="005D4E96"/>
    <w:rsid w:val="005D5A50"/>
    <w:rsid w:val="005D6057"/>
    <w:rsid w:val="005E2369"/>
    <w:rsid w:val="005E7210"/>
    <w:rsid w:val="005F08BC"/>
    <w:rsid w:val="005F2743"/>
    <w:rsid w:val="005F3813"/>
    <w:rsid w:val="005F5301"/>
    <w:rsid w:val="005F5C51"/>
    <w:rsid w:val="005F65B7"/>
    <w:rsid w:val="005F7E3F"/>
    <w:rsid w:val="00600163"/>
    <w:rsid w:val="00600FED"/>
    <w:rsid w:val="006059A2"/>
    <w:rsid w:val="006067C7"/>
    <w:rsid w:val="00612DFA"/>
    <w:rsid w:val="006153F0"/>
    <w:rsid w:val="006159AD"/>
    <w:rsid w:val="00623941"/>
    <w:rsid w:val="006245FB"/>
    <w:rsid w:val="00624690"/>
    <w:rsid w:val="00627062"/>
    <w:rsid w:val="006273C6"/>
    <w:rsid w:val="006302BF"/>
    <w:rsid w:val="00635219"/>
    <w:rsid w:val="006363D2"/>
    <w:rsid w:val="00644A42"/>
    <w:rsid w:val="00644E92"/>
    <w:rsid w:val="00646436"/>
    <w:rsid w:val="0065172E"/>
    <w:rsid w:val="00664420"/>
    <w:rsid w:val="00664C83"/>
    <w:rsid w:val="00670197"/>
    <w:rsid w:val="00670D3E"/>
    <w:rsid w:val="00673008"/>
    <w:rsid w:val="00675166"/>
    <w:rsid w:val="00680D23"/>
    <w:rsid w:val="006827D0"/>
    <w:rsid w:val="00682AF9"/>
    <w:rsid w:val="00682F10"/>
    <w:rsid w:val="00682FB7"/>
    <w:rsid w:val="0068416B"/>
    <w:rsid w:val="00685CF1"/>
    <w:rsid w:val="00686502"/>
    <w:rsid w:val="0068786E"/>
    <w:rsid w:val="00692552"/>
    <w:rsid w:val="0069268F"/>
    <w:rsid w:val="006A0C80"/>
    <w:rsid w:val="006A22AB"/>
    <w:rsid w:val="006A28B4"/>
    <w:rsid w:val="006A4EF1"/>
    <w:rsid w:val="006A54D1"/>
    <w:rsid w:val="006A61F1"/>
    <w:rsid w:val="006A646A"/>
    <w:rsid w:val="006B10B0"/>
    <w:rsid w:val="006B2561"/>
    <w:rsid w:val="006B43A3"/>
    <w:rsid w:val="006B6403"/>
    <w:rsid w:val="006C3622"/>
    <w:rsid w:val="006D2613"/>
    <w:rsid w:val="006D3B40"/>
    <w:rsid w:val="006D42B5"/>
    <w:rsid w:val="006D6791"/>
    <w:rsid w:val="006E23FF"/>
    <w:rsid w:val="006E25BC"/>
    <w:rsid w:val="006E6BBC"/>
    <w:rsid w:val="006F611E"/>
    <w:rsid w:val="006F6371"/>
    <w:rsid w:val="006F64E7"/>
    <w:rsid w:val="006F6C45"/>
    <w:rsid w:val="006F7071"/>
    <w:rsid w:val="006F7768"/>
    <w:rsid w:val="00703A3B"/>
    <w:rsid w:val="00703BC7"/>
    <w:rsid w:val="00707158"/>
    <w:rsid w:val="00712200"/>
    <w:rsid w:val="00717E59"/>
    <w:rsid w:val="00721C72"/>
    <w:rsid w:val="00721C9E"/>
    <w:rsid w:val="00725300"/>
    <w:rsid w:val="007272AF"/>
    <w:rsid w:val="00730E47"/>
    <w:rsid w:val="007328F2"/>
    <w:rsid w:val="00733526"/>
    <w:rsid w:val="007369BE"/>
    <w:rsid w:val="0074635C"/>
    <w:rsid w:val="0075086A"/>
    <w:rsid w:val="007530D0"/>
    <w:rsid w:val="00760756"/>
    <w:rsid w:val="00761E54"/>
    <w:rsid w:val="0076287D"/>
    <w:rsid w:val="00765D0A"/>
    <w:rsid w:val="00766ECE"/>
    <w:rsid w:val="00770864"/>
    <w:rsid w:val="0077382A"/>
    <w:rsid w:val="00773E03"/>
    <w:rsid w:val="00775BFC"/>
    <w:rsid w:val="007771D7"/>
    <w:rsid w:val="0078291B"/>
    <w:rsid w:val="00783C1E"/>
    <w:rsid w:val="00783E37"/>
    <w:rsid w:val="007922C9"/>
    <w:rsid w:val="00792DB5"/>
    <w:rsid w:val="00797492"/>
    <w:rsid w:val="007978D7"/>
    <w:rsid w:val="007A2722"/>
    <w:rsid w:val="007A2AD8"/>
    <w:rsid w:val="007A3459"/>
    <w:rsid w:val="007A5448"/>
    <w:rsid w:val="007B0169"/>
    <w:rsid w:val="007B034E"/>
    <w:rsid w:val="007B6074"/>
    <w:rsid w:val="007B7451"/>
    <w:rsid w:val="007C17CC"/>
    <w:rsid w:val="007C1C17"/>
    <w:rsid w:val="007C6519"/>
    <w:rsid w:val="007D115A"/>
    <w:rsid w:val="007D1C55"/>
    <w:rsid w:val="007D21FF"/>
    <w:rsid w:val="007D317F"/>
    <w:rsid w:val="007E2967"/>
    <w:rsid w:val="007E2C3F"/>
    <w:rsid w:val="007E42B7"/>
    <w:rsid w:val="007E5A3D"/>
    <w:rsid w:val="007F107E"/>
    <w:rsid w:val="007F1BFB"/>
    <w:rsid w:val="007F2531"/>
    <w:rsid w:val="007F3FBF"/>
    <w:rsid w:val="007F5D06"/>
    <w:rsid w:val="007F5ECA"/>
    <w:rsid w:val="00800357"/>
    <w:rsid w:val="00803A08"/>
    <w:rsid w:val="00805A6E"/>
    <w:rsid w:val="00807778"/>
    <w:rsid w:val="0082245B"/>
    <w:rsid w:val="0082247D"/>
    <w:rsid w:val="00824DD7"/>
    <w:rsid w:val="00825672"/>
    <w:rsid w:val="00826371"/>
    <w:rsid w:val="00826A93"/>
    <w:rsid w:val="00830F38"/>
    <w:rsid w:val="00834935"/>
    <w:rsid w:val="0083518A"/>
    <w:rsid w:val="008363CB"/>
    <w:rsid w:val="00837517"/>
    <w:rsid w:val="0084191E"/>
    <w:rsid w:val="008422F0"/>
    <w:rsid w:val="008436D6"/>
    <w:rsid w:val="00851468"/>
    <w:rsid w:val="00855335"/>
    <w:rsid w:val="008629A5"/>
    <w:rsid w:val="008641B9"/>
    <w:rsid w:val="00865277"/>
    <w:rsid w:val="00865CF4"/>
    <w:rsid w:val="008669DA"/>
    <w:rsid w:val="00873611"/>
    <w:rsid w:val="008750D5"/>
    <w:rsid w:val="0087567C"/>
    <w:rsid w:val="00876DBC"/>
    <w:rsid w:val="008842E9"/>
    <w:rsid w:val="00887FC0"/>
    <w:rsid w:val="00891548"/>
    <w:rsid w:val="00893BA2"/>
    <w:rsid w:val="00893F31"/>
    <w:rsid w:val="00896AF7"/>
    <w:rsid w:val="008A09B9"/>
    <w:rsid w:val="008A28C3"/>
    <w:rsid w:val="008A46A1"/>
    <w:rsid w:val="008A6003"/>
    <w:rsid w:val="008A6656"/>
    <w:rsid w:val="008A6AB7"/>
    <w:rsid w:val="008A6F88"/>
    <w:rsid w:val="008B1E16"/>
    <w:rsid w:val="008B38DB"/>
    <w:rsid w:val="008B62FA"/>
    <w:rsid w:val="008C1B87"/>
    <w:rsid w:val="008C6B6E"/>
    <w:rsid w:val="008C7E21"/>
    <w:rsid w:val="008C7FAF"/>
    <w:rsid w:val="008E1316"/>
    <w:rsid w:val="008E19A7"/>
    <w:rsid w:val="008F3837"/>
    <w:rsid w:val="008F6A6B"/>
    <w:rsid w:val="00900DC0"/>
    <w:rsid w:val="00910FD2"/>
    <w:rsid w:val="0091206F"/>
    <w:rsid w:val="00913436"/>
    <w:rsid w:val="0091733B"/>
    <w:rsid w:val="00923307"/>
    <w:rsid w:val="009233B2"/>
    <w:rsid w:val="0092473F"/>
    <w:rsid w:val="0092501E"/>
    <w:rsid w:val="00931437"/>
    <w:rsid w:val="00931891"/>
    <w:rsid w:val="009328A8"/>
    <w:rsid w:val="00933B70"/>
    <w:rsid w:val="00934ECD"/>
    <w:rsid w:val="00940F4F"/>
    <w:rsid w:val="00942A3F"/>
    <w:rsid w:val="00944EFF"/>
    <w:rsid w:val="00952F83"/>
    <w:rsid w:val="00953430"/>
    <w:rsid w:val="00955DCC"/>
    <w:rsid w:val="0096086B"/>
    <w:rsid w:val="00960996"/>
    <w:rsid w:val="00964368"/>
    <w:rsid w:val="0096640F"/>
    <w:rsid w:val="0096663A"/>
    <w:rsid w:val="00970EB3"/>
    <w:rsid w:val="00975CA6"/>
    <w:rsid w:val="00975DDD"/>
    <w:rsid w:val="00977BCC"/>
    <w:rsid w:val="009806B9"/>
    <w:rsid w:val="009830CF"/>
    <w:rsid w:val="00983EEF"/>
    <w:rsid w:val="00984ADE"/>
    <w:rsid w:val="009855AA"/>
    <w:rsid w:val="0098569A"/>
    <w:rsid w:val="00991944"/>
    <w:rsid w:val="0099459E"/>
    <w:rsid w:val="00994B34"/>
    <w:rsid w:val="009A0F7C"/>
    <w:rsid w:val="009A1803"/>
    <w:rsid w:val="009A2272"/>
    <w:rsid w:val="009A2D78"/>
    <w:rsid w:val="009A42BF"/>
    <w:rsid w:val="009A7C10"/>
    <w:rsid w:val="009B065B"/>
    <w:rsid w:val="009B2945"/>
    <w:rsid w:val="009B38F6"/>
    <w:rsid w:val="009B5209"/>
    <w:rsid w:val="009C3863"/>
    <w:rsid w:val="009C644C"/>
    <w:rsid w:val="009C763E"/>
    <w:rsid w:val="009C7CDB"/>
    <w:rsid w:val="009D5BDE"/>
    <w:rsid w:val="009D69F6"/>
    <w:rsid w:val="009E1AD1"/>
    <w:rsid w:val="009E2DEE"/>
    <w:rsid w:val="009E380A"/>
    <w:rsid w:val="009E3CDF"/>
    <w:rsid w:val="009E5261"/>
    <w:rsid w:val="009E57D9"/>
    <w:rsid w:val="009E696C"/>
    <w:rsid w:val="009F5624"/>
    <w:rsid w:val="009F684B"/>
    <w:rsid w:val="009F69D9"/>
    <w:rsid w:val="009F7108"/>
    <w:rsid w:val="009F797C"/>
    <w:rsid w:val="00A00828"/>
    <w:rsid w:val="00A0449B"/>
    <w:rsid w:val="00A053F2"/>
    <w:rsid w:val="00A10236"/>
    <w:rsid w:val="00A10E0E"/>
    <w:rsid w:val="00A131AC"/>
    <w:rsid w:val="00A13713"/>
    <w:rsid w:val="00A13828"/>
    <w:rsid w:val="00A16CEE"/>
    <w:rsid w:val="00A16D85"/>
    <w:rsid w:val="00A21A20"/>
    <w:rsid w:val="00A24D6A"/>
    <w:rsid w:val="00A315D2"/>
    <w:rsid w:val="00A32CA5"/>
    <w:rsid w:val="00A33BDB"/>
    <w:rsid w:val="00A36A99"/>
    <w:rsid w:val="00A42706"/>
    <w:rsid w:val="00A45D1C"/>
    <w:rsid w:val="00A50EBA"/>
    <w:rsid w:val="00A53315"/>
    <w:rsid w:val="00A5371E"/>
    <w:rsid w:val="00A64191"/>
    <w:rsid w:val="00A665E5"/>
    <w:rsid w:val="00A70EF0"/>
    <w:rsid w:val="00A71845"/>
    <w:rsid w:val="00A742B6"/>
    <w:rsid w:val="00A81896"/>
    <w:rsid w:val="00A81DC8"/>
    <w:rsid w:val="00A82F04"/>
    <w:rsid w:val="00A84F9F"/>
    <w:rsid w:val="00A850A3"/>
    <w:rsid w:val="00A9208D"/>
    <w:rsid w:val="00A93923"/>
    <w:rsid w:val="00A94D16"/>
    <w:rsid w:val="00A97CF8"/>
    <w:rsid w:val="00A97E73"/>
    <w:rsid w:val="00AA0841"/>
    <w:rsid w:val="00AA1DCB"/>
    <w:rsid w:val="00AA364B"/>
    <w:rsid w:val="00AA4FA7"/>
    <w:rsid w:val="00AA67DA"/>
    <w:rsid w:val="00AA6EA9"/>
    <w:rsid w:val="00AB1BE1"/>
    <w:rsid w:val="00AB29B8"/>
    <w:rsid w:val="00AB497D"/>
    <w:rsid w:val="00AB7049"/>
    <w:rsid w:val="00AC0209"/>
    <w:rsid w:val="00AC05F1"/>
    <w:rsid w:val="00AC0E3E"/>
    <w:rsid w:val="00AC2DB8"/>
    <w:rsid w:val="00AC3CA0"/>
    <w:rsid w:val="00AC718C"/>
    <w:rsid w:val="00AD0E9E"/>
    <w:rsid w:val="00AE0232"/>
    <w:rsid w:val="00AE3DA7"/>
    <w:rsid w:val="00AE6FFC"/>
    <w:rsid w:val="00AE7030"/>
    <w:rsid w:val="00AF03C4"/>
    <w:rsid w:val="00AF08BD"/>
    <w:rsid w:val="00AF2423"/>
    <w:rsid w:val="00B0006C"/>
    <w:rsid w:val="00B00941"/>
    <w:rsid w:val="00B03976"/>
    <w:rsid w:val="00B03AB8"/>
    <w:rsid w:val="00B047A8"/>
    <w:rsid w:val="00B05F2B"/>
    <w:rsid w:val="00B1412F"/>
    <w:rsid w:val="00B21C80"/>
    <w:rsid w:val="00B22A80"/>
    <w:rsid w:val="00B23C0A"/>
    <w:rsid w:val="00B33DD9"/>
    <w:rsid w:val="00B359AB"/>
    <w:rsid w:val="00B3619B"/>
    <w:rsid w:val="00B36DB1"/>
    <w:rsid w:val="00B416E8"/>
    <w:rsid w:val="00B50E12"/>
    <w:rsid w:val="00B512B6"/>
    <w:rsid w:val="00B540DC"/>
    <w:rsid w:val="00B54463"/>
    <w:rsid w:val="00B54E5A"/>
    <w:rsid w:val="00B55F8F"/>
    <w:rsid w:val="00B562C2"/>
    <w:rsid w:val="00B56F59"/>
    <w:rsid w:val="00B573E8"/>
    <w:rsid w:val="00B60BFC"/>
    <w:rsid w:val="00B62F57"/>
    <w:rsid w:val="00B64A80"/>
    <w:rsid w:val="00B73F84"/>
    <w:rsid w:val="00B82086"/>
    <w:rsid w:val="00B83675"/>
    <w:rsid w:val="00B836C3"/>
    <w:rsid w:val="00B92FAA"/>
    <w:rsid w:val="00B9424E"/>
    <w:rsid w:val="00B96520"/>
    <w:rsid w:val="00B97A00"/>
    <w:rsid w:val="00BA0CF7"/>
    <w:rsid w:val="00BA29BC"/>
    <w:rsid w:val="00BA55A8"/>
    <w:rsid w:val="00BB2663"/>
    <w:rsid w:val="00BB2902"/>
    <w:rsid w:val="00BB2ABF"/>
    <w:rsid w:val="00BB3CAA"/>
    <w:rsid w:val="00BB64F4"/>
    <w:rsid w:val="00BB7B48"/>
    <w:rsid w:val="00BC17A4"/>
    <w:rsid w:val="00BC2617"/>
    <w:rsid w:val="00BC67B0"/>
    <w:rsid w:val="00BC7CDB"/>
    <w:rsid w:val="00BD00B7"/>
    <w:rsid w:val="00BD0200"/>
    <w:rsid w:val="00BD0792"/>
    <w:rsid w:val="00BD3F4F"/>
    <w:rsid w:val="00BD5A7C"/>
    <w:rsid w:val="00BD63AB"/>
    <w:rsid w:val="00BE413E"/>
    <w:rsid w:val="00BE4A8B"/>
    <w:rsid w:val="00BE5FAE"/>
    <w:rsid w:val="00BE7A1B"/>
    <w:rsid w:val="00BF0221"/>
    <w:rsid w:val="00BF091A"/>
    <w:rsid w:val="00BF4236"/>
    <w:rsid w:val="00BF47DD"/>
    <w:rsid w:val="00BF4EAD"/>
    <w:rsid w:val="00BF70F9"/>
    <w:rsid w:val="00C018EB"/>
    <w:rsid w:val="00C02B2B"/>
    <w:rsid w:val="00C02F8E"/>
    <w:rsid w:val="00C0465F"/>
    <w:rsid w:val="00C049E2"/>
    <w:rsid w:val="00C05AB7"/>
    <w:rsid w:val="00C10B7C"/>
    <w:rsid w:val="00C12158"/>
    <w:rsid w:val="00C14971"/>
    <w:rsid w:val="00C14B8D"/>
    <w:rsid w:val="00C17E39"/>
    <w:rsid w:val="00C219BE"/>
    <w:rsid w:val="00C22DCF"/>
    <w:rsid w:val="00C23074"/>
    <w:rsid w:val="00C23C0E"/>
    <w:rsid w:val="00C2691C"/>
    <w:rsid w:val="00C32E8B"/>
    <w:rsid w:val="00C348DE"/>
    <w:rsid w:val="00C36795"/>
    <w:rsid w:val="00C40839"/>
    <w:rsid w:val="00C447A3"/>
    <w:rsid w:val="00C458D6"/>
    <w:rsid w:val="00C46120"/>
    <w:rsid w:val="00C461EC"/>
    <w:rsid w:val="00C46327"/>
    <w:rsid w:val="00C47DAC"/>
    <w:rsid w:val="00C5073C"/>
    <w:rsid w:val="00C507D4"/>
    <w:rsid w:val="00C5325A"/>
    <w:rsid w:val="00C661E9"/>
    <w:rsid w:val="00C67A70"/>
    <w:rsid w:val="00C70866"/>
    <w:rsid w:val="00C70B3F"/>
    <w:rsid w:val="00C71CEF"/>
    <w:rsid w:val="00C71E40"/>
    <w:rsid w:val="00C72DAA"/>
    <w:rsid w:val="00C739C8"/>
    <w:rsid w:val="00C75036"/>
    <w:rsid w:val="00C76E79"/>
    <w:rsid w:val="00C80B14"/>
    <w:rsid w:val="00C82CA9"/>
    <w:rsid w:val="00C84660"/>
    <w:rsid w:val="00C846C3"/>
    <w:rsid w:val="00C861F8"/>
    <w:rsid w:val="00C950EE"/>
    <w:rsid w:val="00CA1018"/>
    <w:rsid w:val="00CA25D9"/>
    <w:rsid w:val="00CA3A28"/>
    <w:rsid w:val="00CA434C"/>
    <w:rsid w:val="00CA6053"/>
    <w:rsid w:val="00CA7606"/>
    <w:rsid w:val="00CB1233"/>
    <w:rsid w:val="00CB3913"/>
    <w:rsid w:val="00CB7B7E"/>
    <w:rsid w:val="00CB7E9A"/>
    <w:rsid w:val="00CC29E8"/>
    <w:rsid w:val="00CC58EF"/>
    <w:rsid w:val="00CC6F39"/>
    <w:rsid w:val="00CC7757"/>
    <w:rsid w:val="00CC783A"/>
    <w:rsid w:val="00CD0871"/>
    <w:rsid w:val="00CD0B92"/>
    <w:rsid w:val="00CD22FC"/>
    <w:rsid w:val="00CD3D41"/>
    <w:rsid w:val="00CD633E"/>
    <w:rsid w:val="00CD68B3"/>
    <w:rsid w:val="00CD75F2"/>
    <w:rsid w:val="00CE0F4F"/>
    <w:rsid w:val="00CE23D7"/>
    <w:rsid w:val="00CE29D3"/>
    <w:rsid w:val="00CE5812"/>
    <w:rsid w:val="00CF10BE"/>
    <w:rsid w:val="00CF15D0"/>
    <w:rsid w:val="00CF2D8B"/>
    <w:rsid w:val="00CF3C01"/>
    <w:rsid w:val="00CF63D9"/>
    <w:rsid w:val="00CF7586"/>
    <w:rsid w:val="00D00B94"/>
    <w:rsid w:val="00D02290"/>
    <w:rsid w:val="00D02CF1"/>
    <w:rsid w:val="00D036D3"/>
    <w:rsid w:val="00D06018"/>
    <w:rsid w:val="00D070C7"/>
    <w:rsid w:val="00D07A10"/>
    <w:rsid w:val="00D107BD"/>
    <w:rsid w:val="00D1261A"/>
    <w:rsid w:val="00D13782"/>
    <w:rsid w:val="00D13A56"/>
    <w:rsid w:val="00D17236"/>
    <w:rsid w:val="00D201B7"/>
    <w:rsid w:val="00D239ED"/>
    <w:rsid w:val="00D27906"/>
    <w:rsid w:val="00D2790D"/>
    <w:rsid w:val="00D43F40"/>
    <w:rsid w:val="00D51ECD"/>
    <w:rsid w:val="00D52C04"/>
    <w:rsid w:val="00D568DC"/>
    <w:rsid w:val="00D6170E"/>
    <w:rsid w:val="00D631B6"/>
    <w:rsid w:val="00D64B5C"/>
    <w:rsid w:val="00D713EE"/>
    <w:rsid w:val="00D71BC2"/>
    <w:rsid w:val="00D74A7D"/>
    <w:rsid w:val="00D75D31"/>
    <w:rsid w:val="00D75EE6"/>
    <w:rsid w:val="00D82968"/>
    <w:rsid w:val="00D84800"/>
    <w:rsid w:val="00D8666D"/>
    <w:rsid w:val="00D91CB4"/>
    <w:rsid w:val="00D92125"/>
    <w:rsid w:val="00D92B62"/>
    <w:rsid w:val="00D93411"/>
    <w:rsid w:val="00D94B50"/>
    <w:rsid w:val="00D94DDB"/>
    <w:rsid w:val="00D9746E"/>
    <w:rsid w:val="00DA4BBD"/>
    <w:rsid w:val="00DB024D"/>
    <w:rsid w:val="00DB1C09"/>
    <w:rsid w:val="00DB28CE"/>
    <w:rsid w:val="00DB3665"/>
    <w:rsid w:val="00DB7889"/>
    <w:rsid w:val="00DC118B"/>
    <w:rsid w:val="00DC367D"/>
    <w:rsid w:val="00DD43D8"/>
    <w:rsid w:val="00DD45ED"/>
    <w:rsid w:val="00DD5AAA"/>
    <w:rsid w:val="00DD6A3F"/>
    <w:rsid w:val="00DE1133"/>
    <w:rsid w:val="00DE1D7B"/>
    <w:rsid w:val="00DE285A"/>
    <w:rsid w:val="00DE656C"/>
    <w:rsid w:val="00DE6C5B"/>
    <w:rsid w:val="00DF01A7"/>
    <w:rsid w:val="00DF039B"/>
    <w:rsid w:val="00DF60AF"/>
    <w:rsid w:val="00E07144"/>
    <w:rsid w:val="00E071FF"/>
    <w:rsid w:val="00E16BF5"/>
    <w:rsid w:val="00E17291"/>
    <w:rsid w:val="00E22F2B"/>
    <w:rsid w:val="00E236E1"/>
    <w:rsid w:val="00E27373"/>
    <w:rsid w:val="00E325AD"/>
    <w:rsid w:val="00E33714"/>
    <w:rsid w:val="00E37A3F"/>
    <w:rsid w:val="00E37D3C"/>
    <w:rsid w:val="00E400A7"/>
    <w:rsid w:val="00E415FE"/>
    <w:rsid w:val="00E41722"/>
    <w:rsid w:val="00E42F58"/>
    <w:rsid w:val="00E47B8A"/>
    <w:rsid w:val="00E50AD5"/>
    <w:rsid w:val="00E572D8"/>
    <w:rsid w:val="00E62E6A"/>
    <w:rsid w:val="00E65CDD"/>
    <w:rsid w:val="00E727BA"/>
    <w:rsid w:val="00E810F7"/>
    <w:rsid w:val="00E832DA"/>
    <w:rsid w:val="00E83AC1"/>
    <w:rsid w:val="00E83EF5"/>
    <w:rsid w:val="00E847F3"/>
    <w:rsid w:val="00E85899"/>
    <w:rsid w:val="00E9137B"/>
    <w:rsid w:val="00E9335C"/>
    <w:rsid w:val="00EA2677"/>
    <w:rsid w:val="00EA5674"/>
    <w:rsid w:val="00EA5B2F"/>
    <w:rsid w:val="00EA66FE"/>
    <w:rsid w:val="00EB100D"/>
    <w:rsid w:val="00EB46DA"/>
    <w:rsid w:val="00EC5C1E"/>
    <w:rsid w:val="00EC7CC9"/>
    <w:rsid w:val="00EC7E8F"/>
    <w:rsid w:val="00ED1788"/>
    <w:rsid w:val="00ED1C1E"/>
    <w:rsid w:val="00ED5B8A"/>
    <w:rsid w:val="00ED7170"/>
    <w:rsid w:val="00EE1B1C"/>
    <w:rsid w:val="00EE2AF2"/>
    <w:rsid w:val="00EE44F7"/>
    <w:rsid w:val="00EE63F1"/>
    <w:rsid w:val="00EE69EA"/>
    <w:rsid w:val="00EE78BF"/>
    <w:rsid w:val="00EF01F6"/>
    <w:rsid w:val="00EF196B"/>
    <w:rsid w:val="00EF1CA6"/>
    <w:rsid w:val="00EF70F1"/>
    <w:rsid w:val="00F00010"/>
    <w:rsid w:val="00F05B15"/>
    <w:rsid w:val="00F0679F"/>
    <w:rsid w:val="00F0712F"/>
    <w:rsid w:val="00F07EE6"/>
    <w:rsid w:val="00F14E9C"/>
    <w:rsid w:val="00F1518E"/>
    <w:rsid w:val="00F171D8"/>
    <w:rsid w:val="00F23C4F"/>
    <w:rsid w:val="00F27EB1"/>
    <w:rsid w:val="00F30117"/>
    <w:rsid w:val="00F302EC"/>
    <w:rsid w:val="00F33026"/>
    <w:rsid w:val="00F33CC8"/>
    <w:rsid w:val="00F34811"/>
    <w:rsid w:val="00F37AB2"/>
    <w:rsid w:val="00F37FC1"/>
    <w:rsid w:val="00F4124A"/>
    <w:rsid w:val="00F41723"/>
    <w:rsid w:val="00F4481C"/>
    <w:rsid w:val="00F460B5"/>
    <w:rsid w:val="00F46F46"/>
    <w:rsid w:val="00F53E56"/>
    <w:rsid w:val="00F560A8"/>
    <w:rsid w:val="00F57997"/>
    <w:rsid w:val="00F57BB5"/>
    <w:rsid w:val="00F57C01"/>
    <w:rsid w:val="00F616E2"/>
    <w:rsid w:val="00F617C4"/>
    <w:rsid w:val="00F6296A"/>
    <w:rsid w:val="00F70BF8"/>
    <w:rsid w:val="00F71C2B"/>
    <w:rsid w:val="00F7584E"/>
    <w:rsid w:val="00F75D23"/>
    <w:rsid w:val="00F86C94"/>
    <w:rsid w:val="00F97027"/>
    <w:rsid w:val="00FA14E2"/>
    <w:rsid w:val="00FA1590"/>
    <w:rsid w:val="00FA2C3D"/>
    <w:rsid w:val="00FA4F5F"/>
    <w:rsid w:val="00FA5957"/>
    <w:rsid w:val="00FA6FC1"/>
    <w:rsid w:val="00FA7155"/>
    <w:rsid w:val="00FA7829"/>
    <w:rsid w:val="00FB1AF5"/>
    <w:rsid w:val="00FB1C2A"/>
    <w:rsid w:val="00FB298B"/>
    <w:rsid w:val="00FB5587"/>
    <w:rsid w:val="00FB7BC4"/>
    <w:rsid w:val="00FC1EAB"/>
    <w:rsid w:val="00FC1FFB"/>
    <w:rsid w:val="00FC36A4"/>
    <w:rsid w:val="00FC3CE0"/>
    <w:rsid w:val="00FC406D"/>
    <w:rsid w:val="00FC6CBC"/>
    <w:rsid w:val="00FC7519"/>
    <w:rsid w:val="00FD06A8"/>
    <w:rsid w:val="00FD1DFA"/>
    <w:rsid w:val="00FD31FC"/>
    <w:rsid w:val="00FD6C50"/>
    <w:rsid w:val="00FD7B88"/>
    <w:rsid w:val="00FE0498"/>
    <w:rsid w:val="00FE23C1"/>
    <w:rsid w:val="00FE4F1F"/>
    <w:rsid w:val="00FE6836"/>
    <w:rsid w:val="00FF28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paragraph" w:customStyle="1" w:styleId="Textoindependiente211">
    <w:name w:val="Texto independiente 211"/>
    <w:basedOn w:val="Normal"/>
    <w:rsid w:val="003B475A"/>
    <w:pPr>
      <w:widowControl w:val="0"/>
      <w:spacing w:after="240" w:line="240" w:lineRule="auto"/>
    </w:pPr>
    <w:rPr>
      <w:rFonts w:ascii="Arial" w:hAnsi="Arial"/>
      <w:b/>
      <w:sz w:val="24"/>
    </w:rPr>
  </w:style>
  <w:style w:type="character" w:customStyle="1" w:styleId="Mencinsinresolver2">
    <w:name w:val="Mención sin resolver2"/>
    <w:basedOn w:val="Fuentedeprrafopredeter"/>
    <w:uiPriority w:val="99"/>
    <w:semiHidden/>
    <w:unhideWhenUsed/>
    <w:rsid w:val="00236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20041">
      <w:bodyDiv w:val="1"/>
      <w:marLeft w:val="0"/>
      <w:marRight w:val="0"/>
      <w:marTop w:val="0"/>
      <w:marBottom w:val="0"/>
      <w:divBdr>
        <w:top w:val="none" w:sz="0" w:space="0" w:color="auto"/>
        <w:left w:val="none" w:sz="0" w:space="0" w:color="auto"/>
        <w:bottom w:val="none" w:sz="0" w:space="0" w:color="auto"/>
        <w:right w:val="none" w:sz="0" w:space="0" w:color="auto"/>
      </w:divBdr>
    </w:div>
    <w:div w:id="26836810">
      <w:bodyDiv w:val="1"/>
      <w:marLeft w:val="0"/>
      <w:marRight w:val="0"/>
      <w:marTop w:val="0"/>
      <w:marBottom w:val="0"/>
      <w:divBdr>
        <w:top w:val="none" w:sz="0" w:space="0" w:color="auto"/>
        <w:left w:val="none" w:sz="0" w:space="0" w:color="auto"/>
        <w:bottom w:val="none" w:sz="0" w:space="0" w:color="auto"/>
        <w:right w:val="none" w:sz="0" w:space="0" w:color="auto"/>
      </w:divBdr>
    </w:div>
    <w:div w:id="37703540">
      <w:bodyDiv w:val="1"/>
      <w:marLeft w:val="0"/>
      <w:marRight w:val="0"/>
      <w:marTop w:val="0"/>
      <w:marBottom w:val="0"/>
      <w:divBdr>
        <w:top w:val="none" w:sz="0" w:space="0" w:color="auto"/>
        <w:left w:val="none" w:sz="0" w:space="0" w:color="auto"/>
        <w:bottom w:val="none" w:sz="0" w:space="0" w:color="auto"/>
        <w:right w:val="none" w:sz="0" w:space="0" w:color="auto"/>
      </w:divBdr>
    </w:div>
    <w:div w:id="62871415">
      <w:bodyDiv w:val="1"/>
      <w:marLeft w:val="0"/>
      <w:marRight w:val="0"/>
      <w:marTop w:val="0"/>
      <w:marBottom w:val="0"/>
      <w:divBdr>
        <w:top w:val="none" w:sz="0" w:space="0" w:color="auto"/>
        <w:left w:val="none" w:sz="0" w:space="0" w:color="auto"/>
        <w:bottom w:val="none" w:sz="0" w:space="0" w:color="auto"/>
        <w:right w:val="none" w:sz="0" w:space="0" w:color="auto"/>
      </w:divBdr>
    </w:div>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135532055">
      <w:bodyDiv w:val="1"/>
      <w:marLeft w:val="0"/>
      <w:marRight w:val="0"/>
      <w:marTop w:val="0"/>
      <w:marBottom w:val="0"/>
      <w:divBdr>
        <w:top w:val="none" w:sz="0" w:space="0" w:color="auto"/>
        <w:left w:val="none" w:sz="0" w:space="0" w:color="auto"/>
        <w:bottom w:val="none" w:sz="0" w:space="0" w:color="auto"/>
        <w:right w:val="none" w:sz="0" w:space="0" w:color="auto"/>
      </w:divBdr>
    </w:div>
    <w:div w:id="191458069">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55797005">
      <w:bodyDiv w:val="1"/>
      <w:marLeft w:val="0"/>
      <w:marRight w:val="0"/>
      <w:marTop w:val="0"/>
      <w:marBottom w:val="0"/>
      <w:divBdr>
        <w:top w:val="none" w:sz="0" w:space="0" w:color="auto"/>
        <w:left w:val="none" w:sz="0" w:space="0" w:color="auto"/>
        <w:bottom w:val="none" w:sz="0" w:space="0" w:color="auto"/>
        <w:right w:val="none" w:sz="0" w:space="0" w:color="auto"/>
      </w:divBdr>
    </w:div>
    <w:div w:id="275405197">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283851805">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435641163">
      <w:bodyDiv w:val="1"/>
      <w:marLeft w:val="0"/>
      <w:marRight w:val="0"/>
      <w:marTop w:val="0"/>
      <w:marBottom w:val="0"/>
      <w:divBdr>
        <w:top w:val="none" w:sz="0" w:space="0" w:color="auto"/>
        <w:left w:val="none" w:sz="0" w:space="0" w:color="auto"/>
        <w:bottom w:val="none" w:sz="0" w:space="0" w:color="auto"/>
        <w:right w:val="none" w:sz="0" w:space="0" w:color="auto"/>
      </w:divBdr>
    </w:div>
    <w:div w:id="499849778">
      <w:bodyDiv w:val="1"/>
      <w:marLeft w:val="0"/>
      <w:marRight w:val="0"/>
      <w:marTop w:val="0"/>
      <w:marBottom w:val="0"/>
      <w:divBdr>
        <w:top w:val="none" w:sz="0" w:space="0" w:color="auto"/>
        <w:left w:val="none" w:sz="0" w:space="0" w:color="auto"/>
        <w:bottom w:val="none" w:sz="0" w:space="0" w:color="auto"/>
        <w:right w:val="none" w:sz="0" w:space="0" w:color="auto"/>
      </w:divBdr>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45415202">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557398023">
      <w:bodyDiv w:val="1"/>
      <w:marLeft w:val="0"/>
      <w:marRight w:val="0"/>
      <w:marTop w:val="0"/>
      <w:marBottom w:val="0"/>
      <w:divBdr>
        <w:top w:val="none" w:sz="0" w:space="0" w:color="auto"/>
        <w:left w:val="none" w:sz="0" w:space="0" w:color="auto"/>
        <w:bottom w:val="none" w:sz="0" w:space="0" w:color="auto"/>
        <w:right w:val="none" w:sz="0" w:space="0" w:color="auto"/>
      </w:divBdr>
    </w:div>
    <w:div w:id="572201082">
      <w:bodyDiv w:val="1"/>
      <w:marLeft w:val="0"/>
      <w:marRight w:val="0"/>
      <w:marTop w:val="0"/>
      <w:marBottom w:val="0"/>
      <w:divBdr>
        <w:top w:val="none" w:sz="0" w:space="0" w:color="auto"/>
        <w:left w:val="none" w:sz="0" w:space="0" w:color="auto"/>
        <w:bottom w:val="none" w:sz="0" w:space="0" w:color="auto"/>
        <w:right w:val="none" w:sz="0" w:space="0" w:color="auto"/>
      </w:divBdr>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28187531">
      <w:bodyDiv w:val="1"/>
      <w:marLeft w:val="0"/>
      <w:marRight w:val="0"/>
      <w:marTop w:val="0"/>
      <w:marBottom w:val="0"/>
      <w:divBdr>
        <w:top w:val="none" w:sz="0" w:space="0" w:color="auto"/>
        <w:left w:val="none" w:sz="0" w:space="0" w:color="auto"/>
        <w:bottom w:val="none" w:sz="0" w:space="0" w:color="auto"/>
        <w:right w:val="none" w:sz="0" w:space="0" w:color="auto"/>
      </w:divBdr>
    </w:div>
    <w:div w:id="751394575">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66000863">
      <w:bodyDiv w:val="1"/>
      <w:marLeft w:val="0"/>
      <w:marRight w:val="0"/>
      <w:marTop w:val="0"/>
      <w:marBottom w:val="0"/>
      <w:divBdr>
        <w:top w:val="none" w:sz="0" w:space="0" w:color="auto"/>
        <w:left w:val="none" w:sz="0" w:space="0" w:color="auto"/>
        <w:bottom w:val="none" w:sz="0" w:space="0" w:color="auto"/>
        <w:right w:val="none" w:sz="0" w:space="0" w:color="auto"/>
      </w:divBdr>
    </w:div>
    <w:div w:id="773092660">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826097822">
      <w:bodyDiv w:val="1"/>
      <w:marLeft w:val="0"/>
      <w:marRight w:val="0"/>
      <w:marTop w:val="0"/>
      <w:marBottom w:val="0"/>
      <w:divBdr>
        <w:top w:val="none" w:sz="0" w:space="0" w:color="auto"/>
        <w:left w:val="none" w:sz="0" w:space="0" w:color="auto"/>
        <w:bottom w:val="none" w:sz="0" w:space="0" w:color="auto"/>
        <w:right w:val="none" w:sz="0" w:space="0" w:color="auto"/>
      </w:divBdr>
    </w:div>
    <w:div w:id="860316109">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50285379">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989676109">
      <w:bodyDiv w:val="1"/>
      <w:marLeft w:val="0"/>
      <w:marRight w:val="0"/>
      <w:marTop w:val="0"/>
      <w:marBottom w:val="0"/>
      <w:divBdr>
        <w:top w:val="none" w:sz="0" w:space="0" w:color="auto"/>
        <w:left w:val="none" w:sz="0" w:space="0" w:color="auto"/>
        <w:bottom w:val="none" w:sz="0" w:space="0" w:color="auto"/>
        <w:right w:val="none" w:sz="0" w:space="0" w:color="auto"/>
      </w:divBdr>
    </w:div>
    <w:div w:id="1020206295">
      <w:bodyDiv w:val="1"/>
      <w:marLeft w:val="0"/>
      <w:marRight w:val="0"/>
      <w:marTop w:val="0"/>
      <w:marBottom w:val="0"/>
      <w:divBdr>
        <w:top w:val="none" w:sz="0" w:space="0" w:color="auto"/>
        <w:left w:val="none" w:sz="0" w:space="0" w:color="auto"/>
        <w:bottom w:val="none" w:sz="0" w:space="0" w:color="auto"/>
        <w:right w:val="none" w:sz="0" w:space="0" w:color="auto"/>
      </w:divBdr>
    </w:div>
    <w:div w:id="1026715491">
      <w:bodyDiv w:val="1"/>
      <w:marLeft w:val="0"/>
      <w:marRight w:val="0"/>
      <w:marTop w:val="0"/>
      <w:marBottom w:val="0"/>
      <w:divBdr>
        <w:top w:val="none" w:sz="0" w:space="0" w:color="auto"/>
        <w:left w:val="none" w:sz="0" w:space="0" w:color="auto"/>
        <w:bottom w:val="none" w:sz="0" w:space="0" w:color="auto"/>
        <w:right w:val="none" w:sz="0" w:space="0" w:color="auto"/>
      </w:divBdr>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042943437">
      <w:bodyDiv w:val="1"/>
      <w:marLeft w:val="0"/>
      <w:marRight w:val="0"/>
      <w:marTop w:val="0"/>
      <w:marBottom w:val="0"/>
      <w:divBdr>
        <w:top w:val="none" w:sz="0" w:space="0" w:color="auto"/>
        <w:left w:val="none" w:sz="0" w:space="0" w:color="auto"/>
        <w:bottom w:val="none" w:sz="0" w:space="0" w:color="auto"/>
        <w:right w:val="none" w:sz="0" w:space="0" w:color="auto"/>
      </w:divBdr>
    </w:div>
    <w:div w:id="1206059289">
      <w:bodyDiv w:val="1"/>
      <w:marLeft w:val="0"/>
      <w:marRight w:val="0"/>
      <w:marTop w:val="0"/>
      <w:marBottom w:val="0"/>
      <w:divBdr>
        <w:top w:val="none" w:sz="0" w:space="0" w:color="auto"/>
        <w:left w:val="none" w:sz="0" w:space="0" w:color="auto"/>
        <w:bottom w:val="none" w:sz="0" w:space="0" w:color="auto"/>
        <w:right w:val="none" w:sz="0" w:space="0" w:color="auto"/>
      </w:divBdr>
    </w:div>
    <w:div w:id="1218320078">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36089309">
      <w:bodyDiv w:val="1"/>
      <w:marLeft w:val="0"/>
      <w:marRight w:val="0"/>
      <w:marTop w:val="0"/>
      <w:marBottom w:val="0"/>
      <w:divBdr>
        <w:top w:val="none" w:sz="0" w:space="0" w:color="auto"/>
        <w:left w:val="none" w:sz="0" w:space="0" w:color="auto"/>
        <w:bottom w:val="none" w:sz="0" w:space="0" w:color="auto"/>
        <w:right w:val="none" w:sz="0" w:space="0" w:color="auto"/>
      </w:divBdr>
    </w:div>
    <w:div w:id="1277563581">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359426397">
      <w:bodyDiv w:val="1"/>
      <w:marLeft w:val="0"/>
      <w:marRight w:val="0"/>
      <w:marTop w:val="0"/>
      <w:marBottom w:val="0"/>
      <w:divBdr>
        <w:top w:val="none" w:sz="0" w:space="0" w:color="auto"/>
        <w:left w:val="none" w:sz="0" w:space="0" w:color="auto"/>
        <w:bottom w:val="none" w:sz="0" w:space="0" w:color="auto"/>
        <w:right w:val="none" w:sz="0" w:space="0" w:color="auto"/>
      </w:divBdr>
    </w:div>
    <w:div w:id="1403790618">
      <w:bodyDiv w:val="1"/>
      <w:marLeft w:val="0"/>
      <w:marRight w:val="0"/>
      <w:marTop w:val="0"/>
      <w:marBottom w:val="0"/>
      <w:divBdr>
        <w:top w:val="none" w:sz="0" w:space="0" w:color="auto"/>
        <w:left w:val="none" w:sz="0" w:space="0" w:color="auto"/>
        <w:bottom w:val="none" w:sz="0" w:space="0" w:color="auto"/>
        <w:right w:val="none" w:sz="0" w:space="0" w:color="auto"/>
      </w:divBdr>
    </w:div>
    <w:div w:id="1451391085">
      <w:bodyDiv w:val="1"/>
      <w:marLeft w:val="0"/>
      <w:marRight w:val="0"/>
      <w:marTop w:val="0"/>
      <w:marBottom w:val="0"/>
      <w:divBdr>
        <w:top w:val="none" w:sz="0" w:space="0" w:color="auto"/>
        <w:left w:val="none" w:sz="0" w:space="0" w:color="auto"/>
        <w:bottom w:val="none" w:sz="0" w:space="0" w:color="auto"/>
        <w:right w:val="none" w:sz="0" w:space="0" w:color="auto"/>
      </w:divBdr>
    </w:div>
    <w:div w:id="1476028732">
      <w:bodyDiv w:val="1"/>
      <w:marLeft w:val="0"/>
      <w:marRight w:val="0"/>
      <w:marTop w:val="0"/>
      <w:marBottom w:val="0"/>
      <w:divBdr>
        <w:top w:val="none" w:sz="0" w:space="0" w:color="auto"/>
        <w:left w:val="none" w:sz="0" w:space="0" w:color="auto"/>
        <w:bottom w:val="none" w:sz="0" w:space="0" w:color="auto"/>
        <w:right w:val="none" w:sz="0" w:space="0" w:color="auto"/>
      </w:divBdr>
    </w:div>
    <w:div w:id="1575553843">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703357859">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07296961">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55468710">
      <w:bodyDiv w:val="1"/>
      <w:marLeft w:val="0"/>
      <w:marRight w:val="0"/>
      <w:marTop w:val="0"/>
      <w:marBottom w:val="0"/>
      <w:divBdr>
        <w:top w:val="none" w:sz="0" w:space="0" w:color="auto"/>
        <w:left w:val="none" w:sz="0" w:space="0" w:color="auto"/>
        <w:bottom w:val="none" w:sz="0" w:space="0" w:color="auto"/>
        <w:right w:val="none" w:sz="0" w:space="0" w:color="auto"/>
      </w:divBdr>
    </w:div>
    <w:div w:id="1815027530">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1968197632">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034526929">
      <w:bodyDiv w:val="1"/>
      <w:marLeft w:val="0"/>
      <w:marRight w:val="0"/>
      <w:marTop w:val="0"/>
      <w:marBottom w:val="0"/>
      <w:divBdr>
        <w:top w:val="none" w:sz="0" w:space="0" w:color="auto"/>
        <w:left w:val="none" w:sz="0" w:space="0" w:color="auto"/>
        <w:bottom w:val="none" w:sz="0" w:space="0" w:color="auto"/>
        <w:right w:val="none" w:sz="0" w:space="0" w:color="auto"/>
      </w:divBdr>
    </w:div>
    <w:div w:id="2040931475">
      <w:bodyDiv w:val="1"/>
      <w:marLeft w:val="0"/>
      <w:marRight w:val="0"/>
      <w:marTop w:val="0"/>
      <w:marBottom w:val="0"/>
      <w:divBdr>
        <w:top w:val="none" w:sz="0" w:space="0" w:color="auto"/>
        <w:left w:val="none" w:sz="0" w:space="0" w:color="auto"/>
        <w:bottom w:val="none" w:sz="0" w:space="0" w:color="auto"/>
        <w:right w:val="none" w:sz="0" w:space="0" w:color="auto"/>
      </w:divBdr>
    </w:div>
    <w:div w:id="2045863853">
      <w:bodyDiv w:val="1"/>
      <w:marLeft w:val="0"/>
      <w:marRight w:val="0"/>
      <w:marTop w:val="0"/>
      <w:marBottom w:val="0"/>
      <w:divBdr>
        <w:top w:val="none" w:sz="0" w:space="0" w:color="auto"/>
        <w:left w:val="none" w:sz="0" w:space="0" w:color="auto"/>
        <w:bottom w:val="none" w:sz="0" w:space="0" w:color="auto"/>
        <w:right w:val="none" w:sz="0" w:space="0" w:color="auto"/>
      </w:divBdr>
    </w:div>
    <w:div w:id="2093575712">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 w:id="21350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3B46EA54-38E8-4337-BC2A-2A452FAA5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39</Pages>
  <Words>9507</Words>
  <Characters>52289</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2024-10-18T16:25:00Z</cp:lastPrinted>
  <dcterms:created xsi:type="dcterms:W3CDTF">2024-10-10T19:45:00Z</dcterms:created>
  <dcterms:modified xsi:type="dcterms:W3CDTF">2024-10-24T16:29:00Z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