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405" w:rsidRDefault="00FE0405">
      <w:pPr>
        <w:spacing w:after="0" w:line="360" w:lineRule="auto"/>
        <w:rPr>
          <w:color w:val="000000"/>
        </w:rPr>
      </w:pPr>
    </w:p>
    <w:p w:rsidR="00FE0405" w:rsidRPr="00FE6C5A" w:rsidRDefault="00E37A10">
      <w:pPr>
        <w:spacing w:after="0" w:line="360" w:lineRule="auto"/>
        <w:rPr>
          <w:color w:val="000000"/>
        </w:rPr>
      </w:pPr>
      <w:r w:rsidRPr="00FE6C5A">
        <w:rPr>
          <w:color w:val="000000"/>
        </w:rPr>
        <w:t xml:space="preserve">Resolución del Pleno del Instituto de Transparencia, Acceso a la Información Pública y Protección de Datos Personales del Estado de México y Municipios, con domicilio en Metepec, Estado de México, de fecha veintisiete de noviembre de dos mil veinticuatro. </w:t>
      </w:r>
    </w:p>
    <w:p w:rsidR="00FE0405" w:rsidRPr="00FE6C5A" w:rsidRDefault="00FE0405">
      <w:pPr>
        <w:spacing w:after="0" w:line="360" w:lineRule="auto"/>
        <w:rPr>
          <w:b/>
          <w:color w:val="000000"/>
        </w:rPr>
      </w:pPr>
    </w:p>
    <w:p w:rsidR="00FE0405" w:rsidRPr="00FE6C5A" w:rsidRDefault="00E37A10">
      <w:pPr>
        <w:spacing w:after="0" w:line="360" w:lineRule="auto"/>
        <w:rPr>
          <w:b/>
          <w:color w:val="0D0D0D"/>
        </w:rPr>
      </w:pPr>
      <w:r w:rsidRPr="00FE6C5A">
        <w:rPr>
          <w:b/>
          <w:color w:val="0D0D0D"/>
        </w:rPr>
        <w:t>VISTO</w:t>
      </w:r>
      <w:r w:rsidRPr="00FE6C5A">
        <w:rPr>
          <w:color w:val="0D0D0D"/>
        </w:rPr>
        <w:t xml:space="preserve"> el expediente conformado con motivo del Recurso de Revisión </w:t>
      </w:r>
      <w:r w:rsidRPr="00FE6C5A">
        <w:rPr>
          <w:b/>
          <w:color w:val="000000"/>
        </w:rPr>
        <w:t xml:space="preserve">06756/INFOEM/IP/RR/2024, </w:t>
      </w:r>
      <w:r w:rsidRPr="00FE6C5A">
        <w:rPr>
          <w:color w:val="0D0D0D"/>
        </w:rPr>
        <w:t xml:space="preserve">interpuesto por la persona Recurrente y/o Particular, en contra de la respuesta del Sujeto Obligado </w:t>
      </w:r>
      <w:r w:rsidRPr="00FE6C5A">
        <w:rPr>
          <w:b/>
          <w:color w:val="0D0D0D"/>
        </w:rPr>
        <w:t>Ayuntamiento de Temamatla,</w:t>
      </w:r>
      <w:r w:rsidRPr="00FE6C5A">
        <w:rPr>
          <w:color w:val="0D0D0D"/>
        </w:rPr>
        <w:t xml:space="preserve"> </w:t>
      </w:r>
      <w:r w:rsidRPr="00FE6C5A">
        <w:rPr>
          <w:color w:val="000000"/>
        </w:rPr>
        <w:t xml:space="preserve">a la solicitud de acceso a la información 00563/TEMAMATL/IP/2024, se emite la presente Resolución, con base en los Antecedentes y Considerandos que se exponen a continuación:    </w:t>
      </w:r>
    </w:p>
    <w:p w:rsidR="00FE0405" w:rsidRPr="00FE6C5A" w:rsidRDefault="00FE0405">
      <w:pPr>
        <w:spacing w:after="0" w:line="360" w:lineRule="auto"/>
        <w:ind w:right="-93"/>
        <w:jc w:val="center"/>
        <w:rPr>
          <w:b/>
          <w:color w:val="000000"/>
        </w:rPr>
      </w:pPr>
    </w:p>
    <w:p w:rsidR="00FE0405" w:rsidRPr="00FE6C5A" w:rsidRDefault="00E37A10">
      <w:pPr>
        <w:spacing w:after="0" w:line="360" w:lineRule="auto"/>
        <w:ind w:right="-93"/>
        <w:jc w:val="center"/>
        <w:rPr>
          <w:b/>
          <w:color w:val="000000"/>
        </w:rPr>
      </w:pPr>
      <w:r w:rsidRPr="00FE6C5A">
        <w:rPr>
          <w:b/>
          <w:color w:val="000000"/>
        </w:rPr>
        <w:t>A N T E C E D E N T E S</w:t>
      </w:r>
    </w:p>
    <w:p w:rsidR="00FE0405" w:rsidRPr="00FE6C5A" w:rsidRDefault="00FE0405">
      <w:pPr>
        <w:spacing w:after="0" w:line="360" w:lineRule="auto"/>
        <w:ind w:right="-93"/>
        <w:rPr>
          <w:color w:val="000000"/>
        </w:rPr>
      </w:pPr>
    </w:p>
    <w:p w:rsidR="00FE0405" w:rsidRPr="00FE6C5A" w:rsidRDefault="00E37A10">
      <w:pPr>
        <w:tabs>
          <w:tab w:val="left" w:pos="567"/>
        </w:tabs>
        <w:spacing w:after="0" w:line="360" w:lineRule="auto"/>
        <w:rPr>
          <w:b/>
          <w:color w:val="000000"/>
        </w:rPr>
      </w:pPr>
      <w:r w:rsidRPr="00FE6C5A">
        <w:rPr>
          <w:b/>
          <w:color w:val="000000"/>
        </w:rPr>
        <w:t>I. Presentación de la solicitud de información</w:t>
      </w:r>
    </w:p>
    <w:p w:rsidR="00FE0405" w:rsidRPr="00FE6C5A" w:rsidRDefault="00FE0405">
      <w:pPr>
        <w:tabs>
          <w:tab w:val="left" w:pos="567"/>
        </w:tabs>
        <w:spacing w:after="0" w:line="360" w:lineRule="auto"/>
        <w:rPr>
          <w:color w:val="000000"/>
        </w:rPr>
      </w:pPr>
    </w:p>
    <w:p w:rsidR="00FE0405" w:rsidRPr="00FE6C5A" w:rsidRDefault="00E37A10">
      <w:pPr>
        <w:tabs>
          <w:tab w:val="left" w:pos="567"/>
        </w:tabs>
        <w:spacing w:after="0" w:line="360" w:lineRule="auto"/>
      </w:pPr>
      <w:r w:rsidRPr="00FE6C5A">
        <w:t>Con fecha cuatro de octubre de dos mil veinticuatro, el Particular presentó una solicitud de acceso a la información pública, a través del Sistema de Acceso a la Información Mexiquense (SAIMEX), ante el Ayuntamiento de Temamatla, mediante la cual requirió:</w:t>
      </w:r>
    </w:p>
    <w:p w:rsidR="00FE0405" w:rsidRPr="00FE6C5A" w:rsidRDefault="00FE0405">
      <w:pPr>
        <w:tabs>
          <w:tab w:val="left" w:pos="567"/>
        </w:tabs>
        <w:spacing w:after="0" w:line="360" w:lineRule="auto"/>
      </w:pPr>
    </w:p>
    <w:p w:rsidR="00FE0405" w:rsidRPr="00FE6C5A" w:rsidRDefault="00E37A10">
      <w:pPr>
        <w:tabs>
          <w:tab w:val="left" w:pos="4667"/>
        </w:tabs>
        <w:spacing w:after="0" w:line="360" w:lineRule="auto"/>
        <w:ind w:left="567" w:right="567"/>
        <w:rPr>
          <w:b/>
          <w:i/>
          <w:color w:val="000000"/>
          <w:sz w:val="20"/>
          <w:szCs w:val="20"/>
        </w:rPr>
      </w:pPr>
      <w:r w:rsidRPr="00FE6C5A">
        <w:rPr>
          <w:b/>
          <w:i/>
          <w:color w:val="000000"/>
          <w:sz w:val="20"/>
          <w:szCs w:val="20"/>
        </w:rPr>
        <w:t>“DESCRIPCIÓN CLARA Y PRECISA DE LA INFORMACIÓN SOLICITADA.</w:t>
      </w:r>
    </w:p>
    <w:p w:rsidR="00FE0405" w:rsidRPr="00FE6C5A" w:rsidRDefault="00E37A10">
      <w:pPr>
        <w:tabs>
          <w:tab w:val="left" w:pos="4667"/>
        </w:tabs>
        <w:spacing w:after="0" w:line="360" w:lineRule="auto"/>
        <w:ind w:left="567" w:right="567"/>
        <w:rPr>
          <w:i/>
          <w:color w:val="000000"/>
          <w:sz w:val="20"/>
          <w:szCs w:val="20"/>
        </w:rPr>
      </w:pPr>
      <w:r w:rsidRPr="00FE6C5A">
        <w:rPr>
          <w:i/>
          <w:color w:val="000000"/>
          <w:sz w:val="20"/>
          <w:szCs w:val="20"/>
        </w:rPr>
        <w:t xml:space="preserve">Cuantas pipas de agua se extraen diariamente </w:t>
      </w:r>
      <w:proofErr w:type="spellStart"/>
      <w:r w:rsidRPr="00FE6C5A">
        <w:rPr>
          <w:i/>
          <w:color w:val="000000"/>
          <w:sz w:val="20"/>
          <w:szCs w:val="20"/>
        </w:rPr>
        <w:t>del.pozo</w:t>
      </w:r>
      <w:proofErr w:type="spellEnd"/>
      <w:r w:rsidRPr="00FE6C5A">
        <w:rPr>
          <w:i/>
          <w:color w:val="000000"/>
          <w:sz w:val="20"/>
          <w:szCs w:val="20"/>
        </w:rPr>
        <w:t xml:space="preserve"> municipal y para </w:t>
      </w:r>
      <w:proofErr w:type="spellStart"/>
      <w:r w:rsidRPr="00FE6C5A">
        <w:rPr>
          <w:i/>
          <w:color w:val="000000"/>
          <w:sz w:val="20"/>
          <w:szCs w:val="20"/>
        </w:rPr>
        <w:t>que</w:t>
      </w:r>
      <w:proofErr w:type="spellEnd"/>
      <w:r w:rsidRPr="00FE6C5A">
        <w:rPr>
          <w:i/>
          <w:color w:val="000000"/>
          <w:sz w:val="20"/>
          <w:szCs w:val="20"/>
        </w:rPr>
        <w:t xml:space="preserve"> son destinadas, solicito también la bitácora semanal </w:t>
      </w:r>
      <w:proofErr w:type="spellStart"/>
      <w:r w:rsidRPr="00FE6C5A">
        <w:rPr>
          <w:i/>
          <w:color w:val="000000"/>
          <w:sz w:val="20"/>
          <w:szCs w:val="20"/>
        </w:rPr>
        <w:t>del.suministro</w:t>
      </w:r>
      <w:proofErr w:type="spellEnd"/>
      <w:r w:rsidRPr="00FE6C5A">
        <w:rPr>
          <w:i/>
          <w:color w:val="000000"/>
          <w:sz w:val="20"/>
          <w:szCs w:val="20"/>
        </w:rPr>
        <w:t xml:space="preserve"> de este </w:t>
      </w:r>
      <w:proofErr w:type="spellStart"/>
      <w:r w:rsidRPr="00FE6C5A">
        <w:rPr>
          <w:i/>
          <w:color w:val="000000"/>
          <w:sz w:val="20"/>
          <w:szCs w:val="20"/>
        </w:rPr>
        <w:t>liquido</w:t>
      </w:r>
      <w:proofErr w:type="spellEnd"/>
      <w:r w:rsidRPr="00FE6C5A">
        <w:rPr>
          <w:i/>
          <w:color w:val="000000"/>
          <w:sz w:val="20"/>
          <w:szCs w:val="20"/>
        </w:rPr>
        <w:t xml:space="preserve"> durante la administración 2022 2024” (Sic).</w:t>
      </w:r>
    </w:p>
    <w:p w:rsidR="00FE0405" w:rsidRPr="00FE6C5A" w:rsidRDefault="00FE0405">
      <w:pPr>
        <w:tabs>
          <w:tab w:val="left" w:pos="4667"/>
        </w:tabs>
        <w:spacing w:after="0" w:line="360" w:lineRule="auto"/>
        <w:ind w:left="567" w:right="567"/>
        <w:rPr>
          <w:b/>
          <w:i/>
          <w:color w:val="000000"/>
          <w:sz w:val="20"/>
          <w:szCs w:val="20"/>
        </w:rPr>
      </w:pPr>
    </w:p>
    <w:p w:rsidR="00FE0405" w:rsidRPr="00FE6C5A" w:rsidRDefault="00E37A10">
      <w:pPr>
        <w:tabs>
          <w:tab w:val="left" w:pos="4667"/>
        </w:tabs>
        <w:spacing w:after="0" w:line="360" w:lineRule="auto"/>
        <w:ind w:left="567" w:right="567"/>
        <w:rPr>
          <w:b/>
          <w:i/>
          <w:color w:val="000000"/>
          <w:sz w:val="20"/>
          <w:szCs w:val="20"/>
        </w:rPr>
      </w:pPr>
      <w:r w:rsidRPr="00FE6C5A">
        <w:rPr>
          <w:b/>
          <w:i/>
          <w:color w:val="000000"/>
          <w:sz w:val="20"/>
          <w:szCs w:val="20"/>
        </w:rPr>
        <w:t xml:space="preserve">“MODALIDAD DE ENTREGA </w:t>
      </w:r>
    </w:p>
    <w:p w:rsidR="00FE0405" w:rsidRPr="00FE6C5A" w:rsidRDefault="00E37A10">
      <w:pPr>
        <w:tabs>
          <w:tab w:val="left" w:pos="4667"/>
        </w:tabs>
        <w:spacing w:after="0" w:line="360" w:lineRule="auto"/>
        <w:ind w:left="567" w:right="567"/>
        <w:rPr>
          <w:b/>
          <w:i/>
          <w:color w:val="000000"/>
          <w:sz w:val="20"/>
          <w:szCs w:val="20"/>
        </w:rPr>
      </w:pPr>
      <w:r w:rsidRPr="00FE6C5A">
        <w:rPr>
          <w:i/>
          <w:color w:val="000000"/>
          <w:sz w:val="20"/>
          <w:szCs w:val="20"/>
        </w:rPr>
        <w:t>A través del SAIMEX</w:t>
      </w:r>
    </w:p>
    <w:p w:rsidR="00FE0405" w:rsidRPr="00FE6C5A" w:rsidRDefault="00FE0405">
      <w:pPr>
        <w:spacing w:after="0" w:line="360" w:lineRule="auto"/>
      </w:pPr>
    </w:p>
    <w:p w:rsidR="00FE0405" w:rsidRPr="00FE6C5A" w:rsidRDefault="00E37A10">
      <w:pPr>
        <w:spacing w:after="0" w:line="360" w:lineRule="auto"/>
        <w:rPr>
          <w:b/>
          <w:color w:val="000000"/>
        </w:rPr>
      </w:pPr>
      <w:bookmarkStart w:id="0" w:name="_heading=h.gjdgxs" w:colFirst="0" w:colLast="0"/>
      <w:bookmarkEnd w:id="0"/>
      <w:r w:rsidRPr="00FE6C5A">
        <w:rPr>
          <w:b/>
        </w:rPr>
        <w:t>II.</w:t>
      </w:r>
      <w:r w:rsidRPr="00FE6C5A">
        <w:rPr>
          <w:b/>
          <w:color w:val="000000"/>
          <w:sz w:val="20"/>
          <w:szCs w:val="20"/>
        </w:rPr>
        <w:t xml:space="preserve"> </w:t>
      </w:r>
      <w:r w:rsidRPr="00FE6C5A">
        <w:rPr>
          <w:b/>
          <w:color w:val="000000"/>
        </w:rPr>
        <w:t>Respuesta del Sujeto Obligado</w:t>
      </w:r>
    </w:p>
    <w:p w:rsidR="00FE0405" w:rsidRPr="00FE6C5A" w:rsidRDefault="00FE0405">
      <w:pPr>
        <w:spacing w:after="0" w:line="360" w:lineRule="auto"/>
        <w:rPr>
          <w:b/>
          <w:color w:val="000000"/>
        </w:rPr>
      </w:pPr>
    </w:p>
    <w:p w:rsidR="00FE0405" w:rsidRPr="00FE6C5A" w:rsidRDefault="00E37A10">
      <w:pPr>
        <w:tabs>
          <w:tab w:val="left" w:pos="4667"/>
          <w:tab w:val="left" w:pos="8222"/>
        </w:tabs>
        <w:spacing w:after="0" w:line="360" w:lineRule="auto"/>
        <w:ind w:right="-28"/>
        <w:rPr>
          <w:color w:val="000000"/>
        </w:rPr>
      </w:pPr>
      <w:r w:rsidRPr="00FE6C5A">
        <w:rPr>
          <w:color w:val="000000"/>
        </w:rPr>
        <w:t>Con fecha veinticuatro de octubre de dos mil veinticuatro, a través del Sistema de Acceso a la Información Mexiquense (SAIMEX), la Unidad de Transparencia del Sujeto Obligado notificó al Particular la respuesta a su solicitud de acceso a la información, en términos del siguiente:</w:t>
      </w:r>
    </w:p>
    <w:p w:rsidR="00FE0405" w:rsidRPr="00FE6C5A" w:rsidRDefault="00FE0405">
      <w:pPr>
        <w:tabs>
          <w:tab w:val="left" w:pos="4667"/>
          <w:tab w:val="left" w:pos="8222"/>
        </w:tabs>
        <w:spacing w:after="0" w:line="360" w:lineRule="auto"/>
        <w:ind w:right="-28"/>
        <w:rPr>
          <w:color w:val="000000"/>
        </w:rPr>
      </w:pPr>
    </w:p>
    <w:p w:rsidR="00FE0405" w:rsidRPr="00FE6C5A" w:rsidRDefault="00E37A10">
      <w:pPr>
        <w:tabs>
          <w:tab w:val="left" w:pos="4667"/>
          <w:tab w:val="left" w:pos="8222"/>
        </w:tabs>
        <w:spacing w:after="0" w:line="360" w:lineRule="auto"/>
        <w:ind w:left="567" w:right="567"/>
        <w:rPr>
          <w:i/>
          <w:color w:val="000000"/>
          <w:sz w:val="20"/>
          <w:szCs w:val="20"/>
        </w:rPr>
      </w:pPr>
      <w:r w:rsidRPr="00FE6C5A">
        <w:rPr>
          <w:i/>
          <w:color w:val="000000"/>
          <w:sz w:val="20"/>
          <w:szCs w:val="20"/>
        </w:rPr>
        <w:t>“…</w:t>
      </w:r>
    </w:p>
    <w:p w:rsidR="00FE0405" w:rsidRPr="00FE6C5A" w:rsidRDefault="00E37A10">
      <w:pPr>
        <w:tabs>
          <w:tab w:val="left" w:pos="4667"/>
          <w:tab w:val="left" w:pos="8222"/>
        </w:tabs>
        <w:spacing w:after="0" w:line="360" w:lineRule="auto"/>
        <w:ind w:left="567" w:right="567"/>
        <w:rPr>
          <w:i/>
          <w:color w:val="000000"/>
          <w:sz w:val="20"/>
          <w:szCs w:val="20"/>
        </w:rPr>
      </w:pPr>
      <w:r w:rsidRPr="00FE6C5A">
        <w:rPr>
          <w:i/>
          <w:color w:val="000000"/>
          <w:sz w:val="20"/>
          <w:szCs w:val="20"/>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w:t>
      </w:r>
      <w:r w:rsidRPr="00FE6C5A">
        <w:rPr>
          <w:i/>
          <w:color w:val="000000"/>
          <w:sz w:val="20"/>
          <w:szCs w:val="20"/>
        </w:rPr>
        <w:lastRenderedPageBreak/>
        <w:t>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rsidR="00FE0405" w:rsidRPr="00FE6C5A" w:rsidRDefault="00E37A10">
      <w:pPr>
        <w:tabs>
          <w:tab w:val="left" w:pos="4667"/>
          <w:tab w:val="left" w:pos="8222"/>
        </w:tabs>
        <w:spacing w:after="0" w:line="360" w:lineRule="auto"/>
        <w:ind w:left="567" w:right="567"/>
        <w:rPr>
          <w:i/>
          <w:color w:val="000000"/>
          <w:sz w:val="20"/>
          <w:szCs w:val="20"/>
        </w:rPr>
      </w:pPr>
      <w:r w:rsidRPr="00FE6C5A">
        <w:rPr>
          <w:i/>
          <w:color w:val="000000"/>
          <w:sz w:val="20"/>
          <w:szCs w:val="20"/>
        </w:rPr>
        <w:t>…”</w:t>
      </w:r>
    </w:p>
    <w:p w:rsidR="00FE0405" w:rsidRPr="00FE6C5A" w:rsidRDefault="00FE0405">
      <w:pPr>
        <w:tabs>
          <w:tab w:val="left" w:pos="4667"/>
          <w:tab w:val="left" w:pos="8222"/>
        </w:tabs>
        <w:spacing w:after="0" w:line="360" w:lineRule="auto"/>
        <w:ind w:right="-28"/>
        <w:rPr>
          <w:color w:val="000000"/>
        </w:rPr>
      </w:pPr>
    </w:p>
    <w:p w:rsidR="00FE0405" w:rsidRPr="00FE6C5A" w:rsidRDefault="00E37A10">
      <w:pPr>
        <w:tabs>
          <w:tab w:val="left" w:pos="4667"/>
          <w:tab w:val="left" w:pos="8222"/>
        </w:tabs>
        <w:spacing w:after="0" w:line="360" w:lineRule="auto"/>
        <w:ind w:right="-28"/>
        <w:rPr>
          <w:color w:val="000000"/>
        </w:rPr>
      </w:pPr>
      <w:r w:rsidRPr="00FE6C5A">
        <w:rPr>
          <w:color w:val="000000"/>
        </w:rPr>
        <w:t>Junto a su respuesta adjuntó, el oficio S.PUB./138/2024, de fecha veintitrés de octubre de dos mil veinticuatro, signado por el Director de Servicios Públicos, mediante el cual señaló de manera general lo siguiente:</w:t>
      </w:r>
    </w:p>
    <w:p w:rsidR="00FE0405" w:rsidRPr="00FE6C5A" w:rsidRDefault="00E37A10">
      <w:pPr>
        <w:tabs>
          <w:tab w:val="left" w:pos="4667"/>
          <w:tab w:val="left" w:pos="8222"/>
        </w:tabs>
        <w:spacing w:after="0" w:line="360" w:lineRule="auto"/>
        <w:ind w:right="-28"/>
        <w:jc w:val="center"/>
        <w:rPr>
          <w:color w:val="000000"/>
        </w:rPr>
      </w:pPr>
      <w:r w:rsidRPr="00FE6C5A">
        <w:rPr>
          <w:noProof/>
          <w:color w:val="000000"/>
        </w:rPr>
        <w:drawing>
          <wp:inline distT="0" distB="0" distL="0" distR="0">
            <wp:extent cx="4875690" cy="1250729"/>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b="60066"/>
                    <a:stretch>
                      <a:fillRect/>
                    </a:stretch>
                  </pic:blipFill>
                  <pic:spPr>
                    <a:xfrm>
                      <a:off x="0" y="0"/>
                      <a:ext cx="4875690" cy="1250729"/>
                    </a:xfrm>
                    <a:prstGeom prst="rect">
                      <a:avLst/>
                    </a:prstGeom>
                    <a:ln/>
                  </pic:spPr>
                </pic:pic>
              </a:graphicData>
            </a:graphic>
          </wp:inline>
        </w:drawing>
      </w:r>
    </w:p>
    <w:p w:rsidR="00FE0405" w:rsidRPr="00FE6C5A" w:rsidRDefault="00E37A10">
      <w:pPr>
        <w:tabs>
          <w:tab w:val="left" w:pos="4667"/>
          <w:tab w:val="left" w:pos="8222"/>
        </w:tabs>
        <w:spacing w:after="0" w:line="360" w:lineRule="auto"/>
        <w:ind w:right="-28"/>
        <w:jc w:val="center"/>
        <w:rPr>
          <w:color w:val="000000"/>
        </w:rPr>
      </w:pPr>
      <w:r w:rsidRPr="00FE6C5A">
        <w:rPr>
          <w:noProof/>
          <w:color w:val="000000"/>
        </w:rPr>
        <w:lastRenderedPageBreak/>
        <w:drawing>
          <wp:inline distT="0" distB="0" distL="0" distR="0">
            <wp:extent cx="4875690" cy="1913353"/>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t="38910"/>
                    <a:stretch>
                      <a:fillRect/>
                    </a:stretch>
                  </pic:blipFill>
                  <pic:spPr>
                    <a:xfrm>
                      <a:off x="0" y="0"/>
                      <a:ext cx="4875690" cy="1913353"/>
                    </a:xfrm>
                    <a:prstGeom prst="rect">
                      <a:avLst/>
                    </a:prstGeom>
                    <a:ln/>
                  </pic:spPr>
                </pic:pic>
              </a:graphicData>
            </a:graphic>
          </wp:inline>
        </w:drawing>
      </w:r>
    </w:p>
    <w:p w:rsidR="00FE0405" w:rsidRPr="00FE6C5A" w:rsidRDefault="00E37A10">
      <w:pPr>
        <w:tabs>
          <w:tab w:val="left" w:pos="4667"/>
          <w:tab w:val="left" w:pos="8222"/>
        </w:tabs>
        <w:spacing w:after="0" w:line="360" w:lineRule="auto"/>
        <w:ind w:right="-28"/>
        <w:jc w:val="center"/>
        <w:rPr>
          <w:color w:val="000000"/>
        </w:rPr>
      </w:pPr>
      <w:r w:rsidRPr="00FE6C5A">
        <w:rPr>
          <w:noProof/>
          <w:color w:val="000000"/>
        </w:rPr>
        <w:drawing>
          <wp:inline distT="0" distB="0" distL="0" distR="0">
            <wp:extent cx="4840906" cy="3907421"/>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840906" cy="3907421"/>
                    </a:xfrm>
                    <a:prstGeom prst="rect">
                      <a:avLst/>
                    </a:prstGeom>
                    <a:ln/>
                  </pic:spPr>
                </pic:pic>
              </a:graphicData>
            </a:graphic>
          </wp:inline>
        </w:drawing>
      </w:r>
    </w:p>
    <w:p w:rsidR="00FE0405" w:rsidRPr="00FE6C5A" w:rsidRDefault="00FE0405">
      <w:pPr>
        <w:tabs>
          <w:tab w:val="left" w:pos="4667"/>
          <w:tab w:val="left" w:pos="8222"/>
        </w:tabs>
        <w:spacing w:after="0" w:line="360" w:lineRule="auto"/>
        <w:ind w:right="-28"/>
        <w:rPr>
          <w:color w:val="000000"/>
        </w:rPr>
      </w:pPr>
    </w:p>
    <w:p w:rsidR="00FE0405" w:rsidRPr="00FE6C5A" w:rsidRDefault="00E37A10">
      <w:pPr>
        <w:spacing w:after="0" w:line="360" w:lineRule="auto"/>
        <w:rPr>
          <w:b/>
        </w:rPr>
      </w:pPr>
      <w:r w:rsidRPr="00FE6C5A">
        <w:rPr>
          <w:b/>
        </w:rPr>
        <w:t>III. Interposición del Recurso de Revisión</w:t>
      </w:r>
    </w:p>
    <w:p w:rsidR="00FE0405" w:rsidRPr="00FE6C5A" w:rsidRDefault="00FE0405">
      <w:pPr>
        <w:spacing w:after="0" w:line="360" w:lineRule="auto"/>
        <w:rPr>
          <w:b/>
        </w:rPr>
      </w:pPr>
    </w:p>
    <w:p w:rsidR="00FE0405" w:rsidRPr="00FE6C5A" w:rsidRDefault="00E37A10">
      <w:pPr>
        <w:spacing w:after="0" w:line="360" w:lineRule="auto"/>
        <w:rPr>
          <w:color w:val="000000"/>
        </w:rPr>
      </w:pPr>
      <w:r w:rsidRPr="00FE6C5A">
        <w:t xml:space="preserve">Con fecha veintinueve de octubre de dos mil veinticuatro, el Particular interpuso Recurso de Revisión ante este Instituto, a través del Sistema de Acceso a la Información Mexiquense </w:t>
      </w:r>
      <w:r w:rsidRPr="00FE6C5A">
        <w:lastRenderedPageBreak/>
        <w:t xml:space="preserve">(SAIMEX), en contra de la respuesta otorgada por el Ayuntamiento de Temamatla, como se muestra a continuación: </w:t>
      </w:r>
    </w:p>
    <w:p w:rsidR="00FE0405" w:rsidRPr="00FE6C5A" w:rsidRDefault="00FE0405">
      <w:pPr>
        <w:spacing w:after="0" w:line="360" w:lineRule="auto"/>
      </w:pPr>
      <w:bookmarkStart w:id="1" w:name="_heading=h.30j0zll" w:colFirst="0" w:colLast="0"/>
      <w:bookmarkEnd w:id="1"/>
    </w:p>
    <w:p w:rsidR="00FE0405" w:rsidRPr="00FE6C5A" w:rsidRDefault="00E37A10">
      <w:pPr>
        <w:spacing w:after="0" w:line="360" w:lineRule="auto"/>
        <w:ind w:left="567" w:right="567"/>
        <w:rPr>
          <w:i/>
          <w:sz w:val="20"/>
          <w:szCs w:val="20"/>
        </w:rPr>
      </w:pPr>
      <w:r w:rsidRPr="00FE6C5A">
        <w:rPr>
          <w:b/>
          <w:i/>
          <w:sz w:val="20"/>
          <w:szCs w:val="20"/>
        </w:rPr>
        <w:t>“ACTO IMPUGNADO</w:t>
      </w:r>
    </w:p>
    <w:p w:rsidR="00FE0405" w:rsidRPr="00FE6C5A" w:rsidRDefault="00E37A10">
      <w:pPr>
        <w:spacing w:after="0" w:line="360" w:lineRule="auto"/>
        <w:ind w:left="567" w:right="567"/>
        <w:rPr>
          <w:i/>
          <w:sz w:val="20"/>
          <w:szCs w:val="20"/>
        </w:rPr>
      </w:pPr>
      <w:r w:rsidRPr="00FE6C5A">
        <w:rPr>
          <w:i/>
          <w:sz w:val="20"/>
          <w:szCs w:val="20"/>
        </w:rPr>
        <w:t>RESPUESTA OTORGADA”</w:t>
      </w:r>
    </w:p>
    <w:p w:rsidR="00FE0405" w:rsidRPr="00FE6C5A" w:rsidRDefault="00FE0405">
      <w:pPr>
        <w:spacing w:after="0" w:line="360" w:lineRule="auto"/>
        <w:ind w:left="567" w:right="567"/>
        <w:rPr>
          <w:b/>
          <w:i/>
          <w:sz w:val="20"/>
          <w:szCs w:val="20"/>
        </w:rPr>
      </w:pPr>
    </w:p>
    <w:p w:rsidR="00FE0405" w:rsidRPr="00FE6C5A" w:rsidRDefault="00E37A10">
      <w:pPr>
        <w:spacing w:after="0" w:line="360" w:lineRule="auto"/>
        <w:ind w:left="567" w:right="567"/>
        <w:rPr>
          <w:b/>
          <w:i/>
          <w:sz w:val="20"/>
          <w:szCs w:val="20"/>
        </w:rPr>
      </w:pPr>
      <w:r w:rsidRPr="00FE6C5A">
        <w:rPr>
          <w:b/>
          <w:i/>
          <w:sz w:val="20"/>
          <w:szCs w:val="20"/>
        </w:rPr>
        <w:t>“RAZONES O MOTIVOS DE LA INCONFORMIDAD</w:t>
      </w:r>
    </w:p>
    <w:p w:rsidR="00FE0405" w:rsidRPr="00FE6C5A" w:rsidRDefault="00E37A10">
      <w:pPr>
        <w:spacing w:after="0" w:line="360" w:lineRule="auto"/>
        <w:ind w:left="567" w:right="567"/>
      </w:pPr>
      <w:r w:rsidRPr="00FE6C5A">
        <w:rPr>
          <w:i/>
          <w:sz w:val="20"/>
          <w:szCs w:val="20"/>
        </w:rPr>
        <w:t xml:space="preserve">EL SUJETO OBLIGADO NO MANIFIESTA EN SU CONTESTACION EL NUMERO DE PIPAS DE AGUA QUE SON EXTRAIDAS DIARIAMENTE” </w:t>
      </w:r>
    </w:p>
    <w:p w:rsidR="00FE0405" w:rsidRPr="00FE6C5A" w:rsidRDefault="00FE0405">
      <w:pPr>
        <w:spacing w:after="0" w:line="360" w:lineRule="auto"/>
      </w:pPr>
    </w:p>
    <w:p w:rsidR="00FE0405" w:rsidRPr="00FE6C5A" w:rsidRDefault="00E37A10">
      <w:pPr>
        <w:spacing w:after="0" w:line="360" w:lineRule="auto"/>
        <w:rPr>
          <w:b/>
        </w:rPr>
      </w:pPr>
      <w:r w:rsidRPr="00FE6C5A">
        <w:rPr>
          <w:b/>
        </w:rPr>
        <w:t>IV. Trámite del Recurso de Revisión ante el Instituto</w:t>
      </w:r>
    </w:p>
    <w:p w:rsidR="00FE0405" w:rsidRPr="00FE6C5A" w:rsidRDefault="00FE0405">
      <w:pPr>
        <w:spacing w:after="0" w:line="360" w:lineRule="auto"/>
      </w:pPr>
    </w:p>
    <w:p w:rsidR="00FE0405" w:rsidRPr="00FE6C5A" w:rsidRDefault="00E37A10">
      <w:pPr>
        <w:spacing w:after="0" w:line="360" w:lineRule="auto"/>
        <w:rPr>
          <w:color w:val="000000"/>
        </w:rPr>
      </w:pPr>
      <w:r w:rsidRPr="00FE6C5A">
        <w:rPr>
          <w:b/>
        </w:rPr>
        <w:t xml:space="preserve">a) Turno del Recurso de Revisión. </w:t>
      </w:r>
      <w:r w:rsidRPr="00FE6C5A">
        <w:t xml:space="preserve">El veintinueve de octubre de dos mil veinticuatro, </w:t>
      </w:r>
      <w:r w:rsidRPr="00FE6C5A">
        <w:rPr>
          <w:color w:val="000000"/>
        </w:rPr>
        <w:t>el Sistema de Acceso a la Información Mexiquense (SAIMEX), asignó el número de expediente 06756/INFOEM/IP/RR/2024,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rsidR="00FE0405" w:rsidRPr="00FE6C5A" w:rsidRDefault="00FE0405">
      <w:pPr>
        <w:spacing w:after="0" w:line="360" w:lineRule="auto"/>
        <w:rPr>
          <w:color w:val="000000"/>
        </w:rPr>
      </w:pPr>
    </w:p>
    <w:p w:rsidR="00FE0405" w:rsidRPr="00FE6C5A" w:rsidRDefault="00E37A10">
      <w:pPr>
        <w:spacing w:after="0" w:line="360" w:lineRule="auto"/>
      </w:pPr>
      <w:r w:rsidRPr="00FE6C5A">
        <w:rPr>
          <w:b/>
        </w:rPr>
        <w:t xml:space="preserve">b) Admisión del Recurso de Revisión. </w:t>
      </w:r>
      <w:r w:rsidRPr="00FE6C5A">
        <w:t xml:space="preserve">El cuatro de noviembre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mes y año, a través del Sistema de Acceso a la Información Mexiquense (SAIMEX), en el que se les otorgó un plazo de siete días hábiles posteriores a la misma, para que manifestara lo que a su derecho conviniera y formularán alegatos. </w:t>
      </w:r>
    </w:p>
    <w:p w:rsidR="00FE0405" w:rsidRPr="00FE6C5A" w:rsidRDefault="00FE0405">
      <w:pPr>
        <w:spacing w:after="0" w:line="360" w:lineRule="auto"/>
      </w:pPr>
    </w:p>
    <w:p w:rsidR="00FE0405" w:rsidRPr="00FE6C5A" w:rsidRDefault="00E37A10">
      <w:pPr>
        <w:spacing w:after="0" w:line="360" w:lineRule="auto"/>
        <w:rPr>
          <w:color w:val="000000"/>
        </w:rPr>
      </w:pPr>
      <w:r w:rsidRPr="00FE6C5A">
        <w:rPr>
          <w:b/>
          <w:color w:val="000000"/>
        </w:rPr>
        <w:lastRenderedPageBreak/>
        <w:t>c) Informe Justificado.</w:t>
      </w:r>
      <w:r w:rsidRPr="00FE6C5A">
        <w:rPr>
          <w:color w:val="000000"/>
        </w:rPr>
        <w:t xml:space="preserve"> Tanto el Sujeto Obligado, como la persona Recurrente fueron omisos en presentar alegatos o manifestaciones que en derecho correspondían.</w:t>
      </w:r>
    </w:p>
    <w:p w:rsidR="00FE0405" w:rsidRPr="00FE6C5A" w:rsidRDefault="00FE0405">
      <w:pPr>
        <w:spacing w:after="0" w:line="360" w:lineRule="auto"/>
        <w:rPr>
          <w:color w:val="000000"/>
        </w:rPr>
      </w:pPr>
    </w:p>
    <w:p w:rsidR="00FE0405" w:rsidRPr="00FE6C5A" w:rsidRDefault="00E37A10">
      <w:pPr>
        <w:spacing w:after="0" w:line="360" w:lineRule="auto"/>
        <w:rPr>
          <w:color w:val="000000"/>
        </w:rPr>
      </w:pPr>
      <w:r w:rsidRPr="00FE6C5A">
        <w:rPr>
          <w:b/>
          <w:color w:val="000000"/>
        </w:rPr>
        <w:t>d) Cierre de instrucción.</w:t>
      </w:r>
      <w:r w:rsidRPr="00FE6C5A">
        <w:rPr>
          <w:color w:val="000000"/>
        </w:rPr>
        <w:t xml:space="preserve"> El diecinueve de noviembre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w:t>
      </w:r>
      <w:r w:rsidRPr="00FE6C5A">
        <w:t>acto que fue notificado a las partes, mediante el Sistema de Acceso a la Información Mexiquense (SAIMEX), el mismo día, mes y año.</w:t>
      </w:r>
    </w:p>
    <w:p w:rsidR="00FE0405" w:rsidRPr="00FE6C5A" w:rsidRDefault="00FE0405">
      <w:pPr>
        <w:spacing w:after="0" w:line="360" w:lineRule="auto"/>
        <w:rPr>
          <w:color w:val="000000"/>
        </w:rPr>
      </w:pPr>
    </w:p>
    <w:p w:rsidR="00FE0405" w:rsidRPr="00FE6C5A" w:rsidRDefault="00E37A10">
      <w:pPr>
        <w:spacing w:after="0" w:line="360" w:lineRule="auto"/>
        <w:rPr>
          <w:color w:val="000000"/>
        </w:rPr>
      </w:pPr>
      <w:r w:rsidRPr="00FE6C5A">
        <w:rPr>
          <w:color w:val="000000"/>
        </w:rPr>
        <w:t xml:space="preserve">En razón de que fue debidamente sustanciado e integrado el expediente electrónico y no existe diligencia pendiente de desahogo, se emite la resolución que conforme a Derecho proceda, de acuerdo a los siguientes: </w:t>
      </w:r>
    </w:p>
    <w:p w:rsidR="00FE0405" w:rsidRPr="00FE6C5A" w:rsidRDefault="00FE0405">
      <w:pPr>
        <w:spacing w:after="0" w:line="360" w:lineRule="auto"/>
        <w:rPr>
          <w:color w:val="000000"/>
        </w:rPr>
      </w:pPr>
    </w:p>
    <w:p w:rsidR="00FE0405" w:rsidRPr="00FE6C5A" w:rsidRDefault="00E37A10">
      <w:pPr>
        <w:spacing w:after="0" w:line="360" w:lineRule="auto"/>
        <w:jc w:val="center"/>
        <w:rPr>
          <w:b/>
          <w:color w:val="000000"/>
        </w:rPr>
      </w:pPr>
      <w:r w:rsidRPr="00FE6C5A">
        <w:rPr>
          <w:b/>
          <w:color w:val="000000"/>
        </w:rPr>
        <w:t>C O N S I D E R A N D O S</w:t>
      </w:r>
    </w:p>
    <w:p w:rsidR="00FE0405" w:rsidRPr="00FE6C5A" w:rsidRDefault="00FE0405">
      <w:pPr>
        <w:spacing w:after="0" w:line="360" w:lineRule="auto"/>
        <w:rPr>
          <w:b/>
        </w:rPr>
      </w:pPr>
    </w:p>
    <w:p w:rsidR="00FE0405" w:rsidRPr="00FE6C5A" w:rsidRDefault="00E37A10">
      <w:pPr>
        <w:spacing w:after="0" w:line="360" w:lineRule="auto"/>
        <w:rPr>
          <w:b/>
          <w:color w:val="000000"/>
        </w:rPr>
      </w:pPr>
      <w:r w:rsidRPr="00FE6C5A">
        <w:rPr>
          <w:b/>
          <w:color w:val="000000"/>
        </w:rPr>
        <w:t>PRIMERO</w:t>
      </w:r>
      <w:r w:rsidRPr="00FE6C5A">
        <w:rPr>
          <w:color w:val="000000"/>
        </w:rPr>
        <w:t xml:space="preserve">. </w:t>
      </w:r>
      <w:r w:rsidRPr="00FE6C5A">
        <w:rPr>
          <w:b/>
          <w:color w:val="000000"/>
        </w:rPr>
        <w:t>Competencia</w:t>
      </w:r>
    </w:p>
    <w:p w:rsidR="00FE0405" w:rsidRPr="00FE6C5A" w:rsidRDefault="00FE0405">
      <w:pPr>
        <w:spacing w:after="0" w:line="360" w:lineRule="auto"/>
        <w:rPr>
          <w:b/>
          <w:color w:val="000000"/>
        </w:rPr>
      </w:pPr>
    </w:p>
    <w:p w:rsidR="00FE0405" w:rsidRPr="00FE6C5A" w:rsidRDefault="00E37A10">
      <w:pPr>
        <w:spacing w:after="0" w:line="360" w:lineRule="auto"/>
      </w:pPr>
      <w:r w:rsidRPr="00FE6C5A">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w:t>
      </w:r>
      <w:r w:rsidRPr="00FE6C5A">
        <w:lastRenderedPageBreak/>
        <w:t>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FE0405" w:rsidRPr="00FE6C5A" w:rsidRDefault="00E37A10">
      <w:pPr>
        <w:tabs>
          <w:tab w:val="left" w:pos="8055"/>
        </w:tabs>
        <w:spacing w:after="0" w:line="360" w:lineRule="auto"/>
        <w:rPr>
          <w:color w:val="000000"/>
        </w:rPr>
      </w:pPr>
      <w:r w:rsidRPr="00FE6C5A">
        <w:rPr>
          <w:color w:val="000000"/>
        </w:rPr>
        <w:tab/>
      </w:r>
    </w:p>
    <w:p w:rsidR="00FE0405" w:rsidRPr="00FE6C5A" w:rsidRDefault="00E37A10">
      <w:pPr>
        <w:spacing w:after="0" w:line="360" w:lineRule="auto"/>
        <w:rPr>
          <w:color w:val="000000"/>
        </w:rPr>
      </w:pPr>
      <w:r w:rsidRPr="00FE6C5A">
        <w:rPr>
          <w:b/>
          <w:color w:val="000000"/>
        </w:rPr>
        <w:t>SEGUNDO</w:t>
      </w:r>
      <w:r w:rsidRPr="00FE6C5A">
        <w:rPr>
          <w:color w:val="000000"/>
        </w:rPr>
        <w:t xml:space="preserve">. </w:t>
      </w:r>
      <w:r w:rsidRPr="00FE6C5A">
        <w:rPr>
          <w:b/>
          <w:color w:val="000000"/>
        </w:rPr>
        <w:t>Causales de improcedencia y sobreseimiento</w:t>
      </w:r>
    </w:p>
    <w:p w:rsidR="00FE0405" w:rsidRPr="00FE6C5A" w:rsidRDefault="00FE0405">
      <w:pPr>
        <w:spacing w:after="0" w:line="360" w:lineRule="auto"/>
        <w:rPr>
          <w:color w:val="000000"/>
        </w:rPr>
      </w:pPr>
    </w:p>
    <w:p w:rsidR="00FE0405" w:rsidRPr="00FE6C5A" w:rsidRDefault="00E37A10">
      <w:pPr>
        <w:spacing w:after="0" w:line="360" w:lineRule="auto"/>
        <w:rPr>
          <w:color w:val="000000"/>
        </w:rPr>
      </w:pPr>
      <w:r w:rsidRPr="00FE6C5A">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FE0405" w:rsidRPr="00FE6C5A" w:rsidRDefault="00FE0405">
      <w:pPr>
        <w:spacing w:after="0" w:line="360" w:lineRule="auto"/>
        <w:rPr>
          <w:color w:val="000000"/>
        </w:rPr>
      </w:pPr>
    </w:p>
    <w:p w:rsidR="00FE0405" w:rsidRPr="00FE6C5A" w:rsidRDefault="00E37A10">
      <w:pPr>
        <w:spacing w:after="0" w:line="360" w:lineRule="auto"/>
        <w:rPr>
          <w:color w:val="000000"/>
        </w:rPr>
      </w:pPr>
      <w:r w:rsidRPr="00FE6C5A">
        <w:rPr>
          <w:color w:val="000000"/>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rsidR="00FE0405" w:rsidRPr="00FE6C5A" w:rsidRDefault="00FE0405">
      <w:pPr>
        <w:spacing w:after="0" w:line="360" w:lineRule="auto"/>
        <w:rPr>
          <w:b/>
          <w:color w:val="000000"/>
        </w:rPr>
      </w:pPr>
    </w:p>
    <w:p w:rsidR="00FE0405" w:rsidRPr="00FE6C5A" w:rsidRDefault="00E37A10">
      <w:pPr>
        <w:spacing w:after="0" w:line="360" w:lineRule="auto"/>
        <w:rPr>
          <w:b/>
          <w:color w:val="000000"/>
        </w:rPr>
      </w:pPr>
      <w:r w:rsidRPr="00FE6C5A">
        <w:rPr>
          <w:b/>
          <w:color w:val="000000"/>
        </w:rPr>
        <w:t>Causales de sobreseimiento</w:t>
      </w:r>
    </w:p>
    <w:p w:rsidR="00FE0405" w:rsidRPr="00FE6C5A" w:rsidRDefault="00FE0405">
      <w:pPr>
        <w:spacing w:after="0" w:line="360" w:lineRule="auto"/>
        <w:rPr>
          <w:color w:val="000000"/>
        </w:rPr>
      </w:pPr>
    </w:p>
    <w:p w:rsidR="00FE0405" w:rsidRPr="00FE6C5A" w:rsidRDefault="00E37A10">
      <w:pPr>
        <w:spacing w:after="0" w:line="360" w:lineRule="auto"/>
        <w:rPr>
          <w:color w:val="000000"/>
        </w:rPr>
      </w:pPr>
      <w:r w:rsidRPr="00FE6C5A">
        <w:rPr>
          <w:color w:val="000000"/>
        </w:rPr>
        <w:t>Por lo que hace a las causales de sobreseimiento, del análisis realizado por este Instituto, se advierte que</w:t>
      </w:r>
      <w:r w:rsidRPr="00FE6C5A">
        <w:rPr>
          <w:b/>
          <w:color w:val="000000"/>
        </w:rPr>
        <w:t xml:space="preserve"> no se actualiza ninguna de las previstas por el artículo 192 de la Ley de </w:t>
      </w:r>
      <w:r w:rsidRPr="00FE6C5A">
        <w:rPr>
          <w:b/>
          <w:color w:val="000000"/>
        </w:rPr>
        <w:lastRenderedPageBreak/>
        <w:t xml:space="preserve">Transparencia y Acceso a la Información Pública del Estado de México y Municipios; </w:t>
      </w:r>
      <w:r w:rsidRPr="00FE6C5A">
        <w:rPr>
          <w:color w:val="000000"/>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Por tales motivos, se considera procedente entrar al fondo del presente asunto. </w:t>
      </w:r>
    </w:p>
    <w:p w:rsidR="00FE0405" w:rsidRPr="00FE6C5A" w:rsidRDefault="00FE0405">
      <w:pPr>
        <w:spacing w:after="0" w:line="360" w:lineRule="auto"/>
        <w:rPr>
          <w:color w:val="000000"/>
        </w:rPr>
      </w:pPr>
    </w:p>
    <w:p w:rsidR="00FE0405" w:rsidRPr="00FE6C5A" w:rsidRDefault="00E37A10">
      <w:pPr>
        <w:tabs>
          <w:tab w:val="left" w:pos="4962"/>
        </w:tabs>
        <w:spacing w:after="0" w:line="360" w:lineRule="auto"/>
        <w:rPr>
          <w:b/>
          <w:color w:val="000000"/>
        </w:rPr>
      </w:pPr>
      <w:r w:rsidRPr="00FE6C5A">
        <w:rPr>
          <w:b/>
          <w:color w:val="000000"/>
        </w:rPr>
        <w:t>TERCERO. Determinación de la Controversia</w:t>
      </w:r>
    </w:p>
    <w:p w:rsidR="00FE0405" w:rsidRPr="00FE6C5A" w:rsidRDefault="00FE0405">
      <w:pPr>
        <w:tabs>
          <w:tab w:val="left" w:pos="4962"/>
        </w:tabs>
        <w:spacing w:after="0" w:line="360" w:lineRule="auto"/>
        <w:rPr>
          <w:color w:val="000000"/>
        </w:rPr>
      </w:pPr>
    </w:p>
    <w:p w:rsidR="00FE0405" w:rsidRPr="00FE6C5A" w:rsidRDefault="00E37A10">
      <w:pPr>
        <w:tabs>
          <w:tab w:val="left" w:pos="4962"/>
        </w:tabs>
        <w:spacing w:after="0" w:line="360" w:lineRule="auto"/>
        <w:rPr>
          <w:color w:val="000000"/>
        </w:rPr>
      </w:pPr>
      <w:r w:rsidRPr="00FE6C5A">
        <w:rPr>
          <w:color w:val="000000"/>
        </w:rPr>
        <w:t>Con el objeto de ilustrar la controversia planteada, resulta conveniente precisar que el Particular, solicitó conocer el número de pipas de agua que se extraen diariamente del pozo municipal, su destino y la bitácora semanal del suministro durante la administración 2022-2024.</w:t>
      </w:r>
    </w:p>
    <w:p w:rsidR="00FE0405" w:rsidRPr="00FE6C5A" w:rsidRDefault="00FE0405">
      <w:pPr>
        <w:tabs>
          <w:tab w:val="left" w:pos="4962"/>
        </w:tabs>
        <w:spacing w:after="0" w:line="360" w:lineRule="auto"/>
        <w:rPr>
          <w:color w:val="000000"/>
        </w:rPr>
      </w:pPr>
    </w:p>
    <w:p w:rsidR="00FE0405" w:rsidRPr="00FE6C5A" w:rsidRDefault="00E37A10">
      <w:pPr>
        <w:tabs>
          <w:tab w:val="left" w:pos="4962"/>
        </w:tabs>
        <w:spacing w:after="0" w:line="360" w:lineRule="auto"/>
        <w:rPr>
          <w:color w:val="000000"/>
        </w:rPr>
      </w:pPr>
      <w:r w:rsidRPr="00FE6C5A">
        <w:rPr>
          <w:color w:val="000000"/>
        </w:rPr>
        <w:t xml:space="preserve">Derivado de ello, el Sujeto Obligado a través de la Titular de la Unidad de Transparencia remitió la respuesta proporcionada por el Director de Servicios Públicos, quien proporcionó a su consideración la información que es de interés del solicitante. En razón de lo anterior, el Particular, señaló en el acto impugnado la respuesta proporcionada, mientras que en sus razones o motivos de inconformidad, que el Sujeto Obligado no proporcionó el número de pipas de agua extraídas diariamente, es decir, alude la entrega de información incompleta, lo cual se actualiza en el supuesto previsto en el artículo 179, fracción V de la Ley de Transparencia y Acceso a la Información Pública del Estado de México y Municipios. </w:t>
      </w:r>
    </w:p>
    <w:p w:rsidR="00FE0405" w:rsidRPr="00FE6C5A" w:rsidRDefault="00FE0405">
      <w:pPr>
        <w:spacing w:after="0" w:line="360" w:lineRule="auto"/>
        <w:rPr>
          <w:color w:val="000000"/>
        </w:rPr>
      </w:pPr>
    </w:p>
    <w:p w:rsidR="00FE0405" w:rsidRPr="00FE6C5A" w:rsidRDefault="00E37A10">
      <w:pPr>
        <w:spacing w:after="0" w:line="360" w:lineRule="auto"/>
        <w:rPr>
          <w:color w:val="000000"/>
        </w:rPr>
      </w:pPr>
      <w:r w:rsidRPr="00FE6C5A">
        <w:rPr>
          <w:color w:val="000000"/>
        </w:rPr>
        <w:t xml:space="preserve">Así las cosas, una vez admitido y notificado el Recurso de Revisión a las partes, tanto el Sujeto Obligado como el Recurrente fueron omisos en presentar manifestaciones o alegatos que en derecho </w:t>
      </w:r>
      <w:r w:rsidRPr="00FE6C5A">
        <w:t>correspondan</w:t>
      </w:r>
      <w:r w:rsidRPr="00FE6C5A">
        <w:rPr>
          <w:color w:val="000000"/>
        </w:rPr>
        <w:t xml:space="preserve">. </w:t>
      </w:r>
    </w:p>
    <w:p w:rsidR="00FE0405" w:rsidRPr="00FE6C5A" w:rsidRDefault="00FE0405">
      <w:pPr>
        <w:spacing w:after="0" w:line="360" w:lineRule="auto"/>
        <w:rPr>
          <w:color w:val="000000"/>
        </w:rPr>
      </w:pPr>
    </w:p>
    <w:p w:rsidR="00FE0405" w:rsidRPr="00FE6C5A" w:rsidRDefault="00E37A10">
      <w:pPr>
        <w:spacing w:after="0" w:line="360" w:lineRule="auto"/>
      </w:pPr>
      <w:r w:rsidRPr="00FE6C5A">
        <w:lastRenderedPageBreak/>
        <w:t xml:space="preserve">Lo hasta aquí expuesto, se desprende de las documentales que obran en el expediente de referencia, materia de la presente Resolución, consistentes en: la solicitud de acceso a la información con número de folio </w:t>
      </w:r>
      <w:r w:rsidRPr="00FE6C5A">
        <w:rPr>
          <w:color w:val="000000"/>
        </w:rPr>
        <w:t xml:space="preserve">00563/TEMAMATL/IP/2024 y </w:t>
      </w:r>
      <w:r w:rsidRPr="00FE6C5A">
        <w:t xml:space="preserve">el escrito recursal; instrumentales que se toman en cuenta a efecto de resolver el presente medio de impugnación, conforme a lo dispuesto por el artículo 185, fracción IV, de la Ley de Transparencia y Acceso a la Información Pública del Estado de México y Municipios.  </w:t>
      </w:r>
    </w:p>
    <w:p w:rsidR="00FE0405" w:rsidRPr="00FE6C5A" w:rsidRDefault="00FE0405">
      <w:pPr>
        <w:spacing w:after="0" w:line="360" w:lineRule="auto"/>
      </w:pPr>
    </w:p>
    <w:p w:rsidR="00FE0405" w:rsidRPr="00FE6C5A" w:rsidRDefault="00E37A10">
      <w:pPr>
        <w:spacing w:after="0" w:line="360" w:lineRule="auto"/>
        <w:ind w:right="-93"/>
        <w:rPr>
          <w:b/>
          <w:color w:val="000000"/>
        </w:rPr>
      </w:pPr>
      <w:r w:rsidRPr="00FE6C5A">
        <w:rPr>
          <w:b/>
          <w:color w:val="000000"/>
        </w:rPr>
        <w:t>CUARTO. Marco normativo aplicable en materia de transparencia y acceso a la información pública</w:t>
      </w:r>
    </w:p>
    <w:p w:rsidR="00FE0405" w:rsidRPr="00FE6C5A" w:rsidRDefault="00FE0405">
      <w:pPr>
        <w:spacing w:after="0" w:line="360" w:lineRule="auto"/>
        <w:ind w:right="-93"/>
        <w:rPr>
          <w:b/>
          <w:color w:val="000000"/>
        </w:rPr>
      </w:pPr>
    </w:p>
    <w:p w:rsidR="00FE0405" w:rsidRPr="00FE6C5A" w:rsidRDefault="00E37A10">
      <w:pPr>
        <w:spacing w:after="0" w:line="360" w:lineRule="auto"/>
        <w:rPr>
          <w:color w:val="000000"/>
        </w:rPr>
      </w:pPr>
      <w:r w:rsidRPr="00FE6C5A">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FE0405" w:rsidRPr="00FE6C5A" w:rsidRDefault="00FE0405">
      <w:pPr>
        <w:spacing w:after="0" w:line="360" w:lineRule="auto"/>
        <w:rPr>
          <w:color w:val="000000"/>
        </w:rPr>
      </w:pPr>
    </w:p>
    <w:p w:rsidR="00FE0405" w:rsidRPr="00FE6C5A" w:rsidRDefault="00E37A10">
      <w:pPr>
        <w:spacing w:after="0" w:line="360" w:lineRule="auto"/>
        <w:rPr>
          <w:color w:val="000000"/>
        </w:rPr>
      </w:pPr>
      <w:r w:rsidRPr="00FE6C5A">
        <w:rPr>
          <w:color w:val="000000"/>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rsidR="00FE0405" w:rsidRPr="00FE6C5A" w:rsidRDefault="00FE0405">
      <w:pPr>
        <w:spacing w:after="0" w:line="360" w:lineRule="auto"/>
        <w:rPr>
          <w:color w:val="000000"/>
        </w:rPr>
      </w:pPr>
    </w:p>
    <w:p w:rsidR="00FE0405" w:rsidRPr="00FE6C5A" w:rsidRDefault="00E37A10">
      <w:pPr>
        <w:spacing w:after="0" w:line="360" w:lineRule="auto"/>
        <w:rPr>
          <w:color w:val="000000"/>
        </w:rPr>
      </w:pPr>
      <w:r w:rsidRPr="00FE6C5A">
        <w:rPr>
          <w:color w:val="000000"/>
        </w:rP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FE0405" w:rsidRPr="00FE6C5A" w:rsidRDefault="00FE0405">
      <w:pPr>
        <w:spacing w:after="0" w:line="360" w:lineRule="auto"/>
        <w:rPr>
          <w:color w:val="000000"/>
        </w:rPr>
      </w:pPr>
    </w:p>
    <w:p w:rsidR="00FE0405" w:rsidRPr="00FE6C5A" w:rsidRDefault="00E37A10">
      <w:pPr>
        <w:spacing w:after="0" w:line="360" w:lineRule="auto"/>
        <w:rPr>
          <w:color w:val="000000"/>
        </w:rPr>
      </w:pPr>
      <w:r w:rsidRPr="00FE6C5A">
        <w:rPr>
          <w:color w:val="000000"/>
        </w:rPr>
        <w:t>Por su parte, la Ley de Transparencia y Acceso a la Información Pública del Estado de México y Municipios (Reglamentaria del artículo 5° de la Constitución Local), establece lo siguiente:</w:t>
      </w:r>
    </w:p>
    <w:p w:rsidR="00FE0405" w:rsidRPr="00FE6C5A" w:rsidRDefault="00FE0405">
      <w:pPr>
        <w:spacing w:after="0" w:line="360" w:lineRule="auto"/>
        <w:rPr>
          <w:color w:val="000000"/>
        </w:rPr>
      </w:pPr>
    </w:p>
    <w:p w:rsidR="00FE0405" w:rsidRPr="00FE6C5A" w:rsidRDefault="00E37A10">
      <w:pPr>
        <w:spacing w:after="0" w:line="360" w:lineRule="auto"/>
        <w:rPr>
          <w:color w:val="000000"/>
        </w:rPr>
      </w:pPr>
      <w:r w:rsidRPr="00FE6C5A">
        <w:rPr>
          <w:color w:val="000000"/>
        </w:rPr>
        <w:t>El artículo 12, que, quienes generen, recopilen, administren, manejen, procesen, archiven o conserven información pública serán responsables de la misma. El artículo 18, que, los Sujetos Obligados deberán documentar todo acto que derive del ejercicio de sus facultades, competencias o funciones, considerando desde su origen la eventual publicidad y reutilización de la información que generen.</w:t>
      </w:r>
    </w:p>
    <w:p w:rsidR="00FE0405" w:rsidRPr="00FE6C5A" w:rsidRDefault="00FE0405">
      <w:pPr>
        <w:spacing w:after="0" w:line="360" w:lineRule="auto"/>
        <w:rPr>
          <w:color w:val="000000"/>
          <w:sz w:val="20"/>
          <w:szCs w:val="20"/>
        </w:rPr>
      </w:pPr>
    </w:p>
    <w:p w:rsidR="00FE0405" w:rsidRPr="00FE6C5A" w:rsidRDefault="00E37A10">
      <w:pPr>
        <w:spacing w:after="0" w:line="360" w:lineRule="auto"/>
        <w:rPr>
          <w:color w:val="000000"/>
        </w:rPr>
      </w:pPr>
      <w:r w:rsidRPr="00FE6C5A">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FE0405" w:rsidRPr="00FE6C5A" w:rsidRDefault="00FE0405">
      <w:pPr>
        <w:spacing w:after="0" w:line="360" w:lineRule="auto"/>
        <w:rPr>
          <w:color w:val="000000"/>
        </w:rPr>
      </w:pPr>
    </w:p>
    <w:p w:rsidR="00FE0405" w:rsidRPr="00FE6C5A" w:rsidRDefault="00E37A10">
      <w:pPr>
        <w:spacing w:after="0" w:line="360" w:lineRule="auto"/>
        <w:rPr>
          <w:b/>
          <w:color w:val="000000"/>
        </w:rPr>
      </w:pPr>
      <w:r w:rsidRPr="00FE6C5A">
        <w:rPr>
          <w:b/>
          <w:smallCaps/>
          <w:color w:val="000000"/>
        </w:rPr>
        <w:t>QUINTO</w:t>
      </w:r>
      <w:r w:rsidRPr="00FE6C5A">
        <w:rPr>
          <w:b/>
          <w:color w:val="000000"/>
        </w:rPr>
        <w:t>. Estudio de Fondo</w:t>
      </w:r>
    </w:p>
    <w:p w:rsidR="00FE0405" w:rsidRPr="00FE6C5A" w:rsidRDefault="00FE0405">
      <w:pPr>
        <w:spacing w:after="0" w:line="360" w:lineRule="auto"/>
        <w:rPr>
          <w:b/>
          <w:color w:val="000000"/>
        </w:rPr>
      </w:pPr>
    </w:p>
    <w:p w:rsidR="00FE0405" w:rsidRPr="00FE6C5A" w:rsidRDefault="00E37A10">
      <w:pPr>
        <w:spacing w:after="0" w:line="360" w:lineRule="auto"/>
        <w:rPr>
          <w:color w:val="000000"/>
        </w:rPr>
      </w:pPr>
      <w:r w:rsidRPr="00FE6C5A">
        <w:rPr>
          <w:color w:val="000000"/>
        </w:rPr>
        <w:t xml:space="preserve">Expuestas las posturas de las partes, se procede al análisis del agravio hecho valer por el ahora Recurrente, concerniente al señalar la entrega incompleta de la información solicitada por parte del Sujeto Obligado. Ahora bien, de los requerimientos realizados, se advierte que, el Sujeto Obligado, a través de su área competente, Dirección de Servicios Públicos, otorgó la respuesta que a su consideración atendía cada uno de los requerimientos de información.  </w:t>
      </w:r>
    </w:p>
    <w:p w:rsidR="00FE0405" w:rsidRPr="00FE6C5A" w:rsidRDefault="00FE0405">
      <w:pPr>
        <w:spacing w:after="0" w:line="360" w:lineRule="auto"/>
        <w:rPr>
          <w:color w:val="000000"/>
        </w:rPr>
      </w:pPr>
    </w:p>
    <w:p w:rsidR="00FE0405" w:rsidRPr="00FE6C5A" w:rsidRDefault="00E37A10">
      <w:pPr>
        <w:spacing w:after="0" w:line="360" w:lineRule="auto"/>
        <w:rPr>
          <w:color w:val="000000"/>
        </w:rPr>
      </w:pPr>
      <w:r w:rsidRPr="00FE6C5A">
        <w:rPr>
          <w:color w:val="000000"/>
        </w:rPr>
        <w:t xml:space="preserve">Debido a lo anterior, el Recurrente interpuso el presente Recurso de Revisión que se analiza, en el cual, arguyó como razones o motivos de inconformidad, que el Sujeto Obligado no manifestó en su contestación el número de pipas de agua que son extraídas diariamente. En este sentido, se advierte que no realizó manifestación alguna acerca del resto de la información; es decir, respecto </w:t>
      </w:r>
      <w:r w:rsidRPr="00FE6C5A">
        <w:rPr>
          <w:b/>
          <w:color w:val="000000"/>
          <w:u w:val="single"/>
        </w:rPr>
        <w:t>al destino de las pipas de agua y la bitácora semanal del suministro de agua de la administración 2022-2024;</w:t>
      </w:r>
      <w:r w:rsidRPr="00FE6C5A">
        <w:rPr>
          <w:color w:val="000000"/>
        </w:rPr>
        <w:t xml:space="preserve"> en consecuencia, se tienen tácitamente consentidos por el Recurrente; por ello, es de mencionar que este Instituto se encuentra impedido para </w:t>
      </w:r>
      <w:r w:rsidRPr="00FE6C5A">
        <w:rPr>
          <w:color w:val="000000"/>
        </w:rPr>
        <w:lastRenderedPageBreak/>
        <w:t xml:space="preserve">pronunciarse respecto al resto de la información proporcionada por la Consejería Jurídica, respecto al o los apartados de las solicitudes de acceso que no fueron combatidos en el momento procesal oportuno; situación que cobra sustento legal del criterio de interpretación para Sujetos Obligados con clave de control SO/001/2020 emitido por el Pleno del Órgano Garante Nacional, que por rubro y texto, dispone lo siguiente: </w:t>
      </w:r>
    </w:p>
    <w:p w:rsidR="00FE0405" w:rsidRPr="00FE6C5A" w:rsidRDefault="00E37A10">
      <w:pPr>
        <w:tabs>
          <w:tab w:val="left" w:pos="5107"/>
        </w:tabs>
        <w:spacing w:after="0" w:line="360" w:lineRule="auto"/>
        <w:ind w:right="-28"/>
        <w:rPr>
          <w:color w:val="000000"/>
        </w:rPr>
      </w:pPr>
      <w:r w:rsidRPr="00FE6C5A">
        <w:rPr>
          <w:color w:val="000000"/>
        </w:rPr>
        <w:tab/>
      </w:r>
    </w:p>
    <w:p w:rsidR="00FE0405" w:rsidRPr="00FE6C5A" w:rsidRDefault="00E37A10">
      <w:pPr>
        <w:spacing w:after="0" w:line="360" w:lineRule="auto"/>
        <w:ind w:left="567" w:right="567"/>
        <w:rPr>
          <w:i/>
          <w:color w:val="000000"/>
          <w:sz w:val="20"/>
          <w:szCs w:val="20"/>
        </w:rPr>
      </w:pPr>
      <w:r w:rsidRPr="00FE6C5A">
        <w:rPr>
          <w:i/>
          <w:color w:val="000000"/>
          <w:sz w:val="20"/>
          <w:szCs w:val="20"/>
        </w:rPr>
        <w:t>“</w:t>
      </w:r>
      <w:r w:rsidRPr="00FE6C5A">
        <w:rPr>
          <w:b/>
          <w:i/>
          <w:color w:val="000000"/>
          <w:sz w:val="20"/>
          <w:szCs w:val="20"/>
        </w:rPr>
        <w:t>Actos consentidos tácitamente. Improcedencia de su análisis.</w:t>
      </w:r>
      <w:r w:rsidRPr="00FE6C5A">
        <w:rPr>
          <w:i/>
          <w:color w:val="000000"/>
          <w:sz w:val="20"/>
          <w:szCs w:val="20"/>
        </w:rPr>
        <w:t xml:space="preserve"> Si en su recurso de revisión, la persona recurrente no expresó inconformidad alguna con ciertas partes de la respuesta otorgada, se entienden tácitamente consentidas, por ende, no deben formar parte del estudio de fondo de la resolución que emite el Instituto.”</w:t>
      </w:r>
    </w:p>
    <w:p w:rsidR="00FE0405" w:rsidRPr="00FE6C5A" w:rsidRDefault="00FE0405">
      <w:pPr>
        <w:spacing w:after="0" w:line="360" w:lineRule="auto"/>
        <w:ind w:right="-28"/>
        <w:rPr>
          <w:color w:val="000000"/>
        </w:rPr>
      </w:pPr>
    </w:p>
    <w:p w:rsidR="00FE0405" w:rsidRPr="00FE6C5A" w:rsidRDefault="00E37A10">
      <w:pPr>
        <w:spacing w:after="0" w:line="360" w:lineRule="auto"/>
        <w:ind w:right="-28"/>
        <w:rPr>
          <w:color w:val="000000"/>
        </w:rPr>
      </w:pPr>
      <w:r w:rsidRPr="00FE6C5A">
        <w:rPr>
          <w:color w:val="000000"/>
        </w:rPr>
        <w:t xml:space="preserve">De la misma manera resulta aplicable el criterio sostenido por el Poder Judicial de la Federación de rubro </w:t>
      </w:r>
      <w:r w:rsidRPr="00FE6C5A">
        <w:rPr>
          <w:b/>
          <w:color w:val="000000"/>
        </w:rPr>
        <w:t>ACTOS CONSENTIDOS TÁCITAMENTE, Tesis VI.2o. J/21</w:t>
      </w:r>
      <w:r w:rsidRPr="00FE6C5A">
        <w:rPr>
          <w:color w:val="000000"/>
        </w:rPr>
        <w:t>, emitida en la novena época, por el Segundo Tribunal Colegiado del Sexto Circuito, publicada en la Gaceta del Semanario Judicial de la Federación en agosto de 1995, página 291 y número de registro 204707, del que se desprende que cuando no se reclaman los actos de autoridad en la vía y plazos establecidos en la Ley, se presume que el particular está conforme con los mismos.</w:t>
      </w:r>
    </w:p>
    <w:p w:rsidR="00FE0405" w:rsidRPr="00FE6C5A" w:rsidRDefault="00FE0405">
      <w:pPr>
        <w:spacing w:after="0" w:line="360" w:lineRule="auto"/>
        <w:ind w:right="-28"/>
        <w:rPr>
          <w:color w:val="000000"/>
        </w:rPr>
      </w:pPr>
    </w:p>
    <w:p w:rsidR="00FE0405" w:rsidRPr="00FE6C5A" w:rsidRDefault="00E37A10">
      <w:pPr>
        <w:spacing w:after="0" w:line="360" w:lineRule="auto"/>
        <w:ind w:right="-93"/>
        <w:rPr>
          <w:color w:val="000000"/>
        </w:rPr>
      </w:pPr>
      <w:r w:rsidRPr="00FE6C5A">
        <w:rPr>
          <w:color w:val="000000"/>
        </w:rPr>
        <w:t xml:space="preserve">En ese sentido, en el caso de que el Particular no haya manifestado su inconformidad en contra del acto en su totalidad o en cualquiera de sus partes, se tendrá por consentido al no haber realizado argumento alguno que formulara un agravio en su contra, por lo que, en la especie, se valida la respuesta respecto a los puntos no controvertidos, a saber, </w:t>
      </w:r>
      <w:r w:rsidRPr="00FE6C5A">
        <w:rPr>
          <w:b/>
          <w:color w:val="000000"/>
          <w:u w:val="single"/>
        </w:rPr>
        <w:t>destino de las pipas de agua y la bitácora semanal del suministro de agua de la administración 2022-2024;</w:t>
      </w:r>
      <w:r w:rsidRPr="00FE6C5A">
        <w:rPr>
          <w:i/>
          <w:color w:val="000000"/>
        </w:rPr>
        <w:t xml:space="preserve"> </w:t>
      </w:r>
      <w:r w:rsidRPr="00FE6C5A">
        <w:rPr>
          <w:color w:val="000000"/>
        </w:rPr>
        <w:t xml:space="preserve"> y se arriba a la conclusión de que estos quedaron firmes.</w:t>
      </w:r>
    </w:p>
    <w:p w:rsidR="00FE0405" w:rsidRPr="00FE6C5A" w:rsidRDefault="00FE0405">
      <w:pPr>
        <w:spacing w:after="0" w:line="360" w:lineRule="auto"/>
        <w:rPr>
          <w:color w:val="000000"/>
        </w:rPr>
      </w:pPr>
    </w:p>
    <w:p w:rsidR="00FE0405" w:rsidRPr="00FE6C5A" w:rsidRDefault="00E37A10">
      <w:pPr>
        <w:spacing w:line="360" w:lineRule="auto"/>
        <w:rPr>
          <w:color w:val="000000"/>
        </w:rPr>
      </w:pPr>
      <w:r w:rsidRPr="00FE6C5A">
        <w:rPr>
          <w:color w:val="000000"/>
        </w:rPr>
        <w:t xml:space="preserve">En razón de lo anterior, el estudio se centrará respecto al número total de pipas que se extraen diariamente del pozo municipal. En principio, es de mencionar que lo requerido se refiere a </w:t>
      </w:r>
      <w:r w:rsidRPr="00FE6C5A">
        <w:rPr>
          <w:color w:val="000000"/>
        </w:rPr>
        <w:lastRenderedPageBreak/>
        <w:t>información estadística, en ese sentido, resulta necesario traer a colación, por analogía el criterio 11/09 del Instituto Federal de Acceso a la Información y Protección de Datos, que establece lo siguiente:</w:t>
      </w:r>
    </w:p>
    <w:p w:rsidR="00FE0405" w:rsidRPr="00FE6C5A" w:rsidRDefault="00FE0405">
      <w:pPr>
        <w:spacing w:after="0" w:line="360" w:lineRule="auto"/>
        <w:ind w:right="-93"/>
        <w:rPr>
          <w:color w:val="000000"/>
        </w:rPr>
      </w:pPr>
    </w:p>
    <w:p w:rsidR="00FE0405" w:rsidRPr="00FE6C5A" w:rsidRDefault="00E37A10">
      <w:pPr>
        <w:spacing w:after="0" w:line="360" w:lineRule="auto"/>
        <w:ind w:left="567" w:right="567"/>
        <w:rPr>
          <w:i/>
          <w:color w:val="000000"/>
          <w:sz w:val="20"/>
          <w:szCs w:val="20"/>
        </w:rPr>
      </w:pPr>
      <w:r w:rsidRPr="00FE6C5A">
        <w:rPr>
          <w:b/>
          <w:i/>
          <w:color w:val="000000"/>
          <w:sz w:val="20"/>
          <w:szCs w:val="20"/>
        </w:rPr>
        <w:t xml:space="preserve">La información estadística es de naturaleza pública, independientemente de la  materia  con  la  que  se encuentre  vinculada. </w:t>
      </w:r>
      <w:r w:rsidRPr="00FE6C5A">
        <w:rPr>
          <w:i/>
          <w:color w:val="000000"/>
          <w:sz w:val="20"/>
          <w:szCs w:val="20"/>
        </w:rPr>
        <w:t>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w:t>
      </w:r>
    </w:p>
    <w:p w:rsidR="00FE0405" w:rsidRPr="00FE6C5A" w:rsidRDefault="00FE0405">
      <w:pPr>
        <w:spacing w:after="0" w:line="360" w:lineRule="auto"/>
        <w:ind w:right="-93"/>
        <w:rPr>
          <w:color w:val="000000"/>
        </w:rPr>
      </w:pPr>
    </w:p>
    <w:p w:rsidR="00FE0405" w:rsidRPr="00FE6C5A" w:rsidRDefault="00E37A10">
      <w:pPr>
        <w:spacing w:after="0" w:line="360" w:lineRule="auto"/>
        <w:rPr>
          <w:color w:val="000000"/>
        </w:rPr>
      </w:pPr>
      <w:r w:rsidRPr="00FE6C5A">
        <w:rPr>
          <w:color w:val="000000"/>
        </w:rPr>
        <w:t xml:space="preserve">De lo previo, se desprende que </w:t>
      </w:r>
      <w:r w:rsidRPr="00FE6C5A">
        <w:rPr>
          <w:b/>
          <w:color w:val="000000"/>
        </w:rPr>
        <w:t>la información estadística es de naturaleza pública,</w:t>
      </w:r>
      <w:r w:rsidRPr="00FE6C5A">
        <w:rPr>
          <w:color w:val="000000"/>
        </w:rPr>
        <w:t xml:space="preserve"> al ser el producto de un conjunto de resultados cuantitativos obtenidos de un proceso sistemático de captación de datos primarios obtenidos sobre hechos que constan en la documentación que los sujetos obligados poseen, por lo que, dichos datos no se encuentran individualizados o personalizados.</w:t>
      </w:r>
    </w:p>
    <w:p w:rsidR="00FE0405" w:rsidRPr="00FE6C5A" w:rsidRDefault="00FE0405">
      <w:pPr>
        <w:spacing w:after="0" w:line="360" w:lineRule="auto"/>
        <w:rPr>
          <w:color w:val="000000"/>
        </w:rPr>
      </w:pPr>
    </w:p>
    <w:p w:rsidR="00FE0405" w:rsidRPr="00FE6C5A" w:rsidRDefault="00E37A10">
      <w:pPr>
        <w:spacing w:after="0" w:line="360" w:lineRule="auto"/>
        <w:rPr>
          <w:color w:val="000000"/>
        </w:rPr>
      </w:pPr>
      <w:r w:rsidRPr="00FE6C5A">
        <w:rPr>
          <w:color w:val="000000"/>
        </w:rPr>
        <w:t xml:space="preserve">En razón de lo anterior, es importante señalar lo contenido en los artículos 6, fracción I, 34, 67 fracción I, de la Ley del Agua para el Estado de México y Municipios, los cuales establecen que los Municipios, a través del Ayuntamiento, podrán prestar directamente los servicios de agua potable y de agua en bloque, que consiste en el volumen de agua potable que entrega la Comisión al Municipio y al Organismo Operador, así como, el que éstos a su vez entregan a </w:t>
      </w:r>
      <w:r w:rsidRPr="00FE6C5A">
        <w:rPr>
          <w:color w:val="000000"/>
        </w:rPr>
        <w:lastRenderedPageBreak/>
        <w:t>subdivisiones o conjuntos habitacionales, industriales o de servicios, o a otros prestadores de los servicios para los fines correspondientes.</w:t>
      </w:r>
    </w:p>
    <w:p w:rsidR="00FE0405" w:rsidRPr="00FE6C5A" w:rsidRDefault="00FE0405">
      <w:pPr>
        <w:spacing w:after="0" w:line="360" w:lineRule="auto"/>
        <w:rPr>
          <w:color w:val="000000"/>
        </w:rPr>
      </w:pPr>
    </w:p>
    <w:p w:rsidR="00FE0405" w:rsidRPr="00FE6C5A" w:rsidRDefault="00E37A10">
      <w:pPr>
        <w:spacing w:after="0" w:line="360" w:lineRule="auto"/>
        <w:rPr>
          <w:color w:val="000000"/>
        </w:rPr>
      </w:pPr>
      <w:r w:rsidRPr="00FE6C5A">
        <w:rPr>
          <w:color w:val="000000"/>
        </w:rPr>
        <w:t xml:space="preserve">En ese orden de ideas, para la distribución de agua a través de pipas, el artículo 150 Bis, 150 Ter y 150 </w:t>
      </w:r>
      <w:proofErr w:type="spellStart"/>
      <w:r w:rsidRPr="00FE6C5A">
        <w:rPr>
          <w:color w:val="000000"/>
        </w:rPr>
        <w:t>sexies</w:t>
      </w:r>
      <w:proofErr w:type="spellEnd"/>
      <w:r w:rsidRPr="00FE6C5A">
        <w:rPr>
          <w:color w:val="000000"/>
        </w:rPr>
        <w:t xml:space="preserve"> de la Ley referida, precisa que el Ayuntamiento se encargará de llevarla a cabo de acuerdo con la disponibilidad del recurso, cuidando en todo momento que no se desatienda el servicio público que tienen a su cargo, a través de un permiso de distribución el cual tendrá una vigencia de un año calendario y podrá renovarse por un plazo igual al de su expedición, este permiso solo será para una pipa y se establecerá el total del abastecimiento, así como la fuente de abastecimiento autorizada.</w:t>
      </w:r>
    </w:p>
    <w:p w:rsidR="00FE0405" w:rsidRPr="00FE6C5A" w:rsidRDefault="00FE0405">
      <w:pPr>
        <w:spacing w:after="0" w:line="360" w:lineRule="auto"/>
        <w:rPr>
          <w:color w:val="000000"/>
        </w:rPr>
      </w:pPr>
    </w:p>
    <w:p w:rsidR="00FE0405" w:rsidRPr="00FE6C5A" w:rsidRDefault="00E37A10">
      <w:pPr>
        <w:spacing w:after="0" w:line="360" w:lineRule="auto"/>
        <w:rPr>
          <w:color w:val="000000"/>
        </w:rPr>
      </w:pPr>
      <w:r w:rsidRPr="00FE6C5A">
        <w:rPr>
          <w:color w:val="000000"/>
        </w:rPr>
        <w:t>Por su parte, el artículo 125 de la Ley Orgánica Municipal del Estado de México, señala que los municipios a través de la Dirección de Servicios Públicos, tendrán a su cargo la prestación, explotación, administración y conservación de los servicios públicos municipales, considerándose entre ellos, el agua potable, alcantarillado, saneamiento y aguas residuales.</w:t>
      </w:r>
    </w:p>
    <w:p w:rsidR="00FE0405" w:rsidRPr="00FE6C5A" w:rsidRDefault="00FE0405">
      <w:pPr>
        <w:spacing w:after="0" w:line="360" w:lineRule="auto"/>
        <w:rPr>
          <w:color w:val="000000"/>
        </w:rPr>
      </w:pPr>
    </w:p>
    <w:p w:rsidR="00FE0405" w:rsidRPr="00FE6C5A" w:rsidRDefault="00E37A10">
      <w:pPr>
        <w:spacing w:after="0" w:line="360" w:lineRule="auto"/>
        <w:rPr>
          <w:color w:val="000000"/>
        </w:rPr>
      </w:pPr>
      <w:r w:rsidRPr="00FE6C5A">
        <w:rPr>
          <w:color w:val="000000"/>
        </w:rPr>
        <w:t>En este sentido, el Bando Municipal de Temamatla, señala en sus numerales  74, 75 y 76, que los  Servicios Públicos son el conjunto de personas y materiales, coordinados por los órganos de la Administración Pública, destinados a atender y satisfacer las necesidades de carácter general y dar cumplimiento a los Derechos Humanos de la población. La creación, organización, administración y modificación de los mismos estará a cargo del Ayuntamiento, además, el artículo 85, señala que todas las reparaciones, modificaciones, mantenimiento, manipulación y acceso a las redes de suministro hidráulico, es facultad exclusiva del Ayuntamiento por conducto de las dependencias de la Administración Pública Municipal.</w:t>
      </w:r>
    </w:p>
    <w:p w:rsidR="00FE0405" w:rsidRPr="00FE6C5A" w:rsidRDefault="00FE0405">
      <w:pPr>
        <w:spacing w:after="0" w:line="360" w:lineRule="auto"/>
        <w:rPr>
          <w:color w:val="000000"/>
        </w:rPr>
      </w:pPr>
    </w:p>
    <w:p w:rsidR="00FE0405" w:rsidRPr="00FE6C5A" w:rsidRDefault="00E37A10">
      <w:pPr>
        <w:spacing w:after="0" w:line="360" w:lineRule="auto"/>
        <w:rPr>
          <w:color w:val="000000"/>
        </w:rPr>
      </w:pPr>
      <w:r w:rsidRPr="00FE6C5A">
        <w:rPr>
          <w:color w:val="000000"/>
        </w:rPr>
        <w:t xml:space="preserve">Así, el Sujeto Obligado a través de la Dirección de Servicios Públicos, área competente, otorgó la respuesta a través de un listado que contiene el nombre de las colonias y el número de pipas </w:t>
      </w:r>
      <w:r w:rsidRPr="00FE6C5A">
        <w:rPr>
          <w:color w:val="000000"/>
        </w:rPr>
        <w:lastRenderedPageBreak/>
        <w:t>extraídas por día, es decir, entregó el número total por colonias de las pipas extraídas por día, y que de la sumatoria de dicho listado se da cuenta de la información solicitada por el hoy Recurrente, es decir, este Instituto advierte de la sumatoria realizada, que los días lunes se extrajeron 8 pipas, martes 7, miércoles 6, jueves 7, viernes 5 y sábado 3, adicional a ello, señaló que cada 15 días se extraen 2 pipas para una colonia en específico (El Paraíso).</w:t>
      </w:r>
    </w:p>
    <w:p w:rsidR="00FE0405" w:rsidRPr="00FE6C5A" w:rsidRDefault="00FE0405">
      <w:pPr>
        <w:spacing w:after="0" w:line="360" w:lineRule="auto"/>
        <w:rPr>
          <w:color w:val="000000"/>
        </w:rPr>
      </w:pPr>
    </w:p>
    <w:p w:rsidR="00FE0405" w:rsidRPr="00FE6C5A" w:rsidRDefault="00E37A10">
      <w:pPr>
        <w:tabs>
          <w:tab w:val="left" w:pos="4962"/>
        </w:tabs>
        <w:spacing w:after="0" w:line="360" w:lineRule="auto"/>
      </w:pPr>
      <w:r w:rsidRPr="00FE6C5A">
        <w:t xml:space="preserve">En razón de ello, se advierte que el Sujeto Obligado proporcionó de manera detallada la información estadística solicitada, a través de un listado, es decir, en cumplimiento al principio de máxima publicidad el Sujeto Obligado a través de la elaboración de un documento </w:t>
      </w:r>
      <w:r w:rsidRPr="00FE6C5A">
        <w:rPr>
          <w:i/>
        </w:rPr>
        <w:t>ad hoc</w:t>
      </w:r>
      <w:r w:rsidRPr="00FE6C5A">
        <w:t xml:space="preserve"> trató de dar a conocer la información solicitada con el mayor grado de desglose con la intención de que el particular tuviera certeza de lo solicitado y relacionara con lo solicitado.</w:t>
      </w:r>
    </w:p>
    <w:p w:rsidR="00FE0405" w:rsidRPr="00FE6C5A" w:rsidRDefault="00FE0405">
      <w:pPr>
        <w:tabs>
          <w:tab w:val="left" w:pos="4962"/>
        </w:tabs>
        <w:spacing w:after="0" w:line="360" w:lineRule="auto"/>
      </w:pPr>
    </w:p>
    <w:p w:rsidR="00FE0405" w:rsidRPr="00FE6C5A" w:rsidRDefault="00E37A10">
      <w:pPr>
        <w:spacing w:after="0" w:line="360" w:lineRule="auto"/>
        <w:ind w:right="-93"/>
        <w:rPr>
          <w:color w:val="000000"/>
        </w:rPr>
      </w:pPr>
      <w:r w:rsidRPr="00FE6C5A">
        <w:rPr>
          <w:color w:val="000000"/>
        </w:rPr>
        <w:t xml:space="preserve">En este sentido, el derecho de acceso a la información pública se satisface en aquellos casos en que se entregue el soporte documental en que conste la información pública, sin la necesidad de elaborar documentos </w:t>
      </w:r>
      <w:r w:rsidRPr="00FE6C5A">
        <w:rPr>
          <w:i/>
          <w:color w:val="000000"/>
        </w:rPr>
        <w:t>ad hoc</w:t>
      </w:r>
      <w:r w:rsidRPr="00FE6C5A">
        <w:rPr>
          <w:color w:val="000000"/>
        </w:rPr>
        <w:t>; lo cual, toma sustento en el artículo 160 de la Ley de Transparencia y Acceso a la Información Pública del Estado de México y Municipios, el cual refiere que los sujetos obligados deberán entregar la información que obre en sus archivos.</w:t>
      </w:r>
    </w:p>
    <w:p w:rsidR="00FE0405" w:rsidRPr="00FE6C5A" w:rsidRDefault="00FE0405">
      <w:pPr>
        <w:spacing w:after="0" w:line="360" w:lineRule="auto"/>
        <w:ind w:right="-93"/>
        <w:rPr>
          <w:color w:val="000000"/>
        </w:rPr>
      </w:pPr>
    </w:p>
    <w:p w:rsidR="00FE0405" w:rsidRPr="00FE6C5A" w:rsidRDefault="00E37A10">
      <w:pPr>
        <w:spacing w:after="0" w:line="360" w:lineRule="auto"/>
        <w:ind w:right="-93"/>
        <w:rPr>
          <w:color w:val="000000"/>
        </w:rPr>
      </w:pPr>
      <w:r w:rsidRPr="00FE6C5A">
        <w:rPr>
          <w:color w:val="000000"/>
        </w:rPr>
        <w:t>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rsidR="00FE0405" w:rsidRPr="00FE6C5A" w:rsidRDefault="00FE0405">
      <w:pPr>
        <w:spacing w:after="0" w:line="360" w:lineRule="auto"/>
        <w:ind w:right="-93"/>
        <w:rPr>
          <w:color w:val="000000"/>
        </w:rPr>
      </w:pPr>
    </w:p>
    <w:p w:rsidR="00FE0405" w:rsidRPr="00FE6C5A" w:rsidRDefault="00E37A10">
      <w:pPr>
        <w:spacing w:after="0" w:line="360" w:lineRule="auto"/>
        <w:rPr>
          <w:color w:val="000000"/>
        </w:rPr>
      </w:pPr>
      <w:r w:rsidRPr="00FE6C5A">
        <w:t xml:space="preserve">En consecuencia, y toda vez que el Sujeto Obligado proporcionó la información requerida por la persona Recurrente, incluso a través de la presentación de un documento </w:t>
      </w:r>
      <w:r w:rsidRPr="00FE6C5A">
        <w:rPr>
          <w:i/>
        </w:rPr>
        <w:t>ad hoc</w:t>
      </w:r>
      <w:r w:rsidRPr="00FE6C5A">
        <w:t xml:space="preserve">, es que se </w:t>
      </w:r>
      <w:r w:rsidRPr="00FE6C5A">
        <w:lastRenderedPageBreak/>
        <w:t>tiene por colmado la pretensión del hoy Recurrente, pues la información proporcionada da cuenta de la información solicitada.</w:t>
      </w:r>
    </w:p>
    <w:p w:rsidR="00FE0405" w:rsidRPr="00FE6C5A" w:rsidRDefault="00FE0405">
      <w:pPr>
        <w:spacing w:after="0" w:line="360" w:lineRule="auto"/>
      </w:pPr>
    </w:p>
    <w:p w:rsidR="00FE0405" w:rsidRPr="00FE6C5A" w:rsidRDefault="00E37A10">
      <w:pPr>
        <w:spacing w:after="0" w:line="360" w:lineRule="auto"/>
        <w:ind w:right="-93"/>
        <w:rPr>
          <w:b/>
          <w:color w:val="000000"/>
        </w:rPr>
      </w:pPr>
      <w:r w:rsidRPr="00FE6C5A">
        <w:rPr>
          <w:b/>
          <w:color w:val="000000"/>
        </w:rPr>
        <w:t xml:space="preserve">SEXTO. Decisión </w:t>
      </w:r>
    </w:p>
    <w:p w:rsidR="00FE0405" w:rsidRPr="00FE6C5A" w:rsidRDefault="00FE0405">
      <w:pPr>
        <w:spacing w:after="0" w:line="360" w:lineRule="auto"/>
        <w:rPr>
          <w:b/>
          <w:color w:val="000000"/>
        </w:rPr>
      </w:pPr>
    </w:p>
    <w:p w:rsidR="00FE0405" w:rsidRPr="00FE6C5A" w:rsidRDefault="00E37A10">
      <w:pPr>
        <w:spacing w:after="0" w:line="360" w:lineRule="auto"/>
        <w:rPr>
          <w:color w:val="000000"/>
        </w:rPr>
      </w:pPr>
      <w:r w:rsidRPr="00FE6C5A">
        <w:rPr>
          <w:color w:val="000000"/>
        </w:rPr>
        <w:t xml:space="preserve">Con fundamento en el artículo 186, fracción II, de la Ley de Transparencia y Acceso a la Información Pública del Estado de México y Municipios, este Instituto considera procedente </w:t>
      </w:r>
      <w:r w:rsidRPr="00FE6C5A">
        <w:rPr>
          <w:b/>
          <w:color w:val="000000"/>
        </w:rPr>
        <w:t xml:space="preserve">CONFIRMAR </w:t>
      </w:r>
      <w:r w:rsidRPr="00FE6C5A">
        <w:rPr>
          <w:color w:val="000000"/>
        </w:rPr>
        <w:t xml:space="preserve">la respuesta otorgada por el Ayuntamiento de Temamatla. </w:t>
      </w:r>
    </w:p>
    <w:p w:rsidR="00FE0405" w:rsidRPr="00FE6C5A" w:rsidRDefault="00FE0405">
      <w:pPr>
        <w:spacing w:after="0" w:line="360" w:lineRule="auto"/>
        <w:rPr>
          <w:color w:val="000000"/>
        </w:rPr>
      </w:pPr>
    </w:p>
    <w:p w:rsidR="00FE0405" w:rsidRPr="00FE6C5A" w:rsidRDefault="00E37A10">
      <w:pPr>
        <w:spacing w:after="0" w:line="360" w:lineRule="auto"/>
        <w:rPr>
          <w:b/>
          <w:color w:val="000000"/>
          <w:u w:val="single"/>
        </w:rPr>
      </w:pPr>
      <w:r w:rsidRPr="00FE6C5A">
        <w:rPr>
          <w:b/>
          <w:color w:val="000000"/>
          <w:u w:val="single"/>
        </w:rPr>
        <w:t>Términos de la Resolución para el Recurrente</w:t>
      </w:r>
    </w:p>
    <w:p w:rsidR="00FE0405" w:rsidRPr="00FE6C5A" w:rsidRDefault="00FE0405">
      <w:pPr>
        <w:spacing w:after="0" w:line="360" w:lineRule="auto"/>
        <w:rPr>
          <w:b/>
          <w:color w:val="000000"/>
          <w:u w:val="single"/>
        </w:rPr>
      </w:pPr>
    </w:p>
    <w:p w:rsidR="00FE0405" w:rsidRPr="00FE6C5A" w:rsidRDefault="00E37A10">
      <w:pPr>
        <w:spacing w:after="0" w:line="360" w:lineRule="auto"/>
        <w:rPr>
          <w:color w:val="000000"/>
          <w:u w:val="single"/>
        </w:rPr>
      </w:pPr>
      <w:r w:rsidRPr="00FE6C5A">
        <w:rPr>
          <w:color w:val="000000"/>
        </w:rPr>
        <w:t xml:space="preserve">Este Instituto Garante determinó confirmar la respuesta que le entregó el Ayuntamiento de Temamatla, toda vez que la información de su interés, se entregó a través de un documento </w:t>
      </w:r>
      <w:r w:rsidRPr="00FE6C5A">
        <w:rPr>
          <w:i/>
          <w:color w:val="000000"/>
        </w:rPr>
        <w:t xml:space="preserve">ad hoc, </w:t>
      </w:r>
      <w:r w:rsidRPr="00FE6C5A">
        <w:rPr>
          <w:color w:val="000000"/>
        </w:rPr>
        <w:t xml:space="preserve">el cual contiene la información solicitada. </w:t>
      </w:r>
    </w:p>
    <w:p w:rsidR="00FE0405" w:rsidRPr="00FE6C5A" w:rsidRDefault="00FE0405">
      <w:pPr>
        <w:spacing w:after="0" w:line="360" w:lineRule="auto"/>
        <w:rPr>
          <w:color w:val="000000"/>
        </w:rPr>
      </w:pPr>
    </w:p>
    <w:p w:rsidR="00FE0405" w:rsidRPr="00FE6C5A" w:rsidRDefault="00E37A10">
      <w:pPr>
        <w:spacing w:after="0" w:line="360" w:lineRule="auto"/>
        <w:rPr>
          <w:color w:val="000000"/>
        </w:rPr>
      </w:pPr>
      <w:r w:rsidRPr="00FE6C5A">
        <w:rPr>
          <w:color w:val="000000"/>
        </w:rPr>
        <w:t>La labor del Instituto de Transparencia Acceso a la Información Pública y Protección de Datos Personales del Estado de México y Municipios es apoyar a la población para acceder a la información pública y garantizar la protección de sus datos personales.</w:t>
      </w:r>
    </w:p>
    <w:p w:rsidR="00FE0405" w:rsidRPr="00FE6C5A" w:rsidRDefault="00FE0405">
      <w:pPr>
        <w:spacing w:after="0" w:line="360" w:lineRule="auto"/>
        <w:rPr>
          <w:color w:val="000000"/>
        </w:rPr>
      </w:pPr>
    </w:p>
    <w:p w:rsidR="00FE0405" w:rsidRPr="00FE6C5A" w:rsidRDefault="00E37A10">
      <w:pPr>
        <w:spacing w:after="0" w:line="360" w:lineRule="auto"/>
        <w:rPr>
          <w:color w:val="000000"/>
        </w:rPr>
      </w:pPr>
      <w:r w:rsidRPr="00FE6C5A">
        <w:rPr>
          <w:color w:val="000000"/>
        </w:rPr>
        <w:t>Por lo expuesto y fundado, este Pleno:</w:t>
      </w:r>
    </w:p>
    <w:p w:rsidR="00FE0405" w:rsidRPr="00FE6C5A" w:rsidRDefault="00FE0405">
      <w:pPr>
        <w:spacing w:after="0" w:line="360" w:lineRule="auto"/>
        <w:jc w:val="left"/>
        <w:rPr>
          <w:b/>
          <w:color w:val="000000"/>
        </w:rPr>
      </w:pPr>
    </w:p>
    <w:p w:rsidR="00FE0405" w:rsidRPr="00FE6C5A" w:rsidRDefault="00E37A10">
      <w:pPr>
        <w:spacing w:after="0" w:line="360" w:lineRule="auto"/>
        <w:jc w:val="center"/>
        <w:rPr>
          <w:b/>
          <w:color w:val="000000"/>
        </w:rPr>
      </w:pPr>
      <w:r w:rsidRPr="00FE6C5A">
        <w:rPr>
          <w:b/>
          <w:color w:val="000000"/>
        </w:rPr>
        <w:t>R E S U E L V E</w:t>
      </w:r>
    </w:p>
    <w:p w:rsidR="00FE0405" w:rsidRPr="00FE6C5A" w:rsidRDefault="00FE0405">
      <w:pPr>
        <w:spacing w:after="0" w:line="360" w:lineRule="auto"/>
        <w:rPr>
          <w:b/>
          <w:color w:val="000000"/>
        </w:rPr>
      </w:pPr>
    </w:p>
    <w:p w:rsidR="00FE0405" w:rsidRPr="00FE6C5A" w:rsidRDefault="00E37A10">
      <w:pPr>
        <w:spacing w:after="0" w:line="360" w:lineRule="auto"/>
        <w:rPr>
          <w:color w:val="000000"/>
        </w:rPr>
      </w:pPr>
      <w:r w:rsidRPr="00FE6C5A">
        <w:rPr>
          <w:b/>
          <w:color w:val="000000"/>
        </w:rPr>
        <w:t xml:space="preserve">PRIMERO. </w:t>
      </w:r>
      <w:r w:rsidRPr="00FE6C5A">
        <w:rPr>
          <w:color w:val="000000"/>
        </w:rPr>
        <w:t xml:space="preserve">Se </w:t>
      </w:r>
      <w:r w:rsidRPr="00FE6C5A">
        <w:rPr>
          <w:b/>
          <w:color w:val="000000"/>
        </w:rPr>
        <w:t xml:space="preserve">CONFIRMA </w:t>
      </w:r>
      <w:r w:rsidRPr="00FE6C5A">
        <w:rPr>
          <w:color w:val="000000"/>
        </w:rPr>
        <w:t>la respuesta del Sujeto Obligado para atender la solicitud de acceso a la información</w:t>
      </w:r>
      <w:r w:rsidRPr="00FE6C5A">
        <w:rPr>
          <w:b/>
          <w:color w:val="000000"/>
        </w:rPr>
        <w:t xml:space="preserve"> </w:t>
      </w:r>
      <w:r w:rsidRPr="00FE6C5A">
        <w:rPr>
          <w:color w:val="000000"/>
        </w:rPr>
        <w:t>00563/TEMAMATL/IP/2024,</w:t>
      </w:r>
      <w:r w:rsidRPr="00FE6C5A">
        <w:rPr>
          <w:b/>
          <w:color w:val="000000"/>
        </w:rPr>
        <w:t xml:space="preserve"> </w:t>
      </w:r>
      <w:r w:rsidRPr="00FE6C5A">
        <w:rPr>
          <w:color w:val="000000"/>
        </w:rPr>
        <w:t xml:space="preserve">por resultar infundadas las razones o motivos de inconformidad hechos valer por el Recurrente en el Recurso de Revisión </w:t>
      </w:r>
      <w:r w:rsidRPr="00FE6C5A">
        <w:rPr>
          <w:b/>
          <w:color w:val="000000"/>
        </w:rPr>
        <w:lastRenderedPageBreak/>
        <w:t>06756/INFOEM/IP/RR/2024</w:t>
      </w:r>
      <w:r w:rsidRPr="00FE6C5A">
        <w:rPr>
          <w:color w:val="000000"/>
        </w:rPr>
        <w:t xml:space="preserve"> en términos de los Considerandos QUINTO y SEXTO de esta Resolución.    </w:t>
      </w:r>
    </w:p>
    <w:p w:rsidR="00FE0405" w:rsidRPr="00FE6C5A" w:rsidRDefault="00E37A10">
      <w:pPr>
        <w:spacing w:after="0" w:line="360" w:lineRule="auto"/>
        <w:rPr>
          <w:color w:val="000000"/>
          <w:sz w:val="18"/>
          <w:szCs w:val="18"/>
        </w:rPr>
      </w:pPr>
      <w:r w:rsidRPr="00FE6C5A">
        <w:rPr>
          <w:color w:val="000000"/>
          <w:sz w:val="18"/>
          <w:szCs w:val="18"/>
        </w:rPr>
        <w:t xml:space="preserve"> </w:t>
      </w:r>
    </w:p>
    <w:p w:rsidR="00FE0405" w:rsidRPr="00FE6C5A" w:rsidRDefault="00E37A10">
      <w:pPr>
        <w:spacing w:after="0" w:line="360" w:lineRule="auto"/>
        <w:rPr>
          <w:color w:val="000000"/>
        </w:rPr>
      </w:pPr>
      <w:r w:rsidRPr="00FE6C5A">
        <w:rPr>
          <w:b/>
          <w:color w:val="000000"/>
        </w:rPr>
        <w:t xml:space="preserve">SEGUNDO. NOTIFÍQUESE POR SAIMEX </w:t>
      </w:r>
      <w:r w:rsidRPr="00FE6C5A">
        <w:rPr>
          <w:color w:val="000000"/>
        </w:rPr>
        <w:t>la presente resolución al Titular de la Unidad de Transparencia del Sujeto Obligado. </w:t>
      </w:r>
    </w:p>
    <w:p w:rsidR="00FE0405" w:rsidRPr="00FE6C5A" w:rsidRDefault="00FE0405">
      <w:pPr>
        <w:spacing w:after="0" w:line="360" w:lineRule="auto"/>
        <w:rPr>
          <w:color w:val="000000"/>
          <w:sz w:val="18"/>
          <w:szCs w:val="18"/>
        </w:rPr>
      </w:pPr>
    </w:p>
    <w:p w:rsidR="00FE0405" w:rsidRPr="00FE6C5A" w:rsidRDefault="00E37A10">
      <w:pPr>
        <w:spacing w:after="0" w:line="360" w:lineRule="auto"/>
      </w:pPr>
      <w:r w:rsidRPr="00FE6C5A">
        <w:rPr>
          <w:b/>
          <w:color w:val="000000"/>
        </w:rPr>
        <w:t xml:space="preserve">TERCERO. NOTIFÍQUESE POR SAIMEX </w:t>
      </w:r>
      <w:r w:rsidRPr="00FE6C5A">
        <w:rPr>
          <w:color w:val="000000"/>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r w:rsidRPr="00FE6C5A">
        <w:t>.</w:t>
      </w:r>
    </w:p>
    <w:p w:rsidR="00FE0405" w:rsidRPr="00FE6C5A" w:rsidRDefault="00FE0405">
      <w:pPr>
        <w:spacing w:after="0" w:line="360" w:lineRule="auto"/>
        <w:rPr>
          <w:color w:val="000000"/>
        </w:rPr>
      </w:pPr>
    </w:p>
    <w:p w:rsidR="00FE0405" w:rsidRDefault="00E37A10">
      <w:pPr>
        <w:spacing w:after="0" w:line="360" w:lineRule="auto"/>
      </w:pPr>
      <w:r w:rsidRPr="00FE6C5A">
        <w:t xml:space="preserve">ASÍ LO RESUELVE, POR </w:t>
      </w:r>
      <w:r w:rsidRPr="00FE6C5A">
        <w:rPr>
          <w:b/>
        </w:rPr>
        <w:t>UNANIMIDAD</w:t>
      </w:r>
      <w:r w:rsidRPr="00FE6C5A">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PRIMERA SESIÓN ORDINARIA, CELEBRADA EL VEINTISIETE DE NOVIEMBRE DE DOS MIL VEINTICUATRO, ANTE EL SECRETARIO TÉCNICO DEL PLENO, ALEXIS TAPIA RAMÍREZ.</w:t>
      </w:r>
    </w:p>
    <w:p w:rsidR="00FE0405" w:rsidRDefault="00FE0405">
      <w:pPr>
        <w:spacing w:after="0" w:line="360" w:lineRule="auto"/>
        <w:jc w:val="left"/>
        <w:rPr>
          <w:b/>
        </w:rPr>
      </w:pPr>
      <w:bookmarkStart w:id="2" w:name="_GoBack"/>
      <w:bookmarkEnd w:id="2"/>
    </w:p>
    <w:sectPr w:rsidR="00FE0405">
      <w:headerReference w:type="even" r:id="rId9"/>
      <w:headerReference w:type="default" r:id="rId10"/>
      <w:footerReference w:type="even" r:id="rId11"/>
      <w:footerReference w:type="default" r:id="rId12"/>
      <w:headerReference w:type="first" r:id="rId13"/>
      <w:footerReference w:type="first" r:id="rId14"/>
      <w:pgSz w:w="12240" w:h="15840"/>
      <w:pgMar w:top="1418" w:right="1418"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BB7" w:rsidRDefault="005A3BB7">
      <w:pPr>
        <w:spacing w:after="0" w:line="240" w:lineRule="auto"/>
      </w:pPr>
      <w:r>
        <w:separator/>
      </w:r>
    </w:p>
  </w:endnote>
  <w:endnote w:type="continuationSeparator" w:id="0">
    <w:p w:rsidR="005A3BB7" w:rsidRDefault="005A3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405" w:rsidRDefault="00E37A10">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92BD8">
      <w:rPr>
        <w:b/>
        <w:noProof/>
        <w:color w:val="000000"/>
        <w:sz w:val="24"/>
        <w:szCs w:val="24"/>
      </w:rPr>
      <w:t>17</w:t>
    </w:r>
    <w:r>
      <w:rPr>
        <w:b/>
        <w:color w:val="000000"/>
        <w:sz w:val="24"/>
        <w:szCs w:val="24"/>
      </w:rPr>
      <w:fldChar w:fldCharType="end"/>
    </w:r>
  </w:p>
  <w:p w:rsidR="00FE0405" w:rsidRDefault="00FE0405">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405" w:rsidRDefault="00E37A10">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07DDB">
      <w:rPr>
        <w:b/>
        <w:noProof/>
        <w:color w:val="000000"/>
        <w:sz w:val="24"/>
        <w:szCs w:val="24"/>
      </w:rPr>
      <w:t>15</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07DDB">
      <w:rPr>
        <w:b/>
        <w:noProof/>
        <w:color w:val="000000"/>
        <w:sz w:val="24"/>
        <w:szCs w:val="24"/>
      </w:rPr>
      <w:t>16</w:t>
    </w:r>
    <w:r>
      <w:rPr>
        <w:b/>
        <w:color w:val="000000"/>
        <w:sz w:val="24"/>
        <w:szCs w:val="24"/>
      </w:rPr>
      <w:fldChar w:fldCharType="end"/>
    </w:r>
  </w:p>
  <w:p w:rsidR="00FE0405" w:rsidRDefault="00FE0405">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405" w:rsidRDefault="00E37A10">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07DDB">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07DDB">
      <w:rPr>
        <w:b/>
        <w:noProof/>
        <w:color w:val="000000"/>
        <w:sz w:val="24"/>
        <w:szCs w:val="24"/>
      </w:rPr>
      <w:t>16</w:t>
    </w:r>
    <w:r>
      <w:rPr>
        <w:b/>
        <w:color w:val="000000"/>
        <w:sz w:val="24"/>
        <w:szCs w:val="24"/>
      </w:rPr>
      <w:fldChar w:fldCharType="end"/>
    </w:r>
  </w:p>
  <w:p w:rsidR="00FE0405" w:rsidRDefault="00FE040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BB7" w:rsidRDefault="005A3BB7">
      <w:pPr>
        <w:spacing w:after="0" w:line="240" w:lineRule="auto"/>
      </w:pPr>
      <w:r>
        <w:separator/>
      </w:r>
    </w:p>
  </w:footnote>
  <w:footnote w:type="continuationSeparator" w:id="0">
    <w:p w:rsidR="005A3BB7" w:rsidRDefault="005A3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405" w:rsidRDefault="00FE0405">
    <w:pPr>
      <w:widowControl w:val="0"/>
      <w:pBdr>
        <w:top w:val="nil"/>
        <w:left w:val="nil"/>
        <w:bottom w:val="nil"/>
        <w:right w:val="nil"/>
        <w:between w:val="nil"/>
      </w:pBdr>
      <w:spacing w:after="0" w:line="276" w:lineRule="auto"/>
      <w:jc w:val="left"/>
      <w:rPr>
        <w:b/>
      </w:rPr>
    </w:pPr>
  </w:p>
  <w:tbl>
    <w:tblPr>
      <w:tblStyle w:val="a"/>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FE0405">
      <w:trPr>
        <w:trHeight w:val="141"/>
      </w:trPr>
      <w:tc>
        <w:tcPr>
          <w:tcW w:w="0" w:type="auto"/>
        </w:tcPr>
        <w:p w:rsidR="00FE0405" w:rsidRDefault="00E37A10">
          <w:pPr>
            <w:tabs>
              <w:tab w:val="right" w:pos="8838"/>
            </w:tabs>
            <w:ind w:right="-105"/>
            <w:rPr>
              <w:b/>
            </w:rPr>
          </w:pPr>
          <w:r>
            <w:rPr>
              <w:b/>
            </w:rPr>
            <w:t>Recurso de Revisión:</w:t>
          </w:r>
        </w:p>
      </w:tc>
      <w:tc>
        <w:tcPr>
          <w:tcW w:w="0" w:type="auto"/>
        </w:tcPr>
        <w:p w:rsidR="00FE0405" w:rsidRDefault="00E37A10">
          <w:pPr>
            <w:tabs>
              <w:tab w:val="right" w:pos="8838"/>
            </w:tabs>
            <w:ind w:left="-28" w:right="683"/>
          </w:pPr>
          <w:r>
            <w:t>04196/INFOEM/IP/RR/2020</w:t>
          </w:r>
        </w:p>
      </w:tc>
    </w:tr>
    <w:tr w:rsidR="00FE0405">
      <w:trPr>
        <w:trHeight w:val="276"/>
      </w:trPr>
      <w:tc>
        <w:tcPr>
          <w:tcW w:w="0" w:type="auto"/>
        </w:tcPr>
        <w:p w:rsidR="00FE0405" w:rsidRDefault="00E37A10">
          <w:pPr>
            <w:tabs>
              <w:tab w:val="right" w:pos="8838"/>
            </w:tabs>
            <w:ind w:right="-105"/>
            <w:rPr>
              <w:b/>
            </w:rPr>
          </w:pPr>
          <w:r>
            <w:rPr>
              <w:b/>
            </w:rPr>
            <w:t>Sujeto Obligado:</w:t>
          </w:r>
        </w:p>
      </w:tc>
      <w:tc>
        <w:tcPr>
          <w:tcW w:w="0" w:type="auto"/>
        </w:tcPr>
        <w:p w:rsidR="00FE0405" w:rsidRDefault="00E37A10">
          <w:pPr>
            <w:tabs>
              <w:tab w:val="right" w:pos="8838"/>
            </w:tabs>
            <w:ind w:right="116"/>
          </w:pPr>
          <w:r>
            <w:t>Ayuntamiento de Chapultepec</w:t>
          </w:r>
        </w:p>
      </w:tc>
    </w:tr>
    <w:tr w:rsidR="00FE0405">
      <w:trPr>
        <w:trHeight w:val="276"/>
      </w:trPr>
      <w:tc>
        <w:tcPr>
          <w:tcW w:w="0" w:type="auto"/>
        </w:tcPr>
        <w:p w:rsidR="00FE0405" w:rsidRDefault="00E37A10">
          <w:pPr>
            <w:tabs>
              <w:tab w:val="right" w:pos="8838"/>
            </w:tabs>
            <w:ind w:right="-105"/>
            <w:rPr>
              <w:b/>
            </w:rPr>
          </w:pPr>
          <w:r>
            <w:rPr>
              <w:b/>
            </w:rPr>
            <w:t>Comisionado Ponente:</w:t>
          </w:r>
        </w:p>
      </w:tc>
      <w:tc>
        <w:tcPr>
          <w:tcW w:w="0" w:type="auto"/>
        </w:tcPr>
        <w:p w:rsidR="00FE0405" w:rsidRDefault="00E37A10">
          <w:pPr>
            <w:tabs>
              <w:tab w:val="right" w:pos="8838"/>
            </w:tabs>
            <w:ind w:right="-32"/>
          </w:pPr>
          <w:r>
            <w:t>Luis Gustavo Parra Noriega</w:t>
          </w:r>
        </w:p>
      </w:tc>
    </w:tr>
  </w:tbl>
  <w:p w:rsidR="00FE0405" w:rsidRDefault="005A3BB7">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405" w:rsidRDefault="00FE0405">
    <w:pPr>
      <w:rPr>
        <w:sz w:val="18"/>
        <w:szCs w:val="18"/>
      </w:rPr>
    </w:pPr>
  </w:p>
  <w:tbl>
    <w:tblPr>
      <w:tblStyle w:val="a0"/>
      <w:tblW w:w="6628"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443"/>
      <w:gridCol w:w="4185"/>
    </w:tblGrid>
    <w:tr w:rsidR="00FE0405">
      <w:trPr>
        <w:trHeight w:val="133"/>
      </w:trPr>
      <w:tc>
        <w:tcPr>
          <w:tcW w:w="2443" w:type="dxa"/>
        </w:tcPr>
        <w:p w:rsidR="00FE0405" w:rsidRPr="00017306" w:rsidRDefault="00E37A10">
          <w:pPr>
            <w:tabs>
              <w:tab w:val="right" w:pos="8838"/>
            </w:tabs>
            <w:ind w:left="-395" w:right="-105" w:firstLine="395"/>
            <w:rPr>
              <w:rFonts w:ascii="Palatino Linotype" w:hAnsi="Palatino Linotype"/>
              <w:b/>
            </w:rPr>
          </w:pPr>
          <w:r w:rsidRPr="00017306">
            <w:rPr>
              <w:rFonts w:ascii="Palatino Linotype" w:hAnsi="Palatino Linotype"/>
              <w:b/>
            </w:rPr>
            <w:t>Recurso de Revisión:</w:t>
          </w:r>
        </w:p>
      </w:tc>
      <w:tc>
        <w:tcPr>
          <w:tcW w:w="4185" w:type="dxa"/>
        </w:tcPr>
        <w:p w:rsidR="00FE0405" w:rsidRPr="00017306" w:rsidRDefault="00E37A10">
          <w:pPr>
            <w:tabs>
              <w:tab w:val="right" w:pos="8838"/>
            </w:tabs>
            <w:ind w:left="-28" w:right="-107"/>
            <w:rPr>
              <w:rFonts w:ascii="Palatino Linotype" w:hAnsi="Palatino Linotype"/>
            </w:rPr>
          </w:pPr>
          <w:r w:rsidRPr="00017306">
            <w:rPr>
              <w:rFonts w:ascii="Palatino Linotype" w:hAnsi="Palatino Linotype"/>
            </w:rPr>
            <w:t xml:space="preserve">06756/INFOEM/IP/RR/2024 </w:t>
          </w:r>
        </w:p>
      </w:tc>
    </w:tr>
    <w:tr w:rsidR="00FE0405">
      <w:trPr>
        <w:trHeight w:val="260"/>
      </w:trPr>
      <w:tc>
        <w:tcPr>
          <w:tcW w:w="2443" w:type="dxa"/>
        </w:tcPr>
        <w:p w:rsidR="00FE0405" w:rsidRPr="00017306" w:rsidRDefault="00E37A10">
          <w:pPr>
            <w:tabs>
              <w:tab w:val="right" w:pos="8838"/>
            </w:tabs>
            <w:ind w:right="-105"/>
            <w:rPr>
              <w:rFonts w:ascii="Palatino Linotype" w:hAnsi="Palatino Linotype"/>
              <w:b/>
            </w:rPr>
          </w:pPr>
          <w:r w:rsidRPr="00017306">
            <w:rPr>
              <w:rFonts w:ascii="Palatino Linotype" w:hAnsi="Palatino Linotype"/>
              <w:b/>
            </w:rPr>
            <w:t>Sujeto Obligado:</w:t>
          </w:r>
        </w:p>
      </w:tc>
      <w:tc>
        <w:tcPr>
          <w:tcW w:w="4185" w:type="dxa"/>
        </w:tcPr>
        <w:p w:rsidR="00FE0405" w:rsidRPr="00017306" w:rsidRDefault="00E37A10">
          <w:pPr>
            <w:tabs>
              <w:tab w:val="right" w:pos="8838"/>
            </w:tabs>
            <w:ind w:right="454"/>
            <w:rPr>
              <w:rFonts w:ascii="Palatino Linotype" w:hAnsi="Palatino Linotype"/>
            </w:rPr>
          </w:pPr>
          <w:r w:rsidRPr="00017306">
            <w:rPr>
              <w:rFonts w:ascii="Palatino Linotype" w:hAnsi="Palatino Linotype"/>
            </w:rPr>
            <w:t>Ayuntamiento de Temamatla</w:t>
          </w:r>
        </w:p>
      </w:tc>
    </w:tr>
    <w:tr w:rsidR="00FE0405">
      <w:trPr>
        <w:trHeight w:val="260"/>
      </w:trPr>
      <w:tc>
        <w:tcPr>
          <w:tcW w:w="2443" w:type="dxa"/>
        </w:tcPr>
        <w:p w:rsidR="00FE0405" w:rsidRPr="00017306" w:rsidRDefault="00E37A10">
          <w:pPr>
            <w:tabs>
              <w:tab w:val="right" w:pos="8838"/>
            </w:tabs>
            <w:ind w:right="-105"/>
            <w:rPr>
              <w:rFonts w:ascii="Palatino Linotype" w:hAnsi="Palatino Linotype"/>
              <w:b/>
            </w:rPr>
          </w:pPr>
          <w:r w:rsidRPr="00017306">
            <w:rPr>
              <w:rFonts w:ascii="Palatino Linotype" w:hAnsi="Palatino Linotype"/>
              <w:b/>
            </w:rPr>
            <w:t>Comisionado Ponente:</w:t>
          </w:r>
        </w:p>
      </w:tc>
      <w:tc>
        <w:tcPr>
          <w:tcW w:w="4185" w:type="dxa"/>
        </w:tcPr>
        <w:p w:rsidR="00FE0405" w:rsidRPr="00017306" w:rsidRDefault="00E37A10">
          <w:pPr>
            <w:tabs>
              <w:tab w:val="right" w:pos="8838"/>
            </w:tabs>
            <w:ind w:right="454"/>
            <w:rPr>
              <w:rFonts w:ascii="Palatino Linotype" w:hAnsi="Palatino Linotype"/>
            </w:rPr>
          </w:pPr>
          <w:r w:rsidRPr="00017306">
            <w:rPr>
              <w:rFonts w:ascii="Palatino Linotype" w:hAnsi="Palatino Linotype"/>
            </w:rPr>
            <w:t>Luis Gustavo Parra Noriega</w:t>
          </w:r>
        </w:p>
        <w:p w:rsidR="00FE0405" w:rsidRPr="00017306" w:rsidRDefault="00FE0405">
          <w:pPr>
            <w:tabs>
              <w:tab w:val="right" w:pos="8838"/>
            </w:tabs>
            <w:ind w:right="454"/>
            <w:rPr>
              <w:rFonts w:ascii="Palatino Linotype" w:hAnsi="Palatino Linotype"/>
            </w:rPr>
          </w:pPr>
        </w:p>
      </w:tc>
    </w:tr>
  </w:tbl>
  <w:p w:rsidR="00FE0405" w:rsidRDefault="005A3BB7">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405" w:rsidRDefault="00FE0405">
    <w:pPr>
      <w:widowControl w:val="0"/>
      <w:pBdr>
        <w:top w:val="nil"/>
        <w:left w:val="nil"/>
        <w:bottom w:val="nil"/>
        <w:right w:val="nil"/>
        <w:between w:val="nil"/>
      </w:pBdr>
      <w:spacing w:after="0" w:line="276" w:lineRule="auto"/>
      <w:jc w:val="left"/>
      <w:rPr>
        <w:color w:val="000000"/>
      </w:rPr>
    </w:pPr>
  </w:p>
  <w:tbl>
    <w:tblPr>
      <w:tblStyle w:val="a1"/>
      <w:tblW w:w="9072" w:type="dxa"/>
      <w:tblInd w:w="0" w:type="dxa"/>
      <w:tblLayout w:type="fixed"/>
      <w:tblLook w:val="0400" w:firstRow="0" w:lastRow="0" w:firstColumn="0" w:lastColumn="0" w:noHBand="0" w:noVBand="1"/>
    </w:tblPr>
    <w:tblGrid>
      <w:gridCol w:w="2127"/>
      <w:gridCol w:w="6945"/>
    </w:tblGrid>
    <w:tr w:rsidR="00FE0405">
      <w:trPr>
        <w:trHeight w:val="1546"/>
      </w:trPr>
      <w:tc>
        <w:tcPr>
          <w:tcW w:w="2127" w:type="dxa"/>
          <w:shd w:val="clear" w:color="auto" w:fill="auto"/>
        </w:tcPr>
        <w:p w:rsidR="00FE0405" w:rsidRDefault="00FE0405">
          <w:pPr>
            <w:tabs>
              <w:tab w:val="right" w:pos="4273"/>
            </w:tabs>
            <w:rPr>
              <w:rFonts w:ascii="Garamond" w:eastAsia="Garamond" w:hAnsi="Garamond" w:cs="Garamond"/>
              <w:sz w:val="16"/>
              <w:szCs w:val="16"/>
            </w:rPr>
          </w:pPr>
        </w:p>
      </w:tc>
      <w:tc>
        <w:tcPr>
          <w:tcW w:w="6945" w:type="dxa"/>
          <w:shd w:val="clear" w:color="auto" w:fill="auto"/>
        </w:tcPr>
        <w:p w:rsidR="00FE0405" w:rsidRDefault="00FE0405">
          <w:pPr>
            <w:widowControl w:val="0"/>
            <w:pBdr>
              <w:top w:val="nil"/>
              <w:left w:val="nil"/>
              <w:bottom w:val="nil"/>
              <w:right w:val="nil"/>
              <w:between w:val="nil"/>
            </w:pBdr>
            <w:spacing w:after="0" w:line="276" w:lineRule="auto"/>
            <w:jc w:val="left"/>
            <w:rPr>
              <w:rFonts w:ascii="Garamond" w:eastAsia="Garamond" w:hAnsi="Garamond" w:cs="Garamond"/>
              <w:sz w:val="16"/>
              <w:szCs w:val="16"/>
            </w:rPr>
          </w:pPr>
        </w:p>
        <w:tbl>
          <w:tblPr>
            <w:tblStyle w:val="a2"/>
            <w:tblW w:w="6073" w:type="dxa"/>
            <w:tblInd w:w="737" w:type="dxa"/>
            <w:tblBorders>
              <w:top w:val="nil"/>
              <w:left w:val="nil"/>
              <w:bottom w:val="nil"/>
              <w:right w:val="nil"/>
              <w:insideH w:val="nil"/>
              <w:insideV w:val="nil"/>
            </w:tblBorders>
            <w:tblLayout w:type="fixed"/>
            <w:tblLook w:val="0400" w:firstRow="0" w:lastRow="0" w:firstColumn="0" w:lastColumn="0" w:noHBand="0" w:noVBand="1"/>
          </w:tblPr>
          <w:tblGrid>
            <w:gridCol w:w="2410"/>
            <w:gridCol w:w="3663"/>
          </w:tblGrid>
          <w:tr w:rsidR="00FE0405">
            <w:trPr>
              <w:trHeight w:val="416"/>
            </w:trPr>
            <w:tc>
              <w:tcPr>
                <w:tcW w:w="2410" w:type="dxa"/>
                <w:vAlign w:val="bottom"/>
              </w:tcPr>
              <w:p w:rsidR="00FE0405" w:rsidRPr="00017306" w:rsidRDefault="00E37A10">
                <w:pPr>
                  <w:tabs>
                    <w:tab w:val="right" w:pos="8838"/>
                  </w:tabs>
                  <w:ind w:right="-105"/>
                  <w:rPr>
                    <w:rFonts w:ascii="Palatino Linotype" w:hAnsi="Palatino Linotype"/>
                    <w:b/>
                  </w:rPr>
                </w:pPr>
                <w:r w:rsidRPr="00017306">
                  <w:rPr>
                    <w:rFonts w:ascii="Palatino Linotype" w:hAnsi="Palatino Linotype"/>
                    <w:b/>
                  </w:rPr>
                  <w:t>Recurso de Revisión</w:t>
                </w:r>
              </w:p>
            </w:tc>
            <w:tc>
              <w:tcPr>
                <w:tcW w:w="3663" w:type="dxa"/>
              </w:tcPr>
              <w:p w:rsidR="00FE0405" w:rsidRPr="00017306" w:rsidRDefault="00FE0405">
                <w:pPr>
                  <w:tabs>
                    <w:tab w:val="right" w:pos="8838"/>
                  </w:tabs>
                  <w:ind w:left="-28" w:right="-107"/>
                  <w:rPr>
                    <w:rFonts w:ascii="Palatino Linotype" w:hAnsi="Palatino Linotype"/>
                  </w:rPr>
                </w:pPr>
              </w:p>
              <w:p w:rsidR="00FE0405" w:rsidRPr="00017306" w:rsidRDefault="00E37A10">
                <w:pPr>
                  <w:tabs>
                    <w:tab w:val="right" w:pos="8838"/>
                  </w:tabs>
                  <w:ind w:left="-28" w:right="-107"/>
                  <w:rPr>
                    <w:rFonts w:ascii="Palatino Linotype" w:hAnsi="Palatino Linotype"/>
                  </w:rPr>
                </w:pPr>
                <w:r w:rsidRPr="00017306">
                  <w:rPr>
                    <w:rFonts w:ascii="Palatino Linotype" w:hAnsi="Palatino Linotype"/>
                  </w:rPr>
                  <w:t>06756/INFOEM/IP/RR/2024</w:t>
                </w:r>
              </w:p>
            </w:tc>
          </w:tr>
          <w:tr w:rsidR="00FE0405">
            <w:trPr>
              <w:trHeight w:val="154"/>
            </w:trPr>
            <w:tc>
              <w:tcPr>
                <w:tcW w:w="2410" w:type="dxa"/>
              </w:tcPr>
              <w:p w:rsidR="00FE0405" w:rsidRPr="00017306" w:rsidRDefault="00E37A10">
                <w:pPr>
                  <w:tabs>
                    <w:tab w:val="right" w:pos="8838"/>
                  </w:tabs>
                  <w:ind w:right="-105"/>
                  <w:rPr>
                    <w:rFonts w:ascii="Palatino Linotype" w:hAnsi="Palatino Linotype"/>
                    <w:b/>
                  </w:rPr>
                </w:pPr>
                <w:r w:rsidRPr="00017306">
                  <w:rPr>
                    <w:rFonts w:ascii="Palatino Linotype" w:hAnsi="Palatino Linotype"/>
                    <w:b/>
                  </w:rPr>
                  <w:t>Recurrente:</w:t>
                </w:r>
              </w:p>
            </w:tc>
            <w:tc>
              <w:tcPr>
                <w:tcW w:w="3663" w:type="dxa"/>
              </w:tcPr>
              <w:p w:rsidR="00FE0405" w:rsidRPr="00017306" w:rsidRDefault="00FE0405">
                <w:pPr>
                  <w:tabs>
                    <w:tab w:val="right" w:pos="8838"/>
                  </w:tabs>
                  <w:ind w:right="-107"/>
                  <w:rPr>
                    <w:rFonts w:ascii="Palatino Linotype" w:hAnsi="Palatino Linotype"/>
                  </w:rPr>
                </w:pPr>
              </w:p>
            </w:tc>
          </w:tr>
          <w:tr w:rsidR="00FE0405">
            <w:trPr>
              <w:trHeight w:val="302"/>
            </w:trPr>
            <w:tc>
              <w:tcPr>
                <w:tcW w:w="2410" w:type="dxa"/>
              </w:tcPr>
              <w:p w:rsidR="00FE0405" w:rsidRPr="00017306" w:rsidRDefault="00E37A10">
                <w:pPr>
                  <w:tabs>
                    <w:tab w:val="right" w:pos="8838"/>
                  </w:tabs>
                  <w:ind w:right="-105"/>
                  <w:rPr>
                    <w:rFonts w:ascii="Palatino Linotype" w:hAnsi="Palatino Linotype"/>
                    <w:b/>
                  </w:rPr>
                </w:pPr>
                <w:r w:rsidRPr="00017306">
                  <w:rPr>
                    <w:rFonts w:ascii="Palatino Linotype" w:hAnsi="Palatino Linotype"/>
                    <w:b/>
                  </w:rPr>
                  <w:t>Sujeto Obligado:</w:t>
                </w:r>
              </w:p>
            </w:tc>
            <w:tc>
              <w:tcPr>
                <w:tcW w:w="3663" w:type="dxa"/>
              </w:tcPr>
              <w:p w:rsidR="00FE0405" w:rsidRPr="00017306" w:rsidRDefault="00E37A10">
                <w:pPr>
                  <w:tabs>
                    <w:tab w:val="right" w:pos="8838"/>
                  </w:tabs>
                  <w:ind w:right="-107"/>
                  <w:rPr>
                    <w:rFonts w:ascii="Palatino Linotype" w:hAnsi="Palatino Linotype"/>
                  </w:rPr>
                </w:pPr>
                <w:r w:rsidRPr="00017306">
                  <w:rPr>
                    <w:rFonts w:ascii="Palatino Linotype" w:hAnsi="Palatino Linotype"/>
                  </w:rPr>
                  <w:t>Ayuntamiento de Temamatla</w:t>
                </w:r>
              </w:p>
            </w:tc>
          </w:tr>
          <w:tr w:rsidR="00FE0405">
            <w:trPr>
              <w:trHeight w:val="302"/>
            </w:trPr>
            <w:tc>
              <w:tcPr>
                <w:tcW w:w="2410" w:type="dxa"/>
              </w:tcPr>
              <w:p w:rsidR="00FE0405" w:rsidRPr="00017306" w:rsidRDefault="00E37A10">
                <w:pPr>
                  <w:tabs>
                    <w:tab w:val="right" w:pos="8838"/>
                  </w:tabs>
                  <w:ind w:right="-105"/>
                  <w:rPr>
                    <w:rFonts w:ascii="Palatino Linotype" w:hAnsi="Palatino Linotype"/>
                    <w:b/>
                  </w:rPr>
                </w:pPr>
                <w:r w:rsidRPr="00017306">
                  <w:rPr>
                    <w:rFonts w:ascii="Palatino Linotype" w:hAnsi="Palatino Linotype"/>
                    <w:b/>
                  </w:rPr>
                  <w:t>Comisionado Ponente:</w:t>
                </w:r>
              </w:p>
            </w:tc>
            <w:tc>
              <w:tcPr>
                <w:tcW w:w="3663" w:type="dxa"/>
              </w:tcPr>
              <w:p w:rsidR="00FE0405" w:rsidRPr="00017306" w:rsidRDefault="00E37A10">
                <w:pPr>
                  <w:tabs>
                    <w:tab w:val="right" w:pos="8838"/>
                  </w:tabs>
                  <w:ind w:right="-107"/>
                  <w:rPr>
                    <w:rFonts w:ascii="Palatino Linotype" w:hAnsi="Palatino Linotype"/>
                  </w:rPr>
                </w:pPr>
                <w:r w:rsidRPr="00017306">
                  <w:rPr>
                    <w:rFonts w:ascii="Palatino Linotype" w:hAnsi="Palatino Linotype"/>
                  </w:rPr>
                  <w:t>Luis Gustavo Parra Noriega</w:t>
                </w:r>
              </w:p>
            </w:tc>
          </w:tr>
        </w:tbl>
        <w:p w:rsidR="00FE0405" w:rsidRDefault="00FE0405">
          <w:pPr>
            <w:tabs>
              <w:tab w:val="right" w:pos="8838"/>
            </w:tabs>
            <w:ind w:left="-28"/>
            <w:rPr>
              <w:rFonts w:ascii="Arial" w:eastAsia="Arial" w:hAnsi="Arial" w:cs="Arial"/>
              <w:b/>
            </w:rPr>
          </w:pPr>
        </w:p>
      </w:tc>
    </w:tr>
  </w:tbl>
  <w:p w:rsidR="00FE0405" w:rsidRDefault="005A3BB7">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MARCA DE AGUA - HOJA RESOLUCIÓN" style="position:absolute;left:0;text-align:left;margin-left:-97.1pt;margin-top:-127.6pt;width:663.5pt;height:12in;z-index:-251658752;mso-position-horizontal:absolute;mso-position-horizontal-relative:margin;mso-position-vertical:absolute;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05"/>
    <w:rsid w:val="00017306"/>
    <w:rsid w:val="0033270B"/>
    <w:rsid w:val="005A3BB7"/>
    <w:rsid w:val="009B1DF4"/>
    <w:rsid w:val="00A92BD8"/>
    <w:rsid w:val="00E37A10"/>
    <w:rsid w:val="00F07DDB"/>
    <w:rsid w:val="00FE0405"/>
    <w:rsid w:val="00FE6C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617D73C-446B-4BAD-9758-9F6C91E4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B28"/>
    <w:rPr>
      <w:color w:val="000000" w:themeColor="text1"/>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5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F686E"/>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F686E"/>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semiHidden/>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paragraph" w:customStyle="1" w:styleId="paragraph">
    <w:name w:val="paragraph"/>
    <w:basedOn w:val="Normal"/>
    <w:rsid w:val="00670FB3"/>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table" w:customStyle="1" w:styleId="Tablaconcuadrcula1">
    <w:name w:val="Tabla con cuadrícula1"/>
    <w:basedOn w:val="Tablanormal"/>
    <w:next w:val="Tablaconcuadrcula"/>
    <w:uiPriority w:val="59"/>
    <w:rsid w:val="00670FB3"/>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8F56A7"/>
    <w:pPr>
      <w:spacing w:after="0" w:line="240" w:lineRule="auto"/>
    </w:pPr>
    <w:rPr>
      <w:rFonts w:eastAsia="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6152B4"/>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40690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0">
    <w:basedOn w:val="TableNormal"/>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SU4nJbGmioqto0uMz6NobEGNig==">CgMxLjAyCGguZ2pkZ3hzMgloLjMwajB6bGw4AHIhMTloX29pRW9wZWhQTzB2VkU5YWxhZW5GbzZ6dk84QktD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3944</Words>
  <Characters>21692</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INFOEM</cp:lastModifiedBy>
  <cp:revision>4</cp:revision>
  <cp:lastPrinted>2024-11-29T00:22:00Z</cp:lastPrinted>
  <dcterms:created xsi:type="dcterms:W3CDTF">2024-11-29T00:21:00Z</dcterms:created>
  <dcterms:modified xsi:type="dcterms:W3CDTF">2025-02-05T16:03:00Z</dcterms:modified>
</cp:coreProperties>
</file>