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27F80"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932EC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trece de noviembre de dos mil veinticuatro. </w:t>
      </w:r>
    </w:p>
    <w:p w14:paraId="12623E73" w14:textId="3A8F9D6D"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Visto</w:t>
      </w:r>
      <w:r w:rsidRPr="00932EC5">
        <w:rPr>
          <w:rFonts w:ascii="Palatino Linotype" w:eastAsia="Palatino Linotype" w:hAnsi="Palatino Linotype" w:cs="Palatino Linotype"/>
          <w:sz w:val="22"/>
          <w:szCs w:val="22"/>
        </w:rPr>
        <w:t xml:space="preserve"> el expediente formado con motivo del recurso de revisión </w:t>
      </w:r>
      <w:r w:rsidRPr="00932EC5">
        <w:rPr>
          <w:rFonts w:ascii="Palatino Linotype" w:eastAsia="Palatino Linotype" w:hAnsi="Palatino Linotype" w:cs="Palatino Linotype"/>
          <w:b/>
          <w:sz w:val="22"/>
          <w:szCs w:val="22"/>
        </w:rPr>
        <w:t>06394/INFOEM/IP/RR/2024</w:t>
      </w:r>
      <w:r w:rsidRPr="00932EC5">
        <w:rPr>
          <w:rFonts w:ascii="Palatino Linotype" w:eastAsia="Palatino Linotype" w:hAnsi="Palatino Linotype" w:cs="Palatino Linotype"/>
          <w:sz w:val="22"/>
          <w:szCs w:val="22"/>
        </w:rPr>
        <w:t xml:space="preserve">, interpuesto por </w:t>
      </w:r>
      <w:r w:rsidR="00323A20" w:rsidRPr="00323A20">
        <w:rPr>
          <w:rFonts w:ascii="Palatino Linotype" w:eastAsia="Palatino Linotype" w:hAnsi="Palatino Linotype" w:cs="Palatino Linotype"/>
          <w:b/>
          <w:sz w:val="22"/>
          <w:szCs w:val="22"/>
        </w:rPr>
        <w:t>XXXXX XXXXXX</w:t>
      </w:r>
      <w:r w:rsidRPr="00932EC5">
        <w:rPr>
          <w:rFonts w:ascii="Palatino Linotype" w:eastAsia="Palatino Linotype" w:hAnsi="Palatino Linotype" w:cs="Palatino Linotype"/>
          <w:b/>
          <w:sz w:val="22"/>
          <w:szCs w:val="22"/>
        </w:rPr>
        <w:t>,</w:t>
      </w:r>
      <w:r w:rsidRPr="00932EC5">
        <w:rPr>
          <w:rFonts w:ascii="Palatino Linotype" w:eastAsia="Palatino Linotype" w:hAnsi="Palatino Linotype" w:cs="Palatino Linotype"/>
          <w:sz w:val="22"/>
          <w:szCs w:val="22"/>
        </w:rPr>
        <w:t xml:space="preserve"> en lo sucesivo</w:t>
      </w:r>
      <w:r w:rsidRPr="00932EC5">
        <w:rPr>
          <w:rFonts w:ascii="Palatino Linotype" w:eastAsia="Palatino Linotype" w:hAnsi="Palatino Linotype" w:cs="Palatino Linotype"/>
          <w:b/>
          <w:sz w:val="22"/>
          <w:szCs w:val="22"/>
        </w:rPr>
        <w:t xml:space="preserve"> la parte</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en contra de la respuesta a su solicitud por parte de la </w:t>
      </w:r>
      <w:r w:rsidRPr="00932EC5">
        <w:rPr>
          <w:rFonts w:ascii="Palatino Linotype" w:eastAsia="Palatino Linotype" w:hAnsi="Palatino Linotype" w:cs="Palatino Linotype"/>
          <w:b/>
          <w:sz w:val="22"/>
          <w:szCs w:val="22"/>
        </w:rPr>
        <w:t xml:space="preserve">Secretaría de la Contraloría, </w:t>
      </w:r>
      <w:r w:rsidRPr="00932EC5">
        <w:rPr>
          <w:rFonts w:ascii="Palatino Linotype" w:eastAsia="Palatino Linotype" w:hAnsi="Palatino Linotype" w:cs="Palatino Linotype"/>
          <w:sz w:val="22"/>
          <w:szCs w:val="22"/>
        </w:rPr>
        <w:t xml:space="preserve">en lo sucesivo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 xml:space="preserve">se procede a dictar la presente resolución con base en los siguientes: </w:t>
      </w:r>
    </w:p>
    <w:p w14:paraId="5E027973" w14:textId="77777777" w:rsidR="00163A5F" w:rsidRPr="00932EC5" w:rsidRDefault="00A43C34">
      <w:pPr>
        <w:spacing w:before="240" w:after="240" w:line="360" w:lineRule="auto"/>
        <w:jc w:val="center"/>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I. A N T E C E D E N T E S</w:t>
      </w:r>
    </w:p>
    <w:p w14:paraId="1FFA090C"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1. Solicitud de acceso a la información.</w:t>
      </w:r>
      <w:r w:rsidRPr="00932EC5">
        <w:rPr>
          <w:rFonts w:ascii="Palatino Linotype" w:eastAsia="Palatino Linotype" w:hAnsi="Palatino Linotype" w:cs="Palatino Linotype"/>
          <w:sz w:val="22"/>
          <w:szCs w:val="22"/>
        </w:rPr>
        <w:t xml:space="preserve"> El </w:t>
      </w:r>
      <w:r w:rsidRPr="00932EC5">
        <w:rPr>
          <w:rFonts w:ascii="Palatino Linotype" w:eastAsia="Palatino Linotype" w:hAnsi="Palatino Linotype" w:cs="Palatino Linotype"/>
          <w:b/>
          <w:sz w:val="22"/>
          <w:szCs w:val="22"/>
        </w:rPr>
        <w:t>tres de octubre de dos mil veinticuatro,</w:t>
      </w:r>
      <w:r w:rsidRPr="00932EC5">
        <w:rPr>
          <w:rFonts w:ascii="Palatino Linotype" w:eastAsia="Palatino Linotype" w:hAnsi="Palatino Linotype" w:cs="Palatino Linotype"/>
          <w:sz w:val="22"/>
          <w:szCs w:val="22"/>
        </w:rPr>
        <w:t xml:space="preserve"> la parte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a través del Sistema de Acceso a la Información Mexiquense, en lo subsecuente el SAIMEX, formuló ante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la solicitud de acceso a la información pública a la que se le asignó el número</w:t>
      </w:r>
      <w:r w:rsidRPr="00932EC5">
        <w:t xml:space="preserve"> </w:t>
      </w:r>
      <w:r w:rsidRPr="00932EC5">
        <w:rPr>
          <w:rFonts w:ascii="Palatino Linotype" w:eastAsia="Palatino Linotype" w:hAnsi="Palatino Linotype" w:cs="Palatino Linotype"/>
          <w:b/>
          <w:sz w:val="22"/>
          <w:szCs w:val="22"/>
        </w:rPr>
        <w:t>00381/SECOGEM/IP/2024,</w:t>
      </w:r>
      <w:r w:rsidRPr="00932EC5">
        <w:rPr>
          <w:rFonts w:ascii="Palatino Linotype" w:eastAsia="Palatino Linotype" w:hAnsi="Palatino Linotype" w:cs="Palatino Linotype"/>
          <w:sz w:val="22"/>
          <w:szCs w:val="22"/>
        </w:rPr>
        <w:t xml:space="preserve"> mediante la cual requirió la información siguiente:</w:t>
      </w:r>
    </w:p>
    <w:p w14:paraId="5639C3C9" w14:textId="77777777" w:rsidR="00163A5F" w:rsidRPr="00932EC5" w:rsidRDefault="00A43C34">
      <w:pPr>
        <w:spacing w:before="240" w:after="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932EC5">
        <w:rPr>
          <w:rFonts w:ascii="Palatino Linotype" w:eastAsia="Palatino Linotype" w:hAnsi="Palatino Linotype" w:cs="Palatino Linotype"/>
          <w:i/>
          <w:sz w:val="22"/>
          <w:szCs w:val="22"/>
        </w:rPr>
        <w:t xml:space="preserve">“Solicito en versión pública, información de Sergio López Manjarrez, quien estuvo adscrito a la Secretaría de la Contraloría del Estado de México: - Aviso de movimiento de alta - Aviso de movimiento de baja - Los recibos de nómina quincenales y de cualquier percepción que recibió durante todo el tiempo que estuvo adscrito a la SECOGEM - Nombramiento del cargo que ocupó - Curriculum Vitae - Registro de asistencia del tiempo que estuvo adscrito a la SECOGEM” (Sic) </w:t>
      </w:r>
    </w:p>
    <w:p w14:paraId="0118D93B"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bookmarkStart w:id="2" w:name="_heading=h.3dy6vkm" w:colFirst="0" w:colLast="0"/>
      <w:bookmarkEnd w:id="2"/>
      <w:r w:rsidRPr="00932EC5">
        <w:rPr>
          <w:rFonts w:ascii="Palatino Linotype" w:eastAsia="Palatino Linotype" w:hAnsi="Palatino Linotype" w:cs="Palatino Linotype"/>
          <w:b/>
          <w:sz w:val="22"/>
          <w:szCs w:val="22"/>
        </w:rPr>
        <w:t xml:space="preserve">Modalidad elegida para la entrega de la información: </w:t>
      </w:r>
      <w:r w:rsidRPr="00932EC5">
        <w:rPr>
          <w:rFonts w:ascii="Palatino Linotype" w:eastAsia="Palatino Linotype" w:hAnsi="Palatino Linotype" w:cs="Palatino Linotype"/>
          <w:sz w:val="22"/>
          <w:szCs w:val="22"/>
        </w:rPr>
        <w:t>a través del Sistema de Acceso a la Información Mexiquense (SAIMEX).</w:t>
      </w:r>
    </w:p>
    <w:p w14:paraId="31524C6E" w14:textId="77777777" w:rsidR="00163A5F" w:rsidRPr="00932EC5" w:rsidRDefault="00A43C34">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lastRenderedPageBreak/>
        <w:t>2.</w:t>
      </w:r>
      <w:r w:rsidRPr="00932EC5">
        <w:t xml:space="preserve"> </w:t>
      </w:r>
      <w:r w:rsidRPr="00932EC5">
        <w:rPr>
          <w:rFonts w:ascii="Palatino Linotype" w:eastAsia="Palatino Linotype" w:hAnsi="Palatino Linotype" w:cs="Palatino Linotype"/>
          <w:b/>
          <w:sz w:val="22"/>
          <w:szCs w:val="22"/>
        </w:rPr>
        <w:t xml:space="preserve">En Proceso de Notificación, Reservada, Confidencial o No Obra Archivos. </w:t>
      </w:r>
      <w:r w:rsidRPr="00932EC5">
        <w:rPr>
          <w:rFonts w:ascii="Palatino Linotype" w:eastAsia="Palatino Linotype" w:hAnsi="Palatino Linotype" w:cs="Palatino Linotype"/>
          <w:sz w:val="22"/>
          <w:szCs w:val="22"/>
        </w:rPr>
        <w:t xml:space="preserve">Bajo este apartado, el </w:t>
      </w:r>
      <w:r w:rsidRPr="00932EC5">
        <w:rPr>
          <w:rFonts w:ascii="Palatino Linotype" w:eastAsia="Palatino Linotype" w:hAnsi="Palatino Linotype" w:cs="Palatino Linotype"/>
          <w:b/>
          <w:sz w:val="22"/>
          <w:szCs w:val="22"/>
        </w:rPr>
        <w:t>dieciséis de octubre de dos mil veinticuatro</w:t>
      </w:r>
      <w:r w:rsidRPr="00932EC5">
        <w:rPr>
          <w:rFonts w:ascii="Palatino Linotype" w:eastAsia="Palatino Linotype" w:hAnsi="Palatino Linotype" w:cs="Palatino Linotype"/>
          <w:sz w:val="22"/>
          <w:szCs w:val="22"/>
        </w:rPr>
        <w:t xml:space="preserve">,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D4AE0F1" w14:textId="2BA65AD9" w:rsidR="00163A5F" w:rsidRPr="00932EC5" w:rsidRDefault="00A43C34">
      <w:pPr>
        <w:spacing w:before="240" w:after="24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“…Estimado </w:t>
      </w:r>
      <w:r w:rsidR="00323A20">
        <w:rPr>
          <w:rFonts w:ascii="Palatino Linotype" w:eastAsia="Palatino Linotype" w:hAnsi="Palatino Linotype" w:cs="Palatino Linotype"/>
          <w:i/>
          <w:sz w:val="22"/>
          <w:szCs w:val="22"/>
        </w:rPr>
        <w:t>XXXXXXXXXX</w:t>
      </w:r>
      <w:r w:rsidRPr="00932EC5">
        <w:rPr>
          <w:rFonts w:ascii="Palatino Linotype" w:eastAsia="Palatino Linotype" w:hAnsi="Palatino Linotype" w:cs="Palatino Linotype"/>
          <w:i/>
          <w:sz w:val="22"/>
          <w:szCs w:val="22"/>
        </w:rPr>
        <w:t>. Espero se encuentre de maravilla, le informo que en archivos adjuntos encontrará el oficio firmado por el Encargado de Despacho de la Unidad de Prevención de la Corrupción; y, Responsable de la Unidad de Transparencia de la Secretaría de la Contraloría, el oficio del servidor público habilitado que atendió el requerimiento, la resolución del Comité de Transparencia de la Secretaría de la Contraloría derivada del Acuerdo ACT/SECOGEM/EXT/COMT/19ª/2024/QUINTO; y, el Acta de la Décima Novena Sesión Extraordinaria del Comité de Transparencia de la Secretaría de la Contraloría en la que obra en Acuerdo referido.”  (Sic)</w:t>
      </w:r>
    </w:p>
    <w:p w14:paraId="7CA45FBE" w14:textId="77777777" w:rsidR="00163A5F" w:rsidRPr="00932EC5" w:rsidRDefault="00A43C34">
      <w:pPr>
        <w:spacing w:before="240" w:after="240"/>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Adjunto a la respuesta,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proporcionó los siguientes documentos:</w:t>
      </w:r>
    </w:p>
    <w:p w14:paraId="48F9EA9E" w14:textId="5D183B98" w:rsidR="00163A5F" w:rsidRPr="00932EC5" w:rsidRDefault="00A43C34">
      <w:pPr>
        <w:numPr>
          <w:ilvl w:val="0"/>
          <w:numId w:val="1"/>
        </w:numPr>
        <w:pBdr>
          <w:top w:val="nil"/>
          <w:left w:val="nil"/>
          <w:bottom w:val="nil"/>
          <w:right w:val="nil"/>
          <w:between w:val="nil"/>
        </w:pBdr>
        <w:spacing w:before="240" w:after="240" w:line="360" w:lineRule="auto"/>
        <w:ind w:left="284" w:right="51" w:firstLine="0"/>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OFICIO </w:t>
      </w:r>
      <w:r w:rsidR="00323A20">
        <w:rPr>
          <w:rFonts w:ascii="Palatino Linotype" w:eastAsia="Palatino Linotype" w:hAnsi="Palatino Linotype" w:cs="Palatino Linotype"/>
          <w:b/>
          <w:sz w:val="22"/>
          <w:szCs w:val="22"/>
        </w:rPr>
        <w:t>XXXXXXXXX</w:t>
      </w:r>
      <w:r w:rsidRPr="00932EC5">
        <w:rPr>
          <w:rFonts w:ascii="Palatino Linotype" w:eastAsia="Palatino Linotype" w:hAnsi="Palatino Linotype" w:cs="Palatino Linotype"/>
          <w:b/>
          <w:sz w:val="22"/>
          <w:szCs w:val="22"/>
        </w:rPr>
        <w:t xml:space="preserve">.pdf: </w:t>
      </w:r>
      <w:r w:rsidRPr="00932EC5">
        <w:rPr>
          <w:rFonts w:ascii="Palatino Linotype" w:eastAsia="Palatino Linotype" w:hAnsi="Palatino Linotype" w:cs="Palatino Linotype"/>
          <w:sz w:val="22"/>
          <w:szCs w:val="22"/>
        </w:rPr>
        <w:t>Oficio del 15 de octubre de 2024, a través del cual, el Encargado de Despacho de la Unidad de Prevención de la Corrupción y Responsable de la Unidad de Transparencia hizo del conocimiento de la persona solicitante que remitía la respuesta proporcionada por el servidor público habilitado competente de la Secretaría de la Contraloría.</w:t>
      </w:r>
    </w:p>
    <w:p w14:paraId="36AA8D22" w14:textId="77777777" w:rsidR="00163A5F" w:rsidRPr="00932EC5" w:rsidRDefault="00A43C34">
      <w:pPr>
        <w:numPr>
          <w:ilvl w:val="0"/>
          <w:numId w:val="1"/>
        </w:numPr>
        <w:pBdr>
          <w:top w:val="nil"/>
          <w:left w:val="nil"/>
          <w:bottom w:val="nil"/>
          <w:right w:val="nil"/>
          <w:between w:val="nil"/>
        </w:pBdr>
        <w:spacing w:before="240" w:after="240" w:line="360" w:lineRule="auto"/>
        <w:ind w:left="284" w:right="51" w:firstLine="0"/>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OFICIO RESPUESTA SPH 381-2024.pdf: </w:t>
      </w:r>
      <w:r w:rsidRPr="00932EC5">
        <w:rPr>
          <w:rFonts w:ascii="Palatino Linotype" w:eastAsia="Palatino Linotype" w:hAnsi="Palatino Linotype" w:cs="Palatino Linotype"/>
          <w:sz w:val="22"/>
          <w:szCs w:val="22"/>
        </w:rPr>
        <w:t>Documento que contiene los siguientes archivos:</w:t>
      </w:r>
    </w:p>
    <w:p w14:paraId="47F5341B"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Oficio del 10 de octubre de 2024, a través del cual el Coordinador Administrativo indica que remite la información requerida.</w:t>
      </w:r>
    </w:p>
    <w:p w14:paraId="24DCD916"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 Anexo al oficio del 10 de octubre de 2024, a través del cual el Coordinador Administrativo con relación al </w:t>
      </w:r>
      <w:r w:rsidRPr="00932EC5">
        <w:rPr>
          <w:rFonts w:ascii="Palatino Linotype" w:eastAsia="Palatino Linotype" w:hAnsi="Palatino Linotype" w:cs="Palatino Linotype"/>
          <w:b/>
          <w:sz w:val="22"/>
          <w:szCs w:val="22"/>
        </w:rPr>
        <w:t xml:space="preserve">Aviso de Movimiento de alta y de baja del servidor público señalado en la solicitud </w:t>
      </w:r>
      <w:r w:rsidRPr="00932EC5">
        <w:rPr>
          <w:rFonts w:ascii="Palatino Linotype" w:eastAsia="Palatino Linotype" w:hAnsi="Palatino Linotype" w:cs="Palatino Linotype"/>
          <w:sz w:val="22"/>
          <w:szCs w:val="22"/>
        </w:rPr>
        <w:t xml:space="preserve">indicó que remitía el FUMP en versión pública en formato pdf, clasificando como información confidencial datos como: Domicilio, RFC, </w:t>
      </w:r>
      <w:r w:rsidRPr="00932EC5">
        <w:rPr>
          <w:rFonts w:ascii="Palatino Linotype" w:eastAsia="Palatino Linotype" w:hAnsi="Palatino Linotype" w:cs="Palatino Linotype"/>
          <w:sz w:val="22"/>
          <w:szCs w:val="22"/>
        </w:rPr>
        <w:lastRenderedPageBreak/>
        <w:t>Fecha de nacimiento, CURP, Estado Civil, Tipo de Sindicato, Clave de Servidor Público y Cadena de firma.</w:t>
      </w:r>
    </w:p>
    <w:p w14:paraId="4780DC56"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Asimismo, </w:t>
      </w:r>
      <w:r w:rsidRPr="00932EC5">
        <w:rPr>
          <w:rFonts w:ascii="Palatino Linotype" w:eastAsia="Palatino Linotype" w:hAnsi="Palatino Linotype" w:cs="Palatino Linotype"/>
          <w:b/>
          <w:sz w:val="22"/>
          <w:szCs w:val="22"/>
        </w:rPr>
        <w:t>sobre el requerimiento relativo a los recibos de nómina quincenales y de cualquier percepción que recibió la persona señalada en la solicitud durante el tiempo adscrito a la Secretaría de la Contraloría</w:t>
      </w:r>
      <w:r w:rsidRPr="00932EC5">
        <w:rPr>
          <w:rFonts w:ascii="Palatino Linotype" w:eastAsia="Palatino Linotype" w:hAnsi="Palatino Linotype" w:cs="Palatino Linotype"/>
          <w:sz w:val="22"/>
          <w:szCs w:val="22"/>
        </w:rPr>
        <w:t>, se indica que esa Coordinación Administrativa no cuenta con registros o guarda información impresa o digital de los archivos, comprobantes o recibos, ya que la información es consultada únicamente por el servidor público interesado y se encuentra en el portal de gestión interna G2G, al que sólo se tiene acceso mediante contraseña única y personal que es asignada a cada servidor público, y solo ellos pueden tener acceso a su información y documentos personales; y, en tal virtud se proporciona el procedimiento para accesar al portal de gestión interna de mérito.</w:t>
      </w:r>
    </w:p>
    <w:p w14:paraId="3591A3B0"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Sobre el </w:t>
      </w:r>
      <w:r w:rsidRPr="00932EC5">
        <w:rPr>
          <w:rFonts w:ascii="Palatino Linotype" w:eastAsia="Palatino Linotype" w:hAnsi="Palatino Linotype" w:cs="Palatino Linotype"/>
          <w:b/>
          <w:sz w:val="22"/>
          <w:szCs w:val="22"/>
        </w:rPr>
        <w:t>nombramiento de la persona señalada en la solicitud</w:t>
      </w:r>
      <w:r w:rsidRPr="00932EC5">
        <w:rPr>
          <w:rFonts w:ascii="Palatino Linotype" w:eastAsia="Palatino Linotype" w:hAnsi="Palatino Linotype" w:cs="Palatino Linotype"/>
          <w:sz w:val="22"/>
          <w:szCs w:val="22"/>
        </w:rPr>
        <w:t>, se indica que se reitera lo que en su momento señaló la Titular de la Unidad de Transparencia, se acreditó la búsqueda exhaustiva en los archivos físicos y electrónicos, y en la información que obra en las obligaciones comunes y específicas y no hay información que corresponda al nombramiento de la persona indicada, aunado a que el FUMP acredita la categoría que ocupó.</w:t>
      </w:r>
    </w:p>
    <w:p w14:paraId="2F41659D"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Respecto al </w:t>
      </w:r>
      <w:r w:rsidRPr="00932EC5">
        <w:rPr>
          <w:rFonts w:ascii="Palatino Linotype" w:eastAsia="Palatino Linotype" w:hAnsi="Palatino Linotype" w:cs="Palatino Linotype"/>
          <w:b/>
          <w:sz w:val="22"/>
          <w:szCs w:val="22"/>
        </w:rPr>
        <w:t>Curriculum vitae,</w:t>
      </w:r>
      <w:r w:rsidRPr="00932EC5">
        <w:rPr>
          <w:rFonts w:ascii="Palatino Linotype" w:eastAsia="Palatino Linotype" w:hAnsi="Palatino Linotype" w:cs="Palatino Linotype"/>
          <w:sz w:val="22"/>
          <w:szCs w:val="22"/>
        </w:rPr>
        <w:t xml:space="preserve"> se indica que se proporciona la Ficha curricular de la persona señalada en la solicitud.</w:t>
      </w:r>
    </w:p>
    <w:p w14:paraId="7AE4073B"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Finalmente, sobre el </w:t>
      </w:r>
      <w:r w:rsidRPr="00932EC5">
        <w:rPr>
          <w:rFonts w:ascii="Palatino Linotype" w:eastAsia="Palatino Linotype" w:hAnsi="Palatino Linotype" w:cs="Palatino Linotype"/>
          <w:b/>
          <w:sz w:val="22"/>
          <w:szCs w:val="22"/>
        </w:rPr>
        <w:t>registro de asistencia del tiempo que estuvo en la Secretaría de la Contraloría</w:t>
      </w:r>
      <w:r w:rsidRPr="00932EC5">
        <w:rPr>
          <w:rFonts w:ascii="Palatino Linotype" w:eastAsia="Palatino Linotype" w:hAnsi="Palatino Linotype" w:cs="Palatino Linotype"/>
          <w:sz w:val="22"/>
          <w:szCs w:val="22"/>
        </w:rPr>
        <w:t>, se indica que los mandos medios y superiores están exentos de la asistencia de permanencia por el cargo y funciones que ostentan; y, por tanto, no se cuenta con el documento o registro de asistencia de la persona.</w:t>
      </w:r>
    </w:p>
    <w:p w14:paraId="18F6626A" w14:textId="77777777" w:rsidR="00163A5F" w:rsidRPr="00932EC5" w:rsidRDefault="00163A5F">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p>
    <w:p w14:paraId="3F2A3946"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Ficha curricular de la persona señalada en la solicitud de información.</w:t>
      </w:r>
    </w:p>
    <w:p w14:paraId="51E4182E"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Documento denominado “Leyenda de Clasificación Parcial de la Solicitud 00381/SECOGEM/IP/2024”.</w:t>
      </w:r>
    </w:p>
    <w:p w14:paraId="3680902D"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Cuadro de clasificación de la solicitud 00381/SECOGEM/IP/2024, respecto de datos contenidos en el FUMP.</w:t>
      </w:r>
    </w:p>
    <w:p w14:paraId="7D27E4A9"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En versión pública, el Formato Único de Movimientos de Personal de Baja de la persona señalada en la solicitud.</w:t>
      </w:r>
    </w:p>
    <w:p w14:paraId="7E7C312F" w14:textId="77777777" w:rsidR="00163A5F" w:rsidRPr="00932EC5" w:rsidRDefault="00A43C34">
      <w:pPr>
        <w:pBdr>
          <w:top w:val="nil"/>
          <w:left w:val="nil"/>
          <w:bottom w:val="nil"/>
          <w:right w:val="nil"/>
          <w:between w:val="nil"/>
        </w:pBdr>
        <w:spacing w:before="240" w:after="240" w:line="360" w:lineRule="auto"/>
        <w:ind w:left="284"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En versión pública, el Formato Único de Movimientos de Personal de Alta de la persona señalada en la solicitud.</w:t>
      </w:r>
    </w:p>
    <w:p w14:paraId="7D77D9C6" w14:textId="77777777" w:rsidR="00163A5F" w:rsidRPr="00932EC5" w:rsidRDefault="00A43C34">
      <w:pPr>
        <w:numPr>
          <w:ilvl w:val="0"/>
          <w:numId w:val="1"/>
        </w:numPr>
        <w:pBdr>
          <w:top w:val="nil"/>
          <w:left w:val="nil"/>
          <w:bottom w:val="nil"/>
          <w:right w:val="nil"/>
          <w:between w:val="nil"/>
        </w:pBdr>
        <w:spacing w:before="240" w:after="240" w:line="360" w:lineRule="auto"/>
        <w:ind w:left="284" w:right="51" w:firstLine="0"/>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Acta Décima Novena Sesión Extraordinaria C.T. 2024.pdf: </w:t>
      </w:r>
      <w:r w:rsidRPr="00932EC5">
        <w:rPr>
          <w:rFonts w:ascii="Palatino Linotype" w:eastAsia="Palatino Linotype" w:hAnsi="Palatino Linotype" w:cs="Palatino Linotype"/>
          <w:sz w:val="22"/>
          <w:szCs w:val="22"/>
        </w:rPr>
        <w:t>Acta de la Décima Novena Sesión Extraordinaria del Comité de Transparencia celebrada el 14 de octubre de 2024, en la que bajo el punto 5 del orden del día se llevó a cabo la clasificación parcial de la información como confidencial derivado de la solicitud de información de nuestra atención.</w:t>
      </w:r>
    </w:p>
    <w:p w14:paraId="79EA6AF3" w14:textId="77777777" w:rsidR="00163A5F" w:rsidRPr="00932EC5" w:rsidRDefault="00A43C34">
      <w:pPr>
        <w:numPr>
          <w:ilvl w:val="0"/>
          <w:numId w:val="1"/>
        </w:numPr>
        <w:pBdr>
          <w:top w:val="nil"/>
          <w:left w:val="nil"/>
          <w:bottom w:val="nil"/>
          <w:right w:val="nil"/>
          <w:between w:val="nil"/>
        </w:pBdr>
        <w:spacing w:before="240" w:after="240" w:line="360" w:lineRule="auto"/>
        <w:ind w:left="284" w:right="51" w:firstLine="0"/>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RESOLUCIÓN C.T. CONFIDENCIAL PARCIAL 00381-2024.pdf: </w:t>
      </w:r>
      <w:r w:rsidRPr="00932EC5">
        <w:rPr>
          <w:rFonts w:ascii="Palatino Linotype" w:eastAsia="Palatino Linotype" w:hAnsi="Palatino Linotype" w:cs="Palatino Linotype"/>
          <w:sz w:val="22"/>
          <w:szCs w:val="22"/>
        </w:rPr>
        <w:t>Resolución derivada del Acuerdo del Comité de Transparencia No. ACT/SECOGEM/EXT/COMT/19°/2024/QUINTO del 14 de octubre de 2024, a través de la cual se resolvió confirmar la clasificación parcial de la información como confidencial  contenida en el Formato Único de Movimientos de Personal de la persona señalada en la solicitud de información.</w:t>
      </w:r>
    </w:p>
    <w:p w14:paraId="3115ED61"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3. Interposición del recurso de revisión. </w:t>
      </w:r>
      <w:r w:rsidRPr="00932EC5">
        <w:rPr>
          <w:rFonts w:ascii="Palatino Linotype" w:eastAsia="Palatino Linotype" w:hAnsi="Palatino Linotype" w:cs="Palatino Linotype"/>
          <w:sz w:val="22"/>
          <w:szCs w:val="22"/>
        </w:rPr>
        <w:t xml:space="preserve">Inconforme con los términos de la respuesta emitida por parte del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el</w:t>
      </w:r>
      <w:r w:rsidRPr="00932EC5">
        <w:rPr>
          <w:rFonts w:ascii="Palatino Linotype" w:eastAsia="Palatino Linotype" w:hAnsi="Palatino Linotype" w:cs="Palatino Linotype"/>
          <w:b/>
          <w:sz w:val="22"/>
          <w:szCs w:val="22"/>
        </w:rPr>
        <w:t xml:space="preserve"> dieciocho de octubre de dos mil veinticuatro,</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 xml:space="preserve">la </w:t>
      </w:r>
      <w:r w:rsidRPr="00932EC5">
        <w:rPr>
          <w:rFonts w:ascii="Palatino Linotype" w:eastAsia="Palatino Linotype" w:hAnsi="Palatino Linotype" w:cs="Palatino Linotype"/>
          <w:b/>
          <w:sz w:val="22"/>
          <w:szCs w:val="22"/>
        </w:rPr>
        <w:lastRenderedPageBreak/>
        <w:t>parte</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interpuso el recurso de revisión a través de </w:t>
      </w:r>
      <w:r w:rsidRPr="00932EC5">
        <w:rPr>
          <w:rFonts w:ascii="Palatino Linotype" w:eastAsia="Palatino Linotype" w:hAnsi="Palatino Linotype" w:cs="Palatino Linotype"/>
          <w:b/>
          <w:sz w:val="22"/>
          <w:szCs w:val="22"/>
        </w:rPr>
        <w:t xml:space="preserve">SAIMEX, </w:t>
      </w:r>
      <w:r w:rsidRPr="00932EC5">
        <w:rPr>
          <w:rFonts w:ascii="Palatino Linotype" w:eastAsia="Palatino Linotype" w:hAnsi="Palatino Linotype" w:cs="Palatino Linotype"/>
          <w:sz w:val="22"/>
          <w:szCs w:val="22"/>
        </w:rPr>
        <w:t>en donde se manifestó de la siguiente manera:</w:t>
      </w:r>
    </w:p>
    <w:p w14:paraId="31407AE1" w14:textId="77777777" w:rsidR="00163A5F" w:rsidRPr="00932EC5" w:rsidRDefault="00A43C34">
      <w:pPr>
        <w:tabs>
          <w:tab w:val="left" w:pos="2745"/>
        </w:tabs>
        <w:spacing w:before="240" w:after="240" w:line="360" w:lineRule="auto"/>
        <w:ind w:left="567" w:right="900"/>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a) Acto impugnado: </w:t>
      </w:r>
      <w:r w:rsidRPr="00932EC5">
        <w:rPr>
          <w:rFonts w:ascii="Palatino Linotype" w:eastAsia="Palatino Linotype" w:hAnsi="Palatino Linotype" w:cs="Palatino Linotype"/>
          <w:i/>
          <w:sz w:val="22"/>
          <w:szCs w:val="22"/>
        </w:rPr>
        <w:t>“Entrega de información incompleta, bajo el argumento de "inexistencia de información"” (Sic)</w:t>
      </w:r>
    </w:p>
    <w:p w14:paraId="11B6DF03" w14:textId="77777777" w:rsidR="00163A5F" w:rsidRPr="00932EC5" w:rsidRDefault="00A43C34">
      <w:pPr>
        <w:spacing w:before="240" w:after="240" w:line="360" w:lineRule="auto"/>
        <w:ind w:left="567" w:right="900"/>
        <w:jc w:val="both"/>
        <w:rPr>
          <w:rFonts w:ascii="Palatino Linotype" w:eastAsia="Palatino Linotype" w:hAnsi="Palatino Linotype" w:cs="Palatino Linotype"/>
          <w:sz w:val="22"/>
          <w:szCs w:val="22"/>
        </w:rPr>
      </w:pPr>
      <w:bookmarkStart w:id="3" w:name="_heading=h.30j0zll" w:colFirst="0" w:colLast="0"/>
      <w:bookmarkEnd w:id="3"/>
      <w:r w:rsidRPr="00932EC5">
        <w:rPr>
          <w:rFonts w:ascii="Palatino Linotype" w:eastAsia="Palatino Linotype" w:hAnsi="Palatino Linotype" w:cs="Palatino Linotype"/>
          <w:b/>
          <w:sz w:val="22"/>
          <w:szCs w:val="22"/>
        </w:rPr>
        <w:t>b) Razones o motivos de inconformidad</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i/>
          <w:sz w:val="22"/>
          <w:szCs w:val="22"/>
        </w:rPr>
        <w:t xml:space="preserve">“Del C. Sergio López Manjarrez, </w:t>
      </w:r>
      <w:r w:rsidRPr="00932EC5">
        <w:rPr>
          <w:rFonts w:ascii="Palatino Linotype" w:eastAsia="Palatino Linotype" w:hAnsi="Palatino Linotype" w:cs="Palatino Linotype"/>
          <w:b/>
          <w:i/>
          <w:sz w:val="22"/>
          <w:szCs w:val="22"/>
          <w:u w:val="single"/>
        </w:rPr>
        <w:t>no me están proporcionando las versiones públicas de lo siguiente:</w:t>
      </w:r>
      <w:r w:rsidRPr="00932EC5">
        <w:rPr>
          <w:rFonts w:ascii="Palatino Linotype" w:eastAsia="Palatino Linotype" w:hAnsi="Palatino Linotype" w:cs="Palatino Linotype"/>
          <w:i/>
          <w:sz w:val="22"/>
          <w:szCs w:val="22"/>
        </w:rPr>
        <w:t xml:space="preserve"> - </w:t>
      </w:r>
      <w:r w:rsidRPr="00932EC5">
        <w:rPr>
          <w:rFonts w:ascii="Palatino Linotype" w:eastAsia="Palatino Linotype" w:hAnsi="Palatino Linotype" w:cs="Palatino Linotype"/>
          <w:b/>
          <w:i/>
          <w:sz w:val="22"/>
          <w:szCs w:val="22"/>
          <w:u w:val="single"/>
        </w:rPr>
        <w:t>Los recibos de nómina quincenales y de cualquier percepción que recibió durante todo el tiempo que estuvo adscrito a la SECOGEM - Nombramiento del cargo que ocupó</w:t>
      </w:r>
      <w:r w:rsidRPr="00932EC5">
        <w:rPr>
          <w:rFonts w:ascii="Palatino Linotype" w:eastAsia="Palatino Linotype" w:hAnsi="Palatino Linotype" w:cs="Palatino Linotype"/>
          <w:i/>
          <w:sz w:val="22"/>
          <w:szCs w:val="22"/>
        </w:rPr>
        <w:t xml:space="preserve"> (AL SER MANDO MEDIO Y/O SUPERIOR, POR LEY DEBE TENER NOMBRAMIENTO) Todo lo anterior es información pública, por lo que los argumentos emitidos por la SECOGEM para no proporcionarla, se contraponen al derecho que tengo para acceder a ella.” (Sic)</w:t>
      </w:r>
    </w:p>
    <w:p w14:paraId="2F961E54" w14:textId="77777777" w:rsidR="00163A5F" w:rsidRPr="00932EC5" w:rsidRDefault="00A43C34">
      <w:pP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 xml:space="preserve">4. Turno. </w:t>
      </w:r>
      <w:r w:rsidRPr="00932EC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32EC5">
        <w:rPr>
          <w:rFonts w:ascii="Palatino Linotype" w:eastAsia="Palatino Linotype" w:hAnsi="Palatino Linotype" w:cs="Palatino Linotype"/>
          <w:b/>
          <w:sz w:val="22"/>
          <w:szCs w:val="22"/>
        </w:rPr>
        <w:t xml:space="preserve">Guadalupe Ramírez Peña, </w:t>
      </w:r>
      <w:r w:rsidRPr="00932EC5">
        <w:rPr>
          <w:rFonts w:ascii="Palatino Linotype" w:eastAsia="Palatino Linotype" w:hAnsi="Palatino Linotype" w:cs="Palatino Linotype"/>
          <w:sz w:val="22"/>
          <w:szCs w:val="22"/>
        </w:rPr>
        <w:t>a efecto de que analizara sobre su admisión o su desechamiento.</w:t>
      </w:r>
    </w:p>
    <w:p w14:paraId="2D1644BF"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5. Admisión del Recurso de revisión.</w:t>
      </w:r>
      <w:r w:rsidRPr="00932EC5">
        <w:rPr>
          <w:rFonts w:ascii="Palatino Linotype" w:eastAsia="Palatino Linotype" w:hAnsi="Palatino Linotype" w:cs="Palatino Linotype"/>
          <w:sz w:val="22"/>
          <w:szCs w:val="22"/>
        </w:rPr>
        <w:t xml:space="preserve"> Mediante acuerdo del </w:t>
      </w:r>
      <w:r w:rsidRPr="00932EC5">
        <w:rPr>
          <w:rFonts w:ascii="Palatino Linotype" w:eastAsia="Palatino Linotype" w:hAnsi="Palatino Linotype" w:cs="Palatino Linotype"/>
          <w:b/>
          <w:sz w:val="22"/>
          <w:szCs w:val="22"/>
        </w:rPr>
        <w:t xml:space="preserve">veintidós de octubre de dos mil veinticuatro, </w:t>
      </w:r>
      <w:r w:rsidRPr="00932EC5">
        <w:rPr>
          <w:rFonts w:ascii="Palatino Linotype" w:eastAsia="Palatino Linotype" w:hAnsi="Palatino Linotype" w:cs="Palatino Linotype"/>
          <w:sz w:val="22"/>
          <w:szCs w:val="22"/>
        </w:rPr>
        <w:t>notificado en esa misma fecha,</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presentara su informe justificado.</w:t>
      </w:r>
    </w:p>
    <w:p w14:paraId="4A58311F" w14:textId="77777777" w:rsidR="00163A5F" w:rsidRPr="00932EC5" w:rsidRDefault="00A43C34">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932EC5">
        <w:rPr>
          <w:rFonts w:ascii="Palatino Linotype" w:eastAsia="Palatino Linotype" w:hAnsi="Palatino Linotype" w:cs="Palatino Linotype"/>
          <w:b/>
          <w:sz w:val="22"/>
          <w:szCs w:val="22"/>
        </w:rPr>
        <w:lastRenderedPageBreak/>
        <w:t>6. Manifestaciones</w:t>
      </w:r>
      <w:r w:rsidRPr="00932EC5">
        <w:rPr>
          <w:rFonts w:ascii="Palatino Linotype" w:eastAsia="Palatino Linotype" w:hAnsi="Palatino Linotype" w:cs="Palatino Linotype"/>
          <w:sz w:val="22"/>
          <w:szCs w:val="22"/>
        </w:rPr>
        <w:t xml:space="preserve">. De las constancias que obran en el expediente electrónico aperturado con motivo del presente medio de impugnación, se advierte que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 xml:space="preserve">rindió su informe justificado el </w:t>
      </w:r>
      <w:r w:rsidRPr="00932EC5">
        <w:rPr>
          <w:rFonts w:ascii="Palatino Linotype" w:eastAsia="Palatino Linotype" w:hAnsi="Palatino Linotype" w:cs="Palatino Linotype"/>
          <w:b/>
          <w:sz w:val="22"/>
          <w:szCs w:val="22"/>
        </w:rPr>
        <w:t>treinta y uno de octubre de dos mil veinticuatro</w:t>
      </w:r>
      <w:r w:rsidRPr="00932EC5">
        <w:rPr>
          <w:rFonts w:ascii="Palatino Linotype" w:eastAsia="Palatino Linotype" w:hAnsi="Palatino Linotype" w:cs="Palatino Linotype"/>
          <w:sz w:val="22"/>
          <w:szCs w:val="22"/>
        </w:rPr>
        <w:t>, a través de los siguientes archivos electrónicos:</w:t>
      </w:r>
    </w:p>
    <w:p w14:paraId="34615505" w14:textId="77777777" w:rsidR="00163A5F" w:rsidRPr="00932EC5" w:rsidRDefault="00A43C34">
      <w:pPr>
        <w:numPr>
          <w:ilvl w:val="0"/>
          <w:numId w:val="2"/>
        </w:num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Anexo Manual de Normas 021_2019.pdf: </w:t>
      </w:r>
      <w:r w:rsidRPr="00932EC5">
        <w:rPr>
          <w:rFonts w:ascii="Palatino Linotype" w:eastAsia="Palatino Linotype" w:hAnsi="Palatino Linotype" w:cs="Palatino Linotype"/>
          <w:sz w:val="22"/>
          <w:szCs w:val="22"/>
        </w:rPr>
        <w:t>Contiene el Procedimiento: 021 Alta o Reingreso de Servidoras Públicas y Servidores Públicos Generales y de Confianza del Manual de Normas y Procedimientos de Desarrollo y Administración de Personal.</w:t>
      </w:r>
    </w:p>
    <w:p w14:paraId="150763BB" w14:textId="77777777" w:rsidR="00163A5F" w:rsidRPr="00932EC5" w:rsidRDefault="00A43C34">
      <w:pPr>
        <w:numPr>
          <w:ilvl w:val="0"/>
          <w:numId w:val="2"/>
        </w:num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t>En los archivos “</w:t>
      </w:r>
      <w:r w:rsidRPr="00932EC5">
        <w:rPr>
          <w:rFonts w:ascii="Palatino Linotype" w:eastAsia="Palatino Linotype" w:hAnsi="Palatino Linotype" w:cs="Palatino Linotype"/>
          <w:b/>
          <w:i/>
          <w:sz w:val="22"/>
          <w:szCs w:val="22"/>
        </w:rPr>
        <w:t>INFORME JUSTIFICADO 06394-INFOEM-IP-RR-2024.pdf</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sz w:val="22"/>
          <w:szCs w:val="22"/>
        </w:rPr>
        <w:t>y</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b/>
          <w:i/>
          <w:sz w:val="22"/>
          <w:szCs w:val="22"/>
        </w:rPr>
        <w:t>RR 6394-2024 sol 381-2024.docx</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sz w:val="22"/>
          <w:szCs w:val="22"/>
        </w:rPr>
        <w:t>se entregó el siguiente documento</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sz w:val="22"/>
          <w:szCs w:val="22"/>
        </w:rPr>
        <w:t>Oficio del 31 de octubre de 2024, a través del cual el Encargado de Despacho de la Unidad de Prevención de la Corrupción y Responsable de la Unidad de Transparencia rinde informe justificado dentro del medio de impugnación de nuestra atención, en el que con relación a los recibos de nómina ratifica la respuesta inicial y sobre el nombramiento de la persona señalada en la solicitud se indica que en respuesta se proporcionó el Formato Único de Movimientos de Personal y que de nueva cuenta se vuelve a adjuntar.</w:t>
      </w:r>
    </w:p>
    <w:p w14:paraId="5789B847" w14:textId="77777777" w:rsidR="00163A5F" w:rsidRPr="00932EC5" w:rsidRDefault="00A43C34">
      <w:pPr>
        <w:numPr>
          <w:ilvl w:val="0"/>
          <w:numId w:val="2"/>
        </w:num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ANEXO 06394-INFOEM-IP-RR-2024.pdf: </w:t>
      </w:r>
      <w:r w:rsidRPr="00932EC5">
        <w:rPr>
          <w:rFonts w:ascii="Palatino Linotype" w:eastAsia="Palatino Linotype" w:hAnsi="Palatino Linotype" w:cs="Palatino Linotype"/>
          <w:sz w:val="22"/>
          <w:szCs w:val="22"/>
        </w:rPr>
        <w:t>Oficio del 22 de octubre de 2024, a través del cual el Coordinador Administrativo ratifica su respuesta inicial con relación a los recibos de nómina requeridos de la persona señalada en la solicitud de información.</w:t>
      </w:r>
    </w:p>
    <w:p w14:paraId="596F503C" w14:textId="77777777" w:rsidR="00163A5F" w:rsidRPr="00932EC5" w:rsidRDefault="00A43C34">
      <w:pPr>
        <w:numPr>
          <w:ilvl w:val="0"/>
          <w:numId w:val="2"/>
        </w:num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ANEXO VERSION PUBLICA FUM ALTA SLM.pdf: </w:t>
      </w:r>
      <w:r w:rsidRPr="00932EC5">
        <w:rPr>
          <w:rFonts w:ascii="Palatino Linotype" w:eastAsia="Palatino Linotype" w:hAnsi="Palatino Linotype" w:cs="Palatino Linotype"/>
          <w:sz w:val="22"/>
          <w:szCs w:val="22"/>
        </w:rPr>
        <w:t>contiene los siguientes documentos:</w:t>
      </w:r>
    </w:p>
    <w:p w14:paraId="1E6602D6" w14:textId="77777777" w:rsidR="00163A5F" w:rsidRPr="00932EC5" w:rsidRDefault="00A43C34">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Documento denominado “Leyenda de Clasificación Parcial de la Solicitud 00381/SECOGEM/IP/2024”.</w:t>
      </w:r>
    </w:p>
    <w:p w14:paraId="4A879AF1" w14:textId="77777777" w:rsidR="00163A5F" w:rsidRPr="00932EC5" w:rsidRDefault="00A43C34">
      <w:pPr>
        <w:pBdr>
          <w:top w:val="nil"/>
          <w:left w:val="nil"/>
          <w:bottom w:val="nil"/>
          <w:right w:val="nil"/>
          <w:between w:val="nil"/>
        </w:pBdr>
        <w:spacing w:before="240" w:after="240" w:line="360" w:lineRule="auto"/>
        <w:ind w:left="360"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Cuadro de clasificación de la solicitud 00381/SECOGEM/IP/2024, respecto de datos contenidos en el FUMP.</w:t>
      </w:r>
    </w:p>
    <w:p w14:paraId="4F4FE92A" w14:textId="77777777" w:rsidR="00163A5F" w:rsidRPr="00932EC5" w:rsidRDefault="00A43C34">
      <w:pPr>
        <w:pBdr>
          <w:top w:val="nil"/>
          <w:left w:val="nil"/>
          <w:bottom w:val="nil"/>
          <w:right w:val="nil"/>
          <w:between w:val="nil"/>
        </w:pBdr>
        <w:spacing w:before="240" w:after="240" w:line="360" w:lineRule="auto"/>
        <w:ind w:left="360"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En versión pública, el Formato Único de Movimientos de Personal de Baja de la persona señalada en la solicitud.</w:t>
      </w:r>
    </w:p>
    <w:p w14:paraId="47B0D363" w14:textId="77777777" w:rsidR="00163A5F" w:rsidRPr="00932EC5" w:rsidRDefault="00A43C34">
      <w:pPr>
        <w:pBdr>
          <w:top w:val="nil"/>
          <w:left w:val="nil"/>
          <w:bottom w:val="nil"/>
          <w:right w:val="nil"/>
          <w:between w:val="nil"/>
        </w:pBdr>
        <w:spacing w:before="240" w:after="240" w:line="360" w:lineRule="auto"/>
        <w:ind w:left="360"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En versión pública, el Formato Único de Movimientos de Personal de Alta de la persona señalada en la solicitud.</w:t>
      </w:r>
    </w:p>
    <w:p w14:paraId="65AA62B7" w14:textId="77777777" w:rsidR="00163A5F" w:rsidRPr="00932EC5" w:rsidRDefault="00A43C34">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sz w:val="22"/>
          <w:szCs w:val="22"/>
        </w:rPr>
        <w:t xml:space="preserve">Documentos que fueron puestos a la vista de la parte </w:t>
      </w:r>
      <w:r w:rsidRPr="00932EC5">
        <w:rPr>
          <w:rFonts w:ascii="Palatino Linotype" w:eastAsia="Palatino Linotype" w:hAnsi="Palatino Linotype" w:cs="Palatino Linotype"/>
          <w:b/>
          <w:sz w:val="22"/>
          <w:szCs w:val="22"/>
        </w:rPr>
        <w:t xml:space="preserve">Recurrente </w:t>
      </w:r>
      <w:r w:rsidRPr="00932EC5">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14:paraId="5499F9F2" w14:textId="34D465B4" w:rsidR="00163A5F" w:rsidRPr="00932EC5" w:rsidRDefault="00A43C34">
      <w:pPr>
        <w:tabs>
          <w:tab w:val="left" w:pos="360"/>
        </w:tabs>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 xml:space="preserve">7. Cierre de instrucción. </w:t>
      </w:r>
      <w:r w:rsidRPr="00932EC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0D64B3">
        <w:rPr>
          <w:rFonts w:ascii="Palatino Linotype" w:eastAsia="Palatino Linotype" w:hAnsi="Palatino Linotype" w:cs="Palatino Linotype"/>
          <w:b/>
          <w:sz w:val="22"/>
          <w:szCs w:val="22"/>
        </w:rPr>
        <w:t>trece</w:t>
      </w:r>
      <w:r w:rsidRPr="00932EC5">
        <w:rPr>
          <w:rFonts w:ascii="Palatino Linotype" w:eastAsia="Palatino Linotype" w:hAnsi="Palatino Linotype" w:cs="Palatino Linotype"/>
          <w:b/>
          <w:sz w:val="22"/>
          <w:szCs w:val="22"/>
        </w:rPr>
        <w:t xml:space="preserve"> de noviembre de dos mil veinticuatro,</w:t>
      </w:r>
      <w:r w:rsidRPr="00932EC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2168F3C" w14:textId="77777777" w:rsidR="00163A5F" w:rsidRPr="00932EC5" w:rsidRDefault="00A43C34">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681ADDE" w14:textId="77777777" w:rsidR="00163A5F" w:rsidRPr="00932EC5" w:rsidRDefault="00A43C34">
      <w:pPr>
        <w:widowControl w:val="0"/>
        <w:spacing w:before="240" w:after="240" w:line="360" w:lineRule="auto"/>
        <w:jc w:val="center"/>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II. C O N S I D E R A N D O S</w:t>
      </w:r>
    </w:p>
    <w:p w14:paraId="57F7D28C" w14:textId="77777777" w:rsidR="00163A5F" w:rsidRPr="00932EC5" w:rsidRDefault="00A43C34">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932EC5">
        <w:rPr>
          <w:rFonts w:ascii="Palatino Linotype" w:eastAsia="Palatino Linotype" w:hAnsi="Palatino Linotype" w:cs="Palatino Linotype"/>
          <w:b/>
          <w:sz w:val="22"/>
          <w:szCs w:val="22"/>
        </w:rPr>
        <w:t>Primero. Competencia.</w:t>
      </w:r>
      <w:r w:rsidRPr="00932EC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w:t>
      </w:r>
      <w:r w:rsidRPr="00932EC5">
        <w:rPr>
          <w:rFonts w:ascii="Palatino Linotype" w:eastAsia="Palatino Linotype" w:hAnsi="Palatino Linotype" w:cs="Palatino Linotype"/>
          <w:sz w:val="22"/>
          <w:szCs w:val="22"/>
        </w:rPr>
        <w:lastRenderedPageBreak/>
        <w:t>fracciones I y XXIII y 11 del Reglamento Interior del Instituto de Transparencia, Acceso a la Información Pública y Protección de Datos Personales del Estado de México y Municipios.</w:t>
      </w:r>
    </w:p>
    <w:p w14:paraId="595527D7" w14:textId="77777777" w:rsidR="00163A5F" w:rsidRPr="00932EC5" w:rsidRDefault="00163A5F">
      <w:pPr>
        <w:spacing w:line="360" w:lineRule="auto"/>
        <w:jc w:val="both"/>
        <w:rPr>
          <w:rFonts w:ascii="Palatino Linotype" w:eastAsia="Palatino Linotype" w:hAnsi="Palatino Linotype" w:cs="Palatino Linotype"/>
          <w:sz w:val="22"/>
          <w:szCs w:val="22"/>
        </w:rPr>
      </w:pPr>
    </w:p>
    <w:p w14:paraId="32E63AEC" w14:textId="77777777" w:rsidR="00163A5F" w:rsidRPr="00932EC5" w:rsidRDefault="00A43C34">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932EC5">
        <w:rPr>
          <w:rFonts w:ascii="Palatino Linotype" w:eastAsia="Palatino Linotype" w:hAnsi="Palatino Linotype" w:cs="Palatino Linotype"/>
          <w:b/>
          <w:sz w:val="22"/>
          <w:szCs w:val="22"/>
        </w:rPr>
        <w:t>Segundo. Oportunidad y Procedibilidad del Recurso de Revisión</w:t>
      </w:r>
      <w:r w:rsidRPr="00932EC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56F4514" w14:textId="77777777" w:rsidR="00163A5F" w:rsidRPr="00932EC5" w:rsidRDefault="00163A5F">
      <w:pPr>
        <w:spacing w:line="360" w:lineRule="auto"/>
        <w:jc w:val="both"/>
        <w:rPr>
          <w:rFonts w:ascii="Palatino Linotype" w:eastAsia="Palatino Linotype" w:hAnsi="Palatino Linotype" w:cs="Palatino Linotype"/>
          <w:sz w:val="22"/>
          <w:szCs w:val="22"/>
        </w:rPr>
      </w:pPr>
    </w:p>
    <w:p w14:paraId="58B9E5D5" w14:textId="77777777" w:rsidR="00163A5F" w:rsidRPr="00932EC5" w:rsidRDefault="00A43C34">
      <w:pPr>
        <w:spacing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 xml:space="preserve">remitió la respuesta a la solicitud de información el </w:t>
      </w:r>
      <w:r w:rsidRPr="00932EC5">
        <w:rPr>
          <w:rFonts w:ascii="Palatino Linotype" w:eastAsia="Palatino Linotype" w:hAnsi="Palatino Linotype" w:cs="Palatino Linotype"/>
          <w:b/>
          <w:sz w:val="22"/>
          <w:szCs w:val="22"/>
        </w:rPr>
        <w:t xml:space="preserve">dieciséis de octubre de dos mil veinticuatro, </w:t>
      </w:r>
      <w:r w:rsidRPr="00932EC5">
        <w:rPr>
          <w:rFonts w:ascii="Palatino Linotype" w:eastAsia="Palatino Linotype" w:hAnsi="Palatino Linotype" w:cs="Palatino Linotype"/>
          <w:sz w:val="22"/>
          <w:szCs w:val="22"/>
        </w:rPr>
        <w:t xml:space="preserve">mientras que el recurso de revisión interpuesto por </w:t>
      </w:r>
      <w:r w:rsidRPr="00932EC5">
        <w:rPr>
          <w:rFonts w:ascii="Palatino Linotype" w:eastAsia="Palatino Linotype" w:hAnsi="Palatino Linotype" w:cs="Palatino Linotype"/>
          <w:b/>
          <w:sz w:val="22"/>
          <w:szCs w:val="22"/>
        </w:rPr>
        <w:t>la parte</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se tuvo por presentado el </w:t>
      </w:r>
      <w:r w:rsidRPr="00932EC5">
        <w:rPr>
          <w:rFonts w:ascii="Palatino Linotype" w:eastAsia="Palatino Linotype" w:hAnsi="Palatino Linotype" w:cs="Palatino Linotype"/>
          <w:b/>
          <w:sz w:val="22"/>
          <w:szCs w:val="22"/>
        </w:rPr>
        <w:t>dieciocho de octubre de dos mil veinticuatro</w:t>
      </w:r>
      <w:r w:rsidRPr="00932EC5">
        <w:rPr>
          <w:rFonts w:ascii="Palatino Linotype" w:eastAsia="Palatino Linotype" w:hAnsi="Palatino Linotype" w:cs="Palatino Linotype"/>
          <w:sz w:val="22"/>
          <w:szCs w:val="22"/>
        </w:rPr>
        <w:t xml:space="preserve"> esto es, </w:t>
      </w:r>
      <w:r w:rsidRPr="00932EC5">
        <w:rPr>
          <w:rFonts w:ascii="Palatino Linotype" w:eastAsia="Palatino Linotype" w:hAnsi="Palatino Linotype" w:cs="Palatino Linotype"/>
          <w:b/>
          <w:sz w:val="22"/>
          <w:szCs w:val="22"/>
        </w:rPr>
        <w:t>al segundo día hábil siguiente a aquel</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en que se tuvo conocimiento de la respuesta impugnada</w:t>
      </w:r>
      <w:r w:rsidRPr="00932EC5">
        <w:rPr>
          <w:rFonts w:ascii="Palatino Linotype" w:eastAsia="Palatino Linotype" w:hAnsi="Palatino Linotype" w:cs="Palatino Linotype"/>
          <w:sz w:val="22"/>
          <w:szCs w:val="22"/>
        </w:rPr>
        <w:t>. En este sentido, se concluye que el presente recurso de revisión se encuentra dentro de los márgenes temporales previstos en las disposiciones legales referidas.</w:t>
      </w:r>
    </w:p>
    <w:p w14:paraId="6EB306D9" w14:textId="77777777" w:rsidR="00163A5F" w:rsidRPr="00932EC5" w:rsidRDefault="00163A5F">
      <w:pPr>
        <w:spacing w:line="360" w:lineRule="auto"/>
        <w:jc w:val="both"/>
        <w:rPr>
          <w:rFonts w:ascii="Palatino Linotype" w:eastAsia="Palatino Linotype" w:hAnsi="Palatino Linotype" w:cs="Palatino Linotype"/>
          <w:sz w:val="22"/>
          <w:szCs w:val="22"/>
        </w:rPr>
      </w:pPr>
    </w:p>
    <w:p w14:paraId="651AB74E" w14:textId="77777777" w:rsidR="00163A5F" w:rsidRPr="00932EC5" w:rsidRDefault="00A43C34">
      <w:pPr>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932EC5">
        <w:rPr>
          <w:rFonts w:ascii="Palatino Linotype" w:eastAsia="Palatino Linotype" w:hAnsi="Palatino Linotype" w:cs="Palatino Linotype"/>
          <w:sz w:val="22"/>
          <w:szCs w:val="22"/>
        </w:rPr>
        <w:t>Además, por cuanto hace a la procedibilidad del recurso de revisión, es de suma importancia señalar que la parte</w:t>
      </w:r>
      <w:r w:rsidRPr="00932EC5">
        <w:rPr>
          <w:rFonts w:ascii="Palatino Linotype" w:eastAsia="Palatino Linotype" w:hAnsi="Palatino Linotype" w:cs="Palatino Linotype"/>
          <w:b/>
          <w:sz w:val="22"/>
          <w:szCs w:val="22"/>
        </w:rPr>
        <w:t xml:space="preserve"> Recurrente</w:t>
      </w:r>
      <w:r w:rsidRPr="00932EC5">
        <w:rPr>
          <w:rFonts w:ascii="Palatino Linotype" w:eastAsia="Palatino Linotype" w:hAnsi="Palatino Linotype" w:cs="Palatino Linotype"/>
          <w:sz w:val="22"/>
          <w:szCs w:val="22"/>
        </w:rPr>
        <w:t xml:space="preserve">, no señaló un </w:t>
      </w:r>
      <w:r w:rsidRPr="00932EC5">
        <w:rPr>
          <w:rFonts w:ascii="Palatino Linotype" w:eastAsia="Palatino Linotype" w:hAnsi="Palatino Linotype" w:cs="Palatino Linotype"/>
          <w:b/>
          <w:sz w:val="22"/>
          <w:szCs w:val="22"/>
        </w:rPr>
        <w:t>nombre</w:t>
      </w:r>
      <w:r w:rsidRPr="00932EC5">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CF70A92"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Las solicitudes anónimas</w:t>
      </w:r>
      <w:r w:rsidRPr="00932EC5">
        <w:rPr>
          <w:rFonts w:ascii="Palatino Linotype" w:eastAsia="Palatino Linotype" w:hAnsi="Palatino Linotype" w:cs="Palatino Linotype"/>
          <w:i/>
          <w:sz w:val="22"/>
          <w:szCs w:val="22"/>
        </w:rPr>
        <w:t xml:space="preserve">, con nombre incompleto o </w:t>
      </w:r>
      <w:r w:rsidRPr="00932EC5">
        <w:rPr>
          <w:rFonts w:ascii="Palatino Linotype" w:eastAsia="Palatino Linotype" w:hAnsi="Palatino Linotype" w:cs="Palatino Linotype"/>
          <w:b/>
          <w:i/>
          <w:sz w:val="22"/>
          <w:szCs w:val="22"/>
        </w:rPr>
        <w:t>seudónimo</w:t>
      </w:r>
      <w:r w:rsidRPr="00932EC5">
        <w:rPr>
          <w:rFonts w:ascii="Palatino Linotype" w:eastAsia="Palatino Linotype" w:hAnsi="Palatino Linotype" w:cs="Palatino Linotype"/>
          <w:i/>
          <w:sz w:val="22"/>
          <w:szCs w:val="22"/>
        </w:rPr>
        <w:t xml:space="preserve"> serán procedentes para su trámite por parte del sujeto obligado ante quien se presente. </w:t>
      </w:r>
      <w:r w:rsidRPr="00932EC5">
        <w:rPr>
          <w:rFonts w:ascii="Palatino Linotype" w:eastAsia="Palatino Linotype" w:hAnsi="Palatino Linotype" w:cs="Palatino Linotype"/>
          <w:i/>
          <w:sz w:val="22"/>
          <w:szCs w:val="22"/>
        </w:rPr>
        <w:lastRenderedPageBreak/>
        <w:t>No podrá requerirse información adicional con motivo del nombre proporcionado por el solicitante."</w:t>
      </w:r>
    </w:p>
    <w:p w14:paraId="3C5D57B5" w14:textId="77777777" w:rsidR="00163A5F" w:rsidRPr="00932EC5" w:rsidRDefault="00A43C34">
      <w:pPr>
        <w:spacing w:before="240" w:after="240" w:line="360" w:lineRule="auto"/>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932EC5">
        <w:rPr>
          <w:rFonts w:ascii="Palatino Linotype" w:eastAsia="Palatino Linotype" w:hAnsi="Palatino Linotype" w:cs="Palatino Linotype"/>
          <w:b/>
          <w:sz w:val="22"/>
          <w:szCs w:val="22"/>
        </w:rPr>
        <w:t xml:space="preserve"> SAIMEX.</w:t>
      </w:r>
    </w:p>
    <w:p w14:paraId="63FA9E55"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20990C15"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179.</w:t>
      </w:r>
      <w:r w:rsidRPr="00932EC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A713601" w14:textId="77777777" w:rsidR="00163A5F" w:rsidRPr="00932EC5" w:rsidRDefault="00A43C34">
      <w:pPr>
        <w:spacing w:before="120" w:after="120"/>
        <w:ind w:left="1134"/>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b/>
          <w:i/>
          <w:sz w:val="22"/>
          <w:szCs w:val="22"/>
        </w:rPr>
        <w:t>...</w:t>
      </w:r>
    </w:p>
    <w:p w14:paraId="54319CED" w14:textId="77777777" w:rsidR="00163A5F" w:rsidRPr="00932EC5" w:rsidRDefault="00A43C34">
      <w:pPr>
        <w:spacing w:before="120" w:after="120"/>
        <w:ind w:left="1134"/>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V. </w:t>
      </w:r>
      <w:r w:rsidRPr="00932EC5">
        <w:rPr>
          <w:rFonts w:ascii="Palatino Linotype" w:eastAsia="Palatino Linotype" w:hAnsi="Palatino Linotype" w:cs="Palatino Linotype"/>
          <w:i/>
          <w:sz w:val="22"/>
          <w:szCs w:val="22"/>
        </w:rPr>
        <w:t>La entrega de información incompleta;”</w:t>
      </w:r>
    </w:p>
    <w:p w14:paraId="0E5E24C4" w14:textId="77777777" w:rsidR="00163A5F" w:rsidRPr="00932EC5" w:rsidRDefault="00A43C34">
      <w:pPr>
        <w:spacing w:before="240" w:after="240" w:line="360" w:lineRule="auto"/>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t xml:space="preserve">Tercero. Materia de la revisión. </w:t>
      </w:r>
      <w:r w:rsidRPr="00932EC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32EC5">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932EC5">
        <w:rPr>
          <w:rFonts w:ascii="Palatino Linotype" w:eastAsia="Palatino Linotype" w:hAnsi="Palatino Linotype" w:cs="Palatino Linotype"/>
          <w:sz w:val="22"/>
          <w:szCs w:val="22"/>
        </w:rPr>
        <w:t xml:space="preserve">de la parte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o en su defecto, en caso de ser procedente, ordenar la entrega de información.</w:t>
      </w:r>
    </w:p>
    <w:p w14:paraId="4CB51F8F"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932EC5">
        <w:rPr>
          <w:rFonts w:ascii="Palatino Linotype" w:eastAsia="Palatino Linotype" w:hAnsi="Palatino Linotype" w:cs="Palatino Linotype"/>
          <w:b/>
          <w:sz w:val="22"/>
          <w:szCs w:val="22"/>
        </w:rPr>
        <w:t xml:space="preserve">Cuarto. Estudio del asunto. </w:t>
      </w:r>
      <w:r w:rsidRPr="00932EC5">
        <w:rPr>
          <w:rFonts w:ascii="Palatino Linotype" w:eastAsia="Palatino Linotype" w:hAnsi="Palatino Linotype" w:cs="Palatino Linotype"/>
          <w:sz w:val="22"/>
          <w:szCs w:val="22"/>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w:t>
      </w:r>
      <w:r w:rsidRPr="00932EC5">
        <w:rPr>
          <w:rFonts w:ascii="Palatino Linotype" w:eastAsia="Palatino Linotype" w:hAnsi="Palatino Linotype" w:cs="Palatino Linotype"/>
          <w:sz w:val="22"/>
          <w:szCs w:val="22"/>
        </w:rPr>
        <w:lastRenderedPageBreak/>
        <w:t>lo establece dicha determinación, que a continuación se trascribe para un mejor entendimiento:</w:t>
      </w:r>
    </w:p>
    <w:p w14:paraId="5B889F2B"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4</w:t>
      </w:r>
      <w:r w:rsidRPr="00932EC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34F15E1"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32EC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C0729BD"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32EC5">
        <w:rPr>
          <w:rFonts w:ascii="Palatino Linotype" w:eastAsia="Palatino Linotype" w:hAnsi="Palatino Linotype" w:cs="Palatino Linotype"/>
          <w:i/>
          <w:sz w:val="22"/>
          <w:szCs w:val="22"/>
        </w:rPr>
        <w:t>.”</w:t>
      </w:r>
    </w:p>
    <w:p w14:paraId="29D8F8B3"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3C9B7FC"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12.-</w:t>
      </w:r>
      <w:r w:rsidRPr="00932EC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A3E090"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 xml:space="preserve">La obligación de proporcionar información no comprende el </w:t>
      </w:r>
      <w:r w:rsidRPr="00932EC5">
        <w:rPr>
          <w:rFonts w:ascii="Palatino Linotype" w:eastAsia="Palatino Linotype" w:hAnsi="Palatino Linotype" w:cs="Palatino Linotype"/>
          <w:b/>
          <w:i/>
          <w:sz w:val="22"/>
          <w:szCs w:val="22"/>
        </w:rPr>
        <w:lastRenderedPageBreak/>
        <w:t>procesamiento de la misma, ni el presentarla conforme al interés del solicitante; no estarán obligados a generarla, resumirla, efectuar cálculos o practicar investigaciones.”</w:t>
      </w:r>
    </w:p>
    <w:p w14:paraId="65EADFFC" w14:textId="77777777" w:rsidR="00163A5F" w:rsidRPr="00932EC5" w:rsidRDefault="00A43C34">
      <w:pPr>
        <w:spacing w:before="240" w:after="240" w:line="360" w:lineRule="auto"/>
        <w:ind w:right="-93"/>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E9FA122" w14:textId="77777777" w:rsidR="00163A5F" w:rsidRPr="00932EC5" w:rsidRDefault="00A43C34">
      <w:pPr>
        <w:spacing w:before="240" w:after="240" w:line="360" w:lineRule="auto"/>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t>Sirve de apoyo a lo anterior, el Criterio de Interpretación, con clave de control número SO/003/2017, emitido por el Instituto Nacional de Transparencia, Acceso a la Información y Protección de Datos Personales, que por rubro y texto, dispone lo siguiente:</w:t>
      </w:r>
      <w:r w:rsidRPr="00932EC5">
        <w:rPr>
          <w:rFonts w:ascii="Palatino Linotype" w:eastAsia="Palatino Linotype" w:hAnsi="Palatino Linotype" w:cs="Palatino Linotype"/>
          <w:b/>
          <w:sz w:val="22"/>
          <w:szCs w:val="22"/>
        </w:rPr>
        <w:t xml:space="preserve"> </w:t>
      </w:r>
    </w:p>
    <w:p w14:paraId="4CF58658"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No existe obligación de elaborar documentos ad hoc para atender las solicitudes de acceso a la información.</w:t>
      </w:r>
      <w:r w:rsidRPr="00932EC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022FB484" w14:textId="77777777" w:rsidR="00163A5F" w:rsidRPr="00932EC5" w:rsidRDefault="00A43C34">
      <w:pPr>
        <w:spacing w:before="120" w:after="12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2CD78F" w14:textId="77777777" w:rsidR="00163A5F" w:rsidRPr="00932EC5" w:rsidRDefault="00A43C34">
      <w:pPr>
        <w:spacing w:before="120" w:after="12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2567E38"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 xml:space="preserve">Artículo 3. </w:t>
      </w:r>
      <w:r w:rsidRPr="00932EC5">
        <w:rPr>
          <w:rFonts w:ascii="Palatino Linotype" w:eastAsia="Palatino Linotype" w:hAnsi="Palatino Linotype" w:cs="Palatino Linotype"/>
          <w:i/>
          <w:sz w:val="22"/>
          <w:szCs w:val="22"/>
        </w:rPr>
        <w:t>Para los efectos de la presente Ley se entenderá por:</w:t>
      </w:r>
    </w:p>
    <w:p w14:paraId="4B34D8B9"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456B1BC2"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XI. Documento:</w:t>
      </w:r>
      <w:r w:rsidRPr="00932EC5">
        <w:rPr>
          <w:rFonts w:ascii="Palatino Linotype" w:eastAsia="Palatino Linotype" w:hAnsi="Palatino Linotype" w:cs="Palatino Linotype"/>
          <w:i/>
          <w:sz w:val="22"/>
          <w:szCs w:val="22"/>
        </w:rPr>
        <w:t xml:space="preserve"> Los expedientes, reportes, estudios, actas</w:t>
      </w:r>
      <w:r w:rsidRPr="00932EC5">
        <w:rPr>
          <w:rFonts w:ascii="Palatino Linotype" w:eastAsia="Palatino Linotype" w:hAnsi="Palatino Linotype" w:cs="Palatino Linotype"/>
          <w:b/>
          <w:i/>
          <w:sz w:val="22"/>
          <w:szCs w:val="22"/>
        </w:rPr>
        <w:t>,</w:t>
      </w:r>
      <w:r w:rsidRPr="00932EC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14B732"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C4CB35"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sz w:val="22"/>
          <w:szCs w:val="22"/>
        </w:rPr>
        <w:t>“</w:t>
      </w:r>
      <w:r w:rsidRPr="00932EC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32EC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B4AC7D"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2049F108"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FB08D88"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43327B24"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02AADAAA" w14:textId="77777777" w:rsidR="00163A5F" w:rsidRPr="00932EC5" w:rsidRDefault="00A43C34">
      <w:pP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F936347"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w:t>
      </w:r>
      <w:r w:rsidRPr="00932EC5">
        <w:rPr>
          <w:rFonts w:ascii="Palatino Linotype" w:eastAsia="Palatino Linotype" w:hAnsi="Palatino Linotype" w:cs="Palatino Linotype"/>
          <w:sz w:val="22"/>
          <w:szCs w:val="22"/>
        </w:rPr>
        <w:lastRenderedPageBreak/>
        <w:t>en la Constitución Federal por interés público y seguridad, en los términos que fijen las leyes de la materia.</w:t>
      </w:r>
    </w:p>
    <w:p w14:paraId="04548B7E" w14:textId="77777777" w:rsidR="00163A5F" w:rsidRPr="00932EC5" w:rsidRDefault="00A43C34">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bookmarkStart w:id="9" w:name="_heading=h.1y810tw" w:colFirst="0" w:colLast="0"/>
      <w:bookmarkEnd w:id="9"/>
      <w:r w:rsidRPr="00932EC5">
        <w:rPr>
          <w:rFonts w:ascii="Palatino Linotype" w:eastAsia="Palatino Linotype" w:hAnsi="Palatino Linotype" w:cs="Palatino Linotype"/>
          <w:sz w:val="22"/>
          <w:szCs w:val="22"/>
        </w:rPr>
        <w:t xml:space="preserve">Para ello, conviene iniciar el presente estudio señalando que, del análisis a la solicitud de información con relación al desahogo de aclaración, se advierte que la persona solicitante requirió del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b/>
          <w:sz w:val="22"/>
          <w:szCs w:val="22"/>
          <w:u w:val="single"/>
        </w:rPr>
        <w:t>específicamente de la persona señalada en la solicitud de información</w:t>
      </w:r>
      <w:r w:rsidRPr="00932EC5">
        <w:rPr>
          <w:rFonts w:ascii="Palatino Linotype" w:eastAsia="Palatino Linotype" w:hAnsi="Palatino Linotype" w:cs="Palatino Linotype"/>
          <w:sz w:val="22"/>
          <w:szCs w:val="22"/>
        </w:rPr>
        <w:t>, lo siguiente:</w:t>
      </w:r>
    </w:p>
    <w:p w14:paraId="3A780C28" w14:textId="77777777" w:rsidR="00163A5F" w:rsidRPr="00932EC5" w:rsidRDefault="00A43C34">
      <w:pPr>
        <w:numPr>
          <w:ilvl w:val="0"/>
          <w:numId w:val="3"/>
        </w:numPr>
        <w:pBdr>
          <w:top w:val="nil"/>
          <w:left w:val="nil"/>
          <w:bottom w:val="nil"/>
          <w:right w:val="nil"/>
          <w:between w:val="nil"/>
        </w:pBdr>
        <w:tabs>
          <w:tab w:val="left" w:pos="567"/>
        </w:tabs>
        <w:spacing w:before="240" w:after="240" w:line="276" w:lineRule="auto"/>
        <w:ind w:left="284" w:firstLine="0"/>
        <w:jc w:val="both"/>
        <w:rPr>
          <w:rFonts w:ascii="Palatino Linotype" w:eastAsia="Palatino Linotype" w:hAnsi="Palatino Linotype" w:cs="Palatino Linotype"/>
          <w:sz w:val="22"/>
          <w:szCs w:val="22"/>
        </w:rPr>
      </w:pPr>
      <w:bookmarkStart w:id="10" w:name="_heading=h.3rdcrjn" w:colFirst="0" w:colLast="0"/>
      <w:bookmarkEnd w:id="10"/>
      <w:r w:rsidRPr="00932EC5">
        <w:rPr>
          <w:rFonts w:ascii="Palatino Linotype" w:eastAsia="Palatino Linotype" w:hAnsi="Palatino Linotype" w:cs="Palatino Linotype"/>
          <w:sz w:val="22"/>
          <w:szCs w:val="22"/>
        </w:rPr>
        <w:t>Avisos de movimientos de alta y de baja.</w:t>
      </w:r>
    </w:p>
    <w:p w14:paraId="2A773AE4" w14:textId="77777777" w:rsidR="00163A5F" w:rsidRPr="00932EC5" w:rsidRDefault="00A43C34">
      <w:pPr>
        <w:numPr>
          <w:ilvl w:val="0"/>
          <w:numId w:val="3"/>
        </w:numPr>
        <w:pBdr>
          <w:top w:val="nil"/>
          <w:left w:val="nil"/>
          <w:bottom w:val="nil"/>
          <w:right w:val="nil"/>
          <w:between w:val="nil"/>
        </w:pBdr>
        <w:tabs>
          <w:tab w:val="left" w:pos="567"/>
        </w:tabs>
        <w:spacing w:before="240" w:after="240" w:line="276" w:lineRule="auto"/>
        <w:ind w:left="284" w:firstLine="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Los recibos de nómina quincenales y de cualquier percepción que recibió durante todo el tiempo que laboró.</w:t>
      </w:r>
    </w:p>
    <w:p w14:paraId="3B1B06EF" w14:textId="77777777" w:rsidR="00163A5F" w:rsidRPr="00932EC5" w:rsidRDefault="00A43C34">
      <w:pPr>
        <w:numPr>
          <w:ilvl w:val="0"/>
          <w:numId w:val="3"/>
        </w:numPr>
        <w:pBdr>
          <w:top w:val="nil"/>
          <w:left w:val="nil"/>
          <w:bottom w:val="nil"/>
          <w:right w:val="nil"/>
          <w:between w:val="nil"/>
        </w:pBdr>
        <w:tabs>
          <w:tab w:val="left" w:pos="567"/>
        </w:tabs>
        <w:spacing w:before="240" w:after="240" w:line="276" w:lineRule="auto"/>
        <w:ind w:left="284" w:firstLine="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Nombramiento del cargo que ocupó.</w:t>
      </w:r>
    </w:p>
    <w:p w14:paraId="16E5CAF4" w14:textId="77777777" w:rsidR="00163A5F" w:rsidRPr="00932EC5" w:rsidRDefault="00A43C34">
      <w:pPr>
        <w:numPr>
          <w:ilvl w:val="0"/>
          <w:numId w:val="3"/>
        </w:numPr>
        <w:pBdr>
          <w:top w:val="nil"/>
          <w:left w:val="nil"/>
          <w:bottom w:val="nil"/>
          <w:right w:val="nil"/>
          <w:between w:val="nil"/>
        </w:pBdr>
        <w:tabs>
          <w:tab w:val="left" w:pos="567"/>
        </w:tabs>
        <w:spacing w:before="240" w:after="240" w:line="276" w:lineRule="auto"/>
        <w:ind w:left="284" w:firstLine="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Curriculum Vitae.</w:t>
      </w:r>
    </w:p>
    <w:p w14:paraId="08A7BB1A" w14:textId="77777777" w:rsidR="00163A5F" w:rsidRPr="00932EC5" w:rsidRDefault="00A43C34">
      <w:pPr>
        <w:numPr>
          <w:ilvl w:val="0"/>
          <w:numId w:val="3"/>
        </w:numPr>
        <w:pBdr>
          <w:top w:val="nil"/>
          <w:left w:val="nil"/>
          <w:bottom w:val="nil"/>
          <w:right w:val="nil"/>
          <w:between w:val="nil"/>
        </w:pBdr>
        <w:tabs>
          <w:tab w:val="left" w:pos="567"/>
        </w:tabs>
        <w:spacing w:before="240" w:after="240" w:line="276" w:lineRule="auto"/>
        <w:ind w:left="284" w:firstLine="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Registro de asistencia del tiempo que laboró.</w:t>
      </w:r>
    </w:p>
    <w:p w14:paraId="25C17A5C"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respuesta,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por conducto del Coordinador Administrativo proporcionó la información señalada en el antecedente segundo de la presente resolución.</w:t>
      </w:r>
    </w:p>
    <w:p w14:paraId="0A7FF1D1" w14:textId="77777777" w:rsidR="00163A5F" w:rsidRPr="00932EC5" w:rsidRDefault="00A43C34">
      <w:pPr>
        <w:spacing w:before="240" w:after="240" w:line="360" w:lineRule="auto"/>
        <w:ind w:right="49"/>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t xml:space="preserve">Inconforme con la respuesta la parte </w:t>
      </w:r>
      <w:r w:rsidRPr="00932EC5">
        <w:rPr>
          <w:rFonts w:ascii="Palatino Linotype" w:eastAsia="Palatino Linotype" w:hAnsi="Palatino Linotype" w:cs="Palatino Linotype"/>
          <w:b/>
          <w:sz w:val="22"/>
          <w:szCs w:val="22"/>
        </w:rPr>
        <w:t xml:space="preserve">Recurrente, </w:t>
      </w:r>
      <w:r w:rsidRPr="00932EC5">
        <w:rPr>
          <w:rFonts w:ascii="Palatino Linotype" w:eastAsia="Palatino Linotype" w:hAnsi="Palatino Linotype" w:cs="Palatino Linotype"/>
          <w:sz w:val="22"/>
          <w:szCs w:val="22"/>
        </w:rPr>
        <w:t xml:space="preserve">promovió el presente recurso de revisión en el que a manera de motivos de inconformidad alegó en lo medular la entrega de información incompleta, ya que no se entregó en versión pública </w:t>
      </w:r>
      <w:r w:rsidRPr="00932EC5">
        <w:rPr>
          <w:rFonts w:ascii="Palatino Linotype" w:eastAsia="Palatino Linotype" w:hAnsi="Palatino Linotype" w:cs="Palatino Linotype"/>
          <w:b/>
          <w:sz w:val="22"/>
          <w:szCs w:val="22"/>
        </w:rPr>
        <w:t>los recibos de nómina quincenales y de cualquier percepción que recibió la persona señalada en la solicitud durante todo el tiempo que laboró en la Secretaría, y su nombramiento del cargo que ocupó,</w:t>
      </w:r>
      <w:r w:rsidRPr="00932EC5">
        <w:rPr>
          <w:rFonts w:ascii="Palatino Linotype" w:eastAsia="Palatino Linotype" w:hAnsi="Palatino Linotype" w:cs="Palatino Linotype"/>
          <w:sz w:val="22"/>
          <w:szCs w:val="22"/>
        </w:rPr>
        <w:t xml:space="preserve"> el cual ha dicho de la parte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se debe tener por haber sido mando medio y/o superior.</w:t>
      </w:r>
    </w:p>
    <w:p w14:paraId="696CA2F5"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Durante la etapa de manifestaciones</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sz w:val="22"/>
          <w:szCs w:val="22"/>
        </w:rPr>
        <w:t xml:space="preserve">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 xml:space="preserve">rindió su informe justificado, en el que ratificó su respuesta respecto a los recibos de nómina requeridos, y sobre el </w:t>
      </w:r>
      <w:r w:rsidRPr="00932EC5">
        <w:rPr>
          <w:rFonts w:ascii="Palatino Linotype" w:eastAsia="Palatino Linotype" w:hAnsi="Palatino Linotype" w:cs="Palatino Linotype"/>
          <w:sz w:val="22"/>
          <w:szCs w:val="22"/>
        </w:rPr>
        <w:lastRenderedPageBreak/>
        <w:t>nombramiento indicó que sobre este punto en respuesta proporcionó el Formato Único de Movimientos de Personal y que de nueva cuenta lo vuelve a entregar.</w:t>
      </w:r>
    </w:p>
    <w:p w14:paraId="07B48E83"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Por su lado, la parte </w:t>
      </w:r>
      <w:r w:rsidRPr="00932EC5">
        <w:rPr>
          <w:rFonts w:ascii="Palatino Linotype" w:eastAsia="Palatino Linotype" w:hAnsi="Palatino Linotype" w:cs="Palatino Linotype"/>
          <w:b/>
          <w:sz w:val="22"/>
          <w:szCs w:val="22"/>
        </w:rPr>
        <w:t xml:space="preserve">Recurrente </w:t>
      </w:r>
      <w:r w:rsidRPr="00932EC5">
        <w:rPr>
          <w:rFonts w:ascii="Palatino Linotype" w:eastAsia="Palatino Linotype" w:hAnsi="Palatino Linotype" w:cs="Palatino Linotype"/>
          <w:sz w:val="22"/>
          <w:szCs w:val="22"/>
        </w:rPr>
        <w:t xml:space="preserve">fue omisa en hacer valer manifestaciones o rendir alegatos que conforme a derecho resultaran procedentes con relación al informe justificado rendido por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w:t>
      </w:r>
    </w:p>
    <w:p w14:paraId="34CBF495"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bookmarkStart w:id="11" w:name="_heading=h.1t3h5sf" w:colFirst="0" w:colLast="0"/>
      <w:bookmarkEnd w:id="11"/>
      <w:r w:rsidRPr="00932EC5">
        <w:rPr>
          <w:rFonts w:ascii="Palatino Linotype" w:eastAsia="Palatino Linotype" w:hAnsi="Palatino Linotype" w:cs="Palatino Linotype"/>
          <w:sz w:val="22"/>
          <w:szCs w:val="22"/>
        </w:rPr>
        <w:t xml:space="preserve">Acotado lo anterior, y atendiendo que en el caso </w:t>
      </w:r>
      <w:r w:rsidRPr="00932EC5">
        <w:rPr>
          <w:rFonts w:ascii="Palatino Linotype" w:eastAsia="Palatino Linotype" w:hAnsi="Palatino Linotype" w:cs="Palatino Linotype"/>
          <w:b/>
          <w:sz w:val="22"/>
          <w:szCs w:val="22"/>
        </w:rPr>
        <w:t>los motivos de inconformidad no versan sobre la totalidad de la información requerida</w:t>
      </w:r>
      <w:r w:rsidRPr="00932EC5">
        <w:rPr>
          <w:rFonts w:ascii="Palatino Linotype" w:eastAsia="Palatino Linotype" w:hAnsi="Palatino Linotype" w:cs="Palatino Linotype"/>
          <w:sz w:val="22"/>
          <w:szCs w:val="22"/>
        </w:rPr>
        <w:t>, sino de que no se entregó</w:t>
      </w:r>
      <w:r w:rsidRPr="00932EC5">
        <w:t xml:space="preserve"> </w:t>
      </w:r>
      <w:r w:rsidRPr="00932EC5">
        <w:rPr>
          <w:rFonts w:ascii="Palatino Linotype" w:eastAsia="Palatino Linotype" w:hAnsi="Palatino Linotype" w:cs="Palatino Linotype"/>
          <w:b/>
          <w:sz w:val="22"/>
          <w:szCs w:val="22"/>
          <w:u w:val="single"/>
        </w:rPr>
        <w:t>la información relacionada con los recibos de nómina quincenales y de cualquier percepción que recibió la persona señalada en la solicitud durante todo el tiempo que laboró en la Secretaría, y su nombramiento del cargo que ocupó</w:t>
      </w:r>
      <w:r w:rsidRPr="00932EC5">
        <w:rPr>
          <w:rFonts w:ascii="Palatino Linotype" w:eastAsia="Palatino Linotype" w:hAnsi="Palatino Linotype" w:cs="Palatino Linotype"/>
          <w:sz w:val="22"/>
          <w:szCs w:val="22"/>
        </w:rPr>
        <w:t xml:space="preserve">; en consecuencia, deben declararse consentidos los demás rubros de la solicitud, toda vez que, al no haberse realizado manifestaciones de inconformidad al respecto, no pueden producirse efectos jurídicos tendentes a revocar, confirmar o modificar el acto reclamado, ya que, en el caso concreto se infiere que la información proporcionada por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satisface parte de la solicitud presentada.</w:t>
      </w:r>
    </w:p>
    <w:p w14:paraId="0F72CC6D"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Lo anterior es así, debido a que cuando la parte </w:t>
      </w:r>
      <w:r w:rsidRPr="00932EC5">
        <w:rPr>
          <w:rFonts w:ascii="Palatino Linotype" w:eastAsia="Palatino Linotype" w:hAnsi="Palatino Linotype" w:cs="Palatino Linotype"/>
          <w:b/>
          <w:sz w:val="22"/>
          <w:szCs w:val="22"/>
        </w:rPr>
        <w:t xml:space="preserve">Recurrente </w:t>
      </w:r>
      <w:r w:rsidRPr="00932EC5">
        <w:rPr>
          <w:rFonts w:ascii="Palatino Linotype" w:eastAsia="Palatino Linotype" w:hAnsi="Palatino Linotype" w:cs="Palatino Linotype"/>
          <w:sz w:val="22"/>
          <w:szCs w:val="22"/>
        </w:rPr>
        <w:t xml:space="preserve">impugna la respuesta del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2193256" w14:textId="77777777" w:rsidR="00163A5F" w:rsidRPr="00932EC5" w:rsidRDefault="00A43C34">
      <w:pPr>
        <w:spacing w:before="240" w:after="240"/>
        <w:ind w:left="567" w:right="616"/>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“REVISIÓN EN AMPARO. LOS RESOLUTIVOS NO COMBATIDOS DEBEN DECLARARSE FIRMES. </w:t>
      </w:r>
      <w:r w:rsidRPr="00932EC5">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w:t>
      </w:r>
      <w:r w:rsidRPr="00932EC5">
        <w:rPr>
          <w:rFonts w:ascii="Palatino Linotype" w:eastAsia="Palatino Linotype" w:hAnsi="Palatino Linotype" w:cs="Palatino Linotype"/>
          <w:i/>
          <w:sz w:val="22"/>
          <w:szCs w:val="22"/>
        </w:rPr>
        <w:lastRenderedPageBreak/>
        <w:t>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BACE4AF"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Consecuentemente, se insiste, ante la falta de impugnación eficaz de todos los rubros solicitados, </w:t>
      </w:r>
      <w:r w:rsidRPr="00932EC5">
        <w:rPr>
          <w:rFonts w:ascii="Palatino Linotype" w:eastAsia="Palatino Linotype" w:hAnsi="Palatino Linotype" w:cs="Palatino Linotype"/>
          <w:b/>
          <w:sz w:val="22"/>
          <w:szCs w:val="22"/>
        </w:rPr>
        <w:t>deben declararse consentidos los requerimientos relativos a los avisos de movimientos de alta y baja, curriculum vitae y registro de asistencia del tiempo que laboró la persona señalada en la solicitud.</w:t>
      </w:r>
    </w:p>
    <w:p w14:paraId="12CDE671"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000E40DD" w14:textId="77777777" w:rsidR="00163A5F" w:rsidRPr="00932EC5" w:rsidRDefault="00A43C34">
      <w:pPr>
        <w:pBdr>
          <w:top w:val="nil"/>
          <w:left w:val="nil"/>
          <w:bottom w:val="nil"/>
          <w:right w:val="nil"/>
          <w:between w:val="nil"/>
        </w:pBdr>
        <w:spacing w:before="240" w:after="240"/>
        <w:ind w:left="567"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 xml:space="preserve">Actos consentidos tácitamente. Improcedencia de su análisis. </w:t>
      </w:r>
      <w:r w:rsidRPr="00932EC5">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DDB2086"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A7B7E0A" w14:textId="77777777" w:rsidR="00163A5F" w:rsidRPr="00932EC5" w:rsidRDefault="00A43C34">
      <w:pPr>
        <w:tabs>
          <w:tab w:val="left" w:pos="851"/>
          <w:tab w:val="left" w:pos="1276"/>
        </w:tabs>
        <w:spacing w:before="240" w:after="240"/>
        <w:ind w:left="567" w:right="70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i/>
          <w:smallCaps/>
          <w:sz w:val="22"/>
          <w:szCs w:val="22"/>
        </w:rPr>
        <w:t xml:space="preserve">“ACTOS CONSENTIDOS. SON LOS QUE NO SE IMPUGNAN MEDIANTE EL RECURSO IDÓNEO. </w:t>
      </w:r>
      <w:r w:rsidRPr="00932EC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E9F0015"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sz w:val="22"/>
          <w:szCs w:val="22"/>
          <w:u w:val="single"/>
        </w:rPr>
      </w:pPr>
      <w:r w:rsidRPr="00932EC5">
        <w:rPr>
          <w:rFonts w:ascii="Palatino Linotype" w:eastAsia="Palatino Linotype" w:hAnsi="Palatino Linotype" w:cs="Palatino Linotype"/>
          <w:sz w:val="22"/>
          <w:szCs w:val="22"/>
        </w:rPr>
        <w:t xml:space="preserve">Dicho lo anterior, en el presente asunto únicamente procederá el estudio de la falta de entrega de: </w:t>
      </w:r>
      <w:r w:rsidRPr="00932EC5">
        <w:rPr>
          <w:rFonts w:ascii="Palatino Linotype" w:eastAsia="Palatino Linotype" w:hAnsi="Palatino Linotype" w:cs="Palatino Linotype"/>
          <w:b/>
          <w:sz w:val="22"/>
          <w:szCs w:val="22"/>
          <w:u w:val="single"/>
        </w:rPr>
        <w:t>los recibos de nómina quincenales y de cualquier percepción que recibió la persona señalada en la solicitud durante todo el tiempo que laboró en la Secretaría, y su nombramiento del cargo que ocupó.</w:t>
      </w:r>
    </w:p>
    <w:p w14:paraId="04D2CCD2"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Una vez establecido lo anterior, con relación a los recibos de nómina quincenales y de cualquier percepción que recibió la persona referida en la solicitud, durante todo el tiempo que laboró en la Secretaría, es de recordar que la Coordinación Admirativa refirió que no cuenta con registros o guarda información impresa o digital de los archivos, comprobantes o recibos, ya que la información es consultada únicamente por el servidor público interesado y se encuentra en el portal de gestión interna G2G, al que sólo se tiene acceso mediante contraseña única y personal que es asignada a cada servidor público, y solo los servidores públicos pueden tener acceso a su información y documentos personales; y, en tal virtud proporciona el procedimiento para accesar al portal de gestión interna de mérito.</w:t>
      </w:r>
    </w:p>
    <w:p w14:paraId="260847B1"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esta tesitura, debido a que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es una dependencia adscrita al sector central del Poder Ejecutivo del Estado, es oportuno hacer las siguientes precisiones:</w:t>
      </w:r>
    </w:p>
    <w:p w14:paraId="26B31C02"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Como parte de la reestructuración de las dependencias del Poder Ejecutivo del Estado, que estableció el Decreto número 182 publicado en el Periódico Oficial “Gaceta del  Gobierno” del Estado de México, el once de septiembre de dos mil veintitrés, por medio del cual se expidió la Ley Orgánica de la Administración Pública del Estado de México vigente, se determinó la creación de la Oficialía Mayor, para atender los temas administrativos a cargo de la Secretaría de Finanzas, con la finalidad de permitir, a través de una dependencia especializada, una mejor aplicación de los recursos fiscales, que le dé prioridad al manejo de los recursos humanos, materiales y técnicos que fortalezcan el desempeño de todas las áreas del Poder Ejecutivo, por consiguiente, las áreas existentes en la Secretaría de Finanzas que tenían a su cargo los temas administrativos, se integraron a la Oficialía Mayor.</w:t>
      </w:r>
    </w:p>
    <w:p w14:paraId="40462FE0"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tal sentido, mediante el Acuerdo por el que se transfieren los recursos de la Subsecretaría de Administración de la Secretaría de Finanzas a la Oficialía Mayor, publicado en el Periódico Oficial “Gaceta del Gobierno” del Estado de México, el veintisiete de septiembre de dos mil veintitrés, se transfirieron </w:t>
      </w:r>
      <w:r w:rsidRPr="00932EC5">
        <w:rPr>
          <w:rFonts w:ascii="Palatino Linotype" w:eastAsia="Palatino Linotype" w:hAnsi="Palatino Linotype" w:cs="Palatino Linotype"/>
          <w:b/>
          <w:sz w:val="22"/>
          <w:szCs w:val="22"/>
        </w:rPr>
        <w:t xml:space="preserve">los recursos  humanos, materiales, presupuestales y </w:t>
      </w:r>
      <w:r w:rsidRPr="00932EC5">
        <w:rPr>
          <w:rFonts w:ascii="Palatino Linotype" w:eastAsia="Palatino Linotype" w:hAnsi="Palatino Linotype" w:cs="Palatino Linotype"/>
          <w:b/>
          <w:sz w:val="22"/>
          <w:szCs w:val="22"/>
        </w:rPr>
        <w:lastRenderedPageBreak/>
        <w:t xml:space="preserve">financieros de la Subsecretaría de Administración de la Secretaría de Finanzas, a la Oficialía Mayor,  </w:t>
      </w:r>
      <w:r w:rsidRPr="00932EC5">
        <w:rPr>
          <w:rFonts w:ascii="Palatino Linotype" w:eastAsia="Palatino Linotype" w:hAnsi="Palatino Linotype" w:cs="Palatino Linotype"/>
          <w:b/>
          <w:sz w:val="22"/>
          <w:szCs w:val="22"/>
          <w:u w:val="single"/>
        </w:rPr>
        <w:t>con excepción de los relativos a la Dirección General del Sistema Estatal de Informática</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sz w:val="22"/>
          <w:szCs w:val="22"/>
        </w:rPr>
        <w:t>la cual continuaría adscrita a la Secretaría de Finanzas; en consecuencia, las referencias realizadas en disposiciones jurídicas, legales, reglamentarias, administrativas, y en cualquier tipo de documentación a la Subsecretaría de Administración o a la Secretaría de Finanzas en materia de planeación, organización, normatividad y dirección de la administración y desarrollo de los recursos humanos, materiales y servicios para el apoyo administrativo y tecnológico que requieran las dependencias del Poder Ejecutivo del Estado, con excepción de las que correspondan a la Dirección General del Sistema Estatal de Informática, se entenderán hechas a la Oficialía Mayor, de conformidad con los artículos Segundo y Tercero del Acuerdo:</w:t>
      </w:r>
    </w:p>
    <w:p w14:paraId="5FA77239"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SEGUNDO</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 xml:space="preserve">Los recursos humanos, materiales, presupuestales y financieros de la </w:t>
      </w:r>
      <w:r w:rsidRPr="00932EC5">
        <w:rPr>
          <w:rFonts w:ascii="Palatino Linotype" w:eastAsia="Palatino Linotype" w:hAnsi="Palatino Linotype" w:cs="Palatino Linotype"/>
          <w:b/>
          <w:i/>
          <w:sz w:val="22"/>
          <w:szCs w:val="22"/>
          <w:u w:val="single"/>
        </w:rPr>
        <w:t>Subsecretaría de Administración de la Secretaría de Finanzas</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u w:val="single"/>
        </w:rPr>
        <w:t>con excepción de los relativos a la Dirección General del Sistema Estatal de Informática, que continuará adscrita a la Secretaría de Finanzas</w:t>
      </w:r>
      <w:r w:rsidRPr="00932EC5">
        <w:rPr>
          <w:rFonts w:ascii="Palatino Linotype" w:eastAsia="Palatino Linotype" w:hAnsi="Palatino Linotype" w:cs="Palatino Linotype"/>
          <w:b/>
          <w:i/>
          <w:sz w:val="22"/>
          <w:szCs w:val="22"/>
        </w:rPr>
        <w:t xml:space="preserve">, serán transferidos </w:t>
      </w:r>
      <w:r w:rsidRPr="00932EC5">
        <w:rPr>
          <w:rFonts w:ascii="Palatino Linotype" w:eastAsia="Palatino Linotype" w:hAnsi="Palatino Linotype" w:cs="Palatino Linotype"/>
          <w:i/>
          <w:sz w:val="22"/>
          <w:szCs w:val="22"/>
        </w:rPr>
        <w:t xml:space="preserve">a partir de la entrada en vigor del presente Acuerdo </w:t>
      </w:r>
      <w:r w:rsidRPr="00932EC5">
        <w:rPr>
          <w:rFonts w:ascii="Palatino Linotype" w:eastAsia="Palatino Linotype" w:hAnsi="Palatino Linotype" w:cs="Palatino Linotype"/>
          <w:b/>
          <w:i/>
          <w:sz w:val="22"/>
          <w:szCs w:val="22"/>
        </w:rPr>
        <w:t xml:space="preserve">a la Oficialía Mayor. </w:t>
      </w:r>
      <w:r w:rsidRPr="00932EC5">
        <w:rPr>
          <w:rFonts w:ascii="Palatino Linotype" w:eastAsia="Palatino Linotype" w:hAnsi="Palatino Linotype" w:cs="Palatino Linotype"/>
          <w:i/>
          <w:sz w:val="22"/>
          <w:szCs w:val="22"/>
        </w:rPr>
        <w:t>La Secretaría de Finanzas deberá llevar a cabo las acciones necesarias que permitan a la Oficialía Mayor ejercer sus atribuciones y cumplir con sus obligaciones relativas al pago de las prestaciones económicas de los recursos humanos, materiales y financieros, así como las derivadas de los contratos de arrendamiento de bienes muebles e inmuebles, de ejecución de obra pública y los correspondientes a la adquisición de los bienes y servicios.</w:t>
      </w:r>
    </w:p>
    <w:p w14:paraId="35D5EA58"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TERCERO</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 xml:space="preserve">Las referencias realizadas en disposiciones jurídicas, legales, reglamentarias, administrativas, y en cualquier tipo de documentación a la Subsecretaría de Administración o a la Secretaría de Finanzas en materia de planeación, organización, normatividad y dirección de la administración y desarrollo de los recursos humanos, materiales y servicios para el apoyo administrativo y tecnológico </w:t>
      </w:r>
      <w:r w:rsidRPr="00932EC5">
        <w:rPr>
          <w:rFonts w:ascii="Palatino Linotype" w:eastAsia="Palatino Linotype" w:hAnsi="Palatino Linotype" w:cs="Palatino Linotype"/>
          <w:i/>
          <w:sz w:val="22"/>
          <w:szCs w:val="22"/>
        </w:rPr>
        <w:t xml:space="preserve">que requieran las dependencias del Poder Ejecutivo del Estado, con excepción de las que correspondan a la Dirección General del Sistema Estatal de Informática, </w:t>
      </w:r>
      <w:r w:rsidRPr="00932EC5">
        <w:rPr>
          <w:rFonts w:ascii="Palatino Linotype" w:eastAsia="Palatino Linotype" w:hAnsi="Palatino Linotype" w:cs="Palatino Linotype"/>
          <w:b/>
          <w:i/>
          <w:sz w:val="22"/>
          <w:szCs w:val="22"/>
        </w:rPr>
        <w:t>se entenderán hechas a la Oficialía Mayor.”</w:t>
      </w:r>
    </w:p>
    <w:p w14:paraId="6A8C128D" w14:textId="77777777" w:rsidR="00163A5F" w:rsidRPr="00932EC5" w:rsidRDefault="00A43C34">
      <w:pPr>
        <w:tabs>
          <w:tab w:val="left" w:pos="2820"/>
        </w:tabs>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xml:space="preserve">Posteriormente, mediante el Acuerdo por el que se transfieren los recursos de la Dirección General del Sistema Estatal de Informática a la Agencia Digital del Estado de México, publicado en el Periódico Oficial “Gaceta del Gobierno” del Estado de México, el veinticinco de abril de dos mil veinticuatro, se determinó que </w:t>
      </w:r>
      <w:r w:rsidRPr="00932EC5">
        <w:rPr>
          <w:rFonts w:ascii="Palatino Linotype" w:eastAsia="Palatino Linotype" w:hAnsi="Palatino Linotype" w:cs="Palatino Linotype"/>
          <w:b/>
          <w:sz w:val="22"/>
          <w:szCs w:val="22"/>
        </w:rPr>
        <w:t xml:space="preserve">los recursos humanos, materiales, presupuestales y financieros de la </w:t>
      </w:r>
      <w:r w:rsidRPr="00932EC5">
        <w:rPr>
          <w:rFonts w:ascii="Palatino Linotype" w:eastAsia="Palatino Linotype" w:hAnsi="Palatino Linotype" w:cs="Palatino Linotype"/>
          <w:b/>
          <w:sz w:val="22"/>
          <w:szCs w:val="22"/>
          <w:u w:val="single"/>
        </w:rPr>
        <w:t>Dirección General del Sistema Estatal de Informática</w:t>
      </w:r>
      <w:r w:rsidRPr="00932EC5">
        <w:rPr>
          <w:rFonts w:ascii="Palatino Linotype" w:eastAsia="Palatino Linotype" w:hAnsi="Palatino Linotype" w:cs="Palatino Linotype"/>
          <w:b/>
          <w:sz w:val="22"/>
          <w:szCs w:val="22"/>
        </w:rPr>
        <w:t>,</w:t>
      </w:r>
      <w:r w:rsidRPr="00932EC5">
        <w:rPr>
          <w:rFonts w:ascii="Palatino Linotype" w:eastAsia="Palatino Linotype" w:hAnsi="Palatino Linotype" w:cs="Palatino Linotype"/>
          <w:sz w:val="22"/>
          <w:szCs w:val="22"/>
        </w:rPr>
        <w:t xml:space="preserve"> incluyendo los que corresponden a la Dirección de Gobierno Digital, la Dirección de Ingeniería de la Información, la Dirección de Infraestructura Tecnológica y Comunicaciones, la Dirección de Normatividad de Tecnologías de la Información y Comunicación, y su Delegación Administrativa, así como sus unidades administrativas dependientes, </w:t>
      </w:r>
      <w:r w:rsidRPr="00932EC5">
        <w:rPr>
          <w:rFonts w:ascii="Palatino Linotype" w:eastAsia="Palatino Linotype" w:hAnsi="Palatino Linotype" w:cs="Palatino Linotype"/>
          <w:b/>
          <w:sz w:val="22"/>
          <w:szCs w:val="22"/>
        </w:rPr>
        <w:t xml:space="preserve">serán transferidos a la Agencia Digital del Estado de México, </w:t>
      </w:r>
      <w:r w:rsidRPr="00932EC5">
        <w:rPr>
          <w:rFonts w:ascii="Palatino Linotype" w:eastAsia="Palatino Linotype" w:hAnsi="Palatino Linotype" w:cs="Palatino Linotype"/>
          <w:b/>
          <w:sz w:val="22"/>
          <w:szCs w:val="22"/>
          <w:u w:val="single"/>
        </w:rPr>
        <w:t>con excepción de la Subdirección de Soporte de Nómina y el Departamento de Bases de Datos de Nómina, que se transfirieron a la Oficialía Mayor</w:t>
      </w:r>
      <w:r w:rsidRPr="00932EC5">
        <w:rPr>
          <w:rFonts w:ascii="Palatino Linotype" w:eastAsia="Palatino Linotype" w:hAnsi="Palatino Linotype" w:cs="Palatino Linotype"/>
          <w:b/>
          <w:sz w:val="22"/>
          <w:szCs w:val="22"/>
        </w:rPr>
        <w:t xml:space="preserve">, </w:t>
      </w:r>
      <w:r w:rsidRPr="00932EC5">
        <w:rPr>
          <w:rFonts w:ascii="Palatino Linotype" w:eastAsia="Palatino Linotype" w:hAnsi="Palatino Linotype" w:cs="Palatino Linotype"/>
          <w:sz w:val="22"/>
          <w:szCs w:val="22"/>
        </w:rPr>
        <w:t xml:space="preserve">asimismo, las referencias realizadas en disposiciones jurídicas, legales, reglamentarias, administrativas, y en cualquier tipo de documentación a la Dirección General del Sistema Estatal de Informática o a la Secretaría de Finanzas exclusivamente como unidad jerárquica superior de la dicha Dirección, incluidas las relativas a recursos y servicios en materia tecnológica e informática, se entenderán hechas a la Agencia Digital del Estado de México, </w:t>
      </w:r>
      <w:r w:rsidRPr="00932EC5">
        <w:rPr>
          <w:rFonts w:ascii="Palatino Linotype" w:eastAsia="Palatino Linotype" w:hAnsi="Palatino Linotype" w:cs="Palatino Linotype"/>
          <w:b/>
          <w:sz w:val="22"/>
          <w:szCs w:val="22"/>
        </w:rPr>
        <w:t xml:space="preserve">con excepción de las relativas a la Subdirección de Soporte de Nómina y el Departamento de Bases de Datos de Nómina, las cuales </w:t>
      </w:r>
      <w:r w:rsidRPr="00932EC5">
        <w:rPr>
          <w:rFonts w:ascii="Palatino Linotype" w:eastAsia="Palatino Linotype" w:hAnsi="Palatino Linotype" w:cs="Palatino Linotype"/>
          <w:b/>
          <w:sz w:val="22"/>
          <w:szCs w:val="22"/>
          <w:u w:val="single"/>
        </w:rPr>
        <w:t>se entenderán hechas a la Oficialía Mayor,</w:t>
      </w:r>
      <w:r w:rsidRPr="00932EC5">
        <w:rPr>
          <w:rFonts w:ascii="Palatino Linotype" w:eastAsia="Palatino Linotype" w:hAnsi="Palatino Linotype" w:cs="Palatino Linotype"/>
          <w:sz w:val="22"/>
          <w:szCs w:val="22"/>
        </w:rPr>
        <w:t xml:space="preserve"> según se lee en los artículos Segundo, párrafos primero y segundo, y Tercero párrafo primero del Acuerdo:</w:t>
      </w:r>
    </w:p>
    <w:p w14:paraId="1AB08A3C" w14:textId="77777777" w:rsidR="00163A5F" w:rsidRPr="00932EC5" w:rsidRDefault="00A43C34">
      <w:pPr>
        <w:tabs>
          <w:tab w:val="left" w:pos="2820"/>
        </w:tabs>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ARTÍCULO SEGUNDO</w:t>
      </w:r>
      <w:r w:rsidRPr="00932EC5">
        <w:rPr>
          <w:rFonts w:ascii="Palatino Linotype" w:eastAsia="Palatino Linotype" w:hAnsi="Palatino Linotype" w:cs="Palatino Linotype"/>
          <w:i/>
          <w:sz w:val="22"/>
          <w:szCs w:val="22"/>
        </w:rPr>
        <w:t xml:space="preserve">. Los recursos humanos, materiales, presupuestales y financieros de la Dirección General del Sistema Estatal de Informática, incluyendo los que corresponden a la Dirección de Gobierno Digital, la Dirección de Ingeniería de la Información, la Dirección de Infraestructura Tecnológica y Comunicaciones, la Dirección de Normatividad de Tecnologías de la Información y Comunicación, y su Delegación Administrativa, así como sus unidades administrativas dependientes, con excepción de la Subdirección de Soporte de Nómina y el Departamento de Bases de Datos de Nómina, serán transferidos a la Agencia Digital del Estado de México. </w:t>
      </w:r>
    </w:p>
    <w:p w14:paraId="01B3DF91" w14:textId="77777777" w:rsidR="00163A5F" w:rsidRPr="00932EC5" w:rsidRDefault="00A43C34">
      <w:pPr>
        <w:tabs>
          <w:tab w:val="left" w:pos="2820"/>
        </w:tabs>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u w:val="single"/>
        </w:rPr>
        <w:lastRenderedPageBreak/>
        <w:t>La Subdirección de Soporte de Nómina y el Departamento de Bases de Datos de Nómina, incluyendo sus recursos humanos, materiales, presupuestales y financieros de serán transferidos a la Oficialía Mayor</w:t>
      </w:r>
      <w:r w:rsidRPr="00932EC5">
        <w:rPr>
          <w:rFonts w:ascii="Palatino Linotype" w:eastAsia="Palatino Linotype" w:hAnsi="Palatino Linotype" w:cs="Palatino Linotype"/>
          <w:i/>
          <w:sz w:val="22"/>
          <w:szCs w:val="22"/>
        </w:rPr>
        <w:t xml:space="preserve">. </w:t>
      </w:r>
    </w:p>
    <w:p w14:paraId="6C9460E4" w14:textId="77777777" w:rsidR="00163A5F" w:rsidRPr="00932EC5" w:rsidRDefault="00A43C34">
      <w:pPr>
        <w:tabs>
          <w:tab w:val="left" w:pos="2820"/>
        </w:tabs>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1355F2E9" w14:textId="77777777" w:rsidR="00163A5F" w:rsidRPr="00932EC5" w:rsidRDefault="00A43C34">
      <w:pPr>
        <w:tabs>
          <w:tab w:val="left" w:pos="2820"/>
        </w:tabs>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TERCERO. Las referencias realizadas en disposiciones jurídicas, legales, reglamentarias, administrativas, y en cualquier tipo de documentación</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a la Dirección General del Sistema Estatal de Informática o a la Secretaría de Finanzas</w:t>
      </w:r>
      <w:r w:rsidRPr="00932EC5">
        <w:rPr>
          <w:rFonts w:ascii="Palatino Linotype" w:eastAsia="Palatino Linotype" w:hAnsi="Palatino Linotype" w:cs="Palatino Linotype"/>
          <w:i/>
          <w:sz w:val="22"/>
          <w:szCs w:val="22"/>
        </w:rPr>
        <w:t xml:space="preserve"> exclusivamente como unidad jerárquica superior de la dicha Dirección, incluidas las relativas a recursos y servicios en materia tecnológica e informática, </w:t>
      </w:r>
      <w:r w:rsidRPr="00932EC5">
        <w:rPr>
          <w:rFonts w:ascii="Palatino Linotype" w:eastAsia="Palatino Linotype" w:hAnsi="Palatino Linotype" w:cs="Palatino Linotype"/>
          <w:b/>
          <w:i/>
          <w:sz w:val="22"/>
          <w:szCs w:val="22"/>
        </w:rPr>
        <w:t xml:space="preserve">se entenderán hechas a la Agencia Digital </w:t>
      </w:r>
      <w:r w:rsidRPr="00932EC5">
        <w:rPr>
          <w:rFonts w:ascii="Palatino Linotype" w:eastAsia="Palatino Linotype" w:hAnsi="Palatino Linotype" w:cs="Palatino Linotype"/>
          <w:i/>
          <w:sz w:val="22"/>
          <w:szCs w:val="22"/>
        </w:rPr>
        <w:t xml:space="preserve">del Estado de México, </w:t>
      </w:r>
      <w:r w:rsidRPr="00932EC5">
        <w:rPr>
          <w:rFonts w:ascii="Palatino Linotype" w:eastAsia="Palatino Linotype" w:hAnsi="Palatino Linotype" w:cs="Palatino Linotype"/>
          <w:b/>
          <w:i/>
          <w:sz w:val="22"/>
          <w:szCs w:val="22"/>
          <w:u w:val="single"/>
        </w:rPr>
        <w:t>con excepción de las relativas a la Subdirección de Soporte de Nómina y el Departamento de Bases de Datos de Nómina, las cuales se entenderán hechas a la Oficialía Mayor</w:t>
      </w:r>
      <w:r w:rsidRPr="00932EC5">
        <w:rPr>
          <w:rFonts w:ascii="Palatino Linotype" w:eastAsia="Palatino Linotype" w:hAnsi="Palatino Linotype" w:cs="Palatino Linotype"/>
          <w:i/>
          <w:sz w:val="22"/>
          <w:szCs w:val="22"/>
        </w:rPr>
        <w:t>…”</w:t>
      </w:r>
    </w:p>
    <w:p w14:paraId="63548439" w14:textId="77777777" w:rsidR="00163A5F" w:rsidRPr="00932EC5" w:rsidRDefault="00A43C34">
      <w:pPr>
        <w:tabs>
          <w:tab w:val="left" w:pos="2820"/>
          <w:tab w:val="left" w:pos="8647"/>
        </w:tabs>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Con base en lo anterior, tomando como referencia el Manual General de Organización de la Secretaría de Finanzas, se precisa que la Coordinación de Servicios Auxiliares a Contingencias y Emergencias, la Dirección General de Personal, la Dirección General de Recursos Materiales, y la Dirección General de Innovación, así como la Subdirección de Soporte de Nómina y el Departamento de Bases de Datos de Nómina, dependiente de esta última, que anteriormente formaban parte de la estructura orgánica de la Subsecretaría de Administración de la Secretaria de Fianzas, fueron transferidas a la Oficialía Mayor, derivado de los acuerdos a los que se ha hecho alusión.</w:t>
      </w:r>
    </w:p>
    <w:p w14:paraId="3C6165A9" w14:textId="77777777" w:rsidR="00163A5F" w:rsidRPr="00932EC5" w:rsidRDefault="00A43C34">
      <w:pPr>
        <w:tabs>
          <w:tab w:val="left" w:pos="2820"/>
          <w:tab w:val="left" w:pos="8647"/>
        </w:tabs>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En este orden de ideas, respecto al tema que nos interesa, es oportuno referir que la Dirección General de Personal, de conformidad con el artículo 10 del Reglamento Interior de la Oficialía Mayor, tiene a su cargo las siguientes atribuciones en su parte conducente:</w:t>
      </w:r>
    </w:p>
    <w:p w14:paraId="7F85CDE5" w14:textId="77777777" w:rsidR="00163A5F" w:rsidRPr="00932EC5" w:rsidRDefault="00A43C34">
      <w:pPr>
        <w:tabs>
          <w:tab w:val="left" w:pos="2820"/>
          <w:tab w:val="left" w:pos="8647"/>
        </w:tabs>
        <w:spacing w:before="240" w:after="240"/>
        <w:ind w:left="284"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Proponer, desarrollar y coordinar, con la Secretaría de Finanzas, la operación y el control del Sistema Integral de Movimientos al Personal, así como las tecnologías de la información y comunicación que se requieran para el correcto desarrollo de sus funciones;</w:t>
      </w:r>
    </w:p>
    <w:p w14:paraId="4B38D1A9" w14:textId="77777777" w:rsidR="00163A5F" w:rsidRPr="00932EC5" w:rsidRDefault="00A43C34">
      <w:pPr>
        <w:tabs>
          <w:tab w:val="left" w:pos="2820"/>
          <w:tab w:val="left" w:pos="8647"/>
        </w:tabs>
        <w:spacing w:before="240" w:after="240"/>
        <w:ind w:left="284"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Aplicar las disposiciones legales y normativas en materia de desarrollo y administración de personal para las personas servidoras públicas del sector central del Poder Ejecutivo;</w:t>
      </w:r>
    </w:p>
    <w:p w14:paraId="5DD029D1" w14:textId="77777777" w:rsidR="00163A5F" w:rsidRPr="00932EC5" w:rsidRDefault="00A43C34">
      <w:pPr>
        <w:tabs>
          <w:tab w:val="left" w:pos="2820"/>
          <w:tab w:val="left" w:pos="8647"/>
        </w:tabs>
        <w:spacing w:before="240" w:after="240"/>
        <w:ind w:left="284"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Proponer a la persona titular de la Oficialía Mayor los lineamientos que en materia de personal deben observar las dependencias y los organismos auxiliares del Poder Ejecutivo del Gobierno del Estado de México;</w:t>
      </w:r>
    </w:p>
    <w:p w14:paraId="15E12692" w14:textId="77777777" w:rsidR="00163A5F" w:rsidRPr="00932EC5" w:rsidRDefault="00A43C34">
      <w:pPr>
        <w:tabs>
          <w:tab w:val="left" w:pos="2820"/>
          <w:tab w:val="left" w:pos="8647"/>
        </w:tabs>
        <w:spacing w:before="240" w:after="240"/>
        <w:ind w:left="284"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Aplicar las disposiciones que norman la remuneración y prestaciones que deban otorgarse a las personas servidoras públicas del Poder Ejecutivo del Gobierno del Estado, en concordancia con las estructuras orgánico-funcionales y los catálogos de puestos aprobados;</w:t>
      </w:r>
    </w:p>
    <w:p w14:paraId="79917B3D" w14:textId="77777777" w:rsidR="00163A5F" w:rsidRPr="00932EC5" w:rsidRDefault="00A43C34">
      <w:pPr>
        <w:tabs>
          <w:tab w:val="left" w:pos="2820"/>
          <w:tab w:val="left" w:pos="8647"/>
        </w:tabs>
        <w:spacing w:before="240" w:after="240"/>
        <w:ind w:left="284"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Coordinar acciones con la Dirección General de Recaudación de la Secretaría de Finanzas para que, en forma oportuna, se entreguen los documentos de percepciones a las personas servidoras públicas del Poder Ejecutivo del Estado, cuando esta dirección actúe como centro de pago;</w:t>
      </w:r>
    </w:p>
    <w:p w14:paraId="5D31C8F2" w14:textId="77777777" w:rsidR="00A43C34" w:rsidRPr="00932EC5" w:rsidRDefault="00A43C34" w:rsidP="00A43C34">
      <w:pPr>
        <w:tabs>
          <w:tab w:val="left" w:pos="8647"/>
        </w:tabs>
        <w:spacing w:line="360" w:lineRule="auto"/>
        <w:ind w:right="49"/>
        <w:jc w:val="both"/>
        <w:rPr>
          <w:rFonts w:ascii="Palatino Linotype" w:hAnsi="Palatino Linotype" w:cs="Arial"/>
          <w:sz w:val="22"/>
          <w:szCs w:val="22"/>
        </w:rPr>
      </w:pPr>
      <w:r w:rsidRPr="00932EC5">
        <w:rPr>
          <w:rFonts w:ascii="Palatino Linotype" w:eastAsia="Palatino Linotype" w:hAnsi="Palatino Linotype" w:cs="Palatino Linotype"/>
          <w:sz w:val="22"/>
          <w:szCs w:val="22"/>
        </w:rPr>
        <w:t xml:space="preserve">Por su parte, el Manual General de Organización de la Oficialía Mayor, establece que la Dirección General de Personal, a través de la </w:t>
      </w:r>
      <w:r w:rsidRPr="00932EC5">
        <w:rPr>
          <w:rFonts w:ascii="Palatino Linotype" w:hAnsi="Palatino Linotype" w:cs="Arial"/>
          <w:sz w:val="22"/>
          <w:szCs w:val="22"/>
        </w:rPr>
        <w:t>Dirección de Remuneraciones al Personal, cuyo objetivo consiste en coordinar la sistematización y actualización de la información relativa a la situación laboral de las personas servidoras públicas de las dependencias y órganos administrativos desconcentrados del Poder Ejecutivo del Estado, a través del Sistema de Nómina del Sector Central del Poder Ejecutivo, y entregarles las percepciones a que tienen derecho por la prestación de sus servicios, tiene las siguientes atribuciones en su parte conducente:</w:t>
      </w:r>
    </w:p>
    <w:p w14:paraId="59F6DA6F" w14:textId="77777777" w:rsidR="00A43C34" w:rsidRPr="00932EC5" w:rsidRDefault="00A43C34" w:rsidP="00A43C34">
      <w:pPr>
        <w:tabs>
          <w:tab w:val="left" w:pos="8647"/>
        </w:tabs>
        <w:spacing w:before="240" w:after="240"/>
        <w:ind w:left="284" w:right="49"/>
        <w:jc w:val="both"/>
        <w:rPr>
          <w:rFonts w:ascii="Palatino Linotype" w:hAnsi="Palatino Linotype"/>
          <w:sz w:val="22"/>
          <w:szCs w:val="22"/>
        </w:rPr>
      </w:pPr>
      <w:r w:rsidRPr="00932EC5">
        <w:rPr>
          <w:rFonts w:ascii="Palatino Linotype" w:hAnsi="Palatino Linotype"/>
          <w:sz w:val="22"/>
          <w:szCs w:val="22"/>
        </w:rPr>
        <w:t xml:space="preserve">− Coordinar con la </w:t>
      </w:r>
      <w:r w:rsidRPr="00932EC5">
        <w:rPr>
          <w:rFonts w:ascii="Palatino Linotype" w:hAnsi="Palatino Linotype"/>
          <w:b/>
          <w:sz w:val="22"/>
          <w:szCs w:val="22"/>
        </w:rPr>
        <w:t>Subdirección de Soporte de Nómina</w:t>
      </w:r>
      <w:r w:rsidRPr="00932EC5">
        <w:rPr>
          <w:rFonts w:ascii="Palatino Linotype" w:hAnsi="Palatino Linotype"/>
          <w:sz w:val="22"/>
          <w:szCs w:val="22"/>
        </w:rPr>
        <w:t xml:space="preserve"> </w:t>
      </w:r>
      <w:r w:rsidRPr="00932EC5">
        <w:rPr>
          <w:rFonts w:ascii="Palatino Linotype" w:hAnsi="Palatino Linotype"/>
          <w:b/>
          <w:sz w:val="22"/>
          <w:szCs w:val="22"/>
        </w:rPr>
        <w:t>la operación del Sistema de Nómina del Sector Central del Poder Ejecutivo</w:t>
      </w:r>
      <w:r w:rsidRPr="00932EC5">
        <w:rPr>
          <w:rFonts w:ascii="Palatino Linotype" w:hAnsi="Palatino Linotype"/>
          <w:sz w:val="22"/>
          <w:szCs w:val="22"/>
        </w:rPr>
        <w:t>.</w:t>
      </w:r>
    </w:p>
    <w:p w14:paraId="6E26AB17" w14:textId="77777777" w:rsidR="00A43C34" w:rsidRPr="00932EC5" w:rsidRDefault="00A43C34" w:rsidP="00A43C34">
      <w:pPr>
        <w:tabs>
          <w:tab w:val="left" w:pos="8647"/>
        </w:tabs>
        <w:spacing w:before="240" w:after="240"/>
        <w:ind w:left="284" w:right="49"/>
        <w:jc w:val="both"/>
        <w:rPr>
          <w:rFonts w:ascii="Palatino Linotype" w:hAnsi="Palatino Linotype"/>
          <w:sz w:val="22"/>
          <w:szCs w:val="22"/>
        </w:rPr>
      </w:pPr>
      <w:r w:rsidRPr="00932EC5">
        <w:rPr>
          <w:rFonts w:ascii="Palatino Linotype" w:hAnsi="Palatino Linotype"/>
          <w:b/>
          <w:sz w:val="22"/>
          <w:szCs w:val="22"/>
        </w:rPr>
        <w:t xml:space="preserve">- </w:t>
      </w:r>
      <w:r w:rsidRPr="00932EC5">
        <w:rPr>
          <w:rFonts w:ascii="Palatino Linotype" w:hAnsi="Palatino Linotype"/>
          <w:b/>
          <w:sz w:val="22"/>
          <w:szCs w:val="22"/>
          <w:u w:val="single"/>
        </w:rPr>
        <w:t>Proporcionar a las coordinaciones administrativas o equivalentes</w:t>
      </w:r>
      <w:r w:rsidRPr="00932EC5">
        <w:rPr>
          <w:rFonts w:ascii="Palatino Linotype" w:hAnsi="Palatino Linotype"/>
          <w:sz w:val="22"/>
          <w:szCs w:val="22"/>
        </w:rPr>
        <w:t xml:space="preserve"> de las dependencias y órganos administrativos desconcentrados del Poder Ejecutivo Estatal, </w:t>
      </w:r>
      <w:r w:rsidRPr="00932EC5">
        <w:rPr>
          <w:rFonts w:ascii="Palatino Linotype" w:hAnsi="Palatino Linotype"/>
          <w:b/>
          <w:sz w:val="22"/>
          <w:szCs w:val="22"/>
        </w:rPr>
        <w:t>la información de las personas servidoras públicas bajo su adscripción</w:t>
      </w:r>
      <w:r w:rsidRPr="00932EC5">
        <w:rPr>
          <w:rFonts w:ascii="Palatino Linotype" w:hAnsi="Palatino Linotype"/>
          <w:sz w:val="22"/>
          <w:szCs w:val="22"/>
        </w:rPr>
        <w:t xml:space="preserve">, </w:t>
      </w:r>
      <w:r w:rsidRPr="00932EC5">
        <w:rPr>
          <w:rFonts w:ascii="Palatino Linotype" w:hAnsi="Palatino Linotype"/>
          <w:b/>
          <w:sz w:val="22"/>
          <w:szCs w:val="22"/>
        </w:rPr>
        <w:t xml:space="preserve">para la revisión del pago quincenal, </w:t>
      </w:r>
      <w:r w:rsidRPr="00932EC5">
        <w:rPr>
          <w:rFonts w:ascii="Palatino Linotype" w:hAnsi="Palatino Linotype"/>
          <w:sz w:val="22"/>
          <w:szCs w:val="22"/>
        </w:rPr>
        <w:t xml:space="preserve">así como reportar las probables inconsistencias detectadas para su análisis y eventual regularización. </w:t>
      </w:r>
    </w:p>
    <w:p w14:paraId="5C7E783B" w14:textId="77777777" w:rsidR="00A43C34" w:rsidRPr="00932EC5" w:rsidRDefault="00A43C34" w:rsidP="00A43C34">
      <w:pPr>
        <w:tabs>
          <w:tab w:val="left" w:pos="8647"/>
        </w:tabs>
        <w:spacing w:before="240" w:after="240"/>
        <w:ind w:left="284" w:right="49"/>
        <w:jc w:val="both"/>
        <w:rPr>
          <w:rFonts w:ascii="Palatino Linotype" w:hAnsi="Palatino Linotype"/>
          <w:sz w:val="22"/>
          <w:szCs w:val="22"/>
        </w:rPr>
      </w:pPr>
      <w:r w:rsidRPr="00932EC5">
        <w:rPr>
          <w:rFonts w:ascii="Palatino Linotype" w:hAnsi="Palatino Linotype"/>
          <w:sz w:val="22"/>
          <w:szCs w:val="22"/>
        </w:rPr>
        <w:lastRenderedPageBreak/>
        <w:t>− Instrumentar, en coordinación con la Dirección General de Recaudación de la Secretaría de Finanzas y con las coordinaciones y delegaciones administrativas o equivalentes, los mecanismos que conduzcan a la entrega oportuna de las percepciones a las personas servidoras públicas por la prestación de sus servicios.</w:t>
      </w:r>
    </w:p>
    <w:p w14:paraId="7AD75868" w14:textId="77777777" w:rsidR="00A43C34" w:rsidRPr="00932EC5" w:rsidRDefault="00A43C34" w:rsidP="00A43C34">
      <w:pPr>
        <w:tabs>
          <w:tab w:val="left" w:pos="8647"/>
        </w:tabs>
        <w:spacing w:before="240" w:after="240"/>
        <w:ind w:left="284" w:right="49"/>
        <w:jc w:val="both"/>
        <w:rPr>
          <w:rFonts w:ascii="Palatino Linotype" w:hAnsi="Palatino Linotype" w:cs="Arial"/>
          <w:sz w:val="22"/>
          <w:szCs w:val="22"/>
        </w:rPr>
      </w:pPr>
      <w:r w:rsidRPr="00932EC5">
        <w:rPr>
          <w:rFonts w:ascii="Palatino Linotype" w:hAnsi="Palatino Linotype"/>
          <w:sz w:val="22"/>
          <w:szCs w:val="22"/>
        </w:rPr>
        <w:t xml:space="preserve">- </w:t>
      </w:r>
      <w:r w:rsidRPr="00932EC5">
        <w:rPr>
          <w:rFonts w:ascii="Palatino Linotype" w:hAnsi="Palatino Linotype"/>
          <w:b/>
          <w:sz w:val="22"/>
          <w:szCs w:val="22"/>
        </w:rPr>
        <w:t>Validar los recibos de pago de sueldos, lista de raya</w:t>
      </w:r>
      <w:r w:rsidRPr="00932EC5">
        <w:rPr>
          <w:rFonts w:ascii="Palatino Linotype" w:hAnsi="Palatino Linotype"/>
          <w:sz w:val="22"/>
          <w:szCs w:val="22"/>
        </w:rPr>
        <w:t>, indemnización, riesgo de trabajo por enfermedad profesional y laudo arbitral, gestionados por las coordinaciones administrativas o equivalentes de las dependencias y órganos administrativos desconcentrados del Poder Ejecutivo del Estado.</w:t>
      </w:r>
    </w:p>
    <w:p w14:paraId="326779FB" w14:textId="77777777" w:rsidR="00A43C34" w:rsidRPr="00932EC5" w:rsidRDefault="00A43C34" w:rsidP="00A43C34">
      <w:pPr>
        <w:tabs>
          <w:tab w:val="left" w:pos="8647"/>
        </w:tabs>
        <w:spacing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Asimismo, la Dirección de Remuneraciones al Personal se integra de la siguiente forma:</w:t>
      </w:r>
    </w:p>
    <w:p w14:paraId="46BF50C0" w14:textId="77777777" w:rsidR="00A43C34" w:rsidRPr="00932EC5" w:rsidRDefault="00A43C34" w:rsidP="00A43C34">
      <w:pPr>
        <w:spacing w:line="360" w:lineRule="auto"/>
        <w:jc w:val="center"/>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drawing>
          <wp:inline distT="0" distB="0" distL="0" distR="0" wp14:anchorId="3149D8F0" wp14:editId="791436F7">
            <wp:extent cx="5612130" cy="253619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536190"/>
                    </a:xfrm>
                    <a:prstGeom prst="rect">
                      <a:avLst/>
                    </a:prstGeom>
                  </pic:spPr>
                </pic:pic>
              </a:graphicData>
            </a:graphic>
          </wp:inline>
        </w:drawing>
      </w:r>
    </w:p>
    <w:p w14:paraId="3489A2ED" w14:textId="77777777" w:rsidR="00A43C34" w:rsidRPr="00932EC5" w:rsidRDefault="00A43C34" w:rsidP="00A43C34">
      <w:pPr>
        <w:spacing w:line="360" w:lineRule="auto"/>
        <w:jc w:val="both"/>
        <w:rPr>
          <w:rFonts w:ascii="Palatino Linotype" w:hAnsi="Palatino Linotype"/>
          <w:sz w:val="22"/>
          <w:szCs w:val="22"/>
        </w:rPr>
      </w:pPr>
      <w:r w:rsidRPr="00932EC5">
        <w:rPr>
          <w:rFonts w:ascii="Palatino Linotype" w:hAnsi="Palatino Linotype" w:cs="Arial"/>
          <w:sz w:val="22"/>
          <w:szCs w:val="22"/>
        </w:rPr>
        <w:t xml:space="preserve">En este tenor, el </w:t>
      </w:r>
      <w:r w:rsidRPr="00932EC5">
        <w:rPr>
          <w:rFonts w:ascii="Palatino Linotype" w:eastAsia="Palatino Linotype" w:hAnsi="Palatino Linotype" w:cs="Palatino Linotype"/>
          <w:sz w:val="22"/>
          <w:szCs w:val="22"/>
        </w:rPr>
        <w:t>Manual General de Organización de la Oficialía Mayor</w:t>
      </w:r>
      <w:r w:rsidRPr="00932EC5">
        <w:rPr>
          <w:rFonts w:ascii="Palatino Linotype" w:hAnsi="Palatino Linotype" w:cs="Arial"/>
          <w:sz w:val="22"/>
          <w:szCs w:val="22"/>
        </w:rPr>
        <w:t xml:space="preserve"> dispone que la </w:t>
      </w:r>
      <w:r w:rsidRPr="00932EC5">
        <w:rPr>
          <w:rFonts w:ascii="Palatino Linotype" w:hAnsi="Palatino Linotype" w:cs="Arial"/>
          <w:b/>
          <w:sz w:val="22"/>
          <w:szCs w:val="22"/>
        </w:rPr>
        <w:t xml:space="preserve">Subdirección de Actualización de Bases de Datos </w:t>
      </w:r>
      <w:r w:rsidRPr="00932EC5">
        <w:rPr>
          <w:rFonts w:ascii="Palatino Linotype" w:hAnsi="Palatino Linotype" w:cs="Arial"/>
          <w:sz w:val="22"/>
          <w:szCs w:val="22"/>
        </w:rPr>
        <w:t>se encarga de a</w:t>
      </w:r>
      <w:r w:rsidRPr="00932EC5">
        <w:rPr>
          <w:rFonts w:ascii="Palatino Linotype" w:hAnsi="Palatino Linotype"/>
          <w:sz w:val="22"/>
          <w:szCs w:val="22"/>
        </w:rPr>
        <w:t>nalizar, actualizar y capturar la información correspondiente a los movimientos centralizados y en lote de las personas servidoras públicas, así como administrar el acceso al Sistema de Nómina del Sector Central del Poder Ejecutivo para la operación de los movimientos descentralizados a las dependencias y órganos administrativos desconcentrados del Poder Ejecutivo Estatal, para lo cual se le confieren las siguientes atribuciones en su parte conducente:</w:t>
      </w:r>
    </w:p>
    <w:p w14:paraId="1F3C3B63" w14:textId="77777777" w:rsidR="00A43C34" w:rsidRPr="00932EC5" w:rsidRDefault="00A43C34" w:rsidP="00A43C34">
      <w:pPr>
        <w:spacing w:before="240" w:after="240"/>
        <w:ind w:left="284"/>
        <w:jc w:val="both"/>
        <w:rPr>
          <w:rFonts w:ascii="Palatino Linotype" w:hAnsi="Palatino Linotype"/>
          <w:sz w:val="22"/>
          <w:szCs w:val="22"/>
        </w:rPr>
      </w:pPr>
      <w:r w:rsidRPr="00932EC5">
        <w:rPr>
          <w:rFonts w:ascii="Palatino Linotype" w:hAnsi="Palatino Linotype"/>
          <w:sz w:val="22"/>
          <w:szCs w:val="22"/>
        </w:rPr>
        <w:t xml:space="preserve">- </w:t>
      </w:r>
      <w:r w:rsidRPr="00932EC5">
        <w:rPr>
          <w:rFonts w:ascii="Palatino Linotype" w:hAnsi="Palatino Linotype"/>
          <w:b/>
          <w:sz w:val="22"/>
          <w:szCs w:val="22"/>
          <w:u w:val="single"/>
        </w:rPr>
        <w:t>Enviar las claves de acceso al Sistema de Nómina del Sector Central del Poder Ejecutivo</w:t>
      </w:r>
      <w:r w:rsidRPr="00932EC5">
        <w:rPr>
          <w:rFonts w:ascii="Palatino Linotype" w:hAnsi="Palatino Linotype"/>
          <w:sz w:val="22"/>
          <w:szCs w:val="22"/>
        </w:rPr>
        <w:t xml:space="preserve">, generadas por el </w:t>
      </w:r>
      <w:r w:rsidRPr="00932EC5">
        <w:rPr>
          <w:rFonts w:ascii="Palatino Linotype" w:hAnsi="Palatino Linotype"/>
          <w:b/>
          <w:sz w:val="22"/>
          <w:szCs w:val="22"/>
        </w:rPr>
        <w:t>Departamento de Bases de Datos de Nómina adscrito a la Subdirección de Soporte de Nómina</w:t>
      </w:r>
      <w:r w:rsidRPr="00932EC5">
        <w:rPr>
          <w:rFonts w:ascii="Palatino Linotype" w:hAnsi="Palatino Linotype"/>
          <w:sz w:val="22"/>
          <w:szCs w:val="22"/>
        </w:rPr>
        <w:t xml:space="preserve"> de la Oficialía Mayor, </w:t>
      </w:r>
      <w:r w:rsidRPr="00932EC5">
        <w:rPr>
          <w:rFonts w:ascii="Palatino Linotype" w:hAnsi="Palatino Linotype"/>
          <w:b/>
          <w:sz w:val="22"/>
          <w:szCs w:val="22"/>
        </w:rPr>
        <w:t xml:space="preserve">a las coordinaciones </w:t>
      </w:r>
      <w:r w:rsidRPr="00932EC5">
        <w:rPr>
          <w:rFonts w:ascii="Palatino Linotype" w:hAnsi="Palatino Linotype"/>
          <w:b/>
          <w:sz w:val="22"/>
          <w:szCs w:val="22"/>
        </w:rPr>
        <w:lastRenderedPageBreak/>
        <w:t>administrativas</w:t>
      </w:r>
      <w:r w:rsidRPr="00932EC5">
        <w:rPr>
          <w:rFonts w:ascii="Palatino Linotype" w:hAnsi="Palatino Linotype"/>
          <w:sz w:val="22"/>
          <w:szCs w:val="22"/>
        </w:rPr>
        <w:t xml:space="preserve"> o equivalentes </w:t>
      </w:r>
      <w:r w:rsidRPr="00932EC5">
        <w:rPr>
          <w:rFonts w:ascii="Palatino Linotype" w:hAnsi="Palatino Linotype"/>
          <w:b/>
          <w:sz w:val="22"/>
          <w:szCs w:val="22"/>
        </w:rPr>
        <w:t>para la aplicación de los movimientos e incidencias</w:t>
      </w:r>
      <w:r w:rsidRPr="00932EC5">
        <w:rPr>
          <w:rFonts w:ascii="Palatino Linotype" w:hAnsi="Palatino Linotype"/>
          <w:sz w:val="22"/>
          <w:szCs w:val="22"/>
        </w:rPr>
        <w:t xml:space="preserve"> descentralizadas que afecten las dependencias y órganos administrativos desconcentrados del Poder Ejecutivo del Estado. </w:t>
      </w:r>
    </w:p>
    <w:p w14:paraId="64BEFDE9" w14:textId="77777777" w:rsidR="00A43C34" w:rsidRPr="00932EC5" w:rsidRDefault="00A43C34" w:rsidP="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 Mantener estrecha coordinación con la </w:t>
      </w:r>
      <w:r w:rsidRPr="00932EC5">
        <w:rPr>
          <w:rFonts w:ascii="Palatino Linotype" w:hAnsi="Palatino Linotype"/>
          <w:b/>
          <w:sz w:val="22"/>
          <w:szCs w:val="22"/>
        </w:rPr>
        <w:t>Subdirección de Soporte de Nómina</w:t>
      </w:r>
      <w:r w:rsidRPr="00932EC5">
        <w:rPr>
          <w:rFonts w:ascii="Palatino Linotype" w:eastAsia="Palatino Linotype" w:hAnsi="Palatino Linotype" w:cs="Palatino Linotype"/>
          <w:sz w:val="22"/>
          <w:szCs w:val="22"/>
        </w:rPr>
        <w:t xml:space="preserve"> en la operación del Sistema de Nómina del Sector Central del Poder Ejecutivo, así como solicitarle la aplicación de los movimientos en lote que deben ser procesados.</w:t>
      </w:r>
    </w:p>
    <w:p w14:paraId="0E1FAF49" w14:textId="77777777" w:rsidR="00A43C34" w:rsidRPr="00932EC5" w:rsidRDefault="00A43C34" w:rsidP="00A43C34">
      <w:pPr>
        <w:spacing w:before="240" w:after="240"/>
        <w:ind w:left="284"/>
        <w:jc w:val="both"/>
        <w:rPr>
          <w:rFonts w:ascii="Palatino Linotype" w:eastAsia="Palatino Linotype" w:hAnsi="Palatino Linotype" w:cs="Palatino Linotype"/>
          <w:sz w:val="22"/>
          <w:szCs w:val="22"/>
        </w:rPr>
      </w:pPr>
      <w:r w:rsidRPr="00932EC5">
        <w:rPr>
          <w:rFonts w:ascii="Palatino Linotype" w:hAnsi="Palatino Linotype"/>
          <w:sz w:val="22"/>
          <w:szCs w:val="22"/>
        </w:rPr>
        <w:t xml:space="preserve">- </w:t>
      </w:r>
      <w:r w:rsidRPr="00932EC5">
        <w:rPr>
          <w:rFonts w:ascii="Palatino Linotype" w:hAnsi="Palatino Linotype"/>
          <w:b/>
          <w:sz w:val="22"/>
          <w:szCs w:val="22"/>
          <w:u w:val="single"/>
        </w:rPr>
        <w:t xml:space="preserve">Proporcionar a las Coordinaciones Administrativas o equivalentes </w:t>
      </w:r>
      <w:r w:rsidRPr="00932EC5">
        <w:rPr>
          <w:rFonts w:ascii="Palatino Linotype" w:hAnsi="Palatino Linotype"/>
          <w:sz w:val="22"/>
          <w:szCs w:val="22"/>
        </w:rPr>
        <w:t xml:space="preserve">de las dependencias y órganos administrativos desconcentrados del Poder Ejecutivo Estatal, el listado alfabético de las personas servidoras públicas, así como </w:t>
      </w:r>
      <w:r w:rsidRPr="00932EC5">
        <w:rPr>
          <w:rFonts w:ascii="Palatino Linotype" w:hAnsi="Palatino Linotype"/>
          <w:b/>
          <w:sz w:val="22"/>
          <w:szCs w:val="22"/>
          <w:u w:val="single"/>
        </w:rPr>
        <w:t>el resumen de percepciones y deducciones a la quincena, en medio electrónico y por unidad administrativa</w:t>
      </w:r>
      <w:r w:rsidRPr="00932EC5">
        <w:rPr>
          <w:rFonts w:ascii="Palatino Linotype" w:hAnsi="Palatino Linotype"/>
          <w:sz w:val="22"/>
          <w:szCs w:val="22"/>
        </w:rPr>
        <w:t xml:space="preserve">, </w:t>
      </w:r>
      <w:r w:rsidRPr="00932EC5">
        <w:rPr>
          <w:rFonts w:ascii="Palatino Linotype" w:hAnsi="Palatino Linotype"/>
          <w:b/>
          <w:sz w:val="22"/>
          <w:szCs w:val="22"/>
        </w:rPr>
        <w:t>a efecto de realizar la revisión del pago quincenal e identificar las posibles inconsistencias para su eventual regularización</w:t>
      </w:r>
      <w:r w:rsidRPr="00932EC5">
        <w:rPr>
          <w:rFonts w:ascii="Palatino Linotype" w:eastAsia="Palatino Linotype" w:hAnsi="Palatino Linotype" w:cs="Palatino Linotype"/>
          <w:sz w:val="22"/>
          <w:szCs w:val="22"/>
        </w:rPr>
        <w:t>.</w:t>
      </w:r>
    </w:p>
    <w:p w14:paraId="70943C9D" w14:textId="77777777" w:rsidR="00A43C34" w:rsidRPr="00932EC5" w:rsidRDefault="00A43C34" w:rsidP="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Aplicar en el Sistema de Nómina del Sector Central del Poder Ejecutivo, las sanciones económicas que impongan las dependencias y unidades administrativas a las personas servidoras públicas.</w:t>
      </w:r>
    </w:p>
    <w:p w14:paraId="01E63C9D" w14:textId="77777777" w:rsidR="00A43C34" w:rsidRPr="00932EC5" w:rsidRDefault="00A43C34" w:rsidP="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 </w:t>
      </w:r>
      <w:r w:rsidRPr="00932EC5">
        <w:rPr>
          <w:rFonts w:ascii="Palatino Linotype" w:hAnsi="Palatino Linotype"/>
          <w:sz w:val="22"/>
          <w:szCs w:val="22"/>
        </w:rPr>
        <w:t>Realizar la transmisión del abono en cuenta, así como los procesos bancarios de las personas servidoras públicas que reciben sus percepciones por este medio y asegurarse del abono realizado.</w:t>
      </w:r>
    </w:p>
    <w:p w14:paraId="78B003F6" w14:textId="77777777" w:rsidR="00A43C34" w:rsidRPr="00932EC5" w:rsidRDefault="00A43C34" w:rsidP="00A43C34">
      <w:pPr>
        <w:spacing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Mientras que la </w:t>
      </w:r>
      <w:r w:rsidRPr="00932EC5">
        <w:rPr>
          <w:rFonts w:ascii="Palatino Linotype" w:eastAsia="Palatino Linotype" w:hAnsi="Palatino Linotype" w:cs="Palatino Linotype"/>
          <w:b/>
          <w:sz w:val="22"/>
          <w:szCs w:val="22"/>
        </w:rPr>
        <w:t xml:space="preserve">Subdirección de Control de Pagos, </w:t>
      </w:r>
      <w:r w:rsidRPr="00932EC5">
        <w:rPr>
          <w:rFonts w:ascii="Palatino Linotype" w:eastAsia="Palatino Linotype" w:hAnsi="Palatino Linotype" w:cs="Palatino Linotype"/>
          <w:sz w:val="22"/>
          <w:szCs w:val="22"/>
        </w:rPr>
        <w:t>se encarga de supervisar y entregar información de las remuneraciones a las personas servidoras públicas de las dependencias del Poder Ejecutivo Estatal, por la prestación de sus servicios,, y cuenta con las siguientes funciones en su parte conducente:</w:t>
      </w:r>
    </w:p>
    <w:p w14:paraId="1394E5AA" w14:textId="77777777" w:rsidR="00A43C34" w:rsidRPr="00932EC5" w:rsidRDefault="00A43C34" w:rsidP="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Proporcionar asesoría así como generación de usuarios y contraseñas a las coordinaciones administrativas o equivalentes</w:t>
      </w:r>
      <w:r w:rsidRPr="00932EC5">
        <w:rPr>
          <w:rFonts w:ascii="Palatino Linotype" w:eastAsia="Palatino Linotype" w:hAnsi="Palatino Linotype" w:cs="Palatino Linotype"/>
          <w:sz w:val="22"/>
          <w:szCs w:val="22"/>
        </w:rPr>
        <w:t xml:space="preserve"> de las dependencias y órganos administrativos desconcentrados del Poder Ejecutivo Estatal </w:t>
      </w:r>
      <w:r w:rsidRPr="00932EC5">
        <w:rPr>
          <w:rFonts w:ascii="Palatino Linotype" w:eastAsia="Palatino Linotype" w:hAnsi="Palatino Linotype" w:cs="Palatino Linotype"/>
          <w:b/>
          <w:sz w:val="22"/>
          <w:szCs w:val="22"/>
        </w:rPr>
        <w:t xml:space="preserve">para ingresar al Sistema de Emisión de Comprobantes de Percepciones y Deducciones, a través de la red Internet en la página del Gobierno (g2g), </w:t>
      </w:r>
      <w:r w:rsidRPr="00932EC5">
        <w:rPr>
          <w:rFonts w:ascii="Palatino Linotype" w:eastAsia="Palatino Linotype" w:hAnsi="Palatino Linotype" w:cs="Palatino Linotype"/>
          <w:b/>
          <w:sz w:val="22"/>
          <w:szCs w:val="22"/>
          <w:u w:val="single"/>
        </w:rPr>
        <w:t>para consultar los comprobantes de percepciones y deducciones correspondientes al pago de nómina anual y quincenal</w:t>
      </w:r>
      <w:r w:rsidRPr="00932EC5">
        <w:rPr>
          <w:rFonts w:ascii="Palatino Linotype" w:eastAsia="Palatino Linotype" w:hAnsi="Palatino Linotype" w:cs="Palatino Linotype"/>
          <w:sz w:val="22"/>
          <w:szCs w:val="22"/>
        </w:rPr>
        <w:t xml:space="preserve"> de las personas servidoras públicas adscritas a sus dependencias, así como para detectar posibles inconsistencias para su eventual regularización.</w:t>
      </w:r>
    </w:p>
    <w:p w14:paraId="523B6786" w14:textId="77777777" w:rsidR="00163A5F" w:rsidRPr="00932EC5" w:rsidRDefault="00A43C34" w:rsidP="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Por otro lado, la </w:t>
      </w:r>
      <w:r w:rsidRPr="00932EC5">
        <w:rPr>
          <w:rFonts w:ascii="Palatino Linotype" w:eastAsia="Palatino Linotype" w:hAnsi="Palatino Linotype" w:cs="Palatino Linotype"/>
          <w:b/>
          <w:sz w:val="22"/>
          <w:szCs w:val="22"/>
          <w:u w:val="single"/>
        </w:rPr>
        <w:t>Subdirección de Soporte de Nómina</w:t>
      </w:r>
      <w:r w:rsidRPr="00932EC5">
        <w:rPr>
          <w:rFonts w:ascii="Palatino Linotype" w:eastAsia="Palatino Linotype" w:hAnsi="Palatino Linotype" w:cs="Palatino Linotype"/>
          <w:sz w:val="22"/>
          <w:szCs w:val="22"/>
        </w:rPr>
        <w:t xml:space="preserve"> (adscrita a la Oficialía Mayor, a partir de veinticinco de abril de dos mil veinticuatro), de conformidad con el Manual General de </w:t>
      </w:r>
      <w:r w:rsidRPr="00932EC5">
        <w:rPr>
          <w:rFonts w:ascii="Palatino Linotype" w:eastAsia="Palatino Linotype" w:hAnsi="Palatino Linotype" w:cs="Palatino Linotype"/>
          <w:sz w:val="22"/>
          <w:szCs w:val="22"/>
        </w:rPr>
        <w:lastRenderedPageBreak/>
        <w:t xml:space="preserve">Organización de la Secretaría de Finanzas se encarga de orientar e impulsar la aplicación de las tecnologías de la información y comunicación, administrar el Gobierno Digital y la Red Estatal de Telecomunicaciones del Gobierno del Estado de México, así como establecer y aplicar la normatividad correlativa y proporcionar soporte, asesoría y asistencia técnica a las dependencias y organismos auxiliares de la Administración Pública Estatal, órganos autónomos, ayuntamientos y notarías públicas, a efecto de contribuir a la simplificación de la gestión gubernamental y a la prestación de los servicios, y, a través de la, elabora en coordinación con las unidades administrativas de la Dirección General de Personal, los procedimientos que integran el proceso de pago de sueldos en los sistemas de información automatizados vigentes, y </w:t>
      </w:r>
      <w:r w:rsidRPr="00932EC5">
        <w:rPr>
          <w:rFonts w:ascii="Palatino Linotype" w:eastAsia="Palatino Linotype" w:hAnsi="Palatino Linotype" w:cs="Palatino Linotype"/>
          <w:b/>
          <w:sz w:val="22"/>
          <w:szCs w:val="22"/>
        </w:rPr>
        <w:t>recibe, gestiona y entrega los productos de la nómina de las unidades administrativas usuarias</w:t>
      </w:r>
      <w:r w:rsidRPr="00932EC5">
        <w:rPr>
          <w:rFonts w:ascii="Palatino Linotype" w:eastAsia="Palatino Linotype" w:hAnsi="Palatino Linotype" w:cs="Palatino Linotype"/>
          <w:sz w:val="22"/>
          <w:szCs w:val="22"/>
        </w:rPr>
        <w:t>, así como verificar, registrar y controlar la información en trámite para su procesamiento, entre otras funciones.</w:t>
      </w:r>
    </w:p>
    <w:p w14:paraId="4BFF656F"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La </w:t>
      </w:r>
      <w:r w:rsidRPr="00932EC5">
        <w:rPr>
          <w:rFonts w:ascii="Palatino Linotype" w:eastAsia="Palatino Linotype" w:hAnsi="Palatino Linotype" w:cs="Palatino Linotype"/>
          <w:b/>
          <w:sz w:val="22"/>
          <w:szCs w:val="22"/>
          <w:u w:val="single"/>
        </w:rPr>
        <w:t>Subdirección de Soporte de Nómina</w:t>
      </w:r>
      <w:r w:rsidRPr="00932EC5">
        <w:rPr>
          <w:rFonts w:ascii="Palatino Linotype" w:eastAsia="Palatino Linotype" w:hAnsi="Palatino Linotype" w:cs="Palatino Linotype"/>
          <w:sz w:val="22"/>
          <w:szCs w:val="22"/>
        </w:rPr>
        <w:t xml:space="preserve"> tiene bajo su adscripción al </w:t>
      </w:r>
      <w:r w:rsidRPr="00932EC5">
        <w:rPr>
          <w:rFonts w:ascii="Palatino Linotype" w:eastAsia="Palatino Linotype" w:hAnsi="Palatino Linotype" w:cs="Palatino Linotype"/>
          <w:b/>
          <w:sz w:val="22"/>
          <w:szCs w:val="22"/>
          <w:u w:val="single"/>
        </w:rPr>
        <w:t>Departamento de Bases de Datos de Nómina</w:t>
      </w:r>
      <w:r w:rsidRPr="00932EC5">
        <w:rPr>
          <w:rFonts w:ascii="Palatino Linotype" w:eastAsia="Palatino Linotype" w:hAnsi="Palatino Linotype" w:cs="Palatino Linotype"/>
          <w:sz w:val="22"/>
          <w:szCs w:val="22"/>
        </w:rPr>
        <w:t xml:space="preserve">, cuyo objetivo consiste en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 y cuenta con las siguientes funciones en su parte conducente:  </w:t>
      </w:r>
    </w:p>
    <w:p w14:paraId="1FE3206D" w14:textId="77777777" w:rsidR="00163A5F" w:rsidRPr="00932EC5" w:rsidRDefault="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w:t>
      </w:r>
    </w:p>
    <w:p w14:paraId="675FCBEA" w14:textId="77777777" w:rsidR="00163A5F" w:rsidRPr="00932EC5" w:rsidRDefault="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Elaborar y documentar los procesos relacionados con las bases de datos de los sistemas de información automatizados</w:t>
      </w:r>
      <w:r w:rsidRPr="00932EC5">
        <w:rPr>
          <w:rFonts w:ascii="Palatino Linotype" w:eastAsia="Palatino Linotype" w:hAnsi="Palatino Linotype" w:cs="Palatino Linotype"/>
          <w:sz w:val="22"/>
          <w:szCs w:val="22"/>
        </w:rPr>
        <w:t xml:space="preserve"> vigentes de su responsabilidad.</w:t>
      </w:r>
    </w:p>
    <w:p w14:paraId="611EB370" w14:textId="77777777" w:rsidR="00163A5F" w:rsidRPr="00932EC5" w:rsidRDefault="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Elaborar la documentación y ejecutar procedimientos para conducir las actividades y tareas que comprenden los procesos de mantenimiento, tanto de los sistemas de información automatizados vigentes como de las bases de datos a su cargo.</w:t>
      </w:r>
    </w:p>
    <w:p w14:paraId="71D6AAF3" w14:textId="77777777" w:rsidR="00163A5F" w:rsidRPr="00932EC5" w:rsidRDefault="00A43C34">
      <w:pPr>
        <w:spacing w:before="240" w:after="240"/>
        <w:ind w:left="284"/>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lastRenderedPageBreak/>
        <w:t xml:space="preserve">- </w:t>
      </w:r>
      <w:r w:rsidRPr="00932EC5">
        <w:rPr>
          <w:rFonts w:ascii="Palatino Linotype" w:eastAsia="Palatino Linotype" w:hAnsi="Palatino Linotype" w:cs="Palatino Linotype"/>
          <w:b/>
          <w:sz w:val="22"/>
          <w:szCs w:val="22"/>
        </w:rPr>
        <w:t>Asesorar y capacitar sobre los sistemas de información automatizados</w:t>
      </w:r>
      <w:r w:rsidRPr="00932EC5">
        <w:rPr>
          <w:rFonts w:ascii="Palatino Linotype" w:eastAsia="Palatino Linotype" w:hAnsi="Palatino Linotype" w:cs="Palatino Linotype"/>
          <w:sz w:val="22"/>
          <w:szCs w:val="22"/>
        </w:rPr>
        <w:t xml:space="preserve"> vigentes y las bases de datos bajo su responsabilidad, </w:t>
      </w:r>
      <w:r w:rsidRPr="00932EC5">
        <w:rPr>
          <w:rFonts w:ascii="Palatino Linotype" w:eastAsia="Palatino Linotype" w:hAnsi="Palatino Linotype" w:cs="Palatino Linotype"/>
          <w:b/>
          <w:sz w:val="22"/>
          <w:szCs w:val="22"/>
        </w:rPr>
        <w:t>para que las personas usuarias de la Dirección General de Personal puedan operar el Sistema de Gestión y Administración de Personal.</w:t>
      </w:r>
    </w:p>
    <w:p w14:paraId="53690F42" w14:textId="77777777" w:rsidR="00163A5F" w:rsidRPr="00932EC5" w:rsidRDefault="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u w:val="single"/>
        </w:rPr>
        <w:t>Generar las claves de acceso</w:t>
      </w:r>
      <w:r w:rsidRPr="00932EC5">
        <w:rPr>
          <w:rFonts w:ascii="Palatino Linotype" w:eastAsia="Palatino Linotype" w:hAnsi="Palatino Linotype" w:cs="Palatino Linotype"/>
          <w:sz w:val="22"/>
          <w:szCs w:val="22"/>
        </w:rPr>
        <w:t xml:space="preserve"> al Sistema Integral de Gestión y Administración de Personal (SIGAP), </w:t>
      </w:r>
      <w:r w:rsidRPr="00932EC5">
        <w:rPr>
          <w:rFonts w:ascii="Palatino Linotype" w:eastAsia="Palatino Linotype" w:hAnsi="Palatino Linotype" w:cs="Palatino Linotype"/>
          <w:b/>
          <w:sz w:val="22"/>
          <w:szCs w:val="22"/>
          <w:u w:val="single"/>
        </w:rPr>
        <w:t>para las coordinaciones administrativas</w:t>
      </w:r>
      <w:r w:rsidRPr="00932EC5">
        <w:rPr>
          <w:rFonts w:ascii="Palatino Linotype" w:eastAsia="Palatino Linotype" w:hAnsi="Palatino Linotype" w:cs="Palatino Linotype"/>
          <w:sz w:val="22"/>
          <w:szCs w:val="22"/>
        </w:rPr>
        <w:t xml:space="preserve"> o equivalentes que sean requeridas por la Dirección General de Personal.</w:t>
      </w:r>
    </w:p>
    <w:p w14:paraId="007B2EDF" w14:textId="77777777" w:rsidR="00163A5F" w:rsidRPr="00932EC5" w:rsidRDefault="00A43C34">
      <w:pPr>
        <w:widowControl w:val="0"/>
        <w:spacing w:before="240" w:after="240" w:line="360" w:lineRule="auto"/>
        <w:jc w:val="both"/>
        <w:rPr>
          <w:rFonts w:ascii="Palatino Linotype" w:eastAsia="Palatino Linotype" w:hAnsi="Palatino Linotype" w:cs="Palatino Linotype"/>
          <w:b/>
          <w:sz w:val="22"/>
          <w:szCs w:val="22"/>
          <w:u w:val="single"/>
        </w:rPr>
      </w:pPr>
      <w:r w:rsidRPr="00932EC5">
        <w:rPr>
          <w:rFonts w:ascii="Palatino Linotype" w:eastAsia="Palatino Linotype" w:hAnsi="Palatino Linotype" w:cs="Palatino Linotype"/>
          <w:sz w:val="22"/>
          <w:szCs w:val="22"/>
        </w:rPr>
        <w:t xml:space="preserve">Hasta este punto, se advierte que el pago por las remuneraciones de los servidores públicos adscritos a las dependencias del Poder Ejecutivo del Estado, es una atribución que le corresponde a la Dirección General de Personal, sin embargo, no debe perderse de vista que para tales efectos, se emplea el Sistema de Nómina del Sector Central del Poder Ejecutivo, </w:t>
      </w:r>
      <w:r w:rsidRPr="00932EC5">
        <w:rPr>
          <w:rFonts w:ascii="Palatino Linotype" w:eastAsia="Palatino Linotype" w:hAnsi="Palatino Linotype" w:cs="Palatino Linotype"/>
          <w:b/>
          <w:sz w:val="22"/>
          <w:szCs w:val="22"/>
        </w:rPr>
        <w:t xml:space="preserve">cuyas claves de acceso </w:t>
      </w:r>
      <w:r w:rsidRPr="00932EC5">
        <w:rPr>
          <w:rFonts w:ascii="Palatino Linotype" w:eastAsia="Palatino Linotype" w:hAnsi="Palatino Linotype" w:cs="Palatino Linotype"/>
          <w:sz w:val="22"/>
          <w:szCs w:val="22"/>
        </w:rPr>
        <w:t xml:space="preserve"> generadas por el </w:t>
      </w:r>
      <w:r w:rsidRPr="00932EC5">
        <w:rPr>
          <w:rFonts w:ascii="Palatino Linotype" w:eastAsia="Palatino Linotype" w:hAnsi="Palatino Linotype" w:cs="Palatino Linotype"/>
          <w:b/>
          <w:sz w:val="22"/>
          <w:szCs w:val="22"/>
          <w:u w:val="single"/>
        </w:rPr>
        <w:t>Departamento de Bases de Datos de Nómina, adscrito a la Subdirección de Soporte de Nómina</w:t>
      </w:r>
      <w:r w:rsidRPr="00932EC5">
        <w:rPr>
          <w:rFonts w:ascii="Palatino Linotype" w:eastAsia="Palatino Linotype" w:hAnsi="Palatino Linotype" w:cs="Palatino Linotype"/>
          <w:sz w:val="22"/>
          <w:szCs w:val="22"/>
        </w:rPr>
        <w:t>,</w:t>
      </w:r>
      <w:r w:rsidRPr="00932EC5">
        <w:rPr>
          <w:rFonts w:ascii="Palatino Linotype" w:eastAsia="Palatino Linotype" w:hAnsi="Palatino Linotype" w:cs="Palatino Linotype"/>
          <w:b/>
          <w:sz w:val="22"/>
          <w:szCs w:val="22"/>
        </w:rPr>
        <w:t xml:space="preserve"> son enviadas a las coordinaciones administrativas o equivalentes</w:t>
      </w:r>
      <w:r w:rsidRPr="00932EC5">
        <w:rPr>
          <w:rFonts w:ascii="Palatino Linotype" w:eastAsia="Palatino Linotype" w:hAnsi="Palatino Linotype" w:cs="Palatino Linotype"/>
          <w:sz w:val="22"/>
          <w:szCs w:val="22"/>
        </w:rPr>
        <w:t xml:space="preserve"> de las dependencias del Poder Ejecutivo, para la aplicación de los movimientos e incidencias, lo que </w:t>
      </w:r>
      <w:r w:rsidRPr="00932EC5">
        <w:rPr>
          <w:rFonts w:ascii="Palatino Linotype" w:eastAsia="Palatino Linotype" w:hAnsi="Palatino Linotype" w:cs="Palatino Linotype"/>
          <w:b/>
          <w:sz w:val="22"/>
          <w:szCs w:val="22"/>
          <w:u w:val="single"/>
        </w:rPr>
        <w:t>se traduce en que las Coordinaciones Administrativas o equivalentes tienen acceso a dicho Sistema.</w:t>
      </w:r>
    </w:p>
    <w:p w14:paraId="10C1D6F7" w14:textId="77777777" w:rsidR="00163A5F" w:rsidRPr="00932EC5" w:rsidRDefault="00A43C34">
      <w:pPr>
        <w:widowControl w:val="0"/>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En el mismo orden de ideas, debe tomarse en consideración que la Subdirección de Actualización de Bases de Datos cuenta con la obligación de proporcionar el li</w:t>
      </w:r>
      <w:r w:rsidRPr="00932EC5">
        <w:rPr>
          <w:rFonts w:ascii="Palatino Linotype" w:eastAsia="Palatino Linotype" w:hAnsi="Palatino Linotype" w:cs="Palatino Linotype"/>
          <w:b/>
          <w:sz w:val="22"/>
          <w:szCs w:val="22"/>
        </w:rPr>
        <w:t>stado de los servidores públicos y el resumen de percepciones y deducciones a la quincena en medio magnético y por unidad administrativa,</w:t>
      </w:r>
      <w:r w:rsidRPr="00932EC5">
        <w:rPr>
          <w:rFonts w:ascii="Palatino Linotype" w:eastAsia="Palatino Linotype" w:hAnsi="Palatino Linotype" w:cs="Palatino Linotype"/>
          <w:sz w:val="22"/>
          <w:szCs w:val="22"/>
        </w:rPr>
        <w:t xml:space="preserve"> con la finalidad de que revisen el pago quincenal e identifiquen las posibles inconsistencias para su eventual regularización, para que posteriormente pueda realizar la transmisión del abono en cuenta, así como los procesos bancarios de los servidores públicos que reciben sus percepciones por dicho medio.</w:t>
      </w:r>
    </w:p>
    <w:p w14:paraId="77606CD0" w14:textId="77777777" w:rsidR="00163A5F" w:rsidRPr="00932EC5" w:rsidRDefault="00A43C34">
      <w:pPr>
        <w:spacing w:before="240" w:after="240" w:line="360" w:lineRule="auto"/>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t xml:space="preserve">Mientras que la Subdirección de Control de Pagos tiene el deber de proporcionar asesoría a las coordinaciones administrativas o equivalentes de las dependencias y órganos administrativos desconcentrados del Poder Ejecutivo Estatal para ingresar al Sistema de Emisión de Comprobantes de Percepciones y Deducciones, a través de la red Internet en la </w:t>
      </w:r>
      <w:r w:rsidRPr="00932EC5">
        <w:rPr>
          <w:rFonts w:ascii="Palatino Linotype" w:eastAsia="Palatino Linotype" w:hAnsi="Palatino Linotype" w:cs="Palatino Linotype"/>
          <w:sz w:val="22"/>
          <w:szCs w:val="22"/>
        </w:rPr>
        <w:lastRenderedPageBreak/>
        <w:t xml:space="preserve">página del Gobierno (g2g), </w:t>
      </w:r>
      <w:r w:rsidRPr="00932EC5">
        <w:rPr>
          <w:rFonts w:ascii="Palatino Linotype" w:eastAsia="Palatino Linotype" w:hAnsi="Palatino Linotype" w:cs="Palatino Linotype"/>
          <w:b/>
          <w:sz w:val="22"/>
          <w:szCs w:val="22"/>
          <w:u w:val="single"/>
        </w:rPr>
        <w:t>para consultar los comprobantes de percepciones y deducciones correspondientes al pago de nómina quincenal</w:t>
      </w:r>
      <w:r w:rsidRPr="00932EC5">
        <w:rPr>
          <w:rFonts w:ascii="Palatino Linotype" w:eastAsia="Palatino Linotype" w:hAnsi="Palatino Linotype" w:cs="Palatino Linotype"/>
          <w:sz w:val="22"/>
          <w:szCs w:val="22"/>
          <w:u w:val="single"/>
        </w:rPr>
        <w:t>,</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así como para detectar posibles inconsistencias para su eventual regularización.</w:t>
      </w:r>
    </w:p>
    <w:p w14:paraId="493B5DE9" w14:textId="77777777" w:rsidR="00163A5F" w:rsidRPr="00932EC5" w:rsidRDefault="00A43C34">
      <w:pPr>
        <w:spacing w:before="240" w:after="240" w:line="360" w:lineRule="auto"/>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t xml:space="preserve">Con base en lo previo se colige que si bien es cierto,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no cuenta con atribuciones para generar, administrar y/o poseer los recibos de nómina o Comprobantes Fiscales Digitales por Internet de los servidores públicos, al ser emitidos por otra dependencia, y accesibles para los trabajadores a través de la página del Gobierno del Estado de México denominado Portal de Gestión Interna g2g, mediante una clave personal confidencial que es creada por ellos mismos, tal como se muestra a continuación:</w:t>
      </w:r>
    </w:p>
    <w:p w14:paraId="058E9CEC" w14:textId="77777777" w:rsidR="00163A5F" w:rsidRPr="00932EC5" w:rsidRDefault="00A43C34">
      <w:pPr>
        <w:widowControl w:val="0"/>
        <w:spacing w:before="240" w:after="240" w:line="360" w:lineRule="auto"/>
        <w:jc w:val="both"/>
        <w:rPr>
          <w:rFonts w:ascii="Palatino Linotype" w:eastAsia="Palatino Linotype" w:hAnsi="Palatino Linotype" w:cs="Palatino Linotype"/>
          <w:sz w:val="22"/>
          <w:szCs w:val="22"/>
        </w:rPr>
      </w:pPr>
      <w:r w:rsidRPr="00932EC5">
        <w:rPr>
          <w:noProof/>
        </w:rPr>
        <w:drawing>
          <wp:anchor distT="0" distB="0" distL="114300" distR="114300" simplePos="0" relativeHeight="251658240" behindDoc="0" locked="0" layoutInCell="1" hidden="0" allowOverlap="1" wp14:anchorId="178DA263" wp14:editId="2F9B5ECC">
            <wp:simplePos x="0" y="0"/>
            <wp:positionH relativeFrom="column">
              <wp:posOffset>361506</wp:posOffset>
            </wp:positionH>
            <wp:positionV relativeFrom="paragraph">
              <wp:posOffset>116854</wp:posOffset>
            </wp:positionV>
            <wp:extent cx="4860000" cy="660510"/>
            <wp:effectExtent l="0" t="0" r="0" b="0"/>
            <wp:wrapSquare wrapText="bothSides" distT="0" distB="0" distL="114300" distR="114300"/>
            <wp:docPr id="20483349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860000" cy="660510"/>
                    </a:xfrm>
                    <a:prstGeom prst="rect">
                      <a:avLst/>
                    </a:prstGeom>
                    <a:ln/>
                  </pic:spPr>
                </pic:pic>
              </a:graphicData>
            </a:graphic>
          </wp:anchor>
        </w:drawing>
      </w:r>
    </w:p>
    <w:p w14:paraId="4B26C514" w14:textId="77777777" w:rsidR="00163A5F" w:rsidRPr="00932EC5" w:rsidRDefault="00163A5F">
      <w:pPr>
        <w:widowControl w:val="0"/>
        <w:spacing w:before="240" w:after="240" w:line="360" w:lineRule="auto"/>
        <w:jc w:val="both"/>
        <w:rPr>
          <w:rFonts w:ascii="Palatino Linotype" w:eastAsia="Palatino Linotype" w:hAnsi="Palatino Linotype" w:cs="Palatino Linotype"/>
          <w:sz w:val="22"/>
          <w:szCs w:val="22"/>
        </w:rPr>
      </w:pPr>
    </w:p>
    <w:p w14:paraId="296364B6" w14:textId="77777777" w:rsidR="00163A5F" w:rsidRPr="00932EC5" w:rsidRDefault="00A43C34">
      <w:pPr>
        <w:widowControl w:val="0"/>
        <w:spacing w:before="240" w:after="240" w:line="360" w:lineRule="auto"/>
        <w:jc w:val="center"/>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drawing>
          <wp:inline distT="0" distB="0" distL="0" distR="0" wp14:anchorId="76907FBD" wp14:editId="20816861">
            <wp:extent cx="4500000" cy="1534091"/>
            <wp:effectExtent l="0" t="0" r="0" b="0"/>
            <wp:docPr id="20483349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00000" cy="1534091"/>
                    </a:xfrm>
                    <a:prstGeom prst="rect">
                      <a:avLst/>
                    </a:prstGeom>
                    <a:ln/>
                  </pic:spPr>
                </pic:pic>
              </a:graphicData>
            </a:graphic>
          </wp:inline>
        </w:drawing>
      </w:r>
    </w:p>
    <w:p w14:paraId="651B68CA" w14:textId="77777777" w:rsidR="00163A5F" w:rsidRPr="00932EC5" w:rsidRDefault="00A43C34">
      <w:pPr>
        <w:widowControl w:val="0"/>
        <w:spacing w:before="240" w:after="240" w:line="360" w:lineRule="auto"/>
        <w:jc w:val="center"/>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lastRenderedPageBreak/>
        <w:drawing>
          <wp:inline distT="0" distB="0" distL="0" distR="0" wp14:anchorId="1F8E0850" wp14:editId="26E1ABF2">
            <wp:extent cx="3600000" cy="2590910"/>
            <wp:effectExtent l="0" t="0" r="0" b="0"/>
            <wp:docPr id="20483349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t="4652"/>
                    <a:stretch>
                      <a:fillRect/>
                    </a:stretch>
                  </pic:blipFill>
                  <pic:spPr>
                    <a:xfrm>
                      <a:off x="0" y="0"/>
                      <a:ext cx="3600000" cy="2590910"/>
                    </a:xfrm>
                    <a:prstGeom prst="rect">
                      <a:avLst/>
                    </a:prstGeom>
                    <a:ln/>
                  </pic:spPr>
                </pic:pic>
              </a:graphicData>
            </a:graphic>
          </wp:inline>
        </w:drawing>
      </w:r>
    </w:p>
    <w:p w14:paraId="679002F1"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También lo es que si cuenta con atribuciones para conocer las remuneraciones que perciben los servidores públicos adscritos a las unidades administrativas que integran su estructura orgánica, pues a través de la Coordinación Administrativa -que atendió la solicitud de información- opera el Sistema de Nómina del Sector Central del Poder Ejecutivo y revisa el resumen de percepciones y deducciones quincenales que es remitido por la Subdirección de Actualización de Bases de Datos el pago quincenal, sin perder de vista que también tiene acceso al Portal de Gestión Interna g2g, donde pude consultar los comprobantes de percepciones y deducciones correspondientes, así como para detectar posibles inconsistencias para su eventual regularización, a través de la clave de acceso que genera el Departamento de Bases de Datos de Nómina adscrito a la Subdirección de Soporte de Nómina de la Oficialía Mayor, donde puede generar en línea el comprobante de percepciones y deducciones de los servidores públicos, el cual es un documento con validez oficial, como se muestra a continuación para mejor referencia:</w:t>
      </w:r>
    </w:p>
    <w:p w14:paraId="1ACDD788"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lastRenderedPageBreak/>
        <w:drawing>
          <wp:inline distT="0" distB="0" distL="0" distR="0" wp14:anchorId="3A8E364F" wp14:editId="7CC654E7">
            <wp:extent cx="5612130" cy="2016125"/>
            <wp:effectExtent l="0" t="0" r="0" b="0"/>
            <wp:docPr id="20483349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2016125"/>
                    </a:xfrm>
                    <a:prstGeom prst="rect">
                      <a:avLst/>
                    </a:prstGeom>
                    <a:ln/>
                  </pic:spPr>
                </pic:pic>
              </a:graphicData>
            </a:graphic>
          </wp:inline>
        </w:drawing>
      </w:r>
      <w:r w:rsidRPr="00932EC5">
        <w:rPr>
          <w:noProof/>
        </w:rPr>
        <mc:AlternateContent>
          <mc:Choice Requires="wpg">
            <w:drawing>
              <wp:anchor distT="0" distB="0" distL="114300" distR="114300" simplePos="0" relativeHeight="251659264" behindDoc="0" locked="0" layoutInCell="1" hidden="0" allowOverlap="1" wp14:anchorId="5FB42ACF" wp14:editId="1DDB4202">
                <wp:simplePos x="0" y="0"/>
                <wp:positionH relativeFrom="column">
                  <wp:posOffset>3352800</wp:posOffset>
                </wp:positionH>
                <wp:positionV relativeFrom="paragraph">
                  <wp:posOffset>1409700</wp:posOffset>
                </wp:positionV>
                <wp:extent cx="638175" cy="190500"/>
                <wp:effectExtent l="0" t="0" r="0" b="0"/>
                <wp:wrapNone/>
                <wp:docPr id="2048334963" name="Conector recto de flecha 2048334963"/>
                <wp:cNvGraphicFramePr/>
                <a:graphic xmlns:a="http://schemas.openxmlformats.org/drawingml/2006/main">
                  <a:graphicData uri="http://schemas.microsoft.com/office/word/2010/wordprocessingShape">
                    <wps:wsp>
                      <wps:cNvCnPr/>
                      <wps:spPr>
                        <a:xfrm flipH="1">
                          <a:off x="5055488" y="3713325"/>
                          <a:ext cx="581025" cy="133350"/>
                        </a:xfrm>
                        <a:prstGeom prst="straightConnector1">
                          <a:avLst/>
                        </a:prstGeom>
                        <a:noFill/>
                        <a:ln w="57150" cap="flat" cmpd="sng">
                          <a:solidFill>
                            <a:srgbClr val="00206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3352800</wp:posOffset>
                </wp:positionH>
                <wp:positionV relativeFrom="paragraph">
                  <wp:posOffset>1409700</wp:posOffset>
                </wp:positionV>
                <wp:extent cx="638175" cy="190500"/>
                <wp:effectExtent b="0" l="0" r="0" t="0"/>
                <wp:wrapNone/>
                <wp:docPr id="2048334963"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638175" cy="190500"/>
                        </a:xfrm>
                        <a:prstGeom prst="rect"/>
                        <a:ln/>
                      </pic:spPr>
                    </pic:pic>
                  </a:graphicData>
                </a:graphic>
              </wp:anchor>
            </w:drawing>
          </mc:Fallback>
        </mc:AlternateContent>
      </w:r>
    </w:p>
    <w:p w14:paraId="65D2392C"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drawing>
          <wp:inline distT="0" distB="0" distL="0" distR="0" wp14:anchorId="7F801566" wp14:editId="6FC1DF9D">
            <wp:extent cx="5756275" cy="4257040"/>
            <wp:effectExtent l="0" t="0" r="0" b="0"/>
            <wp:docPr id="20483349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56275" cy="4257040"/>
                    </a:xfrm>
                    <a:prstGeom prst="rect">
                      <a:avLst/>
                    </a:prstGeom>
                    <a:ln/>
                  </pic:spPr>
                </pic:pic>
              </a:graphicData>
            </a:graphic>
          </wp:inline>
        </w:drawing>
      </w:r>
      <w:r w:rsidRPr="00932EC5">
        <w:rPr>
          <w:noProof/>
        </w:rPr>
        <mc:AlternateContent>
          <mc:Choice Requires="wpg">
            <w:drawing>
              <wp:anchor distT="0" distB="0" distL="114300" distR="114300" simplePos="0" relativeHeight="251660288" behindDoc="0" locked="0" layoutInCell="1" hidden="0" allowOverlap="1" wp14:anchorId="7BAC8A16" wp14:editId="253A582B">
                <wp:simplePos x="0" y="0"/>
                <wp:positionH relativeFrom="column">
                  <wp:posOffset>1968500</wp:posOffset>
                </wp:positionH>
                <wp:positionV relativeFrom="paragraph">
                  <wp:posOffset>1308100</wp:posOffset>
                </wp:positionV>
                <wp:extent cx="210995" cy="486329"/>
                <wp:effectExtent l="0" t="0" r="0" b="0"/>
                <wp:wrapNone/>
                <wp:docPr id="2048334962" name="Cerrar llave 2048334962"/>
                <wp:cNvGraphicFramePr/>
                <a:graphic xmlns:a="http://schemas.openxmlformats.org/drawingml/2006/main">
                  <a:graphicData uri="http://schemas.microsoft.com/office/word/2010/wordprocessingShape">
                    <wps:wsp>
                      <wps:cNvSpPr/>
                      <wps:spPr>
                        <a:xfrm>
                          <a:off x="5254790" y="3551123"/>
                          <a:ext cx="182420" cy="457754"/>
                        </a:xfrm>
                        <a:prstGeom prst="rightBrace">
                          <a:avLst>
                            <a:gd name="adj1" fmla="val 8333"/>
                            <a:gd name="adj2" fmla="val 50000"/>
                          </a:avLst>
                        </a:prstGeom>
                        <a:noFill/>
                        <a:ln w="28575" cap="flat" cmpd="sng">
                          <a:solidFill>
                            <a:srgbClr val="002060"/>
                          </a:solidFill>
                          <a:prstDash val="solid"/>
                          <a:round/>
                          <a:headEnd type="none" w="sm" len="sm"/>
                          <a:tailEnd type="none" w="sm" len="sm"/>
                        </a:ln>
                      </wps:spPr>
                      <wps:txbx>
                        <w:txbxContent>
                          <w:p w14:paraId="7CFD4500" w14:textId="77777777" w:rsidR="00163A5F" w:rsidRDefault="00163A5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1968500</wp:posOffset>
                </wp:positionH>
                <wp:positionV relativeFrom="paragraph">
                  <wp:posOffset>1308100</wp:posOffset>
                </wp:positionV>
                <wp:extent cx="210995" cy="486329"/>
                <wp:effectExtent b="0" l="0" r="0" t="0"/>
                <wp:wrapNone/>
                <wp:docPr id="2048334962"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210995" cy="486329"/>
                        </a:xfrm>
                        <a:prstGeom prst="rect"/>
                        <a:ln/>
                      </pic:spPr>
                    </pic:pic>
                  </a:graphicData>
                </a:graphic>
              </wp:anchor>
            </w:drawing>
          </mc:Fallback>
        </mc:AlternateContent>
      </w:r>
      <w:r w:rsidRPr="00932EC5">
        <w:rPr>
          <w:noProof/>
        </w:rPr>
        <mc:AlternateContent>
          <mc:Choice Requires="wpg">
            <w:drawing>
              <wp:anchor distT="0" distB="0" distL="114300" distR="114300" simplePos="0" relativeHeight="251661312" behindDoc="0" locked="0" layoutInCell="1" hidden="0" allowOverlap="1" wp14:anchorId="4A552BEF" wp14:editId="40834026">
                <wp:simplePos x="0" y="0"/>
                <wp:positionH relativeFrom="column">
                  <wp:posOffset>2806700</wp:posOffset>
                </wp:positionH>
                <wp:positionV relativeFrom="paragraph">
                  <wp:posOffset>3022600</wp:posOffset>
                </wp:positionV>
                <wp:extent cx="212792" cy="300341"/>
                <wp:effectExtent l="0" t="0" r="0" b="0"/>
                <wp:wrapNone/>
                <wp:docPr id="2048334961" name="Conector recto de flecha 2048334961"/>
                <wp:cNvGraphicFramePr/>
                <a:graphic xmlns:a="http://schemas.openxmlformats.org/drawingml/2006/main">
                  <a:graphicData uri="http://schemas.microsoft.com/office/word/2010/wordprocessingShape">
                    <wps:wsp>
                      <wps:cNvCnPr/>
                      <wps:spPr>
                        <a:xfrm rot="10800000" flipH="1">
                          <a:off x="5268179" y="3658405"/>
                          <a:ext cx="155642" cy="243191"/>
                        </a:xfrm>
                        <a:prstGeom prst="straightConnector1">
                          <a:avLst/>
                        </a:prstGeom>
                        <a:noFill/>
                        <a:ln w="57150" cap="flat" cmpd="sng">
                          <a:solidFill>
                            <a:srgbClr val="00206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2806700</wp:posOffset>
                </wp:positionH>
                <wp:positionV relativeFrom="paragraph">
                  <wp:posOffset>3022600</wp:posOffset>
                </wp:positionV>
                <wp:extent cx="212792" cy="300341"/>
                <wp:effectExtent b="0" l="0" r="0" t="0"/>
                <wp:wrapNone/>
                <wp:docPr id="2048334961"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12792" cy="300341"/>
                        </a:xfrm>
                        <a:prstGeom prst="rect"/>
                        <a:ln/>
                      </pic:spPr>
                    </pic:pic>
                  </a:graphicData>
                </a:graphic>
              </wp:anchor>
            </w:drawing>
          </mc:Fallback>
        </mc:AlternateContent>
      </w:r>
      <w:r w:rsidRPr="00932EC5">
        <w:rPr>
          <w:noProof/>
        </w:rPr>
        <mc:AlternateContent>
          <mc:Choice Requires="wpg">
            <w:drawing>
              <wp:anchor distT="0" distB="0" distL="114300" distR="114300" simplePos="0" relativeHeight="251662336" behindDoc="0" locked="0" layoutInCell="1" hidden="0" allowOverlap="1" wp14:anchorId="0640C0DC" wp14:editId="7D335D3C">
                <wp:simplePos x="0" y="0"/>
                <wp:positionH relativeFrom="column">
                  <wp:posOffset>2565400</wp:posOffset>
                </wp:positionH>
                <wp:positionV relativeFrom="paragraph">
                  <wp:posOffset>3365500</wp:posOffset>
                </wp:positionV>
                <wp:extent cx="261431" cy="242597"/>
                <wp:effectExtent l="0" t="0" r="0" b="0"/>
                <wp:wrapNone/>
                <wp:docPr id="2048334965" name="Conector recto de flecha 2048334965"/>
                <wp:cNvGraphicFramePr/>
                <a:graphic xmlns:a="http://schemas.openxmlformats.org/drawingml/2006/main">
                  <a:graphicData uri="http://schemas.microsoft.com/office/word/2010/wordprocessingShape">
                    <wps:wsp>
                      <wps:cNvCnPr/>
                      <wps:spPr>
                        <a:xfrm flipH="1">
                          <a:off x="5243860" y="3687277"/>
                          <a:ext cx="204281" cy="185447"/>
                        </a:xfrm>
                        <a:prstGeom prst="straightConnector1">
                          <a:avLst/>
                        </a:prstGeom>
                        <a:noFill/>
                        <a:ln w="57150" cap="flat" cmpd="sng">
                          <a:solidFill>
                            <a:srgbClr val="00206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2565400</wp:posOffset>
                </wp:positionH>
                <wp:positionV relativeFrom="paragraph">
                  <wp:posOffset>3365500</wp:posOffset>
                </wp:positionV>
                <wp:extent cx="261431" cy="242597"/>
                <wp:effectExtent b="0" l="0" r="0" t="0"/>
                <wp:wrapNone/>
                <wp:docPr id="2048334965"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261431" cy="242597"/>
                        </a:xfrm>
                        <a:prstGeom prst="rect"/>
                        <a:ln/>
                      </pic:spPr>
                    </pic:pic>
                  </a:graphicData>
                </a:graphic>
              </wp:anchor>
            </w:drawing>
          </mc:Fallback>
        </mc:AlternateContent>
      </w:r>
    </w:p>
    <w:p w14:paraId="4CE832BD" w14:textId="77777777" w:rsidR="00163A5F" w:rsidRPr="00932EC5" w:rsidRDefault="00A43C34">
      <w:pP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Por consiguiente, el para dar cumplimiento a la presente resolución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deberá hacer entrega de los comprobantes de percepciones de la persona referida en la solicitud, durante la relación laboral, esto es, del dos de mayo al quince de julio de julio de </w:t>
      </w:r>
      <w:r w:rsidRPr="00932EC5">
        <w:rPr>
          <w:rFonts w:ascii="Palatino Linotype" w:eastAsia="Palatino Linotype" w:hAnsi="Palatino Linotype" w:cs="Palatino Linotype"/>
          <w:sz w:val="22"/>
          <w:szCs w:val="22"/>
        </w:rPr>
        <w:lastRenderedPageBreak/>
        <w:t>dos mil veinticuatro, tomando como referencia los Formatos Únicos de Movimiento de Personal de alta y baja remitidos en respuesta.</w:t>
      </w:r>
    </w:p>
    <w:p w14:paraId="02EF49C4" w14:textId="77777777" w:rsidR="00163A5F" w:rsidRPr="00932EC5" w:rsidRDefault="00A43C34">
      <w:pP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Asimismo, se precisa que la información que se ordena deberá entregarse en versión pública de conformidad con el considerando siguiente, acompañada del acuerdo que emita el Comité de Transparencia mediante el cual, de manera fundada y motivada se sustente la clasificación de los datos personales contenidos en el soporte documental correspondiente.</w:t>
      </w:r>
    </w:p>
    <w:p w14:paraId="30ED9429" w14:textId="77777777" w:rsidR="00163A5F" w:rsidRPr="00932EC5" w:rsidRDefault="00A43C34">
      <w:pPr>
        <w:widowControl w:val="0"/>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Por otro lado, respecto del nombramiento de la persona referida en la solicitud, los artículos 5, 45, y 48, fracción I de la Ley del Trabajo de los Servidores Públicos del Estado de México y Municipios, disponen lo siguiente:</w:t>
      </w:r>
    </w:p>
    <w:p w14:paraId="2559A5F7" w14:textId="77777777" w:rsidR="00163A5F" w:rsidRPr="00932EC5" w:rsidRDefault="00A43C34">
      <w:pPr>
        <w:pBdr>
          <w:top w:val="nil"/>
          <w:left w:val="nil"/>
          <w:bottom w:val="nil"/>
          <w:right w:val="nil"/>
          <w:between w:val="nil"/>
        </w:pBdr>
        <w:ind w:left="851" w:right="899"/>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5.-</w:t>
      </w:r>
      <w:r w:rsidRPr="00932EC5">
        <w:rPr>
          <w:rFonts w:ascii="Palatino Linotype" w:eastAsia="Palatino Linotype" w:hAnsi="Palatino Linotype" w:cs="Palatino Linotype"/>
          <w:i/>
          <w:sz w:val="22"/>
          <w:szCs w:val="22"/>
        </w:rPr>
        <w:t xml:space="preserve"> La relación de trabajo entre las instituciones públicas y sus servidores públicos </w:t>
      </w:r>
      <w:r w:rsidRPr="00932EC5">
        <w:rPr>
          <w:rFonts w:ascii="Palatino Linotype" w:eastAsia="Palatino Linotype" w:hAnsi="Palatino Linotype" w:cs="Palatino Linotype"/>
          <w:b/>
          <w:i/>
          <w:sz w:val="22"/>
          <w:szCs w:val="22"/>
        </w:rPr>
        <w:t>se entiende establecida mediante nombramiento, formato único de movimiento de personal, contrato o por cualquier otro acto que tenga como consecuencia la prestación personal subordinada del servicio y la percepción de un sueldo.</w:t>
      </w:r>
    </w:p>
    <w:p w14:paraId="7B40C0A1" w14:textId="77777777" w:rsidR="00163A5F" w:rsidRPr="00932EC5" w:rsidRDefault="00A43C34">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w:t>
      </w:r>
    </w:p>
    <w:p w14:paraId="7E2AE0C3" w14:textId="77777777" w:rsidR="00163A5F" w:rsidRPr="00932EC5" w:rsidRDefault="00A43C34">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45.-Los servidores públicos prestarán sus servicios mediante nombramiento, contrato o formato único de Movimientos de Personal</w:t>
      </w:r>
      <w:r w:rsidRPr="00932EC5">
        <w:rPr>
          <w:rFonts w:ascii="Palatino Linotype" w:eastAsia="Palatino Linotype" w:hAnsi="Palatino Linotype" w:cs="Palatino Linotype"/>
          <w:i/>
          <w:sz w:val="22"/>
          <w:szCs w:val="22"/>
        </w:rPr>
        <w:t xml:space="preserve"> expedidos por quien estuviere facultado legalmente para extenderlo.</w:t>
      </w:r>
    </w:p>
    <w:p w14:paraId="4DFD97D8" w14:textId="77777777" w:rsidR="00163A5F" w:rsidRPr="00932EC5" w:rsidRDefault="00A43C34">
      <w:pPr>
        <w:pBdr>
          <w:top w:val="nil"/>
          <w:left w:val="nil"/>
          <w:bottom w:val="nil"/>
          <w:right w:val="nil"/>
          <w:between w:val="nil"/>
        </w:pBdr>
        <w:ind w:left="851" w:right="899"/>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b/>
          <w:i/>
          <w:sz w:val="22"/>
          <w:szCs w:val="22"/>
        </w:rPr>
        <w:t>…</w:t>
      </w:r>
    </w:p>
    <w:p w14:paraId="14B70ED1" w14:textId="77777777" w:rsidR="00163A5F" w:rsidRPr="00932EC5" w:rsidRDefault="00A43C34">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48. Para iniciar la prestación de los servicios se requiere:</w:t>
      </w:r>
      <w:r w:rsidRPr="00932EC5">
        <w:rPr>
          <w:rFonts w:ascii="Palatino Linotype" w:eastAsia="Palatino Linotype" w:hAnsi="Palatino Linotype" w:cs="Palatino Linotype"/>
          <w:i/>
          <w:sz w:val="22"/>
          <w:szCs w:val="22"/>
        </w:rPr>
        <w:t xml:space="preserve"> </w:t>
      </w:r>
    </w:p>
    <w:p w14:paraId="4DC01721" w14:textId="77777777" w:rsidR="00163A5F" w:rsidRPr="00932EC5" w:rsidRDefault="00A43C34">
      <w:pPr>
        <w:pBdr>
          <w:top w:val="nil"/>
          <w:left w:val="nil"/>
          <w:bottom w:val="nil"/>
          <w:right w:val="nil"/>
          <w:between w:val="nil"/>
        </w:pBdr>
        <w:ind w:left="1134" w:right="899"/>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 Tener conferido el nombramiento, contrato respectivo o formato único de Movimientos de Personal;</w:t>
      </w:r>
      <w:r w:rsidRPr="00932EC5">
        <w:rPr>
          <w:rFonts w:ascii="Palatino Linotype" w:eastAsia="Palatino Linotype" w:hAnsi="Palatino Linotype" w:cs="Palatino Linotype"/>
          <w:i/>
          <w:sz w:val="22"/>
          <w:szCs w:val="22"/>
        </w:rPr>
        <w:t xml:space="preserve"> </w:t>
      </w:r>
    </w:p>
    <w:p w14:paraId="5D443776" w14:textId="77777777" w:rsidR="00163A5F" w:rsidRPr="00932EC5" w:rsidRDefault="00A43C34">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1D1087FB" w14:textId="77777777" w:rsidR="00163A5F" w:rsidRPr="00932EC5" w:rsidRDefault="00A43C34">
      <w:pPr>
        <w:widowControl w:val="0"/>
        <w:spacing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w:t>
      </w:r>
      <w:r w:rsidRPr="00932EC5">
        <w:rPr>
          <w:rFonts w:ascii="Palatino Linotype" w:eastAsia="Palatino Linotype" w:hAnsi="Palatino Linotype" w:cs="Palatino Linotype"/>
          <w:sz w:val="22"/>
          <w:szCs w:val="22"/>
        </w:rPr>
        <w:lastRenderedPageBreak/>
        <w:t>requisitos para configurar la relación laboral entre estos y las instituciones públicas, debiendo ser expedidos por quien tenga facultades para ello.</w:t>
      </w:r>
    </w:p>
    <w:p w14:paraId="1E3D610E"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sz w:val="22"/>
          <w:szCs w:val="22"/>
        </w:rPr>
      </w:pPr>
      <w:r w:rsidRPr="00932EC5">
        <w:rPr>
          <w:rFonts w:ascii="Palatino Linotype" w:eastAsia="Palatino Linotype" w:hAnsi="Palatino Linotype" w:cs="Palatino Linotype"/>
          <w:sz w:val="22"/>
          <w:szCs w:val="22"/>
        </w:rPr>
        <w:t xml:space="preserve">Por otro lado, es oportuno mencionar que de conformidad con el artículo 10 de la Ley Orgánica de la Administración Pública del Estado de México, la persona titular del poder ejecutivo cuneta con la facultad de nombrar y remover libremente a las personas servidoras públicas de la administración pública, </w:t>
      </w:r>
      <w:r w:rsidRPr="00932EC5">
        <w:rPr>
          <w:rFonts w:ascii="Palatino Linotype" w:eastAsia="Palatino Linotype" w:hAnsi="Palatino Linotype" w:cs="Palatino Linotype"/>
          <w:b/>
          <w:sz w:val="22"/>
          <w:szCs w:val="22"/>
        </w:rPr>
        <w:t>cuyo nombramiento o remoción no esté determinado de otro modo en la Constitución o en las leyes del Estado.</w:t>
      </w:r>
    </w:p>
    <w:p w14:paraId="33C12AC2"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concordancia con lo anterior, el artículo 7 del Reglamento Interior de la Secretaría de la Contraloría dispone que la persona titular de la Secretaría cuenta con la atribución de acordar con la persona titular del poder ejecutivo </w:t>
      </w:r>
      <w:r w:rsidRPr="00932EC5">
        <w:rPr>
          <w:rFonts w:ascii="Palatino Linotype" w:eastAsia="Palatino Linotype" w:hAnsi="Palatino Linotype" w:cs="Palatino Linotype"/>
          <w:b/>
          <w:sz w:val="22"/>
          <w:szCs w:val="22"/>
        </w:rPr>
        <w:t xml:space="preserve">los nombramientos de las personas titulares de las unidades administrativas </w:t>
      </w:r>
      <w:r w:rsidRPr="00932EC5">
        <w:rPr>
          <w:rFonts w:ascii="Palatino Linotype" w:eastAsia="Palatino Linotype" w:hAnsi="Palatino Linotype" w:cs="Palatino Linotype"/>
          <w:b/>
          <w:sz w:val="22"/>
          <w:szCs w:val="22"/>
          <w:u w:val="single"/>
        </w:rPr>
        <w:t>de mando superior</w:t>
      </w:r>
      <w:r w:rsidRPr="00932EC5">
        <w:rPr>
          <w:rFonts w:ascii="Palatino Linotype" w:eastAsia="Palatino Linotype" w:hAnsi="Palatino Linotype" w:cs="Palatino Linotype"/>
          <w:b/>
          <w:sz w:val="22"/>
          <w:szCs w:val="22"/>
        </w:rPr>
        <w:t xml:space="preserve"> adscritas a la dependencia</w:t>
      </w:r>
      <w:r w:rsidRPr="00932EC5">
        <w:rPr>
          <w:rFonts w:ascii="Palatino Linotype" w:eastAsia="Palatino Linotype" w:hAnsi="Palatino Linotype" w:cs="Palatino Linotype"/>
          <w:sz w:val="22"/>
          <w:szCs w:val="22"/>
        </w:rPr>
        <w:t xml:space="preserve"> y disponer, en el ámbito de su competencia, lo relativo a las demás unidades administrativas y las personas servidoras públicas, cuyo nombramiento no esté determinado de otra manera, como se lee en seguida:</w:t>
      </w:r>
    </w:p>
    <w:p w14:paraId="149211B2" w14:textId="77777777" w:rsidR="00163A5F" w:rsidRPr="00932EC5" w:rsidRDefault="00A43C34">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7.</w:t>
      </w:r>
      <w:r w:rsidRPr="00932EC5">
        <w:rPr>
          <w:rFonts w:ascii="Palatino Linotype" w:eastAsia="Palatino Linotype" w:hAnsi="Palatino Linotype" w:cs="Palatino Linotype"/>
          <w:i/>
          <w:sz w:val="22"/>
          <w:szCs w:val="22"/>
        </w:rPr>
        <w:t xml:space="preserve"> Corresponden a la persona titular de la Secretaría las atribuciones siguientes:</w:t>
      </w:r>
    </w:p>
    <w:p w14:paraId="42BD9C80" w14:textId="77777777" w:rsidR="00163A5F" w:rsidRPr="00932EC5" w:rsidRDefault="00A43C34">
      <w:pPr>
        <w:pBdr>
          <w:top w:val="nil"/>
          <w:left w:val="nil"/>
          <w:bottom w:val="nil"/>
          <w:right w:val="nil"/>
          <w:between w:val="nil"/>
        </w:pBdr>
        <w:spacing w:before="240" w:after="24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7F29B53C" w14:textId="77777777" w:rsidR="00163A5F" w:rsidRPr="00932EC5" w:rsidRDefault="00A43C34">
      <w:pPr>
        <w:pBdr>
          <w:top w:val="nil"/>
          <w:left w:val="nil"/>
          <w:bottom w:val="nil"/>
          <w:right w:val="nil"/>
          <w:between w:val="nil"/>
        </w:pBdr>
        <w:spacing w:before="240" w:after="24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XII.</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 xml:space="preserve">Acordar con la persona titular del Poder Ejecutivo Estatal los nombramientos, licencias y remociones de las personas titulares de las unidades administrativas </w:t>
      </w:r>
      <w:r w:rsidRPr="00932EC5">
        <w:rPr>
          <w:rFonts w:ascii="Palatino Linotype" w:eastAsia="Palatino Linotype" w:hAnsi="Palatino Linotype" w:cs="Palatino Linotype"/>
          <w:b/>
          <w:i/>
          <w:sz w:val="22"/>
          <w:szCs w:val="22"/>
          <w:u w:val="single"/>
        </w:rPr>
        <w:t>de mando superior</w:t>
      </w:r>
      <w:r w:rsidRPr="00932EC5">
        <w:rPr>
          <w:rFonts w:ascii="Palatino Linotype" w:eastAsia="Palatino Linotype" w:hAnsi="Palatino Linotype" w:cs="Palatino Linotype"/>
          <w:b/>
          <w:i/>
          <w:sz w:val="22"/>
          <w:szCs w:val="22"/>
        </w:rPr>
        <w:t xml:space="preserve"> adscritas a la dependencia</w:t>
      </w:r>
      <w:r w:rsidRPr="00932EC5">
        <w:rPr>
          <w:rFonts w:ascii="Palatino Linotype" w:eastAsia="Palatino Linotype" w:hAnsi="Palatino Linotype" w:cs="Palatino Linotype"/>
          <w:i/>
          <w:sz w:val="22"/>
          <w:szCs w:val="22"/>
        </w:rPr>
        <w:t xml:space="preserve"> y disponer, en el ámbito de su competencia, lo relativo a las demás unidades administrativas y las personas servidoras públicas, cuyo nombramiento no esté determinado de otra manera;”</w:t>
      </w:r>
    </w:p>
    <w:p w14:paraId="7E1ABDB9"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este tenor, se precisa que de conformidad con la información disponible en el portal de Información Pública de Oficio Mexiquense, IPOMEX, en cumplimiento a la obligación de transparencia prevista en el artículo 92, fracción VII de la Ley de Transparencia y Acceso a la Información Pública del Estado de México y Municipios, relativa a la remuneración bruta </w:t>
      </w:r>
      <w:r w:rsidRPr="00932EC5">
        <w:rPr>
          <w:rFonts w:ascii="Palatino Linotype" w:eastAsia="Palatino Linotype" w:hAnsi="Palatino Linotype" w:cs="Palatino Linotype"/>
          <w:sz w:val="22"/>
          <w:szCs w:val="22"/>
        </w:rPr>
        <w:lastRenderedPageBreak/>
        <w:t>y neta de todos los servidores públicos, se advirtió que la persona referida en la solicitud, ocupó un puesto con clave o nivel 28-D, como se ilustra a continuación para mejor referencia:</w:t>
      </w:r>
    </w:p>
    <w:p w14:paraId="62ED5705"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 </w:t>
      </w:r>
    </w:p>
    <w:p w14:paraId="46303B8C" w14:textId="77777777" w:rsidR="00163A5F" w:rsidRPr="00932EC5" w:rsidRDefault="00163A5F">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p>
    <w:p w14:paraId="436956CE"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drawing>
          <wp:inline distT="0" distB="0" distL="0" distR="0" wp14:anchorId="368CB22C" wp14:editId="4E9C00B3">
            <wp:extent cx="5612130" cy="1955165"/>
            <wp:effectExtent l="0" t="0" r="0" b="0"/>
            <wp:docPr id="20483349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612130" cy="1955165"/>
                    </a:xfrm>
                    <a:prstGeom prst="rect">
                      <a:avLst/>
                    </a:prstGeom>
                    <a:ln/>
                  </pic:spPr>
                </pic:pic>
              </a:graphicData>
            </a:graphic>
          </wp:inline>
        </w:drawing>
      </w:r>
      <w:r w:rsidRPr="00932EC5">
        <w:rPr>
          <w:noProof/>
        </w:rPr>
        <mc:AlternateContent>
          <mc:Choice Requires="wpg">
            <w:drawing>
              <wp:anchor distT="0" distB="0" distL="114300" distR="114300" simplePos="0" relativeHeight="251663360" behindDoc="0" locked="0" layoutInCell="1" hidden="0" allowOverlap="1" wp14:anchorId="51D3AE24" wp14:editId="40CC701F">
                <wp:simplePos x="0" y="0"/>
                <wp:positionH relativeFrom="column">
                  <wp:posOffset>3111500</wp:posOffset>
                </wp:positionH>
                <wp:positionV relativeFrom="paragraph">
                  <wp:posOffset>1079500</wp:posOffset>
                </wp:positionV>
                <wp:extent cx="439922" cy="102869"/>
                <wp:effectExtent l="0" t="0" r="0" b="0"/>
                <wp:wrapNone/>
                <wp:docPr id="2048334959" name="Conector recto de flecha 2048334959"/>
                <wp:cNvGraphicFramePr/>
                <a:graphic xmlns:a="http://schemas.openxmlformats.org/drawingml/2006/main">
                  <a:graphicData uri="http://schemas.microsoft.com/office/word/2010/wordprocessingShape">
                    <wps:wsp>
                      <wps:cNvCnPr/>
                      <wps:spPr>
                        <a:xfrm flipH="1">
                          <a:off x="5154614" y="3757141"/>
                          <a:ext cx="382772" cy="45719"/>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3111500</wp:posOffset>
                </wp:positionH>
                <wp:positionV relativeFrom="paragraph">
                  <wp:posOffset>1079500</wp:posOffset>
                </wp:positionV>
                <wp:extent cx="439922" cy="102869"/>
                <wp:effectExtent b="0" l="0" r="0" t="0"/>
                <wp:wrapNone/>
                <wp:docPr id="2048334959"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439922" cy="102869"/>
                        </a:xfrm>
                        <a:prstGeom prst="rect"/>
                        <a:ln/>
                      </pic:spPr>
                    </pic:pic>
                  </a:graphicData>
                </a:graphic>
              </wp:anchor>
            </w:drawing>
          </mc:Fallback>
        </mc:AlternateContent>
      </w:r>
    </w:p>
    <w:p w14:paraId="3B33FAB9"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Al respecto, cabe señalar que de conformidad con el Tabulador de sueldos del sector central de la administración pública del Estado de México aprobado mediante el Decreto número 226 por el que se aprueba el Presupuesto de Egresos del Gobierno del Estado de México para el ejercicio fiscal 2024, publicado en el Periódico Oficial “Gaceta del Gobierno” del Estado de México, el veintiocho de diciembre de dos mil veintitrés, dicho puesto corresponde con la clasificación de mando medio de estructura, como se ilustra a continuación, para mejor entendimiento:</w:t>
      </w:r>
    </w:p>
    <w:p w14:paraId="54265589"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lastRenderedPageBreak/>
        <w:drawing>
          <wp:inline distT="0" distB="0" distL="0" distR="0" wp14:anchorId="7DF63551" wp14:editId="69685F62">
            <wp:extent cx="5612130" cy="2074545"/>
            <wp:effectExtent l="0" t="0" r="0" b="0"/>
            <wp:docPr id="20483349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612130" cy="2074545"/>
                    </a:xfrm>
                    <a:prstGeom prst="rect">
                      <a:avLst/>
                    </a:prstGeom>
                    <a:ln/>
                  </pic:spPr>
                </pic:pic>
              </a:graphicData>
            </a:graphic>
          </wp:inline>
        </w:drawing>
      </w:r>
      <w:r w:rsidRPr="00932EC5">
        <w:rPr>
          <w:noProof/>
        </w:rPr>
        <mc:AlternateContent>
          <mc:Choice Requires="wpg">
            <w:drawing>
              <wp:anchor distT="0" distB="0" distL="114300" distR="114300" simplePos="0" relativeHeight="251664384" behindDoc="0" locked="0" layoutInCell="1" hidden="0" allowOverlap="1" wp14:anchorId="64200F49" wp14:editId="3CF757CF">
                <wp:simplePos x="0" y="0"/>
                <wp:positionH relativeFrom="column">
                  <wp:posOffset>1714500</wp:posOffset>
                </wp:positionH>
                <wp:positionV relativeFrom="paragraph">
                  <wp:posOffset>203200</wp:posOffset>
                </wp:positionV>
                <wp:extent cx="2153979" cy="229486"/>
                <wp:effectExtent l="0" t="0" r="0" b="0"/>
                <wp:wrapNone/>
                <wp:docPr id="2048334960" name="Rectángulo 2048334960"/>
                <wp:cNvGraphicFramePr/>
                <a:graphic xmlns:a="http://schemas.openxmlformats.org/drawingml/2006/main">
                  <a:graphicData uri="http://schemas.microsoft.com/office/word/2010/wordprocessingShape">
                    <wps:wsp>
                      <wps:cNvSpPr/>
                      <wps:spPr>
                        <a:xfrm>
                          <a:off x="4288061" y="3684307"/>
                          <a:ext cx="2115879" cy="191386"/>
                        </a:xfrm>
                        <a:prstGeom prst="rect">
                          <a:avLst/>
                        </a:prstGeom>
                        <a:noFill/>
                        <a:ln w="38100" cap="flat" cmpd="sng">
                          <a:solidFill>
                            <a:srgbClr val="C00000"/>
                          </a:solidFill>
                          <a:prstDash val="solid"/>
                          <a:round/>
                          <a:headEnd type="none" w="sm" len="sm"/>
                          <a:tailEnd type="none" w="sm" len="sm"/>
                        </a:ln>
                      </wps:spPr>
                      <wps:txbx>
                        <w:txbxContent>
                          <w:p w14:paraId="741E864A" w14:textId="77777777" w:rsidR="00163A5F" w:rsidRDefault="00163A5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1714500</wp:posOffset>
                </wp:positionH>
                <wp:positionV relativeFrom="paragraph">
                  <wp:posOffset>203200</wp:posOffset>
                </wp:positionV>
                <wp:extent cx="2153979" cy="229486"/>
                <wp:effectExtent b="0" l="0" r="0" t="0"/>
                <wp:wrapNone/>
                <wp:docPr id="2048334960"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2153979" cy="229486"/>
                        </a:xfrm>
                        <a:prstGeom prst="rect"/>
                        <a:ln/>
                      </pic:spPr>
                    </pic:pic>
                  </a:graphicData>
                </a:graphic>
              </wp:anchor>
            </w:drawing>
          </mc:Fallback>
        </mc:AlternateContent>
      </w:r>
      <w:r w:rsidRPr="00932EC5">
        <w:rPr>
          <w:noProof/>
        </w:rPr>
        <mc:AlternateContent>
          <mc:Choice Requires="wpg">
            <w:drawing>
              <wp:anchor distT="0" distB="0" distL="114300" distR="114300" simplePos="0" relativeHeight="251665408" behindDoc="0" locked="0" layoutInCell="1" hidden="0" allowOverlap="1" wp14:anchorId="77F07670" wp14:editId="5EFCA983">
                <wp:simplePos x="0" y="0"/>
                <wp:positionH relativeFrom="column">
                  <wp:posOffset>38101</wp:posOffset>
                </wp:positionH>
                <wp:positionV relativeFrom="paragraph">
                  <wp:posOffset>1676400</wp:posOffset>
                </wp:positionV>
                <wp:extent cx="824909" cy="229487"/>
                <wp:effectExtent l="0" t="0" r="0" b="0"/>
                <wp:wrapNone/>
                <wp:docPr id="2048334964" name="Rectángulo 2048334964"/>
                <wp:cNvGraphicFramePr/>
                <a:graphic xmlns:a="http://schemas.openxmlformats.org/drawingml/2006/main">
                  <a:graphicData uri="http://schemas.microsoft.com/office/word/2010/wordprocessingShape">
                    <wps:wsp>
                      <wps:cNvSpPr/>
                      <wps:spPr>
                        <a:xfrm>
                          <a:off x="4952596" y="3684307"/>
                          <a:ext cx="786809" cy="191387"/>
                        </a:xfrm>
                        <a:prstGeom prst="rect">
                          <a:avLst/>
                        </a:prstGeom>
                        <a:noFill/>
                        <a:ln w="38100" cap="flat" cmpd="sng">
                          <a:solidFill>
                            <a:srgbClr val="C00000"/>
                          </a:solidFill>
                          <a:prstDash val="solid"/>
                          <a:round/>
                          <a:headEnd type="none" w="sm" len="sm"/>
                          <a:tailEnd type="none" w="sm" len="sm"/>
                        </a:ln>
                      </wps:spPr>
                      <wps:txbx>
                        <w:txbxContent>
                          <w:p w14:paraId="35A6C8BD" w14:textId="77777777" w:rsidR="00163A5F" w:rsidRDefault="00163A5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38101</wp:posOffset>
                </wp:positionH>
                <wp:positionV relativeFrom="paragraph">
                  <wp:posOffset>1676400</wp:posOffset>
                </wp:positionV>
                <wp:extent cx="824909" cy="229487"/>
                <wp:effectExtent b="0" l="0" r="0" t="0"/>
                <wp:wrapNone/>
                <wp:docPr id="2048334964"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824909" cy="229487"/>
                        </a:xfrm>
                        <a:prstGeom prst="rect"/>
                        <a:ln/>
                      </pic:spPr>
                    </pic:pic>
                  </a:graphicData>
                </a:graphic>
              </wp:anchor>
            </w:drawing>
          </mc:Fallback>
        </mc:AlternateContent>
      </w:r>
    </w:p>
    <w:p w14:paraId="5DAC49CD"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Atento a lo anterior, cobra relevancia el pronunciamiento emitido por el servidor público habilitado de la Coordinación Administrativa, quien señaló que derivado de la búsqueda exhaustiva de la información en los archivos físicos y electrónicos, no se localizó información que corresponda con lo solicitado, sin embargo, precisó que el FUMP acredita la categoría que ocupó la persona referida en la solicitud, además que de conformidad con el Procedimiento 021 ALTA O REINGRESO DE SERVIDORAS PÚBLICAS Y SERVIDORES PÚBLICOS GENERALES Y DE CONFIANZA, del Manual de Normas y Procedimientos de Desarrollo y Administración de personal, específicamente en las Normas 20301/021-05 y 2030/021-15, </w:t>
      </w:r>
      <w:r w:rsidRPr="00932EC5">
        <w:rPr>
          <w:rFonts w:ascii="Palatino Linotype" w:eastAsia="Palatino Linotype" w:hAnsi="Palatino Linotype" w:cs="Palatino Linotype"/>
          <w:b/>
          <w:sz w:val="22"/>
          <w:szCs w:val="22"/>
        </w:rPr>
        <w:t xml:space="preserve">el </w:t>
      </w:r>
      <w:r w:rsidRPr="00932EC5">
        <w:rPr>
          <w:rFonts w:ascii="Palatino Linotype" w:eastAsia="Palatino Linotype" w:hAnsi="Palatino Linotype" w:cs="Palatino Linotype"/>
          <w:b/>
          <w:sz w:val="22"/>
          <w:szCs w:val="22"/>
          <w:u w:val="single"/>
        </w:rPr>
        <w:t>Formato Único de Movimientos de Personal, FUMP</w:t>
      </w:r>
      <w:r w:rsidRPr="00932EC5">
        <w:rPr>
          <w:rFonts w:ascii="Palatino Linotype" w:eastAsia="Palatino Linotype" w:hAnsi="Palatino Linotype" w:cs="Palatino Linotype"/>
          <w:sz w:val="22"/>
          <w:szCs w:val="22"/>
          <w:u w:val="single"/>
        </w:rPr>
        <w:t>,</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 xml:space="preserve">es el único documento válido para trámites oficiales </w:t>
      </w:r>
      <w:r w:rsidRPr="00932EC5">
        <w:rPr>
          <w:rFonts w:ascii="Palatino Linotype" w:eastAsia="Palatino Linotype" w:hAnsi="Palatino Linotype" w:cs="Palatino Linotype"/>
          <w:b/>
          <w:sz w:val="22"/>
          <w:szCs w:val="22"/>
          <w:u w:val="single"/>
        </w:rPr>
        <w:t>como nombramiento</w:t>
      </w:r>
      <w:r w:rsidRPr="00932EC5">
        <w:rPr>
          <w:rFonts w:ascii="Palatino Linotype" w:eastAsia="Palatino Linotype" w:hAnsi="Palatino Linotype" w:cs="Palatino Linotype"/>
          <w:b/>
          <w:sz w:val="22"/>
          <w:szCs w:val="22"/>
        </w:rPr>
        <w:t xml:space="preserve"> y para realizar el alta de un servidor público.</w:t>
      </w:r>
    </w:p>
    <w:p w14:paraId="35981FEE"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Por consiguiente, se estima que en el presente asunto el Formato Único de Movimientos de Personal de alta, es el documento mediante el cual se estableció la relación de trabajo entre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y la persona referida en la solicitud, siendo este documento el que atiende la pretensión de la persona solicitante, y sin bien, el mismo fue proporcionado en respuesta a la solicitud, así como en la etapa de manifestaciones, no escapa de la óptica de este Organismo Garante que el mismo no es legible, al no advertirse de manera clara por </w:t>
      </w:r>
      <w:r w:rsidRPr="00932EC5">
        <w:rPr>
          <w:rFonts w:ascii="Palatino Linotype" w:eastAsia="Palatino Linotype" w:hAnsi="Palatino Linotype" w:cs="Palatino Linotype"/>
          <w:sz w:val="22"/>
          <w:szCs w:val="22"/>
        </w:rPr>
        <w:lastRenderedPageBreak/>
        <w:t>ejemplo, las prestaciones y deducciones, la fecha de ingreso, ente otros datos, como se ilustra a continuación:</w:t>
      </w:r>
    </w:p>
    <w:p w14:paraId="280DBADD"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drawing>
          <wp:inline distT="0" distB="0" distL="0" distR="0" wp14:anchorId="1DFFE620" wp14:editId="7D2C23CD">
            <wp:extent cx="5612130" cy="1619250"/>
            <wp:effectExtent l="0" t="0" r="0" b="0"/>
            <wp:docPr id="20483349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612130" cy="1619250"/>
                    </a:xfrm>
                    <a:prstGeom prst="rect">
                      <a:avLst/>
                    </a:prstGeom>
                    <a:ln/>
                  </pic:spPr>
                </pic:pic>
              </a:graphicData>
            </a:graphic>
          </wp:inline>
        </w:drawing>
      </w:r>
    </w:p>
    <w:p w14:paraId="31C67C1D"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Además, es oportuno mencionar que si bien el Formato Único de Movimientos de Personal de alta se proporcionó en versión pública, en donde se testaron datos como confidenciales, como domicilio, lugar de nacimiento, RFC, fecha de nacimiento, CURP, estado civil, con los cuales se coincide toda vez que los mismos constituyen datos personales que no abonan a la transparencia ni a la rendición de cuentas, por el contrario, su publicidad vulneraría la esfera más íntima de privacidad de su titular, por ello son susceptibles de ser clasificados como confidenciales a la luz del artículo 143, fracción I de la Ley de Transparencia y Acceso a la Información Pública del Estado de México y Municipios.</w:t>
      </w:r>
    </w:p>
    <w:p w14:paraId="2694377C"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Sin embargo, también se testaron los datos correspondientes al tipo de sindicato, la clave de servidor público, el código QR, y la cadena de firma, no obstante, en la resolución derivada del Acuerdo del Comité de Transparencia no ACT/SECOGEM/EXT/COMT/19ª/2024/QUINTO, no se advierten las razones fundadas y motivadas por las cuales, en el presente caso, dichos datos son susceptibles de ser clasificados como confidenciales, ya que no se acredita que estos se vinculen con datos personales, como se lee en seguida:</w:t>
      </w:r>
    </w:p>
    <w:p w14:paraId="1F214672" w14:textId="77777777" w:rsidR="00163A5F" w:rsidRPr="00932EC5" w:rsidRDefault="00A43C34">
      <w:pPr>
        <w:pBdr>
          <w:top w:val="nil"/>
          <w:left w:val="nil"/>
          <w:bottom w:val="nil"/>
          <w:right w:val="nil"/>
          <w:between w:val="nil"/>
        </w:pBdr>
        <w:spacing w:before="240" w:after="240" w:line="360" w:lineRule="auto"/>
        <w:ind w:right="49"/>
        <w:jc w:val="center"/>
        <w:rPr>
          <w:rFonts w:ascii="Palatino Linotype" w:eastAsia="Palatino Linotype" w:hAnsi="Palatino Linotype" w:cs="Palatino Linotype"/>
          <w:sz w:val="22"/>
          <w:szCs w:val="22"/>
        </w:rPr>
      </w:pPr>
      <w:r w:rsidRPr="00932EC5">
        <w:rPr>
          <w:rFonts w:ascii="Palatino Linotype" w:eastAsia="Palatino Linotype" w:hAnsi="Palatino Linotype" w:cs="Palatino Linotype"/>
          <w:noProof/>
          <w:sz w:val="22"/>
          <w:szCs w:val="22"/>
        </w:rPr>
        <w:lastRenderedPageBreak/>
        <w:drawing>
          <wp:inline distT="0" distB="0" distL="0" distR="0" wp14:anchorId="216668EF" wp14:editId="70D45D3B">
            <wp:extent cx="4500000" cy="2449084"/>
            <wp:effectExtent l="0" t="0" r="0" b="0"/>
            <wp:docPr id="20483349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500000" cy="2449084"/>
                    </a:xfrm>
                    <a:prstGeom prst="rect">
                      <a:avLst/>
                    </a:prstGeom>
                    <a:ln/>
                  </pic:spPr>
                </pic:pic>
              </a:graphicData>
            </a:graphic>
          </wp:inline>
        </w:drawing>
      </w:r>
    </w:p>
    <w:p w14:paraId="5A98584E"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Al respecto, es oportuno mencionar que la afiliación sindical no es un dato que actualice la hipótesis prevista en el artículo 143, fracción I de la Ley de Transparencia y Acceso a la Información Pública del Estado de México y Municipios, en virtud de que de conformidad con el artículo 102, fracción III de la misma Ley, el padrón de socios, afiliados o análogos es información que es de carácter público, asimismo, no debe perderse de vista que en el caso particular, el puesto que ocupó de la persona referida es de confianza, por tal motivo, la calidad de sindicalizado no pudo coexistir con el puesto de confianza durante la relación laboral, como se desprende del artículo 11 de la Ley del Trabajo de los Servidores Públicos del Estado de México y Municipios, a saber:</w:t>
      </w:r>
    </w:p>
    <w:p w14:paraId="2180A0D3" w14:textId="77777777" w:rsidR="00163A5F" w:rsidRPr="00932EC5" w:rsidRDefault="00A43C3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11</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Los servidores públicos generales podrán ocupar puestos de confianza.</w:t>
      </w:r>
      <w:r w:rsidRPr="00932EC5">
        <w:rPr>
          <w:rFonts w:ascii="Palatino Linotype" w:eastAsia="Palatino Linotype" w:hAnsi="Palatino Linotype" w:cs="Palatino Linotype"/>
          <w:i/>
          <w:sz w:val="22"/>
          <w:szCs w:val="22"/>
        </w:rPr>
        <w:t xml:space="preserve"> Para este efecto, </w:t>
      </w:r>
      <w:r w:rsidRPr="00932EC5">
        <w:rPr>
          <w:rFonts w:ascii="Palatino Linotype" w:eastAsia="Palatino Linotype" w:hAnsi="Palatino Linotype" w:cs="Palatino Linotype"/>
          <w:i/>
          <w:sz w:val="22"/>
          <w:szCs w:val="22"/>
          <w:u w:val="single"/>
        </w:rPr>
        <w:t>e</w:t>
      </w:r>
      <w:r w:rsidRPr="00932EC5">
        <w:rPr>
          <w:rFonts w:ascii="Palatino Linotype" w:eastAsia="Palatino Linotype" w:hAnsi="Palatino Linotype" w:cs="Palatino Linotype"/>
          <w:b/>
          <w:i/>
          <w:sz w:val="22"/>
          <w:szCs w:val="22"/>
          <w:u w:val="single"/>
        </w:rPr>
        <w:t>n caso de ser sindicalizados podrán renunciar a esa condición</w:t>
      </w:r>
      <w:r w:rsidRPr="00932EC5">
        <w:rPr>
          <w:rFonts w:ascii="Palatino Linotype" w:eastAsia="Palatino Linotype" w:hAnsi="Palatino Linotype" w:cs="Palatino Linotype"/>
          <w:i/>
          <w:sz w:val="22"/>
          <w:szCs w:val="22"/>
        </w:rPr>
        <w:t xml:space="preserve">, o bien obtener licencia del sindicato correspondiente antes de ocupar dicho puesto. </w:t>
      </w:r>
    </w:p>
    <w:p w14:paraId="5EA67520" w14:textId="77777777" w:rsidR="00163A5F" w:rsidRPr="00932EC5" w:rsidRDefault="00A43C3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0"/>
          <w:szCs w:val="20"/>
        </w:rPr>
      </w:pPr>
      <w:r w:rsidRPr="00932EC5">
        <w:rPr>
          <w:rFonts w:ascii="Palatino Linotype" w:eastAsia="Palatino Linotype" w:hAnsi="Palatino Linotype" w:cs="Palatino Linotype"/>
          <w:i/>
          <w:sz w:val="22"/>
          <w:szCs w:val="22"/>
        </w:rPr>
        <w:t xml:space="preserve">Para este efecto, </w:t>
      </w:r>
      <w:r w:rsidRPr="00932EC5">
        <w:rPr>
          <w:rFonts w:ascii="Palatino Linotype" w:eastAsia="Palatino Linotype" w:hAnsi="Palatino Linotype" w:cs="Palatino Linotype"/>
          <w:b/>
          <w:i/>
          <w:sz w:val="22"/>
          <w:szCs w:val="22"/>
        </w:rPr>
        <w:t>en caso de ser sindicalizados deberán renunciar a esa condición</w:t>
      </w:r>
      <w:r w:rsidRPr="00932EC5">
        <w:rPr>
          <w:rFonts w:ascii="Palatino Linotype" w:eastAsia="Palatino Linotype" w:hAnsi="Palatino Linotype" w:cs="Palatino Linotype"/>
          <w:i/>
          <w:sz w:val="22"/>
          <w:szCs w:val="22"/>
        </w:rPr>
        <w:t>, o bien obtener licencia del sindicato correspondiente con antelación para ocupar dicho puesto.”</w:t>
      </w:r>
    </w:p>
    <w:p w14:paraId="32E8287D"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Por otro lado, respecto del número de ID de empleado, debe precisarse que este constituye un código, en virtud del cual, los trabajadores pueden acceder a un sistema de datos o </w:t>
      </w:r>
      <w:r w:rsidRPr="00932EC5">
        <w:rPr>
          <w:rFonts w:ascii="Palatino Linotype" w:eastAsia="Palatino Linotype" w:hAnsi="Palatino Linotype" w:cs="Palatino Linotype"/>
          <w:sz w:val="22"/>
          <w:szCs w:val="22"/>
        </w:rPr>
        <w:lastRenderedPageBreak/>
        <w:t>información de la dependencia o entidad a la que pertenecen, a fin de presentar consultas relacionadas con su situación laboral particular, siendo un número único, permanente e intransferible que se asigna para llevar un registro de los trabajadores.</w:t>
      </w:r>
    </w:p>
    <w:p w14:paraId="0F66116A"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59B6C65B" w14:textId="77777777" w:rsidR="00163A5F" w:rsidRPr="00932EC5" w:rsidRDefault="00A43C34">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Número de empleado</w:t>
      </w:r>
      <w:r w:rsidRPr="00932EC5">
        <w:rPr>
          <w:rFonts w:ascii="Palatino Linotype" w:eastAsia="Palatino Linotype" w:hAnsi="Palatino Linotype" w:cs="Palatino Linotype"/>
          <w:i/>
          <w:sz w:val="22"/>
          <w:szCs w:val="22"/>
        </w:rPr>
        <w:t>.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3E46966"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w:t>
      </w:r>
    </w:p>
    <w:p w14:paraId="7CAC4DCF"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el caso concreto, el Sujeto Obligado no justificó la clasificación del dato en estudio, ya que no precisó si este se integraba por datos personales, o bien, si era usado por sí mismo, para acceder a algún sistema en el que se administre información personal, en consecuencia deberá acatar lo establecido en líneas anteriores y de ser procedente, entregará el número de empleado o equivalente de los servidores públicos materia de la solicitud, o en su caso, </w:t>
      </w:r>
      <w:r w:rsidRPr="00932EC5">
        <w:rPr>
          <w:rFonts w:ascii="Palatino Linotype" w:eastAsia="Palatino Linotype" w:hAnsi="Palatino Linotype" w:cs="Palatino Linotype"/>
          <w:sz w:val="22"/>
          <w:szCs w:val="22"/>
        </w:rPr>
        <w:lastRenderedPageBreak/>
        <w:t>los clasificará como información confidencial, a través del Acuerdo emitido por su Comité de Transparencia conforme a la Ley de la Materia.</w:t>
      </w:r>
    </w:p>
    <w:p w14:paraId="793203A5"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Finalmente, respecto al Código QR y la cadena de firma, no justificó si estos contenían datos personales, como pudiera ser el Registro Federal de Contribuyentes, la Clave Única del Registro de Población, entre otros no susceptibles de conocimiento público que, de difundirse, pudieran vulnerar la esfera más íntima de privacidad de su titular, sino que se limitó a referir que se trata de una secuencia de números y letras que al ser insertados en algún buscador de internet da a conocer información que hace plenamente identificable a una persona, asimismo que se podía tener acceso a diversa información como datos personales, sin embargo, no precisó el sistema que refiere y los datos personales que se pueden obtener, por ello, no se tiene certeza sobre la procedencia de la clasificación de dichos datos.</w:t>
      </w:r>
    </w:p>
    <w:p w14:paraId="0EC2BE1E" w14:textId="77777777" w:rsidR="00163A5F" w:rsidRPr="00932EC5" w:rsidRDefault="00A43C3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En tal virtud, se estima que para tener por satisfecho el Derecho de acceso de la persona solicitante, es necesario que se remita el Formato Único de Movimientos de Personal de alta de la persona referida en la solicitud en correcta versión pública de conformidad con el considerando siguiente, debidamente digitalizado.</w:t>
      </w:r>
    </w:p>
    <w:p w14:paraId="60042B09" w14:textId="77777777" w:rsidR="00163A5F" w:rsidRPr="00932EC5" w:rsidRDefault="00A43C34">
      <w:pP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De lo hasta aquí expuesto, se concluye que los motivos de inconformidad de la parte </w:t>
      </w:r>
      <w:r w:rsidRPr="00932EC5">
        <w:rPr>
          <w:rFonts w:ascii="Palatino Linotype" w:eastAsia="Palatino Linotype" w:hAnsi="Palatino Linotype" w:cs="Palatino Linotype"/>
          <w:b/>
          <w:sz w:val="22"/>
          <w:szCs w:val="22"/>
        </w:rPr>
        <w:t xml:space="preserve">Recurrente </w:t>
      </w:r>
      <w:r w:rsidRPr="00932EC5">
        <w:rPr>
          <w:rFonts w:ascii="Palatino Linotype" w:eastAsia="Palatino Linotype" w:hAnsi="Palatino Linotype" w:cs="Palatino Linotype"/>
          <w:sz w:val="22"/>
          <w:szCs w:val="22"/>
        </w:rPr>
        <w:t xml:space="preserve">devienen fundados, siendo procedente </w:t>
      </w:r>
      <w:r w:rsidRPr="00932EC5">
        <w:rPr>
          <w:rFonts w:ascii="Palatino Linotype" w:eastAsia="Palatino Linotype" w:hAnsi="Palatino Linotype" w:cs="Palatino Linotype"/>
          <w:i/>
          <w:sz w:val="22"/>
          <w:szCs w:val="22"/>
        </w:rPr>
        <w:t xml:space="preserve">Modificar </w:t>
      </w:r>
      <w:r w:rsidRPr="00932EC5">
        <w:rPr>
          <w:rFonts w:ascii="Palatino Linotype" w:eastAsia="Palatino Linotype" w:hAnsi="Palatino Linotype" w:cs="Palatino Linotype"/>
          <w:sz w:val="22"/>
          <w:szCs w:val="22"/>
        </w:rPr>
        <w:t xml:space="preserve">la respuesta proporcionada por el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1AF3E392" w14:textId="77777777" w:rsidR="00163A5F" w:rsidRPr="00932EC5" w:rsidRDefault="00A43C34">
      <w:pP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 xml:space="preserve">Quinto. Versión Pública. </w:t>
      </w:r>
      <w:r w:rsidRPr="00932EC5">
        <w:rPr>
          <w:rFonts w:ascii="Palatino Linotype" w:eastAsia="Palatino Linotype" w:hAnsi="Palatino Linotype" w:cs="Palatino Linotype"/>
          <w:sz w:val="22"/>
          <w:szCs w:val="22"/>
        </w:rPr>
        <w:t>Como fue debidamente apuntado,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w:t>
      </w:r>
      <w:r w:rsidRPr="00932EC5">
        <w:rPr>
          <w:rFonts w:ascii="Palatino Linotype" w:eastAsia="Palatino Linotype" w:hAnsi="Palatino Linotype" w:cs="Palatino Linotype"/>
          <w:sz w:val="22"/>
          <w:szCs w:val="22"/>
        </w:rPr>
        <w:lastRenderedPageBreak/>
        <w:t>considerados confidenciales, cuyo acceso debe ser restringido que deben testarse al momento de la versión pública, atento a lo siguiente:</w:t>
      </w:r>
    </w:p>
    <w:p w14:paraId="196E0FB7"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E5D9162"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69F3564"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34D02089"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sz w:val="22"/>
          <w:szCs w:val="22"/>
        </w:rPr>
        <w:t> </w:t>
      </w: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3.</w:t>
      </w:r>
      <w:r w:rsidRPr="00932EC5">
        <w:rPr>
          <w:rFonts w:ascii="Palatino Linotype" w:eastAsia="Palatino Linotype" w:hAnsi="Palatino Linotype" w:cs="Palatino Linotype"/>
          <w:i/>
          <w:sz w:val="22"/>
          <w:szCs w:val="22"/>
        </w:rPr>
        <w:t xml:space="preserve"> Para los efectos de la presente Ley se entenderá por:</w:t>
      </w:r>
    </w:p>
    <w:p w14:paraId="2F7CEE21"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66C830F7"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IX. Datos personales</w:t>
      </w:r>
      <w:r w:rsidRPr="00932EC5">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90B70CA"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36F2AEEE"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XX. Información clasificada</w:t>
      </w:r>
      <w:r w:rsidRPr="00932EC5">
        <w:rPr>
          <w:rFonts w:ascii="Palatino Linotype" w:eastAsia="Palatino Linotype" w:hAnsi="Palatino Linotype" w:cs="Palatino Linotype"/>
          <w:i/>
          <w:sz w:val="22"/>
          <w:szCs w:val="22"/>
        </w:rPr>
        <w:t>: Aquella considerada por la presente Ley como reservada o confidencial;</w:t>
      </w:r>
    </w:p>
    <w:p w14:paraId="172DA71F"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XXI. Información confidencial</w:t>
      </w:r>
      <w:r w:rsidRPr="00932EC5">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710EC0"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054FC853"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lastRenderedPageBreak/>
        <w:t>XXXII. Protección de Datos Personales</w:t>
      </w:r>
      <w:r w:rsidRPr="00932EC5">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0C4D332"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79E70418" w14:textId="77777777" w:rsidR="00163A5F" w:rsidRPr="00932EC5" w:rsidRDefault="00A43C34">
      <w:pPr>
        <w:tabs>
          <w:tab w:val="left" w:pos="1276"/>
        </w:tabs>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XLV. Versión pública</w:t>
      </w:r>
      <w:r w:rsidRPr="00932EC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E95123E"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Artículo 6</w:t>
      </w:r>
      <w:r w:rsidRPr="00932EC5">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7E9A260"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49070C26"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91.</w:t>
      </w:r>
      <w:r w:rsidRPr="00932EC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932EC5">
        <w:rPr>
          <w:rFonts w:ascii="Palatino Linotype" w:eastAsia="Palatino Linotype" w:hAnsi="Palatino Linotype" w:cs="Palatino Linotype"/>
          <w:i/>
          <w:sz w:val="22"/>
          <w:szCs w:val="22"/>
        </w:rPr>
        <w:br/>
        <w:t>…</w:t>
      </w:r>
    </w:p>
    <w:p w14:paraId="2E69EE63"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132.</w:t>
      </w:r>
      <w:r w:rsidRPr="00932EC5">
        <w:rPr>
          <w:rFonts w:ascii="Palatino Linotype" w:eastAsia="Palatino Linotype" w:hAnsi="Palatino Linotype" w:cs="Palatino Linotype"/>
          <w:i/>
          <w:sz w:val="22"/>
          <w:szCs w:val="22"/>
        </w:rPr>
        <w:t xml:space="preserve"> La clasificación de la información se llevará a cabo en el momento en que:</w:t>
      </w:r>
    </w:p>
    <w:p w14:paraId="30EB2AFA"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Se reciba una solicitud de acceso a la información;</w:t>
      </w:r>
    </w:p>
    <w:p w14:paraId="48DC7896"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w:t>
      </w:r>
      <w:r w:rsidRPr="00932EC5">
        <w:rPr>
          <w:rFonts w:ascii="Palatino Linotype" w:eastAsia="Palatino Linotype" w:hAnsi="Palatino Linotype" w:cs="Palatino Linotype"/>
          <w:i/>
          <w:sz w:val="22"/>
          <w:szCs w:val="22"/>
        </w:rPr>
        <w:t xml:space="preserve"> Se determine mediante resolución de autoridad competente; o</w:t>
      </w:r>
    </w:p>
    <w:p w14:paraId="4D0ADC12"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III.</w:t>
      </w:r>
      <w:r w:rsidRPr="00932EC5">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4A9869E"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w:t>
      </w:r>
    </w:p>
    <w:p w14:paraId="669E1A56"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137.</w:t>
      </w:r>
      <w:r w:rsidRPr="00932EC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A654542"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Artículo 143.</w:t>
      </w:r>
      <w:r w:rsidRPr="00932EC5">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A1EE404"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E1E7500" w14:textId="77777777" w:rsidR="00163A5F" w:rsidRPr="00932EC5" w:rsidRDefault="00A43C34">
      <w:pPr>
        <w:spacing w:before="240" w:after="240" w:line="360" w:lineRule="auto"/>
        <w:ind w:right="5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17B4B1B" w14:textId="77777777" w:rsidR="00163A5F" w:rsidRPr="00932EC5" w:rsidRDefault="00A43C34">
      <w:pPr>
        <w:spacing w:before="240" w:after="240" w:line="360" w:lineRule="auto"/>
        <w:ind w:right="5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1FD16F0"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932EC5">
        <w:rPr>
          <w:rFonts w:ascii="Palatino Linotype" w:eastAsia="Palatino Linotype" w:hAnsi="Palatino Linotype" w:cs="Palatino Linotype"/>
          <w:b/>
          <w:sz w:val="22"/>
          <w:szCs w:val="22"/>
        </w:rPr>
        <w:t>Registro Federal de Contribuyentes</w:t>
      </w:r>
      <w:r w:rsidRPr="00932EC5">
        <w:rPr>
          <w:rFonts w:ascii="Palatino Linotype" w:eastAsia="Palatino Linotype" w:hAnsi="Palatino Linotype" w:cs="Palatino Linotype"/>
          <w:sz w:val="22"/>
          <w:szCs w:val="22"/>
        </w:rPr>
        <w:t xml:space="preserve"> (RFC), la </w:t>
      </w:r>
      <w:r w:rsidRPr="00932EC5">
        <w:rPr>
          <w:rFonts w:ascii="Palatino Linotype" w:eastAsia="Palatino Linotype" w:hAnsi="Palatino Linotype" w:cs="Palatino Linotype"/>
          <w:b/>
          <w:sz w:val="22"/>
          <w:szCs w:val="22"/>
        </w:rPr>
        <w:t>Clave Única de Registro de Población</w:t>
      </w:r>
      <w:r w:rsidRPr="00932EC5">
        <w:rPr>
          <w:rFonts w:ascii="Palatino Linotype" w:eastAsia="Palatino Linotype" w:hAnsi="Palatino Linotype" w:cs="Palatino Linotype"/>
          <w:sz w:val="22"/>
          <w:szCs w:val="22"/>
        </w:rPr>
        <w:t xml:space="preserve"> (CURP), la </w:t>
      </w:r>
      <w:r w:rsidRPr="00932EC5">
        <w:rPr>
          <w:rFonts w:ascii="Palatino Linotype" w:eastAsia="Palatino Linotype" w:hAnsi="Palatino Linotype" w:cs="Palatino Linotype"/>
          <w:b/>
          <w:sz w:val="22"/>
          <w:szCs w:val="22"/>
        </w:rPr>
        <w:t>Clave de cualquier tipo de seguridad social</w:t>
      </w:r>
      <w:r w:rsidRPr="00932EC5">
        <w:rPr>
          <w:rFonts w:ascii="Palatino Linotype" w:eastAsia="Palatino Linotype" w:hAnsi="Palatino Linotype" w:cs="Palatino Linotype"/>
          <w:sz w:val="22"/>
          <w:szCs w:val="22"/>
        </w:rPr>
        <w:t xml:space="preserve"> (ISSEMYM, u otros), los </w:t>
      </w:r>
      <w:r w:rsidRPr="00932EC5">
        <w:rPr>
          <w:rFonts w:ascii="Palatino Linotype" w:eastAsia="Palatino Linotype" w:hAnsi="Palatino Linotype" w:cs="Palatino Linotype"/>
          <w:b/>
          <w:sz w:val="22"/>
          <w:szCs w:val="22"/>
        </w:rPr>
        <w:t>números de cuentas bancarias</w:t>
      </w:r>
      <w:r w:rsidRPr="00932EC5">
        <w:rPr>
          <w:rFonts w:ascii="Palatino Linotype" w:eastAsia="Palatino Linotype" w:hAnsi="Palatino Linotype" w:cs="Palatino Linotype"/>
          <w:sz w:val="22"/>
          <w:szCs w:val="22"/>
        </w:rPr>
        <w:t xml:space="preserve">, claves estandarizadas – interbancarias - </w:t>
      </w:r>
      <w:r w:rsidRPr="00932EC5">
        <w:rPr>
          <w:rFonts w:ascii="Palatino Linotype" w:eastAsia="Palatino Linotype" w:hAnsi="Palatino Linotype" w:cs="Palatino Linotype"/>
          <w:sz w:val="22"/>
          <w:szCs w:val="22"/>
        </w:rPr>
        <w:lastRenderedPageBreak/>
        <w:t xml:space="preserve">(CLABES) y de tarjetas, los </w:t>
      </w:r>
      <w:r w:rsidRPr="00932EC5">
        <w:rPr>
          <w:rFonts w:ascii="Palatino Linotype" w:eastAsia="Palatino Linotype" w:hAnsi="Palatino Linotype" w:cs="Palatino Linotype"/>
          <w:b/>
          <w:sz w:val="22"/>
          <w:szCs w:val="22"/>
        </w:rPr>
        <w:t>préstamos o descuentos</w:t>
      </w:r>
      <w:r w:rsidRPr="00932EC5">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932EC5">
        <w:rPr>
          <w:rFonts w:ascii="Palatino Linotype" w:eastAsia="Palatino Linotype" w:hAnsi="Palatino Linotype" w:cs="Palatino Linotype"/>
          <w:b/>
          <w:sz w:val="22"/>
          <w:szCs w:val="22"/>
        </w:rPr>
        <w:t xml:space="preserve"> número de empleado, </w:t>
      </w:r>
      <w:r w:rsidRPr="00932EC5">
        <w:rPr>
          <w:rFonts w:ascii="Palatino Linotype" w:eastAsia="Palatino Linotype" w:hAnsi="Palatino Linotype" w:cs="Palatino Linotype"/>
          <w:sz w:val="22"/>
          <w:szCs w:val="22"/>
        </w:rPr>
        <w:t xml:space="preserve">y, de ser el caso, el </w:t>
      </w:r>
      <w:r w:rsidRPr="00932EC5">
        <w:rPr>
          <w:rFonts w:ascii="Palatino Linotype" w:eastAsia="Palatino Linotype" w:hAnsi="Palatino Linotype" w:cs="Palatino Linotype"/>
          <w:b/>
          <w:sz w:val="22"/>
          <w:szCs w:val="22"/>
        </w:rPr>
        <w:t>folio fiscal</w:t>
      </w:r>
      <w:r w:rsidRPr="00932EC5">
        <w:rPr>
          <w:rFonts w:ascii="Palatino Linotype" w:eastAsia="Palatino Linotype" w:hAnsi="Palatino Linotype" w:cs="Palatino Linotype"/>
          <w:sz w:val="22"/>
          <w:szCs w:val="22"/>
        </w:rPr>
        <w:t xml:space="preserve">, la </w:t>
      </w:r>
      <w:r w:rsidRPr="00932EC5">
        <w:rPr>
          <w:rFonts w:ascii="Palatino Linotype" w:eastAsia="Palatino Linotype" w:hAnsi="Palatino Linotype" w:cs="Palatino Linotype"/>
          <w:b/>
          <w:sz w:val="22"/>
          <w:szCs w:val="22"/>
        </w:rPr>
        <w:t xml:space="preserve">cadena original, </w:t>
      </w:r>
      <w:r w:rsidRPr="00932EC5">
        <w:rPr>
          <w:rFonts w:ascii="Palatino Linotype" w:eastAsia="Palatino Linotype" w:hAnsi="Palatino Linotype" w:cs="Palatino Linotype"/>
          <w:sz w:val="22"/>
          <w:szCs w:val="22"/>
        </w:rPr>
        <w:t>los</w:t>
      </w:r>
      <w:r w:rsidRPr="00932EC5">
        <w:rPr>
          <w:rFonts w:ascii="Palatino Linotype" w:eastAsia="Palatino Linotype" w:hAnsi="Palatino Linotype" w:cs="Palatino Linotype"/>
          <w:b/>
          <w:sz w:val="22"/>
          <w:szCs w:val="22"/>
        </w:rPr>
        <w:t xml:space="preserve"> códigos bidimensionales o códigos QR,</w:t>
      </w:r>
      <w:r w:rsidRPr="00932EC5">
        <w:rPr>
          <w:rFonts w:ascii="Palatino Linotype" w:eastAsia="Palatino Linotype" w:hAnsi="Palatino Linotype" w:cs="Palatino Linotype"/>
          <w:sz w:val="22"/>
          <w:szCs w:val="22"/>
        </w:rPr>
        <w:t xml:space="preserve"> y cualquier información de carácter fiscal.</w:t>
      </w:r>
    </w:p>
    <w:p w14:paraId="5565BDA4" w14:textId="77777777" w:rsidR="00163A5F" w:rsidRPr="00932EC5" w:rsidRDefault="00A43C34">
      <w:pPr>
        <w:spacing w:before="240" w:after="240" w:line="360" w:lineRule="auto"/>
        <w:ind w:right="5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B292F38"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Por cuanto hace al </w:t>
      </w:r>
      <w:r w:rsidRPr="00932EC5">
        <w:rPr>
          <w:rFonts w:ascii="Palatino Linotype" w:eastAsia="Palatino Linotype" w:hAnsi="Palatino Linotype" w:cs="Palatino Linotype"/>
          <w:b/>
          <w:sz w:val="22"/>
          <w:szCs w:val="22"/>
        </w:rPr>
        <w:t>Registro Federal de Contribuyentes, RFC,</w:t>
      </w:r>
      <w:r w:rsidRPr="00932EC5">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36054DBD"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4840FB3"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de interpretación con clave de control SO/019/2017, el cual es del tenor literal siguiente:</w:t>
      </w:r>
    </w:p>
    <w:p w14:paraId="595AF6CE" w14:textId="77777777" w:rsidR="00163A5F" w:rsidRPr="00932EC5" w:rsidRDefault="00A43C34">
      <w:pPr>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 “Registro Federal de Contribuyentes (RFC) de personas físicas</w:t>
      </w:r>
      <w:r w:rsidRPr="00932EC5">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11BB2032" w14:textId="77777777" w:rsidR="00163A5F" w:rsidRPr="00932EC5" w:rsidRDefault="00A43C3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homoclave, la cual es </w:t>
      </w:r>
      <w:r w:rsidRPr="00932EC5">
        <w:rPr>
          <w:rFonts w:ascii="Palatino Linotype" w:eastAsia="Palatino Linotype" w:hAnsi="Palatino Linotype" w:cs="Palatino Linotype"/>
          <w:sz w:val="22"/>
          <w:szCs w:val="22"/>
        </w:rPr>
        <w:lastRenderedPageBreak/>
        <w:t>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2CECC18" w14:textId="77777777" w:rsidR="00163A5F" w:rsidRPr="00932EC5" w:rsidRDefault="00A43C3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12" w:name="_heading=h.44sinio" w:colFirst="0" w:colLast="0"/>
      <w:bookmarkEnd w:id="12"/>
      <w:r w:rsidRPr="00932EC5">
        <w:rPr>
          <w:rFonts w:ascii="Palatino Linotype" w:eastAsia="Palatino Linotype" w:hAnsi="Palatino Linotype" w:cs="Palatino Linotype"/>
          <w:sz w:val="22"/>
          <w:szCs w:val="22"/>
        </w:rPr>
        <w:t xml:space="preserve">De igual manera la </w:t>
      </w:r>
      <w:r w:rsidRPr="00932EC5">
        <w:rPr>
          <w:rFonts w:ascii="Palatino Linotype" w:eastAsia="Palatino Linotype" w:hAnsi="Palatino Linotype" w:cs="Palatino Linotype"/>
          <w:b/>
          <w:sz w:val="22"/>
          <w:szCs w:val="22"/>
        </w:rPr>
        <w:t>Clave Única de Registro de Población</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CURP,</w:t>
      </w:r>
      <w:r w:rsidRPr="00932EC5">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2789BD1" w14:textId="77777777" w:rsidR="00163A5F" w:rsidRPr="00932EC5" w:rsidRDefault="00A43C3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de interpretación con Clave de control SO/018/2017, el cual refiere:</w:t>
      </w:r>
    </w:p>
    <w:p w14:paraId="47FE9EBB" w14:textId="77777777" w:rsidR="00163A5F" w:rsidRPr="00932EC5" w:rsidRDefault="00A43C34">
      <w:pPr>
        <w:ind w:left="851" w:right="851"/>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 “Clave Única de Registro de Población (CURP). </w:t>
      </w:r>
      <w:r w:rsidRPr="00932EC5">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E1C44CD"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Por lo que respecta a la </w:t>
      </w:r>
      <w:r w:rsidRPr="00932EC5">
        <w:rPr>
          <w:rFonts w:ascii="Palatino Linotype" w:eastAsia="Palatino Linotype" w:hAnsi="Palatino Linotype" w:cs="Palatino Linotype"/>
          <w:b/>
          <w:sz w:val="22"/>
          <w:szCs w:val="22"/>
        </w:rPr>
        <w:t>clave de seguridad social</w:t>
      </w:r>
      <w:r w:rsidRPr="00932EC5">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6D883048"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xml:space="preserve">Respecto de los </w:t>
      </w:r>
      <w:r w:rsidRPr="00932EC5">
        <w:rPr>
          <w:rFonts w:ascii="Palatino Linotype" w:eastAsia="Palatino Linotype" w:hAnsi="Palatino Linotype" w:cs="Palatino Linotype"/>
          <w:b/>
          <w:sz w:val="22"/>
          <w:szCs w:val="22"/>
        </w:rPr>
        <w:t>números de cuentas bancari</w:t>
      </w:r>
      <w:r w:rsidRPr="00932EC5">
        <w:rPr>
          <w:rFonts w:ascii="Palatino Linotype" w:eastAsia="Palatino Linotype" w:hAnsi="Palatino Linotype" w:cs="Palatino Linotype"/>
          <w:sz w:val="22"/>
          <w:szCs w:val="22"/>
        </w:rPr>
        <w:t xml:space="preserve">as, </w:t>
      </w:r>
      <w:r w:rsidRPr="00932EC5">
        <w:rPr>
          <w:rFonts w:ascii="Palatino Linotype" w:eastAsia="Palatino Linotype" w:hAnsi="Palatino Linotype" w:cs="Palatino Linotype"/>
          <w:b/>
          <w:sz w:val="22"/>
          <w:szCs w:val="22"/>
        </w:rPr>
        <w:t>claves estandarizadas –interbancarias- (CLABES) y de tarjetas</w:t>
      </w:r>
      <w:r w:rsidRPr="00932EC5">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1CB122C2"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28F35D5"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B10FF8C" w14:textId="77777777" w:rsidR="00163A5F" w:rsidRPr="00932EC5" w:rsidRDefault="00A43C3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36288F87"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4D16F693"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14:paraId="04FE38A7" w14:textId="77777777" w:rsidR="00163A5F" w:rsidRPr="00932EC5" w:rsidRDefault="00A43C34">
      <w:pPr>
        <w:spacing w:before="240" w:after="24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Cuentas bancarias y/o CLABE interbancaria de personas físicas y morales privadas.</w:t>
      </w:r>
      <w:r w:rsidRPr="00932EC5">
        <w:rPr>
          <w:rFonts w:ascii="Palatino Linotype" w:eastAsia="Palatino Linotype" w:hAnsi="Palatino Linotype" w:cs="Palatino Linotype"/>
          <w:i/>
          <w:sz w:val="22"/>
          <w:szCs w:val="22"/>
        </w:rPr>
        <w:t xml:space="preserve"> El número de cuenta bancaria y/o CLABE interbancaria de </w:t>
      </w:r>
      <w:r w:rsidRPr="00932EC5">
        <w:rPr>
          <w:rFonts w:ascii="Palatino Linotype" w:eastAsia="Palatino Linotype" w:hAnsi="Palatino Linotype" w:cs="Palatino Linotype"/>
          <w:i/>
          <w:sz w:val="22"/>
          <w:szCs w:val="22"/>
        </w:rPr>
        <w:lastRenderedPageBreak/>
        <w:t>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7D00A94" w14:textId="77777777" w:rsidR="00163A5F" w:rsidRPr="00932EC5" w:rsidRDefault="00A43C34">
      <w:pPr>
        <w:spacing w:before="240" w:after="24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32EC5">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332942C"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bookmarkStart w:id="13" w:name="_heading=h.z337ya" w:colFirst="0" w:colLast="0"/>
      <w:bookmarkEnd w:id="13"/>
      <w:r w:rsidRPr="00932EC5">
        <w:rPr>
          <w:rFonts w:ascii="Palatino Linotype" w:eastAsia="Palatino Linotype" w:hAnsi="Palatino Linotype" w:cs="Palatino Linotype"/>
          <w:sz w:val="22"/>
          <w:szCs w:val="22"/>
        </w:rPr>
        <w:t xml:space="preserve">Por cuanto hace a los </w:t>
      </w:r>
      <w:r w:rsidRPr="00932EC5">
        <w:rPr>
          <w:rFonts w:ascii="Palatino Linotype" w:eastAsia="Palatino Linotype" w:hAnsi="Palatino Linotype" w:cs="Palatino Linotype"/>
          <w:b/>
          <w:sz w:val="22"/>
          <w:szCs w:val="22"/>
        </w:rPr>
        <w:t>préstamos o descuentos de carácter personal</w:t>
      </w:r>
      <w:r w:rsidRPr="00932EC5">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766B55F7"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0ECDD9D9" w14:textId="77777777" w:rsidR="00163A5F" w:rsidRPr="00932EC5" w:rsidRDefault="00A43C34">
      <w:pPr>
        <w:spacing w:before="120" w:after="120"/>
        <w:ind w:left="851" w:right="900"/>
        <w:jc w:val="both"/>
        <w:rPr>
          <w:rFonts w:ascii="Palatino Linotype" w:eastAsia="Palatino Linotype" w:hAnsi="Palatino Linotype" w:cs="Palatino Linotype"/>
          <w:b/>
          <w:i/>
          <w:sz w:val="22"/>
          <w:szCs w:val="22"/>
        </w:rPr>
      </w:pPr>
      <w:bookmarkStart w:id="14" w:name="_heading=h.26in1rg" w:colFirst="0" w:colLast="0"/>
      <w:bookmarkEnd w:id="14"/>
      <w:r w:rsidRPr="00932EC5">
        <w:rPr>
          <w:rFonts w:ascii="Palatino Linotype" w:eastAsia="Palatino Linotype" w:hAnsi="Palatino Linotype" w:cs="Palatino Linotype"/>
          <w:b/>
          <w:i/>
          <w:sz w:val="22"/>
          <w:szCs w:val="22"/>
        </w:rPr>
        <w:t xml:space="preserve">“ARTÍCULO 84. </w:t>
      </w:r>
      <w:r w:rsidRPr="00932EC5">
        <w:rPr>
          <w:rFonts w:ascii="Palatino Linotype" w:eastAsia="Palatino Linotype" w:hAnsi="Palatino Linotype" w:cs="Palatino Linotype"/>
          <w:i/>
          <w:sz w:val="22"/>
          <w:szCs w:val="22"/>
        </w:rPr>
        <w:t>Sólo podrán hacerse retenciones, descuentos o deducciones al sueldo de los servidores públicos por concepto de:</w:t>
      </w:r>
    </w:p>
    <w:p w14:paraId="0A2B09B7"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xml:space="preserve"> Gravámenes fiscales relacionados con el sueldo;</w:t>
      </w:r>
    </w:p>
    <w:p w14:paraId="30206794"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w:t>
      </w:r>
      <w:r w:rsidRPr="00932EC5">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66327826"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III.</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Cuotas sindicales</w:t>
      </w:r>
      <w:r w:rsidRPr="00932EC5">
        <w:rPr>
          <w:rFonts w:ascii="Palatino Linotype" w:eastAsia="Palatino Linotype" w:hAnsi="Palatino Linotype" w:cs="Palatino Linotype"/>
          <w:i/>
          <w:sz w:val="22"/>
          <w:szCs w:val="22"/>
        </w:rPr>
        <w:t>;</w:t>
      </w:r>
    </w:p>
    <w:p w14:paraId="39382C69"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IV.</w:t>
      </w:r>
      <w:r w:rsidRPr="00932EC5">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3B0C937C"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V.</w:t>
      </w:r>
      <w:r w:rsidRPr="00932EC5">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6C82BFA1"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lastRenderedPageBreak/>
        <w:t>VI.</w:t>
      </w:r>
      <w:r w:rsidRPr="00932EC5">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6EFE7D8B"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VII.</w:t>
      </w:r>
      <w:r w:rsidRPr="00932EC5">
        <w:rPr>
          <w:rFonts w:ascii="Palatino Linotype" w:eastAsia="Palatino Linotype" w:hAnsi="Palatino Linotype" w:cs="Palatino Linotype"/>
          <w:i/>
          <w:sz w:val="22"/>
          <w:szCs w:val="22"/>
        </w:rPr>
        <w:t xml:space="preserve"> Faltas de puntualidad o de asistencia injustificadas;</w:t>
      </w:r>
    </w:p>
    <w:p w14:paraId="342339A7"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VIII. Pensiones alimenticias ordenadas por la autoridad judicial;</w:t>
      </w:r>
      <w:r w:rsidRPr="00932EC5">
        <w:rPr>
          <w:rFonts w:ascii="Palatino Linotype" w:eastAsia="Palatino Linotype" w:hAnsi="Palatino Linotype" w:cs="Palatino Linotype"/>
          <w:i/>
          <w:sz w:val="22"/>
          <w:szCs w:val="22"/>
        </w:rPr>
        <w:t xml:space="preserve"> o</w:t>
      </w:r>
    </w:p>
    <w:p w14:paraId="466794C2" w14:textId="77777777" w:rsidR="00163A5F" w:rsidRPr="00932EC5" w:rsidRDefault="00A43C34">
      <w:pPr>
        <w:spacing w:before="120" w:after="120"/>
        <w:ind w:left="1134" w:right="902"/>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b/>
          <w:i/>
          <w:sz w:val="22"/>
          <w:szCs w:val="22"/>
        </w:rPr>
        <w:t>IX. Cualquier otro convenido con instituciones de servicios y aceptado por el servidor público.</w:t>
      </w:r>
    </w:p>
    <w:p w14:paraId="0EC2AF32" w14:textId="77777777" w:rsidR="00163A5F" w:rsidRPr="00932EC5" w:rsidRDefault="00A43C34">
      <w:pP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DC7C709"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42B951C"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De este modo, los </w:t>
      </w:r>
      <w:r w:rsidRPr="00932EC5">
        <w:rPr>
          <w:rFonts w:ascii="Palatino Linotype" w:eastAsia="Palatino Linotype" w:hAnsi="Palatino Linotype" w:cs="Palatino Linotype"/>
          <w:b/>
          <w:sz w:val="22"/>
          <w:szCs w:val="22"/>
        </w:rPr>
        <w:t>descuentos o deducciones por cuotas sindicales</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pensiones alimenticias</w:t>
      </w:r>
      <w:r w:rsidRPr="00932EC5">
        <w:rPr>
          <w:rFonts w:ascii="Palatino Linotype" w:eastAsia="Palatino Linotype" w:hAnsi="Palatino Linotype" w:cs="Palatino Linotype"/>
          <w:sz w:val="22"/>
          <w:szCs w:val="22"/>
        </w:rPr>
        <w:t xml:space="preserve"> o </w:t>
      </w:r>
      <w:r w:rsidRPr="00932EC5">
        <w:rPr>
          <w:rFonts w:ascii="Palatino Linotype" w:eastAsia="Palatino Linotype" w:hAnsi="Palatino Linotype" w:cs="Palatino Linotype"/>
          <w:b/>
          <w:sz w:val="22"/>
          <w:szCs w:val="22"/>
        </w:rPr>
        <w:t>créditos adquiridos con instituciones privadas</w:t>
      </w:r>
      <w:r w:rsidRPr="00932EC5">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932EC5">
        <w:rPr>
          <w:rFonts w:ascii="Palatino Linotype" w:eastAsia="Palatino Linotype" w:hAnsi="Palatino Linotype" w:cs="Palatino Linotype"/>
          <w:b/>
          <w:sz w:val="22"/>
          <w:szCs w:val="22"/>
        </w:rPr>
        <w:t>es información que no es de carácter público, sino que constituye información confidencial</w:t>
      </w:r>
      <w:r w:rsidRPr="00932EC5">
        <w:rPr>
          <w:rFonts w:ascii="Palatino Linotype" w:eastAsia="Palatino Linotype" w:hAnsi="Palatino Linotype" w:cs="Palatino Linotype"/>
          <w:sz w:val="22"/>
          <w:szCs w:val="22"/>
        </w:rPr>
        <w:t xml:space="preserve"> en virtud de que corresponde con decisiones personales, y por tanto, se debe clasificar.</w:t>
      </w:r>
    </w:p>
    <w:p w14:paraId="27044224" w14:textId="77777777" w:rsidR="00163A5F" w:rsidRPr="00932EC5" w:rsidRDefault="00A43C3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w:t>
      </w:r>
      <w:r w:rsidRPr="00932EC5">
        <w:rPr>
          <w:rFonts w:ascii="Palatino Linotype" w:eastAsia="Palatino Linotype" w:hAnsi="Palatino Linotype" w:cs="Palatino Linotype"/>
          <w:sz w:val="22"/>
          <w:szCs w:val="22"/>
        </w:rPr>
        <w:lastRenderedPageBreak/>
        <w:t>es posible deducir el importe de la misma, derivado de los cálculos que se hagan respecto al sueldo bruto y sueldo neto.</w:t>
      </w:r>
    </w:p>
    <w:p w14:paraId="696A394A" w14:textId="77777777" w:rsidR="00163A5F" w:rsidRPr="00932EC5" w:rsidRDefault="00A43C3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2B24C066"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bookmarkStart w:id="15" w:name="_heading=h.3j2qqm3" w:colFirst="0" w:colLast="0"/>
      <w:bookmarkEnd w:id="15"/>
      <w:r w:rsidRPr="00932EC5">
        <w:rPr>
          <w:rFonts w:ascii="Palatino Linotype" w:eastAsia="Palatino Linotype" w:hAnsi="Palatino Linotype" w:cs="Palatino Linotype"/>
          <w:sz w:val="22"/>
          <w:szCs w:val="22"/>
        </w:rPr>
        <w:t xml:space="preserve">Con relación al </w:t>
      </w:r>
      <w:r w:rsidRPr="00932EC5">
        <w:rPr>
          <w:rFonts w:ascii="Palatino Linotype" w:eastAsia="Palatino Linotype" w:hAnsi="Palatino Linotype" w:cs="Palatino Linotype"/>
          <w:b/>
          <w:sz w:val="22"/>
          <w:szCs w:val="22"/>
        </w:rPr>
        <w:t>número de empleado</w:t>
      </w:r>
      <w:r w:rsidRPr="00932EC5">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932EC5">
        <w:rPr>
          <w:rFonts w:ascii="Palatino Linotype" w:eastAsia="Palatino Linotype" w:hAnsi="Palatino Linotype" w:cs="Palatino Linotype"/>
          <w:sz w:val="22"/>
          <w:szCs w:val="22"/>
          <w:vertAlign w:val="superscript"/>
        </w:rPr>
        <w:footnoteReference w:id="1"/>
      </w:r>
      <w:r w:rsidRPr="00932EC5">
        <w:rPr>
          <w:rFonts w:ascii="Palatino Linotype" w:eastAsia="Palatino Linotype" w:hAnsi="Palatino Linotype" w:cs="Palatino Linotype"/>
          <w:sz w:val="22"/>
          <w:szCs w:val="22"/>
        </w:rPr>
        <w:t>.</w:t>
      </w:r>
    </w:p>
    <w:p w14:paraId="3BF5CDD7"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5FE68134" w14:textId="77777777" w:rsidR="00163A5F" w:rsidRPr="00932EC5" w:rsidRDefault="00A43C34">
      <w:pPr>
        <w:tabs>
          <w:tab w:val="left" w:pos="7655"/>
        </w:tabs>
        <w:spacing w:before="240" w:after="240"/>
        <w:ind w:left="993" w:right="99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“Número de empleado. </w:t>
      </w:r>
      <w:r w:rsidRPr="00932EC5">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8F78866"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w:t>
      </w:r>
      <w:r w:rsidRPr="00932EC5">
        <w:rPr>
          <w:rFonts w:ascii="Palatino Linotype" w:eastAsia="Palatino Linotype" w:hAnsi="Palatino Linotype" w:cs="Palatino Linotype"/>
          <w:sz w:val="22"/>
          <w:szCs w:val="22"/>
        </w:rPr>
        <w:lastRenderedPageBreak/>
        <w:t xml:space="preserve">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B388919" w14:textId="77777777" w:rsidR="00163A5F" w:rsidRPr="00932EC5" w:rsidRDefault="00163A5F">
      <w:pPr>
        <w:spacing w:before="240" w:after="240" w:line="360" w:lineRule="auto"/>
        <w:jc w:val="both"/>
        <w:rPr>
          <w:rFonts w:ascii="Palatino Linotype" w:eastAsia="Palatino Linotype" w:hAnsi="Palatino Linotype" w:cs="Palatino Linotype"/>
          <w:b/>
          <w:sz w:val="22"/>
          <w:szCs w:val="22"/>
        </w:rPr>
      </w:pPr>
    </w:p>
    <w:p w14:paraId="02F047F9"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De la información fiscal</w:t>
      </w:r>
      <w:r w:rsidRPr="00932EC5">
        <w:rPr>
          <w:rFonts w:ascii="Palatino Linotype" w:eastAsia="Palatino Linotype" w:hAnsi="Palatino Linotype" w:cs="Palatino Linotype"/>
          <w:sz w:val="22"/>
          <w:szCs w:val="22"/>
        </w:rPr>
        <w:t xml:space="preserve">: </w:t>
      </w:r>
    </w:p>
    <w:p w14:paraId="5705BE4C"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La </w:t>
      </w:r>
      <w:r w:rsidRPr="00932EC5">
        <w:rPr>
          <w:rFonts w:ascii="Palatino Linotype" w:eastAsia="Palatino Linotype" w:hAnsi="Palatino Linotype" w:cs="Palatino Linotype"/>
          <w:b/>
          <w:sz w:val="22"/>
          <w:szCs w:val="22"/>
        </w:rPr>
        <w:t>Cadena Original</w:t>
      </w:r>
      <w:r w:rsidRPr="00932EC5">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12625536"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Los </w:t>
      </w:r>
      <w:r w:rsidRPr="00932EC5">
        <w:rPr>
          <w:rFonts w:ascii="Palatino Linotype" w:eastAsia="Palatino Linotype" w:hAnsi="Palatino Linotype" w:cs="Palatino Linotype"/>
          <w:b/>
          <w:sz w:val="22"/>
          <w:szCs w:val="22"/>
        </w:rPr>
        <w:t>códigos bidimensionales</w:t>
      </w:r>
      <w:r w:rsidRPr="00932EC5">
        <w:rPr>
          <w:rFonts w:ascii="Palatino Linotype" w:eastAsia="Palatino Linotype" w:hAnsi="Palatino Linotype" w:cs="Palatino Linotype"/>
          <w:sz w:val="22"/>
          <w:szCs w:val="22"/>
        </w:rPr>
        <w:t xml:space="preserve"> o </w:t>
      </w:r>
      <w:r w:rsidRPr="00932EC5">
        <w:rPr>
          <w:rFonts w:ascii="Palatino Linotype" w:eastAsia="Palatino Linotype" w:hAnsi="Palatino Linotype" w:cs="Palatino Linotype"/>
          <w:b/>
          <w:sz w:val="22"/>
          <w:szCs w:val="22"/>
        </w:rPr>
        <w:t xml:space="preserve">códigos QR, </w:t>
      </w:r>
      <w:r w:rsidRPr="00932EC5">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616BBCCD"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xml:space="preserve">En tal sentido, si derivado del análisis efectuado por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7D36E98C" w14:textId="77777777" w:rsidR="00163A5F" w:rsidRPr="00932EC5" w:rsidRDefault="00A43C34">
      <w:pPr>
        <w:spacing w:before="240" w:after="240" w:line="360" w:lineRule="auto"/>
        <w:ind w:right="5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EAAA156" w14:textId="77777777" w:rsidR="00163A5F" w:rsidRPr="00932EC5" w:rsidRDefault="00A43C34">
      <w:pP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49.</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Los Comités de Transparencia</w:t>
      </w:r>
      <w:r w:rsidRPr="00932EC5">
        <w:rPr>
          <w:rFonts w:ascii="Palatino Linotype" w:eastAsia="Palatino Linotype" w:hAnsi="Palatino Linotype" w:cs="Palatino Linotype"/>
          <w:i/>
          <w:sz w:val="22"/>
          <w:szCs w:val="22"/>
        </w:rPr>
        <w:t xml:space="preserve"> tendrán las siguientes atribuciones:</w:t>
      </w:r>
    </w:p>
    <w:p w14:paraId="32FC3549" w14:textId="77777777" w:rsidR="00163A5F" w:rsidRPr="00932EC5" w:rsidRDefault="00A43C34">
      <w:pPr>
        <w:spacing w:before="120" w:after="12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VIII. Aprobar, modificar o revocar la clasificación de la información</w:t>
      </w:r>
      <w:r w:rsidRPr="00932EC5">
        <w:rPr>
          <w:rFonts w:ascii="Palatino Linotype" w:eastAsia="Palatino Linotype" w:hAnsi="Palatino Linotype" w:cs="Palatino Linotype"/>
          <w:i/>
          <w:sz w:val="22"/>
          <w:szCs w:val="22"/>
        </w:rPr>
        <w:t>…”</w:t>
      </w:r>
    </w:p>
    <w:p w14:paraId="10951195" w14:textId="77777777" w:rsidR="00163A5F" w:rsidRPr="00932EC5" w:rsidRDefault="00A43C34">
      <w:pP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53.</w:t>
      </w:r>
      <w:r w:rsidRPr="00932EC5">
        <w:rPr>
          <w:rFonts w:ascii="Palatino Linotype" w:eastAsia="Palatino Linotype" w:hAnsi="Palatino Linotype" w:cs="Palatino Linotype"/>
          <w:i/>
          <w:sz w:val="22"/>
          <w:szCs w:val="22"/>
        </w:rPr>
        <w:t xml:space="preserve"> Las </w:t>
      </w:r>
      <w:r w:rsidRPr="00932EC5">
        <w:rPr>
          <w:rFonts w:ascii="Palatino Linotype" w:eastAsia="Palatino Linotype" w:hAnsi="Palatino Linotype" w:cs="Palatino Linotype"/>
          <w:b/>
          <w:i/>
          <w:sz w:val="22"/>
          <w:szCs w:val="22"/>
        </w:rPr>
        <w:t>Unidades de Transparencia</w:t>
      </w:r>
      <w:r w:rsidRPr="00932EC5">
        <w:rPr>
          <w:rFonts w:ascii="Palatino Linotype" w:eastAsia="Palatino Linotype" w:hAnsi="Palatino Linotype" w:cs="Palatino Linotype"/>
          <w:i/>
          <w:sz w:val="22"/>
          <w:szCs w:val="22"/>
        </w:rPr>
        <w:t xml:space="preserve"> tendrán las siguientes </w:t>
      </w:r>
      <w:r w:rsidRPr="00932EC5">
        <w:rPr>
          <w:rFonts w:ascii="Palatino Linotype" w:eastAsia="Palatino Linotype" w:hAnsi="Palatino Linotype" w:cs="Palatino Linotype"/>
          <w:b/>
          <w:i/>
          <w:sz w:val="22"/>
          <w:szCs w:val="22"/>
        </w:rPr>
        <w:t>funciones</w:t>
      </w:r>
      <w:r w:rsidRPr="00932EC5">
        <w:rPr>
          <w:rFonts w:ascii="Palatino Linotype" w:eastAsia="Palatino Linotype" w:hAnsi="Palatino Linotype" w:cs="Palatino Linotype"/>
          <w:i/>
          <w:sz w:val="22"/>
          <w:szCs w:val="22"/>
        </w:rPr>
        <w:t>:</w:t>
      </w:r>
    </w:p>
    <w:p w14:paraId="41D02F5C" w14:textId="77777777" w:rsidR="00163A5F" w:rsidRPr="00932EC5" w:rsidRDefault="00A43C34">
      <w:pPr>
        <w:spacing w:before="120" w:after="12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X. Presentar ante el Comité, el proyecto de clasificación de información</w:t>
      </w:r>
      <w:r w:rsidRPr="00932EC5">
        <w:rPr>
          <w:rFonts w:ascii="Palatino Linotype" w:eastAsia="Palatino Linotype" w:hAnsi="Palatino Linotype" w:cs="Palatino Linotype"/>
          <w:i/>
          <w:sz w:val="22"/>
          <w:szCs w:val="22"/>
        </w:rPr>
        <w:t xml:space="preserve">…” </w:t>
      </w:r>
    </w:p>
    <w:p w14:paraId="6AB5B908" w14:textId="77777777" w:rsidR="00163A5F" w:rsidRPr="00932EC5" w:rsidRDefault="00A43C34">
      <w:pP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“Artículo 59.</w:t>
      </w:r>
      <w:r w:rsidRPr="00932EC5">
        <w:rPr>
          <w:rFonts w:ascii="Palatino Linotype" w:eastAsia="Palatino Linotype" w:hAnsi="Palatino Linotype" w:cs="Palatino Linotype"/>
          <w:i/>
          <w:sz w:val="22"/>
          <w:szCs w:val="22"/>
        </w:rPr>
        <w:t xml:space="preserve"> Los </w:t>
      </w:r>
      <w:r w:rsidRPr="00932EC5">
        <w:rPr>
          <w:rFonts w:ascii="Palatino Linotype" w:eastAsia="Palatino Linotype" w:hAnsi="Palatino Linotype" w:cs="Palatino Linotype"/>
          <w:b/>
          <w:i/>
          <w:sz w:val="22"/>
          <w:szCs w:val="22"/>
        </w:rPr>
        <w:t>servidores públicos habilitados</w:t>
      </w:r>
      <w:r w:rsidRPr="00932EC5">
        <w:rPr>
          <w:rFonts w:ascii="Palatino Linotype" w:eastAsia="Palatino Linotype" w:hAnsi="Palatino Linotype" w:cs="Palatino Linotype"/>
          <w:i/>
          <w:sz w:val="22"/>
          <w:szCs w:val="22"/>
        </w:rPr>
        <w:t xml:space="preserve"> tendrán las </w:t>
      </w:r>
      <w:r w:rsidRPr="00932EC5">
        <w:rPr>
          <w:rFonts w:ascii="Palatino Linotype" w:eastAsia="Palatino Linotype" w:hAnsi="Palatino Linotype" w:cs="Palatino Linotype"/>
          <w:b/>
          <w:i/>
          <w:sz w:val="22"/>
          <w:szCs w:val="22"/>
        </w:rPr>
        <w:t>funciones</w:t>
      </w:r>
      <w:r w:rsidRPr="00932EC5">
        <w:rPr>
          <w:rFonts w:ascii="Palatino Linotype" w:eastAsia="Palatino Linotype" w:hAnsi="Palatino Linotype" w:cs="Palatino Linotype"/>
          <w:i/>
          <w:sz w:val="22"/>
          <w:szCs w:val="22"/>
        </w:rPr>
        <w:t xml:space="preserve"> siguientes:</w:t>
      </w:r>
    </w:p>
    <w:p w14:paraId="5888553A" w14:textId="77777777" w:rsidR="00163A5F" w:rsidRPr="00932EC5" w:rsidRDefault="00A43C34">
      <w:pPr>
        <w:spacing w:before="120" w:after="12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32EC5">
        <w:rPr>
          <w:rFonts w:ascii="Palatino Linotype" w:eastAsia="Palatino Linotype" w:hAnsi="Palatino Linotype" w:cs="Palatino Linotype"/>
          <w:i/>
          <w:sz w:val="22"/>
          <w:szCs w:val="22"/>
        </w:rPr>
        <w:t>, la cual tendrá los fundamentos y argumentos en que se basa dicha propuesta…”</w:t>
      </w:r>
    </w:p>
    <w:p w14:paraId="013A6C70"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95EBA69"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222310E"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Artículo 149.</w:t>
      </w:r>
      <w:r w:rsidRPr="00932EC5">
        <w:rPr>
          <w:rFonts w:ascii="Palatino Linotype" w:eastAsia="Palatino Linotype" w:hAnsi="Palatino Linotype" w:cs="Palatino Linotype"/>
          <w:i/>
          <w:sz w:val="22"/>
          <w:szCs w:val="22"/>
        </w:rPr>
        <w:t xml:space="preserve"> El </w:t>
      </w:r>
      <w:r w:rsidRPr="00932EC5">
        <w:rPr>
          <w:rFonts w:ascii="Palatino Linotype" w:eastAsia="Palatino Linotype" w:hAnsi="Palatino Linotype" w:cs="Palatino Linotype"/>
          <w:b/>
          <w:i/>
          <w:sz w:val="22"/>
          <w:szCs w:val="22"/>
        </w:rPr>
        <w:t>acuerdo que clasifique la información como confidencial</w:t>
      </w:r>
      <w:r w:rsidRPr="00932EC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4C09C08" w14:textId="77777777" w:rsidR="00163A5F" w:rsidRPr="00932EC5" w:rsidRDefault="00A43C34">
      <w:pP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Es decir,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C2ED6B9"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Atento a lo anterior, cabe señalar que el Comité de Transparencia del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deberá emitir el acuerdo de clasificación de información debidamente fundado y motivado, en términos de los Lineamientos Segundo, fracción XVIII, y del Cuarto al Décimo Primero de los “Lineamientos Generales en materia de Clasificación y Desclasificación de la </w:t>
      </w:r>
      <w:r w:rsidRPr="00932EC5">
        <w:rPr>
          <w:rFonts w:ascii="Palatino Linotype" w:eastAsia="Palatino Linotype" w:hAnsi="Palatino Linotype" w:cs="Palatino Linotype"/>
          <w:sz w:val="22"/>
          <w:szCs w:val="22"/>
        </w:rPr>
        <w:lastRenderedPageBreak/>
        <w:t>Información, así como para la elaboración de Versiones Públicas”, que literalmente expresan:</w:t>
      </w:r>
    </w:p>
    <w:p w14:paraId="4BF02C55"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Segundo.-</w:t>
      </w:r>
      <w:r w:rsidRPr="00932EC5">
        <w:rPr>
          <w:rFonts w:ascii="Palatino Linotype" w:eastAsia="Palatino Linotype" w:hAnsi="Palatino Linotype" w:cs="Palatino Linotype"/>
          <w:i/>
          <w:sz w:val="22"/>
          <w:szCs w:val="22"/>
        </w:rPr>
        <w:t xml:space="preserve"> Para efectos de los presentes Lineamientos Generales, se entenderá por:</w:t>
      </w:r>
    </w:p>
    <w:p w14:paraId="57E18A66" w14:textId="77777777" w:rsidR="00163A5F" w:rsidRPr="00932EC5" w:rsidRDefault="00A43C34">
      <w:pPr>
        <w:tabs>
          <w:tab w:val="left" w:pos="8222"/>
        </w:tabs>
        <w:spacing w:before="120" w:after="120"/>
        <w:ind w:left="1134"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XVIII.</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Versión pública:</w:t>
      </w:r>
      <w:r w:rsidRPr="00932EC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32EC5">
        <w:rPr>
          <w:rFonts w:ascii="Palatino Linotype" w:eastAsia="Palatino Linotype" w:hAnsi="Palatino Linotype" w:cs="Palatino Linotype"/>
          <w:b/>
          <w:i/>
          <w:sz w:val="22"/>
          <w:szCs w:val="22"/>
        </w:rPr>
        <w:t>fundando y motivando la</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reserva o confidencialidad</w:t>
      </w:r>
      <w:r w:rsidRPr="00932EC5">
        <w:rPr>
          <w:rFonts w:ascii="Palatino Linotype" w:eastAsia="Palatino Linotype" w:hAnsi="Palatino Linotype" w:cs="Palatino Linotype"/>
          <w:i/>
          <w:sz w:val="22"/>
          <w:szCs w:val="22"/>
        </w:rPr>
        <w:t>, a través de la resolución que para tal efecto emita el Comité de Transparencia.</w:t>
      </w:r>
    </w:p>
    <w:p w14:paraId="02875CE0"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b/>
          <w:i/>
          <w:sz w:val="22"/>
          <w:szCs w:val="22"/>
        </w:rPr>
        <w:t>...</w:t>
      </w:r>
    </w:p>
    <w:p w14:paraId="1E02AD7B"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Cuarto.</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Para clasificar la información como</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reservada o</w:t>
      </w:r>
      <w:r w:rsidRPr="00932EC5">
        <w:rPr>
          <w:rFonts w:ascii="Palatino Linotype" w:eastAsia="Palatino Linotype" w:hAnsi="Palatino Linotype" w:cs="Palatino Linotype"/>
          <w:i/>
          <w:sz w:val="22"/>
          <w:szCs w:val="22"/>
        </w:rPr>
        <w:t xml:space="preserve"> </w:t>
      </w:r>
      <w:r w:rsidRPr="00932EC5">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932EC5">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C612B0"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4C7D3F6"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Quinto.</w:t>
      </w:r>
      <w:r w:rsidRPr="00932EC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1B5F07"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Sexto.</w:t>
      </w:r>
      <w:r w:rsidRPr="00932EC5">
        <w:rPr>
          <w:rFonts w:ascii="Palatino Linotype" w:eastAsia="Palatino Linotype" w:hAnsi="Palatino Linotype" w:cs="Palatino Linotype"/>
          <w:i/>
          <w:sz w:val="22"/>
          <w:szCs w:val="22"/>
        </w:rPr>
        <w:t xml:space="preserve"> Se deroga.</w:t>
      </w:r>
    </w:p>
    <w:p w14:paraId="42198781"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Séptimo.</w:t>
      </w:r>
      <w:r w:rsidRPr="00932EC5">
        <w:rPr>
          <w:rFonts w:ascii="Palatino Linotype" w:eastAsia="Palatino Linotype" w:hAnsi="Palatino Linotype" w:cs="Palatino Linotype"/>
          <w:i/>
          <w:sz w:val="22"/>
          <w:szCs w:val="22"/>
        </w:rPr>
        <w:t xml:space="preserve"> La clasificación de la información se llevará a cabo en el momento en que:</w:t>
      </w:r>
    </w:p>
    <w:p w14:paraId="6870325B" w14:textId="77777777" w:rsidR="00163A5F" w:rsidRPr="00932EC5" w:rsidRDefault="00A43C34">
      <w:pPr>
        <w:tabs>
          <w:tab w:val="left" w:pos="8222"/>
        </w:tabs>
        <w:spacing w:before="120" w:after="120"/>
        <w:ind w:left="1134"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xml:space="preserve"> Se reciba una solicitud de acceso a la información;</w:t>
      </w:r>
    </w:p>
    <w:p w14:paraId="3348CCBD" w14:textId="77777777" w:rsidR="00163A5F" w:rsidRPr="00932EC5" w:rsidRDefault="00A43C34">
      <w:pPr>
        <w:tabs>
          <w:tab w:val="left" w:pos="8222"/>
        </w:tabs>
        <w:spacing w:before="120" w:after="120"/>
        <w:ind w:left="1134"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lastRenderedPageBreak/>
        <w:t>II.</w:t>
      </w:r>
      <w:r w:rsidRPr="00932EC5">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0AE335EC" w14:textId="77777777" w:rsidR="00163A5F" w:rsidRPr="00932EC5" w:rsidRDefault="00A43C34">
      <w:pPr>
        <w:tabs>
          <w:tab w:val="left" w:pos="8222"/>
        </w:tabs>
        <w:spacing w:before="120" w:after="120"/>
        <w:ind w:left="1134"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III.</w:t>
      </w:r>
      <w:r w:rsidRPr="00932EC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998483F"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i/>
          <w:sz w:val="22"/>
          <w:szCs w:val="22"/>
        </w:rPr>
        <w:t>conforme a su naturaleza, si encuadra en una causal de reserva o de confidencialidad.</w:t>
      </w:r>
    </w:p>
    <w:p w14:paraId="7218647D"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Octavo.</w:t>
      </w:r>
      <w:r w:rsidRPr="00932EC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CD3F3D1"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A3D5BB0"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EF342B4"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Noveno.</w:t>
      </w:r>
      <w:r w:rsidRPr="00932EC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52F670"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Décimo.</w:t>
      </w:r>
      <w:r w:rsidRPr="00932EC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AC51B0D"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6AB9EEF" w14:textId="77777777" w:rsidR="00163A5F" w:rsidRPr="00932EC5" w:rsidRDefault="00A43C34">
      <w:pPr>
        <w:tabs>
          <w:tab w:val="left" w:pos="8222"/>
        </w:tabs>
        <w:spacing w:before="120" w:after="120"/>
        <w:ind w:left="851" w:right="1134"/>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lastRenderedPageBreak/>
        <w:t>Décimo primero.</w:t>
      </w:r>
      <w:r w:rsidRPr="00932EC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20FD0F2B" w14:textId="77777777" w:rsidR="00163A5F" w:rsidRPr="00932EC5" w:rsidRDefault="00A43C3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73B9E05"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 “Quincuagésimo. </w:t>
      </w:r>
      <w:r w:rsidRPr="00932EC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529DE8A" w14:textId="77777777" w:rsidR="00163A5F" w:rsidRPr="00932EC5" w:rsidRDefault="00A43C3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Quincuagésimo primero. </w:t>
      </w:r>
      <w:r w:rsidRPr="00932EC5">
        <w:rPr>
          <w:rFonts w:ascii="Palatino Linotype" w:eastAsia="Palatino Linotype" w:hAnsi="Palatino Linotype" w:cs="Palatino Linotype"/>
          <w:i/>
          <w:sz w:val="22"/>
          <w:szCs w:val="22"/>
        </w:rPr>
        <w:t xml:space="preserve">Toda acta del Comité de Transparencia deberá contener: </w:t>
      </w:r>
    </w:p>
    <w:p w14:paraId="224B1ADE"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xml:space="preserve"> El número de sesión y fecha; </w:t>
      </w:r>
    </w:p>
    <w:p w14:paraId="36527C1C"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w:t>
      </w:r>
      <w:r w:rsidRPr="00932EC5">
        <w:rPr>
          <w:rFonts w:ascii="Palatino Linotype" w:eastAsia="Palatino Linotype" w:hAnsi="Palatino Linotype" w:cs="Palatino Linotype"/>
          <w:i/>
          <w:sz w:val="22"/>
          <w:szCs w:val="22"/>
        </w:rPr>
        <w:t xml:space="preserve">. El nombre del área que solicitó la clasificación de información; </w:t>
      </w:r>
    </w:p>
    <w:p w14:paraId="15700043"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III</w:t>
      </w:r>
      <w:r w:rsidRPr="00932EC5">
        <w:rPr>
          <w:rFonts w:ascii="Palatino Linotype" w:eastAsia="Palatino Linotype" w:hAnsi="Palatino Linotype" w:cs="Palatino Linotype"/>
          <w:i/>
          <w:sz w:val="22"/>
          <w:szCs w:val="22"/>
        </w:rPr>
        <w:t xml:space="preserve">. La fundamentación legal y motivación correspondiente; </w:t>
      </w:r>
    </w:p>
    <w:p w14:paraId="04C6C5C3"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IV</w:t>
      </w:r>
      <w:r w:rsidRPr="00932EC5">
        <w:rPr>
          <w:rFonts w:ascii="Palatino Linotype" w:eastAsia="Palatino Linotype" w:hAnsi="Palatino Linotype" w:cs="Palatino Linotype"/>
          <w:i/>
          <w:sz w:val="22"/>
          <w:szCs w:val="22"/>
        </w:rPr>
        <w:t xml:space="preserve">. La resolución o resoluciones aprobadas; y </w:t>
      </w:r>
    </w:p>
    <w:p w14:paraId="589D7EE3"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V</w:t>
      </w:r>
      <w:r w:rsidRPr="00932EC5">
        <w:rPr>
          <w:rFonts w:ascii="Palatino Linotype" w:eastAsia="Palatino Linotype" w:hAnsi="Palatino Linotype" w:cs="Palatino Linotype"/>
          <w:i/>
          <w:sz w:val="22"/>
          <w:szCs w:val="22"/>
        </w:rPr>
        <w:t xml:space="preserve">. La rúbrica o firma digital de cada integrante del Comité de Transparencia. </w:t>
      </w:r>
    </w:p>
    <w:p w14:paraId="2D19BB62" w14:textId="77777777" w:rsidR="00163A5F" w:rsidRPr="00932EC5" w:rsidRDefault="00A43C3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F366E2D"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62D8A70"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b/>
          <w:i/>
          <w:sz w:val="22"/>
          <w:szCs w:val="22"/>
        </w:rPr>
        <w:t>II</w:t>
      </w:r>
      <w:r w:rsidRPr="00932EC5">
        <w:rPr>
          <w:rFonts w:ascii="Palatino Linotype" w:eastAsia="Palatino Linotype" w:hAnsi="Palatino Linotype" w:cs="Palatino Linotype"/>
          <w:i/>
          <w:sz w:val="22"/>
          <w:szCs w:val="22"/>
        </w:rPr>
        <w:t>. Descripción de las partes o secciones reservadas, en caso de clasificación parcial</w:t>
      </w:r>
      <w:r w:rsidRPr="00932EC5">
        <w:rPr>
          <w:rFonts w:ascii="Palatino Linotype" w:eastAsia="Palatino Linotype" w:hAnsi="Palatino Linotype" w:cs="Palatino Linotype"/>
          <w:b/>
          <w:i/>
          <w:sz w:val="22"/>
          <w:szCs w:val="22"/>
        </w:rPr>
        <w:t xml:space="preserve">; </w:t>
      </w:r>
    </w:p>
    <w:p w14:paraId="4C24DF93"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III.</w:t>
      </w:r>
      <w:r w:rsidRPr="00932EC5">
        <w:rPr>
          <w:rFonts w:ascii="Palatino Linotype" w:eastAsia="Palatino Linotype" w:hAnsi="Palatino Linotype" w:cs="Palatino Linotype"/>
          <w:i/>
          <w:sz w:val="22"/>
          <w:szCs w:val="22"/>
        </w:rPr>
        <w:t xml:space="preserve"> El periodo por el que mantendrá su clasificación y fecha de expiración; y </w:t>
      </w:r>
    </w:p>
    <w:p w14:paraId="3DA1F207" w14:textId="77777777" w:rsidR="00163A5F" w:rsidRPr="00932EC5" w:rsidRDefault="00A43C3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IV.</w:t>
      </w:r>
      <w:r w:rsidRPr="00932EC5">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8CED867" w14:textId="77777777" w:rsidR="00163A5F" w:rsidRPr="00932EC5" w:rsidRDefault="00A43C3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0250A371" w14:textId="77777777" w:rsidR="00163A5F" w:rsidRPr="00932EC5" w:rsidRDefault="00A43C3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A9AC61E"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EAF6336" w14:textId="77777777" w:rsidR="00163A5F" w:rsidRPr="00932EC5" w:rsidRDefault="00A43C34">
      <w:pP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r w:rsidRPr="00932EC5">
        <w:rPr>
          <w:rFonts w:ascii="Palatino Linotype" w:eastAsia="Palatino Linotype" w:hAnsi="Palatino Linotype" w:cs="Palatino Linotype"/>
          <w:b/>
          <w:i/>
          <w:sz w:val="22"/>
          <w:szCs w:val="22"/>
        </w:rPr>
        <w:t>Quincuagésimo segundo</w:t>
      </w:r>
      <w:r w:rsidRPr="00932EC5">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97DF831" w14:textId="77777777" w:rsidR="00163A5F" w:rsidRPr="00932EC5" w:rsidRDefault="00A43C34">
      <w:pP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0A74705" w14:textId="77777777" w:rsidR="00163A5F" w:rsidRPr="00932EC5" w:rsidRDefault="00A43C34">
      <w:pPr>
        <w:spacing w:before="120" w:after="12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C5C4EC7" w14:textId="77777777" w:rsidR="00163A5F" w:rsidRPr="00932EC5" w:rsidRDefault="00A43C34">
      <w:pPr>
        <w:spacing w:before="120" w:after="12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w:t>
      </w:r>
      <w:r w:rsidRPr="00932EC5">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C46F878" w14:textId="77777777" w:rsidR="00163A5F" w:rsidRPr="00932EC5" w:rsidRDefault="00A43C34">
      <w:pPr>
        <w:spacing w:before="120" w:after="120"/>
        <w:ind w:left="1134"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III.</w:t>
      </w:r>
      <w:r w:rsidRPr="00932EC5">
        <w:rPr>
          <w:rFonts w:ascii="Palatino Linotype" w:eastAsia="Palatino Linotype" w:hAnsi="Palatino Linotype" w:cs="Palatino Linotype"/>
          <w:i/>
          <w:sz w:val="22"/>
          <w:szCs w:val="22"/>
        </w:rPr>
        <w:t xml:space="preserve"> Señalar las personas o instancias autorizadas a acceder a la información clasificada.</w:t>
      </w:r>
    </w:p>
    <w:p w14:paraId="69B6D4B4" w14:textId="77777777" w:rsidR="00163A5F" w:rsidRPr="00932EC5" w:rsidRDefault="00A43C34">
      <w:pP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60AF7AD" w14:textId="77777777" w:rsidR="00163A5F" w:rsidRPr="00932EC5" w:rsidRDefault="00A43C3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w:t>
      </w:r>
    </w:p>
    <w:p w14:paraId="0DCC6C1C" w14:textId="77777777" w:rsidR="00163A5F" w:rsidRPr="00932EC5" w:rsidRDefault="00A43C3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b/>
          <w:i/>
          <w:sz w:val="22"/>
          <w:szCs w:val="22"/>
        </w:rPr>
        <w:t xml:space="preserve">Quincuagésimo cuarto. </w:t>
      </w:r>
      <w:r w:rsidRPr="00932EC5">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w:t>
      </w:r>
      <w:r w:rsidRPr="00932EC5">
        <w:rPr>
          <w:rFonts w:ascii="Palatino Linotype" w:eastAsia="Palatino Linotype" w:hAnsi="Palatino Linotype" w:cs="Palatino Linotype"/>
          <w:i/>
          <w:sz w:val="22"/>
          <w:szCs w:val="22"/>
        </w:rPr>
        <w:lastRenderedPageBreak/>
        <w:t>formen parte, la fecha y sesión del Comité de Transparencia en la que se confirmó dicha clasificación.</w:t>
      </w:r>
      <w:r w:rsidRPr="00932EC5">
        <w:rPr>
          <w:rFonts w:ascii="Palatino Linotype" w:eastAsia="Palatino Linotype" w:hAnsi="Palatino Linotype" w:cs="Palatino Linotype"/>
          <w:b/>
          <w:i/>
          <w:sz w:val="22"/>
          <w:szCs w:val="22"/>
        </w:rPr>
        <w:t xml:space="preserve"> </w:t>
      </w:r>
    </w:p>
    <w:p w14:paraId="765C33DA"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 xml:space="preserve">Quincuagésimo quinto. </w:t>
      </w:r>
      <w:r w:rsidRPr="00932EC5">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3E2F8D" w14:textId="77777777" w:rsidR="00163A5F" w:rsidRPr="00932EC5" w:rsidRDefault="00A43C34">
      <w:pPr>
        <w:spacing w:before="120" w:after="120"/>
        <w:ind w:left="851" w:right="902"/>
        <w:jc w:val="both"/>
        <w:rPr>
          <w:rFonts w:ascii="Palatino Linotype" w:eastAsia="Palatino Linotype" w:hAnsi="Palatino Linotype" w:cs="Palatino Linotype"/>
          <w:b/>
          <w:i/>
          <w:sz w:val="22"/>
          <w:szCs w:val="22"/>
        </w:rPr>
      </w:pPr>
      <w:r w:rsidRPr="00932EC5">
        <w:rPr>
          <w:rFonts w:ascii="Palatino Linotype" w:eastAsia="Palatino Linotype" w:hAnsi="Palatino Linotype" w:cs="Palatino Linotype"/>
          <w:b/>
          <w:i/>
          <w:sz w:val="22"/>
          <w:szCs w:val="22"/>
        </w:rPr>
        <w:t>...</w:t>
      </w:r>
    </w:p>
    <w:p w14:paraId="4EB309B7"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Quincuagésimo séptimo</w:t>
      </w:r>
      <w:r w:rsidRPr="00932EC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58894FC"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w:t>
      </w:r>
      <w:r w:rsidRPr="00932EC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3C869C8"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w:t>
      </w:r>
      <w:r w:rsidRPr="00932EC5">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A8ED627" w14:textId="77777777" w:rsidR="00163A5F" w:rsidRPr="00932EC5" w:rsidRDefault="00A43C34">
      <w:pPr>
        <w:spacing w:before="120" w:after="120"/>
        <w:ind w:left="1134"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III</w:t>
      </w:r>
      <w:r w:rsidRPr="00932EC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4BA6E5C"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F28913E" w14:textId="77777777" w:rsidR="00163A5F" w:rsidRPr="00932EC5" w:rsidRDefault="00A43C34">
      <w:pPr>
        <w:spacing w:before="120" w:after="120"/>
        <w:ind w:left="851" w:right="902"/>
        <w:jc w:val="both"/>
        <w:rPr>
          <w:rFonts w:ascii="Palatino Linotype" w:eastAsia="Palatino Linotype" w:hAnsi="Palatino Linotype" w:cs="Palatino Linotype"/>
          <w:i/>
          <w:sz w:val="22"/>
          <w:szCs w:val="22"/>
        </w:rPr>
      </w:pPr>
      <w:r w:rsidRPr="00932EC5">
        <w:rPr>
          <w:rFonts w:ascii="Palatino Linotype" w:eastAsia="Palatino Linotype" w:hAnsi="Palatino Linotype" w:cs="Palatino Linotype"/>
          <w:b/>
          <w:i/>
          <w:sz w:val="22"/>
          <w:szCs w:val="22"/>
        </w:rPr>
        <w:t>Quincuagésimo octavo</w:t>
      </w:r>
      <w:r w:rsidRPr="00932EC5">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258DEDB"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266A1741" w14:textId="77777777" w:rsidR="00A43C34" w:rsidRPr="00932EC5" w:rsidRDefault="00A43C34">
      <w:pPr>
        <w:spacing w:before="240" w:after="240" w:line="360" w:lineRule="auto"/>
        <w:jc w:val="both"/>
        <w:rPr>
          <w:rFonts w:ascii="Palatino Linotype" w:eastAsia="Palatino Linotype" w:hAnsi="Palatino Linotype" w:cs="Palatino Linotype"/>
          <w:sz w:val="22"/>
          <w:szCs w:val="22"/>
        </w:rPr>
      </w:pPr>
    </w:p>
    <w:p w14:paraId="4F0AEC16" w14:textId="77777777" w:rsidR="00163A5F" w:rsidRPr="00932EC5" w:rsidRDefault="00A43C34">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932EC5">
        <w:rPr>
          <w:rFonts w:ascii="Palatino Linotype" w:eastAsia="Palatino Linotype" w:hAnsi="Palatino Linotype" w:cs="Palatino Linotype"/>
          <w:b/>
          <w:sz w:val="22"/>
          <w:szCs w:val="22"/>
        </w:rPr>
        <w:lastRenderedPageBreak/>
        <w:t>III. R E S U E L V E</w:t>
      </w:r>
    </w:p>
    <w:p w14:paraId="710FDFCE"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bookmarkStart w:id="16" w:name="_heading=h.lnxbz9" w:colFirst="0" w:colLast="0"/>
      <w:bookmarkEnd w:id="16"/>
      <w:r w:rsidRPr="00932EC5">
        <w:rPr>
          <w:rFonts w:ascii="Palatino Linotype" w:eastAsia="Palatino Linotype" w:hAnsi="Palatino Linotype" w:cs="Palatino Linotype"/>
          <w:b/>
          <w:sz w:val="22"/>
          <w:szCs w:val="22"/>
        </w:rPr>
        <w:t xml:space="preserve">Primero. </w:t>
      </w:r>
      <w:r w:rsidRPr="00932EC5">
        <w:rPr>
          <w:rFonts w:ascii="Palatino Linotype" w:eastAsia="Palatino Linotype" w:hAnsi="Palatino Linotype" w:cs="Palatino Linotype"/>
          <w:sz w:val="22"/>
          <w:szCs w:val="22"/>
        </w:rPr>
        <w:t>Resultan</w:t>
      </w:r>
      <w:r w:rsidRPr="00932EC5">
        <w:rPr>
          <w:rFonts w:ascii="Palatino Linotype" w:eastAsia="Palatino Linotype" w:hAnsi="Palatino Linotype" w:cs="Palatino Linotype"/>
          <w:b/>
          <w:sz w:val="22"/>
          <w:szCs w:val="22"/>
        </w:rPr>
        <w:t xml:space="preserve"> fundadas</w:t>
      </w:r>
      <w:r w:rsidRPr="00932EC5">
        <w:rPr>
          <w:rFonts w:ascii="Palatino Linotype" w:eastAsia="Palatino Linotype" w:hAnsi="Palatino Linotype" w:cs="Palatino Linotype"/>
          <w:sz w:val="22"/>
          <w:szCs w:val="22"/>
        </w:rPr>
        <w:t xml:space="preserve"> las razones o motivos de inconformidad hechos valer por la parte</w:t>
      </w:r>
      <w:r w:rsidRPr="00932EC5">
        <w:rPr>
          <w:rFonts w:ascii="Palatino Linotype" w:eastAsia="Palatino Linotype" w:hAnsi="Palatino Linotype" w:cs="Palatino Linotype"/>
          <w:b/>
          <w:sz w:val="22"/>
          <w:szCs w:val="22"/>
        </w:rPr>
        <w:t xml:space="preserve"> Recurrente</w:t>
      </w:r>
      <w:r w:rsidRPr="00932EC5">
        <w:rPr>
          <w:rFonts w:ascii="Palatino Linotype" w:eastAsia="Palatino Linotype" w:hAnsi="Palatino Linotype" w:cs="Palatino Linotype"/>
          <w:sz w:val="22"/>
          <w:szCs w:val="22"/>
        </w:rPr>
        <w:t xml:space="preserve"> en el recurso de revisión </w:t>
      </w:r>
      <w:r w:rsidRPr="00932EC5">
        <w:rPr>
          <w:rFonts w:ascii="Palatino Linotype" w:eastAsia="Palatino Linotype" w:hAnsi="Palatino Linotype" w:cs="Palatino Linotype"/>
          <w:b/>
          <w:sz w:val="22"/>
          <w:szCs w:val="22"/>
        </w:rPr>
        <w:t>06394/INFOEM/IP/RR/2024</w:t>
      </w:r>
      <w:r w:rsidRPr="00932EC5">
        <w:rPr>
          <w:rFonts w:ascii="Palatino Linotype" w:eastAsia="Palatino Linotype" w:hAnsi="Palatino Linotype" w:cs="Palatino Linotype"/>
          <w:sz w:val="22"/>
          <w:szCs w:val="22"/>
        </w:rPr>
        <w:t xml:space="preserve">; por lo que, en términos del </w:t>
      </w:r>
      <w:r w:rsidRPr="00932EC5">
        <w:rPr>
          <w:rFonts w:ascii="Palatino Linotype" w:eastAsia="Palatino Linotype" w:hAnsi="Palatino Linotype" w:cs="Palatino Linotype"/>
          <w:b/>
          <w:sz w:val="22"/>
          <w:szCs w:val="22"/>
        </w:rPr>
        <w:t>Considerando</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 xml:space="preserve">Cuarto </w:t>
      </w:r>
      <w:r w:rsidRPr="00932EC5">
        <w:rPr>
          <w:rFonts w:ascii="Palatino Linotype" w:eastAsia="Palatino Linotype" w:hAnsi="Palatino Linotype" w:cs="Palatino Linotype"/>
          <w:sz w:val="22"/>
          <w:szCs w:val="22"/>
        </w:rPr>
        <w:t xml:space="preserve">de esta resolución, se </w:t>
      </w:r>
      <w:r w:rsidRPr="00932EC5">
        <w:rPr>
          <w:rFonts w:ascii="Palatino Linotype" w:eastAsia="Palatino Linotype" w:hAnsi="Palatino Linotype" w:cs="Palatino Linotype"/>
          <w:b/>
          <w:sz w:val="22"/>
          <w:szCs w:val="22"/>
        </w:rPr>
        <w:t xml:space="preserve">Modifica </w:t>
      </w:r>
      <w:r w:rsidRPr="00932EC5">
        <w:rPr>
          <w:rFonts w:ascii="Palatino Linotype" w:eastAsia="Palatino Linotype" w:hAnsi="Palatino Linotype" w:cs="Palatino Linotype"/>
          <w:sz w:val="22"/>
          <w:szCs w:val="22"/>
        </w:rPr>
        <w:t xml:space="preserve">la respuesta emitida por el </w:t>
      </w:r>
      <w:r w:rsidRPr="00932EC5">
        <w:rPr>
          <w:rFonts w:ascii="Palatino Linotype" w:eastAsia="Palatino Linotype" w:hAnsi="Palatino Linotype" w:cs="Palatino Linotype"/>
          <w:b/>
          <w:sz w:val="22"/>
          <w:szCs w:val="22"/>
        </w:rPr>
        <w:t xml:space="preserve">Sujeto Obligado. </w:t>
      </w:r>
    </w:p>
    <w:p w14:paraId="0909DD8C" w14:textId="77777777" w:rsidR="00163A5F" w:rsidRPr="00932EC5" w:rsidRDefault="00A43C34">
      <w:pPr>
        <w:spacing w:before="240" w:after="240" w:line="360" w:lineRule="auto"/>
        <w:ind w:right="49"/>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 xml:space="preserve">Segundo. </w:t>
      </w:r>
      <w:r w:rsidRPr="00932EC5">
        <w:rPr>
          <w:rFonts w:ascii="Palatino Linotype" w:eastAsia="Palatino Linotype" w:hAnsi="Palatino Linotype" w:cs="Palatino Linotype"/>
          <w:sz w:val="22"/>
          <w:szCs w:val="22"/>
        </w:rPr>
        <w:t xml:space="preserve">Se </w:t>
      </w:r>
      <w:r w:rsidRPr="00932EC5">
        <w:rPr>
          <w:rFonts w:ascii="Palatino Linotype" w:eastAsia="Palatino Linotype" w:hAnsi="Palatino Linotype" w:cs="Palatino Linotype"/>
          <w:b/>
          <w:sz w:val="22"/>
          <w:szCs w:val="22"/>
        </w:rPr>
        <w:t xml:space="preserve">Ordena </w:t>
      </w:r>
      <w:r w:rsidRPr="00932EC5">
        <w:rPr>
          <w:rFonts w:ascii="Palatino Linotype" w:eastAsia="Palatino Linotype" w:hAnsi="Palatino Linotype" w:cs="Palatino Linotype"/>
          <w:sz w:val="22"/>
          <w:szCs w:val="22"/>
        </w:rPr>
        <w:t xml:space="preserve">al </w:t>
      </w:r>
      <w:r w:rsidRPr="00932EC5">
        <w:rPr>
          <w:rFonts w:ascii="Palatino Linotype" w:eastAsia="Palatino Linotype" w:hAnsi="Palatino Linotype" w:cs="Palatino Linotype"/>
          <w:b/>
          <w:sz w:val="22"/>
          <w:szCs w:val="22"/>
        </w:rPr>
        <w:t xml:space="preserve">Sujeto Obligado, </w:t>
      </w:r>
      <w:r w:rsidRPr="00932EC5">
        <w:rPr>
          <w:rFonts w:ascii="Palatino Linotype" w:eastAsia="Palatino Linotype" w:hAnsi="Palatino Linotype" w:cs="Palatino Linotype"/>
          <w:sz w:val="22"/>
          <w:szCs w:val="22"/>
        </w:rPr>
        <w:t xml:space="preserve">en términos de los </w:t>
      </w:r>
      <w:r w:rsidRPr="00932EC5">
        <w:rPr>
          <w:rFonts w:ascii="Palatino Linotype" w:eastAsia="Palatino Linotype" w:hAnsi="Palatino Linotype" w:cs="Palatino Linotype"/>
          <w:b/>
          <w:sz w:val="22"/>
          <w:szCs w:val="22"/>
        </w:rPr>
        <w:t>Considerandos</w:t>
      </w:r>
      <w:r w:rsidRPr="00932EC5">
        <w:rPr>
          <w:rFonts w:ascii="Palatino Linotype" w:eastAsia="Palatino Linotype" w:hAnsi="Palatino Linotype" w:cs="Palatino Linotype"/>
          <w:sz w:val="22"/>
          <w:szCs w:val="22"/>
        </w:rPr>
        <w:t xml:space="preserve"> </w:t>
      </w:r>
      <w:r w:rsidRPr="00932EC5">
        <w:rPr>
          <w:rFonts w:ascii="Palatino Linotype" w:eastAsia="Palatino Linotype" w:hAnsi="Palatino Linotype" w:cs="Palatino Linotype"/>
          <w:b/>
          <w:sz w:val="22"/>
          <w:szCs w:val="22"/>
        </w:rPr>
        <w:t xml:space="preserve">Cuarto </w:t>
      </w:r>
      <w:r w:rsidRPr="00932EC5">
        <w:rPr>
          <w:rFonts w:ascii="Palatino Linotype" w:eastAsia="Palatino Linotype" w:hAnsi="Palatino Linotype" w:cs="Palatino Linotype"/>
          <w:sz w:val="22"/>
          <w:szCs w:val="22"/>
        </w:rPr>
        <w:t xml:space="preserve">y </w:t>
      </w:r>
      <w:r w:rsidRPr="00932EC5">
        <w:rPr>
          <w:rFonts w:ascii="Palatino Linotype" w:eastAsia="Palatino Linotype" w:hAnsi="Palatino Linotype" w:cs="Palatino Linotype"/>
          <w:b/>
          <w:sz w:val="22"/>
          <w:szCs w:val="22"/>
        </w:rPr>
        <w:t xml:space="preserve">Quinto </w:t>
      </w:r>
      <w:r w:rsidRPr="00932EC5">
        <w:rPr>
          <w:rFonts w:ascii="Palatino Linotype" w:eastAsia="Palatino Linotype" w:hAnsi="Palatino Linotype" w:cs="Palatino Linotype"/>
          <w:sz w:val="22"/>
          <w:szCs w:val="22"/>
        </w:rPr>
        <w:t xml:space="preserve">de esta resolución, haga entrega vía </w:t>
      </w:r>
      <w:r w:rsidRPr="00932EC5">
        <w:rPr>
          <w:rFonts w:ascii="Palatino Linotype" w:eastAsia="Palatino Linotype" w:hAnsi="Palatino Linotype" w:cs="Palatino Linotype"/>
          <w:b/>
          <w:sz w:val="22"/>
          <w:szCs w:val="22"/>
        </w:rPr>
        <w:t>SAIMEX</w:t>
      </w:r>
      <w:r w:rsidRPr="00932EC5">
        <w:rPr>
          <w:rFonts w:ascii="Palatino Linotype" w:eastAsia="Palatino Linotype" w:hAnsi="Palatino Linotype" w:cs="Palatino Linotype"/>
          <w:sz w:val="22"/>
          <w:szCs w:val="22"/>
        </w:rPr>
        <w:t>, de los documentos en versión pública donde conste lo siguiente:</w:t>
      </w:r>
    </w:p>
    <w:p w14:paraId="5A84F323" w14:textId="77777777" w:rsidR="00163A5F" w:rsidRPr="00932EC5" w:rsidRDefault="00A43C34">
      <w:pPr>
        <w:numPr>
          <w:ilvl w:val="0"/>
          <w:numId w:val="5"/>
        </w:numPr>
        <w:pBdr>
          <w:top w:val="nil"/>
          <w:left w:val="nil"/>
          <w:bottom w:val="nil"/>
          <w:right w:val="nil"/>
          <w:between w:val="nil"/>
        </w:pBdr>
        <w:spacing w:line="360" w:lineRule="auto"/>
        <w:ind w:right="49" w:hanging="36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Los comprobantes de percepciones de la persona referida solicitud, generados del dos de mayo al quince de julio de dos mil veinticuatro.</w:t>
      </w:r>
    </w:p>
    <w:p w14:paraId="39707728" w14:textId="77777777" w:rsidR="00163A5F" w:rsidRPr="00932EC5" w:rsidRDefault="00A43C34">
      <w:pPr>
        <w:numPr>
          <w:ilvl w:val="0"/>
          <w:numId w:val="5"/>
        </w:numPr>
        <w:pBdr>
          <w:top w:val="nil"/>
          <w:left w:val="nil"/>
          <w:bottom w:val="nil"/>
          <w:right w:val="nil"/>
          <w:between w:val="nil"/>
        </w:pBdr>
        <w:spacing w:line="360" w:lineRule="auto"/>
        <w:ind w:right="49" w:hanging="360"/>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t>Formato Único de Movimiento de Personal de alta entregado en respuesta, en versión pública correcta.</w:t>
      </w:r>
    </w:p>
    <w:p w14:paraId="2A981386" w14:textId="77777777" w:rsidR="00163A5F" w:rsidRPr="00932EC5" w:rsidRDefault="00A43C34">
      <w:pPr>
        <w:spacing w:before="240" w:after="240"/>
        <w:ind w:left="284"/>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932EC5">
        <w:rPr>
          <w:rFonts w:ascii="Palatino Linotype" w:eastAsia="Palatino Linotype" w:hAnsi="Palatino Linotype" w:cs="Palatino Linotype"/>
          <w:b/>
          <w:i/>
          <w:sz w:val="22"/>
          <w:szCs w:val="22"/>
        </w:rPr>
        <w:t>Recurrente</w:t>
      </w:r>
      <w:r w:rsidRPr="00932EC5">
        <w:rPr>
          <w:rFonts w:ascii="Palatino Linotype" w:eastAsia="Palatino Linotype" w:hAnsi="Palatino Linotype" w:cs="Palatino Linotype"/>
          <w:i/>
          <w:sz w:val="22"/>
          <w:szCs w:val="22"/>
        </w:rPr>
        <w:t>.</w:t>
      </w:r>
    </w:p>
    <w:p w14:paraId="2731B4ED"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b/>
          <w:sz w:val="22"/>
          <w:szCs w:val="22"/>
        </w:rPr>
        <w:t xml:space="preserve">Tercero. Notifíquese, </w:t>
      </w:r>
      <w:r w:rsidRPr="00932EC5">
        <w:rPr>
          <w:rFonts w:ascii="Palatino Linotype" w:eastAsia="Palatino Linotype" w:hAnsi="Palatino Linotype" w:cs="Palatino Linotype"/>
          <w:sz w:val="22"/>
          <w:szCs w:val="22"/>
        </w:rPr>
        <w:t xml:space="preserve">vía </w:t>
      </w:r>
      <w:r w:rsidRPr="00932EC5">
        <w:rPr>
          <w:rFonts w:ascii="Palatino Linotype" w:eastAsia="Palatino Linotype" w:hAnsi="Palatino Linotype" w:cs="Palatino Linotype"/>
          <w:b/>
          <w:sz w:val="22"/>
          <w:szCs w:val="22"/>
        </w:rPr>
        <w:t>SAIMEX</w:t>
      </w:r>
      <w:r w:rsidRPr="00932EC5">
        <w:rPr>
          <w:rFonts w:ascii="Palatino Linotype" w:eastAsia="Palatino Linotype" w:hAnsi="Palatino Linotype" w:cs="Palatino Linotype"/>
          <w:sz w:val="22"/>
          <w:szCs w:val="22"/>
        </w:rPr>
        <w:t xml:space="preserve">, al Titular de la Unidad de Transparencia del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8F6B93F"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r w:rsidRPr="00932EC5">
        <w:rPr>
          <w:rFonts w:ascii="Palatino Linotype" w:eastAsia="Palatino Linotype" w:hAnsi="Palatino Linotype" w:cs="Palatino Linotype"/>
          <w:sz w:val="22"/>
          <w:szCs w:val="22"/>
        </w:rPr>
        <w:lastRenderedPageBreak/>
        <w:t xml:space="preserve">De conformidad con el artículo 198 de la Ley de Transparencia y Acceso a la Información Pública del Estado de México y Municipios, de considerarlo procedente, el </w:t>
      </w:r>
      <w:r w:rsidRPr="00932EC5">
        <w:rPr>
          <w:rFonts w:ascii="Palatino Linotype" w:eastAsia="Palatino Linotype" w:hAnsi="Palatino Linotype" w:cs="Palatino Linotype"/>
          <w:b/>
          <w:sz w:val="22"/>
          <w:szCs w:val="22"/>
        </w:rPr>
        <w:t>Sujeto Obligado</w:t>
      </w:r>
      <w:r w:rsidRPr="00932EC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C2D74DC" w14:textId="77777777" w:rsidR="00163A5F" w:rsidRPr="00932EC5" w:rsidRDefault="00A43C34">
      <w:pPr>
        <w:spacing w:before="240" w:after="240" w:line="360" w:lineRule="auto"/>
        <w:jc w:val="both"/>
        <w:rPr>
          <w:rFonts w:ascii="Palatino Linotype" w:eastAsia="Palatino Linotype" w:hAnsi="Palatino Linotype" w:cs="Palatino Linotype"/>
          <w:sz w:val="22"/>
          <w:szCs w:val="22"/>
        </w:rPr>
      </w:pPr>
      <w:bookmarkStart w:id="17" w:name="_heading=h.35nkun2" w:colFirst="0" w:colLast="0"/>
      <w:bookmarkEnd w:id="17"/>
      <w:r w:rsidRPr="00932EC5">
        <w:rPr>
          <w:rFonts w:ascii="Palatino Linotype" w:eastAsia="Palatino Linotype" w:hAnsi="Palatino Linotype" w:cs="Palatino Linotype"/>
          <w:b/>
          <w:sz w:val="22"/>
          <w:szCs w:val="22"/>
        </w:rPr>
        <w:t xml:space="preserve">Cuarto.  Notifíquese, </w:t>
      </w:r>
      <w:r w:rsidRPr="00932EC5">
        <w:rPr>
          <w:rFonts w:ascii="Palatino Linotype" w:eastAsia="Palatino Linotype" w:hAnsi="Palatino Linotype" w:cs="Palatino Linotype"/>
          <w:sz w:val="22"/>
          <w:szCs w:val="22"/>
        </w:rPr>
        <w:t xml:space="preserve">vía </w:t>
      </w:r>
      <w:r w:rsidRPr="00932EC5">
        <w:rPr>
          <w:rFonts w:ascii="Palatino Linotype" w:eastAsia="Palatino Linotype" w:hAnsi="Palatino Linotype" w:cs="Palatino Linotype"/>
          <w:b/>
          <w:sz w:val="22"/>
          <w:szCs w:val="22"/>
        </w:rPr>
        <w:t>SAIMEX</w:t>
      </w:r>
      <w:r w:rsidRPr="00932EC5">
        <w:rPr>
          <w:rFonts w:ascii="Palatino Linotype" w:eastAsia="Palatino Linotype" w:hAnsi="Palatino Linotype" w:cs="Palatino Linotype"/>
          <w:sz w:val="22"/>
          <w:szCs w:val="22"/>
        </w:rPr>
        <w:t xml:space="preserve">, a la parte </w:t>
      </w:r>
      <w:r w:rsidRPr="00932EC5">
        <w:rPr>
          <w:rFonts w:ascii="Palatino Linotype" w:eastAsia="Palatino Linotype" w:hAnsi="Palatino Linotype" w:cs="Palatino Linotype"/>
          <w:b/>
          <w:sz w:val="22"/>
          <w:szCs w:val="22"/>
        </w:rPr>
        <w:t>Recurrente</w:t>
      </w:r>
      <w:r w:rsidRPr="00932EC5">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6E906FF" w14:textId="77777777" w:rsidR="00163A5F" w:rsidRPr="00932EC5" w:rsidRDefault="00A43C34">
      <w:pPr>
        <w:spacing w:line="360" w:lineRule="auto"/>
        <w:jc w:val="both"/>
        <w:rPr>
          <w:rFonts w:ascii="Palatino Linotype" w:eastAsia="Palatino Linotype" w:hAnsi="Palatino Linotype" w:cs="Palatino Linotype"/>
          <w:sz w:val="22"/>
          <w:szCs w:val="22"/>
        </w:rPr>
      </w:pPr>
      <w:bookmarkStart w:id="18" w:name="_heading=h.1ksv4uv" w:colFirst="0" w:colLast="0"/>
      <w:bookmarkEnd w:id="18"/>
      <w:r w:rsidRPr="00932EC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TRECE DE OCTUBRE DE DOS MIL VEINTICUATRO, ANTE EL SECRETARIO TÉCNICO DEL PLENO ALEXIS TAPIA RAMÍREZ.</w:t>
      </w:r>
    </w:p>
    <w:p w14:paraId="54BE2DD7" w14:textId="77777777" w:rsidR="00163A5F" w:rsidRPr="00932EC5" w:rsidRDefault="00163A5F">
      <w:pPr>
        <w:spacing w:line="360" w:lineRule="auto"/>
        <w:jc w:val="both"/>
        <w:rPr>
          <w:rFonts w:ascii="Palatino Linotype" w:eastAsia="Palatino Linotype" w:hAnsi="Palatino Linotype" w:cs="Palatino Linotype"/>
        </w:rPr>
      </w:pPr>
    </w:p>
    <w:p w14:paraId="1EF17CB4" w14:textId="1FF6D19B" w:rsidR="00163A5F" w:rsidRPr="00932EC5" w:rsidRDefault="00163A5F">
      <w:pPr>
        <w:spacing w:line="360" w:lineRule="auto"/>
        <w:jc w:val="both"/>
        <w:rPr>
          <w:rFonts w:ascii="Palatino Linotype" w:eastAsia="Palatino Linotype" w:hAnsi="Palatino Linotype" w:cs="Palatino Linotype"/>
          <w:sz w:val="22"/>
          <w:szCs w:val="22"/>
        </w:rPr>
      </w:pPr>
    </w:p>
    <w:p w14:paraId="5AD3F65B" w14:textId="109EF31A" w:rsidR="00932EC5" w:rsidRPr="00932EC5" w:rsidRDefault="00932EC5">
      <w:pPr>
        <w:spacing w:line="360" w:lineRule="auto"/>
        <w:jc w:val="both"/>
        <w:rPr>
          <w:rFonts w:ascii="Palatino Linotype" w:eastAsia="Palatino Linotype" w:hAnsi="Palatino Linotype" w:cs="Palatino Linotype"/>
          <w:sz w:val="22"/>
          <w:szCs w:val="22"/>
        </w:rPr>
      </w:pPr>
    </w:p>
    <w:p w14:paraId="3CE0F174" w14:textId="1C9BD425" w:rsidR="00932EC5" w:rsidRPr="00932EC5" w:rsidRDefault="00932EC5">
      <w:pPr>
        <w:spacing w:line="360" w:lineRule="auto"/>
        <w:jc w:val="both"/>
        <w:rPr>
          <w:rFonts w:ascii="Palatino Linotype" w:eastAsia="Palatino Linotype" w:hAnsi="Palatino Linotype" w:cs="Palatino Linotype"/>
          <w:sz w:val="22"/>
          <w:szCs w:val="22"/>
        </w:rPr>
      </w:pPr>
    </w:p>
    <w:p w14:paraId="21266397" w14:textId="58C74AA8" w:rsidR="00932EC5" w:rsidRPr="00932EC5" w:rsidRDefault="00932EC5">
      <w:pPr>
        <w:spacing w:line="360" w:lineRule="auto"/>
        <w:jc w:val="both"/>
        <w:rPr>
          <w:rFonts w:ascii="Palatino Linotype" w:eastAsia="Palatino Linotype" w:hAnsi="Palatino Linotype" w:cs="Palatino Linotype"/>
          <w:sz w:val="22"/>
          <w:szCs w:val="22"/>
        </w:rPr>
      </w:pPr>
    </w:p>
    <w:p w14:paraId="7087EEB6" w14:textId="29DDBA99" w:rsidR="00932EC5" w:rsidRPr="00932EC5" w:rsidRDefault="00932EC5">
      <w:pPr>
        <w:spacing w:line="360" w:lineRule="auto"/>
        <w:jc w:val="both"/>
        <w:rPr>
          <w:rFonts w:ascii="Palatino Linotype" w:eastAsia="Palatino Linotype" w:hAnsi="Palatino Linotype" w:cs="Palatino Linotype"/>
          <w:sz w:val="22"/>
          <w:szCs w:val="22"/>
        </w:rPr>
      </w:pPr>
    </w:p>
    <w:p w14:paraId="3A4C4A70" w14:textId="1BD06FC6" w:rsidR="00932EC5" w:rsidRPr="00932EC5" w:rsidRDefault="00932EC5">
      <w:pPr>
        <w:spacing w:line="360" w:lineRule="auto"/>
        <w:jc w:val="both"/>
        <w:rPr>
          <w:rFonts w:ascii="Palatino Linotype" w:eastAsia="Palatino Linotype" w:hAnsi="Palatino Linotype" w:cs="Palatino Linotype"/>
          <w:sz w:val="22"/>
          <w:szCs w:val="22"/>
        </w:rPr>
      </w:pPr>
    </w:p>
    <w:p w14:paraId="265CC48A" w14:textId="4FECB228" w:rsidR="00932EC5" w:rsidRPr="00932EC5" w:rsidRDefault="00932EC5">
      <w:pPr>
        <w:spacing w:line="360" w:lineRule="auto"/>
        <w:jc w:val="both"/>
        <w:rPr>
          <w:rFonts w:ascii="Palatino Linotype" w:eastAsia="Palatino Linotype" w:hAnsi="Palatino Linotype" w:cs="Palatino Linotype"/>
          <w:sz w:val="22"/>
          <w:szCs w:val="22"/>
        </w:rPr>
      </w:pPr>
    </w:p>
    <w:p w14:paraId="467B8212" w14:textId="0B39C8B4" w:rsidR="00932EC5" w:rsidRPr="00932EC5" w:rsidRDefault="00932EC5">
      <w:pPr>
        <w:spacing w:line="360" w:lineRule="auto"/>
        <w:jc w:val="both"/>
        <w:rPr>
          <w:rFonts w:ascii="Palatino Linotype" w:eastAsia="Palatino Linotype" w:hAnsi="Palatino Linotype" w:cs="Palatino Linotype"/>
          <w:sz w:val="22"/>
          <w:szCs w:val="22"/>
        </w:rPr>
      </w:pPr>
    </w:p>
    <w:p w14:paraId="42D564E7" w14:textId="0F8CBEA6" w:rsidR="00932EC5" w:rsidRPr="00932EC5" w:rsidRDefault="00932EC5">
      <w:pPr>
        <w:spacing w:line="360" w:lineRule="auto"/>
        <w:jc w:val="both"/>
        <w:rPr>
          <w:rFonts w:ascii="Palatino Linotype" w:eastAsia="Palatino Linotype" w:hAnsi="Palatino Linotype" w:cs="Palatino Linotype"/>
          <w:sz w:val="22"/>
          <w:szCs w:val="22"/>
        </w:rPr>
      </w:pPr>
    </w:p>
    <w:p w14:paraId="257A99C8" w14:textId="77777777" w:rsidR="00932EC5" w:rsidRPr="00932EC5" w:rsidRDefault="00932EC5">
      <w:pPr>
        <w:spacing w:line="360" w:lineRule="auto"/>
        <w:jc w:val="both"/>
        <w:rPr>
          <w:rFonts w:ascii="Palatino Linotype" w:eastAsia="Palatino Linotype" w:hAnsi="Palatino Linotype" w:cs="Palatino Linotype"/>
          <w:sz w:val="22"/>
          <w:szCs w:val="22"/>
        </w:rPr>
      </w:pPr>
    </w:p>
    <w:sectPr w:rsidR="00932EC5" w:rsidRPr="00932EC5">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1C887" w14:textId="77777777" w:rsidR="00304ED2" w:rsidRDefault="00304ED2">
      <w:r>
        <w:separator/>
      </w:r>
    </w:p>
  </w:endnote>
  <w:endnote w:type="continuationSeparator" w:id="0">
    <w:p w14:paraId="7D5C6CD3" w14:textId="77777777" w:rsidR="00304ED2" w:rsidRDefault="00304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969F" w14:textId="77777777" w:rsidR="00163A5F" w:rsidRDefault="00A43C3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14F2AB5" w14:textId="77777777" w:rsidR="00163A5F" w:rsidRDefault="00163A5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4140" w14:textId="77777777" w:rsidR="00163A5F" w:rsidRDefault="00A43C3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2A90F9EF" w14:textId="77777777" w:rsidR="00163A5F" w:rsidRDefault="00163A5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1F27B" w14:textId="77777777" w:rsidR="00304ED2" w:rsidRDefault="00304ED2">
      <w:r>
        <w:separator/>
      </w:r>
    </w:p>
  </w:footnote>
  <w:footnote w:type="continuationSeparator" w:id="0">
    <w:p w14:paraId="7ED5632C" w14:textId="77777777" w:rsidR="00304ED2" w:rsidRDefault="00304ED2">
      <w:r>
        <w:continuationSeparator/>
      </w:r>
    </w:p>
  </w:footnote>
  <w:footnote w:id="1">
    <w:p w14:paraId="79830A2D" w14:textId="77777777" w:rsidR="00163A5F" w:rsidRDefault="00A43C34">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5788" w14:textId="77777777" w:rsidR="00163A5F" w:rsidRDefault="00A43C34">
    <w:pPr>
      <w:rPr>
        <w:rFonts w:ascii="Cambria" w:eastAsia="Cambria" w:hAnsi="Cambria" w:cs="Cambria"/>
        <w:color w:val="000000"/>
      </w:rPr>
    </w:pPr>
    <w:r>
      <w:rPr>
        <w:noProof/>
      </w:rPr>
      <w:drawing>
        <wp:anchor distT="0" distB="0" distL="0" distR="0" simplePos="0" relativeHeight="251658240" behindDoc="1" locked="0" layoutInCell="1" hidden="0" allowOverlap="1" wp14:anchorId="37C93382" wp14:editId="3CC9C24A">
          <wp:simplePos x="0" y="0"/>
          <wp:positionH relativeFrom="column">
            <wp:posOffset>-1080108</wp:posOffset>
          </wp:positionH>
          <wp:positionV relativeFrom="paragraph">
            <wp:posOffset>-488282</wp:posOffset>
          </wp:positionV>
          <wp:extent cx="7809865" cy="10165715"/>
          <wp:effectExtent l="0" t="0" r="0" b="0"/>
          <wp:wrapNone/>
          <wp:docPr id="20483349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7087" w:type="dxa"/>
      <w:tblInd w:w="3261" w:type="dxa"/>
      <w:tblLayout w:type="fixed"/>
      <w:tblLook w:val="0400" w:firstRow="0" w:lastRow="0" w:firstColumn="0" w:lastColumn="0" w:noHBand="0" w:noVBand="1"/>
    </w:tblPr>
    <w:tblGrid>
      <w:gridCol w:w="2489"/>
      <w:gridCol w:w="4598"/>
    </w:tblGrid>
    <w:tr w:rsidR="00163A5F" w14:paraId="088775F5" w14:textId="77777777">
      <w:tc>
        <w:tcPr>
          <w:tcW w:w="2489" w:type="dxa"/>
          <w:shd w:val="clear" w:color="auto" w:fill="auto"/>
        </w:tcPr>
        <w:p w14:paraId="1259C145" w14:textId="77777777" w:rsidR="00163A5F" w:rsidRDefault="00A43C3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185824C6" w14:textId="77777777" w:rsidR="00163A5F" w:rsidRDefault="00A43C3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06394/INFOEM/IP/RR/2024</w:t>
          </w:r>
        </w:p>
      </w:tc>
    </w:tr>
    <w:tr w:rsidR="00163A5F" w14:paraId="41D66387" w14:textId="77777777">
      <w:trPr>
        <w:trHeight w:val="228"/>
      </w:trPr>
      <w:tc>
        <w:tcPr>
          <w:tcW w:w="2489" w:type="dxa"/>
          <w:shd w:val="clear" w:color="auto" w:fill="auto"/>
          <w:vAlign w:val="center"/>
        </w:tcPr>
        <w:p w14:paraId="4FC4EA0E" w14:textId="77777777" w:rsidR="00163A5F" w:rsidRDefault="00A43C3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05401D0" w14:textId="77777777" w:rsidR="00163A5F" w:rsidRDefault="00A43C34">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Contraloría</w:t>
          </w:r>
        </w:p>
      </w:tc>
    </w:tr>
    <w:tr w:rsidR="00163A5F" w14:paraId="3C9B52A7" w14:textId="77777777">
      <w:tc>
        <w:tcPr>
          <w:tcW w:w="2489" w:type="dxa"/>
          <w:shd w:val="clear" w:color="auto" w:fill="auto"/>
          <w:vAlign w:val="center"/>
        </w:tcPr>
        <w:p w14:paraId="58B4F926" w14:textId="77777777" w:rsidR="00163A5F" w:rsidRDefault="00A43C3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1C70F1B" w14:textId="77777777" w:rsidR="00163A5F" w:rsidRDefault="00A43C3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BEB453" w14:textId="77777777" w:rsidR="00163A5F" w:rsidRDefault="00A43C3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841A" w14:textId="77777777" w:rsidR="00163A5F" w:rsidRDefault="00A43C3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32F7656" wp14:editId="6EDB98D5">
          <wp:simplePos x="0" y="0"/>
          <wp:positionH relativeFrom="column">
            <wp:posOffset>-1079486</wp:posOffset>
          </wp:positionH>
          <wp:positionV relativeFrom="paragraph">
            <wp:posOffset>-328914</wp:posOffset>
          </wp:positionV>
          <wp:extent cx="7809865" cy="10165715"/>
          <wp:effectExtent l="0" t="0" r="0" b="0"/>
          <wp:wrapNone/>
          <wp:docPr id="20483349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945" w:type="dxa"/>
      <w:tblInd w:w="3261" w:type="dxa"/>
      <w:tblLayout w:type="fixed"/>
      <w:tblLook w:val="0400" w:firstRow="0" w:lastRow="0" w:firstColumn="0" w:lastColumn="0" w:noHBand="0" w:noVBand="1"/>
    </w:tblPr>
    <w:tblGrid>
      <w:gridCol w:w="2551"/>
      <w:gridCol w:w="4394"/>
    </w:tblGrid>
    <w:tr w:rsidR="00163A5F" w14:paraId="77A290F7" w14:textId="77777777">
      <w:tc>
        <w:tcPr>
          <w:tcW w:w="2551" w:type="dxa"/>
          <w:shd w:val="clear" w:color="auto" w:fill="auto"/>
          <w:vAlign w:val="center"/>
        </w:tcPr>
        <w:p w14:paraId="3723AEA4" w14:textId="77777777" w:rsidR="00163A5F" w:rsidRDefault="00A43C3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EEF9135" w14:textId="77777777" w:rsidR="00163A5F" w:rsidRDefault="00A43C3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06394/INFOEM/IP/RR/2024</w:t>
          </w:r>
        </w:p>
      </w:tc>
    </w:tr>
    <w:tr w:rsidR="00163A5F" w14:paraId="6B35A125" w14:textId="77777777">
      <w:trPr>
        <w:trHeight w:val="130"/>
      </w:trPr>
      <w:tc>
        <w:tcPr>
          <w:tcW w:w="2551" w:type="dxa"/>
          <w:shd w:val="clear" w:color="auto" w:fill="auto"/>
          <w:vAlign w:val="center"/>
        </w:tcPr>
        <w:p w14:paraId="32A05788" w14:textId="77777777" w:rsidR="00163A5F" w:rsidRDefault="00A43C3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4C4AC35D" w14:textId="53B863C9" w:rsidR="00163A5F" w:rsidRDefault="00323A2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w:t>
          </w:r>
        </w:p>
      </w:tc>
    </w:tr>
    <w:tr w:rsidR="00163A5F" w14:paraId="4EAF7004" w14:textId="77777777">
      <w:trPr>
        <w:trHeight w:val="228"/>
      </w:trPr>
      <w:tc>
        <w:tcPr>
          <w:tcW w:w="2551" w:type="dxa"/>
          <w:shd w:val="clear" w:color="auto" w:fill="auto"/>
          <w:vAlign w:val="center"/>
        </w:tcPr>
        <w:p w14:paraId="03740AE5" w14:textId="77777777" w:rsidR="00163A5F" w:rsidRDefault="00A43C3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5D2AFD0" w14:textId="77777777" w:rsidR="00163A5F" w:rsidRDefault="00A43C34">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Contraloría</w:t>
          </w:r>
        </w:p>
      </w:tc>
    </w:tr>
    <w:tr w:rsidR="00163A5F" w14:paraId="0DE3D053" w14:textId="77777777">
      <w:tc>
        <w:tcPr>
          <w:tcW w:w="2551" w:type="dxa"/>
          <w:shd w:val="clear" w:color="auto" w:fill="auto"/>
          <w:vAlign w:val="center"/>
        </w:tcPr>
        <w:p w14:paraId="3B691ECC" w14:textId="77777777" w:rsidR="00163A5F" w:rsidRDefault="00A43C3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4ACF4DAD" w14:textId="77777777" w:rsidR="00163A5F" w:rsidRDefault="00A43C3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BBB7E5" w14:textId="77777777" w:rsidR="00163A5F" w:rsidRDefault="00163A5F">
    <w:pPr>
      <w:pBdr>
        <w:top w:val="nil"/>
        <w:left w:val="nil"/>
        <w:bottom w:val="nil"/>
        <w:right w:val="nil"/>
        <w:between w:val="nil"/>
      </w:pBdr>
      <w:tabs>
        <w:tab w:val="center" w:pos="4252"/>
        <w:tab w:val="right" w:pos="8504"/>
      </w:tabs>
      <w:rPr>
        <w:rFonts w:ascii="Cambria" w:eastAsia="Cambria" w:hAnsi="Cambria" w:cs="Cambria"/>
        <w:color w:val="000000"/>
      </w:rPr>
    </w:pPr>
  </w:p>
  <w:p w14:paraId="778AD1C9" w14:textId="77777777" w:rsidR="00163A5F" w:rsidRDefault="00163A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A32DC"/>
    <w:multiLevelType w:val="multilevel"/>
    <w:tmpl w:val="C34001A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F2E4D28"/>
    <w:multiLevelType w:val="multilevel"/>
    <w:tmpl w:val="8340D74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DC4D2C"/>
    <w:multiLevelType w:val="multilevel"/>
    <w:tmpl w:val="C75A3E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A2B36E2"/>
    <w:multiLevelType w:val="multilevel"/>
    <w:tmpl w:val="739EDC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03B6158"/>
    <w:multiLevelType w:val="multilevel"/>
    <w:tmpl w:val="89CA994A"/>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A5F"/>
    <w:rsid w:val="000D64B3"/>
    <w:rsid w:val="00163A5F"/>
    <w:rsid w:val="00304ED2"/>
    <w:rsid w:val="00323A20"/>
    <w:rsid w:val="004C3C13"/>
    <w:rsid w:val="008D17BC"/>
    <w:rsid w:val="00932EC5"/>
    <w:rsid w:val="00A43C34"/>
    <w:rsid w:val="00A736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489B7"/>
  <w15:docId w15:val="{C1C74320-75B5-4E3D-82D1-6B2FED4C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759CF"/>
    <w:rPr>
      <w:vertAlign w:val="superscript"/>
    </w:r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C28F5"/>
    <w:pPr>
      <w:numPr>
        <w:numId w:val="3"/>
      </w:numPr>
      <w:contextualSpacing/>
    </w:pPr>
  </w:style>
  <w:style w:type="paragraph" w:styleId="Textodeglobo">
    <w:name w:val="Balloon Text"/>
    <w:basedOn w:val="Normal"/>
    <w:link w:val="TextodegloboCar"/>
    <w:uiPriority w:val="99"/>
    <w:semiHidden/>
    <w:unhideWhenUsed/>
    <w:rsid w:val="00B37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7A94"/>
    <w:rPr>
      <w:rFonts w:ascii="Segoe UI" w:hAnsi="Segoe UI" w:cs="Segoe UI"/>
      <w:sz w:val="18"/>
      <w:szCs w:val="18"/>
    </w:r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32E42"/>
    <w:rPr>
      <w:color w:val="800080" w:themeColor="followedHyperlink"/>
      <w:u w:val="single"/>
    </w:r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6.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7.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iSEt9I7o2oLRcb3GB/kV9XMvMg==">CgMxLjAyCWguMWZvYjl0ZTIIaC5namRneHMyCWguM2R5NnZrbTIJaC4zMGowemxsMgloLjJzOGV5bzEyCWguMTdkcDh2dTIIaC50eWpjd3QyCWguM3pueXNoNzIJaC4yZXQ5MnAwMgloLjF5ODEwdHcyCWguM3JkY3JqbjIJaC4xdDNoNXNmMgloLjFrc3Y0dXYyCWguNDRzaW5pbzIIaC56MzM3eWEyCWguMjZpbjFyZzIJaC4zajJxcW0zMghoLmxueGJ6OTIJaC4zNW5rdW4yMgloLjM1bmt1bjIyCWguMWtzdjR1djgAciExTzBGcHE1SlBpNHBfX3pZdjNLSTdFZ0ZudU44MHc1R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15650</Words>
  <Characters>86075</Characters>
  <Application>Microsoft Office Word</Application>
  <DocSecurity>0</DocSecurity>
  <Lines>717</Lines>
  <Paragraphs>203</Paragraphs>
  <ScaleCrop>false</ScaleCrop>
  <Company>HP Inc.</Company>
  <LinksUpToDate>false</LinksUpToDate>
  <CharactersWithSpaces>101522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2024-11-15T06:56:00Z</cp:lastPrinted>
  <dcterms:created xsi:type="dcterms:W3CDTF">2024-12-04T19:47:00Z</dcterms:created>
  <dcterms:modified xsi:type="dcterms:W3CDTF">2024-12-04T19:47:00Z</dcterms:modified>
</cp:coreProperties>
</file>