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C01" w:rsidRDefault="00CB2DC6">
      <w:pPr>
        <w:pBdr>
          <w:top w:val="nil"/>
          <w:left w:val="nil"/>
          <w:bottom w:val="nil"/>
          <w:right w:val="nil"/>
          <w:between w:val="nil"/>
        </w:pBdr>
        <w:spacing w:line="360" w:lineRule="auto"/>
        <w:jc w:val="both"/>
        <w:rPr>
          <w:rFonts w:ascii="Palatino Linotype" w:eastAsia="Palatino Linotype" w:hAnsi="Palatino Linotype" w:cs="Palatino Linotype"/>
          <w:color w:val="000000"/>
        </w:rPr>
      </w:pPr>
      <w:bookmarkStart w:id="0" w:name="_heading=h.gjdgxs" w:colFirst="0" w:colLast="0"/>
      <w:bookmarkStart w:id="1" w:name="_GoBack"/>
      <w:bookmarkEnd w:id="0"/>
      <w:bookmarkEnd w:id="1"/>
      <w:r>
        <w:rPr>
          <w:rFonts w:ascii="Palatino Linotype" w:eastAsia="Palatino Linotype" w:hAnsi="Palatino Linotype" w:cs="Palatino Linotype"/>
          <w:color w:val="000000"/>
        </w:rPr>
        <w:t>Resolución del Pleno del Instituto de Transparencia, Acceso a la Información Pública y Protección de Datos Personales del Estado de México y Municipios, con domicilio en Metepec, Estado de México; de once (11) de septiembre de dos mil veinticuatro.</w:t>
      </w:r>
    </w:p>
    <w:p w:rsidR="009B5C01" w:rsidRDefault="009B5C0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9B5C01" w:rsidRDefault="00CB2DC6">
      <w:pPr>
        <w:pBdr>
          <w:top w:val="nil"/>
          <w:left w:val="nil"/>
          <w:bottom w:val="nil"/>
          <w:right w:val="nil"/>
          <w:between w:val="nil"/>
        </w:pBdr>
        <w:spacing w:line="360" w:lineRule="auto"/>
        <w:jc w:val="both"/>
        <w:rPr>
          <w:rFonts w:ascii="Palatino Linotype" w:eastAsia="Palatino Linotype" w:hAnsi="Palatino Linotype" w:cs="Palatino Linotype"/>
          <w:color w:val="000000"/>
        </w:rPr>
      </w:pPr>
      <w:bookmarkStart w:id="2" w:name="_heading=h.30j0zll" w:colFirst="0" w:colLast="0"/>
      <w:bookmarkEnd w:id="2"/>
      <w:r>
        <w:rPr>
          <w:rFonts w:ascii="Palatino Linotype" w:eastAsia="Palatino Linotype" w:hAnsi="Palatino Linotype" w:cs="Palatino Linotype"/>
          <w:color w:val="000000"/>
        </w:rPr>
        <w:t xml:space="preserve">VISTOS los expedientes electrónicos formados con motivo de los Recursos de Revisión </w:t>
      </w:r>
      <w:r>
        <w:rPr>
          <w:rFonts w:ascii="Palatino Linotype" w:eastAsia="Palatino Linotype" w:hAnsi="Palatino Linotype" w:cs="Palatino Linotype"/>
          <w:b/>
          <w:color w:val="000000"/>
        </w:rPr>
        <w:t xml:space="preserve">04653/INFOEM/IP/RR/2024 y 04654/INFOEM/IP/RR/2024, </w:t>
      </w:r>
      <w:r w:rsidR="001D2BC9">
        <w:rPr>
          <w:rFonts w:ascii="Palatino Linotype" w:eastAsia="Palatino Linotype" w:hAnsi="Palatino Linotype" w:cs="Palatino Linotype"/>
          <w:color w:val="000000"/>
        </w:rPr>
        <w:t xml:space="preserve">acumulados, promovidos por </w:t>
      </w:r>
      <w:r>
        <w:rPr>
          <w:rFonts w:ascii="Palatino Linotype" w:eastAsia="Palatino Linotype" w:hAnsi="Palatino Linotype" w:cs="Palatino Linotype"/>
          <w:b/>
          <w:color w:val="000000"/>
        </w:rPr>
        <w:t>una persona que no proporcionada datos de identificación</w:t>
      </w:r>
      <w:r>
        <w:rPr>
          <w:rFonts w:ascii="Palatino Linotype" w:eastAsia="Palatino Linotype" w:hAnsi="Palatino Linotype" w:cs="Palatino Linotype"/>
          <w:color w:val="000000"/>
        </w:rPr>
        <w:t xml:space="preserve">, a través del Sistema de Acceso a la </w:t>
      </w:r>
      <w:r w:rsidRPr="004C6949">
        <w:rPr>
          <w:rFonts w:ascii="Palatino Linotype" w:eastAsia="Palatino Linotype" w:hAnsi="Palatino Linotype" w:cs="Palatino Linotype"/>
          <w:color w:val="000000"/>
        </w:rPr>
        <w:t xml:space="preserve">Información Mexiquense (SAIMEX), a quien en lo sucesivo se le identificará como </w:t>
      </w:r>
      <w:r w:rsidRPr="004C6949">
        <w:rPr>
          <w:rFonts w:ascii="Palatino Linotype" w:eastAsia="Palatino Linotype" w:hAnsi="Palatino Linotype" w:cs="Palatino Linotype"/>
          <w:b/>
          <w:color w:val="000000"/>
        </w:rPr>
        <w:t>EL RECURRENTE</w:t>
      </w:r>
      <w:r w:rsidRPr="004C6949">
        <w:rPr>
          <w:rFonts w:ascii="Palatino Linotype" w:eastAsia="Palatino Linotype" w:hAnsi="Palatino Linotype" w:cs="Palatino Linotype"/>
          <w:color w:val="000000"/>
        </w:rPr>
        <w:t xml:space="preserve">, en contra de las respuestas del </w:t>
      </w:r>
      <w:r w:rsidRPr="004C6949">
        <w:rPr>
          <w:rFonts w:ascii="Palatino Linotype" w:eastAsia="Palatino Linotype" w:hAnsi="Palatino Linotype" w:cs="Palatino Linotype"/>
          <w:b/>
          <w:color w:val="000000"/>
        </w:rPr>
        <w:t>Instituto Municipal de Cultura Física y Deporte</w:t>
      </w:r>
      <w:r w:rsidR="00446B8F" w:rsidRPr="004C6949">
        <w:rPr>
          <w:rFonts w:ascii="Palatino Linotype" w:eastAsia="Palatino Linotype" w:hAnsi="Palatino Linotype" w:cs="Palatino Linotype"/>
          <w:b/>
          <w:color w:val="000000"/>
        </w:rPr>
        <w:t xml:space="preserve"> de Toluca</w:t>
      </w:r>
      <w:r w:rsidRPr="004C6949">
        <w:rPr>
          <w:rFonts w:ascii="Palatino Linotype" w:eastAsia="Palatino Linotype" w:hAnsi="Palatino Linotype" w:cs="Palatino Linotype"/>
          <w:color w:val="000000"/>
        </w:rPr>
        <w:t xml:space="preserve">, en lo sucesivo </w:t>
      </w:r>
      <w:r w:rsidRPr="004C6949">
        <w:rPr>
          <w:rFonts w:ascii="Palatino Linotype" w:eastAsia="Palatino Linotype" w:hAnsi="Palatino Linotype" w:cs="Palatino Linotype"/>
          <w:b/>
          <w:color w:val="000000"/>
        </w:rPr>
        <w:t>EL SUJETO OBLIGADO</w:t>
      </w:r>
      <w:r w:rsidRPr="004C6949">
        <w:rPr>
          <w:rFonts w:ascii="Palatino Linotype" w:eastAsia="Palatino Linotype" w:hAnsi="Palatino Linotype" w:cs="Palatino Linotype"/>
          <w:color w:val="000000"/>
        </w:rPr>
        <w:t>, se procede a dictar la presente</w:t>
      </w:r>
      <w:r>
        <w:rPr>
          <w:rFonts w:ascii="Palatino Linotype" w:eastAsia="Palatino Linotype" w:hAnsi="Palatino Linotype" w:cs="Palatino Linotype"/>
          <w:color w:val="000000"/>
        </w:rPr>
        <w:t xml:space="preserve"> resolución, con base en los siguientes:</w:t>
      </w:r>
    </w:p>
    <w:p w:rsidR="009B5C01" w:rsidRDefault="009B5C0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9B5C01" w:rsidRDefault="00CB2DC6">
      <w:pPr>
        <w:pBdr>
          <w:top w:val="nil"/>
          <w:left w:val="nil"/>
          <w:bottom w:val="nil"/>
          <w:right w:val="nil"/>
          <w:between w:val="nil"/>
        </w:pBdr>
        <w:spacing w:line="360" w:lineRule="auto"/>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A N T E C E D E N T E S</w:t>
      </w:r>
    </w:p>
    <w:p w:rsidR="009B5C01" w:rsidRDefault="009B5C01">
      <w:pPr>
        <w:spacing w:line="360" w:lineRule="auto"/>
        <w:rPr>
          <w:rFonts w:ascii="Palatino Linotype" w:eastAsia="Palatino Linotype" w:hAnsi="Palatino Linotype" w:cs="Palatino Linotype"/>
        </w:rPr>
      </w:pPr>
    </w:p>
    <w:p w:rsidR="009B5C01" w:rsidRDefault="00CB2DC6">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día </w:t>
      </w:r>
      <w:r>
        <w:rPr>
          <w:rFonts w:ascii="Palatino Linotype" w:eastAsia="Palatino Linotype" w:hAnsi="Palatino Linotype" w:cs="Palatino Linotype"/>
          <w:b/>
          <w:color w:val="000000"/>
        </w:rPr>
        <w:t xml:space="preserve">once y dieciocho de junio de dos mil veinticuatro, </w:t>
      </w:r>
      <w:r>
        <w:rPr>
          <w:rFonts w:ascii="Palatino Linotype" w:eastAsia="Palatino Linotype" w:hAnsi="Palatino Linotype" w:cs="Palatino Linotype"/>
          <w:color w:val="000000"/>
        </w:rPr>
        <w:t xml:space="preserve">se presentó ante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vía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las solicitudes de información pública registradas con los números</w:t>
      </w:r>
      <w:r w:rsidR="002B3817">
        <w:rPr>
          <w:rFonts w:ascii="Palatino Linotype" w:eastAsia="Palatino Linotype" w:hAnsi="Palatino Linotype" w:cs="Palatino Linotype"/>
          <w:b/>
          <w:color w:val="000000"/>
        </w:rPr>
        <w:t xml:space="preserve"> 00002/IMCUFIDETOLUCA</w:t>
      </w:r>
      <w:r>
        <w:rPr>
          <w:rFonts w:ascii="Palatino Linotype" w:eastAsia="Palatino Linotype" w:hAnsi="Palatino Linotype" w:cs="Palatino Linotype"/>
          <w:b/>
          <w:color w:val="000000"/>
        </w:rPr>
        <w:t xml:space="preserve">/IP/2024 y 00005/IMCUFIDETOLUCA/IP/2024, </w:t>
      </w:r>
      <w:r>
        <w:rPr>
          <w:rFonts w:ascii="Palatino Linotype" w:eastAsia="Palatino Linotype" w:hAnsi="Palatino Linotype" w:cs="Palatino Linotype"/>
          <w:color w:val="000000"/>
        </w:rPr>
        <w:t>mediante las cuales se solicitó la siguiente información:</w:t>
      </w:r>
    </w:p>
    <w:p w:rsidR="009B5C01" w:rsidRDefault="009B5C0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Solicitud 00005/IMCUFIDETOLUCA/IP/2024:</w:t>
      </w:r>
      <w:r>
        <w:rPr>
          <w:rFonts w:ascii="Palatino Linotype" w:eastAsia="Palatino Linotype" w:hAnsi="Palatino Linotype" w:cs="Palatino Linotype"/>
          <w:i/>
          <w:color w:val="000000"/>
          <w:sz w:val="22"/>
          <w:szCs w:val="22"/>
        </w:rPr>
        <w:t xml:space="preserve"> “Los contratos con los provedores de 2022 a 2024 y las facturas pagadas”</w:t>
      </w: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lastRenderedPageBreak/>
        <w:t xml:space="preserve">Solicitud 00002/IMCUFIDETOLUCA/IP/2024: </w:t>
      </w:r>
      <w:r>
        <w:rPr>
          <w:rFonts w:ascii="Palatino Linotype" w:eastAsia="Palatino Linotype" w:hAnsi="Palatino Linotype" w:cs="Palatino Linotype"/>
          <w:i/>
          <w:color w:val="000000"/>
          <w:sz w:val="22"/>
          <w:szCs w:val="22"/>
        </w:rPr>
        <w:t>“Se solicitan los contratos vigentes con provedores y las facturas pagadas”</w:t>
      </w:r>
    </w:p>
    <w:p w:rsidR="009B5C01" w:rsidRDefault="009B5C01">
      <w:pPr>
        <w:pBdr>
          <w:top w:val="nil"/>
          <w:left w:val="nil"/>
          <w:bottom w:val="nil"/>
          <w:right w:val="nil"/>
          <w:between w:val="nil"/>
        </w:pBdr>
        <w:spacing w:line="360" w:lineRule="auto"/>
        <w:jc w:val="both"/>
        <w:rPr>
          <w:rFonts w:ascii="Palatino Linotype" w:eastAsia="Palatino Linotype" w:hAnsi="Palatino Linotype" w:cs="Palatino Linotype"/>
          <w:i/>
          <w:color w:val="000000"/>
          <w:sz w:val="22"/>
          <w:szCs w:val="22"/>
        </w:rPr>
      </w:pPr>
    </w:p>
    <w:p w:rsidR="009B5C01" w:rsidRDefault="00CB2DC6">
      <w:pPr>
        <w:numPr>
          <w:ilvl w:val="0"/>
          <w:numId w:val="10"/>
        </w:numPr>
        <w:pBdr>
          <w:top w:val="nil"/>
          <w:left w:val="nil"/>
          <w:bottom w:val="nil"/>
          <w:right w:val="nil"/>
          <w:between w:val="nil"/>
        </w:pBdr>
        <w:spacing w:line="360" w:lineRule="auto"/>
        <w:ind w:left="709" w:right="474"/>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Modalidad de entrega</w:t>
      </w:r>
      <w:r>
        <w:rPr>
          <w:rFonts w:ascii="Palatino Linotype" w:eastAsia="Palatino Linotype" w:hAnsi="Palatino Linotype" w:cs="Palatino Linotype"/>
          <w:color w:val="000000"/>
        </w:rPr>
        <w:t>: Vía SAIMEX.</w:t>
      </w:r>
    </w:p>
    <w:p w:rsidR="009B5C01" w:rsidRDefault="009B5C01">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rsidR="009B5C01" w:rsidRDefault="00CB2DC6">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el </w:t>
      </w:r>
      <w:r>
        <w:rPr>
          <w:rFonts w:ascii="Palatino Linotype" w:eastAsia="Palatino Linotype" w:hAnsi="Palatino Linotype" w:cs="Palatino Linotype"/>
          <w:b/>
          <w:color w:val="000000"/>
        </w:rPr>
        <w:t xml:space="preserve">doce y veinte de junio de dos mil veinticuatro </w:t>
      </w:r>
      <w:r>
        <w:rPr>
          <w:rFonts w:ascii="Palatino Linotype" w:eastAsia="Palatino Linotype" w:hAnsi="Palatino Linotype" w:cs="Palatino Linotype"/>
          <w:color w:val="000000"/>
        </w:rPr>
        <w:t xml:space="preserve">el Titular de la Unidad de Transparencia giro el requerimiento al Coordinador de Administración y Finanzas del Instituto Municipal de Cultura Física y Deporte de Toluca. </w:t>
      </w:r>
    </w:p>
    <w:p w:rsidR="009B5C01" w:rsidRDefault="009B5C0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9B5C01" w:rsidRDefault="00CB2DC6">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Posteriormente en fecha </w:t>
      </w:r>
      <w:r>
        <w:rPr>
          <w:rFonts w:ascii="Palatino Linotype" w:eastAsia="Palatino Linotype" w:hAnsi="Palatino Linotype" w:cs="Palatino Linotype"/>
          <w:b/>
          <w:color w:val="000000"/>
        </w:rPr>
        <w:t>uno de julio de dos mil veinticuatro</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dio respuesta a las solicitudes de información </w:t>
      </w:r>
      <w:r>
        <w:rPr>
          <w:rFonts w:ascii="Palatino Linotype" w:eastAsia="Palatino Linotype" w:hAnsi="Palatino Linotype" w:cs="Palatino Linotype"/>
          <w:b/>
          <w:color w:val="000000"/>
        </w:rPr>
        <w:t xml:space="preserve">00005/IMCUFIDETOLUCA/IP/2024 y 00002/IMCUFIDETOLUCA/IP/2024, </w:t>
      </w:r>
      <w:r>
        <w:rPr>
          <w:rFonts w:ascii="Palatino Linotype" w:eastAsia="Palatino Linotype" w:hAnsi="Palatino Linotype" w:cs="Palatino Linotype"/>
          <w:color w:val="000000"/>
        </w:rPr>
        <w:t xml:space="preserve">con los siguientes documentos cuyo contenido grosso modo es: </w:t>
      </w:r>
    </w:p>
    <w:p w:rsidR="009B5C01" w:rsidRDefault="009B5C01">
      <w:pPr>
        <w:pBdr>
          <w:top w:val="nil"/>
          <w:left w:val="nil"/>
          <w:bottom w:val="nil"/>
          <w:right w:val="nil"/>
          <w:between w:val="nil"/>
        </w:pBdr>
        <w:spacing w:line="360" w:lineRule="auto"/>
        <w:jc w:val="both"/>
        <w:rPr>
          <w:rFonts w:ascii="Palatino Linotype" w:eastAsia="Palatino Linotype" w:hAnsi="Palatino Linotype" w:cs="Palatino Linotype"/>
          <w:b/>
          <w:i/>
          <w:color w:val="000000"/>
          <w:sz w:val="22"/>
          <w:szCs w:val="22"/>
        </w:rPr>
      </w:pP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Solicitud 00005/IMCUFIDETOLUCA/IP/2024</w:t>
      </w:r>
      <w:r>
        <w:rPr>
          <w:rFonts w:ascii="Palatino Linotype" w:eastAsia="Palatino Linotype" w:hAnsi="Palatino Linotype" w:cs="Palatino Linotype"/>
          <w:color w:val="000000"/>
          <w:sz w:val="22"/>
          <w:szCs w:val="22"/>
        </w:rPr>
        <w:t xml:space="preserve">: </w:t>
      </w: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SAIMEX 00005-24.pdf</w:t>
      </w:r>
      <w:r>
        <w:rPr>
          <w:rFonts w:ascii="Palatino Linotype" w:eastAsia="Palatino Linotype" w:hAnsi="Palatino Linotype" w:cs="Palatino Linotype"/>
          <w:i/>
          <w:color w:val="000000"/>
          <w:sz w:val="22"/>
          <w:szCs w:val="22"/>
        </w:rPr>
        <w:t xml:space="preserve">: Oficio de la Titular de la Unidad de Transparencia, mediante el cual informa que anexa la documentación que remitió la Coordinación de Administración y Finanzas, dicho documento dicho documento consiste en unas tablas de los dos mil veintidós, dos mil veintitrés y parte del dos mil veinticuatro, en los que informan el número del contrato, el concepto de la factura y el estatus del contrato. </w:t>
      </w:r>
    </w:p>
    <w:p w:rsidR="009B5C01" w:rsidRDefault="009B5C01">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Solicitud 00002/IMCUFIDETOLUCA/IP/2024</w:t>
      </w:r>
      <w:r>
        <w:rPr>
          <w:rFonts w:ascii="Palatino Linotype" w:eastAsia="Palatino Linotype" w:hAnsi="Palatino Linotype" w:cs="Palatino Linotype"/>
          <w:color w:val="000000"/>
          <w:sz w:val="22"/>
          <w:szCs w:val="22"/>
        </w:rPr>
        <w:t xml:space="preserve">: </w:t>
      </w: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saimex 00002.pdf</w:t>
      </w:r>
      <w:r>
        <w:rPr>
          <w:rFonts w:ascii="Palatino Linotype" w:eastAsia="Palatino Linotype" w:hAnsi="Palatino Linotype" w:cs="Palatino Linotype"/>
          <w:i/>
          <w:color w:val="000000"/>
          <w:sz w:val="22"/>
          <w:szCs w:val="22"/>
        </w:rPr>
        <w:t xml:space="preserve">: Oficio de la Titular de la Unidad de Transparencia, mediante el cual informa que anexa la documentación que remitió la Coordinación de Administración y Finanzas, dicho documento consiste en unas tabla del dos mil veinticuatro, en los que informan el número del contrato, el concepto de la factura. </w:t>
      </w:r>
    </w:p>
    <w:p w:rsidR="009B5C01" w:rsidRDefault="009B5C01">
      <w:pPr>
        <w:pBdr>
          <w:top w:val="nil"/>
          <w:left w:val="nil"/>
          <w:bottom w:val="nil"/>
          <w:right w:val="nil"/>
          <w:between w:val="nil"/>
        </w:pBdr>
        <w:ind w:left="1134" w:right="900"/>
        <w:jc w:val="both"/>
        <w:rPr>
          <w:rFonts w:ascii="Palatino Linotype" w:eastAsia="Palatino Linotype" w:hAnsi="Palatino Linotype" w:cs="Palatino Linotype"/>
          <w:i/>
          <w:sz w:val="22"/>
          <w:szCs w:val="22"/>
        </w:rPr>
      </w:pPr>
    </w:p>
    <w:p w:rsidR="009B5C01" w:rsidRDefault="00CB2DC6">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cinco de agosto de dos mil veinticuatro</w:t>
      </w:r>
      <w:r>
        <w:rPr>
          <w:rFonts w:ascii="Palatino Linotype" w:eastAsia="Palatino Linotype" w:hAnsi="Palatino Linotype" w:cs="Palatino Linotype"/>
          <w:color w:val="000000"/>
        </w:rPr>
        <w:t xml:space="preserve">, el solicitante interpuso recurso de revisión en las solicitudes de información </w:t>
      </w:r>
      <w:r>
        <w:rPr>
          <w:rFonts w:ascii="Palatino Linotype" w:eastAsia="Palatino Linotype" w:hAnsi="Palatino Linotype" w:cs="Palatino Linotype"/>
          <w:b/>
          <w:color w:val="000000"/>
        </w:rPr>
        <w:t xml:space="preserve">00005/IMCUFIDETOLUCA/IP/2024 y 00002/IMCUFIDETOLUCA/IP/2024, </w:t>
      </w:r>
      <w:r>
        <w:rPr>
          <w:rFonts w:ascii="Palatino Linotype" w:eastAsia="Palatino Linotype" w:hAnsi="Palatino Linotype" w:cs="Palatino Linotype"/>
          <w:color w:val="000000"/>
        </w:rPr>
        <w:t xml:space="preserve">en contra de las respuestas emitidas a las por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señalando las siguientes razones o motivos de inconformidad:</w:t>
      </w:r>
    </w:p>
    <w:p w:rsidR="009B5C01" w:rsidRDefault="009B5C01">
      <w:pPr>
        <w:pBdr>
          <w:top w:val="nil"/>
          <w:left w:val="nil"/>
          <w:bottom w:val="nil"/>
          <w:right w:val="nil"/>
          <w:between w:val="nil"/>
        </w:pBdr>
        <w:jc w:val="both"/>
        <w:rPr>
          <w:rFonts w:ascii="Palatino Linotype" w:eastAsia="Palatino Linotype" w:hAnsi="Palatino Linotype" w:cs="Palatino Linotype"/>
          <w:color w:val="000000"/>
        </w:rPr>
      </w:pP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Recurso de Revisión 04653/INFOEM/IP/RR/2024: </w:t>
      </w:r>
    </w:p>
    <w:p w:rsidR="009B5C01" w:rsidRDefault="009B5C01">
      <w:pPr>
        <w:pBdr>
          <w:top w:val="nil"/>
          <w:left w:val="nil"/>
          <w:bottom w:val="nil"/>
          <w:right w:val="nil"/>
          <w:between w:val="nil"/>
        </w:pBdr>
        <w:ind w:right="900"/>
        <w:jc w:val="both"/>
        <w:rPr>
          <w:rFonts w:ascii="Palatino Linotype" w:eastAsia="Palatino Linotype" w:hAnsi="Palatino Linotype" w:cs="Palatino Linotype"/>
          <w:color w:val="000000"/>
        </w:rPr>
      </w:pPr>
    </w:p>
    <w:p w:rsidR="009B5C01" w:rsidRDefault="00CB2DC6">
      <w:pPr>
        <w:numPr>
          <w:ilvl w:val="0"/>
          <w:numId w:val="10"/>
        </w:numPr>
        <w:pBdr>
          <w:top w:val="nil"/>
          <w:left w:val="nil"/>
          <w:bottom w:val="nil"/>
          <w:right w:val="nil"/>
          <w:between w:val="nil"/>
        </w:pBdr>
        <w:ind w:right="900"/>
        <w:jc w:val="both"/>
        <w:rPr>
          <w:rFonts w:ascii="Palatino Linotype" w:eastAsia="Palatino Linotype" w:hAnsi="Palatino Linotype" w:cs="Palatino Linotype"/>
          <w:i/>
          <w:color w:val="000000"/>
        </w:rPr>
      </w:pPr>
      <w:bookmarkStart w:id="3" w:name="_heading=h.1fob9te" w:colFirst="0" w:colLast="0"/>
      <w:bookmarkEnd w:id="3"/>
      <w:r>
        <w:rPr>
          <w:rFonts w:ascii="Palatino Linotype" w:eastAsia="Palatino Linotype" w:hAnsi="Palatino Linotype" w:cs="Palatino Linotype"/>
          <w:b/>
          <w:color w:val="000000"/>
        </w:rPr>
        <w:t xml:space="preserve">Acto impugnado: </w:t>
      </w:r>
      <w:r>
        <w:rPr>
          <w:rFonts w:ascii="Palatino Linotype" w:eastAsia="Palatino Linotype" w:hAnsi="Palatino Linotype" w:cs="Palatino Linotype"/>
          <w:i/>
          <w:color w:val="000000"/>
        </w:rPr>
        <w:t>“</w:t>
      </w:r>
      <w:r>
        <w:rPr>
          <w:rFonts w:ascii="Palatino Linotype" w:eastAsia="Palatino Linotype" w:hAnsi="Palatino Linotype" w:cs="Palatino Linotype"/>
          <w:i/>
          <w:color w:val="000000"/>
          <w:sz w:val="22"/>
          <w:szCs w:val="22"/>
        </w:rPr>
        <w:t>No son los contratos no entrega la información</w:t>
      </w:r>
      <w:r>
        <w:rPr>
          <w:rFonts w:ascii="Palatino Linotype" w:eastAsia="Palatino Linotype" w:hAnsi="Palatino Linotype" w:cs="Palatino Linotype"/>
          <w:i/>
          <w:color w:val="000000"/>
        </w:rPr>
        <w:t>”</w:t>
      </w:r>
    </w:p>
    <w:p w:rsidR="009B5C01" w:rsidRDefault="009B5C01">
      <w:pPr>
        <w:pBdr>
          <w:top w:val="nil"/>
          <w:left w:val="nil"/>
          <w:bottom w:val="nil"/>
          <w:right w:val="nil"/>
          <w:between w:val="nil"/>
        </w:pBdr>
        <w:ind w:left="1146" w:right="900"/>
        <w:jc w:val="both"/>
        <w:rPr>
          <w:rFonts w:ascii="Palatino Linotype" w:eastAsia="Palatino Linotype" w:hAnsi="Palatino Linotype" w:cs="Palatino Linotype"/>
          <w:i/>
          <w:color w:val="000000"/>
        </w:rPr>
      </w:pPr>
    </w:p>
    <w:p w:rsidR="009B5C01" w:rsidRDefault="00CB2DC6">
      <w:pPr>
        <w:numPr>
          <w:ilvl w:val="0"/>
          <w:numId w:val="1"/>
        </w:numPr>
        <w:pBdr>
          <w:top w:val="nil"/>
          <w:left w:val="nil"/>
          <w:bottom w:val="nil"/>
          <w:right w:val="nil"/>
          <w:between w:val="nil"/>
        </w:pBdr>
        <w:ind w:left="1134" w:right="900"/>
        <w:jc w:val="both"/>
        <w:rPr>
          <w:rFonts w:ascii="Palatino Linotype" w:eastAsia="Palatino Linotype" w:hAnsi="Palatino Linotype" w:cs="Palatino Linotype"/>
          <w:i/>
          <w:color w:val="000000"/>
        </w:rPr>
      </w:pPr>
      <w:bookmarkStart w:id="4" w:name="_heading=h.3znysh7" w:colFirst="0" w:colLast="0"/>
      <w:bookmarkEnd w:id="4"/>
      <w:r>
        <w:rPr>
          <w:rFonts w:ascii="Palatino Linotype" w:eastAsia="Palatino Linotype" w:hAnsi="Palatino Linotype" w:cs="Palatino Linotype"/>
          <w:b/>
          <w:color w:val="000000"/>
        </w:rPr>
        <w:t xml:space="preserve">Razones o Motivos de inconformidad: </w:t>
      </w:r>
      <w:r>
        <w:rPr>
          <w:rFonts w:ascii="Palatino Linotype" w:eastAsia="Palatino Linotype" w:hAnsi="Palatino Linotype" w:cs="Palatino Linotype"/>
          <w:i/>
          <w:color w:val="000000"/>
        </w:rPr>
        <w:t>“no entrego la información.”</w:t>
      </w:r>
    </w:p>
    <w:p w:rsidR="009B5C01" w:rsidRDefault="009B5C0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Recurso de Revisión 04654/INFOEM/IP/RR/2024: </w:t>
      </w:r>
    </w:p>
    <w:p w:rsidR="009B5C01" w:rsidRDefault="00CB2DC6">
      <w:pPr>
        <w:numPr>
          <w:ilvl w:val="0"/>
          <w:numId w:val="2"/>
        </w:numPr>
        <w:pBdr>
          <w:top w:val="nil"/>
          <w:left w:val="nil"/>
          <w:bottom w:val="nil"/>
          <w:right w:val="nil"/>
          <w:between w:val="nil"/>
        </w:pBdr>
        <w:ind w:left="1134" w:right="900"/>
        <w:jc w:val="both"/>
        <w:rPr>
          <w:rFonts w:ascii="Palatino Linotype" w:eastAsia="Palatino Linotype" w:hAnsi="Palatino Linotype" w:cs="Palatino Linotype"/>
          <w:b/>
          <w:i/>
          <w:color w:val="000000"/>
        </w:rPr>
      </w:pPr>
      <w:r>
        <w:rPr>
          <w:rFonts w:ascii="Palatino Linotype" w:eastAsia="Palatino Linotype" w:hAnsi="Palatino Linotype" w:cs="Palatino Linotype"/>
          <w:b/>
          <w:color w:val="000000"/>
        </w:rPr>
        <w:t>Acto impugnado:</w:t>
      </w:r>
      <w:r>
        <w:rPr>
          <w:rFonts w:ascii="Palatino Linotype" w:eastAsia="Palatino Linotype" w:hAnsi="Palatino Linotype" w:cs="Palatino Linotype"/>
          <w:i/>
          <w:color w:val="000000"/>
        </w:rPr>
        <w:t xml:space="preserve"> “No entrega la información”</w:t>
      </w:r>
      <w:r>
        <w:rPr>
          <w:rFonts w:ascii="Palatino Linotype" w:eastAsia="Palatino Linotype" w:hAnsi="Palatino Linotype" w:cs="Palatino Linotype"/>
          <w:b/>
          <w:i/>
          <w:color w:val="000000"/>
        </w:rPr>
        <w:t xml:space="preserve"> </w:t>
      </w:r>
    </w:p>
    <w:p w:rsidR="009B5C01" w:rsidRDefault="009B5C01">
      <w:pPr>
        <w:pBdr>
          <w:top w:val="nil"/>
          <w:left w:val="nil"/>
          <w:bottom w:val="nil"/>
          <w:right w:val="nil"/>
          <w:between w:val="nil"/>
        </w:pBdr>
        <w:ind w:left="1134" w:right="900"/>
        <w:jc w:val="both"/>
        <w:rPr>
          <w:rFonts w:ascii="Palatino Linotype" w:eastAsia="Palatino Linotype" w:hAnsi="Palatino Linotype" w:cs="Palatino Linotype"/>
          <w:b/>
          <w:i/>
          <w:color w:val="000000"/>
        </w:rPr>
      </w:pPr>
    </w:p>
    <w:p w:rsidR="009B5C01" w:rsidRDefault="00CB2DC6">
      <w:pPr>
        <w:numPr>
          <w:ilvl w:val="0"/>
          <w:numId w:val="2"/>
        </w:numPr>
        <w:pBdr>
          <w:top w:val="nil"/>
          <w:left w:val="nil"/>
          <w:bottom w:val="nil"/>
          <w:right w:val="nil"/>
          <w:between w:val="nil"/>
        </w:pBdr>
        <w:ind w:left="1134" w:right="900"/>
        <w:jc w:val="both"/>
        <w:rPr>
          <w:rFonts w:ascii="Palatino Linotype" w:eastAsia="Palatino Linotype" w:hAnsi="Palatino Linotype" w:cs="Palatino Linotype"/>
          <w:b/>
          <w:i/>
          <w:color w:val="000000"/>
        </w:rPr>
      </w:pPr>
      <w:r>
        <w:rPr>
          <w:rFonts w:ascii="Palatino Linotype" w:eastAsia="Palatino Linotype" w:hAnsi="Palatino Linotype" w:cs="Palatino Linotype"/>
          <w:b/>
          <w:color w:val="000000"/>
        </w:rPr>
        <w:t>Razones o Motivos de inconformidad:</w:t>
      </w:r>
      <w:r>
        <w:rPr>
          <w:rFonts w:ascii="Palatino Linotype" w:eastAsia="Palatino Linotype" w:hAnsi="Palatino Linotype" w:cs="Palatino Linotype"/>
          <w:i/>
          <w:color w:val="000000"/>
        </w:rPr>
        <w:t xml:space="preserve"> “No entrega la información.</w:t>
      </w:r>
      <w:r>
        <w:rPr>
          <w:rFonts w:ascii="Palatino Linotype" w:eastAsia="Palatino Linotype" w:hAnsi="Palatino Linotype" w:cs="Palatino Linotype"/>
          <w:b/>
          <w:i/>
          <w:color w:val="000000"/>
        </w:rPr>
        <w:t>”</w:t>
      </w:r>
    </w:p>
    <w:p w:rsidR="009B5C01" w:rsidRDefault="009B5C01">
      <w:pPr>
        <w:pBdr>
          <w:top w:val="nil"/>
          <w:left w:val="nil"/>
          <w:bottom w:val="nil"/>
          <w:right w:val="nil"/>
          <w:between w:val="nil"/>
        </w:pBdr>
        <w:ind w:left="1134" w:right="900"/>
        <w:jc w:val="both"/>
        <w:rPr>
          <w:rFonts w:ascii="Palatino Linotype" w:eastAsia="Palatino Linotype" w:hAnsi="Palatino Linotype" w:cs="Palatino Linotype"/>
          <w:color w:val="000000"/>
        </w:rPr>
      </w:pPr>
    </w:p>
    <w:p w:rsidR="009B5C01" w:rsidRDefault="009B5C01">
      <w:pPr>
        <w:pBdr>
          <w:top w:val="nil"/>
          <w:left w:val="nil"/>
          <w:bottom w:val="nil"/>
          <w:right w:val="nil"/>
          <w:between w:val="nil"/>
        </w:pBdr>
        <w:spacing w:line="360" w:lineRule="auto"/>
        <w:jc w:val="both"/>
        <w:rPr>
          <w:rFonts w:ascii="Palatino Linotype" w:eastAsia="Palatino Linotype" w:hAnsi="Palatino Linotype" w:cs="Palatino Linotype"/>
          <w:b/>
          <w:i/>
          <w:color w:val="000000"/>
        </w:rPr>
      </w:pPr>
    </w:p>
    <w:p w:rsidR="009B5C01" w:rsidRDefault="00CB2DC6">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Consecutivamente</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con fundamento en lo dispuesto por el artículo 185 fracción I de la Ley de Transparencia y Acceso a la Información Pública del Estado de México y Municipios, los recursos de referencia, fueron turnados</w:t>
      </w:r>
      <w:r>
        <w:rPr>
          <w:rFonts w:ascii="Palatino Linotype" w:eastAsia="Palatino Linotype" w:hAnsi="Palatino Linotype" w:cs="Palatino Linotype"/>
          <w:b/>
          <w:color w:val="000000"/>
        </w:rPr>
        <w:t xml:space="preserve"> a las  Comisionadas María del Rosario Mejía Ayala y Guadalupe Ramírez Peña</w:t>
      </w:r>
      <w:r>
        <w:rPr>
          <w:rFonts w:ascii="Palatino Linotype" w:eastAsia="Palatino Linotype" w:hAnsi="Palatino Linotype" w:cs="Palatino Linotype"/>
          <w:color w:val="000000"/>
        </w:rPr>
        <w:t>, respectivamente,</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con el objeto de su análisis.</w:t>
      </w:r>
    </w:p>
    <w:p w:rsidR="009B5C01" w:rsidRDefault="009B5C0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9B5C01" w:rsidRDefault="00CB2DC6">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Los Comisionados Ponentes de origen con fundamento en lo dispuesto por el artículo 185 fracción II de la ley de la materia, a través de los </w:t>
      </w:r>
      <w:r>
        <w:rPr>
          <w:rFonts w:ascii="Palatino Linotype" w:eastAsia="Palatino Linotype" w:hAnsi="Palatino Linotype" w:cs="Palatino Linotype"/>
          <w:b/>
          <w:color w:val="000000"/>
        </w:rPr>
        <w:t xml:space="preserve">acuerdos de admisión </w:t>
      </w:r>
      <w:r>
        <w:rPr>
          <w:rFonts w:ascii="Palatino Linotype" w:eastAsia="Palatino Linotype" w:hAnsi="Palatino Linotype" w:cs="Palatino Linotype"/>
          <w:color w:val="000000"/>
        </w:rPr>
        <w:t xml:space="preserve">de fechas </w:t>
      </w:r>
      <w:r>
        <w:rPr>
          <w:rFonts w:ascii="Palatino Linotype" w:eastAsia="Palatino Linotype" w:hAnsi="Palatino Linotype" w:cs="Palatino Linotype"/>
          <w:b/>
          <w:color w:val="000000"/>
        </w:rPr>
        <w:t>seis y ocho de agosto de dos mil veinticuatro</w:t>
      </w:r>
      <w:r>
        <w:rPr>
          <w:rFonts w:ascii="Palatino Linotype" w:eastAsia="Palatino Linotype" w:hAnsi="Palatino Linotype" w:cs="Palatino Linotype"/>
          <w:color w:val="000000"/>
        </w:rPr>
        <w:t xml:space="preserve">, pusieron a disposición de las partes el expediente electrónico vía SAIMEX a efecto de que en un plazo máximo de siete días manifestaran lo que a su derecho conviniera, ofrecieran pruebas y alegatos según corresponda al caso concreto, de esta forma para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presentara el Informe Justificado procedente.</w:t>
      </w:r>
    </w:p>
    <w:p w:rsidR="009B5C01" w:rsidRDefault="009B5C0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9B5C01" w:rsidRDefault="00CB2DC6">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Posteriormente el Pleno de este Órgano Autónomo, en la</w:t>
      </w:r>
      <w:r>
        <w:rPr>
          <w:rFonts w:ascii="Palatino Linotype" w:eastAsia="Palatino Linotype" w:hAnsi="Palatino Linotype" w:cs="Palatino Linotype"/>
          <w:b/>
          <w:color w:val="000000"/>
        </w:rPr>
        <w:t xml:space="preserve"> Vigésima Octava Sesión Ordinaria </w:t>
      </w:r>
      <w:r>
        <w:rPr>
          <w:rFonts w:ascii="Palatino Linotype" w:eastAsia="Palatino Linotype" w:hAnsi="Palatino Linotype" w:cs="Palatino Linotype"/>
          <w:color w:val="000000"/>
        </w:rPr>
        <w:t>de fecha</w:t>
      </w:r>
      <w:r>
        <w:rPr>
          <w:rFonts w:ascii="Palatino Linotype" w:eastAsia="Palatino Linotype" w:hAnsi="Palatino Linotype" w:cs="Palatino Linotype"/>
          <w:b/>
          <w:color w:val="000000"/>
        </w:rPr>
        <w:t xml:space="preserve"> catorce de agosto de dos mil veinticuatro</w:t>
      </w:r>
      <w:r>
        <w:rPr>
          <w:rFonts w:ascii="Palatino Linotype" w:eastAsia="Palatino Linotype" w:hAnsi="Palatino Linotype" w:cs="Palatino Linotype"/>
          <w:color w:val="000000"/>
        </w:rPr>
        <w:t xml:space="preserve">; ordenó la acumulación de los recursos de revisión de mérito, a efecto de que la Ponencia de la </w:t>
      </w:r>
      <w:r>
        <w:rPr>
          <w:rFonts w:ascii="Palatino Linotype" w:eastAsia="Palatino Linotype" w:hAnsi="Palatino Linotype" w:cs="Palatino Linotype"/>
          <w:b/>
          <w:color w:val="000000"/>
        </w:rPr>
        <w:t xml:space="preserve">Comisionada María del Rosario Mejía Ayala </w:t>
      </w:r>
      <w:r>
        <w:rPr>
          <w:rFonts w:ascii="Palatino Linotype" w:eastAsia="Palatino Linotype" w:hAnsi="Palatino Linotype" w:cs="Palatino Linotype"/>
          <w:color w:val="000000"/>
        </w:rPr>
        <w:t>formulara y presentara el proyecto de resolución correspondiente, de conformidad con el numeral ONCE incisos b) y c) de los Lineamientos para la Recepción, Trámite y Resolución de las Solicitudes de Acceso a la Información Pública, así como de los Recursos de Revisión que deberán observar los Sujetos Obligados por la Ley de Transparencia Estatal</w:t>
      </w:r>
      <w:r>
        <w:rPr>
          <w:rFonts w:ascii="Palatino Linotype" w:eastAsia="Palatino Linotype" w:hAnsi="Palatino Linotype" w:cs="Palatino Linotype"/>
          <w:i/>
          <w:color w:val="000000"/>
          <w:vertAlign w:val="superscript"/>
        </w:rPr>
        <w:footnoteReference w:id="1"/>
      </w:r>
      <w:r>
        <w:rPr>
          <w:rFonts w:ascii="Palatino Linotype" w:eastAsia="Palatino Linotype" w:hAnsi="Palatino Linotype" w:cs="Palatino Linotype"/>
          <w:color w:val="000000"/>
        </w:rPr>
        <w:t>, que señala:</w:t>
      </w:r>
    </w:p>
    <w:p w:rsidR="009B5C01" w:rsidRDefault="009B5C01">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rPr>
      </w:pP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“ONCE.</w:t>
      </w:r>
      <w:r>
        <w:rPr>
          <w:rFonts w:ascii="Palatino Linotype" w:eastAsia="Palatino Linotype" w:hAnsi="Palatino Linotype" w:cs="Palatino Linotype"/>
          <w:i/>
          <w:color w:val="000000"/>
          <w:sz w:val="22"/>
          <w:szCs w:val="22"/>
        </w:rPr>
        <w:t xml:space="preserve"> El Instituto, para mejor resolver y evitar la emisión de resoluciones contradictorias,</w:t>
      </w:r>
      <w:r>
        <w:rPr>
          <w:rFonts w:ascii="Palatino Linotype" w:eastAsia="Palatino Linotype" w:hAnsi="Palatino Linotype" w:cs="Palatino Linotype"/>
          <w:i/>
          <w:color w:val="000000"/>
          <w:sz w:val="22"/>
          <w:szCs w:val="22"/>
        </w:rPr>
        <w:tab/>
        <w:t xml:space="preserve"> podrá acordar la acumulación de los expedientes de recursos de revisión, de oficio o a petición de parte cuando:</w:t>
      </w: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i/>
          <w:color w:val="000000"/>
          <w:sz w:val="22"/>
          <w:szCs w:val="22"/>
        </w:rPr>
        <w:tab/>
      </w: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b) Las partes o los actos impugnados sean iguales</w:t>
      </w: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 Cuando se trate del mismo solicitante, el mismo SUJETO OBLIGADO, aunque se trate de solicitudes diversas;</w:t>
      </w: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w:t>
      </w: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(Énfasis añadido)</w:t>
      </w:r>
    </w:p>
    <w:p w:rsidR="009B5C01" w:rsidRDefault="009B5C01">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p>
    <w:p w:rsidR="009B5C01" w:rsidRDefault="00CB2DC6">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 así que,</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resulta conveniente su trámite de forma unificada para mejor resolver y evitar la emisión de resoluciones contradictorias, por ello resultó procedente que este Órgano Garante realizara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rsidR="009B5C01" w:rsidRDefault="009B5C0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Código de Procedimientos Administrativos del Estado de México.</w:t>
      </w: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18.-</w:t>
      </w:r>
      <w:r>
        <w:rPr>
          <w:rFonts w:ascii="Palatino Linotype" w:eastAsia="Palatino Linotype" w:hAnsi="Palatino Linotype" w:cs="Palatino Linotype"/>
          <w:i/>
          <w:color w:val="000000"/>
          <w:sz w:val="22"/>
          <w:szCs w:val="22"/>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Ley de Transparencia y Acceso a la Información Pública del Estado de México y Municipios</w:t>
      </w: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195.</w:t>
      </w:r>
      <w:r>
        <w:rPr>
          <w:rFonts w:ascii="Palatino Linotype" w:eastAsia="Palatino Linotype" w:hAnsi="Palatino Linotype" w:cs="Palatino Linotype"/>
          <w:i/>
          <w:color w:val="000000"/>
          <w:sz w:val="22"/>
          <w:szCs w:val="22"/>
        </w:rPr>
        <w:t xml:space="preserve"> En la tramitación del recurso de revisión se aplicarán supletoriamente las disposiciones contenidas en el Código de Procedimientos Administrativos del Estado de México.”</w:t>
      </w:r>
    </w:p>
    <w:p w:rsidR="009B5C01" w:rsidRDefault="00CB2DC6">
      <w:pPr>
        <w:pBdr>
          <w:top w:val="nil"/>
          <w:left w:val="nil"/>
          <w:bottom w:val="nil"/>
          <w:right w:val="nil"/>
          <w:between w:val="nil"/>
        </w:pBdr>
        <w:ind w:left="1134" w:right="900" w:firstLine="36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(Énfasis añadido)</w:t>
      </w:r>
    </w:p>
    <w:p w:rsidR="009B5C01" w:rsidRDefault="009B5C01">
      <w:pPr>
        <w:pBdr>
          <w:top w:val="nil"/>
          <w:left w:val="nil"/>
          <w:bottom w:val="nil"/>
          <w:right w:val="nil"/>
          <w:between w:val="nil"/>
        </w:pBdr>
        <w:ind w:left="360" w:firstLine="360"/>
        <w:rPr>
          <w:i/>
          <w:color w:val="000000"/>
        </w:rPr>
      </w:pPr>
    </w:p>
    <w:p w:rsidR="009B5C01" w:rsidRDefault="00CB2DC6">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y 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fueron omisos en manifestar lo que a su derecho conviniera y asistiera, respectivamente en cada uno de los recursos de revisión. </w:t>
      </w:r>
    </w:p>
    <w:p w:rsidR="009B5C01" w:rsidRDefault="009B5C01">
      <w:pPr>
        <w:rPr>
          <w:rFonts w:ascii="Palatino Linotype" w:eastAsia="Palatino Linotype" w:hAnsi="Palatino Linotype" w:cs="Palatino Linotype"/>
        </w:rPr>
      </w:pPr>
    </w:p>
    <w:p w:rsidR="009B5C01" w:rsidRDefault="00CB2DC6">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5" w:name="_heading=h.2et92p0" w:colFirst="0" w:colLast="0"/>
      <w:bookmarkEnd w:id="5"/>
      <w:r>
        <w:rPr>
          <w:rFonts w:ascii="Palatino Linotype" w:eastAsia="Palatino Linotype" w:hAnsi="Palatino Linotype" w:cs="Palatino Linotype"/>
          <w:color w:val="000000"/>
        </w:rPr>
        <w:lastRenderedPageBreak/>
        <w:t>Finalmente, la Comisionada Ponente mediante acuerdo de fecha</w:t>
      </w:r>
      <w:r>
        <w:rPr>
          <w:rFonts w:ascii="Palatino Linotype" w:eastAsia="Palatino Linotype" w:hAnsi="Palatino Linotype" w:cs="Palatino Linotype"/>
          <w:b/>
          <w:color w:val="000000"/>
        </w:rPr>
        <w:t xml:space="preserve"> </w:t>
      </w:r>
      <w:r w:rsidRPr="001D2BC9">
        <w:rPr>
          <w:rFonts w:ascii="Palatino Linotype" w:eastAsia="Palatino Linotype" w:hAnsi="Palatino Linotype" w:cs="Palatino Linotype"/>
          <w:b/>
          <w:color w:val="000000"/>
        </w:rPr>
        <w:t>cinco de septiembre de dos mil veinticuatro</w:t>
      </w:r>
      <w:r w:rsidRPr="001D2BC9">
        <w:rPr>
          <w:rFonts w:ascii="Palatino Linotype" w:eastAsia="Palatino Linotype" w:hAnsi="Palatino Linotype" w:cs="Palatino Linotype"/>
          <w:color w:val="000000"/>
        </w:rPr>
        <w:t>, decretó el cierre de instrucción</w:t>
      </w:r>
      <w:r>
        <w:rPr>
          <w:rFonts w:ascii="Palatino Linotype" w:eastAsia="Palatino Linotype" w:hAnsi="Palatino Linotype" w:cs="Palatino Linotype"/>
          <w:color w:val="000000"/>
        </w:rPr>
        <w:t xml:space="preserve"> de los expedientes, por lo que no habiendo más que hacer constar, y ----------------------------</w:t>
      </w:r>
    </w:p>
    <w:p w:rsidR="009B5C01" w:rsidRDefault="009B5C01">
      <w:pPr>
        <w:spacing w:line="360" w:lineRule="auto"/>
        <w:rPr>
          <w:rFonts w:ascii="Palatino Linotype" w:eastAsia="Palatino Linotype" w:hAnsi="Palatino Linotype" w:cs="Palatino Linotype"/>
          <w:b/>
          <w:color w:val="000000"/>
        </w:rPr>
      </w:pPr>
    </w:p>
    <w:p w:rsidR="009B5C01" w:rsidRDefault="00CB2DC6">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CONSIDERANDO</w:t>
      </w:r>
    </w:p>
    <w:p w:rsidR="009B5C01" w:rsidRDefault="00CB2DC6">
      <w:pPr>
        <w:pStyle w:val="Ttulo2"/>
        <w:spacing w:before="0" w:line="360" w:lineRule="auto"/>
        <w:rPr>
          <w:rFonts w:ascii="Palatino Linotype" w:eastAsia="Palatino Linotype" w:hAnsi="Palatino Linotype" w:cs="Palatino Linotype"/>
          <w:b/>
          <w:color w:val="000000"/>
          <w:sz w:val="24"/>
          <w:szCs w:val="24"/>
        </w:rPr>
      </w:pPr>
      <w:bookmarkStart w:id="6" w:name="_heading=h.tyjcwt" w:colFirst="0" w:colLast="0"/>
      <w:bookmarkEnd w:id="6"/>
      <w:r>
        <w:rPr>
          <w:rFonts w:ascii="Palatino Linotype" w:eastAsia="Palatino Linotype" w:hAnsi="Palatino Linotype" w:cs="Palatino Linotype"/>
          <w:b/>
          <w:color w:val="000000"/>
          <w:sz w:val="24"/>
          <w:szCs w:val="24"/>
        </w:rPr>
        <w:t>PRIMERO. De la competencia</w:t>
      </w:r>
    </w:p>
    <w:p w:rsidR="009B5C01" w:rsidRDefault="00CB2DC6">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9B5C01" w:rsidRDefault="009B5C01">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bookmarkStart w:id="7" w:name="_heading=h.3dy6vkm" w:colFirst="0" w:colLast="0"/>
      <w:bookmarkEnd w:id="7"/>
    </w:p>
    <w:p w:rsidR="009B5C01" w:rsidRDefault="00CB2DC6">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bookmarkStart w:id="8" w:name="_heading=h.1t3h5sf" w:colFirst="0" w:colLast="0"/>
      <w:bookmarkEnd w:id="8"/>
      <w:r>
        <w:rPr>
          <w:rFonts w:ascii="Palatino Linotype" w:eastAsia="Palatino Linotype" w:hAnsi="Palatino Linotype" w:cs="Palatino Linotype"/>
          <w:b/>
          <w:color w:val="000000"/>
        </w:rPr>
        <w:t>SEGUNDO. De la oportunidad y procedencia.</w:t>
      </w:r>
    </w:p>
    <w:p w:rsidR="009B5C01" w:rsidRDefault="009B5C01">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p>
    <w:p w:rsidR="009B5C01" w:rsidRDefault="00CB2DC6">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bookmarkStart w:id="9" w:name="_heading=h.4d34og8" w:colFirst="0" w:colLast="0"/>
      <w:bookmarkEnd w:id="9"/>
      <w:r>
        <w:rPr>
          <w:rFonts w:ascii="Palatino Linotype" w:eastAsia="Palatino Linotype" w:hAnsi="Palatino Linotype" w:cs="Palatino Linotype"/>
          <w:color w:val="000000"/>
        </w:rPr>
        <w:t xml:space="preserve">Los medios de impugnación fueron presentados a través del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Pr>
          <w:rFonts w:ascii="Palatino Linotype" w:eastAsia="Palatino Linotype" w:hAnsi="Palatino Linotype" w:cs="Palatino Linotype"/>
          <w:b/>
          <w:color w:val="000000"/>
        </w:rPr>
        <w:t xml:space="preserve">SUJETO </w:t>
      </w:r>
      <w:r>
        <w:rPr>
          <w:rFonts w:ascii="Palatino Linotype" w:eastAsia="Palatino Linotype" w:hAnsi="Palatino Linotype" w:cs="Palatino Linotype"/>
          <w:b/>
          <w:color w:val="000000"/>
        </w:rPr>
        <w:lastRenderedPageBreak/>
        <w:t>OBLIGADO</w:t>
      </w:r>
      <w:r>
        <w:rPr>
          <w:rFonts w:ascii="Palatino Linotype" w:eastAsia="Palatino Linotype" w:hAnsi="Palatino Linotype" w:cs="Palatino Linotype"/>
          <w:color w:val="000000"/>
        </w:rPr>
        <w:t xml:space="preserve"> entregó sus respuestas el </w:t>
      </w:r>
      <w:r>
        <w:rPr>
          <w:rFonts w:ascii="Palatino Linotype" w:eastAsia="Palatino Linotype" w:hAnsi="Palatino Linotype" w:cs="Palatino Linotype"/>
          <w:b/>
          <w:color w:val="000000"/>
        </w:rPr>
        <w:t>uno de julio de dos mil veinticuatro</w:t>
      </w:r>
      <w:r>
        <w:rPr>
          <w:rFonts w:ascii="Palatino Linotype" w:eastAsia="Palatino Linotype" w:hAnsi="Palatino Linotype" w:cs="Palatino Linotype"/>
          <w:color w:val="000000"/>
        </w:rPr>
        <w:t xml:space="preserve">, de tal forma que el plazo para interponer el recurso de revisión transcurrió del día </w:t>
      </w:r>
      <w:r>
        <w:rPr>
          <w:rFonts w:ascii="Palatino Linotype" w:eastAsia="Palatino Linotype" w:hAnsi="Palatino Linotype" w:cs="Palatino Linotype"/>
          <w:b/>
          <w:color w:val="000000"/>
        </w:rPr>
        <w:t>dos de julio al cinco de agosto de dos mil veinticuatro</w:t>
      </w:r>
      <w:r>
        <w:rPr>
          <w:rFonts w:ascii="Palatino Linotype" w:eastAsia="Palatino Linotype" w:hAnsi="Palatino Linotype" w:cs="Palatino Linotype"/>
          <w:color w:val="000000"/>
        </w:rPr>
        <w:t xml:space="preserve">; en consecuencia, el ahora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presentó sus inconformidades el día </w:t>
      </w:r>
      <w:r>
        <w:rPr>
          <w:rFonts w:ascii="Palatino Linotype" w:eastAsia="Palatino Linotype" w:hAnsi="Palatino Linotype" w:cs="Palatino Linotype"/>
          <w:b/>
          <w:color w:val="000000"/>
        </w:rPr>
        <w:t>cinco de agosto de dos mil veinticuatro</w:t>
      </w:r>
      <w:r>
        <w:rPr>
          <w:rFonts w:ascii="Palatino Linotype" w:eastAsia="Palatino Linotype" w:hAnsi="Palatino Linotype" w:cs="Palatino Linotype"/>
          <w:color w:val="000000"/>
        </w:rPr>
        <w:t>; es decir dentro del lapso legalmente establecido para tal efecto.</w:t>
      </w:r>
    </w:p>
    <w:p w:rsidR="009B5C01" w:rsidRDefault="009B5C0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9B5C01" w:rsidRDefault="00CB2DC6">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otro lado, es de suma importancia señalar que la parte recurrente no proporciona un nombre completo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9B5C01" w:rsidRDefault="009B5C01">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Las solicitudes anónimas</w:t>
      </w:r>
      <w:r>
        <w:rPr>
          <w:rFonts w:ascii="Palatino Linotype" w:eastAsia="Palatino Linotype" w:hAnsi="Palatino Linotype" w:cs="Palatino Linotype"/>
          <w:i/>
          <w:color w:val="000000"/>
          <w:sz w:val="22"/>
          <w:szCs w:val="22"/>
        </w:rPr>
        <w:t xml:space="preserve">, con nombre incompleto o seudónimo </w:t>
      </w:r>
      <w:r>
        <w:rPr>
          <w:rFonts w:ascii="Palatino Linotype" w:eastAsia="Palatino Linotype" w:hAnsi="Palatino Linotype" w:cs="Palatino Linotype"/>
          <w:b/>
          <w:i/>
          <w:color w:val="000000"/>
          <w:sz w:val="22"/>
          <w:szCs w:val="22"/>
        </w:rPr>
        <w:t>serán procedentes para su trámite por parte del sujeto obligado ante quien se presente</w:t>
      </w:r>
      <w:r>
        <w:rPr>
          <w:rFonts w:ascii="Palatino Linotype" w:eastAsia="Palatino Linotype" w:hAnsi="Palatino Linotype" w:cs="Palatino Linotype"/>
          <w:i/>
          <w:color w:val="000000"/>
          <w:sz w:val="22"/>
          <w:szCs w:val="22"/>
        </w:rPr>
        <w:t>. No podrá requerirse información adicional con motivo del nombre proporcionado por el solicitante.”</w:t>
      </w:r>
    </w:p>
    <w:p w:rsidR="009B5C01" w:rsidRDefault="009B5C01">
      <w:pPr>
        <w:pBdr>
          <w:top w:val="nil"/>
          <w:left w:val="nil"/>
          <w:bottom w:val="nil"/>
          <w:right w:val="nil"/>
          <w:between w:val="nil"/>
        </w:pBdr>
        <w:ind w:right="758"/>
        <w:rPr>
          <w:rFonts w:ascii="Palatino Linotype" w:eastAsia="Palatino Linotype" w:hAnsi="Palatino Linotype" w:cs="Palatino Linotype"/>
          <w:i/>
          <w:color w:val="000000"/>
        </w:rPr>
      </w:pPr>
    </w:p>
    <w:p w:rsidR="009B5C01" w:rsidRDefault="00CB2DC6">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Robusteciendo lo anterior se encuentra lo dispuesto en el artículo 6, Apartado A, fracciones III de la Constitución Política de los Estados Unidos Mexicanos que establece:</w:t>
      </w: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rPr>
        <w:t>“</w:t>
      </w:r>
      <w:r>
        <w:rPr>
          <w:rFonts w:ascii="Palatino Linotype" w:eastAsia="Palatino Linotype" w:hAnsi="Palatino Linotype" w:cs="Palatino Linotype"/>
          <w:b/>
          <w:i/>
          <w:color w:val="000000"/>
          <w:sz w:val="22"/>
          <w:szCs w:val="22"/>
        </w:rPr>
        <w:t>Artículo 6.-</w:t>
      </w:r>
      <w:r>
        <w:rPr>
          <w:rFonts w:ascii="Palatino Linotype" w:eastAsia="Palatino Linotype" w:hAnsi="Palatino Linotype" w:cs="Palatino Linotype"/>
          <w:i/>
          <w:color w:val="000000"/>
          <w:sz w:val="22"/>
          <w:szCs w:val="22"/>
        </w:rPr>
        <w:t xml:space="preserve"> La manifestación de las ideas no será objeto de ninguna inquisición judicial o administrativa, sino en el caso de que ataque a la moral, la vida privada o los derechos de terceros, provoque algún delito, o perturbe el </w:t>
      </w:r>
      <w:r>
        <w:rPr>
          <w:rFonts w:ascii="Palatino Linotype" w:eastAsia="Palatino Linotype" w:hAnsi="Palatino Linotype" w:cs="Palatino Linotype"/>
          <w:i/>
          <w:color w:val="000000"/>
          <w:sz w:val="22"/>
          <w:szCs w:val="22"/>
        </w:rPr>
        <w:lastRenderedPageBreak/>
        <w:t>orden público; el derecho de réplica será ejercido en los términos dispuestos por la ley. El derecho a la información será garantizado por el Estado.</w:t>
      </w:r>
    </w:p>
    <w:p w:rsidR="009B5C01" w:rsidRDefault="00CB2DC6">
      <w:pPr>
        <w:pBdr>
          <w:top w:val="nil"/>
          <w:left w:val="nil"/>
          <w:bottom w:val="nil"/>
          <w:right w:val="nil"/>
          <w:between w:val="nil"/>
        </w:pBdr>
        <w:spacing w:after="120"/>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Para efectos de lo dispuesto en el presente artículo se observará lo siguiente:</w:t>
      </w: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 Para el ejercicio del derecho de acceso a la información, la Federación, los Estados y el Distrito Federal, en el ámbito de sus respectivas competencias, se regirán por los siguientes principios y bases:</w:t>
      </w: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III. Toda persona, sin necesidad de acreditar interés alguno o justificar su utilización, tendrá acceso gratuito a la información pública, a sus datos personales o a la rectificación de éstos.”(Sic)</w:t>
      </w:r>
    </w:p>
    <w:p w:rsidR="009B5C01" w:rsidRDefault="009B5C01">
      <w:pPr>
        <w:pBdr>
          <w:top w:val="nil"/>
          <w:left w:val="nil"/>
          <w:bottom w:val="nil"/>
          <w:right w:val="nil"/>
          <w:between w:val="nil"/>
        </w:pBdr>
        <w:ind w:left="360" w:hanging="76"/>
        <w:rPr>
          <w:rFonts w:ascii="Palatino Linotype" w:eastAsia="Palatino Linotype" w:hAnsi="Palatino Linotype" w:cs="Palatino Linotype"/>
          <w:i/>
          <w:color w:val="000000"/>
        </w:rPr>
      </w:pPr>
    </w:p>
    <w:p w:rsidR="009B5C01" w:rsidRDefault="00CB2DC6">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como el artículo 5 fracción III, párrafo vigésimo noveno, trigésimo y trigésimo primero, de la Constitución Política del Estado Libre y Soberano de México, que determina lo siguiente:</w:t>
      </w:r>
    </w:p>
    <w:p w:rsidR="009B5C01" w:rsidRDefault="009B5C01">
      <w:pPr>
        <w:pBdr>
          <w:top w:val="nil"/>
          <w:left w:val="nil"/>
          <w:bottom w:val="nil"/>
          <w:right w:val="nil"/>
          <w:between w:val="nil"/>
        </w:pBdr>
        <w:jc w:val="both"/>
        <w:rPr>
          <w:rFonts w:ascii="Palatino Linotype" w:eastAsia="Palatino Linotype" w:hAnsi="Palatino Linotype" w:cs="Palatino Linotype"/>
          <w:color w:val="000000"/>
          <w:sz w:val="22"/>
          <w:szCs w:val="22"/>
        </w:rPr>
      </w:pP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5.-</w:t>
      </w:r>
      <w:r>
        <w:rPr>
          <w:rFonts w:ascii="Palatino Linotype" w:eastAsia="Palatino Linotype" w:hAnsi="Palatino Linotype" w:cs="Palatino Linotype"/>
          <w:i/>
          <w:color w:val="000000"/>
          <w:sz w:val="22"/>
          <w:szCs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9B5C01" w:rsidRDefault="00CB2DC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Toda persona en el Estado de México, tiene derecho al libre acceso a la información plural y oportuna, así como a buscar recibir y difundir información e ideas de toda índole por cualquier medio de expresión.</w:t>
      </w:r>
    </w:p>
    <w:p w:rsidR="009B5C01" w:rsidRDefault="00CB2DC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El derecho a la información será garantizado por el Estado. La ley establecerá las previsiones que permitan asegurar la protección, el respeto y la difusión de este derecho.</w:t>
      </w:r>
    </w:p>
    <w:p w:rsidR="009B5C01" w:rsidRDefault="009B5C01">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III. Toda persona, sin necesidad de acreditar interés alguno o justificar su utilización, tendrá acceso gratuito a la información pública, a sus datos personales o a la rectificación de éstos;</w:t>
      </w:r>
    </w:p>
    <w:p w:rsidR="009B5C01" w:rsidRDefault="00CB2DC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(Sic)</w:t>
      </w:r>
    </w:p>
    <w:p w:rsidR="009B5C01" w:rsidRDefault="009B5C01">
      <w:pPr>
        <w:pBdr>
          <w:top w:val="nil"/>
          <w:left w:val="nil"/>
          <w:bottom w:val="nil"/>
          <w:right w:val="nil"/>
          <w:between w:val="nil"/>
        </w:pBdr>
        <w:ind w:left="360" w:hanging="76"/>
        <w:rPr>
          <w:rFonts w:ascii="Palatino Linotype" w:eastAsia="Palatino Linotype" w:hAnsi="Palatino Linotype" w:cs="Palatino Linotype"/>
          <w:i/>
          <w:color w:val="000000"/>
        </w:rPr>
      </w:pPr>
    </w:p>
    <w:p w:rsidR="009B5C01" w:rsidRDefault="00CB2DC6">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otra parte, del contenido del artículo 1 de la Constitución Política de los Estados Unidos mexicanos, se destaca lo siguiente:</w:t>
      </w:r>
    </w:p>
    <w:p w:rsidR="009B5C01" w:rsidRDefault="009B5C0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w:t>
      </w:r>
      <w:r>
        <w:rPr>
          <w:rFonts w:ascii="Palatino Linotype" w:eastAsia="Palatino Linotype" w:hAnsi="Palatino Linotype" w:cs="Palatino Linotype"/>
          <w:i/>
          <w:color w:val="000000"/>
          <w:sz w:val="22"/>
          <w:szCs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Las normas relativas a los derechos humanos se interpretarán de conformidad con esta Constitución y con los tratados internacionales de la materia favoreciendo en todo tiempo a las personas la protección más amplia.</w:t>
      </w: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rsidR="009B5C01" w:rsidRDefault="009B5C01">
      <w:pPr>
        <w:pBdr>
          <w:top w:val="nil"/>
          <w:left w:val="nil"/>
          <w:bottom w:val="nil"/>
          <w:right w:val="nil"/>
          <w:between w:val="nil"/>
        </w:pBdr>
        <w:ind w:left="360" w:firstLine="66"/>
        <w:rPr>
          <w:rFonts w:ascii="Palatino Linotype" w:eastAsia="Palatino Linotype" w:hAnsi="Palatino Linotype" w:cs="Palatino Linotype"/>
          <w:i/>
          <w:color w:val="000000"/>
          <w:sz w:val="22"/>
          <w:szCs w:val="22"/>
        </w:rPr>
      </w:pPr>
    </w:p>
    <w:p w:rsidR="009B5C01" w:rsidRDefault="00CB2DC6">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Esto es, que el derecho humano de acceso a la información pública, se aprecia que toda persona, sin necesidad de acreditar interés alguno o justificar su interposición, deberá tener acceso a la información pública, es decir, dicho </w:t>
      </w:r>
      <w:r>
        <w:rPr>
          <w:rFonts w:ascii="Palatino Linotype" w:eastAsia="Palatino Linotype" w:hAnsi="Palatino Linotype" w:cs="Palatino Linotype"/>
          <w:i/>
          <w:color w:val="000000"/>
        </w:rPr>
        <w:t xml:space="preserve">derecho </w:t>
      </w:r>
      <w:r>
        <w:rPr>
          <w:rFonts w:ascii="Palatino Linotype" w:eastAsia="Palatino Linotype" w:hAnsi="Palatino Linotype" w:cs="Palatino Linotype"/>
          <w:i/>
          <w:color w:val="000000"/>
        </w:rPr>
        <w:lastRenderedPageBreak/>
        <w:t>fundamental exime a quien lo ejerce</w:t>
      </w:r>
      <w:r>
        <w:rPr>
          <w:rFonts w:ascii="Palatino Linotype" w:eastAsia="Palatino Linotype" w:hAnsi="Palatino Linotype" w:cs="Palatino Linotype"/>
          <w:color w:val="000000"/>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9B5C01" w:rsidRDefault="009B5C0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9B5C01" w:rsidRDefault="00CB2DC6">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Lo que se fortalece con el Criterio 6/2014 del entonces Instituto Federal de Acceso a la Información y Protección de Datos, ahora Instituto Nacional de Transparencia Acceso a la Información y Protección de Datos Personales, el cual se reproduce para una mayor referencia:</w:t>
      </w:r>
    </w:p>
    <w:p w:rsidR="009B5C01" w:rsidRDefault="009B5C01">
      <w:pPr>
        <w:spacing w:line="360" w:lineRule="auto"/>
        <w:jc w:val="both"/>
        <w:rPr>
          <w:rFonts w:ascii="Palatino Linotype" w:eastAsia="Palatino Linotype" w:hAnsi="Palatino Linotype" w:cs="Palatino Linotype"/>
        </w:rPr>
      </w:pP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“Acceso a información gubernamental. No debe condicionarse a que el solicitante acredite su personalidad, demuestre interés alguno o justifique su utilización. De conformidad con lo dispuesto en los artículos 6º.,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correspondiente.”(Sic)</w:t>
      </w:r>
    </w:p>
    <w:p w:rsidR="009B5C01" w:rsidRDefault="009B5C01">
      <w:pPr>
        <w:pBdr>
          <w:top w:val="nil"/>
          <w:left w:val="nil"/>
          <w:bottom w:val="nil"/>
          <w:right w:val="nil"/>
          <w:between w:val="nil"/>
        </w:pBdr>
        <w:ind w:left="360" w:hanging="76"/>
        <w:jc w:val="both"/>
        <w:rPr>
          <w:rFonts w:ascii="Palatino Linotype" w:eastAsia="Palatino Linotype" w:hAnsi="Palatino Linotype" w:cs="Palatino Linotype"/>
          <w:i/>
          <w:color w:val="000000"/>
        </w:rPr>
      </w:pPr>
    </w:p>
    <w:p w:rsidR="009B5C01" w:rsidRDefault="00CB2DC6">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Asimismo, los escritos contienen las formalidades previstas por el artículo 180 último párrafo de la Ley de la materia actual, por lo que es procedente que este Instituto de Transparencia, Acceso a la Información Pública y Protección de Datos </w:t>
      </w:r>
      <w:r>
        <w:rPr>
          <w:rFonts w:ascii="Palatino Linotype" w:eastAsia="Palatino Linotype" w:hAnsi="Palatino Linotype" w:cs="Palatino Linotype"/>
          <w:color w:val="000000"/>
        </w:rPr>
        <w:lastRenderedPageBreak/>
        <w:t>Personales del Estado de México y Municipios, conozca y resuelva el presente recurso.</w:t>
      </w:r>
    </w:p>
    <w:p w:rsidR="009B5C01" w:rsidRDefault="009B5C01">
      <w:pPr>
        <w:spacing w:line="360" w:lineRule="auto"/>
        <w:rPr>
          <w:rFonts w:ascii="Palatino Linotype" w:eastAsia="Palatino Linotype" w:hAnsi="Palatino Linotype" w:cs="Palatino Linotype"/>
        </w:rPr>
      </w:pPr>
    </w:p>
    <w:p w:rsidR="009B5C01" w:rsidRDefault="00CB2DC6">
      <w:pPr>
        <w:pStyle w:val="Ttulo1"/>
        <w:spacing w:before="0" w:line="360" w:lineRule="auto"/>
        <w:rPr>
          <w:rFonts w:ascii="Palatino Linotype" w:eastAsia="Palatino Linotype" w:hAnsi="Palatino Linotype" w:cs="Palatino Linotype"/>
          <w:b/>
          <w:color w:val="000000"/>
          <w:sz w:val="24"/>
          <w:szCs w:val="24"/>
        </w:rPr>
      </w:pPr>
      <w:bookmarkStart w:id="10" w:name="_heading=h.2s8eyo1" w:colFirst="0" w:colLast="0"/>
      <w:bookmarkEnd w:id="10"/>
      <w:r>
        <w:rPr>
          <w:rFonts w:ascii="Palatino Linotype" w:eastAsia="Palatino Linotype" w:hAnsi="Palatino Linotype" w:cs="Palatino Linotype"/>
          <w:b/>
          <w:color w:val="000000"/>
          <w:sz w:val="24"/>
          <w:szCs w:val="24"/>
        </w:rPr>
        <w:t xml:space="preserve">TERCERO. Del planteamiento de la </w:t>
      </w:r>
      <w:r>
        <w:rPr>
          <w:rFonts w:ascii="Palatino Linotype" w:eastAsia="Palatino Linotype" w:hAnsi="Palatino Linotype" w:cs="Palatino Linotype"/>
          <w:b/>
          <w:i/>
          <w:color w:val="000000"/>
          <w:sz w:val="24"/>
          <w:szCs w:val="24"/>
        </w:rPr>
        <w:t>Litis</w:t>
      </w:r>
      <w:r>
        <w:rPr>
          <w:rFonts w:ascii="Palatino Linotype" w:eastAsia="Palatino Linotype" w:hAnsi="Palatino Linotype" w:cs="Palatino Linotype"/>
          <w:b/>
          <w:color w:val="000000"/>
          <w:sz w:val="24"/>
          <w:szCs w:val="24"/>
        </w:rPr>
        <w:t>.</w:t>
      </w:r>
    </w:p>
    <w:p w:rsidR="009B5C01" w:rsidRDefault="00CB2DC6">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De las constancias en el expediente al rubro indicado, se desprende que la particular solicitó la información que a continuación se desagrega:</w:t>
      </w:r>
    </w:p>
    <w:p w:rsidR="009B5C01" w:rsidRDefault="009B5C01">
      <w:pPr>
        <w:pBdr>
          <w:top w:val="nil"/>
          <w:left w:val="nil"/>
          <w:bottom w:val="nil"/>
          <w:right w:val="nil"/>
          <w:between w:val="nil"/>
        </w:pBdr>
        <w:spacing w:line="360" w:lineRule="auto"/>
        <w:ind w:left="1134" w:right="900"/>
        <w:jc w:val="both"/>
        <w:rPr>
          <w:rFonts w:ascii="Palatino Linotype" w:eastAsia="Palatino Linotype" w:hAnsi="Palatino Linotype" w:cs="Palatino Linotype"/>
          <w:b/>
          <w:color w:val="000000"/>
        </w:rPr>
      </w:pPr>
    </w:p>
    <w:p w:rsidR="009B5C01" w:rsidRDefault="00CB2DC6">
      <w:pPr>
        <w:pBdr>
          <w:top w:val="nil"/>
          <w:left w:val="nil"/>
          <w:bottom w:val="nil"/>
          <w:right w:val="nil"/>
          <w:between w:val="nil"/>
        </w:pBdr>
        <w:spacing w:line="360" w:lineRule="auto"/>
        <w:ind w:left="1134" w:right="900"/>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 xml:space="preserve">Del Instituto Municipal de Cultura Física y Deporte </w:t>
      </w:r>
    </w:p>
    <w:p w:rsidR="009B5C01" w:rsidRDefault="00CB2DC6">
      <w:pPr>
        <w:numPr>
          <w:ilvl w:val="0"/>
          <w:numId w:val="12"/>
        </w:numPr>
        <w:pBdr>
          <w:top w:val="nil"/>
          <w:left w:val="nil"/>
          <w:bottom w:val="nil"/>
          <w:right w:val="nil"/>
          <w:between w:val="nil"/>
        </w:pBdr>
        <w:spacing w:line="360" w:lineRule="auto"/>
        <w:ind w:left="1134" w:right="900"/>
        <w:jc w:val="both"/>
        <w:rPr>
          <w:rFonts w:ascii="Palatino Linotype" w:eastAsia="Palatino Linotype" w:hAnsi="Palatino Linotype" w:cs="Palatino Linotype"/>
          <w:b/>
          <w:color w:val="000000"/>
        </w:rPr>
      </w:pPr>
      <w:r>
        <w:rPr>
          <w:rFonts w:ascii="Palatino Linotype" w:eastAsia="Palatino Linotype" w:hAnsi="Palatino Linotype" w:cs="Palatino Linotype"/>
          <w:b/>
          <w:i/>
          <w:color w:val="000000"/>
        </w:rPr>
        <w:t>Contrato con proveedores y facturas del dos mil veintidós al dieciocho de junio de dos mil veinticuatro</w:t>
      </w:r>
    </w:p>
    <w:p w:rsidR="009B5C01" w:rsidRDefault="009B5C01">
      <w:pPr>
        <w:pBdr>
          <w:top w:val="nil"/>
          <w:left w:val="nil"/>
          <w:bottom w:val="nil"/>
          <w:right w:val="nil"/>
          <w:between w:val="nil"/>
        </w:pBdr>
        <w:ind w:left="708"/>
        <w:rPr>
          <w:rFonts w:ascii="Palatino Linotype" w:eastAsia="Palatino Linotype" w:hAnsi="Palatino Linotype" w:cs="Palatino Linotype"/>
          <w:b/>
          <w:color w:val="000000"/>
        </w:rPr>
      </w:pPr>
    </w:p>
    <w:p w:rsidR="009B5C01" w:rsidRDefault="009B5C01">
      <w:pPr>
        <w:pBdr>
          <w:top w:val="nil"/>
          <w:left w:val="nil"/>
          <w:bottom w:val="nil"/>
          <w:right w:val="nil"/>
          <w:between w:val="nil"/>
        </w:pBdr>
        <w:spacing w:line="360" w:lineRule="auto"/>
        <w:ind w:left="778"/>
        <w:jc w:val="both"/>
        <w:rPr>
          <w:rFonts w:ascii="Palatino Linotype" w:eastAsia="Palatino Linotype" w:hAnsi="Palatino Linotype" w:cs="Palatino Linotype"/>
          <w:b/>
          <w:color w:val="000000"/>
        </w:rPr>
      </w:pPr>
    </w:p>
    <w:p w:rsidR="009B5C01" w:rsidRDefault="00CB2DC6">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respuesta,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remitió un archivo en formato pdf, por cada recurso de revisión, cuyo contenido toral es el siguiente: </w:t>
      </w:r>
    </w:p>
    <w:p w:rsidR="009B5C01" w:rsidRDefault="009B5C0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Solicitud 00005/IMCUFIDETOLUCA/IP/2024</w:t>
      </w:r>
      <w:r>
        <w:rPr>
          <w:rFonts w:ascii="Palatino Linotype" w:eastAsia="Palatino Linotype" w:hAnsi="Palatino Linotype" w:cs="Palatino Linotype"/>
          <w:color w:val="000000"/>
          <w:sz w:val="22"/>
          <w:szCs w:val="22"/>
        </w:rPr>
        <w:t xml:space="preserve">: </w:t>
      </w: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SAIMEX 00005-24.pdf</w:t>
      </w:r>
      <w:r>
        <w:rPr>
          <w:rFonts w:ascii="Palatino Linotype" w:eastAsia="Palatino Linotype" w:hAnsi="Palatino Linotype" w:cs="Palatino Linotype"/>
          <w:i/>
          <w:color w:val="000000"/>
          <w:sz w:val="22"/>
          <w:szCs w:val="22"/>
        </w:rPr>
        <w:t xml:space="preserve">: Oficio de la Titular de la Unidad de Transparencia, mediante el cual informa que anexa la documentación que remitió la Coordinación de Administración y Finanzas, dicho documento dicho documento consiste en unas tablas de los dos mil veintidós, dos mil veintitrés y parte del dos mil veinticuatro, en los que informan el número del contrato, el concepto de la factura y el estatus del contrato. </w:t>
      </w:r>
    </w:p>
    <w:p w:rsidR="009B5C01" w:rsidRDefault="009B5C01">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Solicitud 00002/IMCUFIDETOLUCA/IP/2024</w:t>
      </w:r>
      <w:r>
        <w:rPr>
          <w:rFonts w:ascii="Palatino Linotype" w:eastAsia="Palatino Linotype" w:hAnsi="Palatino Linotype" w:cs="Palatino Linotype"/>
          <w:color w:val="000000"/>
          <w:sz w:val="22"/>
          <w:szCs w:val="22"/>
        </w:rPr>
        <w:t xml:space="preserve">: </w:t>
      </w: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saimex 00002.pdf</w:t>
      </w:r>
      <w:r>
        <w:rPr>
          <w:rFonts w:ascii="Palatino Linotype" w:eastAsia="Palatino Linotype" w:hAnsi="Palatino Linotype" w:cs="Palatino Linotype"/>
          <w:i/>
          <w:color w:val="000000"/>
          <w:sz w:val="22"/>
          <w:szCs w:val="22"/>
        </w:rPr>
        <w:t xml:space="preserve">: Oficio de la Titular de la Unidad de Transparencia, mediante el cual informa que anexa la documentación que remitió la Coordinación de Administración y Finanzas, dicho documento consiste en </w:t>
      </w:r>
      <w:r>
        <w:rPr>
          <w:rFonts w:ascii="Palatino Linotype" w:eastAsia="Palatino Linotype" w:hAnsi="Palatino Linotype" w:cs="Palatino Linotype"/>
          <w:i/>
          <w:color w:val="000000"/>
          <w:sz w:val="22"/>
          <w:szCs w:val="22"/>
        </w:rPr>
        <w:lastRenderedPageBreak/>
        <w:t xml:space="preserve">unas tabla del dos mil veinticuatro, en los que informan el número del contrato, el concepto de la factura. </w:t>
      </w:r>
    </w:p>
    <w:p w:rsidR="009B5C01" w:rsidRDefault="009B5C01">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p>
    <w:p w:rsidR="009B5C01" w:rsidRDefault="00CB2DC6">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dichas condiciones, la </w:t>
      </w:r>
      <w:r>
        <w:rPr>
          <w:rFonts w:ascii="Palatino Linotype" w:eastAsia="Palatino Linotype" w:hAnsi="Palatino Linotype" w:cs="Palatino Linotype"/>
          <w:i/>
          <w:color w:val="000000"/>
        </w:rPr>
        <w:t>Litis</w:t>
      </w:r>
      <w:r>
        <w:rPr>
          <w:rFonts w:ascii="Palatino Linotype" w:eastAsia="Palatino Linotype" w:hAnsi="Palatino Linotype" w:cs="Palatino Linotype"/>
          <w:color w:val="000000"/>
        </w:rPr>
        <w:t xml:space="preserve"> a resolver en estos recursos se circunscribe a determinar si se actualizan las causales de procedencia previstas en el artículo 179, </w:t>
      </w:r>
      <w:r>
        <w:rPr>
          <w:rFonts w:ascii="Palatino Linotype" w:eastAsia="Palatino Linotype" w:hAnsi="Palatino Linotype" w:cs="Palatino Linotype"/>
          <w:b/>
          <w:color w:val="000000"/>
        </w:rPr>
        <w:t xml:space="preserve">fracción I </w:t>
      </w:r>
      <w:r>
        <w:rPr>
          <w:rFonts w:ascii="Palatino Linotype" w:eastAsia="Palatino Linotype" w:hAnsi="Palatino Linotype" w:cs="Palatino Linotype"/>
          <w:color w:val="000000"/>
        </w:rPr>
        <w:t>de la Ley</w:t>
      </w:r>
      <w:r>
        <w:rPr>
          <w:rFonts w:ascii="Palatino Linotype" w:eastAsia="Palatino Linotype" w:hAnsi="Palatino Linotype" w:cs="Palatino Linotype"/>
          <w:b/>
          <w:color w:val="000000"/>
        </w:rPr>
        <w:t xml:space="preserve"> de Transparencia y Acceso a la Información Pública del Estado de </w:t>
      </w:r>
      <w:r>
        <w:rPr>
          <w:rFonts w:ascii="Palatino Linotype" w:eastAsia="Palatino Linotype" w:hAnsi="Palatino Linotype" w:cs="Palatino Linotype"/>
          <w:color w:val="000000"/>
        </w:rPr>
        <w:t>México</w:t>
      </w:r>
      <w:r>
        <w:rPr>
          <w:rFonts w:ascii="Palatino Linotype" w:eastAsia="Palatino Linotype" w:hAnsi="Palatino Linotype" w:cs="Palatino Linotype"/>
          <w:b/>
          <w:color w:val="000000"/>
        </w:rPr>
        <w:t xml:space="preserve"> y Municipios</w:t>
      </w:r>
      <w:r>
        <w:rPr>
          <w:rFonts w:ascii="Palatino Linotype" w:eastAsia="Palatino Linotype" w:hAnsi="Palatino Linotype" w:cs="Palatino Linotype"/>
          <w:color w:val="000000"/>
        </w:rPr>
        <w:t xml:space="preserve">; fracción que determina la hipótesis jurídica relativa a la negativa de la información solicitada por parte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contexto del cual se dolió </w:t>
      </w:r>
      <w:r>
        <w:rPr>
          <w:rFonts w:ascii="Palatino Linotype" w:eastAsia="Palatino Linotype" w:hAnsi="Palatino Linotype" w:cs="Palatino Linotype"/>
          <w:b/>
          <w:color w:val="000000"/>
        </w:rPr>
        <w:t xml:space="preserve">EL RECURRENTE </w:t>
      </w:r>
      <w:r>
        <w:rPr>
          <w:rFonts w:ascii="Palatino Linotype" w:eastAsia="Palatino Linotype" w:hAnsi="Palatino Linotype" w:cs="Palatino Linotype"/>
          <w:color w:val="000000"/>
        </w:rPr>
        <w:t>al momento de interponer su inconformidad.</w:t>
      </w:r>
    </w:p>
    <w:p w:rsidR="009B5C01" w:rsidRDefault="009B5C0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9B5C01" w:rsidRDefault="00CB2DC6">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modo tal que los presentes recursos de revisión se abocaran en determinar si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con su respuesta ciertamente actualiza la causal de procedencia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antes señalada;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rsidR="009B5C01" w:rsidRDefault="009B5C01">
      <w:pPr>
        <w:pBdr>
          <w:top w:val="nil"/>
          <w:left w:val="nil"/>
          <w:bottom w:val="nil"/>
          <w:right w:val="nil"/>
          <w:between w:val="nil"/>
        </w:pBdr>
        <w:spacing w:line="360" w:lineRule="auto"/>
        <w:ind w:left="709"/>
        <w:rPr>
          <w:rFonts w:ascii="Palatino Linotype" w:eastAsia="Palatino Linotype" w:hAnsi="Palatino Linotype" w:cs="Palatino Linotype"/>
          <w:color w:val="000000"/>
        </w:rPr>
      </w:pPr>
    </w:p>
    <w:p w:rsidR="009B5C01" w:rsidRDefault="00CB2DC6">
      <w:pPr>
        <w:keepNext/>
        <w:keepLines/>
        <w:spacing w:line="36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CUARTO. Del estudio y resolución del estudio.</w:t>
      </w:r>
    </w:p>
    <w:p w:rsidR="009B5C01" w:rsidRDefault="00CB2DC6">
      <w:pPr>
        <w:keepNext/>
        <w:keepLines/>
        <w:numPr>
          <w:ilvl w:val="0"/>
          <w:numId w:val="5"/>
        </w:numPr>
        <w:spacing w:after="240" w:line="360" w:lineRule="auto"/>
        <w:ind w:left="786"/>
        <w:rPr>
          <w:rFonts w:ascii="Palatino Linotype" w:eastAsia="Palatino Linotype" w:hAnsi="Palatino Linotype" w:cs="Palatino Linotype"/>
          <w:b/>
          <w:color w:val="000000"/>
        </w:rPr>
      </w:pPr>
      <w:bookmarkStart w:id="11" w:name="_heading=h.17dp8vu" w:colFirst="0" w:colLast="0"/>
      <w:bookmarkEnd w:id="11"/>
      <w:r>
        <w:rPr>
          <w:rFonts w:ascii="Palatino Linotype" w:eastAsia="Palatino Linotype" w:hAnsi="Palatino Linotype" w:cs="Palatino Linotype"/>
          <w:b/>
          <w:color w:val="000000"/>
        </w:rPr>
        <w:t>Del derecho de acceso a la información.</w:t>
      </w:r>
    </w:p>
    <w:p w:rsidR="009B5C01" w:rsidRDefault="00CB2DC6">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w:t>
      </w:r>
      <w:r>
        <w:rPr>
          <w:rFonts w:ascii="Palatino Linotype" w:eastAsia="Palatino Linotype" w:hAnsi="Palatino Linotype" w:cs="Palatino Linotype"/>
          <w:color w:val="000000"/>
        </w:rPr>
        <w:lastRenderedPageBreak/>
        <w:t xml:space="preserve">sexto de la Constitución Política de los Estados Unidos Mexicanos y en el artículo quinto de la Particular del Estado de México. </w:t>
      </w:r>
    </w:p>
    <w:p w:rsidR="009B5C01" w:rsidRDefault="00CB2DC6">
      <w:pPr>
        <w:numPr>
          <w:ilvl w:val="0"/>
          <w:numId w:val="11"/>
        </w:numPr>
        <w:spacing w:before="240"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Definiendo el Derecho de Acceso a la Información Pública como: </w:t>
      </w:r>
      <w:r>
        <w:rPr>
          <w:rFonts w:ascii="Palatino Linotype" w:eastAsia="Palatino Linotype" w:hAnsi="Palatino Linotype" w:cs="Palatino Linotype"/>
          <w:i/>
          <w:color w:val="000000"/>
        </w:rPr>
        <w:t>La igualdad de oportunidades para recibir, buscar e impartir información</w:t>
      </w:r>
      <w:r>
        <w:rPr>
          <w:rFonts w:ascii="Palatino Linotype" w:eastAsia="Palatino Linotype" w:hAnsi="Palatino Linotype" w:cs="Palatino Linotype"/>
          <w:i/>
          <w:vertAlign w:val="superscript"/>
        </w:rPr>
        <w:footnoteReference w:id="2"/>
      </w:r>
      <w:r>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Pr>
          <w:rFonts w:ascii="Palatino Linotype" w:eastAsia="Palatino Linotype" w:hAnsi="Palatino Linotype" w:cs="Palatino Linotype"/>
          <w:i/>
          <w:vertAlign w:val="superscript"/>
        </w:rPr>
        <w:footnoteReference w:id="3"/>
      </w:r>
      <w:r>
        <w:rPr>
          <w:rFonts w:ascii="Palatino Linotype" w:eastAsia="Palatino Linotype" w:hAnsi="Palatino Linotype" w:cs="Palatino Linotype"/>
          <w:color w:val="000000"/>
        </w:rPr>
        <w:t>que se constituye como una herramienta fundamental para ejercer</w:t>
      </w:r>
      <w:r>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Pr>
          <w:rFonts w:ascii="Palatino Linotype" w:eastAsia="Palatino Linotype" w:hAnsi="Palatino Linotype" w:cs="Palatino Linotype"/>
          <w:i/>
          <w:vertAlign w:val="superscript"/>
        </w:rPr>
        <w:footnoteReference w:id="4"/>
      </w:r>
      <w:r>
        <w:rPr>
          <w:rFonts w:ascii="Palatino Linotype" w:eastAsia="Palatino Linotype" w:hAnsi="Palatino Linotype" w:cs="Palatino Linotype"/>
          <w:color w:val="000000"/>
        </w:rPr>
        <w:t>fomentando</w:t>
      </w:r>
      <w:r>
        <w:rPr>
          <w:rFonts w:ascii="Palatino Linotype" w:eastAsia="Palatino Linotype" w:hAnsi="Palatino Linotype" w:cs="Palatino Linotype"/>
          <w:i/>
          <w:color w:val="000000"/>
        </w:rPr>
        <w:t xml:space="preserve"> la transparencia de las actividades estatales y </w:t>
      </w:r>
      <w:r>
        <w:rPr>
          <w:rFonts w:ascii="Palatino Linotype" w:eastAsia="Palatino Linotype" w:hAnsi="Palatino Linotype" w:cs="Palatino Linotype"/>
          <w:color w:val="000000"/>
        </w:rPr>
        <w:t>promoviendo</w:t>
      </w:r>
      <w:r>
        <w:rPr>
          <w:rFonts w:ascii="Palatino Linotype" w:eastAsia="Palatino Linotype" w:hAnsi="Palatino Linotype" w:cs="Palatino Linotype"/>
          <w:i/>
          <w:color w:val="000000"/>
        </w:rPr>
        <w:t xml:space="preserve"> la responsabilidad de los funcionarios sobre su gestión pública,</w:t>
      </w:r>
      <w:r>
        <w:rPr>
          <w:rFonts w:ascii="Palatino Linotype" w:eastAsia="Palatino Linotype" w:hAnsi="Palatino Linotype" w:cs="Palatino Linotype"/>
          <w:i/>
          <w:vertAlign w:val="superscript"/>
        </w:rPr>
        <w:footnoteReference w:id="5"/>
      </w:r>
      <w:r>
        <w:rPr>
          <w:rFonts w:ascii="Palatino Linotype" w:eastAsia="Palatino Linotype" w:hAnsi="Palatino Linotype" w:cs="Palatino Linotype"/>
          <w:color w:val="000000"/>
        </w:rPr>
        <w:t>que permite</w:t>
      </w:r>
      <w:r>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rsidR="009B5C01" w:rsidRDefault="009B5C01">
      <w:pPr>
        <w:spacing w:line="360" w:lineRule="auto"/>
        <w:ind w:right="49"/>
        <w:jc w:val="both"/>
        <w:rPr>
          <w:rFonts w:ascii="Palatino Linotype" w:eastAsia="Palatino Linotype" w:hAnsi="Palatino Linotype" w:cs="Palatino Linotype"/>
        </w:rPr>
      </w:pPr>
    </w:p>
    <w:p w:rsidR="009B5C01" w:rsidRDefault="00CB2DC6">
      <w:pPr>
        <w:numPr>
          <w:ilvl w:val="0"/>
          <w:numId w:val="11"/>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rsidR="009B5C01" w:rsidRDefault="009B5C01">
      <w:pPr>
        <w:ind w:right="49"/>
        <w:jc w:val="both"/>
        <w:rPr>
          <w:rFonts w:ascii="Palatino Linotype" w:eastAsia="Palatino Linotype" w:hAnsi="Palatino Linotype" w:cs="Palatino Linotype"/>
        </w:rPr>
      </w:pPr>
    </w:p>
    <w:p w:rsidR="009B5C01" w:rsidRDefault="00CB2DC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r>
        <w:rPr>
          <w:rFonts w:ascii="Palatino Linotype" w:eastAsia="Palatino Linotype" w:hAnsi="Palatino Linotype" w:cs="Palatino Linotype"/>
          <w:b/>
          <w:i/>
          <w:sz w:val="22"/>
          <w:szCs w:val="22"/>
        </w:rPr>
        <w:t>Artículo 1.-</w:t>
      </w:r>
      <w:r>
        <w:rPr>
          <w:rFonts w:ascii="Palatino Linotype" w:eastAsia="Palatino Linotype" w:hAnsi="Palatino Linotype" w:cs="Palatino Linotype"/>
          <w:i/>
          <w:sz w:val="22"/>
          <w:szCs w:val="22"/>
        </w:rPr>
        <w:t xml:space="preserve"> </w:t>
      </w:r>
    </w:p>
    <w:p w:rsidR="009B5C01" w:rsidRDefault="00CB2DC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9B5C01" w:rsidRDefault="00CB2DC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Todas las</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9B5C01" w:rsidRDefault="00CB2DC6">
      <w:pPr>
        <w:ind w:left="1134"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sz w:val="22"/>
          <w:szCs w:val="22"/>
        </w:rPr>
        <w:t>”.</w:t>
      </w:r>
    </w:p>
    <w:p w:rsidR="009B5C01" w:rsidRDefault="009B5C01">
      <w:pPr>
        <w:ind w:right="567"/>
        <w:jc w:val="both"/>
        <w:rPr>
          <w:rFonts w:ascii="Palatino Linotype" w:eastAsia="Palatino Linotype" w:hAnsi="Palatino Linotype" w:cs="Palatino Linotype"/>
          <w:b/>
        </w:rPr>
      </w:pPr>
    </w:p>
    <w:p w:rsidR="009B5C01" w:rsidRDefault="00CB2DC6">
      <w:pPr>
        <w:numPr>
          <w:ilvl w:val="0"/>
          <w:numId w:val="11"/>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9B5C01" w:rsidRDefault="009B5C01">
      <w:pPr>
        <w:spacing w:line="360" w:lineRule="auto"/>
        <w:ind w:right="49"/>
        <w:jc w:val="both"/>
        <w:rPr>
          <w:rFonts w:ascii="Palatino Linotype" w:eastAsia="Palatino Linotype" w:hAnsi="Palatino Linotype" w:cs="Palatino Linotype"/>
        </w:rPr>
      </w:pPr>
    </w:p>
    <w:p w:rsidR="009B5C01" w:rsidRDefault="00CB2DC6">
      <w:pPr>
        <w:numPr>
          <w:ilvl w:val="0"/>
          <w:numId w:val="11"/>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9B5C01" w:rsidRDefault="009B5C01">
      <w:pPr>
        <w:spacing w:line="360" w:lineRule="auto"/>
        <w:ind w:right="49"/>
        <w:jc w:val="both"/>
        <w:rPr>
          <w:rFonts w:ascii="Palatino Linotype" w:eastAsia="Palatino Linotype" w:hAnsi="Palatino Linotype" w:cs="Palatino Linotype"/>
        </w:rPr>
      </w:pPr>
    </w:p>
    <w:p w:rsidR="009B5C01" w:rsidRDefault="00CB2DC6">
      <w:pPr>
        <w:spacing w:after="240"/>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Constitución Política de los Estados Unidos Mexicanos</w:t>
      </w:r>
    </w:p>
    <w:p w:rsidR="009B5C01" w:rsidRDefault="00CB2DC6">
      <w:pPr>
        <w:spacing w:before="240" w:after="240"/>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6.</w:t>
      </w:r>
    </w:p>
    <w:p w:rsidR="009B5C01" w:rsidRDefault="00CB2DC6">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9B5C01" w:rsidRDefault="00CB2DC6">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efectos de lo dispuesto en el presente artículo se observará lo siguiente:</w:t>
      </w:r>
    </w:p>
    <w:p w:rsidR="009B5C01" w:rsidRDefault="00CB2DC6">
      <w:pPr>
        <w:spacing w:before="240" w:after="240"/>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lastRenderedPageBreak/>
        <w:t>A</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Para el ejercicio del derecho de acceso a la información</w:t>
      </w:r>
      <w:r>
        <w:rPr>
          <w:rFonts w:ascii="Palatino Linotype" w:eastAsia="Palatino Linotype" w:hAnsi="Palatino Linotype" w:cs="Palatino Linotype"/>
          <w:i/>
          <w:sz w:val="22"/>
          <w:szCs w:val="22"/>
        </w:rPr>
        <w:t xml:space="preserve">, la Federación y </w:t>
      </w:r>
      <w:r>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rsidR="009B5C01" w:rsidRDefault="00CB2DC6">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w:t>
      </w:r>
      <w:r>
        <w:rPr>
          <w:rFonts w:ascii="Palatino Linotype" w:eastAsia="Palatino Linotype" w:hAnsi="Palatino Linotype" w:cs="Palatino Linotype"/>
          <w:b/>
          <w:i/>
          <w:sz w:val="22"/>
          <w:szCs w:val="22"/>
        </w:rPr>
        <w:tab/>
        <w:t>Toda la información en posesión de cualquier</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autoridad</w:t>
      </w:r>
      <w:r>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Pr>
          <w:rFonts w:ascii="Palatino Linotype" w:eastAsia="Palatino Linotype" w:hAnsi="Palatino Linotype" w:cs="Palatino Linotype"/>
          <w:b/>
          <w:i/>
          <w:sz w:val="22"/>
          <w:szCs w:val="22"/>
        </w:rPr>
        <w:t>municipal</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9B5C01" w:rsidRDefault="009B5C01">
      <w:pPr>
        <w:pBdr>
          <w:top w:val="nil"/>
          <w:left w:val="nil"/>
          <w:bottom w:val="nil"/>
          <w:right w:val="nil"/>
          <w:between w:val="nil"/>
        </w:pBdr>
        <w:tabs>
          <w:tab w:val="left" w:pos="567"/>
        </w:tabs>
        <w:spacing w:before="240" w:after="240"/>
        <w:ind w:left="1134" w:right="900"/>
        <w:jc w:val="both"/>
        <w:rPr>
          <w:rFonts w:ascii="Palatino Linotype" w:eastAsia="Palatino Linotype" w:hAnsi="Palatino Linotype" w:cs="Palatino Linotype"/>
          <w:b/>
          <w:i/>
          <w:color w:val="000000"/>
          <w:sz w:val="22"/>
          <w:szCs w:val="22"/>
        </w:rPr>
      </w:pPr>
    </w:p>
    <w:p w:rsidR="009B5C01" w:rsidRDefault="00CB2DC6">
      <w:pPr>
        <w:spacing w:before="240" w:after="240"/>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Constitución Política del Estado Libre y Soberano de México</w:t>
      </w:r>
    </w:p>
    <w:p w:rsidR="009B5C01" w:rsidRDefault="00CB2DC6">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5</w:t>
      </w:r>
      <w:r>
        <w:rPr>
          <w:rFonts w:ascii="Palatino Linotype" w:eastAsia="Palatino Linotype" w:hAnsi="Palatino Linotype" w:cs="Palatino Linotype"/>
          <w:i/>
          <w:sz w:val="22"/>
          <w:szCs w:val="22"/>
        </w:rPr>
        <w:t xml:space="preserve">.- </w:t>
      </w:r>
    </w:p>
    <w:p w:rsidR="009B5C01" w:rsidRDefault="00CB2DC6">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9B5C01" w:rsidRDefault="00CB2DC6">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Pr>
          <w:rFonts w:ascii="Palatino Linotype" w:eastAsia="Palatino Linotype" w:hAnsi="Palatino Linotype" w:cs="Palatino Linotype"/>
          <w:i/>
          <w:sz w:val="22"/>
          <w:szCs w:val="22"/>
        </w:rPr>
        <w:t>.</w:t>
      </w:r>
    </w:p>
    <w:p w:rsidR="009B5C01" w:rsidRDefault="00CB2DC6">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9B5C01" w:rsidRDefault="00CB2DC6">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Este derecho se regirá por los principios y bases siguientes</w:t>
      </w:r>
      <w:r>
        <w:rPr>
          <w:rFonts w:ascii="Palatino Linotype" w:eastAsia="Palatino Linotype" w:hAnsi="Palatino Linotype" w:cs="Palatino Linotype"/>
          <w:i/>
          <w:sz w:val="22"/>
          <w:szCs w:val="22"/>
        </w:rPr>
        <w:t>:</w:t>
      </w:r>
    </w:p>
    <w:p w:rsidR="009B5C01" w:rsidRDefault="00CB2DC6">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 Toda la información en posesión de cualquier autoridad, entidad, órgano y organismos de los</w:t>
      </w:r>
      <w:r>
        <w:rPr>
          <w:rFonts w:ascii="Palatino Linotype" w:eastAsia="Palatino Linotype" w:hAnsi="Palatino Linotype" w:cs="Palatino Linotype"/>
          <w:i/>
          <w:sz w:val="22"/>
          <w:szCs w:val="22"/>
        </w:rPr>
        <w:t xml:space="preserve"> Poderes Ejecutivo, Legislativo y Judicial, </w:t>
      </w:r>
      <w:r>
        <w:rPr>
          <w:rFonts w:ascii="Palatino Linotype" w:eastAsia="Palatino Linotype" w:hAnsi="Palatino Linotype" w:cs="Palatino Linotype"/>
          <w:i/>
          <w:sz w:val="22"/>
          <w:szCs w:val="22"/>
        </w:rPr>
        <w:lastRenderedPageBreak/>
        <w:t xml:space="preserve">órganos autónomos, partidos políticos, fideicomisos y fondos públicos estatales y </w:t>
      </w:r>
      <w:r>
        <w:rPr>
          <w:rFonts w:ascii="Palatino Linotype" w:eastAsia="Palatino Linotype" w:hAnsi="Palatino Linotype" w:cs="Palatino Linotype"/>
          <w:b/>
          <w:i/>
          <w:sz w:val="22"/>
          <w:szCs w:val="22"/>
        </w:rPr>
        <w:t>municipales</w:t>
      </w:r>
      <w:r>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Pr>
          <w:rFonts w:ascii="Palatino Linotype" w:eastAsia="Palatino Linotype" w:hAnsi="Palatino Linotype" w:cs="Palatino Linotype"/>
          <w:b/>
          <w:i/>
          <w:sz w:val="22"/>
          <w:szCs w:val="22"/>
        </w:rPr>
        <w:t>En la interpretación de este derecho deberá prevalecer el principio de máxima publicidad</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Los sujetos obligados deberán documentar todo acto que derive del ejercicio de sus facultades, competencias o funciones</w:t>
      </w:r>
      <w:r>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9B5C01" w:rsidRDefault="009B5C01">
      <w:pPr>
        <w:tabs>
          <w:tab w:val="left" w:pos="567"/>
        </w:tabs>
        <w:spacing w:before="240" w:after="240"/>
        <w:ind w:right="567"/>
        <w:jc w:val="both"/>
        <w:rPr>
          <w:rFonts w:ascii="Palatino Linotype" w:eastAsia="Palatino Linotype" w:hAnsi="Palatino Linotype" w:cs="Palatino Linotype"/>
          <w:b/>
          <w:i/>
        </w:rPr>
      </w:pPr>
    </w:p>
    <w:p w:rsidR="009B5C01" w:rsidRDefault="00CB2DC6">
      <w:pPr>
        <w:numPr>
          <w:ilvl w:val="0"/>
          <w:numId w:val="11"/>
        </w:numPr>
        <w:spacing w:before="240"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Pr>
          <w:rFonts w:ascii="Palatino Linotype" w:eastAsia="Palatino Linotype" w:hAnsi="Palatino Linotype" w:cs="Palatino Linotype"/>
          <w:i/>
        </w:rPr>
        <w:t>por los principios de simplicidad, rapidez gratuidad del procedimiento, auxilio y orientación a los particulares</w:t>
      </w:r>
      <w:r>
        <w:rPr>
          <w:rFonts w:ascii="Palatino Linotype" w:eastAsia="Palatino Linotype" w:hAnsi="Palatino Linotype" w:cs="Palatino Linotype"/>
        </w:rPr>
        <w:t>, contemplando el derecho de las personas con discapacidad y hablantes de lengua indígena.</w:t>
      </w:r>
    </w:p>
    <w:p w:rsidR="009B5C01" w:rsidRDefault="009B5C01">
      <w:pPr>
        <w:spacing w:line="360" w:lineRule="auto"/>
        <w:ind w:right="49"/>
        <w:jc w:val="both"/>
        <w:rPr>
          <w:rFonts w:ascii="Palatino Linotype" w:eastAsia="Palatino Linotype" w:hAnsi="Palatino Linotype" w:cs="Palatino Linotype"/>
        </w:rPr>
      </w:pPr>
    </w:p>
    <w:p w:rsidR="009B5C01" w:rsidRDefault="00CB2DC6">
      <w:pPr>
        <w:numPr>
          <w:ilvl w:val="0"/>
          <w:numId w:val="11"/>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Derecho de Acceso a la Información se garantiza y respeta oportunamente, y según lo que dispone la Ley, las </w:t>
      </w:r>
      <w:r>
        <w:rPr>
          <w:rFonts w:ascii="Palatino Linotype" w:eastAsia="Palatino Linotype" w:hAnsi="Palatino Linotype" w:cs="Palatino Linotype"/>
          <w:i/>
        </w:rPr>
        <w:t>solicitudes de acceso a la información</w:t>
      </w:r>
      <w:r>
        <w:rPr>
          <w:rFonts w:ascii="Palatino Linotype" w:eastAsia="Palatino Linotype" w:hAnsi="Palatino Linotype" w:cs="Palatino Linotype"/>
        </w:rPr>
        <w:t>.</w:t>
      </w:r>
    </w:p>
    <w:p w:rsidR="009B5C01" w:rsidRDefault="009B5C01">
      <w:pPr>
        <w:spacing w:line="360" w:lineRule="auto"/>
        <w:ind w:right="49"/>
        <w:jc w:val="both"/>
        <w:rPr>
          <w:rFonts w:ascii="Palatino Linotype" w:eastAsia="Palatino Linotype" w:hAnsi="Palatino Linotype" w:cs="Palatino Linotype"/>
        </w:rPr>
      </w:pPr>
    </w:p>
    <w:p w:rsidR="009B5C01" w:rsidRDefault="00CB2DC6">
      <w:pPr>
        <w:numPr>
          <w:ilvl w:val="0"/>
          <w:numId w:val="11"/>
        </w:numPr>
        <w:spacing w:line="360" w:lineRule="auto"/>
        <w:ind w:left="0" w:right="49" w:firstLine="0"/>
        <w:jc w:val="both"/>
        <w:rPr>
          <w:rFonts w:ascii="Palatino Linotype" w:eastAsia="Palatino Linotype" w:hAnsi="Palatino Linotype" w:cs="Palatino Linotype"/>
        </w:rPr>
      </w:pPr>
      <w:bookmarkStart w:id="12" w:name="_heading=h.3rdcrjn" w:colFirst="0" w:colLast="0"/>
      <w:bookmarkEnd w:id="12"/>
      <w:r>
        <w:rPr>
          <w:rFonts w:ascii="Palatino Linotype" w:eastAsia="Palatino Linotype" w:hAnsi="Palatino Linotype" w:cs="Palatino Linotype"/>
        </w:rPr>
        <w:t xml:space="preserve">Así entonces, se procede analizar, en primer lugar, si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w:t>
      </w:r>
      <w:r>
        <w:rPr>
          <w:rFonts w:ascii="Palatino Linotype" w:eastAsia="Palatino Linotype" w:hAnsi="Palatino Linotype" w:cs="Palatino Linotype"/>
        </w:rPr>
        <w:lastRenderedPageBreak/>
        <w:t>y en segundo término si cumplió con su deber de respetar y garantizar el derecho, entregando la información solicitada.</w:t>
      </w:r>
    </w:p>
    <w:p w:rsidR="009B5C01" w:rsidRDefault="009B5C01">
      <w:pPr>
        <w:spacing w:line="360" w:lineRule="auto"/>
        <w:ind w:right="49"/>
        <w:jc w:val="both"/>
        <w:rPr>
          <w:rFonts w:ascii="Palatino Linotype" w:eastAsia="Palatino Linotype" w:hAnsi="Palatino Linotype" w:cs="Palatino Linotype"/>
        </w:rPr>
      </w:pPr>
    </w:p>
    <w:p w:rsidR="009B5C01" w:rsidRDefault="00CB2DC6">
      <w:pPr>
        <w:keepNext/>
        <w:keepLines/>
        <w:spacing w:after="240" w:line="360" w:lineRule="auto"/>
        <w:rPr>
          <w:rFonts w:ascii="Palatino Linotype" w:eastAsia="Palatino Linotype" w:hAnsi="Palatino Linotype" w:cs="Palatino Linotype"/>
          <w:b/>
          <w:color w:val="000000"/>
        </w:rPr>
      </w:pPr>
      <w:bookmarkStart w:id="13" w:name="_heading=h.26in1rg" w:colFirst="0" w:colLast="0"/>
      <w:bookmarkEnd w:id="13"/>
      <w:r>
        <w:rPr>
          <w:rFonts w:ascii="Palatino Linotype" w:eastAsia="Palatino Linotype" w:hAnsi="Palatino Linotype" w:cs="Palatino Linotype"/>
          <w:b/>
          <w:color w:val="000000"/>
        </w:rPr>
        <w:t>II. De la información solicitada y la respuesta del SUJETO OBLIGADO</w:t>
      </w:r>
    </w:p>
    <w:p w:rsidR="009B5C01" w:rsidRDefault="009B5C01">
      <w:pPr>
        <w:rPr>
          <w:rFonts w:ascii="Calibri" w:eastAsia="Calibri" w:hAnsi="Calibri" w:cs="Calibri"/>
        </w:rPr>
      </w:pPr>
    </w:p>
    <w:p w:rsidR="009B5C01" w:rsidRDefault="00CB2DC6">
      <w:pPr>
        <w:numPr>
          <w:ilvl w:val="0"/>
          <w:numId w:val="11"/>
        </w:numPr>
        <w:spacing w:line="360" w:lineRule="auto"/>
        <w:ind w:left="0" w:firstLine="0"/>
        <w:jc w:val="both"/>
        <w:rPr>
          <w:rFonts w:ascii="Palatino Linotype" w:eastAsia="Palatino Linotype" w:hAnsi="Palatino Linotype" w:cs="Palatino Linotype"/>
          <w:b/>
          <w:i/>
          <w:color w:val="000000"/>
        </w:rPr>
      </w:pPr>
      <w:r>
        <w:rPr>
          <w:rFonts w:ascii="Palatino Linotype" w:eastAsia="Palatino Linotype" w:hAnsi="Palatino Linotype" w:cs="Palatino Linotype"/>
          <w:color w:val="000000"/>
        </w:rPr>
        <w:t xml:space="preserve">Por lo que, se procede al análisis de la información objeto de impugnación y análisis de los presentes recursos de revisión, es necesario mencionar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dio contestación al hoy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mediante respuesta en el sistema SAIMEX, en la cual remite  una tabla por cada recurso de revisión, tal y como se muestra a continuación.</w:t>
      </w:r>
    </w:p>
    <w:p w:rsidR="009B5C01" w:rsidRDefault="009B5C01">
      <w:pPr>
        <w:spacing w:line="360" w:lineRule="auto"/>
        <w:jc w:val="both"/>
        <w:rPr>
          <w:rFonts w:ascii="Palatino Linotype" w:eastAsia="Palatino Linotype" w:hAnsi="Palatino Linotype" w:cs="Palatino Linotype"/>
          <w:b/>
          <w:i/>
          <w:color w:val="000000"/>
        </w:rPr>
      </w:pPr>
    </w:p>
    <w:p w:rsidR="009B5C01" w:rsidRDefault="00CB2DC6">
      <w:pPr>
        <w:spacing w:line="360" w:lineRule="auto"/>
        <w:jc w:val="center"/>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Recurso de Revisión 04653/INFOEM/IP/RR/2024</w:t>
      </w:r>
    </w:p>
    <w:p w:rsidR="009B5C01" w:rsidRDefault="00CB2DC6">
      <w:pPr>
        <w:spacing w:line="360" w:lineRule="auto"/>
        <w:jc w:val="center"/>
        <w:rPr>
          <w:rFonts w:ascii="Palatino Linotype" w:eastAsia="Palatino Linotype" w:hAnsi="Palatino Linotype" w:cs="Palatino Linotype"/>
          <w:b/>
          <w:i/>
          <w:color w:val="000000"/>
        </w:rPr>
      </w:pPr>
      <w:r>
        <w:rPr>
          <w:rFonts w:ascii="Palatino Linotype" w:eastAsia="Palatino Linotype" w:hAnsi="Palatino Linotype" w:cs="Palatino Linotype"/>
          <w:b/>
          <w:i/>
          <w:noProof/>
          <w:color w:val="000000"/>
          <w:lang w:val="es-MX"/>
        </w:rPr>
        <w:drawing>
          <wp:inline distT="0" distB="0" distL="0" distR="0">
            <wp:extent cx="3324716" cy="2445573"/>
            <wp:effectExtent l="0" t="0" r="0" b="0"/>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324716" cy="2445573"/>
                    </a:xfrm>
                    <a:prstGeom prst="rect">
                      <a:avLst/>
                    </a:prstGeom>
                    <a:ln/>
                  </pic:spPr>
                </pic:pic>
              </a:graphicData>
            </a:graphic>
          </wp:inline>
        </w:drawing>
      </w:r>
    </w:p>
    <w:p w:rsidR="009B5C01" w:rsidRDefault="00CB2DC6">
      <w:pPr>
        <w:spacing w:line="360" w:lineRule="auto"/>
        <w:jc w:val="center"/>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Recurso de Revisión 04654/INFOEM/IP/RR/2024</w:t>
      </w:r>
    </w:p>
    <w:p w:rsidR="009B5C01" w:rsidRDefault="00CB2DC6">
      <w:pPr>
        <w:spacing w:line="360" w:lineRule="auto"/>
        <w:jc w:val="center"/>
        <w:rPr>
          <w:rFonts w:ascii="Palatino Linotype" w:eastAsia="Palatino Linotype" w:hAnsi="Palatino Linotype" w:cs="Palatino Linotype"/>
          <w:b/>
          <w:i/>
          <w:color w:val="000000"/>
        </w:rPr>
      </w:pPr>
      <w:r>
        <w:rPr>
          <w:rFonts w:ascii="Palatino Linotype" w:eastAsia="Palatino Linotype" w:hAnsi="Palatino Linotype" w:cs="Palatino Linotype"/>
          <w:b/>
          <w:i/>
          <w:noProof/>
          <w:color w:val="000000"/>
          <w:lang w:val="es-MX"/>
        </w:rPr>
        <w:lastRenderedPageBreak/>
        <w:drawing>
          <wp:inline distT="0" distB="0" distL="0" distR="0">
            <wp:extent cx="4055840" cy="1430879"/>
            <wp:effectExtent l="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055840" cy="1430879"/>
                    </a:xfrm>
                    <a:prstGeom prst="rect">
                      <a:avLst/>
                    </a:prstGeom>
                    <a:ln/>
                  </pic:spPr>
                </pic:pic>
              </a:graphicData>
            </a:graphic>
          </wp:inline>
        </w:drawing>
      </w:r>
    </w:p>
    <w:p w:rsidR="009B5C01" w:rsidRDefault="009B5C01">
      <w:pPr>
        <w:spacing w:line="360" w:lineRule="auto"/>
        <w:jc w:val="both"/>
        <w:rPr>
          <w:rFonts w:ascii="Palatino Linotype" w:eastAsia="Palatino Linotype" w:hAnsi="Palatino Linotype" w:cs="Palatino Linotype"/>
          <w:color w:val="000000"/>
        </w:rPr>
      </w:pPr>
    </w:p>
    <w:p w:rsidR="009B5C01" w:rsidRDefault="00CB2DC6">
      <w:pPr>
        <w:numPr>
          <w:ilvl w:val="0"/>
          <w:numId w:val="1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se observa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no colma la solicitud de información del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toda vez que no se anexa la información solicitada.</w:t>
      </w:r>
    </w:p>
    <w:p w:rsidR="009B5C01" w:rsidRDefault="009B5C01">
      <w:pPr>
        <w:pBdr>
          <w:top w:val="nil"/>
          <w:left w:val="nil"/>
          <w:bottom w:val="nil"/>
          <w:right w:val="nil"/>
          <w:between w:val="nil"/>
        </w:pBdr>
        <w:ind w:left="708"/>
        <w:rPr>
          <w:rFonts w:ascii="Palatino Linotype" w:eastAsia="Palatino Linotype" w:hAnsi="Palatino Linotype" w:cs="Palatino Linotype"/>
          <w:color w:val="000000"/>
          <w:sz w:val="22"/>
          <w:szCs w:val="22"/>
        </w:rPr>
      </w:pPr>
    </w:p>
    <w:p w:rsidR="009B5C01" w:rsidRDefault="00CB2DC6">
      <w:pPr>
        <w:numPr>
          <w:ilvl w:val="0"/>
          <w:numId w:val="1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sentido, aunque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acepta que cuenta con la información se hace el siguiente análisis de la fuente obligacional de poseer la administración solicitada por parte del </w:t>
      </w:r>
      <w:r>
        <w:rPr>
          <w:rFonts w:ascii="Palatino Linotype" w:eastAsia="Palatino Linotype" w:hAnsi="Palatino Linotype" w:cs="Palatino Linotype"/>
          <w:b/>
          <w:color w:val="000000"/>
        </w:rPr>
        <w:t xml:space="preserve">RECURRENTE. </w:t>
      </w:r>
    </w:p>
    <w:p w:rsidR="009B5C01" w:rsidRDefault="009B5C01">
      <w:pPr>
        <w:pBdr>
          <w:top w:val="nil"/>
          <w:left w:val="nil"/>
          <w:bottom w:val="nil"/>
          <w:right w:val="nil"/>
          <w:between w:val="nil"/>
        </w:pBdr>
        <w:ind w:left="708"/>
        <w:rPr>
          <w:rFonts w:ascii="Palatino Linotype" w:eastAsia="Palatino Linotype" w:hAnsi="Palatino Linotype" w:cs="Palatino Linotype"/>
          <w:color w:val="000000"/>
          <w:sz w:val="22"/>
          <w:szCs w:val="22"/>
        </w:rPr>
      </w:pPr>
    </w:p>
    <w:p w:rsidR="009B5C01" w:rsidRDefault="00CB2DC6">
      <w:pPr>
        <w:numPr>
          <w:ilvl w:val="0"/>
          <w:numId w:val="1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Seguidamente de conformidad con el artículo 23 del Bando Municipal del Ayuntamiento de Toluca, la administración pública municipal se auxiliara de los siguientes organismos descentralizados. </w:t>
      </w:r>
    </w:p>
    <w:p w:rsidR="009B5C01" w:rsidRDefault="009B5C01">
      <w:pPr>
        <w:pBdr>
          <w:top w:val="nil"/>
          <w:left w:val="nil"/>
          <w:bottom w:val="nil"/>
          <w:right w:val="nil"/>
          <w:between w:val="nil"/>
        </w:pBdr>
        <w:ind w:left="708"/>
        <w:rPr>
          <w:rFonts w:ascii="Palatino Linotype" w:eastAsia="Palatino Linotype" w:hAnsi="Palatino Linotype" w:cs="Palatino Linotype"/>
          <w:color w:val="000000"/>
          <w:sz w:val="22"/>
          <w:szCs w:val="22"/>
        </w:rPr>
      </w:pPr>
    </w:p>
    <w:p w:rsidR="009B5C01" w:rsidRDefault="00CB2DC6">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23</w:t>
      </w:r>
      <w:r>
        <w:rPr>
          <w:rFonts w:ascii="Palatino Linotype" w:eastAsia="Palatino Linotype" w:hAnsi="Palatino Linotype" w:cs="Palatino Linotype"/>
          <w:i/>
          <w:color w:val="000000"/>
          <w:sz w:val="22"/>
          <w:szCs w:val="22"/>
        </w:rPr>
        <w:t xml:space="preserve">. Para la consulta, estudio, planeación y despacho de los asuntos en los diversos ramos de la Administración Pública Municipal, la o el Presidente Municipal se auxiliará de la Secretaría del Ayuntamiento y de las siguientes: </w:t>
      </w:r>
    </w:p>
    <w:p w:rsidR="009B5C01" w:rsidRDefault="00CB2DC6">
      <w:pP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III. ORGANISMOS DESCENTRALIZADOS: </w:t>
      </w:r>
    </w:p>
    <w:p w:rsidR="009B5C01" w:rsidRDefault="00CB2DC6">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1. Sistema Municipal para el Desarrollo Integral de la Familia de Toluca; </w:t>
      </w:r>
    </w:p>
    <w:p w:rsidR="009B5C01" w:rsidRDefault="00CB2DC6">
      <w:pP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2. Instituto Municipal de Cultura Física y Deporte de Toluca; </w:t>
      </w:r>
    </w:p>
    <w:p w:rsidR="009B5C01" w:rsidRDefault="00CB2DC6">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3. Instituto Municipal de la Mujer de Toluca; y </w:t>
      </w:r>
    </w:p>
    <w:p w:rsidR="009B5C01" w:rsidRDefault="00CB2DC6">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4. Organismo Público Descentralizado por servicio de carácter Municipal denominado Agua y Saneamiento de Toluca.</w:t>
      </w:r>
    </w:p>
    <w:p w:rsidR="009B5C01" w:rsidRDefault="009B5C01">
      <w:pPr>
        <w:pBdr>
          <w:top w:val="nil"/>
          <w:left w:val="nil"/>
          <w:bottom w:val="nil"/>
          <w:right w:val="nil"/>
          <w:between w:val="nil"/>
        </w:pBdr>
        <w:ind w:left="708"/>
        <w:rPr>
          <w:rFonts w:ascii="Palatino Linotype" w:eastAsia="Palatino Linotype" w:hAnsi="Palatino Linotype" w:cs="Palatino Linotype"/>
          <w:color w:val="000000"/>
          <w:sz w:val="22"/>
          <w:szCs w:val="22"/>
        </w:rPr>
      </w:pPr>
    </w:p>
    <w:p w:rsidR="009B5C01" w:rsidRDefault="00CB2DC6">
      <w:pPr>
        <w:numPr>
          <w:ilvl w:val="0"/>
          <w:numId w:val="1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esa línea, la Ley que crea el Organismo Público Descentralizado Denominado</w:t>
      </w:r>
      <w:r>
        <w:rPr>
          <w:rFonts w:ascii="Palatino Linotype" w:eastAsia="Palatino Linotype" w:hAnsi="Palatino Linotype" w:cs="Palatino Linotype"/>
          <w:color w:val="000000"/>
        </w:rPr>
        <w:tab/>
        <w:t xml:space="preserve">Instituto Municipal </w:t>
      </w:r>
      <w:r>
        <w:rPr>
          <w:rFonts w:ascii="Palatino Linotype" w:eastAsia="Palatino Linotype" w:hAnsi="Palatino Linotype" w:cs="Palatino Linotype"/>
          <w:color w:val="000000"/>
        </w:rPr>
        <w:tab/>
        <w:t xml:space="preserve">de Cultura Física y Deporte de Toluca, regula lo siguiente en cuanto a funciones y atribuciones. </w:t>
      </w:r>
    </w:p>
    <w:p w:rsidR="009B5C01" w:rsidRDefault="00CB2DC6">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5.-</w:t>
      </w:r>
      <w:r>
        <w:rPr>
          <w:rFonts w:ascii="Palatino Linotype" w:eastAsia="Palatino Linotype" w:hAnsi="Palatino Linotype" w:cs="Palatino Linotype"/>
          <w:i/>
          <w:color w:val="000000"/>
          <w:sz w:val="22"/>
          <w:szCs w:val="22"/>
        </w:rPr>
        <w:t xml:space="preserve"> Para el cumplimiento de su objeto, el Instituto realizará las siguientes funciones: </w:t>
      </w:r>
    </w:p>
    <w:p w:rsidR="009B5C01" w:rsidRDefault="00CB2DC6">
      <w:pPr>
        <w:numPr>
          <w:ilvl w:val="0"/>
          <w:numId w:val="3"/>
        </w:numPr>
        <w:pBdr>
          <w:top w:val="nil"/>
          <w:left w:val="nil"/>
          <w:bottom w:val="nil"/>
          <w:right w:val="nil"/>
          <w:between w:val="nil"/>
        </w:pBdr>
        <w:ind w:left="1134" w:right="900"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Integrar el padrón de instalaciones deportivas municipales, en el que se incluirán las características de cada una de ellas y los recursos materiales de los que disponen; </w:t>
      </w: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Integrar el sistema de evaluación y seguimiento a deportistas; </w:t>
      </w: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Elaborar estudios en relación con las zonas susceptibles de ser utilizadas para actividades deportivas y recreativas, dentro del Municipio; </w:t>
      </w: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IV. Participar con las autoridades competentes, en el diseño e instrumentación de programas de mejora a las instalaciones del Instituto; </w:t>
      </w: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 Diseñar programas que promuevan el desarrollo de la cultura física, las actividades recreativas y deportivas, dentro del territorio municipal; </w:t>
      </w: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 Administrar las instalaciones deportivas municipales, estableciendo los mecanismos y reglamentos con base en los cuales se utilizarán; </w:t>
      </w: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VII. Recibir donativos y realizar el cobro por la utilización de las instalaciones deportivas y municipales; destinando dichos recursos a los gastos operativos del Instituto, así como para la instrumentación de los programas de mantenimiento y mejora de dichas instalaciones; </w:t>
      </w: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VIII. Gestionar el otorgamiento de los apoyos que sean necesarios para su adecuada operación y para la consecución de sus fines;</w:t>
      </w:r>
      <w:r>
        <w:rPr>
          <w:i/>
          <w:color w:val="000000"/>
          <w:sz w:val="22"/>
          <w:szCs w:val="22"/>
        </w:rPr>
        <w:t xml:space="preserve"> </w:t>
      </w: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IX. Contratar o convenir la celebración de eventos deportivos, funciones, prestación de servicios de entrenamiento y esparcimiento al interior de las instalaciones del Instituto; </w:t>
      </w: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 Celebrar acuerdos y convenios de colaboración con organizaciones privadas y sociales, para el desarrollo de proyectos deportivos y de cultura física; </w:t>
      </w: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XI. Promover y ejecutar acciones para el reconocimiento público y la difusión de las actividades sobresalientes de los deportistas del Municipio, en distintos ámbitos del acontecer municipal; y </w:t>
      </w: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XII. Las demás que establezca su Reglamento y el consejo</w:t>
      </w:r>
    </w:p>
    <w:p w:rsidR="009B5C01" w:rsidRDefault="009B5C01">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p>
    <w:p w:rsidR="009B5C01" w:rsidRDefault="00CB2DC6">
      <w:pPr>
        <w:numPr>
          <w:ilvl w:val="0"/>
          <w:numId w:val="1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De lo anterior, se observa que el Instituto Municipal </w:t>
      </w:r>
      <w:r>
        <w:rPr>
          <w:rFonts w:ascii="Palatino Linotype" w:eastAsia="Palatino Linotype" w:hAnsi="Palatino Linotype" w:cs="Palatino Linotype"/>
          <w:color w:val="000000"/>
        </w:rPr>
        <w:tab/>
        <w:t xml:space="preserve">de Cultura Física y Deporte de Toluca, tiene en sus funciones contratar y convenir la celebración de eventos deportivos, funciones y prestación de servicios. </w:t>
      </w:r>
    </w:p>
    <w:p w:rsidR="009B5C01" w:rsidRDefault="009B5C01">
      <w:pPr>
        <w:spacing w:line="360" w:lineRule="auto"/>
        <w:jc w:val="both"/>
        <w:rPr>
          <w:rFonts w:ascii="Palatino Linotype" w:eastAsia="Palatino Linotype" w:hAnsi="Palatino Linotype" w:cs="Palatino Linotype"/>
          <w:color w:val="000000"/>
        </w:rPr>
      </w:pPr>
    </w:p>
    <w:p w:rsidR="009B5C01" w:rsidRDefault="00CB2DC6">
      <w:pPr>
        <w:numPr>
          <w:ilvl w:val="0"/>
          <w:numId w:val="1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Seguidamente, el artículo 9 de la Ley que crea el Organismo Público Descentralizado Denominado Instituto Municipal de Cultura Física y Deporte de Toluca, regula las atribuciones del consejo de dicho instituto. </w:t>
      </w:r>
    </w:p>
    <w:p w:rsidR="009B5C01" w:rsidRDefault="009B5C01">
      <w:pPr>
        <w:pBdr>
          <w:top w:val="nil"/>
          <w:left w:val="nil"/>
          <w:bottom w:val="nil"/>
          <w:right w:val="nil"/>
          <w:between w:val="nil"/>
        </w:pBdr>
        <w:ind w:left="708"/>
        <w:rPr>
          <w:rFonts w:ascii="Palatino Linotype" w:eastAsia="Palatino Linotype" w:hAnsi="Palatino Linotype" w:cs="Palatino Linotype"/>
          <w:color w:val="000000"/>
          <w:sz w:val="22"/>
          <w:szCs w:val="22"/>
        </w:rPr>
      </w:pPr>
    </w:p>
    <w:p w:rsidR="009B5C01" w:rsidRDefault="009B5C01">
      <w:pPr>
        <w:spacing w:line="360" w:lineRule="auto"/>
        <w:jc w:val="both"/>
        <w:rPr>
          <w:rFonts w:ascii="Palatino Linotype" w:eastAsia="Palatino Linotype" w:hAnsi="Palatino Linotype" w:cs="Palatino Linotype"/>
          <w:color w:val="000000"/>
        </w:rPr>
      </w:pPr>
    </w:p>
    <w:p w:rsidR="009B5C01" w:rsidRDefault="00CB2DC6">
      <w:pPr>
        <w:pBdr>
          <w:top w:val="nil"/>
          <w:left w:val="nil"/>
          <w:bottom w:val="nil"/>
          <w:right w:val="nil"/>
          <w:between w:val="nil"/>
        </w:pBdr>
        <w:ind w:left="1134"/>
        <w:jc w:val="both"/>
        <w:rPr>
          <w:i/>
          <w:color w:val="000000"/>
        </w:rPr>
      </w:pPr>
      <w:r>
        <w:rPr>
          <w:rFonts w:ascii="Palatino Linotype" w:eastAsia="Palatino Linotype" w:hAnsi="Palatino Linotype" w:cs="Palatino Linotype"/>
          <w:i/>
          <w:color w:val="000000"/>
          <w:sz w:val="22"/>
          <w:szCs w:val="22"/>
        </w:rPr>
        <w:t>Artículo 9.- Son atribuciones del Consejo, las siguientes:</w:t>
      </w:r>
      <w:r>
        <w:rPr>
          <w:i/>
          <w:color w:val="000000"/>
        </w:rPr>
        <w:t xml:space="preserve"> </w:t>
      </w:r>
    </w:p>
    <w:p w:rsidR="009B5C01" w:rsidRDefault="00CB2DC6">
      <w:pPr>
        <w:numPr>
          <w:ilvl w:val="0"/>
          <w:numId w:val="6"/>
        </w:numPr>
        <w:pBdr>
          <w:top w:val="nil"/>
          <w:left w:val="nil"/>
          <w:bottom w:val="nil"/>
          <w:right w:val="nil"/>
          <w:between w:val="nil"/>
        </w:pBdr>
        <w:ind w:left="1134"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Establecer las políticas y lineamientos para la debida organización y funcionamiento del Instituto; </w:t>
      </w: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Discutir y, en su caso, aprobar los planes, programas y proyectos para el cumplimiento de los objetivos del Instituto; </w:t>
      </w: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Aprobar los programas sobre actualizacion y mejoramiento del personal del Instituto; </w:t>
      </w: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IV. Aprobar el proyecto de Reglamento y sus modificaciones; </w:t>
      </w: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 Autorizar los instructivos de labores, controles internos, externos y demás disposiciones que rijan el desarrollo del Instituto; </w:t>
      </w: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 Aprobar el padrón de instalaciones del Instituto y los programas de mantenimiento y mejora permanente; </w:t>
      </w: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VII. Autorizar la celebración de contratos o convenios para el logro de su objeto, conforme a la legislación aplicable; </w:t>
      </w: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VIII. Vigilar la preservación y conservación del patrimonio del Instituto; </w:t>
      </w: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IX. Aprobar el Presupuesto de Ingresos y Egresos del Instituto; </w:t>
      </w: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 Revisar la cuenta anual de Ingresos y Egresos del Instituto; </w:t>
      </w: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XI. Autorizar el tabulador de cuotas de los servicios prestados por el Instituto; </w:t>
      </w: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XII. Acordar los asuntos que presente a su consideración el Director General; </w:t>
      </w: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XIII. Nombrar el Contralor Interno del Instituto, a propuesta del Presidente del Consejo; y </w:t>
      </w:r>
    </w:p>
    <w:p w:rsidR="009B5C01" w:rsidRDefault="00CB2DC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XIV. Las demás que establezca el Reglamento.</w:t>
      </w:r>
    </w:p>
    <w:p w:rsidR="009B5C01" w:rsidRDefault="009B5C01">
      <w:pPr>
        <w:pBdr>
          <w:top w:val="nil"/>
          <w:left w:val="nil"/>
          <w:bottom w:val="nil"/>
          <w:right w:val="nil"/>
          <w:between w:val="nil"/>
        </w:pBdr>
        <w:ind w:left="708"/>
        <w:jc w:val="both"/>
        <w:rPr>
          <w:rFonts w:ascii="Palatino Linotype" w:eastAsia="Palatino Linotype" w:hAnsi="Palatino Linotype" w:cs="Palatino Linotype"/>
          <w:i/>
          <w:color w:val="000000"/>
          <w:sz w:val="22"/>
          <w:szCs w:val="22"/>
        </w:rPr>
      </w:pPr>
    </w:p>
    <w:p w:rsidR="009B5C01" w:rsidRDefault="00CB2DC6">
      <w:pPr>
        <w:numPr>
          <w:ilvl w:val="0"/>
          <w:numId w:val="1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 De lo anterior, se colige que el Instituto Municipal de Cultura Física y Deporte, por medio del Consejo Directivo  autoriza los contratos que se firman para el interés del propio instituto o para cumplir los planes de trabajo ya establecidos por los mismos. </w:t>
      </w:r>
    </w:p>
    <w:p w:rsidR="009B5C01" w:rsidRDefault="00CB2DC6">
      <w:pPr>
        <w:numPr>
          <w:ilvl w:val="0"/>
          <w:numId w:val="11"/>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de las </w:t>
      </w:r>
      <w:r>
        <w:rPr>
          <w:rFonts w:ascii="Palatino Linotype" w:eastAsia="Palatino Linotype" w:hAnsi="Palatino Linotype" w:cs="Palatino Linotype"/>
          <w:b/>
        </w:rPr>
        <w:t>facturas</w:t>
      </w:r>
      <w:r>
        <w:rPr>
          <w:rFonts w:ascii="Palatino Linotype" w:eastAsia="Palatino Linotype" w:hAnsi="Palatino Linotype" w:cs="Palatino Linotype"/>
        </w:rPr>
        <w:t xml:space="preserve"> resulta oportuno traer a contexto, la información publicada por la Secretaría de Hacienda y Crédito Público, referente al Servicio de Administración Tributaria (SAT), en donde se advierte los requisitos que deben reunir las facturas emitidas, consultable en la dirección electrónica </w:t>
      </w:r>
      <w:hyperlink r:id="rId10">
        <w:r>
          <w:rPr>
            <w:rFonts w:ascii="Palatino Linotype" w:eastAsia="Palatino Linotype" w:hAnsi="Palatino Linotype" w:cs="Palatino Linotype"/>
            <w:color w:val="0563C1"/>
            <w:u w:val="single"/>
          </w:rPr>
          <w:t>http://omawww.sat.gob.mx/factura/Paginas/solicita_requisitos.htm</w:t>
        </w:r>
      </w:hyperlink>
      <w:r>
        <w:rPr>
          <w:rFonts w:ascii="Palatino Linotype" w:eastAsia="Palatino Linotype" w:hAnsi="Palatino Linotype" w:cs="Palatino Linotype"/>
        </w:rPr>
        <w:t>, de conformidad con lo siguiente:</w:t>
      </w:r>
    </w:p>
    <w:p w:rsidR="009B5C01" w:rsidRDefault="009B5C01">
      <w:pPr>
        <w:spacing w:line="360" w:lineRule="auto"/>
        <w:jc w:val="both"/>
        <w:rPr>
          <w:rFonts w:ascii="Palatino Linotype" w:eastAsia="Palatino Linotype" w:hAnsi="Palatino Linotype" w:cs="Palatino Linotype"/>
        </w:rPr>
      </w:pPr>
    </w:p>
    <w:p w:rsidR="009B5C01" w:rsidRDefault="00CB2DC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Requisitos que deben reunir las facturas que recibas</w:t>
      </w:r>
      <w:r>
        <w:rPr>
          <w:rFonts w:ascii="Palatino Linotype" w:eastAsia="Palatino Linotype" w:hAnsi="Palatino Linotype" w:cs="Palatino Linotype"/>
          <w:i/>
          <w:sz w:val="22"/>
          <w:szCs w:val="22"/>
        </w:rPr>
        <w:t>:</w:t>
      </w:r>
    </w:p>
    <w:p w:rsidR="009B5C01" w:rsidRDefault="00CB2DC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u w:val="single"/>
        </w:rPr>
        <w:t>Clave del Registro Federal de Contribuyentes de quien los expida</w:t>
      </w:r>
      <w:r>
        <w:rPr>
          <w:rFonts w:ascii="Palatino Linotype" w:eastAsia="Palatino Linotype" w:hAnsi="Palatino Linotype" w:cs="Palatino Linotype"/>
          <w:i/>
          <w:sz w:val="22"/>
          <w:szCs w:val="22"/>
        </w:rPr>
        <w:t>.</w:t>
      </w:r>
    </w:p>
    <w:p w:rsidR="009B5C01" w:rsidRDefault="00CB2DC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Régimen Fiscal en que tributen conforme a la Ley del ISR.</w:t>
      </w:r>
    </w:p>
    <w:p w:rsidR="009B5C01" w:rsidRDefault="00CB2DC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Sí se tiene más de un local o establecimiento, se deberá señalar el domicilio del local o establecimiento en el que se expidan las Facturas.</w:t>
      </w:r>
    </w:p>
    <w:p w:rsidR="009B5C01" w:rsidRDefault="00CB2DC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Contener el número de folio asignado por el SAT y el sello digital del SAT.</w:t>
      </w:r>
    </w:p>
    <w:p w:rsidR="009B5C01" w:rsidRDefault="00CB2DC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u w:val="single"/>
        </w:rPr>
        <w:t>Sello digital del contribuyente que lo expide</w:t>
      </w:r>
      <w:r>
        <w:rPr>
          <w:rFonts w:ascii="Palatino Linotype" w:eastAsia="Palatino Linotype" w:hAnsi="Palatino Linotype" w:cs="Palatino Linotype"/>
          <w:i/>
          <w:sz w:val="22"/>
          <w:szCs w:val="22"/>
        </w:rPr>
        <w:t>.</w:t>
      </w:r>
    </w:p>
    <w:p w:rsidR="009B5C01" w:rsidRDefault="00CB2DC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Lugar y fecha de expedición.</w:t>
      </w:r>
    </w:p>
    <w:p w:rsidR="009B5C01" w:rsidRDefault="00CB2DC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Clave del Registro Federal de Contribuyentes de la persona a favor de quien se expida.</w:t>
      </w:r>
    </w:p>
    <w:p w:rsidR="009B5C01" w:rsidRDefault="00CB2DC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Cantidad, unidad de medida y clase de los bienes, mercancías o descripción del servicio o del uso o goce que amparen.</w:t>
      </w:r>
    </w:p>
    <w:p w:rsidR="009B5C01" w:rsidRDefault="00CB2DC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Valor unitario consignado en número.</w:t>
      </w:r>
    </w:p>
    <w:p w:rsidR="009B5C01" w:rsidRDefault="00CB2DC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Importe total señalado en número o en letra.</w:t>
      </w:r>
    </w:p>
    <w:p w:rsidR="009B5C01" w:rsidRDefault="00CB2DC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Señalamiento expreso cuando la prestación se pague en una sola exhibición o en parcialidades.</w:t>
      </w:r>
    </w:p>
    <w:p w:rsidR="009B5C01" w:rsidRDefault="00CB2DC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Cuando proceda, se indicará el monto de los impuestos trasladados, desglosados por tasa de impuesto y, en su caso, el monto de los impuestos retenidos.</w:t>
      </w:r>
    </w:p>
    <w:p w:rsidR="009B5C01" w:rsidRDefault="00CB2DC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Forma en que se realizó el pago (efectivo, transferencia electrónica de fondos, cheque nominativos o tarjeta de débito, de crédito, de servicio o la denominada monedero electrónico que autorice el Servicio de Administración Tributaria).</w:t>
      </w:r>
    </w:p>
    <w:p w:rsidR="009B5C01" w:rsidRDefault="00CB2DC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Número y fecha del documento aduanero, tratándose de ventas de primera mano de mercancías de importación.</w:t>
      </w:r>
    </w:p>
    <w:p w:rsidR="009B5C01" w:rsidRDefault="00CB2DC6">
      <w:pPr>
        <w:ind w:left="1134" w:right="900"/>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br/>
      </w:r>
      <w:r>
        <w:rPr>
          <w:rFonts w:ascii="Palatino Linotype" w:eastAsia="Palatino Linotype" w:hAnsi="Palatino Linotype" w:cs="Palatino Linotype"/>
          <w:b/>
          <w:i/>
          <w:sz w:val="22"/>
          <w:szCs w:val="22"/>
        </w:rPr>
        <w:t>Además, debe contener los siguientes datos:</w:t>
      </w:r>
      <w:r>
        <w:rPr>
          <w:rFonts w:ascii="Palatino Linotype" w:eastAsia="Palatino Linotype" w:hAnsi="Palatino Linotype" w:cs="Palatino Linotype"/>
          <w:b/>
          <w:i/>
          <w:sz w:val="22"/>
          <w:szCs w:val="22"/>
        </w:rPr>
        <w:br/>
        <w:t>a) Fecha y hora de certificación.</w:t>
      </w:r>
      <w:r>
        <w:rPr>
          <w:rFonts w:ascii="Palatino Linotype" w:eastAsia="Palatino Linotype" w:hAnsi="Palatino Linotype" w:cs="Palatino Linotype"/>
          <w:b/>
          <w:i/>
          <w:sz w:val="22"/>
          <w:szCs w:val="22"/>
        </w:rPr>
        <w:br/>
        <w:t>b) Número de serie del certificado digital del SAT con el que se realizó el sellado</w:t>
      </w:r>
      <w:r>
        <w:rPr>
          <w:rFonts w:ascii="Palatino Linotype" w:eastAsia="Palatino Linotype" w:hAnsi="Palatino Linotype" w:cs="Palatino Linotype"/>
          <w:i/>
          <w:sz w:val="22"/>
          <w:szCs w:val="22"/>
        </w:rPr>
        <w:t>.</w:t>
      </w:r>
    </w:p>
    <w:p w:rsidR="009B5C01" w:rsidRDefault="009B5C01">
      <w:pPr>
        <w:spacing w:line="360" w:lineRule="auto"/>
        <w:jc w:val="both"/>
        <w:rPr>
          <w:rFonts w:ascii="Palatino Linotype" w:eastAsia="Palatino Linotype" w:hAnsi="Palatino Linotype" w:cs="Palatino Linotype"/>
        </w:rPr>
      </w:pPr>
    </w:p>
    <w:p w:rsidR="009B5C01" w:rsidRDefault="00CB2DC6">
      <w:pPr>
        <w:numPr>
          <w:ilvl w:val="0"/>
          <w:numId w:val="11"/>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Ahora bien, respecto de los c</w:t>
      </w:r>
      <w:r>
        <w:rPr>
          <w:rFonts w:ascii="Palatino Linotype" w:eastAsia="Palatino Linotype" w:hAnsi="Palatino Linotype" w:cs="Palatino Linotype"/>
          <w:b/>
        </w:rPr>
        <w:t>ontratos</w:t>
      </w:r>
      <w:r>
        <w:rPr>
          <w:rFonts w:ascii="Palatino Linotype" w:eastAsia="Palatino Linotype" w:hAnsi="Palatino Linotype" w:cs="Palatino Linotype"/>
        </w:rPr>
        <w:t xml:space="preserve"> se tiene que, es un acto jurídico bilateral que se constituye por el acuerdo de voluntades de dos o más personas y que produce ciertas consecuencias jurídicas (creación o transmisión de derechos y obligaciones), debido al reconocimiento de una norma de derecho.</w:t>
      </w:r>
    </w:p>
    <w:p w:rsidR="009B5C01" w:rsidRDefault="009B5C01">
      <w:pPr>
        <w:spacing w:line="360" w:lineRule="auto"/>
        <w:ind w:right="49"/>
        <w:jc w:val="both"/>
        <w:rPr>
          <w:rFonts w:ascii="Palatino Linotype" w:eastAsia="Palatino Linotype" w:hAnsi="Palatino Linotype" w:cs="Palatino Linotype"/>
        </w:rPr>
      </w:pPr>
    </w:p>
    <w:p w:rsidR="009B5C01" w:rsidRDefault="00CB2DC6">
      <w:pPr>
        <w:numPr>
          <w:ilvl w:val="0"/>
          <w:numId w:val="11"/>
        </w:numPr>
        <w:spacing w:line="360" w:lineRule="auto"/>
        <w:ind w:left="0" w:firstLine="0"/>
        <w:jc w:val="both"/>
        <w:rPr>
          <w:rFonts w:ascii="Calibri" w:eastAsia="Calibri" w:hAnsi="Calibri" w:cs="Calibri"/>
        </w:rPr>
      </w:pPr>
      <w:r>
        <w:rPr>
          <w:rFonts w:ascii="Palatino Linotype" w:eastAsia="Palatino Linotype" w:hAnsi="Palatino Linotype" w:cs="Palatino Linotype"/>
        </w:rPr>
        <w:t xml:space="preserve">De manera complementaria, conviene precisar que de acuerdo a la naturaleza de la información solicitada se concluye que ésta es de interés general y de alcance público, robustece lo anterior los artículos 24, fracción XII y 92, fracción XIX de la Ley de Transparencia y Acceso a la Información Pública del Estado de México y Municipios, porciones normativas que disponen a la literalidad lo siguiente: </w:t>
      </w:r>
    </w:p>
    <w:p w:rsidR="009B5C01" w:rsidRDefault="00CB2DC6">
      <w:pPr>
        <w:spacing w:before="240" w:after="160" w:line="360" w:lineRule="auto"/>
        <w:ind w:left="1134" w:right="851"/>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 “Artículo 24. </w:t>
      </w:r>
      <w:r>
        <w:rPr>
          <w:rFonts w:ascii="Palatino Linotype" w:eastAsia="Palatino Linotype" w:hAnsi="Palatino Linotype" w:cs="Palatino Linotype"/>
          <w:i/>
          <w:color w:val="000000"/>
          <w:sz w:val="22"/>
          <w:szCs w:val="22"/>
        </w:rPr>
        <w:t>Para el cumplimiento de los objetivos de esta Ley, los sujetos obligados deberán cumplir con las siguientes obligaciones, según corresponda, de acuerdo a su naturaleza:</w:t>
      </w:r>
    </w:p>
    <w:p w:rsidR="009B5C01" w:rsidRDefault="00CB2DC6">
      <w:pPr>
        <w:spacing w:before="240" w:after="160" w:line="360" w:lineRule="auto"/>
        <w:ind w:left="1134" w:right="851"/>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lastRenderedPageBreak/>
        <w:t xml:space="preserve">XII. </w:t>
      </w:r>
      <w:r>
        <w:rPr>
          <w:rFonts w:ascii="Palatino Linotype" w:eastAsia="Palatino Linotype" w:hAnsi="Palatino Linotype" w:cs="Palatino Linotype"/>
          <w:b/>
          <w:i/>
          <w:color w:val="000000"/>
          <w:sz w:val="22"/>
          <w:szCs w:val="22"/>
          <w:u w:val="single"/>
        </w:rPr>
        <w:t>Publicar y mantener actualizada la información relativa a las obligaciones generales de transparencia</w:t>
      </w:r>
      <w:r>
        <w:rPr>
          <w:rFonts w:ascii="Palatino Linotype" w:eastAsia="Palatino Linotype" w:hAnsi="Palatino Linotype" w:cs="Palatino Linotype"/>
          <w:i/>
          <w:color w:val="000000"/>
          <w:sz w:val="22"/>
          <w:szCs w:val="22"/>
        </w:rPr>
        <w:t xml:space="preserve"> previstas en la presente Ley o determinadas así por el Instituto, y en general aquella que sea de interés público;</w:t>
      </w:r>
    </w:p>
    <w:p w:rsidR="009B5C01" w:rsidRDefault="00CB2DC6">
      <w:pPr>
        <w:spacing w:before="240" w:after="160" w:line="360" w:lineRule="auto"/>
        <w:ind w:left="993"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Artículo 92. </w:t>
      </w:r>
      <w:r>
        <w:rPr>
          <w:rFonts w:ascii="Palatino Linotype" w:eastAsia="Palatino Linotype" w:hAnsi="Palatino Linotype" w:cs="Palatino Linotype"/>
          <w:i/>
          <w:color w:val="000000"/>
          <w:sz w:val="22"/>
          <w:szCs w:val="22"/>
        </w:rPr>
        <w:t xml:space="preserve">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rsidR="009B5C01" w:rsidRDefault="00CB2DC6">
      <w:pPr>
        <w:spacing w:before="240" w:after="160" w:line="360" w:lineRule="auto"/>
        <w:ind w:left="1134"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w:t>
      </w:r>
      <w:r>
        <w:rPr>
          <w:rFonts w:ascii="Palatino Linotype" w:eastAsia="Palatino Linotype" w:hAnsi="Palatino Linotype" w:cs="Palatino Linotype"/>
          <w:i/>
          <w:color w:val="000000"/>
          <w:sz w:val="22"/>
          <w:szCs w:val="22"/>
        </w:rPr>
        <w:t>)</w:t>
      </w:r>
    </w:p>
    <w:p w:rsidR="009B5C01" w:rsidRDefault="00CB2DC6">
      <w:pPr>
        <w:spacing w:before="160" w:line="360" w:lineRule="auto"/>
        <w:ind w:left="1134" w:right="851"/>
        <w:jc w:val="both"/>
        <w:rPr>
          <w:rFonts w:ascii="Palatino Linotype" w:eastAsia="Palatino Linotype" w:hAnsi="Palatino Linotype" w:cs="Palatino Linotype"/>
          <w:b/>
          <w:i/>
          <w:u w:val="single"/>
        </w:rPr>
      </w:pPr>
      <w:r>
        <w:rPr>
          <w:rFonts w:ascii="Palatino Linotype" w:eastAsia="Palatino Linotype" w:hAnsi="Palatino Linotype" w:cs="Palatino Linotype"/>
          <w:b/>
          <w:i/>
          <w:u w:val="single"/>
        </w:rPr>
        <w:t>XXIX. La información sobre los procesos y resultados sobre procedimientos de adjudicación directa, invitación restringida y licitación de cualquier naturaleza, incluyendo la versión pública del expediente respectivo y de los contratos celebrados, que deberán contener, por los menos, lo siguiente:</w:t>
      </w:r>
    </w:p>
    <w:p w:rsidR="009B5C01" w:rsidRDefault="009B5C01">
      <w:pPr>
        <w:spacing w:line="360" w:lineRule="auto"/>
        <w:ind w:left="1134" w:right="851"/>
        <w:jc w:val="both"/>
        <w:rPr>
          <w:rFonts w:ascii="Palatino Linotype" w:eastAsia="Palatino Linotype" w:hAnsi="Palatino Linotype" w:cs="Palatino Linotype"/>
          <w:b/>
          <w:i/>
          <w:u w:val="single"/>
        </w:rPr>
      </w:pPr>
    </w:p>
    <w:p w:rsidR="009B5C01" w:rsidRDefault="00CB2DC6">
      <w:pPr>
        <w:spacing w:line="360" w:lineRule="auto"/>
        <w:ind w:left="1134" w:right="851"/>
        <w:jc w:val="both"/>
        <w:rPr>
          <w:rFonts w:ascii="Palatino Linotype" w:eastAsia="Palatino Linotype" w:hAnsi="Palatino Linotype" w:cs="Palatino Linotype"/>
          <w:b/>
          <w:i/>
          <w:u w:val="single"/>
        </w:rPr>
      </w:pPr>
      <w:r>
        <w:rPr>
          <w:rFonts w:ascii="Palatino Linotype" w:eastAsia="Palatino Linotype" w:hAnsi="Palatino Linotype" w:cs="Palatino Linotype"/>
          <w:b/>
          <w:i/>
          <w:u w:val="single"/>
        </w:rPr>
        <w:t xml:space="preserve">a) De licitaciones públicas o procedimientos de invitación restringida: </w:t>
      </w:r>
    </w:p>
    <w:p w:rsidR="009B5C01" w:rsidRDefault="00CB2DC6">
      <w:pPr>
        <w:spacing w:line="360" w:lineRule="auto"/>
        <w:ind w:left="1134" w:right="851"/>
        <w:jc w:val="both"/>
        <w:rPr>
          <w:rFonts w:ascii="Palatino Linotype" w:eastAsia="Palatino Linotype" w:hAnsi="Palatino Linotype" w:cs="Palatino Linotype"/>
          <w:i/>
        </w:rPr>
      </w:pPr>
      <w:r>
        <w:rPr>
          <w:rFonts w:ascii="Palatino Linotype" w:eastAsia="Palatino Linotype" w:hAnsi="Palatino Linotype" w:cs="Palatino Linotype"/>
          <w:i/>
        </w:rPr>
        <w:t xml:space="preserve">1) La convocatoria o invitación emitida, así como los fundamentos legales aplicados para llevarla a cabo; </w:t>
      </w:r>
    </w:p>
    <w:p w:rsidR="009B5C01" w:rsidRDefault="00CB2DC6">
      <w:pPr>
        <w:spacing w:line="360" w:lineRule="auto"/>
        <w:ind w:left="1134" w:right="851"/>
        <w:jc w:val="both"/>
        <w:rPr>
          <w:rFonts w:ascii="Palatino Linotype" w:eastAsia="Palatino Linotype" w:hAnsi="Palatino Linotype" w:cs="Palatino Linotype"/>
          <w:i/>
        </w:rPr>
      </w:pPr>
      <w:r>
        <w:rPr>
          <w:rFonts w:ascii="Palatino Linotype" w:eastAsia="Palatino Linotype" w:hAnsi="Palatino Linotype" w:cs="Palatino Linotype"/>
          <w:i/>
        </w:rPr>
        <w:t xml:space="preserve">2) Los nombres de los participantes o invitados; </w:t>
      </w:r>
    </w:p>
    <w:p w:rsidR="009B5C01" w:rsidRDefault="00CB2DC6">
      <w:pPr>
        <w:spacing w:line="360" w:lineRule="auto"/>
        <w:ind w:left="1134" w:right="851"/>
        <w:jc w:val="both"/>
        <w:rPr>
          <w:rFonts w:ascii="Palatino Linotype" w:eastAsia="Palatino Linotype" w:hAnsi="Palatino Linotype" w:cs="Palatino Linotype"/>
          <w:i/>
        </w:rPr>
      </w:pPr>
      <w:r>
        <w:rPr>
          <w:rFonts w:ascii="Palatino Linotype" w:eastAsia="Palatino Linotype" w:hAnsi="Palatino Linotype" w:cs="Palatino Linotype"/>
          <w:i/>
        </w:rPr>
        <w:t xml:space="preserve">3) El nombre del ganador y las razones que lo justifican; </w:t>
      </w:r>
    </w:p>
    <w:p w:rsidR="009B5C01" w:rsidRDefault="00CB2DC6">
      <w:pPr>
        <w:spacing w:line="360" w:lineRule="auto"/>
        <w:ind w:left="1134" w:right="851"/>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4) El área solicitante y la responsable de su ejecución; </w:t>
      </w:r>
    </w:p>
    <w:p w:rsidR="009B5C01" w:rsidRDefault="00CB2DC6">
      <w:pPr>
        <w:spacing w:line="360" w:lineRule="auto"/>
        <w:ind w:left="1134" w:right="851"/>
        <w:jc w:val="both"/>
        <w:rPr>
          <w:rFonts w:ascii="Palatino Linotype" w:eastAsia="Palatino Linotype" w:hAnsi="Palatino Linotype" w:cs="Palatino Linotype"/>
          <w:i/>
        </w:rPr>
      </w:pPr>
      <w:r>
        <w:rPr>
          <w:rFonts w:ascii="Palatino Linotype" w:eastAsia="Palatino Linotype" w:hAnsi="Palatino Linotype" w:cs="Palatino Linotype"/>
          <w:i/>
        </w:rPr>
        <w:t xml:space="preserve">5) Las convocatorias e invitaciones emitidas; </w:t>
      </w:r>
    </w:p>
    <w:p w:rsidR="009B5C01" w:rsidRDefault="00CB2DC6">
      <w:pPr>
        <w:spacing w:line="360" w:lineRule="auto"/>
        <w:ind w:left="1134" w:right="851"/>
        <w:jc w:val="both"/>
        <w:rPr>
          <w:rFonts w:ascii="Palatino Linotype" w:eastAsia="Palatino Linotype" w:hAnsi="Palatino Linotype" w:cs="Palatino Linotype"/>
          <w:i/>
        </w:rPr>
      </w:pPr>
      <w:r>
        <w:rPr>
          <w:rFonts w:ascii="Palatino Linotype" w:eastAsia="Palatino Linotype" w:hAnsi="Palatino Linotype" w:cs="Palatino Linotype"/>
          <w:i/>
        </w:rPr>
        <w:t xml:space="preserve">6) Los dictámenes y fallo de adjudicación; </w:t>
      </w:r>
    </w:p>
    <w:p w:rsidR="009B5C01" w:rsidRDefault="00CB2DC6">
      <w:pPr>
        <w:spacing w:line="360" w:lineRule="auto"/>
        <w:ind w:left="1134" w:right="851"/>
        <w:jc w:val="both"/>
        <w:rPr>
          <w:rFonts w:ascii="Palatino Linotype" w:eastAsia="Palatino Linotype" w:hAnsi="Palatino Linotype" w:cs="Palatino Linotype"/>
          <w:i/>
          <w:u w:val="single"/>
        </w:rPr>
      </w:pPr>
      <w:r>
        <w:rPr>
          <w:rFonts w:ascii="Palatino Linotype" w:eastAsia="Palatino Linotype" w:hAnsi="Palatino Linotype" w:cs="Palatino Linotype"/>
          <w:i/>
        </w:rPr>
        <w:t xml:space="preserve">7) </w:t>
      </w:r>
      <w:r>
        <w:rPr>
          <w:rFonts w:ascii="Palatino Linotype" w:eastAsia="Palatino Linotype" w:hAnsi="Palatino Linotype" w:cs="Palatino Linotype"/>
          <w:i/>
          <w:u w:val="single"/>
        </w:rPr>
        <w:t xml:space="preserve">El contrato y, en su caso, sus anexos; </w:t>
      </w:r>
    </w:p>
    <w:p w:rsidR="009B5C01" w:rsidRDefault="00CB2DC6">
      <w:pPr>
        <w:spacing w:line="360" w:lineRule="auto"/>
        <w:ind w:left="1134" w:right="851"/>
        <w:jc w:val="both"/>
        <w:rPr>
          <w:rFonts w:ascii="Palatino Linotype" w:eastAsia="Palatino Linotype" w:hAnsi="Palatino Linotype" w:cs="Palatino Linotype"/>
          <w:i/>
        </w:rPr>
      </w:pPr>
      <w:r>
        <w:rPr>
          <w:rFonts w:ascii="Palatino Linotype" w:eastAsia="Palatino Linotype" w:hAnsi="Palatino Linotype" w:cs="Palatino Linotype"/>
          <w:i/>
        </w:rPr>
        <w:t xml:space="preserve">8) Los mecanismos de vigilancia y supervisión, incluyendo en su caso, los estudios de impacto urbano y ambiental, según corresponda; </w:t>
      </w:r>
    </w:p>
    <w:p w:rsidR="009B5C01" w:rsidRDefault="00CB2DC6">
      <w:pPr>
        <w:spacing w:line="360" w:lineRule="auto"/>
        <w:ind w:left="1134" w:right="851"/>
        <w:jc w:val="both"/>
        <w:rPr>
          <w:rFonts w:ascii="Palatino Linotype" w:eastAsia="Palatino Linotype" w:hAnsi="Palatino Linotype" w:cs="Palatino Linotype"/>
          <w:i/>
        </w:rPr>
      </w:pPr>
      <w:r>
        <w:rPr>
          <w:rFonts w:ascii="Palatino Linotype" w:eastAsia="Palatino Linotype" w:hAnsi="Palatino Linotype" w:cs="Palatino Linotype"/>
          <w:i/>
        </w:rPr>
        <w:t xml:space="preserve">9) La partida presupuestal, de conformidad con el clasificador por objeto del gasto, en el caso de ser aplicable; </w:t>
      </w:r>
    </w:p>
    <w:p w:rsidR="009B5C01" w:rsidRDefault="00CB2DC6">
      <w:pPr>
        <w:spacing w:line="360" w:lineRule="auto"/>
        <w:ind w:left="1134" w:right="851"/>
        <w:jc w:val="both"/>
        <w:rPr>
          <w:rFonts w:ascii="Palatino Linotype" w:eastAsia="Palatino Linotype" w:hAnsi="Palatino Linotype" w:cs="Palatino Linotype"/>
          <w:i/>
        </w:rPr>
      </w:pPr>
      <w:r>
        <w:rPr>
          <w:rFonts w:ascii="Palatino Linotype" w:eastAsia="Palatino Linotype" w:hAnsi="Palatino Linotype" w:cs="Palatino Linotype"/>
          <w:i/>
        </w:rPr>
        <w:t xml:space="preserve">10) Origen de los recursos especificando si son federales, estatales o municipales, así como el tipo de fondo de participación o aportación respectiva; </w:t>
      </w:r>
    </w:p>
    <w:p w:rsidR="009B5C01" w:rsidRDefault="00CB2DC6">
      <w:pPr>
        <w:spacing w:line="360" w:lineRule="auto"/>
        <w:ind w:left="1134" w:right="851"/>
        <w:jc w:val="both"/>
        <w:rPr>
          <w:rFonts w:ascii="Palatino Linotype" w:eastAsia="Palatino Linotype" w:hAnsi="Palatino Linotype" w:cs="Palatino Linotype"/>
          <w:i/>
        </w:rPr>
      </w:pPr>
      <w:r>
        <w:rPr>
          <w:rFonts w:ascii="Palatino Linotype" w:eastAsia="Palatino Linotype" w:hAnsi="Palatino Linotype" w:cs="Palatino Linotype"/>
          <w:i/>
        </w:rPr>
        <w:t>11) Los convenios modificatorios que, en su caso, sean firmados, precisando el objeto y la fecha de celebración;</w:t>
      </w:r>
    </w:p>
    <w:p w:rsidR="009B5C01" w:rsidRDefault="00CB2DC6">
      <w:pPr>
        <w:spacing w:line="360" w:lineRule="auto"/>
        <w:ind w:left="1134" w:right="851"/>
        <w:jc w:val="both"/>
        <w:rPr>
          <w:rFonts w:ascii="Palatino Linotype" w:eastAsia="Palatino Linotype" w:hAnsi="Palatino Linotype" w:cs="Palatino Linotype"/>
          <w:i/>
          <w:u w:val="single"/>
        </w:rPr>
      </w:pPr>
      <w:r>
        <w:rPr>
          <w:rFonts w:ascii="Palatino Linotype" w:eastAsia="Palatino Linotype" w:hAnsi="Palatino Linotype" w:cs="Palatino Linotype"/>
          <w:i/>
          <w:u w:val="single"/>
        </w:rPr>
        <w:t xml:space="preserve">12) Los informes de avance físico y financiero sobre las obras o servicios contratados; </w:t>
      </w:r>
    </w:p>
    <w:p w:rsidR="009B5C01" w:rsidRDefault="00CB2DC6">
      <w:pPr>
        <w:spacing w:line="360" w:lineRule="auto"/>
        <w:ind w:left="1134" w:right="851"/>
        <w:jc w:val="both"/>
        <w:rPr>
          <w:rFonts w:ascii="Palatino Linotype" w:eastAsia="Palatino Linotype" w:hAnsi="Palatino Linotype" w:cs="Palatino Linotype"/>
          <w:i/>
          <w:u w:val="single"/>
        </w:rPr>
      </w:pPr>
      <w:r>
        <w:rPr>
          <w:rFonts w:ascii="Palatino Linotype" w:eastAsia="Palatino Linotype" w:hAnsi="Palatino Linotype" w:cs="Palatino Linotype"/>
          <w:i/>
          <w:u w:val="single"/>
        </w:rPr>
        <w:t xml:space="preserve">13) El convenio de terminación; y </w:t>
      </w:r>
    </w:p>
    <w:p w:rsidR="009B5C01" w:rsidRDefault="00CB2DC6">
      <w:pPr>
        <w:spacing w:line="360" w:lineRule="auto"/>
        <w:ind w:left="1134" w:right="851"/>
        <w:jc w:val="both"/>
        <w:rPr>
          <w:rFonts w:ascii="Palatino Linotype" w:eastAsia="Palatino Linotype" w:hAnsi="Palatino Linotype" w:cs="Palatino Linotype"/>
          <w:i/>
        </w:rPr>
      </w:pPr>
      <w:r>
        <w:rPr>
          <w:rFonts w:ascii="Palatino Linotype" w:eastAsia="Palatino Linotype" w:hAnsi="Palatino Linotype" w:cs="Palatino Linotype"/>
          <w:i/>
        </w:rPr>
        <w:t xml:space="preserve">14) El finiquito. </w:t>
      </w:r>
    </w:p>
    <w:p w:rsidR="009B5C01" w:rsidRDefault="00CB2DC6">
      <w:pPr>
        <w:spacing w:line="360" w:lineRule="auto"/>
        <w:ind w:left="1134" w:right="851"/>
        <w:jc w:val="both"/>
        <w:rPr>
          <w:rFonts w:ascii="Palatino Linotype" w:eastAsia="Palatino Linotype" w:hAnsi="Palatino Linotype" w:cs="Palatino Linotype"/>
          <w:b/>
          <w:i/>
          <w:u w:val="single"/>
        </w:rPr>
      </w:pPr>
      <w:r>
        <w:rPr>
          <w:rFonts w:ascii="Palatino Linotype" w:eastAsia="Palatino Linotype" w:hAnsi="Palatino Linotype" w:cs="Palatino Linotype"/>
          <w:b/>
          <w:i/>
          <w:u w:val="single"/>
        </w:rPr>
        <w:t xml:space="preserve">b) De las adjudicaciones directas: </w:t>
      </w:r>
    </w:p>
    <w:p w:rsidR="009B5C01" w:rsidRDefault="00CB2DC6">
      <w:pPr>
        <w:spacing w:line="360" w:lineRule="auto"/>
        <w:ind w:left="1134" w:right="851"/>
        <w:jc w:val="both"/>
        <w:rPr>
          <w:rFonts w:ascii="Palatino Linotype" w:eastAsia="Palatino Linotype" w:hAnsi="Palatino Linotype" w:cs="Palatino Linotype"/>
          <w:i/>
        </w:rPr>
      </w:pPr>
      <w:r>
        <w:rPr>
          <w:rFonts w:ascii="Palatino Linotype" w:eastAsia="Palatino Linotype" w:hAnsi="Palatino Linotype" w:cs="Palatino Linotype"/>
          <w:i/>
        </w:rPr>
        <w:t xml:space="preserve">1) La propuesta enviada por el participante; </w:t>
      </w:r>
    </w:p>
    <w:p w:rsidR="009B5C01" w:rsidRDefault="00CB2DC6">
      <w:pPr>
        <w:spacing w:line="360" w:lineRule="auto"/>
        <w:ind w:left="1134" w:right="851"/>
        <w:jc w:val="both"/>
        <w:rPr>
          <w:rFonts w:ascii="Palatino Linotype" w:eastAsia="Palatino Linotype" w:hAnsi="Palatino Linotype" w:cs="Palatino Linotype"/>
          <w:i/>
        </w:rPr>
      </w:pPr>
      <w:r>
        <w:rPr>
          <w:rFonts w:ascii="Palatino Linotype" w:eastAsia="Palatino Linotype" w:hAnsi="Palatino Linotype" w:cs="Palatino Linotype"/>
          <w:i/>
        </w:rPr>
        <w:t xml:space="preserve">2) Los motivos y fundamentos legales aplicados para llevarla a cabo; </w:t>
      </w:r>
    </w:p>
    <w:p w:rsidR="009B5C01" w:rsidRDefault="00CB2DC6">
      <w:pPr>
        <w:spacing w:line="360" w:lineRule="auto"/>
        <w:ind w:left="1134" w:right="851"/>
        <w:jc w:val="both"/>
        <w:rPr>
          <w:rFonts w:ascii="Palatino Linotype" w:eastAsia="Palatino Linotype" w:hAnsi="Palatino Linotype" w:cs="Palatino Linotype"/>
          <w:i/>
        </w:rPr>
      </w:pPr>
      <w:r>
        <w:rPr>
          <w:rFonts w:ascii="Palatino Linotype" w:eastAsia="Palatino Linotype" w:hAnsi="Palatino Linotype" w:cs="Palatino Linotype"/>
          <w:i/>
        </w:rPr>
        <w:t xml:space="preserve">3) La autorización del ejercicio de la opción; </w:t>
      </w:r>
    </w:p>
    <w:p w:rsidR="009B5C01" w:rsidRDefault="00CB2DC6">
      <w:pPr>
        <w:spacing w:line="360" w:lineRule="auto"/>
        <w:ind w:left="1134" w:right="851"/>
        <w:jc w:val="both"/>
        <w:rPr>
          <w:rFonts w:ascii="Palatino Linotype" w:eastAsia="Palatino Linotype" w:hAnsi="Palatino Linotype" w:cs="Palatino Linotype"/>
          <w:i/>
        </w:rPr>
      </w:pPr>
      <w:r>
        <w:rPr>
          <w:rFonts w:ascii="Palatino Linotype" w:eastAsia="Palatino Linotype" w:hAnsi="Palatino Linotype" w:cs="Palatino Linotype"/>
          <w:i/>
        </w:rPr>
        <w:t xml:space="preserve">4) En su caso, las cotizaciones consideradas, especificando los nombres de los proveedores y sus montos; </w:t>
      </w:r>
    </w:p>
    <w:p w:rsidR="009B5C01" w:rsidRDefault="00CB2DC6">
      <w:pPr>
        <w:spacing w:line="360" w:lineRule="auto"/>
        <w:ind w:left="1134" w:right="851"/>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5) El nombre de la persona física o jurídica colectiva adjudicada; </w:t>
      </w:r>
    </w:p>
    <w:p w:rsidR="009B5C01" w:rsidRDefault="00CB2DC6">
      <w:pPr>
        <w:spacing w:line="360" w:lineRule="auto"/>
        <w:ind w:left="1134" w:right="851"/>
        <w:jc w:val="both"/>
        <w:rPr>
          <w:rFonts w:ascii="Palatino Linotype" w:eastAsia="Palatino Linotype" w:hAnsi="Palatino Linotype" w:cs="Palatino Linotype"/>
          <w:i/>
        </w:rPr>
      </w:pPr>
      <w:r>
        <w:rPr>
          <w:rFonts w:ascii="Palatino Linotype" w:eastAsia="Palatino Linotype" w:hAnsi="Palatino Linotype" w:cs="Palatino Linotype"/>
          <w:i/>
        </w:rPr>
        <w:t xml:space="preserve">6) La unidad administrativa solicitante y la responsable de su ejecución; </w:t>
      </w:r>
    </w:p>
    <w:p w:rsidR="009B5C01" w:rsidRDefault="00CB2DC6">
      <w:pPr>
        <w:spacing w:line="360" w:lineRule="auto"/>
        <w:ind w:left="1134" w:right="851"/>
        <w:jc w:val="both"/>
        <w:rPr>
          <w:rFonts w:ascii="Palatino Linotype" w:eastAsia="Palatino Linotype" w:hAnsi="Palatino Linotype" w:cs="Palatino Linotype"/>
          <w:i/>
        </w:rPr>
      </w:pPr>
      <w:r>
        <w:rPr>
          <w:rFonts w:ascii="Palatino Linotype" w:eastAsia="Palatino Linotype" w:hAnsi="Palatino Linotype" w:cs="Palatino Linotype"/>
          <w:i/>
        </w:rPr>
        <w:t xml:space="preserve">7) El número, fecha, el monto del contrato y el plazo de entrega o de ejecución de los servicios u obra; </w:t>
      </w:r>
    </w:p>
    <w:p w:rsidR="009B5C01" w:rsidRDefault="00CB2DC6">
      <w:pPr>
        <w:spacing w:line="360" w:lineRule="auto"/>
        <w:ind w:left="1134" w:right="851"/>
        <w:jc w:val="both"/>
        <w:rPr>
          <w:rFonts w:ascii="Palatino Linotype" w:eastAsia="Palatino Linotype" w:hAnsi="Palatino Linotype" w:cs="Palatino Linotype"/>
          <w:i/>
        </w:rPr>
      </w:pPr>
      <w:r>
        <w:rPr>
          <w:rFonts w:ascii="Palatino Linotype" w:eastAsia="Palatino Linotype" w:hAnsi="Palatino Linotype" w:cs="Palatino Linotype"/>
          <w:i/>
        </w:rPr>
        <w:t xml:space="preserve">8) Los mecanismos de vigilancia y supervisión, incluyendo, en su caso, los estudios de impacto urbano y ambiental, según corresponda; </w:t>
      </w:r>
    </w:p>
    <w:p w:rsidR="009B5C01" w:rsidRDefault="00CB2DC6">
      <w:pPr>
        <w:spacing w:line="360" w:lineRule="auto"/>
        <w:ind w:left="1134" w:right="851"/>
        <w:jc w:val="both"/>
        <w:rPr>
          <w:rFonts w:ascii="Palatino Linotype" w:eastAsia="Palatino Linotype" w:hAnsi="Palatino Linotype" w:cs="Palatino Linotype"/>
          <w:i/>
          <w:u w:val="single"/>
        </w:rPr>
      </w:pPr>
      <w:r>
        <w:rPr>
          <w:rFonts w:ascii="Palatino Linotype" w:eastAsia="Palatino Linotype" w:hAnsi="Palatino Linotype" w:cs="Palatino Linotype"/>
          <w:i/>
          <w:u w:val="single"/>
        </w:rPr>
        <w:t xml:space="preserve">9) Los informes de avance sobre las obras o servicios contratados; </w:t>
      </w:r>
    </w:p>
    <w:p w:rsidR="009B5C01" w:rsidRDefault="00CB2DC6">
      <w:pPr>
        <w:spacing w:line="360" w:lineRule="auto"/>
        <w:ind w:left="1134" w:right="851"/>
        <w:jc w:val="both"/>
        <w:rPr>
          <w:rFonts w:ascii="Palatino Linotype" w:eastAsia="Palatino Linotype" w:hAnsi="Palatino Linotype" w:cs="Palatino Linotype"/>
          <w:i/>
          <w:u w:val="single"/>
        </w:rPr>
      </w:pPr>
      <w:r>
        <w:rPr>
          <w:rFonts w:ascii="Palatino Linotype" w:eastAsia="Palatino Linotype" w:hAnsi="Palatino Linotype" w:cs="Palatino Linotype"/>
          <w:i/>
          <w:u w:val="single"/>
        </w:rPr>
        <w:t xml:space="preserve">10) El convenio de terminación; y </w:t>
      </w:r>
    </w:p>
    <w:p w:rsidR="009B5C01" w:rsidRDefault="00CB2DC6">
      <w:pPr>
        <w:spacing w:line="360" w:lineRule="auto"/>
        <w:ind w:left="1134" w:right="851"/>
        <w:jc w:val="both"/>
        <w:rPr>
          <w:rFonts w:ascii="Palatino Linotype" w:eastAsia="Palatino Linotype" w:hAnsi="Palatino Linotype" w:cs="Palatino Linotype"/>
          <w:i/>
        </w:rPr>
      </w:pPr>
      <w:r>
        <w:rPr>
          <w:rFonts w:ascii="Palatino Linotype" w:eastAsia="Palatino Linotype" w:hAnsi="Palatino Linotype" w:cs="Palatino Linotype"/>
          <w:i/>
        </w:rPr>
        <w:t>11) El finiquito.</w:t>
      </w:r>
    </w:p>
    <w:p w:rsidR="009B5C01" w:rsidRDefault="00CB2DC6">
      <w:pPr>
        <w:spacing w:line="360" w:lineRule="auto"/>
        <w:ind w:left="1134" w:right="851"/>
        <w:jc w:val="both"/>
        <w:rPr>
          <w:rFonts w:ascii="Palatino Linotype" w:eastAsia="Palatino Linotype" w:hAnsi="Palatino Linotype" w:cs="Palatino Linotype"/>
          <w:b/>
          <w:i/>
        </w:rPr>
      </w:pPr>
      <w:r>
        <w:rPr>
          <w:rFonts w:ascii="Palatino Linotype" w:eastAsia="Palatino Linotype" w:hAnsi="Palatino Linotype" w:cs="Palatino Linotype"/>
          <w:i/>
        </w:rPr>
        <w:t xml:space="preserve">(…)” </w:t>
      </w:r>
      <w:r>
        <w:rPr>
          <w:rFonts w:ascii="Palatino Linotype" w:eastAsia="Palatino Linotype" w:hAnsi="Palatino Linotype" w:cs="Palatino Linotype"/>
          <w:b/>
          <w:i/>
        </w:rPr>
        <w:t>[Sic]</w:t>
      </w:r>
    </w:p>
    <w:p w:rsidR="009B5C01" w:rsidRDefault="009B5C01">
      <w:pPr>
        <w:spacing w:line="360" w:lineRule="auto"/>
        <w:jc w:val="both"/>
        <w:rPr>
          <w:rFonts w:ascii="Palatino Linotype" w:eastAsia="Palatino Linotype" w:hAnsi="Palatino Linotype" w:cs="Palatino Linotype"/>
        </w:rPr>
      </w:pPr>
    </w:p>
    <w:p w:rsidR="009B5C01" w:rsidRDefault="00CB2DC6">
      <w:pPr>
        <w:numPr>
          <w:ilvl w:val="0"/>
          <w:numId w:val="11"/>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Dentro de los mismos, pueden obrar datos personales susceptibles de clasificarse como lo son, la clave de elector, teléfono particular, correo electrónico personal Clave Única de Registro de Población (CURP), numero de pasaporte, cuenta bancaria del proveedor, banco y sucursal del proveedor, clave interbancaria del proveedor, es así que, por lo que hace </w:t>
      </w:r>
      <w:r>
        <w:rPr>
          <w:rFonts w:ascii="Palatino Linotype" w:eastAsia="Palatino Linotype" w:hAnsi="Palatino Linotype" w:cs="Palatino Linotype"/>
          <w:b/>
        </w:rPr>
        <w:t xml:space="preserve">al nombre del servidor público, nombre, denominación o razón social del proveedor, nombre del apoderado o representante legal, domicilio fiscal, teléfono empresarial o institucional, firmas, y RFC se consideran datos personales públicos. </w:t>
      </w:r>
    </w:p>
    <w:p w:rsidR="009B5C01" w:rsidRDefault="009B5C01">
      <w:pPr>
        <w:ind w:left="720"/>
        <w:rPr>
          <w:rFonts w:ascii="Palatino Linotype" w:eastAsia="Palatino Linotype" w:hAnsi="Palatino Linotype" w:cs="Palatino Linotype"/>
        </w:rPr>
      </w:pPr>
    </w:p>
    <w:p w:rsidR="009B5C01" w:rsidRDefault="00CB2DC6">
      <w:pPr>
        <w:numPr>
          <w:ilvl w:val="0"/>
          <w:numId w:val="11"/>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Cobra sustento lo anterior, con el criterio 01/19 reiterado vigente del INAI, que refiere lo siguiente:</w:t>
      </w:r>
    </w:p>
    <w:p w:rsidR="009B5C01" w:rsidRDefault="009B5C01">
      <w:pPr>
        <w:ind w:left="1134" w:right="900"/>
        <w:jc w:val="both"/>
        <w:rPr>
          <w:rFonts w:ascii="Palatino Linotype" w:eastAsia="Palatino Linotype" w:hAnsi="Palatino Linotype" w:cs="Palatino Linotype"/>
          <w:i/>
        </w:rPr>
      </w:pPr>
    </w:p>
    <w:p w:rsidR="009B5C01" w:rsidRDefault="00CB2DC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Datos de identificación del representante o apoderado legal.</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 xml:space="preserve">Naturaleza jurídica. </w:t>
      </w:r>
      <w:r>
        <w:rPr>
          <w:rFonts w:ascii="Palatino Linotype" w:eastAsia="Palatino Linotype" w:hAnsi="Palatino Linotype" w:cs="Palatino Linotype"/>
          <w:i/>
          <w:sz w:val="22"/>
          <w:szCs w:val="22"/>
        </w:rPr>
        <w:t>El nombre, la firma y la rúbrica de una persona física, que actúe como representante o apoderado legal de un tercero que haya celebrado un acto jurídico, con algún sujeto obligado, es información pública, en razón de que tales datos fueron proporcionados con el objeto de expresar el consentimiento obligacional del tercero y otorgar validez a dicho instrumento jurídico.</w:t>
      </w:r>
    </w:p>
    <w:p w:rsidR="009B5C01" w:rsidRDefault="009B5C01">
      <w:pPr>
        <w:ind w:left="1134" w:right="900"/>
        <w:jc w:val="both"/>
        <w:rPr>
          <w:rFonts w:ascii="Palatino Linotype" w:eastAsia="Palatino Linotype" w:hAnsi="Palatino Linotype" w:cs="Palatino Linotype"/>
          <w:i/>
          <w:color w:val="000000"/>
          <w:sz w:val="22"/>
          <w:szCs w:val="22"/>
        </w:rPr>
      </w:pPr>
    </w:p>
    <w:p w:rsidR="009B5C01" w:rsidRDefault="00CB2DC6">
      <w:pPr>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Precedentes:</w:t>
      </w:r>
    </w:p>
    <w:p w:rsidR="009B5C01" w:rsidRDefault="00CB2DC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Acceso a la información pública. RRA 3104/16. Sesión del 01 de noviembre del 2016. Votación por unanimidad. Sin votos disidentes o particulares. Secretaría de la Defensa Nacional. Comisionado Ponente Oscar Mauricio Guerra Ford.</w:t>
      </w:r>
    </w:p>
    <w:p w:rsidR="009B5C01" w:rsidRDefault="00CB2DC6">
      <w:pPr>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Acceso a la información pública. RRA 2923/16. Sesión del 13 de diciembre de 2016. Votación por unanimidad. Sin votos disidentes o particulares. Administración Portuaria Integral de Lázaro Cárdenas, S.A. de C.V. Comisionada Ponente María Patricia Kurczyn Villalobos.</w:t>
      </w:r>
    </w:p>
    <w:p w:rsidR="009B5C01" w:rsidRDefault="00CB2DC6">
      <w:pPr>
        <w:tabs>
          <w:tab w:val="left" w:pos="7371"/>
        </w:tabs>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Acceso a la información pública. RRA 2855/17. Sesión del 14 de junio de 2017. Votación por unanimidad. Con votos particulares de la Comisionada Areli Cano Guadiana y el Comisionado Oscar Mauricio Guerra Ford. Comisión Nacional de Hidrocarburos. Comisionada Ponente Ximena Puente de la Mora.</w:t>
      </w:r>
    </w:p>
    <w:p w:rsidR="009B5C01" w:rsidRDefault="009B5C01">
      <w:pPr>
        <w:ind w:left="1134" w:right="900"/>
        <w:jc w:val="both"/>
        <w:rPr>
          <w:rFonts w:ascii="Arial" w:eastAsia="Arial" w:hAnsi="Arial" w:cs="Arial"/>
          <w:i/>
          <w:color w:val="000000"/>
        </w:rPr>
      </w:pPr>
    </w:p>
    <w:p w:rsidR="009B5C01" w:rsidRDefault="009B5C01">
      <w:pPr>
        <w:ind w:left="720"/>
        <w:rPr>
          <w:rFonts w:ascii="Palatino Linotype" w:eastAsia="Palatino Linotype" w:hAnsi="Palatino Linotype" w:cs="Palatino Linotype"/>
          <w:i/>
        </w:rPr>
      </w:pPr>
    </w:p>
    <w:p w:rsidR="009B5C01" w:rsidRDefault="00CB2DC6">
      <w:pPr>
        <w:numPr>
          <w:ilvl w:val="0"/>
          <w:numId w:val="11"/>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Respecto de los </w:t>
      </w:r>
      <w:r>
        <w:rPr>
          <w:rFonts w:ascii="Palatino Linotype" w:eastAsia="Palatino Linotype" w:hAnsi="Palatino Linotype" w:cs="Palatino Linotype"/>
          <w:b/>
        </w:rPr>
        <w:t>Comprobantes Fiscales Digitales</w:t>
      </w:r>
      <w:r>
        <w:rPr>
          <w:rFonts w:ascii="Palatino Linotype" w:eastAsia="Palatino Linotype" w:hAnsi="Palatino Linotype" w:cs="Palatino Linotype"/>
        </w:rPr>
        <w:t xml:space="preserve"> son documentos electrónicos que permiten comprobar las operaciones realizadas entre los contribuyentes, bajo estándares tecnológicos y de seguridad internacionalmente reconocidos. Consulta los requisitos, obligaciones e información adicional en Contenidos Relacionados, su contenido es considerado información de naturaleza pública, sirve de sustento por analogía, los criterios 01/2003 y 02/2003 emitidos por el Comité de Acceso a la Información Pública y Protección de Datos Personales de la Suprema Corte de Justicia de la Nación que a continuación se citan: </w:t>
      </w:r>
    </w:p>
    <w:p w:rsidR="009B5C01" w:rsidRDefault="00CB2DC6">
      <w:pPr>
        <w:widowControl w:val="0"/>
        <w:tabs>
          <w:tab w:val="left" w:pos="1276"/>
        </w:tabs>
        <w:spacing w:before="240" w:after="280"/>
        <w:ind w:left="1134"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r>
        <w:rPr>
          <w:rFonts w:ascii="Palatino Linotype" w:eastAsia="Palatino Linotype" w:hAnsi="Palatino Linotype" w:cs="Palatino Linotype"/>
          <w:b/>
          <w:i/>
          <w:sz w:val="22"/>
          <w:szCs w:val="22"/>
        </w:rPr>
        <w:t>Criterio 01/2003. INGRESOS DE LOS SERVIDORES PÚBLICOS. CONSTITUYEN INFORMACIÓN PÚBLICA AÚN Y CUANDO SU DIFUSIÓN PUEDE AFECTAR LA VIDA O LA SEGURIDAD DE AQUELLOS.</w:t>
      </w:r>
      <w:r>
        <w:rPr>
          <w:rFonts w:ascii="Palatino Linotype" w:eastAsia="Palatino Linotype" w:hAnsi="Palatino Linotype" w:cs="Palatino Linotype"/>
          <w:i/>
          <w:sz w:val="22"/>
          <w:szCs w:val="22"/>
        </w:rPr>
        <w:t xml:space="preserve"> 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 </w:t>
      </w:r>
    </w:p>
    <w:p w:rsidR="009B5C01" w:rsidRDefault="00CB2DC6">
      <w:pPr>
        <w:widowControl w:val="0"/>
        <w:tabs>
          <w:tab w:val="left" w:pos="1276"/>
        </w:tabs>
        <w:spacing w:before="240" w:after="280"/>
        <w:ind w:left="1134"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Criterio 02/2003. INGRESOS DE LOS SERVIDORES PÚBLICOS, SON INFORMACIÓN PÚBLICA AÚN Y CUANDO CONSTITUYEN DATOS PERSONALES QUE SE REFIEREN AL PATRIMONIO DE AQUÉLLOS.</w:t>
      </w:r>
      <w:r>
        <w:rPr>
          <w:rFonts w:ascii="Palatino Linotype" w:eastAsia="Palatino Linotype" w:hAnsi="Palatino Linotype" w:cs="Palatino Linotype"/>
          <w:i/>
          <w:sz w:val="22"/>
          <w:szCs w:val="22"/>
        </w:rPr>
        <w:t xml:space="preserve"> 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 el sistema de compensación…” [Sic]</w:t>
      </w:r>
    </w:p>
    <w:p w:rsidR="009B5C01" w:rsidRDefault="00CB2DC6">
      <w:pPr>
        <w:numPr>
          <w:ilvl w:val="0"/>
          <w:numId w:val="11"/>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Luego entonces, se puede concluir que la información  requerida es de carácter público y procede su entrega. </w:t>
      </w:r>
    </w:p>
    <w:p w:rsidR="009B5C01" w:rsidRDefault="009B5C01">
      <w:pPr>
        <w:spacing w:line="360" w:lineRule="auto"/>
        <w:jc w:val="both"/>
        <w:rPr>
          <w:rFonts w:ascii="Palatino Linotype" w:eastAsia="Palatino Linotype" w:hAnsi="Palatino Linotype" w:cs="Palatino Linotype"/>
        </w:rPr>
      </w:pPr>
    </w:p>
    <w:p w:rsidR="009B5C01" w:rsidRDefault="00CB2DC6">
      <w:pPr>
        <w:numPr>
          <w:ilvl w:val="0"/>
          <w:numId w:val="11"/>
        </w:numPr>
        <w:spacing w:line="360" w:lineRule="auto"/>
        <w:ind w:left="0" w:firstLine="0"/>
        <w:jc w:val="both"/>
        <w:rPr>
          <w:rFonts w:ascii="Palatino Linotype" w:eastAsia="Palatino Linotype" w:hAnsi="Palatino Linotype" w:cs="Palatino Linotype"/>
          <w:b/>
          <w:i/>
          <w:u w:val="single"/>
        </w:rPr>
      </w:pPr>
      <w:r>
        <w:rPr>
          <w:rFonts w:ascii="Palatino Linotype" w:eastAsia="Palatino Linotype" w:hAnsi="Palatino Linotype" w:cs="Palatino Linotype"/>
          <w:b/>
          <w:i/>
          <w:u w:val="single"/>
        </w:rPr>
        <w:t xml:space="preserve">Del Folio fiscal, Número de serie CSD del emisor, Sello digital del contribuyente emisor, Número de serie del CSD del SAT, Sello digital del SA y Cadena original de complemento de certificación digital SAT. </w:t>
      </w:r>
    </w:p>
    <w:p w:rsidR="009B5C01" w:rsidRDefault="009B5C01">
      <w:pPr>
        <w:spacing w:line="360" w:lineRule="auto"/>
        <w:jc w:val="both"/>
        <w:rPr>
          <w:rFonts w:ascii="Palatino Linotype" w:eastAsia="Palatino Linotype" w:hAnsi="Palatino Linotype" w:cs="Palatino Linotype"/>
          <w:b/>
          <w:i/>
          <w:u w:val="single"/>
        </w:rPr>
      </w:pPr>
    </w:p>
    <w:p w:rsidR="009B5C01" w:rsidRDefault="00CB2DC6">
      <w:pPr>
        <w:numPr>
          <w:ilvl w:val="0"/>
          <w:numId w:val="11"/>
        </w:numPr>
        <w:spacing w:line="360" w:lineRule="auto"/>
        <w:ind w:left="0" w:firstLine="0"/>
        <w:jc w:val="both"/>
        <w:rPr>
          <w:rFonts w:ascii="Palatino Linotype" w:eastAsia="Palatino Linotype" w:hAnsi="Palatino Linotype" w:cs="Palatino Linotype"/>
        </w:rPr>
      </w:pPr>
      <w:bookmarkStart w:id="14" w:name="_heading=h.2z9jwqn7dp2n" w:colFirst="0" w:colLast="0"/>
      <w:bookmarkEnd w:id="14"/>
      <w:r>
        <w:rPr>
          <w:rFonts w:ascii="Palatino Linotype" w:eastAsia="Palatino Linotype" w:hAnsi="Palatino Linotype" w:cs="Palatino Linotype"/>
        </w:rPr>
        <w:t xml:space="preserve">De conformidad con la regla 2.7.1.7 de Resolución Miscelánea Fiscal para 2019, para los efectos del artículo 29 segundo párrafo fracción V del Código Fiscal de la Federación, las representaciones impresas del Comprobante Fiscal Digital por Internet o CFDI, deben cumplir con los requisitos señalados en el artículo 29-A del Código Fiscal de la Federación, y contener lo siguiente: </w:t>
      </w:r>
    </w:p>
    <w:p w:rsidR="009B5C01" w:rsidRDefault="009B5C01">
      <w:pPr>
        <w:spacing w:line="360" w:lineRule="auto"/>
        <w:jc w:val="both"/>
        <w:rPr>
          <w:rFonts w:ascii="Palatino Linotype" w:eastAsia="Palatino Linotype" w:hAnsi="Palatino Linotype" w:cs="Palatino Linotype"/>
        </w:rPr>
      </w:pPr>
    </w:p>
    <w:p w:rsidR="009B5C01" w:rsidRDefault="00CB2DC6">
      <w:pPr>
        <w:ind w:left="1134" w:right="899"/>
        <w:jc w:val="both"/>
        <w:rPr>
          <w:rFonts w:ascii="Palatino Linotype" w:eastAsia="Palatino Linotype" w:hAnsi="Palatino Linotype" w:cs="Palatino Linotype"/>
          <w:i/>
          <w:sz w:val="22"/>
          <w:szCs w:val="22"/>
        </w:rPr>
      </w:pPr>
      <w:bookmarkStart w:id="15" w:name="_heading=h.jn7wityzmbc9" w:colFirst="0" w:colLast="0"/>
      <w:bookmarkEnd w:id="15"/>
      <w:r>
        <w:rPr>
          <w:rFonts w:ascii="Palatino Linotype" w:eastAsia="Palatino Linotype" w:hAnsi="Palatino Linotype" w:cs="Palatino Linotype"/>
          <w:i/>
          <w:sz w:val="22"/>
          <w:szCs w:val="22"/>
        </w:rPr>
        <w:t>“I. Código de barras generado conforme a la especificación técnica que se establece en el rubro I.D del Anexo 20 o el número de folio fiscal del comprobante.</w:t>
      </w:r>
    </w:p>
    <w:p w:rsidR="009B5C01" w:rsidRDefault="00CB2DC6">
      <w:pPr>
        <w:ind w:left="1134" w:right="899"/>
        <w:jc w:val="both"/>
        <w:rPr>
          <w:rFonts w:ascii="Palatino Linotype" w:eastAsia="Palatino Linotype" w:hAnsi="Palatino Linotype" w:cs="Palatino Linotype"/>
          <w:i/>
          <w:sz w:val="22"/>
          <w:szCs w:val="22"/>
        </w:rPr>
      </w:pPr>
      <w:bookmarkStart w:id="16" w:name="_heading=h.t35j6so4838j" w:colFirst="0" w:colLast="0"/>
      <w:bookmarkEnd w:id="16"/>
      <w:r>
        <w:rPr>
          <w:rFonts w:ascii="Palatino Linotype" w:eastAsia="Palatino Linotype" w:hAnsi="Palatino Linotype" w:cs="Palatino Linotype"/>
          <w:i/>
          <w:sz w:val="22"/>
          <w:szCs w:val="22"/>
        </w:rPr>
        <w:t xml:space="preserve">II. Número de serie del CSD del emisor y del SAT, que establecen los rubros I.A y III.B del Anexo 20. </w:t>
      </w:r>
    </w:p>
    <w:p w:rsidR="009B5C01" w:rsidRDefault="00CB2DC6">
      <w:pPr>
        <w:ind w:left="1134" w:right="899"/>
        <w:jc w:val="both"/>
        <w:rPr>
          <w:rFonts w:ascii="Palatino Linotype" w:eastAsia="Palatino Linotype" w:hAnsi="Palatino Linotype" w:cs="Palatino Linotype"/>
          <w:i/>
          <w:sz w:val="22"/>
          <w:szCs w:val="22"/>
        </w:rPr>
      </w:pPr>
      <w:bookmarkStart w:id="17" w:name="_heading=h.ofsgmw2ltcti" w:colFirst="0" w:colLast="0"/>
      <w:bookmarkEnd w:id="17"/>
      <w:r>
        <w:rPr>
          <w:rFonts w:ascii="Palatino Linotype" w:eastAsia="Palatino Linotype" w:hAnsi="Palatino Linotype" w:cs="Palatino Linotype"/>
          <w:i/>
          <w:sz w:val="22"/>
          <w:szCs w:val="22"/>
        </w:rPr>
        <w:t xml:space="preserve">III. La leyenda: “Este documento es una representación impresa de un CFDI” </w:t>
      </w:r>
    </w:p>
    <w:p w:rsidR="009B5C01" w:rsidRDefault="00CB2DC6">
      <w:pPr>
        <w:ind w:left="1134" w:right="899"/>
        <w:jc w:val="both"/>
        <w:rPr>
          <w:rFonts w:ascii="Palatino Linotype" w:eastAsia="Palatino Linotype" w:hAnsi="Palatino Linotype" w:cs="Palatino Linotype"/>
          <w:i/>
          <w:sz w:val="22"/>
          <w:szCs w:val="22"/>
        </w:rPr>
      </w:pPr>
      <w:bookmarkStart w:id="18" w:name="_heading=h.6md85qnj95ht" w:colFirst="0" w:colLast="0"/>
      <w:bookmarkEnd w:id="18"/>
      <w:r>
        <w:rPr>
          <w:rFonts w:ascii="Palatino Linotype" w:eastAsia="Palatino Linotype" w:hAnsi="Palatino Linotype" w:cs="Palatino Linotype"/>
          <w:i/>
          <w:sz w:val="22"/>
          <w:szCs w:val="22"/>
        </w:rPr>
        <w:t xml:space="preserve">IV. Fecha y hora de emisión y de certificación del CFDI en adición a lo señalado en el artículo 29- A, fracción III del CFF. </w:t>
      </w:r>
    </w:p>
    <w:p w:rsidR="009B5C01" w:rsidRDefault="00CB2DC6">
      <w:pPr>
        <w:ind w:left="1134" w:right="899"/>
        <w:jc w:val="both"/>
        <w:rPr>
          <w:rFonts w:ascii="Palatino Linotype" w:eastAsia="Palatino Linotype" w:hAnsi="Palatino Linotype" w:cs="Palatino Linotype"/>
          <w:i/>
          <w:sz w:val="22"/>
          <w:szCs w:val="22"/>
        </w:rPr>
      </w:pPr>
      <w:bookmarkStart w:id="19" w:name="_heading=h.gkcdl3o797mw" w:colFirst="0" w:colLast="0"/>
      <w:bookmarkEnd w:id="19"/>
      <w:r>
        <w:rPr>
          <w:rFonts w:ascii="Palatino Linotype" w:eastAsia="Palatino Linotype" w:hAnsi="Palatino Linotype" w:cs="Palatino Linotype"/>
          <w:i/>
          <w:sz w:val="22"/>
          <w:szCs w:val="22"/>
        </w:rPr>
        <w:t xml:space="preserve">V. Cadena original del complemento de certificación digital del SAT. </w:t>
      </w:r>
    </w:p>
    <w:p w:rsidR="009B5C01" w:rsidRDefault="00CB2DC6">
      <w:pPr>
        <w:ind w:left="1134" w:right="899"/>
        <w:jc w:val="both"/>
        <w:rPr>
          <w:rFonts w:ascii="Palatino Linotype" w:eastAsia="Palatino Linotype" w:hAnsi="Palatino Linotype" w:cs="Palatino Linotype"/>
          <w:i/>
          <w:sz w:val="22"/>
          <w:szCs w:val="22"/>
        </w:rPr>
      </w:pPr>
      <w:bookmarkStart w:id="20" w:name="_heading=h.obomck3iidb7" w:colFirst="0" w:colLast="0"/>
      <w:bookmarkEnd w:id="20"/>
      <w:r>
        <w:rPr>
          <w:rFonts w:ascii="Palatino Linotype" w:eastAsia="Palatino Linotype" w:hAnsi="Palatino Linotype" w:cs="Palatino Linotype"/>
          <w:i/>
          <w:sz w:val="22"/>
          <w:szCs w:val="22"/>
        </w:rPr>
        <w:t xml:space="preserve">VI. Tratándose de las representaciones impresas del CFDI que amparen retenciones e información de pagos emitidos conforme a lo dispuesto en la regla 2.7.5.4., adicional a lo anteriormente señalado deberán incluir: </w:t>
      </w:r>
    </w:p>
    <w:p w:rsidR="009B5C01" w:rsidRDefault="00CB2DC6">
      <w:pPr>
        <w:ind w:left="1134" w:right="899"/>
        <w:jc w:val="both"/>
        <w:rPr>
          <w:rFonts w:ascii="Palatino Linotype" w:eastAsia="Palatino Linotype" w:hAnsi="Palatino Linotype" w:cs="Palatino Linotype"/>
          <w:i/>
          <w:sz w:val="22"/>
          <w:szCs w:val="22"/>
        </w:rPr>
      </w:pPr>
      <w:bookmarkStart w:id="21" w:name="_heading=h.n6ygx4z7u7iu" w:colFirst="0" w:colLast="0"/>
      <w:bookmarkEnd w:id="21"/>
      <w:r>
        <w:rPr>
          <w:rFonts w:ascii="Palatino Linotype" w:eastAsia="Palatino Linotype" w:hAnsi="Palatino Linotype" w:cs="Palatino Linotype"/>
          <w:i/>
          <w:sz w:val="22"/>
          <w:szCs w:val="22"/>
        </w:rPr>
        <w:t xml:space="preserve">a) Los datos que establece el Anexo 20, apartado II.A., así como los correspondientes a los complementos que incorpore. </w:t>
      </w:r>
    </w:p>
    <w:p w:rsidR="009B5C01" w:rsidRDefault="00CB2DC6">
      <w:pPr>
        <w:ind w:left="1134" w:right="899"/>
        <w:jc w:val="both"/>
        <w:rPr>
          <w:rFonts w:ascii="Palatino Linotype" w:eastAsia="Palatino Linotype" w:hAnsi="Palatino Linotype" w:cs="Palatino Linotype"/>
          <w:i/>
          <w:sz w:val="22"/>
          <w:szCs w:val="22"/>
        </w:rPr>
      </w:pPr>
      <w:bookmarkStart w:id="22" w:name="_heading=h.htfse3mfod91" w:colFirst="0" w:colLast="0"/>
      <w:bookmarkEnd w:id="22"/>
      <w:r>
        <w:rPr>
          <w:rFonts w:ascii="Palatino Linotype" w:eastAsia="Palatino Linotype" w:hAnsi="Palatino Linotype" w:cs="Palatino Linotype"/>
          <w:i/>
          <w:sz w:val="22"/>
          <w:szCs w:val="22"/>
        </w:rPr>
        <w:t xml:space="preserve">b) El código de barras generado conforme a la especificación técnica establecida en el Anexo 20, rubro II.D. </w:t>
      </w:r>
    </w:p>
    <w:p w:rsidR="009B5C01" w:rsidRDefault="00CB2DC6">
      <w:pPr>
        <w:ind w:left="1134" w:right="899"/>
        <w:jc w:val="both"/>
        <w:rPr>
          <w:rFonts w:ascii="Palatino Linotype" w:eastAsia="Palatino Linotype" w:hAnsi="Palatino Linotype" w:cs="Palatino Linotype"/>
          <w:i/>
          <w:sz w:val="22"/>
          <w:szCs w:val="22"/>
        </w:rPr>
      </w:pPr>
      <w:bookmarkStart w:id="23" w:name="_heading=h.18yejeg468ga" w:colFirst="0" w:colLast="0"/>
      <w:bookmarkEnd w:id="23"/>
      <w:r>
        <w:rPr>
          <w:rFonts w:ascii="Palatino Linotype" w:eastAsia="Palatino Linotype" w:hAnsi="Palatino Linotype" w:cs="Palatino Linotype"/>
          <w:i/>
          <w:sz w:val="22"/>
          <w:szCs w:val="22"/>
        </w:rPr>
        <w:lastRenderedPageBreak/>
        <w:t xml:space="preserve">VII. Tratándose de las representaciones impresas de un CFDI emitidas conforme a lo dispuesto en la regla 2.7.2.14., y la Sección 2.7.3., se deberá estar a lo siguiente: </w:t>
      </w:r>
    </w:p>
    <w:p w:rsidR="009B5C01" w:rsidRDefault="00CB2DC6">
      <w:pPr>
        <w:ind w:left="1134" w:right="899"/>
        <w:jc w:val="both"/>
        <w:rPr>
          <w:rFonts w:ascii="Palatino Linotype" w:eastAsia="Palatino Linotype" w:hAnsi="Palatino Linotype" w:cs="Palatino Linotype"/>
          <w:i/>
          <w:sz w:val="22"/>
          <w:szCs w:val="22"/>
        </w:rPr>
      </w:pPr>
      <w:bookmarkStart w:id="24" w:name="_heading=h.5bnr4t7cvb3w" w:colFirst="0" w:colLast="0"/>
      <w:bookmarkEnd w:id="24"/>
      <w:r>
        <w:rPr>
          <w:rFonts w:ascii="Palatino Linotype" w:eastAsia="Palatino Linotype" w:hAnsi="Palatino Linotype" w:cs="Palatino Linotype"/>
          <w:i/>
          <w:sz w:val="22"/>
          <w:szCs w:val="22"/>
        </w:rPr>
        <w:t xml:space="preserve">a) Espacio para registrar la firma autógrafa de la persona que emite el CFDI. </w:t>
      </w:r>
    </w:p>
    <w:p w:rsidR="009B5C01" w:rsidRDefault="00CB2DC6">
      <w:pPr>
        <w:ind w:left="1134" w:right="899"/>
        <w:jc w:val="both"/>
        <w:rPr>
          <w:rFonts w:ascii="Palatino Linotype" w:eastAsia="Palatino Linotype" w:hAnsi="Palatino Linotype" w:cs="Palatino Linotype"/>
          <w:i/>
          <w:sz w:val="22"/>
          <w:szCs w:val="22"/>
        </w:rPr>
      </w:pPr>
      <w:bookmarkStart w:id="25" w:name="_heading=h.dn2nmuiczm76" w:colFirst="0" w:colLast="0"/>
      <w:bookmarkEnd w:id="25"/>
      <w:r>
        <w:rPr>
          <w:rFonts w:ascii="Palatino Linotype" w:eastAsia="Palatino Linotype" w:hAnsi="Palatino Linotype" w:cs="Palatino Linotype"/>
          <w:i/>
          <w:sz w:val="22"/>
          <w:szCs w:val="22"/>
        </w:rPr>
        <w:t xml:space="preserve">b) Respecto a lo señalado en la fracción II de esta regla, se incluirá el número de serie de CESD del proveedor de certificación de CFDI o del SAT según corresponda en sustitución del número de CSD del emisor. </w:t>
      </w:r>
    </w:p>
    <w:p w:rsidR="009B5C01" w:rsidRDefault="00CB2DC6">
      <w:pPr>
        <w:ind w:left="1134" w:right="899"/>
        <w:jc w:val="both"/>
        <w:rPr>
          <w:rFonts w:ascii="Palatino Linotype" w:eastAsia="Palatino Linotype" w:hAnsi="Palatino Linotype" w:cs="Palatino Linotype"/>
          <w:i/>
          <w:sz w:val="22"/>
          <w:szCs w:val="22"/>
        </w:rPr>
      </w:pPr>
      <w:bookmarkStart w:id="26" w:name="_heading=h.f44lrhhpmkjn" w:colFirst="0" w:colLast="0"/>
      <w:bookmarkEnd w:id="26"/>
      <w:r>
        <w:rPr>
          <w:rFonts w:ascii="Palatino Linotype" w:eastAsia="Palatino Linotype" w:hAnsi="Palatino Linotype" w:cs="Palatino Linotype"/>
          <w:i/>
          <w:sz w:val="22"/>
          <w:szCs w:val="22"/>
        </w:rPr>
        <w:t xml:space="preserve">VIII. Tratándose de las representaciones impresas del CFDI por pagos realizados conforme a lo dispuesto en la regla 2.7.1.35., adicional a lo señalado en las fracciones anteriores de esta regla, deberán incluir la totalidad de los datos contenidos en el complemento para pagos. </w:t>
      </w:r>
    </w:p>
    <w:p w:rsidR="009B5C01" w:rsidRDefault="00CB2DC6">
      <w:pPr>
        <w:ind w:left="1134" w:right="899"/>
        <w:jc w:val="both"/>
        <w:rPr>
          <w:rFonts w:ascii="Palatino Linotype" w:eastAsia="Palatino Linotype" w:hAnsi="Palatino Linotype" w:cs="Palatino Linotype"/>
          <w:sz w:val="22"/>
          <w:szCs w:val="22"/>
        </w:rPr>
      </w:pPr>
      <w:bookmarkStart w:id="27" w:name="_heading=h.oo2mmabwdpzm" w:colFirst="0" w:colLast="0"/>
      <w:bookmarkEnd w:id="27"/>
      <w:r>
        <w:rPr>
          <w:rFonts w:ascii="Palatino Linotype" w:eastAsia="Palatino Linotype" w:hAnsi="Palatino Linotype" w:cs="Palatino Linotype"/>
          <w:i/>
          <w:sz w:val="22"/>
          <w:szCs w:val="22"/>
        </w:rPr>
        <w:t>El archivo electrónico que en su caso genere la representación impresa deberá estar en formato electrónico PDF o algún otro similar que permita su impresión. Lo establecido en esta regla no será aplicable a la representación impresa del CFDI que se expida a través de “Mis cuentas”</w:t>
      </w:r>
      <w:r>
        <w:rPr>
          <w:rFonts w:ascii="Palatino Linotype" w:eastAsia="Palatino Linotype" w:hAnsi="Palatino Linotype" w:cs="Palatino Linotype"/>
          <w:sz w:val="22"/>
          <w:szCs w:val="22"/>
        </w:rPr>
        <w:t>.</w:t>
      </w:r>
    </w:p>
    <w:p w:rsidR="009B5C01" w:rsidRDefault="00CB2DC6">
      <w:pPr>
        <w:ind w:left="1134" w:right="899"/>
        <w:jc w:val="both"/>
        <w:rPr>
          <w:rFonts w:ascii="Palatino Linotype" w:eastAsia="Palatino Linotype" w:hAnsi="Palatino Linotype" w:cs="Palatino Linotype"/>
          <w:i/>
          <w:sz w:val="22"/>
          <w:szCs w:val="22"/>
        </w:rPr>
      </w:pPr>
      <w:bookmarkStart w:id="28" w:name="_heading=h.t1mp8qivtptx" w:colFirst="0" w:colLast="0"/>
      <w:bookmarkEnd w:id="28"/>
      <w:r>
        <w:rPr>
          <w:rFonts w:ascii="Palatino Linotype" w:eastAsia="Palatino Linotype" w:hAnsi="Palatino Linotype" w:cs="Palatino Linotype"/>
          <w:i/>
          <w:sz w:val="22"/>
          <w:szCs w:val="22"/>
        </w:rPr>
        <w:t>(Énfasis añadido)</w:t>
      </w:r>
    </w:p>
    <w:p w:rsidR="009B5C01" w:rsidRDefault="009B5C01">
      <w:pPr>
        <w:ind w:left="1134"/>
        <w:jc w:val="both"/>
        <w:rPr>
          <w:rFonts w:ascii="Palatino Linotype" w:eastAsia="Palatino Linotype" w:hAnsi="Palatino Linotype" w:cs="Palatino Linotype"/>
          <w:sz w:val="22"/>
          <w:szCs w:val="22"/>
        </w:rPr>
      </w:pPr>
      <w:bookmarkStart w:id="29" w:name="_heading=h.8sifv2td4no" w:colFirst="0" w:colLast="0"/>
      <w:bookmarkEnd w:id="29"/>
    </w:p>
    <w:p w:rsidR="009B5C01" w:rsidRDefault="00CB2DC6">
      <w:pPr>
        <w:numPr>
          <w:ilvl w:val="0"/>
          <w:numId w:val="11"/>
        </w:numPr>
        <w:spacing w:line="360" w:lineRule="auto"/>
        <w:ind w:left="0" w:firstLine="0"/>
        <w:jc w:val="both"/>
        <w:rPr>
          <w:rFonts w:ascii="Palatino Linotype" w:eastAsia="Palatino Linotype" w:hAnsi="Palatino Linotype" w:cs="Palatino Linotype"/>
        </w:rPr>
      </w:pPr>
      <w:bookmarkStart w:id="30" w:name="_heading=h.oh2brxaow78o" w:colFirst="0" w:colLast="0"/>
      <w:bookmarkEnd w:id="30"/>
      <w:r>
        <w:rPr>
          <w:rFonts w:ascii="Palatino Linotype" w:eastAsia="Palatino Linotype" w:hAnsi="Palatino Linotype" w:cs="Palatino Linotype"/>
        </w:rPr>
        <w:t>Asimismo, de conformidad con el Anexo 20 de la Segunda Resolución de modificaciones a la Resolución Miscelánea Fiscal, los elementos utilizados en la generación de sellos digitales son la cadena original del elemento a sellar, el certificado de sello digital y su correspondiente clave privada, los algoritmos de criptografía de clave pública para firma electrónica avanzada, y las especificaciones de conversión de la firma avanzada a base 64.</w:t>
      </w:r>
    </w:p>
    <w:p w:rsidR="009B5C01" w:rsidRDefault="009B5C01">
      <w:pPr>
        <w:spacing w:line="360" w:lineRule="auto"/>
        <w:jc w:val="both"/>
        <w:rPr>
          <w:rFonts w:ascii="Palatino Linotype" w:eastAsia="Palatino Linotype" w:hAnsi="Palatino Linotype" w:cs="Palatino Linotype"/>
        </w:rPr>
      </w:pPr>
      <w:bookmarkStart w:id="31" w:name="_heading=h.987we07n3kwj" w:colFirst="0" w:colLast="0"/>
      <w:bookmarkEnd w:id="31"/>
    </w:p>
    <w:p w:rsidR="009B5C01" w:rsidRDefault="00CB2DC6">
      <w:pPr>
        <w:numPr>
          <w:ilvl w:val="0"/>
          <w:numId w:val="11"/>
        </w:numPr>
        <w:spacing w:line="360" w:lineRule="auto"/>
        <w:ind w:left="0" w:firstLine="0"/>
        <w:jc w:val="both"/>
        <w:rPr>
          <w:rFonts w:ascii="Palatino Linotype" w:eastAsia="Palatino Linotype" w:hAnsi="Palatino Linotype" w:cs="Palatino Linotype"/>
        </w:rPr>
      </w:pPr>
      <w:bookmarkStart w:id="32" w:name="_heading=h.e4w0o6ue8sc6" w:colFirst="0" w:colLast="0"/>
      <w:bookmarkEnd w:id="32"/>
      <w:r>
        <w:rPr>
          <w:rFonts w:ascii="Palatino Linotype" w:eastAsia="Palatino Linotype" w:hAnsi="Palatino Linotype" w:cs="Palatino Linotype"/>
        </w:rPr>
        <w:t xml:space="preserve">Para la generación de sellos digitales se utiliza criptografía de clave pública aplicada a una cadena original, que se basa en la generación de una pareja de números muy grandes relacionados entre sí, de tal manera que una operación de inscripción sobre un mensaje tomando como clave de inscripción a uno de los dos números, produce un mensaje alterado en su significado que sólo puede ser </w:t>
      </w:r>
      <w:r>
        <w:rPr>
          <w:rFonts w:ascii="Palatino Linotype" w:eastAsia="Palatino Linotype" w:hAnsi="Palatino Linotype" w:cs="Palatino Linotype"/>
        </w:rPr>
        <w:lastRenderedPageBreak/>
        <w:t xml:space="preserve">devuelto a su estado original mediante la operación de descripción correspondiente tomando como clave de descripción al otro número de la pareja. </w:t>
      </w:r>
    </w:p>
    <w:p w:rsidR="009B5C01" w:rsidRDefault="009B5C01">
      <w:pPr>
        <w:spacing w:line="360" w:lineRule="auto"/>
        <w:jc w:val="both"/>
        <w:rPr>
          <w:rFonts w:ascii="Palatino Linotype" w:eastAsia="Palatino Linotype" w:hAnsi="Palatino Linotype" w:cs="Palatino Linotype"/>
        </w:rPr>
      </w:pPr>
      <w:bookmarkStart w:id="33" w:name="_heading=h.rtb9e44i85ua" w:colFirst="0" w:colLast="0"/>
      <w:bookmarkEnd w:id="33"/>
    </w:p>
    <w:p w:rsidR="009B5C01" w:rsidRDefault="00CB2DC6">
      <w:pPr>
        <w:numPr>
          <w:ilvl w:val="0"/>
          <w:numId w:val="11"/>
        </w:numPr>
        <w:spacing w:line="360" w:lineRule="auto"/>
        <w:ind w:left="0" w:firstLine="0"/>
        <w:jc w:val="both"/>
        <w:rPr>
          <w:rFonts w:ascii="Palatino Linotype" w:eastAsia="Palatino Linotype" w:hAnsi="Palatino Linotype" w:cs="Palatino Linotype"/>
        </w:rPr>
      </w:pPr>
      <w:bookmarkStart w:id="34" w:name="_heading=h.mt7q496zmklq" w:colFirst="0" w:colLast="0"/>
      <w:bookmarkEnd w:id="34"/>
      <w:r>
        <w:rPr>
          <w:rFonts w:ascii="Palatino Linotype" w:eastAsia="Palatino Linotype" w:hAnsi="Palatino Linotype" w:cs="Palatino Linotype"/>
        </w:rPr>
        <w:t>Uno de estos dos números, expresado en una estructura de datos que contiene un módulo y un exponente, se conserva secreta y se le denomina "clave privada", mientras que el otro número llamado "clave pública", en formato binario y acompañado de información de identificación del emisor, además de una calificación de validez por parte de un tercero confiable, se incorpora a un archivo denominado "certificado de firma electrónica avanzada" o "certificado para sellos digitales" en adelante Certificado.</w:t>
      </w:r>
    </w:p>
    <w:p w:rsidR="009B5C01" w:rsidRDefault="009B5C01">
      <w:pPr>
        <w:spacing w:line="360" w:lineRule="auto"/>
        <w:jc w:val="both"/>
        <w:rPr>
          <w:rFonts w:ascii="Palatino Linotype" w:eastAsia="Palatino Linotype" w:hAnsi="Palatino Linotype" w:cs="Palatino Linotype"/>
        </w:rPr>
      </w:pPr>
      <w:bookmarkStart w:id="35" w:name="_heading=h.n30l5xfevj1m" w:colFirst="0" w:colLast="0"/>
      <w:bookmarkEnd w:id="35"/>
    </w:p>
    <w:p w:rsidR="009B5C01" w:rsidRDefault="00CB2DC6">
      <w:pPr>
        <w:numPr>
          <w:ilvl w:val="0"/>
          <w:numId w:val="11"/>
        </w:numPr>
        <w:spacing w:line="360" w:lineRule="auto"/>
        <w:ind w:left="0" w:firstLine="0"/>
        <w:jc w:val="both"/>
        <w:rPr>
          <w:rFonts w:ascii="Palatino Linotype" w:eastAsia="Palatino Linotype" w:hAnsi="Palatino Linotype" w:cs="Palatino Linotype"/>
        </w:rPr>
      </w:pPr>
      <w:bookmarkStart w:id="36" w:name="_heading=h.xyl92zx2yn72" w:colFirst="0" w:colLast="0"/>
      <w:bookmarkEnd w:id="36"/>
      <w:r>
        <w:rPr>
          <w:rFonts w:ascii="Palatino Linotype" w:eastAsia="Palatino Linotype" w:hAnsi="Palatino Linotype" w:cs="Palatino Linotype"/>
        </w:rPr>
        <w:t xml:space="preserve">El Certificado puede distribuirse libremente para efectos de intercambio seguro de información y para ofrecer pruebas de autoría de archivos electrónicos o confirmación de estar de acuerdo con su contenido, ambos mediante el proceso denominado "firmado electrónico avanzado", que consiste en una característica observable de un mensaje, verificable por cualquiera con acceso al certificado digital del emisor, que sirve para implementar servicios de seguridad para garantizar: </w:t>
      </w:r>
    </w:p>
    <w:p w:rsidR="009B5C01" w:rsidRDefault="009B5C01">
      <w:pPr>
        <w:spacing w:line="360" w:lineRule="auto"/>
        <w:jc w:val="both"/>
        <w:rPr>
          <w:rFonts w:ascii="Palatino Linotype" w:eastAsia="Palatino Linotype" w:hAnsi="Palatino Linotype" w:cs="Palatino Linotype"/>
        </w:rPr>
      </w:pPr>
    </w:p>
    <w:p w:rsidR="009B5C01" w:rsidRDefault="00CB2DC6">
      <w:pPr>
        <w:spacing w:line="360" w:lineRule="auto"/>
        <w:ind w:left="720"/>
        <w:jc w:val="both"/>
        <w:rPr>
          <w:rFonts w:ascii="Palatino Linotype" w:eastAsia="Palatino Linotype" w:hAnsi="Palatino Linotype" w:cs="Palatino Linotype"/>
        </w:rPr>
      </w:pPr>
      <w:bookmarkStart w:id="37" w:name="_heading=h.dnnzpvh7eleo" w:colFirst="0" w:colLast="0"/>
      <w:bookmarkEnd w:id="37"/>
      <w:r>
        <w:rPr>
          <w:rFonts w:ascii="Palatino Linotype" w:eastAsia="Palatino Linotype" w:hAnsi="Palatino Linotype" w:cs="Palatino Linotype"/>
        </w:rPr>
        <w:t xml:space="preserve">• La integridad (facilidad para detectar si un mensaje firmado ha sido alterado), </w:t>
      </w:r>
    </w:p>
    <w:p w:rsidR="009B5C01" w:rsidRDefault="00CB2DC6">
      <w:pPr>
        <w:spacing w:line="360" w:lineRule="auto"/>
        <w:ind w:left="720"/>
        <w:jc w:val="both"/>
        <w:rPr>
          <w:rFonts w:ascii="Palatino Linotype" w:eastAsia="Palatino Linotype" w:hAnsi="Palatino Linotype" w:cs="Palatino Linotype"/>
        </w:rPr>
      </w:pPr>
      <w:bookmarkStart w:id="38" w:name="_heading=h.7nd46camfpd3" w:colFirst="0" w:colLast="0"/>
      <w:bookmarkEnd w:id="38"/>
      <w:r>
        <w:rPr>
          <w:rFonts w:ascii="Palatino Linotype" w:eastAsia="Palatino Linotype" w:hAnsi="Palatino Linotype" w:cs="Palatino Linotype"/>
        </w:rPr>
        <w:t xml:space="preserve">• La autenticidad, </w:t>
      </w:r>
    </w:p>
    <w:p w:rsidR="009B5C01" w:rsidRDefault="00CB2DC6">
      <w:pPr>
        <w:spacing w:line="360" w:lineRule="auto"/>
        <w:ind w:left="720"/>
        <w:jc w:val="both"/>
        <w:rPr>
          <w:rFonts w:ascii="Palatino Linotype" w:eastAsia="Palatino Linotype" w:hAnsi="Palatino Linotype" w:cs="Palatino Linotype"/>
        </w:rPr>
      </w:pPr>
      <w:bookmarkStart w:id="39" w:name="_heading=h.ioxfoskdka44" w:colFirst="0" w:colLast="0"/>
      <w:bookmarkEnd w:id="39"/>
      <w:r>
        <w:rPr>
          <w:rFonts w:ascii="Palatino Linotype" w:eastAsia="Palatino Linotype" w:hAnsi="Palatino Linotype" w:cs="Palatino Linotype"/>
        </w:rPr>
        <w:t xml:space="preserve">• Certidumbre de origen (facilidad para determinar qué persona es el autor de la firma que valida el contenido del mensaje) y </w:t>
      </w:r>
    </w:p>
    <w:p w:rsidR="009B5C01" w:rsidRDefault="00CB2DC6">
      <w:pPr>
        <w:spacing w:line="360" w:lineRule="auto"/>
        <w:ind w:left="720"/>
        <w:jc w:val="both"/>
        <w:rPr>
          <w:rFonts w:ascii="Palatino Linotype" w:eastAsia="Palatino Linotype" w:hAnsi="Palatino Linotype" w:cs="Palatino Linotype"/>
        </w:rPr>
      </w:pPr>
      <w:bookmarkStart w:id="40" w:name="_heading=h.71wzdzlnc3xt" w:colFirst="0" w:colLast="0"/>
      <w:bookmarkEnd w:id="40"/>
      <w:r>
        <w:rPr>
          <w:rFonts w:ascii="Palatino Linotype" w:eastAsia="Palatino Linotype" w:hAnsi="Palatino Linotype" w:cs="Palatino Linotype"/>
        </w:rPr>
        <w:lastRenderedPageBreak/>
        <w:t xml:space="preserve">• No repudiación del mensaje firmado (capacidad de impedir que el autor de la firma niegue haber firmado el mensaje). </w:t>
      </w:r>
    </w:p>
    <w:p w:rsidR="009B5C01" w:rsidRDefault="009B5C01">
      <w:pPr>
        <w:spacing w:line="360" w:lineRule="auto"/>
        <w:jc w:val="both"/>
        <w:rPr>
          <w:rFonts w:ascii="Palatino Linotype" w:eastAsia="Palatino Linotype" w:hAnsi="Palatino Linotype" w:cs="Palatino Linotype"/>
        </w:rPr>
      </w:pPr>
      <w:bookmarkStart w:id="41" w:name="_heading=h.ynzdidt3os8l" w:colFirst="0" w:colLast="0"/>
      <w:bookmarkEnd w:id="41"/>
    </w:p>
    <w:p w:rsidR="009B5C01" w:rsidRDefault="00CB2DC6">
      <w:pPr>
        <w:numPr>
          <w:ilvl w:val="0"/>
          <w:numId w:val="11"/>
        </w:numPr>
        <w:spacing w:line="360" w:lineRule="auto"/>
        <w:ind w:left="0" w:firstLine="0"/>
        <w:jc w:val="both"/>
        <w:rPr>
          <w:rFonts w:ascii="Palatino Linotype" w:eastAsia="Palatino Linotype" w:hAnsi="Palatino Linotype" w:cs="Palatino Linotype"/>
        </w:rPr>
      </w:pPr>
      <w:bookmarkStart w:id="42" w:name="_heading=h.qdfdf3outred" w:colFirst="0" w:colLast="0"/>
      <w:bookmarkEnd w:id="42"/>
      <w:r>
        <w:rPr>
          <w:rFonts w:ascii="Palatino Linotype" w:eastAsia="Palatino Linotype" w:hAnsi="Palatino Linotype" w:cs="Palatino Linotype"/>
        </w:rPr>
        <w:t xml:space="preserve">Estos servicios de seguridad proporcionan las siguientes características a un mensaje con firma electrónica avanzada: </w:t>
      </w:r>
    </w:p>
    <w:p w:rsidR="009B5C01" w:rsidRDefault="00CB2DC6">
      <w:pPr>
        <w:spacing w:line="360" w:lineRule="auto"/>
        <w:ind w:left="720"/>
        <w:jc w:val="both"/>
        <w:rPr>
          <w:rFonts w:ascii="Palatino Linotype" w:eastAsia="Palatino Linotype" w:hAnsi="Palatino Linotype" w:cs="Palatino Linotype"/>
        </w:rPr>
      </w:pPr>
      <w:bookmarkStart w:id="43" w:name="_heading=h.xp0jh26h3b7o" w:colFirst="0" w:colLast="0"/>
      <w:bookmarkEnd w:id="43"/>
      <w:r>
        <w:rPr>
          <w:rFonts w:ascii="Palatino Linotype" w:eastAsia="Palatino Linotype" w:hAnsi="Palatino Linotype" w:cs="Palatino Linotype"/>
        </w:rPr>
        <w:t xml:space="preserve">• Es infalsificable. </w:t>
      </w:r>
    </w:p>
    <w:p w:rsidR="009B5C01" w:rsidRDefault="00CB2DC6">
      <w:pPr>
        <w:spacing w:line="360" w:lineRule="auto"/>
        <w:ind w:left="720"/>
        <w:jc w:val="both"/>
        <w:rPr>
          <w:rFonts w:ascii="Palatino Linotype" w:eastAsia="Palatino Linotype" w:hAnsi="Palatino Linotype" w:cs="Palatino Linotype"/>
        </w:rPr>
      </w:pPr>
      <w:bookmarkStart w:id="44" w:name="_heading=h.d7sfqbwj4lax" w:colFirst="0" w:colLast="0"/>
      <w:bookmarkEnd w:id="44"/>
      <w:r>
        <w:rPr>
          <w:rFonts w:ascii="Palatino Linotype" w:eastAsia="Palatino Linotype" w:hAnsi="Palatino Linotype" w:cs="Palatino Linotype"/>
        </w:rPr>
        <w:t xml:space="preserve">• La firma electrónica avanzada no es reciclable (es única por mensaje). </w:t>
      </w:r>
    </w:p>
    <w:p w:rsidR="009B5C01" w:rsidRDefault="00CB2DC6">
      <w:pPr>
        <w:spacing w:line="360" w:lineRule="auto"/>
        <w:ind w:left="720"/>
        <w:jc w:val="both"/>
        <w:rPr>
          <w:rFonts w:ascii="Palatino Linotype" w:eastAsia="Palatino Linotype" w:hAnsi="Palatino Linotype" w:cs="Palatino Linotype"/>
        </w:rPr>
      </w:pPr>
      <w:bookmarkStart w:id="45" w:name="_heading=h.4umuus4we8wo" w:colFirst="0" w:colLast="0"/>
      <w:bookmarkEnd w:id="45"/>
      <w:r>
        <w:rPr>
          <w:rFonts w:ascii="Palatino Linotype" w:eastAsia="Palatino Linotype" w:hAnsi="Palatino Linotype" w:cs="Palatino Linotype"/>
        </w:rPr>
        <w:t xml:space="preserve">• Un mensaje con firma electrónica avanzada alterado, es detectable. </w:t>
      </w:r>
    </w:p>
    <w:p w:rsidR="009B5C01" w:rsidRDefault="00CB2DC6">
      <w:pPr>
        <w:spacing w:line="360" w:lineRule="auto"/>
        <w:ind w:left="720"/>
        <w:jc w:val="both"/>
        <w:rPr>
          <w:rFonts w:ascii="Palatino Linotype" w:eastAsia="Palatino Linotype" w:hAnsi="Palatino Linotype" w:cs="Palatino Linotype"/>
        </w:rPr>
      </w:pPr>
      <w:bookmarkStart w:id="46" w:name="_heading=h.bhowd0rv38c7" w:colFirst="0" w:colLast="0"/>
      <w:bookmarkEnd w:id="46"/>
      <w:r>
        <w:rPr>
          <w:rFonts w:ascii="Palatino Linotype" w:eastAsia="Palatino Linotype" w:hAnsi="Palatino Linotype" w:cs="Palatino Linotype"/>
        </w:rPr>
        <w:t xml:space="preserve">• Un mensaje con firma electrónica avanzada, no puede ser repudiado. </w:t>
      </w:r>
    </w:p>
    <w:p w:rsidR="009B5C01" w:rsidRDefault="009B5C01">
      <w:pPr>
        <w:spacing w:line="360" w:lineRule="auto"/>
        <w:jc w:val="both"/>
        <w:rPr>
          <w:rFonts w:ascii="Palatino Linotype" w:eastAsia="Palatino Linotype" w:hAnsi="Palatino Linotype" w:cs="Palatino Linotype"/>
        </w:rPr>
      </w:pPr>
      <w:bookmarkStart w:id="47" w:name="_heading=h.ejn2v55f60s6" w:colFirst="0" w:colLast="0"/>
      <w:bookmarkEnd w:id="47"/>
    </w:p>
    <w:p w:rsidR="009B5C01" w:rsidRDefault="00CB2DC6">
      <w:pPr>
        <w:numPr>
          <w:ilvl w:val="0"/>
          <w:numId w:val="11"/>
        </w:numPr>
        <w:spacing w:line="360" w:lineRule="auto"/>
        <w:ind w:left="0" w:firstLine="0"/>
        <w:jc w:val="both"/>
        <w:rPr>
          <w:rFonts w:ascii="Palatino Linotype" w:eastAsia="Palatino Linotype" w:hAnsi="Palatino Linotype" w:cs="Palatino Linotype"/>
        </w:rPr>
      </w:pPr>
      <w:bookmarkStart w:id="48" w:name="_heading=h.msnldj4dqkon" w:colFirst="0" w:colLast="0"/>
      <w:bookmarkEnd w:id="48"/>
      <w:r>
        <w:rPr>
          <w:rFonts w:ascii="Palatino Linotype" w:eastAsia="Palatino Linotype" w:hAnsi="Palatino Linotype" w:cs="Palatino Linotype"/>
        </w:rPr>
        <w:t>Los certificados de sello digital se generan de manera idéntica a los certificados de e.firma y al igual que las firmas electrónicas avanzadas el propósito del sello digital es emitir comprobantes fiscales con autenticidad, integridad, verificables y no repudiables por el emisor. Para ello basta tener acceso al mensaje original o cadena original, al sello digital y al certificado de sello digital del emisor.</w:t>
      </w:r>
    </w:p>
    <w:p w:rsidR="009B5C01" w:rsidRDefault="009B5C01">
      <w:pPr>
        <w:spacing w:line="360" w:lineRule="auto"/>
        <w:jc w:val="both"/>
        <w:rPr>
          <w:rFonts w:ascii="Palatino Linotype" w:eastAsia="Palatino Linotype" w:hAnsi="Palatino Linotype" w:cs="Palatino Linotype"/>
        </w:rPr>
      </w:pPr>
      <w:bookmarkStart w:id="49" w:name="_heading=h.d2rygb40n1qi" w:colFirst="0" w:colLast="0"/>
      <w:bookmarkEnd w:id="49"/>
    </w:p>
    <w:p w:rsidR="009B5C01" w:rsidRDefault="00CB2DC6">
      <w:pPr>
        <w:numPr>
          <w:ilvl w:val="0"/>
          <w:numId w:val="11"/>
        </w:numPr>
        <w:spacing w:line="360" w:lineRule="auto"/>
        <w:ind w:left="0" w:firstLine="0"/>
        <w:jc w:val="both"/>
        <w:rPr>
          <w:rFonts w:ascii="Palatino Linotype" w:eastAsia="Palatino Linotype" w:hAnsi="Palatino Linotype" w:cs="Palatino Linotype"/>
        </w:rPr>
      </w:pPr>
      <w:bookmarkStart w:id="50" w:name="_heading=h.gssdfypy39it" w:colFirst="0" w:colLast="0"/>
      <w:bookmarkEnd w:id="50"/>
      <w:r>
        <w:rPr>
          <w:rFonts w:ascii="Palatino Linotype" w:eastAsia="Palatino Linotype" w:hAnsi="Palatino Linotype" w:cs="Palatino Linotype"/>
        </w:rPr>
        <w:t xml:space="preserve">Asimismo, el número de serie del certificado del CSD el atributo requerido para expresar el número de serie del certificado de sello digital que ampara al comprobante, de acuerdo con el acuse correspondiente a 20 posiciones otorgado por el sistema del SAT, el folio fiscal referido como el UUID es un atributo requerido para expresar los 36 caracteres del folio fiscal de la transacción de timbrado conforme al estándar RFC 4122, el número certificado SAT el atributo requerido para expresar el número de serie del certificado del SAT usado para generar el sello </w:t>
      </w:r>
      <w:r>
        <w:rPr>
          <w:rFonts w:ascii="Palatino Linotype" w:eastAsia="Palatino Linotype" w:hAnsi="Palatino Linotype" w:cs="Palatino Linotype"/>
        </w:rPr>
        <w:lastRenderedPageBreak/>
        <w:t xml:space="preserve">digital del Timbre Fiscal Digital, el sello digital del CFD el atributo requerido para contener el sello digital del comprobante fiscal o comprobante de retenciones que se ha timbrado, sello que debe ser expresado como una cadena de texto en formato Base 64, el sello del SAT el atributo requerido para contener el sello digital del Timbre Fiscal Digital, que debe ser expresado como una cadena de texto en formato Base 64, y finalmente la cadena original, es la secuencia de datos formulada con la información contenida dentro del timbre fiscal digital del SAT. </w:t>
      </w:r>
    </w:p>
    <w:p w:rsidR="009B5C01" w:rsidRDefault="009B5C01">
      <w:pPr>
        <w:spacing w:line="360" w:lineRule="auto"/>
        <w:jc w:val="both"/>
        <w:rPr>
          <w:rFonts w:ascii="Palatino Linotype" w:eastAsia="Palatino Linotype" w:hAnsi="Palatino Linotype" w:cs="Palatino Linotype"/>
        </w:rPr>
      </w:pPr>
    </w:p>
    <w:p w:rsidR="009B5C01" w:rsidRDefault="00CB2DC6">
      <w:pPr>
        <w:numPr>
          <w:ilvl w:val="0"/>
          <w:numId w:val="11"/>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Así bien, con base en lo expuesto, no todos los datos señalados pueden ser considerados como confidenciales, en virtud de que el Folio fiscal, Número de serie CSD del emisor, Sello digital del contribuyente emisor, Número de serie del CSD del SAT, Sello digital del SA y Cadena original de complemento de certificación digital SAT, así como el número de empleado cuando no se relacione con el uso de diversos servicios, no tienen el carácter de confidenciales</w:t>
      </w:r>
    </w:p>
    <w:p w:rsidR="009B5C01" w:rsidRDefault="009B5C01">
      <w:pPr>
        <w:ind w:left="720"/>
        <w:rPr>
          <w:rFonts w:ascii="Palatino Linotype" w:eastAsia="Palatino Linotype" w:hAnsi="Palatino Linotype" w:cs="Palatino Linotype"/>
        </w:rPr>
      </w:pPr>
    </w:p>
    <w:p w:rsidR="009B5C01" w:rsidRDefault="00CB2DC6">
      <w:pPr>
        <w:numPr>
          <w:ilvl w:val="0"/>
          <w:numId w:val="8"/>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Del </w:t>
      </w:r>
      <w:r>
        <w:rPr>
          <w:rFonts w:ascii="Palatino Linotype" w:eastAsia="Palatino Linotype" w:hAnsi="Palatino Linotype" w:cs="Palatino Linotype"/>
          <w:b/>
        </w:rPr>
        <w:t>acta de nacimiento</w:t>
      </w:r>
      <w:r>
        <w:rPr>
          <w:rFonts w:ascii="Palatino Linotype" w:eastAsia="Palatino Linotype" w:hAnsi="Palatino Linotype" w:cs="Palatino Linotype"/>
        </w:rPr>
        <w:t>, es un documento público probatorio, que hace constar de manera fehaciente la identidad de la persona, la personalidad jurídica del individuo ante la sociedad; su nacimiento, su nacionalidad y filiación.</w:t>
      </w:r>
    </w:p>
    <w:p w:rsidR="009B5C01" w:rsidRDefault="009B5C01">
      <w:pPr>
        <w:ind w:left="720"/>
        <w:rPr>
          <w:rFonts w:ascii="Palatino Linotype" w:eastAsia="Palatino Linotype" w:hAnsi="Palatino Linotype" w:cs="Palatino Linotype"/>
        </w:rPr>
      </w:pPr>
    </w:p>
    <w:p w:rsidR="009B5C01" w:rsidRDefault="00CB2DC6">
      <w:pPr>
        <w:numPr>
          <w:ilvl w:val="0"/>
          <w:numId w:val="11"/>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Se consideran datos personales públicos dentro de las actas de nacimiento, el nombre, fecha de nacimiento (en caso de necesitarse para ocupar un cargo), y la nacionalidad </w:t>
      </w:r>
    </w:p>
    <w:p w:rsidR="009B5C01" w:rsidRDefault="009B5C01">
      <w:pPr>
        <w:spacing w:line="360" w:lineRule="auto"/>
        <w:jc w:val="both"/>
        <w:rPr>
          <w:rFonts w:ascii="Palatino Linotype" w:eastAsia="Palatino Linotype" w:hAnsi="Palatino Linotype" w:cs="Palatino Linotype"/>
        </w:rPr>
      </w:pPr>
    </w:p>
    <w:p w:rsidR="009B5C01" w:rsidRDefault="00CB2DC6">
      <w:pPr>
        <w:numPr>
          <w:ilvl w:val="0"/>
          <w:numId w:val="11"/>
        </w:numP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b/>
        </w:rPr>
        <w:lastRenderedPageBreak/>
        <w:t>De la credencial para votar.</w:t>
      </w:r>
      <w:r>
        <w:rPr>
          <w:rFonts w:ascii="Palatino Linotype" w:eastAsia="Palatino Linotype" w:hAnsi="Palatino Linotype" w:cs="Palatino Linotype"/>
        </w:rPr>
        <w:t xml:space="preserve"> </w:t>
      </w:r>
      <w:r>
        <w:rPr>
          <w:rFonts w:ascii="Palatino Linotype" w:eastAsia="Palatino Linotype" w:hAnsi="Palatino Linotype" w:cs="Palatino Linotype"/>
          <w:color w:val="000000"/>
        </w:rPr>
        <w:t>Sobre este documento, se debe señalar que la responsabilidad de formar el Padrón Electoral y expedir la credencial de elector, corresponde a la Dirección Ejecutiva del Registro Federal de Electores del Instituto Nacional Electoral, de conformidad con lo establecido en el artículo 54, apartado 1, incisos b) y c) de la Ley General de Instituciones y Procedimientos Electorales.</w:t>
      </w:r>
    </w:p>
    <w:p w:rsidR="009B5C01" w:rsidRDefault="009B5C01">
      <w:pPr>
        <w:spacing w:line="360" w:lineRule="auto"/>
        <w:jc w:val="both"/>
        <w:rPr>
          <w:rFonts w:ascii="Palatino Linotype" w:eastAsia="Palatino Linotype" w:hAnsi="Palatino Linotype" w:cs="Palatino Linotype"/>
        </w:rPr>
      </w:pPr>
    </w:p>
    <w:p w:rsidR="009B5C01" w:rsidRDefault="00CB2DC6">
      <w:pPr>
        <w:numPr>
          <w:ilvl w:val="0"/>
          <w:numId w:val="11"/>
        </w:numP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rPr>
        <w:t>De manera particular el artículo 156, de la Ley General de Instituciones y Procedimientos Electorales dispone que la credencial para votar deberá contener, cuando menos, los siguientes datos:</w:t>
      </w:r>
    </w:p>
    <w:p w:rsidR="009B5C01" w:rsidRDefault="009B5C01">
      <w:pPr>
        <w:ind w:left="1134" w:right="900"/>
        <w:jc w:val="both"/>
        <w:rPr>
          <w:rFonts w:ascii="Palatino Linotype" w:eastAsia="Palatino Linotype" w:hAnsi="Palatino Linotype" w:cs="Palatino Linotype"/>
          <w:color w:val="000000"/>
          <w:sz w:val="22"/>
          <w:szCs w:val="22"/>
        </w:rPr>
      </w:pPr>
    </w:p>
    <w:p w:rsidR="009B5C01" w:rsidRDefault="00CB2DC6">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a) </w:t>
      </w:r>
      <w:r>
        <w:rPr>
          <w:rFonts w:ascii="Palatino Linotype" w:eastAsia="Palatino Linotype" w:hAnsi="Palatino Linotype" w:cs="Palatino Linotype"/>
          <w:i/>
          <w:color w:val="000000"/>
          <w:sz w:val="22"/>
          <w:szCs w:val="22"/>
        </w:rPr>
        <w:t xml:space="preserve">Entidad federativa, municipio y localidad que corresponden al domicilio. En caso de los ciudadanos residentes en el extranjero, el país en el que residen y la entidad federativa de su lugar de nacimiento. Aquellos que nacieron en el extranjero y nunca han vivido en territorio nacional, deberán acreditar la entidad federativa de nacimiento del progenitor mexicano. Cuando ambos progenitores sean mexicanos, señalará la de su elección, en definitiva; </w:t>
      </w:r>
    </w:p>
    <w:p w:rsidR="009B5C01" w:rsidRDefault="00CB2DC6">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b) </w:t>
      </w:r>
      <w:r>
        <w:rPr>
          <w:rFonts w:ascii="Palatino Linotype" w:eastAsia="Palatino Linotype" w:hAnsi="Palatino Linotype" w:cs="Palatino Linotype"/>
          <w:i/>
          <w:color w:val="000000"/>
          <w:sz w:val="22"/>
          <w:szCs w:val="22"/>
        </w:rPr>
        <w:t xml:space="preserve">Sección electoral en donde deberá votar el ciudadano. En el caso de los ciudadanos residentes en el extranjero no será necesario incluir este requisito; </w:t>
      </w:r>
    </w:p>
    <w:p w:rsidR="009B5C01" w:rsidRDefault="00CB2DC6">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c) </w:t>
      </w:r>
      <w:r>
        <w:rPr>
          <w:rFonts w:ascii="Palatino Linotype" w:eastAsia="Palatino Linotype" w:hAnsi="Palatino Linotype" w:cs="Palatino Linotype"/>
          <w:i/>
          <w:color w:val="000000"/>
          <w:sz w:val="22"/>
          <w:szCs w:val="22"/>
        </w:rPr>
        <w:t xml:space="preserve">Apellido paterno, apellido materno y nombre completo; </w:t>
      </w:r>
    </w:p>
    <w:p w:rsidR="009B5C01" w:rsidRDefault="00CB2DC6">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d) </w:t>
      </w:r>
      <w:r>
        <w:rPr>
          <w:rFonts w:ascii="Palatino Linotype" w:eastAsia="Palatino Linotype" w:hAnsi="Palatino Linotype" w:cs="Palatino Linotype"/>
          <w:i/>
          <w:color w:val="000000"/>
          <w:sz w:val="22"/>
          <w:szCs w:val="22"/>
        </w:rPr>
        <w:t xml:space="preserve">Domicilio; </w:t>
      </w:r>
    </w:p>
    <w:p w:rsidR="009B5C01" w:rsidRDefault="00CB2DC6">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e) </w:t>
      </w:r>
      <w:r>
        <w:rPr>
          <w:rFonts w:ascii="Palatino Linotype" w:eastAsia="Palatino Linotype" w:hAnsi="Palatino Linotype" w:cs="Palatino Linotype"/>
          <w:i/>
          <w:color w:val="000000"/>
          <w:sz w:val="22"/>
          <w:szCs w:val="22"/>
        </w:rPr>
        <w:t xml:space="preserve">Sexo; </w:t>
      </w:r>
    </w:p>
    <w:p w:rsidR="009B5C01" w:rsidRDefault="00CB2DC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color w:val="000000"/>
          <w:sz w:val="22"/>
          <w:szCs w:val="22"/>
        </w:rPr>
        <w:t xml:space="preserve">f) </w:t>
      </w:r>
      <w:r>
        <w:rPr>
          <w:rFonts w:ascii="Palatino Linotype" w:eastAsia="Palatino Linotype" w:hAnsi="Palatino Linotype" w:cs="Palatino Linotype"/>
          <w:i/>
          <w:color w:val="000000"/>
          <w:sz w:val="22"/>
          <w:szCs w:val="22"/>
        </w:rPr>
        <w:t>Edad y año de registro;</w:t>
      </w:r>
    </w:p>
    <w:p w:rsidR="009B5C01" w:rsidRDefault="00CB2DC6">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g) </w:t>
      </w:r>
      <w:r>
        <w:rPr>
          <w:rFonts w:ascii="Palatino Linotype" w:eastAsia="Palatino Linotype" w:hAnsi="Palatino Linotype" w:cs="Palatino Linotype"/>
          <w:i/>
          <w:color w:val="000000"/>
          <w:sz w:val="22"/>
          <w:szCs w:val="22"/>
        </w:rPr>
        <w:t xml:space="preserve">Firma, huella digital y fotografía del elector; </w:t>
      </w:r>
    </w:p>
    <w:p w:rsidR="009B5C01" w:rsidRDefault="00CB2DC6">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h) </w:t>
      </w:r>
      <w:r>
        <w:rPr>
          <w:rFonts w:ascii="Palatino Linotype" w:eastAsia="Palatino Linotype" w:hAnsi="Palatino Linotype" w:cs="Palatino Linotype"/>
          <w:i/>
          <w:color w:val="000000"/>
          <w:sz w:val="22"/>
          <w:szCs w:val="22"/>
        </w:rPr>
        <w:t xml:space="preserve">Clave de registro, y </w:t>
      </w:r>
    </w:p>
    <w:p w:rsidR="009B5C01" w:rsidRDefault="00CB2DC6">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i) </w:t>
      </w:r>
      <w:r>
        <w:rPr>
          <w:rFonts w:ascii="Palatino Linotype" w:eastAsia="Palatino Linotype" w:hAnsi="Palatino Linotype" w:cs="Palatino Linotype"/>
          <w:i/>
          <w:color w:val="000000"/>
          <w:sz w:val="22"/>
          <w:szCs w:val="22"/>
        </w:rPr>
        <w:t xml:space="preserve">Clave Única del Registro de Población. </w:t>
      </w:r>
    </w:p>
    <w:p w:rsidR="009B5C01" w:rsidRDefault="009B5C01">
      <w:pPr>
        <w:ind w:left="1134" w:right="900"/>
        <w:jc w:val="both"/>
        <w:rPr>
          <w:rFonts w:ascii="Palatino Linotype" w:eastAsia="Palatino Linotype" w:hAnsi="Palatino Linotype" w:cs="Palatino Linotype"/>
          <w:b/>
          <w:i/>
          <w:color w:val="000000"/>
          <w:sz w:val="22"/>
          <w:szCs w:val="22"/>
        </w:rPr>
      </w:pPr>
    </w:p>
    <w:p w:rsidR="009B5C01" w:rsidRDefault="00CB2DC6">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2. </w:t>
      </w:r>
      <w:r>
        <w:rPr>
          <w:rFonts w:ascii="Palatino Linotype" w:eastAsia="Palatino Linotype" w:hAnsi="Palatino Linotype" w:cs="Palatino Linotype"/>
          <w:i/>
          <w:color w:val="000000"/>
          <w:sz w:val="22"/>
          <w:szCs w:val="22"/>
        </w:rPr>
        <w:t xml:space="preserve">Además tendrá: </w:t>
      </w:r>
    </w:p>
    <w:p w:rsidR="009B5C01" w:rsidRDefault="00CB2DC6">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a) </w:t>
      </w:r>
      <w:r>
        <w:rPr>
          <w:rFonts w:ascii="Palatino Linotype" w:eastAsia="Palatino Linotype" w:hAnsi="Palatino Linotype" w:cs="Palatino Linotype"/>
          <w:i/>
          <w:color w:val="000000"/>
          <w:sz w:val="22"/>
          <w:szCs w:val="22"/>
        </w:rPr>
        <w:t xml:space="preserve">Espacios necesarios para marcar año y elección de que se trate; </w:t>
      </w:r>
    </w:p>
    <w:p w:rsidR="009B5C01" w:rsidRDefault="00CB2DC6">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b) </w:t>
      </w:r>
      <w:r>
        <w:rPr>
          <w:rFonts w:ascii="Palatino Linotype" w:eastAsia="Palatino Linotype" w:hAnsi="Palatino Linotype" w:cs="Palatino Linotype"/>
          <w:i/>
          <w:color w:val="000000"/>
          <w:sz w:val="22"/>
          <w:szCs w:val="22"/>
        </w:rPr>
        <w:t xml:space="preserve">Firma impresa del Secretario Ejecutivo del Instituto; </w:t>
      </w:r>
    </w:p>
    <w:p w:rsidR="009B5C01" w:rsidRDefault="00CB2DC6">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c) </w:t>
      </w:r>
      <w:r>
        <w:rPr>
          <w:rFonts w:ascii="Palatino Linotype" w:eastAsia="Palatino Linotype" w:hAnsi="Palatino Linotype" w:cs="Palatino Linotype"/>
          <w:i/>
          <w:color w:val="000000"/>
          <w:sz w:val="22"/>
          <w:szCs w:val="22"/>
        </w:rPr>
        <w:t xml:space="preserve">Año de emisión; </w:t>
      </w:r>
    </w:p>
    <w:p w:rsidR="009B5C01" w:rsidRDefault="00CB2DC6">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d) </w:t>
      </w:r>
      <w:r>
        <w:rPr>
          <w:rFonts w:ascii="Palatino Linotype" w:eastAsia="Palatino Linotype" w:hAnsi="Palatino Linotype" w:cs="Palatino Linotype"/>
          <w:i/>
          <w:color w:val="000000"/>
          <w:sz w:val="22"/>
          <w:szCs w:val="22"/>
        </w:rPr>
        <w:t xml:space="preserve">Año en el </w:t>
      </w:r>
      <w:r>
        <w:rPr>
          <w:rFonts w:ascii="Palatino Linotype" w:eastAsia="Palatino Linotype" w:hAnsi="Palatino Linotype" w:cs="Palatino Linotype"/>
          <w:sz w:val="22"/>
          <w:szCs w:val="22"/>
        </w:rPr>
        <w:t>que</w:t>
      </w:r>
      <w:r>
        <w:rPr>
          <w:rFonts w:ascii="Palatino Linotype" w:eastAsia="Palatino Linotype" w:hAnsi="Palatino Linotype" w:cs="Palatino Linotype"/>
          <w:i/>
          <w:color w:val="000000"/>
          <w:sz w:val="22"/>
          <w:szCs w:val="22"/>
        </w:rPr>
        <w:t xml:space="preserve"> expira su vigencia, y </w:t>
      </w:r>
    </w:p>
    <w:p w:rsidR="009B5C01" w:rsidRDefault="00CB2DC6">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lastRenderedPageBreak/>
        <w:t xml:space="preserve">e) </w:t>
      </w:r>
      <w:r>
        <w:rPr>
          <w:rFonts w:ascii="Palatino Linotype" w:eastAsia="Palatino Linotype" w:hAnsi="Palatino Linotype" w:cs="Palatino Linotype"/>
          <w:i/>
          <w:color w:val="000000"/>
          <w:sz w:val="22"/>
          <w:szCs w:val="22"/>
        </w:rPr>
        <w:t>En el caso de la que se expida al ciudadano residente en el extranjero, la leyenda “Para Votar desde el Extranjero”.</w:t>
      </w:r>
    </w:p>
    <w:p w:rsidR="009B5C01" w:rsidRDefault="009B5C01">
      <w:pPr>
        <w:spacing w:line="360" w:lineRule="auto"/>
        <w:jc w:val="both"/>
        <w:rPr>
          <w:rFonts w:ascii="Palatino Linotype" w:eastAsia="Palatino Linotype" w:hAnsi="Palatino Linotype" w:cs="Palatino Linotype"/>
        </w:rPr>
      </w:pPr>
    </w:p>
    <w:p w:rsidR="009B5C01" w:rsidRDefault="00CB2DC6">
      <w:pPr>
        <w:numPr>
          <w:ilvl w:val="0"/>
          <w:numId w:val="11"/>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Como se advierte, todos los elementos contenidos en la credencial hacen a su titular, identificado, identificable e incluso ubicable en su domicilio. El número o la clave de la credencial de elector son únicos e irrepetibles y; de manera general este documento es utilizado para identificarse al momento de realizar trámites oficiales y de tipo privado, incluso en algunos lugares se tiene por costumbre tomar datos de la credencia para asentar en un documento como manera de acreditar la presentación de su titular y comprobar que la credencial se tuvo a la vista, por ello su relevancia y lo delicado de su uso.</w:t>
      </w:r>
    </w:p>
    <w:p w:rsidR="009B5C01" w:rsidRDefault="00CB2DC6">
      <w:pPr>
        <w:numPr>
          <w:ilvl w:val="0"/>
          <w:numId w:val="11"/>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Es de tener presente que la finalidad esencial de la credencial para votar con fotografía es la de ejercer el derecho humano de votar y ser votado; sin embargo, en el país, este documento es el reconocido a nivel general como medio idóneo para identificarse incluso de manera oficial; en el Estado de México está reconocida como identificación oficial en el artículo 2.5 Bis, fracción II del Código Civil del Estado de México.</w:t>
      </w:r>
    </w:p>
    <w:p w:rsidR="009B5C01" w:rsidRDefault="00CB2DC6">
      <w:pPr>
        <w:numPr>
          <w:ilvl w:val="0"/>
          <w:numId w:val="11"/>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Dada esta relevancia y que no guarda relación directa con el ejercicio de atribuciones de servidores públicos es que su contenido debe ser analizado en función del documento total, ya que esta obra por ser el medio preferible de identificación como ciudadano y no en función del cargo público, por lo que se entiende que se analizan en su conjunto los datos personales contenidos en la misma, con excepción del nombre; por lo que, en el presente caso, se considera que la credencial de elector, es confidencial y actualiza la causal de clasificación, </w:t>
      </w:r>
      <w:r>
        <w:rPr>
          <w:rFonts w:ascii="Palatino Linotype" w:eastAsia="Palatino Linotype" w:hAnsi="Palatino Linotype" w:cs="Palatino Linotype"/>
        </w:rPr>
        <w:lastRenderedPageBreak/>
        <w:t>establecida en el artículo 143, fracción I, de la Ley de Transparencia y Acceso a la Información Pública del Estado de México y Municipios.</w:t>
      </w:r>
    </w:p>
    <w:p w:rsidR="009B5C01" w:rsidRDefault="009B5C01">
      <w:pPr>
        <w:spacing w:line="360" w:lineRule="auto"/>
        <w:jc w:val="both"/>
        <w:rPr>
          <w:rFonts w:ascii="Palatino Linotype" w:eastAsia="Palatino Linotype" w:hAnsi="Palatino Linotype" w:cs="Palatino Linotype"/>
        </w:rPr>
      </w:pPr>
    </w:p>
    <w:p w:rsidR="009B5C01" w:rsidRDefault="00CB2DC6">
      <w:pPr>
        <w:numPr>
          <w:ilvl w:val="0"/>
          <w:numId w:val="1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la </w:t>
      </w:r>
      <w:r>
        <w:rPr>
          <w:rFonts w:ascii="Palatino Linotype" w:eastAsia="Palatino Linotype" w:hAnsi="Palatino Linotype" w:cs="Palatino Linotype"/>
          <w:b/>
          <w:color w:val="000000"/>
        </w:rPr>
        <w:t xml:space="preserve">Constancia de la Clave Única de Registro de Población. </w:t>
      </w:r>
      <w:r>
        <w:rPr>
          <w:rFonts w:ascii="Palatino Linotype" w:eastAsia="Palatino Linotype" w:hAnsi="Palatino Linotype" w:cs="Palatino Linotype"/>
          <w:color w:val="000000"/>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rsidR="009B5C01" w:rsidRDefault="009B5C01">
      <w:pPr>
        <w:spacing w:line="360" w:lineRule="auto"/>
        <w:jc w:val="both"/>
        <w:rPr>
          <w:rFonts w:ascii="Palatino Linotype" w:eastAsia="Palatino Linotype" w:hAnsi="Palatino Linotype" w:cs="Palatino Linotype"/>
        </w:rPr>
      </w:pPr>
    </w:p>
    <w:p w:rsidR="009B5C01" w:rsidRDefault="00CB2DC6">
      <w:pPr>
        <w:numPr>
          <w:ilvl w:val="0"/>
          <w:numId w:val="11"/>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rsidR="009B5C01" w:rsidRDefault="009B5C01">
      <w:pPr>
        <w:spacing w:line="360" w:lineRule="auto"/>
        <w:jc w:val="both"/>
        <w:rPr>
          <w:rFonts w:ascii="Palatino Linotype" w:eastAsia="Palatino Linotype" w:hAnsi="Palatino Linotype" w:cs="Palatino Linotype"/>
        </w:rPr>
      </w:pPr>
    </w:p>
    <w:p w:rsidR="009B5C01" w:rsidRDefault="00CB2DC6">
      <w:pPr>
        <w:numPr>
          <w:ilvl w:val="0"/>
          <w:numId w:val="11"/>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ese orden de ideas, la Secretaría de Gobernación en las direcciones </w:t>
      </w:r>
      <w:hyperlink r:id="rId11">
        <w:r>
          <w:rPr>
            <w:rFonts w:ascii="Palatino Linotype" w:eastAsia="Palatino Linotype" w:hAnsi="Palatino Linotype" w:cs="Palatino Linotype"/>
            <w:color w:val="0563C1"/>
            <w:u w:val="single"/>
          </w:rPr>
          <w:t>https://consultas.curp.gob.mx/CurpSP/html/informacionecurpPS.html</w:t>
        </w:r>
      </w:hyperlink>
      <w:r>
        <w:rPr>
          <w:rFonts w:ascii="Palatino Linotype" w:eastAsia="Palatino Linotype" w:hAnsi="Palatino Linotype" w:cs="Palatino Linotype"/>
        </w:rPr>
        <w:t xml:space="preserve"> y </w:t>
      </w:r>
      <w:hyperlink r:id="rId12">
        <w:r>
          <w:rPr>
            <w:rFonts w:ascii="Palatino Linotype" w:eastAsia="Palatino Linotype" w:hAnsi="Palatino Linotype" w:cs="Palatino Linotype"/>
            <w:color w:val="0563C1"/>
            <w:u w:val="single"/>
          </w:rPr>
          <w:t>https://www.gob.mx/segob/renapo/acciones-y-programas/clave-unica-de-registro-de-poblacion-curp-142226</w:t>
        </w:r>
      </w:hyperlink>
      <w:r>
        <w:rPr>
          <w:rFonts w:ascii="Palatino Linotype" w:eastAsia="Palatino Linotype" w:hAnsi="Palatino Linotype" w:cs="Palatino Linotype"/>
        </w:rPr>
        <w:t xml:space="preserve"> (consultadas el trece de mayo de dos mil veintiuno, a las diez horas), estableció que la Clave Única del Registro de Población, es un instrumento de registro que se asigna a todas las personas que viven en el territorio nacional, así como a los mexicanos que residen en el extranjero y se compone de </w:t>
      </w:r>
      <w:r>
        <w:rPr>
          <w:rFonts w:ascii="Palatino Linotype" w:eastAsia="Palatino Linotype" w:hAnsi="Palatino Linotype" w:cs="Palatino Linotype"/>
        </w:rPr>
        <w:lastRenderedPageBreak/>
        <w:t>dieciocho elementos, representados por letras y números, que se generan a partir de los datos contenidos en el documento probatorio de la identidad del interesado (acta de nacimiento, carta de naturalización o documento migratorio) de la siguiente forma:</w:t>
      </w:r>
    </w:p>
    <w:p w:rsidR="009B5C01" w:rsidRDefault="009B5C01">
      <w:pPr>
        <w:spacing w:line="360" w:lineRule="auto"/>
        <w:jc w:val="both"/>
        <w:rPr>
          <w:rFonts w:ascii="Palatino Linotype" w:eastAsia="Palatino Linotype" w:hAnsi="Palatino Linotype" w:cs="Palatino Linotype"/>
        </w:rPr>
      </w:pPr>
    </w:p>
    <w:p w:rsidR="009B5C01" w:rsidRDefault="00CB2DC6">
      <w:pPr>
        <w:numPr>
          <w:ilvl w:val="0"/>
          <w:numId w:val="7"/>
        </w:num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El primero y segundo apellidos, así como al nombre de pila;</w:t>
      </w:r>
    </w:p>
    <w:p w:rsidR="009B5C01" w:rsidRDefault="00CB2DC6">
      <w:pPr>
        <w:numPr>
          <w:ilvl w:val="0"/>
          <w:numId w:val="7"/>
        </w:num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La fecha de nacimiento;</w:t>
      </w:r>
    </w:p>
    <w:p w:rsidR="009B5C01" w:rsidRDefault="00CB2DC6">
      <w:pPr>
        <w:numPr>
          <w:ilvl w:val="0"/>
          <w:numId w:val="7"/>
        </w:num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El sexo, y</w:t>
      </w:r>
    </w:p>
    <w:p w:rsidR="009B5C01" w:rsidRDefault="00CB2DC6">
      <w:pPr>
        <w:numPr>
          <w:ilvl w:val="0"/>
          <w:numId w:val="7"/>
        </w:num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La entidad federativa de nacimiento.</w:t>
      </w:r>
    </w:p>
    <w:p w:rsidR="009B5C01" w:rsidRDefault="009B5C01">
      <w:pPr>
        <w:spacing w:line="360" w:lineRule="auto"/>
        <w:jc w:val="both"/>
        <w:rPr>
          <w:rFonts w:ascii="Palatino Linotype" w:eastAsia="Palatino Linotype" w:hAnsi="Palatino Linotype" w:cs="Palatino Linotype"/>
        </w:rPr>
      </w:pPr>
    </w:p>
    <w:p w:rsidR="009B5C01" w:rsidRDefault="00CB2DC6">
      <w:pPr>
        <w:numPr>
          <w:ilvl w:val="0"/>
          <w:numId w:val="11"/>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Los dos últimos elementos de la Clave Única de Registro de Población evitan la duplicidad de la Clave y garantizan su correcta integración.</w:t>
      </w:r>
    </w:p>
    <w:p w:rsidR="009B5C01" w:rsidRDefault="009B5C01">
      <w:pPr>
        <w:spacing w:line="360" w:lineRule="auto"/>
        <w:jc w:val="both"/>
        <w:rPr>
          <w:rFonts w:ascii="Palatino Linotype" w:eastAsia="Palatino Linotype" w:hAnsi="Palatino Linotype" w:cs="Palatino Linotype"/>
        </w:rPr>
      </w:pPr>
    </w:p>
    <w:p w:rsidR="009B5C01" w:rsidRDefault="00CB2DC6">
      <w:pPr>
        <w:numPr>
          <w:ilvl w:val="0"/>
          <w:numId w:val="11"/>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rsidR="009B5C01" w:rsidRDefault="009B5C01">
      <w:pPr>
        <w:spacing w:line="360" w:lineRule="auto"/>
        <w:jc w:val="both"/>
        <w:rPr>
          <w:rFonts w:ascii="Palatino Linotype" w:eastAsia="Palatino Linotype" w:hAnsi="Palatino Linotype" w:cs="Palatino Linotype"/>
        </w:rPr>
      </w:pPr>
    </w:p>
    <w:p w:rsidR="009B5C01" w:rsidRDefault="00CB2DC6">
      <w:pPr>
        <w:numPr>
          <w:ilvl w:val="0"/>
          <w:numId w:val="11"/>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Situación que se robustece, con el Criterio 18/17, emitido por el Instituto Nacional de Transparencia, Acceso a la Información y Protección de Datos Personales, que establece lo siguiente:</w:t>
      </w:r>
    </w:p>
    <w:p w:rsidR="009B5C01" w:rsidRDefault="009B5C01">
      <w:pPr>
        <w:spacing w:line="360" w:lineRule="auto"/>
        <w:ind w:left="567" w:right="567"/>
        <w:jc w:val="both"/>
        <w:rPr>
          <w:rFonts w:ascii="Palatino Linotype" w:eastAsia="Palatino Linotype" w:hAnsi="Palatino Linotype" w:cs="Palatino Linotype"/>
        </w:rPr>
      </w:pPr>
    </w:p>
    <w:p w:rsidR="009B5C01" w:rsidRDefault="00CB2DC6">
      <w:pPr>
        <w:ind w:left="1134" w:right="900"/>
        <w:jc w:val="both"/>
        <w:rPr>
          <w:rFonts w:ascii="Palatino Linotype" w:eastAsia="Palatino Linotype" w:hAnsi="Palatino Linotype" w:cs="Palatino Linotype"/>
          <w:i/>
        </w:rPr>
      </w:pPr>
      <w:r>
        <w:rPr>
          <w:rFonts w:ascii="Palatino Linotype" w:eastAsia="Palatino Linotype" w:hAnsi="Palatino Linotype" w:cs="Palatino Linotype"/>
          <w:b/>
          <w:i/>
        </w:rPr>
        <w:t xml:space="preserve">“Clave Única de Registro de Población (CURP). </w:t>
      </w:r>
      <w:r>
        <w:rPr>
          <w:rFonts w:ascii="Palatino Linotype" w:eastAsia="Palatino Linotype" w:hAnsi="Palatino Linotype" w:cs="Palatino Linotype"/>
          <w:i/>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rsidR="009B5C01" w:rsidRDefault="009B5C01">
      <w:pPr>
        <w:spacing w:line="360" w:lineRule="auto"/>
        <w:jc w:val="both"/>
        <w:rPr>
          <w:rFonts w:ascii="Palatino Linotype" w:eastAsia="Palatino Linotype" w:hAnsi="Palatino Linotype" w:cs="Palatino Linotype"/>
        </w:rPr>
      </w:pPr>
    </w:p>
    <w:p w:rsidR="009B5C01" w:rsidRDefault="00CB2DC6">
      <w:pPr>
        <w:numPr>
          <w:ilvl w:val="0"/>
          <w:numId w:val="11"/>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acuerdo con lo anterior, resulta procedente la clasificación de la Clave Única de Registro de Población; por lo que, la constancia de dicho dato corre al misma suerte, pues únicamente contiene datos que hacen identificables de los servidores públicos, que en nada abonan a la transparencia y no rinden cuentas de la forma de actuar, por lo que, es un documento privado, en términos del artículo 143, fracción I, de la Ley de Transparencia y Acceso a la Información Pública del Estado de México y Municipios. </w:t>
      </w:r>
    </w:p>
    <w:p w:rsidR="009B5C01" w:rsidRDefault="009B5C01">
      <w:pPr>
        <w:spacing w:line="360" w:lineRule="auto"/>
        <w:jc w:val="both"/>
        <w:rPr>
          <w:rFonts w:ascii="Palatino Linotype" w:eastAsia="Palatino Linotype" w:hAnsi="Palatino Linotype" w:cs="Palatino Linotype"/>
        </w:rPr>
      </w:pPr>
    </w:p>
    <w:p w:rsidR="009B5C01" w:rsidRDefault="00CB2DC6">
      <w:pPr>
        <w:numPr>
          <w:ilvl w:val="0"/>
          <w:numId w:val="11"/>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la </w:t>
      </w:r>
      <w:r>
        <w:rPr>
          <w:rFonts w:ascii="Palatino Linotype" w:eastAsia="Palatino Linotype" w:hAnsi="Palatino Linotype" w:cs="Palatino Linotype"/>
          <w:b/>
        </w:rPr>
        <w:t>cédula de situación fiscal,</w:t>
      </w:r>
      <w:r>
        <w:rPr>
          <w:rFonts w:ascii="Palatino Linotype" w:eastAsia="Palatino Linotype" w:hAnsi="Palatino Linotype" w:cs="Palatino Linotype"/>
        </w:rPr>
        <w:t xml:space="preserve"> al respecto, la Ley de Fiscalización Superior del Estado de México, señala en su artículo 2 lo que son las entidades fiscalizables dentro de las que se encuentran los Municipios, que haya captado, recaudado, administrado, manejado, ejercido, cobrado o recibido en pago directo o indirectamente con recursos públicos del Estado o Municipios, o en su caso de la </w:t>
      </w:r>
      <w:r>
        <w:rPr>
          <w:rFonts w:ascii="Palatino Linotype" w:eastAsia="Palatino Linotype" w:hAnsi="Palatino Linotype" w:cs="Palatino Linotype"/>
        </w:rPr>
        <w:lastRenderedPageBreak/>
        <w:t>federación. Aunado a ello el Código Fiscal de la Federación señala en su artículo 27 que en materia del Registro federal de Contribuyentes las personas físicas y personas morales están obligadas a dar cumplimiento a las fracciones I, II, III y IV del apartado B del presente artículo, siempre que: deban presentar declaraciones periódicas, o estén obligadas a expedir comprobantes fiscales digitales por Internet por los actos o actividades que realicen o por los ingresos que perciban, así se encuentra dentro de dicho supuesto al Ayuntamiento, por lo que el mismo Artículo en su apartado C menciona las facultades de la autoridad fiscal dentro de las que se encuentra la de asignar la clave que corresponda a cada contribuyente que se inscriba en el Registro Federal de Contribuyentes y dicha clave será proporcionada a través de la cédula de identificación fiscal o la constancia de registro fiscal.</w:t>
      </w:r>
    </w:p>
    <w:p w:rsidR="009B5C01" w:rsidRDefault="009B5C01">
      <w:pPr>
        <w:ind w:left="1080" w:right="191"/>
        <w:jc w:val="both"/>
        <w:rPr>
          <w:rFonts w:ascii="Palatino Linotype" w:eastAsia="Palatino Linotype" w:hAnsi="Palatino Linotype" w:cs="Palatino Linotype"/>
        </w:rPr>
      </w:pPr>
    </w:p>
    <w:p w:rsidR="009B5C01" w:rsidRDefault="00CB2DC6">
      <w:pPr>
        <w:numPr>
          <w:ilvl w:val="0"/>
          <w:numId w:val="11"/>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 Precisado lo anterior, se advierte de manera enunciativa, más no limitativa que se testaron datos como el RFC del emisor, nombre emisor, nombre de la representada, nombre y firma de personas físicas, de la orden de pedido dirección de administración, subtotal, I.V. A. TOTAL, persona que recibe el pedido, precios unitarios, importe, nombres de proveedores, domicilio fiscal, RFC del proveedor, nombre de representante legal, nombre y apellidos en el acta de nacimiento, nombre en la credencial para votar y nombre en la CURP </w:t>
      </w:r>
    </w:p>
    <w:p w:rsidR="009B5C01" w:rsidRDefault="009B5C01">
      <w:pPr>
        <w:spacing w:line="360" w:lineRule="auto"/>
        <w:jc w:val="both"/>
        <w:rPr>
          <w:rFonts w:ascii="Palatino Linotype" w:eastAsia="Palatino Linotype" w:hAnsi="Palatino Linotype" w:cs="Palatino Linotype"/>
          <w:color w:val="000000"/>
        </w:rPr>
      </w:pPr>
    </w:p>
    <w:p w:rsidR="009B5C01" w:rsidRDefault="00CB2DC6">
      <w:pPr>
        <w:numPr>
          <w:ilvl w:val="0"/>
          <w:numId w:val="1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todo lo anteriormente expuesto se concluye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cuenta con la información solicitada por 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situación por la cual para colmar el derecho de acceso a la información deberá de remitir los contratos y las </w:t>
      </w:r>
      <w:r>
        <w:rPr>
          <w:rFonts w:ascii="Palatino Linotype" w:eastAsia="Palatino Linotype" w:hAnsi="Palatino Linotype" w:cs="Palatino Linotype"/>
          <w:color w:val="000000"/>
        </w:rPr>
        <w:lastRenderedPageBreak/>
        <w:t xml:space="preserve">facturas de con los proveedores contratados del ejercicio fiscal dos mil veintidós al dieciocho de junio de dos mil veinticuatro. </w:t>
      </w:r>
    </w:p>
    <w:p w:rsidR="009B5C01" w:rsidRDefault="009B5C01">
      <w:pPr>
        <w:spacing w:line="360" w:lineRule="auto"/>
        <w:ind w:right="49"/>
        <w:jc w:val="both"/>
        <w:rPr>
          <w:rFonts w:ascii="Palatino Linotype" w:eastAsia="Palatino Linotype" w:hAnsi="Palatino Linotype" w:cs="Palatino Linotype"/>
        </w:rPr>
      </w:pPr>
    </w:p>
    <w:p w:rsidR="009B5C01" w:rsidRDefault="00CB2DC6">
      <w:pPr>
        <w:keepNext/>
        <w:keepLines/>
        <w:spacing w:after="160" w:line="360" w:lineRule="auto"/>
        <w:rPr>
          <w:rFonts w:ascii="Palatino Linotype" w:eastAsia="Palatino Linotype" w:hAnsi="Palatino Linotype" w:cs="Palatino Linotype"/>
          <w:b/>
          <w:color w:val="000000"/>
        </w:rPr>
      </w:pPr>
      <w:bookmarkStart w:id="51" w:name="_heading=h.lnxbz9" w:colFirst="0" w:colLast="0"/>
      <w:bookmarkEnd w:id="51"/>
      <w:r>
        <w:rPr>
          <w:rFonts w:ascii="Palatino Linotype" w:eastAsia="Palatino Linotype" w:hAnsi="Palatino Linotype" w:cs="Palatino Linotype"/>
          <w:b/>
          <w:color w:val="000000"/>
        </w:rPr>
        <w:t>QUINTO. De la versión pública.</w:t>
      </w:r>
    </w:p>
    <w:p w:rsidR="009B5C01" w:rsidRDefault="00CB2DC6">
      <w:pPr>
        <w:keepNext/>
        <w:keepLines/>
        <w:numPr>
          <w:ilvl w:val="0"/>
          <w:numId w:val="9"/>
        </w:numPr>
        <w:tabs>
          <w:tab w:val="left" w:pos="284"/>
        </w:tabs>
        <w:spacing w:after="160" w:line="360" w:lineRule="auto"/>
        <w:ind w:left="0" w:firstLine="0"/>
        <w:rPr>
          <w:rFonts w:ascii="Palatino Linotype" w:eastAsia="Palatino Linotype" w:hAnsi="Palatino Linotype" w:cs="Palatino Linotype"/>
          <w:b/>
          <w:color w:val="000000"/>
        </w:rPr>
      </w:pPr>
      <w:bookmarkStart w:id="52" w:name="_heading=h.35nkun2" w:colFirst="0" w:colLast="0"/>
      <w:bookmarkEnd w:id="52"/>
      <w:r>
        <w:rPr>
          <w:rFonts w:ascii="Palatino Linotype" w:eastAsia="Palatino Linotype" w:hAnsi="Palatino Linotype" w:cs="Palatino Linotype"/>
          <w:b/>
          <w:color w:val="000000"/>
        </w:rPr>
        <w:t xml:space="preserve">Nociones generales. </w:t>
      </w:r>
    </w:p>
    <w:p w:rsidR="009B5C01" w:rsidRDefault="00CB2DC6">
      <w:pPr>
        <w:numPr>
          <w:ilvl w:val="0"/>
          <w:numId w:val="11"/>
        </w:numPr>
        <w:tabs>
          <w:tab w:val="left" w:pos="284"/>
        </w:tabs>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Debe destacarse, que debido a la información solicitada por 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obran datos personales susceptibles de protegerse, así como información susceptible de clasificarse como confidencial,  por lo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rsidR="009B5C01" w:rsidRDefault="009B5C01">
      <w:pPr>
        <w:tabs>
          <w:tab w:val="left" w:pos="0"/>
          <w:tab w:val="left" w:pos="284"/>
        </w:tabs>
        <w:spacing w:line="360" w:lineRule="auto"/>
        <w:ind w:right="49"/>
        <w:jc w:val="both"/>
        <w:rPr>
          <w:rFonts w:ascii="Palatino Linotype" w:eastAsia="Palatino Linotype" w:hAnsi="Palatino Linotype" w:cs="Palatino Linotype"/>
          <w:highlight w:val="yellow"/>
        </w:rPr>
      </w:pPr>
    </w:p>
    <w:p w:rsidR="009B5C01" w:rsidRDefault="00CB2DC6">
      <w:pPr>
        <w:numPr>
          <w:ilvl w:val="0"/>
          <w:numId w:val="11"/>
        </w:numPr>
        <w:tabs>
          <w:tab w:val="left" w:pos="284"/>
        </w:tabs>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No pasa desapercibido para este Órgano Garante que los sujetos obligados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9B5C01" w:rsidRDefault="009B5C01">
      <w:pPr>
        <w:tabs>
          <w:tab w:val="left" w:pos="284"/>
        </w:tabs>
        <w:spacing w:after="160" w:line="360" w:lineRule="auto"/>
        <w:ind w:right="49"/>
        <w:jc w:val="both"/>
        <w:rPr>
          <w:rFonts w:ascii="Palatino Linotype" w:eastAsia="Palatino Linotype" w:hAnsi="Palatino Linotype" w:cs="Palatino Linotype"/>
          <w:color w:val="000000"/>
        </w:rPr>
      </w:pPr>
    </w:p>
    <w:tbl>
      <w:tblPr>
        <w:tblStyle w:val="a"/>
        <w:tblW w:w="9209"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89"/>
        <w:gridCol w:w="6520"/>
      </w:tblGrid>
      <w:tr w:rsidR="009B5C01">
        <w:tc>
          <w:tcPr>
            <w:tcW w:w="2689" w:type="dxa"/>
          </w:tcPr>
          <w:p w:rsidR="009B5C01" w:rsidRDefault="00CB2DC6">
            <w:pPr>
              <w:tabs>
                <w:tab w:val="left" w:pos="284"/>
              </w:tabs>
              <w:spacing w:line="360" w:lineRule="auto"/>
              <w:rPr>
                <w:rFonts w:ascii="Palatino Linotype" w:eastAsia="Palatino Linotype" w:hAnsi="Palatino Linotype" w:cs="Palatino Linotype"/>
                <w:b/>
              </w:rPr>
            </w:pPr>
            <w:r>
              <w:rPr>
                <w:rFonts w:ascii="Palatino Linotype" w:eastAsia="Palatino Linotype" w:hAnsi="Palatino Linotype" w:cs="Palatino Linotype"/>
                <w:b/>
              </w:rPr>
              <w:t>a) Requisitos previos.</w:t>
            </w:r>
          </w:p>
        </w:tc>
        <w:tc>
          <w:tcPr>
            <w:tcW w:w="6520" w:type="dxa"/>
          </w:tcPr>
          <w:p w:rsidR="009B5C01" w:rsidRDefault="00CB2DC6">
            <w:pPr>
              <w:tabs>
                <w:tab w:val="left" w:pos="284"/>
              </w:tabs>
              <w:spacing w:line="360" w:lineRule="auto"/>
              <w:ind w:right="49"/>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Los artículos 100 y 122 de la Ley Estatal y de la Ley General, respectivamente, señalan que si los Sujetos Obligados determinan que la información actualiza </w:t>
            </w:r>
            <w:r>
              <w:rPr>
                <w:rFonts w:ascii="Palatino Linotype" w:eastAsia="Palatino Linotype" w:hAnsi="Palatino Linotype" w:cs="Palatino Linotype"/>
                <w:b/>
                <w:color w:val="000000"/>
              </w:rPr>
              <w:lastRenderedPageBreak/>
              <w:t xml:space="preserve">alguno de los supuestos de clasificación, es deber de los titulares de las áreas proponer su clasificación y no del Comité de Transparencia. </w:t>
            </w:r>
          </w:p>
          <w:p w:rsidR="009B5C01" w:rsidRDefault="00CB2DC6">
            <w:pPr>
              <w:tabs>
                <w:tab w:val="left" w:pos="284"/>
              </w:tabs>
              <w:spacing w:line="360" w:lineRule="auto"/>
              <w:ind w:right="49"/>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Al hacerlo tienen que precisar de qué información se trata, señalando el supuesto de clasificación (confidencialidad o reserva).</w:t>
            </w:r>
          </w:p>
          <w:p w:rsidR="009B5C01" w:rsidRDefault="00CB2DC6">
            <w:pPr>
              <w:tabs>
                <w:tab w:val="left" w:pos="284"/>
              </w:tabs>
              <w:spacing w:line="360" w:lineRule="auto"/>
              <w:ind w:right="49"/>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Además, se debe señalar el procedimiento, de los tres que establecen los artículos 132 y 106 de la Ley Estatal y General, respectivamente.</w:t>
            </w:r>
          </w:p>
          <w:p w:rsidR="009B5C01" w:rsidRDefault="00CB2DC6">
            <w:pPr>
              <w:tabs>
                <w:tab w:val="left" w:pos="284"/>
              </w:tabs>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color w:val="000000"/>
              </w:rPr>
              <w:t xml:space="preserve">El último de estos requisitos previos consiste en que no se pueden emitir acuerdos de carácter general ni particular, esto es, </w:t>
            </w:r>
            <w:r>
              <w:rPr>
                <w:rFonts w:ascii="Palatino Linotype" w:eastAsia="Palatino Linotype" w:hAnsi="Palatino Linotype" w:cs="Palatino Linotype"/>
                <w:b/>
                <w:color w:val="000000"/>
                <w:u w:val="single"/>
              </w:rPr>
              <w:t>no se puede hacer un acuerdo para clasificar de manera general todos los documentos de un expediente o área, sin</w:t>
            </w:r>
            <w:r>
              <w:rPr>
                <w:rFonts w:ascii="Palatino Linotype" w:eastAsia="Palatino Linotype" w:hAnsi="Palatino Linotype" w:cs="Palatino Linotype"/>
                <w:b/>
                <w:color w:val="000000"/>
              </w:rPr>
              <w:t xml:space="preserve"> individualizar su análisis y tampoco se puede hacer un acuerdo por cada dato que se vaya a clasificar dentro de un documento con diez datos, por ejemplo, susceptibles de ser clasificados.</w:t>
            </w:r>
          </w:p>
        </w:tc>
      </w:tr>
      <w:tr w:rsidR="009B5C01">
        <w:tc>
          <w:tcPr>
            <w:tcW w:w="2689" w:type="dxa"/>
          </w:tcPr>
          <w:p w:rsidR="009B5C01" w:rsidRDefault="00CB2DC6">
            <w:pPr>
              <w:tabs>
                <w:tab w:val="left" w:pos="284"/>
              </w:tabs>
              <w:spacing w:line="360" w:lineRule="auto"/>
              <w:rPr>
                <w:rFonts w:ascii="Palatino Linotype" w:eastAsia="Palatino Linotype" w:hAnsi="Palatino Linotype" w:cs="Palatino Linotype"/>
                <w:b/>
              </w:rPr>
            </w:pPr>
            <w:r>
              <w:rPr>
                <w:rFonts w:ascii="Palatino Linotype" w:eastAsia="Palatino Linotype" w:hAnsi="Palatino Linotype" w:cs="Palatino Linotype"/>
                <w:b/>
              </w:rPr>
              <w:lastRenderedPageBreak/>
              <w:t>b) Supuestos de clasificación.</w:t>
            </w:r>
          </w:p>
        </w:tc>
        <w:tc>
          <w:tcPr>
            <w:tcW w:w="6520" w:type="dxa"/>
          </w:tcPr>
          <w:p w:rsidR="009B5C01" w:rsidRDefault="00CB2DC6">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rsidR="009B5C01" w:rsidRDefault="00CB2DC6">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Los artículos 116 y 143 de la Ley Estatal y de la Ley General, respectivamente, señalan los supuestos para que la </w:t>
            </w:r>
            <w:r>
              <w:rPr>
                <w:rFonts w:ascii="Palatino Linotype" w:eastAsia="Palatino Linotype" w:hAnsi="Palatino Linotype" w:cs="Palatino Linotype"/>
                <w:color w:val="000000"/>
              </w:rPr>
              <w:lastRenderedPageBreak/>
              <w:t>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9B5C01" w:rsidRDefault="00CB2DC6">
            <w:pPr>
              <w:tabs>
                <w:tab w:val="left" w:pos="284"/>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9B5C01">
        <w:tc>
          <w:tcPr>
            <w:tcW w:w="2689" w:type="dxa"/>
          </w:tcPr>
          <w:p w:rsidR="009B5C01" w:rsidRDefault="00CB2DC6">
            <w:pPr>
              <w:tabs>
                <w:tab w:val="left" w:pos="284"/>
              </w:tabs>
              <w:spacing w:line="360" w:lineRule="auto"/>
              <w:rPr>
                <w:rFonts w:ascii="Palatino Linotype" w:eastAsia="Palatino Linotype" w:hAnsi="Palatino Linotype" w:cs="Palatino Linotype"/>
                <w:b/>
              </w:rPr>
            </w:pPr>
            <w:r>
              <w:rPr>
                <w:rFonts w:ascii="Palatino Linotype" w:eastAsia="Palatino Linotype" w:hAnsi="Palatino Linotype" w:cs="Palatino Linotype"/>
                <w:b/>
              </w:rPr>
              <w:lastRenderedPageBreak/>
              <w:t>c) Formalidades para emitir el acuerdo de clasificación.</w:t>
            </w:r>
          </w:p>
        </w:tc>
        <w:tc>
          <w:tcPr>
            <w:tcW w:w="6520" w:type="dxa"/>
          </w:tcPr>
          <w:p w:rsidR="009B5C01" w:rsidRDefault="00CB2DC6">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rsidR="009B5C01" w:rsidRDefault="00CB2DC6">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 necesario que </w:t>
            </w:r>
            <w:r>
              <w:rPr>
                <w:rFonts w:ascii="Palatino Linotype" w:eastAsia="Palatino Linotype" w:hAnsi="Palatino Linotype" w:cs="Palatino Linotype"/>
                <w:b/>
                <w:color w:val="000000"/>
                <w:u w:val="single"/>
              </w:rPr>
              <w:t>el acto reúna con los requisitos elementales</w:t>
            </w:r>
            <w:r>
              <w:rPr>
                <w:rFonts w:ascii="Palatino Linotype" w:eastAsia="Palatino Linotype" w:hAnsi="Palatino Linotype" w:cs="Palatino Linotype"/>
                <w:color w:val="000000"/>
              </w:rPr>
              <w:t>, entre ellos, que la autoridad que va a emitir el acto de autoridad sea la legalmente facultada para ello.</w:t>
            </w:r>
          </w:p>
          <w:p w:rsidR="009B5C01" w:rsidRDefault="00CB2DC6">
            <w:pPr>
              <w:tabs>
                <w:tab w:val="left" w:pos="284"/>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lastRenderedPageBreak/>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9B5C01">
        <w:tc>
          <w:tcPr>
            <w:tcW w:w="2689" w:type="dxa"/>
          </w:tcPr>
          <w:p w:rsidR="009B5C01" w:rsidRDefault="009B5C01">
            <w:pPr>
              <w:tabs>
                <w:tab w:val="left" w:pos="284"/>
              </w:tabs>
              <w:spacing w:line="360" w:lineRule="auto"/>
              <w:rPr>
                <w:rFonts w:ascii="Palatino Linotype" w:eastAsia="Palatino Linotype" w:hAnsi="Palatino Linotype" w:cs="Palatino Linotype"/>
                <w:b/>
              </w:rPr>
            </w:pPr>
          </w:p>
          <w:p w:rsidR="009B5C01" w:rsidRDefault="00CB2DC6">
            <w:pPr>
              <w:tabs>
                <w:tab w:val="left" w:pos="284"/>
              </w:tabs>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color w:val="000000"/>
              </w:rPr>
              <w:t xml:space="preserve">d) Requisitos de fondo del acuerdo de clasificación. </w:t>
            </w:r>
          </w:p>
        </w:tc>
        <w:tc>
          <w:tcPr>
            <w:tcW w:w="6520" w:type="dxa"/>
          </w:tcPr>
          <w:p w:rsidR="009B5C01" w:rsidRDefault="00CB2DC6">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color w:val="000000"/>
              </w:rPr>
              <w:t>Sujetos Obligados</w:t>
            </w:r>
            <w:r>
              <w:rPr>
                <w:rFonts w:ascii="Palatino Linotype" w:eastAsia="Palatino Linotype" w:hAnsi="Palatino Linotype" w:cs="Palatino Linotype"/>
                <w:color w:val="000000"/>
              </w:rPr>
              <w:t xml:space="preserve">, por lo que deberán fundar y motivar debidamente la clasificación. </w:t>
            </w:r>
          </w:p>
          <w:p w:rsidR="009B5C01" w:rsidRDefault="00CB2DC6">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se desprende que para una correcta </w:t>
            </w:r>
            <w:r>
              <w:rPr>
                <w:rFonts w:ascii="Palatino Linotype" w:eastAsia="Palatino Linotype" w:hAnsi="Palatino Linotype" w:cs="Palatino Linotype"/>
                <w:b/>
                <w:color w:val="000000"/>
              </w:rPr>
              <w:t>clasificación total o parcial</w:t>
            </w:r>
            <w:r>
              <w:rPr>
                <w:rFonts w:ascii="Palatino Linotype" w:eastAsia="Palatino Linotype" w:hAnsi="Palatino Linotype" w:cs="Palatino Linotype"/>
                <w:color w:val="000000"/>
              </w:rPr>
              <w:t xml:space="preserve">, esto es determinar los datos que se suprimen en las versiones públicas, es necesario fundar y motivar, de manera correcta, la clasificación; considerando que todo acto que la autoridad pronuncie en </w:t>
            </w:r>
            <w:r>
              <w:rPr>
                <w:rFonts w:ascii="Palatino Linotype" w:eastAsia="Palatino Linotype" w:hAnsi="Palatino Linotype" w:cs="Palatino Linotype"/>
                <w:color w:val="000000"/>
              </w:rPr>
              <w:lastRenderedPageBreak/>
              <w:t>el ejercicio de sus atribuciones, debe expresar los fundamentos legales que le dieron origen y las razones por las que se deben aplicar al caso concreto.</w:t>
            </w:r>
          </w:p>
          <w:p w:rsidR="009B5C01" w:rsidRDefault="00CB2DC6">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9B5C01" w:rsidRDefault="00CB2DC6">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ese mismo sentido, el numeral trigésimo tercero fracción V de los Lineamientos Generales, precisa que para motivar la clasificación se deben acreditar las circunstancias de tiempo, modo y lugar.</w:t>
            </w:r>
          </w:p>
          <w:p w:rsidR="009B5C01" w:rsidRDefault="00CB2DC6">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Ahora bien, </w:t>
            </w:r>
            <w:r>
              <w:rPr>
                <w:rFonts w:ascii="Palatino Linotype" w:eastAsia="Palatino Linotype" w:hAnsi="Palatino Linotype" w:cs="Palatino Linotype"/>
                <w:b/>
                <w:color w:val="000000"/>
                <w:u w:val="single"/>
              </w:rPr>
              <w:t>para cada caso además de fundar y motivar</w:t>
            </w:r>
            <w:r>
              <w:rPr>
                <w:rFonts w:ascii="Palatino Linotype" w:eastAsia="Palatino Linotype" w:hAnsi="Palatino Linotype" w:cs="Palatino Linotype"/>
                <w:color w:val="000000"/>
              </w:rPr>
              <w:t xml:space="preserve">,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w:t>
            </w:r>
            <w:r>
              <w:rPr>
                <w:rFonts w:ascii="Palatino Linotype" w:eastAsia="Palatino Linotype" w:hAnsi="Palatino Linotype" w:cs="Palatino Linotype"/>
                <w:color w:val="000000"/>
              </w:rPr>
              <w:lastRenderedPageBreak/>
              <w:t>postal, cuya titularidad corresponda a particulares, entre otros.</w:t>
            </w:r>
          </w:p>
        </w:tc>
      </w:tr>
      <w:tr w:rsidR="009B5C01">
        <w:tc>
          <w:tcPr>
            <w:tcW w:w="2689" w:type="dxa"/>
          </w:tcPr>
          <w:p w:rsidR="009B5C01" w:rsidRDefault="00CB2DC6">
            <w:pPr>
              <w:tabs>
                <w:tab w:val="left" w:pos="284"/>
              </w:tabs>
              <w:spacing w:line="360" w:lineRule="auto"/>
              <w:ind w:right="49"/>
              <w:jc w:val="both"/>
              <w:rPr>
                <w:rFonts w:ascii="Palatino Linotype" w:eastAsia="Palatino Linotype" w:hAnsi="Palatino Linotype" w:cs="Palatino Linotype"/>
                <w:b/>
              </w:rPr>
            </w:pPr>
            <w:r>
              <w:rPr>
                <w:rFonts w:ascii="Palatino Linotype" w:eastAsia="Palatino Linotype" w:hAnsi="Palatino Linotype" w:cs="Palatino Linotype"/>
                <w:b/>
              </w:rPr>
              <w:lastRenderedPageBreak/>
              <w:t xml:space="preserve">e) Condiciones especiales de la clasificación de la información como confidencial. </w:t>
            </w:r>
          </w:p>
        </w:tc>
        <w:tc>
          <w:tcPr>
            <w:tcW w:w="6520" w:type="dxa"/>
          </w:tcPr>
          <w:p w:rsidR="009B5C01" w:rsidRDefault="00CB2DC6">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Los artículos 148 y 120 de la Ley Estatal y de la Ley General, respectivamente, establecen que aun tratándose de datos personales, se podrán proporcionar, incluso sin solicitar el consentimiento de su titular. </w:t>
            </w:r>
          </w:p>
          <w:p w:rsidR="009B5C01" w:rsidRDefault="00CB2DC6">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9B5C01" w:rsidRDefault="00CB2DC6">
            <w:pPr>
              <w:tabs>
                <w:tab w:val="left" w:pos="284"/>
              </w:tabs>
              <w:spacing w:line="360" w:lineRule="auto"/>
              <w:rPr>
                <w:rFonts w:ascii="Palatino Linotype" w:eastAsia="Palatino Linotype" w:hAnsi="Palatino Linotype" w:cs="Palatino Linotype"/>
              </w:rPr>
            </w:pPr>
            <w:r>
              <w:rPr>
                <w:rFonts w:ascii="Palatino Linotype" w:eastAsia="Palatino Linotype" w:hAnsi="Palatino Linotype" w:cs="Palatino Linotype"/>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9B5C01" w:rsidRDefault="009B5C01">
      <w:pPr>
        <w:tabs>
          <w:tab w:val="left" w:pos="284"/>
        </w:tabs>
        <w:spacing w:line="360" w:lineRule="auto"/>
        <w:rPr>
          <w:rFonts w:ascii="Palatino Linotype" w:eastAsia="Palatino Linotype" w:hAnsi="Palatino Linotype" w:cs="Palatino Linotype"/>
          <w:color w:val="000000"/>
        </w:rPr>
      </w:pPr>
    </w:p>
    <w:p w:rsidR="009B5C01" w:rsidRDefault="00CB2DC6">
      <w:pPr>
        <w:numPr>
          <w:ilvl w:val="0"/>
          <w:numId w:val="11"/>
        </w:numPr>
        <w:tabs>
          <w:tab w:val="left" w:pos="284"/>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rsidR="009B5C01" w:rsidRDefault="009B5C01">
      <w:pPr>
        <w:spacing w:line="360" w:lineRule="auto"/>
        <w:jc w:val="both"/>
        <w:rPr>
          <w:rFonts w:ascii="Palatino Linotype" w:eastAsia="Palatino Linotype" w:hAnsi="Palatino Linotype" w:cs="Palatino Linotype"/>
          <w:color w:val="000000"/>
        </w:rPr>
      </w:pPr>
    </w:p>
    <w:p w:rsidR="009B5C01" w:rsidRDefault="00CB2DC6">
      <w:pPr>
        <w:numPr>
          <w:ilvl w:val="0"/>
          <w:numId w:val="11"/>
        </w:numPr>
        <w:spacing w:line="360" w:lineRule="auto"/>
        <w:ind w:left="0" w:right="34"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Por lo anteriormente expuesto, este Órgano Garante considera fundadas las razones o motivos de inconformidad que plantea el</w:t>
      </w:r>
      <w:r>
        <w:rPr>
          <w:rFonts w:ascii="Palatino Linotype" w:eastAsia="Palatino Linotype" w:hAnsi="Palatino Linotype" w:cs="Palatino Linotype"/>
          <w:b/>
        </w:rPr>
        <w:t xml:space="preserve"> RECURRENTE</w:t>
      </w:r>
      <w:r>
        <w:rPr>
          <w:rFonts w:ascii="Palatino Linotype" w:eastAsia="Palatino Linotype" w:hAnsi="Palatino Linotype" w:cs="Palatino Linotype"/>
        </w:rPr>
        <w:t xml:space="preserve">, determinando </w:t>
      </w:r>
      <w:r w:rsidR="00446B8F" w:rsidRPr="001D2BC9">
        <w:rPr>
          <w:rFonts w:ascii="Palatino Linotype" w:eastAsia="Palatino Linotype" w:hAnsi="Palatino Linotype" w:cs="Palatino Linotype"/>
          <w:b/>
        </w:rPr>
        <w:t>MODIFI</w:t>
      </w:r>
      <w:r w:rsidRPr="001D2BC9">
        <w:rPr>
          <w:rFonts w:ascii="Palatino Linotype" w:eastAsia="Palatino Linotype" w:hAnsi="Palatino Linotype" w:cs="Palatino Linotype"/>
          <w:b/>
        </w:rPr>
        <w:t>CAR</w:t>
      </w:r>
      <w:r>
        <w:rPr>
          <w:rFonts w:ascii="Palatino Linotype" w:eastAsia="Palatino Linotype" w:hAnsi="Palatino Linotype" w:cs="Palatino Linotype"/>
        </w:rPr>
        <w:t xml:space="preserve"> 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por lo que con fundamento en lo prescrito en los artículos 5 párrafos vigésimo noveno, trigésimo y trigésimo primero fracciones IV y V de la Constitución Política del Estado Libre y Soberano de México; 2, fracción II; 29, 36 fracciones I y II; 176, 178, 181, 185</w:t>
      </w:r>
      <w:r w:rsidR="00446B8F">
        <w:rPr>
          <w:rFonts w:ascii="Palatino Linotype" w:eastAsia="Palatino Linotype" w:hAnsi="Palatino Linotype" w:cs="Palatino Linotype"/>
        </w:rPr>
        <w:t xml:space="preserve"> y 186 fracción III</w:t>
      </w:r>
      <w:r>
        <w:rPr>
          <w:rFonts w:ascii="Palatino Linotype" w:eastAsia="Palatino Linotype" w:hAnsi="Palatino Linotype" w:cs="Palatino Linotype"/>
        </w:rPr>
        <w:t xml:space="preserve"> de la Ley de Transparencia y Acceso a la Información Pública del Estado de México y Municipios, </w:t>
      </w:r>
      <w:r>
        <w:rPr>
          <w:rFonts w:ascii="Palatino Linotype" w:eastAsia="Palatino Linotype" w:hAnsi="Palatino Linotype" w:cs="Palatino Linotype"/>
          <w:color w:val="000000"/>
        </w:rPr>
        <w:t xml:space="preserve">este </w:t>
      </w:r>
      <w:r>
        <w:rPr>
          <w:rFonts w:ascii="Palatino Linotype" w:eastAsia="Palatino Linotype" w:hAnsi="Palatino Linotype" w:cs="Palatino Linotype"/>
          <w:b/>
          <w:color w:val="000000"/>
        </w:rPr>
        <w:t>ÓRGANO GARANTE</w:t>
      </w:r>
      <w:r>
        <w:rPr>
          <w:rFonts w:ascii="Palatino Linotype" w:eastAsia="Palatino Linotype" w:hAnsi="Palatino Linotype" w:cs="Palatino Linotype"/>
          <w:color w:val="000000"/>
        </w:rPr>
        <w:t xml:space="preserve"> emite los siguientes.</w:t>
      </w:r>
    </w:p>
    <w:p w:rsidR="009B5C01" w:rsidRDefault="009B5C01">
      <w:pPr>
        <w:spacing w:line="360" w:lineRule="auto"/>
        <w:jc w:val="both"/>
        <w:rPr>
          <w:rFonts w:ascii="Palatino Linotype" w:eastAsia="Palatino Linotype" w:hAnsi="Palatino Linotype" w:cs="Palatino Linotype"/>
          <w:color w:val="000000"/>
        </w:rPr>
      </w:pPr>
    </w:p>
    <w:p w:rsidR="009B5C01" w:rsidRDefault="009B5C01">
      <w:pPr>
        <w:spacing w:line="360" w:lineRule="auto"/>
        <w:ind w:right="34"/>
        <w:jc w:val="both"/>
        <w:rPr>
          <w:rFonts w:ascii="Palatino Linotype" w:eastAsia="Palatino Linotype" w:hAnsi="Palatino Linotype" w:cs="Palatino Linotype"/>
          <w:color w:val="000000"/>
        </w:rPr>
      </w:pPr>
    </w:p>
    <w:p w:rsidR="009B5C01" w:rsidRDefault="00CB2DC6">
      <w:pPr>
        <w:keepNext/>
        <w:keepLines/>
        <w:spacing w:line="36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 E S O L U T I V O S</w:t>
      </w:r>
    </w:p>
    <w:p w:rsidR="009B5C01" w:rsidRDefault="009B5C01">
      <w:pPr>
        <w:spacing w:line="360" w:lineRule="auto"/>
        <w:jc w:val="center"/>
        <w:rPr>
          <w:rFonts w:ascii="Palatino Linotype" w:eastAsia="Palatino Linotype" w:hAnsi="Palatino Linotype" w:cs="Palatino Linotype"/>
        </w:rPr>
      </w:pPr>
    </w:p>
    <w:p w:rsidR="009B5C01" w:rsidRDefault="00CB2DC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PRIMERO</w:t>
      </w:r>
      <w:r>
        <w:rPr>
          <w:rFonts w:ascii="Palatino Linotype" w:eastAsia="Palatino Linotype" w:hAnsi="Palatino Linotype" w:cs="Palatino Linotype"/>
        </w:rPr>
        <w:t xml:space="preserve">. Resultan fundadas las razones o motivos de inconformidad hechos valer en los Recursos de Revisión </w:t>
      </w:r>
      <w:r>
        <w:rPr>
          <w:rFonts w:ascii="Palatino Linotype" w:eastAsia="Palatino Linotype" w:hAnsi="Palatino Linotype" w:cs="Palatino Linotype"/>
          <w:b/>
        </w:rPr>
        <w:t xml:space="preserve">04653/INFOEM/IP/RR/2024 y 04654/INFOEM/IP/RR/2024 </w:t>
      </w:r>
      <w:r>
        <w:rPr>
          <w:rFonts w:ascii="Palatino Linotype" w:eastAsia="Palatino Linotype" w:hAnsi="Palatino Linotype" w:cs="Palatino Linotype"/>
        </w:rPr>
        <w:t xml:space="preserve">en términos de los Considerandos </w:t>
      </w:r>
      <w:r>
        <w:rPr>
          <w:rFonts w:ascii="Palatino Linotype" w:eastAsia="Palatino Linotype" w:hAnsi="Palatino Linotype" w:cs="Palatino Linotype"/>
          <w:b/>
        </w:rPr>
        <w:t xml:space="preserve">CUARTO y QUINTO </w:t>
      </w:r>
      <w:r>
        <w:rPr>
          <w:rFonts w:ascii="Palatino Linotype" w:eastAsia="Palatino Linotype" w:hAnsi="Palatino Linotype" w:cs="Palatino Linotype"/>
        </w:rPr>
        <w:t xml:space="preserve">de la presente resolución. </w:t>
      </w:r>
    </w:p>
    <w:p w:rsidR="009B5C01" w:rsidRDefault="009B5C01">
      <w:pPr>
        <w:spacing w:line="360" w:lineRule="auto"/>
        <w:jc w:val="both"/>
        <w:rPr>
          <w:rFonts w:ascii="Palatino Linotype" w:eastAsia="Palatino Linotype" w:hAnsi="Palatino Linotype" w:cs="Palatino Linotype"/>
        </w:rPr>
      </w:pPr>
    </w:p>
    <w:p w:rsidR="009B5C01" w:rsidRDefault="00CB2DC6">
      <w:pPr>
        <w:spacing w:line="360" w:lineRule="auto"/>
        <w:jc w:val="both"/>
        <w:rPr>
          <w:rFonts w:ascii="Palatino Linotype" w:eastAsia="Palatino Linotype" w:hAnsi="Palatino Linotype" w:cs="Palatino Linotype"/>
        </w:rPr>
      </w:pPr>
      <w:bookmarkStart w:id="53" w:name="_heading=h.1ksv4uv" w:colFirst="0" w:colLast="0"/>
      <w:bookmarkEnd w:id="53"/>
      <w:r>
        <w:rPr>
          <w:rFonts w:ascii="Palatino Linotype" w:eastAsia="Palatino Linotype" w:hAnsi="Palatino Linotype" w:cs="Palatino Linotype"/>
          <w:b/>
        </w:rPr>
        <w:t xml:space="preserve">SEGUNDO. </w:t>
      </w:r>
      <w:r w:rsidRPr="001D2BC9">
        <w:rPr>
          <w:rFonts w:ascii="Palatino Linotype" w:eastAsia="Palatino Linotype" w:hAnsi="Palatino Linotype" w:cs="Palatino Linotype"/>
          <w:color w:val="000000"/>
        </w:rPr>
        <w:t xml:space="preserve">Se </w:t>
      </w:r>
      <w:r w:rsidR="00446B8F" w:rsidRPr="001D2BC9">
        <w:rPr>
          <w:rFonts w:ascii="Palatino Linotype" w:eastAsia="Palatino Linotype" w:hAnsi="Palatino Linotype" w:cs="Palatino Linotype"/>
          <w:b/>
          <w:color w:val="000000"/>
        </w:rPr>
        <w:t xml:space="preserve">MODIFICAN </w:t>
      </w:r>
      <w:r w:rsidRPr="001D2BC9">
        <w:rPr>
          <w:rFonts w:ascii="Palatino Linotype" w:eastAsia="Palatino Linotype" w:hAnsi="Palatino Linotype" w:cs="Palatino Linotype"/>
          <w:color w:val="000000"/>
        </w:rPr>
        <w:t>las</w:t>
      </w:r>
      <w:r>
        <w:rPr>
          <w:rFonts w:ascii="Palatino Linotype" w:eastAsia="Palatino Linotype" w:hAnsi="Palatino Linotype" w:cs="Palatino Linotype"/>
          <w:color w:val="000000"/>
        </w:rPr>
        <w:t xml:space="preserve"> respuestas emitida por el Instituto Municipal de Cultura Física y Deporte de Toluca y se </w:t>
      </w:r>
      <w:r>
        <w:rPr>
          <w:rFonts w:ascii="Palatino Linotype" w:eastAsia="Palatino Linotype" w:hAnsi="Palatino Linotype" w:cs="Palatino Linotype"/>
          <w:b/>
          <w:color w:val="000000"/>
        </w:rPr>
        <w:t>ORDENA</w:t>
      </w:r>
      <w:r>
        <w:rPr>
          <w:rFonts w:ascii="Palatino Linotype" w:eastAsia="Palatino Linotype" w:hAnsi="Palatino Linotype" w:cs="Palatino Linotype"/>
          <w:color w:val="000000"/>
        </w:rPr>
        <w:t xml:space="preserve"> entregar vía Sistema de Acceso a la Información Mexiquense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en versión pública:</w:t>
      </w:r>
    </w:p>
    <w:p w:rsidR="009B5C01" w:rsidRDefault="00CB2DC6">
      <w:pPr>
        <w:spacing w:line="360" w:lineRule="auto"/>
        <w:ind w:right="900"/>
        <w:jc w:val="both"/>
        <w:rPr>
          <w:rFonts w:ascii="Palatino Linotype" w:eastAsia="Palatino Linotype" w:hAnsi="Palatino Linotype" w:cs="Palatino Linotype"/>
          <w:b/>
        </w:rPr>
      </w:pPr>
      <w:r>
        <w:rPr>
          <w:rFonts w:ascii="Palatino Linotype" w:eastAsia="Palatino Linotype" w:hAnsi="Palatino Linotype" w:cs="Palatino Linotype"/>
          <w:b/>
        </w:rPr>
        <w:t xml:space="preserve">    </w:t>
      </w:r>
    </w:p>
    <w:p w:rsidR="009B5C01" w:rsidRDefault="00CB2DC6">
      <w:pPr>
        <w:numPr>
          <w:ilvl w:val="0"/>
          <w:numId w:val="4"/>
        </w:numPr>
        <w:pBdr>
          <w:top w:val="nil"/>
          <w:left w:val="nil"/>
          <w:bottom w:val="nil"/>
          <w:right w:val="nil"/>
          <w:between w:val="nil"/>
        </w:pBdr>
        <w:spacing w:line="360" w:lineRule="auto"/>
        <w:ind w:left="1134" w:right="90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lastRenderedPageBreak/>
        <w:t xml:space="preserve">Contratos y </w:t>
      </w:r>
      <w:r>
        <w:rPr>
          <w:rFonts w:ascii="Palatino Linotype" w:eastAsia="Palatino Linotype" w:hAnsi="Palatino Linotype" w:cs="Palatino Linotype"/>
          <w:b/>
        </w:rPr>
        <w:t>f</w:t>
      </w:r>
      <w:r>
        <w:rPr>
          <w:rFonts w:ascii="Palatino Linotype" w:eastAsia="Palatino Linotype" w:hAnsi="Palatino Linotype" w:cs="Palatino Linotype"/>
          <w:b/>
          <w:color w:val="000000"/>
        </w:rPr>
        <w:t xml:space="preserve">acturas de los proveedores referidos en las respuestas de las solicitudes de información 00005/IMCUFIDETOLUCA/IP/2024 y 00002/IMCUFIDETOLUCA/IP/2024. </w:t>
      </w:r>
    </w:p>
    <w:p w:rsidR="009B5C01" w:rsidRDefault="009B5C01">
      <w:pPr>
        <w:pBdr>
          <w:top w:val="nil"/>
          <w:left w:val="nil"/>
          <w:bottom w:val="nil"/>
          <w:right w:val="nil"/>
          <w:between w:val="nil"/>
        </w:pBdr>
        <w:tabs>
          <w:tab w:val="left" w:pos="8080"/>
        </w:tabs>
        <w:spacing w:line="360" w:lineRule="auto"/>
        <w:ind w:left="1134" w:right="758"/>
        <w:jc w:val="both"/>
        <w:rPr>
          <w:rFonts w:ascii="Palatino Linotype" w:eastAsia="Palatino Linotype" w:hAnsi="Palatino Linotype" w:cs="Palatino Linotype"/>
          <w:color w:val="000000"/>
          <w:sz w:val="22"/>
          <w:szCs w:val="22"/>
        </w:rPr>
      </w:pPr>
    </w:p>
    <w:p w:rsidR="009B5C01" w:rsidRDefault="00CB2DC6">
      <w:pPr>
        <w:pBdr>
          <w:top w:val="nil"/>
          <w:left w:val="nil"/>
          <w:bottom w:val="nil"/>
          <w:right w:val="nil"/>
          <w:between w:val="nil"/>
        </w:pBdr>
        <w:tabs>
          <w:tab w:val="left" w:pos="8080"/>
        </w:tabs>
        <w:spacing w:line="360" w:lineRule="auto"/>
        <w:ind w:right="-93"/>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Pr>
          <w:rFonts w:ascii="Palatino Linotype" w:eastAsia="Palatino Linotype" w:hAnsi="Palatino Linotype" w:cs="Palatino Linotype"/>
          <w:b/>
          <w:color w:val="000000"/>
        </w:rPr>
        <w:t>RECURRENTE.</w:t>
      </w:r>
    </w:p>
    <w:p w:rsidR="009B5C01" w:rsidRDefault="009B5C01">
      <w:pPr>
        <w:pBdr>
          <w:top w:val="nil"/>
          <w:left w:val="nil"/>
          <w:bottom w:val="nil"/>
          <w:right w:val="nil"/>
          <w:between w:val="nil"/>
        </w:pBdr>
        <w:tabs>
          <w:tab w:val="left" w:pos="8080"/>
        </w:tabs>
        <w:spacing w:line="360" w:lineRule="auto"/>
        <w:ind w:right="-93"/>
        <w:jc w:val="both"/>
        <w:rPr>
          <w:rFonts w:ascii="Palatino Linotype" w:eastAsia="Palatino Linotype" w:hAnsi="Palatino Linotype" w:cs="Palatino Linotype"/>
          <w:b/>
          <w:color w:val="000000"/>
        </w:rPr>
      </w:pPr>
    </w:p>
    <w:p w:rsidR="009B5C01" w:rsidRDefault="009B5C01">
      <w:pPr>
        <w:spacing w:line="360" w:lineRule="auto"/>
        <w:jc w:val="both"/>
        <w:rPr>
          <w:rFonts w:ascii="Palatino Linotype" w:eastAsia="Palatino Linotype" w:hAnsi="Palatino Linotype" w:cs="Palatino Linotype"/>
          <w:b/>
        </w:rPr>
      </w:pPr>
    </w:p>
    <w:p w:rsidR="009B5C01" w:rsidRDefault="00CB2DC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TERCERO</w:t>
      </w:r>
      <w:r>
        <w:rPr>
          <w:rFonts w:ascii="Palatino Linotype" w:eastAsia="Palatino Linotype" w:hAnsi="Palatino Linotype" w:cs="Palatino Linotype"/>
        </w:rPr>
        <w:t>. NOTIFÍQUESE la presente resolución al Titular de la Unidad de Transparencia del Sujeto Obligado vía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9B5C01" w:rsidRDefault="009B5C01">
      <w:pPr>
        <w:tabs>
          <w:tab w:val="left" w:pos="8080"/>
        </w:tabs>
        <w:spacing w:line="360" w:lineRule="auto"/>
        <w:ind w:right="49"/>
        <w:jc w:val="both"/>
        <w:rPr>
          <w:rFonts w:ascii="Palatino Linotype" w:eastAsia="Palatino Linotype" w:hAnsi="Palatino Linotype" w:cs="Palatino Linotype"/>
          <w:highlight w:val="white"/>
        </w:rPr>
      </w:pPr>
    </w:p>
    <w:p w:rsidR="009B5C01" w:rsidRDefault="00CB2DC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CUARTO. </w:t>
      </w:r>
      <w:r>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 manera fundada y motivada, podrá solicitar una ampliación de plazo para el cumplimiento de la presente resolución.</w:t>
      </w:r>
    </w:p>
    <w:p w:rsidR="009B5C01" w:rsidRDefault="009B5C01">
      <w:pPr>
        <w:spacing w:line="360" w:lineRule="auto"/>
        <w:jc w:val="both"/>
        <w:rPr>
          <w:rFonts w:ascii="Palatino Linotype" w:eastAsia="Palatino Linotype" w:hAnsi="Palatino Linotype" w:cs="Palatino Linotype"/>
        </w:rPr>
      </w:pPr>
    </w:p>
    <w:p w:rsidR="009B5C01" w:rsidRDefault="00CB2DC6">
      <w:pPr>
        <w:tabs>
          <w:tab w:val="left" w:pos="8080"/>
        </w:tabs>
        <w:spacing w:line="360" w:lineRule="auto"/>
        <w:ind w:right="49"/>
        <w:jc w:val="both"/>
        <w:rPr>
          <w:rFonts w:ascii="Palatino Linotype" w:eastAsia="Palatino Linotype" w:hAnsi="Palatino Linotype" w:cs="Palatino Linotype"/>
        </w:rPr>
      </w:pPr>
      <w:bookmarkStart w:id="54" w:name="_heading=h.44sinio" w:colFirst="0" w:colLast="0"/>
      <w:bookmarkEnd w:id="54"/>
      <w:r>
        <w:rPr>
          <w:rFonts w:ascii="Palatino Linotype" w:eastAsia="Palatino Linotype" w:hAnsi="Palatino Linotype" w:cs="Palatino Linotype"/>
          <w:b/>
        </w:rPr>
        <w:t xml:space="preserve">QUINTO. </w:t>
      </w:r>
      <w:r>
        <w:rPr>
          <w:rFonts w:ascii="Palatino Linotype" w:eastAsia="Palatino Linotype" w:hAnsi="Palatino Linotype" w:cs="Palatino Linotype"/>
        </w:rPr>
        <w:t xml:space="preserve">Notifíquese a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la presente resolución, vía SAIMEX.</w:t>
      </w:r>
    </w:p>
    <w:p w:rsidR="009B5C01" w:rsidRDefault="009B5C01">
      <w:pPr>
        <w:tabs>
          <w:tab w:val="left" w:pos="8080"/>
        </w:tabs>
        <w:spacing w:line="360" w:lineRule="auto"/>
        <w:ind w:right="49"/>
        <w:jc w:val="both"/>
        <w:rPr>
          <w:rFonts w:ascii="Palatino Linotype" w:eastAsia="Palatino Linotype" w:hAnsi="Palatino Linotype" w:cs="Palatino Linotype"/>
        </w:rPr>
      </w:pPr>
    </w:p>
    <w:p w:rsidR="009B5C01" w:rsidRDefault="00CB2DC6">
      <w:pPr>
        <w:shd w:val="clear" w:color="auto" w:fill="FFFFFF"/>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SEXTO.</w:t>
      </w:r>
      <w:r>
        <w:rPr>
          <w:rFonts w:ascii="Palatino Linotype" w:eastAsia="Palatino Linotype" w:hAnsi="Palatino Linotype" w:cs="Palatino Linotype"/>
        </w:rPr>
        <w:t xml:space="preserve"> Se hace del conocimiento de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9B5C01" w:rsidRDefault="009B5C01">
      <w:pPr>
        <w:shd w:val="clear" w:color="auto" w:fill="FFFFFF"/>
        <w:spacing w:line="360" w:lineRule="auto"/>
        <w:jc w:val="both"/>
        <w:rPr>
          <w:rFonts w:ascii="Palatino Linotype" w:eastAsia="Palatino Linotype" w:hAnsi="Palatino Linotype" w:cs="Palatino Linotype"/>
        </w:rPr>
      </w:pPr>
    </w:p>
    <w:p w:rsidR="00095430" w:rsidRPr="003C7186" w:rsidRDefault="00095430" w:rsidP="00095430">
      <w:pPr>
        <w:spacing w:line="360" w:lineRule="auto"/>
        <w:ind w:firstLine="1"/>
        <w:jc w:val="both"/>
        <w:rPr>
          <w:rFonts w:ascii="Palatino Linotype" w:hAnsi="Palatino Linotype"/>
        </w:rPr>
      </w:pPr>
      <w:bookmarkStart w:id="55" w:name="_heading=h.2jxsxqh" w:colFirst="0" w:colLast="0"/>
      <w:bookmarkEnd w:id="55"/>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SEGUNDA </w:t>
      </w:r>
      <w:r w:rsidRPr="003C7186">
        <w:rPr>
          <w:rFonts w:ascii="Palatino Linotype" w:hAnsi="Palatino Linotype"/>
        </w:rPr>
        <w:t xml:space="preserve">SESIÓN ORDINARIA CELEBRADA EL </w:t>
      </w:r>
      <w:r>
        <w:rPr>
          <w:rFonts w:ascii="Palatino Linotype" w:hAnsi="Palatino Linotype"/>
        </w:rPr>
        <w:t>ONCE</w:t>
      </w:r>
      <w:r w:rsidRPr="003C7186">
        <w:rPr>
          <w:rFonts w:ascii="Palatino Linotype" w:hAnsi="Palatino Linotype"/>
        </w:rPr>
        <w:t xml:space="preserve"> </w:t>
      </w:r>
      <w:r>
        <w:rPr>
          <w:rFonts w:ascii="Palatino Linotype" w:hAnsi="Palatino Linotype"/>
        </w:rPr>
        <w:t>(11) DE SEPTIEMBRE</w:t>
      </w:r>
      <w:r w:rsidRPr="003C7186">
        <w:rPr>
          <w:rFonts w:ascii="Palatino Linotype" w:hAnsi="Palatino Linotype"/>
        </w:rPr>
        <w:t xml:space="preserve"> DE DOS MIL VEINTICUATRO, ANTE EL SECRETARIO TÉCNICO DEL PLENO ALEXIS TAPIA RAMÍREZ. </w:t>
      </w:r>
    </w:p>
    <w:p w:rsidR="009B5C01" w:rsidRDefault="009B5C01">
      <w:pPr>
        <w:spacing w:line="360" w:lineRule="auto"/>
        <w:jc w:val="both"/>
        <w:rPr>
          <w:rFonts w:ascii="Palatino Linotype" w:eastAsia="Palatino Linotype" w:hAnsi="Palatino Linotype" w:cs="Palatino Linotype"/>
        </w:rPr>
      </w:pPr>
    </w:p>
    <w:p w:rsidR="009B5C01" w:rsidRDefault="009B5C01">
      <w:pPr>
        <w:spacing w:line="360" w:lineRule="auto"/>
        <w:jc w:val="both"/>
        <w:rPr>
          <w:rFonts w:ascii="Palatino Linotype" w:eastAsia="Palatino Linotype" w:hAnsi="Palatino Linotype" w:cs="Palatino Linotype"/>
        </w:rPr>
      </w:pPr>
    </w:p>
    <w:p w:rsidR="009B5C01" w:rsidRDefault="009B5C01">
      <w:pPr>
        <w:spacing w:line="360" w:lineRule="auto"/>
        <w:jc w:val="both"/>
        <w:rPr>
          <w:rFonts w:ascii="Palatino Linotype" w:eastAsia="Palatino Linotype" w:hAnsi="Palatino Linotype" w:cs="Palatino Linotype"/>
        </w:rPr>
      </w:pPr>
    </w:p>
    <w:p w:rsidR="009B5C01" w:rsidRDefault="009B5C01">
      <w:pPr>
        <w:spacing w:line="360" w:lineRule="auto"/>
        <w:rPr>
          <w:rFonts w:ascii="Palatino Linotype" w:eastAsia="Palatino Linotype" w:hAnsi="Palatino Linotype" w:cs="Palatino Linotype"/>
        </w:rPr>
      </w:pPr>
    </w:p>
    <w:p w:rsidR="009B5C01" w:rsidRDefault="009B5C01">
      <w:pPr>
        <w:spacing w:line="360" w:lineRule="auto"/>
        <w:rPr>
          <w:rFonts w:ascii="Palatino Linotype" w:eastAsia="Palatino Linotype" w:hAnsi="Palatino Linotype" w:cs="Palatino Linotype"/>
        </w:rPr>
      </w:pPr>
    </w:p>
    <w:p w:rsidR="009B5C01" w:rsidRDefault="009B5C01">
      <w:pPr>
        <w:spacing w:line="360" w:lineRule="auto"/>
        <w:rPr>
          <w:rFonts w:ascii="Palatino Linotype" w:eastAsia="Palatino Linotype" w:hAnsi="Palatino Linotype" w:cs="Palatino Linotype"/>
        </w:rPr>
      </w:pPr>
    </w:p>
    <w:p w:rsidR="009B5C01" w:rsidRDefault="009B5C01">
      <w:pPr>
        <w:spacing w:line="360" w:lineRule="auto"/>
        <w:rPr>
          <w:rFonts w:ascii="Palatino Linotype" w:eastAsia="Palatino Linotype" w:hAnsi="Palatino Linotype" w:cs="Palatino Linotype"/>
        </w:rPr>
      </w:pPr>
    </w:p>
    <w:p w:rsidR="009B5C01" w:rsidRDefault="009B5C01">
      <w:pPr>
        <w:spacing w:line="360" w:lineRule="auto"/>
        <w:rPr>
          <w:rFonts w:ascii="Palatino Linotype" w:eastAsia="Palatino Linotype" w:hAnsi="Palatino Linotype" w:cs="Palatino Linotype"/>
        </w:rPr>
      </w:pPr>
    </w:p>
    <w:p w:rsidR="009B5C01" w:rsidRDefault="009B5C01">
      <w:pPr>
        <w:spacing w:line="360" w:lineRule="auto"/>
        <w:rPr>
          <w:rFonts w:ascii="Palatino Linotype" w:eastAsia="Palatino Linotype" w:hAnsi="Palatino Linotype" w:cs="Palatino Linotype"/>
        </w:rPr>
      </w:pPr>
    </w:p>
    <w:p w:rsidR="009B5C01" w:rsidRDefault="009B5C01">
      <w:pPr>
        <w:spacing w:line="360" w:lineRule="auto"/>
        <w:rPr>
          <w:rFonts w:ascii="Palatino Linotype" w:eastAsia="Palatino Linotype" w:hAnsi="Palatino Linotype" w:cs="Palatino Linotype"/>
        </w:rPr>
      </w:pPr>
    </w:p>
    <w:p w:rsidR="009B5C01" w:rsidRDefault="009B5C01">
      <w:pPr>
        <w:spacing w:line="360" w:lineRule="auto"/>
        <w:rPr>
          <w:rFonts w:ascii="Palatino Linotype" w:eastAsia="Palatino Linotype" w:hAnsi="Palatino Linotype" w:cs="Palatino Linotype"/>
        </w:rPr>
      </w:pPr>
    </w:p>
    <w:p w:rsidR="009B5C01" w:rsidRDefault="009B5C01">
      <w:pPr>
        <w:spacing w:line="360" w:lineRule="auto"/>
        <w:rPr>
          <w:rFonts w:ascii="Palatino Linotype" w:eastAsia="Palatino Linotype" w:hAnsi="Palatino Linotype" w:cs="Palatino Linotype"/>
        </w:rPr>
      </w:pPr>
    </w:p>
    <w:p w:rsidR="009B5C01" w:rsidRDefault="009B5C01">
      <w:pPr>
        <w:spacing w:line="360" w:lineRule="auto"/>
        <w:rPr>
          <w:rFonts w:ascii="Palatino Linotype" w:eastAsia="Palatino Linotype" w:hAnsi="Palatino Linotype" w:cs="Palatino Linotype"/>
        </w:rPr>
      </w:pPr>
    </w:p>
    <w:p w:rsidR="009B5C01" w:rsidRDefault="009B5C01">
      <w:pPr>
        <w:spacing w:line="360" w:lineRule="auto"/>
        <w:rPr>
          <w:rFonts w:ascii="Palatino Linotype" w:eastAsia="Palatino Linotype" w:hAnsi="Palatino Linotype" w:cs="Palatino Linotype"/>
        </w:rPr>
      </w:pPr>
    </w:p>
    <w:p w:rsidR="009B5C01" w:rsidRDefault="009B5C01">
      <w:pPr>
        <w:spacing w:line="360" w:lineRule="auto"/>
        <w:rPr>
          <w:rFonts w:ascii="Palatino Linotype" w:eastAsia="Palatino Linotype" w:hAnsi="Palatino Linotype" w:cs="Palatino Linotype"/>
        </w:rPr>
      </w:pPr>
    </w:p>
    <w:p w:rsidR="009B5C01" w:rsidRDefault="009B5C01">
      <w:pPr>
        <w:spacing w:line="360" w:lineRule="auto"/>
        <w:rPr>
          <w:rFonts w:ascii="Palatino Linotype" w:eastAsia="Palatino Linotype" w:hAnsi="Palatino Linotype" w:cs="Palatino Linotype"/>
        </w:rPr>
      </w:pPr>
    </w:p>
    <w:p w:rsidR="009B5C01" w:rsidRDefault="009B5C01">
      <w:pPr>
        <w:spacing w:line="360" w:lineRule="auto"/>
        <w:rPr>
          <w:rFonts w:ascii="Palatino Linotype" w:eastAsia="Palatino Linotype" w:hAnsi="Palatino Linotype" w:cs="Palatino Linotype"/>
        </w:rPr>
      </w:pPr>
    </w:p>
    <w:p w:rsidR="009B5C01" w:rsidRDefault="009B5C01">
      <w:pPr>
        <w:spacing w:line="360" w:lineRule="auto"/>
        <w:rPr>
          <w:rFonts w:ascii="Palatino Linotype" w:eastAsia="Palatino Linotype" w:hAnsi="Palatino Linotype" w:cs="Palatino Linotype"/>
        </w:rPr>
      </w:pPr>
    </w:p>
    <w:p w:rsidR="009B5C01" w:rsidRDefault="009B5C01">
      <w:pPr>
        <w:spacing w:line="360" w:lineRule="auto"/>
        <w:rPr>
          <w:rFonts w:ascii="Palatino Linotype" w:eastAsia="Palatino Linotype" w:hAnsi="Palatino Linotype" w:cs="Palatino Linotype"/>
        </w:rPr>
      </w:pPr>
    </w:p>
    <w:p w:rsidR="009B5C01" w:rsidRDefault="009B5C01">
      <w:pPr>
        <w:spacing w:line="360" w:lineRule="auto"/>
        <w:rPr>
          <w:rFonts w:ascii="Palatino Linotype" w:eastAsia="Palatino Linotype" w:hAnsi="Palatino Linotype" w:cs="Palatino Linotype"/>
        </w:rPr>
      </w:pPr>
    </w:p>
    <w:p w:rsidR="009B5C01" w:rsidRDefault="009B5C01">
      <w:pPr>
        <w:spacing w:line="360" w:lineRule="auto"/>
        <w:rPr>
          <w:rFonts w:ascii="Palatino Linotype" w:eastAsia="Palatino Linotype" w:hAnsi="Palatino Linotype" w:cs="Palatino Linotype"/>
        </w:rPr>
      </w:pPr>
    </w:p>
    <w:p w:rsidR="009B5C01" w:rsidRDefault="009B5C01"/>
    <w:p w:rsidR="009B5C01" w:rsidRDefault="009B5C01"/>
    <w:sectPr w:rsidR="009B5C01">
      <w:headerReference w:type="default" r:id="rId13"/>
      <w:footerReference w:type="default" r:id="rId14"/>
      <w:headerReference w:type="first" r:id="rId15"/>
      <w:footerReference w:type="first" r:id="rId16"/>
      <w:pgSz w:w="12240" w:h="15840"/>
      <w:pgMar w:top="2410" w:right="1701" w:bottom="1985"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B16" w:rsidRDefault="00FF0B16">
      <w:r>
        <w:separator/>
      </w:r>
    </w:p>
  </w:endnote>
  <w:endnote w:type="continuationSeparator" w:id="0">
    <w:p w:rsidR="00FF0B16" w:rsidRDefault="00FF0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C01" w:rsidRDefault="00CB2DC6">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7C5BE0">
      <w:rPr>
        <w:rFonts w:ascii="Arial" w:eastAsia="Arial" w:hAnsi="Arial" w:cs="Arial"/>
        <w:b/>
        <w:noProof/>
        <w:color w:val="000000"/>
        <w:sz w:val="20"/>
        <w:szCs w:val="20"/>
      </w:rPr>
      <w:t>21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7C5BE0">
      <w:rPr>
        <w:rFonts w:ascii="Arial" w:eastAsia="Arial" w:hAnsi="Arial" w:cs="Arial"/>
        <w:b/>
        <w:noProof/>
        <w:color w:val="000000"/>
        <w:sz w:val="20"/>
        <w:szCs w:val="20"/>
      </w:rPr>
      <w:t>48</w:t>
    </w:r>
    <w:r>
      <w:rPr>
        <w:rFonts w:ascii="Arial" w:eastAsia="Arial" w:hAnsi="Arial" w:cs="Arial"/>
        <w:b/>
        <w:color w:val="000000"/>
        <w:sz w:val="20"/>
        <w:szCs w:val="20"/>
      </w:rPr>
      <w:fldChar w:fldCharType="end"/>
    </w:r>
  </w:p>
  <w:p w:rsidR="009B5C01" w:rsidRDefault="009B5C01">
    <w:pPr>
      <w:pBdr>
        <w:top w:val="nil"/>
        <w:left w:val="nil"/>
        <w:bottom w:val="nil"/>
        <w:right w:val="nil"/>
        <w:between w:val="nil"/>
      </w:pBdr>
      <w:tabs>
        <w:tab w:val="center" w:pos="4252"/>
        <w:tab w:val="right" w:pos="8504"/>
      </w:tabs>
      <w:rPr>
        <w:color w:val="000000"/>
      </w:rPr>
    </w:pPr>
  </w:p>
  <w:p w:rsidR="009B5C01" w:rsidRDefault="009B5C01">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C01" w:rsidRDefault="00CB2DC6">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7C5BE0">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7C5BE0">
      <w:rPr>
        <w:rFonts w:ascii="Arial" w:eastAsia="Arial" w:hAnsi="Arial" w:cs="Arial"/>
        <w:b/>
        <w:noProof/>
        <w:color w:val="000000"/>
        <w:sz w:val="20"/>
        <w:szCs w:val="20"/>
      </w:rPr>
      <w:t>48</w:t>
    </w:r>
    <w:r>
      <w:rPr>
        <w:rFonts w:ascii="Arial" w:eastAsia="Arial" w:hAnsi="Arial" w:cs="Arial"/>
        <w:b/>
        <w:color w:val="000000"/>
        <w:sz w:val="20"/>
        <w:szCs w:val="20"/>
      </w:rPr>
      <w:fldChar w:fldCharType="end"/>
    </w:r>
  </w:p>
  <w:p w:rsidR="009B5C01" w:rsidRDefault="009B5C01">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B16" w:rsidRDefault="00FF0B16">
      <w:r>
        <w:separator/>
      </w:r>
    </w:p>
  </w:footnote>
  <w:footnote w:type="continuationSeparator" w:id="0">
    <w:p w:rsidR="00FF0B16" w:rsidRDefault="00FF0B16">
      <w:r>
        <w:continuationSeparator/>
      </w:r>
    </w:p>
  </w:footnote>
  <w:footnote w:id="1">
    <w:p w:rsidR="009B5C01" w:rsidRDefault="00CB2DC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Emitidos por este Instituto y publicados en el Periódico Oficial del Gobierno del Estado de México “Gaceta del Gobierno” en fecha treinta de octubre de dos mil ocho.</w:t>
      </w:r>
    </w:p>
  </w:footnote>
  <w:footnote w:id="2">
    <w:p w:rsidR="009B5C01" w:rsidRDefault="00CB2DC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3">
    <w:p w:rsidR="009B5C01" w:rsidRDefault="00CB2DC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4">
    <w:p w:rsidR="009B5C01" w:rsidRDefault="00CB2DC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5">
    <w:p w:rsidR="009B5C01" w:rsidRDefault="00CB2DC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C01" w:rsidRDefault="009B5C01">
    <w:pPr>
      <w:widowControl w:val="0"/>
      <w:pBdr>
        <w:top w:val="nil"/>
        <w:left w:val="nil"/>
        <w:bottom w:val="nil"/>
        <w:right w:val="nil"/>
        <w:between w:val="nil"/>
      </w:pBdr>
      <w:spacing w:line="276" w:lineRule="auto"/>
      <w:rPr>
        <w:color w:val="000000"/>
        <w:sz w:val="20"/>
        <w:szCs w:val="20"/>
      </w:rPr>
    </w:pPr>
  </w:p>
  <w:tbl>
    <w:tblPr>
      <w:tblStyle w:val="a0"/>
      <w:tblW w:w="6095" w:type="dxa"/>
      <w:tblInd w:w="2977" w:type="dxa"/>
      <w:tblLayout w:type="fixed"/>
      <w:tblLook w:val="0400" w:firstRow="0" w:lastRow="0" w:firstColumn="0" w:lastColumn="0" w:noHBand="0" w:noVBand="1"/>
    </w:tblPr>
    <w:tblGrid>
      <w:gridCol w:w="2552"/>
      <w:gridCol w:w="3543"/>
    </w:tblGrid>
    <w:tr w:rsidR="009B5C01">
      <w:tc>
        <w:tcPr>
          <w:tcW w:w="2552" w:type="dxa"/>
          <w:vAlign w:val="center"/>
        </w:tcPr>
        <w:p w:rsidR="009B5C01" w:rsidRDefault="00CB2DC6">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3543" w:type="dxa"/>
          <w:vAlign w:val="center"/>
        </w:tcPr>
        <w:p w:rsidR="009B5C01" w:rsidRDefault="00CB2DC6">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2"/>
              <w:szCs w:val="22"/>
            </w:rPr>
            <w:t>04653/INFOEM/IP/RR/2024</w:t>
          </w:r>
          <w:r>
            <w:rPr>
              <w:rFonts w:ascii="Palatino Linotype" w:eastAsia="Palatino Linotype" w:hAnsi="Palatino Linotype" w:cs="Palatino Linotype"/>
              <w:b/>
              <w:sz w:val="20"/>
              <w:szCs w:val="20"/>
            </w:rPr>
            <w:t xml:space="preserve"> </w:t>
          </w:r>
          <w:r>
            <w:rPr>
              <w:rFonts w:ascii="Palatino Linotype" w:eastAsia="Palatino Linotype" w:hAnsi="Palatino Linotype" w:cs="Palatino Linotype"/>
              <w:b/>
              <w:sz w:val="21"/>
              <w:szCs w:val="21"/>
            </w:rPr>
            <w:t>y acumulado</w:t>
          </w:r>
        </w:p>
      </w:tc>
    </w:tr>
    <w:tr w:rsidR="009B5C01">
      <w:trPr>
        <w:trHeight w:val="228"/>
      </w:trPr>
      <w:tc>
        <w:tcPr>
          <w:tcW w:w="2552" w:type="dxa"/>
          <w:vAlign w:val="center"/>
        </w:tcPr>
        <w:p w:rsidR="009B5C01" w:rsidRDefault="00CB2DC6">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tc>
      <w:tc>
        <w:tcPr>
          <w:tcW w:w="3543" w:type="dxa"/>
          <w:shd w:val="clear" w:color="auto" w:fill="auto"/>
          <w:vAlign w:val="center"/>
        </w:tcPr>
        <w:p w:rsidR="009B5C01" w:rsidRDefault="00CB2DC6">
          <w:pPr>
            <w:rPr>
              <w:rFonts w:ascii="Palatino Linotype" w:eastAsia="Palatino Linotype" w:hAnsi="Palatino Linotype" w:cs="Palatino Linotype"/>
              <w:b/>
              <w:sz w:val="21"/>
              <w:szCs w:val="21"/>
            </w:rPr>
          </w:pPr>
          <w:r>
            <w:rPr>
              <w:rFonts w:ascii="Palatino Linotype" w:eastAsia="Palatino Linotype" w:hAnsi="Palatino Linotype" w:cs="Palatino Linotype"/>
              <w:b/>
              <w:color w:val="000000"/>
              <w:sz w:val="22"/>
              <w:szCs w:val="22"/>
            </w:rPr>
            <w:t>Instituto Municipal de Cultura Física y Deporte de Toluca</w:t>
          </w:r>
        </w:p>
      </w:tc>
    </w:tr>
    <w:tr w:rsidR="009B5C01">
      <w:tc>
        <w:tcPr>
          <w:tcW w:w="2552" w:type="dxa"/>
          <w:vAlign w:val="center"/>
        </w:tcPr>
        <w:p w:rsidR="009B5C01" w:rsidRDefault="00CB2DC6">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543" w:type="dxa"/>
          <w:vAlign w:val="center"/>
        </w:tcPr>
        <w:p w:rsidR="009B5C01" w:rsidRDefault="00CB2DC6">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María del Rosario Mejía Ayala</w:t>
          </w:r>
        </w:p>
      </w:tc>
    </w:tr>
  </w:tbl>
  <w:p w:rsidR="009B5C01" w:rsidRDefault="00CB2DC6">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lang w:val="es-MX"/>
      </w:rPr>
      <w:drawing>
        <wp:anchor distT="0" distB="0" distL="0" distR="0" simplePos="0" relativeHeight="251658240" behindDoc="1" locked="0" layoutInCell="1" hidden="0" allowOverlap="1">
          <wp:simplePos x="0" y="0"/>
          <wp:positionH relativeFrom="column">
            <wp:posOffset>-1080134</wp:posOffset>
          </wp:positionH>
          <wp:positionV relativeFrom="paragraph">
            <wp:posOffset>-1492935</wp:posOffset>
          </wp:positionV>
          <wp:extent cx="7813085" cy="10170000"/>
          <wp:effectExtent l="0" t="0" r="0" b="0"/>
          <wp:wrapNone/>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3085" cy="101700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C01" w:rsidRDefault="00CB2DC6">
    <w:pPr>
      <w:pBdr>
        <w:top w:val="nil"/>
        <w:left w:val="nil"/>
        <w:bottom w:val="nil"/>
        <w:right w:val="nil"/>
        <w:between w:val="nil"/>
      </w:pBdr>
      <w:tabs>
        <w:tab w:val="center" w:pos="4252"/>
        <w:tab w:val="right" w:pos="8504"/>
        <w:tab w:val="left" w:pos="7154"/>
      </w:tabs>
      <w:jc w:val="both"/>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r>
    <w:r>
      <w:rPr>
        <w:noProof/>
        <w:lang w:val="es-MX"/>
      </w:rPr>
      <w:drawing>
        <wp:anchor distT="0" distB="0" distL="0" distR="0" simplePos="0" relativeHeight="251659264" behindDoc="1" locked="0" layoutInCell="1" hidden="0" allowOverlap="1">
          <wp:simplePos x="0" y="0"/>
          <wp:positionH relativeFrom="column">
            <wp:posOffset>-1078864</wp:posOffset>
          </wp:positionH>
          <wp:positionV relativeFrom="paragraph">
            <wp:posOffset>-411479</wp:posOffset>
          </wp:positionV>
          <wp:extent cx="7813085" cy="10170000"/>
          <wp:effectExtent l="0" t="0" r="0" b="0"/>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3085" cy="10170000"/>
                  </a:xfrm>
                  <a:prstGeom prst="rect">
                    <a:avLst/>
                  </a:prstGeom>
                  <a:ln/>
                </pic:spPr>
              </pic:pic>
            </a:graphicData>
          </a:graphic>
        </wp:anchor>
      </w:drawing>
    </w:r>
  </w:p>
  <w:tbl>
    <w:tblPr>
      <w:tblStyle w:val="a1"/>
      <w:tblW w:w="6095" w:type="dxa"/>
      <w:tblInd w:w="3119" w:type="dxa"/>
      <w:tblLayout w:type="fixed"/>
      <w:tblLook w:val="0400" w:firstRow="0" w:lastRow="0" w:firstColumn="0" w:lastColumn="0" w:noHBand="0" w:noVBand="1"/>
    </w:tblPr>
    <w:tblGrid>
      <w:gridCol w:w="2551"/>
      <w:gridCol w:w="3544"/>
    </w:tblGrid>
    <w:tr w:rsidR="009B5C01">
      <w:tc>
        <w:tcPr>
          <w:tcW w:w="2551" w:type="dxa"/>
          <w:vAlign w:val="center"/>
        </w:tcPr>
        <w:p w:rsidR="009B5C01" w:rsidRDefault="00CB2DC6">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3544" w:type="dxa"/>
          <w:vAlign w:val="center"/>
        </w:tcPr>
        <w:p w:rsidR="009B5C01" w:rsidRDefault="00CB2DC6">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2"/>
              <w:szCs w:val="22"/>
            </w:rPr>
            <w:t>04653/INFOEM/IP/RR/2024 y acumulado</w:t>
          </w:r>
        </w:p>
      </w:tc>
    </w:tr>
    <w:tr w:rsidR="009B5C01">
      <w:tc>
        <w:tcPr>
          <w:tcW w:w="2551" w:type="dxa"/>
          <w:vAlign w:val="center"/>
        </w:tcPr>
        <w:p w:rsidR="009B5C01" w:rsidRDefault="00CB2DC6">
          <w:pPr>
            <w:ind w:left="35" w:hanging="35"/>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Recurrente:</w:t>
          </w:r>
        </w:p>
      </w:tc>
      <w:tc>
        <w:tcPr>
          <w:tcW w:w="3544" w:type="dxa"/>
          <w:shd w:val="clear" w:color="auto" w:fill="auto"/>
          <w:vAlign w:val="center"/>
        </w:tcPr>
        <w:p w:rsidR="009B5C01" w:rsidRDefault="009B5C01">
          <w:pPr>
            <w:rPr>
              <w:rFonts w:ascii="Palatino Linotype" w:eastAsia="Palatino Linotype" w:hAnsi="Palatino Linotype" w:cs="Palatino Linotype"/>
              <w:b/>
              <w:sz w:val="21"/>
              <w:szCs w:val="21"/>
            </w:rPr>
          </w:pPr>
        </w:p>
      </w:tc>
    </w:tr>
    <w:tr w:rsidR="009B5C01">
      <w:trPr>
        <w:trHeight w:val="228"/>
      </w:trPr>
      <w:tc>
        <w:tcPr>
          <w:tcW w:w="2551" w:type="dxa"/>
          <w:vAlign w:val="center"/>
        </w:tcPr>
        <w:p w:rsidR="009B5C01" w:rsidRDefault="00CB2DC6">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tc>
      <w:tc>
        <w:tcPr>
          <w:tcW w:w="3544" w:type="dxa"/>
          <w:shd w:val="clear" w:color="auto" w:fill="auto"/>
          <w:vAlign w:val="center"/>
        </w:tcPr>
        <w:p w:rsidR="009B5C01" w:rsidRDefault="00CB2DC6">
          <w:pPr>
            <w:ind w:left="35" w:hanging="35"/>
            <w:jc w:val="both"/>
            <w:rPr>
              <w:rFonts w:ascii="Palatino Linotype" w:eastAsia="Palatino Linotype" w:hAnsi="Palatino Linotype" w:cs="Palatino Linotype"/>
              <w:sz w:val="21"/>
              <w:szCs w:val="21"/>
            </w:rPr>
          </w:pPr>
          <w:r>
            <w:rPr>
              <w:rFonts w:ascii="Palatino Linotype" w:eastAsia="Palatino Linotype" w:hAnsi="Palatino Linotype" w:cs="Palatino Linotype"/>
              <w:b/>
              <w:color w:val="000000"/>
              <w:sz w:val="22"/>
              <w:szCs w:val="22"/>
            </w:rPr>
            <w:t>Instituto Municipal de Cultura Física y Deporte de Toluca</w:t>
          </w:r>
        </w:p>
      </w:tc>
    </w:tr>
    <w:tr w:rsidR="009B5C01">
      <w:tc>
        <w:tcPr>
          <w:tcW w:w="2551" w:type="dxa"/>
          <w:vAlign w:val="center"/>
        </w:tcPr>
        <w:p w:rsidR="009B5C01" w:rsidRDefault="00CB2DC6">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544" w:type="dxa"/>
          <w:vAlign w:val="center"/>
        </w:tcPr>
        <w:p w:rsidR="009B5C01" w:rsidRDefault="00CB2DC6">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María del Rosario Mejía Ayala</w:t>
          </w:r>
        </w:p>
      </w:tc>
    </w:tr>
  </w:tbl>
  <w:p w:rsidR="009B5C01" w:rsidRDefault="009B5C01">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40031"/>
    <w:multiLevelType w:val="multilevel"/>
    <w:tmpl w:val="13BEA716"/>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1">
    <w:nsid w:val="34195B67"/>
    <w:multiLevelType w:val="multilevel"/>
    <w:tmpl w:val="915E447C"/>
    <w:lvl w:ilvl="0">
      <w:start w:val="1"/>
      <w:numFmt w:val="upperRoman"/>
      <w:lvlText w:val="%1."/>
      <w:lvlJc w:val="left"/>
      <w:pPr>
        <w:ind w:left="1428" w:hanging="719"/>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nsid w:val="3664671D"/>
    <w:multiLevelType w:val="multilevel"/>
    <w:tmpl w:val="2940039C"/>
    <w:lvl w:ilvl="0">
      <w:start w:val="1"/>
      <w:numFmt w:val="bullet"/>
      <w:lvlText w:val="●"/>
      <w:lvlJc w:val="left"/>
      <w:pPr>
        <w:ind w:left="1778" w:hanging="360"/>
      </w:pPr>
      <w:rPr>
        <w:rFonts w:ascii="Noto Sans Symbols" w:eastAsia="Noto Sans Symbols" w:hAnsi="Noto Sans Symbols" w:cs="Noto Sans Symbols"/>
      </w:rPr>
    </w:lvl>
    <w:lvl w:ilvl="1">
      <w:start w:val="1"/>
      <w:numFmt w:val="bullet"/>
      <w:lvlText w:val="o"/>
      <w:lvlJc w:val="left"/>
      <w:pPr>
        <w:ind w:left="2498" w:hanging="360"/>
      </w:pPr>
      <w:rPr>
        <w:rFonts w:ascii="Courier New" w:eastAsia="Courier New" w:hAnsi="Courier New" w:cs="Courier New"/>
      </w:rPr>
    </w:lvl>
    <w:lvl w:ilvl="2">
      <w:start w:val="1"/>
      <w:numFmt w:val="bullet"/>
      <w:lvlText w:val="▪"/>
      <w:lvlJc w:val="left"/>
      <w:pPr>
        <w:ind w:left="3218" w:hanging="360"/>
      </w:pPr>
      <w:rPr>
        <w:rFonts w:ascii="Noto Sans Symbols" w:eastAsia="Noto Sans Symbols" w:hAnsi="Noto Sans Symbols" w:cs="Noto Sans Symbols"/>
      </w:rPr>
    </w:lvl>
    <w:lvl w:ilvl="3">
      <w:start w:val="1"/>
      <w:numFmt w:val="bullet"/>
      <w:lvlText w:val="●"/>
      <w:lvlJc w:val="left"/>
      <w:pPr>
        <w:ind w:left="3938" w:hanging="360"/>
      </w:pPr>
      <w:rPr>
        <w:rFonts w:ascii="Noto Sans Symbols" w:eastAsia="Noto Sans Symbols" w:hAnsi="Noto Sans Symbols" w:cs="Noto Sans Symbols"/>
      </w:rPr>
    </w:lvl>
    <w:lvl w:ilvl="4">
      <w:start w:val="1"/>
      <w:numFmt w:val="bullet"/>
      <w:lvlText w:val="o"/>
      <w:lvlJc w:val="left"/>
      <w:pPr>
        <w:ind w:left="4658" w:hanging="360"/>
      </w:pPr>
      <w:rPr>
        <w:rFonts w:ascii="Courier New" w:eastAsia="Courier New" w:hAnsi="Courier New" w:cs="Courier New"/>
      </w:rPr>
    </w:lvl>
    <w:lvl w:ilvl="5">
      <w:start w:val="1"/>
      <w:numFmt w:val="bullet"/>
      <w:lvlText w:val="▪"/>
      <w:lvlJc w:val="left"/>
      <w:pPr>
        <w:ind w:left="5378" w:hanging="360"/>
      </w:pPr>
      <w:rPr>
        <w:rFonts w:ascii="Noto Sans Symbols" w:eastAsia="Noto Sans Symbols" w:hAnsi="Noto Sans Symbols" w:cs="Noto Sans Symbols"/>
      </w:rPr>
    </w:lvl>
    <w:lvl w:ilvl="6">
      <w:start w:val="1"/>
      <w:numFmt w:val="bullet"/>
      <w:lvlText w:val="●"/>
      <w:lvlJc w:val="left"/>
      <w:pPr>
        <w:ind w:left="6098" w:hanging="360"/>
      </w:pPr>
      <w:rPr>
        <w:rFonts w:ascii="Noto Sans Symbols" w:eastAsia="Noto Sans Symbols" w:hAnsi="Noto Sans Symbols" w:cs="Noto Sans Symbols"/>
      </w:rPr>
    </w:lvl>
    <w:lvl w:ilvl="7">
      <w:start w:val="1"/>
      <w:numFmt w:val="bullet"/>
      <w:lvlText w:val="o"/>
      <w:lvlJc w:val="left"/>
      <w:pPr>
        <w:ind w:left="6818" w:hanging="360"/>
      </w:pPr>
      <w:rPr>
        <w:rFonts w:ascii="Courier New" w:eastAsia="Courier New" w:hAnsi="Courier New" w:cs="Courier New"/>
      </w:rPr>
    </w:lvl>
    <w:lvl w:ilvl="8">
      <w:start w:val="1"/>
      <w:numFmt w:val="bullet"/>
      <w:lvlText w:val="▪"/>
      <w:lvlJc w:val="left"/>
      <w:pPr>
        <w:ind w:left="7538" w:hanging="360"/>
      </w:pPr>
      <w:rPr>
        <w:rFonts w:ascii="Noto Sans Symbols" w:eastAsia="Noto Sans Symbols" w:hAnsi="Noto Sans Symbols" w:cs="Noto Sans Symbols"/>
      </w:rPr>
    </w:lvl>
  </w:abstractNum>
  <w:abstractNum w:abstractNumId="3">
    <w:nsid w:val="3F94435F"/>
    <w:multiLevelType w:val="multilevel"/>
    <w:tmpl w:val="8A4ACC94"/>
    <w:lvl w:ilvl="0">
      <w:start w:val="1"/>
      <w:numFmt w:val="lowerLetter"/>
      <w:lvlText w:val="%1)"/>
      <w:lvlJc w:val="left"/>
      <w:pPr>
        <w:ind w:left="1636"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4">
    <w:nsid w:val="45256EE7"/>
    <w:multiLevelType w:val="multilevel"/>
    <w:tmpl w:val="B7640BF0"/>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5">
    <w:nsid w:val="471D7649"/>
    <w:multiLevelType w:val="multilevel"/>
    <w:tmpl w:val="4420D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BA8280B"/>
    <w:multiLevelType w:val="multilevel"/>
    <w:tmpl w:val="D5522F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55FD2484"/>
    <w:multiLevelType w:val="multilevel"/>
    <w:tmpl w:val="158CDC4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91B2728"/>
    <w:multiLevelType w:val="multilevel"/>
    <w:tmpl w:val="BDB69830"/>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9">
    <w:nsid w:val="601E24EB"/>
    <w:multiLevelType w:val="multilevel"/>
    <w:tmpl w:val="0882A5C2"/>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0">
    <w:nsid w:val="670D34ED"/>
    <w:multiLevelType w:val="multilevel"/>
    <w:tmpl w:val="6DD0555C"/>
    <w:lvl w:ilvl="0">
      <w:start w:val="1"/>
      <w:numFmt w:val="decimal"/>
      <w:lvlText w:val="%1."/>
      <w:lvlJc w:val="left"/>
      <w:pPr>
        <w:ind w:left="928"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7614A54"/>
    <w:multiLevelType w:val="multilevel"/>
    <w:tmpl w:val="7BF8532E"/>
    <w:lvl w:ilvl="0">
      <w:start w:val="1"/>
      <w:numFmt w:val="upperRoman"/>
      <w:lvlText w:val="%1."/>
      <w:lvlJc w:val="left"/>
      <w:pPr>
        <w:ind w:left="1430" w:hanging="72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num w:numId="1">
    <w:abstractNumId w:val="4"/>
  </w:num>
  <w:num w:numId="2">
    <w:abstractNumId w:val="2"/>
  </w:num>
  <w:num w:numId="3">
    <w:abstractNumId w:val="9"/>
  </w:num>
  <w:num w:numId="4">
    <w:abstractNumId w:val="3"/>
  </w:num>
  <w:num w:numId="5">
    <w:abstractNumId w:val="11"/>
  </w:num>
  <w:num w:numId="6">
    <w:abstractNumId w:val="1"/>
  </w:num>
  <w:num w:numId="7">
    <w:abstractNumId w:val="6"/>
  </w:num>
  <w:num w:numId="8">
    <w:abstractNumId w:val="5"/>
  </w:num>
  <w:num w:numId="9">
    <w:abstractNumId w:val="7"/>
  </w:num>
  <w:num w:numId="10">
    <w:abstractNumId w:val="8"/>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C01"/>
    <w:rsid w:val="00095430"/>
    <w:rsid w:val="0011446F"/>
    <w:rsid w:val="001D2BC9"/>
    <w:rsid w:val="002B3817"/>
    <w:rsid w:val="00446B8F"/>
    <w:rsid w:val="004C6949"/>
    <w:rsid w:val="007C5BE0"/>
    <w:rsid w:val="009B5C01"/>
    <w:rsid w:val="00C068C1"/>
    <w:rsid w:val="00CB2DC6"/>
    <w:rsid w:val="00DF19EA"/>
    <w:rsid w:val="00FF0B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22199D-66BE-4478-8010-787CB97EA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3EC"/>
  </w:style>
  <w:style w:type="paragraph" w:styleId="Ttulo1">
    <w:name w:val="heading 1"/>
    <w:basedOn w:val="Normal"/>
    <w:next w:val="Normal"/>
    <w:link w:val="Ttulo1Car"/>
    <w:uiPriority w:val="9"/>
    <w:qFormat/>
    <w:rsid w:val="00D343EC"/>
    <w:pPr>
      <w:keepNext/>
      <w:keepLines/>
      <w:spacing w:before="240"/>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next w:val="Normal"/>
    <w:link w:val="Ttulo2Car"/>
    <w:uiPriority w:val="9"/>
    <w:unhideWhenUsed/>
    <w:qFormat/>
    <w:rsid w:val="00D343EC"/>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D343EC"/>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D343EC"/>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D343EC"/>
    <w:pPr>
      <w:tabs>
        <w:tab w:val="center" w:pos="4252"/>
        <w:tab w:val="right" w:pos="8504"/>
      </w:tabs>
    </w:pPr>
    <w:rPr>
      <w:rFonts w:asciiTheme="minorHAnsi" w:eastAsiaTheme="minorEastAsia" w:hAnsiTheme="minorHAnsi" w:cstheme="minorBidi"/>
      <w:lang w:eastAsia="es-ES"/>
    </w:rPr>
  </w:style>
  <w:style w:type="character" w:customStyle="1" w:styleId="EncabezadoCar">
    <w:name w:val="Encabezado Car"/>
    <w:basedOn w:val="Fuentedeprrafopredeter"/>
    <w:link w:val="Encabezado"/>
    <w:uiPriority w:val="99"/>
    <w:rsid w:val="00D343EC"/>
    <w:rPr>
      <w:rFonts w:eastAsiaTheme="minorEastAsia"/>
      <w:sz w:val="24"/>
      <w:szCs w:val="24"/>
      <w:lang w:val="es-ES_tradnl" w:eastAsia="es-ES"/>
    </w:rPr>
  </w:style>
  <w:style w:type="paragraph" w:styleId="Piedepgina">
    <w:name w:val="footer"/>
    <w:basedOn w:val="Normal"/>
    <w:link w:val="PiedepginaCar"/>
    <w:uiPriority w:val="99"/>
    <w:unhideWhenUsed/>
    <w:rsid w:val="00D343EC"/>
    <w:pPr>
      <w:tabs>
        <w:tab w:val="center" w:pos="4252"/>
        <w:tab w:val="right" w:pos="8504"/>
      </w:tabs>
    </w:pPr>
    <w:rPr>
      <w:rFonts w:asciiTheme="minorHAnsi" w:eastAsiaTheme="minorEastAsia" w:hAnsiTheme="minorHAnsi" w:cstheme="minorBidi"/>
      <w:lang w:eastAsia="es-ES"/>
    </w:rPr>
  </w:style>
  <w:style w:type="character" w:customStyle="1" w:styleId="PiedepginaCar">
    <w:name w:val="Pie de página Car"/>
    <w:basedOn w:val="Fuentedeprrafopredeter"/>
    <w:link w:val="Piedepgina"/>
    <w:uiPriority w:val="99"/>
    <w:rsid w:val="00D343EC"/>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343EC"/>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343EC"/>
    <w:pPr>
      <w:ind w:left="708"/>
    </w:pPr>
    <w:rPr>
      <w:sz w:val="22"/>
      <w:szCs w:val="22"/>
      <w:lang w:val="es-ES" w:eastAsia="en-US"/>
    </w:rPr>
  </w:style>
  <w:style w:type="table" w:styleId="Tablaconcuadrcula">
    <w:name w:val="Table Grid"/>
    <w:basedOn w:val="Tablanormal"/>
    <w:uiPriority w:val="59"/>
    <w:rsid w:val="00D343EC"/>
    <w:rPr>
      <w:rFonts w:eastAsiaTheme="minorEastAsia"/>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343E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343EC"/>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343EC"/>
    <w:rPr>
      <w:vertAlign w:val="superscript"/>
    </w:rPr>
  </w:style>
  <w:style w:type="paragraph" w:styleId="Continuarlista">
    <w:name w:val="List Continue"/>
    <w:basedOn w:val="Normal"/>
    <w:uiPriority w:val="99"/>
    <w:unhideWhenUsed/>
    <w:rsid w:val="00D343EC"/>
    <w:pPr>
      <w:spacing w:after="120"/>
      <w:ind w:left="283"/>
      <w:contextualSpacing/>
    </w:pPr>
  </w:style>
  <w:style w:type="paragraph" w:styleId="Sangradetextonormal">
    <w:name w:val="Body Text Indent"/>
    <w:basedOn w:val="Normal"/>
    <w:link w:val="SangradetextonormalCar"/>
    <w:uiPriority w:val="99"/>
    <w:unhideWhenUsed/>
    <w:rsid w:val="00D343EC"/>
    <w:pPr>
      <w:spacing w:after="120"/>
      <w:ind w:left="283"/>
    </w:pPr>
  </w:style>
  <w:style w:type="character" w:customStyle="1" w:styleId="SangradetextonormalCar">
    <w:name w:val="Sangría de texto normal Car"/>
    <w:basedOn w:val="Fuentedeprrafopredeter"/>
    <w:link w:val="Sangradetextonormal"/>
    <w:uiPriority w:val="99"/>
    <w:rsid w:val="00D343EC"/>
    <w:rPr>
      <w:rFonts w:ascii="Times New Roman" w:eastAsia="Times New Roman" w:hAnsi="Times New Roman" w:cs="Times New Roman"/>
      <w:sz w:val="24"/>
      <w:szCs w:val="24"/>
      <w:lang w:eastAsia="es-MX"/>
    </w:rPr>
  </w:style>
  <w:style w:type="paragraph" w:styleId="Textoindependienteprimerasangra2">
    <w:name w:val="Body Text First Indent 2"/>
    <w:basedOn w:val="Sangradetextonormal"/>
    <w:link w:val="Textoindependienteprimerasangra2Car"/>
    <w:uiPriority w:val="99"/>
    <w:unhideWhenUsed/>
    <w:rsid w:val="00D343E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343EC"/>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D343EC"/>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b.mx/segob/renapo/acciones-y-programas/clave-unica-de-registro-de-poblacion-curp-14222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as.curp.gob.mx/CurpSP/html/informacionecurpP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omawww.sat.gob.mx/factura/Paginas/solicita_requisitos.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cghYrOHlO4fgu8+Dp6JUJsNlrw==">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48</Pages>
  <Words>10653</Words>
  <Characters>58596</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69111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USUARIO</cp:lastModifiedBy>
  <cp:revision>6</cp:revision>
  <cp:lastPrinted>2024-09-13T15:25:00Z</cp:lastPrinted>
  <dcterms:created xsi:type="dcterms:W3CDTF">2024-09-09T17:58:00Z</dcterms:created>
  <dcterms:modified xsi:type="dcterms:W3CDTF">2024-09-13T15:25:00Z</dcterms:modified>
</cp:coreProperties>
</file>